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CE88AF" w14:textId="77777777" w:rsidR="00461D5E" w:rsidRPr="00643B0D" w:rsidRDefault="00461D5E" w:rsidP="00461D5E">
      <w:pPr>
        <w:spacing w:after="360"/>
        <w:jc w:val="center"/>
        <w:rPr>
          <w:b/>
          <w:szCs w:val="22"/>
          <w:lang w:val="lv-LV"/>
        </w:rPr>
      </w:pPr>
      <w:r w:rsidRPr="00643B0D">
        <w:rPr>
          <w:b/>
          <w:szCs w:val="22"/>
          <w:lang w:val="lv-LV"/>
        </w:rPr>
        <w:t>Lietošanas instrukcija: informācija lietotājam</w:t>
      </w:r>
    </w:p>
    <w:p w14:paraId="01EBD3BD" w14:textId="4746EDCF" w:rsidR="005F4AE2" w:rsidRPr="00643B0D" w:rsidRDefault="005F4AE2" w:rsidP="005F4AE2">
      <w:pPr>
        <w:jc w:val="center"/>
        <w:outlineLvl w:val="0"/>
        <w:rPr>
          <w:b/>
          <w:szCs w:val="22"/>
          <w:lang w:val="lv-LV"/>
        </w:rPr>
      </w:pPr>
      <w:r w:rsidRPr="00643B0D">
        <w:rPr>
          <w:b/>
          <w:szCs w:val="22"/>
          <w:lang w:val="lv-LV"/>
        </w:rPr>
        <w:t>Alpicort</w:t>
      </w:r>
      <w:r w:rsidRPr="00643B0D">
        <w:rPr>
          <w:b/>
          <w:szCs w:val="22"/>
          <w:vertAlign w:val="superscript"/>
          <w:lang w:val="lv-LV"/>
        </w:rPr>
        <w:t>®</w:t>
      </w:r>
      <w:r w:rsidRPr="00643B0D">
        <w:rPr>
          <w:b/>
          <w:szCs w:val="22"/>
          <w:lang w:val="lv-LV"/>
        </w:rPr>
        <w:t xml:space="preserve"> 0,4 g/100 ml/0,2 g/100 ml</w:t>
      </w:r>
    </w:p>
    <w:p w14:paraId="0A5E64CA" w14:textId="309F17FC" w:rsidR="00461D5E" w:rsidRPr="00643B0D" w:rsidRDefault="005F4AE2" w:rsidP="005F4AE2">
      <w:pPr>
        <w:spacing w:after="360"/>
        <w:jc w:val="center"/>
        <w:outlineLvl w:val="0"/>
        <w:rPr>
          <w:szCs w:val="22"/>
          <w:lang w:val="lv-LV"/>
        </w:rPr>
      </w:pPr>
      <w:r w:rsidRPr="00643B0D">
        <w:rPr>
          <w:b/>
          <w:szCs w:val="22"/>
          <w:lang w:val="lv-LV"/>
        </w:rPr>
        <w:t>uz ādas lietojams šķīdums</w:t>
      </w:r>
      <w:r w:rsidR="00461D5E" w:rsidRPr="00643B0D">
        <w:rPr>
          <w:b/>
          <w:bCs/>
          <w:noProof/>
          <w:szCs w:val="22"/>
          <w:lang w:val="lv-LV"/>
        </w:rPr>
        <w:br/>
      </w:r>
      <w:r w:rsidR="00461D5E" w:rsidRPr="00643B0D">
        <w:rPr>
          <w:szCs w:val="22"/>
          <w:lang w:val="lv-LV"/>
        </w:rPr>
        <w:t>Acidum salicylicum</w:t>
      </w:r>
      <w:r w:rsidRPr="00643B0D">
        <w:rPr>
          <w:szCs w:val="22"/>
          <w:lang w:val="lv-LV"/>
        </w:rPr>
        <w:t>/Prednisolonum</w:t>
      </w:r>
    </w:p>
    <w:p w14:paraId="624D4A3C" w14:textId="77777777" w:rsidR="00461D5E" w:rsidRPr="00643B0D" w:rsidRDefault="00461D5E" w:rsidP="00461D5E">
      <w:pPr>
        <w:tabs>
          <w:tab w:val="left" w:pos="567"/>
        </w:tabs>
        <w:spacing w:after="120"/>
        <w:ind w:left="567" w:hanging="567"/>
        <w:rPr>
          <w:szCs w:val="22"/>
          <w:lang w:val="lv-LV"/>
        </w:rPr>
      </w:pPr>
      <w:r w:rsidRPr="00643B0D">
        <w:rPr>
          <w:b/>
          <w:szCs w:val="22"/>
          <w:lang w:val="lv-LV"/>
        </w:rPr>
        <w:t>Pirms zāļu lietošanas uzmanīgi izlasiet visu instrukciju, jo tā satur Jums svarīgu informāciju.</w:t>
      </w:r>
    </w:p>
    <w:p w14:paraId="4A25CA1F" w14:textId="77777777" w:rsidR="00461D5E" w:rsidRPr="00643B0D" w:rsidRDefault="00461D5E" w:rsidP="00461D5E">
      <w:pPr>
        <w:pStyle w:val="ListParagraph"/>
        <w:numPr>
          <w:ilvl w:val="0"/>
          <w:numId w:val="16"/>
        </w:numPr>
        <w:tabs>
          <w:tab w:val="left" w:pos="567"/>
        </w:tabs>
        <w:spacing w:after="120"/>
        <w:rPr>
          <w:szCs w:val="22"/>
          <w:lang w:val="lv-LV"/>
        </w:rPr>
      </w:pPr>
      <w:r w:rsidRPr="00643B0D">
        <w:rPr>
          <w:szCs w:val="22"/>
          <w:lang w:val="lv-LV"/>
        </w:rPr>
        <w:t>Saglabājiet šo instrukciju! Iespējams, ka vēlāk to vajadzēs pārlasīt.</w:t>
      </w:r>
    </w:p>
    <w:p w14:paraId="26C7D770" w14:textId="77777777" w:rsidR="00461D5E" w:rsidRPr="00643B0D" w:rsidRDefault="00461D5E" w:rsidP="00461D5E">
      <w:pPr>
        <w:pStyle w:val="ListParagraph"/>
        <w:numPr>
          <w:ilvl w:val="0"/>
          <w:numId w:val="16"/>
        </w:numPr>
        <w:tabs>
          <w:tab w:val="left" w:pos="567"/>
        </w:tabs>
        <w:spacing w:after="120"/>
        <w:rPr>
          <w:szCs w:val="22"/>
          <w:lang w:val="lv-LV"/>
        </w:rPr>
      </w:pPr>
      <w:r w:rsidRPr="00643B0D">
        <w:rPr>
          <w:szCs w:val="22"/>
          <w:lang w:val="lv-LV"/>
        </w:rPr>
        <w:t>Ja Jums rodas jebkādi jautājumi, vaicājiet ārstam vai farmaceitam.</w:t>
      </w:r>
    </w:p>
    <w:p w14:paraId="5BA0A4CC" w14:textId="77777777" w:rsidR="00461D5E" w:rsidRPr="00643B0D" w:rsidRDefault="00461D5E" w:rsidP="00461D5E">
      <w:pPr>
        <w:pStyle w:val="ListParagraph"/>
        <w:numPr>
          <w:ilvl w:val="0"/>
          <w:numId w:val="16"/>
        </w:numPr>
        <w:tabs>
          <w:tab w:val="left" w:pos="567"/>
        </w:tabs>
        <w:spacing w:after="120"/>
        <w:rPr>
          <w:szCs w:val="22"/>
          <w:lang w:val="lv-LV"/>
        </w:rPr>
      </w:pPr>
      <w:r w:rsidRPr="00643B0D">
        <w:rPr>
          <w:szCs w:val="22"/>
          <w:lang w:val="lv-LV"/>
        </w:rPr>
        <w:t>Šīs zāles ir parakstītas tikai Jums. Nedodiet tās citiem. Tās var nodarīt ļaunumu pat tad, ja šiem cilvēkiem ir līdzīgas slimības pazīmes.</w:t>
      </w:r>
    </w:p>
    <w:p w14:paraId="3CDF2065" w14:textId="77777777" w:rsidR="00461D5E" w:rsidRPr="00643B0D" w:rsidRDefault="00461D5E" w:rsidP="00461D5E">
      <w:pPr>
        <w:pStyle w:val="ListParagraph"/>
        <w:numPr>
          <w:ilvl w:val="0"/>
          <w:numId w:val="16"/>
        </w:numPr>
        <w:tabs>
          <w:tab w:val="left" w:pos="567"/>
        </w:tabs>
        <w:spacing w:after="360"/>
        <w:rPr>
          <w:szCs w:val="22"/>
          <w:lang w:val="lv-LV"/>
        </w:rPr>
      </w:pPr>
      <w:r w:rsidRPr="00643B0D">
        <w:rPr>
          <w:szCs w:val="22"/>
          <w:lang w:val="lv-LV"/>
        </w:rPr>
        <w:t>Ja Jums rodas jebkādas blakusparādības, konsultējieties ar ārstu vai farmaceitu. Tas attiecas arī uz iespējamām blakusparādībām, kas nav minētas šajā instrukcijā. Skatīt 4. punktu.</w:t>
      </w:r>
    </w:p>
    <w:p w14:paraId="56EA86F3" w14:textId="77777777" w:rsidR="00461D5E" w:rsidRPr="00643B0D" w:rsidRDefault="00461D5E" w:rsidP="00461D5E">
      <w:pPr>
        <w:numPr>
          <w:ilvl w:val="12"/>
          <w:numId w:val="0"/>
        </w:numPr>
        <w:spacing w:after="120"/>
        <w:ind w:right="-2"/>
        <w:outlineLvl w:val="0"/>
        <w:rPr>
          <w:szCs w:val="22"/>
          <w:lang w:val="lv-LV"/>
        </w:rPr>
      </w:pPr>
      <w:r w:rsidRPr="00643B0D">
        <w:rPr>
          <w:b/>
          <w:szCs w:val="22"/>
          <w:lang w:val="lv-LV"/>
        </w:rPr>
        <w:t>Šajā instrukcijā varat uzzināt:</w:t>
      </w:r>
    </w:p>
    <w:p w14:paraId="7E480452" w14:textId="77777777" w:rsidR="00461D5E" w:rsidRPr="00643B0D" w:rsidRDefault="00461D5E" w:rsidP="00461D5E">
      <w:pPr>
        <w:spacing w:after="120"/>
        <w:ind w:left="567" w:hanging="567"/>
        <w:rPr>
          <w:szCs w:val="22"/>
          <w:lang w:val="lv-LV"/>
        </w:rPr>
      </w:pPr>
      <w:r w:rsidRPr="00643B0D">
        <w:rPr>
          <w:szCs w:val="22"/>
          <w:lang w:val="lv-LV"/>
        </w:rPr>
        <w:t>1.</w:t>
      </w:r>
      <w:r w:rsidRPr="00643B0D">
        <w:rPr>
          <w:szCs w:val="22"/>
          <w:lang w:val="lv-LV"/>
        </w:rPr>
        <w:tab/>
        <w:t>Kas ir Alpicort un kādam nolūkam to lieto</w:t>
      </w:r>
    </w:p>
    <w:p w14:paraId="2BDABB25" w14:textId="77777777" w:rsidR="00461D5E" w:rsidRPr="00643B0D" w:rsidRDefault="00461D5E" w:rsidP="00461D5E">
      <w:pPr>
        <w:spacing w:after="120"/>
        <w:ind w:left="567" w:hanging="567"/>
        <w:rPr>
          <w:szCs w:val="22"/>
          <w:lang w:val="lv-LV"/>
        </w:rPr>
      </w:pPr>
      <w:r w:rsidRPr="00643B0D">
        <w:rPr>
          <w:szCs w:val="22"/>
          <w:lang w:val="lv-LV"/>
        </w:rPr>
        <w:t>2.</w:t>
      </w:r>
      <w:r w:rsidRPr="00643B0D">
        <w:rPr>
          <w:szCs w:val="22"/>
          <w:lang w:val="lv-LV"/>
        </w:rPr>
        <w:tab/>
        <w:t>Kas Jums jāzina pirms Alpicort lietošanas</w:t>
      </w:r>
    </w:p>
    <w:p w14:paraId="014A4FF0" w14:textId="77777777" w:rsidR="00461D5E" w:rsidRPr="00643B0D" w:rsidRDefault="00461D5E" w:rsidP="00461D5E">
      <w:pPr>
        <w:spacing w:after="120"/>
        <w:ind w:left="567" w:hanging="567"/>
        <w:rPr>
          <w:szCs w:val="22"/>
          <w:lang w:val="lv-LV"/>
        </w:rPr>
      </w:pPr>
      <w:r w:rsidRPr="00643B0D">
        <w:rPr>
          <w:szCs w:val="22"/>
          <w:lang w:val="lv-LV"/>
        </w:rPr>
        <w:t>3.</w:t>
      </w:r>
      <w:r w:rsidRPr="00643B0D">
        <w:rPr>
          <w:szCs w:val="22"/>
          <w:lang w:val="lv-LV"/>
        </w:rPr>
        <w:tab/>
        <w:t>Kā lietot Alpicort</w:t>
      </w:r>
    </w:p>
    <w:p w14:paraId="1AE96755" w14:textId="77777777" w:rsidR="00461D5E" w:rsidRPr="00643B0D" w:rsidRDefault="00461D5E" w:rsidP="00461D5E">
      <w:pPr>
        <w:spacing w:after="120"/>
        <w:ind w:left="567" w:hanging="567"/>
        <w:rPr>
          <w:szCs w:val="22"/>
          <w:lang w:val="lv-LV"/>
        </w:rPr>
      </w:pPr>
      <w:r w:rsidRPr="00643B0D">
        <w:rPr>
          <w:szCs w:val="22"/>
          <w:lang w:val="lv-LV"/>
        </w:rPr>
        <w:t>4.</w:t>
      </w:r>
      <w:r w:rsidRPr="00643B0D">
        <w:rPr>
          <w:szCs w:val="22"/>
          <w:lang w:val="lv-LV"/>
        </w:rPr>
        <w:tab/>
        <w:t>Iespējamās blakusparādības</w:t>
      </w:r>
    </w:p>
    <w:p w14:paraId="072DE3C0" w14:textId="77777777" w:rsidR="00461D5E" w:rsidRPr="00643B0D" w:rsidRDefault="00461D5E" w:rsidP="00461D5E">
      <w:pPr>
        <w:spacing w:after="120"/>
        <w:ind w:left="567" w:hanging="567"/>
        <w:rPr>
          <w:szCs w:val="22"/>
          <w:lang w:val="lv-LV"/>
        </w:rPr>
      </w:pPr>
      <w:r w:rsidRPr="00643B0D">
        <w:rPr>
          <w:szCs w:val="22"/>
          <w:lang w:val="lv-LV"/>
        </w:rPr>
        <w:t>5.</w:t>
      </w:r>
      <w:r w:rsidRPr="00643B0D">
        <w:rPr>
          <w:szCs w:val="22"/>
          <w:lang w:val="lv-LV"/>
        </w:rPr>
        <w:tab/>
        <w:t>Kā uzglabāt Alpicort</w:t>
      </w:r>
    </w:p>
    <w:p w14:paraId="068700C0" w14:textId="77777777" w:rsidR="00461D5E" w:rsidRPr="00643B0D" w:rsidRDefault="00461D5E" w:rsidP="00461D5E">
      <w:pPr>
        <w:spacing w:after="360"/>
        <w:ind w:left="567" w:hanging="567"/>
        <w:rPr>
          <w:szCs w:val="22"/>
          <w:lang w:val="lv-LV"/>
        </w:rPr>
      </w:pPr>
      <w:r w:rsidRPr="00643B0D">
        <w:rPr>
          <w:szCs w:val="22"/>
          <w:lang w:val="lv-LV"/>
        </w:rPr>
        <w:t>6.</w:t>
      </w:r>
      <w:r w:rsidRPr="00643B0D">
        <w:rPr>
          <w:szCs w:val="22"/>
          <w:lang w:val="lv-LV"/>
        </w:rPr>
        <w:tab/>
        <w:t>Iepakojuma saturs un cita informācija</w:t>
      </w:r>
    </w:p>
    <w:p w14:paraId="0434863B" w14:textId="77777777" w:rsidR="00461D5E" w:rsidRPr="00643B0D" w:rsidRDefault="00461D5E" w:rsidP="00461D5E">
      <w:pPr>
        <w:keepNext/>
        <w:keepLines/>
        <w:spacing w:after="120"/>
        <w:ind w:left="567" w:hanging="567"/>
        <w:rPr>
          <w:b/>
          <w:szCs w:val="22"/>
          <w:lang w:val="lv-LV"/>
        </w:rPr>
      </w:pPr>
      <w:r w:rsidRPr="00643B0D">
        <w:rPr>
          <w:b/>
          <w:szCs w:val="22"/>
          <w:lang w:val="lv-LV"/>
        </w:rPr>
        <w:t>1.</w:t>
      </w:r>
      <w:r w:rsidRPr="00643B0D">
        <w:rPr>
          <w:b/>
          <w:szCs w:val="22"/>
          <w:lang w:val="lv-LV"/>
        </w:rPr>
        <w:tab/>
        <w:t>Kas ir Alpicort un kādam nolūkam to lieto</w:t>
      </w:r>
    </w:p>
    <w:p w14:paraId="6E0E314D" w14:textId="527878A5" w:rsidR="00461D5E" w:rsidRPr="00643B0D" w:rsidRDefault="00461D5E" w:rsidP="00461D5E">
      <w:pPr>
        <w:numPr>
          <w:ilvl w:val="12"/>
          <w:numId w:val="0"/>
        </w:numPr>
        <w:spacing w:after="120"/>
        <w:rPr>
          <w:szCs w:val="22"/>
          <w:lang w:val="lv-LV"/>
        </w:rPr>
      </w:pPr>
      <w:r w:rsidRPr="00643B0D">
        <w:rPr>
          <w:szCs w:val="22"/>
          <w:lang w:val="lv-LV"/>
        </w:rPr>
        <w:t>Alpicort</w:t>
      </w:r>
      <w:r w:rsidRPr="00643B0D">
        <w:rPr>
          <w:b/>
          <w:szCs w:val="22"/>
          <w:lang w:val="lv-LV"/>
        </w:rPr>
        <w:t xml:space="preserve"> </w:t>
      </w:r>
      <w:r w:rsidRPr="00643B0D">
        <w:rPr>
          <w:szCs w:val="22"/>
          <w:lang w:val="lv-LV"/>
        </w:rPr>
        <w:t>ir uz ādas lietojams šķīdums, kas satur salicilskābi</w:t>
      </w:r>
      <w:r w:rsidR="007776BD" w:rsidRPr="007776BD">
        <w:rPr>
          <w:szCs w:val="22"/>
          <w:lang w:val="lv-LV"/>
        </w:rPr>
        <w:t xml:space="preserve"> </w:t>
      </w:r>
      <w:r w:rsidR="007776BD">
        <w:rPr>
          <w:szCs w:val="22"/>
          <w:lang w:val="lv-LV"/>
        </w:rPr>
        <w:t>un kortikosteroīdu</w:t>
      </w:r>
      <w:r w:rsidRPr="00643B0D">
        <w:rPr>
          <w:szCs w:val="22"/>
          <w:lang w:val="lv-LV"/>
        </w:rPr>
        <w:t>.</w:t>
      </w:r>
    </w:p>
    <w:p w14:paraId="31865172" w14:textId="758AE2FA" w:rsidR="00461D5E" w:rsidRPr="00643B0D" w:rsidRDefault="00461D5E" w:rsidP="00461D5E">
      <w:pPr>
        <w:numPr>
          <w:ilvl w:val="12"/>
          <w:numId w:val="0"/>
        </w:numPr>
        <w:spacing w:after="120"/>
        <w:rPr>
          <w:szCs w:val="22"/>
          <w:lang w:val="lv-LV"/>
        </w:rPr>
      </w:pPr>
      <w:r w:rsidRPr="00643B0D">
        <w:rPr>
          <w:szCs w:val="22"/>
          <w:lang w:val="lv-LV"/>
        </w:rPr>
        <w:t>Sastāvā esošaj</w:t>
      </w:r>
      <w:r w:rsidR="004A4C7D" w:rsidRPr="00643B0D">
        <w:rPr>
          <w:szCs w:val="22"/>
          <w:lang w:val="lv-LV"/>
        </w:rPr>
        <w:t>a</w:t>
      </w:r>
      <w:r w:rsidRPr="00643B0D">
        <w:rPr>
          <w:szCs w:val="22"/>
          <w:lang w:val="lv-LV"/>
        </w:rPr>
        <w:t>m kortikosteroīdam (prednizolonam) ir pretiekaisuma efekts, vienlaikus salicilskābe atraisa šūnu savienojumus, pastiprinot prednizolona efektivitāti.</w:t>
      </w:r>
    </w:p>
    <w:p w14:paraId="08EF4507" w14:textId="6C328675" w:rsidR="00461D5E" w:rsidRPr="00643B0D" w:rsidRDefault="00461D5E" w:rsidP="00461D5E">
      <w:pPr>
        <w:numPr>
          <w:ilvl w:val="12"/>
          <w:numId w:val="0"/>
        </w:numPr>
        <w:spacing w:after="360"/>
        <w:rPr>
          <w:szCs w:val="22"/>
          <w:lang w:val="lv-LV"/>
        </w:rPr>
      </w:pPr>
      <w:r w:rsidRPr="00643B0D">
        <w:rPr>
          <w:szCs w:val="22"/>
          <w:lang w:val="lv-LV"/>
        </w:rPr>
        <w:t>Alpicort jālieto pie vidēji stipriem galvas matainās daļas iekaisuma procesiem, simptomātiskai</w:t>
      </w:r>
      <w:r w:rsidR="004A4C7D" w:rsidRPr="00643B0D">
        <w:rPr>
          <w:szCs w:val="22"/>
          <w:lang w:val="lv-LV"/>
        </w:rPr>
        <w:t xml:space="preserve"> </w:t>
      </w:r>
      <w:r w:rsidRPr="00643B0D">
        <w:rPr>
          <w:szCs w:val="22"/>
          <w:lang w:val="lv-LV"/>
        </w:rPr>
        <w:t>-</w:t>
      </w:r>
      <w:r w:rsidRPr="00643B0D">
        <w:rPr>
          <w:noProof/>
          <w:szCs w:val="22"/>
          <w:lang w:val="lv-LV"/>
        </w:rPr>
        <w:t xml:space="preserve"> </w:t>
      </w:r>
      <w:r w:rsidRPr="00643B0D">
        <w:rPr>
          <w:szCs w:val="22"/>
          <w:lang w:val="lv-LV"/>
        </w:rPr>
        <w:t>vieglai kortikosteroīdu terapijai.</w:t>
      </w:r>
    </w:p>
    <w:p w14:paraId="5E37E360" w14:textId="77777777" w:rsidR="00461D5E" w:rsidRPr="00643B0D" w:rsidRDefault="00461D5E" w:rsidP="00461D5E">
      <w:pPr>
        <w:keepNext/>
        <w:keepLines/>
        <w:spacing w:after="120"/>
        <w:ind w:left="567" w:hanging="567"/>
        <w:rPr>
          <w:szCs w:val="22"/>
          <w:lang w:val="lv-LV"/>
        </w:rPr>
      </w:pPr>
      <w:r w:rsidRPr="00643B0D">
        <w:rPr>
          <w:b/>
          <w:szCs w:val="22"/>
          <w:lang w:val="lv-LV"/>
        </w:rPr>
        <w:t>2.</w:t>
      </w:r>
      <w:r w:rsidRPr="00643B0D">
        <w:rPr>
          <w:b/>
          <w:szCs w:val="22"/>
          <w:lang w:val="lv-LV"/>
        </w:rPr>
        <w:tab/>
        <w:t>Kas Jums jāzina pirms</w:t>
      </w:r>
      <w:r w:rsidRPr="00643B0D">
        <w:rPr>
          <w:szCs w:val="22"/>
          <w:lang w:val="lv-LV"/>
        </w:rPr>
        <w:t xml:space="preserve"> </w:t>
      </w:r>
      <w:r w:rsidRPr="00643B0D">
        <w:rPr>
          <w:b/>
          <w:szCs w:val="22"/>
          <w:lang w:val="lv-LV"/>
        </w:rPr>
        <w:t>Alpicort lietošanas</w:t>
      </w:r>
    </w:p>
    <w:p w14:paraId="211ABECE" w14:textId="77777777" w:rsidR="00461D5E" w:rsidRPr="00643B0D" w:rsidRDefault="00461D5E" w:rsidP="00461D5E">
      <w:pPr>
        <w:numPr>
          <w:ilvl w:val="12"/>
          <w:numId w:val="0"/>
        </w:numPr>
        <w:spacing w:after="120"/>
        <w:ind w:right="-2"/>
        <w:outlineLvl w:val="0"/>
        <w:rPr>
          <w:b/>
          <w:szCs w:val="22"/>
          <w:lang w:val="lv-LV"/>
        </w:rPr>
      </w:pPr>
      <w:r w:rsidRPr="00643B0D">
        <w:rPr>
          <w:b/>
          <w:szCs w:val="22"/>
          <w:lang w:val="lv-LV"/>
        </w:rPr>
        <w:t>Nelietojiet Alpicort šādos gadījumos:</w:t>
      </w:r>
    </w:p>
    <w:p w14:paraId="1A16B204" w14:textId="77777777" w:rsidR="00461D5E" w:rsidRPr="00643B0D" w:rsidRDefault="00461D5E" w:rsidP="00461D5E">
      <w:pPr>
        <w:pStyle w:val="ListParagraph"/>
        <w:numPr>
          <w:ilvl w:val="0"/>
          <w:numId w:val="18"/>
        </w:numPr>
        <w:spacing w:after="120"/>
        <w:outlineLvl w:val="0"/>
        <w:rPr>
          <w:szCs w:val="22"/>
          <w:lang w:val="lv-LV"/>
        </w:rPr>
      </w:pPr>
      <w:r w:rsidRPr="00643B0D">
        <w:rPr>
          <w:szCs w:val="22"/>
          <w:lang w:val="lv-LV"/>
        </w:rPr>
        <w:t>ja Jums ir alerģija pret prednizolonu, salicilskābi vai kādu citu (6. punktā minēto) šo zāļu sastāvdaļu;</w:t>
      </w:r>
    </w:p>
    <w:p w14:paraId="73B7FA5F" w14:textId="77777777" w:rsidR="00461D5E" w:rsidRPr="00643B0D" w:rsidRDefault="00461D5E" w:rsidP="00461D5E">
      <w:pPr>
        <w:pStyle w:val="ListParagraph"/>
        <w:numPr>
          <w:ilvl w:val="0"/>
          <w:numId w:val="18"/>
        </w:numPr>
        <w:spacing w:after="120"/>
        <w:outlineLvl w:val="0"/>
        <w:rPr>
          <w:szCs w:val="22"/>
          <w:lang w:val="lv-LV"/>
        </w:rPr>
      </w:pPr>
      <w:r w:rsidRPr="00643B0D">
        <w:rPr>
          <w:szCs w:val="22"/>
          <w:lang w:val="lv-LV"/>
        </w:rPr>
        <w:t>bērniem līdz 2 gadu vecumam;</w:t>
      </w:r>
    </w:p>
    <w:p w14:paraId="740D142E" w14:textId="77777777" w:rsidR="00461D5E" w:rsidRPr="00643B0D" w:rsidRDefault="00461D5E" w:rsidP="00461D5E">
      <w:pPr>
        <w:pStyle w:val="ListParagraph"/>
        <w:numPr>
          <w:ilvl w:val="0"/>
          <w:numId w:val="18"/>
        </w:numPr>
        <w:spacing w:after="120"/>
        <w:outlineLvl w:val="0"/>
        <w:rPr>
          <w:szCs w:val="22"/>
          <w:lang w:val="lv-LV"/>
        </w:rPr>
      </w:pPr>
      <w:r w:rsidRPr="00643B0D">
        <w:rPr>
          <w:szCs w:val="22"/>
          <w:lang w:val="lv-LV"/>
        </w:rPr>
        <w:t>uz gļotādām, mutes dobumā, acīs vai ādas apvidū ap acīm, dzimumorgānu apvidū vai iekšķīgi;</w:t>
      </w:r>
    </w:p>
    <w:p w14:paraId="34CC2AB6" w14:textId="77777777" w:rsidR="00461D5E" w:rsidRPr="00643B0D" w:rsidRDefault="00461D5E" w:rsidP="00461D5E">
      <w:pPr>
        <w:pStyle w:val="ListParagraph"/>
        <w:numPr>
          <w:ilvl w:val="0"/>
          <w:numId w:val="18"/>
        </w:numPr>
        <w:spacing w:after="120"/>
        <w:outlineLvl w:val="0"/>
        <w:rPr>
          <w:szCs w:val="22"/>
          <w:lang w:val="lv-LV"/>
        </w:rPr>
      </w:pPr>
      <w:r w:rsidRPr="00643B0D">
        <w:rPr>
          <w:szCs w:val="22"/>
          <w:lang w:val="lv-LV"/>
        </w:rPr>
        <w:t>ja Jums ir vējbakas, specifiski ādas bojājumi (tuberkuloze, sifiliss) un iekaisīga reakcija pēc vakcīnu lietošanas;</w:t>
      </w:r>
    </w:p>
    <w:p w14:paraId="178F67A7" w14:textId="77777777" w:rsidR="00461D5E" w:rsidRPr="00643B0D" w:rsidRDefault="00461D5E" w:rsidP="00461D5E">
      <w:pPr>
        <w:pStyle w:val="ListParagraph"/>
        <w:numPr>
          <w:ilvl w:val="0"/>
          <w:numId w:val="18"/>
        </w:numPr>
        <w:spacing w:after="120"/>
        <w:outlineLvl w:val="0"/>
        <w:rPr>
          <w:szCs w:val="22"/>
          <w:lang w:val="lv-LV"/>
        </w:rPr>
      </w:pPr>
      <w:r w:rsidRPr="00643B0D">
        <w:rPr>
          <w:szCs w:val="22"/>
          <w:lang w:val="lv-LV"/>
        </w:rPr>
        <w:t>ja Jums ir sēnīšu izraisīti ādas bojājumi (mikoze) vai bakteriāla ādas infekcija;</w:t>
      </w:r>
    </w:p>
    <w:p w14:paraId="73883BD8" w14:textId="6728EC6D" w:rsidR="00461D5E" w:rsidRPr="00643B0D" w:rsidRDefault="00461D5E" w:rsidP="00461D5E">
      <w:pPr>
        <w:pStyle w:val="ListParagraph"/>
        <w:numPr>
          <w:ilvl w:val="0"/>
          <w:numId w:val="18"/>
        </w:numPr>
        <w:spacing w:after="120"/>
        <w:outlineLvl w:val="0"/>
        <w:rPr>
          <w:szCs w:val="22"/>
          <w:lang w:val="lv-LV"/>
        </w:rPr>
      </w:pPr>
      <w:r w:rsidRPr="00643B0D">
        <w:rPr>
          <w:szCs w:val="22"/>
          <w:lang w:val="lv-LV"/>
        </w:rPr>
        <w:t>ja Jums ir periorāls dermatīts (ādas iekaisums ap muti ar apsārtumu un papulu veidošanos) un rosacea (sejas apsārtums, dažkārt ar iekaisumu vai strutainu izsitumu veidošanos)</w:t>
      </w:r>
      <w:r w:rsidR="005519A8" w:rsidRPr="00643B0D">
        <w:rPr>
          <w:szCs w:val="22"/>
          <w:lang w:val="lv-LV"/>
        </w:rPr>
        <w:t>;</w:t>
      </w:r>
    </w:p>
    <w:p w14:paraId="4C6CC6ED" w14:textId="77777777" w:rsidR="00461D5E" w:rsidRPr="00643B0D" w:rsidRDefault="00461D5E" w:rsidP="00461D5E">
      <w:pPr>
        <w:pStyle w:val="ListParagraph"/>
        <w:numPr>
          <w:ilvl w:val="0"/>
          <w:numId w:val="18"/>
        </w:numPr>
        <w:spacing w:after="120"/>
        <w:outlineLvl w:val="0"/>
        <w:rPr>
          <w:szCs w:val="22"/>
          <w:lang w:val="lv-LV"/>
        </w:rPr>
      </w:pPr>
      <w:r w:rsidRPr="00643B0D">
        <w:rPr>
          <w:szCs w:val="22"/>
          <w:lang w:val="lv-LV"/>
        </w:rPr>
        <w:t>ilgāk kā 3 nedēļas bez pārtraukuma;</w:t>
      </w:r>
    </w:p>
    <w:p w14:paraId="04185CE0" w14:textId="77777777" w:rsidR="00461D5E" w:rsidRPr="00643B0D" w:rsidRDefault="00461D5E" w:rsidP="00461D5E">
      <w:pPr>
        <w:pStyle w:val="ListParagraph"/>
        <w:numPr>
          <w:ilvl w:val="0"/>
          <w:numId w:val="18"/>
        </w:numPr>
        <w:spacing w:after="120"/>
        <w:outlineLvl w:val="0"/>
        <w:rPr>
          <w:szCs w:val="22"/>
          <w:lang w:val="lv-LV"/>
        </w:rPr>
      </w:pPr>
      <w:r w:rsidRPr="00643B0D">
        <w:rPr>
          <w:szCs w:val="22"/>
          <w:lang w:val="lv-LV"/>
        </w:rPr>
        <w:t>ja Jums ir aknu vai nieru mazspēja.</w:t>
      </w:r>
    </w:p>
    <w:p w14:paraId="35AFAAA2" w14:textId="77777777" w:rsidR="00461D5E" w:rsidRPr="00643B0D" w:rsidRDefault="00461D5E" w:rsidP="00461D5E">
      <w:pPr>
        <w:spacing w:after="120"/>
        <w:ind w:left="567" w:hanging="567"/>
        <w:outlineLvl w:val="0"/>
        <w:rPr>
          <w:b/>
          <w:szCs w:val="22"/>
          <w:lang w:val="lv-LV"/>
        </w:rPr>
      </w:pPr>
      <w:r w:rsidRPr="00643B0D">
        <w:rPr>
          <w:b/>
          <w:szCs w:val="22"/>
          <w:lang w:val="lv-LV"/>
        </w:rPr>
        <w:t>Brīdinājumi un piesardzība lietošanā</w:t>
      </w:r>
    </w:p>
    <w:p w14:paraId="2F31D79A" w14:textId="77777777" w:rsidR="00461D5E" w:rsidRPr="00643B0D" w:rsidRDefault="00461D5E" w:rsidP="00461D5E">
      <w:pPr>
        <w:spacing w:after="120"/>
        <w:ind w:left="567" w:hanging="567"/>
        <w:outlineLvl w:val="0"/>
        <w:rPr>
          <w:szCs w:val="22"/>
          <w:lang w:val="lv-LV"/>
        </w:rPr>
      </w:pPr>
      <w:r w:rsidRPr="00643B0D">
        <w:rPr>
          <w:szCs w:val="22"/>
          <w:lang w:val="lv-LV"/>
        </w:rPr>
        <w:t>Pirms Alpicort lietošanas konsultējieties ar ārstu vai farmaceitu.</w:t>
      </w:r>
    </w:p>
    <w:p w14:paraId="2629051D" w14:textId="77777777" w:rsidR="00461D5E" w:rsidRPr="00643B0D" w:rsidRDefault="00461D5E" w:rsidP="00461D5E">
      <w:pPr>
        <w:keepNext/>
        <w:keepLines/>
        <w:numPr>
          <w:ilvl w:val="12"/>
          <w:numId w:val="0"/>
        </w:numPr>
        <w:spacing w:after="120"/>
        <w:outlineLvl w:val="0"/>
        <w:rPr>
          <w:b/>
          <w:szCs w:val="22"/>
          <w:lang w:val="lv-LV"/>
        </w:rPr>
      </w:pPr>
      <w:r w:rsidRPr="00643B0D">
        <w:rPr>
          <w:b/>
          <w:szCs w:val="22"/>
          <w:lang w:val="lv-LV"/>
        </w:rPr>
        <w:t>Īpaša piesardzība, lietojot Alpicort, nepieciešama šādos gadījumos:</w:t>
      </w:r>
    </w:p>
    <w:p w14:paraId="0EB5FF08" w14:textId="77777777" w:rsidR="00461D5E" w:rsidRPr="00643B0D" w:rsidRDefault="00461D5E" w:rsidP="00461D5E">
      <w:pPr>
        <w:pStyle w:val="ListParagraph"/>
        <w:numPr>
          <w:ilvl w:val="0"/>
          <w:numId w:val="20"/>
        </w:numPr>
        <w:spacing w:after="120"/>
        <w:outlineLvl w:val="0"/>
        <w:rPr>
          <w:szCs w:val="22"/>
          <w:lang w:val="lv-LV"/>
        </w:rPr>
      </w:pPr>
      <w:r w:rsidRPr="00643B0D">
        <w:rPr>
          <w:szCs w:val="22"/>
          <w:lang w:val="lv-LV"/>
        </w:rPr>
        <w:t>Alpicort paredzēts vienīgi ārīgai lietošanai galvas matainajā daļā, jo tas satur 2-propanolu;</w:t>
      </w:r>
    </w:p>
    <w:p w14:paraId="7705930B" w14:textId="77777777" w:rsidR="00461D5E" w:rsidRPr="00643B0D" w:rsidRDefault="00461D5E" w:rsidP="00461D5E">
      <w:pPr>
        <w:pStyle w:val="ListParagraph"/>
        <w:numPr>
          <w:ilvl w:val="0"/>
          <w:numId w:val="20"/>
        </w:numPr>
        <w:spacing w:after="120"/>
        <w:outlineLvl w:val="0"/>
        <w:rPr>
          <w:szCs w:val="22"/>
          <w:lang w:val="lv-LV"/>
        </w:rPr>
      </w:pPr>
      <w:r w:rsidRPr="00643B0D">
        <w:rPr>
          <w:szCs w:val="22"/>
          <w:lang w:val="lv-LV"/>
        </w:rPr>
        <w:t>tikai lokālai lietošanai, nelietot acīs un uz gļotādām.</w:t>
      </w:r>
    </w:p>
    <w:p w14:paraId="2BE71598" w14:textId="77777777" w:rsidR="00461D5E" w:rsidRPr="00643B0D" w:rsidRDefault="00461D5E" w:rsidP="00461D5E">
      <w:pPr>
        <w:spacing w:after="120"/>
        <w:outlineLvl w:val="0"/>
        <w:rPr>
          <w:noProof/>
          <w:szCs w:val="22"/>
          <w:lang w:val="lv-LV"/>
        </w:rPr>
      </w:pPr>
      <w:r w:rsidRPr="00643B0D">
        <w:rPr>
          <w:noProof/>
          <w:szCs w:val="22"/>
          <w:lang w:val="lv-LV"/>
        </w:rPr>
        <w:lastRenderedPageBreak/>
        <w:t>Ja Jums rodas neskaidra redze vai citi redzes traucējumi, sazinieties ar ārstu.</w:t>
      </w:r>
    </w:p>
    <w:p w14:paraId="5B3420CA" w14:textId="77777777" w:rsidR="00461D5E" w:rsidRPr="00643B0D" w:rsidRDefault="00461D5E" w:rsidP="00461D5E">
      <w:pPr>
        <w:spacing w:after="120"/>
        <w:ind w:left="567" w:hanging="567"/>
        <w:outlineLvl w:val="0"/>
        <w:rPr>
          <w:b/>
          <w:szCs w:val="22"/>
          <w:lang w:val="lv-LV"/>
        </w:rPr>
      </w:pPr>
      <w:r w:rsidRPr="00643B0D">
        <w:rPr>
          <w:b/>
          <w:szCs w:val="22"/>
          <w:lang w:val="lv-LV"/>
        </w:rPr>
        <w:t>Bērni un pusaudži</w:t>
      </w:r>
    </w:p>
    <w:p w14:paraId="79DAC48A" w14:textId="77777777" w:rsidR="00461D5E" w:rsidRPr="00643B0D" w:rsidRDefault="00461D5E" w:rsidP="00461D5E">
      <w:pPr>
        <w:spacing w:after="120"/>
        <w:outlineLvl w:val="0"/>
        <w:rPr>
          <w:szCs w:val="22"/>
          <w:lang w:val="lv-LV"/>
        </w:rPr>
      </w:pPr>
      <w:r w:rsidRPr="00643B0D">
        <w:rPr>
          <w:szCs w:val="22"/>
          <w:lang w:val="lv-LV"/>
        </w:rPr>
        <w:t>Ja ir nepieciešamība Alpicort lietot bērniem, jāievēro, ka apjomam jābūt mazākam un laika periodam jābūt īsākam.</w:t>
      </w:r>
    </w:p>
    <w:p w14:paraId="58B2D632" w14:textId="77777777" w:rsidR="00461D5E" w:rsidRPr="00643B0D" w:rsidRDefault="00461D5E" w:rsidP="00461D5E">
      <w:pPr>
        <w:numPr>
          <w:ilvl w:val="12"/>
          <w:numId w:val="0"/>
        </w:numPr>
        <w:spacing w:after="120"/>
        <w:ind w:left="567" w:hanging="567"/>
        <w:rPr>
          <w:b/>
          <w:szCs w:val="22"/>
          <w:lang w:val="lv-LV"/>
        </w:rPr>
      </w:pPr>
      <w:r w:rsidRPr="00643B0D">
        <w:rPr>
          <w:b/>
          <w:szCs w:val="22"/>
          <w:lang w:val="lv-LV"/>
        </w:rPr>
        <w:t xml:space="preserve">Citas zāles un Alpicort </w:t>
      </w:r>
    </w:p>
    <w:p w14:paraId="5FD023F0" w14:textId="77777777" w:rsidR="00461D5E" w:rsidRPr="00643B0D" w:rsidRDefault="00461D5E" w:rsidP="00461D5E">
      <w:pPr>
        <w:spacing w:after="120"/>
        <w:outlineLvl w:val="0"/>
        <w:rPr>
          <w:noProof/>
          <w:szCs w:val="22"/>
          <w:lang w:val="lv-LV"/>
        </w:rPr>
      </w:pPr>
      <w:r w:rsidRPr="00643B0D">
        <w:rPr>
          <w:noProof/>
          <w:szCs w:val="22"/>
          <w:lang w:val="lv-LV"/>
        </w:rPr>
        <w:t>Pastāstiet ārstam vai farmaceitam par visām zālēm, kuras lietojat pēdējā laikā, esat lietojis vai varētu lietot.</w:t>
      </w:r>
    </w:p>
    <w:p w14:paraId="4EFF9DFB" w14:textId="77777777" w:rsidR="00461D5E" w:rsidRPr="00643B0D" w:rsidRDefault="00461D5E" w:rsidP="00461D5E">
      <w:pPr>
        <w:tabs>
          <w:tab w:val="left" w:pos="567"/>
        </w:tabs>
        <w:spacing w:after="120"/>
        <w:rPr>
          <w:szCs w:val="22"/>
          <w:lang w:val="lv-LV"/>
        </w:rPr>
      </w:pPr>
      <w:r w:rsidRPr="00643B0D">
        <w:rPr>
          <w:szCs w:val="22"/>
          <w:lang w:val="lv-LV"/>
        </w:rPr>
        <w:t>Sastāva dēļ Alpicort</w:t>
      </w:r>
      <w:r w:rsidRPr="00643B0D">
        <w:rPr>
          <w:b/>
          <w:szCs w:val="22"/>
          <w:lang w:val="lv-LV"/>
        </w:rPr>
        <w:t xml:space="preserve"> </w:t>
      </w:r>
      <w:r w:rsidRPr="00643B0D">
        <w:rPr>
          <w:szCs w:val="22"/>
          <w:lang w:val="lv-LV"/>
        </w:rPr>
        <w:t>var pastiprināt citu ārīgi lietojamo aktīvo vielu efektivitāti.</w:t>
      </w:r>
    </w:p>
    <w:p w14:paraId="3F5C8053" w14:textId="77777777" w:rsidR="00461D5E" w:rsidRPr="00643B0D" w:rsidRDefault="00461D5E" w:rsidP="00461D5E">
      <w:pPr>
        <w:tabs>
          <w:tab w:val="left" w:pos="567"/>
        </w:tabs>
        <w:autoSpaceDE w:val="0"/>
        <w:autoSpaceDN w:val="0"/>
        <w:adjustRightInd w:val="0"/>
        <w:spacing w:after="120"/>
        <w:rPr>
          <w:szCs w:val="22"/>
          <w:lang w:val="lv-LV"/>
        </w:rPr>
      </w:pPr>
      <w:r w:rsidRPr="00643B0D">
        <w:rPr>
          <w:szCs w:val="22"/>
          <w:lang w:val="lv-LV"/>
        </w:rPr>
        <w:t>Sastāvā esošā salicilskābe var pastiprināt citu lokāli lietojamu zāļu uzsūkšanos, un to nedrīkst lietot kombinācijā ar citām lokāli lietojamām zālēm galvas matainajā daļā.</w:t>
      </w:r>
    </w:p>
    <w:p w14:paraId="5AB3B755" w14:textId="28030D4E" w:rsidR="00461D5E" w:rsidRPr="00643B0D" w:rsidRDefault="00461D5E" w:rsidP="00461D5E">
      <w:pPr>
        <w:tabs>
          <w:tab w:val="left" w:pos="567"/>
        </w:tabs>
        <w:autoSpaceDE w:val="0"/>
        <w:autoSpaceDN w:val="0"/>
        <w:adjustRightInd w:val="0"/>
        <w:spacing w:after="120"/>
        <w:rPr>
          <w:szCs w:val="22"/>
          <w:lang w:val="lv-LV"/>
        </w:rPr>
      </w:pPr>
      <w:r w:rsidRPr="00643B0D">
        <w:rPr>
          <w:szCs w:val="22"/>
          <w:lang w:val="lv-LV"/>
        </w:rPr>
        <w:t>Sistēmiski absorbēta salicilskābe var palielināt metotreksāta toksicitāti un pastiprināt su</w:t>
      </w:r>
      <w:r w:rsidR="005519A8" w:rsidRPr="00643B0D">
        <w:rPr>
          <w:szCs w:val="22"/>
          <w:lang w:val="lv-LV"/>
        </w:rPr>
        <w:t>l</w:t>
      </w:r>
      <w:r w:rsidRPr="00643B0D">
        <w:rPr>
          <w:szCs w:val="22"/>
          <w:lang w:val="lv-LV"/>
        </w:rPr>
        <w:t>fonilurīnvielas atvasinājumu hipoglikēmisko iedarbību.</w:t>
      </w:r>
    </w:p>
    <w:p w14:paraId="3B8D2726" w14:textId="77777777" w:rsidR="00461D5E" w:rsidRPr="00643B0D" w:rsidRDefault="00461D5E" w:rsidP="00461D5E">
      <w:pPr>
        <w:tabs>
          <w:tab w:val="left" w:pos="567"/>
        </w:tabs>
        <w:autoSpaceDE w:val="0"/>
        <w:autoSpaceDN w:val="0"/>
        <w:adjustRightInd w:val="0"/>
        <w:spacing w:after="120"/>
        <w:rPr>
          <w:szCs w:val="22"/>
          <w:lang w:val="lv-LV"/>
        </w:rPr>
      </w:pPr>
      <w:r w:rsidRPr="00643B0D">
        <w:rPr>
          <w:szCs w:val="22"/>
          <w:lang w:val="lv-LV"/>
        </w:rPr>
        <w:t>Salicilskābe ir nesaderīga ar dažādām aktīvām un neaktīvām sastāvdaļām, kas var ietekmēt aktīvo sastāvdaļu atbrīvošanu. Tās ir sekojošas vielas: akriflavīna sāļi, svina sāļi, kampars, hlorālhidrāts, dzelzs sāļi, etakridīna sāļi, želatīns, jods, jodīdi, jodoforms, beta-naftols, polietilēnglikols, rezorcinols, cinka oksīds.</w:t>
      </w:r>
    </w:p>
    <w:p w14:paraId="3123AC88" w14:textId="77777777" w:rsidR="00461D5E" w:rsidRPr="00643B0D" w:rsidRDefault="00461D5E" w:rsidP="00461D5E">
      <w:pPr>
        <w:numPr>
          <w:ilvl w:val="12"/>
          <w:numId w:val="0"/>
        </w:numPr>
        <w:spacing w:after="120"/>
        <w:ind w:right="-2"/>
        <w:rPr>
          <w:szCs w:val="22"/>
          <w:lang w:val="lv-LV"/>
        </w:rPr>
      </w:pPr>
      <w:r w:rsidRPr="00643B0D">
        <w:rPr>
          <w:szCs w:val="22"/>
          <w:lang w:val="lv-LV"/>
        </w:rPr>
        <w:t>Pastāstiet ārstam vai farmaceitam par visām zālēm, kuras lietojat pēdējā laikā, esat lietojis vai varētu lietot, ieskaitot zāles, ko var iegādāties bez receptes.</w:t>
      </w:r>
    </w:p>
    <w:p w14:paraId="409E9B13" w14:textId="77777777" w:rsidR="00461D5E" w:rsidRPr="00643B0D" w:rsidRDefault="00461D5E" w:rsidP="00461D5E">
      <w:pPr>
        <w:numPr>
          <w:ilvl w:val="12"/>
          <w:numId w:val="0"/>
        </w:numPr>
        <w:spacing w:after="120"/>
        <w:ind w:left="567" w:hanging="567"/>
        <w:rPr>
          <w:b/>
          <w:szCs w:val="22"/>
          <w:lang w:val="lv-LV"/>
        </w:rPr>
      </w:pPr>
      <w:r w:rsidRPr="00643B0D">
        <w:rPr>
          <w:b/>
          <w:szCs w:val="22"/>
          <w:lang w:val="lv-LV"/>
        </w:rPr>
        <w:t>Alpicort kopā ar uzturu, dzērienu un alkoholu</w:t>
      </w:r>
    </w:p>
    <w:p w14:paraId="1FAFEE30" w14:textId="36F7601C" w:rsidR="00461D5E" w:rsidRPr="00643B0D" w:rsidRDefault="00C346C8" w:rsidP="00461D5E">
      <w:pPr>
        <w:numPr>
          <w:ilvl w:val="12"/>
          <w:numId w:val="0"/>
        </w:numPr>
        <w:spacing w:after="120"/>
        <w:ind w:left="567" w:hanging="567"/>
        <w:rPr>
          <w:szCs w:val="22"/>
          <w:lang w:val="lv-LV"/>
        </w:rPr>
      </w:pPr>
      <w:r w:rsidRPr="00643B0D">
        <w:rPr>
          <w:szCs w:val="22"/>
          <w:lang w:val="lv-LV"/>
        </w:rPr>
        <w:t>Mijiedarbība</w:t>
      </w:r>
      <w:r w:rsidR="00461D5E" w:rsidRPr="00643B0D">
        <w:rPr>
          <w:szCs w:val="22"/>
          <w:lang w:val="lv-LV"/>
        </w:rPr>
        <w:t xml:space="preserve"> nav zināma.</w:t>
      </w:r>
    </w:p>
    <w:p w14:paraId="3B516973" w14:textId="77777777" w:rsidR="00461D5E" w:rsidRPr="00643B0D" w:rsidRDefault="00461D5E" w:rsidP="00461D5E">
      <w:pPr>
        <w:numPr>
          <w:ilvl w:val="12"/>
          <w:numId w:val="0"/>
        </w:numPr>
        <w:spacing w:after="120"/>
        <w:ind w:left="567" w:hanging="567"/>
        <w:rPr>
          <w:b/>
          <w:szCs w:val="22"/>
          <w:lang w:val="lv-LV"/>
        </w:rPr>
      </w:pPr>
      <w:r w:rsidRPr="00643B0D">
        <w:rPr>
          <w:b/>
          <w:szCs w:val="22"/>
          <w:lang w:val="lv-LV"/>
        </w:rPr>
        <w:t>Grūtniecība un barošana ar krūti</w:t>
      </w:r>
    </w:p>
    <w:p w14:paraId="3D473B97" w14:textId="77777777" w:rsidR="00461D5E" w:rsidRPr="00643B0D" w:rsidRDefault="00461D5E" w:rsidP="00461D5E">
      <w:pPr>
        <w:numPr>
          <w:ilvl w:val="12"/>
          <w:numId w:val="0"/>
        </w:numPr>
        <w:spacing w:after="120"/>
        <w:rPr>
          <w:szCs w:val="22"/>
          <w:lang w:val="lv-LV"/>
        </w:rPr>
      </w:pPr>
      <w:r w:rsidRPr="00643B0D">
        <w:rPr>
          <w:szCs w:val="22"/>
          <w:lang w:val="lv-LV"/>
        </w:rPr>
        <w:t>Ja Jūs esat grūtniece vai barojat bērnu ar krūti, ja domājat, ka Jums varētu būt grūtniecība vai plānojat grūtniecību, pirms šo zāļu lietošanas konsultējieties ar ārstu vai farmaceitu.</w:t>
      </w:r>
    </w:p>
    <w:p w14:paraId="70C5EF63" w14:textId="77777777" w:rsidR="00461D5E" w:rsidRPr="00643B0D" w:rsidRDefault="00461D5E" w:rsidP="00461D5E">
      <w:pPr>
        <w:numPr>
          <w:ilvl w:val="12"/>
          <w:numId w:val="0"/>
        </w:numPr>
        <w:spacing w:after="120"/>
        <w:rPr>
          <w:szCs w:val="22"/>
          <w:lang w:val="lv-LV"/>
        </w:rPr>
      </w:pPr>
      <w:r w:rsidRPr="00643B0D">
        <w:rPr>
          <w:szCs w:val="22"/>
          <w:lang w:val="lv-LV"/>
        </w:rPr>
        <w:t>Alpicort satur salicilskābi, tāpēc nevajadzētu lietot šīs zāles, ja Jūs esat grūtniece, ja vien tās nelieto ļoti nelielā ādas apvidū (mazākā par 5 cm²).</w:t>
      </w:r>
    </w:p>
    <w:p w14:paraId="747D9981" w14:textId="77777777" w:rsidR="00461D5E" w:rsidRPr="00643B0D" w:rsidRDefault="00461D5E" w:rsidP="00461D5E">
      <w:pPr>
        <w:numPr>
          <w:ilvl w:val="12"/>
          <w:numId w:val="0"/>
        </w:numPr>
        <w:spacing w:after="120"/>
        <w:ind w:left="567" w:hanging="567"/>
        <w:rPr>
          <w:szCs w:val="22"/>
          <w:lang w:val="lv-LV"/>
        </w:rPr>
      </w:pPr>
      <w:r w:rsidRPr="00643B0D">
        <w:rPr>
          <w:szCs w:val="22"/>
          <w:lang w:val="lv-LV"/>
        </w:rPr>
        <w:t>Ja barojat bērnu ar krūti, nepieciešams atcerēties, ka prednizolons var izdalīties krūts pienā.</w:t>
      </w:r>
    </w:p>
    <w:p w14:paraId="1176E37A" w14:textId="77777777" w:rsidR="00461D5E" w:rsidRPr="00643B0D" w:rsidRDefault="00461D5E" w:rsidP="00461D5E">
      <w:pPr>
        <w:numPr>
          <w:ilvl w:val="12"/>
          <w:numId w:val="0"/>
        </w:numPr>
        <w:spacing w:after="120"/>
        <w:ind w:left="567" w:hanging="567"/>
        <w:rPr>
          <w:szCs w:val="22"/>
          <w:lang w:val="lv-LV"/>
        </w:rPr>
      </w:pPr>
      <w:r w:rsidRPr="00643B0D">
        <w:rPr>
          <w:szCs w:val="22"/>
          <w:lang w:val="lv-LV"/>
        </w:rPr>
        <w:t>Ja vajadzīga ilgstoša ārstēšana, barošanu ar krūti ir ieteicams pārtraukt un pienu atslaukt.</w:t>
      </w:r>
    </w:p>
    <w:p w14:paraId="19016B4E" w14:textId="77777777" w:rsidR="00461D5E" w:rsidRPr="00643B0D" w:rsidRDefault="00461D5E" w:rsidP="00461D5E">
      <w:pPr>
        <w:numPr>
          <w:ilvl w:val="12"/>
          <w:numId w:val="0"/>
        </w:numPr>
        <w:tabs>
          <w:tab w:val="left" w:pos="567"/>
        </w:tabs>
        <w:spacing w:after="120"/>
        <w:ind w:left="567" w:hanging="567"/>
        <w:rPr>
          <w:b/>
          <w:szCs w:val="22"/>
          <w:lang w:val="lv-LV"/>
        </w:rPr>
      </w:pPr>
      <w:r w:rsidRPr="00643B0D">
        <w:rPr>
          <w:b/>
          <w:szCs w:val="22"/>
          <w:lang w:val="lv-LV"/>
        </w:rPr>
        <w:t>Transportlīdzekļu vadīšana un mehānismu apkalpošana</w:t>
      </w:r>
    </w:p>
    <w:p w14:paraId="667E5AB6" w14:textId="77777777" w:rsidR="00461D5E" w:rsidRPr="00643B0D" w:rsidRDefault="00461D5E" w:rsidP="00461D5E">
      <w:pPr>
        <w:numPr>
          <w:ilvl w:val="12"/>
          <w:numId w:val="0"/>
        </w:numPr>
        <w:spacing w:after="120"/>
        <w:rPr>
          <w:szCs w:val="22"/>
          <w:lang w:val="lv-LV"/>
        </w:rPr>
      </w:pPr>
      <w:r w:rsidRPr="00643B0D">
        <w:rPr>
          <w:szCs w:val="22"/>
          <w:lang w:val="lv-LV"/>
        </w:rPr>
        <w:t>Ietekme uz spēju vadīt transportlīdzekļus un apkalpot mehānismus nav zināma.</w:t>
      </w:r>
    </w:p>
    <w:p w14:paraId="186AEDFB" w14:textId="77777777" w:rsidR="00461D5E" w:rsidRPr="00643B0D" w:rsidRDefault="00461D5E" w:rsidP="00461D5E">
      <w:pPr>
        <w:numPr>
          <w:ilvl w:val="12"/>
          <w:numId w:val="0"/>
        </w:numPr>
        <w:spacing w:after="120"/>
        <w:ind w:right="-2"/>
        <w:rPr>
          <w:szCs w:val="22"/>
          <w:lang w:val="lv-LV"/>
        </w:rPr>
      </w:pPr>
      <w:r w:rsidRPr="00643B0D">
        <w:rPr>
          <w:b/>
          <w:szCs w:val="22"/>
          <w:lang w:val="lv-LV"/>
        </w:rPr>
        <w:t>Alpicort satur propilēnglikolu</w:t>
      </w:r>
      <w:r w:rsidRPr="00643B0D">
        <w:rPr>
          <w:szCs w:val="22"/>
          <w:lang w:val="lv-LV"/>
        </w:rPr>
        <w:t xml:space="preserve"> </w:t>
      </w:r>
    </w:p>
    <w:p w14:paraId="5938854F" w14:textId="3D2565E2" w:rsidR="00461D5E" w:rsidRPr="00643B0D" w:rsidRDefault="00461D5E" w:rsidP="00461D5E">
      <w:pPr>
        <w:numPr>
          <w:ilvl w:val="12"/>
          <w:numId w:val="0"/>
        </w:numPr>
        <w:spacing w:after="360"/>
        <w:rPr>
          <w:szCs w:val="22"/>
          <w:lang w:val="lv-LV"/>
        </w:rPr>
      </w:pPr>
      <w:r w:rsidRPr="00643B0D">
        <w:rPr>
          <w:szCs w:val="22"/>
          <w:lang w:val="lv-LV" w:eastAsia="de-DE"/>
        </w:rPr>
        <w:t>Šīs zāles satur 50 mg propilēnglikola uz 1 ml š</w:t>
      </w:r>
      <w:r w:rsidR="00D54C51" w:rsidRPr="00643B0D">
        <w:rPr>
          <w:szCs w:val="22"/>
          <w:lang w:val="lv-LV" w:eastAsia="de-DE"/>
        </w:rPr>
        <w:t>ķ</w:t>
      </w:r>
      <w:r w:rsidRPr="00643B0D">
        <w:rPr>
          <w:szCs w:val="22"/>
          <w:lang w:val="lv-LV" w:eastAsia="de-DE"/>
        </w:rPr>
        <w:t>īduma (kas atbilst apmēram</w:t>
      </w:r>
      <w:r w:rsidR="000A3307" w:rsidRPr="00643B0D">
        <w:rPr>
          <w:szCs w:val="22"/>
          <w:lang w:val="lv-LV" w:eastAsia="de-DE"/>
        </w:rPr>
        <w:t xml:space="preserve"> </w:t>
      </w:r>
      <w:r w:rsidRPr="00643B0D">
        <w:rPr>
          <w:szCs w:val="22"/>
          <w:lang w:val="lv-LV" w:eastAsia="de-DE"/>
        </w:rPr>
        <w:t xml:space="preserve">180 mg propilēnglikola vienā lietošanas reizē). </w:t>
      </w:r>
      <w:r w:rsidRPr="00643B0D">
        <w:rPr>
          <w:szCs w:val="22"/>
          <w:lang w:val="lv-LV"/>
        </w:rPr>
        <w:t>Propilēnglikols var izraisīt ādas kairinājumu.</w:t>
      </w:r>
    </w:p>
    <w:p w14:paraId="685EFA58" w14:textId="77777777" w:rsidR="00461D5E" w:rsidRPr="00643B0D" w:rsidRDefault="00461D5E" w:rsidP="00461D5E">
      <w:pPr>
        <w:keepNext/>
        <w:keepLines/>
        <w:spacing w:after="120"/>
        <w:ind w:left="567" w:hanging="567"/>
        <w:rPr>
          <w:szCs w:val="22"/>
          <w:lang w:val="lv-LV"/>
        </w:rPr>
      </w:pPr>
      <w:r w:rsidRPr="00643B0D">
        <w:rPr>
          <w:b/>
          <w:szCs w:val="22"/>
          <w:lang w:val="lv-LV"/>
        </w:rPr>
        <w:t>3.</w:t>
      </w:r>
      <w:r w:rsidRPr="00643B0D">
        <w:rPr>
          <w:b/>
          <w:szCs w:val="22"/>
          <w:lang w:val="lv-LV"/>
        </w:rPr>
        <w:tab/>
        <w:t>Kā lietot</w:t>
      </w:r>
      <w:r w:rsidRPr="00643B0D">
        <w:rPr>
          <w:szCs w:val="22"/>
          <w:lang w:val="lv-LV"/>
        </w:rPr>
        <w:t xml:space="preserve"> </w:t>
      </w:r>
      <w:r w:rsidRPr="00643B0D">
        <w:rPr>
          <w:b/>
          <w:szCs w:val="22"/>
          <w:lang w:val="lv-LV"/>
        </w:rPr>
        <w:t>Alpicort</w:t>
      </w:r>
    </w:p>
    <w:p w14:paraId="1EB6E939" w14:textId="77777777" w:rsidR="00461D5E" w:rsidRPr="00643B0D" w:rsidRDefault="00461D5E" w:rsidP="00461D5E">
      <w:pPr>
        <w:autoSpaceDE w:val="0"/>
        <w:autoSpaceDN w:val="0"/>
        <w:adjustRightInd w:val="0"/>
        <w:spacing w:after="120"/>
        <w:rPr>
          <w:szCs w:val="22"/>
          <w:lang w:val="lv-LV"/>
        </w:rPr>
      </w:pPr>
      <w:r w:rsidRPr="00643B0D">
        <w:rPr>
          <w:szCs w:val="22"/>
          <w:lang w:val="lv-LV"/>
        </w:rPr>
        <w:t>Vienmēr lietojiet šīs zāles tieši tā, kā ārsts vai farmaceits Jums teicis. Neskaidrību gadījumā vaicājiet ārstam vai farmaceitam.</w:t>
      </w:r>
    </w:p>
    <w:p w14:paraId="6A1DEEB8" w14:textId="77777777" w:rsidR="00461D5E" w:rsidRPr="00643B0D" w:rsidRDefault="00461D5E" w:rsidP="00461D5E">
      <w:pPr>
        <w:tabs>
          <w:tab w:val="left" w:pos="567"/>
        </w:tabs>
        <w:spacing w:after="120"/>
        <w:rPr>
          <w:szCs w:val="22"/>
          <w:lang w:val="lv-LV"/>
        </w:rPr>
      </w:pPr>
      <w:r w:rsidRPr="00643B0D">
        <w:rPr>
          <w:szCs w:val="22"/>
          <w:lang w:val="lv-LV"/>
        </w:rPr>
        <w:t>Alpicort ir uz ādas lietojams šķīdums.</w:t>
      </w:r>
    </w:p>
    <w:p w14:paraId="195BFFD5" w14:textId="77777777" w:rsidR="00461D5E" w:rsidRPr="00643B0D" w:rsidRDefault="00461D5E" w:rsidP="00461D5E">
      <w:pPr>
        <w:tabs>
          <w:tab w:val="left" w:pos="567"/>
        </w:tabs>
        <w:spacing w:after="120"/>
        <w:rPr>
          <w:b/>
          <w:szCs w:val="22"/>
          <w:lang w:val="lv-LV"/>
        </w:rPr>
      </w:pPr>
      <w:r w:rsidRPr="00643B0D">
        <w:rPr>
          <w:b/>
          <w:szCs w:val="22"/>
          <w:lang w:val="lv-LV"/>
        </w:rPr>
        <w:t>Lietošana pieaugušajiem un bērniem no 2 gadu vecuma</w:t>
      </w:r>
    </w:p>
    <w:p w14:paraId="797252EF" w14:textId="77777777" w:rsidR="00461D5E" w:rsidRPr="00643B0D" w:rsidRDefault="00461D5E" w:rsidP="00461D5E">
      <w:pPr>
        <w:tabs>
          <w:tab w:val="left" w:pos="567"/>
        </w:tabs>
        <w:spacing w:after="120"/>
        <w:rPr>
          <w:szCs w:val="22"/>
          <w:lang w:val="lv-LV"/>
        </w:rPr>
      </w:pPr>
      <w:r w:rsidRPr="00643B0D">
        <w:rPr>
          <w:szCs w:val="22"/>
          <w:lang w:val="lv-LV"/>
        </w:rPr>
        <w:t>Ja vien ārsts nav norādījis citādi, Alpicort jālieto 1 reizi dienā, ieteicams vakarā. Tiklīdz mazinājušies iekaisuma simptomi, šķīdumu ir pietiekoši lietot 2</w:t>
      </w:r>
      <w:r w:rsidRPr="00643B0D">
        <w:rPr>
          <w:szCs w:val="22"/>
          <w:lang w:val="lv-LV" w:eastAsia="de-DE"/>
        </w:rPr>
        <w:t>–</w:t>
      </w:r>
      <w:r w:rsidRPr="00643B0D">
        <w:rPr>
          <w:szCs w:val="22"/>
          <w:lang w:val="lv-LV"/>
        </w:rPr>
        <w:t>3 reizes nedēļā.</w:t>
      </w:r>
    </w:p>
    <w:p w14:paraId="31E4A2BF" w14:textId="77777777" w:rsidR="00461D5E" w:rsidRPr="00643B0D" w:rsidRDefault="00461D5E" w:rsidP="00461D5E">
      <w:pPr>
        <w:tabs>
          <w:tab w:val="left" w:pos="567"/>
        </w:tabs>
        <w:spacing w:after="120"/>
        <w:rPr>
          <w:b/>
          <w:szCs w:val="22"/>
          <w:lang w:val="lv-LV"/>
        </w:rPr>
      </w:pPr>
      <w:r w:rsidRPr="00643B0D">
        <w:rPr>
          <w:b/>
          <w:szCs w:val="22"/>
          <w:lang w:val="lv-LV"/>
        </w:rPr>
        <w:t>Lietošana bērniem līdz 2 gadu vecumam</w:t>
      </w:r>
    </w:p>
    <w:p w14:paraId="2B44400C" w14:textId="77777777" w:rsidR="00461D5E" w:rsidRPr="00643B0D" w:rsidRDefault="00461D5E" w:rsidP="00461D5E">
      <w:pPr>
        <w:tabs>
          <w:tab w:val="left" w:pos="567"/>
        </w:tabs>
        <w:spacing w:after="120"/>
        <w:rPr>
          <w:szCs w:val="22"/>
          <w:lang w:val="lv-LV"/>
        </w:rPr>
      </w:pPr>
      <w:r w:rsidRPr="00643B0D">
        <w:rPr>
          <w:szCs w:val="22"/>
          <w:lang w:val="lv-LV"/>
        </w:rPr>
        <w:t>Alpicort neiesaka lietot bērniem līdz 2 gadu vecumam, jo nav pētījumu par tā drošumu.</w:t>
      </w:r>
    </w:p>
    <w:p w14:paraId="7459CAD9" w14:textId="77777777" w:rsidR="00461D5E" w:rsidRPr="00643B0D" w:rsidRDefault="00461D5E" w:rsidP="00461D5E">
      <w:pPr>
        <w:tabs>
          <w:tab w:val="left" w:pos="567"/>
        </w:tabs>
        <w:spacing w:after="120"/>
        <w:rPr>
          <w:i/>
          <w:szCs w:val="22"/>
          <w:lang w:val="lv-LV"/>
        </w:rPr>
      </w:pPr>
      <w:r w:rsidRPr="00643B0D">
        <w:rPr>
          <w:i/>
          <w:szCs w:val="22"/>
          <w:lang w:val="lv-LV"/>
        </w:rPr>
        <w:t>Lietošanas veids:</w:t>
      </w:r>
    </w:p>
    <w:p w14:paraId="33C7D367" w14:textId="77777777" w:rsidR="00461D5E" w:rsidRPr="00643B0D" w:rsidRDefault="00461D5E" w:rsidP="00461D5E">
      <w:pPr>
        <w:tabs>
          <w:tab w:val="left" w:pos="567"/>
        </w:tabs>
        <w:spacing w:after="120"/>
        <w:rPr>
          <w:szCs w:val="22"/>
          <w:lang w:val="lv-LV"/>
        </w:rPr>
      </w:pPr>
      <w:r w:rsidRPr="00643B0D">
        <w:rPr>
          <w:szCs w:val="22"/>
          <w:lang w:val="lv-LV"/>
        </w:rPr>
        <w:lastRenderedPageBreak/>
        <w:t>Katru reizi, lietojot Alpicort, ievērojiet šādus norādījumus:</w:t>
      </w:r>
    </w:p>
    <w:p w14:paraId="1405F7E7" w14:textId="77777777" w:rsidR="00461D5E" w:rsidRPr="00643B0D" w:rsidRDefault="00461D5E" w:rsidP="00461D5E">
      <w:pPr>
        <w:pStyle w:val="ListParagraph"/>
        <w:numPr>
          <w:ilvl w:val="0"/>
          <w:numId w:val="22"/>
        </w:numPr>
        <w:tabs>
          <w:tab w:val="left" w:pos="567"/>
        </w:tabs>
        <w:spacing w:after="120"/>
        <w:rPr>
          <w:szCs w:val="22"/>
          <w:lang w:val="lv-LV"/>
        </w:rPr>
      </w:pPr>
      <w:r w:rsidRPr="00643B0D">
        <w:rPr>
          <w:szCs w:val="22"/>
          <w:lang w:val="lv-LV"/>
        </w:rPr>
        <w:t>noņemiet vāciņu no aplikatora uzgaļa;</w:t>
      </w:r>
    </w:p>
    <w:p w14:paraId="44041875" w14:textId="77777777" w:rsidR="00461D5E" w:rsidRPr="00643B0D" w:rsidRDefault="00461D5E" w:rsidP="00461D5E">
      <w:pPr>
        <w:pStyle w:val="ListParagraph"/>
        <w:numPr>
          <w:ilvl w:val="0"/>
          <w:numId w:val="22"/>
        </w:numPr>
        <w:tabs>
          <w:tab w:val="left" w:pos="567"/>
        </w:tabs>
        <w:spacing w:after="120"/>
        <w:rPr>
          <w:szCs w:val="22"/>
          <w:lang w:val="lv-LV"/>
        </w:rPr>
      </w:pPr>
      <w:r w:rsidRPr="00643B0D">
        <w:rPr>
          <w:szCs w:val="22"/>
          <w:lang w:val="lv-LV"/>
        </w:rPr>
        <w:t>pagrieziet pudeli ar aplikatoru tā, lai uzgalis un nelielā atvere atrastos uz leju;</w:t>
      </w:r>
    </w:p>
    <w:p w14:paraId="6C2B1B8A" w14:textId="77777777" w:rsidR="00461D5E" w:rsidRPr="00643B0D" w:rsidRDefault="00461D5E" w:rsidP="00461D5E">
      <w:pPr>
        <w:pStyle w:val="ListParagraph"/>
        <w:numPr>
          <w:ilvl w:val="0"/>
          <w:numId w:val="22"/>
        </w:numPr>
        <w:tabs>
          <w:tab w:val="left" w:pos="567"/>
        </w:tabs>
        <w:spacing w:after="120"/>
        <w:rPr>
          <w:szCs w:val="22"/>
          <w:lang w:val="lv-LV"/>
        </w:rPr>
      </w:pPr>
      <w:r w:rsidRPr="00643B0D">
        <w:rPr>
          <w:szCs w:val="22"/>
          <w:lang w:val="lv-LV"/>
        </w:rPr>
        <w:t>vēršot atveri uz leju, saudzīgi virziet aplikatoru pāri galvas matainajai daļai, kur nepieciešama ārstēšana;</w:t>
      </w:r>
    </w:p>
    <w:p w14:paraId="4CCC7192" w14:textId="77777777" w:rsidR="00461D5E" w:rsidRPr="00643B0D" w:rsidRDefault="00461D5E" w:rsidP="00461D5E">
      <w:pPr>
        <w:pStyle w:val="ListParagraph"/>
        <w:numPr>
          <w:ilvl w:val="0"/>
          <w:numId w:val="22"/>
        </w:numPr>
        <w:tabs>
          <w:tab w:val="left" w:pos="567"/>
        </w:tabs>
        <w:spacing w:after="120"/>
        <w:rPr>
          <w:szCs w:val="22"/>
          <w:lang w:val="lv-LV"/>
        </w:rPr>
      </w:pPr>
      <w:r w:rsidRPr="00643B0D">
        <w:rPr>
          <w:szCs w:val="22"/>
          <w:lang w:val="lv-LV"/>
        </w:rPr>
        <w:t>pēc Alpicort</w:t>
      </w:r>
      <w:r w:rsidRPr="00643B0D">
        <w:rPr>
          <w:b/>
          <w:szCs w:val="22"/>
          <w:lang w:val="lv-LV"/>
        </w:rPr>
        <w:t xml:space="preserve"> </w:t>
      </w:r>
      <w:r w:rsidRPr="00643B0D">
        <w:rPr>
          <w:szCs w:val="22"/>
          <w:lang w:val="lv-LV"/>
        </w:rPr>
        <w:t>lietošanas cieši nostipriniet aplikatora uzgaļa vāciņu atpakaļ.</w:t>
      </w:r>
    </w:p>
    <w:p w14:paraId="5A2DD25E" w14:textId="77777777" w:rsidR="00461D5E" w:rsidRPr="00643B0D" w:rsidRDefault="00461D5E" w:rsidP="00461D5E">
      <w:pPr>
        <w:tabs>
          <w:tab w:val="left" w:pos="567"/>
        </w:tabs>
        <w:spacing w:after="120"/>
        <w:rPr>
          <w:i/>
          <w:szCs w:val="22"/>
          <w:lang w:val="lv-LV"/>
        </w:rPr>
      </w:pPr>
      <w:r w:rsidRPr="00643B0D">
        <w:rPr>
          <w:i/>
          <w:szCs w:val="22"/>
          <w:lang w:val="lv-LV"/>
        </w:rPr>
        <w:t>Ārstēšanas ilgums</w:t>
      </w:r>
    </w:p>
    <w:p w14:paraId="2AEC424E" w14:textId="77777777" w:rsidR="00461D5E" w:rsidRPr="00643B0D" w:rsidRDefault="00461D5E" w:rsidP="00461D5E">
      <w:pPr>
        <w:spacing w:after="120"/>
        <w:rPr>
          <w:szCs w:val="22"/>
          <w:lang w:val="lv-LV"/>
        </w:rPr>
      </w:pPr>
      <w:r w:rsidRPr="00643B0D">
        <w:rPr>
          <w:szCs w:val="22"/>
          <w:lang w:val="lv-LV"/>
        </w:rPr>
        <w:t>Tā kā zāles satur kortikosteroīdu, lietošanu nelielā ādas apvidū nav ieteicams turpināt ilgāk par 2</w:t>
      </w:r>
      <w:r w:rsidRPr="00643B0D">
        <w:rPr>
          <w:snapToGrid w:val="0"/>
          <w:szCs w:val="22"/>
          <w:lang w:val="lv-LV" w:eastAsia="en-GB"/>
        </w:rPr>
        <w:t>–</w:t>
      </w:r>
      <w:r w:rsidRPr="00643B0D">
        <w:rPr>
          <w:szCs w:val="22"/>
          <w:lang w:val="lv-LV"/>
        </w:rPr>
        <w:t>3 nedēļām. Pieejami klīniskās pieredzes dati par ārstēšanu laika periodā līdz 6 mēnešiem. Nav notikuši pētījumi par to, cik ilgi saglabājas efekts, pārtraucot zāļu lietošanu. Bērniem lietot īslaicīgi un nelielā apvidū.</w:t>
      </w:r>
    </w:p>
    <w:p w14:paraId="44B8823A" w14:textId="77777777" w:rsidR="00461D5E" w:rsidRPr="00643B0D" w:rsidRDefault="00461D5E" w:rsidP="00461D5E">
      <w:pPr>
        <w:numPr>
          <w:ilvl w:val="12"/>
          <w:numId w:val="0"/>
        </w:numPr>
        <w:tabs>
          <w:tab w:val="left" w:pos="567"/>
        </w:tabs>
        <w:spacing w:after="120"/>
        <w:ind w:left="567" w:hanging="567"/>
        <w:rPr>
          <w:szCs w:val="22"/>
          <w:lang w:val="lv-LV"/>
        </w:rPr>
      </w:pPr>
      <w:r w:rsidRPr="00643B0D">
        <w:rPr>
          <w:b/>
          <w:szCs w:val="22"/>
          <w:lang w:val="lv-LV"/>
        </w:rPr>
        <w:t>Ja esat lietojis Alpicort vairāk nekā noteikts</w:t>
      </w:r>
    </w:p>
    <w:p w14:paraId="7568C761" w14:textId="77777777" w:rsidR="00461D5E" w:rsidRPr="00643B0D" w:rsidRDefault="00461D5E" w:rsidP="00461D5E">
      <w:pPr>
        <w:numPr>
          <w:ilvl w:val="12"/>
          <w:numId w:val="0"/>
        </w:numPr>
        <w:spacing w:after="120"/>
        <w:rPr>
          <w:szCs w:val="22"/>
          <w:lang w:val="lv-LV"/>
        </w:rPr>
      </w:pPr>
      <w:r w:rsidRPr="00643B0D">
        <w:rPr>
          <w:szCs w:val="22"/>
          <w:lang w:val="lv-LV"/>
        </w:rPr>
        <w:t>Parasti īslaicīga Alpicort</w:t>
      </w:r>
      <w:r w:rsidRPr="00643B0D">
        <w:rPr>
          <w:b/>
          <w:szCs w:val="22"/>
          <w:lang w:val="lv-LV"/>
        </w:rPr>
        <w:t xml:space="preserve"> </w:t>
      </w:r>
      <w:r w:rsidRPr="00643B0D">
        <w:rPr>
          <w:szCs w:val="22"/>
          <w:lang w:val="lv-LV"/>
        </w:rPr>
        <w:t>lietošana lielā daudzumā nerada sarežģījumus. Šādos gadījumos īpaši pasākumi nav nepieciešami.</w:t>
      </w:r>
    </w:p>
    <w:p w14:paraId="4FB5CC0C" w14:textId="77777777" w:rsidR="00461D5E" w:rsidRPr="00643B0D" w:rsidRDefault="00461D5E" w:rsidP="00461D5E">
      <w:pPr>
        <w:numPr>
          <w:ilvl w:val="12"/>
          <w:numId w:val="0"/>
        </w:numPr>
        <w:spacing w:after="120"/>
        <w:rPr>
          <w:szCs w:val="22"/>
          <w:lang w:val="lv-LV"/>
        </w:rPr>
      </w:pPr>
      <w:r w:rsidRPr="00643B0D">
        <w:rPr>
          <w:szCs w:val="22"/>
          <w:lang w:val="lv-LV"/>
        </w:rPr>
        <w:t>Ja tomēr novērojat pastiprinātu efektu vai neparastas blakusparādības, konsultējieties ar ārstu.</w:t>
      </w:r>
    </w:p>
    <w:p w14:paraId="0C61D349" w14:textId="77777777" w:rsidR="00461D5E" w:rsidRPr="00643B0D" w:rsidRDefault="00461D5E" w:rsidP="00461D5E">
      <w:pPr>
        <w:numPr>
          <w:ilvl w:val="12"/>
          <w:numId w:val="0"/>
        </w:numPr>
        <w:tabs>
          <w:tab w:val="left" w:pos="567"/>
        </w:tabs>
        <w:spacing w:after="120"/>
        <w:ind w:left="567" w:hanging="567"/>
        <w:rPr>
          <w:szCs w:val="22"/>
          <w:lang w:val="lv-LV"/>
        </w:rPr>
      </w:pPr>
      <w:r w:rsidRPr="00643B0D">
        <w:rPr>
          <w:b/>
          <w:szCs w:val="22"/>
          <w:lang w:val="lv-LV"/>
        </w:rPr>
        <w:t>Ja esat aizmirsis lietot Alpicort</w:t>
      </w:r>
    </w:p>
    <w:p w14:paraId="1FF352B7" w14:textId="77777777" w:rsidR="00461D5E" w:rsidRPr="00643B0D" w:rsidRDefault="00461D5E" w:rsidP="00461D5E">
      <w:pPr>
        <w:numPr>
          <w:ilvl w:val="12"/>
          <w:numId w:val="0"/>
        </w:numPr>
        <w:spacing w:after="120"/>
        <w:rPr>
          <w:szCs w:val="22"/>
          <w:lang w:val="lv-LV"/>
        </w:rPr>
      </w:pPr>
      <w:r w:rsidRPr="00643B0D">
        <w:rPr>
          <w:szCs w:val="22"/>
          <w:lang w:val="lv-LV"/>
        </w:rPr>
        <w:t>Nelietojiet dubultu devu, lai aizvietotu aizmirsto devu. Turpiniet ārstēšanu ar parastajām devām, kā ieplānots.</w:t>
      </w:r>
    </w:p>
    <w:p w14:paraId="54B8FCFD" w14:textId="77777777" w:rsidR="00461D5E" w:rsidRPr="00643B0D" w:rsidRDefault="00461D5E" w:rsidP="00461D5E">
      <w:pPr>
        <w:numPr>
          <w:ilvl w:val="12"/>
          <w:numId w:val="0"/>
        </w:numPr>
        <w:tabs>
          <w:tab w:val="left" w:pos="567"/>
        </w:tabs>
        <w:spacing w:after="120"/>
        <w:ind w:left="567" w:hanging="567"/>
        <w:rPr>
          <w:b/>
          <w:szCs w:val="22"/>
          <w:lang w:val="lv-LV"/>
        </w:rPr>
      </w:pPr>
      <w:r w:rsidRPr="00643B0D">
        <w:rPr>
          <w:b/>
          <w:szCs w:val="22"/>
          <w:lang w:val="lv-LV"/>
        </w:rPr>
        <w:t>Ja pārtraucat lietot Alpicort</w:t>
      </w:r>
    </w:p>
    <w:p w14:paraId="57CE4CD3" w14:textId="77777777" w:rsidR="00461D5E" w:rsidRPr="00643B0D" w:rsidRDefault="00461D5E" w:rsidP="00461D5E">
      <w:pPr>
        <w:numPr>
          <w:ilvl w:val="12"/>
          <w:numId w:val="0"/>
        </w:numPr>
        <w:spacing w:after="120"/>
        <w:ind w:right="-2"/>
        <w:outlineLvl w:val="0"/>
        <w:rPr>
          <w:szCs w:val="22"/>
          <w:lang w:val="lv-LV"/>
        </w:rPr>
      </w:pPr>
      <w:r w:rsidRPr="00643B0D">
        <w:rPr>
          <w:szCs w:val="22"/>
          <w:lang w:val="lv-LV"/>
        </w:rPr>
        <w:t>Lūdzu, pārrunājiet tālāko rīcību ar ārstu vai farmaceitu, jo var būt apdraudēta ārstēšanas efektivitāte.</w:t>
      </w:r>
    </w:p>
    <w:p w14:paraId="20662F78" w14:textId="77777777" w:rsidR="00461D5E" w:rsidRPr="00643B0D" w:rsidRDefault="00461D5E" w:rsidP="00461D5E">
      <w:pPr>
        <w:numPr>
          <w:ilvl w:val="12"/>
          <w:numId w:val="0"/>
        </w:numPr>
        <w:spacing w:after="360"/>
        <w:rPr>
          <w:szCs w:val="22"/>
          <w:lang w:val="lv-LV"/>
        </w:rPr>
      </w:pPr>
      <w:r w:rsidRPr="00643B0D">
        <w:rPr>
          <w:szCs w:val="22"/>
          <w:lang w:val="lv-LV"/>
        </w:rPr>
        <w:t>Ja Jums ir kādi jautājumi par šo zāļu lietošanu, jautājiet savam ārstam vai farmaceitam.</w:t>
      </w:r>
    </w:p>
    <w:p w14:paraId="0B37C8E4" w14:textId="77777777" w:rsidR="00461D5E" w:rsidRPr="00643B0D" w:rsidRDefault="00461D5E" w:rsidP="00461D5E">
      <w:pPr>
        <w:keepNext/>
        <w:keepLines/>
        <w:spacing w:after="120"/>
        <w:ind w:left="567" w:hanging="567"/>
        <w:rPr>
          <w:szCs w:val="22"/>
          <w:lang w:val="lv-LV"/>
        </w:rPr>
      </w:pPr>
      <w:r w:rsidRPr="00643B0D">
        <w:rPr>
          <w:b/>
          <w:szCs w:val="22"/>
          <w:lang w:val="lv-LV"/>
        </w:rPr>
        <w:t>4.</w:t>
      </w:r>
      <w:r w:rsidRPr="00643B0D">
        <w:rPr>
          <w:b/>
          <w:szCs w:val="22"/>
          <w:lang w:val="lv-LV"/>
        </w:rPr>
        <w:tab/>
        <w:t>Iespējamās blakusparādības</w:t>
      </w:r>
    </w:p>
    <w:p w14:paraId="76229270" w14:textId="77777777" w:rsidR="00461D5E" w:rsidRPr="00643B0D" w:rsidRDefault="00461D5E" w:rsidP="00461D5E">
      <w:pPr>
        <w:numPr>
          <w:ilvl w:val="12"/>
          <w:numId w:val="0"/>
        </w:numPr>
        <w:spacing w:after="120"/>
        <w:ind w:right="-29"/>
        <w:rPr>
          <w:szCs w:val="22"/>
          <w:lang w:val="lv-LV"/>
        </w:rPr>
      </w:pPr>
      <w:r w:rsidRPr="00643B0D">
        <w:rPr>
          <w:szCs w:val="22"/>
          <w:lang w:val="lv-LV"/>
        </w:rPr>
        <w:t>Tāpat kā visas zāles, šīs zāles var izraisīt blakusparādības, kaut arī ne visiem tās izpaužas.</w:t>
      </w:r>
    </w:p>
    <w:p w14:paraId="2758DB0F" w14:textId="77777777" w:rsidR="00461D5E" w:rsidRPr="00643B0D" w:rsidRDefault="00461D5E" w:rsidP="00461D5E">
      <w:pPr>
        <w:autoSpaceDE w:val="0"/>
        <w:autoSpaceDN w:val="0"/>
        <w:adjustRightInd w:val="0"/>
        <w:spacing w:after="120"/>
        <w:rPr>
          <w:bCs/>
          <w:i/>
          <w:szCs w:val="22"/>
          <w:lang w:val="lv-LV" w:eastAsia="ar-SA"/>
        </w:rPr>
      </w:pPr>
      <w:r w:rsidRPr="00643B0D">
        <w:rPr>
          <w:bCs/>
          <w:i/>
          <w:szCs w:val="22"/>
          <w:lang w:val="lv-LV" w:eastAsia="ar-SA"/>
        </w:rPr>
        <w:t>Reti (var rasties līdz 1 no 1</w:t>
      </w:r>
      <w:r w:rsidR="000A3307" w:rsidRPr="00643B0D">
        <w:rPr>
          <w:bCs/>
          <w:i/>
          <w:szCs w:val="22"/>
          <w:lang w:val="lv-LV" w:eastAsia="ar-SA"/>
        </w:rPr>
        <w:t xml:space="preserve"> </w:t>
      </w:r>
      <w:r w:rsidRPr="00643B0D">
        <w:rPr>
          <w:bCs/>
          <w:i/>
          <w:szCs w:val="22"/>
          <w:lang w:val="lv-LV" w:eastAsia="ar-SA"/>
        </w:rPr>
        <w:t xml:space="preserve">000 cilvēkiem): </w:t>
      </w:r>
    </w:p>
    <w:p w14:paraId="16D89868" w14:textId="77777777" w:rsidR="00461D5E" w:rsidRPr="00643B0D" w:rsidRDefault="00461D5E" w:rsidP="003D7D4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120"/>
        <w:rPr>
          <w:bCs/>
          <w:i/>
          <w:szCs w:val="22"/>
          <w:lang w:val="lv-LV" w:eastAsia="ar-SA"/>
        </w:rPr>
      </w:pPr>
      <w:r w:rsidRPr="00643B0D">
        <w:rPr>
          <w:bCs/>
          <w:szCs w:val="22"/>
          <w:lang w:val="lv-LV" w:eastAsia="ar-SA"/>
        </w:rPr>
        <w:t xml:space="preserve">var rasties </w:t>
      </w:r>
      <w:r w:rsidRPr="00643B0D">
        <w:rPr>
          <w:szCs w:val="22"/>
          <w:lang w:val="lv-LV"/>
        </w:rPr>
        <w:t>paaugstinātas jutības reakcijas uz ādas (alerģiska kontaktekzēma).</w:t>
      </w:r>
    </w:p>
    <w:p w14:paraId="0E5B8BFA" w14:textId="77777777" w:rsidR="00461D5E" w:rsidRPr="00643B0D" w:rsidRDefault="00461D5E" w:rsidP="000A3307">
      <w:pPr>
        <w:autoSpaceDE w:val="0"/>
        <w:autoSpaceDN w:val="0"/>
        <w:adjustRightInd w:val="0"/>
        <w:spacing w:after="120"/>
        <w:rPr>
          <w:bCs/>
          <w:i/>
          <w:szCs w:val="22"/>
          <w:lang w:val="lv-LV" w:eastAsia="ar-SA"/>
        </w:rPr>
      </w:pPr>
      <w:r w:rsidRPr="00643B0D">
        <w:rPr>
          <w:i/>
          <w:szCs w:val="22"/>
          <w:lang w:val="lv-LV"/>
        </w:rPr>
        <w:t>Ļoti reti</w:t>
      </w:r>
      <w:r w:rsidRPr="00643B0D">
        <w:rPr>
          <w:bCs/>
          <w:i/>
          <w:szCs w:val="22"/>
          <w:lang w:val="lv-LV" w:eastAsia="ar-SA"/>
        </w:rPr>
        <w:t xml:space="preserve"> (var rasties līdz 1 no 10 000 cilvēkiem): </w:t>
      </w:r>
    </w:p>
    <w:p w14:paraId="6915A027" w14:textId="77777777" w:rsidR="00461D5E" w:rsidRPr="00643B0D" w:rsidRDefault="00461D5E" w:rsidP="003D7D4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120"/>
        <w:rPr>
          <w:bCs/>
          <w:i/>
          <w:szCs w:val="22"/>
          <w:lang w:val="lv-LV" w:eastAsia="ar-SA"/>
        </w:rPr>
      </w:pPr>
      <w:r w:rsidRPr="00643B0D">
        <w:rPr>
          <w:bCs/>
          <w:szCs w:val="22"/>
          <w:lang w:val="lv-LV" w:eastAsia="ar-SA"/>
        </w:rPr>
        <w:t>tāpat</w:t>
      </w:r>
      <w:r w:rsidRPr="00643B0D">
        <w:rPr>
          <w:szCs w:val="22"/>
          <w:lang w:val="lv-LV"/>
        </w:rPr>
        <w:t xml:space="preserve"> kā visiem kortikosteroīdus saturošiem preparātiem, var rasties ādas pārmaiņas [ādas biezuma samazināšanās, sīko asinsvadu paplašināšanās, striju veidošanās, steroīdaknes (pinnes), periorāls dermatīts (ādas iekaisums ap muti), pastiprināts ķermeņa apmatojums].</w:t>
      </w:r>
    </w:p>
    <w:p w14:paraId="7DADEA0E" w14:textId="77777777" w:rsidR="00461D5E" w:rsidRPr="00643B0D" w:rsidRDefault="00461D5E" w:rsidP="003D7D48">
      <w:pPr>
        <w:pStyle w:val="ListParagraph"/>
        <w:numPr>
          <w:ilvl w:val="0"/>
          <w:numId w:val="27"/>
        </w:numPr>
        <w:spacing w:after="120"/>
        <w:rPr>
          <w:bCs/>
          <w:i/>
          <w:szCs w:val="22"/>
          <w:lang w:val="lv-LV" w:eastAsia="ar-SA"/>
        </w:rPr>
      </w:pPr>
      <w:r w:rsidRPr="00643B0D">
        <w:rPr>
          <w:szCs w:val="22"/>
          <w:lang w:val="lv-LV" w:eastAsia="de-DE"/>
        </w:rPr>
        <w:t>iespējams</w:t>
      </w:r>
      <w:r w:rsidRPr="00643B0D">
        <w:rPr>
          <w:szCs w:val="22"/>
          <w:lang w:val="lv-LV"/>
        </w:rPr>
        <w:t xml:space="preserve"> arī pārejošs ādas kairinājums (piemēram, dedzināšana, apsārtums).</w:t>
      </w:r>
    </w:p>
    <w:p w14:paraId="13F91EE3" w14:textId="77777777" w:rsidR="00461D5E" w:rsidRPr="00643B0D" w:rsidRDefault="00461D5E" w:rsidP="00461D5E">
      <w:pPr>
        <w:autoSpaceDE w:val="0"/>
        <w:autoSpaceDN w:val="0"/>
        <w:adjustRightInd w:val="0"/>
        <w:spacing w:after="120"/>
        <w:rPr>
          <w:i/>
          <w:szCs w:val="22"/>
          <w:lang w:val="lv-LV"/>
        </w:rPr>
      </w:pPr>
      <w:r w:rsidRPr="00643B0D">
        <w:rPr>
          <w:i/>
          <w:szCs w:val="22"/>
          <w:lang w:val="lv-LV"/>
        </w:rPr>
        <w:t xml:space="preserve">Nav zināmi (nevar noteikt pēc pieejamajiem datiem): </w:t>
      </w:r>
    </w:p>
    <w:p w14:paraId="5722B16C" w14:textId="77777777" w:rsidR="00461D5E" w:rsidRPr="00643B0D" w:rsidRDefault="00461D5E" w:rsidP="000A3307">
      <w:pPr>
        <w:pStyle w:val="ListParagraph"/>
        <w:numPr>
          <w:ilvl w:val="0"/>
          <w:numId w:val="27"/>
        </w:numPr>
        <w:spacing w:after="120"/>
        <w:rPr>
          <w:szCs w:val="22"/>
          <w:lang w:val="lv-LV"/>
        </w:rPr>
      </w:pPr>
      <w:r w:rsidRPr="00643B0D">
        <w:rPr>
          <w:szCs w:val="22"/>
          <w:lang w:val="lv-LV" w:eastAsia="de-DE"/>
        </w:rPr>
        <w:t>neskaidra</w:t>
      </w:r>
      <w:r w:rsidRPr="00643B0D">
        <w:rPr>
          <w:szCs w:val="22"/>
          <w:lang w:val="lv-LV"/>
        </w:rPr>
        <w:t xml:space="preserve"> redze.</w:t>
      </w:r>
    </w:p>
    <w:p w14:paraId="68FD5699" w14:textId="77777777" w:rsidR="00461D5E" w:rsidRPr="00643B0D" w:rsidRDefault="00461D5E" w:rsidP="00461D5E">
      <w:pPr>
        <w:autoSpaceDE w:val="0"/>
        <w:autoSpaceDN w:val="0"/>
        <w:adjustRightInd w:val="0"/>
        <w:spacing w:after="120"/>
        <w:rPr>
          <w:szCs w:val="22"/>
          <w:lang w:val="lv-LV"/>
        </w:rPr>
      </w:pPr>
      <w:r w:rsidRPr="00643B0D">
        <w:rPr>
          <w:szCs w:val="22"/>
          <w:lang w:val="lv-LV"/>
        </w:rPr>
        <w:t>Lietojot lielas devas ilgstoši (ilgāk par 2</w:t>
      </w:r>
      <w:r w:rsidRPr="00643B0D">
        <w:rPr>
          <w:snapToGrid w:val="0"/>
          <w:szCs w:val="22"/>
          <w:lang w:val="lv-LV" w:eastAsia="en-GB"/>
        </w:rPr>
        <w:t>–</w:t>
      </w:r>
      <w:r w:rsidRPr="00643B0D">
        <w:rPr>
          <w:szCs w:val="22"/>
          <w:lang w:val="lv-LV"/>
        </w:rPr>
        <w:t>3 nedēļām) vai lietojot plašos ādas laukumos un arī neatbilstošas lietošanas gadījumā, jāņem vērā, ka glikokortikoīdiem iespējama vispārīga sistēmiska iedarbība.</w:t>
      </w:r>
    </w:p>
    <w:p w14:paraId="59F007AB" w14:textId="77777777" w:rsidR="00461D5E" w:rsidRPr="00643B0D" w:rsidRDefault="00461D5E" w:rsidP="00461D5E">
      <w:pPr>
        <w:autoSpaceDE w:val="0"/>
        <w:autoSpaceDN w:val="0"/>
        <w:adjustRightInd w:val="0"/>
        <w:spacing w:after="120"/>
        <w:rPr>
          <w:b/>
          <w:color w:val="000000"/>
          <w:szCs w:val="22"/>
          <w:lang w:val="lv-LV"/>
        </w:rPr>
      </w:pPr>
      <w:r w:rsidRPr="00643B0D">
        <w:rPr>
          <w:b/>
          <w:color w:val="000000"/>
          <w:szCs w:val="22"/>
          <w:lang w:val="lv-LV"/>
        </w:rPr>
        <w:t>Ziņošana par blakusparādībām</w:t>
      </w:r>
    </w:p>
    <w:p w14:paraId="68630E06" w14:textId="77777777" w:rsidR="00A861E6" w:rsidRPr="00643B0D" w:rsidRDefault="00461D5E" w:rsidP="00D154AE">
      <w:pPr>
        <w:autoSpaceDE w:val="0"/>
        <w:autoSpaceDN w:val="0"/>
        <w:adjustRightInd w:val="0"/>
        <w:spacing w:after="360"/>
        <w:rPr>
          <w:szCs w:val="22"/>
          <w:lang w:val="lv-LV"/>
        </w:rPr>
      </w:pPr>
      <w:r w:rsidRPr="00643B0D">
        <w:rPr>
          <w:szCs w:val="22"/>
          <w:lang w:val="lv-LV"/>
        </w:rPr>
        <w:t>Ja Jums rodas jebkādas blakusparādības, konsultējieties ar ārstu vai farmaceitu. Tas attiecas arī uz iespējamajām blakusparādībām, kas nav minētas šajā instrukcijā. Jūs varat ziņot par blakusparādībām arī tieši</w:t>
      </w:r>
      <w:r w:rsidR="00D154AE" w:rsidRPr="00643B0D">
        <w:rPr>
          <w:szCs w:val="22"/>
          <w:lang w:val="lv-LV"/>
        </w:rPr>
        <w:t xml:space="preserve"> Zāļu valsts aģentūrai, Jersikas ielā 15, Rīgā, LV 1003, tīmekļa vietne: </w:t>
      </w:r>
      <w:hyperlink r:id="rId10" w:history="1">
        <w:r w:rsidR="00D154AE" w:rsidRPr="00643B0D">
          <w:rPr>
            <w:color w:val="0000FF"/>
            <w:szCs w:val="22"/>
            <w:u w:val="single"/>
            <w:lang w:val="lv-LV"/>
          </w:rPr>
          <w:t>www.zva.gov.lv</w:t>
        </w:r>
      </w:hyperlink>
      <w:r w:rsidR="00D154AE" w:rsidRPr="00643B0D">
        <w:rPr>
          <w:szCs w:val="22"/>
          <w:lang w:val="lv-LV"/>
        </w:rPr>
        <w:t>. Ziņojot par blakusparādībām, Jūs varat palīdzēt nodrošināt daudz plašāku informāciju par šo zāļu drošumu</w:t>
      </w:r>
      <w:r w:rsidR="00D154AE" w:rsidRPr="00643B0D">
        <w:rPr>
          <w:noProof/>
          <w:szCs w:val="22"/>
          <w:lang w:val="lv-LV"/>
        </w:rPr>
        <w:t>.</w:t>
      </w:r>
    </w:p>
    <w:p w14:paraId="3B1DF364" w14:textId="77777777" w:rsidR="00461D5E" w:rsidRPr="00643B0D" w:rsidRDefault="00461D5E" w:rsidP="00D154AE">
      <w:pPr>
        <w:autoSpaceDE w:val="0"/>
        <w:autoSpaceDN w:val="0"/>
        <w:adjustRightInd w:val="0"/>
        <w:spacing w:after="360"/>
        <w:rPr>
          <w:b/>
          <w:szCs w:val="22"/>
          <w:lang w:val="lv-LV"/>
        </w:rPr>
      </w:pPr>
      <w:r w:rsidRPr="00643B0D">
        <w:rPr>
          <w:b/>
          <w:szCs w:val="22"/>
          <w:lang w:val="lv-LV"/>
        </w:rPr>
        <w:t>5.</w:t>
      </w:r>
      <w:r w:rsidRPr="00643B0D">
        <w:rPr>
          <w:b/>
          <w:szCs w:val="22"/>
          <w:lang w:val="lv-LV"/>
        </w:rPr>
        <w:tab/>
        <w:t>Kā uzglabāt</w:t>
      </w:r>
      <w:r w:rsidRPr="00643B0D">
        <w:rPr>
          <w:szCs w:val="22"/>
          <w:lang w:val="lv-LV"/>
        </w:rPr>
        <w:t xml:space="preserve"> </w:t>
      </w:r>
      <w:r w:rsidRPr="00643B0D">
        <w:rPr>
          <w:b/>
          <w:szCs w:val="22"/>
          <w:lang w:val="lv-LV"/>
        </w:rPr>
        <w:t>Alpicort</w:t>
      </w:r>
    </w:p>
    <w:p w14:paraId="070F1CCC" w14:textId="77777777" w:rsidR="00461D5E" w:rsidRPr="00643B0D" w:rsidRDefault="00461D5E" w:rsidP="00461D5E">
      <w:pPr>
        <w:numPr>
          <w:ilvl w:val="12"/>
          <w:numId w:val="0"/>
        </w:numPr>
        <w:spacing w:after="120"/>
        <w:ind w:right="-2"/>
        <w:rPr>
          <w:szCs w:val="22"/>
          <w:lang w:val="lv-LV"/>
        </w:rPr>
      </w:pPr>
      <w:r w:rsidRPr="00643B0D">
        <w:rPr>
          <w:szCs w:val="22"/>
          <w:lang w:val="lv-LV"/>
        </w:rPr>
        <w:t>Uzglabāt bērniem neredzamā un nepieejamā vietā.</w:t>
      </w:r>
    </w:p>
    <w:p w14:paraId="69D06CF0" w14:textId="77777777" w:rsidR="00461D5E" w:rsidRPr="00643B0D" w:rsidRDefault="00461D5E" w:rsidP="00461D5E">
      <w:pPr>
        <w:spacing w:after="120"/>
        <w:rPr>
          <w:szCs w:val="22"/>
          <w:lang w:val="lv-LV"/>
        </w:rPr>
      </w:pPr>
      <w:r w:rsidRPr="00643B0D">
        <w:rPr>
          <w:szCs w:val="22"/>
          <w:lang w:val="lv-LV"/>
        </w:rPr>
        <w:lastRenderedPageBreak/>
        <w:t>Uzglabāt temperatūrā līdz 30 °C. Uzglabāt oriģinālajā iepakojumā, lai pasargātu no gaismas.</w:t>
      </w:r>
    </w:p>
    <w:p w14:paraId="7BF0212E" w14:textId="358E1DCA" w:rsidR="00461D5E" w:rsidRPr="00643B0D" w:rsidRDefault="00461D5E" w:rsidP="00461D5E">
      <w:pPr>
        <w:numPr>
          <w:ilvl w:val="12"/>
          <w:numId w:val="0"/>
        </w:numPr>
        <w:spacing w:after="120"/>
        <w:ind w:right="-2"/>
        <w:rPr>
          <w:szCs w:val="22"/>
          <w:lang w:val="lv-LV"/>
        </w:rPr>
      </w:pPr>
      <w:r w:rsidRPr="00643B0D">
        <w:rPr>
          <w:szCs w:val="22"/>
          <w:lang w:val="lv-LV"/>
        </w:rPr>
        <w:t>Nelietot šīs zāles pēc derīguma termiņa beigām, kas norādīts uz kastītes un pudeles pēc „</w:t>
      </w:r>
      <w:r w:rsidR="00BE4FAA" w:rsidRPr="00643B0D">
        <w:rPr>
          <w:szCs w:val="22"/>
          <w:lang w:val="lv-LV"/>
        </w:rPr>
        <w:t>EXP/Годен до/Rok valjanosti</w:t>
      </w:r>
      <w:r w:rsidRPr="00643B0D">
        <w:rPr>
          <w:szCs w:val="22"/>
          <w:lang w:val="lv-LV"/>
        </w:rPr>
        <w:t>”.</w:t>
      </w:r>
    </w:p>
    <w:p w14:paraId="4635D46D" w14:textId="77777777" w:rsidR="00461D5E" w:rsidRPr="00643B0D" w:rsidRDefault="00461D5E" w:rsidP="00461D5E">
      <w:pPr>
        <w:numPr>
          <w:ilvl w:val="12"/>
          <w:numId w:val="0"/>
        </w:numPr>
        <w:spacing w:after="120"/>
        <w:ind w:right="-2"/>
        <w:rPr>
          <w:szCs w:val="22"/>
          <w:lang w:val="lv-LV"/>
        </w:rPr>
      </w:pPr>
      <w:r w:rsidRPr="00643B0D">
        <w:rPr>
          <w:szCs w:val="22"/>
          <w:lang w:val="lv-LV"/>
        </w:rPr>
        <w:t>Derīguma termiņš attiecas uz norādītā mēneša pēdējo dienu.</w:t>
      </w:r>
    </w:p>
    <w:p w14:paraId="1A233709" w14:textId="77777777" w:rsidR="00461D5E" w:rsidRPr="00643B0D" w:rsidRDefault="00461D5E" w:rsidP="00461D5E">
      <w:pPr>
        <w:numPr>
          <w:ilvl w:val="12"/>
          <w:numId w:val="0"/>
        </w:numPr>
        <w:spacing w:after="360"/>
        <w:rPr>
          <w:szCs w:val="22"/>
          <w:lang w:val="lv-LV"/>
        </w:rPr>
      </w:pPr>
      <w:r w:rsidRPr="00643B0D">
        <w:rPr>
          <w:szCs w:val="22"/>
          <w:lang w:val="lv-LV"/>
        </w:rPr>
        <w:t>Pēc pirmās atvēršanas pudeli uzglabāt līdz uzglabāšanas laika beigām, kas norādīts uz kastītes.</w:t>
      </w:r>
    </w:p>
    <w:p w14:paraId="54031B27" w14:textId="77777777" w:rsidR="00461D5E" w:rsidRPr="00643B0D" w:rsidRDefault="00461D5E" w:rsidP="00461D5E">
      <w:pPr>
        <w:keepNext/>
        <w:keepLines/>
        <w:spacing w:after="120"/>
        <w:ind w:left="567" w:hanging="567"/>
        <w:rPr>
          <w:b/>
          <w:szCs w:val="22"/>
          <w:lang w:val="lv-LV"/>
        </w:rPr>
      </w:pPr>
      <w:r w:rsidRPr="00643B0D">
        <w:rPr>
          <w:b/>
          <w:szCs w:val="22"/>
          <w:lang w:val="lv-LV"/>
        </w:rPr>
        <w:t>6.</w:t>
      </w:r>
      <w:r w:rsidRPr="00643B0D">
        <w:rPr>
          <w:b/>
          <w:szCs w:val="22"/>
          <w:lang w:val="lv-LV"/>
        </w:rPr>
        <w:tab/>
        <w:t>Iepakojuma saturs un cita informācija</w:t>
      </w:r>
    </w:p>
    <w:p w14:paraId="16357A91" w14:textId="77777777" w:rsidR="00461D5E" w:rsidRPr="00643B0D" w:rsidRDefault="00461D5E" w:rsidP="00461D5E">
      <w:pPr>
        <w:autoSpaceDE w:val="0"/>
        <w:autoSpaceDN w:val="0"/>
        <w:adjustRightInd w:val="0"/>
        <w:spacing w:after="120"/>
        <w:rPr>
          <w:b/>
          <w:szCs w:val="22"/>
          <w:lang w:val="lv-LV"/>
        </w:rPr>
      </w:pPr>
      <w:r w:rsidRPr="00643B0D">
        <w:rPr>
          <w:b/>
          <w:szCs w:val="22"/>
          <w:lang w:val="lv-LV"/>
        </w:rPr>
        <w:t xml:space="preserve">Ko </w:t>
      </w:r>
      <w:r w:rsidRPr="00643B0D">
        <w:rPr>
          <w:b/>
          <w:color w:val="000000"/>
          <w:szCs w:val="22"/>
          <w:lang w:val="lv-LV"/>
        </w:rPr>
        <w:t>Alpicort</w:t>
      </w:r>
      <w:r w:rsidRPr="00643B0D">
        <w:rPr>
          <w:b/>
          <w:szCs w:val="22"/>
          <w:lang w:val="lv-LV"/>
        </w:rPr>
        <w:t xml:space="preserve"> satur</w:t>
      </w:r>
    </w:p>
    <w:p w14:paraId="1CABC686" w14:textId="34B10FBA" w:rsidR="00461D5E" w:rsidRPr="00643B0D" w:rsidRDefault="007776BD" w:rsidP="00461D5E">
      <w:pPr>
        <w:pStyle w:val="ListParagraph"/>
        <w:numPr>
          <w:ilvl w:val="0"/>
          <w:numId w:val="25"/>
        </w:numPr>
        <w:spacing w:after="360"/>
        <w:rPr>
          <w:szCs w:val="22"/>
          <w:lang w:val="lv-LV"/>
        </w:rPr>
      </w:pPr>
      <w:r>
        <w:rPr>
          <w:szCs w:val="22"/>
          <w:lang w:val="lv-LV"/>
        </w:rPr>
        <w:t xml:space="preserve">Aktīvās vielas ir </w:t>
      </w:r>
      <w:r w:rsidR="00461D5E" w:rsidRPr="00643B0D">
        <w:rPr>
          <w:szCs w:val="22"/>
          <w:lang w:val="lv-LV"/>
        </w:rPr>
        <w:t>salicilskābe</w:t>
      </w:r>
      <w:r w:rsidRPr="007776BD">
        <w:rPr>
          <w:szCs w:val="22"/>
          <w:lang w:val="lv-LV"/>
        </w:rPr>
        <w:t xml:space="preserve"> </w:t>
      </w:r>
      <w:r>
        <w:rPr>
          <w:szCs w:val="22"/>
          <w:lang w:val="lv-LV"/>
        </w:rPr>
        <w:t xml:space="preserve">un </w:t>
      </w:r>
      <w:r w:rsidRPr="00643B0D">
        <w:rPr>
          <w:szCs w:val="22"/>
          <w:lang w:val="lv-LV"/>
        </w:rPr>
        <w:t>prednizolons</w:t>
      </w:r>
      <w:r w:rsidR="00461D5E" w:rsidRPr="00643B0D">
        <w:rPr>
          <w:szCs w:val="22"/>
          <w:lang w:val="lv-LV"/>
        </w:rPr>
        <w:t xml:space="preserve">. </w:t>
      </w:r>
      <w:r w:rsidR="00C21EBA">
        <w:rPr>
          <w:szCs w:val="22"/>
          <w:lang w:val="lv-LV"/>
        </w:rPr>
        <w:t>1 ml šķīduma satur 4 mg sal</w:t>
      </w:r>
      <w:r w:rsidR="00C21EBA">
        <w:rPr>
          <w:szCs w:val="22"/>
          <w:lang w:val="lv-LV"/>
        </w:rPr>
        <w:t>icilskābes un 2 mg prednizolona (</w:t>
      </w:r>
      <w:r w:rsidR="00461D5E" w:rsidRPr="00643B0D">
        <w:rPr>
          <w:szCs w:val="22"/>
          <w:lang w:val="lv-LV"/>
        </w:rPr>
        <w:t>1</w:t>
      </w:r>
      <w:r w:rsidR="007C24C4" w:rsidRPr="00643B0D">
        <w:rPr>
          <w:szCs w:val="22"/>
          <w:lang w:val="lv-LV"/>
        </w:rPr>
        <w:t>00</w:t>
      </w:r>
      <w:r w:rsidR="00461D5E" w:rsidRPr="00643B0D">
        <w:rPr>
          <w:szCs w:val="22"/>
          <w:lang w:val="lv-LV"/>
        </w:rPr>
        <w:t xml:space="preserve"> ml šķīduma satur </w:t>
      </w:r>
      <w:r w:rsidR="007C24C4" w:rsidRPr="00643B0D">
        <w:rPr>
          <w:szCs w:val="22"/>
          <w:lang w:val="lv-LV"/>
        </w:rPr>
        <w:t>0,</w:t>
      </w:r>
      <w:r w:rsidR="00461D5E" w:rsidRPr="00643B0D">
        <w:rPr>
          <w:szCs w:val="22"/>
          <w:lang w:val="lv-LV"/>
        </w:rPr>
        <w:t>4 g salicilskābes</w:t>
      </w:r>
      <w:r>
        <w:rPr>
          <w:szCs w:val="22"/>
          <w:lang w:val="lv-LV"/>
        </w:rPr>
        <w:t xml:space="preserve"> un </w:t>
      </w:r>
      <w:r w:rsidRPr="00643B0D">
        <w:rPr>
          <w:szCs w:val="22"/>
          <w:lang w:val="lv-LV"/>
        </w:rPr>
        <w:t>0,2 g</w:t>
      </w:r>
      <w:r>
        <w:rPr>
          <w:szCs w:val="22"/>
          <w:lang w:val="lv-LV"/>
        </w:rPr>
        <w:t xml:space="preserve"> prednizolona</w:t>
      </w:r>
      <w:r w:rsidR="00C21EBA">
        <w:rPr>
          <w:szCs w:val="22"/>
          <w:lang w:val="lv-LV"/>
        </w:rPr>
        <w:t>).</w:t>
      </w:r>
      <w:r w:rsidR="00315120">
        <w:rPr>
          <w:szCs w:val="22"/>
          <w:lang w:val="lv-LV"/>
        </w:rPr>
        <w:t xml:space="preserve"> </w:t>
      </w:r>
    </w:p>
    <w:p w14:paraId="04EBBEDA" w14:textId="4724E10E" w:rsidR="00461D5E" w:rsidRPr="00643B0D" w:rsidRDefault="00461D5E" w:rsidP="00461D5E">
      <w:pPr>
        <w:pStyle w:val="ListParagraph"/>
        <w:numPr>
          <w:ilvl w:val="0"/>
          <w:numId w:val="25"/>
        </w:numPr>
        <w:spacing w:after="360"/>
        <w:rPr>
          <w:szCs w:val="22"/>
          <w:lang w:val="lv-LV"/>
        </w:rPr>
      </w:pPr>
      <w:r w:rsidRPr="00643B0D">
        <w:rPr>
          <w:szCs w:val="22"/>
          <w:lang w:val="lv-LV"/>
        </w:rPr>
        <w:t xml:space="preserve">Citas sastāvdaļas ir </w:t>
      </w:r>
      <w:r w:rsidR="00D91C34" w:rsidRPr="00643B0D">
        <w:rPr>
          <w:szCs w:val="22"/>
          <w:lang w:val="lv-LV"/>
        </w:rPr>
        <w:t xml:space="preserve">arginīns, </w:t>
      </w:r>
      <w:r w:rsidR="00F11D0A" w:rsidRPr="00643B0D">
        <w:rPr>
          <w:szCs w:val="22"/>
          <w:lang w:val="lv-LV"/>
        </w:rPr>
        <w:t>2-propanols</w:t>
      </w:r>
      <w:r w:rsidRPr="00643B0D">
        <w:rPr>
          <w:szCs w:val="22"/>
          <w:lang w:val="lv-LV"/>
        </w:rPr>
        <w:t>, propilēnglikols, attīrīts ūdens.</w:t>
      </w:r>
    </w:p>
    <w:p w14:paraId="63055F33" w14:textId="77777777" w:rsidR="00461D5E" w:rsidRPr="00643B0D" w:rsidRDefault="00461D5E" w:rsidP="00461D5E">
      <w:pPr>
        <w:autoSpaceDE w:val="0"/>
        <w:autoSpaceDN w:val="0"/>
        <w:adjustRightInd w:val="0"/>
        <w:spacing w:after="120"/>
        <w:rPr>
          <w:b/>
          <w:szCs w:val="22"/>
          <w:lang w:val="lv-LV"/>
        </w:rPr>
      </w:pPr>
      <w:r w:rsidRPr="00643B0D">
        <w:rPr>
          <w:b/>
          <w:color w:val="000000"/>
          <w:szCs w:val="22"/>
          <w:lang w:val="lv-LV"/>
        </w:rPr>
        <w:t>Alpicort</w:t>
      </w:r>
      <w:r w:rsidRPr="00643B0D">
        <w:rPr>
          <w:b/>
          <w:szCs w:val="22"/>
          <w:lang w:val="lv-LV"/>
        </w:rPr>
        <w:t xml:space="preserve"> ārē</w:t>
      </w:r>
      <w:bookmarkStart w:id="0" w:name="_GoBack"/>
      <w:bookmarkEnd w:id="0"/>
      <w:r w:rsidRPr="00643B0D">
        <w:rPr>
          <w:b/>
          <w:szCs w:val="22"/>
          <w:lang w:val="lv-LV"/>
        </w:rPr>
        <w:t>jais izskats un iepakojums</w:t>
      </w:r>
    </w:p>
    <w:p w14:paraId="60221598" w14:textId="124A27FD" w:rsidR="00461D5E" w:rsidRPr="00643B0D" w:rsidRDefault="00461D5E" w:rsidP="00461D5E">
      <w:pPr>
        <w:numPr>
          <w:ilvl w:val="12"/>
          <w:numId w:val="0"/>
        </w:numPr>
        <w:spacing w:after="120"/>
        <w:ind w:right="-2"/>
        <w:rPr>
          <w:szCs w:val="22"/>
          <w:lang w:val="lv-LV"/>
        </w:rPr>
      </w:pPr>
      <w:r w:rsidRPr="00643B0D">
        <w:rPr>
          <w:szCs w:val="22"/>
          <w:lang w:val="lv-LV"/>
        </w:rPr>
        <w:t xml:space="preserve">Alpicort ir dzidrs, bezkrāsains </w:t>
      </w:r>
      <w:r w:rsidR="00D91C34" w:rsidRPr="00643B0D">
        <w:rPr>
          <w:szCs w:val="22"/>
          <w:lang w:val="lv-LV"/>
        </w:rPr>
        <w:t xml:space="preserve">līdz blāvi brūngani dzeltens </w:t>
      </w:r>
      <w:r w:rsidRPr="00643B0D">
        <w:rPr>
          <w:szCs w:val="22"/>
          <w:lang w:val="lv-LV"/>
        </w:rPr>
        <w:t>šķīdums, kas iepildīts brūna stikla (III klase) pudelēs ar polipropilēna korķi un aplikatoru.</w:t>
      </w:r>
    </w:p>
    <w:p w14:paraId="16A361E8" w14:textId="08EFAFA5" w:rsidR="00461D5E" w:rsidRPr="00643B0D" w:rsidRDefault="00461D5E" w:rsidP="00461D5E">
      <w:pPr>
        <w:autoSpaceDE w:val="0"/>
        <w:autoSpaceDN w:val="0"/>
        <w:adjustRightInd w:val="0"/>
        <w:spacing w:after="120"/>
        <w:rPr>
          <w:rFonts w:eastAsia="Calibri"/>
          <w:color w:val="000000"/>
          <w:szCs w:val="22"/>
          <w:lang w:val="lv-LV"/>
        </w:rPr>
      </w:pPr>
      <w:r w:rsidRPr="00643B0D">
        <w:rPr>
          <w:rFonts w:eastAsia="Calibri"/>
          <w:color w:val="000000"/>
          <w:szCs w:val="22"/>
          <w:lang w:val="lv-LV"/>
        </w:rPr>
        <w:t>Kartona kaste ar 100</w:t>
      </w:r>
      <w:r w:rsidRPr="00643B0D">
        <w:rPr>
          <w:rFonts w:eastAsia="Calibri"/>
          <w:color w:val="000000"/>
          <w:szCs w:val="22"/>
          <w:lang w:val="lv-LV" w:eastAsia="lv-LV"/>
        </w:rPr>
        <w:t xml:space="preserve"> ml</w:t>
      </w:r>
      <w:r w:rsidRPr="00643B0D">
        <w:rPr>
          <w:rFonts w:eastAsia="Calibri"/>
          <w:color w:val="000000"/>
          <w:szCs w:val="22"/>
          <w:lang w:val="lv-LV"/>
        </w:rPr>
        <w:t xml:space="preserve"> stikla pudel</w:t>
      </w:r>
      <w:r w:rsidR="00D91C34" w:rsidRPr="00643B0D">
        <w:rPr>
          <w:rFonts w:eastAsia="Calibri"/>
          <w:color w:val="000000"/>
          <w:szCs w:val="22"/>
          <w:lang w:val="lv-LV"/>
        </w:rPr>
        <w:t>i</w:t>
      </w:r>
      <w:r w:rsidRPr="00643B0D">
        <w:rPr>
          <w:rFonts w:eastAsia="Calibri"/>
          <w:color w:val="000000"/>
          <w:szCs w:val="22"/>
          <w:lang w:val="lv-LV"/>
        </w:rPr>
        <w:t>.</w:t>
      </w:r>
    </w:p>
    <w:p w14:paraId="4ADF492F" w14:textId="77777777" w:rsidR="00461D5E" w:rsidRPr="00643B0D" w:rsidRDefault="00461D5E" w:rsidP="00461D5E">
      <w:pPr>
        <w:autoSpaceDE w:val="0"/>
        <w:autoSpaceDN w:val="0"/>
        <w:adjustRightInd w:val="0"/>
        <w:spacing w:after="120"/>
        <w:rPr>
          <w:b/>
          <w:szCs w:val="22"/>
          <w:lang w:val="lv-LV"/>
        </w:rPr>
      </w:pPr>
      <w:r w:rsidRPr="00643B0D">
        <w:rPr>
          <w:b/>
          <w:szCs w:val="22"/>
          <w:lang w:val="lv-LV"/>
        </w:rPr>
        <w:t xml:space="preserve">Reģistrācijas </w:t>
      </w:r>
      <w:r w:rsidRPr="00643B0D">
        <w:rPr>
          <w:b/>
          <w:color w:val="000000"/>
          <w:szCs w:val="22"/>
          <w:lang w:val="lv-LV"/>
        </w:rPr>
        <w:t>apliecības</w:t>
      </w:r>
      <w:r w:rsidRPr="00643B0D">
        <w:rPr>
          <w:b/>
          <w:szCs w:val="22"/>
          <w:lang w:val="lv-LV"/>
        </w:rPr>
        <w:t xml:space="preserve"> īpašnieks un ražotājs</w:t>
      </w:r>
    </w:p>
    <w:p w14:paraId="55FDEFC3" w14:textId="07D02B31" w:rsidR="003017C1" w:rsidRPr="00643B0D" w:rsidRDefault="00461D5E" w:rsidP="00D91C34">
      <w:pPr>
        <w:spacing w:after="120"/>
        <w:rPr>
          <w:szCs w:val="22"/>
          <w:lang w:val="lv-LV"/>
        </w:rPr>
      </w:pPr>
      <w:r w:rsidRPr="00643B0D">
        <w:rPr>
          <w:szCs w:val="22"/>
          <w:lang w:val="lv-LV"/>
        </w:rPr>
        <w:t>Dr. August Wolff GmbH &amp; Co. KG Arzneimittel</w:t>
      </w:r>
      <w:r w:rsidRPr="00643B0D">
        <w:rPr>
          <w:szCs w:val="22"/>
          <w:lang w:val="lv-LV"/>
        </w:rPr>
        <w:br/>
      </w:r>
      <w:r w:rsidRPr="00643B0D">
        <w:rPr>
          <w:szCs w:val="22"/>
          <w:lang w:val="lv-LV" w:eastAsia="de-DE"/>
        </w:rPr>
        <w:t>Sudbrackstrasse</w:t>
      </w:r>
      <w:r w:rsidRPr="00643B0D">
        <w:rPr>
          <w:szCs w:val="22"/>
          <w:lang w:val="lv-LV"/>
        </w:rPr>
        <w:t xml:space="preserve"> 56</w:t>
      </w:r>
      <w:r w:rsidRPr="00643B0D">
        <w:rPr>
          <w:szCs w:val="22"/>
          <w:lang w:val="lv-LV" w:eastAsia="de-DE"/>
        </w:rPr>
        <w:br/>
      </w:r>
      <w:r w:rsidRPr="00643B0D">
        <w:rPr>
          <w:szCs w:val="22"/>
          <w:lang w:val="lv-LV"/>
        </w:rPr>
        <w:t xml:space="preserve">33611 Bielefeld, </w:t>
      </w:r>
      <w:r w:rsidRPr="00643B0D">
        <w:rPr>
          <w:caps/>
          <w:szCs w:val="22"/>
          <w:lang w:val="lv-LV"/>
        </w:rPr>
        <w:t>V</w:t>
      </w:r>
      <w:r w:rsidR="00D91C34" w:rsidRPr="00643B0D">
        <w:rPr>
          <w:szCs w:val="22"/>
          <w:lang w:val="lv-LV"/>
        </w:rPr>
        <w:t>ācija</w:t>
      </w:r>
      <w:r w:rsidRPr="00643B0D">
        <w:rPr>
          <w:szCs w:val="22"/>
          <w:lang w:val="lv-LV"/>
        </w:rPr>
        <w:br/>
        <w:t xml:space="preserve">Tālrunis: </w:t>
      </w:r>
      <w:r w:rsidRPr="00643B0D">
        <w:rPr>
          <w:noProof/>
          <w:szCs w:val="22"/>
          <w:lang w:val="lv-LV" w:eastAsia="de-DE"/>
        </w:rPr>
        <w:tab/>
      </w:r>
      <w:r w:rsidRPr="00643B0D">
        <w:rPr>
          <w:szCs w:val="22"/>
          <w:lang w:val="lv-LV"/>
        </w:rPr>
        <w:t>+49 521 8808-05</w:t>
      </w:r>
      <w:r w:rsidRPr="00643B0D">
        <w:rPr>
          <w:szCs w:val="22"/>
          <w:lang w:val="lv-LV"/>
        </w:rPr>
        <w:br/>
        <w:t>Fakss:</w:t>
      </w:r>
      <w:r w:rsidRPr="00643B0D">
        <w:rPr>
          <w:szCs w:val="22"/>
          <w:lang w:val="lv-LV" w:eastAsia="de-DE"/>
        </w:rPr>
        <w:tab/>
      </w:r>
      <w:r w:rsidRPr="00643B0D">
        <w:rPr>
          <w:szCs w:val="22"/>
          <w:lang w:val="lv-LV" w:eastAsia="de-DE"/>
        </w:rPr>
        <w:tab/>
      </w:r>
      <w:r w:rsidRPr="00643B0D">
        <w:rPr>
          <w:szCs w:val="22"/>
          <w:lang w:val="lv-LV"/>
        </w:rPr>
        <w:t>+49 521 8808-334</w:t>
      </w:r>
      <w:r w:rsidRPr="00643B0D">
        <w:rPr>
          <w:szCs w:val="22"/>
          <w:lang w:val="lv-LV"/>
        </w:rPr>
        <w:br/>
        <w:t>E-pasts:</w:t>
      </w:r>
      <w:r w:rsidRPr="00643B0D">
        <w:rPr>
          <w:szCs w:val="22"/>
          <w:lang w:val="lv-LV" w:eastAsia="de-DE"/>
        </w:rPr>
        <w:tab/>
      </w:r>
      <w:r w:rsidRPr="00643B0D">
        <w:rPr>
          <w:szCs w:val="22"/>
          <w:u w:val="single"/>
          <w:lang w:val="lv-LV"/>
        </w:rPr>
        <w:t>aw-info@drwolffgroup.com</w:t>
      </w:r>
    </w:p>
    <w:p w14:paraId="7B36DAFD" w14:textId="20FAF10B" w:rsidR="003017C1" w:rsidRPr="00643B0D" w:rsidRDefault="003017C1" w:rsidP="003017C1">
      <w:pPr>
        <w:autoSpaceDE w:val="0"/>
        <w:autoSpaceDN w:val="0"/>
        <w:adjustRightInd w:val="0"/>
        <w:spacing w:after="120"/>
        <w:rPr>
          <w:b/>
          <w:szCs w:val="22"/>
          <w:lang w:val="lv-LV"/>
        </w:rPr>
      </w:pPr>
      <w:r w:rsidRPr="00643B0D">
        <w:rPr>
          <w:b/>
          <w:szCs w:val="22"/>
          <w:lang w:val="lv-LV"/>
        </w:rPr>
        <w:t>Paralēli importēti zāļu izplatīšanas atļaujas turētājs un pārpakotājs Latvijā</w:t>
      </w:r>
    </w:p>
    <w:p w14:paraId="6F1B6D2C" w14:textId="2338A650" w:rsidR="003017C1" w:rsidRPr="00643B0D" w:rsidRDefault="003017C1" w:rsidP="003017C1">
      <w:pPr>
        <w:autoSpaceDE w:val="0"/>
        <w:autoSpaceDN w:val="0"/>
        <w:adjustRightInd w:val="0"/>
        <w:spacing w:after="120"/>
        <w:rPr>
          <w:bCs/>
          <w:szCs w:val="22"/>
          <w:lang w:val="lv-LV"/>
        </w:rPr>
      </w:pPr>
      <w:r w:rsidRPr="00643B0D">
        <w:rPr>
          <w:bCs/>
          <w:szCs w:val="22"/>
          <w:lang w:val="lv-LV"/>
        </w:rPr>
        <w:t>SIA “MAGNUM MEDICAL”, Ulbrokas ielā 23, Rīga, LV-1021, t.67718700.</w:t>
      </w:r>
    </w:p>
    <w:p w14:paraId="272E996D" w14:textId="4F510249" w:rsidR="003017C1" w:rsidRPr="00643B0D" w:rsidRDefault="003017C1" w:rsidP="003017C1">
      <w:pPr>
        <w:autoSpaceDE w:val="0"/>
        <w:autoSpaceDN w:val="0"/>
        <w:adjustRightInd w:val="0"/>
        <w:spacing w:after="120"/>
        <w:rPr>
          <w:bCs/>
          <w:szCs w:val="22"/>
          <w:lang w:val="lv-LV"/>
        </w:rPr>
      </w:pPr>
      <w:r w:rsidRPr="00643B0D">
        <w:rPr>
          <w:bCs/>
          <w:szCs w:val="22"/>
          <w:lang w:val="lv-LV"/>
        </w:rPr>
        <w:t>Paralēli importēto zāļu izplatīšanas atļaujas numurs:</w:t>
      </w:r>
    </w:p>
    <w:p w14:paraId="22AEAD6F" w14:textId="503F3BB6" w:rsidR="0071219A" w:rsidRPr="00643B0D" w:rsidRDefault="003017C1" w:rsidP="003017C1">
      <w:pPr>
        <w:autoSpaceDE w:val="0"/>
        <w:autoSpaceDN w:val="0"/>
        <w:adjustRightInd w:val="0"/>
        <w:spacing w:after="120"/>
        <w:rPr>
          <w:szCs w:val="22"/>
          <w:lang w:val="lv-LV"/>
        </w:rPr>
      </w:pPr>
      <w:r w:rsidRPr="00643B0D">
        <w:rPr>
          <w:b/>
          <w:szCs w:val="22"/>
          <w:lang w:val="lv-LV"/>
        </w:rPr>
        <w:t>Paralēli importēto zāļu izplatīšanas atļaujas turētājs lietošanas instrukciju pēdējo reizi pārskatījis 02/2020.</w:t>
      </w:r>
    </w:p>
    <w:sectPr w:rsidR="0071219A" w:rsidRPr="00643B0D" w:rsidSect="002E75BA">
      <w:headerReference w:type="default" r:id="rId11"/>
      <w:footerReference w:type="default" r:id="rId12"/>
      <w:headerReference w:type="first" r:id="rId13"/>
      <w:footerReference w:type="first" r:id="rId14"/>
      <w:pgSz w:w="11901" w:h="16840" w:code="9"/>
      <w:pgMar w:top="1134" w:right="1418" w:bottom="1134" w:left="1418" w:header="737" w:footer="737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F72A77" w14:textId="77777777" w:rsidR="00785607" w:rsidRDefault="00785607">
      <w:r>
        <w:separator/>
      </w:r>
    </w:p>
  </w:endnote>
  <w:endnote w:type="continuationSeparator" w:id="0">
    <w:p w14:paraId="1C59EB24" w14:textId="77777777" w:rsidR="00785607" w:rsidRDefault="00785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Pro-Regular">
    <w:charset w:val="00"/>
    <w:family w:val="auto"/>
    <w:pitch w:val="default"/>
    <w:sig w:usb0="00000201" w:usb1="00000000" w:usb2="00000000" w:usb3="00000000" w:csb0="00000004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46F20A" w14:textId="7294D2ED" w:rsidR="00056463" w:rsidRDefault="005E0772">
    <w:pPr>
      <w:pStyle w:val="Footer"/>
      <w:jc w:val="center"/>
    </w:pPr>
    <w:r>
      <w:fldChar w:fldCharType="begin"/>
    </w:r>
    <w:r w:rsidR="00056463">
      <w:instrText xml:space="preserve"> EQ </w:instrText>
    </w:r>
    <w:r>
      <w:fldChar w:fldCharType="end"/>
    </w:r>
    <w:r w:rsidRPr="0089197E">
      <w:rPr>
        <w:rStyle w:val="PageNumber"/>
        <w:rFonts w:ascii="Arial" w:hAnsi="Arial" w:cs="Arial"/>
      </w:rPr>
      <w:fldChar w:fldCharType="begin"/>
    </w:r>
    <w:r w:rsidR="00056463" w:rsidRPr="0089197E">
      <w:rPr>
        <w:rStyle w:val="PageNumber"/>
        <w:rFonts w:ascii="Arial" w:hAnsi="Arial" w:cs="Arial"/>
      </w:rPr>
      <w:instrText xml:space="preserve">PAGE  </w:instrText>
    </w:r>
    <w:r w:rsidRPr="0089197E">
      <w:rPr>
        <w:rStyle w:val="PageNumber"/>
        <w:rFonts w:ascii="Arial" w:hAnsi="Arial" w:cs="Arial"/>
      </w:rPr>
      <w:fldChar w:fldCharType="separate"/>
    </w:r>
    <w:r w:rsidR="00C21EBA">
      <w:rPr>
        <w:rStyle w:val="PageNumber"/>
        <w:rFonts w:ascii="Arial" w:hAnsi="Arial" w:cs="Arial"/>
        <w:noProof/>
      </w:rPr>
      <w:t>3</w:t>
    </w:r>
    <w:r w:rsidRPr="0089197E">
      <w:rPr>
        <w:rStyle w:val="PageNumber"/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3407C" w14:textId="77777777" w:rsidR="00056463" w:rsidRDefault="005E0772">
    <w:pPr>
      <w:pStyle w:val="Footer"/>
      <w:jc w:val="center"/>
    </w:pPr>
    <w:r>
      <w:fldChar w:fldCharType="begin"/>
    </w:r>
    <w:r w:rsidR="00056463">
      <w:instrText xml:space="preserve"> EQ </w:instrText>
    </w:r>
    <w:r>
      <w:fldChar w:fldCharType="end"/>
    </w:r>
    <w:r w:rsidRPr="00CF70DB">
      <w:rPr>
        <w:rStyle w:val="PageNumber"/>
        <w:rFonts w:ascii="Times New Roman" w:hAnsi="Times New Roman"/>
      </w:rPr>
      <w:fldChar w:fldCharType="begin"/>
    </w:r>
    <w:r w:rsidR="00056463" w:rsidRPr="00CF70DB">
      <w:rPr>
        <w:rStyle w:val="PageNumber"/>
        <w:rFonts w:ascii="Times New Roman" w:hAnsi="Times New Roman"/>
      </w:rPr>
      <w:instrText xml:space="preserve">PAGE  </w:instrText>
    </w:r>
    <w:r w:rsidRPr="00CF70DB">
      <w:rPr>
        <w:rStyle w:val="PageNumber"/>
        <w:rFonts w:ascii="Times New Roman" w:hAnsi="Times New Roman"/>
      </w:rPr>
      <w:fldChar w:fldCharType="separate"/>
    </w:r>
    <w:r w:rsidR="00056463">
      <w:rPr>
        <w:rStyle w:val="PageNumber"/>
        <w:rFonts w:ascii="Times New Roman" w:hAnsi="Times New Roman"/>
        <w:noProof/>
      </w:rPr>
      <w:t>1</w:t>
    </w:r>
    <w:r w:rsidRPr="00CF70DB">
      <w:rPr>
        <w:rStyle w:val="PageNumber"/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F2404C" w14:textId="77777777" w:rsidR="00785607" w:rsidRDefault="00785607">
      <w:r>
        <w:separator/>
      </w:r>
    </w:p>
  </w:footnote>
  <w:footnote w:type="continuationSeparator" w:id="0">
    <w:p w14:paraId="5F6964BF" w14:textId="77777777" w:rsidR="00785607" w:rsidRDefault="00785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320AA" w14:textId="7EC7CD29" w:rsidR="00F66E3A" w:rsidRPr="00F66E3A" w:rsidRDefault="00F66E3A" w:rsidP="00F66E3A">
    <w:pPr>
      <w:pStyle w:val="Header"/>
      <w:jc w:val="right"/>
      <w:rPr>
        <w:sz w:val="24"/>
        <w:szCs w:val="24"/>
      </w:rPr>
    </w:pPr>
    <w:r w:rsidRPr="00F66E3A">
      <w:rPr>
        <w:sz w:val="24"/>
        <w:szCs w:val="24"/>
      </w:rPr>
      <w:t>Saskaņots ZVA 27.02.2020.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927"/>
      <w:gridCol w:w="5784"/>
      <w:gridCol w:w="1928"/>
    </w:tblGrid>
    <w:tr w:rsidR="00056463" w:rsidRPr="002C06BF" w14:paraId="56C6BBC5" w14:textId="77777777" w:rsidTr="003A1E8E">
      <w:trPr>
        <w:trHeight w:val="851"/>
      </w:trPr>
      <w:tc>
        <w:tcPr>
          <w:tcW w:w="1927" w:type="dxa"/>
          <w:shd w:val="clear" w:color="auto" w:fill="auto"/>
        </w:tcPr>
        <w:p w14:paraId="1EE9CD29" w14:textId="77777777" w:rsidR="00056463" w:rsidRPr="008E676C" w:rsidRDefault="00056463" w:rsidP="003A1E8E">
          <w:pPr>
            <w:pStyle w:val="Header"/>
            <w:jc w:val="center"/>
            <w:rPr>
              <w:rFonts w:eastAsia="Calibri"/>
              <w:kern w:val="22"/>
              <w:szCs w:val="22"/>
            </w:rPr>
          </w:pPr>
          <w:r>
            <w:rPr>
              <w:rFonts w:eastAsia="Calibri"/>
              <w:noProof/>
              <w:kern w:val="22"/>
              <w:szCs w:val="22"/>
              <w:lang w:val="en-US"/>
            </w:rPr>
            <w:drawing>
              <wp:anchor distT="0" distB="0" distL="114300" distR="114300" simplePos="0" relativeHeight="251657728" behindDoc="0" locked="0" layoutInCell="1" allowOverlap="1" wp14:anchorId="3E5522CD" wp14:editId="6324E258">
                <wp:simplePos x="0" y="0"/>
                <wp:positionH relativeFrom="margin">
                  <wp:posOffset>5080</wp:posOffset>
                </wp:positionH>
                <wp:positionV relativeFrom="margin">
                  <wp:posOffset>107315</wp:posOffset>
                </wp:positionV>
                <wp:extent cx="1076325" cy="276225"/>
                <wp:effectExtent l="0" t="0" r="9525" b="9525"/>
                <wp:wrapSquare wrapText="bothSides"/>
                <wp:docPr id="1" name="Grafik 18" descr="DrAugustWolff-Logo_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8" descr="DrAugustWolff-Logo_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784" w:type="dxa"/>
          <w:shd w:val="clear" w:color="auto" w:fill="auto"/>
        </w:tcPr>
        <w:p w14:paraId="0A706B13" w14:textId="77777777" w:rsidR="00056463" w:rsidRPr="00110332" w:rsidRDefault="00056463" w:rsidP="00CF70DB">
          <w:pPr>
            <w:jc w:val="center"/>
            <w:rPr>
              <w:rFonts w:eastAsia="Calibri"/>
              <w:b/>
              <w:kern w:val="22"/>
              <w:szCs w:val="22"/>
            </w:rPr>
          </w:pPr>
          <w:r w:rsidRPr="00110332">
            <w:rPr>
              <w:rFonts w:eastAsia="Calibri"/>
              <w:b/>
              <w:kern w:val="22"/>
              <w:szCs w:val="22"/>
            </w:rPr>
            <w:t>“Produktname”</w:t>
          </w:r>
        </w:p>
        <w:p w14:paraId="15C86ED4" w14:textId="77777777" w:rsidR="00056463" w:rsidRPr="00110332" w:rsidRDefault="00056463" w:rsidP="00CF70DB">
          <w:pPr>
            <w:jc w:val="center"/>
            <w:rPr>
              <w:rFonts w:eastAsia="Calibri"/>
              <w:b/>
              <w:kern w:val="22"/>
              <w:szCs w:val="22"/>
            </w:rPr>
          </w:pPr>
        </w:p>
        <w:p w14:paraId="455073F6" w14:textId="77777777" w:rsidR="00056463" w:rsidRPr="00110332" w:rsidRDefault="00C21EBA" w:rsidP="00020C41">
          <w:pPr>
            <w:jc w:val="center"/>
            <w:rPr>
              <w:rFonts w:eastAsia="Calibri"/>
              <w:kern w:val="22"/>
              <w:szCs w:val="22"/>
            </w:rPr>
          </w:pPr>
          <w:sdt>
            <w:sdtPr>
              <w:rPr>
                <w:rFonts w:eastAsia="Calibri"/>
                <w:kern w:val="22"/>
                <w:szCs w:val="22"/>
              </w:rPr>
              <w:alias w:val="dvelop_DDF_33"/>
              <w:tag w:val="dvelop_DDF_33"/>
              <w:id w:val="787086049"/>
              <w:placeholder>
                <w:docPart w:val="DefaultPlaceholder_1082065158"/>
              </w:placeholder>
            </w:sdtPr>
            <w:sdtEndPr/>
            <w:sdtContent>
              <w:r w:rsidR="00056463" w:rsidRPr="00110332">
                <w:rPr>
                  <w:rFonts w:eastAsia="Calibri"/>
                  <w:kern w:val="22"/>
                  <w:szCs w:val="22"/>
                </w:rPr>
                <w:t>@Dokumentart (Ebene 4)@</w:t>
              </w:r>
            </w:sdtContent>
          </w:sdt>
          <w:r w:rsidR="00056463" w:rsidRPr="00110332">
            <w:rPr>
              <w:rFonts w:eastAsia="Calibri"/>
              <w:kern w:val="22"/>
              <w:szCs w:val="22"/>
            </w:rPr>
            <w:t xml:space="preserve"> </w:t>
          </w:r>
        </w:p>
        <w:sdt>
          <w:sdtPr>
            <w:rPr>
              <w:rFonts w:eastAsia="Calibri"/>
              <w:kern w:val="22"/>
              <w:szCs w:val="22"/>
            </w:rPr>
            <w:alias w:val="dvelop_DDF_32"/>
            <w:tag w:val="dvelop_DDF_32"/>
            <w:id w:val="-1781253919"/>
            <w:placeholder>
              <w:docPart w:val="DefaultPlaceholder_1082065158"/>
            </w:placeholder>
          </w:sdtPr>
          <w:sdtEndPr/>
          <w:sdtContent>
            <w:p w14:paraId="3A7D8001" w14:textId="77777777" w:rsidR="00056463" w:rsidRPr="00110332" w:rsidRDefault="00056463" w:rsidP="00020C41">
              <w:pPr>
                <w:jc w:val="center"/>
                <w:rPr>
                  <w:rFonts w:eastAsia="Calibri"/>
                  <w:kern w:val="22"/>
                  <w:szCs w:val="22"/>
                </w:rPr>
              </w:pPr>
              <w:r w:rsidRPr="00110332">
                <w:rPr>
                  <w:rFonts w:eastAsia="Calibri"/>
                  <w:kern w:val="22"/>
                  <w:szCs w:val="22"/>
                </w:rPr>
                <w:t>@Dokumentartverfeinerung (Ebene 5)@</w:t>
              </w:r>
            </w:p>
          </w:sdtContent>
        </w:sdt>
      </w:tc>
      <w:tc>
        <w:tcPr>
          <w:tcW w:w="1928" w:type="dxa"/>
          <w:shd w:val="clear" w:color="auto" w:fill="auto"/>
        </w:tcPr>
        <w:p w14:paraId="7BA485D2" w14:textId="77777777" w:rsidR="00056463" w:rsidRPr="008E676C" w:rsidRDefault="00056463" w:rsidP="003A1E8E">
          <w:pPr>
            <w:ind w:right="139"/>
            <w:jc w:val="right"/>
            <w:rPr>
              <w:rStyle w:val="PageNumber"/>
              <w:rFonts w:eastAsia="Calibri"/>
              <w:b/>
              <w:kern w:val="22"/>
              <w:szCs w:val="22"/>
              <w:lang w:val="fr-CH"/>
            </w:rPr>
          </w:pPr>
          <w:r w:rsidRPr="008E676C">
            <w:rPr>
              <w:rStyle w:val="PageNumber"/>
              <w:rFonts w:eastAsia="Calibri"/>
              <w:kern w:val="22"/>
              <w:szCs w:val="22"/>
              <w:lang w:val="fr-CH"/>
            </w:rPr>
            <w:t xml:space="preserve">Page </w:t>
          </w:r>
          <w:r w:rsidR="005E0772" w:rsidRPr="008E676C">
            <w:rPr>
              <w:rStyle w:val="PageNumber"/>
              <w:rFonts w:eastAsia="Calibri"/>
              <w:b/>
              <w:kern w:val="22"/>
              <w:szCs w:val="22"/>
            </w:rPr>
            <w:fldChar w:fldCharType="begin"/>
          </w:r>
          <w:r w:rsidRPr="008E676C">
            <w:rPr>
              <w:rStyle w:val="PageNumber"/>
              <w:rFonts w:eastAsia="Calibri"/>
              <w:b/>
              <w:kern w:val="22"/>
              <w:szCs w:val="22"/>
              <w:lang w:val="fr-CH"/>
            </w:rPr>
            <w:instrText xml:space="preserve"> PAGE </w:instrText>
          </w:r>
          <w:r w:rsidR="005E0772" w:rsidRPr="008E676C">
            <w:rPr>
              <w:rStyle w:val="PageNumber"/>
              <w:rFonts w:eastAsia="Calibri"/>
              <w:b/>
              <w:kern w:val="22"/>
              <w:szCs w:val="22"/>
            </w:rPr>
            <w:fldChar w:fldCharType="separate"/>
          </w:r>
          <w:r>
            <w:rPr>
              <w:rStyle w:val="PageNumber"/>
              <w:rFonts w:eastAsia="Calibri"/>
              <w:b/>
              <w:noProof/>
              <w:kern w:val="22"/>
              <w:szCs w:val="22"/>
              <w:lang w:val="fr-CH"/>
            </w:rPr>
            <w:t>1</w:t>
          </w:r>
          <w:r w:rsidR="005E0772" w:rsidRPr="008E676C">
            <w:rPr>
              <w:rStyle w:val="PageNumber"/>
              <w:rFonts w:eastAsia="Calibri"/>
              <w:b/>
              <w:kern w:val="22"/>
              <w:szCs w:val="22"/>
            </w:rPr>
            <w:fldChar w:fldCharType="end"/>
          </w:r>
        </w:p>
        <w:p w14:paraId="71AEB2DC" w14:textId="77777777" w:rsidR="00056463" w:rsidRPr="008E676C" w:rsidRDefault="00056463" w:rsidP="003A1E8E">
          <w:pPr>
            <w:ind w:right="139"/>
            <w:jc w:val="right"/>
            <w:rPr>
              <w:rStyle w:val="PageNumber"/>
              <w:rFonts w:eastAsia="Calibri"/>
              <w:noProof/>
              <w:kern w:val="22"/>
              <w:szCs w:val="22"/>
              <w:lang w:val="fr-CH"/>
            </w:rPr>
          </w:pPr>
        </w:p>
        <w:p w14:paraId="56109F93" w14:textId="77777777" w:rsidR="00056463" w:rsidRPr="008E676C" w:rsidRDefault="00056463" w:rsidP="003A1E8E">
          <w:pPr>
            <w:pStyle w:val="Header"/>
            <w:jc w:val="right"/>
            <w:rPr>
              <w:rFonts w:eastAsia="Calibri"/>
              <w:kern w:val="22"/>
              <w:szCs w:val="24"/>
            </w:rPr>
          </w:pPr>
          <w:r w:rsidRPr="008E676C">
            <w:rPr>
              <w:rStyle w:val="PageNumber"/>
              <w:rFonts w:eastAsia="Calibri"/>
              <w:kern w:val="22"/>
              <w:szCs w:val="22"/>
              <w:lang w:val="fr-CH"/>
            </w:rPr>
            <w:t>MM/JJJJ</w:t>
          </w:r>
        </w:p>
      </w:tc>
    </w:tr>
  </w:tbl>
  <w:p w14:paraId="211E4797" w14:textId="77777777" w:rsidR="00056463" w:rsidRDefault="000564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D34308E"/>
    <w:multiLevelType w:val="hybridMultilevel"/>
    <w:tmpl w:val="F9A6FE3A"/>
    <w:lvl w:ilvl="0" w:tplc="7B6A0A06">
      <w:numFmt w:val="bullet"/>
      <w:lvlText w:val="–"/>
      <w:lvlJc w:val="left"/>
      <w:pPr>
        <w:ind w:left="360" w:hanging="360"/>
      </w:pPr>
      <w:rPr>
        <w:rFonts w:ascii="Times New Roman" w:eastAsia="MyriadPro-Regular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206911"/>
    <w:multiLevelType w:val="hybridMultilevel"/>
    <w:tmpl w:val="7032BF88"/>
    <w:lvl w:ilvl="0" w:tplc="2F1496B4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pacing w:val="20"/>
        <w:sz w:val="24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5" w15:restartNumberingAfterBreak="0">
    <w:nsid w:val="2392609E"/>
    <w:multiLevelType w:val="hybridMultilevel"/>
    <w:tmpl w:val="898E8E40"/>
    <w:lvl w:ilvl="0" w:tplc="9A4823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7834AF"/>
    <w:multiLevelType w:val="hybridMultilevel"/>
    <w:tmpl w:val="E0F0D1FA"/>
    <w:lvl w:ilvl="0" w:tplc="FAE60226">
      <w:numFmt w:val="bullet"/>
      <w:lvlText w:val="-"/>
      <w:lvlJc w:val="left"/>
      <w:pPr>
        <w:ind w:left="930" w:hanging="57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F2B98"/>
    <w:multiLevelType w:val="hybridMultilevel"/>
    <w:tmpl w:val="ED72CF9C"/>
    <w:lvl w:ilvl="0" w:tplc="379840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E442886"/>
    <w:multiLevelType w:val="hybridMultilevel"/>
    <w:tmpl w:val="E4F077E4"/>
    <w:lvl w:ilvl="0" w:tplc="22DE0540">
      <w:numFmt w:val="bullet"/>
      <w:lvlText w:val="-"/>
      <w:lvlJc w:val="left"/>
      <w:pPr>
        <w:ind w:left="930" w:hanging="57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F44FE0"/>
    <w:multiLevelType w:val="hybridMultilevel"/>
    <w:tmpl w:val="F88CC86C"/>
    <w:lvl w:ilvl="0" w:tplc="D32E4998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2" w15:restartNumberingAfterBreak="0">
    <w:nsid w:val="3B9909EF"/>
    <w:multiLevelType w:val="multilevel"/>
    <w:tmpl w:val="A350E4E4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48DC655B"/>
    <w:multiLevelType w:val="hybridMultilevel"/>
    <w:tmpl w:val="30F20328"/>
    <w:lvl w:ilvl="0" w:tplc="7B6A0A06">
      <w:numFmt w:val="bullet"/>
      <w:lvlText w:val="–"/>
      <w:lvlJc w:val="left"/>
      <w:pPr>
        <w:ind w:left="360" w:hanging="360"/>
      </w:pPr>
      <w:rPr>
        <w:rFonts w:ascii="Times New Roman" w:eastAsia="MyriadPro-Regular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5" w15:restartNumberingAfterBreak="0">
    <w:nsid w:val="4E9021F2"/>
    <w:multiLevelType w:val="hybridMultilevel"/>
    <w:tmpl w:val="CE1A7848"/>
    <w:lvl w:ilvl="0" w:tplc="7B6A0A06">
      <w:numFmt w:val="bullet"/>
      <w:lvlText w:val="–"/>
      <w:lvlJc w:val="left"/>
      <w:pPr>
        <w:ind w:left="720" w:hanging="360"/>
      </w:pPr>
      <w:rPr>
        <w:rFonts w:ascii="Times New Roman" w:eastAsia="MyriadPro-Regular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7" w15:restartNumberingAfterBreak="0">
    <w:nsid w:val="5AAF4295"/>
    <w:multiLevelType w:val="multilevel"/>
    <w:tmpl w:val="065E850C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5F5F0920"/>
    <w:multiLevelType w:val="hybridMultilevel"/>
    <w:tmpl w:val="A0A8DB08"/>
    <w:lvl w:ilvl="0" w:tplc="86C83F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0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1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2" w15:restartNumberingAfterBreak="0">
    <w:nsid w:val="73E85BE5"/>
    <w:multiLevelType w:val="hybridMultilevel"/>
    <w:tmpl w:val="33D49612"/>
    <w:lvl w:ilvl="0" w:tplc="7B6A0A06">
      <w:numFmt w:val="bullet"/>
      <w:lvlText w:val="–"/>
      <w:lvlJc w:val="left"/>
      <w:pPr>
        <w:ind w:left="360" w:hanging="360"/>
      </w:pPr>
      <w:rPr>
        <w:rFonts w:ascii="Times New Roman" w:eastAsia="MyriadPro-Regular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B460091"/>
    <w:multiLevelType w:val="hybridMultilevel"/>
    <w:tmpl w:val="B496698E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782D95"/>
    <w:multiLevelType w:val="hybridMultilevel"/>
    <w:tmpl w:val="ED1CE6AA"/>
    <w:lvl w:ilvl="0" w:tplc="7B6A0A06">
      <w:numFmt w:val="bullet"/>
      <w:lvlText w:val="–"/>
      <w:lvlJc w:val="left"/>
      <w:pPr>
        <w:ind w:left="360" w:hanging="360"/>
      </w:pPr>
      <w:rPr>
        <w:rFonts w:ascii="Times New Roman" w:eastAsia="MyriadPro-Regular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21"/>
  </w:num>
  <w:num w:numId="4">
    <w:abstractNumId w:val="20"/>
  </w:num>
  <w:num w:numId="5">
    <w:abstractNumId w:val="8"/>
  </w:num>
  <w:num w:numId="6">
    <w:abstractNumId w:val="16"/>
  </w:num>
  <w:num w:numId="7">
    <w:abstractNumId w:val="14"/>
  </w:num>
  <w:num w:numId="8">
    <w:abstractNumId w:val="4"/>
  </w:num>
  <w:num w:numId="9">
    <w:abstractNumId w:val="19"/>
  </w:num>
  <w:num w:numId="10">
    <w:abstractNumId w:val="1"/>
  </w:num>
  <w:num w:numId="11">
    <w:abstractNumId w:val="12"/>
  </w:num>
  <w:num w:numId="12">
    <w:abstractNumId w:val="17"/>
  </w:num>
  <w:num w:numId="13">
    <w:abstractNumId w:val="11"/>
  </w:num>
  <w:num w:numId="14">
    <w:abstractNumId w:val="0"/>
    <w:lvlOverride w:ilvl="0">
      <w:lvl w:ilvl="0">
        <w:start w:val="1"/>
        <w:numFmt w:val="bullet"/>
        <w:lvlText w:val="-"/>
        <w:lvlJc w:val="left"/>
        <w:pPr>
          <w:ind w:left="360" w:hanging="360"/>
        </w:pPr>
      </w:lvl>
    </w:lvlOverride>
  </w:num>
  <w:num w:numId="15">
    <w:abstractNumId w:val="23"/>
  </w:num>
  <w:num w:numId="16">
    <w:abstractNumId w:val="10"/>
  </w:num>
  <w:num w:numId="17">
    <w:abstractNumId w:val="9"/>
  </w:num>
  <w:num w:numId="18">
    <w:abstractNumId w:val="13"/>
  </w:num>
  <w:num w:numId="19">
    <w:abstractNumId w:val="5"/>
  </w:num>
  <w:num w:numId="20">
    <w:abstractNumId w:val="24"/>
  </w:num>
  <w:num w:numId="21">
    <w:abstractNumId w:val="7"/>
  </w:num>
  <w:num w:numId="22">
    <w:abstractNumId w:val="22"/>
  </w:num>
  <w:num w:numId="23">
    <w:abstractNumId w:val="6"/>
  </w:num>
  <w:num w:numId="24">
    <w:abstractNumId w:val="15"/>
  </w:num>
  <w:num w:numId="25">
    <w:abstractNumId w:val="2"/>
  </w:num>
  <w:num w:numId="26">
    <w:abstractNumId w:val="18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removePersonalInformation/>
  <w:removeDateAndTime/>
  <w:activeWritingStyle w:appName="MSWord" w:lang="de-DE" w:vendorID="9" w:dllVersion="512" w:checkStyle="1"/>
  <w:activeWritingStyle w:appName="MSWord" w:lang="nl-NL" w:vendorID="9" w:dllVersion="512" w:checkStyle="1"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en-GB" w:vendorID="8" w:dllVersion="513" w:checkStyle="1"/>
  <w:activeWritingStyle w:appName="MSWord" w:lang="it-IT" w:vendorID="3" w:dllVersion="512" w:checkStyle="1"/>
  <w:activeWritingStyle w:appName="MSWord" w:lang="fr-FR" w:vendorID="9" w:dllVersion="512" w:checkStyle="1"/>
  <w:activeWritingStyle w:appName="MSWord" w:lang="sv-SE" w:vendorID="0" w:dllVersion="512" w:checkStyle="1"/>
  <w:activeWritingStyle w:appName="MSWord" w:lang="it-IT" w:vendorID="3" w:dllVersion="517" w:checkStyle="1"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Registered" w:val="-1"/>
    <w:docVar w:name="Version" w:val="0"/>
  </w:docVars>
  <w:rsids>
    <w:rsidRoot w:val="00482315"/>
    <w:rsid w:val="00020C41"/>
    <w:rsid w:val="0003006B"/>
    <w:rsid w:val="0003028E"/>
    <w:rsid w:val="00056463"/>
    <w:rsid w:val="00077695"/>
    <w:rsid w:val="000A3307"/>
    <w:rsid w:val="000A75F4"/>
    <w:rsid w:val="000D2091"/>
    <w:rsid w:val="00110332"/>
    <w:rsid w:val="00117159"/>
    <w:rsid w:val="00141B77"/>
    <w:rsid w:val="001425A7"/>
    <w:rsid w:val="0014271A"/>
    <w:rsid w:val="0016038C"/>
    <w:rsid w:val="00194A9C"/>
    <w:rsid w:val="001B01E7"/>
    <w:rsid w:val="001D2CFE"/>
    <w:rsid w:val="001F275D"/>
    <w:rsid w:val="00212AF3"/>
    <w:rsid w:val="0023359E"/>
    <w:rsid w:val="002806E4"/>
    <w:rsid w:val="002A48DC"/>
    <w:rsid w:val="002D483C"/>
    <w:rsid w:val="002E75BA"/>
    <w:rsid w:val="003017C1"/>
    <w:rsid w:val="00310E93"/>
    <w:rsid w:val="00315120"/>
    <w:rsid w:val="00315D69"/>
    <w:rsid w:val="00336EFC"/>
    <w:rsid w:val="003746A1"/>
    <w:rsid w:val="003943D1"/>
    <w:rsid w:val="003A1E8E"/>
    <w:rsid w:val="003B0C8E"/>
    <w:rsid w:val="003D7D48"/>
    <w:rsid w:val="00402910"/>
    <w:rsid w:val="004134D4"/>
    <w:rsid w:val="004236C5"/>
    <w:rsid w:val="00427A92"/>
    <w:rsid w:val="00461D5E"/>
    <w:rsid w:val="004819A0"/>
    <w:rsid w:val="00482315"/>
    <w:rsid w:val="004A4C7D"/>
    <w:rsid w:val="004C3D4F"/>
    <w:rsid w:val="004E6E06"/>
    <w:rsid w:val="00534112"/>
    <w:rsid w:val="005412F2"/>
    <w:rsid w:val="00544DB7"/>
    <w:rsid w:val="005519A8"/>
    <w:rsid w:val="00556685"/>
    <w:rsid w:val="005C54DE"/>
    <w:rsid w:val="005E0772"/>
    <w:rsid w:val="005F4AE2"/>
    <w:rsid w:val="0060014C"/>
    <w:rsid w:val="00642472"/>
    <w:rsid w:val="00643B0D"/>
    <w:rsid w:val="00670CCF"/>
    <w:rsid w:val="006C7CE4"/>
    <w:rsid w:val="006D7246"/>
    <w:rsid w:val="00700B6E"/>
    <w:rsid w:val="00710CDC"/>
    <w:rsid w:val="0071219A"/>
    <w:rsid w:val="00720063"/>
    <w:rsid w:val="007441B6"/>
    <w:rsid w:val="00746308"/>
    <w:rsid w:val="00761DBB"/>
    <w:rsid w:val="007648E6"/>
    <w:rsid w:val="00773912"/>
    <w:rsid w:val="007776BD"/>
    <w:rsid w:val="00785607"/>
    <w:rsid w:val="00790A82"/>
    <w:rsid w:val="007B2B53"/>
    <w:rsid w:val="007C24C4"/>
    <w:rsid w:val="007D03AA"/>
    <w:rsid w:val="007D66A5"/>
    <w:rsid w:val="007E62BA"/>
    <w:rsid w:val="0085036B"/>
    <w:rsid w:val="00860674"/>
    <w:rsid w:val="0089197E"/>
    <w:rsid w:val="008B560F"/>
    <w:rsid w:val="008D51EA"/>
    <w:rsid w:val="0090401A"/>
    <w:rsid w:val="00906956"/>
    <w:rsid w:val="009100E7"/>
    <w:rsid w:val="009C6CB2"/>
    <w:rsid w:val="009C7FB5"/>
    <w:rsid w:val="00A02D71"/>
    <w:rsid w:val="00A110DB"/>
    <w:rsid w:val="00A221CB"/>
    <w:rsid w:val="00A24558"/>
    <w:rsid w:val="00A32827"/>
    <w:rsid w:val="00A82A56"/>
    <w:rsid w:val="00A82E53"/>
    <w:rsid w:val="00A861E6"/>
    <w:rsid w:val="00AB074E"/>
    <w:rsid w:val="00B06984"/>
    <w:rsid w:val="00B23B97"/>
    <w:rsid w:val="00B30B07"/>
    <w:rsid w:val="00B4646D"/>
    <w:rsid w:val="00B81350"/>
    <w:rsid w:val="00B93036"/>
    <w:rsid w:val="00BB528C"/>
    <w:rsid w:val="00BC25E7"/>
    <w:rsid w:val="00BC64AD"/>
    <w:rsid w:val="00BE4FAA"/>
    <w:rsid w:val="00C11729"/>
    <w:rsid w:val="00C21EBA"/>
    <w:rsid w:val="00C346C8"/>
    <w:rsid w:val="00C511B7"/>
    <w:rsid w:val="00C5404D"/>
    <w:rsid w:val="00C728A7"/>
    <w:rsid w:val="00C93419"/>
    <w:rsid w:val="00CA064B"/>
    <w:rsid w:val="00CD15B9"/>
    <w:rsid w:val="00CF70DB"/>
    <w:rsid w:val="00D05EA5"/>
    <w:rsid w:val="00D154AE"/>
    <w:rsid w:val="00D54C51"/>
    <w:rsid w:val="00D627C9"/>
    <w:rsid w:val="00D76CD1"/>
    <w:rsid w:val="00D91C34"/>
    <w:rsid w:val="00D92476"/>
    <w:rsid w:val="00DB166D"/>
    <w:rsid w:val="00DD09C3"/>
    <w:rsid w:val="00DE0130"/>
    <w:rsid w:val="00DE51BC"/>
    <w:rsid w:val="00DF49A4"/>
    <w:rsid w:val="00E041A3"/>
    <w:rsid w:val="00E26A7B"/>
    <w:rsid w:val="00EE6C54"/>
    <w:rsid w:val="00F11D0A"/>
    <w:rsid w:val="00F56380"/>
    <w:rsid w:val="00F66878"/>
    <w:rsid w:val="00F66E3A"/>
    <w:rsid w:val="00FB5125"/>
    <w:rsid w:val="00FD4878"/>
    <w:rsid w:val="00FF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056424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772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5E0772"/>
    <w:pPr>
      <w:keepNext/>
      <w:spacing w:line="260" w:lineRule="exact"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5E0772"/>
    <w:pPr>
      <w:keepNext/>
      <w:tabs>
        <w:tab w:val="left" w:pos="567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5E0772"/>
    <w:pPr>
      <w:keepNext/>
      <w:spacing w:line="260" w:lineRule="exact"/>
      <w:jc w:val="both"/>
      <w:outlineLvl w:val="2"/>
    </w:pPr>
  </w:style>
  <w:style w:type="paragraph" w:styleId="Heading4">
    <w:name w:val="heading 4"/>
    <w:basedOn w:val="Normal"/>
    <w:next w:val="Normal"/>
    <w:qFormat/>
    <w:rsid w:val="005E0772"/>
    <w:pPr>
      <w:keepNext/>
      <w:tabs>
        <w:tab w:val="left" w:pos="567"/>
      </w:tabs>
      <w:spacing w:line="260" w:lineRule="exact"/>
      <w:jc w:val="both"/>
      <w:outlineLvl w:val="3"/>
    </w:pPr>
    <w:rPr>
      <w:b/>
      <w:noProof/>
    </w:rPr>
  </w:style>
  <w:style w:type="paragraph" w:styleId="Heading5">
    <w:name w:val="heading 5"/>
    <w:basedOn w:val="Normal"/>
    <w:next w:val="Normal"/>
    <w:qFormat/>
    <w:rsid w:val="005E0772"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5E0772"/>
    <w:pPr>
      <w:keepNext/>
      <w:tabs>
        <w:tab w:val="left" w:pos="-720"/>
        <w:tab w:val="left" w:pos="567"/>
        <w:tab w:val="left" w:pos="4536"/>
      </w:tabs>
      <w:suppressAutoHyphens/>
      <w:spacing w:line="260" w:lineRule="exact"/>
      <w:outlineLvl w:val="5"/>
    </w:pPr>
    <w:rPr>
      <w:i/>
      <w:lang w:val="en-GB"/>
    </w:rPr>
  </w:style>
  <w:style w:type="paragraph" w:styleId="Heading7">
    <w:name w:val="heading 7"/>
    <w:basedOn w:val="Normal"/>
    <w:next w:val="Normal"/>
    <w:qFormat/>
    <w:rsid w:val="005E0772"/>
    <w:pPr>
      <w:keepNext/>
      <w:tabs>
        <w:tab w:val="left" w:pos="-720"/>
        <w:tab w:val="left" w:pos="567"/>
        <w:tab w:val="left" w:pos="4536"/>
      </w:tabs>
      <w:suppressAutoHyphens/>
      <w:spacing w:line="260" w:lineRule="exact"/>
      <w:jc w:val="both"/>
      <w:outlineLvl w:val="6"/>
    </w:pPr>
    <w:rPr>
      <w:i/>
      <w:lang w:val="en-GB"/>
    </w:rPr>
  </w:style>
  <w:style w:type="paragraph" w:styleId="Heading8">
    <w:name w:val="heading 8"/>
    <w:basedOn w:val="Normal"/>
    <w:next w:val="Normal"/>
    <w:qFormat/>
    <w:rsid w:val="005E0772"/>
    <w:pPr>
      <w:keepNext/>
      <w:ind w:left="1494" w:hanging="360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5E0772"/>
    <w:pPr>
      <w:keepNext/>
      <w:shd w:val="pct25" w:color="000000" w:fill="FFFFFF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5E0772"/>
  </w:style>
  <w:style w:type="paragraph" w:styleId="Header">
    <w:name w:val="header"/>
    <w:basedOn w:val="Normal"/>
    <w:link w:val="HeaderChar"/>
    <w:uiPriority w:val="99"/>
    <w:rsid w:val="005E077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E0772"/>
    <w:pPr>
      <w:tabs>
        <w:tab w:val="center" w:pos="4536"/>
        <w:tab w:val="center" w:pos="8930"/>
      </w:tabs>
    </w:pPr>
    <w:rPr>
      <w:rFonts w:ascii="Helvetica" w:hAnsi="Helvetica"/>
      <w:sz w:val="16"/>
      <w:lang w:val="es-ES_tradnl"/>
    </w:rPr>
  </w:style>
  <w:style w:type="paragraph" w:styleId="BodyTextIndent">
    <w:name w:val="Body Text Indent"/>
    <w:basedOn w:val="Normal"/>
    <w:rsid w:val="005E0772"/>
    <w:pPr>
      <w:shd w:val="pct25" w:color="000000" w:fill="FFFFFF"/>
      <w:ind w:left="567" w:hanging="567"/>
    </w:pPr>
    <w:rPr>
      <w:b/>
    </w:rPr>
  </w:style>
  <w:style w:type="character" w:styleId="Hyperlink">
    <w:name w:val="Hyperlink"/>
    <w:uiPriority w:val="99"/>
    <w:rsid w:val="005E0772"/>
    <w:rPr>
      <w:color w:val="0000FF"/>
      <w:u w:val="single"/>
    </w:rPr>
  </w:style>
  <w:style w:type="paragraph" w:customStyle="1" w:styleId="EMEAEnBodyText">
    <w:name w:val="EMEA En Body Text"/>
    <w:basedOn w:val="Normal"/>
    <w:rsid w:val="005E0772"/>
    <w:pPr>
      <w:spacing w:before="120" w:after="120"/>
      <w:jc w:val="both"/>
    </w:pPr>
    <w:rPr>
      <w:lang w:val="en-US"/>
    </w:rPr>
  </w:style>
  <w:style w:type="paragraph" w:styleId="BalloonText">
    <w:name w:val="Balloon Text"/>
    <w:basedOn w:val="Normal"/>
    <w:semiHidden/>
    <w:rsid w:val="005E0772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5E0772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5E07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0772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5E077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077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E0772"/>
    <w:rPr>
      <w:b/>
      <w:bCs/>
      <w:lang w:eastAsia="en-US"/>
    </w:rPr>
  </w:style>
  <w:style w:type="character" w:customStyle="1" w:styleId="HeaderChar">
    <w:name w:val="Header Char"/>
    <w:link w:val="Header"/>
    <w:uiPriority w:val="99"/>
    <w:rsid w:val="00BB528C"/>
    <w:rPr>
      <w:sz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10332"/>
    <w:rPr>
      <w:color w:val="808080"/>
    </w:rPr>
  </w:style>
  <w:style w:type="paragraph" w:styleId="BodyText2">
    <w:name w:val="Body Text 2"/>
    <w:basedOn w:val="Normal"/>
    <w:link w:val="BodyText2Char"/>
    <w:rsid w:val="0071219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1219A"/>
    <w:rPr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71219A"/>
    <w:pPr>
      <w:ind w:left="720"/>
      <w:contextualSpacing/>
    </w:pPr>
  </w:style>
  <w:style w:type="paragraph" w:styleId="Revision">
    <w:name w:val="Revision"/>
    <w:hidden/>
    <w:uiPriority w:val="99"/>
    <w:semiHidden/>
    <w:rsid w:val="007441B6"/>
    <w:rPr>
      <w:sz w:val="22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017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9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zva.gov.lv/../?id=613&amp;sa=613&amp;top=3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3984E0-4B73-4B09-A247-48C0BAB148C6}"/>
      </w:docPartPr>
      <w:docPartBody>
        <w:p w:rsidR="00BB6EBD" w:rsidRDefault="00450785">
          <w:r w:rsidRPr="0089138B">
            <w:rPr>
              <w:rStyle w:val="Placehold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Pro-Regular">
    <w:charset w:val="00"/>
    <w:family w:val="auto"/>
    <w:pitch w:val="default"/>
    <w:sig w:usb0="00000201" w:usb1="00000000" w:usb2="00000000" w:usb3="00000000" w:csb0="00000004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50785"/>
    <w:rsid w:val="002C732E"/>
    <w:rsid w:val="00450785"/>
    <w:rsid w:val="00495DA8"/>
    <w:rsid w:val="00816E0B"/>
    <w:rsid w:val="00816E80"/>
    <w:rsid w:val="00893953"/>
    <w:rsid w:val="008D339B"/>
    <w:rsid w:val="009D1A7C"/>
    <w:rsid w:val="00A7483E"/>
    <w:rsid w:val="00B433DC"/>
    <w:rsid w:val="00BA0F67"/>
    <w:rsid w:val="00BB6EBD"/>
    <w:rsid w:val="00D21869"/>
    <w:rsid w:val="00D31BF1"/>
    <w:rsid w:val="00E043A2"/>
    <w:rsid w:val="00EE2E42"/>
    <w:rsid w:val="00F06866"/>
    <w:rsid w:val="00FA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8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6EBD"/>
    <w:rPr>
      <w:color w:val="808080"/>
    </w:rPr>
  </w:style>
  <w:style w:type="paragraph" w:customStyle="1" w:styleId="EF67056416AF4410925EF245E3FB228D">
    <w:name w:val="EF67056416AF4410925EF245E3FB228D"/>
    <w:rsid w:val="00BB6EBD"/>
  </w:style>
  <w:style w:type="paragraph" w:customStyle="1" w:styleId="C9DF815DB0434E738E885BF8280E0631">
    <w:name w:val="C9DF815DB0434E738E885BF8280E0631"/>
    <w:rsid w:val="00495DA8"/>
    <w:pPr>
      <w:spacing w:after="160" w:line="259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4641E530329847AAE86585309E0362" ma:contentTypeVersion="12" ma:contentTypeDescription="Create a new document." ma:contentTypeScope="" ma:versionID="80cfeefefab51d73ccc22ebe97de9678">
  <xsd:schema xmlns:xsd="http://www.w3.org/2001/XMLSchema" xmlns:xs="http://www.w3.org/2001/XMLSchema" xmlns:p="http://schemas.microsoft.com/office/2006/metadata/properties" xmlns:ns2="0145afb2-cba6-42af-9c31-772b98e4d078" xmlns:ns3="2c3d7e37-0010-4827-88a1-6ffa13d5d60a" targetNamespace="http://schemas.microsoft.com/office/2006/metadata/properties" ma:root="true" ma:fieldsID="3a20b7e0990b99bf89cec5b9fc54695a" ns2:_="" ns3:_="">
    <xsd:import namespace="0145afb2-cba6-42af-9c31-772b98e4d078"/>
    <xsd:import namespace="2c3d7e37-0010-4827-88a1-6ffa13d5d6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45afb2-cba6-42af-9c31-772b98e4d0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3d7e37-0010-4827-88a1-6ffa13d5d60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E1E93D-9168-4A3C-9DF1-336C25ED50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E8F70-163B-41DA-B598-0166E82764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45afb2-cba6-42af-9c31-772b98e4d078"/>
    <ds:schemaRef ds:uri="2c3d7e37-0010-4827-88a1-6ffa13d5d6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345380-561A-4A44-BAC5-C224EA24EE2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1413</Words>
  <Characters>8055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9450</CharactersWithSpaces>
  <SharedDoc>false</SharedDoc>
  <HLinks>
    <vt:vector size="6" baseType="variant">
      <vt:variant>
        <vt:i4>2359399</vt:i4>
      </vt:variant>
      <vt:variant>
        <vt:i4>0</vt:i4>
      </vt:variant>
      <vt:variant>
        <vt:i4>0</vt:i4>
      </vt:variant>
      <vt:variant>
        <vt:i4>5</vt:i4>
      </vt:variant>
      <vt:variant>
        <vt:lpwstr>http://www.ema.europa.eu/docs/en_GB/document_library/Template_or_form/2013/03/WC500139752.doc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2020-02-19T07:25:00Z</dcterms:created>
  <dcterms:modified xsi:type="dcterms:W3CDTF">2020-02-27T08:57:00Z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0x0101004D4641E530329847AAE86585309E0362</vt:lpwstr>
  </property>
</Properties>
</file>