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762F" w14:textId="77777777" w:rsidR="00EE64C6" w:rsidRPr="00513892" w:rsidRDefault="00EE64C6" w:rsidP="00513892">
      <w:pPr>
        <w:pStyle w:val="Default"/>
        <w:jc w:val="center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Lietošanas instrukcija: informācija pacientam</w:t>
      </w:r>
    </w:p>
    <w:p w14:paraId="4E7EA2B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6B35C439" w14:textId="77777777" w:rsidR="00EE64C6" w:rsidRPr="00513892" w:rsidRDefault="00914652" w:rsidP="00513892">
      <w:pPr>
        <w:pStyle w:val="Default"/>
        <w:jc w:val="center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</w:t>
      </w:r>
      <w:r w:rsidR="00EE64C6"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22,5 mg </w:t>
      </w:r>
      <w:proofErr w:type="spellStart"/>
      <w:r w:rsidR="00EE64C6" w:rsidRPr="00513892">
        <w:rPr>
          <w:rFonts w:ascii="Arial Narrow" w:hAnsi="Arial Narrow"/>
          <w:b/>
          <w:bCs/>
          <w:sz w:val="22"/>
          <w:szCs w:val="22"/>
          <w:lang w:val="lv-LV"/>
        </w:rPr>
        <w:t>apvalkotās</w:t>
      </w:r>
      <w:proofErr w:type="spellEnd"/>
      <w:r w:rsidR="00EE64C6"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tabletes</w:t>
      </w:r>
    </w:p>
    <w:p w14:paraId="08B5B09A" w14:textId="77777777" w:rsidR="00EE64C6" w:rsidRPr="00513892" w:rsidRDefault="00EE64C6" w:rsidP="00513892">
      <w:pPr>
        <w:pStyle w:val="Default"/>
        <w:jc w:val="center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i/>
          <w:iCs/>
          <w:sz w:val="22"/>
          <w:szCs w:val="22"/>
          <w:lang w:val="lv-LV"/>
        </w:rPr>
        <w:t>Silymarinum</w:t>
      </w:r>
      <w:proofErr w:type="spellEnd"/>
    </w:p>
    <w:p w14:paraId="3D44BB0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10C775B4" w14:textId="77777777" w:rsidR="009F72DC" w:rsidRPr="00513892" w:rsidRDefault="009F72DC" w:rsidP="00513892">
      <w:pPr>
        <w:numPr>
          <w:ilvl w:val="12"/>
          <w:numId w:val="0"/>
        </w:numPr>
        <w:spacing w:after="0" w:line="240" w:lineRule="auto"/>
        <w:jc w:val="both"/>
        <w:rPr>
          <w:rFonts w:ascii="Arial Narrow" w:hAnsi="Arial Narrow"/>
          <w:b/>
          <w:color w:val="000000"/>
          <w:lang w:val="lv-LV"/>
        </w:rPr>
      </w:pPr>
      <w:r w:rsidRPr="00513892">
        <w:rPr>
          <w:rFonts w:ascii="Arial Narrow" w:hAnsi="Arial Narrow"/>
          <w:b/>
          <w:color w:val="000000"/>
          <w:lang w:val="lv-LV"/>
        </w:rPr>
        <w:t>Pirms šo zāļu lietošanas uzmanīgi izlasiet visu instrukciju, jo tā satur Jums svarīgu informāciju.</w:t>
      </w:r>
    </w:p>
    <w:p w14:paraId="4EFB276C" w14:textId="77777777" w:rsidR="009F72DC" w:rsidRPr="00513892" w:rsidRDefault="009F72DC" w:rsidP="00513892">
      <w:pPr>
        <w:numPr>
          <w:ilvl w:val="12"/>
          <w:numId w:val="0"/>
        </w:numPr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noProof/>
          <w:color w:val="000000"/>
          <w:lang w:val="lv-LV"/>
        </w:rPr>
        <w:t>Vienmēr lietojiet šīs</w:t>
      </w:r>
      <w:r w:rsidRPr="00513892">
        <w:rPr>
          <w:rFonts w:ascii="Arial Narrow" w:hAnsi="Arial Narrow"/>
          <w:color w:val="000000"/>
          <w:lang w:val="lv-LV"/>
        </w:rPr>
        <w:t xml:space="preserve"> zāles tieši tā, kā </w:t>
      </w:r>
      <w:r w:rsidRPr="00513892">
        <w:rPr>
          <w:rFonts w:ascii="Arial Narrow" w:hAnsi="Arial Narrow"/>
          <w:noProof/>
          <w:color w:val="000000"/>
          <w:lang w:val="lv-LV"/>
        </w:rPr>
        <w:t>aprakstīts</w:t>
      </w:r>
      <w:r w:rsidRPr="00513892">
        <w:rPr>
          <w:rFonts w:ascii="Arial Narrow" w:hAnsi="Arial Narrow"/>
          <w:color w:val="000000"/>
          <w:lang w:val="lv-LV"/>
        </w:rPr>
        <w:t xml:space="preserve"> šajā instrukcijā, vai arī tā, kā ārsts vai farmaceits</w:t>
      </w:r>
      <w:r w:rsidRPr="00513892">
        <w:rPr>
          <w:rFonts w:ascii="Arial Narrow" w:hAnsi="Arial Narrow"/>
          <w:noProof/>
          <w:color w:val="000000"/>
          <w:lang w:val="lv-LV"/>
        </w:rPr>
        <w:t xml:space="preserve"> </w:t>
      </w:r>
      <w:r w:rsidRPr="00513892">
        <w:rPr>
          <w:rFonts w:ascii="Arial Narrow" w:hAnsi="Arial Narrow"/>
          <w:color w:val="000000"/>
          <w:lang w:val="lv-LV"/>
        </w:rPr>
        <w:t>Jums teicis.</w:t>
      </w:r>
    </w:p>
    <w:p w14:paraId="14243A72" w14:textId="77777777" w:rsidR="009F72DC" w:rsidRPr="00513892" w:rsidRDefault="009F72DC" w:rsidP="00513892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color w:val="000000"/>
          <w:lang w:val="lv-LV"/>
        </w:rPr>
        <w:t>Saglabājiet šo instrukciju! Iespējams, ka vēlāk to vajadzēs pārlasīt.</w:t>
      </w:r>
    </w:p>
    <w:p w14:paraId="4CE2E395" w14:textId="77777777" w:rsidR="009F72DC" w:rsidRPr="00513892" w:rsidRDefault="009F72DC" w:rsidP="00513892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color w:val="000000"/>
          <w:lang w:val="lv-LV"/>
        </w:rPr>
        <w:t>Ja Jums nepieciešama papildus informācija vai padoms, vaicājiet farmaceitam.</w:t>
      </w:r>
    </w:p>
    <w:p w14:paraId="37419F80" w14:textId="77777777" w:rsidR="009F72DC" w:rsidRPr="00513892" w:rsidRDefault="009F72DC" w:rsidP="00513892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color w:val="000000"/>
          <w:lang w:val="lv-LV"/>
        </w:rPr>
        <w:t xml:space="preserve">Ja Jums </w:t>
      </w:r>
      <w:r w:rsidRPr="00513892">
        <w:rPr>
          <w:rFonts w:ascii="Arial Narrow" w:hAnsi="Arial Narrow"/>
          <w:noProof/>
          <w:color w:val="000000"/>
          <w:lang w:val="lv-LV"/>
        </w:rPr>
        <w:t>rodas</w:t>
      </w:r>
      <w:r w:rsidRPr="00513892">
        <w:rPr>
          <w:rFonts w:ascii="Arial Narrow" w:hAnsi="Arial Narrow"/>
          <w:color w:val="000000"/>
          <w:lang w:val="lv-LV"/>
        </w:rPr>
        <w:t xml:space="preserve"> jebkādas blakusparādības, konsultējieties ar ārstu vai farmaceitu. Tas attiecas arī uz iespējamām blakusparādībām, kas </w:t>
      </w:r>
      <w:r w:rsidRPr="00513892">
        <w:rPr>
          <w:rFonts w:ascii="Arial Narrow" w:hAnsi="Arial Narrow"/>
          <w:noProof/>
          <w:color w:val="000000"/>
          <w:lang w:val="lv-LV"/>
        </w:rPr>
        <w:t xml:space="preserve">nav minētas </w:t>
      </w:r>
      <w:r w:rsidRPr="00513892">
        <w:rPr>
          <w:rFonts w:ascii="Arial Narrow" w:hAnsi="Arial Narrow"/>
          <w:color w:val="000000"/>
          <w:lang w:val="lv-LV"/>
        </w:rPr>
        <w:t>šajā instrukcijā. Skatīt 4. punktu.</w:t>
      </w:r>
    </w:p>
    <w:p w14:paraId="6B90B934" w14:textId="77777777" w:rsidR="009F72DC" w:rsidRPr="00513892" w:rsidRDefault="009F72DC" w:rsidP="00513892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noProof/>
          <w:color w:val="000000"/>
          <w:lang w:val="lv-LV"/>
        </w:rPr>
        <w:t>Ja šo zāļu lietošanas laikā Jūs</w:t>
      </w:r>
      <w:r w:rsidRPr="00513892">
        <w:rPr>
          <w:rFonts w:ascii="Arial Narrow" w:hAnsi="Arial Narrow"/>
          <w:color w:val="000000"/>
          <w:lang w:val="lv-LV"/>
        </w:rPr>
        <w:t xml:space="preserve"> nejūtaties labāk vai jūtaties sliktāk, Jums jākonsultējas ar ārstu.</w:t>
      </w:r>
    </w:p>
    <w:p w14:paraId="2A1DF99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5AFC55A4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Šajā instrukcijā varat uzzināt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:</w:t>
      </w:r>
    </w:p>
    <w:p w14:paraId="1D6E5B3B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Kas ir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un kādam nolū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kam to lieto</w:t>
      </w:r>
    </w:p>
    <w:p w14:paraId="2DAEBA6E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Kas jāzina pirms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anas</w:t>
      </w:r>
    </w:p>
    <w:p w14:paraId="2332D931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Kā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 lietot </w:t>
      </w:r>
      <w:proofErr w:type="spellStart"/>
      <w:r w:rsidR="00E30050"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</w:p>
    <w:p w14:paraId="70C2EE5C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Iespējamās blakusparādī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bas</w:t>
      </w:r>
    </w:p>
    <w:p w14:paraId="013F3D28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Kā uzglabā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t </w:t>
      </w:r>
      <w:proofErr w:type="spellStart"/>
      <w:r w:rsidR="00E30050"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</w:p>
    <w:p w14:paraId="7219D336" w14:textId="77777777" w:rsidR="00EE64C6" w:rsidRPr="00513892" w:rsidRDefault="00EE64C6" w:rsidP="00513892">
      <w:pPr>
        <w:pStyle w:val="Defaul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Iepakojuma saturs un cita informā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cija</w:t>
      </w:r>
    </w:p>
    <w:p w14:paraId="63C8BAD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92829A4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1. Kas ir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un kādam nolūkam to lieto</w:t>
      </w:r>
    </w:p>
    <w:p w14:paraId="6BDA3ECF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ir zāles, kas satur aktīvo vielu –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silimarīnu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kas iegūta no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mārdadža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sēklā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m.</w:t>
      </w:r>
    </w:p>
    <w:p w14:paraId="12CAC23D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 sekojošos gadī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jumos:</w:t>
      </w:r>
    </w:p>
    <w:p w14:paraId="078A4D5E" w14:textId="77777777" w:rsidR="00EE64C6" w:rsidRPr="00513892" w:rsidRDefault="00EE64C6" w:rsidP="00513892">
      <w:pPr>
        <w:pStyle w:val="Defaul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toksisku aknu bojājumu papi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ldterapija;</w:t>
      </w:r>
    </w:p>
    <w:p w14:paraId="5FC6D342" w14:textId="77777777" w:rsidR="00EE64C6" w:rsidRPr="00513892" w:rsidRDefault="00EE64C6" w:rsidP="00513892">
      <w:pPr>
        <w:pStyle w:val="Defaul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aknu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steatozes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(alkoholiska un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 nealkoholiska) papildterapija;</w:t>
      </w:r>
    </w:p>
    <w:p w14:paraId="69A36916" w14:textId="77777777" w:rsidR="00EE64C6" w:rsidRPr="00513892" w:rsidRDefault="00EE64C6" w:rsidP="00513892">
      <w:pPr>
        <w:pStyle w:val="Defaul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hronisku,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iekaisīgu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aknu slimī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bu papildterapija;</w:t>
      </w:r>
    </w:p>
    <w:p w14:paraId="3D03503A" w14:textId="77777777" w:rsidR="00EE64C6" w:rsidRPr="00513892" w:rsidRDefault="00EE64C6" w:rsidP="00513892">
      <w:pPr>
        <w:pStyle w:val="Defaul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kompleksa aknu cirozes ārstēš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ana;</w:t>
      </w:r>
    </w:p>
    <w:p w14:paraId="432995BD" w14:textId="77777777" w:rsidR="00EE64C6" w:rsidRPr="00513892" w:rsidRDefault="00EE64C6" w:rsidP="00513892">
      <w:pPr>
        <w:pStyle w:val="Defaul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aknu bojājumu profilakse ilgstošas zāļu vai alkohola lietošanas gadījumā, vai arī hroniskas intoksikācijas (tajā skaitā profesionālas) gadījumā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30B9A85C" w14:textId="77777777" w:rsidR="009F72DC" w:rsidRPr="00513892" w:rsidRDefault="009F72DC" w:rsidP="00513892">
      <w:pPr>
        <w:pStyle w:val="Default"/>
        <w:jc w:val="both"/>
        <w:rPr>
          <w:rFonts w:ascii="Arial Narrow" w:hAnsi="Arial Narrow"/>
          <w:noProof/>
          <w:sz w:val="22"/>
          <w:szCs w:val="22"/>
          <w:lang w:val="lv-LV"/>
        </w:rPr>
      </w:pPr>
      <w:r w:rsidRPr="00513892">
        <w:rPr>
          <w:rFonts w:ascii="Arial Narrow" w:hAnsi="Arial Narrow"/>
          <w:noProof/>
          <w:sz w:val="22"/>
          <w:szCs w:val="22"/>
          <w:lang w:val="lv-LV"/>
        </w:rPr>
        <w:t>Ja šo zāļu lietošanas laikā Jūs nejūtaties labāk vai jūtaties sliktāk, Jums jākonsultējas ar ārstu.</w:t>
      </w:r>
    </w:p>
    <w:p w14:paraId="12E57976" w14:textId="77777777" w:rsidR="00914652" w:rsidRPr="00513892" w:rsidRDefault="00914652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871722C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2. Kas jāzina pirms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lietošanas</w:t>
      </w:r>
    </w:p>
    <w:p w14:paraId="3D6E2DD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Nelietojiet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šādos gadījumos</w:t>
      </w:r>
      <w:r w:rsidR="000A5295" w:rsidRPr="00513892">
        <w:rPr>
          <w:rFonts w:ascii="Arial Narrow" w:hAnsi="Arial Narrow"/>
          <w:b/>
          <w:bCs/>
          <w:sz w:val="22"/>
          <w:szCs w:val="22"/>
          <w:lang w:val="lv-LV"/>
        </w:rPr>
        <w:t>:</w:t>
      </w:r>
    </w:p>
    <w:p w14:paraId="46E0D8E9" w14:textId="77777777" w:rsidR="00EE64C6" w:rsidRPr="00513892" w:rsidRDefault="00EE64C6" w:rsidP="00513892">
      <w:pPr>
        <w:pStyle w:val="Defaul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ja Jums ir alerģija pret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silimarīnu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asteru dzimtas augiem vai kādu citu (6. </w:t>
      </w:r>
      <w:r w:rsidR="00886CD8" w:rsidRPr="00513892">
        <w:rPr>
          <w:rFonts w:ascii="Arial Narrow" w:hAnsi="Arial Narrow"/>
          <w:sz w:val="22"/>
          <w:szCs w:val="22"/>
          <w:lang w:val="lv-LV"/>
        </w:rPr>
        <w:t xml:space="preserve">punktā </w:t>
      </w:r>
      <w:r w:rsidRPr="00513892">
        <w:rPr>
          <w:rFonts w:ascii="Arial Narrow" w:hAnsi="Arial Narrow"/>
          <w:sz w:val="22"/>
          <w:szCs w:val="22"/>
          <w:lang w:val="lv-LV"/>
        </w:rPr>
        <w:t>minēto) šo zāļu sastāvdaļu;</w:t>
      </w:r>
    </w:p>
    <w:p w14:paraId="3AEE4AA5" w14:textId="77777777" w:rsidR="00EE64C6" w:rsidRPr="00513892" w:rsidRDefault="00EE64C6" w:rsidP="00513892">
      <w:pPr>
        <w:pStyle w:val="Defaul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bērni, kuri jaunā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ki par 12 gadiem.</w:t>
      </w:r>
    </w:p>
    <w:p w14:paraId="62B27A4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7409C391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Brīdinājumi un piesardzība lietošanā</w:t>
      </w:r>
    </w:p>
    <w:p w14:paraId="35A0805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Pirms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lietošanas konsultējieties ar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rstu vai farmaceitu.</w:t>
      </w:r>
    </w:p>
    <w:p w14:paraId="6C1F48FD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terapija nevar aizvietot diētu vai atturēšanos no aknu bojājumu izraisošu vielu lietošanas (piemēram, alkohola lietoš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anas).</w:t>
      </w:r>
    </w:p>
    <w:p w14:paraId="3C04625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Pirms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lietošanas, konsultējieties ar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rstu:</w:t>
      </w:r>
    </w:p>
    <w:p w14:paraId="0F3CCD71" w14:textId="77777777" w:rsidR="00EE64C6" w:rsidRPr="00513892" w:rsidRDefault="00EE64C6" w:rsidP="00513892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ja Jums ir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endometrioze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(dzemdes audu augšana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rpus dzemdes);</w:t>
      </w:r>
    </w:p>
    <w:p w14:paraId="2AA21FE0" w14:textId="77777777" w:rsidR="00EE64C6" w:rsidRPr="00513892" w:rsidRDefault="00EE64C6" w:rsidP="00513892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ir veidojums dzemdes sieniņā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 (mioma);</w:t>
      </w:r>
    </w:p>
    <w:p w14:paraId="28AD9437" w14:textId="77777777" w:rsidR="00EE64C6" w:rsidRPr="00513892" w:rsidRDefault="00EE64C6" w:rsidP="00513892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ir krūts, olnīcu, dzemdes vai priekšdziedzera vē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zis;</w:t>
      </w:r>
    </w:p>
    <w:p w14:paraId="261BD288" w14:textId="77777777" w:rsidR="00EE64C6" w:rsidRPr="00513892" w:rsidRDefault="00EE64C6" w:rsidP="00513892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ir dzelte (dzeltenīga ādas vai acu ābolu nokrā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sa);</w:t>
      </w:r>
    </w:p>
    <w:p w14:paraId="14686900" w14:textId="77777777" w:rsidR="00EE64C6" w:rsidRPr="00513892" w:rsidRDefault="00EE64C6" w:rsidP="00513892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ir nieru darbības traucē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jumi.</w:t>
      </w:r>
    </w:p>
    <w:p w14:paraId="0490E452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4593BD8F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Bērni un pusaudži</w:t>
      </w:r>
    </w:p>
    <w:p w14:paraId="4FDBF16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Nav pietiekamas informācijas par lietošanu bērniem, tāpēc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nav ieteicams lietot bērniem, kuri jaunāki par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 12 gadiem.</w:t>
      </w:r>
    </w:p>
    <w:p w14:paraId="43C8460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75330C9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Citas zāles un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</w:p>
    <w:p w14:paraId="4277412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Pastāstiet ārstam vai farmaceitam par visām zālēm, kuras lietojat pēdējā laikā, esat lietojis vai varē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tu lietot.</w:t>
      </w:r>
    </w:p>
    <w:p w14:paraId="074C4F4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lastRenderedPageBreak/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var samazināt perorālo kontracepcijas līdzekļu un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hormonaizstājterapijas</w:t>
      </w:r>
      <w:proofErr w:type="spellEnd"/>
      <w:r w:rsidR="00850E38" w:rsidRPr="00513892">
        <w:rPr>
          <w:rFonts w:ascii="Arial Narrow" w:hAnsi="Arial Narrow"/>
          <w:sz w:val="22"/>
          <w:szCs w:val="22"/>
          <w:lang w:val="lv-LV"/>
        </w:rPr>
        <w:t>,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 un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tamoksifēna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(lieto krūts vēža ārstēšanai) efektivitā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ti.</w:t>
      </w:r>
    </w:p>
    <w:p w14:paraId="5DCC6B1A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var pastiprināt tādu zāļu, kā, piemēram,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diazepāms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(lieto trauksmes, muskuļu spazmu un krampju atvieglošanai),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alprazolams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(lieto trauksmes un panikas lēkmju ārstēšanai),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ketokonazols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(lieto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sēnīšinfekciju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ārstēšanai),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lovastatīns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un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atorvastatīns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(holesterīna līmeni pazeminošas zāles) un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vinblastīns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pretvēža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zāles), iedarbī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bu.</w:t>
      </w:r>
    </w:p>
    <w:p w14:paraId="0635A5A2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531FDB84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kopā ar uzturu, dzērienu un alkoholu</w:t>
      </w:r>
    </w:p>
    <w:p w14:paraId="0835427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Nav informācijas par uztura ietekmi uz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iedarbī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bu.</w:t>
      </w:r>
    </w:p>
    <w:p w14:paraId="7E440EE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lietošanas laikā jāizvairās no alkohola lietošanas, jo tas var ietekmēt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iedarbī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bu.</w:t>
      </w:r>
    </w:p>
    <w:p w14:paraId="13FC597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5300B77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Grūtniecība, </w:t>
      </w:r>
      <w:r w:rsidR="00886CD8" w:rsidRPr="00513892">
        <w:rPr>
          <w:rFonts w:ascii="Arial Narrow" w:hAnsi="Arial Narrow"/>
          <w:b/>
          <w:bCs/>
          <w:sz w:val="22"/>
          <w:szCs w:val="22"/>
          <w:lang w:val="lv-LV"/>
        </w:rPr>
        <w:t>barošana ar krūti</w:t>
      </w: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un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fertilitāte</w:t>
      </w:r>
      <w:proofErr w:type="spellEnd"/>
    </w:p>
    <w:p w14:paraId="5D8C3C61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Ja Jums iestājusies grūtniecība vai barojat bērnu ar krūti, ja domājat, ka Jums varētu būt iestājusies grūtniecība, vai arī Jūs plānojat grūtniecību, pirms šo zāļu lietošanas konsultējieties ar ārstu vai farmaceitu. </w:t>
      </w:r>
      <w:r w:rsidR="00914652" w:rsidRPr="00513892">
        <w:rPr>
          <w:rFonts w:ascii="Arial Narrow" w:hAnsi="Arial Narrow"/>
          <w:sz w:val="22"/>
          <w:szCs w:val="22"/>
          <w:lang w:val="lv-LV"/>
        </w:rPr>
        <w:t>Ā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rsts izlems, vai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lietošana Jums ir piemē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rota.</w:t>
      </w:r>
    </w:p>
    <w:p w14:paraId="488E30B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Grūtnieces un mātes, kuras baro bērnu ar krūti,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apvalkotās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tabletes drīkst lietot tikai pēc ārsta norādījuma, ja iespējamais ieguvums mātei pārsniedz šo zāļu izraisīto risku auglim vai jaundzimušajam.</w:t>
      </w:r>
    </w:p>
    <w:p w14:paraId="11F01448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4246D74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Transportlīdzekļu vadīšana un mehānismu apkalpošana</w:t>
      </w:r>
    </w:p>
    <w:p w14:paraId="32BDF02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neietekmē spēju vadīt transportlīdzekļu</w:t>
      </w:r>
      <w:r w:rsidR="00850E38" w:rsidRPr="00513892">
        <w:rPr>
          <w:rFonts w:ascii="Arial Narrow" w:hAnsi="Arial Narrow"/>
          <w:sz w:val="22"/>
          <w:szCs w:val="22"/>
          <w:lang w:val="lv-LV"/>
        </w:rPr>
        <w:t>s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 vai apkalpot mehā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nismus.</w:t>
      </w:r>
    </w:p>
    <w:p w14:paraId="3BB2B97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29B364E3" w14:textId="15025388" w:rsidR="002E7FB1" w:rsidRPr="002E7FB1" w:rsidRDefault="002E7FB1" w:rsidP="002E7FB1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lv-LV"/>
        </w:rPr>
      </w:pPr>
      <w:proofErr w:type="spellStart"/>
      <w:r w:rsidRPr="002E7FB1">
        <w:rPr>
          <w:rFonts w:ascii="Arial Narrow" w:hAnsi="Arial Narrow"/>
          <w:b/>
          <w:color w:val="auto"/>
          <w:sz w:val="22"/>
          <w:szCs w:val="22"/>
          <w:lang w:val="lv-LV"/>
        </w:rPr>
        <w:t>Carsil</w:t>
      </w:r>
      <w:proofErr w:type="spellEnd"/>
      <w:r w:rsidRPr="002E7FB1">
        <w:rPr>
          <w:rFonts w:ascii="Arial Narrow" w:hAnsi="Arial Narrow"/>
          <w:b/>
          <w:color w:val="auto"/>
          <w:sz w:val="22"/>
          <w:szCs w:val="22"/>
          <w:lang w:val="lv-LV"/>
        </w:rPr>
        <w:t xml:space="preserve"> satur laktozes </w:t>
      </w:r>
      <w:proofErr w:type="spellStart"/>
      <w:r w:rsidRPr="002E7FB1">
        <w:rPr>
          <w:rFonts w:ascii="Arial Narrow" w:hAnsi="Arial Narrow"/>
          <w:b/>
          <w:color w:val="auto"/>
          <w:sz w:val="22"/>
          <w:szCs w:val="22"/>
          <w:lang w:val="lv-LV"/>
        </w:rPr>
        <w:t>monohidrātu</w:t>
      </w:r>
      <w:proofErr w:type="spellEnd"/>
      <w:r w:rsidR="00340365">
        <w:rPr>
          <w:rFonts w:ascii="Arial Narrow" w:hAnsi="Arial Narrow"/>
          <w:b/>
          <w:color w:val="auto"/>
          <w:sz w:val="22"/>
          <w:szCs w:val="22"/>
          <w:lang w:val="lv-LV"/>
        </w:rPr>
        <w:t xml:space="preserve"> un </w:t>
      </w:r>
      <w:r w:rsidRPr="002E7FB1">
        <w:rPr>
          <w:rFonts w:ascii="Arial Narrow" w:hAnsi="Arial Narrow"/>
          <w:b/>
          <w:color w:val="auto"/>
          <w:sz w:val="22"/>
          <w:szCs w:val="22"/>
          <w:lang w:val="lv-LV"/>
        </w:rPr>
        <w:t>kviešu cieti</w:t>
      </w:r>
    </w:p>
    <w:p w14:paraId="62322E68" w14:textId="77777777" w:rsidR="002E7FB1" w:rsidRPr="002E7FB1" w:rsidRDefault="002E7FB1" w:rsidP="002E7FB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  <w:lang w:val="lv-LV"/>
        </w:rPr>
      </w:pPr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Ja ārsts ir teicis, ka Jums ir kāda cukura nepanesība, pirms lietojat šīs zāles, konsultējieties ar ārstu.</w:t>
      </w:r>
    </w:p>
    <w:p w14:paraId="3A2B32BC" w14:textId="77777777" w:rsidR="002E7FB1" w:rsidRPr="002E7FB1" w:rsidRDefault="002E7FB1" w:rsidP="002E7FB1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lang w:val="lv-LV"/>
        </w:rPr>
      </w:pPr>
    </w:p>
    <w:p w14:paraId="26461FCE" w14:textId="77777777" w:rsidR="002E7FB1" w:rsidRPr="002E7FB1" w:rsidRDefault="002E7FB1" w:rsidP="002E7FB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  <w:lang w:val="lv-LV"/>
        </w:rPr>
      </w:pPr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 xml:space="preserve">Zālēs esošā kviešu ciete satur ļoti nelielu </w:t>
      </w:r>
      <w:proofErr w:type="spellStart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glutēna</w:t>
      </w:r>
      <w:proofErr w:type="spellEnd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 xml:space="preserve"> daudzumu un maz ticams, ka tas izraisīs traucējumus, ja Jums ir </w:t>
      </w:r>
      <w:proofErr w:type="spellStart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celiakija</w:t>
      </w:r>
      <w:proofErr w:type="spellEnd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.</w:t>
      </w:r>
    </w:p>
    <w:p w14:paraId="6B3EDC94" w14:textId="77777777" w:rsidR="002E7FB1" w:rsidRPr="002E7FB1" w:rsidRDefault="002E7FB1" w:rsidP="002E7FB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  <w:lang w:val="lv-LV"/>
        </w:rPr>
      </w:pPr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 xml:space="preserve">Katra tablete satur ne vairāk kā 3,95 </w:t>
      </w:r>
      <w:proofErr w:type="spellStart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mikrogramus</w:t>
      </w:r>
      <w:proofErr w:type="spellEnd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 xml:space="preserve"> </w:t>
      </w:r>
      <w:proofErr w:type="spellStart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glutēna</w:t>
      </w:r>
      <w:proofErr w:type="spellEnd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.</w:t>
      </w:r>
    </w:p>
    <w:p w14:paraId="65A10330" w14:textId="77777777" w:rsidR="002E7FB1" w:rsidRPr="002E7FB1" w:rsidRDefault="002E7FB1" w:rsidP="002E7FB1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  <w:lang w:val="lv-LV"/>
        </w:rPr>
      </w:pPr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 xml:space="preserve">Nelietojiet šīs zāles, ja Jums ir alerģija pret kviešiem (atšķirīga no </w:t>
      </w:r>
      <w:proofErr w:type="spellStart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celiakijas</w:t>
      </w:r>
      <w:proofErr w:type="spellEnd"/>
      <w:r w:rsidRPr="002E7FB1">
        <w:rPr>
          <w:rFonts w:ascii="Arial Narrow" w:hAnsi="Arial Narrow"/>
          <w:bCs/>
          <w:color w:val="auto"/>
          <w:sz w:val="22"/>
          <w:szCs w:val="22"/>
          <w:lang w:val="lv-LV"/>
        </w:rPr>
        <w:t>).</w:t>
      </w:r>
    </w:p>
    <w:p w14:paraId="099F99F1" w14:textId="77777777" w:rsidR="002E7FB1" w:rsidRDefault="002E7FB1" w:rsidP="00513892">
      <w:pPr>
        <w:pStyle w:val="Default"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</w:p>
    <w:p w14:paraId="6A236AFF" w14:textId="39ABA9D8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3. Kā lietot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</w:p>
    <w:p w14:paraId="24440B2A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Vienmēr lietojiet šīs zāles saskaņā ar šo instrukciju vai saskaņā ar ārsta vai farmaceita norādījumiem. Neskaidrību gadījumā vaicājiet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rstam vai farmaceitam.</w:t>
      </w:r>
    </w:p>
    <w:p w14:paraId="2F6B4EA8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Tabletes jānorij veselas, uzdzerot pietiekamu daudzumu šķidruma. Tableti nevar sadalī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t.</w:t>
      </w:r>
    </w:p>
    <w:p w14:paraId="42B554E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4187F664" w14:textId="77777777" w:rsidR="00E30050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u w:val="single"/>
          <w:lang w:val="lv-LV"/>
        </w:rPr>
      </w:pPr>
      <w:r w:rsidRPr="00513892">
        <w:rPr>
          <w:rFonts w:ascii="Arial Narrow" w:hAnsi="Arial Narrow"/>
          <w:sz w:val="22"/>
          <w:szCs w:val="22"/>
          <w:u w:val="single"/>
          <w:lang w:val="lv-LV"/>
        </w:rPr>
        <w:t>Ieteicamā</w:t>
      </w:r>
      <w:r w:rsidR="00E30050" w:rsidRPr="00513892">
        <w:rPr>
          <w:rFonts w:ascii="Arial Narrow" w:hAnsi="Arial Narrow"/>
          <w:sz w:val="22"/>
          <w:szCs w:val="22"/>
          <w:u w:val="single"/>
          <w:lang w:val="lv-LV"/>
        </w:rPr>
        <w:t xml:space="preserve"> deva ir:</w:t>
      </w:r>
    </w:p>
    <w:p w14:paraId="1804428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i/>
          <w:iCs/>
          <w:sz w:val="22"/>
          <w:szCs w:val="22"/>
          <w:lang w:val="lv-LV"/>
        </w:rPr>
        <w:t>Pieaugušie un bērni, kuri vecāki par 12 gadiem</w:t>
      </w:r>
    </w:p>
    <w:p w14:paraId="767A0E7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Smagākos gadījumos sākuma deva ir 4 tabletes 3 reizes dienā, lietojot pirms ēdienreizēm. Mazāk smagos gadījumos un uzturošā deva ir 2 tabletes 2 – 3 reizes dienā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4389ACA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Deva aknu bojājumu profilaksei ir 2 - 3 tabletes dienā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13B0FF7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844998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i/>
          <w:iCs/>
          <w:sz w:val="22"/>
          <w:szCs w:val="22"/>
          <w:lang w:val="lv-LV"/>
        </w:rPr>
        <w:t>Bērni, kuri jaunāki par 12 gadiem</w:t>
      </w:r>
    </w:p>
    <w:p w14:paraId="4AC26CBD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Nav pietiekamas informācijas par lietošanu bērniem, tāpēc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nav ieteicams lietot bērniem, kuri jaunā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ki par 12 gadiem.</w:t>
      </w:r>
    </w:p>
    <w:p w14:paraId="1FD27E4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6944428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Parastais terapijas ilgums ir apmēram 3 mēneš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i.</w:t>
      </w:r>
    </w:p>
    <w:p w14:paraId="382C711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šķiet, ka šo zāļu iedarbība ir par stipru vai vāju, lūdzu, konsultējieties ar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rstu vai farmaceitu.</w:t>
      </w:r>
    </w:p>
    <w:p w14:paraId="1BFBEFA7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2B25A127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Lietošana bērniem un pusaudžiem</w:t>
      </w:r>
    </w:p>
    <w:p w14:paraId="5DA4139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nedrīkst lietot bērniem, kuri jaunā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ki par 12 gadiem.</w:t>
      </w:r>
    </w:p>
    <w:p w14:paraId="7A9020BA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6448B77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Ja esat lietojis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vairāk nekā noteikts</w:t>
      </w:r>
    </w:p>
    <w:p w14:paraId="0EA70C81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Nav ziņots par pārdozēšanas gadījumiem ar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silimarīnu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>. Tomēr, ja Jūs esat lietojis lielāku devu, kā noteikts, nekavējoties sazinieties ar ārstu vai tuvākās slimnīcas neatliekamās palīdzības nodaļu, lai saņ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emtu padomu.</w:t>
      </w:r>
    </w:p>
    <w:p w14:paraId="3997742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48404EA" w14:textId="77777777" w:rsidR="00340365" w:rsidRDefault="00340365" w:rsidP="00513892">
      <w:pPr>
        <w:pStyle w:val="Default"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</w:p>
    <w:p w14:paraId="024FB3FE" w14:textId="154B4ADF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lastRenderedPageBreak/>
        <w:t xml:space="preserve">Ja esat aizmirsis lietot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</w:p>
    <w:p w14:paraId="46B8D71D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Jūs esat aizmirsis lietot devu noteiktajā laikā, lietojiet to tiklīdz atceraties. Ja ir pienācis laiks jau nākamās devas lietošanai, izlaidiet aizmirsto devu un turpiniet kā parasti. Nelietojiet dubultu devu,</w:t>
      </w:r>
      <w:r w:rsidR="00E30050" w:rsidRPr="00513892">
        <w:rPr>
          <w:rFonts w:ascii="Arial Narrow" w:hAnsi="Arial Narrow"/>
          <w:sz w:val="22"/>
          <w:szCs w:val="22"/>
          <w:lang w:val="lv-LV"/>
        </w:rPr>
        <w:t xml:space="preserve"> lai aizvietotu aizmirsto devu.</w:t>
      </w:r>
    </w:p>
    <w:p w14:paraId="633DD496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Ja Jums ir kādi jautājumi par šo zāļu lietošanu, jautājiet 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rstam vai farmaceitam.</w:t>
      </w:r>
    </w:p>
    <w:p w14:paraId="72E0E1C3" w14:textId="77777777" w:rsidR="00914652" w:rsidRPr="00513892" w:rsidRDefault="00914652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3841F691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4. Iespējamās blakusparādības</w:t>
      </w:r>
    </w:p>
    <w:p w14:paraId="016C7F7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Tāpat kā visas zāles, šīs zāles var izraisīt blakusparādības, kaut arī ne visiem tās izpauž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as.</w:t>
      </w:r>
    </w:p>
    <w:p w14:paraId="1C0B1EAC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Šo zāļu panesamība ir laba. Blakusparādības parasti ir vieglas formas un tās ir pārejoš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as.</w:t>
      </w:r>
    </w:p>
    <w:p w14:paraId="49F9926D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i/>
          <w:iCs/>
          <w:sz w:val="22"/>
          <w:szCs w:val="22"/>
          <w:lang w:val="lv-LV"/>
        </w:rPr>
        <w:t>Reti (novēro 1 līdz 10 pacientiem no 10 000)</w:t>
      </w:r>
    </w:p>
    <w:p w14:paraId="0673456E" w14:textId="77777777" w:rsidR="00EE64C6" w:rsidRPr="00513892" w:rsidRDefault="00EE64C6" w:rsidP="00513892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esošu vestibulāru traucējumu saasinā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jums;</w:t>
      </w:r>
    </w:p>
    <w:p w14:paraId="0F3B3AAC" w14:textId="77777777" w:rsidR="00EE64C6" w:rsidRPr="00513892" w:rsidRDefault="00EE64C6" w:rsidP="00513892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caureja, ko izraisa pastiprināta aknu un žults darbī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ba.</w:t>
      </w:r>
    </w:p>
    <w:p w14:paraId="224EFB3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i/>
          <w:iCs/>
          <w:sz w:val="22"/>
          <w:szCs w:val="22"/>
          <w:lang w:val="lv-LV"/>
        </w:rPr>
        <w:t>Ļoti reti (novēro mazāk kā 1 pacientam no 10 000)</w:t>
      </w:r>
    </w:p>
    <w:p w14:paraId="4B08DE2D" w14:textId="77777777" w:rsidR="00EE64C6" w:rsidRPr="00513892" w:rsidRDefault="00EE64C6" w:rsidP="00513892">
      <w:pPr>
        <w:pStyle w:val="Defaul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alerģisk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as reakcijas – nieze, izsitumi.</w:t>
      </w:r>
    </w:p>
    <w:p w14:paraId="6FE6BCE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i/>
          <w:iCs/>
          <w:sz w:val="22"/>
          <w:szCs w:val="22"/>
          <w:lang w:val="lv-LV"/>
        </w:rPr>
        <w:t>Nav zināmi (sastopamības biežumu nevar noteikt pēc pieejamiem datiem)</w:t>
      </w:r>
    </w:p>
    <w:p w14:paraId="01E9874B" w14:textId="77777777" w:rsidR="00EE64C6" w:rsidRPr="00513892" w:rsidRDefault="00EE64C6" w:rsidP="00513892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anafilaktisks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šoks (smaga alerģ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iska reakcija);</w:t>
      </w:r>
    </w:p>
    <w:p w14:paraId="76F80383" w14:textId="77777777" w:rsidR="00EE64C6" w:rsidRPr="00513892" w:rsidRDefault="00EE64C6" w:rsidP="00513892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slikta dūša, vemšana, dispepsija, samazināta apetīte, gāzu uzkrāšanā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s.</w:t>
      </w:r>
    </w:p>
    <w:p w14:paraId="23ABAC6F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C02E1D7" w14:textId="77777777" w:rsidR="00886CD8" w:rsidRPr="00513892" w:rsidRDefault="00886CD8" w:rsidP="00513892">
      <w:pPr>
        <w:numPr>
          <w:ilvl w:val="12"/>
          <w:numId w:val="0"/>
        </w:numPr>
        <w:spacing w:after="0" w:line="240" w:lineRule="auto"/>
        <w:jc w:val="both"/>
        <w:outlineLvl w:val="0"/>
        <w:rPr>
          <w:rFonts w:ascii="Arial Narrow" w:hAnsi="Arial Narrow"/>
          <w:b/>
          <w:color w:val="000000"/>
          <w:lang w:val="lv-LV"/>
        </w:rPr>
      </w:pPr>
      <w:r w:rsidRPr="00513892">
        <w:rPr>
          <w:rFonts w:ascii="Arial Narrow" w:hAnsi="Arial Narrow"/>
          <w:b/>
          <w:color w:val="000000"/>
          <w:lang w:val="lv-LV"/>
        </w:rPr>
        <w:t>Ziņošana par blakusparādībām</w:t>
      </w:r>
    </w:p>
    <w:p w14:paraId="659E9B77" w14:textId="77777777" w:rsidR="00886CD8" w:rsidRPr="00513892" w:rsidRDefault="00886CD8" w:rsidP="00513892">
      <w:pPr>
        <w:numPr>
          <w:ilvl w:val="12"/>
          <w:numId w:val="0"/>
        </w:numPr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color w:val="000000"/>
          <w:lang w:val="lv-LV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</w:t>
      </w:r>
      <w:r w:rsidR="00DF1DE1" w:rsidRPr="00513892">
        <w:rPr>
          <w:rFonts w:ascii="Arial Narrow" w:hAnsi="Arial Narrow"/>
          <w:color w:val="000000"/>
          <w:lang w:val="lv-LV"/>
        </w:rPr>
        <w:t>tieši, Zāļu valsts a</w:t>
      </w:r>
      <w:r w:rsidRPr="00513892">
        <w:rPr>
          <w:rFonts w:ascii="Arial Narrow" w:hAnsi="Arial Narrow"/>
          <w:color w:val="000000"/>
          <w:lang w:val="lv-LV"/>
        </w:rPr>
        <w:t xml:space="preserve">ģentūrai, Jersikas ielā 15, Rīgā, LV 1003. </w:t>
      </w:r>
      <w:r w:rsidRPr="00513892">
        <w:rPr>
          <w:rFonts w:ascii="Arial Narrow" w:eastAsia="Calibri" w:hAnsi="Arial Narrow"/>
          <w:color w:val="000000"/>
          <w:lang w:val="lv-LV" w:eastAsia="zh-CN"/>
        </w:rPr>
        <w:t xml:space="preserve">Tīmekļa vietne: </w:t>
      </w:r>
      <w:hyperlink r:id="rId7" w:history="1">
        <w:r w:rsidRPr="00513892">
          <w:rPr>
            <w:rFonts w:ascii="Arial Narrow" w:eastAsia="Calibri" w:hAnsi="Arial Narrow"/>
            <w:color w:val="000000"/>
            <w:u w:val="single"/>
            <w:lang w:val="lv-LV" w:eastAsia="zh-CN"/>
          </w:rPr>
          <w:t>www.zva.gov.lv</w:t>
        </w:r>
      </w:hyperlink>
    </w:p>
    <w:p w14:paraId="10BF2470" w14:textId="77777777" w:rsidR="00886CD8" w:rsidRPr="00513892" w:rsidRDefault="00886CD8" w:rsidP="00513892">
      <w:pPr>
        <w:numPr>
          <w:ilvl w:val="12"/>
          <w:numId w:val="0"/>
        </w:numPr>
        <w:spacing w:after="0" w:line="240" w:lineRule="auto"/>
        <w:jc w:val="both"/>
        <w:rPr>
          <w:rFonts w:ascii="Arial Narrow" w:hAnsi="Arial Narrow"/>
          <w:color w:val="000000"/>
          <w:lang w:val="lv-LV"/>
        </w:rPr>
      </w:pPr>
      <w:r w:rsidRPr="00513892">
        <w:rPr>
          <w:rFonts w:ascii="Arial Narrow" w:hAnsi="Arial Narrow"/>
          <w:color w:val="000000"/>
          <w:lang w:val="lv-LV"/>
        </w:rPr>
        <w:t>Ziņojot par blakusparādībām, Jūs varat palīdzēt nodrošināt daudz plašāku informāciju par šo zāļu drošumu.</w:t>
      </w:r>
    </w:p>
    <w:p w14:paraId="0FE58800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39DCA9C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5. Kā uzglabāt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</w:p>
    <w:p w14:paraId="2F8433C5" w14:textId="77777777" w:rsidR="00E30050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Uzglabāt bērniem neredzamā un nepieejamā vietā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345C6B83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Uzglabāt oriģinālā iepakojumā, lai pasargā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tu no mitruma.</w:t>
      </w:r>
    </w:p>
    <w:p w14:paraId="5895563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Uzglabāt temperatūrā lī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dz 25°C.</w:t>
      </w:r>
    </w:p>
    <w:p w14:paraId="2586995E" w14:textId="27216CB5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Nelietot šīs zāles pēc derīguma termiņa beigām, kas norādīts uz </w:t>
      </w:r>
      <w:r w:rsidR="00914652" w:rsidRPr="00513892">
        <w:rPr>
          <w:rFonts w:ascii="Arial Narrow" w:hAnsi="Arial Narrow"/>
          <w:sz w:val="22"/>
          <w:szCs w:val="22"/>
          <w:lang w:val="lv-LV"/>
        </w:rPr>
        <w:t xml:space="preserve">iepakojuma 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pēc </w:t>
      </w:r>
      <w:r w:rsidR="005507AC" w:rsidRPr="00513892">
        <w:rPr>
          <w:rFonts w:ascii="Arial Narrow" w:hAnsi="Arial Narrow"/>
          <w:sz w:val="22"/>
          <w:szCs w:val="22"/>
          <w:lang w:val="lv-LV"/>
        </w:rPr>
        <w:t>„</w:t>
      </w:r>
      <w:proofErr w:type="spellStart"/>
      <w:r w:rsidR="005507AC" w:rsidRPr="00513892">
        <w:rPr>
          <w:rFonts w:ascii="Arial Narrow" w:hAnsi="Arial Narrow"/>
          <w:color w:val="auto"/>
          <w:sz w:val="22"/>
          <w:szCs w:val="22"/>
          <w:lang w:val="lv-LV"/>
        </w:rPr>
        <w:t>Годен</w:t>
      </w:r>
      <w:proofErr w:type="spellEnd"/>
      <w:r w:rsidR="005507AC" w:rsidRPr="00513892">
        <w:rPr>
          <w:rFonts w:ascii="Arial Narrow" w:hAnsi="Arial Narrow"/>
          <w:color w:val="auto"/>
          <w:sz w:val="22"/>
          <w:szCs w:val="22"/>
          <w:lang w:val="lv-LV"/>
        </w:rPr>
        <w:t xml:space="preserve"> </w:t>
      </w:r>
      <w:proofErr w:type="spellStart"/>
      <w:r w:rsidR="005507AC" w:rsidRPr="00513892">
        <w:rPr>
          <w:rFonts w:ascii="Arial Narrow" w:hAnsi="Arial Narrow"/>
          <w:color w:val="auto"/>
          <w:sz w:val="22"/>
          <w:szCs w:val="22"/>
          <w:lang w:val="lv-LV"/>
        </w:rPr>
        <w:t>до</w:t>
      </w:r>
      <w:proofErr w:type="spellEnd"/>
      <w:r w:rsidR="005507AC" w:rsidRPr="00513892">
        <w:rPr>
          <w:rFonts w:ascii="Arial Narrow" w:hAnsi="Arial Narrow"/>
          <w:color w:val="auto"/>
          <w:sz w:val="22"/>
          <w:szCs w:val="22"/>
          <w:lang w:val="lv-LV"/>
        </w:rPr>
        <w:t>:</w:t>
      </w:r>
      <w:r w:rsidR="005507AC" w:rsidRPr="00513892">
        <w:rPr>
          <w:rFonts w:ascii="Arial Narrow" w:hAnsi="Arial Narrow"/>
          <w:sz w:val="22"/>
          <w:szCs w:val="22"/>
          <w:lang w:val="lv-LV"/>
        </w:rPr>
        <w:t>”</w:t>
      </w:r>
      <w:r w:rsidRPr="00513892">
        <w:rPr>
          <w:rFonts w:ascii="Arial Narrow" w:hAnsi="Arial Narrow"/>
          <w:sz w:val="22"/>
          <w:szCs w:val="22"/>
          <w:lang w:val="lv-LV"/>
        </w:rPr>
        <w:t>. Derīguma termiņš attiecas uz norādītā mēneša pēdē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jo dienu.</w:t>
      </w:r>
    </w:p>
    <w:p w14:paraId="6B3927B5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Neizmetiet zāles kanalizācijā vai sadzīves atkritumos. Vaicājiet farmaceitam, kā izmest zāles, kuras vairs nelietojat. Šie pasākumi palīdzēs aizsargāt apkārtē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jo vidi.</w:t>
      </w:r>
    </w:p>
    <w:p w14:paraId="0AB53BF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254E6DFA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6. Iepakojuma saturs un cita informācija</w:t>
      </w:r>
    </w:p>
    <w:p w14:paraId="7643221E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Ko </w:t>
      </w: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satur</w:t>
      </w:r>
    </w:p>
    <w:p w14:paraId="0880D7E8" w14:textId="4D9BAC77" w:rsidR="00EE64C6" w:rsidRPr="00513892" w:rsidRDefault="00EE64C6" w:rsidP="00513892">
      <w:pPr>
        <w:pStyle w:val="Defaul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Aktīvā viela ir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silimarīns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. Katra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apvalkotā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tablete satur 40,9 – 5</w:t>
      </w:r>
      <w:r w:rsidR="007E7C75">
        <w:rPr>
          <w:rFonts w:ascii="Arial Narrow" w:hAnsi="Arial Narrow"/>
          <w:sz w:val="22"/>
          <w:szCs w:val="22"/>
          <w:lang w:val="lv-LV"/>
        </w:rPr>
        <w:t>6</w:t>
      </w:r>
      <w:r w:rsidRPr="00513892">
        <w:rPr>
          <w:rFonts w:ascii="Arial Narrow" w:hAnsi="Arial Narrow"/>
          <w:sz w:val="22"/>
          <w:szCs w:val="22"/>
          <w:lang w:val="lv-LV"/>
        </w:rPr>
        <w:t>,</w:t>
      </w:r>
      <w:r w:rsidR="007E7C75">
        <w:rPr>
          <w:rFonts w:ascii="Arial Narrow" w:hAnsi="Arial Narrow"/>
          <w:sz w:val="22"/>
          <w:szCs w:val="22"/>
          <w:lang w:val="lv-LV"/>
        </w:rPr>
        <w:t>3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 mg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mārdadža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sausā ekstrakta, kas atbilst 22,5 mg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silimarīna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nosakot kā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silibinī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nu</w:t>
      </w:r>
      <w:proofErr w:type="spellEnd"/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51E78E43" w14:textId="77777777" w:rsidR="00EE64C6" w:rsidRPr="00513892" w:rsidRDefault="00EE64C6" w:rsidP="00513892">
      <w:pPr>
        <w:pStyle w:val="Default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>Citas sastāvdaļ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as ir:</w:t>
      </w:r>
    </w:p>
    <w:p w14:paraId="3B4975E9" w14:textId="77777777" w:rsidR="00EE64C6" w:rsidRPr="00513892" w:rsidRDefault="00EE64C6" w:rsidP="00513892">
      <w:pPr>
        <w:pStyle w:val="Default"/>
        <w:ind w:left="720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u w:val="single"/>
          <w:lang w:val="lv-LV"/>
        </w:rPr>
        <w:t>Tabletes kodols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: laktozes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monohidrāts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kviešu ciete,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povidons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K25,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mikrokristāliskā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celuloze, magnija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stearāts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talks,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mannīts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krospovidons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polisorbāts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80 un nātrija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hidrogēnkarbonā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ts</w:t>
      </w:r>
      <w:proofErr w:type="spellEnd"/>
      <w:r w:rsidR="00E30050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0C3D2FC2" w14:textId="233F23A8" w:rsidR="00EE64C6" w:rsidRPr="00513892" w:rsidRDefault="00EE64C6" w:rsidP="00513892">
      <w:pPr>
        <w:pStyle w:val="Default"/>
        <w:ind w:left="720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u w:val="single"/>
          <w:lang w:val="lv-LV"/>
        </w:rPr>
        <w:t>Tabletes apvalks</w:t>
      </w:r>
      <w:r w:rsidRPr="00513892">
        <w:rPr>
          <w:rFonts w:ascii="Arial Narrow" w:hAnsi="Arial Narrow"/>
          <w:sz w:val="22"/>
          <w:szCs w:val="22"/>
          <w:lang w:val="lv-LV"/>
        </w:rPr>
        <w:t xml:space="preserve">: </w:t>
      </w:r>
      <w:proofErr w:type="spellStart"/>
      <w:r w:rsidR="00FC6B98" w:rsidRPr="00513892">
        <w:rPr>
          <w:rFonts w:ascii="Arial Narrow" w:hAnsi="Arial Narrow"/>
          <w:sz w:val="22"/>
          <w:szCs w:val="22"/>
          <w:lang w:val="lv-LV"/>
        </w:rPr>
        <w:t>Opadry</w:t>
      </w:r>
      <w:proofErr w:type="spellEnd"/>
      <w:r w:rsidR="00FC6B98" w:rsidRPr="00513892">
        <w:rPr>
          <w:rFonts w:ascii="Arial Narrow" w:hAnsi="Arial Narrow"/>
          <w:sz w:val="22"/>
          <w:szCs w:val="22"/>
          <w:lang w:val="lv-LV"/>
        </w:rPr>
        <w:t xml:space="preserve"> AMB II 88A265025: </w:t>
      </w:r>
      <w:proofErr w:type="spellStart"/>
      <w:r w:rsidR="00FC6B98" w:rsidRPr="00513892">
        <w:rPr>
          <w:rFonts w:ascii="Arial Narrow" w:hAnsi="Arial Narrow"/>
          <w:sz w:val="22"/>
          <w:szCs w:val="22"/>
          <w:lang w:val="lv-LV"/>
        </w:rPr>
        <w:t>polivinilspirts</w:t>
      </w:r>
      <w:proofErr w:type="spellEnd"/>
      <w:r w:rsidR="00FC6B98" w:rsidRPr="00513892">
        <w:rPr>
          <w:rFonts w:ascii="Arial Narrow" w:hAnsi="Arial Narrow"/>
          <w:sz w:val="22"/>
          <w:szCs w:val="22"/>
          <w:lang w:val="lv-LV"/>
        </w:rPr>
        <w:t xml:space="preserve">, talks, dzeltenais dzelzs oksīds (E172), sarkanais dzelzs oksīds (E172), melnais dzelzs oksīds (E172), </w:t>
      </w:r>
      <w:proofErr w:type="spellStart"/>
      <w:r w:rsidR="00FC6B98" w:rsidRPr="00513892">
        <w:rPr>
          <w:rFonts w:ascii="Arial Narrow" w:hAnsi="Arial Narrow"/>
          <w:sz w:val="22"/>
          <w:szCs w:val="22"/>
          <w:lang w:val="lv-LV"/>
        </w:rPr>
        <w:t>glicerilmonokaprilkaprāts</w:t>
      </w:r>
      <w:proofErr w:type="spellEnd"/>
      <w:r w:rsidR="00FC6B98" w:rsidRPr="00513892">
        <w:rPr>
          <w:rFonts w:ascii="Arial Narrow" w:hAnsi="Arial Narrow"/>
          <w:sz w:val="22"/>
          <w:szCs w:val="22"/>
          <w:lang w:val="lv-LV"/>
        </w:rPr>
        <w:t xml:space="preserve">, titāna dioksīds (E171), attīrīts ūdens, nātrija </w:t>
      </w:r>
      <w:proofErr w:type="spellStart"/>
      <w:r w:rsidR="00FC6B98" w:rsidRPr="00513892">
        <w:rPr>
          <w:rFonts w:ascii="Arial Narrow" w:hAnsi="Arial Narrow"/>
          <w:sz w:val="22"/>
          <w:szCs w:val="22"/>
          <w:lang w:val="lv-LV"/>
        </w:rPr>
        <w:t>laurilsulfāts</w:t>
      </w:r>
      <w:proofErr w:type="spellEnd"/>
      <w:r w:rsidR="00FC6B98" w:rsidRPr="00513892">
        <w:rPr>
          <w:rFonts w:ascii="Arial Narrow" w:hAnsi="Arial Narrow"/>
          <w:sz w:val="22"/>
          <w:szCs w:val="22"/>
          <w:lang w:val="lv-LV"/>
        </w:rPr>
        <w:t>.</w:t>
      </w:r>
    </w:p>
    <w:p w14:paraId="225DDD3A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05FCB2F2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proofErr w:type="spellStart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>Carsil</w:t>
      </w:r>
      <w:proofErr w:type="spellEnd"/>
      <w:r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ārējais izskats un iepakojums</w:t>
      </w:r>
    </w:p>
    <w:p w14:paraId="4A699C38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Brūnas, regulāras formas, apaļas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apvalkotās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tabletes bez smarž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as.</w:t>
      </w:r>
    </w:p>
    <w:p w14:paraId="73F5D959" w14:textId="77777777" w:rsidR="002E7FB1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10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apvalkotās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tabletes stingrā </w:t>
      </w:r>
      <w:r w:rsidR="002E7FB1" w:rsidRPr="002E7FB1">
        <w:rPr>
          <w:rFonts w:ascii="Arial Narrow" w:hAnsi="Arial Narrow"/>
          <w:sz w:val="22"/>
          <w:szCs w:val="22"/>
          <w:lang w:val="lv-LV"/>
        </w:rPr>
        <w:t xml:space="preserve">PVH/Alumīnija folijas </w:t>
      </w:r>
      <w:proofErr w:type="spellStart"/>
      <w:r w:rsidR="002E7FB1" w:rsidRPr="002E7FB1">
        <w:rPr>
          <w:rFonts w:ascii="Arial Narrow" w:hAnsi="Arial Narrow"/>
          <w:sz w:val="22"/>
          <w:szCs w:val="22"/>
          <w:lang w:val="lv-LV"/>
        </w:rPr>
        <w:t>blisterī</w:t>
      </w:r>
      <w:proofErr w:type="spellEnd"/>
      <w:r w:rsidR="002E7FB1" w:rsidRPr="002E7FB1">
        <w:rPr>
          <w:rFonts w:ascii="Arial Narrow" w:hAnsi="Arial Narrow"/>
          <w:sz w:val="22"/>
          <w:szCs w:val="22"/>
          <w:lang w:val="lv-LV"/>
        </w:rPr>
        <w:t>.</w:t>
      </w:r>
    </w:p>
    <w:p w14:paraId="222DE491" w14:textId="76CB6530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Kartona kastītē ievietoti 8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blisteri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(80 tabletes) kopā ar lietoš</w:t>
      </w:r>
      <w:r w:rsidR="00E30050" w:rsidRPr="00513892">
        <w:rPr>
          <w:rFonts w:ascii="Arial Narrow" w:hAnsi="Arial Narrow"/>
          <w:sz w:val="22"/>
          <w:szCs w:val="22"/>
          <w:lang w:val="lv-LV"/>
        </w:rPr>
        <w:t>anas instrukciju.</w:t>
      </w:r>
    </w:p>
    <w:p w14:paraId="55A640E0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6613C609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Reģistrācijas apliecības īpašnieks</w:t>
      </w:r>
      <w:r w:rsidR="000A5295" w:rsidRPr="00513892">
        <w:rPr>
          <w:rFonts w:ascii="Arial Narrow" w:hAnsi="Arial Narrow"/>
          <w:b/>
          <w:bCs/>
          <w:sz w:val="22"/>
          <w:szCs w:val="22"/>
          <w:lang w:val="lv-LV"/>
        </w:rPr>
        <w:t xml:space="preserve"> un r</w:t>
      </w:r>
      <w:r w:rsidRPr="00513892">
        <w:rPr>
          <w:rFonts w:ascii="Arial Narrow" w:hAnsi="Arial Narrow"/>
          <w:b/>
          <w:bCs/>
          <w:sz w:val="22"/>
          <w:szCs w:val="22"/>
          <w:lang w:val="lv-LV"/>
        </w:rPr>
        <w:t>ažotājs</w:t>
      </w:r>
    </w:p>
    <w:p w14:paraId="1FA1405B" w14:textId="77777777" w:rsidR="005C5DCE" w:rsidRPr="00513892" w:rsidRDefault="005C5DCE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  <w:r w:rsidRPr="00513892">
        <w:rPr>
          <w:rFonts w:ascii="Arial Narrow" w:hAnsi="Arial Narrow"/>
          <w:sz w:val="22"/>
          <w:szCs w:val="22"/>
          <w:lang w:val="lv-LV"/>
        </w:rPr>
        <w:t xml:space="preserve">SOPHARMA AD, 16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Iliensko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Shosse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Str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., </w:t>
      </w:r>
      <w:proofErr w:type="spellStart"/>
      <w:r w:rsidRPr="00513892">
        <w:rPr>
          <w:rFonts w:ascii="Arial Narrow" w:hAnsi="Arial Narrow"/>
          <w:sz w:val="22"/>
          <w:szCs w:val="22"/>
          <w:lang w:val="lv-LV"/>
        </w:rPr>
        <w:t>Sofia</w:t>
      </w:r>
      <w:proofErr w:type="spellEnd"/>
      <w:r w:rsidRPr="00513892">
        <w:rPr>
          <w:rFonts w:ascii="Arial Narrow" w:hAnsi="Arial Narrow"/>
          <w:sz w:val="22"/>
          <w:szCs w:val="22"/>
          <w:lang w:val="lv-LV"/>
        </w:rPr>
        <w:t xml:space="preserve"> 1220, Bulgārija</w:t>
      </w:r>
    </w:p>
    <w:p w14:paraId="082EAAEB" w14:textId="77777777" w:rsidR="00EE64C6" w:rsidRPr="00513892" w:rsidRDefault="00EE64C6" w:rsidP="00513892">
      <w:pPr>
        <w:pStyle w:val="Default"/>
        <w:jc w:val="both"/>
        <w:rPr>
          <w:rFonts w:ascii="Arial Narrow" w:hAnsi="Arial Narrow"/>
          <w:sz w:val="22"/>
          <w:szCs w:val="22"/>
          <w:lang w:val="lv-LV"/>
        </w:rPr>
      </w:pPr>
    </w:p>
    <w:p w14:paraId="64B16B6D" w14:textId="4AE15731" w:rsidR="00914652" w:rsidRPr="002E7FB1" w:rsidRDefault="00FC6B98" w:rsidP="002E7FB1">
      <w:pPr>
        <w:spacing w:after="0" w:line="240" w:lineRule="auto"/>
        <w:jc w:val="both"/>
        <w:rPr>
          <w:rFonts w:ascii="Arial Narrow" w:hAnsi="Arial Narrow"/>
          <w:b/>
          <w:bCs/>
          <w:lang w:val="lv-LV" w:eastAsia="fr-FR"/>
        </w:rPr>
      </w:pPr>
      <w:r w:rsidRPr="00513892">
        <w:rPr>
          <w:rFonts w:ascii="Arial Narrow" w:hAnsi="Arial Narrow"/>
          <w:b/>
          <w:bCs/>
          <w:noProof/>
          <w:lang w:val="lv-LV" w:eastAsia="fr-FR"/>
        </w:rPr>
        <w:t>Šī lietošanas instrukcija pēdējo reizi pārskatīta 01/2022</w:t>
      </w:r>
    </w:p>
    <w:sectPr w:rsidR="00914652" w:rsidRPr="002E7FB1" w:rsidSect="00513892">
      <w:headerReference w:type="default" r:id="rId8"/>
      <w:type w:val="continuous"/>
      <w:pgSz w:w="11907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C8DC" w14:textId="77777777" w:rsidR="007D1BE2" w:rsidRDefault="007D1BE2" w:rsidP="00E30050">
      <w:pPr>
        <w:spacing w:after="0" w:line="240" w:lineRule="auto"/>
      </w:pPr>
      <w:r>
        <w:separator/>
      </w:r>
    </w:p>
  </w:endnote>
  <w:endnote w:type="continuationSeparator" w:id="0">
    <w:p w14:paraId="427C4A2C" w14:textId="77777777" w:rsidR="007D1BE2" w:rsidRDefault="007D1BE2" w:rsidP="00E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9F59" w14:textId="77777777" w:rsidR="007D1BE2" w:rsidRDefault="007D1BE2" w:rsidP="00E30050">
      <w:pPr>
        <w:spacing w:after="0" w:line="240" w:lineRule="auto"/>
      </w:pPr>
      <w:r>
        <w:separator/>
      </w:r>
    </w:p>
  </w:footnote>
  <w:footnote w:type="continuationSeparator" w:id="0">
    <w:p w14:paraId="3C457DE8" w14:textId="77777777" w:rsidR="007D1BE2" w:rsidRDefault="007D1BE2" w:rsidP="00E3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B967" w14:textId="1F929603" w:rsidR="002E7FB1" w:rsidRPr="002E7FB1" w:rsidRDefault="002E7FB1" w:rsidP="002E7FB1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proofErr w:type="spellStart"/>
    <w:r w:rsidRPr="002E7FB1">
      <w:rPr>
        <w:rFonts w:ascii="Times New Roman" w:hAnsi="Times New Roman"/>
        <w:sz w:val="24"/>
        <w:szCs w:val="24"/>
        <w:lang w:val="en-US"/>
      </w:rPr>
      <w:t>Saskaņots</w:t>
    </w:r>
    <w:proofErr w:type="spellEnd"/>
    <w:r w:rsidRPr="002E7FB1">
      <w:rPr>
        <w:rFonts w:ascii="Times New Roman" w:hAnsi="Times New Roman"/>
        <w:sz w:val="24"/>
        <w:szCs w:val="24"/>
        <w:lang w:val="en-US"/>
      </w:rPr>
      <w:t xml:space="preserve"> ZVA 13.01.202</w:t>
    </w:r>
    <w:r>
      <w:rPr>
        <w:rFonts w:ascii="Times New Roman" w:hAnsi="Times New Roman"/>
        <w:sz w:val="24"/>
        <w:szCs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A8BF67"/>
    <w:multiLevelType w:val="hybridMultilevel"/>
    <w:tmpl w:val="6B34A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F720B1"/>
    <w:multiLevelType w:val="hybridMultilevel"/>
    <w:tmpl w:val="45655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645B0"/>
    <w:multiLevelType w:val="hybridMultilevel"/>
    <w:tmpl w:val="81029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5E98"/>
    <w:multiLevelType w:val="hybridMultilevel"/>
    <w:tmpl w:val="906E4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76F5"/>
    <w:multiLevelType w:val="hybridMultilevel"/>
    <w:tmpl w:val="EBFC1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8AC9A8"/>
    <w:multiLevelType w:val="hybridMultilevel"/>
    <w:tmpl w:val="C59FF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6B45F6"/>
    <w:multiLevelType w:val="hybridMultilevel"/>
    <w:tmpl w:val="43D470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60B"/>
    <w:multiLevelType w:val="hybridMultilevel"/>
    <w:tmpl w:val="B27E3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25D1EE"/>
    <w:multiLevelType w:val="hybridMultilevel"/>
    <w:tmpl w:val="A5F4A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703F5E"/>
    <w:multiLevelType w:val="hybridMultilevel"/>
    <w:tmpl w:val="81460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4052"/>
    <w:multiLevelType w:val="hybridMultilevel"/>
    <w:tmpl w:val="0512F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354F"/>
    <w:multiLevelType w:val="hybridMultilevel"/>
    <w:tmpl w:val="C52C9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7E8E"/>
    <w:multiLevelType w:val="hybridMultilevel"/>
    <w:tmpl w:val="484D2E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2FB2FBE"/>
    <w:multiLevelType w:val="hybridMultilevel"/>
    <w:tmpl w:val="B3425A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AED3"/>
    <w:multiLevelType w:val="hybridMultilevel"/>
    <w:tmpl w:val="1A28F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C04FDB"/>
    <w:multiLevelType w:val="hybridMultilevel"/>
    <w:tmpl w:val="DA14C0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74ACA"/>
    <w:multiLevelType w:val="hybridMultilevel"/>
    <w:tmpl w:val="D068D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94160"/>
    <w:multiLevelType w:val="hybridMultilevel"/>
    <w:tmpl w:val="80E2C2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00972"/>
    <w:multiLevelType w:val="hybridMultilevel"/>
    <w:tmpl w:val="3BFCB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019C"/>
    <w:multiLevelType w:val="hybridMultilevel"/>
    <w:tmpl w:val="0E4AD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413601"/>
    <w:multiLevelType w:val="hybridMultilevel"/>
    <w:tmpl w:val="1F9C1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7807"/>
    <w:multiLevelType w:val="hybridMultilevel"/>
    <w:tmpl w:val="37ADF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2"/>
  </w:num>
  <w:num w:numId="5">
    <w:abstractNumId w:val="19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20"/>
  </w:num>
  <w:num w:numId="20">
    <w:abstractNumId w:val="3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0"/>
    <w:rsid w:val="000404BB"/>
    <w:rsid w:val="000515A4"/>
    <w:rsid w:val="000A5295"/>
    <w:rsid w:val="000D5314"/>
    <w:rsid w:val="000F56E2"/>
    <w:rsid w:val="00107C72"/>
    <w:rsid w:val="001A3D43"/>
    <w:rsid w:val="001C3ED2"/>
    <w:rsid w:val="001C6D96"/>
    <w:rsid w:val="001E0C59"/>
    <w:rsid w:val="00212585"/>
    <w:rsid w:val="00254D31"/>
    <w:rsid w:val="00271253"/>
    <w:rsid w:val="002E7FB1"/>
    <w:rsid w:val="003235B4"/>
    <w:rsid w:val="003327A4"/>
    <w:rsid w:val="00340365"/>
    <w:rsid w:val="00350870"/>
    <w:rsid w:val="003F053F"/>
    <w:rsid w:val="00411D31"/>
    <w:rsid w:val="00414ECE"/>
    <w:rsid w:val="0043062D"/>
    <w:rsid w:val="004C007C"/>
    <w:rsid w:val="00513892"/>
    <w:rsid w:val="00534D5C"/>
    <w:rsid w:val="005507AC"/>
    <w:rsid w:val="00553F19"/>
    <w:rsid w:val="005642D5"/>
    <w:rsid w:val="00592556"/>
    <w:rsid w:val="005C2525"/>
    <w:rsid w:val="005C5DCE"/>
    <w:rsid w:val="00655255"/>
    <w:rsid w:val="00657E7C"/>
    <w:rsid w:val="00680B91"/>
    <w:rsid w:val="006B4688"/>
    <w:rsid w:val="006C743B"/>
    <w:rsid w:val="006E17B2"/>
    <w:rsid w:val="007470F2"/>
    <w:rsid w:val="007A3730"/>
    <w:rsid w:val="007C706A"/>
    <w:rsid w:val="007D1BE2"/>
    <w:rsid w:val="007E0A86"/>
    <w:rsid w:val="007E437C"/>
    <w:rsid w:val="007E7C75"/>
    <w:rsid w:val="007F04D9"/>
    <w:rsid w:val="00850E38"/>
    <w:rsid w:val="008560B2"/>
    <w:rsid w:val="00864C08"/>
    <w:rsid w:val="00874869"/>
    <w:rsid w:val="00886CD8"/>
    <w:rsid w:val="00911D7E"/>
    <w:rsid w:val="00914652"/>
    <w:rsid w:val="009A561A"/>
    <w:rsid w:val="009F72DC"/>
    <w:rsid w:val="00A06B7A"/>
    <w:rsid w:val="00A15A93"/>
    <w:rsid w:val="00A24189"/>
    <w:rsid w:val="00A44991"/>
    <w:rsid w:val="00A805A4"/>
    <w:rsid w:val="00AB2F50"/>
    <w:rsid w:val="00AF3D14"/>
    <w:rsid w:val="00C1259E"/>
    <w:rsid w:val="00C561E4"/>
    <w:rsid w:val="00C75BAA"/>
    <w:rsid w:val="00C76228"/>
    <w:rsid w:val="00D43C30"/>
    <w:rsid w:val="00DB093B"/>
    <w:rsid w:val="00DC1BEE"/>
    <w:rsid w:val="00DD28E4"/>
    <w:rsid w:val="00DF1DE1"/>
    <w:rsid w:val="00E26F8E"/>
    <w:rsid w:val="00E30050"/>
    <w:rsid w:val="00E3461F"/>
    <w:rsid w:val="00E620E8"/>
    <w:rsid w:val="00EA0947"/>
    <w:rsid w:val="00EC7424"/>
    <w:rsid w:val="00EE64C6"/>
    <w:rsid w:val="00F30177"/>
    <w:rsid w:val="00F629A8"/>
    <w:rsid w:val="00F92138"/>
    <w:rsid w:val="00FB560D"/>
    <w:rsid w:val="00FB6301"/>
    <w:rsid w:val="00FC6B9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03FC3"/>
  <w15:chartTrackingRefBased/>
  <w15:docId w15:val="{64578C27-E397-4A4C-BE5B-39B0A33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00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0"/>
  </w:style>
  <w:style w:type="paragraph" w:styleId="Footer">
    <w:name w:val="footer"/>
    <w:basedOn w:val="Normal"/>
    <w:link w:val="FooterChar"/>
    <w:uiPriority w:val="99"/>
    <w:unhideWhenUsed/>
    <w:rsid w:val="00E300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0"/>
  </w:style>
  <w:style w:type="paragraph" w:styleId="BalloonText">
    <w:name w:val="Balloon Text"/>
    <w:basedOn w:val="Normal"/>
    <w:link w:val="BalloonTextChar"/>
    <w:uiPriority w:val="99"/>
    <w:semiHidden/>
    <w:unhideWhenUsed/>
    <w:rsid w:val="00850E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0E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06A"/>
    <w:rPr>
      <w:sz w:val="22"/>
      <w:szCs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1E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C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0C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C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0C5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Hqrdtemplatetrackchangeslv</vt:lpstr>
    </vt:vector>
  </TitlesOfParts>
  <Company/>
  <LinksUpToDate>false</LinksUpToDate>
  <CharactersWithSpaces>8597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Hqrdtemplatetrackchangeslv</dc:title>
  <dc:subject>General-EMA/307463/2010</dc:subject>
  <dc:creator>Translation Centre</dc:creator>
  <cp:keywords/>
  <cp:lastModifiedBy>Zane Rikmane</cp:lastModifiedBy>
  <cp:revision>7</cp:revision>
  <cp:lastPrinted>2018-08-23T13:37:00Z</cp:lastPrinted>
  <dcterms:created xsi:type="dcterms:W3CDTF">2022-01-11T10:24:00Z</dcterms:created>
  <dcterms:modified xsi:type="dcterms:W3CDTF">2022-01-13T09:11:00Z</dcterms:modified>
</cp:coreProperties>
</file>