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93D7F" w14:textId="77777777" w:rsidR="00CD10AA" w:rsidRPr="000A5A33" w:rsidRDefault="00CD10AA" w:rsidP="002E0135">
      <w:pPr>
        <w:spacing w:line="240" w:lineRule="auto"/>
        <w:jc w:val="center"/>
        <w:rPr>
          <w:szCs w:val="22"/>
        </w:rPr>
      </w:pPr>
      <w:r w:rsidRPr="000A5A33">
        <w:rPr>
          <w:b/>
          <w:szCs w:val="22"/>
        </w:rPr>
        <w:t>ZĀĻU APRAKSTS</w:t>
      </w:r>
    </w:p>
    <w:p w14:paraId="49A91EAE" w14:textId="77777777" w:rsidR="008871B0" w:rsidRPr="000A5A33" w:rsidRDefault="008871B0" w:rsidP="00947806">
      <w:pPr>
        <w:spacing w:line="240" w:lineRule="auto"/>
        <w:jc w:val="both"/>
        <w:rPr>
          <w:szCs w:val="22"/>
        </w:rPr>
      </w:pPr>
    </w:p>
    <w:p w14:paraId="780AE8A0" w14:textId="77777777" w:rsidR="00CD10AA" w:rsidRPr="000A5A33" w:rsidRDefault="00CD10AA" w:rsidP="00947806">
      <w:pPr>
        <w:spacing w:line="240" w:lineRule="auto"/>
        <w:jc w:val="both"/>
        <w:rPr>
          <w:b/>
          <w:szCs w:val="22"/>
        </w:rPr>
      </w:pPr>
      <w:r w:rsidRPr="000A5A33">
        <w:rPr>
          <w:b/>
          <w:szCs w:val="22"/>
        </w:rPr>
        <w:t>1.</w:t>
      </w:r>
      <w:r w:rsidRPr="000A5A33">
        <w:rPr>
          <w:b/>
          <w:szCs w:val="22"/>
        </w:rPr>
        <w:tab/>
        <w:t>ZĀĻU NOSAUKUMS</w:t>
      </w:r>
    </w:p>
    <w:p w14:paraId="558B4626" w14:textId="77777777" w:rsidR="00E72F9F" w:rsidRPr="000A5A33" w:rsidRDefault="00E72F9F" w:rsidP="00947806">
      <w:pPr>
        <w:pStyle w:val="BodyText"/>
        <w:jc w:val="both"/>
        <w:rPr>
          <w:b/>
          <w:i w:val="0"/>
          <w:color w:val="auto"/>
          <w:szCs w:val="22"/>
          <w:lang w:val="lv-LV"/>
        </w:rPr>
      </w:pPr>
    </w:p>
    <w:p w14:paraId="5B0EFBBE" w14:textId="77777777" w:rsidR="00DB6F3F" w:rsidRPr="000A5A33" w:rsidRDefault="00DB6F3F" w:rsidP="00947806">
      <w:pPr>
        <w:pStyle w:val="BodyText"/>
        <w:jc w:val="both"/>
        <w:rPr>
          <w:b/>
          <w:i w:val="0"/>
          <w:color w:val="auto"/>
          <w:szCs w:val="22"/>
          <w:lang w:val="lv-LV"/>
        </w:rPr>
      </w:pPr>
      <w:r w:rsidRPr="000A5A33">
        <w:rPr>
          <w:b/>
          <w:i w:val="0"/>
          <w:color w:val="auto"/>
          <w:szCs w:val="22"/>
          <w:lang w:val="lv-LV"/>
        </w:rPr>
        <w:t>Senna Fix 1,2 g ārstniecības augu tēja maisiņ</w:t>
      </w:r>
      <w:r w:rsidR="00C85EC2" w:rsidRPr="000A5A33">
        <w:rPr>
          <w:b/>
          <w:i w:val="0"/>
          <w:color w:val="auto"/>
          <w:szCs w:val="22"/>
          <w:lang w:val="lv-LV"/>
        </w:rPr>
        <w:t>ā</w:t>
      </w:r>
    </w:p>
    <w:p w14:paraId="68DC7CFD" w14:textId="77777777" w:rsidR="00CD10AA" w:rsidRPr="000A5A33" w:rsidRDefault="00CD10AA" w:rsidP="00947806">
      <w:pPr>
        <w:spacing w:line="240" w:lineRule="auto"/>
        <w:jc w:val="both"/>
        <w:rPr>
          <w:szCs w:val="22"/>
        </w:rPr>
      </w:pPr>
    </w:p>
    <w:p w14:paraId="6DB3F55C" w14:textId="77777777" w:rsidR="00E72F9F" w:rsidRPr="000A5A33" w:rsidRDefault="00E72F9F" w:rsidP="00947806">
      <w:pPr>
        <w:spacing w:line="240" w:lineRule="auto"/>
        <w:jc w:val="both"/>
        <w:rPr>
          <w:szCs w:val="22"/>
        </w:rPr>
      </w:pPr>
    </w:p>
    <w:p w14:paraId="2BD8C980" w14:textId="77777777" w:rsidR="00CD10AA" w:rsidRPr="000A5A33" w:rsidRDefault="00CD10AA" w:rsidP="00947806">
      <w:pPr>
        <w:spacing w:line="240" w:lineRule="auto"/>
        <w:jc w:val="both"/>
        <w:rPr>
          <w:b/>
          <w:szCs w:val="22"/>
        </w:rPr>
      </w:pPr>
      <w:r w:rsidRPr="000A5A33">
        <w:rPr>
          <w:b/>
          <w:szCs w:val="22"/>
        </w:rPr>
        <w:t>2.</w:t>
      </w:r>
      <w:r w:rsidRPr="000A5A33">
        <w:rPr>
          <w:b/>
          <w:szCs w:val="22"/>
        </w:rPr>
        <w:tab/>
        <w:t>KVALITATĪVAIS UN KVANTITATĪVAIS SASTĀVS</w:t>
      </w:r>
    </w:p>
    <w:p w14:paraId="36B70FBD" w14:textId="77777777" w:rsidR="00CD10AA" w:rsidRPr="000A5A33" w:rsidRDefault="00DB6F3F" w:rsidP="00947806">
      <w:pPr>
        <w:pStyle w:val="EMEAEnBodyText"/>
        <w:autoSpaceDE w:val="0"/>
        <w:autoSpaceDN w:val="0"/>
        <w:adjustRightInd w:val="0"/>
        <w:spacing w:before="0" w:after="0"/>
        <w:rPr>
          <w:szCs w:val="22"/>
          <w:lang w:val="lv-LV"/>
        </w:rPr>
      </w:pPr>
      <w:r w:rsidRPr="000A5A33">
        <w:rPr>
          <w:szCs w:val="22"/>
          <w:lang w:val="lv-LV"/>
        </w:rPr>
        <w:t xml:space="preserve">Katrs maisiņš satur 1,2 g </w:t>
      </w:r>
      <w:r w:rsidR="00DC6580" w:rsidRPr="000A5A33">
        <w:rPr>
          <w:szCs w:val="22"/>
          <w:lang w:val="lv-LV"/>
        </w:rPr>
        <w:t>sennas lap</w:t>
      </w:r>
      <w:r w:rsidR="0062025A" w:rsidRPr="000A5A33">
        <w:rPr>
          <w:szCs w:val="22"/>
          <w:lang w:val="lv-LV"/>
        </w:rPr>
        <w:t>u</w:t>
      </w:r>
      <w:r w:rsidR="002E0135" w:rsidRPr="000A5A33">
        <w:rPr>
          <w:szCs w:val="22"/>
          <w:lang w:val="lv-LV"/>
        </w:rPr>
        <w:t xml:space="preserve"> (</w:t>
      </w:r>
      <w:r w:rsidR="002E0135" w:rsidRPr="000A5A33">
        <w:rPr>
          <w:i/>
          <w:szCs w:val="22"/>
          <w:lang w:val="lv-LV"/>
        </w:rPr>
        <w:t>Senna</w:t>
      </w:r>
      <w:r w:rsidR="000E5A9C" w:rsidRPr="000A5A33">
        <w:rPr>
          <w:i/>
          <w:szCs w:val="22"/>
          <w:lang w:val="lv-LV"/>
        </w:rPr>
        <w:t>e</w:t>
      </w:r>
      <w:r w:rsidR="002E0135" w:rsidRPr="000A5A33">
        <w:rPr>
          <w:i/>
          <w:szCs w:val="22"/>
          <w:lang w:val="lv-LV"/>
        </w:rPr>
        <w:t xml:space="preserve"> folium</w:t>
      </w:r>
      <w:r w:rsidR="002E0135" w:rsidRPr="000A5A33">
        <w:rPr>
          <w:szCs w:val="22"/>
          <w:lang w:val="lv-LV"/>
        </w:rPr>
        <w:t>)</w:t>
      </w:r>
      <w:r w:rsidR="00DC6580" w:rsidRPr="000A5A33">
        <w:rPr>
          <w:i/>
          <w:iCs/>
          <w:szCs w:val="22"/>
          <w:lang w:val="lv-LV"/>
        </w:rPr>
        <w:t xml:space="preserve"> </w:t>
      </w:r>
      <w:r w:rsidR="002E0135" w:rsidRPr="000A5A33">
        <w:rPr>
          <w:iCs/>
          <w:szCs w:val="22"/>
          <w:lang w:val="lv-LV"/>
        </w:rPr>
        <w:t>(</w:t>
      </w:r>
      <w:r w:rsidRPr="000A5A33">
        <w:rPr>
          <w:i/>
          <w:iCs/>
          <w:szCs w:val="22"/>
          <w:lang w:val="lv-LV"/>
        </w:rPr>
        <w:t xml:space="preserve">Cassia senna </w:t>
      </w:r>
      <w:r w:rsidRPr="000A5A33">
        <w:rPr>
          <w:i/>
          <w:szCs w:val="22"/>
          <w:lang w:val="lv-LV"/>
        </w:rPr>
        <w:t>L.</w:t>
      </w:r>
      <w:r w:rsidRPr="000A5A33">
        <w:rPr>
          <w:szCs w:val="22"/>
          <w:lang w:val="lv-LV"/>
        </w:rPr>
        <w:t xml:space="preserve"> (</w:t>
      </w:r>
      <w:r w:rsidRPr="000A5A33">
        <w:rPr>
          <w:i/>
          <w:iCs/>
          <w:szCs w:val="22"/>
          <w:lang w:val="lv-LV"/>
        </w:rPr>
        <w:t xml:space="preserve">C. acutifolia </w:t>
      </w:r>
      <w:r w:rsidRPr="000A5A33">
        <w:rPr>
          <w:szCs w:val="22"/>
          <w:lang w:val="lv-LV"/>
        </w:rPr>
        <w:t>Delile) [</w:t>
      </w:r>
      <w:r w:rsidR="00DC6580" w:rsidRPr="000A5A33">
        <w:rPr>
          <w:szCs w:val="22"/>
          <w:lang w:val="lv-LV"/>
        </w:rPr>
        <w:t>z</w:t>
      </w:r>
      <w:r w:rsidRPr="000A5A33">
        <w:rPr>
          <w:szCs w:val="22"/>
          <w:lang w:val="lv-LV"/>
        </w:rPr>
        <w:t xml:space="preserve">ināma arī kā smaillapu vai </w:t>
      </w:r>
      <w:r w:rsidR="0074021F" w:rsidRPr="000A5A33">
        <w:rPr>
          <w:szCs w:val="22"/>
          <w:lang w:val="lv-LV"/>
        </w:rPr>
        <w:t>Hartuma</w:t>
      </w:r>
      <w:r w:rsidRPr="000A5A33">
        <w:rPr>
          <w:szCs w:val="22"/>
          <w:lang w:val="lv-LV"/>
        </w:rPr>
        <w:t xml:space="preserve"> senna] </w:t>
      </w:r>
      <w:r w:rsidR="002E0135" w:rsidRPr="000A5A33">
        <w:rPr>
          <w:szCs w:val="22"/>
          <w:lang w:val="lv-LV"/>
        </w:rPr>
        <w:t>vai</w:t>
      </w:r>
      <w:r w:rsidRPr="000A5A33">
        <w:rPr>
          <w:szCs w:val="22"/>
          <w:lang w:val="lv-LV"/>
        </w:rPr>
        <w:t xml:space="preserve"> </w:t>
      </w:r>
      <w:r w:rsidRPr="000A5A33">
        <w:rPr>
          <w:i/>
          <w:iCs/>
          <w:szCs w:val="22"/>
          <w:lang w:val="lv-LV"/>
        </w:rPr>
        <w:t xml:space="preserve">Cassia angustifolia </w:t>
      </w:r>
      <w:r w:rsidRPr="000A5A33">
        <w:rPr>
          <w:szCs w:val="22"/>
          <w:lang w:val="lv-LV"/>
        </w:rPr>
        <w:t>Vahl [</w:t>
      </w:r>
      <w:r w:rsidR="00DC6580" w:rsidRPr="000A5A33">
        <w:rPr>
          <w:szCs w:val="22"/>
          <w:lang w:val="lv-LV"/>
        </w:rPr>
        <w:t>zināma arī kā šaurlapu</w:t>
      </w:r>
      <w:r w:rsidRPr="000A5A33">
        <w:rPr>
          <w:szCs w:val="22"/>
          <w:lang w:val="lv-LV"/>
        </w:rPr>
        <w:t xml:space="preserve"> senna] </w:t>
      </w:r>
      <w:r w:rsidRPr="000A5A33">
        <w:rPr>
          <w:i/>
          <w:iCs/>
          <w:szCs w:val="22"/>
          <w:lang w:val="lv-LV"/>
        </w:rPr>
        <w:t>folium</w:t>
      </w:r>
      <w:r w:rsidR="0074021F" w:rsidRPr="000A5A33">
        <w:rPr>
          <w:iCs/>
          <w:szCs w:val="22"/>
          <w:lang w:val="lv-LV"/>
        </w:rPr>
        <w:t>)</w:t>
      </w:r>
      <w:r w:rsidRPr="000A5A33">
        <w:rPr>
          <w:szCs w:val="22"/>
          <w:lang w:val="lv-LV"/>
        </w:rPr>
        <w:t xml:space="preserve">, </w:t>
      </w:r>
      <w:r w:rsidR="0074021F" w:rsidRPr="000A5A33">
        <w:rPr>
          <w:szCs w:val="22"/>
          <w:lang w:val="lv-LV"/>
        </w:rPr>
        <w:t>kas atbilst ne vairāk kā 30 mg hidroksiantracēnglikozīdu, pārrēķinot uz sennozīdu B</w:t>
      </w:r>
      <w:r w:rsidR="0020587A" w:rsidRPr="000A5A33">
        <w:rPr>
          <w:szCs w:val="22"/>
          <w:lang w:val="lv-LV"/>
        </w:rPr>
        <w:t>.</w:t>
      </w:r>
    </w:p>
    <w:p w14:paraId="27E39024" w14:textId="77777777" w:rsidR="00CD10AA" w:rsidRPr="000A5A33" w:rsidRDefault="00CD10AA" w:rsidP="00947806">
      <w:pPr>
        <w:spacing w:line="240" w:lineRule="auto"/>
        <w:jc w:val="both"/>
        <w:rPr>
          <w:szCs w:val="22"/>
        </w:rPr>
      </w:pPr>
    </w:p>
    <w:p w14:paraId="601D7DAF" w14:textId="77777777" w:rsidR="00E72F9F" w:rsidRPr="000A5A33" w:rsidRDefault="00E72F9F" w:rsidP="00947806">
      <w:pPr>
        <w:spacing w:line="240" w:lineRule="auto"/>
        <w:jc w:val="both"/>
        <w:rPr>
          <w:szCs w:val="22"/>
        </w:rPr>
      </w:pPr>
    </w:p>
    <w:p w14:paraId="666B7CC9" w14:textId="77777777" w:rsidR="00CD10AA" w:rsidRPr="000A5A33" w:rsidRDefault="00CD10AA" w:rsidP="00947806">
      <w:pPr>
        <w:spacing w:line="240" w:lineRule="auto"/>
        <w:jc w:val="both"/>
        <w:rPr>
          <w:b/>
          <w:caps/>
          <w:szCs w:val="22"/>
        </w:rPr>
      </w:pPr>
      <w:r w:rsidRPr="000A5A33">
        <w:rPr>
          <w:b/>
          <w:szCs w:val="22"/>
        </w:rPr>
        <w:t>3.</w:t>
      </w:r>
      <w:r w:rsidRPr="000A5A33">
        <w:rPr>
          <w:b/>
          <w:szCs w:val="22"/>
        </w:rPr>
        <w:tab/>
        <w:t>ZĀĻU FORMA</w:t>
      </w:r>
    </w:p>
    <w:p w14:paraId="449F1F88" w14:textId="77777777" w:rsidR="00E72F9F" w:rsidRPr="000A5A33" w:rsidRDefault="00E72F9F" w:rsidP="00947806">
      <w:pPr>
        <w:spacing w:line="240" w:lineRule="auto"/>
        <w:jc w:val="both"/>
        <w:rPr>
          <w:szCs w:val="22"/>
        </w:rPr>
      </w:pPr>
    </w:p>
    <w:p w14:paraId="27898F8E" w14:textId="77777777" w:rsidR="00CD10AA" w:rsidRPr="000A5A33" w:rsidRDefault="00DB6F3F" w:rsidP="00947806">
      <w:pPr>
        <w:spacing w:line="240" w:lineRule="auto"/>
        <w:jc w:val="both"/>
        <w:rPr>
          <w:szCs w:val="22"/>
        </w:rPr>
      </w:pPr>
      <w:r w:rsidRPr="000A5A33">
        <w:rPr>
          <w:szCs w:val="22"/>
        </w:rPr>
        <w:t>Ārstniecības augu tēja maisiņ</w:t>
      </w:r>
      <w:r w:rsidR="005674A6" w:rsidRPr="000A5A33">
        <w:rPr>
          <w:szCs w:val="22"/>
        </w:rPr>
        <w:t>ā</w:t>
      </w:r>
      <w:r w:rsidRPr="000A5A33">
        <w:rPr>
          <w:szCs w:val="22"/>
        </w:rPr>
        <w:t>.</w:t>
      </w:r>
    </w:p>
    <w:p w14:paraId="63550AAF" w14:textId="77777777" w:rsidR="00E72F9F" w:rsidRPr="000A5A33" w:rsidRDefault="00E72F9F" w:rsidP="00947806">
      <w:pPr>
        <w:spacing w:line="240" w:lineRule="auto"/>
        <w:jc w:val="both"/>
        <w:rPr>
          <w:szCs w:val="22"/>
        </w:rPr>
      </w:pPr>
    </w:p>
    <w:p w14:paraId="5087BC15" w14:textId="77777777" w:rsidR="00E72F9F" w:rsidRPr="000A5A33" w:rsidRDefault="00E72F9F" w:rsidP="00947806">
      <w:pPr>
        <w:spacing w:line="240" w:lineRule="auto"/>
        <w:jc w:val="both"/>
        <w:rPr>
          <w:szCs w:val="22"/>
        </w:rPr>
      </w:pPr>
      <w:r w:rsidRPr="000A5A33">
        <w:rPr>
          <w:szCs w:val="22"/>
        </w:rPr>
        <w:t>Smalki saberztas sennas lapas dzeltenīgi zaļā līdz brūngani zaļā krāsā ar viegli specifisku smaržu.</w:t>
      </w:r>
    </w:p>
    <w:p w14:paraId="024749AC" w14:textId="77777777" w:rsidR="00E72F9F" w:rsidRPr="000A5A33" w:rsidRDefault="00E72F9F" w:rsidP="00E72F9F">
      <w:pPr>
        <w:spacing w:line="240" w:lineRule="auto"/>
        <w:jc w:val="both"/>
        <w:rPr>
          <w:szCs w:val="22"/>
        </w:rPr>
      </w:pPr>
    </w:p>
    <w:p w14:paraId="03E20F60" w14:textId="77777777" w:rsidR="00E72F9F" w:rsidRPr="000A5A33" w:rsidRDefault="00E72F9F" w:rsidP="00947806">
      <w:pPr>
        <w:spacing w:line="240" w:lineRule="auto"/>
        <w:jc w:val="both"/>
        <w:rPr>
          <w:szCs w:val="22"/>
        </w:rPr>
      </w:pPr>
    </w:p>
    <w:p w14:paraId="127478B9" w14:textId="77777777" w:rsidR="00CD10AA" w:rsidRPr="000A5A33" w:rsidRDefault="00CD10AA" w:rsidP="00947806">
      <w:pPr>
        <w:tabs>
          <w:tab w:val="clear" w:pos="567"/>
        </w:tabs>
        <w:spacing w:line="240" w:lineRule="auto"/>
        <w:jc w:val="both"/>
        <w:rPr>
          <w:b/>
          <w:szCs w:val="22"/>
        </w:rPr>
      </w:pPr>
      <w:r w:rsidRPr="000A5A33">
        <w:rPr>
          <w:b/>
          <w:caps/>
          <w:szCs w:val="22"/>
        </w:rPr>
        <w:t>4.</w:t>
      </w:r>
      <w:r w:rsidRPr="000A5A33">
        <w:rPr>
          <w:b/>
          <w:caps/>
          <w:szCs w:val="22"/>
        </w:rPr>
        <w:tab/>
        <w:t>KLĪNISKĀ INFORMĀCIJA</w:t>
      </w:r>
    </w:p>
    <w:p w14:paraId="19480713" w14:textId="77777777" w:rsidR="00E72F9F" w:rsidRPr="000A5A33" w:rsidRDefault="00E72F9F" w:rsidP="00947806">
      <w:pPr>
        <w:tabs>
          <w:tab w:val="clear" w:pos="567"/>
        </w:tabs>
        <w:spacing w:line="240" w:lineRule="auto"/>
        <w:jc w:val="both"/>
        <w:rPr>
          <w:b/>
          <w:szCs w:val="22"/>
        </w:rPr>
      </w:pPr>
    </w:p>
    <w:p w14:paraId="7B441F21" w14:textId="77777777" w:rsidR="00CD10AA" w:rsidRPr="000A5A33" w:rsidRDefault="00CD10AA" w:rsidP="00947806">
      <w:pPr>
        <w:tabs>
          <w:tab w:val="clear" w:pos="567"/>
        </w:tabs>
        <w:spacing w:line="240" w:lineRule="auto"/>
        <w:jc w:val="both"/>
        <w:rPr>
          <w:szCs w:val="22"/>
        </w:rPr>
      </w:pPr>
      <w:r w:rsidRPr="000A5A33">
        <w:rPr>
          <w:b/>
          <w:szCs w:val="22"/>
        </w:rPr>
        <w:t>4.1</w:t>
      </w:r>
      <w:r w:rsidR="003B0FF0" w:rsidRPr="000A5A33">
        <w:rPr>
          <w:b/>
          <w:szCs w:val="22"/>
        </w:rPr>
        <w:t>.</w:t>
      </w:r>
      <w:r w:rsidRPr="000A5A33">
        <w:rPr>
          <w:b/>
          <w:szCs w:val="22"/>
        </w:rPr>
        <w:tab/>
        <w:t>Terapeitiskās indikācijas</w:t>
      </w:r>
    </w:p>
    <w:p w14:paraId="7F6B3885" w14:textId="77777777" w:rsidR="00E72F9F" w:rsidRPr="000A5A33" w:rsidRDefault="00E72F9F" w:rsidP="00947806">
      <w:pPr>
        <w:pStyle w:val="Default"/>
        <w:jc w:val="both"/>
        <w:rPr>
          <w:color w:val="auto"/>
          <w:sz w:val="22"/>
          <w:szCs w:val="22"/>
          <w:lang w:val="lv-LV"/>
        </w:rPr>
      </w:pPr>
    </w:p>
    <w:p w14:paraId="4F6454C1" w14:textId="77777777" w:rsidR="0074021F" w:rsidRPr="000A5A33" w:rsidRDefault="0074021F" w:rsidP="00947806">
      <w:pPr>
        <w:pStyle w:val="Default"/>
        <w:jc w:val="both"/>
        <w:rPr>
          <w:color w:val="auto"/>
          <w:sz w:val="22"/>
          <w:szCs w:val="22"/>
          <w:lang w:val="lv-LV"/>
        </w:rPr>
      </w:pPr>
      <w:r w:rsidRPr="000A5A33">
        <w:rPr>
          <w:color w:val="auto"/>
          <w:sz w:val="22"/>
          <w:szCs w:val="22"/>
          <w:lang w:val="lv-LV"/>
        </w:rPr>
        <w:t>Ārstniecības augu līdzeklis, kas paredzēts īslaicīgai gadījuma rakstura aizcietējuma ārstēšanai.</w:t>
      </w:r>
    </w:p>
    <w:p w14:paraId="5714557D" w14:textId="77777777" w:rsidR="0074021F" w:rsidRPr="000A5A33" w:rsidRDefault="0074021F" w:rsidP="00947806">
      <w:pPr>
        <w:tabs>
          <w:tab w:val="clear" w:pos="567"/>
        </w:tabs>
        <w:spacing w:line="240" w:lineRule="auto"/>
        <w:jc w:val="both"/>
        <w:rPr>
          <w:b/>
          <w:szCs w:val="22"/>
        </w:rPr>
      </w:pPr>
    </w:p>
    <w:p w14:paraId="42209365" w14:textId="77777777" w:rsidR="00CD10AA" w:rsidRPr="000A5A33" w:rsidRDefault="00CD10AA" w:rsidP="00947806">
      <w:pPr>
        <w:tabs>
          <w:tab w:val="clear" w:pos="567"/>
        </w:tabs>
        <w:spacing w:line="240" w:lineRule="auto"/>
        <w:jc w:val="both"/>
        <w:rPr>
          <w:b/>
          <w:szCs w:val="22"/>
        </w:rPr>
      </w:pPr>
      <w:r w:rsidRPr="000A5A33">
        <w:rPr>
          <w:b/>
          <w:szCs w:val="22"/>
        </w:rPr>
        <w:t>4.2</w:t>
      </w:r>
      <w:r w:rsidR="00FB475A" w:rsidRPr="000A5A33">
        <w:rPr>
          <w:b/>
          <w:szCs w:val="22"/>
        </w:rPr>
        <w:t>.</w:t>
      </w:r>
      <w:r w:rsidRPr="000A5A33">
        <w:rPr>
          <w:b/>
          <w:szCs w:val="22"/>
        </w:rPr>
        <w:tab/>
        <w:t>Devas un lietošanas veids</w:t>
      </w:r>
    </w:p>
    <w:p w14:paraId="76C3749C" w14:textId="77777777" w:rsidR="00E72F9F" w:rsidRPr="000A5A33" w:rsidRDefault="00E72F9F" w:rsidP="00947806">
      <w:pPr>
        <w:tabs>
          <w:tab w:val="clear" w:pos="567"/>
        </w:tabs>
        <w:spacing w:line="240" w:lineRule="auto"/>
        <w:jc w:val="both"/>
        <w:rPr>
          <w:szCs w:val="22"/>
          <w:u w:val="single"/>
        </w:rPr>
      </w:pPr>
    </w:p>
    <w:p w14:paraId="435D8C98" w14:textId="77777777" w:rsidR="0097548A" w:rsidRPr="000A5A33" w:rsidRDefault="00FD187E" w:rsidP="00947806">
      <w:pPr>
        <w:tabs>
          <w:tab w:val="clear" w:pos="567"/>
        </w:tabs>
        <w:spacing w:line="240" w:lineRule="auto"/>
        <w:jc w:val="both"/>
        <w:rPr>
          <w:szCs w:val="22"/>
          <w:u w:val="single"/>
        </w:rPr>
      </w:pPr>
      <w:r w:rsidRPr="000A5A33">
        <w:rPr>
          <w:szCs w:val="22"/>
          <w:u w:val="single"/>
        </w:rPr>
        <w:t>Devas</w:t>
      </w:r>
    </w:p>
    <w:p w14:paraId="76E769E0" w14:textId="22F774FF" w:rsidR="00FA253D" w:rsidRPr="000A5A33" w:rsidRDefault="00FA253D" w:rsidP="00947806">
      <w:pPr>
        <w:pStyle w:val="Default"/>
        <w:jc w:val="both"/>
        <w:rPr>
          <w:color w:val="auto"/>
          <w:sz w:val="22"/>
          <w:szCs w:val="22"/>
          <w:lang w:val="lv-LV"/>
        </w:rPr>
      </w:pPr>
      <w:r w:rsidRPr="000A5A33">
        <w:rPr>
          <w:color w:val="auto"/>
          <w:sz w:val="22"/>
          <w:szCs w:val="22"/>
          <w:lang w:val="lv-LV"/>
        </w:rPr>
        <w:t>Maksimālā hidroksiantracēnglikozīdu dienas deva ir 30 mg.</w:t>
      </w:r>
    </w:p>
    <w:p w14:paraId="26D59B3B" w14:textId="77777777" w:rsidR="00FA253D" w:rsidRPr="000A5A33" w:rsidRDefault="00FA253D" w:rsidP="00947806">
      <w:pPr>
        <w:pStyle w:val="Default"/>
        <w:jc w:val="both"/>
        <w:rPr>
          <w:color w:val="auto"/>
          <w:sz w:val="22"/>
          <w:szCs w:val="22"/>
          <w:lang w:val="lv-LV"/>
        </w:rPr>
      </w:pPr>
    </w:p>
    <w:p w14:paraId="6BB0ECCA" w14:textId="77777777" w:rsidR="00FA253D" w:rsidRPr="000A5A33" w:rsidRDefault="00FA253D" w:rsidP="00947806">
      <w:pPr>
        <w:pStyle w:val="Default"/>
        <w:jc w:val="both"/>
        <w:rPr>
          <w:i/>
          <w:iCs/>
          <w:color w:val="auto"/>
          <w:sz w:val="22"/>
          <w:szCs w:val="22"/>
          <w:lang w:val="lv-LV"/>
        </w:rPr>
      </w:pPr>
      <w:r w:rsidRPr="000A5A33">
        <w:rPr>
          <w:i/>
          <w:iCs/>
          <w:color w:val="auto"/>
          <w:sz w:val="22"/>
          <w:szCs w:val="22"/>
          <w:lang w:val="lv-LV"/>
        </w:rPr>
        <w:t>Pusaudži, kuri</w:t>
      </w:r>
      <w:r w:rsidRPr="000A5A33">
        <w:rPr>
          <w:i/>
          <w:color w:val="auto"/>
          <w:sz w:val="22"/>
          <w:szCs w:val="22"/>
          <w:lang w:val="lv-LV"/>
        </w:rPr>
        <w:t xml:space="preserve"> vecāki par 12 gadiem, pieaugušie un gados vecāki </w:t>
      </w:r>
      <w:r w:rsidR="00234032" w:rsidRPr="000A5A33">
        <w:rPr>
          <w:i/>
          <w:color w:val="auto"/>
          <w:sz w:val="22"/>
          <w:szCs w:val="22"/>
          <w:lang w:val="lv-LV"/>
        </w:rPr>
        <w:t>cilvēki</w:t>
      </w:r>
    </w:p>
    <w:p w14:paraId="6CE0FFC9" w14:textId="4DEFE658" w:rsidR="00335E50" w:rsidRPr="000A5A33" w:rsidRDefault="00335E50" w:rsidP="00947806">
      <w:pPr>
        <w:pStyle w:val="Default"/>
        <w:jc w:val="both"/>
        <w:rPr>
          <w:color w:val="auto"/>
          <w:sz w:val="22"/>
          <w:szCs w:val="22"/>
          <w:lang w:val="lv-LV"/>
        </w:rPr>
      </w:pPr>
      <w:r w:rsidRPr="000A5A33">
        <w:rPr>
          <w:color w:val="auto"/>
          <w:sz w:val="22"/>
          <w:szCs w:val="22"/>
          <w:lang w:val="lv-LV"/>
        </w:rPr>
        <w:t>Viena deva:</w:t>
      </w:r>
    </w:p>
    <w:p w14:paraId="7D78F0B9" w14:textId="2BAE314D" w:rsidR="00FA253D" w:rsidRPr="000A5A33" w:rsidRDefault="00FA253D" w:rsidP="000A5A33">
      <w:pPr>
        <w:pStyle w:val="Default"/>
        <w:rPr>
          <w:color w:val="auto"/>
          <w:sz w:val="22"/>
          <w:szCs w:val="22"/>
          <w:lang w:val="lv-LV"/>
        </w:rPr>
      </w:pPr>
      <w:r w:rsidRPr="000A5A33">
        <w:rPr>
          <w:color w:val="auto"/>
          <w:sz w:val="22"/>
          <w:szCs w:val="22"/>
          <w:lang w:val="lv-LV"/>
        </w:rPr>
        <w:t>Ārstniecības augu līdzeklis, kas atbilst 15 – 30 mg hidroksiantracēnu atvasinājumu, pārrēķinot uz sennozīdu B, jālieto vienu reizi dienā pirms naktsmiera.</w:t>
      </w:r>
      <w:r w:rsidR="00BF0EF1" w:rsidRPr="000A5A33">
        <w:rPr>
          <w:color w:val="auto"/>
          <w:sz w:val="22"/>
          <w:szCs w:val="22"/>
          <w:lang w:val="lv-LV"/>
        </w:rPr>
        <w:t xml:space="preserve"> Pareiza individuālā deva ir mazākā deva, kas nodrošina komfortablu un mīkstu vēdera izeju.</w:t>
      </w:r>
    </w:p>
    <w:p w14:paraId="23B7E66A" w14:textId="77777777" w:rsidR="0097548A" w:rsidRPr="000A5A33" w:rsidRDefault="0097548A" w:rsidP="00947806">
      <w:pPr>
        <w:tabs>
          <w:tab w:val="clear" w:pos="567"/>
        </w:tabs>
        <w:spacing w:line="240" w:lineRule="auto"/>
        <w:jc w:val="both"/>
        <w:rPr>
          <w:szCs w:val="22"/>
          <w:u w:val="single"/>
        </w:rPr>
      </w:pPr>
    </w:p>
    <w:p w14:paraId="610F3810" w14:textId="77777777" w:rsidR="0097548A" w:rsidRPr="000A5A33" w:rsidRDefault="0097548A" w:rsidP="00947806">
      <w:pPr>
        <w:tabs>
          <w:tab w:val="clear" w:pos="567"/>
        </w:tabs>
        <w:spacing w:line="240" w:lineRule="auto"/>
        <w:jc w:val="both"/>
        <w:rPr>
          <w:bCs/>
          <w:i/>
          <w:iCs/>
          <w:szCs w:val="22"/>
        </w:rPr>
      </w:pPr>
      <w:r w:rsidRPr="000A5A33">
        <w:rPr>
          <w:bCs/>
          <w:i/>
          <w:iCs/>
          <w:szCs w:val="22"/>
        </w:rPr>
        <w:t>Pediatriskā populācija</w:t>
      </w:r>
    </w:p>
    <w:p w14:paraId="1FE6A990" w14:textId="54A628CB" w:rsidR="00FA253D" w:rsidRPr="000A5A33" w:rsidRDefault="00335E50" w:rsidP="00947806">
      <w:pPr>
        <w:pStyle w:val="Default"/>
        <w:jc w:val="both"/>
        <w:rPr>
          <w:color w:val="auto"/>
          <w:sz w:val="22"/>
          <w:szCs w:val="22"/>
          <w:lang w:val="lv-LV"/>
        </w:rPr>
      </w:pPr>
      <w:r w:rsidRPr="000A5A33">
        <w:rPr>
          <w:color w:val="auto"/>
          <w:sz w:val="22"/>
          <w:szCs w:val="22"/>
          <w:lang w:val="lv-LV"/>
        </w:rPr>
        <w:t xml:space="preserve">Lietošana </w:t>
      </w:r>
      <w:r w:rsidR="00FA253D" w:rsidRPr="000A5A33">
        <w:rPr>
          <w:color w:val="auto"/>
          <w:sz w:val="22"/>
          <w:szCs w:val="22"/>
          <w:lang w:val="lv-LV"/>
        </w:rPr>
        <w:t>bērniem, kuri jaunāki par 12 gadiem</w:t>
      </w:r>
      <w:r w:rsidRPr="000A5A33">
        <w:rPr>
          <w:color w:val="auto"/>
          <w:sz w:val="22"/>
          <w:szCs w:val="22"/>
          <w:lang w:val="lv-LV"/>
        </w:rPr>
        <w:t>, ir kontrindicēta</w:t>
      </w:r>
      <w:r w:rsidR="00FA253D" w:rsidRPr="000A5A33">
        <w:rPr>
          <w:color w:val="auto"/>
          <w:sz w:val="22"/>
          <w:szCs w:val="22"/>
          <w:lang w:val="lv-LV"/>
        </w:rPr>
        <w:t xml:space="preserve"> (skatīt 4.3. apakšpunktu</w:t>
      </w:r>
      <w:r w:rsidR="009D4052">
        <w:rPr>
          <w:color w:val="auto"/>
          <w:sz w:val="22"/>
          <w:szCs w:val="22"/>
          <w:lang w:val="lv-LV"/>
        </w:rPr>
        <w:t xml:space="preserve"> </w:t>
      </w:r>
      <w:r w:rsidR="000D257B" w:rsidRPr="000A5A33">
        <w:rPr>
          <w:color w:val="auto"/>
          <w:sz w:val="22"/>
          <w:szCs w:val="22"/>
          <w:lang w:val="lv-LV"/>
        </w:rPr>
        <w:t>”Kontrindikācijas”</w:t>
      </w:r>
      <w:r w:rsidR="00FA253D" w:rsidRPr="000A5A33">
        <w:rPr>
          <w:color w:val="auto"/>
          <w:sz w:val="22"/>
          <w:szCs w:val="22"/>
          <w:lang w:val="lv-LV"/>
        </w:rPr>
        <w:t>).</w:t>
      </w:r>
    </w:p>
    <w:p w14:paraId="6F03B46E" w14:textId="77777777" w:rsidR="00106DE1" w:rsidRPr="000A5A33" w:rsidRDefault="00106DE1" w:rsidP="00947806">
      <w:pPr>
        <w:tabs>
          <w:tab w:val="clear" w:pos="567"/>
        </w:tabs>
        <w:spacing w:line="240" w:lineRule="auto"/>
        <w:jc w:val="both"/>
        <w:rPr>
          <w:b/>
          <w:i/>
          <w:szCs w:val="22"/>
        </w:rPr>
      </w:pPr>
    </w:p>
    <w:p w14:paraId="7C2DC5DC" w14:textId="77777777" w:rsidR="0097548A" w:rsidRPr="000A5A33" w:rsidRDefault="0097548A" w:rsidP="00947806">
      <w:pPr>
        <w:tabs>
          <w:tab w:val="clear" w:pos="567"/>
        </w:tabs>
        <w:spacing w:line="240" w:lineRule="auto"/>
        <w:jc w:val="both"/>
        <w:rPr>
          <w:szCs w:val="22"/>
          <w:u w:val="single"/>
        </w:rPr>
      </w:pPr>
      <w:r w:rsidRPr="000A5A33">
        <w:rPr>
          <w:szCs w:val="22"/>
          <w:u w:val="single"/>
        </w:rPr>
        <w:t>Lietošanas veids</w:t>
      </w:r>
    </w:p>
    <w:p w14:paraId="030C8A54" w14:textId="77777777" w:rsidR="00FE1226" w:rsidRPr="000A5A33" w:rsidRDefault="00FE1226" w:rsidP="00947806">
      <w:pPr>
        <w:pStyle w:val="Default"/>
        <w:jc w:val="both"/>
        <w:rPr>
          <w:color w:val="auto"/>
          <w:sz w:val="22"/>
          <w:szCs w:val="22"/>
          <w:lang w:val="lv-LV"/>
        </w:rPr>
      </w:pPr>
      <w:r w:rsidRPr="000A5A33">
        <w:rPr>
          <w:color w:val="auto"/>
          <w:sz w:val="22"/>
          <w:szCs w:val="22"/>
          <w:lang w:val="lv-LV"/>
        </w:rPr>
        <w:t>Iekšķīgai lietošanai.</w:t>
      </w:r>
    </w:p>
    <w:p w14:paraId="1323604E" w14:textId="77777777" w:rsidR="00FA253D" w:rsidRPr="000A5A33" w:rsidRDefault="00FA253D" w:rsidP="000A5A33">
      <w:pPr>
        <w:pStyle w:val="Default"/>
        <w:rPr>
          <w:color w:val="auto"/>
          <w:sz w:val="22"/>
          <w:szCs w:val="22"/>
          <w:lang w:val="lv-LV"/>
        </w:rPr>
      </w:pPr>
      <w:r w:rsidRPr="000A5A33">
        <w:rPr>
          <w:color w:val="auto"/>
          <w:sz w:val="22"/>
          <w:szCs w:val="22"/>
          <w:lang w:val="lv-LV"/>
        </w:rPr>
        <w:t xml:space="preserve">1 maisiņu aplej ar </w:t>
      </w:r>
      <w:r w:rsidR="00FE1226" w:rsidRPr="000A5A33">
        <w:rPr>
          <w:sz w:val="22"/>
          <w:szCs w:val="22"/>
          <w:lang w:val="lv-LV"/>
        </w:rPr>
        <w:t>¾</w:t>
      </w:r>
      <w:r w:rsidR="00FE1226" w:rsidRPr="000A5A33">
        <w:rPr>
          <w:color w:val="auto"/>
          <w:sz w:val="22"/>
          <w:szCs w:val="22"/>
          <w:lang w:val="lv-LV"/>
        </w:rPr>
        <w:t xml:space="preserve"> glāzes</w:t>
      </w:r>
      <w:r w:rsidRPr="000A5A33">
        <w:rPr>
          <w:color w:val="auto"/>
          <w:sz w:val="22"/>
          <w:szCs w:val="22"/>
          <w:lang w:val="lv-LV"/>
        </w:rPr>
        <w:t xml:space="preserve"> karsta ūdens un ļauj ievilkties, noslēdzot trauku ar vāciņu, apmēram 10 minūtes. ¾ glāzes </w:t>
      </w:r>
      <w:r w:rsidR="00FE1226" w:rsidRPr="000A5A33">
        <w:rPr>
          <w:color w:val="auto"/>
          <w:sz w:val="22"/>
          <w:szCs w:val="22"/>
          <w:lang w:val="lv-LV"/>
        </w:rPr>
        <w:t>siltā</w:t>
      </w:r>
      <w:r w:rsidRPr="000A5A33">
        <w:rPr>
          <w:color w:val="auto"/>
          <w:sz w:val="22"/>
          <w:szCs w:val="22"/>
          <w:lang w:val="lv-LV"/>
        </w:rPr>
        <w:t xml:space="preserve"> uzlējuma jādzer vienu reizi dienā vakarā pirms gulētiešanas.</w:t>
      </w:r>
    </w:p>
    <w:p w14:paraId="4F32551F" w14:textId="77777777" w:rsidR="00FA253D" w:rsidRPr="000A5A33" w:rsidRDefault="00FA253D" w:rsidP="00947806">
      <w:pPr>
        <w:pStyle w:val="Default"/>
        <w:jc w:val="both"/>
        <w:rPr>
          <w:color w:val="auto"/>
          <w:sz w:val="22"/>
          <w:szCs w:val="22"/>
          <w:lang w:val="lv-LV"/>
        </w:rPr>
      </w:pPr>
    </w:p>
    <w:p w14:paraId="58F86D5D" w14:textId="0577DB13" w:rsidR="00FA253D" w:rsidRPr="000A5A33" w:rsidRDefault="00FA253D" w:rsidP="00947806">
      <w:pPr>
        <w:pStyle w:val="Default"/>
        <w:jc w:val="both"/>
        <w:rPr>
          <w:color w:val="auto"/>
          <w:sz w:val="22"/>
          <w:szCs w:val="22"/>
          <w:lang w:val="lv-LV"/>
        </w:rPr>
      </w:pPr>
      <w:r w:rsidRPr="000A5A33">
        <w:rPr>
          <w:color w:val="auto"/>
          <w:sz w:val="22"/>
          <w:szCs w:val="22"/>
          <w:lang w:val="lv-LV"/>
        </w:rPr>
        <w:t>Ārstniecības augu tēja jāpagatavo tieši pirms lietošanas.</w:t>
      </w:r>
    </w:p>
    <w:p w14:paraId="4D88603A" w14:textId="77777777" w:rsidR="00CD10AA" w:rsidRPr="000A5A33" w:rsidRDefault="00CD10AA" w:rsidP="00947806">
      <w:pPr>
        <w:tabs>
          <w:tab w:val="clear" w:pos="567"/>
        </w:tabs>
        <w:spacing w:line="240" w:lineRule="auto"/>
        <w:jc w:val="both"/>
        <w:rPr>
          <w:szCs w:val="22"/>
        </w:rPr>
      </w:pPr>
    </w:p>
    <w:p w14:paraId="03E069F0" w14:textId="77777777" w:rsidR="00FA253D" w:rsidRPr="000A5A33" w:rsidRDefault="00FA253D" w:rsidP="00947806">
      <w:pPr>
        <w:pStyle w:val="Default"/>
        <w:jc w:val="both"/>
        <w:rPr>
          <w:iCs/>
          <w:color w:val="auto"/>
          <w:sz w:val="22"/>
          <w:szCs w:val="22"/>
          <w:u w:val="single"/>
          <w:lang w:val="lv-LV"/>
        </w:rPr>
      </w:pPr>
      <w:r w:rsidRPr="000A5A33">
        <w:rPr>
          <w:iCs/>
          <w:color w:val="auto"/>
          <w:sz w:val="22"/>
          <w:szCs w:val="22"/>
          <w:u w:val="single"/>
          <w:lang w:val="lv-LV"/>
        </w:rPr>
        <w:t>Lietošanas ilgums</w:t>
      </w:r>
    </w:p>
    <w:p w14:paraId="534CDFFF" w14:textId="621C2DE2" w:rsidR="00FA253D" w:rsidRPr="000A5A33" w:rsidRDefault="00E13AE8" w:rsidP="00947806">
      <w:pPr>
        <w:pStyle w:val="Default"/>
        <w:jc w:val="both"/>
        <w:rPr>
          <w:color w:val="auto"/>
          <w:sz w:val="22"/>
          <w:szCs w:val="22"/>
          <w:lang w:val="lv-LV"/>
        </w:rPr>
      </w:pPr>
      <w:r w:rsidRPr="000A5A33">
        <w:rPr>
          <w:color w:val="auto"/>
          <w:sz w:val="22"/>
          <w:szCs w:val="22"/>
          <w:lang w:val="lv-LV"/>
        </w:rPr>
        <w:t>Nelietot ilgāk par 1 nedēļu. Parasti šīs nedēļas laikā zāles pietiek lietot līdz divām vai trim reizēm</w:t>
      </w:r>
      <w:r w:rsidR="00FA253D" w:rsidRPr="000A5A33">
        <w:rPr>
          <w:color w:val="auto"/>
          <w:sz w:val="22"/>
          <w:szCs w:val="22"/>
          <w:lang w:val="lv-LV"/>
        </w:rPr>
        <w:t>.</w:t>
      </w:r>
    </w:p>
    <w:p w14:paraId="473A223D" w14:textId="77777777" w:rsidR="00FA253D" w:rsidRPr="000A5A33" w:rsidRDefault="00FA253D" w:rsidP="00947806">
      <w:pPr>
        <w:pStyle w:val="Default"/>
        <w:jc w:val="both"/>
        <w:rPr>
          <w:color w:val="auto"/>
          <w:sz w:val="22"/>
          <w:szCs w:val="22"/>
          <w:lang w:val="lv-LV"/>
        </w:rPr>
      </w:pPr>
    </w:p>
    <w:p w14:paraId="1C404784" w14:textId="566BD407" w:rsidR="00FA253D" w:rsidRPr="000A5A33" w:rsidRDefault="00FA253D" w:rsidP="00947806">
      <w:pPr>
        <w:pStyle w:val="Default"/>
        <w:jc w:val="both"/>
        <w:rPr>
          <w:color w:val="auto"/>
          <w:sz w:val="22"/>
          <w:szCs w:val="22"/>
          <w:lang w:val="lv-LV"/>
        </w:rPr>
      </w:pPr>
      <w:r w:rsidRPr="000A5A33">
        <w:rPr>
          <w:color w:val="auto"/>
          <w:sz w:val="22"/>
          <w:szCs w:val="22"/>
          <w:lang w:val="lv-LV"/>
        </w:rPr>
        <w:t xml:space="preserve">Ja, lietojot šīs zāles, simptomi saglabājas, </w:t>
      </w:r>
      <w:r w:rsidR="00E13AE8" w:rsidRPr="000A5A33">
        <w:rPr>
          <w:color w:val="auto"/>
          <w:sz w:val="22"/>
          <w:szCs w:val="22"/>
          <w:lang w:val="lv-LV"/>
        </w:rPr>
        <w:t>jākonsultējas</w:t>
      </w:r>
      <w:r w:rsidRPr="000A5A33">
        <w:rPr>
          <w:color w:val="auto"/>
          <w:sz w:val="22"/>
          <w:szCs w:val="22"/>
          <w:lang w:val="lv-LV"/>
        </w:rPr>
        <w:t xml:space="preserve"> ar ārstu vai farmaceitu. Skatīt arī 4.4. apakšpunktu</w:t>
      </w:r>
      <w:r w:rsidR="000D257B" w:rsidRPr="000A5A33">
        <w:rPr>
          <w:color w:val="auto"/>
          <w:sz w:val="22"/>
          <w:szCs w:val="22"/>
          <w:lang w:val="lv-LV"/>
        </w:rPr>
        <w:t xml:space="preserve"> “Īpaši brīdinājumi un piesardzība lietošanā”</w:t>
      </w:r>
      <w:r w:rsidRPr="000A5A33">
        <w:rPr>
          <w:color w:val="auto"/>
          <w:sz w:val="22"/>
          <w:szCs w:val="22"/>
          <w:lang w:val="lv-LV"/>
        </w:rPr>
        <w:t>.</w:t>
      </w:r>
    </w:p>
    <w:p w14:paraId="6904661F" w14:textId="77777777" w:rsidR="00FA253D" w:rsidRPr="000A5A33" w:rsidRDefault="00FA253D" w:rsidP="00947806">
      <w:pPr>
        <w:tabs>
          <w:tab w:val="clear" w:pos="567"/>
        </w:tabs>
        <w:spacing w:line="240" w:lineRule="auto"/>
        <w:jc w:val="both"/>
        <w:rPr>
          <w:szCs w:val="22"/>
        </w:rPr>
      </w:pPr>
    </w:p>
    <w:p w14:paraId="68CEA4ED" w14:textId="77777777" w:rsidR="00CD10AA" w:rsidRPr="000A5A33" w:rsidRDefault="00CD10AA" w:rsidP="00947806">
      <w:pPr>
        <w:tabs>
          <w:tab w:val="clear" w:pos="567"/>
        </w:tabs>
        <w:spacing w:line="240" w:lineRule="auto"/>
        <w:jc w:val="both"/>
        <w:rPr>
          <w:b/>
          <w:szCs w:val="22"/>
        </w:rPr>
      </w:pPr>
      <w:r w:rsidRPr="000A5A33">
        <w:rPr>
          <w:b/>
          <w:szCs w:val="22"/>
        </w:rPr>
        <w:t>4.3</w:t>
      </w:r>
      <w:r w:rsidR="004D591D" w:rsidRPr="000A5A33">
        <w:rPr>
          <w:b/>
          <w:szCs w:val="22"/>
        </w:rPr>
        <w:t>.</w:t>
      </w:r>
      <w:r w:rsidRPr="000A5A33">
        <w:rPr>
          <w:b/>
          <w:szCs w:val="22"/>
        </w:rPr>
        <w:tab/>
        <w:t>Kontrindikācijas</w:t>
      </w:r>
    </w:p>
    <w:p w14:paraId="5A9A06FD" w14:textId="77777777" w:rsidR="00E72F9F" w:rsidRPr="000A5A33" w:rsidRDefault="00E72F9F" w:rsidP="00947806">
      <w:pPr>
        <w:tabs>
          <w:tab w:val="clear" w:pos="567"/>
        </w:tabs>
        <w:spacing w:line="240" w:lineRule="auto"/>
        <w:jc w:val="both"/>
        <w:rPr>
          <w:szCs w:val="22"/>
        </w:rPr>
      </w:pPr>
    </w:p>
    <w:p w14:paraId="620B1184" w14:textId="77777777" w:rsidR="00CD10AA" w:rsidRPr="000A5A33" w:rsidRDefault="00CD10AA" w:rsidP="002E0135">
      <w:pPr>
        <w:numPr>
          <w:ilvl w:val="0"/>
          <w:numId w:val="26"/>
        </w:numPr>
        <w:tabs>
          <w:tab w:val="clear" w:pos="567"/>
          <w:tab w:val="left" w:pos="709"/>
        </w:tabs>
        <w:spacing w:line="240" w:lineRule="auto"/>
        <w:jc w:val="both"/>
        <w:rPr>
          <w:noProof/>
          <w:szCs w:val="22"/>
        </w:rPr>
      </w:pPr>
      <w:r w:rsidRPr="000A5A33">
        <w:rPr>
          <w:szCs w:val="22"/>
        </w:rPr>
        <w:t>Paaugstināta jutība pret aktīvo vielu</w:t>
      </w:r>
      <w:r w:rsidR="00FD187E" w:rsidRPr="000A5A33">
        <w:rPr>
          <w:noProof/>
          <w:szCs w:val="22"/>
        </w:rPr>
        <w:t>.</w:t>
      </w:r>
    </w:p>
    <w:p w14:paraId="5DABED96" w14:textId="221A7C09" w:rsidR="00912CCD" w:rsidRPr="000A5A33" w:rsidRDefault="00912CCD" w:rsidP="002E0135">
      <w:pPr>
        <w:pStyle w:val="Default"/>
        <w:numPr>
          <w:ilvl w:val="0"/>
          <w:numId w:val="26"/>
        </w:numPr>
        <w:tabs>
          <w:tab w:val="left" w:pos="709"/>
        </w:tabs>
        <w:jc w:val="both"/>
        <w:rPr>
          <w:color w:val="auto"/>
          <w:sz w:val="22"/>
          <w:szCs w:val="22"/>
          <w:lang w:val="lv-LV"/>
        </w:rPr>
      </w:pPr>
      <w:r w:rsidRPr="000A5A33">
        <w:rPr>
          <w:color w:val="auto"/>
          <w:sz w:val="22"/>
          <w:szCs w:val="22"/>
          <w:lang w:val="lv-LV"/>
        </w:rPr>
        <w:lastRenderedPageBreak/>
        <w:t>Zarnu obstrukcija un stenoze, zarnu atonija, apendicīts, iekaisīgas zarn</w:t>
      </w:r>
      <w:r w:rsidR="00681DA4" w:rsidRPr="000A5A33">
        <w:rPr>
          <w:color w:val="auto"/>
          <w:sz w:val="22"/>
          <w:szCs w:val="22"/>
          <w:lang w:val="lv-LV"/>
        </w:rPr>
        <w:t>u</w:t>
      </w:r>
      <w:r w:rsidRPr="000A5A33">
        <w:rPr>
          <w:color w:val="auto"/>
          <w:sz w:val="22"/>
          <w:szCs w:val="22"/>
          <w:lang w:val="lv-LV"/>
        </w:rPr>
        <w:t xml:space="preserve"> slimības (piemēram, Krona slimība, čūlainais kolīts), nezināmas izcelsmes sāpes vēderā, smagi dehidratācijas stāvokļi ar ūdens un elektrolītu deficītu.</w:t>
      </w:r>
    </w:p>
    <w:p w14:paraId="33BD9968" w14:textId="5BB4D3BC" w:rsidR="00E13AE8" w:rsidRPr="000A5A33" w:rsidRDefault="00E13AE8" w:rsidP="002E0135">
      <w:pPr>
        <w:pStyle w:val="Default"/>
        <w:numPr>
          <w:ilvl w:val="0"/>
          <w:numId w:val="26"/>
        </w:numPr>
        <w:tabs>
          <w:tab w:val="left" w:pos="709"/>
        </w:tabs>
        <w:jc w:val="both"/>
        <w:rPr>
          <w:color w:val="auto"/>
          <w:sz w:val="22"/>
          <w:szCs w:val="22"/>
          <w:lang w:val="lv-LV"/>
        </w:rPr>
      </w:pPr>
      <w:r w:rsidRPr="000A5A33">
        <w:rPr>
          <w:color w:val="auto"/>
          <w:sz w:val="22"/>
          <w:szCs w:val="22"/>
          <w:lang w:val="lv-LV"/>
        </w:rPr>
        <w:t>Grūtniecība un barošana ar krūti (skatīt 4.6. un 5.3. apak</w:t>
      </w:r>
      <w:r w:rsidR="00F67666" w:rsidRPr="000A5A33">
        <w:rPr>
          <w:color w:val="auto"/>
          <w:sz w:val="22"/>
          <w:szCs w:val="22"/>
          <w:lang w:val="lv-LV"/>
        </w:rPr>
        <w:t>špunktu</w:t>
      </w:r>
      <w:r w:rsidRPr="000A5A33">
        <w:rPr>
          <w:color w:val="auto"/>
          <w:sz w:val="22"/>
          <w:szCs w:val="22"/>
          <w:lang w:val="lv-LV"/>
        </w:rPr>
        <w:t>).</w:t>
      </w:r>
    </w:p>
    <w:p w14:paraId="27C67E44" w14:textId="77777777" w:rsidR="00912CCD" w:rsidRPr="000A5A33" w:rsidRDefault="00912CCD" w:rsidP="002E0135">
      <w:pPr>
        <w:pStyle w:val="Default"/>
        <w:numPr>
          <w:ilvl w:val="0"/>
          <w:numId w:val="26"/>
        </w:numPr>
        <w:tabs>
          <w:tab w:val="left" w:pos="709"/>
        </w:tabs>
        <w:jc w:val="both"/>
        <w:rPr>
          <w:color w:val="auto"/>
          <w:sz w:val="22"/>
          <w:szCs w:val="22"/>
          <w:lang w:val="lv-LV"/>
        </w:rPr>
      </w:pPr>
      <w:r w:rsidRPr="000A5A33">
        <w:rPr>
          <w:color w:val="auto"/>
          <w:sz w:val="22"/>
          <w:szCs w:val="22"/>
          <w:lang w:val="lv-LV"/>
        </w:rPr>
        <w:t>Bērni, kuri jaunāki par 12 gadiem.</w:t>
      </w:r>
    </w:p>
    <w:p w14:paraId="04E6CA54" w14:textId="77777777" w:rsidR="00CD10AA" w:rsidRPr="000A5A33" w:rsidRDefault="00CD10AA" w:rsidP="00947806">
      <w:pPr>
        <w:tabs>
          <w:tab w:val="clear" w:pos="567"/>
          <w:tab w:val="left" w:pos="709"/>
        </w:tabs>
        <w:spacing w:line="240" w:lineRule="auto"/>
        <w:jc w:val="both"/>
        <w:rPr>
          <w:szCs w:val="22"/>
        </w:rPr>
      </w:pPr>
    </w:p>
    <w:p w14:paraId="24ECA0E7" w14:textId="77777777" w:rsidR="00CD10AA" w:rsidRPr="000A5A33" w:rsidRDefault="00CD10AA" w:rsidP="00947806">
      <w:pPr>
        <w:tabs>
          <w:tab w:val="clear" w:pos="567"/>
        </w:tabs>
        <w:spacing w:line="240" w:lineRule="auto"/>
        <w:jc w:val="both"/>
        <w:rPr>
          <w:b/>
          <w:szCs w:val="22"/>
        </w:rPr>
      </w:pPr>
      <w:r w:rsidRPr="000A5A33">
        <w:rPr>
          <w:b/>
          <w:szCs w:val="22"/>
        </w:rPr>
        <w:t>4.4</w:t>
      </w:r>
      <w:r w:rsidR="004D591D" w:rsidRPr="000A5A33">
        <w:rPr>
          <w:b/>
          <w:szCs w:val="22"/>
        </w:rPr>
        <w:t>.</w:t>
      </w:r>
      <w:r w:rsidRPr="000A5A33">
        <w:rPr>
          <w:b/>
          <w:szCs w:val="22"/>
        </w:rPr>
        <w:tab/>
        <w:t>Īpaši brīdinājumi un piesardzība lietošanā</w:t>
      </w:r>
    </w:p>
    <w:p w14:paraId="24E59416" w14:textId="77777777" w:rsidR="00E72F9F" w:rsidRPr="000A5A33" w:rsidRDefault="00E72F9F" w:rsidP="00947806">
      <w:pPr>
        <w:pStyle w:val="Default"/>
        <w:jc w:val="both"/>
        <w:rPr>
          <w:color w:val="auto"/>
          <w:sz w:val="22"/>
          <w:szCs w:val="22"/>
          <w:lang w:val="lv-LV"/>
        </w:rPr>
      </w:pPr>
    </w:p>
    <w:p w14:paraId="4EF84231" w14:textId="329CC4BD" w:rsidR="00681DA4" w:rsidRPr="000A5A33" w:rsidRDefault="00482A20" w:rsidP="000A5A33">
      <w:pPr>
        <w:pStyle w:val="Default"/>
        <w:rPr>
          <w:color w:val="auto"/>
          <w:sz w:val="22"/>
          <w:szCs w:val="22"/>
          <w:lang w:val="lv-LV"/>
        </w:rPr>
      </w:pPr>
      <w:r w:rsidRPr="000A5A33">
        <w:rPr>
          <w:color w:val="auto"/>
          <w:sz w:val="22"/>
          <w:szCs w:val="22"/>
          <w:lang w:val="lv-LV"/>
        </w:rPr>
        <w:t xml:space="preserve">Jāizvairās </w:t>
      </w:r>
      <w:r w:rsidR="00681DA4" w:rsidRPr="000A5A33">
        <w:rPr>
          <w:color w:val="auto"/>
          <w:sz w:val="22"/>
          <w:szCs w:val="22"/>
          <w:lang w:val="lv-LV"/>
        </w:rPr>
        <w:t xml:space="preserve">no stimulējošo līdzekļu ilgstošas lietošanas, jo lietošana </w:t>
      </w:r>
      <w:r w:rsidR="00030BC9" w:rsidRPr="000A5A33">
        <w:rPr>
          <w:color w:val="auto"/>
          <w:sz w:val="22"/>
          <w:szCs w:val="22"/>
          <w:lang w:val="lv-LV"/>
        </w:rPr>
        <w:t xml:space="preserve">ilgāk nekā tikai īslaicīgi </w:t>
      </w:r>
      <w:r w:rsidR="00681DA4" w:rsidRPr="000A5A33">
        <w:rPr>
          <w:color w:val="auto"/>
          <w:sz w:val="22"/>
          <w:szCs w:val="22"/>
          <w:lang w:val="lv-LV"/>
        </w:rPr>
        <w:t xml:space="preserve">var izraisīt zarnu darbības traucējumus un atkarību no caureju veicinošiem līdzekļiem. </w:t>
      </w:r>
      <w:r w:rsidR="00030BC9" w:rsidRPr="000A5A33">
        <w:rPr>
          <w:color w:val="auto"/>
          <w:sz w:val="22"/>
          <w:szCs w:val="22"/>
          <w:lang w:val="lv-LV"/>
        </w:rPr>
        <w:t>Ja caurejas līdzekļi ir nepie</w:t>
      </w:r>
      <w:r w:rsidR="000D257B" w:rsidRPr="000A5A33">
        <w:rPr>
          <w:color w:val="auto"/>
          <w:sz w:val="22"/>
          <w:szCs w:val="22"/>
          <w:lang w:val="lv-LV"/>
        </w:rPr>
        <w:t>ciešami katru dienu, jāveic izme</w:t>
      </w:r>
      <w:r w:rsidR="00030BC9" w:rsidRPr="000A5A33">
        <w:rPr>
          <w:color w:val="auto"/>
          <w:sz w:val="22"/>
          <w:szCs w:val="22"/>
          <w:lang w:val="lv-LV"/>
        </w:rPr>
        <w:t xml:space="preserve">klēšana, lai noteiktu aizcietējuma cēloni. </w:t>
      </w:r>
      <w:r w:rsidR="00681DA4" w:rsidRPr="000A5A33">
        <w:rPr>
          <w:color w:val="auto"/>
          <w:sz w:val="22"/>
          <w:szCs w:val="22"/>
          <w:lang w:val="lv-LV"/>
        </w:rPr>
        <w:t>Sennas lapas saturošus līdzekļus drīkst lietot tikai tad, ja terapeitisko efektu nav iespējams panākt</w:t>
      </w:r>
      <w:r w:rsidR="009D4052">
        <w:rPr>
          <w:color w:val="auto"/>
          <w:sz w:val="22"/>
          <w:szCs w:val="22"/>
          <w:lang w:val="lv-LV"/>
        </w:rPr>
        <w:t>,</w:t>
      </w:r>
      <w:r w:rsidR="00681DA4" w:rsidRPr="000A5A33">
        <w:rPr>
          <w:color w:val="auto"/>
          <w:sz w:val="22"/>
          <w:szCs w:val="22"/>
          <w:lang w:val="lv-LV"/>
        </w:rPr>
        <w:t xml:space="preserve"> mainot diētu vai lietojot zarnu satura daudzumu palielinošus līdzekļus.</w:t>
      </w:r>
    </w:p>
    <w:p w14:paraId="35E92522" w14:textId="77777777" w:rsidR="00681DA4" w:rsidRPr="000A5A33" w:rsidRDefault="00681DA4" w:rsidP="00947806">
      <w:pPr>
        <w:pStyle w:val="Default"/>
        <w:jc w:val="both"/>
        <w:rPr>
          <w:color w:val="auto"/>
          <w:sz w:val="22"/>
          <w:szCs w:val="22"/>
          <w:lang w:val="lv-LV"/>
        </w:rPr>
      </w:pPr>
    </w:p>
    <w:p w14:paraId="166EE57D" w14:textId="6D1517B2" w:rsidR="00AD37BE" w:rsidRPr="000A5A33" w:rsidRDefault="00AD37BE" w:rsidP="000A5A33">
      <w:pPr>
        <w:pStyle w:val="Default"/>
        <w:rPr>
          <w:color w:val="auto"/>
          <w:sz w:val="22"/>
          <w:szCs w:val="22"/>
          <w:lang w:val="lv-LV"/>
        </w:rPr>
      </w:pPr>
      <w:r w:rsidRPr="000A5A33">
        <w:rPr>
          <w:color w:val="auto"/>
          <w:sz w:val="22"/>
          <w:szCs w:val="22"/>
          <w:lang w:val="lv-LV"/>
        </w:rPr>
        <w:t>Pacientiem, kuri lieto sirds glikozīdus, antiaritmiskos līdzekļus, zāles, kas pagarina QT, diurētiskos līdzekļus, adrenokortiko</w:t>
      </w:r>
      <w:r w:rsidR="00FE1226" w:rsidRPr="000A5A33">
        <w:rPr>
          <w:color w:val="auto"/>
          <w:sz w:val="22"/>
          <w:szCs w:val="22"/>
          <w:lang w:val="lv-LV"/>
        </w:rPr>
        <w:t>stero</w:t>
      </w:r>
      <w:r w:rsidRPr="000A5A33">
        <w:rPr>
          <w:color w:val="auto"/>
          <w:sz w:val="22"/>
          <w:szCs w:val="22"/>
          <w:lang w:val="lv-LV"/>
        </w:rPr>
        <w:t xml:space="preserve">īdus vai lakricas sakni, pirms vienlaicīgas sennas lapu </w:t>
      </w:r>
      <w:r w:rsidR="009D4052">
        <w:rPr>
          <w:color w:val="auto"/>
          <w:sz w:val="22"/>
          <w:szCs w:val="22"/>
          <w:lang w:val="lv-LV"/>
        </w:rPr>
        <w:t xml:space="preserve">līdzekļu </w:t>
      </w:r>
      <w:r w:rsidRPr="000A5A33">
        <w:rPr>
          <w:color w:val="auto"/>
          <w:sz w:val="22"/>
          <w:szCs w:val="22"/>
          <w:lang w:val="lv-LV"/>
        </w:rPr>
        <w:t>lietošanas jākonsultējas ar ārstu.</w:t>
      </w:r>
    </w:p>
    <w:p w14:paraId="3766A98D" w14:textId="77777777" w:rsidR="00AD37BE" w:rsidRPr="000A5A33" w:rsidRDefault="00AD37BE" w:rsidP="00947806">
      <w:pPr>
        <w:pStyle w:val="Default"/>
        <w:jc w:val="both"/>
        <w:rPr>
          <w:color w:val="auto"/>
          <w:sz w:val="22"/>
          <w:szCs w:val="22"/>
          <w:lang w:val="lv-LV"/>
        </w:rPr>
      </w:pPr>
    </w:p>
    <w:p w14:paraId="78836873" w14:textId="3BC3ABBE" w:rsidR="00AD37BE" w:rsidRPr="000A5A33" w:rsidRDefault="000D257B" w:rsidP="000A5A33">
      <w:pPr>
        <w:pStyle w:val="Default"/>
        <w:rPr>
          <w:color w:val="auto"/>
          <w:sz w:val="22"/>
          <w:szCs w:val="22"/>
          <w:lang w:val="lv-LV"/>
        </w:rPr>
      </w:pPr>
      <w:r w:rsidRPr="000A5A33">
        <w:rPr>
          <w:color w:val="auto"/>
          <w:sz w:val="22"/>
          <w:szCs w:val="22"/>
          <w:lang w:val="lv-LV"/>
        </w:rPr>
        <w:t>Izņemot</w:t>
      </w:r>
      <w:r w:rsidR="009D4052">
        <w:rPr>
          <w:color w:val="auto"/>
          <w:sz w:val="22"/>
          <w:szCs w:val="22"/>
          <w:lang w:val="lv-LV"/>
        </w:rPr>
        <w:t xml:space="preserve"> gadījumus</w:t>
      </w:r>
      <w:r w:rsidRPr="000A5A33">
        <w:rPr>
          <w:color w:val="auto"/>
          <w:sz w:val="22"/>
          <w:szCs w:val="22"/>
          <w:lang w:val="lv-LV"/>
        </w:rPr>
        <w:t xml:space="preserve">, ja </w:t>
      </w:r>
      <w:r w:rsidR="009D4052">
        <w:rPr>
          <w:color w:val="auto"/>
          <w:sz w:val="22"/>
          <w:szCs w:val="22"/>
          <w:lang w:val="lv-LV"/>
        </w:rPr>
        <w:t xml:space="preserve">lietošanu </w:t>
      </w:r>
      <w:r w:rsidRPr="000A5A33">
        <w:rPr>
          <w:color w:val="auto"/>
          <w:sz w:val="22"/>
          <w:szCs w:val="22"/>
          <w:lang w:val="lv-LV"/>
        </w:rPr>
        <w:t>iesaka ārsts, l</w:t>
      </w:r>
      <w:r w:rsidR="00AD37BE" w:rsidRPr="000A5A33">
        <w:rPr>
          <w:color w:val="auto"/>
          <w:sz w:val="22"/>
          <w:szCs w:val="22"/>
          <w:lang w:val="lv-LV"/>
        </w:rPr>
        <w:t>īdzīgi citiem caureju veicinošiem līdzekļiem, sennas lap</w:t>
      </w:r>
      <w:r w:rsidRPr="000A5A33">
        <w:rPr>
          <w:color w:val="auto"/>
          <w:sz w:val="22"/>
          <w:szCs w:val="22"/>
          <w:lang w:val="lv-LV"/>
        </w:rPr>
        <w:t>u preparātus</w:t>
      </w:r>
      <w:r w:rsidR="00AD37BE" w:rsidRPr="000A5A33">
        <w:rPr>
          <w:color w:val="auto"/>
          <w:sz w:val="22"/>
          <w:szCs w:val="22"/>
          <w:lang w:val="lv-LV"/>
        </w:rPr>
        <w:t xml:space="preserve"> nedrīkst lietot pacienti ar aizcietējumu un nediagnosticētiem, akūtiem vai ilgstošiem kuņģa – zarnu trakta darbības traucējumiem, piemēram, sāpēm vēderā, sliktu dūšu un vemšanu, jo šie simptomi var būt iespējamas vai esošas zarnu blokādes (ileusa) pazīmes.</w:t>
      </w:r>
    </w:p>
    <w:p w14:paraId="77BD89BE" w14:textId="77777777" w:rsidR="00AD37BE" w:rsidRPr="000A5A33" w:rsidRDefault="00AD37BE" w:rsidP="00947806">
      <w:pPr>
        <w:pStyle w:val="Default"/>
        <w:jc w:val="both"/>
        <w:rPr>
          <w:color w:val="auto"/>
          <w:sz w:val="22"/>
          <w:szCs w:val="22"/>
          <w:lang w:val="lv-LV"/>
        </w:rPr>
      </w:pPr>
    </w:p>
    <w:p w14:paraId="3D5A29D9" w14:textId="35A6BFAD" w:rsidR="00AD37BE" w:rsidRPr="000A5A33" w:rsidRDefault="00AD37BE" w:rsidP="000A5A33">
      <w:pPr>
        <w:pStyle w:val="Default"/>
        <w:rPr>
          <w:color w:val="auto"/>
          <w:sz w:val="22"/>
          <w:szCs w:val="22"/>
          <w:lang w:val="lv-LV"/>
        </w:rPr>
      </w:pPr>
      <w:r w:rsidRPr="000A5A33">
        <w:rPr>
          <w:color w:val="auto"/>
          <w:sz w:val="22"/>
          <w:szCs w:val="22"/>
          <w:lang w:val="lv-LV"/>
        </w:rPr>
        <w:t xml:space="preserve">Lietojot sennas lapas saturošus līdzekļus pacientiem, kuriem ir fēču nesaturēšana, higiēniskie autiņi jāmaina biežāk, lai izvairītos no </w:t>
      </w:r>
      <w:r w:rsidR="00234032" w:rsidRPr="000A5A33">
        <w:rPr>
          <w:color w:val="auto"/>
          <w:sz w:val="22"/>
          <w:szCs w:val="22"/>
          <w:lang w:val="lv-LV"/>
        </w:rPr>
        <w:t xml:space="preserve">ilgstošas </w:t>
      </w:r>
      <w:r w:rsidRPr="000A5A33">
        <w:rPr>
          <w:color w:val="auto"/>
          <w:sz w:val="22"/>
          <w:szCs w:val="22"/>
          <w:lang w:val="lv-LV"/>
        </w:rPr>
        <w:t>fēču saskares ar ādu.</w:t>
      </w:r>
    </w:p>
    <w:p w14:paraId="47042BFE" w14:textId="77777777" w:rsidR="00AD37BE" w:rsidRPr="000A5A33" w:rsidRDefault="00AD37BE" w:rsidP="00947806">
      <w:pPr>
        <w:pStyle w:val="Default"/>
        <w:jc w:val="both"/>
        <w:rPr>
          <w:color w:val="auto"/>
          <w:sz w:val="22"/>
          <w:szCs w:val="22"/>
          <w:lang w:val="lv-LV"/>
        </w:rPr>
      </w:pPr>
    </w:p>
    <w:p w14:paraId="06189807" w14:textId="77777777" w:rsidR="00AD37BE" w:rsidRPr="000A5A33" w:rsidRDefault="00AD37BE" w:rsidP="00947806">
      <w:pPr>
        <w:pStyle w:val="Default"/>
        <w:jc w:val="both"/>
        <w:rPr>
          <w:color w:val="auto"/>
          <w:sz w:val="22"/>
          <w:szCs w:val="22"/>
          <w:lang w:val="lv-LV"/>
        </w:rPr>
      </w:pPr>
      <w:r w:rsidRPr="000A5A33">
        <w:rPr>
          <w:color w:val="auto"/>
          <w:sz w:val="22"/>
          <w:szCs w:val="22"/>
          <w:lang w:val="lv-LV"/>
        </w:rPr>
        <w:t>Pacientiem ar nieru darbības traucējumiem jāņem vērā iespējamie elektrolītu līdzsvara traucējumi.</w:t>
      </w:r>
    </w:p>
    <w:p w14:paraId="6585CA4E" w14:textId="77777777" w:rsidR="00A75221" w:rsidRPr="009D4052" w:rsidRDefault="00A75221" w:rsidP="00A75221">
      <w:pPr>
        <w:spacing w:line="240" w:lineRule="auto"/>
        <w:jc w:val="both"/>
        <w:rPr>
          <w:szCs w:val="22"/>
        </w:rPr>
      </w:pPr>
    </w:p>
    <w:p w14:paraId="58AEFF6E" w14:textId="0211F255" w:rsidR="00A75221" w:rsidRPr="000A5A33" w:rsidRDefault="00A75221" w:rsidP="00A75221">
      <w:pPr>
        <w:pStyle w:val="Default"/>
        <w:rPr>
          <w:sz w:val="22"/>
          <w:szCs w:val="22"/>
          <w:lang w:val="lv-LV"/>
        </w:rPr>
      </w:pPr>
      <w:r w:rsidRPr="000A5A33">
        <w:rPr>
          <w:sz w:val="22"/>
          <w:szCs w:val="22"/>
          <w:lang w:val="lv-LV"/>
        </w:rPr>
        <w:t>Ja zāļu lietošanas laikā simptomi pas</w:t>
      </w:r>
      <w:r w:rsidR="009D4052">
        <w:rPr>
          <w:sz w:val="22"/>
          <w:szCs w:val="22"/>
          <w:lang w:val="lv-LV"/>
        </w:rPr>
        <w:t>tipr</w:t>
      </w:r>
      <w:r w:rsidRPr="000A5A33">
        <w:rPr>
          <w:sz w:val="22"/>
          <w:szCs w:val="22"/>
          <w:lang w:val="lv-LV"/>
        </w:rPr>
        <w:t>inā</w:t>
      </w:r>
      <w:r w:rsidRPr="009D4052">
        <w:rPr>
          <w:sz w:val="22"/>
          <w:szCs w:val="22"/>
          <w:lang w:val="lv-LV"/>
        </w:rPr>
        <w:t xml:space="preserve">s, jākonsultējas </w:t>
      </w:r>
      <w:r w:rsidR="009D4052">
        <w:rPr>
          <w:sz w:val="22"/>
          <w:szCs w:val="22"/>
          <w:lang w:val="lv-LV"/>
        </w:rPr>
        <w:t>a</w:t>
      </w:r>
      <w:r w:rsidRPr="009D4052">
        <w:rPr>
          <w:sz w:val="22"/>
          <w:szCs w:val="22"/>
          <w:lang w:val="lv-LV"/>
        </w:rPr>
        <w:t>r ārstu vai farmaceitu.</w:t>
      </w:r>
    </w:p>
    <w:p w14:paraId="788CF578" w14:textId="77777777" w:rsidR="00CD10AA" w:rsidRPr="000A5A33" w:rsidRDefault="00CD10AA" w:rsidP="00947806">
      <w:pPr>
        <w:tabs>
          <w:tab w:val="clear" w:pos="567"/>
        </w:tabs>
        <w:spacing w:line="240" w:lineRule="auto"/>
        <w:jc w:val="both"/>
        <w:rPr>
          <w:szCs w:val="22"/>
        </w:rPr>
      </w:pPr>
    </w:p>
    <w:p w14:paraId="52B1EDE2" w14:textId="77777777" w:rsidR="00CD10AA" w:rsidRPr="000A5A33" w:rsidRDefault="00CD10AA" w:rsidP="00947806">
      <w:pPr>
        <w:tabs>
          <w:tab w:val="clear" w:pos="567"/>
        </w:tabs>
        <w:spacing w:line="240" w:lineRule="auto"/>
        <w:jc w:val="both"/>
        <w:rPr>
          <w:b/>
          <w:szCs w:val="22"/>
        </w:rPr>
      </w:pPr>
      <w:r w:rsidRPr="000A5A33">
        <w:rPr>
          <w:b/>
          <w:szCs w:val="22"/>
        </w:rPr>
        <w:t>4.5</w:t>
      </w:r>
      <w:r w:rsidR="004D591D" w:rsidRPr="000A5A33">
        <w:rPr>
          <w:b/>
          <w:szCs w:val="22"/>
        </w:rPr>
        <w:t>.</w:t>
      </w:r>
      <w:r w:rsidRPr="000A5A33">
        <w:rPr>
          <w:b/>
          <w:szCs w:val="22"/>
        </w:rPr>
        <w:tab/>
        <w:t>Mijiedarbība ar citām zālēm un citi mijiedarbības veidi</w:t>
      </w:r>
    </w:p>
    <w:p w14:paraId="0EFFE985" w14:textId="77777777" w:rsidR="00E72F9F" w:rsidRPr="000A5A33" w:rsidRDefault="00E72F9F" w:rsidP="00947806">
      <w:pPr>
        <w:pStyle w:val="Default"/>
        <w:jc w:val="both"/>
        <w:rPr>
          <w:color w:val="auto"/>
          <w:sz w:val="22"/>
          <w:szCs w:val="22"/>
          <w:lang w:val="lv-LV"/>
        </w:rPr>
      </w:pPr>
    </w:p>
    <w:p w14:paraId="0AAE54CF" w14:textId="2B03E424" w:rsidR="00AD37BE" w:rsidRPr="000A5A33" w:rsidRDefault="00AD37BE" w:rsidP="000A5A33">
      <w:pPr>
        <w:pStyle w:val="Default"/>
        <w:rPr>
          <w:color w:val="auto"/>
          <w:sz w:val="22"/>
          <w:szCs w:val="22"/>
          <w:lang w:val="lv-LV"/>
        </w:rPr>
      </w:pPr>
      <w:r w:rsidRPr="000A5A33">
        <w:rPr>
          <w:color w:val="auto"/>
          <w:sz w:val="22"/>
          <w:szCs w:val="22"/>
          <w:lang w:val="lv-LV"/>
        </w:rPr>
        <w:t>Hipokaliēmija (kas rodas ilgstošas, nepareizas caurejas līdzekļu lietošanas gadījumā) pastiprina sirds glikozīdu iedarbību un mijiedarbojas ar antiaritmiskajiem līdzekļiem</w:t>
      </w:r>
      <w:r w:rsidR="00A75221" w:rsidRPr="000A5A33">
        <w:rPr>
          <w:color w:val="auto"/>
          <w:sz w:val="22"/>
          <w:szCs w:val="22"/>
          <w:lang w:val="lv-LV"/>
        </w:rPr>
        <w:t>.</w:t>
      </w:r>
      <w:r w:rsidRPr="000A5A33">
        <w:rPr>
          <w:color w:val="auto"/>
          <w:sz w:val="22"/>
          <w:szCs w:val="22"/>
          <w:lang w:val="lv-LV"/>
        </w:rPr>
        <w:t xml:space="preserve"> </w:t>
      </w:r>
      <w:r w:rsidR="00A75221" w:rsidRPr="000A5A33">
        <w:rPr>
          <w:color w:val="auto"/>
          <w:sz w:val="22"/>
          <w:szCs w:val="22"/>
          <w:lang w:val="lv-LV"/>
        </w:rPr>
        <w:t>Vienlaicīga lietošana ar diurētiskiem līdzekļiem, ad</w:t>
      </w:r>
      <w:r w:rsidR="009D4052">
        <w:rPr>
          <w:color w:val="auto"/>
          <w:sz w:val="22"/>
          <w:szCs w:val="22"/>
          <w:lang w:val="lv-LV"/>
        </w:rPr>
        <w:t>r</w:t>
      </w:r>
      <w:r w:rsidR="00A75221" w:rsidRPr="000A5A33">
        <w:rPr>
          <w:color w:val="auto"/>
          <w:sz w:val="22"/>
          <w:szCs w:val="22"/>
          <w:lang w:val="lv-LV"/>
        </w:rPr>
        <w:t xml:space="preserve">enokortikosteroīdiem un lakricas sakni var palielināt </w:t>
      </w:r>
      <w:r w:rsidR="001F4879" w:rsidRPr="000A5A33">
        <w:rPr>
          <w:color w:val="auto"/>
          <w:sz w:val="22"/>
          <w:szCs w:val="22"/>
          <w:lang w:val="lv-LV"/>
        </w:rPr>
        <w:t>kāl</w:t>
      </w:r>
      <w:r w:rsidR="00A75221" w:rsidRPr="000A5A33">
        <w:rPr>
          <w:color w:val="auto"/>
          <w:sz w:val="22"/>
          <w:szCs w:val="22"/>
          <w:lang w:val="lv-LV"/>
        </w:rPr>
        <w:t>ija zudumu</w:t>
      </w:r>
      <w:r w:rsidRPr="000A5A33">
        <w:rPr>
          <w:color w:val="auto"/>
          <w:sz w:val="22"/>
          <w:szCs w:val="22"/>
          <w:lang w:val="lv-LV"/>
        </w:rPr>
        <w:t>.</w:t>
      </w:r>
    </w:p>
    <w:p w14:paraId="78F2CB7B" w14:textId="77777777" w:rsidR="00CD10AA" w:rsidRPr="000A5A33" w:rsidRDefault="00CD10AA" w:rsidP="00947806">
      <w:pPr>
        <w:tabs>
          <w:tab w:val="clear" w:pos="567"/>
        </w:tabs>
        <w:spacing w:line="240" w:lineRule="auto"/>
        <w:jc w:val="both"/>
        <w:rPr>
          <w:szCs w:val="22"/>
        </w:rPr>
      </w:pPr>
    </w:p>
    <w:p w14:paraId="1575196F" w14:textId="77777777" w:rsidR="00CD10AA" w:rsidRPr="000A5A33" w:rsidRDefault="00CD10AA" w:rsidP="00947806">
      <w:pPr>
        <w:tabs>
          <w:tab w:val="clear" w:pos="567"/>
        </w:tabs>
        <w:spacing w:line="240" w:lineRule="auto"/>
        <w:jc w:val="both"/>
        <w:rPr>
          <w:szCs w:val="22"/>
        </w:rPr>
      </w:pPr>
      <w:r w:rsidRPr="000A5A33">
        <w:rPr>
          <w:b/>
          <w:szCs w:val="22"/>
        </w:rPr>
        <w:t>4.6</w:t>
      </w:r>
      <w:r w:rsidR="00E2542E" w:rsidRPr="000A5A33">
        <w:rPr>
          <w:b/>
          <w:szCs w:val="22"/>
        </w:rPr>
        <w:t>.</w:t>
      </w:r>
      <w:r w:rsidRPr="000A5A33">
        <w:rPr>
          <w:b/>
          <w:szCs w:val="22"/>
        </w:rPr>
        <w:tab/>
      </w:r>
      <w:r w:rsidR="0097548A" w:rsidRPr="000A5A33">
        <w:rPr>
          <w:b/>
          <w:noProof/>
          <w:szCs w:val="22"/>
        </w:rPr>
        <w:t xml:space="preserve">Fertilitāte, grūtniecība </w:t>
      </w:r>
      <w:r w:rsidRPr="000A5A33">
        <w:rPr>
          <w:b/>
          <w:szCs w:val="22"/>
        </w:rPr>
        <w:t xml:space="preserve">un </w:t>
      </w:r>
      <w:r w:rsidR="00E2542E" w:rsidRPr="000A5A33">
        <w:rPr>
          <w:b/>
          <w:noProof/>
          <w:szCs w:val="22"/>
        </w:rPr>
        <w:t>barošana ar krūti</w:t>
      </w:r>
    </w:p>
    <w:p w14:paraId="485D7298" w14:textId="77777777" w:rsidR="00E72F9F" w:rsidRPr="000A5A33" w:rsidRDefault="00E72F9F" w:rsidP="00947806">
      <w:pPr>
        <w:tabs>
          <w:tab w:val="clear" w:pos="567"/>
        </w:tabs>
        <w:spacing w:line="240" w:lineRule="auto"/>
        <w:jc w:val="both"/>
        <w:rPr>
          <w:szCs w:val="22"/>
          <w:u w:val="single"/>
        </w:rPr>
      </w:pPr>
    </w:p>
    <w:p w14:paraId="4401FEB2" w14:textId="77777777" w:rsidR="0097548A" w:rsidRPr="000A5A33" w:rsidRDefault="00FD187E" w:rsidP="00947806">
      <w:pPr>
        <w:tabs>
          <w:tab w:val="clear" w:pos="567"/>
        </w:tabs>
        <w:spacing w:line="240" w:lineRule="auto"/>
        <w:jc w:val="both"/>
        <w:rPr>
          <w:szCs w:val="22"/>
          <w:u w:val="single"/>
        </w:rPr>
      </w:pPr>
      <w:r w:rsidRPr="000A5A33">
        <w:rPr>
          <w:szCs w:val="22"/>
          <w:u w:val="single"/>
        </w:rPr>
        <w:t>Grūtniecība</w:t>
      </w:r>
    </w:p>
    <w:p w14:paraId="35680EB1" w14:textId="17503372" w:rsidR="00AD37BE" w:rsidRPr="000A5A33" w:rsidRDefault="00F7004C" w:rsidP="00947806">
      <w:pPr>
        <w:pStyle w:val="Default"/>
        <w:jc w:val="both"/>
        <w:rPr>
          <w:color w:val="auto"/>
          <w:sz w:val="22"/>
          <w:szCs w:val="22"/>
          <w:lang w:val="lv-LV"/>
        </w:rPr>
      </w:pPr>
      <w:r w:rsidRPr="000A5A33">
        <w:rPr>
          <w:sz w:val="22"/>
          <w:szCs w:val="22"/>
          <w:lang w:val="lv-LV"/>
        </w:rPr>
        <w:t>Lietošana grūtniecības laikā ir kontrindicēta, jo eksperimentos iegūti dati par dažu antranoīdu, piemēram, emodīna un alvejas emodīna</w:t>
      </w:r>
      <w:r w:rsidR="009D4052">
        <w:rPr>
          <w:sz w:val="22"/>
          <w:szCs w:val="22"/>
          <w:lang w:val="lv-LV"/>
        </w:rPr>
        <w:t>,</w:t>
      </w:r>
      <w:r w:rsidRPr="000A5A33">
        <w:rPr>
          <w:sz w:val="22"/>
          <w:szCs w:val="22"/>
          <w:lang w:val="lv-LV"/>
        </w:rPr>
        <w:t xml:space="preserve"> genotoksisko risku</w:t>
      </w:r>
      <w:r w:rsidR="00AD37BE" w:rsidRPr="000A5A33">
        <w:rPr>
          <w:color w:val="auto"/>
          <w:sz w:val="22"/>
          <w:szCs w:val="22"/>
          <w:lang w:val="lv-LV"/>
        </w:rPr>
        <w:t>.</w:t>
      </w:r>
    </w:p>
    <w:p w14:paraId="7408796F" w14:textId="77777777" w:rsidR="00AD37BE" w:rsidRPr="000A5A33" w:rsidRDefault="00AD37BE" w:rsidP="00947806">
      <w:pPr>
        <w:tabs>
          <w:tab w:val="clear" w:pos="567"/>
        </w:tabs>
        <w:spacing w:line="240" w:lineRule="auto"/>
        <w:jc w:val="both"/>
        <w:rPr>
          <w:noProof/>
          <w:szCs w:val="22"/>
          <w:u w:val="single"/>
        </w:rPr>
      </w:pPr>
    </w:p>
    <w:p w14:paraId="04278F10" w14:textId="77777777" w:rsidR="0097548A" w:rsidRPr="000A5A33" w:rsidRDefault="00176DD3" w:rsidP="00947806">
      <w:pPr>
        <w:tabs>
          <w:tab w:val="clear" w:pos="567"/>
        </w:tabs>
        <w:spacing w:line="240" w:lineRule="auto"/>
        <w:jc w:val="both"/>
        <w:rPr>
          <w:noProof/>
          <w:szCs w:val="22"/>
          <w:u w:val="single"/>
        </w:rPr>
      </w:pPr>
      <w:r w:rsidRPr="000A5A33">
        <w:rPr>
          <w:noProof/>
          <w:szCs w:val="22"/>
          <w:u w:val="single"/>
        </w:rPr>
        <w:t>Barošana ar krūti</w:t>
      </w:r>
    </w:p>
    <w:p w14:paraId="7CA8167A" w14:textId="729480E2" w:rsidR="00AD37BE" w:rsidRPr="000A5A33" w:rsidRDefault="00F7004C" w:rsidP="000A5A33">
      <w:pPr>
        <w:pStyle w:val="Default"/>
        <w:rPr>
          <w:color w:val="auto"/>
          <w:sz w:val="22"/>
          <w:szCs w:val="22"/>
          <w:lang w:val="lv-LV"/>
        </w:rPr>
      </w:pPr>
      <w:r w:rsidRPr="000A5A33">
        <w:rPr>
          <w:color w:val="auto"/>
          <w:sz w:val="22"/>
          <w:szCs w:val="22"/>
          <w:lang w:val="lv-LV"/>
        </w:rPr>
        <w:t>Liedošana laktācijas laikā ir kontrindicēta, jo pēc antranoīdu lietošanas neliel</w:t>
      </w:r>
      <w:r w:rsidR="009D4052">
        <w:rPr>
          <w:color w:val="auto"/>
          <w:sz w:val="22"/>
          <w:szCs w:val="22"/>
          <w:lang w:val="lv-LV"/>
        </w:rPr>
        <w:t>s</w:t>
      </w:r>
      <w:r w:rsidRPr="000A5A33">
        <w:rPr>
          <w:color w:val="auto"/>
          <w:sz w:val="22"/>
          <w:szCs w:val="22"/>
          <w:lang w:val="lv-LV"/>
        </w:rPr>
        <w:t xml:space="preserve"> daudzum</w:t>
      </w:r>
      <w:r w:rsidR="009D4052">
        <w:rPr>
          <w:color w:val="auto"/>
          <w:sz w:val="22"/>
          <w:szCs w:val="22"/>
          <w:lang w:val="lv-LV"/>
        </w:rPr>
        <w:t>s</w:t>
      </w:r>
      <w:r w:rsidRPr="000A5A33">
        <w:rPr>
          <w:color w:val="auto"/>
          <w:sz w:val="22"/>
          <w:szCs w:val="22"/>
          <w:lang w:val="lv-LV"/>
        </w:rPr>
        <w:t xml:space="preserve"> antranoīdu aktīvo metabolītu</w:t>
      </w:r>
      <w:r w:rsidR="00164EF2" w:rsidRPr="000A5A33">
        <w:rPr>
          <w:color w:val="auto"/>
          <w:sz w:val="22"/>
          <w:szCs w:val="22"/>
          <w:lang w:val="lv-LV"/>
        </w:rPr>
        <w:t>, piemēram reīns,</w:t>
      </w:r>
      <w:r w:rsidRPr="000A5A33">
        <w:rPr>
          <w:color w:val="auto"/>
          <w:sz w:val="22"/>
          <w:szCs w:val="22"/>
          <w:lang w:val="lv-LV"/>
        </w:rPr>
        <w:t xml:space="preserve"> izdalī</w:t>
      </w:r>
      <w:r w:rsidR="009D4052">
        <w:rPr>
          <w:color w:val="auto"/>
          <w:sz w:val="22"/>
          <w:szCs w:val="22"/>
          <w:lang w:val="lv-LV"/>
        </w:rPr>
        <w:t>jās</w:t>
      </w:r>
      <w:r w:rsidRPr="000A5A33">
        <w:rPr>
          <w:color w:val="auto"/>
          <w:sz w:val="22"/>
          <w:szCs w:val="22"/>
          <w:lang w:val="lv-LV"/>
        </w:rPr>
        <w:t xml:space="preserve"> krūts pien</w:t>
      </w:r>
      <w:r w:rsidR="009D4052">
        <w:rPr>
          <w:color w:val="auto"/>
          <w:sz w:val="22"/>
          <w:szCs w:val="22"/>
          <w:lang w:val="lv-LV"/>
        </w:rPr>
        <w:t>ā</w:t>
      </w:r>
      <w:r w:rsidR="00AD37BE" w:rsidRPr="000A5A33">
        <w:rPr>
          <w:color w:val="auto"/>
          <w:sz w:val="22"/>
          <w:szCs w:val="22"/>
          <w:lang w:val="lv-LV"/>
        </w:rPr>
        <w:t>.</w:t>
      </w:r>
    </w:p>
    <w:p w14:paraId="26EF6954" w14:textId="0317D9B2" w:rsidR="00F7004C" w:rsidRPr="000A5A33" w:rsidRDefault="00F7004C" w:rsidP="00947806">
      <w:pPr>
        <w:pStyle w:val="Default"/>
        <w:jc w:val="both"/>
        <w:rPr>
          <w:color w:val="auto"/>
          <w:sz w:val="22"/>
          <w:szCs w:val="22"/>
          <w:lang w:val="lv-LV"/>
        </w:rPr>
      </w:pPr>
    </w:p>
    <w:p w14:paraId="45073152" w14:textId="58E703BA" w:rsidR="00F7004C" w:rsidRPr="000A5A33" w:rsidRDefault="00F7004C" w:rsidP="00947806">
      <w:pPr>
        <w:pStyle w:val="Default"/>
        <w:jc w:val="both"/>
        <w:rPr>
          <w:color w:val="auto"/>
          <w:sz w:val="22"/>
          <w:szCs w:val="22"/>
          <w:lang w:val="lv-LV"/>
        </w:rPr>
      </w:pPr>
      <w:r w:rsidRPr="000A5A33">
        <w:rPr>
          <w:color w:val="auto"/>
          <w:sz w:val="22"/>
          <w:szCs w:val="22"/>
          <w:lang w:val="lv-LV"/>
        </w:rPr>
        <w:t>Fertilitāte</w:t>
      </w:r>
    </w:p>
    <w:p w14:paraId="3186E218" w14:textId="1662B797" w:rsidR="00F7004C" w:rsidRPr="000A5A33" w:rsidRDefault="00F7004C" w:rsidP="00947806">
      <w:pPr>
        <w:pStyle w:val="Default"/>
        <w:jc w:val="both"/>
        <w:rPr>
          <w:color w:val="auto"/>
          <w:sz w:val="22"/>
          <w:szCs w:val="22"/>
          <w:lang w:val="lv-LV"/>
        </w:rPr>
      </w:pPr>
      <w:r w:rsidRPr="000A5A33">
        <w:rPr>
          <w:color w:val="auto"/>
          <w:sz w:val="22"/>
          <w:szCs w:val="22"/>
          <w:lang w:val="lv-LV"/>
        </w:rPr>
        <w:t xml:space="preserve">Dati par fertilitāti nav pieejami (skatīt 5.3. apakšpunktu </w:t>
      </w:r>
      <w:r w:rsidR="000D257B" w:rsidRPr="000A5A33">
        <w:rPr>
          <w:color w:val="auto"/>
          <w:sz w:val="22"/>
          <w:szCs w:val="22"/>
          <w:lang w:val="lv-LV"/>
        </w:rPr>
        <w:t>“Preklīniskie dati par drošību”)</w:t>
      </w:r>
      <w:r w:rsidRPr="000A5A33">
        <w:rPr>
          <w:color w:val="auto"/>
          <w:sz w:val="22"/>
          <w:szCs w:val="22"/>
          <w:lang w:val="lv-LV"/>
        </w:rPr>
        <w:t>.</w:t>
      </w:r>
    </w:p>
    <w:p w14:paraId="577332F7" w14:textId="77777777" w:rsidR="00CD10AA" w:rsidRPr="000A5A33" w:rsidRDefault="00CD10AA" w:rsidP="00947806">
      <w:pPr>
        <w:tabs>
          <w:tab w:val="clear" w:pos="567"/>
        </w:tabs>
        <w:spacing w:line="240" w:lineRule="auto"/>
        <w:jc w:val="both"/>
        <w:rPr>
          <w:szCs w:val="22"/>
        </w:rPr>
      </w:pPr>
    </w:p>
    <w:p w14:paraId="79771641" w14:textId="77777777" w:rsidR="00CD10AA" w:rsidRPr="000A5A33" w:rsidRDefault="00CD10AA" w:rsidP="00947806">
      <w:pPr>
        <w:tabs>
          <w:tab w:val="clear" w:pos="567"/>
        </w:tabs>
        <w:spacing w:line="240" w:lineRule="auto"/>
        <w:jc w:val="both"/>
        <w:rPr>
          <w:szCs w:val="22"/>
        </w:rPr>
      </w:pPr>
      <w:r w:rsidRPr="000A5A33">
        <w:rPr>
          <w:b/>
          <w:szCs w:val="22"/>
        </w:rPr>
        <w:t>4.7</w:t>
      </w:r>
      <w:r w:rsidR="00ED4652" w:rsidRPr="000A5A33">
        <w:rPr>
          <w:b/>
          <w:szCs w:val="22"/>
        </w:rPr>
        <w:t>.</w:t>
      </w:r>
      <w:r w:rsidRPr="000A5A33">
        <w:rPr>
          <w:b/>
          <w:szCs w:val="22"/>
        </w:rPr>
        <w:tab/>
        <w:t>Ietekme uz spēju vadīt transportlīdzekļus un apkalpot mehānismus</w:t>
      </w:r>
    </w:p>
    <w:p w14:paraId="689DA45C" w14:textId="77777777" w:rsidR="00E72F9F" w:rsidRPr="000A5A33" w:rsidRDefault="00E72F9F" w:rsidP="00947806">
      <w:pPr>
        <w:tabs>
          <w:tab w:val="clear" w:pos="567"/>
        </w:tabs>
        <w:spacing w:line="240" w:lineRule="auto"/>
        <w:jc w:val="both"/>
        <w:rPr>
          <w:szCs w:val="22"/>
        </w:rPr>
      </w:pPr>
    </w:p>
    <w:p w14:paraId="02B75B3B" w14:textId="085131EA" w:rsidR="00CD10AA" w:rsidRPr="000A5A33" w:rsidRDefault="00F05531" w:rsidP="00947806">
      <w:pPr>
        <w:tabs>
          <w:tab w:val="clear" w:pos="567"/>
        </w:tabs>
        <w:spacing w:line="240" w:lineRule="auto"/>
        <w:jc w:val="both"/>
        <w:rPr>
          <w:szCs w:val="22"/>
        </w:rPr>
      </w:pPr>
      <w:r w:rsidRPr="000A5A33">
        <w:rPr>
          <w:szCs w:val="22"/>
        </w:rPr>
        <w:t>Senna Fix ietekm</w:t>
      </w:r>
      <w:r w:rsidR="0061275F" w:rsidRPr="000A5A33">
        <w:rPr>
          <w:szCs w:val="22"/>
        </w:rPr>
        <w:t>e</w:t>
      </w:r>
      <w:r w:rsidRPr="000A5A33">
        <w:rPr>
          <w:szCs w:val="22"/>
        </w:rPr>
        <w:t xml:space="preserve"> </w:t>
      </w:r>
      <w:r w:rsidR="0061275F" w:rsidRPr="000A5A33">
        <w:rPr>
          <w:szCs w:val="22"/>
        </w:rPr>
        <w:t xml:space="preserve">uz </w:t>
      </w:r>
      <w:r w:rsidRPr="000A5A33">
        <w:rPr>
          <w:szCs w:val="22"/>
        </w:rPr>
        <w:t>spēju vadīt transportlīdzekļus un apkalpot mehānismus</w:t>
      </w:r>
      <w:r w:rsidR="0061275F" w:rsidRPr="000A5A33">
        <w:rPr>
          <w:szCs w:val="22"/>
        </w:rPr>
        <w:t xml:space="preserve"> nav pētīta</w:t>
      </w:r>
      <w:r w:rsidRPr="000A5A33">
        <w:rPr>
          <w:szCs w:val="22"/>
        </w:rPr>
        <w:t>.</w:t>
      </w:r>
    </w:p>
    <w:p w14:paraId="4F3398EF" w14:textId="77777777" w:rsidR="00CD10AA" w:rsidRPr="000A5A33" w:rsidRDefault="00CD10AA" w:rsidP="00947806">
      <w:pPr>
        <w:tabs>
          <w:tab w:val="clear" w:pos="567"/>
        </w:tabs>
        <w:spacing w:line="240" w:lineRule="auto"/>
        <w:jc w:val="both"/>
        <w:rPr>
          <w:szCs w:val="22"/>
        </w:rPr>
      </w:pPr>
    </w:p>
    <w:p w14:paraId="097EF301" w14:textId="77777777" w:rsidR="00CD10AA" w:rsidRPr="000A5A33" w:rsidRDefault="00CD10AA" w:rsidP="00947806">
      <w:pPr>
        <w:tabs>
          <w:tab w:val="clear" w:pos="567"/>
        </w:tabs>
        <w:spacing w:line="240" w:lineRule="auto"/>
        <w:jc w:val="both"/>
        <w:rPr>
          <w:b/>
          <w:szCs w:val="22"/>
        </w:rPr>
      </w:pPr>
      <w:r w:rsidRPr="000A5A33">
        <w:rPr>
          <w:b/>
          <w:szCs w:val="22"/>
        </w:rPr>
        <w:t>4.8</w:t>
      </w:r>
      <w:r w:rsidR="002A61E1" w:rsidRPr="000A5A33">
        <w:rPr>
          <w:b/>
          <w:szCs w:val="22"/>
        </w:rPr>
        <w:t>.</w:t>
      </w:r>
      <w:r w:rsidRPr="000A5A33">
        <w:rPr>
          <w:b/>
          <w:szCs w:val="22"/>
        </w:rPr>
        <w:tab/>
        <w:t>Nevēlamās blakusparādības</w:t>
      </w:r>
    </w:p>
    <w:p w14:paraId="663D203D" w14:textId="77777777" w:rsidR="00E72F9F" w:rsidRPr="000A5A33" w:rsidRDefault="00E72F9F" w:rsidP="00947806">
      <w:pPr>
        <w:pStyle w:val="Default"/>
        <w:jc w:val="both"/>
        <w:rPr>
          <w:color w:val="auto"/>
          <w:sz w:val="22"/>
          <w:szCs w:val="22"/>
          <w:lang w:val="lv-LV"/>
        </w:rPr>
      </w:pPr>
    </w:p>
    <w:p w14:paraId="3DB0AE18" w14:textId="77777777" w:rsidR="00164EF2" w:rsidRPr="000A5A33" w:rsidRDefault="00164EF2" w:rsidP="00947806">
      <w:pPr>
        <w:pStyle w:val="Default"/>
        <w:jc w:val="both"/>
        <w:rPr>
          <w:color w:val="auto"/>
          <w:sz w:val="22"/>
          <w:szCs w:val="22"/>
          <w:lang w:val="lv-LV"/>
        </w:rPr>
      </w:pPr>
      <w:r w:rsidRPr="000A5A33">
        <w:rPr>
          <w:color w:val="auto"/>
          <w:sz w:val="22"/>
          <w:szCs w:val="22"/>
          <w:lang w:val="lv-LV"/>
        </w:rPr>
        <w:t>Paaugstināta jutība</w:t>
      </w:r>
    </w:p>
    <w:p w14:paraId="35A87734" w14:textId="2DF49E4C" w:rsidR="00164EF2" w:rsidRPr="000A5A33" w:rsidRDefault="00AD37BE" w:rsidP="00947806">
      <w:pPr>
        <w:pStyle w:val="Default"/>
        <w:jc w:val="both"/>
        <w:rPr>
          <w:color w:val="auto"/>
          <w:sz w:val="22"/>
          <w:szCs w:val="22"/>
          <w:lang w:val="lv-LV"/>
        </w:rPr>
      </w:pPr>
      <w:r w:rsidRPr="000A5A33">
        <w:rPr>
          <w:sz w:val="22"/>
          <w:szCs w:val="22"/>
          <w:lang w:val="lv-LV"/>
        </w:rPr>
        <w:t>Iespējamas paaugstinātas jutības reakcijas (nieze, nātrene</w:t>
      </w:r>
      <w:r w:rsidR="00B70B2C" w:rsidRPr="000A5A33">
        <w:rPr>
          <w:sz w:val="22"/>
          <w:szCs w:val="22"/>
          <w:lang w:val="lv-LV"/>
        </w:rPr>
        <w:t>, lokāla</w:t>
      </w:r>
      <w:r w:rsidRPr="000A5A33">
        <w:rPr>
          <w:sz w:val="22"/>
          <w:szCs w:val="22"/>
          <w:lang w:val="lv-LV"/>
        </w:rPr>
        <w:t xml:space="preserve"> vai ģeneralizēta ekzantēma).</w:t>
      </w:r>
    </w:p>
    <w:p w14:paraId="3BA5ADD3" w14:textId="77777777" w:rsidR="00164EF2" w:rsidRPr="000A5A33" w:rsidRDefault="00164EF2" w:rsidP="00164EF2">
      <w:pPr>
        <w:pStyle w:val="Default"/>
        <w:jc w:val="both"/>
        <w:rPr>
          <w:color w:val="auto"/>
          <w:sz w:val="22"/>
          <w:szCs w:val="22"/>
          <w:lang w:val="lv-LV"/>
        </w:rPr>
      </w:pPr>
      <w:r w:rsidRPr="000A5A33">
        <w:rPr>
          <w:color w:val="auto"/>
          <w:sz w:val="22"/>
          <w:szCs w:val="22"/>
          <w:lang w:val="lv-LV"/>
        </w:rPr>
        <w:lastRenderedPageBreak/>
        <w:t>Kuņģa-zarnu trakta traucējumi</w:t>
      </w:r>
    </w:p>
    <w:p w14:paraId="21D9562E" w14:textId="1C699D9B" w:rsidR="00AD37BE" w:rsidRPr="000A5A33" w:rsidRDefault="00AD37BE" w:rsidP="00947806">
      <w:pPr>
        <w:pStyle w:val="Default"/>
        <w:jc w:val="both"/>
        <w:rPr>
          <w:color w:val="auto"/>
          <w:sz w:val="22"/>
          <w:szCs w:val="22"/>
          <w:lang w:val="lv-LV"/>
        </w:rPr>
      </w:pPr>
      <w:r w:rsidRPr="000A5A33">
        <w:rPr>
          <w:color w:val="auto"/>
          <w:sz w:val="22"/>
          <w:szCs w:val="22"/>
          <w:lang w:val="lv-LV"/>
        </w:rPr>
        <w:t>Sennas lap</w:t>
      </w:r>
      <w:r w:rsidR="00512CC9" w:rsidRPr="000A5A33">
        <w:rPr>
          <w:color w:val="auto"/>
          <w:sz w:val="22"/>
          <w:szCs w:val="22"/>
          <w:lang w:val="lv-LV"/>
        </w:rPr>
        <w:t>u preparāti</w:t>
      </w:r>
      <w:r w:rsidRPr="000A5A33">
        <w:rPr>
          <w:color w:val="auto"/>
          <w:sz w:val="22"/>
          <w:szCs w:val="22"/>
          <w:lang w:val="lv-LV"/>
        </w:rPr>
        <w:t xml:space="preserve"> var izraisīt sāpes </w:t>
      </w:r>
      <w:r w:rsidR="004200EB" w:rsidRPr="000A5A33">
        <w:rPr>
          <w:color w:val="auto"/>
          <w:sz w:val="22"/>
          <w:szCs w:val="22"/>
          <w:lang w:val="lv-LV"/>
        </w:rPr>
        <w:t xml:space="preserve">un spazmas </w:t>
      </w:r>
      <w:r w:rsidRPr="000A5A33">
        <w:rPr>
          <w:color w:val="auto"/>
          <w:sz w:val="22"/>
          <w:szCs w:val="22"/>
          <w:lang w:val="lv-LV"/>
        </w:rPr>
        <w:t xml:space="preserve">vēderā, kā arī šķidrus izkārnījumus, it īpaši pacientiem ar </w:t>
      </w:r>
      <w:r w:rsidR="00C24CAC" w:rsidRPr="000A5A33">
        <w:rPr>
          <w:color w:val="auto"/>
          <w:sz w:val="22"/>
          <w:szCs w:val="22"/>
          <w:lang w:val="lv-LV"/>
        </w:rPr>
        <w:t>kairinātas</w:t>
      </w:r>
      <w:r w:rsidR="00234032" w:rsidRPr="000A5A33">
        <w:rPr>
          <w:color w:val="auto"/>
          <w:sz w:val="22"/>
          <w:szCs w:val="22"/>
          <w:lang w:val="lv-LV"/>
        </w:rPr>
        <w:t xml:space="preserve"> </w:t>
      </w:r>
      <w:r w:rsidRPr="000A5A33">
        <w:rPr>
          <w:color w:val="auto"/>
          <w:sz w:val="22"/>
          <w:szCs w:val="22"/>
          <w:lang w:val="lv-LV"/>
        </w:rPr>
        <w:t>resnās zarnas</w:t>
      </w:r>
      <w:r w:rsidR="00C24CAC" w:rsidRPr="000A5A33">
        <w:rPr>
          <w:color w:val="auto"/>
          <w:sz w:val="22"/>
          <w:szCs w:val="22"/>
          <w:lang w:val="lv-LV"/>
        </w:rPr>
        <w:t xml:space="preserve"> sindromu</w:t>
      </w:r>
      <w:r w:rsidRPr="000A5A33">
        <w:rPr>
          <w:color w:val="auto"/>
          <w:sz w:val="22"/>
          <w:szCs w:val="22"/>
          <w:lang w:val="lv-LV"/>
        </w:rPr>
        <w:t xml:space="preserve">. </w:t>
      </w:r>
      <w:r w:rsidR="00234032" w:rsidRPr="000A5A33">
        <w:rPr>
          <w:color w:val="auto"/>
          <w:sz w:val="22"/>
          <w:szCs w:val="22"/>
          <w:lang w:val="lv-LV"/>
        </w:rPr>
        <w:t>Tomēr</w:t>
      </w:r>
      <w:r w:rsidRPr="000A5A33">
        <w:rPr>
          <w:color w:val="auto"/>
          <w:sz w:val="22"/>
          <w:szCs w:val="22"/>
          <w:lang w:val="lv-LV"/>
        </w:rPr>
        <w:t>, š</w:t>
      </w:r>
      <w:r w:rsidR="00234032" w:rsidRPr="000A5A33">
        <w:rPr>
          <w:color w:val="auto"/>
          <w:sz w:val="22"/>
          <w:szCs w:val="22"/>
          <w:lang w:val="lv-LV"/>
        </w:rPr>
        <w:t>ie</w:t>
      </w:r>
      <w:r w:rsidRPr="000A5A33">
        <w:rPr>
          <w:color w:val="auto"/>
          <w:sz w:val="22"/>
          <w:szCs w:val="22"/>
          <w:lang w:val="lv-LV"/>
        </w:rPr>
        <w:t xml:space="preserve"> </w:t>
      </w:r>
      <w:r w:rsidR="00234032" w:rsidRPr="000A5A33">
        <w:rPr>
          <w:color w:val="auto"/>
          <w:sz w:val="22"/>
          <w:szCs w:val="22"/>
          <w:lang w:val="lv-LV"/>
        </w:rPr>
        <w:t>simptomi</w:t>
      </w:r>
      <w:r w:rsidRPr="000A5A33">
        <w:rPr>
          <w:color w:val="auto"/>
          <w:sz w:val="22"/>
          <w:szCs w:val="22"/>
          <w:lang w:val="lv-LV"/>
        </w:rPr>
        <w:t xml:space="preserve"> </w:t>
      </w:r>
      <w:r w:rsidR="00234032" w:rsidRPr="000A5A33">
        <w:rPr>
          <w:color w:val="auto"/>
          <w:sz w:val="22"/>
          <w:szCs w:val="22"/>
          <w:lang w:val="lv-LV"/>
        </w:rPr>
        <w:t xml:space="preserve">var </w:t>
      </w:r>
      <w:r w:rsidR="00F02866" w:rsidRPr="000A5A33">
        <w:rPr>
          <w:color w:val="auto"/>
          <w:sz w:val="22"/>
          <w:szCs w:val="22"/>
          <w:lang w:val="lv-LV"/>
        </w:rPr>
        <w:t>parādīties</w:t>
      </w:r>
      <w:r w:rsidRPr="000A5A33">
        <w:rPr>
          <w:color w:val="auto"/>
          <w:sz w:val="22"/>
          <w:szCs w:val="22"/>
          <w:lang w:val="lv-LV"/>
        </w:rPr>
        <w:t xml:space="preserve"> arī individuālas pārdozēšanas gadījumā. Š</w:t>
      </w:r>
      <w:r w:rsidR="00F02866" w:rsidRPr="000A5A33">
        <w:rPr>
          <w:color w:val="auto"/>
          <w:sz w:val="22"/>
          <w:szCs w:val="22"/>
          <w:lang w:val="lv-LV"/>
        </w:rPr>
        <w:t>ādos</w:t>
      </w:r>
      <w:r w:rsidRPr="000A5A33">
        <w:rPr>
          <w:color w:val="auto"/>
          <w:sz w:val="22"/>
          <w:szCs w:val="22"/>
          <w:lang w:val="lv-LV"/>
        </w:rPr>
        <w:t xml:space="preserve"> gadījum</w:t>
      </w:r>
      <w:r w:rsidR="00F02866" w:rsidRPr="000A5A33">
        <w:rPr>
          <w:color w:val="auto"/>
          <w:sz w:val="22"/>
          <w:szCs w:val="22"/>
          <w:lang w:val="lv-LV"/>
        </w:rPr>
        <w:t>os</w:t>
      </w:r>
      <w:r w:rsidRPr="000A5A33">
        <w:rPr>
          <w:color w:val="auto"/>
          <w:sz w:val="22"/>
          <w:szCs w:val="22"/>
          <w:lang w:val="lv-LV"/>
        </w:rPr>
        <w:t xml:space="preserve"> nepieciešams samazināt devu.</w:t>
      </w:r>
    </w:p>
    <w:p w14:paraId="29CBE446" w14:textId="77777777" w:rsidR="00AD37BE" w:rsidRPr="000A5A33" w:rsidRDefault="00AD37BE" w:rsidP="00947806">
      <w:pPr>
        <w:pStyle w:val="Default"/>
        <w:jc w:val="both"/>
        <w:rPr>
          <w:color w:val="auto"/>
          <w:sz w:val="22"/>
          <w:szCs w:val="22"/>
          <w:lang w:val="lv-LV"/>
        </w:rPr>
      </w:pPr>
    </w:p>
    <w:p w14:paraId="1C18D0A9" w14:textId="77777777" w:rsidR="00AD37BE" w:rsidRPr="000A5A33" w:rsidRDefault="00AD37BE" w:rsidP="00947806">
      <w:pPr>
        <w:pStyle w:val="Default"/>
        <w:jc w:val="both"/>
        <w:rPr>
          <w:color w:val="auto"/>
          <w:sz w:val="22"/>
          <w:szCs w:val="22"/>
          <w:lang w:val="lv-LV"/>
        </w:rPr>
      </w:pPr>
      <w:r w:rsidRPr="000A5A33">
        <w:rPr>
          <w:color w:val="auto"/>
          <w:sz w:val="22"/>
          <w:szCs w:val="22"/>
          <w:lang w:val="lv-LV"/>
        </w:rPr>
        <w:t>Bez tam, ilgstoša lietošana var izraisīt zarnu gļotādas pigmentāciju (</w:t>
      </w:r>
      <w:r w:rsidRPr="000A5A33">
        <w:rPr>
          <w:i/>
          <w:iCs/>
          <w:color w:val="auto"/>
          <w:sz w:val="22"/>
          <w:szCs w:val="22"/>
          <w:lang w:val="lv-LV"/>
        </w:rPr>
        <w:t>Pseudomelanosis coli</w:t>
      </w:r>
      <w:r w:rsidRPr="000A5A33">
        <w:rPr>
          <w:color w:val="auto"/>
          <w:sz w:val="22"/>
          <w:szCs w:val="22"/>
          <w:lang w:val="lv-LV"/>
        </w:rPr>
        <w:t>), kas parasti izzūd, pārtraucot šo zāļu lietošanu.</w:t>
      </w:r>
    </w:p>
    <w:p w14:paraId="21602395" w14:textId="77777777" w:rsidR="00906434" w:rsidRPr="009D4052" w:rsidRDefault="00906434" w:rsidP="00906434">
      <w:pPr>
        <w:spacing w:line="240" w:lineRule="auto"/>
        <w:jc w:val="both"/>
        <w:rPr>
          <w:szCs w:val="22"/>
        </w:rPr>
      </w:pPr>
    </w:p>
    <w:p w14:paraId="0041DD2E" w14:textId="51A3838E" w:rsidR="00906434" w:rsidRPr="000A5A33" w:rsidRDefault="00823741" w:rsidP="00906434">
      <w:pPr>
        <w:pStyle w:val="Default"/>
        <w:rPr>
          <w:sz w:val="22"/>
          <w:szCs w:val="22"/>
          <w:lang w:val="lv-LV"/>
        </w:rPr>
      </w:pPr>
      <w:r w:rsidRPr="000A5A33">
        <w:rPr>
          <w:sz w:val="22"/>
          <w:szCs w:val="22"/>
          <w:lang w:val="lv-LV"/>
        </w:rPr>
        <w:t>Nieru un urīnceļu simptomi</w:t>
      </w:r>
      <w:r w:rsidR="00906434" w:rsidRPr="000A5A33">
        <w:rPr>
          <w:sz w:val="22"/>
          <w:szCs w:val="22"/>
          <w:lang w:val="lv-LV"/>
        </w:rPr>
        <w:t>:</w:t>
      </w:r>
    </w:p>
    <w:p w14:paraId="7F09A541" w14:textId="1664B123" w:rsidR="00AD37BE" w:rsidRPr="000A5A33" w:rsidRDefault="00823741" w:rsidP="000A5A33">
      <w:pPr>
        <w:pStyle w:val="Default"/>
        <w:rPr>
          <w:sz w:val="22"/>
          <w:szCs w:val="22"/>
          <w:lang w:val="lv-LV"/>
        </w:rPr>
      </w:pPr>
      <w:bookmarkStart w:id="0" w:name="_Hlk74664551"/>
      <w:r w:rsidRPr="000A5A33">
        <w:rPr>
          <w:sz w:val="22"/>
          <w:szCs w:val="22"/>
          <w:lang w:val="lv-LV"/>
        </w:rPr>
        <w:t>Ilgstoša lietošana var izraisīt ūdens un elektrolītu līdzsvara traucējumus</w:t>
      </w:r>
      <w:bookmarkEnd w:id="0"/>
      <w:r w:rsidR="0021159A" w:rsidRPr="009D4052">
        <w:rPr>
          <w:sz w:val="22"/>
          <w:szCs w:val="22"/>
          <w:lang w:val="lv-LV"/>
        </w:rPr>
        <w:t xml:space="preserve">, </w:t>
      </w:r>
      <w:r w:rsidR="009D4052">
        <w:rPr>
          <w:sz w:val="22"/>
          <w:szCs w:val="22"/>
          <w:lang w:val="lv-LV"/>
        </w:rPr>
        <w:t xml:space="preserve">tādēļ </w:t>
      </w:r>
      <w:r w:rsidR="00BF0EF1" w:rsidRPr="009D4052">
        <w:rPr>
          <w:sz w:val="22"/>
          <w:szCs w:val="22"/>
          <w:lang w:val="lv-LV"/>
        </w:rPr>
        <w:t xml:space="preserve">iespējama albuminūrija un </w:t>
      </w:r>
      <w:r w:rsidR="00E81B50" w:rsidRPr="009D4052">
        <w:rPr>
          <w:sz w:val="22"/>
          <w:szCs w:val="22"/>
          <w:lang w:val="lv-LV"/>
        </w:rPr>
        <w:t>hematūrija</w:t>
      </w:r>
      <w:r w:rsidR="00906434" w:rsidRPr="000A5A33">
        <w:rPr>
          <w:sz w:val="22"/>
          <w:szCs w:val="22"/>
          <w:lang w:val="lv-LV"/>
        </w:rPr>
        <w:t>.</w:t>
      </w:r>
    </w:p>
    <w:p w14:paraId="42031BAD" w14:textId="77777777" w:rsidR="00906434" w:rsidRPr="000A5A33" w:rsidRDefault="00906434" w:rsidP="00906434">
      <w:pPr>
        <w:pStyle w:val="Default"/>
        <w:jc w:val="both"/>
        <w:rPr>
          <w:color w:val="auto"/>
          <w:sz w:val="22"/>
          <w:szCs w:val="22"/>
          <w:lang w:val="lv-LV"/>
        </w:rPr>
      </w:pPr>
    </w:p>
    <w:p w14:paraId="3015A1DB" w14:textId="77777777" w:rsidR="00AD37BE" w:rsidRPr="000A5A33" w:rsidRDefault="00AD37BE" w:rsidP="00947806">
      <w:pPr>
        <w:pStyle w:val="Default"/>
        <w:jc w:val="both"/>
        <w:rPr>
          <w:color w:val="auto"/>
          <w:sz w:val="22"/>
          <w:szCs w:val="22"/>
          <w:lang w:val="lv-LV"/>
        </w:rPr>
      </w:pPr>
      <w:r w:rsidRPr="000A5A33">
        <w:rPr>
          <w:color w:val="auto"/>
          <w:sz w:val="22"/>
          <w:szCs w:val="22"/>
          <w:lang w:val="lv-LV"/>
        </w:rPr>
        <w:t>Terapijas laikā metabolīti var izraisīt urīna iekrāsošanos dzeltenā vai sarkani – brūnā krāsā (atkarībā no pH līmeņa), kas gan nav klīniski nozīmīgi.</w:t>
      </w:r>
    </w:p>
    <w:p w14:paraId="48EF101F" w14:textId="77777777" w:rsidR="00AD37BE" w:rsidRPr="000A5A33" w:rsidRDefault="00AD37BE" w:rsidP="00947806">
      <w:pPr>
        <w:pStyle w:val="Default"/>
        <w:jc w:val="both"/>
        <w:rPr>
          <w:color w:val="auto"/>
          <w:sz w:val="22"/>
          <w:szCs w:val="22"/>
          <w:lang w:val="lv-LV"/>
        </w:rPr>
      </w:pPr>
    </w:p>
    <w:p w14:paraId="3B6A8E63" w14:textId="42137364" w:rsidR="002A61E1" w:rsidRPr="000A5A33" w:rsidRDefault="00906434" w:rsidP="00947806">
      <w:pPr>
        <w:tabs>
          <w:tab w:val="clear" w:pos="567"/>
        </w:tabs>
        <w:spacing w:line="240" w:lineRule="auto"/>
        <w:jc w:val="both"/>
        <w:rPr>
          <w:bCs/>
          <w:iCs/>
          <w:szCs w:val="22"/>
          <w:u w:val="single"/>
        </w:rPr>
      </w:pPr>
      <w:r w:rsidRPr="000A5A33">
        <w:rPr>
          <w:color w:val="000000"/>
          <w:szCs w:val="22"/>
          <w:lang w:eastAsia="en-GB"/>
        </w:rPr>
        <w:t>Biežums nav zināms.</w:t>
      </w:r>
    </w:p>
    <w:p w14:paraId="01E533E6" w14:textId="77777777" w:rsidR="002A61E1" w:rsidRPr="000A5A33" w:rsidRDefault="002A61E1" w:rsidP="00947806">
      <w:pPr>
        <w:autoSpaceDE w:val="0"/>
        <w:autoSpaceDN w:val="0"/>
        <w:adjustRightInd w:val="0"/>
        <w:spacing w:line="240" w:lineRule="auto"/>
        <w:jc w:val="both"/>
        <w:rPr>
          <w:szCs w:val="22"/>
          <w:u w:val="single"/>
        </w:rPr>
      </w:pPr>
      <w:r w:rsidRPr="000A5A33">
        <w:rPr>
          <w:szCs w:val="22"/>
          <w:u w:val="single"/>
        </w:rPr>
        <w:t>Ziņošana par iespējamām nevēlamām blakusparādībām</w:t>
      </w:r>
    </w:p>
    <w:p w14:paraId="5104C06A" w14:textId="30A524D5" w:rsidR="00FD187E" w:rsidRPr="000A5A33" w:rsidRDefault="002A61E1" w:rsidP="00947806">
      <w:pPr>
        <w:autoSpaceDE w:val="0"/>
        <w:autoSpaceDN w:val="0"/>
        <w:adjustRightInd w:val="0"/>
        <w:spacing w:line="240" w:lineRule="auto"/>
        <w:jc w:val="both"/>
        <w:rPr>
          <w:szCs w:val="22"/>
        </w:rPr>
      </w:pPr>
      <w:r w:rsidRPr="000A5A33">
        <w:rPr>
          <w:szCs w:val="22"/>
        </w:rPr>
        <w:t>Ir svarīgi ziņot par iespējamām nevēlamām blakusparādībām pēc zāļu reģistrācijas. Tādējādi zāļu ieguvum</w:t>
      </w:r>
      <w:r w:rsidR="00E02000" w:rsidRPr="000A5A33">
        <w:rPr>
          <w:szCs w:val="22"/>
        </w:rPr>
        <w:t>a</w:t>
      </w:r>
      <w:r w:rsidRPr="000A5A33">
        <w:rPr>
          <w:szCs w:val="22"/>
        </w:rPr>
        <w:t>/riska attiecība tiek nepārtraukti uzraudzīta. Veselības aprūpes speciālisti tiek lūgti ziņot par jebkādām iespējamām nevēlamām blakusparādībām</w:t>
      </w:r>
      <w:r w:rsidR="00FD187E" w:rsidRPr="000A5A33">
        <w:rPr>
          <w:szCs w:val="22"/>
        </w:rPr>
        <w:t xml:space="preserve"> Zāļu valsts aģentūrai, Jersikas ielā 15, Rīgā, LV 1003.</w:t>
      </w:r>
    </w:p>
    <w:p w14:paraId="3E5695C0" w14:textId="4A82DC97" w:rsidR="00FD187E" w:rsidRPr="000A5A33" w:rsidRDefault="00FD187E" w:rsidP="00947806">
      <w:pPr>
        <w:tabs>
          <w:tab w:val="left" w:pos="-720"/>
        </w:tabs>
        <w:suppressAutoHyphens/>
        <w:spacing w:line="240" w:lineRule="auto"/>
        <w:jc w:val="both"/>
        <w:rPr>
          <w:rFonts w:eastAsia="Calibri"/>
          <w:szCs w:val="22"/>
          <w:lang w:eastAsia="zh-CN"/>
        </w:rPr>
      </w:pPr>
      <w:r w:rsidRPr="000A5A33">
        <w:rPr>
          <w:rFonts w:eastAsia="Calibri"/>
          <w:szCs w:val="22"/>
          <w:lang w:eastAsia="zh-CN"/>
        </w:rPr>
        <w:t xml:space="preserve">Tīmekļa vietne: </w:t>
      </w:r>
      <w:r w:rsidR="00FF1DA6" w:rsidRPr="000A5A33">
        <w:rPr>
          <w:rFonts w:eastAsia="Calibri"/>
          <w:szCs w:val="22"/>
          <w:u w:val="single"/>
          <w:lang w:eastAsia="zh-CN"/>
        </w:rPr>
        <w:t>www.zva.gov.lv</w:t>
      </w:r>
    </w:p>
    <w:p w14:paraId="1ABBBF2B" w14:textId="77777777" w:rsidR="00CD10AA" w:rsidRPr="000A5A33" w:rsidRDefault="00CD10AA" w:rsidP="00947806">
      <w:pPr>
        <w:autoSpaceDE w:val="0"/>
        <w:autoSpaceDN w:val="0"/>
        <w:adjustRightInd w:val="0"/>
        <w:spacing w:line="240" w:lineRule="auto"/>
        <w:jc w:val="both"/>
        <w:rPr>
          <w:szCs w:val="22"/>
        </w:rPr>
      </w:pPr>
    </w:p>
    <w:p w14:paraId="2FA194FC" w14:textId="77777777" w:rsidR="00CD10AA" w:rsidRPr="000A5A33" w:rsidRDefault="00CD10AA" w:rsidP="00947806">
      <w:pPr>
        <w:tabs>
          <w:tab w:val="clear" w:pos="567"/>
        </w:tabs>
        <w:spacing w:line="240" w:lineRule="auto"/>
        <w:jc w:val="both"/>
        <w:rPr>
          <w:szCs w:val="22"/>
        </w:rPr>
      </w:pPr>
      <w:r w:rsidRPr="000A5A33">
        <w:rPr>
          <w:b/>
          <w:szCs w:val="22"/>
        </w:rPr>
        <w:t>4.9</w:t>
      </w:r>
      <w:r w:rsidR="002A61E1" w:rsidRPr="000A5A33">
        <w:rPr>
          <w:b/>
          <w:szCs w:val="22"/>
        </w:rPr>
        <w:t>.</w:t>
      </w:r>
      <w:r w:rsidRPr="000A5A33">
        <w:rPr>
          <w:b/>
          <w:szCs w:val="22"/>
        </w:rPr>
        <w:tab/>
        <w:t>Pārdozēšana</w:t>
      </w:r>
    </w:p>
    <w:p w14:paraId="64DD6282" w14:textId="77777777" w:rsidR="00E72F9F" w:rsidRPr="000A5A33" w:rsidRDefault="00E72F9F" w:rsidP="00947806">
      <w:pPr>
        <w:pStyle w:val="Default"/>
        <w:jc w:val="both"/>
        <w:rPr>
          <w:color w:val="auto"/>
          <w:sz w:val="22"/>
          <w:szCs w:val="22"/>
          <w:u w:val="single"/>
          <w:lang w:val="lv-LV"/>
        </w:rPr>
      </w:pPr>
    </w:p>
    <w:p w14:paraId="1C1902B3" w14:textId="77777777" w:rsidR="003108A3" w:rsidRPr="000A5A33" w:rsidRDefault="003108A3" w:rsidP="00947806">
      <w:pPr>
        <w:pStyle w:val="Default"/>
        <w:jc w:val="both"/>
        <w:rPr>
          <w:color w:val="auto"/>
          <w:sz w:val="22"/>
          <w:szCs w:val="22"/>
          <w:u w:val="single"/>
          <w:lang w:val="lv-LV"/>
        </w:rPr>
      </w:pPr>
      <w:r w:rsidRPr="000A5A33">
        <w:rPr>
          <w:color w:val="auto"/>
          <w:sz w:val="22"/>
          <w:szCs w:val="22"/>
          <w:u w:val="single"/>
          <w:lang w:val="lv-LV"/>
        </w:rPr>
        <w:t>Simptomi</w:t>
      </w:r>
    </w:p>
    <w:p w14:paraId="06894EF8" w14:textId="66856D72" w:rsidR="003108A3" w:rsidRPr="000A5A33" w:rsidRDefault="003108A3" w:rsidP="00947806">
      <w:pPr>
        <w:pStyle w:val="Default"/>
        <w:jc w:val="both"/>
        <w:rPr>
          <w:color w:val="auto"/>
          <w:sz w:val="22"/>
          <w:szCs w:val="22"/>
          <w:lang w:val="lv-LV"/>
        </w:rPr>
      </w:pPr>
      <w:r w:rsidRPr="000A5A33">
        <w:rPr>
          <w:color w:val="auto"/>
          <w:sz w:val="22"/>
          <w:szCs w:val="22"/>
          <w:lang w:val="lv-LV"/>
        </w:rPr>
        <w:t>Galvenie pārdozēšanas (lietojot nepareizi) simptomi ir griezošas sāpes</w:t>
      </w:r>
      <w:r w:rsidR="000F0293" w:rsidRPr="000A5A33">
        <w:rPr>
          <w:color w:val="auto"/>
          <w:sz w:val="22"/>
          <w:szCs w:val="22"/>
          <w:lang w:val="lv-LV"/>
        </w:rPr>
        <w:t xml:space="preserve"> </w:t>
      </w:r>
      <w:r w:rsidRPr="000A5A33">
        <w:rPr>
          <w:color w:val="auto"/>
          <w:sz w:val="22"/>
          <w:szCs w:val="22"/>
          <w:lang w:val="lv-LV"/>
        </w:rPr>
        <w:t>un smaga caureja, kā rezultātā rodas šķidruma un elektrolītu zudums.</w:t>
      </w:r>
    </w:p>
    <w:p w14:paraId="6391D95F" w14:textId="77777777" w:rsidR="003108A3" w:rsidRPr="000A5A33" w:rsidRDefault="003108A3" w:rsidP="000A5A33">
      <w:pPr>
        <w:pStyle w:val="Default"/>
        <w:rPr>
          <w:color w:val="auto"/>
          <w:sz w:val="22"/>
          <w:szCs w:val="22"/>
          <w:lang w:val="lv-LV"/>
        </w:rPr>
      </w:pPr>
      <w:r w:rsidRPr="000A5A33">
        <w:rPr>
          <w:color w:val="auto"/>
          <w:sz w:val="22"/>
          <w:szCs w:val="22"/>
          <w:lang w:val="lv-LV"/>
        </w:rPr>
        <w:t xml:space="preserve">Terapijai jābūt atbalstošai ar lielu šķidruma daudzuma papildināšanu. Jākontrolē elektrolīti, it īpaši kālijs. Tas ir īpaši svarīgi gados vecākiem </w:t>
      </w:r>
      <w:r w:rsidR="00F02866" w:rsidRPr="000A5A33">
        <w:rPr>
          <w:color w:val="auto"/>
          <w:sz w:val="22"/>
          <w:szCs w:val="22"/>
          <w:lang w:val="lv-LV"/>
        </w:rPr>
        <w:t>cilvēkiem</w:t>
      </w:r>
      <w:r w:rsidRPr="000A5A33">
        <w:rPr>
          <w:color w:val="auto"/>
          <w:sz w:val="22"/>
          <w:szCs w:val="22"/>
          <w:lang w:val="lv-LV"/>
        </w:rPr>
        <w:t>.</w:t>
      </w:r>
    </w:p>
    <w:p w14:paraId="635A5D44" w14:textId="77777777" w:rsidR="00906434" w:rsidRPr="000A5A33" w:rsidRDefault="00906434" w:rsidP="00906434">
      <w:pPr>
        <w:pStyle w:val="Default"/>
        <w:jc w:val="both"/>
        <w:rPr>
          <w:color w:val="auto"/>
          <w:sz w:val="22"/>
          <w:szCs w:val="22"/>
          <w:lang w:val="lv-LV"/>
        </w:rPr>
      </w:pPr>
    </w:p>
    <w:p w14:paraId="1CB8F7CF" w14:textId="16144ECB" w:rsidR="00906434" w:rsidRPr="000A5A33" w:rsidRDefault="00906434" w:rsidP="00906434">
      <w:pPr>
        <w:pStyle w:val="Default"/>
        <w:jc w:val="both"/>
        <w:rPr>
          <w:color w:val="auto"/>
          <w:sz w:val="22"/>
          <w:szCs w:val="22"/>
          <w:lang w:val="lv-LV"/>
        </w:rPr>
      </w:pPr>
      <w:r w:rsidRPr="000A5A33">
        <w:rPr>
          <w:color w:val="auto"/>
          <w:sz w:val="22"/>
          <w:szCs w:val="22"/>
          <w:lang w:val="lv-LV"/>
        </w:rPr>
        <w:t xml:space="preserve">Ilgstoša antranoīdus saturošu </w:t>
      </w:r>
      <w:r w:rsidR="00932F02" w:rsidRPr="009D4052">
        <w:rPr>
          <w:color w:val="auto"/>
          <w:sz w:val="22"/>
          <w:szCs w:val="22"/>
          <w:lang w:val="lv-LV"/>
        </w:rPr>
        <w:t>zāļu</w:t>
      </w:r>
      <w:r w:rsidR="00AF4400" w:rsidRPr="009D4052">
        <w:rPr>
          <w:color w:val="auto"/>
          <w:sz w:val="22"/>
          <w:szCs w:val="22"/>
          <w:lang w:val="lv-LV"/>
        </w:rPr>
        <w:t xml:space="preserve"> </w:t>
      </w:r>
      <w:r w:rsidRPr="000A5A33">
        <w:rPr>
          <w:color w:val="auto"/>
          <w:sz w:val="22"/>
          <w:szCs w:val="22"/>
          <w:lang w:val="lv-LV"/>
        </w:rPr>
        <w:t>pārdozēšana var izraisīt toksisku hepatītu.</w:t>
      </w:r>
    </w:p>
    <w:p w14:paraId="6D4D02A7" w14:textId="77777777" w:rsidR="003108A3" w:rsidRPr="000A5A33" w:rsidRDefault="003108A3" w:rsidP="00947806">
      <w:pPr>
        <w:pStyle w:val="Default"/>
        <w:jc w:val="both"/>
        <w:rPr>
          <w:color w:val="auto"/>
          <w:sz w:val="22"/>
          <w:szCs w:val="22"/>
          <w:lang w:val="lv-LV"/>
        </w:rPr>
      </w:pPr>
    </w:p>
    <w:p w14:paraId="3E6BA526" w14:textId="77777777" w:rsidR="00E72F9F" w:rsidRPr="000A5A33" w:rsidRDefault="00E72F9F" w:rsidP="00947806">
      <w:pPr>
        <w:pStyle w:val="Default"/>
        <w:jc w:val="both"/>
        <w:rPr>
          <w:color w:val="auto"/>
          <w:sz w:val="22"/>
          <w:szCs w:val="22"/>
          <w:lang w:val="lv-LV"/>
        </w:rPr>
      </w:pPr>
    </w:p>
    <w:p w14:paraId="42AB6C9C" w14:textId="77777777" w:rsidR="00CD10AA" w:rsidRPr="000A5A33" w:rsidRDefault="00CD10AA" w:rsidP="00947806">
      <w:pPr>
        <w:tabs>
          <w:tab w:val="clear" w:pos="567"/>
        </w:tabs>
        <w:spacing w:line="240" w:lineRule="auto"/>
        <w:jc w:val="both"/>
        <w:rPr>
          <w:b/>
          <w:szCs w:val="22"/>
        </w:rPr>
      </w:pPr>
      <w:r w:rsidRPr="000A5A33">
        <w:rPr>
          <w:b/>
          <w:szCs w:val="22"/>
        </w:rPr>
        <w:t>5.</w:t>
      </w:r>
      <w:r w:rsidRPr="000A5A33">
        <w:rPr>
          <w:b/>
          <w:szCs w:val="22"/>
        </w:rPr>
        <w:tab/>
        <w:t xml:space="preserve">FARMAKOLOĢISKĀS ĪPAŠĪBAS </w:t>
      </w:r>
    </w:p>
    <w:p w14:paraId="4572734A" w14:textId="77777777" w:rsidR="00E72F9F" w:rsidRPr="000A5A33" w:rsidRDefault="00E72F9F" w:rsidP="00947806">
      <w:pPr>
        <w:tabs>
          <w:tab w:val="clear" w:pos="567"/>
        </w:tabs>
        <w:spacing w:line="240" w:lineRule="auto"/>
        <w:jc w:val="both"/>
        <w:rPr>
          <w:b/>
          <w:szCs w:val="22"/>
        </w:rPr>
      </w:pPr>
    </w:p>
    <w:p w14:paraId="52BDB6D2" w14:textId="77777777" w:rsidR="00CD10AA" w:rsidRPr="000A5A33" w:rsidRDefault="00CD10AA" w:rsidP="00947806">
      <w:pPr>
        <w:tabs>
          <w:tab w:val="clear" w:pos="567"/>
        </w:tabs>
        <w:spacing w:line="240" w:lineRule="auto"/>
        <w:jc w:val="both"/>
        <w:rPr>
          <w:szCs w:val="22"/>
        </w:rPr>
      </w:pPr>
      <w:r w:rsidRPr="000A5A33">
        <w:rPr>
          <w:b/>
          <w:szCs w:val="22"/>
        </w:rPr>
        <w:t>5.1</w:t>
      </w:r>
      <w:r w:rsidR="00F311D8" w:rsidRPr="000A5A33">
        <w:rPr>
          <w:b/>
          <w:szCs w:val="22"/>
        </w:rPr>
        <w:t>.</w:t>
      </w:r>
      <w:r w:rsidRPr="000A5A33">
        <w:rPr>
          <w:b/>
          <w:szCs w:val="22"/>
        </w:rPr>
        <w:tab/>
        <w:t>Farmakodinamiskās īpašības</w:t>
      </w:r>
    </w:p>
    <w:p w14:paraId="531B876E" w14:textId="77777777" w:rsidR="00E72F9F" w:rsidRPr="000A5A33" w:rsidRDefault="00E72F9F" w:rsidP="00947806">
      <w:pPr>
        <w:pStyle w:val="Default"/>
        <w:jc w:val="both"/>
        <w:rPr>
          <w:b/>
          <w:color w:val="auto"/>
          <w:sz w:val="22"/>
          <w:szCs w:val="22"/>
          <w:lang w:val="lv-LV"/>
        </w:rPr>
      </w:pPr>
    </w:p>
    <w:p w14:paraId="1D5197C8" w14:textId="2DD01F07" w:rsidR="00CD10AA" w:rsidRPr="000A5A33" w:rsidRDefault="00CD10AA" w:rsidP="000A5A33">
      <w:pPr>
        <w:pStyle w:val="Default"/>
        <w:jc w:val="both"/>
        <w:rPr>
          <w:szCs w:val="22"/>
          <w:lang w:val="lv-LV"/>
        </w:rPr>
      </w:pPr>
      <w:r w:rsidRPr="000A5A33">
        <w:rPr>
          <w:b/>
          <w:sz w:val="22"/>
          <w:szCs w:val="22"/>
          <w:lang w:val="lv-LV"/>
        </w:rPr>
        <w:t>Farm</w:t>
      </w:r>
      <w:r w:rsidR="00FD187E" w:rsidRPr="000A5A33">
        <w:rPr>
          <w:b/>
          <w:sz w:val="22"/>
          <w:szCs w:val="22"/>
          <w:lang w:val="lv-LV"/>
        </w:rPr>
        <w:t>akoterapeitiskā grupa</w:t>
      </w:r>
      <w:r w:rsidR="00FD187E" w:rsidRPr="000A5A33">
        <w:rPr>
          <w:sz w:val="22"/>
          <w:szCs w:val="22"/>
          <w:lang w:val="lv-LV"/>
        </w:rPr>
        <w:t xml:space="preserve">: </w:t>
      </w:r>
      <w:r w:rsidR="003108A3" w:rsidRPr="000A5A33">
        <w:rPr>
          <w:sz w:val="22"/>
          <w:szCs w:val="22"/>
          <w:lang w:val="lv-LV"/>
        </w:rPr>
        <w:t>zarnu gļotādu kairinošie līdzekļi</w:t>
      </w:r>
      <w:r w:rsidR="00906434" w:rsidRPr="000A5A33">
        <w:rPr>
          <w:sz w:val="22"/>
          <w:szCs w:val="22"/>
          <w:lang w:val="lv-LV"/>
        </w:rPr>
        <w:t xml:space="preserve">, ieteiktais </w:t>
      </w:r>
      <w:r w:rsidRPr="000A5A33">
        <w:rPr>
          <w:sz w:val="22"/>
          <w:szCs w:val="22"/>
          <w:lang w:val="lv-LV"/>
        </w:rPr>
        <w:t xml:space="preserve">ATĶ kods: </w:t>
      </w:r>
      <w:r w:rsidR="003108A3" w:rsidRPr="000A5A33">
        <w:rPr>
          <w:sz w:val="22"/>
          <w:szCs w:val="22"/>
          <w:lang w:val="lv-LV"/>
        </w:rPr>
        <w:t>A06AB06</w:t>
      </w:r>
    </w:p>
    <w:p w14:paraId="5E38A34E" w14:textId="77777777" w:rsidR="00E11F9F" w:rsidRPr="000A5A33" w:rsidRDefault="00E11F9F" w:rsidP="00947806">
      <w:pPr>
        <w:tabs>
          <w:tab w:val="clear" w:pos="567"/>
        </w:tabs>
        <w:spacing w:line="240" w:lineRule="auto"/>
        <w:jc w:val="both"/>
        <w:rPr>
          <w:szCs w:val="22"/>
        </w:rPr>
      </w:pPr>
    </w:p>
    <w:p w14:paraId="7FC44774" w14:textId="77777777" w:rsidR="003108A3" w:rsidRPr="00771F87" w:rsidRDefault="003108A3" w:rsidP="000A5A33">
      <w:pPr>
        <w:spacing w:line="240" w:lineRule="auto"/>
        <w:jc w:val="both"/>
        <w:rPr>
          <w:szCs w:val="22"/>
        </w:rPr>
      </w:pPr>
      <w:r w:rsidRPr="009B7326">
        <w:rPr>
          <w:szCs w:val="22"/>
        </w:rPr>
        <w:t xml:space="preserve">1,8-dihidroksiantracēna atvasinājumiem piemīt </w:t>
      </w:r>
      <w:r w:rsidRPr="00224417">
        <w:rPr>
          <w:szCs w:val="22"/>
        </w:rPr>
        <w:t>caureju veicinoša iedarbība. β-O-savienotie glikozīdi (sennozīdi) neuzsūcas tievajās zarnās; resnās zarnas baktērijas pārveido tos par aktīviem metabolītiem (reīna antroniem).</w:t>
      </w:r>
    </w:p>
    <w:p w14:paraId="27F63B82" w14:textId="77777777" w:rsidR="003108A3" w:rsidRPr="000A5A33" w:rsidRDefault="003108A3" w:rsidP="00947806">
      <w:pPr>
        <w:pStyle w:val="Default"/>
        <w:jc w:val="both"/>
        <w:rPr>
          <w:color w:val="auto"/>
          <w:sz w:val="22"/>
          <w:szCs w:val="22"/>
          <w:lang w:val="lv-LV"/>
        </w:rPr>
      </w:pPr>
    </w:p>
    <w:p w14:paraId="2C55A233" w14:textId="77777777" w:rsidR="003108A3" w:rsidRPr="000A5A33" w:rsidRDefault="003108A3" w:rsidP="00947806">
      <w:pPr>
        <w:pStyle w:val="Default"/>
        <w:jc w:val="both"/>
        <w:rPr>
          <w:color w:val="auto"/>
          <w:sz w:val="22"/>
          <w:szCs w:val="22"/>
          <w:lang w:val="lv-LV"/>
        </w:rPr>
      </w:pPr>
      <w:r w:rsidRPr="000A5A33">
        <w:rPr>
          <w:color w:val="auto"/>
          <w:sz w:val="22"/>
          <w:szCs w:val="22"/>
          <w:lang w:val="lv-LV"/>
        </w:rPr>
        <w:t>Zināmi divi dažādi iedarbības mehānismi:</w:t>
      </w:r>
    </w:p>
    <w:p w14:paraId="6C3C4C4D" w14:textId="77777777" w:rsidR="003108A3" w:rsidRPr="000A5A33" w:rsidRDefault="003108A3" w:rsidP="002E0135">
      <w:pPr>
        <w:pStyle w:val="Default"/>
        <w:numPr>
          <w:ilvl w:val="0"/>
          <w:numId w:val="27"/>
        </w:numPr>
        <w:tabs>
          <w:tab w:val="left" w:pos="709"/>
        </w:tabs>
        <w:jc w:val="both"/>
        <w:rPr>
          <w:color w:val="auto"/>
          <w:sz w:val="22"/>
          <w:szCs w:val="22"/>
          <w:lang w:val="lv-LV"/>
        </w:rPr>
      </w:pPr>
      <w:r w:rsidRPr="000A5A33">
        <w:rPr>
          <w:color w:val="auto"/>
          <w:sz w:val="22"/>
          <w:szCs w:val="22"/>
          <w:lang w:val="lv-LV"/>
        </w:rPr>
        <w:t>resnās zarnas motilitātes stimulēšana, izraisot paātrinātu zarnu satura pārvietošanos;</w:t>
      </w:r>
    </w:p>
    <w:p w14:paraId="604814A4" w14:textId="77777777" w:rsidR="003108A3" w:rsidRPr="000A5A33" w:rsidRDefault="003108A3" w:rsidP="002E0135">
      <w:pPr>
        <w:pStyle w:val="Default"/>
        <w:numPr>
          <w:ilvl w:val="0"/>
          <w:numId w:val="27"/>
        </w:numPr>
        <w:tabs>
          <w:tab w:val="left" w:pos="709"/>
        </w:tabs>
        <w:jc w:val="both"/>
        <w:rPr>
          <w:color w:val="auto"/>
          <w:sz w:val="22"/>
          <w:szCs w:val="22"/>
          <w:lang w:val="lv-LV"/>
        </w:rPr>
      </w:pPr>
      <w:r w:rsidRPr="000A5A33">
        <w:rPr>
          <w:color w:val="auto"/>
          <w:sz w:val="22"/>
          <w:szCs w:val="22"/>
          <w:lang w:val="lv-LV"/>
        </w:rPr>
        <w:t>ietekme uz sekrēcijas procesu, kam pamatā ir divi vienlaicīgi norisoši mehānismi</w:t>
      </w:r>
      <w:r w:rsidR="002B24F4" w:rsidRPr="000A5A33">
        <w:rPr>
          <w:color w:val="auto"/>
          <w:sz w:val="22"/>
          <w:szCs w:val="22"/>
          <w:lang w:val="lv-LV"/>
        </w:rPr>
        <w:t xml:space="preserve"> -</w:t>
      </w:r>
      <w:r w:rsidRPr="000A5A33">
        <w:rPr>
          <w:color w:val="auto"/>
          <w:sz w:val="22"/>
          <w:szCs w:val="22"/>
          <w:lang w:val="lv-LV"/>
        </w:rPr>
        <w:t xml:space="preserve"> ūdens un elektrolītu (Na</w:t>
      </w:r>
      <w:r w:rsidRPr="000A5A33">
        <w:rPr>
          <w:color w:val="auto"/>
          <w:sz w:val="22"/>
          <w:szCs w:val="22"/>
          <w:vertAlign w:val="superscript"/>
          <w:lang w:val="lv-LV"/>
        </w:rPr>
        <w:t>+</w:t>
      </w:r>
      <w:r w:rsidRPr="000A5A33">
        <w:rPr>
          <w:color w:val="auto"/>
          <w:sz w:val="22"/>
          <w:szCs w:val="22"/>
          <w:lang w:val="lv-LV"/>
        </w:rPr>
        <w:t>, Cl</w:t>
      </w:r>
      <w:r w:rsidRPr="000A5A33">
        <w:rPr>
          <w:color w:val="auto"/>
          <w:sz w:val="22"/>
          <w:szCs w:val="22"/>
          <w:vertAlign w:val="superscript"/>
          <w:lang w:val="lv-LV"/>
        </w:rPr>
        <w:t>-</w:t>
      </w:r>
      <w:r w:rsidRPr="000A5A33">
        <w:rPr>
          <w:color w:val="auto"/>
          <w:sz w:val="22"/>
          <w:szCs w:val="22"/>
          <w:lang w:val="lv-LV"/>
        </w:rPr>
        <w:t>) uzsūkšanās nomākums resnās zarnas epitēlija šūnās (uzsūkšanos kavējošs efekts) un starpšūnu savienojumu vietu caurlaidības palielināšanās un elektrolītu sekrēcijas stimulācija resnās zarnas lumenā (izdalīšanos veicinošs efekts), kā rezultātā palielinās šķidrumu un elektrolītu koncentrācija resnās zarnas lumenā.</w:t>
      </w:r>
    </w:p>
    <w:p w14:paraId="484CBC5B" w14:textId="77777777" w:rsidR="003108A3" w:rsidRPr="000A5A33" w:rsidRDefault="003108A3" w:rsidP="00947806">
      <w:pPr>
        <w:pStyle w:val="Default"/>
        <w:jc w:val="both"/>
        <w:rPr>
          <w:color w:val="auto"/>
          <w:sz w:val="22"/>
          <w:szCs w:val="22"/>
          <w:lang w:val="lv-LV"/>
        </w:rPr>
      </w:pPr>
    </w:p>
    <w:p w14:paraId="42E2D4A9" w14:textId="77777777" w:rsidR="003108A3" w:rsidRPr="000A5A33" w:rsidRDefault="003108A3" w:rsidP="00947806">
      <w:pPr>
        <w:pStyle w:val="Default"/>
        <w:jc w:val="both"/>
        <w:rPr>
          <w:color w:val="auto"/>
          <w:sz w:val="22"/>
          <w:szCs w:val="22"/>
          <w:lang w:val="lv-LV"/>
        </w:rPr>
      </w:pPr>
      <w:r w:rsidRPr="000A5A33">
        <w:rPr>
          <w:color w:val="auto"/>
          <w:sz w:val="22"/>
          <w:szCs w:val="22"/>
          <w:lang w:val="lv-LV"/>
        </w:rPr>
        <w:t xml:space="preserve">Defekācija notiek </w:t>
      </w:r>
      <w:r w:rsidR="002B24F4" w:rsidRPr="000A5A33">
        <w:rPr>
          <w:color w:val="auto"/>
          <w:sz w:val="22"/>
          <w:szCs w:val="22"/>
          <w:lang w:val="lv-LV"/>
        </w:rPr>
        <w:t xml:space="preserve">ar aizkavēšanos </w:t>
      </w:r>
      <w:r w:rsidRPr="000A5A33">
        <w:rPr>
          <w:color w:val="auto"/>
          <w:sz w:val="22"/>
          <w:szCs w:val="22"/>
          <w:lang w:val="lv-LV"/>
        </w:rPr>
        <w:t>pēc 8 – 12 stundām, jo nepieciešams laiks pārvietošanai uz resno zarnu un pārveidošanai par aktīvajiem savienojumiem.</w:t>
      </w:r>
    </w:p>
    <w:p w14:paraId="13053CED" w14:textId="77777777" w:rsidR="0097548A" w:rsidRPr="000A5A33" w:rsidRDefault="0097548A" w:rsidP="00947806">
      <w:pPr>
        <w:spacing w:line="240" w:lineRule="auto"/>
        <w:jc w:val="both"/>
        <w:rPr>
          <w:szCs w:val="22"/>
        </w:rPr>
      </w:pPr>
    </w:p>
    <w:p w14:paraId="4AFF084B" w14:textId="77777777" w:rsidR="00CD10AA" w:rsidRPr="000A5A33" w:rsidRDefault="00CD10AA" w:rsidP="00947806">
      <w:pPr>
        <w:tabs>
          <w:tab w:val="clear" w:pos="567"/>
        </w:tabs>
        <w:spacing w:line="240" w:lineRule="auto"/>
        <w:jc w:val="both"/>
        <w:rPr>
          <w:b/>
          <w:szCs w:val="22"/>
        </w:rPr>
      </w:pPr>
      <w:r w:rsidRPr="000A5A33">
        <w:rPr>
          <w:b/>
          <w:szCs w:val="22"/>
        </w:rPr>
        <w:t>5.2</w:t>
      </w:r>
      <w:r w:rsidR="00565B11" w:rsidRPr="000A5A33">
        <w:rPr>
          <w:b/>
          <w:szCs w:val="22"/>
        </w:rPr>
        <w:t>.</w:t>
      </w:r>
      <w:r w:rsidRPr="000A5A33">
        <w:rPr>
          <w:b/>
          <w:szCs w:val="22"/>
        </w:rPr>
        <w:tab/>
        <w:t>Farmakokinētiskās īpašības</w:t>
      </w:r>
    </w:p>
    <w:p w14:paraId="34EE07ED" w14:textId="77777777" w:rsidR="00E72F9F" w:rsidRPr="000A5A33" w:rsidRDefault="00E72F9F" w:rsidP="00947806">
      <w:pPr>
        <w:tabs>
          <w:tab w:val="clear" w:pos="567"/>
        </w:tabs>
        <w:spacing w:line="240" w:lineRule="auto"/>
        <w:jc w:val="both"/>
        <w:rPr>
          <w:szCs w:val="22"/>
          <w:u w:val="single"/>
        </w:rPr>
      </w:pPr>
    </w:p>
    <w:p w14:paraId="2DE3E23F" w14:textId="4B85FEF4" w:rsidR="00DD4599" w:rsidRPr="009B7326" w:rsidRDefault="008D7450" w:rsidP="000A5A33">
      <w:pPr>
        <w:tabs>
          <w:tab w:val="clear" w:pos="567"/>
        </w:tabs>
        <w:spacing w:line="240" w:lineRule="auto"/>
        <w:jc w:val="both"/>
        <w:rPr>
          <w:szCs w:val="22"/>
        </w:rPr>
      </w:pPr>
      <w:r w:rsidRPr="009B7326">
        <w:rPr>
          <w:szCs w:val="22"/>
        </w:rPr>
        <w:lastRenderedPageBreak/>
        <w:t xml:space="preserve">β-O-savienotie glikozīdi (sennozīdi) neuzsūcas tievajās zarnās, kā </w:t>
      </w:r>
      <w:r w:rsidRPr="00224417">
        <w:rPr>
          <w:szCs w:val="22"/>
        </w:rPr>
        <w:t>arī tos nesadala cilvēka gremošanas enzīmi. Par aktīvajiem metabolītiem (reīna antroniem) tos pārveido resnās zarnas baktērijas. Aglikoni uzsūcas tievajās zarnās. Pētījumi ar dzīvniekiem ar radioloģiski iezīmētiem reīna antroniem, kas tika ievadīti tieši</w:t>
      </w:r>
      <w:r w:rsidRPr="00771F87">
        <w:rPr>
          <w:szCs w:val="22"/>
        </w:rPr>
        <w:t xml:space="preserve"> aklajā zarnā, liecina</w:t>
      </w:r>
      <w:r w:rsidRPr="000A5A33">
        <w:rPr>
          <w:szCs w:val="22"/>
        </w:rPr>
        <w:t>, ka uzsūkšanās apjoms ir mazāks par 10 %. Reīna antroni skābekļa klātbūtnē oksidējas par reīnu un sennidīniem, kuri ir atrodami asinīs galvenokār</w:t>
      </w:r>
      <w:r w:rsidR="00DD4599" w:rsidRPr="000A5A33">
        <w:rPr>
          <w:szCs w:val="22"/>
        </w:rPr>
        <w:t>t glikuronīdu un sulfātu veidā.</w:t>
      </w:r>
      <w:r w:rsidR="00611F8B" w:rsidRPr="000A5A33">
        <w:rPr>
          <w:szCs w:val="22"/>
        </w:rPr>
        <w:t xml:space="preserve"> Pēc sennozīdu iekšķīgas lietošanas</w:t>
      </w:r>
      <w:r w:rsidR="00906434" w:rsidRPr="000A5A33">
        <w:rPr>
          <w:szCs w:val="22"/>
        </w:rPr>
        <w:t xml:space="preserve"> 3-6%</w:t>
      </w:r>
      <w:r w:rsidR="00482A20" w:rsidRPr="009B7326">
        <w:rPr>
          <w:szCs w:val="22"/>
        </w:rPr>
        <w:t xml:space="preserve"> </w:t>
      </w:r>
      <w:r w:rsidR="00611F8B" w:rsidRPr="000A5A33">
        <w:rPr>
          <w:szCs w:val="22"/>
        </w:rPr>
        <w:t>metabolītu izdalās ar urīnu</w:t>
      </w:r>
      <w:r w:rsidR="00611F8B" w:rsidRPr="009B7326">
        <w:rPr>
          <w:szCs w:val="22"/>
        </w:rPr>
        <w:t xml:space="preserve">; </w:t>
      </w:r>
      <w:r w:rsidR="00611F8B" w:rsidRPr="00224417">
        <w:rPr>
          <w:szCs w:val="22"/>
        </w:rPr>
        <w:t>daļa izdalās ar žulti</w:t>
      </w:r>
      <w:r w:rsidR="00906434" w:rsidRPr="000A5A33">
        <w:rPr>
          <w:szCs w:val="22"/>
        </w:rPr>
        <w:t>.</w:t>
      </w:r>
    </w:p>
    <w:p w14:paraId="1A6B5EF5" w14:textId="77777777" w:rsidR="00DD4599" w:rsidRPr="000A5A33" w:rsidRDefault="00DD4599" w:rsidP="00947806">
      <w:pPr>
        <w:pStyle w:val="Default"/>
        <w:jc w:val="both"/>
        <w:rPr>
          <w:color w:val="auto"/>
          <w:sz w:val="22"/>
          <w:szCs w:val="22"/>
          <w:lang w:val="lv-LV"/>
        </w:rPr>
      </w:pPr>
    </w:p>
    <w:p w14:paraId="7B1C1B54" w14:textId="4B8EB650" w:rsidR="008D7450" w:rsidRPr="000A5A33" w:rsidRDefault="00AD503F" w:rsidP="00947806">
      <w:pPr>
        <w:pStyle w:val="Default"/>
        <w:jc w:val="both"/>
        <w:rPr>
          <w:color w:val="auto"/>
          <w:sz w:val="22"/>
          <w:szCs w:val="22"/>
          <w:lang w:val="lv-LV"/>
        </w:rPr>
      </w:pPr>
      <w:r w:rsidRPr="000A5A33">
        <w:rPr>
          <w:szCs w:val="22"/>
          <w:lang w:val="lv-LV"/>
        </w:rPr>
        <w:t>Lielākā daļa sennozīdu (apm</w:t>
      </w:r>
      <w:r w:rsidR="00897557" w:rsidRPr="000A5A33">
        <w:rPr>
          <w:szCs w:val="22"/>
          <w:lang w:val="lv-LV"/>
        </w:rPr>
        <w:t xml:space="preserve">. </w:t>
      </w:r>
      <w:r w:rsidR="00906434" w:rsidRPr="000A5A33">
        <w:rPr>
          <w:szCs w:val="22"/>
          <w:lang w:val="lv-LV"/>
        </w:rPr>
        <w:t xml:space="preserve">90%) </w:t>
      </w:r>
      <w:r w:rsidR="0075486C" w:rsidRPr="000A5A33">
        <w:rPr>
          <w:szCs w:val="22"/>
          <w:lang w:val="lv-LV"/>
        </w:rPr>
        <w:t>izdalās</w:t>
      </w:r>
      <w:r w:rsidRPr="000A5A33">
        <w:rPr>
          <w:szCs w:val="22"/>
          <w:lang w:val="lv-LV"/>
        </w:rPr>
        <w:t xml:space="preserve"> ar fēcēm polimēru </w:t>
      </w:r>
      <w:r w:rsidR="00906434" w:rsidRPr="000A5A33">
        <w:rPr>
          <w:szCs w:val="22"/>
          <w:lang w:val="lv-LV"/>
        </w:rPr>
        <w:t>(pol</w:t>
      </w:r>
      <w:r w:rsidR="00897557" w:rsidRPr="000A5A33">
        <w:rPr>
          <w:szCs w:val="22"/>
          <w:lang w:val="lv-LV"/>
        </w:rPr>
        <w:t>ihinonu</w:t>
      </w:r>
      <w:r w:rsidR="00906434" w:rsidRPr="000A5A33">
        <w:rPr>
          <w:szCs w:val="22"/>
          <w:lang w:val="lv-LV"/>
        </w:rPr>
        <w:t xml:space="preserve">) </w:t>
      </w:r>
      <w:r w:rsidR="00897557" w:rsidRPr="000A5A33">
        <w:rPr>
          <w:szCs w:val="22"/>
          <w:lang w:val="lv-LV"/>
        </w:rPr>
        <w:t xml:space="preserve">veidā </w:t>
      </w:r>
      <w:r w:rsidRPr="000A5A33">
        <w:rPr>
          <w:szCs w:val="22"/>
          <w:lang w:val="lv-LV"/>
        </w:rPr>
        <w:t xml:space="preserve">kopā ar </w:t>
      </w:r>
      <w:r w:rsidR="00906434" w:rsidRPr="000A5A33">
        <w:rPr>
          <w:szCs w:val="22"/>
          <w:lang w:val="lv-LV"/>
        </w:rPr>
        <w:t xml:space="preserve">2-6% </w:t>
      </w:r>
      <w:r w:rsidRPr="000A5A33">
        <w:rPr>
          <w:szCs w:val="22"/>
          <w:lang w:val="lv-LV"/>
        </w:rPr>
        <w:t>n</w:t>
      </w:r>
      <w:r w:rsidR="0043411D" w:rsidRPr="000A5A33">
        <w:rPr>
          <w:szCs w:val="22"/>
          <w:lang w:val="lv-LV"/>
        </w:rPr>
        <w:t>e</w:t>
      </w:r>
      <w:r w:rsidR="00263DE2" w:rsidRPr="000A5A33">
        <w:rPr>
          <w:szCs w:val="22"/>
          <w:lang w:val="lv-LV"/>
        </w:rPr>
        <w:t>iz</w:t>
      </w:r>
      <w:r w:rsidR="0043411D" w:rsidRPr="000A5A33">
        <w:rPr>
          <w:szCs w:val="22"/>
          <w:lang w:val="lv-LV"/>
        </w:rPr>
        <w:t>mainītu</w:t>
      </w:r>
      <w:r w:rsidRPr="000A5A33">
        <w:rPr>
          <w:szCs w:val="22"/>
          <w:lang w:val="lv-LV"/>
        </w:rPr>
        <w:t xml:space="preserve"> senn</w:t>
      </w:r>
      <w:r w:rsidR="0043411D" w:rsidRPr="000A5A33">
        <w:rPr>
          <w:szCs w:val="22"/>
          <w:lang w:val="lv-LV"/>
        </w:rPr>
        <w:t>ozīdu</w:t>
      </w:r>
      <w:r w:rsidRPr="000A5A33">
        <w:rPr>
          <w:szCs w:val="22"/>
          <w:lang w:val="lv-LV"/>
        </w:rPr>
        <w:t>, sennidīn</w:t>
      </w:r>
      <w:r w:rsidR="0043411D" w:rsidRPr="000A5A33">
        <w:rPr>
          <w:szCs w:val="22"/>
          <w:lang w:val="lv-LV"/>
        </w:rPr>
        <w:t>u</w:t>
      </w:r>
      <w:r w:rsidR="00906434" w:rsidRPr="000A5A33">
        <w:rPr>
          <w:szCs w:val="22"/>
          <w:lang w:val="lv-LV"/>
        </w:rPr>
        <w:t xml:space="preserve">, </w:t>
      </w:r>
      <w:r w:rsidRPr="000A5A33">
        <w:rPr>
          <w:szCs w:val="22"/>
          <w:lang w:val="lv-LV"/>
        </w:rPr>
        <w:t>reīna antronu un reīnu.</w:t>
      </w:r>
      <w:r w:rsidR="008D7450" w:rsidRPr="000A5A33">
        <w:rPr>
          <w:color w:val="auto"/>
          <w:sz w:val="22"/>
          <w:szCs w:val="22"/>
          <w:lang w:val="lv-LV"/>
        </w:rPr>
        <w:t>Farmakokinētikas pētījumos ar cilvēkiem, kuri 7 dienas iekšķīgi saņēma sennas pumpuru pulveri (20 mg sennozīdu), maksimālā koncentrācija (100 ng reīna/ml) tika novērota asinīs. Nenovēroja reīna uzkrāšanos. Neliels daudzums aktīvo metabolītu, piemēram, reīni, izdalās ar mātes pienu. Pētījumi ar dzīvniekiem liecina, ka caur placentu izkļūst neliels daudzums reīna.</w:t>
      </w:r>
    </w:p>
    <w:p w14:paraId="1ABB3159" w14:textId="77777777" w:rsidR="00DD4599" w:rsidRPr="000A5A33" w:rsidRDefault="00DD4599" w:rsidP="00947806">
      <w:pPr>
        <w:spacing w:line="240" w:lineRule="auto"/>
        <w:jc w:val="both"/>
        <w:rPr>
          <w:szCs w:val="22"/>
        </w:rPr>
      </w:pPr>
    </w:p>
    <w:p w14:paraId="1A60DCBB" w14:textId="77777777" w:rsidR="00CD10AA" w:rsidRPr="000A5A33" w:rsidRDefault="00CD10AA" w:rsidP="00947806">
      <w:pPr>
        <w:tabs>
          <w:tab w:val="clear" w:pos="567"/>
        </w:tabs>
        <w:spacing w:line="240" w:lineRule="auto"/>
        <w:jc w:val="both"/>
        <w:rPr>
          <w:szCs w:val="22"/>
        </w:rPr>
      </w:pPr>
      <w:r w:rsidRPr="000A5A33">
        <w:rPr>
          <w:b/>
          <w:szCs w:val="22"/>
        </w:rPr>
        <w:t>5.3</w:t>
      </w:r>
      <w:r w:rsidR="008C59E2" w:rsidRPr="000A5A33">
        <w:rPr>
          <w:b/>
          <w:szCs w:val="22"/>
        </w:rPr>
        <w:t>.</w:t>
      </w:r>
      <w:r w:rsidRPr="000A5A33">
        <w:rPr>
          <w:b/>
          <w:szCs w:val="22"/>
        </w:rPr>
        <w:tab/>
        <w:t>Preklīniskie dati par droš</w:t>
      </w:r>
      <w:r w:rsidR="00E53972" w:rsidRPr="000A5A33">
        <w:rPr>
          <w:b/>
          <w:szCs w:val="22"/>
        </w:rPr>
        <w:t>umu</w:t>
      </w:r>
    </w:p>
    <w:p w14:paraId="1100AAA8" w14:textId="77777777" w:rsidR="00E72F9F" w:rsidRPr="000A5A33" w:rsidRDefault="00E72F9F" w:rsidP="00947806">
      <w:pPr>
        <w:pStyle w:val="Default"/>
        <w:jc w:val="both"/>
        <w:rPr>
          <w:color w:val="auto"/>
          <w:sz w:val="22"/>
          <w:szCs w:val="22"/>
          <w:lang w:val="lv-LV"/>
        </w:rPr>
      </w:pPr>
    </w:p>
    <w:p w14:paraId="41819A05" w14:textId="01131867" w:rsidR="00327103" w:rsidRPr="000A5A33" w:rsidRDefault="00906434" w:rsidP="00327103">
      <w:pPr>
        <w:pStyle w:val="Default"/>
        <w:rPr>
          <w:sz w:val="22"/>
          <w:szCs w:val="22"/>
          <w:lang w:val="lv-LV"/>
        </w:rPr>
      </w:pPr>
      <w:r w:rsidRPr="000A5A33">
        <w:rPr>
          <w:sz w:val="22"/>
          <w:szCs w:val="22"/>
          <w:lang w:val="lv-LV"/>
        </w:rPr>
        <w:t>Preklīnisko datu par sennas lapām un to preparātiem nav</w:t>
      </w:r>
      <w:r w:rsidR="00327103" w:rsidRPr="000A5A33">
        <w:rPr>
          <w:sz w:val="22"/>
          <w:szCs w:val="22"/>
          <w:lang w:val="lv-LV"/>
        </w:rPr>
        <w:t>.</w:t>
      </w:r>
      <w:r w:rsidRPr="000A5A33">
        <w:rPr>
          <w:sz w:val="22"/>
          <w:szCs w:val="22"/>
          <w:lang w:val="lv-LV"/>
        </w:rPr>
        <w:t xml:space="preserve"> Var pieņemt, ka datus par sennas pumpuriem var attiecināt uz sennas lapu preparātiem</w:t>
      </w:r>
      <w:r w:rsidR="00327103" w:rsidRPr="000A5A33">
        <w:rPr>
          <w:sz w:val="22"/>
          <w:szCs w:val="22"/>
          <w:lang w:val="lv-LV"/>
        </w:rPr>
        <w:t xml:space="preserve">. </w:t>
      </w:r>
    </w:p>
    <w:p w14:paraId="4E037C40" w14:textId="77777777" w:rsidR="00B8039A" w:rsidRPr="000A5A33" w:rsidRDefault="00B8039A" w:rsidP="00947806">
      <w:pPr>
        <w:pStyle w:val="Default"/>
        <w:jc w:val="both"/>
        <w:rPr>
          <w:color w:val="auto"/>
          <w:sz w:val="22"/>
          <w:szCs w:val="22"/>
          <w:lang w:val="lv-LV"/>
        </w:rPr>
      </w:pPr>
    </w:p>
    <w:p w14:paraId="76C27EA9" w14:textId="081C8C2D" w:rsidR="00B8039A" w:rsidRPr="000A5A33" w:rsidRDefault="00B8039A" w:rsidP="00947806">
      <w:pPr>
        <w:pStyle w:val="Default"/>
        <w:jc w:val="both"/>
        <w:rPr>
          <w:color w:val="auto"/>
          <w:sz w:val="22"/>
          <w:szCs w:val="22"/>
          <w:lang w:val="lv-LV"/>
        </w:rPr>
      </w:pPr>
      <w:r w:rsidRPr="000A5A33">
        <w:rPr>
          <w:color w:val="auto"/>
          <w:sz w:val="22"/>
          <w:szCs w:val="22"/>
          <w:lang w:val="lv-LV"/>
        </w:rPr>
        <w:t>90 dienu ilgā pētījumā ar žurkām, sennas pumpuri tika ievadīti devu robežās no 100 mg/kg līdz pat 1500 mg/kg</w:t>
      </w:r>
      <w:r w:rsidR="00030BC9" w:rsidRPr="000A5A33">
        <w:rPr>
          <w:color w:val="auto"/>
          <w:sz w:val="22"/>
          <w:szCs w:val="22"/>
          <w:lang w:val="lv-LV"/>
        </w:rPr>
        <w:t xml:space="preserve"> (</w:t>
      </w:r>
      <w:r w:rsidR="00675986">
        <w:rPr>
          <w:color w:val="auto"/>
          <w:sz w:val="22"/>
          <w:szCs w:val="22"/>
          <w:lang w:val="lv-LV"/>
        </w:rPr>
        <w:t xml:space="preserve">atbilstoša </w:t>
      </w:r>
      <w:r w:rsidR="00030BC9" w:rsidRPr="000A5A33">
        <w:rPr>
          <w:color w:val="auto"/>
          <w:sz w:val="22"/>
          <w:szCs w:val="22"/>
          <w:lang w:val="lv-LV"/>
        </w:rPr>
        <w:t xml:space="preserve">deva cilvēkam </w:t>
      </w:r>
      <w:r w:rsidR="00030BC9" w:rsidRPr="000A5A33">
        <w:rPr>
          <w:sz w:val="22"/>
          <w:szCs w:val="22"/>
          <w:lang w:val="lv-LV"/>
        </w:rPr>
        <w:t>16-242 mg/kg</w:t>
      </w:r>
      <w:r w:rsidR="00030BC9" w:rsidRPr="000A5A33">
        <w:rPr>
          <w:color w:val="auto"/>
          <w:sz w:val="22"/>
          <w:szCs w:val="22"/>
          <w:lang w:val="lv-LV"/>
        </w:rPr>
        <w:t>)</w:t>
      </w:r>
      <w:r w:rsidRPr="000A5A33">
        <w:rPr>
          <w:color w:val="auto"/>
          <w:sz w:val="22"/>
          <w:szCs w:val="22"/>
          <w:lang w:val="lv-LV"/>
        </w:rPr>
        <w:t>. Visās grupās tika novērota vieglas pakāpes resnās zarnas epitēlija hiperplāzija, kas bija atgriezeniska 8 nedēļu ilga atlabšanas perioda laikā. Kuņģa kardiālās daļas epitēlija hiperplastiskie bojājumi arī bija atgriezeniski. Ievadot devas, kas bija lielākas par 300 mg/kg dienā, tika novērota no devas atkarīga nieru tubulārā bazofīlija un epitēlija hipertrofija, bez funkcionālām izmaiņām. Šīs izmaiņas arī bija atgriezeniskas. Brūnā</w:t>
      </w:r>
      <w:r w:rsidR="00CB7E1F" w:rsidRPr="000A5A33">
        <w:rPr>
          <w:color w:val="auto"/>
          <w:sz w:val="22"/>
          <w:szCs w:val="22"/>
          <w:lang w:val="lv-LV"/>
        </w:rPr>
        <w:t>s</w:t>
      </w:r>
      <w:r w:rsidRPr="000A5A33">
        <w:rPr>
          <w:color w:val="auto"/>
          <w:sz w:val="22"/>
          <w:szCs w:val="22"/>
          <w:lang w:val="lv-LV"/>
        </w:rPr>
        <w:t xml:space="preserve"> tubulārā</w:t>
      </w:r>
      <w:r w:rsidR="00CB7E1F" w:rsidRPr="000A5A33">
        <w:rPr>
          <w:color w:val="auto"/>
          <w:sz w:val="22"/>
          <w:szCs w:val="22"/>
          <w:lang w:val="lv-LV"/>
        </w:rPr>
        <w:t>s</w:t>
      </w:r>
      <w:r w:rsidRPr="000A5A33">
        <w:rPr>
          <w:color w:val="auto"/>
          <w:sz w:val="22"/>
          <w:szCs w:val="22"/>
          <w:lang w:val="lv-LV"/>
        </w:rPr>
        <w:t xml:space="preserve"> pigmentācija</w:t>
      </w:r>
      <w:r w:rsidR="00CB7E1F" w:rsidRPr="000A5A33">
        <w:rPr>
          <w:color w:val="auto"/>
          <w:sz w:val="22"/>
          <w:szCs w:val="22"/>
          <w:lang w:val="lv-LV"/>
        </w:rPr>
        <w:t>s uzkrāšanās</w:t>
      </w:r>
      <w:r w:rsidRPr="000A5A33">
        <w:rPr>
          <w:color w:val="auto"/>
          <w:sz w:val="22"/>
          <w:szCs w:val="22"/>
          <w:lang w:val="lv-LV"/>
        </w:rPr>
        <w:t xml:space="preserve"> izraisīja tumšu nieru virsmas nokrāsu un pēc atlabšanas šī nokrāsa saglabājās, lai arī mazākā mērā. Netika novērotas izmaiņas resnās zarnas nervu pinumā. Šajā pētījumā nebija iespējams noteikt lielāko devu, kuru ilgstoši lietojot nenovēro blakusparādības (</w:t>
      </w:r>
      <w:r w:rsidRPr="000A5A33">
        <w:rPr>
          <w:i/>
          <w:iCs/>
          <w:color w:val="auto"/>
          <w:sz w:val="22"/>
          <w:szCs w:val="22"/>
          <w:lang w:val="lv-LV"/>
        </w:rPr>
        <w:t>No-observable effect-level (NOEL)).</w:t>
      </w:r>
    </w:p>
    <w:p w14:paraId="1928CCAF" w14:textId="77777777" w:rsidR="00030BC9" w:rsidRPr="000A5A33" w:rsidRDefault="00030BC9" w:rsidP="00030BC9">
      <w:pPr>
        <w:pStyle w:val="Default"/>
        <w:jc w:val="both"/>
        <w:rPr>
          <w:sz w:val="22"/>
          <w:szCs w:val="22"/>
          <w:lang w:val="lv-LV"/>
        </w:rPr>
      </w:pPr>
    </w:p>
    <w:p w14:paraId="4D412154" w14:textId="16EA9961" w:rsidR="00030BC9" w:rsidRPr="000A5A33" w:rsidRDefault="00327103" w:rsidP="00030BC9">
      <w:pPr>
        <w:pStyle w:val="Default"/>
        <w:rPr>
          <w:sz w:val="22"/>
          <w:szCs w:val="22"/>
          <w:lang w:val="lv-LV"/>
        </w:rPr>
      </w:pPr>
      <w:r w:rsidRPr="000A5A33">
        <w:rPr>
          <w:sz w:val="22"/>
          <w:szCs w:val="22"/>
          <w:lang w:val="lv-LV"/>
        </w:rPr>
        <w:t>Senn</w:t>
      </w:r>
      <w:r w:rsidR="001A1ADE" w:rsidRPr="000A5A33">
        <w:rPr>
          <w:sz w:val="22"/>
          <w:szCs w:val="22"/>
          <w:lang w:val="lv-LV"/>
        </w:rPr>
        <w:t xml:space="preserve">as pumpuri, to ekstrakti un vairāki </w:t>
      </w:r>
      <w:r w:rsidR="00482A20" w:rsidRPr="009D4052">
        <w:rPr>
          <w:sz w:val="22"/>
          <w:szCs w:val="22"/>
          <w:lang w:val="lv-LV"/>
        </w:rPr>
        <w:t>hidroksi</w:t>
      </w:r>
      <w:r w:rsidR="001A1ADE" w:rsidRPr="000A5A33">
        <w:rPr>
          <w:sz w:val="22"/>
          <w:szCs w:val="22"/>
          <w:lang w:val="lv-LV"/>
        </w:rPr>
        <w:t xml:space="preserve">lantracēnu atvasinājumi </w:t>
      </w:r>
      <w:r w:rsidR="00030BC9" w:rsidRPr="000A5A33">
        <w:rPr>
          <w:sz w:val="22"/>
          <w:szCs w:val="22"/>
          <w:lang w:val="lv-LV"/>
        </w:rPr>
        <w:t>(</w:t>
      </w:r>
      <w:r w:rsidR="001A1ADE" w:rsidRPr="000A5A33">
        <w:rPr>
          <w:sz w:val="22"/>
          <w:szCs w:val="22"/>
          <w:lang w:val="lv-LV"/>
        </w:rPr>
        <w:t>izņemot sennozīdus, reīnu un sennidīnus</w:t>
      </w:r>
      <w:r w:rsidR="00030BC9" w:rsidRPr="000A5A33">
        <w:rPr>
          <w:sz w:val="22"/>
          <w:szCs w:val="22"/>
          <w:lang w:val="lv-LV"/>
        </w:rPr>
        <w:t xml:space="preserve">) </w:t>
      </w:r>
      <w:r w:rsidRPr="000A5A33">
        <w:rPr>
          <w:sz w:val="22"/>
          <w:szCs w:val="22"/>
          <w:lang w:val="lv-LV"/>
        </w:rPr>
        <w:t xml:space="preserve">bija </w:t>
      </w:r>
      <w:r w:rsidR="00482A20" w:rsidRPr="009D4052">
        <w:rPr>
          <w:sz w:val="22"/>
          <w:szCs w:val="22"/>
          <w:lang w:val="lv-LV"/>
        </w:rPr>
        <w:t>mutagēni un genotiksiski vairākā</w:t>
      </w:r>
      <w:r w:rsidRPr="000A5A33">
        <w:rPr>
          <w:sz w:val="22"/>
          <w:szCs w:val="22"/>
          <w:lang w:val="lv-LV"/>
        </w:rPr>
        <w:t xml:space="preserve">s </w:t>
      </w:r>
      <w:r w:rsidRPr="000A5A33">
        <w:rPr>
          <w:i/>
          <w:sz w:val="22"/>
          <w:szCs w:val="22"/>
          <w:lang w:val="lv-LV"/>
        </w:rPr>
        <w:t>in vitro</w:t>
      </w:r>
      <w:r w:rsidRPr="000A5A33">
        <w:rPr>
          <w:sz w:val="22"/>
          <w:szCs w:val="22"/>
          <w:lang w:val="lv-LV"/>
        </w:rPr>
        <w:t xml:space="preserve"> testu sistēmās. Tomēr </w:t>
      </w:r>
      <w:r w:rsidRPr="009D4052">
        <w:rPr>
          <w:sz w:val="22"/>
          <w:szCs w:val="22"/>
          <w:lang w:val="lv-LV"/>
        </w:rPr>
        <w:t xml:space="preserve">sennai un alvejas </w:t>
      </w:r>
      <w:r w:rsidRPr="000A5A33">
        <w:rPr>
          <w:sz w:val="22"/>
          <w:szCs w:val="22"/>
          <w:lang w:val="lv-LV"/>
        </w:rPr>
        <w:t xml:space="preserve">emodīnam tas netika pierādīts </w:t>
      </w:r>
      <w:r w:rsidRPr="000A5A33">
        <w:rPr>
          <w:i/>
          <w:sz w:val="22"/>
          <w:szCs w:val="22"/>
          <w:lang w:val="lv-LV"/>
        </w:rPr>
        <w:t>in vivo</w:t>
      </w:r>
      <w:r w:rsidRPr="000A5A33">
        <w:rPr>
          <w:sz w:val="22"/>
          <w:szCs w:val="22"/>
          <w:lang w:val="lv-LV"/>
        </w:rPr>
        <w:t xml:space="preserve"> sistēmās</w:t>
      </w:r>
      <w:r w:rsidR="00030BC9" w:rsidRPr="000A5A33">
        <w:rPr>
          <w:sz w:val="22"/>
          <w:szCs w:val="22"/>
          <w:lang w:val="lv-LV"/>
        </w:rPr>
        <w:t xml:space="preserve">. </w:t>
      </w:r>
    </w:p>
    <w:p w14:paraId="56A85F7E" w14:textId="77777777" w:rsidR="00030BC9" w:rsidRPr="000A5A33" w:rsidRDefault="00030BC9" w:rsidP="00030BC9">
      <w:pPr>
        <w:pStyle w:val="Default"/>
        <w:rPr>
          <w:sz w:val="22"/>
          <w:szCs w:val="22"/>
          <w:lang w:val="lv-LV"/>
        </w:rPr>
      </w:pPr>
    </w:p>
    <w:p w14:paraId="146445A9" w14:textId="2C931C22" w:rsidR="00030BC9" w:rsidRPr="000A5A33" w:rsidRDefault="00030BC9" w:rsidP="00030BC9">
      <w:pPr>
        <w:pStyle w:val="Default"/>
        <w:rPr>
          <w:sz w:val="22"/>
          <w:szCs w:val="22"/>
          <w:lang w:val="lv-LV"/>
        </w:rPr>
      </w:pPr>
      <w:r w:rsidRPr="000A5A33">
        <w:rPr>
          <w:sz w:val="22"/>
          <w:szCs w:val="22"/>
          <w:lang w:val="lv-LV"/>
        </w:rPr>
        <w:t>Kancero</w:t>
      </w:r>
      <w:r w:rsidR="00675986">
        <w:rPr>
          <w:sz w:val="22"/>
          <w:szCs w:val="22"/>
          <w:lang w:val="lv-LV"/>
        </w:rPr>
        <w:t>genitātes</w:t>
      </w:r>
      <w:r w:rsidRPr="000A5A33">
        <w:rPr>
          <w:sz w:val="22"/>
          <w:szCs w:val="22"/>
          <w:lang w:val="lv-LV"/>
        </w:rPr>
        <w:t xml:space="preserve"> ilgtermiņa pētījumā par sennas pumpuriem ziņots par ietekmi uz nierēm un resno/aklo</w:t>
      </w:r>
      <w:r w:rsidR="00DF1BC0" w:rsidRPr="009D4052">
        <w:rPr>
          <w:sz w:val="22"/>
          <w:szCs w:val="22"/>
          <w:lang w:val="lv-LV"/>
        </w:rPr>
        <w:t xml:space="preserve"> zarnu</w:t>
      </w:r>
      <w:r w:rsidRPr="000A5A33">
        <w:rPr>
          <w:sz w:val="22"/>
          <w:szCs w:val="22"/>
          <w:lang w:val="lv-LV"/>
        </w:rPr>
        <w:t xml:space="preserve">. </w:t>
      </w:r>
    </w:p>
    <w:p w14:paraId="1B5326CF" w14:textId="77777777" w:rsidR="00CD10AA" w:rsidRPr="000A5A33" w:rsidRDefault="00CD10AA" w:rsidP="00947806">
      <w:pPr>
        <w:tabs>
          <w:tab w:val="clear" w:pos="567"/>
        </w:tabs>
        <w:spacing w:line="240" w:lineRule="auto"/>
        <w:jc w:val="both"/>
        <w:rPr>
          <w:szCs w:val="22"/>
        </w:rPr>
      </w:pPr>
    </w:p>
    <w:p w14:paraId="60048673" w14:textId="77777777" w:rsidR="00E72F9F" w:rsidRPr="000A5A33" w:rsidRDefault="00E72F9F" w:rsidP="00947806">
      <w:pPr>
        <w:tabs>
          <w:tab w:val="clear" w:pos="567"/>
        </w:tabs>
        <w:spacing w:line="240" w:lineRule="auto"/>
        <w:jc w:val="both"/>
        <w:rPr>
          <w:szCs w:val="22"/>
        </w:rPr>
      </w:pPr>
    </w:p>
    <w:p w14:paraId="28A6CCE9" w14:textId="77777777" w:rsidR="00CD10AA" w:rsidRPr="000A5A33" w:rsidRDefault="00CD10AA" w:rsidP="00947806">
      <w:pPr>
        <w:tabs>
          <w:tab w:val="clear" w:pos="567"/>
        </w:tabs>
        <w:spacing w:line="240" w:lineRule="auto"/>
        <w:jc w:val="both"/>
        <w:rPr>
          <w:b/>
          <w:szCs w:val="22"/>
        </w:rPr>
      </w:pPr>
      <w:r w:rsidRPr="000A5A33">
        <w:rPr>
          <w:b/>
          <w:szCs w:val="22"/>
        </w:rPr>
        <w:t>6.</w:t>
      </w:r>
      <w:r w:rsidRPr="000A5A33">
        <w:rPr>
          <w:b/>
          <w:szCs w:val="22"/>
        </w:rPr>
        <w:tab/>
        <w:t>FARMACEITISKĀ INFORMĀCIJA</w:t>
      </w:r>
    </w:p>
    <w:p w14:paraId="16A152C8" w14:textId="77777777" w:rsidR="00675986" w:rsidRDefault="00675986" w:rsidP="00947806">
      <w:pPr>
        <w:tabs>
          <w:tab w:val="clear" w:pos="567"/>
        </w:tabs>
        <w:spacing w:line="240" w:lineRule="auto"/>
        <w:jc w:val="both"/>
        <w:rPr>
          <w:b/>
          <w:szCs w:val="22"/>
        </w:rPr>
      </w:pPr>
    </w:p>
    <w:p w14:paraId="220FC609" w14:textId="22AB09BD" w:rsidR="00CD10AA" w:rsidRPr="000A5A33" w:rsidRDefault="00CD10AA" w:rsidP="00947806">
      <w:pPr>
        <w:tabs>
          <w:tab w:val="clear" w:pos="567"/>
        </w:tabs>
        <w:spacing w:line="240" w:lineRule="auto"/>
        <w:jc w:val="both"/>
        <w:rPr>
          <w:szCs w:val="22"/>
        </w:rPr>
      </w:pPr>
      <w:r w:rsidRPr="000A5A33">
        <w:rPr>
          <w:b/>
          <w:szCs w:val="22"/>
        </w:rPr>
        <w:t>6.1</w:t>
      </w:r>
      <w:r w:rsidR="00980C1E" w:rsidRPr="000A5A33">
        <w:rPr>
          <w:b/>
          <w:szCs w:val="22"/>
        </w:rPr>
        <w:t>.</w:t>
      </w:r>
      <w:r w:rsidRPr="000A5A33">
        <w:rPr>
          <w:b/>
          <w:szCs w:val="22"/>
        </w:rPr>
        <w:tab/>
        <w:t>Palīgvielu saraksts</w:t>
      </w:r>
    </w:p>
    <w:p w14:paraId="522D145F" w14:textId="77777777" w:rsidR="00E72F9F" w:rsidRPr="000A5A33" w:rsidRDefault="00E72F9F" w:rsidP="00947806">
      <w:pPr>
        <w:tabs>
          <w:tab w:val="clear" w:pos="567"/>
        </w:tabs>
        <w:spacing w:line="240" w:lineRule="auto"/>
        <w:jc w:val="both"/>
        <w:rPr>
          <w:noProof/>
          <w:szCs w:val="22"/>
        </w:rPr>
      </w:pPr>
    </w:p>
    <w:p w14:paraId="267356D5" w14:textId="77777777" w:rsidR="00F27009" w:rsidRPr="000A5A33" w:rsidRDefault="00FD187E" w:rsidP="00947806">
      <w:pPr>
        <w:tabs>
          <w:tab w:val="clear" w:pos="567"/>
        </w:tabs>
        <w:spacing w:line="240" w:lineRule="auto"/>
        <w:jc w:val="both"/>
        <w:rPr>
          <w:szCs w:val="22"/>
        </w:rPr>
      </w:pPr>
      <w:r w:rsidRPr="000A5A33">
        <w:rPr>
          <w:noProof/>
          <w:szCs w:val="22"/>
        </w:rPr>
        <w:t>Nav</w:t>
      </w:r>
      <w:r w:rsidRPr="000A5A33">
        <w:rPr>
          <w:szCs w:val="22"/>
        </w:rPr>
        <w:t>.</w:t>
      </w:r>
    </w:p>
    <w:p w14:paraId="31D6E672" w14:textId="77777777" w:rsidR="00CD10AA" w:rsidRPr="000A5A33" w:rsidRDefault="00CD10AA" w:rsidP="00947806">
      <w:pPr>
        <w:tabs>
          <w:tab w:val="clear" w:pos="567"/>
        </w:tabs>
        <w:spacing w:line="240" w:lineRule="auto"/>
        <w:jc w:val="both"/>
        <w:rPr>
          <w:szCs w:val="22"/>
        </w:rPr>
      </w:pPr>
    </w:p>
    <w:p w14:paraId="1C537EAE" w14:textId="77777777" w:rsidR="00CD10AA" w:rsidRPr="000A5A33" w:rsidRDefault="00CD10AA" w:rsidP="00947806">
      <w:pPr>
        <w:tabs>
          <w:tab w:val="clear" w:pos="567"/>
        </w:tabs>
        <w:spacing w:line="240" w:lineRule="auto"/>
        <w:jc w:val="both"/>
        <w:rPr>
          <w:szCs w:val="22"/>
        </w:rPr>
      </w:pPr>
      <w:r w:rsidRPr="000A5A33">
        <w:rPr>
          <w:b/>
          <w:szCs w:val="22"/>
        </w:rPr>
        <w:t>6.2</w:t>
      </w:r>
      <w:r w:rsidR="00980C1E" w:rsidRPr="000A5A33">
        <w:rPr>
          <w:b/>
          <w:szCs w:val="22"/>
        </w:rPr>
        <w:t>.</w:t>
      </w:r>
      <w:r w:rsidRPr="000A5A33">
        <w:rPr>
          <w:b/>
          <w:szCs w:val="22"/>
        </w:rPr>
        <w:tab/>
        <w:t>Nesaderība</w:t>
      </w:r>
    </w:p>
    <w:p w14:paraId="4A2F95D4" w14:textId="77777777" w:rsidR="00E72F9F" w:rsidRPr="000A5A33" w:rsidRDefault="00E72F9F" w:rsidP="00947806">
      <w:pPr>
        <w:tabs>
          <w:tab w:val="clear" w:pos="567"/>
        </w:tabs>
        <w:spacing w:line="240" w:lineRule="auto"/>
        <w:jc w:val="both"/>
        <w:rPr>
          <w:szCs w:val="22"/>
        </w:rPr>
      </w:pPr>
    </w:p>
    <w:p w14:paraId="1E93BDD5" w14:textId="77777777" w:rsidR="00CD10AA" w:rsidRPr="000A5A33" w:rsidRDefault="00FD187E" w:rsidP="00947806">
      <w:pPr>
        <w:tabs>
          <w:tab w:val="clear" w:pos="567"/>
        </w:tabs>
        <w:spacing w:line="240" w:lineRule="auto"/>
        <w:jc w:val="both"/>
        <w:rPr>
          <w:szCs w:val="22"/>
        </w:rPr>
      </w:pPr>
      <w:r w:rsidRPr="000A5A33">
        <w:rPr>
          <w:szCs w:val="22"/>
        </w:rPr>
        <w:t>Nav piemērojama.</w:t>
      </w:r>
    </w:p>
    <w:p w14:paraId="24E669B9" w14:textId="77777777" w:rsidR="00CD10AA" w:rsidRPr="000A5A33" w:rsidRDefault="00CD10AA" w:rsidP="00947806">
      <w:pPr>
        <w:tabs>
          <w:tab w:val="clear" w:pos="567"/>
        </w:tabs>
        <w:spacing w:line="240" w:lineRule="auto"/>
        <w:jc w:val="both"/>
        <w:rPr>
          <w:szCs w:val="22"/>
        </w:rPr>
      </w:pPr>
    </w:p>
    <w:p w14:paraId="3672B3C7" w14:textId="77777777" w:rsidR="00CD10AA" w:rsidRPr="000A5A33" w:rsidRDefault="00CD10AA" w:rsidP="00947806">
      <w:pPr>
        <w:tabs>
          <w:tab w:val="clear" w:pos="567"/>
        </w:tabs>
        <w:spacing w:line="240" w:lineRule="auto"/>
        <w:jc w:val="both"/>
        <w:rPr>
          <w:szCs w:val="22"/>
        </w:rPr>
      </w:pPr>
      <w:r w:rsidRPr="000A5A33">
        <w:rPr>
          <w:b/>
          <w:szCs w:val="22"/>
        </w:rPr>
        <w:t>6.3</w:t>
      </w:r>
      <w:r w:rsidR="00980C1E" w:rsidRPr="000A5A33">
        <w:rPr>
          <w:b/>
          <w:szCs w:val="22"/>
        </w:rPr>
        <w:t>.</w:t>
      </w:r>
      <w:r w:rsidRPr="000A5A33">
        <w:rPr>
          <w:b/>
          <w:szCs w:val="22"/>
        </w:rPr>
        <w:tab/>
        <w:t>Uzglabāšanas laiks</w:t>
      </w:r>
    </w:p>
    <w:p w14:paraId="69679D67" w14:textId="77777777" w:rsidR="00E72F9F" w:rsidRPr="000A5A33" w:rsidRDefault="00E72F9F" w:rsidP="00947806">
      <w:pPr>
        <w:tabs>
          <w:tab w:val="clear" w:pos="567"/>
        </w:tabs>
        <w:spacing w:line="240" w:lineRule="auto"/>
        <w:jc w:val="both"/>
        <w:rPr>
          <w:szCs w:val="22"/>
        </w:rPr>
      </w:pPr>
    </w:p>
    <w:p w14:paraId="470E5687" w14:textId="77777777" w:rsidR="00CD10AA" w:rsidRPr="000A5A33" w:rsidRDefault="00B8039A" w:rsidP="00947806">
      <w:pPr>
        <w:tabs>
          <w:tab w:val="clear" w:pos="567"/>
        </w:tabs>
        <w:spacing w:line="240" w:lineRule="auto"/>
        <w:jc w:val="both"/>
        <w:rPr>
          <w:szCs w:val="22"/>
        </w:rPr>
      </w:pPr>
      <w:r w:rsidRPr="000A5A33">
        <w:rPr>
          <w:szCs w:val="22"/>
        </w:rPr>
        <w:t>18 mēneši</w:t>
      </w:r>
      <w:r w:rsidR="00746F67" w:rsidRPr="000A5A33">
        <w:rPr>
          <w:szCs w:val="22"/>
        </w:rPr>
        <w:t>.</w:t>
      </w:r>
    </w:p>
    <w:p w14:paraId="0C1A5848" w14:textId="77777777" w:rsidR="00CD10AA" w:rsidRPr="000A5A33" w:rsidRDefault="00CD10AA" w:rsidP="00947806">
      <w:pPr>
        <w:tabs>
          <w:tab w:val="clear" w:pos="567"/>
        </w:tabs>
        <w:spacing w:line="240" w:lineRule="auto"/>
        <w:jc w:val="both"/>
        <w:rPr>
          <w:szCs w:val="22"/>
        </w:rPr>
      </w:pPr>
    </w:p>
    <w:p w14:paraId="69B97076" w14:textId="77777777" w:rsidR="00CD10AA" w:rsidRPr="000A5A33" w:rsidRDefault="00CD10AA" w:rsidP="00947806">
      <w:pPr>
        <w:tabs>
          <w:tab w:val="clear" w:pos="567"/>
        </w:tabs>
        <w:spacing w:line="240" w:lineRule="auto"/>
        <w:jc w:val="both"/>
        <w:rPr>
          <w:szCs w:val="22"/>
        </w:rPr>
      </w:pPr>
      <w:r w:rsidRPr="000A5A33">
        <w:rPr>
          <w:b/>
          <w:szCs w:val="22"/>
        </w:rPr>
        <w:t>6.4</w:t>
      </w:r>
      <w:r w:rsidR="00980C1E" w:rsidRPr="000A5A33">
        <w:rPr>
          <w:b/>
          <w:szCs w:val="22"/>
        </w:rPr>
        <w:t>.</w:t>
      </w:r>
      <w:r w:rsidRPr="000A5A33">
        <w:rPr>
          <w:b/>
          <w:szCs w:val="22"/>
        </w:rPr>
        <w:tab/>
        <w:t>Īpaši uzglabāšanas nosacījumi</w:t>
      </w:r>
    </w:p>
    <w:p w14:paraId="0A1C4273" w14:textId="77777777" w:rsidR="00E72F9F" w:rsidRPr="000A5A33" w:rsidRDefault="00E72F9F" w:rsidP="00947806">
      <w:pPr>
        <w:spacing w:line="240" w:lineRule="auto"/>
        <w:jc w:val="both"/>
        <w:rPr>
          <w:szCs w:val="22"/>
        </w:rPr>
      </w:pPr>
    </w:p>
    <w:p w14:paraId="792DF89C" w14:textId="77777777" w:rsidR="00FD187E" w:rsidRPr="000A5A33" w:rsidRDefault="00FD187E" w:rsidP="00947806">
      <w:pPr>
        <w:spacing w:line="240" w:lineRule="auto"/>
        <w:jc w:val="both"/>
        <w:rPr>
          <w:szCs w:val="22"/>
        </w:rPr>
      </w:pPr>
      <w:r w:rsidRPr="000A5A33">
        <w:rPr>
          <w:szCs w:val="22"/>
        </w:rPr>
        <w:t>Uzglabāt temperatūrā līdz 30°C.</w:t>
      </w:r>
    </w:p>
    <w:p w14:paraId="73A779C5" w14:textId="77777777" w:rsidR="00FD187E" w:rsidRPr="000A5A33" w:rsidRDefault="00FD187E" w:rsidP="00947806">
      <w:pPr>
        <w:spacing w:line="240" w:lineRule="auto"/>
        <w:jc w:val="both"/>
        <w:rPr>
          <w:szCs w:val="22"/>
        </w:rPr>
      </w:pPr>
      <w:r w:rsidRPr="000A5A33">
        <w:rPr>
          <w:szCs w:val="22"/>
        </w:rPr>
        <w:t>Uzglabāt cieši noslēgtā iepakojumā</w:t>
      </w:r>
      <w:r w:rsidR="00BC61EE" w:rsidRPr="000A5A33">
        <w:rPr>
          <w:szCs w:val="22"/>
        </w:rPr>
        <w:t xml:space="preserve">, lai pasargātu </w:t>
      </w:r>
      <w:r w:rsidRPr="000A5A33">
        <w:rPr>
          <w:szCs w:val="22"/>
        </w:rPr>
        <w:t>no gaismas un mitruma.</w:t>
      </w:r>
    </w:p>
    <w:p w14:paraId="7AF77991" w14:textId="77777777" w:rsidR="00CD10AA" w:rsidRPr="000A5A33" w:rsidRDefault="00CD10AA" w:rsidP="00947806">
      <w:pPr>
        <w:spacing w:line="240" w:lineRule="auto"/>
        <w:jc w:val="both"/>
        <w:rPr>
          <w:i/>
          <w:szCs w:val="22"/>
        </w:rPr>
      </w:pPr>
    </w:p>
    <w:p w14:paraId="02FFAB63" w14:textId="77777777" w:rsidR="00CD10AA" w:rsidRPr="000A5A33" w:rsidRDefault="00CD10AA" w:rsidP="00947806">
      <w:pPr>
        <w:tabs>
          <w:tab w:val="clear" w:pos="567"/>
        </w:tabs>
        <w:spacing w:line="240" w:lineRule="auto"/>
        <w:jc w:val="both"/>
        <w:rPr>
          <w:szCs w:val="22"/>
        </w:rPr>
      </w:pPr>
      <w:r w:rsidRPr="000A5A33">
        <w:rPr>
          <w:b/>
          <w:szCs w:val="22"/>
        </w:rPr>
        <w:t>6.5</w:t>
      </w:r>
      <w:r w:rsidR="00980C1E" w:rsidRPr="000A5A33">
        <w:rPr>
          <w:b/>
          <w:szCs w:val="22"/>
        </w:rPr>
        <w:t>.</w:t>
      </w:r>
      <w:r w:rsidRPr="000A5A33">
        <w:rPr>
          <w:b/>
          <w:szCs w:val="22"/>
        </w:rPr>
        <w:tab/>
        <w:t>Iepakojuma veids un saturs</w:t>
      </w:r>
    </w:p>
    <w:p w14:paraId="255EA43F" w14:textId="77777777" w:rsidR="00E72F9F" w:rsidRPr="000A5A33" w:rsidRDefault="00E72F9F" w:rsidP="00947806">
      <w:pPr>
        <w:pStyle w:val="Default"/>
        <w:jc w:val="both"/>
        <w:rPr>
          <w:color w:val="auto"/>
          <w:sz w:val="22"/>
          <w:szCs w:val="22"/>
          <w:lang w:val="lv-LV"/>
        </w:rPr>
      </w:pPr>
    </w:p>
    <w:p w14:paraId="3ACFCFF8" w14:textId="77777777" w:rsidR="00930FA0" w:rsidRPr="000A5A33" w:rsidRDefault="00930FA0" w:rsidP="00947806">
      <w:pPr>
        <w:pStyle w:val="Default"/>
        <w:jc w:val="both"/>
        <w:rPr>
          <w:color w:val="auto"/>
          <w:sz w:val="22"/>
          <w:szCs w:val="22"/>
          <w:lang w:val="lv-LV"/>
        </w:rPr>
      </w:pPr>
      <w:r w:rsidRPr="000A5A33">
        <w:rPr>
          <w:color w:val="auto"/>
          <w:sz w:val="22"/>
          <w:szCs w:val="22"/>
          <w:lang w:val="lv-LV"/>
        </w:rPr>
        <w:t xml:space="preserve">Kartona kastīte ar </w:t>
      </w:r>
      <w:r w:rsidR="00F05531" w:rsidRPr="000A5A33">
        <w:rPr>
          <w:color w:val="auto"/>
          <w:sz w:val="22"/>
          <w:szCs w:val="22"/>
          <w:lang w:val="lv-LV"/>
        </w:rPr>
        <w:t xml:space="preserve">tējas </w:t>
      </w:r>
      <w:r w:rsidRPr="000A5A33">
        <w:rPr>
          <w:color w:val="auto"/>
          <w:sz w:val="22"/>
          <w:szCs w:val="22"/>
          <w:lang w:val="lv-LV"/>
        </w:rPr>
        <w:t>maisiņiem, kas izgatavoti no termiski savienota, perforēta papīra.</w:t>
      </w:r>
    </w:p>
    <w:p w14:paraId="516A27B9" w14:textId="77777777" w:rsidR="00930FA0" w:rsidRPr="000A5A33" w:rsidRDefault="00930FA0" w:rsidP="00947806">
      <w:pPr>
        <w:pStyle w:val="Default"/>
        <w:jc w:val="both"/>
        <w:rPr>
          <w:color w:val="auto"/>
          <w:sz w:val="22"/>
          <w:szCs w:val="22"/>
          <w:lang w:val="lv-LV"/>
        </w:rPr>
      </w:pPr>
      <w:r w:rsidRPr="000A5A33">
        <w:rPr>
          <w:color w:val="auto"/>
          <w:sz w:val="22"/>
          <w:szCs w:val="22"/>
          <w:lang w:val="lv-LV"/>
        </w:rPr>
        <w:t>Iepakojuma saturs: 20 vai 30 maisiņi pa 1,2 g.</w:t>
      </w:r>
    </w:p>
    <w:p w14:paraId="7082BABF" w14:textId="77777777" w:rsidR="00CD10AA" w:rsidRPr="000A5A33" w:rsidRDefault="00CD10AA" w:rsidP="00947806">
      <w:pPr>
        <w:tabs>
          <w:tab w:val="clear" w:pos="567"/>
        </w:tabs>
        <w:spacing w:line="240" w:lineRule="auto"/>
        <w:jc w:val="both"/>
        <w:rPr>
          <w:szCs w:val="22"/>
        </w:rPr>
      </w:pPr>
    </w:p>
    <w:p w14:paraId="624329B8" w14:textId="77777777" w:rsidR="00CD10AA" w:rsidRPr="000A5A33" w:rsidRDefault="00CD10AA" w:rsidP="00947806">
      <w:pPr>
        <w:tabs>
          <w:tab w:val="clear" w:pos="567"/>
        </w:tabs>
        <w:spacing w:line="240" w:lineRule="auto"/>
        <w:jc w:val="both"/>
        <w:rPr>
          <w:szCs w:val="22"/>
        </w:rPr>
      </w:pPr>
      <w:r w:rsidRPr="000A5A33">
        <w:rPr>
          <w:szCs w:val="22"/>
        </w:rPr>
        <w:t>Visi iepakojuma li</w:t>
      </w:r>
      <w:r w:rsidR="00FD187E" w:rsidRPr="000A5A33">
        <w:rPr>
          <w:szCs w:val="22"/>
        </w:rPr>
        <w:t>elumi tirgū var nebūt pieejami.</w:t>
      </w:r>
    </w:p>
    <w:p w14:paraId="45A46D42" w14:textId="77777777" w:rsidR="00CD10AA" w:rsidRPr="000A5A33" w:rsidRDefault="00CD10AA" w:rsidP="00947806">
      <w:pPr>
        <w:tabs>
          <w:tab w:val="clear" w:pos="567"/>
        </w:tabs>
        <w:spacing w:line="240" w:lineRule="auto"/>
        <w:jc w:val="both"/>
        <w:rPr>
          <w:szCs w:val="22"/>
        </w:rPr>
      </w:pPr>
    </w:p>
    <w:p w14:paraId="500048A7" w14:textId="77777777" w:rsidR="00CD10AA" w:rsidRPr="000A5A33" w:rsidRDefault="00CD10AA" w:rsidP="00947806">
      <w:pPr>
        <w:tabs>
          <w:tab w:val="clear" w:pos="567"/>
        </w:tabs>
        <w:spacing w:line="240" w:lineRule="auto"/>
        <w:jc w:val="both"/>
        <w:rPr>
          <w:b/>
          <w:szCs w:val="22"/>
        </w:rPr>
      </w:pPr>
      <w:r w:rsidRPr="000A5A33">
        <w:rPr>
          <w:b/>
          <w:szCs w:val="22"/>
        </w:rPr>
        <w:t>6.6</w:t>
      </w:r>
      <w:r w:rsidR="00980C1E" w:rsidRPr="000A5A33">
        <w:rPr>
          <w:b/>
          <w:szCs w:val="22"/>
        </w:rPr>
        <w:t>.</w:t>
      </w:r>
      <w:r w:rsidRPr="000A5A33">
        <w:rPr>
          <w:b/>
          <w:szCs w:val="22"/>
        </w:rPr>
        <w:tab/>
      </w:r>
      <w:r w:rsidRPr="000A5A33">
        <w:rPr>
          <w:b/>
          <w:noProof/>
          <w:szCs w:val="22"/>
        </w:rPr>
        <w:t>Īpaši norādījumi atkritumu likvidēšanai</w:t>
      </w:r>
    </w:p>
    <w:p w14:paraId="35F01A0B" w14:textId="77777777" w:rsidR="00E72F9F" w:rsidRPr="000A5A33" w:rsidRDefault="00E72F9F" w:rsidP="00947806">
      <w:pPr>
        <w:tabs>
          <w:tab w:val="clear" w:pos="567"/>
        </w:tabs>
        <w:spacing w:line="240" w:lineRule="auto"/>
        <w:jc w:val="both"/>
        <w:rPr>
          <w:szCs w:val="22"/>
        </w:rPr>
      </w:pPr>
    </w:p>
    <w:p w14:paraId="5723D6A3" w14:textId="77777777" w:rsidR="00FD187E" w:rsidRPr="000A5A33" w:rsidRDefault="00FD187E" w:rsidP="00947806">
      <w:pPr>
        <w:tabs>
          <w:tab w:val="clear" w:pos="567"/>
        </w:tabs>
        <w:spacing w:line="240" w:lineRule="auto"/>
        <w:jc w:val="both"/>
        <w:rPr>
          <w:szCs w:val="22"/>
        </w:rPr>
      </w:pPr>
      <w:r w:rsidRPr="000A5A33">
        <w:rPr>
          <w:szCs w:val="22"/>
        </w:rPr>
        <w:t>Nav īpašu prasību.</w:t>
      </w:r>
    </w:p>
    <w:p w14:paraId="14EDFF5D" w14:textId="77777777" w:rsidR="00CD10AA" w:rsidRPr="000A5A33" w:rsidRDefault="00CD10AA" w:rsidP="00947806">
      <w:pPr>
        <w:tabs>
          <w:tab w:val="clear" w:pos="567"/>
        </w:tabs>
        <w:spacing w:line="240" w:lineRule="auto"/>
        <w:jc w:val="both"/>
        <w:rPr>
          <w:szCs w:val="22"/>
        </w:rPr>
      </w:pPr>
    </w:p>
    <w:p w14:paraId="096A4597" w14:textId="77777777" w:rsidR="00E72F9F" w:rsidRPr="000A5A33" w:rsidRDefault="00E72F9F" w:rsidP="00947806">
      <w:pPr>
        <w:tabs>
          <w:tab w:val="clear" w:pos="567"/>
        </w:tabs>
        <w:spacing w:line="240" w:lineRule="auto"/>
        <w:jc w:val="both"/>
        <w:rPr>
          <w:szCs w:val="22"/>
        </w:rPr>
      </w:pPr>
    </w:p>
    <w:p w14:paraId="4CFC6B2D" w14:textId="77777777" w:rsidR="00CD10AA" w:rsidRPr="000A5A33" w:rsidRDefault="00CD10AA" w:rsidP="00947806">
      <w:pPr>
        <w:tabs>
          <w:tab w:val="clear" w:pos="567"/>
        </w:tabs>
        <w:spacing w:line="240" w:lineRule="auto"/>
        <w:jc w:val="both"/>
        <w:rPr>
          <w:szCs w:val="22"/>
        </w:rPr>
      </w:pPr>
      <w:r w:rsidRPr="000A5A33">
        <w:rPr>
          <w:b/>
          <w:szCs w:val="22"/>
        </w:rPr>
        <w:t>7.</w:t>
      </w:r>
      <w:r w:rsidRPr="000A5A33">
        <w:rPr>
          <w:b/>
          <w:szCs w:val="22"/>
        </w:rPr>
        <w:tab/>
        <w:t>REĢISTRĀCIJAS APLIECĪBAS ĪPAŠNIEKS</w:t>
      </w:r>
    </w:p>
    <w:p w14:paraId="0AA87578" w14:textId="77777777" w:rsidR="00E72F9F" w:rsidRPr="000A5A33" w:rsidRDefault="00E72F9F" w:rsidP="00947806">
      <w:pPr>
        <w:spacing w:line="240" w:lineRule="auto"/>
        <w:jc w:val="both"/>
        <w:rPr>
          <w:szCs w:val="22"/>
        </w:rPr>
      </w:pPr>
    </w:p>
    <w:p w14:paraId="77104406" w14:textId="73FBF9C2" w:rsidR="00BD3C01" w:rsidRPr="000A5A33" w:rsidRDefault="00BD3C01" w:rsidP="00BD3C01">
      <w:pPr>
        <w:pStyle w:val="Default"/>
        <w:jc w:val="both"/>
        <w:rPr>
          <w:color w:val="auto"/>
          <w:sz w:val="22"/>
          <w:szCs w:val="22"/>
          <w:lang w:val="lv-LV"/>
        </w:rPr>
      </w:pPr>
      <w:r w:rsidRPr="000A5A33">
        <w:rPr>
          <w:color w:val="auto"/>
          <w:sz w:val="22"/>
          <w:szCs w:val="22"/>
          <w:lang w:val="lv-LV"/>
        </w:rPr>
        <w:t>Zakłady Farmaceutyczne POLPHARMA S</w:t>
      </w:r>
      <w:r w:rsidR="00C86117" w:rsidRPr="000A5A33">
        <w:rPr>
          <w:color w:val="auto"/>
          <w:sz w:val="22"/>
          <w:szCs w:val="22"/>
          <w:lang w:val="lv-LV"/>
        </w:rPr>
        <w:t>.</w:t>
      </w:r>
      <w:r w:rsidRPr="000A5A33">
        <w:rPr>
          <w:color w:val="auto"/>
          <w:sz w:val="22"/>
          <w:szCs w:val="22"/>
          <w:lang w:val="lv-LV"/>
        </w:rPr>
        <w:t>A</w:t>
      </w:r>
      <w:r w:rsidR="00C86117" w:rsidRPr="000A5A33">
        <w:rPr>
          <w:color w:val="auto"/>
          <w:sz w:val="22"/>
          <w:szCs w:val="22"/>
          <w:lang w:val="lv-LV"/>
        </w:rPr>
        <w:t>.</w:t>
      </w:r>
    </w:p>
    <w:p w14:paraId="460E9789" w14:textId="77777777" w:rsidR="00BD3C01" w:rsidRPr="000A5A33" w:rsidRDefault="00BD3C01" w:rsidP="00BD3C01">
      <w:pPr>
        <w:pStyle w:val="Default"/>
        <w:jc w:val="both"/>
        <w:rPr>
          <w:color w:val="auto"/>
          <w:sz w:val="22"/>
          <w:szCs w:val="22"/>
          <w:lang w:val="lv-LV"/>
        </w:rPr>
      </w:pPr>
      <w:r w:rsidRPr="000A5A33">
        <w:rPr>
          <w:color w:val="auto"/>
          <w:sz w:val="22"/>
          <w:szCs w:val="22"/>
          <w:lang w:val="lv-LV"/>
        </w:rPr>
        <w:t>ul. Pelplińska 19</w:t>
      </w:r>
    </w:p>
    <w:p w14:paraId="7BAF2115" w14:textId="7C180EEB" w:rsidR="00930FA0" w:rsidRPr="000A5A33" w:rsidRDefault="00BD3C01" w:rsidP="00BD3C01">
      <w:pPr>
        <w:pStyle w:val="Default"/>
        <w:jc w:val="both"/>
        <w:rPr>
          <w:color w:val="auto"/>
          <w:sz w:val="22"/>
          <w:szCs w:val="22"/>
          <w:lang w:val="lv-LV"/>
        </w:rPr>
      </w:pPr>
      <w:r w:rsidRPr="000A5A33">
        <w:rPr>
          <w:color w:val="auto"/>
          <w:sz w:val="22"/>
          <w:szCs w:val="22"/>
          <w:lang w:val="lv-LV"/>
        </w:rPr>
        <w:t>83-200 Starogard Gdański</w:t>
      </w:r>
      <w:r w:rsidR="00930FA0" w:rsidRPr="000A5A33">
        <w:rPr>
          <w:color w:val="auto"/>
          <w:sz w:val="22"/>
          <w:szCs w:val="22"/>
          <w:lang w:val="lv-LV"/>
        </w:rPr>
        <w:t>, Polija</w:t>
      </w:r>
    </w:p>
    <w:p w14:paraId="08950E14" w14:textId="77777777" w:rsidR="00CD10AA" w:rsidRPr="000A5A33" w:rsidRDefault="00CD10AA" w:rsidP="00947806">
      <w:pPr>
        <w:tabs>
          <w:tab w:val="clear" w:pos="567"/>
        </w:tabs>
        <w:spacing w:line="240" w:lineRule="auto"/>
        <w:jc w:val="both"/>
        <w:rPr>
          <w:szCs w:val="22"/>
        </w:rPr>
      </w:pPr>
    </w:p>
    <w:p w14:paraId="5949DB06" w14:textId="77777777" w:rsidR="00E72F9F" w:rsidRPr="000A5A33" w:rsidRDefault="00E72F9F" w:rsidP="00947806">
      <w:pPr>
        <w:tabs>
          <w:tab w:val="clear" w:pos="567"/>
        </w:tabs>
        <w:spacing w:line="240" w:lineRule="auto"/>
        <w:jc w:val="both"/>
        <w:rPr>
          <w:szCs w:val="22"/>
        </w:rPr>
      </w:pPr>
    </w:p>
    <w:p w14:paraId="01645325" w14:textId="77777777" w:rsidR="00CD10AA" w:rsidRPr="000A5A33" w:rsidRDefault="00CD10AA" w:rsidP="00947806">
      <w:pPr>
        <w:tabs>
          <w:tab w:val="clear" w:pos="567"/>
        </w:tabs>
        <w:spacing w:line="240" w:lineRule="auto"/>
        <w:jc w:val="both"/>
        <w:rPr>
          <w:b/>
          <w:szCs w:val="22"/>
        </w:rPr>
      </w:pPr>
      <w:r w:rsidRPr="000A5A33">
        <w:rPr>
          <w:b/>
          <w:szCs w:val="22"/>
        </w:rPr>
        <w:t>8.</w:t>
      </w:r>
      <w:r w:rsidRPr="000A5A33">
        <w:rPr>
          <w:b/>
          <w:szCs w:val="22"/>
        </w:rPr>
        <w:tab/>
        <w:t>REĢISTRĀCIJAS</w:t>
      </w:r>
      <w:r w:rsidR="0082246A" w:rsidRPr="000A5A33">
        <w:rPr>
          <w:b/>
          <w:szCs w:val="22"/>
        </w:rPr>
        <w:t xml:space="preserve"> APLIECĪBAS</w:t>
      </w:r>
      <w:r w:rsidR="00930FA0" w:rsidRPr="000A5A33">
        <w:rPr>
          <w:b/>
          <w:szCs w:val="22"/>
        </w:rPr>
        <w:t xml:space="preserve"> NUMURS</w:t>
      </w:r>
    </w:p>
    <w:p w14:paraId="00D65D61" w14:textId="77777777" w:rsidR="00E72F9F" w:rsidRPr="000A5A33" w:rsidRDefault="00E72F9F" w:rsidP="00947806">
      <w:pPr>
        <w:tabs>
          <w:tab w:val="clear" w:pos="567"/>
        </w:tabs>
        <w:spacing w:line="240" w:lineRule="auto"/>
        <w:jc w:val="both"/>
        <w:rPr>
          <w:rStyle w:val="apple-style-span"/>
          <w:szCs w:val="22"/>
        </w:rPr>
      </w:pPr>
    </w:p>
    <w:p w14:paraId="3AC908CA" w14:textId="77777777" w:rsidR="00CD10AA" w:rsidRPr="000A5A33" w:rsidRDefault="00930FA0" w:rsidP="00947806">
      <w:pPr>
        <w:tabs>
          <w:tab w:val="clear" w:pos="567"/>
        </w:tabs>
        <w:spacing w:line="240" w:lineRule="auto"/>
        <w:jc w:val="both"/>
        <w:rPr>
          <w:szCs w:val="22"/>
        </w:rPr>
      </w:pPr>
      <w:r w:rsidRPr="000A5A33">
        <w:rPr>
          <w:rStyle w:val="apple-style-span"/>
          <w:szCs w:val="22"/>
        </w:rPr>
        <w:t>99-0795</w:t>
      </w:r>
    </w:p>
    <w:p w14:paraId="4D62F559" w14:textId="77777777" w:rsidR="00CD10AA" w:rsidRPr="000A5A33" w:rsidRDefault="00CD10AA" w:rsidP="00947806">
      <w:pPr>
        <w:tabs>
          <w:tab w:val="clear" w:pos="567"/>
        </w:tabs>
        <w:spacing w:line="240" w:lineRule="auto"/>
        <w:jc w:val="both"/>
        <w:rPr>
          <w:szCs w:val="22"/>
        </w:rPr>
      </w:pPr>
    </w:p>
    <w:p w14:paraId="686B3F41" w14:textId="77777777" w:rsidR="00E72F9F" w:rsidRPr="000A5A33" w:rsidRDefault="00E72F9F" w:rsidP="00947806">
      <w:pPr>
        <w:tabs>
          <w:tab w:val="clear" w:pos="567"/>
        </w:tabs>
        <w:spacing w:line="240" w:lineRule="auto"/>
        <w:jc w:val="both"/>
        <w:rPr>
          <w:szCs w:val="22"/>
        </w:rPr>
      </w:pPr>
    </w:p>
    <w:p w14:paraId="75669E57" w14:textId="77777777" w:rsidR="00CD10AA" w:rsidRPr="000A5A33" w:rsidRDefault="00CD10AA" w:rsidP="00947806">
      <w:pPr>
        <w:tabs>
          <w:tab w:val="clear" w:pos="567"/>
        </w:tabs>
        <w:spacing w:line="240" w:lineRule="auto"/>
        <w:jc w:val="both"/>
        <w:rPr>
          <w:b/>
          <w:szCs w:val="22"/>
        </w:rPr>
      </w:pPr>
      <w:r w:rsidRPr="000A5A33">
        <w:rPr>
          <w:b/>
          <w:szCs w:val="22"/>
        </w:rPr>
        <w:t>9.</w:t>
      </w:r>
      <w:r w:rsidRPr="000A5A33">
        <w:rPr>
          <w:b/>
          <w:szCs w:val="22"/>
        </w:rPr>
        <w:tab/>
      </w:r>
      <w:r w:rsidR="00980C1E" w:rsidRPr="000A5A33">
        <w:rPr>
          <w:b/>
          <w:szCs w:val="22"/>
        </w:rPr>
        <w:t xml:space="preserve">PIRMĀS </w:t>
      </w:r>
      <w:r w:rsidRPr="000A5A33">
        <w:rPr>
          <w:b/>
          <w:szCs w:val="22"/>
        </w:rPr>
        <w:t>REĢISTRĀCIJAS/PĀRREĢISTRĀCIJAS DATUMS</w:t>
      </w:r>
    </w:p>
    <w:p w14:paraId="7CD567DD" w14:textId="77777777" w:rsidR="00E72F9F" w:rsidRPr="000A5A33" w:rsidRDefault="00E72F9F" w:rsidP="00947806">
      <w:pPr>
        <w:spacing w:line="240" w:lineRule="auto"/>
        <w:jc w:val="both"/>
        <w:rPr>
          <w:szCs w:val="22"/>
        </w:rPr>
      </w:pPr>
    </w:p>
    <w:p w14:paraId="21FE77A8" w14:textId="77777777" w:rsidR="00FD187E" w:rsidRPr="000A5A33" w:rsidRDefault="00F31302" w:rsidP="00947806">
      <w:pPr>
        <w:spacing w:line="240" w:lineRule="auto"/>
        <w:jc w:val="both"/>
        <w:rPr>
          <w:szCs w:val="22"/>
        </w:rPr>
      </w:pPr>
      <w:r w:rsidRPr="000A5A33">
        <w:rPr>
          <w:szCs w:val="22"/>
        </w:rPr>
        <w:t>R</w:t>
      </w:r>
      <w:r w:rsidR="0082246A" w:rsidRPr="000A5A33">
        <w:rPr>
          <w:szCs w:val="22"/>
        </w:rPr>
        <w:t xml:space="preserve">eģistrācijas datums: </w:t>
      </w:r>
      <w:r w:rsidR="00930FA0" w:rsidRPr="000A5A33">
        <w:rPr>
          <w:szCs w:val="22"/>
        </w:rPr>
        <w:t>1999.gada 3.novembris.</w:t>
      </w:r>
    </w:p>
    <w:p w14:paraId="3A4130F0" w14:textId="77777777" w:rsidR="00CD10AA" w:rsidRPr="000A5A33" w:rsidRDefault="0082246A" w:rsidP="00947806">
      <w:pPr>
        <w:spacing w:line="240" w:lineRule="auto"/>
        <w:jc w:val="both"/>
        <w:rPr>
          <w:szCs w:val="22"/>
        </w:rPr>
      </w:pPr>
      <w:r w:rsidRPr="000A5A33">
        <w:rPr>
          <w:szCs w:val="22"/>
        </w:rPr>
        <w:t xml:space="preserve">Pēdējās pārreģistrācijas datums: </w:t>
      </w:r>
      <w:r w:rsidR="00930FA0" w:rsidRPr="000A5A33">
        <w:rPr>
          <w:szCs w:val="22"/>
        </w:rPr>
        <w:t>2007.gada 24.aprīlis.</w:t>
      </w:r>
    </w:p>
    <w:p w14:paraId="71FF36E9" w14:textId="77777777" w:rsidR="00CD10AA" w:rsidRPr="000A5A33" w:rsidRDefault="00CD10AA" w:rsidP="00947806">
      <w:pPr>
        <w:tabs>
          <w:tab w:val="clear" w:pos="567"/>
        </w:tabs>
        <w:spacing w:line="240" w:lineRule="auto"/>
        <w:jc w:val="both"/>
        <w:rPr>
          <w:szCs w:val="22"/>
        </w:rPr>
      </w:pPr>
    </w:p>
    <w:p w14:paraId="66EA6CAC" w14:textId="77777777" w:rsidR="00E72F9F" w:rsidRPr="000A5A33" w:rsidRDefault="00E72F9F" w:rsidP="00947806">
      <w:pPr>
        <w:tabs>
          <w:tab w:val="clear" w:pos="567"/>
        </w:tabs>
        <w:spacing w:line="240" w:lineRule="auto"/>
        <w:jc w:val="both"/>
        <w:rPr>
          <w:szCs w:val="22"/>
        </w:rPr>
      </w:pPr>
    </w:p>
    <w:p w14:paraId="4A57EF34" w14:textId="77777777" w:rsidR="00CD10AA" w:rsidRPr="000A5A33" w:rsidRDefault="00CD10AA" w:rsidP="00947806">
      <w:pPr>
        <w:tabs>
          <w:tab w:val="clear" w:pos="567"/>
        </w:tabs>
        <w:spacing w:line="240" w:lineRule="auto"/>
        <w:jc w:val="both"/>
        <w:rPr>
          <w:b/>
          <w:szCs w:val="22"/>
        </w:rPr>
      </w:pPr>
      <w:r w:rsidRPr="000A5A33">
        <w:rPr>
          <w:b/>
          <w:szCs w:val="22"/>
        </w:rPr>
        <w:t>10.</w:t>
      </w:r>
      <w:r w:rsidRPr="000A5A33">
        <w:rPr>
          <w:b/>
          <w:szCs w:val="22"/>
        </w:rPr>
        <w:tab/>
        <w:t>TEKSTA</w:t>
      </w:r>
      <w:r w:rsidR="00171350" w:rsidRPr="000A5A33">
        <w:rPr>
          <w:b/>
          <w:szCs w:val="22"/>
        </w:rPr>
        <w:t xml:space="preserve"> </w:t>
      </w:r>
      <w:r w:rsidRPr="000A5A33">
        <w:rPr>
          <w:b/>
          <w:szCs w:val="22"/>
        </w:rPr>
        <w:t>PĀRSKATĪŠANAS DATUMS</w:t>
      </w:r>
    </w:p>
    <w:p w14:paraId="2A808D3C" w14:textId="77777777" w:rsidR="00E72F9F" w:rsidRPr="000A5A33" w:rsidRDefault="00E72F9F" w:rsidP="00947806">
      <w:pPr>
        <w:tabs>
          <w:tab w:val="clear" w:pos="567"/>
        </w:tabs>
        <w:spacing w:line="240" w:lineRule="auto"/>
        <w:jc w:val="both"/>
        <w:rPr>
          <w:szCs w:val="22"/>
        </w:rPr>
      </w:pPr>
    </w:p>
    <w:p w14:paraId="20B70D7E" w14:textId="520C0EFE" w:rsidR="00CD10AA" w:rsidRPr="000A5A33" w:rsidRDefault="00CD10AA" w:rsidP="00947806">
      <w:pPr>
        <w:tabs>
          <w:tab w:val="clear" w:pos="567"/>
        </w:tabs>
        <w:spacing w:line="240" w:lineRule="auto"/>
        <w:jc w:val="both"/>
        <w:rPr>
          <w:szCs w:val="22"/>
        </w:rPr>
      </w:pPr>
    </w:p>
    <w:sectPr w:rsidR="00CD10AA" w:rsidRPr="000A5A33" w:rsidSect="00947806">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86B59" w14:textId="77777777" w:rsidR="000E28D0" w:rsidRDefault="000E28D0">
      <w:r>
        <w:separator/>
      </w:r>
    </w:p>
  </w:endnote>
  <w:endnote w:type="continuationSeparator" w:id="0">
    <w:p w14:paraId="3453CA38" w14:textId="77777777" w:rsidR="000E28D0" w:rsidRDefault="000E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8831B" w14:textId="77777777" w:rsidR="00AE1DE0" w:rsidRDefault="00AE1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478CA" w14:textId="3D61CDD9" w:rsidR="00E569E6" w:rsidRDefault="00E569E6">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C9102B">
      <w:rPr>
        <w:rStyle w:val="PageNumber"/>
        <w:rFonts w:ascii="Arial" w:hAnsi="Arial" w:cs="Arial"/>
        <w:noProof/>
      </w:rPr>
      <w:t>4</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87E7F" w14:textId="77777777" w:rsidR="00E569E6" w:rsidRDefault="00E569E6">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FD187E">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ACBD1" w14:textId="77777777" w:rsidR="000E28D0" w:rsidRDefault="000E28D0">
      <w:r>
        <w:separator/>
      </w:r>
    </w:p>
  </w:footnote>
  <w:footnote w:type="continuationSeparator" w:id="0">
    <w:p w14:paraId="06BFB080" w14:textId="77777777" w:rsidR="000E28D0" w:rsidRDefault="000E2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88A8B" w14:textId="77777777" w:rsidR="00AE1DE0" w:rsidRDefault="00AE1D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ACCF" w14:textId="320E44AC" w:rsidR="00DC66A7" w:rsidRPr="005D25EA" w:rsidRDefault="005D25EA" w:rsidP="005D25EA">
    <w:pPr>
      <w:pStyle w:val="Header"/>
      <w:jc w:val="right"/>
      <w:rPr>
        <w:rFonts w:ascii="Times New Roman" w:hAnsi="Times New Roman"/>
        <w:sz w:val="24"/>
      </w:rPr>
    </w:pPr>
    <w:r>
      <w:rPr>
        <w:rFonts w:ascii="Times New Roman" w:hAnsi="Times New Roman"/>
        <w:sz w:val="24"/>
      </w:rPr>
      <w:t>SASKAŅOTS ZVA</w:t>
    </w:r>
    <w:r w:rsidR="00CD6B5E">
      <w:rPr>
        <w:rFonts w:ascii="Times New Roman" w:hAnsi="Times New Roman"/>
        <w:sz w:val="24"/>
      </w:rPr>
      <w:t xml:space="preserve"> </w:t>
    </w:r>
    <w:r w:rsidR="00AE1DE0">
      <w:rPr>
        <w:rFonts w:ascii="Times New Roman" w:hAnsi="Times New Roman"/>
        <w:sz w:val="24"/>
      </w:rPr>
      <w:t>22-07-2021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5E01F" w14:textId="77777777" w:rsidR="00AE1DE0" w:rsidRDefault="00AE1D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3.8pt" o:bullet="t">
        <v:imagedata r:id="rId1" o:title="BT_1000x858px"/>
      </v:shape>
    </w:pict>
  </w:numPicBullet>
  <w:abstractNum w:abstractNumId="0" w15:restartNumberingAfterBreak="0">
    <w:nsid w:val="8A0D49FD"/>
    <w:multiLevelType w:val="hybridMultilevel"/>
    <w:tmpl w:val="C418F4C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F69B4E3"/>
    <w:multiLevelType w:val="hybridMultilevel"/>
    <w:tmpl w:val="2F99D8C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7D640F"/>
    <w:multiLevelType w:val="hybridMultilevel"/>
    <w:tmpl w:val="D6D0A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15:restartNumberingAfterBreak="0">
    <w:nsid w:val="0F351A5E"/>
    <w:multiLevelType w:val="hybridMultilevel"/>
    <w:tmpl w:val="754424AA"/>
    <w:lvl w:ilvl="0" w:tplc="F3967992">
      <w:start w:val="4"/>
      <w:numFmt w:val="decimal"/>
      <w:lvlText w:val="%1."/>
      <w:lvlJc w:val="left"/>
      <w:pPr>
        <w:tabs>
          <w:tab w:val="num" w:pos="930"/>
        </w:tabs>
        <w:ind w:left="930" w:hanging="570"/>
      </w:pPr>
      <w:rPr>
        <w:rFonts w:hint="default"/>
      </w:rPr>
    </w:lvl>
    <w:lvl w:ilvl="1" w:tplc="75781B00" w:tentative="1">
      <w:start w:val="1"/>
      <w:numFmt w:val="lowerLetter"/>
      <w:lvlText w:val="%2."/>
      <w:lvlJc w:val="left"/>
      <w:pPr>
        <w:tabs>
          <w:tab w:val="num" w:pos="1440"/>
        </w:tabs>
        <w:ind w:left="1440" w:hanging="360"/>
      </w:pPr>
    </w:lvl>
    <w:lvl w:ilvl="2" w:tplc="239A3D84" w:tentative="1">
      <w:start w:val="1"/>
      <w:numFmt w:val="lowerRoman"/>
      <w:lvlText w:val="%3."/>
      <w:lvlJc w:val="right"/>
      <w:pPr>
        <w:tabs>
          <w:tab w:val="num" w:pos="2160"/>
        </w:tabs>
        <w:ind w:left="2160" w:hanging="180"/>
      </w:pPr>
    </w:lvl>
    <w:lvl w:ilvl="3" w:tplc="5E0C526C" w:tentative="1">
      <w:start w:val="1"/>
      <w:numFmt w:val="decimal"/>
      <w:lvlText w:val="%4."/>
      <w:lvlJc w:val="left"/>
      <w:pPr>
        <w:tabs>
          <w:tab w:val="num" w:pos="2880"/>
        </w:tabs>
        <w:ind w:left="2880" w:hanging="360"/>
      </w:pPr>
    </w:lvl>
    <w:lvl w:ilvl="4" w:tplc="73725664" w:tentative="1">
      <w:start w:val="1"/>
      <w:numFmt w:val="lowerLetter"/>
      <w:lvlText w:val="%5."/>
      <w:lvlJc w:val="left"/>
      <w:pPr>
        <w:tabs>
          <w:tab w:val="num" w:pos="3600"/>
        </w:tabs>
        <w:ind w:left="3600" w:hanging="360"/>
      </w:pPr>
    </w:lvl>
    <w:lvl w:ilvl="5" w:tplc="C57CB29E" w:tentative="1">
      <w:start w:val="1"/>
      <w:numFmt w:val="lowerRoman"/>
      <w:lvlText w:val="%6."/>
      <w:lvlJc w:val="right"/>
      <w:pPr>
        <w:tabs>
          <w:tab w:val="num" w:pos="4320"/>
        </w:tabs>
        <w:ind w:left="4320" w:hanging="180"/>
      </w:pPr>
    </w:lvl>
    <w:lvl w:ilvl="6" w:tplc="C78AAB34" w:tentative="1">
      <w:start w:val="1"/>
      <w:numFmt w:val="decimal"/>
      <w:lvlText w:val="%7."/>
      <w:lvlJc w:val="left"/>
      <w:pPr>
        <w:tabs>
          <w:tab w:val="num" w:pos="5040"/>
        </w:tabs>
        <w:ind w:left="5040" w:hanging="360"/>
      </w:pPr>
    </w:lvl>
    <w:lvl w:ilvl="7" w:tplc="78968DBA" w:tentative="1">
      <w:start w:val="1"/>
      <w:numFmt w:val="lowerLetter"/>
      <w:lvlText w:val="%8."/>
      <w:lvlJc w:val="left"/>
      <w:pPr>
        <w:tabs>
          <w:tab w:val="num" w:pos="5760"/>
        </w:tabs>
        <w:ind w:left="5760" w:hanging="360"/>
      </w:pPr>
    </w:lvl>
    <w:lvl w:ilvl="8" w:tplc="89CCDFB0" w:tentative="1">
      <w:start w:val="1"/>
      <w:numFmt w:val="lowerRoman"/>
      <w:lvlText w:val="%9."/>
      <w:lvlJc w:val="right"/>
      <w:pPr>
        <w:tabs>
          <w:tab w:val="num" w:pos="6480"/>
        </w:tabs>
        <w:ind w:left="6480" w:hanging="180"/>
      </w:pPr>
    </w:lvl>
  </w:abstractNum>
  <w:abstractNum w:abstractNumId="6"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7"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6B1BBF"/>
    <w:multiLevelType w:val="hybridMultilevel"/>
    <w:tmpl w:val="4C40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A3FCA"/>
    <w:multiLevelType w:val="hybridMultilevel"/>
    <w:tmpl w:val="D59C5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20E0386"/>
    <w:multiLevelType w:val="hybridMultilevel"/>
    <w:tmpl w:val="A7EC9F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26003A"/>
    <w:multiLevelType w:val="hybridMultilevel"/>
    <w:tmpl w:val="A858B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703F5E"/>
    <w:multiLevelType w:val="hybridMultilevel"/>
    <w:tmpl w:val="81460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9D6658"/>
    <w:multiLevelType w:val="hybridMultilevel"/>
    <w:tmpl w:val="17F8F9DC"/>
    <w:lvl w:ilvl="0" w:tplc="DBE22724">
      <w:start w:val="1"/>
      <w:numFmt w:val="bullet"/>
      <w:lvlText w:val=""/>
      <w:lvlJc w:val="left"/>
      <w:pPr>
        <w:tabs>
          <w:tab w:val="num" w:pos="567"/>
        </w:tabs>
        <w:ind w:left="567" w:hanging="454"/>
      </w:pPr>
      <w:rPr>
        <w:rFonts w:ascii="Symbol" w:hAnsi="Symbol" w:hint="default"/>
      </w:rPr>
    </w:lvl>
    <w:lvl w:ilvl="1" w:tplc="D8B2CAF2">
      <w:start w:val="1"/>
      <w:numFmt w:val="bullet"/>
      <w:lvlText w:val="o"/>
      <w:lvlJc w:val="left"/>
      <w:pPr>
        <w:tabs>
          <w:tab w:val="num" w:pos="1440"/>
        </w:tabs>
        <w:ind w:left="1440" w:hanging="360"/>
      </w:pPr>
      <w:rPr>
        <w:rFonts w:ascii="Courier New" w:hAnsi="Courier New" w:hint="default"/>
      </w:rPr>
    </w:lvl>
    <w:lvl w:ilvl="2" w:tplc="4D94B28E" w:tentative="1">
      <w:start w:val="1"/>
      <w:numFmt w:val="bullet"/>
      <w:lvlText w:val=""/>
      <w:lvlJc w:val="left"/>
      <w:pPr>
        <w:tabs>
          <w:tab w:val="num" w:pos="2160"/>
        </w:tabs>
        <w:ind w:left="2160" w:hanging="360"/>
      </w:pPr>
      <w:rPr>
        <w:rFonts w:ascii="Wingdings" w:hAnsi="Wingdings" w:hint="default"/>
      </w:rPr>
    </w:lvl>
    <w:lvl w:ilvl="3" w:tplc="7D663C02" w:tentative="1">
      <w:start w:val="1"/>
      <w:numFmt w:val="bullet"/>
      <w:lvlText w:val=""/>
      <w:lvlJc w:val="left"/>
      <w:pPr>
        <w:tabs>
          <w:tab w:val="num" w:pos="2880"/>
        </w:tabs>
        <w:ind w:left="2880" w:hanging="360"/>
      </w:pPr>
      <w:rPr>
        <w:rFonts w:ascii="Symbol" w:hAnsi="Symbol" w:hint="default"/>
      </w:rPr>
    </w:lvl>
    <w:lvl w:ilvl="4" w:tplc="A1D29F78" w:tentative="1">
      <w:start w:val="1"/>
      <w:numFmt w:val="bullet"/>
      <w:lvlText w:val="o"/>
      <w:lvlJc w:val="left"/>
      <w:pPr>
        <w:tabs>
          <w:tab w:val="num" w:pos="3600"/>
        </w:tabs>
        <w:ind w:left="3600" w:hanging="360"/>
      </w:pPr>
      <w:rPr>
        <w:rFonts w:ascii="Courier New" w:hAnsi="Courier New" w:hint="default"/>
      </w:rPr>
    </w:lvl>
    <w:lvl w:ilvl="5" w:tplc="2E7CD57C" w:tentative="1">
      <w:start w:val="1"/>
      <w:numFmt w:val="bullet"/>
      <w:lvlText w:val=""/>
      <w:lvlJc w:val="left"/>
      <w:pPr>
        <w:tabs>
          <w:tab w:val="num" w:pos="4320"/>
        </w:tabs>
        <w:ind w:left="4320" w:hanging="360"/>
      </w:pPr>
      <w:rPr>
        <w:rFonts w:ascii="Wingdings" w:hAnsi="Wingdings" w:hint="default"/>
      </w:rPr>
    </w:lvl>
    <w:lvl w:ilvl="6" w:tplc="8E36168A" w:tentative="1">
      <w:start w:val="1"/>
      <w:numFmt w:val="bullet"/>
      <w:lvlText w:val=""/>
      <w:lvlJc w:val="left"/>
      <w:pPr>
        <w:tabs>
          <w:tab w:val="num" w:pos="5040"/>
        </w:tabs>
        <w:ind w:left="5040" w:hanging="360"/>
      </w:pPr>
      <w:rPr>
        <w:rFonts w:ascii="Symbol" w:hAnsi="Symbol" w:hint="default"/>
      </w:rPr>
    </w:lvl>
    <w:lvl w:ilvl="7" w:tplc="F76EEC84" w:tentative="1">
      <w:start w:val="1"/>
      <w:numFmt w:val="bullet"/>
      <w:lvlText w:val="o"/>
      <w:lvlJc w:val="left"/>
      <w:pPr>
        <w:tabs>
          <w:tab w:val="num" w:pos="5760"/>
        </w:tabs>
        <w:ind w:left="5760" w:hanging="360"/>
      </w:pPr>
      <w:rPr>
        <w:rFonts w:ascii="Courier New" w:hAnsi="Courier New" w:hint="default"/>
      </w:rPr>
    </w:lvl>
    <w:lvl w:ilvl="8" w:tplc="233030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16" w15:restartNumberingAfterBreak="0">
    <w:nsid w:val="4BE54AFE"/>
    <w:multiLevelType w:val="hybridMultilevel"/>
    <w:tmpl w:val="B1A46980"/>
    <w:lvl w:ilvl="0" w:tplc="2A72A40A">
      <w:start w:val="8"/>
      <w:numFmt w:val="decimal"/>
      <w:lvlText w:val="%1."/>
      <w:lvlJc w:val="left"/>
      <w:pPr>
        <w:tabs>
          <w:tab w:val="num" w:pos="570"/>
        </w:tabs>
        <w:ind w:left="570" w:hanging="570"/>
      </w:pPr>
      <w:rPr>
        <w:rFonts w:hint="default"/>
      </w:rPr>
    </w:lvl>
    <w:lvl w:ilvl="1" w:tplc="A1141A32" w:tentative="1">
      <w:start w:val="1"/>
      <w:numFmt w:val="lowerLetter"/>
      <w:lvlText w:val="%2."/>
      <w:lvlJc w:val="left"/>
      <w:pPr>
        <w:tabs>
          <w:tab w:val="num" w:pos="1080"/>
        </w:tabs>
        <w:ind w:left="1080" w:hanging="360"/>
      </w:pPr>
    </w:lvl>
    <w:lvl w:ilvl="2" w:tplc="74DC948A" w:tentative="1">
      <w:start w:val="1"/>
      <w:numFmt w:val="lowerRoman"/>
      <w:lvlText w:val="%3."/>
      <w:lvlJc w:val="right"/>
      <w:pPr>
        <w:tabs>
          <w:tab w:val="num" w:pos="1800"/>
        </w:tabs>
        <w:ind w:left="1800" w:hanging="180"/>
      </w:pPr>
    </w:lvl>
    <w:lvl w:ilvl="3" w:tplc="E020D35E" w:tentative="1">
      <w:start w:val="1"/>
      <w:numFmt w:val="decimal"/>
      <w:lvlText w:val="%4."/>
      <w:lvlJc w:val="left"/>
      <w:pPr>
        <w:tabs>
          <w:tab w:val="num" w:pos="2520"/>
        </w:tabs>
        <w:ind w:left="2520" w:hanging="360"/>
      </w:pPr>
    </w:lvl>
    <w:lvl w:ilvl="4" w:tplc="4C4EE4C6" w:tentative="1">
      <w:start w:val="1"/>
      <w:numFmt w:val="lowerLetter"/>
      <w:lvlText w:val="%5."/>
      <w:lvlJc w:val="left"/>
      <w:pPr>
        <w:tabs>
          <w:tab w:val="num" w:pos="3240"/>
        </w:tabs>
        <w:ind w:left="3240" w:hanging="360"/>
      </w:pPr>
    </w:lvl>
    <w:lvl w:ilvl="5" w:tplc="183C0C8E" w:tentative="1">
      <w:start w:val="1"/>
      <w:numFmt w:val="lowerRoman"/>
      <w:lvlText w:val="%6."/>
      <w:lvlJc w:val="right"/>
      <w:pPr>
        <w:tabs>
          <w:tab w:val="num" w:pos="3960"/>
        </w:tabs>
        <w:ind w:left="3960" w:hanging="180"/>
      </w:pPr>
    </w:lvl>
    <w:lvl w:ilvl="6" w:tplc="F5DECDB6" w:tentative="1">
      <w:start w:val="1"/>
      <w:numFmt w:val="decimal"/>
      <w:lvlText w:val="%7."/>
      <w:lvlJc w:val="left"/>
      <w:pPr>
        <w:tabs>
          <w:tab w:val="num" w:pos="4680"/>
        </w:tabs>
        <w:ind w:left="4680" w:hanging="360"/>
      </w:pPr>
    </w:lvl>
    <w:lvl w:ilvl="7" w:tplc="66AC625A" w:tentative="1">
      <w:start w:val="1"/>
      <w:numFmt w:val="lowerLetter"/>
      <w:lvlText w:val="%8."/>
      <w:lvlJc w:val="left"/>
      <w:pPr>
        <w:tabs>
          <w:tab w:val="num" w:pos="5400"/>
        </w:tabs>
        <w:ind w:left="5400" w:hanging="360"/>
      </w:pPr>
    </w:lvl>
    <w:lvl w:ilvl="8" w:tplc="8524438E" w:tentative="1">
      <w:start w:val="1"/>
      <w:numFmt w:val="lowerRoman"/>
      <w:lvlText w:val="%9."/>
      <w:lvlJc w:val="right"/>
      <w:pPr>
        <w:tabs>
          <w:tab w:val="num" w:pos="6120"/>
        </w:tabs>
        <w:ind w:left="6120" w:hanging="180"/>
      </w:pPr>
    </w:lvl>
  </w:abstractNum>
  <w:abstractNum w:abstractNumId="17" w15:restartNumberingAfterBreak="0">
    <w:nsid w:val="4F715EA8"/>
    <w:multiLevelType w:val="hybridMultilevel"/>
    <w:tmpl w:val="85242A24"/>
    <w:lvl w:ilvl="0" w:tplc="813C7456">
      <w:start w:val="4"/>
      <w:numFmt w:val="decimal"/>
      <w:lvlText w:val="%1."/>
      <w:lvlJc w:val="left"/>
      <w:pPr>
        <w:tabs>
          <w:tab w:val="num" w:pos="720"/>
        </w:tabs>
        <w:ind w:left="720" w:hanging="360"/>
      </w:pPr>
      <w:rPr>
        <w:rFonts w:hint="default"/>
      </w:rPr>
    </w:lvl>
    <w:lvl w:ilvl="1" w:tplc="69183010" w:tentative="1">
      <w:start w:val="1"/>
      <w:numFmt w:val="lowerLetter"/>
      <w:lvlText w:val="%2."/>
      <w:lvlJc w:val="left"/>
      <w:pPr>
        <w:tabs>
          <w:tab w:val="num" w:pos="1440"/>
        </w:tabs>
        <w:ind w:left="1440" w:hanging="360"/>
      </w:pPr>
    </w:lvl>
    <w:lvl w:ilvl="2" w:tplc="2D3260D4" w:tentative="1">
      <w:start w:val="1"/>
      <w:numFmt w:val="lowerRoman"/>
      <w:lvlText w:val="%3."/>
      <w:lvlJc w:val="right"/>
      <w:pPr>
        <w:tabs>
          <w:tab w:val="num" w:pos="2160"/>
        </w:tabs>
        <w:ind w:left="2160" w:hanging="180"/>
      </w:pPr>
    </w:lvl>
    <w:lvl w:ilvl="3" w:tplc="00F05E78" w:tentative="1">
      <w:start w:val="1"/>
      <w:numFmt w:val="decimal"/>
      <w:lvlText w:val="%4."/>
      <w:lvlJc w:val="left"/>
      <w:pPr>
        <w:tabs>
          <w:tab w:val="num" w:pos="2880"/>
        </w:tabs>
        <w:ind w:left="2880" w:hanging="360"/>
      </w:pPr>
    </w:lvl>
    <w:lvl w:ilvl="4" w:tplc="B4C20CC4" w:tentative="1">
      <w:start w:val="1"/>
      <w:numFmt w:val="lowerLetter"/>
      <w:lvlText w:val="%5."/>
      <w:lvlJc w:val="left"/>
      <w:pPr>
        <w:tabs>
          <w:tab w:val="num" w:pos="3600"/>
        </w:tabs>
        <w:ind w:left="3600" w:hanging="360"/>
      </w:pPr>
    </w:lvl>
    <w:lvl w:ilvl="5" w:tplc="12E4050A" w:tentative="1">
      <w:start w:val="1"/>
      <w:numFmt w:val="lowerRoman"/>
      <w:lvlText w:val="%6."/>
      <w:lvlJc w:val="right"/>
      <w:pPr>
        <w:tabs>
          <w:tab w:val="num" w:pos="4320"/>
        </w:tabs>
        <w:ind w:left="4320" w:hanging="180"/>
      </w:pPr>
    </w:lvl>
    <w:lvl w:ilvl="6" w:tplc="A1525BE4" w:tentative="1">
      <w:start w:val="1"/>
      <w:numFmt w:val="decimal"/>
      <w:lvlText w:val="%7."/>
      <w:lvlJc w:val="left"/>
      <w:pPr>
        <w:tabs>
          <w:tab w:val="num" w:pos="5040"/>
        </w:tabs>
        <w:ind w:left="5040" w:hanging="360"/>
      </w:pPr>
    </w:lvl>
    <w:lvl w:ilvl="7" w:tplc="BF9C4AE0" w:tentative="1">
      <w:start w:val="1"/>
      <w:numFmt w:val="lowerLetter"/>
      <w:lvlText w:val="%8."/>
      <w:lvlJc w:val="left"/>
      <w:pPr>
        <w:tabs>
          <w:tab w:val="num" w:pos="5760"/>
        </w:tabs>
        <w:ind w:left="5760" w:hanging="360"/>
      </w:pPr>
    </w:lvl>
    <w:lvl w:ilvl="8" w:tplc="EB9C77A0" w:tentative="1">
      <w:start w:val="1"/>
      <w:numFmt w:val="lowerRoman"/>
      <w:lvlText w:val="%9."/>
      <w:lvlJc w:val="right"/>
      <w:pPr>
        <w:tabs>
          <w:tab w:val="num" w:pos="6480"/>
        </w:tabs>
        <w:ind w:left="6480" w:hanging="180"/>
      </w:pPr>
    </w:lvl>
  </w:abstractNum>
  <w:abstractNum w:abstractNumId="18" w15:restartNumberingAfterBreak="0">
    <w:nsid w:val="53FB1123"/>
    <w:multiLevelType w:val="hybridMultilevel"/>
    <w:tmpl w:val="29B2D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21"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2" w15:restartNumberingAfterBreak="0">
    <w:nsid w:val="6D4F3A43"/>
    <w:multiLevelType w:val="hybridMultilevel"/>
    <w:tmpl w:val="44EA2960"/>
    <w:lvl w:ilvl="0" w:tplc="A6825B70">
      <w:start w:val="5"/>
      <w:numFmt w:val="decimal"/>
      <w:lvlText w:val="%1."/>
      <w:lvlJc w:val="left"/>
      <w:pPr>
        <w:tabs>
          <w:tab w:val="num" w:pos="930"/>
        </w:tabs>
        <w:ind w:left="930" w:hanging="570"/>
      </w:pPr>
      <w:rPr>
        <w:rFonts w:hint="default"/>
        <w:color w:val="auto"/>
      </w:rPr>
    </w:lvl>
    <w:lvl w:ilvl="1" w:tplc="7564E704" w:tentative="1">
      <w:start w:val="1"/>
      <w:numFmt w:val="lowerLetter"/>
      <w:lvlText w:val="%2."/>
      <w:lvlJc w:val="left"/>
      <w:pPr>
        <w:tabs>
          <w:tab w:val="num" w:pos="1440"/>
        </w:tabs>
        <w:ind w:left="1440" w:hanging="360"/>
      </w:pPr>
    </w:lvl>
    <w:lvl w:ilvl="2" w:tplc="0974142A" w:tentative="1">
      <w:start w:val="1"/>
      <w:numFmt w:val="lowerRoman"/>
      <w:lvlText w:val="%3."/>
      <w:lvlJc w:val="right"/>
      <w:pPr>
        <w:tabs>
          <w:tab w:val="num" w:pos="2160"/>
        </w:tabs>
        <w:ind w:left="2160" w:hanging="180"/>
      </w:pPr>
    </w:lvl>
    <w:lvl w:ilvl="3" w:tplc="DC706544" w:tentative="1">
      <w:start w:val="1"/>
      <w:numFmt w:val="decimal"/>
      <w:lvlText w:val="%4."/>
      <w:lvlJc w:val="left"/>
      <w:pPr>
        <w:tabs>
          <w:tab w:val="num" w:pos="2880"/>
        </w:tabs>
        <w:ind w:left="2880" w:hanging="360"/>
      </w:pPr>
    </w:lvl>
    <w:lvl w:ilvl="4" w:tplc="6F72FB90" w:tentative="1">
      <w:start w:val="1"/>
      <w:numFmt w:val="lowerLetter"/>
      <w:lvlText w:val="%5."/>
      <w:lvlJc w:val="left"/>
      <w:pPr>
        <w:tabs>
          <w:tab w:val="num" w:pos="3600"/>
        </w:tabs>
        <w:ind w:left="3600" w:hanging="360"/>
      </w:pPr>
    </w:lvl>
    <w:lvl w:ilvl="5" w:tplc="83D293A4" w:tentative="1">
      <w:start w:val="1"/>
      <w:numFmt w:val="lowerRoman"/>
      <w:lvlText w:val="%6."/>
      <w:lvlJc w:val="right"/>
      <w:pPr>
        <w:tabs>
          <w:tab w:val="num" w:pos="4320"/>
        </w:tabs>
        <w:ind w:left="4320" w:hanging="180"/>
      </w:pPr>
    </w:lvl>
    <w:lvl w:ilvl="6" w:tplc="99C24B46" w:tentative="1">
      <w:start w:val="1"/>
      <w:numFmt w:val="decimal"/>
      <w:lvlText w:val="%7."/>
      <w:lvlJc w:val="left"/>
      <w:pPr>
        <w:tabs>
          <w:tab w:val="num" w:pos="5040"/>
        </w:tabs>
        <w:ind w:left="5040" w:hanging="360"/>
      </w:pPr>
    </w:lvl>
    <w:lvl w:ilvl="7" w:tplc="3648E26A" w:tentative="1">
      <w:start w:val="1"/>
      <w:numFmt w:val="lowerLetter"/>
      <w:lvlText w:val="%8."/>
      <w:lvlJc w:val="left"/>
      <w:pPr>
        <w:tabs>
          <w:tab w:val="num" w:pos="5760"/>
        </w:tabs>
        <w:ind w:left="5760" w:hanging="360"/>
      </w:pPr>
    </w:lvl>
    <w:lvl w:ilvl="8" w:tplc="9BF45B8C" w:tentative="1">
      <w:start w:val="1"/>
      <w:numFmt w:val="lowerRoman"/>
      <w:lvlText w:val="%9."/>
      <w:lvlJc w:val="right"/>
      <w:pPr>
        <w:tabs>
          <w:tab w:val="num" w:pos="6480"/>
        </w:tabs>
        <w:ind w:left="6480" w:hanging="180"/>
      </w:pPr>
    </w:lvl>
  </w:abstractNum>
  <w:abstractNum w:abstractNumId="2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24" w15:restartNumberingAfterBreak="0">
    <w:nsid w:val="6FE16BBD"/>
    <w:multiLevelType w:val="hybridMultilevel"/>
    <w:tmpl w:val="2696BB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2709E1"/>
    <w:multiLevelType w:val="hybridMultilevel"/>
    <w:tmpl w:val="440A813E"/>
    <w:lvl w:ilvl="0" w:tplc="A858E548">
      <w:start w:val="4"/>
      <w:numFmt w:val="decimal"/>
      <w:lvlText w:val="%1."/>
      <w:lvlJc w:val="left"/>
      <w:pPr>
        <w:tabs>
          <w:tab w:val="num" w:pos="720"/>
        </w:tabs>
        <w:ind w:left="720" w:hanging="360"/>
      </w:pPr>
      <w:rPr>
        <w:rFonts w:hint="default"/>
      </w:rPr>
    </w:lvl>
    <w:lvl w:ilvl="1" w:tplc="B47C9E40" w:tentative="1">
      <w:start w:val="1"/>
      <w:numFmt w:val="lowerLetter"/>
      <w:lvlText w:val="%2."/>
      <w:lvlJc w:val="left"/>
      <w:pPr>
        <w:tabs>
          <w:tab w:val="num" w:pos="1440"/>
        </w:tabs>
        <w:ind w:left="1440" w:hanging="360"/>
      </w:pPr>
    </w:lvl>
    <w:lvl w:ilvl="2" w:tplc="7BDC3196" w:tentative="1">
      <w:start w:val="1"/>
      <w:numFmt w:val="lowerRoman"/>
      <w:lvlText w:val="%3."/>
      <w:lvlJc w:val="right"/>
      <w:pPr>
        <w:tabs>
          <w:tab w:val="num" w:pos="2160"/>
        </w:tabs>
        <w:ind w:left="2160" w:hanging="180"/>
      </w:pPr>
    </w:lvl>
    <w:lvl w:ilvl="3" w:tplc="C090E52A" w:tentative="1">
      <w:start w:val="1"/>
      <w:numFmt w:val="decimal"/>
      <w:lvlText w:val="%4."/>
      <w:lvlJc w:val="left"/>
      <w:pPr>
        <w:tabs>
          <w:tab w:val="num" w:pos="2880"/>
        </w:tabs>
        <w:ind w:left="2880" w:hanging="360"/>
      </w:pPr>
    </w:lvl>
    <w:lvl w:ilvl="4" w:tplc="0F8825C4" w:tentative="1">
      <w:start w:val="1"/>
      <w:numFmt w:val="lowerLetter"/>
      <w:lvlText w:val="%5."/>
      <w:lvlJc w:val="left"/>
      <w:pPr>
        <w:tabs>
          <w:tab w:val="num" w:pos="3600"/>
        </w:tabs>
        <w:ind w:left="3600" w:hanging="360"/>
      </w:pPr>
    </w:lvl>
    <w:lvl w:ilvl="5" w:tplc="2562769E" w:tentative="1">
      <w:start w:val="1"/>
      <w:numFmt w:val="lowerRoman"/>
      <w:lvlText w:val="%6."/>
      <w:lvlJc w:val="right"/>
      <w:pPr>
        <w:tabs>
          <w:tab w:val="num" w:pos="4320"/>
        </w:tabs>
        <w:ind w:left="4320" w:hanging="180"/>
      </w:pPr>
    </w:lvl>
    <w:lvl w:ilvl="6" w:tplc="0F06B01E" w:tentative="1">
      <w:start w:val="1"/>
      <w:numFmt w:val="decimal"/>
      <w:lvlText w:val="%7."/>
      <w:lvlJc w:val="left"/>
      <w:pPr>
        <w:tabs>
          <w:tab w:val="num" w:pos="5040"/>
        </w:tabs>
        <w:ind w:left="5040" w:hanging="360"/>
      </w:pPr>
    </w:lvl>
    <w:lvl w:ilvl="7" w:tplc="DA8480A6" w:tentative="1">
      <w:start w:val="1"/>
      <w:numFmt w:val="lowerLetter"/>
      <w:lvlText w:val="%8."/>
      <w:lvlJc w:val="left"/>
      <w:pPr>
        <w:tabs>
          <w:tab w:val="num" w:pos="5760"/>
        </w:tabs>
        <w:ind w:left="5760" w:hanging="360"/>
      </w:pPr>
    </w:lvl>
    <w:lvl w:ilvl="8" w:tplc="FE7EDCC0" w:tentative="1">
      <w:start w:val="1"/>
      <w:numFmt w:val="lowerRoman"/>
      <w:lvlText w:val="%9."/>
      <w:lvlJc w:val="right"/>
      <w:pPr>
        <w:tabs>
          <w:tab w:val="num" w:pos="6480"/>
        </w:tabs>
        <w:ind w:left="6480" w:hanging="180"/>
      </w:pPr>
    </w:lvl>
  </w:abstractNum>
  <w:abstractNum w:abstractNumId="26" w15:restartNumberingAfterBreak="0">
    <w:nsid w:val="763F2C6B"/>
    <w:multiLevelType w:val="hybridMultilevel"/>
    <w:tmpl w:val="F2429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7458C4"/>
    <w:multiLevelType w:val="hybridMultilevel"/>
    <w:tmpl w:val="BC745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CF33C9"/>
    <w:multiLevelType w:val="hybridMultilevel"/>
    <w:tmpl w:val="B574D3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FB52F6"/>
    <w:multiLevelType w:val="hybridMultilevel"/>
    <w:tmpl w:val="B7EC6880"/>
    <w:lvl w:ilvl="0" w:tplc="86EEF2B8">
      <w:start w:val="1"/>
      <w:numFmt w:val="decimal"/>
      <w:lvlText w:val="%1."/>
      <w:lvlJc w:val="left"/>
      <w:pPr>
        <w:tabs>
          <w:tab w:val="num" w:pos="360"/>
        </w:tabs>
        <w:ind w:left="360" w:hanging="360"/>
      </w:pPr>
    </w:lvl>
    <w:lvl w:ilvl="1" w:tplc="3D8CA584" w:tentative="1">
      <w:start w:val="1"/>
      <w:numFmt w:val="lowerLetter"/>
      <w:lvlText w:val="%2."/>
      <w:lvlJc w:val="left"/>
      <w:pPr>
        <w:tabs>
          <w:tab w:val="num" w:pos="1080"/>
        </w:tabs>
        <w:ind w:left="1080" w:hanging="360"/>
      </w:pPr>
    </w:lvl>
    <w:lvl w:ilvl="2" w:tplc="5ADC0D0E" w:tentative="1">
      <w:start w:val="1"/>
      <w:numFmt w:val="lowerRoman"/>
      <w:lvlText w:val="%3."/>
      <w:lvlJc w:val="right"/>
      <w:pPr>
        <w:tabs>
          <w:tab w:val="num" w:pos="1800"/>
        </w:tabs>
        <w:ind w:left="1800" w:hanging="180"/>
      </w:pPr>
    </w:lvl>
    <w:lvl w:ilvl="3" w:tplc="3F1217AE" w:tentative="1">
      <w:start w:val="1"/>
      <w:numFmt w:val="decimal"/>
      <w:lvlText w:val="%4."/>
      <w:lvlJc w:val="left"/>
      <w:pPr>
        <w:tabs>
          <w:tab w:val="num" w:pos="2520"/>
        </w:tabs>
        <w:ind w:left="2520" w:hanging="360"/>
      </w:pPr>
    </w:lvl>
    <w:lvl w:ilvl="4" w:tplc="D6F4ED2A" w:tentative="1">
      <w:start w:val="1"/>
      <w:numFmt w:val="lowerLetter"/>
      <w:lvlText w:val="%5."/>
      <w:lvlJc w:val="left"/>
      <w:pPr>
        <w:tabs>
          <w:tab w:val="num" w:pos="3240"/>
        </w:tabs>
        <w:ind w:left="3240" w:hanging="360"/>
      </w:pPr>
    </w:lvl>
    <w:lvl w:ilvl="5" w:tplc="E6165D48" w:tentative="1">
      <w:start w:val="1"/>
      <w:numFmt w:val="lowerRoman"/>
      <w:lvlText w:val="%6."/>
      <w:lvlJc w:val="right"/>
      <w:pPr>
        <w:tabs>
          <w:tab w:val="num" w:pos="3960"/>
        </w:tabs>
        <w:ind w:left="3960" w:hanging="180"/>
      </w:pPr>
    </w:lvl>
    <w:lvl w:ilvl="6" w:tplc="1A20AA36" w:tentative="1">
      <w:start w:val="1"/>
      <w:numFmt w:val="decimal"/>
      <w:lvlText w:val="%7."/>
      <w:lvlJc w:val="left"/>
      <w:pPr>
        <w:tabs>
          <w:tab w:val="num" w:pos="4680"/>
        </w:tabs>
        <w:ind w:left="4680" w:hanging="360"/>
      </w:pPr>
    </w:lvl>
    <w:lvl w:ilvl="7" w:tplc="51AA62E6" w:tentative="1">
      <w:start w:val="1"/>
      <w:numFmt w:val="lowerLetter"/>
      <w:lvlText w:val="%8."/>
      <w:lvlJc w:val="left"/>
      <w:pPr>
        <w:tabs>
          <w:tab w:val="num" w:pos="5400"/>
        </w:tabs>
        <w:ind w:left="5400" w:hanging="360"/>
      </w:pPr>
    </w:lvl>
    <w:lvl w:ilvl="8" w:tplc="8D86D98E" w:tentative="1">
      <w:start w:val="1"/>
      <w:numFmt w:val="lowerRoman"/>
      <w:lvlText w:val="%9."/>
      <w:lvlJc w:val="right"/>
      <w:pPr>
        <w:tabs>
          <w:tab w:val="num" w:pos="6120"/>
        </w:tabs>
        <w:ind w:left="6120" w:hanging="180"/>
      </w:pPr>
    </w:lvl>
  </w:abstractNum>
  <w:num w:numId="1">
    <w:abstractNumId w:val="2"/>
    <w:lvlOverride w:ilvl="0">
      <w:lvl w:ilvl="0">
        <w:start w:val="1"/>
        <w:numFmt w:val="bullet"/>
        <w:lvlText w:val="-"/>
        <w:legacy w:legacy="1" w:legacySpace="0" w:legacyIndent="360"/>
        <w:lvlJc w:val="left"/>
        <w:pPr>
          <w:ind w:left="360" w:hanging="360"/>
        </w:pPr>
      </w:lvl>
    </w:lvlOverride>
  </w:num>
  <w:num w:numId="2">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23"/>
  </w:num>
  <w:num w:numId="4">
    <w:abstractNumId w:val="21"/>
  </w:num>
  <w:num w:numId="5">
    <w:abstractNumId w:val="10"/>
  </w:num>
  <w:num w:numId="6">
    <w:abstractNumId w:val="19"/>
  </w:num>
  <w:num w:numId="7">
    <w:abstractNumId w:val="15"/>
  </w:num>
  <w:num w:numId="8">
    <w:abstractNumId w:val="6"/>
  </w:num>
  <w:num w:numId="9">
    <w:abstractNumId w:val="20"/>
  </w:num>
  <w:num w:numId="10">
    <w:abstractNumId w:val="16"/>
  </w:num>
  <w:num w:numId="11">
    <w:abstractNumId w:val="22"/>
  </w:num>
  <w:num w:numId="12">
    <w:abstractNumId w:val="5"/>
  </w:num>
  <w:num w:numId="13">
    <w:abstractNumId w:val="7"/>
  </w:num>
  <w:num w:numId="14">
    <w:abstractNumId w:val="29"/>
  </w:num>
  <w:num w:numId="15">
    <w:abstractNumId w:val="25"/>
  </w:num>
  <w:num w:numId="16">
    <w:abstractNumId w:val="17"/>
  </w:num>
  <w:num w:numId="17">
    <w:abstractNumId w:val="14"/>
  </w:num>
  <w:num w:numId="18">
    <w:abstractNumId w:val="4"/>
  </w:num>
  <w:num w:numId="19">
    <w:abstractNumId w:val="12"/>
  </w:num>
  <w:num w:numId="20">
    <w:abstractNumId w:val="13"/>
  </w:num>
  <w:num w:numId="21">
    <w:abstractNumId w:val="18"/>
  </w:num>
  <w:num w:numId="22">
    <w:abstractNumId w:val="3"/>
  </w:num>
  <w:num w:numId="23">
    <w:abstractNumId w:val="28"/>
  </w:num>
  <w:num w:numId="24">
    <w:abstractNumId w:val="11"/>
  </w:num>
  <w:num w:numId="25">
    <w:abstractNumId w:val="26"/>
  </w:num>
  <w:num w:numId="26">
    <w:abstractNumId w:val="24"/>
  </w:num>
  <w:num w:numId="27">
    <w:abstractNumId w:val="9"/>
  </w:num>
  <w:num w:numId="28">
    <w:abstractNumId w:val="0"/>
  </w:num>
  <w:num w:numId="29">
    <w:abstractNumId w:val="1"/>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D10AA"/>
    <w:rsid w:val="00001D78"/>
    <w:rsid w:val="000174DB"/>
    <w:rsid w:val="00020C95"/>
    <w:rsid w:val="000235FD"/>
    <w:rsid w:val="00030BC9"/>
    <w:rsid w:val="000328DD"/>
    <w:rsid w:val="00033061"/>
    <w:rsid w:val="00033516"/>
    <w:rsid w:val="00037085"/>
    <w:rsid w:val="000436CF"/>
    <w:rsid w:val="000535C0"/>
    <w:rsid w:val="00067D94"/>
    <w:rsid w:val="000802BB"/>
    <w:rsid w:val="00081F8A"/>
    <w:rsid w:val="00083B2F"/>
    <w:rsid w:val="000A2D24"/>
    <w:rsid w:val="000A5A33"/>
    <w:rsid w:val="000A5FA6"/>
    <w:rsid w:val="000B367B"/>
    <w:rsid w:val="000D257B"/>
    <w:rsid w:val="000D7A48"/>
    <w:rsid w:val="000E09A7"/>
    <w:rsid w:val="000E28D0"/>
    <w:rsid w:val="000E5A9C"/>
    <w:rsid w:val="000E6CD5"/>
    <w:rsid w:val="000E72E4"/>
    <w:rsid w:val="000F0293"/>
    <w:rsid w:val="000F4516"/>
    <w:rsid w:val="00105413"/>
    <w:rsid w:val="00106DE1"/>
    <w:rsid w:val="00113A9A"/>
    <w:rsid w:val="001158B4"/>
    <w:rsid w:val="00117E6F"/>
    <w:rsid w:val="00121C5E"/>
    <w:rsid w:val="00127324"/>
    <w:rsid w:val="00132092"/>
    <w:rsid w:val="00135C1E"/>
    <w:rsid w:val="00137BEF"/>
    <w:rsid w:val="00152A35"/>
    <w:rsid w:val="001550FB"/>
    <w:rsid w:val="0016329F"/>
    <w:rsid w:val="00164EF2"/>
    <w:rsid w:val="00165887"/>
    <w:rsid w:val="00171350"/>
    <w:rsid w:val="0017355A"/>
    <w:rsid w:val="00176DD3"/>
    <w:rsid w:val="00177058"/>
    <w:rsid w:val="001A1ADE"/>
    <w:rsid w:val="001B27B9"/>
    <w:rsid w:val="001B3C0B"/>
    <w:rsid w:val="001B497F"/>
    <w:rsid w:val="001C3EDE"/>
    <w:rsid w:val="001D0FE7"/>
    <w:rsid w:val="001D29AD"/>
    <w:rsid w:val="001D37B5"/>
    <w:rsid w:val="001E3B72"/>
    <w:rsid w:val="001F4879"/>
    <w:rsid w:val="001F76B5"/>
    <w:rsid w:val="00200E68"/>
    <w:rsid w:val="00204C37"/>
    <w:rsid w:val="0020587A"/>
    <w:rsid w:val="00206FE3"/>
    <w:rsid w:val="0021159A"/>
    <w:rsid w:val="00224417"/>
    <w:rsid w:val="00234032"/>
    <w:rsid w:val="002362A1"/>
    <w:rsid w:val="00261D24"/>
    <w:rsid w:val="0026357D"/>
    <w:rsid w:val="00263DE2"/>
    <w:rsid w:val="00264794"/>
    <w:rsid w:val="00265555"/>
    <w:rsid w:val="00273FDB"/>
    <w:rsid w:val="0027668E"/>
    <w:rsid w:val="00276D5C"/>
    <w:rsid w:val="00282286"/>
    <w:rsid w:val="00287E9A"/>
    <w:rsid w:val="00296B0C"/>
    <w:rsid w:val="00297165"/>
    <w:rsid w:val="002A1F76"/>
    <w:rsid w:val="002A5A82"/>
    <w:rsid w:val="002A61E1"/>
    <w:rsid w:val="002B24F4"/>
    <w:rsid w:val="002B7FDE"/>
    <w:rsid w:val="002C629B"/>
    <w:rsid w:val="002E0135"/>
    <w:rsid w:val="00304243"/>
    <w:rsid w:val="003067DF"/>
    <w:rsid w:val="003108A3"/>
    <w:rsid w:val="00320AF5"/>
    <w:rsid w:val="00327103"/>
    <w:rsid w:val="00335E50"/>
    <w:rsid w:val="00344AA6"/>
    <w:rsid w:val="00355E96"/>
    <w:rsid w:val="0035750F"/>
    <w:rsid w:val="003642F4"/>
    <w:rsid w:val="00364DCD"/>
    <w:rsid w:val="003662BE"/>
    <w:rsid w:val="00366581"/>
    <w:rsid w:val="00384EF9"/>
    <w:rsid w:val="00392D1F"/>
    <w:rsid w:val="00397B67"/>
    <w:rsid w:val="003A34E9"/>
    <w:rsid w:val="003B0FF0"/>
    <w:rsid w:val="003B5C38"/>
    <w:rsid w:val="003C0ED4"/>
    <w:rsid w:val="003C62DE"/>
    <w:rsid w:val="003D5F90"/>
    <w:rsid w:val="003E3DD4"/>
    <w:rsid w:val="003F0FE4"/>
    <w:rsid w:val="00413A30"/>
    <w:rsid w:val="004200EB"/>
    <w:rsid w:val="0043411D"/>
    <w:rsid w:val="00434CCE"/>
    <w:rsid w:val="00456979"/>
    <w:rsid w:val="00457F98"/>
    <w:rsid w:val="00461DB3"/>
    <w:rsid w:val="00465F40"/>
    <w:rsid w:val="00475A53"/>
    <w:rsid w:val="00482A20"/>
    <w:rsid w:val="00487D7A"/>
    <w:rsid w:val="00494905"/>
    <w:rsid w:val="004C3B43"/>
    <w:rsid w:val="004C40B3"/>
    <w:rsid w:val="004C4EDE"/>
    <w:rsid w:val="004D21A6"/>
    <w:rsid w:val="004D591D"/>
    <w:rsid w:val="004D71B9"/>
    <w:rsid w:val="004E764D"/>
    <w:rsid w:val="00507519"/>
    <w:rsid w:val="00512CC9"/>
    <w:rsid w:val="00513709"/>
    <w:rsid w:val="00524BD9"/>
    <w:rsid w:val="00550DF5"/>
    <w:rsid w:val="00551EC9"/>
    <w:rsid w:val="00556D0F"/>
    <w:rsid w:val="00560652"/>
    <w:rsid w:val="00565B11"/>
    <w:rsid w:val="005674A6"/>
    <w:rsid w:val="00570396"/>
    <w:rsid w:val="005742C8"/>
    <w:rsid w:val="005A5B8A"/>
    <w:rsid w:val="005C2D15"/>
    <w:rsid w:val="005C5C3E"/>
    <w:rsid w:val="005C7C3A"/>
    <w:rsid w:val="005D008D"/>
    <w:rsid w:val="005D25EA"/>
    <w:rsid w:val="005D4E04"/>
    <w:rsid w:val="00603003"/>
    <w:rsid w:val="00611F8B"/>
    <w:rsid w:val="0061275F"/>
    <w:rsid w:val="00612CD2"/>
    <w:rsid w:val="0062025A"/>
    <w:rsid w:val="0062092E"/>
    <w:rsid w:val="0062783E"/>
    <w:rsid w:val="00643ED5"/>
    <w:rsid w:val="00644D26"/>
    <w:rsid w:val="00645687"/>
    <w:rsid w:val="006609D5"/>
    <w:rsid w:val="00661432"/>
    <w:rsid w:val="006656A6"/>
    <w:rsid w:val="00675986"/>
    <w:rsid w:val="0068129F"/>
    <w:rsid w:val="00681DA4"/>
    <w:rsid w:val="006878EC"/>
    <w:rsid w:val="00694CD6"/>
    <w:rsid w:val="006A6775"/>
    <w:rsid w:val="006B35EF"/>
    <w:rsid w:val="006B5B51"/>
    <w:rsid w:val="006B7DCE"/>
    <w:rsid w:val="006E77CB"/>
    <w:rsid w:val="0071303C"/>
    <w:rsid w:val="007226E0"/>
    <w:rsid w:val="007240AA"/>
    <w:rsid w:val="0072506A"/>
    <w:rsid w:val="00731BB2"/>
    <w:rsid w:val="00737043"/>
    <w:rsid w:val="0074021F"/>
    <w:rsid w:val="007419C2"/>
    <w:rsid w:val="00746F67"/>
    <w:rsid w:val="0075486C"/>
    <w:rsid w:val="00770140"/>
    <w:rsid w:val="00771F87"/>
    <w:rsid w:val="007779D1"/>
    <w:rsid w:val="007856F2"/>
    <w:rsid w:val="00790683"/>
    <w:rsid w:val="007A0102"/>
    <w:rsid w:val="007B0320"/>
    <w:rsid w:val="007B2924"/>
    <w:rsid w:val="007B45CE"/>
    <w:rsid w:val="007B627F"/>
    <w:rsid w:val="007E009F"/>
    <w:rsid w:val="007E1441"/>
    <w:rsid w:val="008029D8"/>
    <w:rsid w:val="00805B10"/>
    <w:rsid w:val="00806DB9"/>
    <w:rsid w:val="00821D0A"/>
    <w:rsid w:val="0082246A"/>
    <w:rsid w:val="00823741"/>
    <w:rsid w:val="00826195"/>
    <w:rsid w:val="0082641B"/>
    <w:rsid w:val="00831540"/>
    <w:rsid w:val="00832860"/>
    <w:rsid w:val="00846418"/>
    <w:rsid w:val="00855AAD"/>
    <w:rsid w:val="00870E9B"/>
    <w:rsid w:val="008726E3"/>
    <w:rsid w:val="008806F9"/>
    <w:rsid w:val="0088508A"/>
    <w:rsid w:val="008871B0"/>
    <w:rsid w:val="00887761"/>
    <w:rsid w:val="00897557"/>
    <w:rsid w:val="008A6E13"/>
    <w:rsid w:val="008B16E1"/>
    <w:rsid w:val="008B1EB3"/>
    <w:rsid w:val="008B2A2A"/>
    <w:rsid w:val="008B4A52"/>
    <w:rsid w:val="008C0B5E"/>
    <w:rsid w:val="008C4279"/>
    <w:rsid w:val="008C59E2"/>
    <w:rsid w:val="008D7450"/>
    <w:rsid w:val="008F26B5"/>
    <w:rsid w:val="00906434"/>
    <w:rsid w:val="00910F65"/>
    <w:rsid w:val="0091143B"/>
    <w:rsid w:val="00911DDF"/>
    <w:rsid w:val="00912CCD"/>
    <w:rsid w:val="00915A9E"/>
    <w:rsid w:val="009243EB"/>
    <w:rsid w:val="00930DF2"/>
    <w:rsid w:val="00930FA0"/>
    <w:rsid w:val="00932F02"/>
    <w:rsid w:val="009451A8"/>
    <w:rsid w:val="00947806"/>
    <w:rsid w:val="00952955"/>
    <w:rsid w:val="00953E29"/>
    <w:rsid w:val="009677B0"/>
    <w:rsid w:val="0097039A"/>
    <w:rsid w:val="009710D6"/>
    <w:rsid w:val="00972808"/>
    <w:rsid w:val="0097548A"/>
    <w:rsid w:val="00975CD2"/>
    <w:rsid w:val="009765AB"/>
    <w:rsid w:val="00980C1E"/>
    <w:rsid w:val="00984C28"/>
    <w:rsid w:val="00985101"/>
    <w:rsid w:val="0098512F"/>
    <w:rsid w:val="00986F6E"/>
    <w:rsid w:val="00987C7B"/>
    <w:rsid w:val="009A5E66"/>
    <w:rsid w:val="009B7326"/>
    <w:rsid w:val="009B7E83"/>
    <w:rsid w:val="009C74AE"/>
    <w:rsid w:val="009D4052"/>
    <w:rsid w:val="009E70C5"/>
    <w:rsid w:val="009F66E2"/>
    <w:rsid w:val="00A12EA6"/>
    <w:rsid w:val="00A146BB"/>
    <w:rsid w:val="00A152BC"/>
    <w:rsid w:val="00A16429"/>
    <w:rsid w:val="00A16C75"/>
    <w:rsid w:val="00A170C5"/>
    <w:rsid w:val="00A243D8"/>
    <w:rsid w:val="00A3078D"/>
    <w:rsid w:val="00A71FBA"/>
    <w:rsid w:val="00A75221"/>
    <w:rsid w:val="00A85D34"/>
    <w:rsid w:val="00A9036F"/>
    <w:rsid w:val="00A93836"/>
    <w:rsid w:val="00AA191F"/>
    <w:rsid w:val="00AB04CD"/>
    <w:rsid w:val="00AB5426"/>
    <w:rsid w:val="00AC7184"/>
    <w:rsid w:val="00AD37BE"/>
    <w:rsid w:val="00AD4C34"/>
    <w:rsid w:val="00AD503F"/>
    <w:rsid w:val="00AD7124"/>
    <w:rsid w:val="00AE1DE0"/>
    <w:rsid w:val="00AE2AFB"/>
    <w:rsid w:val="00AE33F7"/>
    <w:rsid w:val="00AE7547"/>
    <w:rsid w:val="00AF4400"/>
    <w:rsid w:val="00B27D6D"/>
    <w:rsid w:val="00B305FD"/>
    <w:rsid w:val="00B35171"/>
    <w:rsid w:val="00B409AB"/>
    <w:rsid w:val="00B47451"/>
    <w:rsid w:val="00B539F6"/>
    <w:rsid w:val="00B54420"/>
    <w:rsid w:val="00B55366"/>
    <w:rsid w:val="00B70B2C"/>
    <w:rsid w:val="00B73742"/>
    <w:rsid w:val="00B77803"/>
    <w:rsid w:val="00B8039A"/>
    <w:rsid w:val="00B8135E"/>
    <w:rsid w:val="00B93291"/>
    <w:rsid w:val="00BA2050"/>
    <w:rsid w:val="00BA4E56"/>
    <w:rsid w:val="00BB4AFF"/>
    <w:rsid w:val="00BC61EE"/>
    <w:rsid w:val="00BD3C01"/>
    <w:rsid w:val="00BF0EF1"/>
    <w:rsid w:val="00C0399A"/>
    <w:rsid w:val="00C0686C"/>
    <w:rsid w:val="00C1388A"/>
    <w:rsid w:val="00C24CAC"/>
    <w:rsid w:val="00C2594D"/>
    <w:rsid w:val="00C45907"/>
    <w:rsid w:val="00C630D9"/>
    <w:rsid w:val="00C7465E"/>
    <w:rsid w:val="00C85EC2"/>
    <w:rsid w:val="00C86117"/>
    <w:rsid w:val="00C9102B"/>
    <w:rsid w:val="00CB0861"/>
    <w:rsid w:val="00CB7E1F"/>
    <w:rsid w:val="00CC4E9B"/>
    <w:rsid w:val="00CC726D"/>
    <w:rsid w:val="00CD0623"/>
    <w:rsid w:val="00CD10AA"/>
    <w:rsid w:val="00CD2E1C"/>
    <w:rsid w:val="00CD6B5E"/>
    <w:rsid w:val="00CE516F"/>
    <w:rsid w:val="00CE78B6"/>
    <w:rsid w:val="00CF2163"/>
    <w:rsid w:val="00CF7C84"/>
    <w:rsid w:val="00D04831"/>
    <w:rsid w:val="00D228D2"/>
    <w:rsid w:val="00D257F8"/>
    <w:rsid w:val="00D27362"/>
    <w:rsid w:val="00D57387"/>
    <w:rsid w:val="00D578D3"/>
    <w:rsid w:val="00D6136B"/>
    <w:rsid w:val="00D6219F"/>
    <w:rsid w:val="00D653FC"/>
    <w:rsid w:val="00D816C4"/>
    <w:rsid w:val="00D83A79"/>
    <w:rsid w:val="00D84441"/>
    <w:rsid w:val="00D9220D"/>
    <w:rsid w:val="00D97C59"/>
    <w:rsid w:val="00DA2103"/>
    <w:rsid w:val="00DB6F3F"/>
    <w:rsid w:val="00DC072C"/>
    <w:rsid w:val="00DC5E7F"/>
    <w:rsid w:val="00DC6580"/>
    <w:rsid w:val="00DC66A7"/>
    <w:rsid w:val="00DD3584"/>
    <w:rsid w:val="00DD4599"/>
    <w:rsid w:val="00DD75E5"/>
    <w:rsid w:val="00DF1177"/>
    <w:rsid w:val="00DF15FB"/>
    <w:rsid w:val="00DF1BC0"/>
    <w:rsid w:val="00E02000"/>
    <w:rsid w:val="00E11F9F"/>
    <w:rsid w:val="00E13AE8"/>
    <w:rsid w:val="00E1735A"/>
    <w:rsid w:val="00E17A75"/>
    <w:rsid w:val="00E2542E"/>
    <w:rsid w:val="00E25F94"/>
    <w:rsid w:val="00E35C49"/>
    <w:rsid w:val="00E40DB0"/>
    <w:rsid w:val="00E53972"/>
    <w:rsid w:val="00E569E6"/>
    <w:rsid w:val="00E72F9F"/>
    <w:rsid w:val="00E81B50"/>
    <w:rsid w:val="00E87F00"/>
    <w:rsid w:val="00EA4EDE"/>
    <w:rsid w:val="00EB142D"/>
    <w:rsid w:val="00EB14BB"/>
    <w:rsid w:val="00EB4D97"/>
    <w:rsid w:val="00EC38F4"/>
    <w:rsid w:val="00ED157A"/>
    <w:rsid w:val="00ED4652"/>
    <w:rsid w:val="00ED7507"/>
    <w:rsid w:val="00EE3377"/>
    <w:rsid w:val="00EF5B2C"/>
    <w:rsid w:val="00F02866"/>
    <w:rsid w:val="00F02B22"/>
    <w:rsid w:val="00F03511"/>
    <w:rsid w:val="00F05531"/>
    <w:rsid w:val="00F11164"/>
    <w:rsid w:val="00F25577"/>
    <w:rsid w:val="00F27009"/>
    <w:rsid w:val="00F311D8"/>
    <w:rsid w:val="00F31302"/>
    <w:rsid w:val="00F36843"/>
    <w:rsid w:val="00F41417"/>
    <w:rsid w:val="00F41868"/>
    <w:rsid w:val="00F42F5D"/>
    <w:rsid w:val="00F44A1A"/>
    <w:rsid w:val="00F468C4"/>
    <w:rsid w:val="00F67666"/>
    <w:rsid w:val="00F7004C"/>
    <w:rsid w:val="00F70660"/>
    <w:rsid w:val="00F7536C"/>
    <w:rsid w:val="00F8103C"/>
    <w:rsid w:val="00F8203C"/>
    <w:rsid w:val="00F835F2"/>
    <w:rsid w:val="00F944D3"/>
    <w:rsid w:val="00FA03F8"/>
    <w:rsid w:val="00FA0D4C"/>
    <w:rsid w:val="00FA253D"/>
    <w:rsid w:val="00FA3562"/>
    <w:rsid w:val="00FB475A"/>
    <w:rsid w:val="00FB67DA"/>
    <w:rsid w:val="00FC3C89"/>
    <w:rsid w:val="00FC78CD"/>
    <w:rsid w:val="00FD0B28"/>
    <w:rsid w:val="00FD187E"/>
    <w:rsid w:val="00FE1226"/>
    <w:rsid w:val="00FF1D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AA95EA"/>
  <w15:chartTrackingRefBased/>
  <w15:docId w15:val="{9252B8BD-4E19-4EFA-85F6-4BF1300F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135E"/>
    <w:pPr>
      <w:tabs>
        <w:tab w:val="left" w:pos="567"/>
      </w:tabs>
      <w:spacing w:line="260" w:lineRule="exact"/>
    </w:pPr>
    <w:rPr>
      <w:sz w:val="22"/>
      <w:lang w:val="lv-LV"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135E"/>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B8135E"/>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sid w:val="00B8135E"/>
    <w:rPr>
      <w:rFonts w:ascii="Tahoma" w:hAnsi="Tahoma"/>
      <w:sz w:val="16"/>
      <w:szCs w:val="16"/>
    </w:rPr>
  </w:style>
  <w:style w:type="character" w:styleId="FollowedHyperlink">
    <w:name w:val="FollowedHyperlink"/>
    <w:rPr>
      <w:color w:val="800080"/>
      <w:u w:val="single"/>
    </w:rPr>
  </w:style>
  <w:style w:type="character" w:styleId="CommentReference">
    <w:name w:val="annotation reference"/>
    <w:unhideWhenUsed/>
    <w:rsid w:val="00F468C4"/>
    <w:rPr>
      <w:sz w:val="16"/>
      <w:szCs w:val="16"/>
    </w:rPr>
  </w:style>
  <w:style w:type="paragraph" w:styleId="CommentText">
    <w:name w:val="annotation text"/>
    <w:basedOn w:val="Normal"/>
    <w:link w:val="CommentTextChar1"/>
    <w:unhideWhenUsed/>
    <w:rsid w:val="00F468C4"/>
    <w:rPr>
      <w:snapToGrid w:val="0"/>
      <w:sz w:val="20"/>
      <w:lang w:val="en-GB" w:eastAsia="zh-CN"/>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AC7184"/>
    <w:pPr>
      <w:widowControl w:val="0"/>
      <w:autoSpaceDE w:val="0"/>
      <w:autoSpaceDN w:val="0"/>
      <w:adjustRightInd w:val="0"/>
    </w:pPr>
    <w:rPr>
      <w:color w:val="000000"/>
      <w:sz w:val="24"/>
      <w:szCs w:val="24"/>
      <w:lang w:val="en-GB" w:eastAsia="en-GB"/>
    </w:rPr>
  </w:style>
  <w:style w:type="paragraph" w:styleId="BodyText">
    <w:name w:val="Body Text"/>
    <w:basedOn w:val="Normal"/>
    <w:link w:val="BodyTextChar"/>
    <w:rsid w:val="00DB6F3F"/>
    <w:pPr>
      <w:tabs>
        <w:tab w:val="clear" w:pos="567"/>
      </w:tabs>
      <w:spacing w:line="240" w:lineRule="auto"/>
    </w:pPr>
    <w:rPr>
      <w:i/>
      <w:color w:val="008000"/>
      <w:lang w:val="x-none"/>
    </w:rPr>
  </w:style>
  <w:style w:type="character" w:customStyle="1" w:styleId="BodyTextChar">
    <w:name w:val="Body Text Char"/>
    <w:link w:val="BodyText"/>
    <w:rsid w:val="00DB6F3F"/>
    <w:rPr>
      <w:i/>
      <w:color w:val="008000"/>
      <w:sz w:val="22"/>
      <w:lang w:eastAsia="en-US"/>
    </w:rPr>
  </w:style>
  <w:style w:type="character" w:customStyle="1" w:styleId="apple-style-span">
    <w:name w:val="apple-style-span"/>
    <w:basedOn w:val="DefaultParagraphFont"/>
    <w:rsid w:val="00930FA0"/>
  </w:style>
  <w:style w:type="character" w:customStyle="1" w:styleId="HeaderChar">
    <w:name w:val="Header Char"/>
    <w:link w:val="Header"/>
    <w:uiPriority w:val="99"/>
    <w:locked/>
    <w:rsid w:val="00DF1177"/>
    <w:rPr>
      <w:rFonts w:ascii="Helvetica" w:hAnsi="Helvetica"/>
      <w:lang w:val="lv-LV" w:eastAsia="en-US"/>
    </w:rPr>
  </w:style>
  <w:style w:type="character" w:customStyle="1" w:styleId="FooterChar">
    <w:name w:val="Footer Char"/>
    <w:link w:val="Footer"/>
    <w:uiPriority w:val="99"/>
    <w:locked/>
    <w:rsid w:val="00DF1177"/>
    <w:rPr>
      <w:rFonts w:ascii="Helvetica" w:hAnsi="Helvetica"/>
      <w:sz w:val="16"/>
      <w:lang w:val="lv-LV" w:eastAsia="en-US"/>
    </w:rPr>
  </w:style>
  <w:style w:type="character" w:customStyle="1" w:styleId="BalloonTextChar">
    <w:name w:val="Balloon Text Char"/>
    <w:link w:val="BalloonText"/>
    <w:uiPriority w:val="99"/>
    <w:semiHidden/>
    <w:locked/>
    <w:rsid w:val="00DF1177"/>
    <w:rPr>
      <w:rFonts w:ascii="Tahoma" w:hAnsi="Tahoma" w:cs="Tahoma"/>
      <w:sz w:val="16"/>
      <w:szCs w:val="16"/>
      <w:lang w:val="lv-LV" w:eastAsia="en-US"/>
    </w:rPr>
  </w:style>
  <w:style w:type="paragraph" w:styleId="CommentSubject">
    <w:name w:val="annotation subject"/>
    <w:basedOn w:val="CommentText"/>
    <w:next w:val="CommentText"/>
    <w:link w:val="CommentSubjectChar"/>
    <w:rsid w:val="00560652"/>
    <w:rPr>
      <w:b/>
      <w:bCs/>
      <w:lang w:val="lv-LV"/>
    </w:rPr>
  </w:style>
  <w:style w:type="character" w:customStyle="1" w:styleId="CommentSubjectChar">
    <w:name w:val="Comment Subject Char"/>
    <w:link w:val="CommentSubject"/>
    <w:rsid w:val="00560652"/>
    <w:rPr>
      <w:b/>
      <w:bCs/>
      <w:snapToGrid w:val="0"/>
      <w:lang w:val="lv-LV" w:eastAsia="zh-CN"/>
    </w:rPr>
  </w:style>
  <w:style w:type="paragraph" w:styleId="Revision">
    <w:name w:val="Revision"/>
    <w:hidden/>
    <w:uiPriority w:val="99"/>
    <w:semiHidden/>
    <w:rsid w:val="00C24CAC"/>
    <w:rPr>
      <w:sz w:val="22"/>
      <w:lang w:val="lv-LV" w:eastAsia="en-US"/>
    </w:rPr>
  </w:style>
  <w:style w:type="character" w:customStyle="1" w:styleId="s">
    <w:name w:val="s"/>
    <w:rsid w:val="00461DB3"/>
  </w:style>
  <w:style w:type="paragraph" w:styleId="DocumentMap">
    <w:name w:val="Document Map"/>
    <w:basedOn w:val="Normal"/>
    <w:link w:val="DocumentMapChar"/>
    <w:rsid w:val="00906434"/>
    <w:pPr>
      <w:shd w:val="clear" w:color="auto" w:fill="000080"/>
    </w:pPr>
    <w:rPr>
      <w:rFonts w:ascii="Tahoma" w:hAnsi="Tahoma" w:cs="Tahoma"/>
      <w:lang w:val="en-GB"/>
    </w:rPr>
  </w:style>
  <w:style w:type="character" w:customStyle="1" w:styleId="DocumentMapChar">
    <w:name w:val="Document Map Char"/>
    <w:basedOn w:val="DefaultParagraphFont"/>
    <w:link w:val="DocumentMap"/>
    <w:rsid w:val="00906434"/>
    <w:rPr>
      <w:rFonts w:ascii="Tahoma" w:hAnsi="Tahoma" w:cs="Tahoma"/>
      <w:sz w:val="22"/>
      <w:shd w:val="clear" w:color="auto" w:fill="00008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732804">
      <w:bodyDiv w:val="1"/>
      <w:marLeft w:val="0"/>
      <w:marRight w:val="0"/>
      <w:marTop w:val="0"/>
      <w:marBottom w:val="0"/>
      <w:divBdr>
        <w:top w:val="none" w:sz="0" w:space="0" w:color="auto"/>
        <w:left w:val="none" w:sz="0" w:space="0" w:color="auto"/>
        <w:bottom w:val="none" w:sz="0" w:space="0" w:color="auto"/>
        <w:right w:val="none" w:sz="0" w:space="0" w:color="auto"/>
      </w:divBdr>
    </w:div>
    <w:div w:id="1287083503">
      <w:bodyDiv w:val="1"/>
      <w:marLeft w:val="0"/>
      <w:marRight w:val="0"/>
      <w:marTop w:val="0"/>
      <w:marBottom w:val="0"/>
      <w:divBdr>
        <w:top w:val="none" w:sz="0" w:space="0" w:color="auto"/>
        <w:left w:val="none" w:sz="0" w:space="0" w:color="auto"/>
        <w:bottom w:val="none" w:sz="0" w:space="0" w:color="auto"/>
        <w:right w:val="none" w:sz="0" w:space="0" w:color="auto"/>
      </w:divBdr>
      <w:divsChild>
        <w:div w:id="923802111">
          <w:marLeft w:val="0"/>
          <w:marRight w:val="0"/>
          <w:marTop w:val="0"/>
          <w:marBottom w:val="0"/>
          <w:divBdr>
            <w:top w:val="none" w:sz="0" w:space="0" w:color="auto"/>
            <w:left w:val="none" w:sz="0" w:space="0" w:color="auto"/>
            <w:bottom w:val="none" w:sz="0" w:space="0" w:color="auto"/>
            <w:right w:val="none" w:sz="0" w:space="0" w:color="auto"/>
          </w:divBdr>
        </w:div>
        <w:div w:id="1122305276">
          <w:marLeft w:val="0"/>
          <w:marRight w:val="0"/>
          <w:marTop w:val="0"/>
          <w:marBottom w:val="0"/>
          <w:divBdr>
            <w:top w:val="none" w:sz="0" w:space="0" w:color="auto"/>
            <w:left w:val="none" w:sz="0" w:space="0" w:color="auto"/>
            <w:bottom w:val="none" w:sz="0" w:space="0" w:color="auto"/>
            <w:right w:val="none" w:sz="0" w:space="0" w:color="auto"/>
          </w:divBdr>
        </w:div>
        <w:div w:id="1316181681">
          <w:marLeft w:val="0"/>
          <w:marRight w:val="0"/>
          <w:marTop w:val="0"/>
          <w:marBottom w:val="0"/>
          <w:divBdr>
            <w:top w:val="none" w:sz="0" w:space="0" w:color="auto"/>
            <w:left w:val="none" w:sz="0" w:space="0" w:color="auto"/>
            <w:bottom w:val="none" w:sz="0" w:space="0" w:color="auto"/>
            <w:right w:val="none" w:sz="0" w:space="0" w:color="auto"/>
          </w:divBdr>
        </w:div>
        <w:div w:id="1430081096">
          <w:marLeft w:val="0"/>
          <w:marRight w:val="0"/>
          <w:marTop w:val="0"/>
          <w:marBottom w:val="0"/>
          <w:divBdr>
            <w:top w:val="none" w:sz="0" w:space="0" w:color="auto"/>
            <w:left w:val="none" w:sz="0" w:space="0" w:color="auto"/>
            <w:bottom w:val="none" w:sz="0" w:space="0" w:color="auto"/>
            <w:right w:val="none" w:sz="0" w:space="0" w:color="auto"/>
          </w:divBdr>
        </w:div>
        <w:div w:id="1747339371">
          <w:marLeft w:val="0"/>
          <w:marRight w:val="0"/>
          <w:marTop w:val="0"/>
          <w:marBottom w:val="0"/>
          <w:divBdr>
            <w:top w:val="none" w:sz="0" w:space="0" w:color="auto"/>
            <w:left w:val="none" w:sz="0" w:space="0" w:color="auto"/>
            <w:bottom w:val="none" w:sz="0" w:space="0" w:color="auto"/>
            <w:right w:val="none" w:sz="0" w:space="0" w:color="auto"/>
          </w:divBdr>
        </w:div>
      </w:divsChild>
    </w:div>
    <w:div w:id="17646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A3365C719472AF4EB864CAF9999F537F" ma:contentTypeVersion="11" ma:contentTypeDescription="Utwórz nowy dokument." ma:contentTypeScope="" ma:versionID="5ec891214a47fa0e3a0e0d19a9e46a1a">
  <xsd:schema xmlns:xsd="http://www.w3.org/2001/XMLSchema" xmlns:xs="http://www.w3.org/2001/XMLSchema" xmlns:p="http://schemas.microsoft.com/office/2006/metadata/properties" xmlns:ns2="9405f1b0-4efb-43f9-8022-18c193a28375" xmlns:ns3="820a14f1-b773-44b0-bfdd-39fc7f5251e8" targetNamespace="http://schemas.microsoft.com/office/2006/metadata/properties" ma:root="true" ma:fieldsID="34a5475524ecfa36864f5febc9a4d217" ns2:_="" ns3:_="">
    <xsd:import namespace="9405f1b0-4efb-43f9-8022-18c193a28375"/>
    <xsd:import namespace="820a14f1-b773-44b0-bfdd-39fc7f5251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5f1b0-4efb-43f9-8022-18c193a28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a14f1-b773-44b0-bfdd-39fc7f5251e8"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_dlc_DocId" ma:index="1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2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20a14f1-b773-44b0-bfdd-39fc7f5251e8">PPMYQKEHWJEN-506186825-98639</_dlc_DocId>
    <_dlc_DocIdUrl xmlns="820a14f1-b773-44b0-bfdd-39fc7f5251e8">
      <Url>https://polpharma.sharepoint.com/sites/partnerweb/HL/_layouts/15/DocIdRedir.aspx?ID=PPMYQKEHWJEN-506186825-98639</Url>
      <Description>PPMYQKEHWJEN-506186825-98639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22A64E-1821-4F7F-8F1D-0C6C0675EF16}">
  <ds:schemaRefs>
    <ds:schemaRef ds:uri="http://schemas.microsoft.com/sharepoint/events"/>
  </ds:schemaRefs>
</ds:datastoreItem>
</file>

<file path=customXml/itemProps2.xml><?xml version="1.0" encoding="utf-8"?>
<ds:datastoreItem xmlns:ds="http://schemas.openxmlformats.org/officeDocument/2006/customXml" ds:itemID="{CF71DC07-EE6D-444C-B07C-ED3A85EC9F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5f1b0-4efb-43f9-8022-18c193a28375"/>
    <ds:schemaRef ds:uri="820a14f1-b773-44b0-bfdd-39fc7f525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D75308-EDF4-46E1-AF1D-2E70655F70ED}">
  <ds:schemaRefs>
    <ds:schemaRef ds:uri="http://schemas.microsoft.com/office/2006/metadata/properties"/>
    <ds:schemaRef ds:uri="http://schemas.microsoft.com/office/infopath/2007/PartnerControls"/>
    <ds:schemaRef ds:uri="82db5bd2-3f09-4eff-b4f8-de6a53cd5a02"/>
    <ds:schemaRef ds:uri="http://schemas.microsoft.com/sharepoint/v4"/>
    <ds:schemaRef ds:uri="820a14f1-b773-44b0-bfdd-39fc7f5251e8"/>
  </ds:schemaRefs>
</ds:datastoreItem>
</file>

<file path=customXml/itemProps4.xml><?xml version="1.0" encoding="utf-8"?>
<ds:datastoreItem xmlns:ds="http://schemas.openxmlformats.org/officeDocument/2006/customXml" ds:itemID="{7EC12B43-38DC-4D05-AF75-22B1EF4F055C}">
  <ds:schemaRefs>
    <ds:schemaRef ds:uri="http://schemas.openxmlformats.org/officeDocument/2006/bibliography"/>
  </ds:schemaRefs>
</ds:datastoreItem>
</file>

<file path=customXml/itemProps5.xml><?xml version="1.0" encoding="utf-8"?>
<ds:datastoreItem xmlns:ds="http://schemas.openxmlformats.org/officeDocument/2006/customXml" ds:itemID="{5F2D0861-C6BC-4649-AC30-B9B1C79EB1F9}">
  <ds:schemaRefs>
    <ds:schemaRef ds:uri="http://schemas.openxmlformats.org/officeDocument/2006/bibliography"/>
  </ds:schemaRefs>
</ds:datastoreItem>
</file>

<file path=customXml/itemProps6.xml><?xml version="1.0" encoding="utf-8"?>
<ds:datastoreItem xmlns:ds="http://schemas.openxmlformats.org/officeDocument/2006/customXml" ds:itemID="{F9632DF4-EAE4-443D-BB96-7226CDB172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1404</Words>
  <Characters>9676</Characters>
  <Application>Microsoft Office Word</Application>
  <DocSecurity>0</DocSecurity>
  <Lines>80</Lines>
  <Paragraphs>22</Paragraphs>
  <ScaleCrop>false</ScaleCrop>
  <HeadingPairs>
    <vt:vector size="6" baseType="variant">
      <vt:variant>
        <vt:lpstr>Nosaukums</vt:lpstr>
      </vt:variant>
      <vt:variant>
        <vt:i4>1</vt:i4>
      </vt:variant>
      <vt:variant>
        <vt:lpstr>Title</vt:lpstr>
      </vt:variant>
      <vt:variant>
        <vt:i4>1</vt:i4>
      </vt:variant>
      <vt:variant>
        <vt:lpstr>Tytuł</vt:lpstr>
      </vt:variant>
      <vt:variant>
        <vt:i4>1</vt:i4>
      </vt:variant>
    </vt:vector>
  </HeadingPairs>
  <TitlesOfParts>
    <vt:vector size="3" baseType="lpstr">
      <vt:lpstr>Hreferralspccleanlv</vt:lpstr>
      <vt:lpstr>Hreferralspccleanlv</vt:lpstr>
      <vt:lpstr>Hreferralspccleanlv</vt:lpstr>
    </vt:vector>
  </TitlesOfParts>
  <Company>EMEA</Company>
  <LinksUpToDate>false</LinksUpToDate>
  <CharactersWithSpaces>11058</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keywords/>
  <cp:lastModifiedBy>Skaidrīte Lapsenīte</cp:lastModifiedBy>
  <cp:revision>5</cp:revision>
  <cp:lastPrinted>2016-05-03T06:51:00Z</cp:lastPrinted>
  <dcterms:created xsi:type="dcterms:W3CDTF">2021-06-30T12:35:00Z</dcterms:created>
  <dcterms:modified xsi:type="dcterms:W3CDTF">2021-07-19T14:00:00Z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y fmtid="{D5CDD505-2E9C-101B-9397-08002B2CF9AE}" pid="43" name="ContentTypeId">
    <vt:lpwstr>0x010100A3365C719472AF4EB864CAF9999F537F</vt:lpwstr>
  </property>
  <property fmtid="{D5CDD505-2E9C-101B-9397-08002B2CF9AE}" pid="44" name="MSIP_Label_52c6716a-2832-4ee8-8ee5-b4471006f0c1_Enabled">
    <vt:lpwstr>true</vt:lpwstr>
  </property>
  <property fmtid="{D5CDD505-2E9C-101B-9397-08002B2CF9AE}" pid="45" name="MSIP_Label_52c6716a-2832-4ee8-8ee5-b4471006f0c1_SetDate">
    <vt:lpwstr>2021-06-30T12:16:54Z</vt:lpwstr>
  </property>
  <property fmtid="{D5CDD505-2E9C-101B-9397-08002B2CF9AE}" pid="46" name="MSIP_Label_52c6716a-2832-4ee8-8ee5-b4471006f0c1_Method">
    <vt:lpwstr>Privileged</vt:lpwstr>
  </property>
  <property fmtid="{D5CDD505-2E9C-101B-9397-08002B2CF9AE}" pid="47" name="MSIP_Label_52c6716a-2832-4ee8-8ee5-b4471006f0c1_Name">
    <vt:lpwstr>Poufne – Bez Oznaczeń</vt:lpwstr>
  </property>
  <property fmtid="{D5CDD505-2E9C-101B-9397-08002B2CF9AE}" pid="48" name="MSIP_Label_52c6716a-2832-4ee8-8ee5-b4471006f0c1_SiteId">
    <vt:lpwstr>edf3cfc4-ee60-4b92-a2cb-da2c123fc895</vt:lpwstr>
  </property>
  <property fmtid="{D5CDD505-2E9C-101B-9397-08002B2CF9AE}" pid="49" name="MSIP_Label_52c6716a-2832-4ee8-8ee5-b4471006f0c1_ActionId">
    <vt:lpwstr>5688cad4-8462-43c0-881c-7ddb4ce093a0</vt:lpwstr>
  </property>
  <property fmtid="{D5CDD505-2E9C-101B-9397-08002B2CF9AE}" pid="50" name="MSIP_Label_52c6716a-2832-4ee8-8ee5-b4471006f0c1_ContentBits">
    <vt:lpwstr>0</vt:lpwstr>
  </property>
  <property fmtid="{D5CDD505-2E9C-101B-9397-08002B2CF9AE}" pid="51" name="_dlc_DocIdItemGuid">
    <vt:lpwstr>539dc3c9-bb92-4ea7-9464-bd96d3079861</vt:lpwstr>
  </property>
</Properties>
</file>