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7457" w14:textId="77777777" w:rsidR="00DE76E2" w:rsidRDefault="00F71E05" w:rsidP="002B72E0">
      <w:pPr>
        <w:tabs>
          <w:tab w:val="clear" w:pos="567"/>
        </w:tabs>
        <w:spacing w:line="240" w:lineRule="auto"/>
        <w:jc w:val="center"/>
        <w:rPr>
          <w:b/>
          <w:noProof/>
        </w:rPr>
      </w:pPr>
      <w:r w:rsidRPr="00F71E05">
        <w:rPr>
          <w:b/>
          <w:noProof/>
        </w:rPr>
        <w:t>Lietošanas instrukcija: informācija lietotājam</w:t>
      </w:r>
    </w:p>
    <w:p w14:paraId="197C12E9" w14:textId="77777777" w:rsidR="00DE76E2" w:rsidRDefault="00DE76E2">
      <w:pPr>
        <w:tabs>
          <w:tab w:val="clear" w:pos="567"/>
        </w:tabs>
        <w:spacing w:line="240" w:lineRule="auto"/>
        <w:ind w:left="567" w:hanging="567"/>
        <w:jc w:val="center"/>
        <w:rPr>
          <w:noProof/>
        </w:rPr>
      </w:pPr>
    </w:p>
    <w:p w14:paraId="47EE3E4D" w14:textId="77777777" w:rsidR="00DE76E2" w:rsidRDefault="00A656D7">
      <w:pPr>
        <w:tabs>
          <w:tab w:val="clear" w:pos="567"/>
        </w:tabs>
        <w:spacing w:line="240" w:lineRule="auto"/>
        <w:ind w:left="567" w:hanging="567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EFFERALGAN </w:t>
      </w:r>
      <w:r w:rsidR="00256F8D">
        <w:rPr>
          <w:b/>
          <w:bCs/>
          <w:noProof/>
        </w:rPr>
        <w:t xml:space="preserve">500 mg </w:t>
      </w:r>
      <w:r w:rsidR="00E027F4">
        <w:rPr>
          <w:b/>
          <w:bCs/>
          <w:noProof/>
        </w:rPr>
        <w:t>putojošās tabletes</w:t>
      </w:r>
    </w:p>
    <w:p w14:paraId="19D8D8A8" w14:textId="77777777" w:rsidR="00DE76E2" w:rsidRPr="003C4450" w:rsidRDefault="00E027F4">
      <w:pPr>
        <w:tabs>
          <w:tab w:val="clear" w:pos="567"/>
        </w:tabs>
        <w:spacing w:line="240" w:lineRule="auto"/>
        <w:ind w:left="567" w:hanging="567"/>
        <w:jc w:val="center"/>
        <w:rPr>
          <w:i/>
          <w:iCs/>
          <w:noProof/>
        </w:rPr>
      </w:pPr>
      <w:r w:rsidRPr="003C4450">
        <w:rPr>
          <w:i/>
          <w:iCs/>
          <w:noProof/>
        </w:rPr>
        <w:t>paracetamol</w:t>
      </w:r>
      <w:r w:rsidR="00A71DFB" w:rsidRPr="003C4450">
        <w:rPr>
          <w:i/>
          <w:iCs/>
          <w:noProof/>
        </w:rPr>
        <w:t>um</w:t>
      </w:r>
    </w:p>
    <w:p w14:paraId="2EFC5FDA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22F5F83A" w14:textId="77777777" w:rsidR="00DE76E2" w:rsidRDefault="00F71E05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F71E05">
        <w:rPr>
          <w:b/>
          <w:noProof/>
        </w:rPr>
        <w:t>Pirms šo zāļu lietošanas uzmanīgi izlasiet visu instrukciju, jo tā satur Jums svarīgu informāciju.</w:t>
      </w:r>
    </w:p>
    <w:p w14:paraId="51408E3A" w14:textId="77777777" w:rsidR="00AE49B8" w:rsidRDefault="00AE49B8" w:rsidP="00256F8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AE49B8">
        <w:t xml:space="preserve"> </w:t>
      </w:r>
      <w:r w:rsidRPr="00734E36">
        <w:t>Vienmēr lietojiet šīs zāles tieši tā, kā aprakstīts šajā instrukcijā</w:t>
      </w:r>
      <w:r>
        <w:t xml:space="preserve"> vai kā ārsts vai farmaceits Jums </w:t>
      </w:r>
      <w:r w:rsidRPr="00734E36">
        <w:t>teicis(-kusi).</w:t>
      </w:r>
    </w:p>
    <w:p w14:paraId="349D3A03" w14:textId="77777777" w:rsidR="00F71E05" w:rsidRPr="00F71E05" w:rsidRDefault="00AE49B8" w:rsidP="001B2DB6">
      <w:pPr>
        <w:numPr>
          <w:ilvl w:val="0"/>
          <w:numId w:val="20"/>
        </w:numPr>
        <w:tabs>
          <w:tab w:val="clear" w:pos="567"/>
        </w:tabs>
        <w:spacing w:line="240" w:lineRule="auto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    </w:t>
      </w:r>
      <w:r w:rsidR="00F71E05" w:rsidRPr="00F71E05">
        <w:rPr>
          <w:snapToGrid w:val="0"/>
          <w:lang w:eastAsia="zh-CN"/>
        </w:rPr>
        <w:t>Saglabājiet šo instrukciju! Iespējams, ka vēlāk to vajadzēs pārlasīt.</w:t>
      </w:r>
    </w:p>
    <w:p w14:paraId="0EC750FF" w14:textId="77777777" w:rsidR="00F71E05" w:rsidRPr="00F71E05" w:rsidRDefault="00F71E05" w:rsidP="00F71E05">
      <w:pPr>
        <w:numPr>
          <w:ilvl w:val="0"/>
          <w:numId w:val="20"/>
        </w:numPr>
        <w:tabs>
          <w:tab w:val="clear" w:pos="567"/>
        </w:tabs>
        <w:spacing w:line="240" w:lineRule="auto"/>
        <w:ind w:left="567" w:hanging="567"/>
        <w:rPr>
          <w:snapToGrid w:val="0"/>
          <w:lang w:eastAsia="zh-CN"/>
        </w:rPr>
      </w:pPr>
      <w:r w:rsidRPr="00F71E05">
        <w:rPr>
          <w:snapToGrid w:val="0"/>
          <w:lang w:eastAsia="zh-CN"/>
        </w:rPr>
        <w:t>Ja Jums nepieciešama papildu informācija vai padoms, vaicājiet farmaceitam.</w:t>
      </w:r>
    </w:p>
    <w:p w14:paraId="0F7AFA31" w14:textId="77777777" w:rsidR="00F71E05" w:rsidRDefault="00F71E05" w:rsidP="00423DCD">
      <w:pPr>
        <w:numPr>
          <w:ilvl w:val="0"/>
          <w:numId w:val="20"/>
        </w:numPr>
        <w:tabs>
          <w:tab w:val="clear" w:pos="567"/>
        </w:tabs>
        <w:spacing w:line="240" w:lineRule="auto"/>
        <w:ind w:left="567" w:hanging="567"/>
        <w:rPr>
          <w:snapToGrid w:val="0"/>
          <w:lang w:eastAsia="zh-CN"/>
        </w:rPr>
      </w:pPr>
      <w:r w:rsidRPr="00F71E05">
        <w:rPr>
          <w:snapToGrid w:val="0"/>
          <w:lang w:eastAsia="zh-CN"/>
        </w:rPr>
        <w:t xml:space="preserve">Ja Jums </w:t>
      </w:r>
      <w:r w:rsidRPr="00F71E05">
        <w:rPr>
          <w:snapToGrid w:val="0"/>
          <w:szCs w:val="22"/>
          <w:lang w:eastAsia="zh-CN"/>
        </w:rPr>
        <w:t>rodas</w:t>
      </w:r>
      <w:r w:rsidRPr="00F71E05">
        <w:rPr>
          <w:snapToGrid w:val="0"/>
          <w:lang w:eastAsia="zh-CN"/>
        </w:rPr>
        <w:t xml:space="preserve"> jebkādas blakusparādības, konsultējieties ar ārstu vai farmaceitu. Tas attiecas arī uz iespējamām blakusparādībām, kas </w:t>
      </w:r>
      <w:r w:rsidRPr="00F71E05">
        <w:rPr>
          <w:snapToGrid w:val="0"/>
          <w:szCs w:val="22"/>
          <w:lang w:eastAsia="zh-CN"/>
        </w:rPr>
        <w:t xml:space="preserve">nav minētas </w:t>
      </w:r>
      <w:r w:rsidRPr="00F71E05">
        <w:rPr>
          <w:snapToGrid w:val="0"/>
          <w:lang w:eastAsia="zh-CN"/>
        </w:rPr>
        <w:t>šajā instrukcijā</w:t>
      </w:r>
      <w:r w:rsidRPr="00F71E05">
        <w:rPr>
          <w:snapToGrid w:val="0"/>
          <w:szCs w:val="22"/>
          <w:lang w:eastAsia="zh-CN"/>
        </w:rPr>
        <w:t>. Skatīt 4. punktu</w:t>
      </w:r>
      <w:r w:rsidRPr="00F71E05">
        <w:rPr>
          <w:snapToGrid w:val="0"/>
          <w:lang w:eastAsia="zh-CN"/>
        </w:rPr>
        <w:t>.</w:t>
      </w:r>
    </w:p>
    <w:p w14:paraId="7BDCDC13" w14:textId="77777777" w:rsidR="00DE76E2" w:rsidRDefault="00F71E05">
      <w:pPr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F71E05">
        <w:rPr>
          <w:snapToGrid w:val="0"/>
          <w:lang w:eastAsia="zh-CN"/>
        </w:rPr>
        <w:t>Ja pēc 3 dienām nejūtaties labāk vai jūtaties sliktāk, Jums jākonsultējas ar ārstu.</w:t>
      </w:r>
    </w:p>
    <w:p w14:paraId="62F3C088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3C2E1685" w14:textId="77777777" w:rsidR="00DE76E2" w:rsidRPr="00423DCD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423DCD">
        <w:rPr>
          <w:b/>
          <w:noProof/>
        </w:rPr>
        <w:t>Šajā instrukcijā varat uzzināt</w:t>
      </w:r>
      <w:r w:rsidRPr="00423DCD">
        <w:rPr>
          <w:noProof/>
        </w:rPr>
        <w:t xml:space="preserve">: </w:t>
      </w:r>
    </w:p>
    <w:p w14:paraId="4F22C27C" w14:textId="77777777" w:rsidR="00F71E05" w:rsidRDefault="00F71E05" w:rsidP="00F71E05">
      <w:p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1. Kas ir EFFERALGAN un kādam nolūkam tās lieto</w:t>
      </w:r>
    </w:p>
    <w:p w14:paraId="038BE48B" w14:textId="77777777" w:rsidR="00F71E05" w:rsidRDefault="00F71E05" w:rsidP="00F71E05">
      <w:p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2. Kas Jums jāzina pirms EFFERALGAN lietošanas</w:t>
      </w:r>
    </w:p>
    <w:p w14:paraId="28CB65A4" w14:textId="77777777" w:rsidR="00F71E05" w:rsidRDefault="00F71E05" w:rsidP="00F71E05">
      <w:p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3. Kā lietot EFFERALGAN</w:t>
      </w:r>
    </w:p>
    <w:p w14:paraId="1E070073" w14:textId="77777777" w:rsidR="00F71E05" w:rsidRDefault="00F71E05" w:rsidP="00F71E05">
      <w:p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 xml:space="preserve">4. Iespējamās blakusparādības </w:t>
      </w:r>
    </w:p>
    <w:p w14:paraId="0DA8F447" w14:textId="77777777" w:rsidR="00F71E05" w:rsidRDefault="00F71E05" w:rsidP="00F71E05">
      <w:p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 xml:space="preserve">5. Kā uzglabāt EFFERALGAN </w:t>
      </w:r>
    </w:p>
    <w:p w14:paraId="25AFF99F" w14:textId="77777777" w:rsidR="00DE76E2" w:rsidRDefault="00F71E05" w:rsidP="00E027F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6. Iepakojuma saturs un cita informācija</w:t>
      </w:r>
      <w:r w:rsidDel="00F71E05">
        <w:rPr>
          <w:noProof/>
        </w:rPr>
        <w:t xml:space="preserve"> </w:t>
      </w:r>
    </w:p>
    <w:p w14:paraId="6B081A95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30F0AD75" w14:textId="77777777" w:rsidR="00DE76E2" w:rsidRDefault="00E027F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</w:r>
      <w:r w:rsidR="00F71E05" w:rsidRPr="00F71E05">
        <w:rPr>
          <w:b/>
          <w:noProof/>
        </w:rPr>
        <w:t>Kas i</w:t>
      </w:r>
      <w:r w:rsidR="00F71E05">
        <w:rPr>
          <w:b/>
          <w:noProof/>
        </w:rPr>
        <w:t>r EFFERALGAN un kādam nolūkam t</w:t>
      </w:r>
      <w:r w:rsidR="00F71E05" w:rsidRPr="00F71E05">
        <w:rPr>
          <w:b/>
          <w:noProof/>
        </w:rPr>
        <w:t>ās lieto</w:t>
      </w:r>
      <w:r w:rsidR="00F71E05" w:rsidRPr="00F71E05" w:rsidDel="00F71E05">
        <w:rPr>
          <w:b/>
          <w:noProof/>
        </w:rPr>
        <w:t xml:space="preserve"> </w:t>
      </w:r>
    </w:p>
    <w:p w14:paraId="1C3B2790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246992C9" w14:textId="77777777" w:rsidR="00687AEF" w:rsidRDefault="00643B15" w:rsidP="0071635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 xml:space="preserve">Efferalgan ir zāles </w:t>
      </w:r>
      <w:r w:rsidR="00CD036F">
        <w:rPr>
          <w:noProof/>
        </w:rPr>
        <w:t xml:space="preserve">vieglu un </w:t>
      </w:r>
      <w:r w:rsidR="001522CE">
        <w:rPr>
          <w:noProof/>
        </w:rPr>
        <w:t xml:space="preserve">vidēji stipru </w:t>
      </w:r>
      <w:r w:rsidR="00CD036F">
        <w:rPr>
          <w:noProof/>
        </w:rPr>
        <w:t xml:space="preserve">sāpju un/vai drudža ārstēšanai. </w:t>
      </w:r>
    </w:p>
    <w:p w14:paraId="0130E9D6" w14:textId="77777777" w:rsidR="00687AEF" w:rsidRDefault="00687AEF" w:rsidP="0071635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4C876ECA" w14:textId="77777777" w:rsidR="00687AEF" w:rsidRDefault="00687AEF" w:rsidP="0071635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Efferalgan ir putojošo tablešu veidā, kas nozīmē to, ka tiklīdz Jūs to izšķīdināt ūdenī, t</w:t>
      </w:r>
      <w:r w:rsidR="001C4568">
        <w:rPr>
          <w:noProof/>
        </w:rPr>
        <w:t>ā</w:t>
      </w:r>
      <w:r>
        <w:rPr>
          <w:noProof/>
        </w:rPr>
        <w:t>s ātrāk nekā parasta tablete atvieglo sāpes.</w:t>
      </w:r>
    </w:p>
    <w:p w14:paraId="02B21022" w14:textId="77777777" w:rsidR="00687AEF" w:rsidRDefault="00687AEF" w:rsidP="0071635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042191A4" w14:textId="77777777" w:rsidR="00DE76E2" w:rsidRDefault="00687AEF" w:rsidP="0071635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 xml:space="preserve">Efferalgan </w:t>
      </w:r>
      <w:r w:rsidR="00CD036F">
        <w:rPr>
          <w:noProof/>
        </w:rPr>
        <w:t xml:space="preserve">var izmantot, </w:t>
      </w:r>
      <w:r w:rsidR="007A4E95">
        <w:rPr>
          <w:noProof/>
        </w:rPr>
        <w:t>ja Jums ir</w:t>
      </w:r>
      <w:r w:rsidR="00CD036F">
        <w:rPr>
          <w:noProof/>
        </w:rPr>
        <w:t xml:space="preserve"> galvassāpes, </w:t>
      </w:r>
      <w:r>
        <w:rPr>
          <w:noProof/>
        </w:rPr>
        <w:t xml:space="preserve">zobu sāpes, </w:t>
      </w:r>
      <w:r w:rsidR="007A4E95">
        <w:rPr>
          <w:noProof/>
        </w:rPr>
        <w:t>iekaisis</w:t>
      </w:r>
      <w:r>
        <w:rPr>
          <w:noProof/>
        </w:rPr>
        <w:t xml:space="preserve"> kakl</w:t>
      </w:r>
      <w:r w:rsidR="007A4E95">
        <w:rPr>
          <w:noProof/>
        </w:rPr>
        <w:t>s</w:t>
      </w:r>
      <w:r>
        <w:rPr>
          <w:noProof/>
        </w:rPr>
        <w:t>, muskuļu sāpes un sāpīgas menstruācijas</w:t>
      </w:r>
      <w:r w:rsidR="007A4E95">
        <w:rPr>
          <w:noProof/>
        </w:rPr>
        <w:t>.</w:t>
      </w:r>
      <w:r>
        <w:rPr>
          <w:noProof/>
        </w:rPr>
        <w:t xml:space="preserve"> </w:t>
      </w:r>
      <w:r w:rsidR="007A4E95">
        <w:rPr>
          <w:noProof/>
        </w:rPr>
        <w:t xml:space="preserve">Tas arī samazina temperatūru un atvieglo saaukstēšanās un </w:t>
      </w:r>
      <w:r w:rsidR="00CD036F">
        <w:rPr>
          <w:noProof/>
        </w:rPr>
        <w:t>gripa</w:t>
      </w:r>
      <w:r w:rsidR="007A4E95">
        <w:rPr>
          <w:noProof/>
        </w:rPr>
        <w:t>s</w:t>
      </w:r>
      <w:r w:rsidR="00CD036F">
        <w:rPr>
          <w:noProof/>
        </w:rPr>
        <w:t xml:space="preserve"> </w:t>
      </w:r>
      <w:r w:rsidR="007A4E95">
        <w:rPr>
          <w:noProof/>
        </w:rPr>
        <w:t>simptomus</w:t>
      </w:r>
      <w:r w:rsidR="00CD036F">
        <w:rPr>
          <w:noProof/>
        </w:rPr>
        <w:t>.</w:t>
      </w:r>
    </w:p>
    <w:p w14:paraId="16DCF748" w14:textId="77777777" w:rsidR="0071635D" w:rsidRDefault="0071635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36074031" w14:textId="77777777" w:rsidR="0071635D" w:rsidRDefault="0071635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4F36677D" w14:textId="77777777" w:rsidR="00DE76E2" w:rsidRDefault="0047404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</w:r>
      <w:r w:rsidR="00B81989">
        <w:rPr>
          <w:b/>
          <w:noProof/>
        </w:rPr>
        <w:t xml:space="preserve">Kas Jums jāzina </w:t>
      </w:r>
      <w:r w:rsidR="00F71E05" w:rsidRPr="00F71E05">
        <w:rPr>
          <w:b/>
          <w:noProof/>
        </w:rPr>
        <w:t>pirms EFFERALGAN lietošanas</w:t>
      </w:r>
    </w:p>
    <w:p w14:paraId="752CF3BC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588F5E85" w14:textId="77777777" w:rsidR="00DE76E2" w:rsidRDefault="0047404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b/>
          <w:noProof/>
        </w:rPr>
        <w:t xml:space="preserve">Nelietojiet </w:t>
      </w:r>
      <w:r w:rsidR="00643B15" w:rsidRPr="00643B15">
        <w:rPr>
          <w:b/>
          <w:noProof/>
        </w:rPr>
        <w:t>Efferalgan</w:t>
      </w:r>
      <w:r w:rsidR="00643B15">
        <w:rPr>
          <w:noProof/>
        </w:rPr>
        <w:t xml:space="preserve"> </w:t>
      </w:r>
      <w:r w:rsidR="00DE76E2">
        <w:rPr>
          <w:b/>
          <w:noProof/>
        </w:rPr>
        <w:t>šādos gadījumos</w:t>
      </w:r>
    </w:p>
    <w:p w14:paraId="0F29EB76" w14:textId="77777777" w:rsidR="00DE76E2" w:rsidRDefault="0047404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="00DE76E2">
        <w:rPr>
          <w:noProof/>
        </w:rPr>
        <w:t xml:space="preserve">ja Jums ir alerģija (paaugstināta jutība) pret </w:t>
      </w:r>
      <w:r w:rsidR="0071635D">
        <w:rPr>
          <w:noProof/>
        </w:rPr>
        <w:t>paracetamolu</w:t>
      </w:r>
      <w:r>
        <w:rPr>
          <w:noProof/>
        </w:rPr>
        <w:t xml:space="preserve"> vai kādu citu </w:t>
      </w:r>
      <w:r w:rsidR="006F7F46" w:rsidRPr="006F7F46">
        <w:rPr>
          <w:noProof/>
        </w:rPr>
        <w:t>(6. punktā minēto) šo zāļu sastāvdaļu</w:t>
      </w:r>
      <w:r>
        <w:rPr>
          <w:noProof/>
        </w:rPr>
        <w:t>;</w:t>
      </w:r>
    </w:p>
    <w:p w14:paraId="563ACADC" w14:textId="77777777" w:rsidR="00DE76E2" w:rsidRDefault="0071635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ja Jums ir smaga aknu slimība.</w:t>
      </w:r>
    </w:p>
    <w:p w14:paraId="28852E38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184ADB16" w14:textId="77777777" w:rsidR="006F7F46" w:rsidRDefault="006F7F46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</w:rPr>
      </w:pPr>
      <w:r w:rsidRPr="006F7F46">
        <w:rPr>
          <w:b/>
          <w:noProof/>
        </w:rPr>
        <w:t>Brīdinājumi un piesardzība lietošanā</w:t>
      </w:r>
    </w:p>
    <w:p w14:paraId="0AC38C13" w14:textId="77777777" w:rsidR="00DE76E2" w:rsidRDefault="006F7F46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7F39E8">
        <w:t>Pirms EFFERALGAN lietošanas konsultējieties ar ārstu vai farmaceitu.</w:t>
      </w:r>
      <w:r>
        <w:t xml:space="preserve"> Īpaša piesardzība jāievēro šādos gadījumos:</w:t>
      </w:r>
    </w:p>
    <w:p w14:paraId="0AE16768" w14:textId="77777777" w:rsidR="00EE4C38" w:rsidRDefault="002814BC" w:rsidP="00EE4C38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="00EE4C38">
        <w:rPr>
          <w:noProof/>
        </w:rPr>
        <w:t xml:space="preserve">ja Jums ir smaga nieru slimība, </w:t>
      </w:r>
    </w:p>
    <w:p w14:paraId="0448C498" w14:textId="77777777" w:rsidR="006F7F46" w:rsidRDefault="006F7F46" w:rsidP="00EE4C38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6F7F46">
        <w:rPr>
          <w:noProof/>
        </w:rPr>
        <w:t xml:space="preserve">pieaugušajiem, kuru </w:t>
      </w:r>
      <w:r w:rsidR="001522CE">
        <w:rPr>
          <w:noProof/>
        </w:rPr>
        <w:t>ķermeņa masa</w:t>
      </w:r>
      <w:r w:rsidR="001522CE" w:rsidRPr="006F7F46">
        <w:rPr>
          <w:noProof/>
        </w:rPr>
        <w:t xml:space="preserve"> </w:t>
      </w:r>
      <w:r w:rsidRPr="006F7F46">
        <w:rPr>
          <w:noProof/>
        </w:rPr>
        <w:t>ir mazāk</w:t>
      </w:r>
      <w:r w:rsidR="001522CE">
        <w:rPr>
          <w:noProof/>
        </w:rPr>
        <w:t>a</w:t>
      </w:r>
      <w:r w:rsidRPr="006F7F46">
        <w:rPr>
          <w:noProof/>
        </w:rPr>
        <w:t xml:space="preserve"> </w:t>
      </w:r>
      <w:r w:rsidR="001522CE">
        <w:rPr>
          <w:noProof/>
        </w:rPr>
        <w:t>par</w:t>
      </w:r>
      <w:r w:rsidRPr="006F7F46">
        <w:rPr>
          <w:noProof/>
        </w:rPr>
        <w:t xml:space="preserve"> 50 kg;</w:t>
      </w:r>
    </w:p>
    <w:p w14:paraId="76AABD74" w14:textId="77777777" w:rsidR="00522BE6" w:rsidRDefault="007F6FC7" w:rsidP="00BC7941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F6FC7">
        <w:rPr>
          <w:noProof/>
        </w:rPr>
        <w:t>ja Jums ir hroniska vai kompensēta aktīva aknu slimība, jo īpaši viegla vai vidēji smaga hepatocelulāra mazspēja</w:t>
      </w:r>
      <w:r>
        <w:rPr>
          <w:noProof/>
        </w:rPr>
        <w:t>;</w:t>
      </w:r>
    </w:p>
    <w:p w14:paraId="0F32FADD" w14:textId="77777777" w:rsidR="00CE5F59" w:rsidRDefault="00CE5F59" w:rsidP="00BC7941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ja Jūs lietojat alkoholu;</w:t>
      </w:r>
    </w:p>
    <w:p w14:paraId="31CE9D2B" w14:textId="77777777" w:rsidR="00EE4C38" w:rsidRDefault="00522BE6" w:rsidP="00DB27B6">
      <w:pPr>
        <w:pStyle w:val="EMEATableLeft"/>
        <w:numPr>
          <w:ilvl w:val="0"/>
          <w:numId w:val="0"/>
        </w:numPr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  <w:t>ja Jums ir Žilbēra sindroms (</w:t>
      </w:r>
      <w:r w:rsidR="006F7F46" w:rsidRPr="006F7F46">
        <w:rPr>
          <w:noProof/>
        </w:rPr>
        <w:t>iedzimta hiperbilirubinēmija</w:t>
      </w:r>
      <w:r>
        <w:rPr>
          <w:noProof/>
        </w:rPr>
        <w:t>);</w:t>
      </w:r>
    </w:p>
    <w:p w14:paraId="5E704CE4" w14:textId="77777777" w:rsidR="006F7F46" w:rsidRDefault="006F7F46" w:rsidP="00DB27B6">
      <w:pPr>
        <w:pStyle w:val="EMEATableLeft"/>
        <w:numPr>
          <w:ilvl w:val="0"/>
          <w:numId w:val="0"/>
        </w:numPr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6F7F46">
        <w:rPr>
          <w:noProof/>
        </w:rPr>
        <w:t>ja Jums ir glikozes-6-fosfātdehidrogenāzes (G6FD) deficīts (var izraisīt hemolītisko anēmiju);</w:t>
      </w:r>
    </w:p>
    <w:p w14:paraId="1542B19B" w14:textId="77777777" w:rsidR="00522BE6" w:rsidRPr="00223572" w:rsidRDefault="00522BE6" w:rsidP="00CB46A6">
      <w:pPr>
        <w:pStyle w:val="EMEATableLeft"/>
        <w:keepNext/>
        <w:keepLines/>
        <w:numPr>
          <w:ilvl w:val="0"/>
          <w:numId w:val="0"/>
        </w:numPr>
        <w:tabs>
          <w:tab w:val="clear" w:pos="567"/>
        </w:tabs>
        <w:spacing w:line="240" w:lineRule="auto"/>
        <w:ind w:left="567" w:hanging="567"/>
      </w:pPr>
      <w:r>
        <w:rPr>
          <w:noProof/>
        </w:rPr>
        <w:t>-</w:t>
      </w:r>
      <w:r w:rsidR="00CB46A6">
        <w:rPr>
          <w:noProof/>
        </w:rPr>
        <w:tab/>
      </w:r>
      <w:r>
        <w:rPr>
          <w:noProof/>
        </w:rPr>
        <w:t>ja Jums ir anoreksija</w:t>
      </w:r>
      <w:r w:rsidR="007A4E95">
        <w:rPr>
          <w:noProof/>
        </w:rPr>
        <w:t xml:space="preserve"> vai</w:t>
      </w:r>
      <w:r w:rsidR="009D766B">
        <w:rPr>
          <w:noProof/>
        </w:rPr>
        <w:t xml:space="preserve"> </w:t>
      </w:r>
      <w:r w:rsidRPr="00223572">
        <w:rPr>
          <w:noProof/>
        </w:rPr>
        <w:t>bulīmija</w:t>
      </w:r>
      <w:r>
        <w:rPr>
          <w:noProof/>
        </w:rPr>
        <w:t xml:space="preserve"> </w:t>
      </w:r>
      <w:r w:rsidR="009D766B">
        <w:rPr>
          <w:noProof/>
        </w:rPr>
        <w:t xml:space="preserve">(nopietni ēšanas traucējumi), </w:t>
      </w:r>
      <w:r>
        <w:rPr>
          <w:noProof/>
        </w:rPr>
        <w:t>kaheksija</w:t>
      </w:r>
      <w:r w:rsidRPr="00223572">
        <w:rPr>
          <w:noProof/>
        </w:rPr>
        <w:t xml:space="preserve"> </w:t>
      </w:r>
      <w:r w:rsidR="00CB46A6">
        <w:rPr>
          <w:noProof/>
        </w:rPr>
        <w:t xml:space="preserve">(stiprs organisma novājējums) </w:t>
      </w:r>
      <w:r w:rsidRPr="00223572">
        <w:rPr>
          <w:noProof/>
        </w:rPr>
        <w:t>vai hronisk</w:t>
      </w:r>
      <w:r>
        <w:rPr>
          <w:noProof/>
        </w:rPr>
        <w:t>i nepietiekams</w:t>
      </w:r>
      <w:r w:rsidRPr="00223572">
        <w:rPr>
          <w:noProof/>
        </w:rPr>
        <w:t xml:space="preserve"> uztur</w:t>
      </w:r>
      <w:r>
        <w:rPr>
          <w:noProof/>
        </w:rPr>
        <w:t>s;</w:t>
      </w:r>
    </w:p>
    <w:p w14:paraId="3AA43491" w14:textId="77777777" w:rsidR="00522BE6" w:rsidRDefault="00522BE6" w:rsidP="00DB27B6">
      <w:pPr>
        <w:pStyle w:val="EMEATableLeft"/>
        <w:numPr>
          <w:ilvl w:val="0"/>
          <w:numId w:val="0"/>
        </w:numPr>
        <w:ind w:left="567" w:hanging="567"/>
      </w:pPr>
      <w:r>
        <w:t>-</w:t>
      </w:r>
      <w:r>
        <w:tab/>
        <w:t>ja Jums ir liels ūdens zudums organismā (dehidratācija</w:t>
      </w:r>
      <w:r w:rsidR="009E23E7">
        <w:t>) vai stipri samazinājies asins daudzums</w:t>
      </w:r>
      <w:r w:rsidR="00DB27B6">
        <w:t xml:space="preserve"> </w:t>
      </w:r>
      <w:r w:rsidR="009E23E7">
        <w:t>(</w:t>
      </w:r>
      <w:r>
        <w:t>hipovolēmija);</w:t>
      </w:r>
    </w:p>
    <w:p w14:paraId="48816D6D" w14:textId="77777777" w:rsidR="00522BE6" w:rsidRDefault="00522BE6" w:rsidP="00522BE6">
      <w:pPr>
        <w:pStyle w:val="EMEATableLeft"/>
        <w:numPr>
          <w:ilvl w:val="0"/>
          <w:numId w:val="0"/>
        </w:numPr>
        <w:rPr>
          <w:noProof/>
        </w:rPr>
      </w:pPr>
      <w:r>
        <w:t>-</w:t>
      </w:r>
      <w:r>
        <w:tab/>
      </w:r>
      <w:r>
        <w:rPr>
          <w:noProof/>
        </w:rPr>
        <w:t xml:space="preserve">ja </w:t>
      </w:r>
      <w:r w:rsidR="009E23E7">
        <w:rPr>
          <w:noProof/>
        </w:rPr>
        <w:t>Jūsu veselības stāvoklis pasliktinās vai neuzlabojas pēc 3 dienām</w:t>
      </w:r>
      <w:r>
        <w:rPr>
          <w:noProof/>
        </w:rPr>
        <w:t>.</w:t>
      </w:r>
    </w:p>
    <w:p w14:paraId="284FC4C4" w14:textId="77777777" w:rsidR="00BC7941" w:rsidRDefault="00BC7941" w:rsidP="00BC7941">
      <w:pPr>
        <w:rPr>
          <w:szCs w:val="22"/>
          <w:lang w:eastAsia="en-GB"/>
        </w:rPr>
      </w:pPr>
      <w:r w:rsidRPr="00A27E0F">
        <w:rPr>
          <w:szCs w:val="22"/>
          <w:lang w:eastAsia="en-GB"/>
        </w:rPr>
        <w:lastRenderedPageBreak/>
        <w:t>Ja pretsāpju līdzekļus lieto ilgstoši (&gt;3 mēnešus) pacientiem ar hroniskām galvassāpēm, lietojot ik pēc divām dienām vai biežāk, galvassāpes var attīstīties vai pas</w:t>
      </w:r>
      <w:r>
        <w:rPr>
          <w:szCs w:val="22"/>
          <w:lang w:eastAsia="en-GB"/>
        </w:rPr>
        <w:t>tiprināties</w:t>
      </w:r>
      <w:r w:rsidRPr="00A27E0F">
        <w:rPr>
          <w:szCs w:val="22"/>
          <w:lang w:eastAsia="en-GB"/>
        </w:rPr>
        <w:t xml:space="preserve">. </w:t>
      </w:r>
    </w:p>
    <w:p w14:paraId="173C68B3" w14:textId="77777777" w:rsidR="00BC7941" w:rsidRPr="00FF32D7" w:rsidRDefault="00BC7941" w:rsidP="00BC7941">
      <w:pPr>
        <w:rPr>
          <w:szCs w:val="22"/>
          <w:lang w:eastAsia="en-GB"/>
        </w:rPr>
      </w:pPr>
      <w:r w:rsidRPr="00A27E0F">
        <w:rPr>
          <w:szCs w:val="22"/>
          <w:lang w:eastAsia="en-GB"/>
        </w:rPr>
        <w:t>Galvassāpes, ko izraisa pārmērīga pretsāpju līdzekļu lietošana, nevajadzētu ārstēt, palielinot devu. Šādos gadījumos, konsultējoties ar</w:t>
      </w:r>
      <w:r>
        <w:rPr>
          <w:szCs w:val="22"/>
          <w:lang w:eastAsia="en-GB"/>
        </w:rPr>
        <w:t xml:space="preserve"> </w:t>
      </w:r>
      <w:r w:rsidRPr="00A27E0F">
        <w:rPr>
          <w:szCs w:val="22"/>
          <w:lang w:eastAsia="en-GB"/>
        </w:rPr>
        <w:t>ārstu, pretsāpju līdzekļu lietošana jāpārtrauc.</w:t>
      </w:r>
      <w:r w:rsidRPr="00FF32D7">
        <w:rPr>
          <w:szCs w:val="22"/>
          <w:lang w:eastAsia="en-GB"/>
        </w:rPr>
        <w:t xml:space="preserve"> </w:t>
      </w:r>
    </w:p>
    <w:p w14:paraId="0389582C" w14:textId="77777777" w:rsidR="007528E6" w:rsidRDefault="007528E6" w:rsidP="00522BE6">
      <w:pPr>
        <w:pStyle w:val="EMEATableLeft"/>
        <w:numPr>
          <w:ilvl w:val="0"/>
          <w:numId w:val="0"/>
        </w:numPr>
        <w:rPr>
          <w:noProof/>
        </w:rPr>
      </w:pPr>
    </w:p>
    <w:p w14:paraId="47084BDA" w14:textId="77777777" w:rsidR="00DE76E2" w:rsidRDefault="009E23E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noProof/>
        </w:rPr>
        <w:t>Sazinieties ar ārstu, ja kaut kas no augstāk minētā attiecas uz Jums.</w:t>
      </w:r>
    </w:p>
    <w:p w14:paraId="2452C90E" w14:textId="77777777" w:rsidR="007A4E95" w:rsidRDefault="007A4E95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</w:rPr>
      </w:pPr>
    </w:p>
    <w:p w14:paraId="16F7F648" w14:textId="77777777" w:rsidR="00DE76E2" w:rsidRDefault="00B81989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9B5216">
        <w:rPr>
          <w:b/>
        </w:rPr>
        <w:t>Cit</w:t>
      </w:r>
      <w:r>
        <w:rPr>
          <w:b/>
        </w:rPr>
        <w:t>as zāles un EFFERALGAN</w:t>
      </w:r>
    </w:p>
    <w:p w14:paraId="41AFD39D" w14:textId="77777777" w:rsidR="00F16996" w:rsidRPr="00D6449E" w:rsidRDefault="00B81989" w:rsidP="00F16996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B81989">
        <w:rPr>
          <w:noProof/>
          <w:szCs w:val="22"/>
        </w:rPr>
        <w:t>Pastāstiet ārstam vai farmaceitam par visām zālēm, kuras lietojat, pēdējā laikā esat lietojis vai varētu lietot.</w:t>
      </w:r>
    </w:p>
    <w:p w14:paraId="1156155D" w14:textId="77777777" w:rsidR="00F16996" w:rsidRPr="00D6449E" w:rsidRDefault="00F16996" w:rsidP="00F16996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2E7E56C5" w14:textId="77777777" w:rsidR="008B79DB" w:rsidRDefault="008B79DB" w:rsidP="00522BE6">
      <w:pPr>
        <w:rPr>
          <w:noProof/>
        </w:rPr>
      </w:pPr>
      <w:r>
        <w:rPr>
          <w:noProof/>
        </w:rPr>
        <w:t>Konsultējieties ar ārstu vai farmaceitu, ja Jūs lietojat:</w:t>
      </w:r>
    </w:p>
    <w:p w14:paraId="3FD39012" w14:textId="77777777" w:rsidR="00522BE6" w:rsidRDefault="008B79DB" w:rsidP="008B79DB">
      <w:pPr>
        <w:pStyle w:val="EMEATableLeft"/>
        <w:rPr>
          <w:noProof/>
        </w:rPr>
      </w:pPr>
      <w:r>
        <w:rPr>
          <w:noProof/>
        </w:rPr>
        <w:t>z</w:t>
      </w:r>
      <w:r w:rsidR="00522BE6" w:rsidRPr="002D31BB">
        <w:rPr>
          <w:noProof/>
        </w:rPr>
        <w:t>ā</w:t>
      </w:r>
      <w:r>
        <w:rPr>
          <w:noProof/>
        </w:rPr>
        <w:t xml:space="preserve">les, kas </w:t>
      </w:r>
      <w:r w:rsidR="009D766B" w:rsidRPr="003B3444">
        <w:rPr>
          <w:noProof/>
        </w:rPr>
        <w:t>ierosina</w:t>
      </w:r>
      <w:r>
        <w:rPr>
          <w:noProof/>
        </w:rPr>
        <w:t xml:space="preserve"> aknu šūnu aktivitāti</w:t>
      </w:r>
      <w:r w:rsidR="00522BE6" w:rsidRPr="002D31BB">
        <w:rPr>
          <w:noProof/>
        </w:rPr>
        <w:t xml:space="preserve">, piemēram, hipnotiskie </w:t>
      </w:r>
      <w:r w:rsidRPr="002D31BB">
        <w:rPr>
          <w:noProof/>
        </w:rPr>
        <w:t xml:space="preserve">līdzekļi </w:t>
      </w:r>
      <w:r>
        <w:rPr>
          <w:noProof/>
        </w:rPr>
        <w:t xml:space="preserve">(miega zāles), </w:t>
      </w:r>
      <w:r w:rsidR="00522BE6" w:rsidRPr="002D31BB">
        <w:rPr>
          <w:noProof/>
        </w:rPr>
        <w:t xml:space="preserve"> pretepilepsijas līdzekļi (tai skaitā fenobarbitāls, fenitoīns, karbamazepīns) un </w:t>
      </w:r>
      <w:r w:rsidR="00522BE6">
        <w:rPr>
          <w:noProof/>
        </w:rPr>
        <w:t>antibakteriālie līdzekļi</w:t>
      </w:r>
      <w:r w:rsidR="00522BE6" w:rsidRPr="002D31BB">
        <w:rPr>
          <w:noProof/>
        </w:rPr>
        <w:t xml:space="preserve"> (</w:t>
      </w:r>
      <w:r w:rsidR="00522BE6">
        <w:rPr>
          <w:noProof/>
        </w:rPr>
        <w:t>izoniazīds, rifampicīns),</w:t>
      </w:r>
      <w:r w:rsidR="00522BE6" w:rsidRPr="002D31BB">
        <w:rPr>
          <w:noProof/>
        </w:rPr>
        <w:t xml:space="preserve"> </w:t>
      </w:r>
      <w:r w:rsidR="00FD0BF2">
        <w:rPr>
          <w:noProof/>
        </w:rPr>
        <w:t xml:space="preserve">jo šīs zāles </w:t>
      </w:r>
      <w:r w:rsidR="00522BE6" w:rsidRPr="002D31BB">
        <w:rPr>
          <w:noProof/>
        </w:rPr>
        <w:t>var izraisīt aknu mazspēju, pat lietojot paracetamola devas</w:t>
      </w:r>
      <w:r w:rsidR="00FD12EF">
        <w:rPr>
          <w:noProof/>
        </w:rPr>
        <w:t>, ko parasti uzskata par drošām;</w:t>
      </w:r>
    </w:p>
    <w:p w14:paraId="324AC779" w14:textId="77777777" w:rsidR="007F18C1" w:rsidRDefault="00FD12EF" w:rsidP="008B79DB">
      <w:pPr>
        <w:pStyle w:val="EMEATableLeft"/>
        <w:rPr>
          <w:noProof/>
        </w:rPr>
      </w:pPr>
      <w:r>
        <w:rPr>
          <w:noProof/>
        </w:rPr>
        <w:t>metoklopramīdu</w:t>
      </w:r>
      <w:r w:rsidRPr="00710CFC">
        <w:rPr>
          <w:noProof/>
        </w:rPr>
        <w:t xml:space="preserve"> </w:t>
      </w:r>
      <w:r>
        <w:rPr>
          <w:noProof/>
        </w:rPr>
        <w:t xml:space="preserve">vai domperidonu - zāles </w:t>
      </w:r>
      <w:r w:rsidR="00D97967">
        <w:rPr>
          <w:noProof/>
        </w:rPr>
        <w:t xml:space="preserve">sliktas dūšas </w:t>
      </w:r>
      <w:r w:rsidR="007F18C1">
        <w:rPr>
          <w:noProof/>
        </w:rPr>
        <w:t>un vemšanas ārstēšanai</w:t>
      </w:r>
      <w:r w:rsidR="005F2AB5">
        <w:rPr>
          <w:noProof/>
        </w:rPr>
        <w:t>, jo tās paātrina paracetamola absorbciju</w:t>
      </w:r>
      <w:r w:rsidR="007F18C1">
        <w:rPr>
          <w:noProof/>
        </w:rPr>
        <w:t>;</w:t>
      </w:r>
    </w:p>
    <w:p w14:paraId="79D34AFD" w14:textId="77777777" w:rsidR="00FD0BF2" w:rsidRDefault="007F18C1" w:rsidP="008B79DB">
      <w:pPr>
        <w:pStyle w:val="EMEATableLeft"/>
        <w:rPr>
          <w:noProof/>
        </w:rPr>
      </w:pPr>
      <w:r w:rsidRPr="00710CFC">
        <w:rPr>
          <w:noProof/>
        </w:rPr>
        <w:t>holest</w:t>
      </w:r>
      <w:r>
        <w:rPr>
          <w:noProof/>
        </w:rPr>
        <w:t>iramīnu - zāles augsta holesterīna līmeņa ārstēšanai;</w:t>
      </w:r>
    </w:p>
    <w:p w14:paraId="39F0CA8A" w14:textId="77777777" w:rsidR="007F18C1" w:rsidRDefault="007F18C1" w:rsidP="008B79DB">
      <w:pPr>
        <w:pStyle w:val="EMEATableLeft"/>
        <w:rPr>
          <w:noProof/>
        </w:rPr>
      </w:pPr>
      <w:r>
        <w:rPr>
          <w:noProof/>
        </w:rPr>
        <w:t xml:space="preserve">zāles asins šķidrināšanai (antikoagulantus, piemēram, </w:t>
      </w:r>
      <w:r w:rsidRPr="002D31BB">
        <w:rPr>
          <w:noProof/>
        </w:rPr>
        <w:t>varfarīnu)</w:t>
      </w:r>
      <w:r>
        <w:rPr>
          <w:noProof/>
        </w:rPr>
        <w:t xml:space="preserve"> </w:t>
      </w:r>
      <w:r w:rsidR="00385F72">
        <w:rPr>
          <w:noProof/>
        </w:rPr>
        <w:t>un ja nepieciešams lietot pretsāpju līdzekļus ikdienā</w:t>
      </w:r>
      <w:r>
        <w:rPr>
          <w:noProof/>
        </w:rPr>
        <w:t xml:space="preserve"> </w:t>
      </w:r>
      <w:r w:rsidR="00385F72">
        <w:rPr>
          <w:noProof/>
        </w:rPr>
        <w:t xml:space="preserve">- </w:t>
      </w:r>
      <w:r w:rsidR="008408A7">
        <w:rPr>
          <w:noProof/>
        </w:rPr>
        <w:t xml:space="preserve">parunājiet par to ar savu ārstu, jo </w:t>
      </w:r>
      <w:r w:rsidR="008408A7" w:rsidRPr="002D31BB">
        <w:rPr>
          <w:noProof/>
        </w:rPr>
        <w:t>var palielināties asiņošanas risks</w:t>
      </w:r>
      <w:r>
        <w:rPr>
          <w:noProof/>
        </w:rPr>
        <w:t>;</w:t>
      </w:r>
    </w:p>
    <w:p w14:paraId="6596E912" w14:textId="77777777" w:rsidR="008408A7" w:rsidRDefault="008408A7" w:rsidP="008B79DB">
      <w:pPr>
        <w:pStyle w:val="EMEATableLeft"/>
        <w:rPr>
          <w:noProof/>
        </w:rPr>
      </w:pPr>
      <w:r>
        <w:rPr>
          <w:noProof/>
        </w:rPr>
        <w:t>hloramfenikolu - antibiotiku;</w:t>
      </w:r>
    </w:p>
    <w:p w14:paraId="697848AE" w14:textId="77777777" w:rsidR="00522BE6" w:rsidRPr="002D31BB" w:rsidRDefault="008408A7" w:rsidP="008408A7">
      <w:pPr>
        <w:pStyle w:val="EMEATableLeft"/>
        <w:rPr>
          <w:noProof/>
        </w:rPr>
      </w:pPr>
      <w:r w:rsidRPr="002D31BB">
        <w:rPr>
          <w:noProof/>
        </w:rPr>
        <w:t>zidovudīnu (AZT)</w:t>
      </w:r>
      <w:r>
        <w:rPr>
          <w:noProof/>
        </w:rPr>
        <w:t xml:space="preserve"> - HIV-1 infekcijas ārstēšanai. </w:t>
      </w:r>
      <w:r w:rsidR="00522BE6" w:rsidRPr="002D31BB">
        <w:rPr>
          <w:noProof/>
        </w:rPr>
        <w:t xml:space="preserve">Var palielināties smagu asins sastāva izmaiņu (neitropēnijas) risks, </w:t>
      </w:r>
      <w:r>
        <w:rPr>
          <w:noProof/>
        </w:rPr>
        <w:t>t</w:t>
      </w:r>
      <w:r w:rsidR="00522BE6" w:rsidRPr="002D31BB">
        <w:rPr>
          <w:noProof/>
        </w:rPr>
        <w:t xml:space="preserve">āpēc paracetamolu kopā ar zidovudīnu drīkst lietot tikai gadījumā, ja tā </w:t>
      </w:r>
      <w:r w:rsidR="00522BE6">
        <w:rPr>
          <w:noProof/>
        </w:rPr>
        <w:t>nozīmējis</w:t>
      </w:r>
      <w:r w:rsidR="00522BE6" w:rsidRPr="002D31BB">
        <w:rPr>
          <w:noProof/>
        </w:rPr>
        <w:t xml:space="preserve"> ārsts. </w:t>
      </w:r>
    </w:p>
    <w:p w14:paraId="46891FB1" w14:textId="77777777" w:rsidR="008408A7" w:rsidRDefault="008408A7" w:rsidP="00522BE6">
      <w:pPr>
        <w:numPr>
          <w:ilvl w:val="12"/>
          <w:numId w:val="0"/>
        </w:numPr>
        <w:rPr>
          <w:noProof/>
        </w:rPr>
      </w:pPr>
    </w:p>
    <w:p w14:paraId="15919308" w14:textId="77777777" w:rsidR="005F2AB5" w:rsidRDefault="005F2AB5" w:rsidP="00522BE6">
      <w:pPr>
        <w:numPr>
          <w:ilvl w:val="12"/>
          <w:numId w:val="0"/>
        </w:numPr>
        <w:rPr>
          <w:noProof/>
        </w:rPr>
      </w:pPr>
      <w:r w:rsidRPr="00C13961">
        <w:rPr>
          <w:noProof/>
        </w:rPr>
        <w:t>Probenecīds samazina paracetamola klīrensu gandrīz divas reizes, nomācot tā konjugāciju ar glikuronskābi. Lietojot vienlaikus ar probenecīdu, jāapsver paracetamola devas samazināšana.</w:t>
      </w:r>
    </w:p>
    <w:p w14:paraId="0CC2698F" w14:textId="77777777" w:rsidR="00A23231" w:rsidRDefault="005F2AB5" w:rsidP="00522BE6">
      <w:pPr>
        <w:numPr>
          <w:ilvl w:val="12"/>
          <w:numId w:val="0"/>
        </w:numPr>
        <w:rPr>
          <w:noProof/>
          <w:szCs w:val="22"/>
        </w:rPr>
      </w:pPr>
      <w:r>
        <w:rPr>
          <w:noProof/>
          <w:szCs w:val="22"/>
        </w:rPr>
        <w:t>Salicīlamīds var pagarināt paracetamola eliminācijas pusperiodu.</w:t>
      </w:r>
    </w:p>
    <w:p w14:paraId="195849A6" w14:textId="77777777" w:rsidR="00A23231" w:rsidRPr="003F68F0" w:rsidRDefault="00A23231" w:rsidP="00522BE6">
      <w:pPr>
        <w:numPr>
          <w:ilvl w:val="12"/>
          <w:numId w:val="0"/>
        </w:numPr>
        <w:rPr>
          <w:noProof/>
          <w:color w:val="000000"/>
          <w:szCs w:val="22"/>
        </w:rPr>
      </w:pPr>
    </w:p>
    <w:p w14:paraId="6B0E2FB5" w14:textId="77777777" w:rsidR="002948BD" w:rsidRPr="00F95D19" w:rsidRDefault="00105245" w:rsidP="00A23231">
      <w:pPr>
        <w:numPr>
          <w:ilvl w:val="12"/>
          <w:numId w:val="0"/>
        </w:numPr>
        <w:rPr>
          <w:bCs/>
          <w:color w:val="000000"/>
        </w:rPr>
      </w:pPr>
      <w:r w:rsidRPr="00F95D19">
        <w:rPr>
          <w:bCs/>
          <w:color w:val="000000"/>
        </w:rPr>
        <w:t xml:space="preserve">Jāievēro piesardzība, lietojot </w:t>
      </w:r>
      <w:bookmarkStart w:id="0" w:name="_Hlk523396448"/>
      <w:r w:rsidRPr="00F95D19">
        <w:rPr>
          <w:bCs/>
          <w:color w:val="000000"/>
        </w:rPr>
        <w:t>flukloksacilīnu</w:t>
      </w:r>
      <w:bookmarkEnd w:id="0"/>
      <w:r w:rsidRPr="00F95D19">
        <w:rPr>
          <w:bCs/>
          <w:color w:val="000000"/>
        </w:rPr>
        <w:t xml:space="preserve"> kopā ar paracetamolu, jo vienlaicīga šo zāļu lietošana ir saistīta ar metabolo acidozi ar lielu anjonu starpību, jo īpaši pacientiem ar riska faktoriem</w:t>
      </w:r>
      <w:r w:rsidR="00262853" w:rsidRPr="00F95D19">
        <w:rPr>
          <w:bCs/>
          <w:color w:val="000000"/>
        </w:rPr>
        <w:t>.</w:t>
      </w:r>
      <w:r w:rsidRPr="00F95D19">
        <w:rPr>
          <w:bCs/>
          <w:color w:val="000000"/>
        </w:rPr>
        <w:t xml:space="preserve"> </w:t>
      </w:r>
      <w:r w:rsidR="00A23231" w:rsidRPr="00F95D19">
        <w:rPr>
          <w:bCs/>
          <w:color w:val="000000"/>
        </w:rPr>
        <w:t xml:space="preserve"> </w:t>
      </w:r>
      <w:r w:rsidRPr="00F95D19">
        <w:rPr>
          <w:bCs/>
          <w:color w:val="000000"/>
        </w:rPr>
        <w:t xml:space="preserve">Lūdzu informējiet savu  ārstu, ja lietojat flukloksacilīnu. </w:t>
      </w:r>
    </w:p>
    <w:p w14:paraId="1A491AC2" w14:textId="77777777" w:rsidR="002948BD" w:rsidRDefault="002948BD" w:rsidP="00522BE6">
      <w:pPr>
        <w:numPr>
          <w:ilvl w:val="12"/>
          <w:numId w:val="0"/>
        </w:numPr>
        <w:rPr>
          <w:b/>
          <w:noProof/>
        </w:rPr>
      </w:pPr>
    </w:p>
    <w:p w14:paraId="01943C74" w14:textId="77777777" w:rsidR="008408A7" w:rsidRDefault="008408A7" w:rsidP="00522BE6">
      <w:pPr>
        <w:numPr>
          <w:ilvl w:val="12"/>
          <w:numId w:val="0"/>
        </w:numPr>
        <w:rPr>
          <w:noProof/>
        </w:rPr>
      </w:pPr>
      <w:r w:rsidRPr="008408A7">
        <w:rPr>
          <w:b/>
          <w:noProof/>
        </w:rPr>
        <w:t>N</w:t>
      </w:r>
      <w:r w:rsidR="00522BE6" w:rsidRPr="008408A7">
        <w:rPr>
          <w:b/>
          <w:noProof/>
        </w:rPr>
        <w:t>elietojiet</w:t>
      </w:r>
      <w:r w:rsidR="00522BE6" w:rsidRPr="002D31BB">
        <w:rPr>
          <w:noProof/>
        </w:rPr>
        <w:t xml:space="preserve"> </w:t>
      </w:r>
      <w:r w:rsidR="00643B15">
        <w:rPr>
          <w:noProof/>
        </w:rPr>
        <w:t>Efferalgan</w:t>
      </w:r>
      <w:r w:rsidR="00643B15" w:rsidRPr="002D31BB">
        <w:rPr>
          <w:noProof/>
        </w:rPr>
        <w:t xml:space="preserve"> </w:t>
      </w:r>
      <w:r w:rsidR="00522BE6" w:rsidRPr="002D31BB">
        <w:rPr>
          <w:noProof/>
        </w:rPr>
        <w:t>kopā ar citām</w:t>
      </w:r>
      <w:r>
        <w:rPr>
          <w:noProof/>
        </w:rPr>
        <w:t xml:space="preserve"> zālēm, kas satur paracetamolu.</w:t>
      </w:r>
      <w:r w:rsidR="00883D54" w:rsidRPr="00883D54">
        <w:t xml:space="preserve"> </w:t>
      </w:r>
      <w:r w:rsidR="00843E91" w:rsidRPr="00BC7B83">
        <w:rPr>
          <w:noProof/>
          <w:szCs w:val="22"/>
        </w:rPr>
        <w:t>Lai izvairītos no pārdozēšanas, jāpārbauda, vai vienlaicīgi netiek lietotas citas zāles, kas satur paracetamolu</w:t>
      </w:r>
      <w:r w:rsidR="00843E91">
        <w:rPr>
          <w:noProof/>
          <w:szCs w:val="22"/>
        </w:rPr>
        <w:t xml:space="preserve"> </w:t>
      </w:r>
      <w:r w:rsidR="00843E91" w:rsidRPr="00C96E7E">
        <w:rPr>
          <w:noProof/>
          <w:szCs w:val="22"/>
        </w:rPr>
        <w:t>(</w:t>
      </w:r>
      <w:r w:rsidR="00843E91">
        <w:rPr>
          <w:noProof/>
          <w:szCs w:val="22"/>
        </w:rPr>
        <w:t>tostarp gan recepšu, gan bezrecepšu zāles</w:t>
      </w:r>
      <w:r w:rsidR="00843E91" w:rsidRPr="00C96E7E">
        <w:rPr>
          <w:noProof/>
          <w:szCs w:val="22"/>
        </w:rPr>
        <w:t>)</w:t>
      </w:r>
      <w:r w:rsidR="00843E91" w:rsidRPr="00BC7B83">
        <w:rPr>
          <w:noProof/>
          <w:szCs w:val="22"/>
        </w:rPr>
        <w:t>.</w:t>
      </w:r>
    </w:p>
    <w:p w14:paraId="2EDFD58E" w14:textId="77777777" w:rsidR="00522BE6" w:rsidRDefault="00522BE6" w:rsidP="00522BE6">
      <w:pPr>
        <w:numPr>
          <w:ilvl w:val="12"/>
          <w:numId w:val="0"/>
        </w:numPr>
        <w:rPr>
          <w:noProof/>
        </w:rPr>
      </w:pPr>
      <w:r w:rsidRPr="002D31BB">
        <w:rPr>
          <w:noProof/>
        </w:rPr>
        <w:t xml:space="preserve">Neiesaka lietot paracetamolu kopā ar </w:t>
      </w:r>
      <w:r w:rsidRPr="008408A7">
        <w:rPr>
          <w:b/>
          <w:noProof/>
        </w:rPr>
        <w:t>acetilsalicilskābi</w:t>
      </w:r>
      <w:r>
        <w:rPr>
          <w:noProof/>
        </w:rPr>
        <w:t xml:space="preserve"> vai </w:t>
      </w:r>
      <w:r w:rsidRPr="008408A7">
        <w:rPr>
          <w:b/>
          <w:noProof/>
        </w:rPr>
        <w:t>citiem pretsāpju līdzekļiem</w:t>
      </w:r>
      <w:r w:rsidRPr="002D31BB">
        <w:rPr>
          <w:noProof/>
        </w:rPr>
        <w:t>.</w:t>
      </w:r>
    </w:p>
    <w:p w14:paraId="5C1070E4" w14:textId="77777777" w:rsidR="001869BF" w:rsidRPr="002D31BB" w:rsidRDefault="001869BF" w:rsidP="00522BE6">
      <w:pPr>
        <w:numPr>
          <w:ilvl w:val="12"/>
          <w:numId w:val="0"/>
        </w:numPr>
        <w:rPr>
          <w:noProof/>
        </w:rPr>
      </w:pPr>
    </w:p>
    <w:p w14:paraId="7DC7CB08" w14:textId="77777777" w:rsidR="00DE76E2" w:rsidRDefault="00643B15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643B15">
        <w:rPr>
          <w:b/>
          <w:noProof/>
        </w:rPr>
        <w:t>Efferalgan</w:t>
      </w:r>
      <w:r>
        <w:rPr>
          <w:noProof/>
        </w:rPr>
        <w:t xml:space="preserve"> </w:t>
      </w:r>
      <w:r w:rsidR="00DE76E2">
        <w:rPr>
          <w:b/>
          <w:noProof/>
        </w:rPr>
        <w:t>lietošana kopā ar uzturu</w:t>
      </w:r>
    </w:p>
    <w:p w14:paraId="74C4DF26" w14:textId="77777777" w:rsidR="004A61C4" w:rsidRDefault="004A61C4" w:rsidP="0092150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Šīs zāles var lietot neatkarīgi no ēdienreizēm.</w:t>
      </w:r>
    </w:p>
    <w:p w14:paraId="3FB1AEB7" w14:textId="77777777" w:rsidR="008408A7" w:rsidRDefault="002729BE" w:rsidP="0092150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Nelietojiet alkoholu</w:t>
      </w:r>
      <w:r w:rsidR="000672D7">
        <w:rPr>
          <w:noProof/>
        </w:rPr>
        <w:t xml:space="preserve"> ā</w:t>
      </w:r>
      <w:r>
        <w:rPr>
          <w:noProof/>
        </w:rPr>
        <w:t>rstēšan</w:t>
      </w:r>
      <w:r w:rsidR="000672D7">
        <w:rPr>
          <w:noProof/>
        </w:rPr>
        <w:t>a</w:t>
      </w:r>
      <w:r>
        <w:rPr>
          <w:noProof/>
        </w:rPr>
        <w:t xml:space="preserve">s ar Efferalgan laikā, jo pastāv </w:t>
      </w:r>
      <w:r w:rsidR="000672D7">
        <w:rPr>
          <w:noProof/>
        </w:rPr>
        <w:t>palielināts aknu slimību risks.</w:t>
      </w:r>
    </w:p>
    <w:p w14:paraId="1E886A57" w14:textId="77777777" w:rsidR="004A61C4" w:rsidRDefault="004A61C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7264467F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 xml:space="preserve">Grūtniecība un </w:t>
      </w:r>
      <w:r w:rsidR="00843E91">
        <w:rPr>
          <w:b/>
          <w:noProof/>
        </w:rPr>
        <w:t>barošana ar krūti</w:t>
      </w:r>
    </w:p>
    <w:p w14:paraId="0BF16D80" w14:textId="77777777" w:rsidR="002D6B18" w:rsidRDefault="00C1588A" w:rsidP="00E925F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 xml:space="preserve">Pirms jebkuru zāļu lietošanas </w:t>
      </w:r>
      <w:r w:rsidR="002D6B18">
        <w:rPr>
          <w:noProof/>
        </w:rPr>
        <w:t xml:space="preserve">grūtniecības laikā obligāti </w:t>
      </w:r>
      <w:r>
        <w:rPr>
          <w:noProof/>
        </w:rPr>
        <w:t>konsultējieties ar ārstu</w:t>
      </w:r>
      <w:r w:rsidR="002D6B18">
        <w:rPr>
          <w:noProof/>
        </w:rPr>
        <w:t xml:space="preserve"> vai farmaceitu</w:t>
      </w:r>
      <w:r>
        <w:rPr>
          <w:noProof/>
        </w:rPr>
        <w:t>.</w:t>
      </w:r>
      <w:r w:rsidR="004E3F78">
        <w:rPr>
          <w:noProof/>
        </w:rPr>
        <w:t xml:space="preserve"> </w:t>
      </w:r>
    </w:p>
    <w:p w14:paraId="4802889D" w14:textId="77777777" w:rsidR="00C9346E" w:rsidRDefault="00C9346E" w:rsidP="00C9346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Ja nepieciešams, Efferalgan var lietot grūtniecības laikā. Jums pēc iespējas īsāku laiku jālieto</w:t>
      </w:r>
    </w:p>
    <w:p w14:paraId="243FC2F5" w14:textId="77777777" w:rsidR="00C9346E" w:rsidRDefault="00C9346E" w:rsidP="00C9346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ab/>
        <w:t>iespējami mazākā deva, kas mazina sāpes un/vai drudzi. Ja sāpes un/vai drudzis nemazinās vai Jums</w:t>
      </w:r>
    </w:p>
    <w:p w14:paraId="3D26F544" w14:textId="77777777" w:rsidR="002D6B18" w:rsidRDefault="00C9346E" w:rsidP="00C9346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ab/>
        <w:t>zāles jālieto biežāk, sazinieties ar savu ārstu.</w:t>
      </w:r>
    </w:p>
    <w:p w14:paraId="1A9BF764" w14:textId="77777777" w:rsidR="00C9346E" w:rsidRDefault="00C9346E" w:rsidP="00C9346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6C6E67F4" w14:textId="77777777" w:rsidR="00FD5205" w:rsidRDefault="002D6B18" w:rsidP="00FD5205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C911CD">
        <w:rPr>
          <w:noProof/>
        </w:rPr>
        <w:t>Šīs zāles</w:t>
      </w:r>
      <w:r w:rsidR="004A61C4" w:rsidRPr="002679F2">
        <w:rPr>
          <w:noProof/>
        </w:rPr>
        <w:t xml:space="preserve"> var lietot </w:t>
      </w:r>
      <w:r w:rsidR="002D58F0">
        <w:rPr>
          <w:noProof/>
        </w:rPr>
        <w:t>barošanas ar krūti</w:t>
      </w:r>
      <w:r w:rsidR="002D58F0" w:rsidRPr="002679F2">
        <w:rPr>
          <w:noProof/>
        </w:rPr>
        <w:t xml:space="preserve"> </w:t>
      </w:r>
      <w:r w:rsidR="004A61C4" w:rsidRPr="002679F2">
        <w:rPr>
          <w:noProof/>
        </w:rPr>
        <w:t>periodā</w:t>
      </w:r>
      <w:r w:rsidR="00FD5205">
        <w:rPr>
          <w:noProof/>
        </w:rPr>
        <w:t>, bet</w:t>
      </w:r>
      <w:r w:rsidR="00FD5205" w:rsidRPr="00FD5205">
        <w:rPr>
          <w:szCs w:val="22"/>
        </w:rPr>
        <w:t xml:space="preserve"> </w:t>
      </w:r>
      <w:r w:rsidR="00FD5205" w:rsidRPr="00336E91">
        <w:rPr>
          <w:szCs w:val="22"/>
        </w:rPr>
        <w:t xml:space="preserve">stingri </w:t>
      </w:r>
      <w:r w:rsidR="00FD5205">
        <w:rPr>
          <w:szCs w:val="22"/>
        </w:rPr>
        <w:t xml:space="preserve">jāievēro </w:t>
      </w:r>
      <w:r w:rsidR="00FD5205" w:rsidRPr="00336E91">
        <w:rPr>
          <w:szCs w:val="22"/>
        </w:rPr>
        <w:t>ieteikt</w:t>
      </w:r>
      <w:r w:rsidR="00FD5205">
        <w:rPr>
          <w:szCs w:val="22"/>
        </w:rPr>
        <w:t>ās</w:t>
      </w:r>
      <w:r w:rsidR="00FD5205" w:rsidRPr="00336E91">
        <w:rPr>
          <w:szCs w:val="22"/>
        </w:rPr>
        <w:t xml:space="preserve"> dev</w:t>
      </w:r>
      <w:r w:rsidR="00FD5205">
        <w:rPr>
          <w:szCs w:val="22"/>
        </w:rPr>
        <w:t>as</w:t>
      </w:r>
      <w:r w:rsidR="00FD5205" w:rsidRPr="00336E91">
        <w:rPr>
          <w:szCs w:val="22"/>
        </w:rPr>
        <w:t xml:space="preserve"> un lietošanas ilgum</w:t>
      </w:r>
      <w:r w:rsidR="00FD5205">
        <w:rPr>
          <w:szCs w:val="22"/>
        </w:rPr>
        <w:t>s</w:t>
      </w:r>
      <w:r w:rsidR="00FD5205" w:rsidRPr="00336E91">
        <w:rPr>
          <w:szCs w:val="22"/>
        </w:rPr>
        <w:t>.</w:t>
      </w:r>
    </w:p>
    <w:p w14:paraId="6296F76C" w14:textId="77777777" w:rsidR="004A61C4" w:rsidRDefault="00FF56BD" w:rsidP="00843E9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>J</w:t>
      </w:r>
      <w:r w:rsidR="00843E91">
        <w:t>āievēro piesardzība, kad EFFERALGAN lieto siev</w:t>
      </w:r>
      <w:r w:rsidR="00B7230F">
        <w:t xml:space="preserve">ietes, kuras </w:t>
      </w:r>
      <w:r w:rsidR="00843E91">
        <w:t>baro bērnu ar krūti.</w:t>
      </w:r>
      <w:r w:rsidR="00843E91" w:rsidRPr="00843E91">
        <w:t xml:space="preserve"> </w:t>
      </w:r>
    </w:p>
    <w:p w14:paraId="549EC6C5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6A3C59EB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</w:rPr>
      </w:pPr>
      <w:r>
        <w:rPr>
          <w:b/>
          <w:noProof/>
        </w:rPr>
        <w:t>Svarīga inf</w:t>
      </w:r>
      <w:r w:rsidR="004A61C4">
        <w:rPr>
          <w:b/>
          <w:noProof/>
        </w:rPr>
        <w:t xml:space="preserve">ormācija par kādu no </w:t>
      </w:r>
      <w:r w:rsidR="00643B15" w:rsidRPr="00643B15">
        <w:rPr>
          <w:b/>
          <w:noProof/>
        </w:rPr>
        <w:t>Efferalgan</w:t>
      </w:r>
      <w:r w:rsidR="00643B15">
        <w:rPr>
          <w:noProof/>
        </w:rPr>
        <w:t xml:space="preserve"> </w:t>
      </w:r>
      <w:r>
        <w:rPr>
          <w:b/>
          <w:noProof/>
        </w:rPr>
        <w:t xml:space="preserve">sastāvdaļām </w:t>
      </w:r>
    </w:p>
    <w:p w14:paraId="28526ADC" w14:textId="77777777" w:rsidR="00EB7FBF" w:rsidRDefault="004A61C4" w:rsidP="00E244F5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eastAsia="Verdana"/>
          <w:szCs w:val="22"/>
        </w:rPr>
      </w:pPr>
      <w:r w:rsidRPr="00527437">
        <w:rPr>
          <w:noProof/>
          <w:szCs w:val="22"/>
        </w:rPr>
        <w:t xml:space="preserve">Šīs zāles satur </w:t>
      </w:r>
      <w:r w:rsidR="00066631">
        <w:rPr>
          <w:noProof/>
          <w:szCs w:val="22"/>
        </w:rPr>
        <w:t xml:space="preserve">300 mg </w:t>
      </w:r>
      <w:r w:rsidRPr="002C4CEB">
        <w:rPr>
          <w:b/>
          <w:noProof/>
          <w:szCs w:val="22"/>
        </w:rPr>
        <w:t>sorb</w:t>
      </w:r>
      <w:r w:rsidR="002322E8" w:rsidRPr="002C4CEB">
        <w:rPr>
          <w:b/>
          <w:noProof/>
          <w:szCs w:val="22"/>
        </w:rPr>
        <w:t>ī</w:t>
      </w:r>
      <w:r w:rsidRPr="002C4CEB">
        <w:rPr>
          <w:b/>
          <w:noProof/>
          <w:szCs w:val="22"/>
        </w:rPr>
        <w:t>t</w:t>
      </w:r>
      <w:r w:rsidR="00066631">
        <w:rPr>
          <w:b/>
          <w:noProof/>
          <w:szCs w:val="22"/>
        </w:rPr>
        <w:t>a</w:t>
      </w:r>
      <w:r w:rsidR="00066631">
        <w:rPr>
          <w:noProof/>
          <w:szCs w:val="22"/>
        </w:rPr>
        <w:t xml:space="preserve"> katrā putojošā tabletē</w:t>
      </w:r>
      <w:r w:rsidR="00C1588A" w:rsidRPr="00527437">
        <w:rPr>
          <w:noProof/>
          <w:szCs w:val="22"/>
        </w:rPr>
        <w:t>.</w:t>
      </w:r>
      <w:r w:rsidRPr="00527437">
        <w:rPr>
          <w:noProof/>
          <w:szCs w:val="22"/>
        </w:rPr>
        <w:t xml:space="preserve"> </w:t>
      </w:r>
      <w:r w:rsidR="00E244F5" w:rsidRPr="00220DA2">
        <w:rPr>
          <w:rFonts w:eastAsia="Verdana"/>
          <w:szCs w:val="22"/>
        </w:rPr>
        <w:t xml:space="preserve">Sorbīts ir fruktozes avots. Ja ārsts ir teicis, ka Jums (vai Jūsu bērnam) ir kāda cukura nepanesība, vai Jums ir diagnosticēta reta ģenētiska slimība – </w:t>
      </w:r>
      <w:r w:rsidR="00E244F5" w:rsidRPr="00220DA2">
        <w:rPr>
          <w:rFonts w:eastAsia="Verdana"/>
          <w:szCs w:val="22"/>
        </w:rPr>
        <w:lastRenderedPageBreak/>
        <w:t>iedzimta fruktozes nepanesība, kuras gadījumā organismā nesadalās fruktoze</w:t>
      </w:r>
      <w:r w:rsidR="004A47A2">
        <w:rPr>
          <w:rFonts w:eastAsia="Verdana"/>
          <w:szCs w:val="22"/>
        </w:rPr>
        <w:t>,</w:t>
      </w:r>
      <w:r w:rsidR="00E244F5" w:rsidRPr="00220DA2">
        <w:rPr>
          <w:rFonts w:eastAsia="Verdana"/>
          <w:szCs w:val="22"/>
        </w:rPr>
        <w:t xml:space="preserve"> pirms lietojat vai saņemat šīs zāles, konsultējieties ar ārstu.</w:t>
      </w:r>
      <w:r w:rsidR="004A47A2">
        <w:rPr>
          <w:rFonts w:eastAsia="Verdana"/>
          <w:szCs w:val="22"/>
        </w:rPr>
        <w:t xml:space="preserve"> </w:t>
      </w:r>
    </w:p>
    <w:p w14:paraId="7CDA2F44" w14:textId="77777777" w:rsidR="00DF2C3B" w:rsidRDefault="009E2FFC" w:rsidP="00E244F5">
      <w:pPr>
        <w:numPr>
          <w:ilvl w:val="12"/>
          <w:numId w:val="0"/>
        </w:numPr>
        <w:tabs>
          <w:tab w:val="clear" w:pos="567"/>
        </w:tabs>
        <w:spacing w:line="240" w:lineRule="auto"/>
        <w:rPr>
          <w:color w:val="000000"/>
          <w:szCs w:val="22"/>
        </w:rPr>
      </w:pPr>
      <w:r>
        <w:rPr>
          <w:noProof/>
          <w:szCs w:val="22"/>
        </w:rPr>
        <w:t xml:space="preserve">Šīs zāles satur 412,4 mg </w:t>
      </w:r>
      <w:r w:rsidRPr="009E2FFC">
        <w:rPr>
          <w:b/>
          <w:bCs/>
          <w:noProof/>
          <w:szCs w:val="22"/>
        </w:rPr>
        <w:t>nātrija</w:t>
      </w:r>
      <w:r>
        <w:rPr>
          <w:noProof/>
          <w:szCs w:val="22"/>
        </w:rPr>
        <w:t xml:space="preserve"> </w:t>
      </w:r>
      <w:r w:rsidRPr="008A3823">
        <w:rPr>
          <w:noProof/>
          <w:szCs w:val="22"/>
        </w:rPr>
        <w:t>(galvenā pārtikā</w:t>
      </w:r>
      <w:r>
        <w:rPr>
          <w:noProof/>
          <w:szCs w:val="22"/>
        </w:rPr>
        <w:t xml:space="preserve"> </w:t>
      </w:r>
      <w:r w:rsidRPr="008A3823">
        <w:rPr>
          <w:noProof/>
          <w:szCs w:val="22"/>
        </w:rPr>
        <w:t>lietojamās/vārāmās sāls sastāvdaļa)</w:t>
      </w:r>
      <w:r>
        <w:rPr>
          <w:noProof/>
          <w:szCs w:val="22"/>
        </w:rPr>
        <w:t xml:space="preserve"> katrā putojošajā tabletē. </w:t>
      </w:r>
      <w:r w:rsidRPr="009E2FFC">
        <w:rPr>
          <w:noProof/>
          <w:szCs w:val="22"/>
        </w:rPr>
        <w:t>Tas ir līdzvērtīgi 20% ieteicamās maksimālās nātrija dienas devas pieaugušajiem.</w:t>
      </w:r>
      <w:r>
        <w:rPr>
          <w:noProof/>
          <w:szCs w:val="22"/>
        </w:rPr>
        <w:t xml:space="preserve"> </w:t>
      </w:r>
      <w:r w:rsidR="008A3823" w:rsidRPr="008A3823">
        <w:rPr>
          <w:noProof/>
          <w:szCs w:val="22"/>
        </w:rPr>
        <w:t>Š</w:t>
      </w:r>
      <w:r w:rsidR="00695C48">
        <w:rPr>
          <w:noProof/>
          <w:szCs w:val="22"/>
        </w:rPr>
        <w:t xml:space="preserve">o </w:t>
      </w:r>
      <w:r w:rsidR="008A3823" w:rsidRPr="008A3823">
        <w:rPr>
          <w:noProof/>
          <w:szCs w:val="22"/>
        </w:rPr>
        <w:t xml:space="preserve"> zā</w:t>
      </w:r>
      <w:r w:rsidR="00695C48">
        <w:rPr>
          <w:noProof/>
          <w:szCs w:val="22"/>
        </w:rPr>
        <w:t>ļu maksimālā ieteicamā dienas deva (6 putojošās tabletes)</w:t>
      </w:r>
      <w:r w:rsidR="008A3823" w:rsidRPr="008A3823">
        <w:rPr>
          <w:noProof/>
          <w:szCs w:val="22"/>
        </w:rPr>
        <w:t xml:space="preserve"> satur </w:t>
      </w:r>
      <w:r w:rsidR="00695C48">
        <w:rPr>
          <w:noProof/>
          <w:szCs w:val="22"/>
        </w:rPr>
        <w:t xml:space="preserve">2474,4 </w:t>
      </w:r>
      <w:r w:rsidR="008A3823" w:rsidRPr="008A3823">
        <w:rPr>
          <w:noProof/>
          <w:szCs w:val="22"/>
        </w:rPr>
        <w:t xml:space="preserve">mg </w:t>
      </w:r>
      <w:r w:rsidR="008A3823" w:rsidRPr="00F95D19">
        <w:rPr>
          <w:b/>
          <w:noProof/>
          <w:szCs w:val="22"/>
        </w:rPr>
        <w:t>nātrija</w:t>
      </w:r>
      <w:r w:rsidR="008A3823" w:rsidRPr="008A3823">
        <w:rPr>
          <w:noProof/>
          <w:szCs w:val="22"/>
        </w:rPr>
        <w:t xml:space="preserve"> </w:t>
      </w:r>
      <w:r w:rsidR="008A3823" w:rsidRPr="00EB7FBF">
        <w:rPr>
          <w:noProof/>
          <w:szCs w:val="22"/>
        </w:rPr>
        <w:t xml:space="preserve">. </w:t>
      </w:r>
      <w:bookmarkStart w:id="1" w:name="_Hlk66354462"/>
      <w:r w:rsidR="008A3823" w:rsidRPr="00EB7FBF">
        <w:rPr>
          <w:noProof/>
          <w:szCs w:val="22"/>
        </w:rPr>
        <w:t xml:space="preserve">Tas ir līdzvērtīgi </w:t>
      </w:r>
      <w:r w:rsidR="00695C48">
        <w:rPr>
          <w:noProof/>
          <w:szCs w:val="22"/>
        </w:rPr>
        <w:t>1</w:t>
      </w:r>
      <w:r w:rsidR="008A3823" w:rsidRPr="00EB7FBF">
        <w:rPr>
          <w:noProof/>
          <w:szCs w:val="22"/>
        </w:rPr>
        <w:t>20</w:t>
      </w:r>
      <w:r w:rsidR="008A3823" w:rsidRPr="00625BFE">
        <w:rPr>
          <w:noProof/>
          <w:szCs w:val="22"/>
        </w:rPr>
        <w:t>% ieteicamās maksimālās nātrija dienas devas pieaugušajiem.</w:t>
      </w:r>
      <w:bookmarkEnd w:id="1"/>
      <w:r w:rsidR="00EB7FBF" w:rsidRPr="00625BFE">
        <w:rPr>
          <w:rFonts w:eastAsia="Verdana"/>
          <w:szCs w:val="22"/>
        </w:rPr>
        <w:t xml:space="preserve"> Pastāstiet ārstam vai farmaceitam, ja Jums ir nepieciešama viena vai vairāk putojošās tabletes dienā ilgāku laiku, īpaši,</w:t>
      </w:r>
      <w:r w:rsidR="004D5719" w:rsidRPr="00EB7FBF">
        <w:rPr>
          <w:noProof/>
          <w:szCs w:val="22"/>
        </w:rPr>
        <w:t xml:space="preserve"> </w:t>
      </w:r>
      <w:r w:rsidR="00080555" w:rsidRPr="00EB7FBF">
        <w:rPr>
          <w:noProof/>
          <w:szCs w:val="22"/>
        </w:rPr>
        <w:t>ja J</w:t>
      </w:r>
      <w:r w:rsidR="00D3006D" w:rsidRPr="00EB7FBF">
        <w:rPr>
          <w:noProof/>
          <w:szCs w:val="22"/>
        </w:rPr>
        <w:t>u</w:t>
      </w:r>
      <w:r w:rsidR="00D3006D" w:rsidRPr="00625BFE">
        <w:rPr>
          <w:noProof/>
          <w:szCs w:val="22"/>
        </w:rPr>
        <w:t>m</w:t>
      </w:r>
      <w:r w:rsidR="00080555" w:rsidRPr="00625BFE">
        <w:rPr>
          <w:noProof/>
          <w:szCs w:val="22"/>
        </w:rPr>
        <w:t xml:space="preserve">s </w:t>
      </w:r>
      <w:r w:rsidR="00D3006D" w:rsidRPr="00625BFE">
        <w:rPr>
          <w:noProof/>
          <w:szCs w:val="22"/>
        </w:rPr>
        <w:t>ir ieteikts ievērot</w:t>
      </w:r>
      <w:r w:rsidR="00080555" w:rsidRPr="00625BFE">
        <w:rPr>
          <w:noProof/>
          <w:szCs w:val="22"/>
        </w:rPr>
        <w:t xml:space="preserve"> zem</w:t>
      </w:r>
      <w:r w:rsidR="00D3006D" w:rsidRPr="00625BFE">
        <w:rPr>
          <w:noProof/>
          <w:szCs w:val="22"/>
        </w:rPr>
        <w:t>a</w:t>
      </w:r>
      <w:r w:rsidR="00080555" w:rsidRPr="00625BFE">
        <w:rPr>
          <w:noProof/>
          <w:szCs w:val="22"/>
        </w:rPr>
        <w:t xml:space="preserve"> satur</w:t>
      </w:r>
      <w:r w:rsidR="00D3006D" w:rsidRPr="00625BFE">
        <w:rPr>
          <w:noProof/>
          <w:szCs w:val="22"/>
        </w:rPr>
        <w:t>a</w:t>
      </w:r>
      <w:r w:rsidR="00D3006D" w:rsidRPr="004F082C">
        <w:rPr>
          <w:noProof/>
          <w:szCs w:val="22"/>
        </w:rPr>
        <w:t xml:space="preserve"> sāls </w:t>
      </w:r>
      <w:r w:rsidR="0084634A" w:rsidRPr="004F082C">
        <w:rPr>
          <w:noProof/>
          <w:szCs w:val="22"/>
        </w:rPr>
        <w:t xml:space="preserve">(nātrija) </w:t>
      </w:r>
      <w:r w:rsidR="00D3006D" w:rsidRPr="004F082C">
        <w:rPr>
          <w:noProof/>
          <w:szCs w:val="22"/>
        </w:rPr>
        <w:t>diētu</w:t>
      </w:r>
      <w:r w:rsidR="00DF2C3B" w:rsidRPr="00EB7FBF">
        <w:rPr>
          <w:color w:val="000000"/>
          <w:szCs w:val="22"/>
        </w:rPr>
        <w:t xml:space="preserve">. </w:t>
      </w:r>
    </w:p>
    <w:p w14:paraId="5954507E" w14:textId="77777777" w:rsidR="00C6575F" w:rsidRPr="00F95D19" w:rsidRDefault="00066631" w:rsidP="00E244F5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696C8E">
        <w:rPr>
          <w:szCs w:val="22"/>
          <w:lang w:eastAsia="en-GB"/>
        </w:rPr>
        <w:t xml:space="preserve">Šīs zāles satur </w:t>
      </w:r>
      <w:r>
        <w:rPr>
          <w:szCs w:val="22"/>
          <w:lang w:eastAsia="en-GB"/>
        </w:rPr>
        <w:t>6</w:t>
      </w:r>
      <w:r w:rsidR="009E2FFC">
        <w:rPr>
          <w:szCs w:val="22"/>
          <w:lang w:eastAsia="en-GB"/>
        </w:rPr>
        <w:t>1</w:t>
      </w:r>
      <w:r w:rsidRPr="00696C8E">
        <w:rPr>
          <w:szCs w:val="22"/>
          <w:lang w:eastAsia="en-GB"/>
        </w:rPr>
        <w:t xml:space="preserve"> mg </w:t>
      </w:r>
      <w:r w:rsidRPr="008F789E">
        <w:rPr>
          <w:szCs w:val="22"/>
        </w:rPr>
        <w:t>nātrija benzoāt</w:t>
      </w:r>
      <w:r>
        <w:rPr>
          <w:szCs w:val="22"/>
        </w:rPr>
        <w:t>a</w:t>
      </w:r>
      <w:r w:rsidRPr="008F789E">
        <w:rPr>
          <w:szCs w:val="22"/>
        </w:rPr>
        <w:t xml:space="preserve"> </w:t>
      </w:r>
      <w:r w:rsidRPr="00696C8E">
        <w:rPr>
          <w:szCs w:val="22"/>
          <w:lang w:eastAsia="en-GB"/>
        </w:rPr>
        <w:t xml:space="preserve">katrā </w:t>
      </w:r>
      <w:r>
        <w:t>putojošajā</w:t>
      </w:r>
      <w:r>
        <w:rPr>
          <w:szCs w:val="22"/>
          <w:lang w:eastAsia="en-GB"/>
        </w:rPr>
        <w:t xml:space="preserve"> tabletē</w:t>
      </w:r>
      <w:r w:rsidRPr="00696C8E">
        <w:rPr>
          <w:szCs w:val="22"/>
          <w:lang w:eastAsia="en-GB"/>
        </w:rPr>
        <w:t>.</w:t>
      </w:r>
    </w:p>
    <w:p w14:paraId="12A0D74E" w14:textId="77777777" w:rsidR="004D5719" w:rsidRPr="00527437" w:rsidRDefault="004D5719" w:rsidP="004D571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3F708388" w14:textId="77777777" w:rsidR="00DE76E2" w:rsidRPr="00527437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5A72DB16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</w:r>
      <w:r w:rsidR="005F3900" w:rsidRPr="007B74DB">
        <w:rPr>
          <w:b/>
          <w:noProof/>
        </w:rPr>
        <w:t>Kā lietot Efferalgan</w:t>
      </w:r>
    </w:p>
    <w:p w14:paraId="034BBD4D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0BA9F271" w14:textId="77777777" w:rsidR="002C4CEB" w:rsidRPr="008B52BB" w:rsidRDefault="004D5719" w:rsidP="00D61C9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8B52BB">
        <w:rPr>
          <w:noProof/>
          <w:szCs w:val="22"/>
        </w:rPr>
        <w:t xml:space="preserve">Šī zāļu forma paredzēta pieaugušajiem un bērniem, kuru ķermeņa masa ir lielāka </w:t>
      </w:r>
      <w:r w:rsidR="009D766B" w:rsidRPr="008B52BB">
        <w:rPr>
          <w:noProof/>
          <w:szCs w:val="22"/>
        </w:rPr>
        <w:t>par</w:t>
      </w:r>
      <w:r w:rsidR="0092150A" w:rsidRPr="008B52BB">
        <w:rPr>
          <w:noProof/>
          <w:szCs w:val="22"/>
        </w:rPr>
        <w:t xml:space="preserve"> </w:t>
      </w:r>
      <w:r w:rsidR="00A46401" w:rsidRPr="008B52BB">
        <w:rPr>
          <w:noProof/>
          <w:szCs w:val="22"/>
        </w:rPr>
        <w:t>17 </w:t>
      </w:r>
      <w:r w:rsidR="0092150A" w:rsidRPr="008B52BB">
        <w:rPr>
          <w:noProof/>
          <w:szCs w:val="22"/>
        </w:rPr>
        <w:t>kg (</w:t>
      </w:r>
      <w:r w:rsidR="002F0403" w:rsidRPr="008B52BB">
        <w:rPr>
          <w:color w:val="000000"/>
          <w:szCs w:val="22"/>
        </w:rPr>
        <w:t xml:space="preserve">t.i., sākot no apmēram </w:t>
      </w:r>
      <w:r w:rsidR="00D603E0" w:rsidRPr="008B52BB">
        <w:rPr>
          <w:color w:val="000000"/>
          <w:szCs w:val="22"/>
        </w:rPr>
        <w:t xml:space="preserve">5 </w:t>
      </w:r>
      <w:r w:rsidR="002F0403" w:rsidRPr="008B52BB">
        <w:rPr>
          <w:color w:val="000000"/>
          <w:szCs w:val="22"/>
        </w:rPr>
        <w:t>gadu vecuma</w:t>
      </w:r>
      <w:r w:rsidR="002C4CEB" w:rsidRPr="008B52BB">
        <w:rPr>
          <w:noProof/>
          <w:szCs w:val="22"/>
        </w:rPr>
        <w:t>).</w:t>
      </w:r>
    </w:p>
    <w:p w14:paraId="11C686C3" w14:textId="77777777" w:rsidR="002C4CEB" w:rsidRDefault="002C4CEB" w:rsidP="00D61C9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082CA9AC" w14:textId="77777777" w:rsidR="002F0403" w:rsidRDefault="00054F72" w:rsidP="00D61C9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Tablete pilnīgi jāizšķīdina glāzē ar lielu ūdens daudzumu un tūlīt jāizdzer. Ieteicamās devas norādītas zemāk.</w:t>
      </w:r>
      <w:r w:rsidR="00B00C86" w:rsidRPr="00B00C86">
        <w:t xml:space="preserve"> </w:t>
      </w:r>
      <w:r w:rsidR="00B81989" w:rsidRPr="00B81989">
        <w:rPr>
          <w:noProof/>
        </w:rPr>
        <w:t>Tabletes nedrīkst sakošļāt vai norīt.</w:t>
      </w:r>
    </w:p>
    <w:p w14:paraId="3475D09D" w14:textId="77777777" w:rsidR="00054F72" w:rsidRDefault="00054F72" w:rsidP="00054F7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</w:rPr>
      </w:pPr>
    </w:p>
    <w:p w14:paraId="26D0DDCF" w14:textId="77777777" w:rsidR="00054F72" w:rsidRPr="00054F72" w:rsidRDefault="00054F72" w:rsidP="00054F7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054F72">
        <w:rPr>
          <w:b/>
          <w:noProof/>
          <w:szCs w:val="22"/>
        </w:rPr>
        <w:t>Pieaugušie un bērni, kuru ķermeņa masa ir 50 kg un vairāk (aptuveni 15 gadus veci un vecāki)</w:t>
      </w:r>
    </w:p>
    <w:p w14:paraId="35DA03F6" w14:textId="77777777" w:rsidR="00054F72" w:rsidRPr="00054F72" w:rsidRDefault="00054F72" w:rsidP="00054F72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054F72">
        <w:rPr>
          <w:noProof/>
          <w:szCs w:val="22"/>
        </w:rPr>
        <w:t xml:space="preserve">1 vai 2 putojošās tabletes, ko </w:t>
      </w:r>
      <w:r w:rsidR="002C4CEB">
        <w:rPr>
          <w:noProof/>
          <w:szCs w:val="22"/>
        </w:rPr>
        <w:t>lieto pēc 4 stundām. Diennaktī nelietojiet vairāk nekā</w:t>
      </w:r>
      <w:r w:rsidRPr="00054F72">
        <w:rPr>
          <w:noProof/>
          <w:szCs w:val="22"/>
        </w:rPr>
        <w:t xml:space="preserve"> 6 putojošās tabletes (3 g paracetamola).</w:t>
      </w:r>
    </w:p>
    <w:p w14:paraId="07D6C794" w14:textId="77777777" w:rsidR="002C4CEB" w:rsidRDefault="002C4CEB" w:rsidP="00054F72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</w:rPr>
      </w:pPr>
    </w:p>
    <w:p w14:paraId="55B33468" w14:textId="77777777" w:rsidR="00054F72" w:rsidRPr="00054F72" w:rsidRDefault="00054F72" w:rsidP="00054F72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</w:rPr>
      </w:pPr>
      <w:r w:rsidRPr="00054F72">
        <w:rPr>
          <w:b/>
          <w:noProof/>
          <w:szCs w:val="22"/>
        </w:rPr>
        <w:t>Bērni</w:t>
      </w:r>
    </w:p>
    <w:p w14:paraId="56EE6A19" w14:textId="77777777" w:rsidR="00054F72" w:rsidRPr="00054F72" w:rsidRDefault="002C4CEB" w:rsidP="00054F72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Pustableti vai 1 tableti izšķīdināt ūdenī </w:t>
      </w:r>
      <w:r w:rsidR="00B94918">
        <w:rPr>
          <w:noProof/>
          <w:szCs w:val="22"/>
        </w:rPr>
        <w:t xml:space="preserve">pēc vajadzības </w:t>
      </w:r>
      <w:r>
        <w:rPr>
          <w:noProof/>
          <w:szCs w:val="22"/>
        </w:rPr>
        <w:t xml:space="preserve">ik pēc 4 līdz 6 stundām </w:t>
      </w:r>
      <w:r w:rsidR="00B94918">
        <w:rPr>
          <w:noProof/>
          <w:szCs w:val="22"/>
        </w:rPr>
        <w:t xml:space="preserve">un saskaņā ar ķermeņa masu, norādītu tabulā. </w:t>
      </w:r>
      <w:r w:rsidR="00054F72" w:rsidRPr="00054F72">
        <w:rPr>
          <w:noProof/>
          <w:szCs w:val="22"/>
        </w:rPr>
        <w:t>Ieteicamā maksimālā diennakts deva ir 60 mg/kg/dienā. Intervālam starp lietošanas reizēm vajadzētu būt 6 stundām, un tas ned</w:t>
      </w:r>
      <w:r w:rsidR="00B94918">
        <w:rPr>
          <w:noProof/>
          <w:szCs w:val="22"/>
        </w:rPr>
        <w:t>rīkst būt mazāks par 4 stundām.</w:t>
      </w:r>
    </w:p>
    <w:p w14:paraId="136925A4" w14:textId="77777777" w:rsidR="00054F72" w:rsidRPr="00054F72" w:rsidRDefault="00054F72" w:rsidP="00054F72">
      <w:pPr>
        <w:pStyle w:val="EMEABodyText"/>
        <w:rPr>
          <w:szCs w:val="22"/>
          <w:lang w:val="lv-LV"/>
        </w:rPr>
      </w:pPr>
    </w:p>
    <w:tbl>
      <w:tblPr>
        <w:tblW w:w="5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409"/>
        <w:gridCol w:w="1671"/>
        <w:gridCol w:w="1250"/>
        <w:gridCol w:w="1250"/>
        <w:gridCol w:w="2086"/>
      </w:tblGrid>
      <w:tr w:rsidR="001B2DB6" w:rsidRPr="001B2DB6" w14:paraId="023288DE" w14:textId="77777777" w:rsidTr="001B2DB6">
        <w:trPr>
          <w:trHeight w:val="159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AEEA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ES_tradnl" w:eastAsia="es-ES_tradnl"/>
              </w:rPr>
            </w:pP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Ķermeņa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masa (kg)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288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ES_tradnl" w:eastAsia="es-ES_tradnl"/>
              </w:rPr>
            </w:pP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Aptuvenais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vecums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* (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gadi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EF34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ES_tradnl" w:eastAsia="es-ES_tradnl"/>
              </w:rPr>
            </w:pP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Paracetamola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daudzums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devā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(mg)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8B35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color w:val="000000"/>
                <w:szCs w:val="22"/>
                <w:lang w:val="en-US" w:eastAsia="es-ES_tradnl"/>
              </w:rPr>
            </w:pPr>
            <w:proofErr w:type="spellStart"/>
            <w:r w:rsidRPr="001B2DB6">
              <w:rPr>
                <w:b/>
                <w:bCs/>
                <w:color w:val="000000"/>
                <w:szCs w:val="22"/>
                <w:lang w:val="en-US" w:eastAsia="es-ES_tradnl"/>
              </w:rPr>
              <w:t>Putojošo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n-US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n-US" w:eastAsia="es-ES_tradnl"/>
              </w:rPr>
              <w:t>tablešu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n-US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n-US" w:eastAsia="es-ES_tradnl"/>
              </w:rPr>
              <w:t>daudzums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n-US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n-US" w:eastAsia="es-ES_tradnl"/>
              </w:rPr>
              <w:t>devā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710F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ES_tradnl" w:eastAsia="es-ES_tradnl"/>
              </w:rPr>
            </w:pP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Minimālais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starplaiks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starp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devām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(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stundas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0924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ES_tradnl" w:eastAsia="es-ES_tradnl"/>
              </w:rPr>
            </w:pP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Maksimālā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dienas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deva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 xml:space="preserve"> (</w:t>
            </w:r>
            <w:proofErr w:type="spellStart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tabletes</w:t>
            </w:r>
            <w:proofErr w:type="spellEnd"/>
            <w:r w:rsidRPr="001B2DB6">
              <w:rPr>
                <w:b/>
                <w:bCs/>
                <w:color w:val="000000"/>
                <w:szCs w:val="22"/>
                <w:lang w:val="es-ES_tradnl" w:eastAsia="es-ES_tradnl"/>
              </w:rPr>
              <w:t>)</w:t>
            </w:r>
          </w:p>
        </w:tc>
      </w:tr>
      <w:tr w:rsidR="001B2DB6" w:rsidRPr="001B2DB6" w14:paraId="49ACE831" w14:textId="77777777" w:rsidTr="001B2DB6">
        <w:trPr>
          <w:trHeight w:val="300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B95781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17-25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5EEC2C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5 &lt;7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2B93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250 mg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8D34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8E5D3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E592B6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lang w:val="en-US"/>
              </w:rPr>
            </w:pPr>
            <w:r w:rsidRPr="001B2DB6">
              <w:rPr>
                <w:color w:val="000000"/>
                <w:lang w:val="en-US"/>
              </w:rPr>
              <w:t>2</w:t>
            </w:r>
          </w:p>
          <w:p w14:paraId="043A3FC4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(1000 mg)</w:t>
            </w:r>
          </w:p>
        </w:tc>
      </w:tr>
      <w:tr w:rsidR="001B2DB6" w:rsidRPr="001B2DB6" w14:paraId="0D488340" w14:textId="77777777" w:rsidTr="001B2DB6">
        <w:trPr>
          <w:trHeight w:val="300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547D2A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25-33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52742D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7 &lt;10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F9380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250 mg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A7556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423EE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34A70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lang w:val="en-US"/>
              </w:rPr>
            </w:pPr>
            <w:r w:rsidRPr="001B2DB6">
              <w:rPr>
                <w:color w:val="000000"/>
                <w:lang w:val="en-US"/>
              </w:rPr>
              <w:t>3</w:t>
            </w:r>
          </w:p>
          <w:p w14:paraId="32EB7086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(1500 mg)</w:t>
            </w:r>
          </w:p>
        </w:tc>
      </w:tr>
      <w:tr w:rsidR="001B2DB6" w:rsidRPr="001B2DB6" w14:paraId="219CEFA9" w14:textId="77777777" w:rsidTr="001B2DB6">
        <w:trPr>
          <w:trHeight w:val="300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DFD510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33 &lt;50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FDA418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10 &lt;12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D3265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500 mg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01F7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4031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szCs w:val="22"/>
                <w:lang w:val="es-ES_tradnl" w:eastAsia="es-ES_tradnl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4E5B03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lang w:val="en-US"/>
              </w:rPr>
            </w:pPr>
            <w:r w:rsidRPr="001B2DB6">
              <w:rPr>
                <w:color w:val="000000"/>
                <w:lang w:val="en-US"/>
              </w:rPr>
              <w:t>4</w:t>
            </w:r>
          </w:p>
          <w:p w14:paraId="2F06594F" w14:textId="77777777" w:rsidR="001B2DB6" w:rsidRPr="001B2DB6" w:rsidRDefault="001B2DB6" w:rsidP="001B2DB6">
            <w:pPr>
              <w:tabs>
                <w:tab w:val="clear" w:pos="567"/>
              </w:tabs>
              <w:spacing w:line="240" w:lineRule="auto"/>
              <w:jc w:val="center"/>
              <w:rPr>
                <w:color w:val="000000"/>
                <w:szCs w:val="22"/>
                <w:lang w:val="es-ES_tradnl" w:eastAsia="es-ES_tradnl"/>
              </w:rPr>
            </w:pPr>
            <w:r w:rsidRPr="001B2DB6">
              <w:rPr>
                <w:color w:val="000000"/>
                <w:lang w:val="en-US"/>
              </w:rPr>
              <w:t>(2000 mg)</w:t>
            </w:r>
          </w:p>
        </w:tc>
      </w:tr>
    </w:tbl>
    <w:p w14:paraId="1CA2F692" w14:textId="77777777" w:rsidR="001B2DB6" w:rsidRDefault="001B2DB6" w:rsidP="00054F72">
      <w:pPr>
        <w:pStyle w:val="EMEABodyText"/>
        <w:rPr>
          <w:szCs w:val="22"/>
          <w:lang w:val="lv-LV"/>
        </w:rPr>
      </w:pPr>
      <w:r w:rsidRPr="001B2DB6">
        <w:rPr>
          <w:szCs w:val="22"/>
          <w:lang w:val="lv-LV"/>
        </w:rPr>
        <w:t>* Aptuvenā vecuma un ķermeņa masas attiecība ir dota tikai orientējoši. Izmantojiet vecuma kategorijas, kas balstītas uz vietējiem standarta attīstības rādītājiem.</w:t>
      </w:r>
    </w:p>
    <w:p w14:paraId="32DA0027" w14:textId="77777777" w:rsidR="001B2DB6" w:rsidRPr="00054F72" w:rsidRDefault="001B2DB6" w:rsidP="00054F72">
      <w:pPr>
        <w:pStyle w:val="EMEABodyText"/>
        <w:rPr>
          <w:szCs w:val="22"/>
          <w:lang w:val="lv-LV"/>
        </w:rPr>
      </w:pPr>
    </w:p>
    <w:p w14:paraId="7044AC16" w14:textId="77777777" w:rsidR="001C14BD" w:rsidRPr="001C14BD" w:rsidRDefault="001C14BD" w:rsidP="001C1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</w:rPr>
      </w:pPr>
      <w:r w:rsidRPr="001C14BD">
        <w:rPr>
          <w:b/>
          <w:noProof/>
          <w:szCs w:val="22"/>
        </w:rPr>
        <w:t>Nieru mazspēja</w:t>
      </w:r>
    </w:p>
    <w:p w14:paraId="158AB29E" w14:textId="77777777" w:rsidR="008201FA" w:rsidRPr="001C14BD" w:rsidRDefault="001C14BD" w:rsidP="008201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94918">
        <w:rPr>
          <w:szCs w:val="22"/>
        </w:rPr>
        <w:t>S</w:t>
      </w:r>
      <w:r w:rsidR="008201FA" w:rsidRPr="00B94918">
        <w:rPr>
          <w:szCs w:val="22"/>
        </w:rPr>
        <w:t>mag</w:t>
      </w:r>
      <w:r w:rsidRPr="00B94918">
        <w:rPr>
          <w:szCs w:val="22"/>
        </w:rPr>
        <w:t>as</w:t>
      </w:r>
      <w:r w:rsidR="008201FA" w:rsidRPr="00B94918">
        <w:rPr>
          <w:szCs w:val="22"/>
        </w:rPr>
        <w:t xml:space="preserve"> nieru </w:t>
      </w:r>
      <w:r w:rsidRPr="00B94918">
        <w:rPr>
          <w:szCs w:val="22"/>
        </w:rPr>
        <w:t>mazspējas gadījumā</w:t>
      </w:r>
      <w:r w:rsidRPr="001C14BD">
        <w:rPr>
          <w:szCs w:val="22"/>
        </w:rPr>
        <w:t xml:space="preserve"> </w:t>
      </w:r>
      <w:r w:rsidR="008201FA" w:rsidRPr="001C14BD">
        <w:rPr>
          <w:szCs w:val="22"/>
        </w:rPr>
        <w:t>(</w:t>
      </w:r>
      <w:r w:rsidRPr="001C14BD">
        <w:rPr>
          <w:szCs w:val="22"/>
        </w:rPr>
        <w:t xml:space="preserve">kreatinīna klīrenss zemāks par 30 ml/min) </w:t>
      </w:r>
      <w:r w:rsidR="008201FA" w:rsidRPr="001C14BD">
        <w:rPr>
          <w:szCs w:val="22"/>
        </w:rPr>
        <w:t xml:space="preserve">starplaikam starp devu ievadīšanas reizēm jābūt vismaz </w:t>
      </w:r>
      <w:r w:rsidRPr="001C14BD">
        <w:rPr>
          <w:szCs w:val="22"/>
        </w:rPr>
        <w:t>6</w:t>
      </w:r>
      <w:r w:rsidR="008201FA" w:rsidRPr="001C14BD">
        <w:rPr>
          <w:szCs w:val="22"/>
        </w:rPr>
        <w:t xml:space="preserve"> stundas.</w:t>
      </w:r>
    </w:p>
    <w:p w14:paraId="04F31D29" w14:textId="77777777" w:rsidR="001F182E" w:rsidRDefault="001F182E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7DB2657D" w14:textId="77777777" w:rsidR="00DE76E2" w:rsidRPr="001C14BD" w:rsidRDefault="00D61C9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1C14BD">
        <w:rPr>
          <w:b/>
          <w:noProof/>
          <w:szCs w:val="22"/>
        </w:rPr>
        <w:t xml:space="preserve">Ja esat lietojis </w:t>
      </w:r>
      <w:r w:rsidR="00643B15" w:rsidRPr="00643B15">
        <w:rPr>
          <w:b/>
          <w:noProof/>
        </w:rPr>
        <w:t>Efferalgan</w:t>
      </w:r>
      <w:r w:rsidR="00643B15">
        <w:rPr>
          <w:noProof/>
        </w:rPr>
        <w:t xml:space="preserve"> </w:t>
      </w:r>
      <w:r w:rsidR="00DE76E2" w:rsidRPr="001C14BD">
        <w:rPr>
          <w:b/>
          <w:noProof/>
          <w:szCs w:val="22"/>
        </w:rPr>
        <w:t>vairāk nekā noteikts</w:t>
      </w:r>
    </w:p>
    <w:p w14:paraId="3FEC6412" w14:textId="77777777" w:rsidR="001C14BD" w:rsidRPr="001C14BD" w:rsidRDefault="00661AFD" w:rsidP="001C1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Sazinieties</w:t>
      </w:r>
      <w:r w:rsidRPr="001C14BD">
        <w:rPr>
          <w:noProof/>
          <w:szCs w:val="22"/>
        </w:rPr>
        <w:t xml:space="preserve"> ar ārstu vai izsauciet neatliekamo medicīnisko palīdzību</w:t>
      </w:r>
      <w:r>
        <w:rPr>
          <w:noProof/>
          <w:szCs w:val="22"/>
        </w:rPr>
        <w:t xml:space="preserve">, ja Jūs vai kāds cits ir </w:t>
      </w:r>
      <w:r w:rsidR="001C14BD" w:rsidRPr="001C14BD">
        <w:rPr>
          <w:noProof/>
          <w:szCs w:val="22"/>
        </w:rPr>
        <w:t>lietoj</w:t>
      </w:r>
      <w:r>
        <w:rPr>
          <w:noProof/>
          <w:szCs w:val="22"/>
        </w:rPr>
        <w:t xml:space="preserve">is parāk daudz Efferalgan tabletes. </w:t>
      </w:r>
      <w:r w:rsidR="001C14BD" w:rsidRPr="001C14BD">
        <w:rPr>
          <w:noProof/>
          <w:szCs w:val="22"/>
        </w:rPr>
        <w:t>Agrīnie pārdozēšanas simptomi (pirmajā dienā) var būt slikta dūša, vemšana, svīšana, miegainība un savārgums.</w:t>
      </w:r>
      <w:r>
        <w:rPr>
          <w:noProof/>
          <w:szCs w:val="22"/>
        </w:rPr>
        <w:t xml:space="preserve"> </w:t>
      </w:r>
      <w:r w:rsidR="00A85E09">
        <w:rPr>
          <w:noProof/>
          <w:szCs w:val="22"/>
        </w:rPr>
        <w:t>Ja netiek sniegta medicīniskā palīdzība, v</w:t>
      </w:r>
      <w:r w:rsidR="001C14BD" w:rsidRPr="001C14BD">
        <w:rPr>
          <w:noProof/>
          <w:szCs w:val="22"/>
        </w:rPr>
        <w:t>ar</w:t>
      </w:r>
      <w:r>
        <w:rPr>
          <w:noProof/>
          <w:szCs w:val="22"/>
        </w:rPr>
        <w:t xml:space="preserve"> at</w:t>
      </w:r>
      <w:r w:rsidR="001C14BD" w:rsidRPr="001C14BD">
        <w:rPr>
          <w:noProof/>
          <w:szCs w:val="22"/>
        </w:rPr>
        <w:t>tī</w:t>
      </w:r>
      <w:r>
        <w:rPr>
          <w:noProof/>
          <w:szCs w:val="22"/>
        </w:rPr>
        <w:t>stī</w:t>
      </w:r>
      <w:r w:rsidR="001C14BD" w:rsidRPr="001C14BD">
        <w:rPr>
          <w:noProof/>
          <w:szCs w:val="22"/>
        </w:rPr>
        <w:t>ties neatgriezeniski aknu bojājumi.</w:t>
      </w:r>
    </w:p>
    <w:p w14:paraId="6AC7E386" w14:textId="77777777" w:rsidR="00674780" w:rsidRPr="00BC7941" w:rsidRDefault="00674780" w:rsidP="00674780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BC7941">
        <w:rPr>
          <w:szCs w:val="22"/>
          <w:lang w:eastAsia="en-GB"/>
        </w:rPr>
        <w:t xml:space="preserve">Ir novēroti reti akūta pankreatīta gadījumi. </w:t>
      </w:r>
    </w:p>
    <w:p w14:paraId="1170757B" w14:textId="77777777" w:rsidR="001C14BD" w:rsidRPr="00BC7941" w:rsidRDefault="001C1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</w:p>
    <w:p w14:paraId="2257B572" w14:textId="77777777" w:rsidR="001C14BD" w:rsidRPr="001C14BD" w:rsidRDefault="001C14BD" w:rsidP="001C1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1C14BD">
        <w:rPr>
          <w:b/>
          <w:noProof/>
          <w:szCs w:val="22"/>
        </w:rPr>
        <w:t xml:space="preserve">Ja esat aizmirsis lietot </w:t>
      </w:r>
      <w:r w:rsidR="00643B15" w:rsidRPr="00643B15">
        <w:rPr>
          <w:b/>
          <w:noProof/>
        </w:rPr>
        <w:t>Efferalgan</w:t>
      </w:r>
      <w:r w:rsidRPr="001C14BD">
        <w:rPr>
          <w:b/>
          <w:noProof/>
          <w:szCs w:val="22"/>
        </w:rPr>
        <w:t xml:space="preserve"> </w:t>
      </w:r>
    </w:p>
    <w:p w14:paraId="19D88E03" w14:textId="77777777" w:rsidR="001C14BD" w:rsidRPr="001C14BD" w:rsidRDefault="001C14BD" w:rsidP="001C1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1C14BD">
        <w:rPr>
          <w:noProof/>
          <w:szCs w:val="22"/>
        </w:rPr>
        <w:t>Nelietojiet dubultu devu, lai aizvietotu aizmirsto devu.</w:t>
      </w:r>
    </w:p>
    <w:p w14:paraId="23CCDA64" w14:textId="77777777" w:rsidR="00DE76E2" w:rsidRPr="001C14BD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4E2E4E1" w14:textId="77777777" w:rsidR="00D6449E" w:rsidRPr="001C14BD" w:rsidRDefault="00D6449E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F734835" w14:textId="77777777" w:rsidR="00DE76E2" w:rsidRDefault="00DE76E2">
      <w:pPr>
        <w:tabs>
          <w:tab w:val="clear" w:pos="567"/>
        </w:tabs>
        <w:spacing w:line="240" w:lineRule="auto"/>
        <w:ind w:left="567" w:hanging="567"/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b/>
          <w:noProof/>
        </w:rPr>
        <w:tab/>
      </w:r>
      <w:r w:rsidR="0016542A" w:rsidRPr="0016542A">
        <w:rPr>
          <w:b/>
          <w:noProof/>
        </w:rPr>
        <w:t>Iespējamās blakusparādības</w:t>
      </w:r>
    </w:p>
    <w:p w14:paraId="54A5E322" w14:textId="77777777" w:rsidR="00DE76E2" w:rsidRDefault="00DE76E2">
      <w:p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7B076CEF" w14:textId="77777777" w:rsidR="000D025C" w:rsidRPr="00D61B43" w:rsidRDefault="009B7B7B" w:rsidP="000D025C">
      <w:pPr>
        <w:pStyle w:val="EMEABodyText"/>
        <w:rPr>
          <w:lang w:val="lv-LV"/>
        </w:rPr>
      </w:pPr>
      <w:r w:rsidRPr="000D025C">
        <w:rPr>
          <w:noProof/>
          <w:lang w:val="lv-LV"/>
        </w:rPr>
        <w:t xml:space="preserve">Tāpat kā citas zāles, </w:t>
      </w:r>
      <w:r w:rsidR="00643B15" w:rsidRPr="001C4568">
        <w:rPr>
          <w:noProof/>
          <w:lang w:val="lv-LV"/>
        </w:rPr>
        <w:t>Efferalgan</w:t>
      </w:r>
      <w:r w:rsidR="00643B15" w:rsidRPr="000D025C">
        <w:rPr>
          <w:noProof/>
          <w:lang w:val="lv-LV"/>
        </w:rPr>
        <w:t xml:space="preserve"> </w:t>
      </w:r>
      <w:r w:rsidR="00DE76E2" w:rsidRPr="000D025C">
        <w:rPr>
          <w:noProof/>
          <w:lang w:val="lv-LV"/>
        </w:rPr>
        <w:t>var izraisīt blakusparādības, kaut arī ne visiem tās izpaužas.</w:t>
      </w:r>
      <w:r w:rsidR="000D025C" w:rsidRPr="000D025C">
        <w:rPr>
          <w:lang w:val="lv-LV"/>
        </w:rPr>
        <w:t xml:space="preserve"> </w:t>
      </w:r>
      <w:r w:rsidR="000D025C">
        <w:rPr>
          <w:lang w:val="lv-LV"/>
        </w:rPr>
        <w:t xml:space="preserve">Par </w:t>
      </w:r>
      <w:r w:rsidR="00D27678">
        <w:rPr>
          <w:lang w:val="lv-LV"/>
        </w:rPr>
        <w:t xml:space="preserve">šādām </w:t>
      </w:r>
      <w:r w:rsidR="000D025C">
        <w:rPr>
          <w:lang w:val="lv-LV"/>
        </w:rPr>
        <w:t>blakusparādībām</w:t>
      </w:r>
      <w:r w:rsidR="00D27678">
        <w:rPr>
          <w:lang w:val="lv-LV"/>
        </w:rPr>
        <w:t xml:space="preserve"> </w:t>
      </w:r>
      <w:r w:rsidR="00D27678" w:rsidRPr="00D27678">
        <w:rPr>
          <w:lang w:val="lv-LV"/>
        </w:rPr>
        <w:t>pēcreģistrācijas periodā ir saņemti atsevišķi ziņojumi, tādēļ to biežums nav zināms</w:t>
      </w:r>
      <w:r w:rsidR="000D025C">
        <w:rPr>
          <w:lang w:val="lv-LV"/>
        </w:rPr>
        <w:t>.</w:t>
      </w:r>
    </w:p>
    <w:p w14:paraId="66EB0801" w14:textId="77777777" w:rsidR="000D025C" w:rsidRDefault="000D025C" w:rsidP="000D025C">
      <w:pPr>
        <w:pStyle w:val="EMEABodyText"/>
        <w:rPr>
          <w:lang w:val="lv-LV"/>
        </w:rPr>
      </w:pPr>
    </w:p>
    <w:p w14:paraId="619EFFE1" w14:textId="77777777" w:rsidR="00850AC4" w:rsidRPr="00B00D72" w:rsidRDefault="00850AC4" w:rsidP="000D025C">
      <w:pPr>
        <w:pStyle w:val="EMEABodyText"/>
        <w:rPr>
          <w:b/>
          <w:lang w:val="lv-LV"/>
        </w:rPr>
      </w:pPr>
      <w:r w:rsidRPr="00B00D72">
        <w:rPr>
          <w:b/>
          <w:lang w:val="lv-LV"/>
        </w:rPr>
        <w:t xml:space="preserve">Nekavējoties pārtrauciet lietot tabletes un sazinieties ar </w:t>
      </w:r>
      <w:r w:rsidR="004A0269" w:rsidRPr="00B00D72">
        <w:rPr>
          <w:b/>
          <w:lang w:val="lv-LV"/>
        </w:rPr>
        <w:t>ārstu, ja parādās kaut kas no zemāk minētā:</w:t>
      </w:r>
    </w:p>
    <w:p w14:paraId="2BCB3BB2" w14:textId="77777777" w:rsidR="004A0269" w:rsidRPr="00123017" w:rsidRDefault="004A0269" w:rsidP="00423DCD">
      <w:pPr>
        <w:pStyle w:val="EMEATableLeft"/>
      </w:pPr>
      <w:r>
        <w:t xml:space="preserve">alerģiskas reakcijas kā </w:t>
      </w:r>
      <w:r w:rsidRPr="00123017">
        <w:rPr>
          <w:noProof/>
          <w:szCs w:val="22"/>
        </w:rPr>
        <w:t>Kvinkes tūsk</w:t>
      </w:r>
      <w:r>
        <w:rPr>
          <w:noProof/>
          <w:szCs w:val="22"/>
        </w:rPr>
        <w:t xml:space="preserve">a vai </w:t>
      </w:r>
      <w:r w:rsidRPr="00123017">
        <w:rPr>
          <w:noProof/>
          <w:szCs w:val="22"/>
        </w:rPr>
        <w:t>anafilaktisk</w:t>
      </w:r>
      <w:r>
        <w:rPr>
          <w:noProof/>
          <w:szCs w:val="22"/>
        </w:rPr>
        <w:t>s</w:t>
      </w:r>
      <w:r w:rsidRPr="00123017">
        <w:rPr>
          <w:noProof/>
          <w:szCs w:val="22"/>
        </w:rPr>
        <w:t xml:space="preserve"> šok</w:t>
      </w:r>
      <w:r w:rsidR="00B00D72">
        <w:rPr>
          <w:noProof/>
          <w:szCs w:val="22"/>
        </w:rPr>
        <w:t>s.</w:t>
      </w:r>
      <w:r>
        <w:rPr>
          <w:noProof/>
          <w:szCs w:val="22"/>
        </w:rPr>
        <w:t xml:space="preserve"> </w:t>
      </w:r>
      <w:r w:rsidR="00B00D72">
        <w:rPr>
          <w:noProof/>
          <w:szCs w:val="22"/>
        </w:rPr>
        <w:t xml:space="preserve">Iespējamie simptomi: </w:t>
      </w:r>
      <w:r w:rsidR="00B00D72">
        <w:t>ādas izsitumi (nātrene, ādas apsārtums</w:t>
      </w:r>
      <w:r w:rsidR="00FE22FB">
        <w:t>,</w:t>
      </w:r>
      <w:r w:rsidR="00387086">
        <w:t xml:space="preserve"> </w:t>
      </w:r>
      <w:r w:rsidR="00FE22FB">
        <w:t>purpura</w:t>
      </w:r>
      <w:r w:rsidR="00B00D72">
        <w:t xml:space="preserve">), </w:t>
      </w:r>
      <w:r w:rsidR="00B00D72">
        <w:rPr>
          <w:noProof/>
          <w:szCs w:val="22"/>
        </w:rPr>
        <w:t>pēkšņs sejas, mutes, acu, rīkles vai mēles pietūkums, elpošanas grūtības, svīšana, paātrināta sirdsdarbība un ģībonis;</w:t>
      </w:r>
    </w:p>
    <w:p w14:paraId="2EBDF727" w14:textId="77777777" w:rsidR="004A0269" w:rsidRPr="00EB2C45" w:rsidRDefault="004A0269" w:rsidP="004A0269">
      <w:pPr>
        <w:pStyle w:val="EMEATableLeft"/>
        <w:numPr>
          <w:ilvl w:val="0"/>
          <w:numId w:val="0"/>
        </w:numPr>
        <w:tabs>
          <w:tab w:val="left" w:pos="360"/>
        </w:tabs>
        <w:ind w:left="360" w:hanging="360"/>
      </w:pPr>
      <w:r w:rsidRPr="00EB2C45">
        <w:rPr>
          <w:rFonts w:ascii="Wingdings" w:hAnsi="Wingdings"/>
        </w:rPr>
        <w:t></w:t>
      </w:r>
      <w:r w:rsidRPr="00EB2C45">
        <w:rPr>
          <w:rFonts w:ascii="Wingdings" w:hAnsi="Wingdings"/>
        </w:rPr>
        <w:tab/>
      </w:r>
      <w:r w:rsidR="0007078B">
        <w:rPr>
          <w:color w:val="000000"/>
          <w:szCs w:val="22"/>
        </w:rPr>
        <w:t>deguna vai</w:t>
      </w:r>
      <w:r w:rsidR="0007078B" w:rsidRPr="00123017">
        <w:rPr>
          <w:color w:val="000000"/>
          <w:szCs w:val="22"/>
        </w:rPr>
        <w:t xml:space="preserve"> smagan</w:t>
      </w:r>
      <w:r w:rsidR="0007078B">
        <w:rPr>
          <w:color w:val="000000"/>
          <w:szCs w:val="22"/>
        </w:rPr>
        <w:t xml:space="preserve">u asiņošana, atkārtots drudzis vai infekcija. </w:t>
      </w:r>
      <w:r w:rsidR="004105E6">
        <w:rPr>
          <w:color w:val="000000"/>
          <w:szCs w:val="22"/>
        </w:rPr>
        <w:t>Šie simptomi var noradīt uz ļo</w:t>
      </w:r>
      <w:r>
        <w:rPr>
          <w:color w:val="000000"/>
          <w:szCs w:val="22"/>
        </w:rPr>
        <w:t>ti zemu noteiktu asins šūnu skaitu (</w:t>
      </w:r>
      <w:r w:rsidRPr="00123017">
        <w:rPr>
          <w:noProof/>
          <w:szCs w:val="22"/>
        </w:rPr>
        <w:t>trombocitopēnija, leikopēnija, neitropēnija).</w:t>
      </w:r>
    </w:p>
    <w:p w14:paraId="48BF64B1" w14:textId="77777777" w:rsidR="004A0269" w:rsidRDefault="004A0269" w:rsidP="000D025C">
      <w:pPr>
        <w:pStyle w:val="EMEABodyText"/>
        <w:rPr>
          <w:lang w:val="lv-LV"/>
        </w:rPr>
      </w:pPr>
    </w:p>
    <w:p w14:paraId="7186A5C0" w14:textId="77777777" w:rsidR="004A0269" w:rsidRDefault="004105E6" w:rsidP="000D025C">
      <w:pPr>
        <w:pStyle w:val="EMEABodyText"/>
        <w:rPr>
          <w:lang w:val="lv-LV"/>
        </w:rPr>
      </w:pPr>
      <w:r>
        <w:rPr>
          <w:lang w:val="lv-LV"/>
        </w:rPr>
        <w:t>Citas blakusparādības var būt:</w:t>
      </w:r>
    </w:p>
    <w:p w14:paraId="5591B394" w14:textId="77777777" w:rsidR="000D025C" w:rsidRDefault="000D025C" w:rsidP="00A20305">
      <w:pPr>
        <w:pStyle w:val="EMEATableLeft"/>
        <w:numPr>
          <w:ilvl w:val="0"/>
          <w:numId w:val="0"/>
        </w:numPr>
        <w:tabs>
          <w:tab w:val="left" w:pos="360"/>
        </w:tabs>
        <w:ind w:left="360" w:hanging="360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ab/>
      </w:r>
      <w:r w:rsidR="004105E6">
        <w:t>c</w:t>
      </w:r>
      <w:r>
        <w:t>aureja un sāp</w:t>
      </w:r>
      <w:r w:rsidR="004105E6">
        <w:t>es vēderā;</w:t>
      </w:r>
    </w:p>
    <w:p w14:paraId="51A32648" w14:textId="77777777" w:rsidR="000D025C" w:rsidRPr="00547B3D" w:rsidRDefault="000D025C" w:rsidP="000D025C">
      <w:pPr>
        <w:pStyle w:val="EMEATableLeft"/>
        <w:numPr>
          <w:ilvl w:val="0"/>
          <w:numId w:val="0"/>
        </w:numPr>
        <w:tabs>
          <w:tab w:val="left" w:pos="360"/>
        </w:tabs>
        <w:ind w:left="360" w:hanging="360"/>
      </w:pPr>
      <w:r w:rsidRPr="00547B3D">
        <w:rPr>
          <w:rFonts w:ascii="Wingdings" w:hAnsi="Wingdings"/>
        </w:rPr>
        <w:t></w:t>
      </w:r>
      <w:r w:rsidRPr="00547B3D">
        <w:rPr>
          <w:rFonts w:ascii="Wingdings" w:hAnsi="Wingdings"/>
        </w:rPr>
        <w:tab/>
      </w:r>
      <w:r w:rsidR="004105E6">
        <w:t>paaugstināti</w:t>
      </w:r>
      <w:r w:rsidRPr="00BE358F">
        <w:rPr>
          <w:noProof/>
        </w:rPr>
        <w:t xml:space="preserve"> </w:t>
      </w:r>
      <w:r w:rsidR="004105E6">
        <w:rPr>
          <w:noProof/>
        </w:rPr>
        <w:t>aknu darbības rādītāji</w:t>
      </w:r>
      <w:r w:rsidR="004105E6" w:rsidRPr="00BE358F">
        <w:rPr>
          <w:noProof/>
        </w:rPr>
        <w:t xml:space="preserve"> </w:t>
      </w:r>
      <w:r w:rsidR="004105E6">
        <w:rPr>
          <w:noProof/>
        </w:rPr>
        <w:t>(</w:t>
      </w:r>
      <w:r w:rsidRPr="00BE358F">
        <w:rPr>
          <w:noProof/>
        </w:rPr>
        <w:t>transaminā</w:t>
      </w:r>
      <w:r w:rsidR="004105E6">
        <w:rPr>
          <w:noProof/>
        </w:rPr>
        <w:t>zes</w:t>
      </w:r>
      <w:r w:rsidRPr="00BE358F">
        <w:rPr>
          <w:noProof/>
        </w:rPr>
        <w:t xml:space="preserve"> līmenis</w:t>
      </w:r>
      <w:r w:rsidR="004105E6">
        <w:rPr>
          <w:noProof/>
        </w:rPr>
        <w:t>)</w:t>
      </w:r>
      <w:r>
        <w:rPr>
          <w:noProof/>
          <w:szCs w:val="22"/>
        </w:rPr>
        <w:t>.</w:t>
      </w:r>
    </w:p>
    <w:p w14:paraId="7B00791C" w14:textId="77777777" w:rsidR="004105E6" w:rsidRDefault="004105E6" w:rsidP="000D025C">
      <w:pPr>
        <w:pStyle w:val="EMEATableLeft"/>
        <w:numPr>
          <w:ilvl w:val="0"/>
          <w:numId w:val="0"/>
        </w:numPr>
      </w:pPr>
    </w:p>
    <w:p w14:paraId="5C332905" w14:textId="77777777" w:rsidR="000D025C" w:rsidRDefault="000D025C" w:rsidP="000D025C">
      <w:pPr>
        <w:pStyle w:val="EMEATableLeft"/>
        <w:numPr>
          <w:ilvl w:val="0"/>
          <w:numId w:val="0"/>
        </w:numPr>
      </w:pPr>
      <w:r>
        <w:t>Parasti šīs izmaiņas ir vieglas, atgriezeniskas un neprasa ārstēšanas pārtraukšanu.</w:t>
      </w:r>
    </w:p>
    <w:p w14:paraId="31B99CC7" w14:textId="77777777" w:rsidR="00883D54" w:rsidRDefault="00883D54" w:rsidP="000D025C">
      <w:pPr>
        <w:pStyle w:val="EMEATableLeft"/>
        <w:numPr>
          <w:ilvl w:val="0"/>
          <w:numId w:val="0"/>
        </w:numPr>
      </w:pPr>
    </w:p>
    <w:p w14:paraId="38C050B7" w14:textId="77777777" w:rsidR="0016542A" w:rsidRPr="0016542A" w:rsidRDefault="0016542A" w:rsidP="0016542A">
      <w:pPr>
        <w:tabs>
          <w:tab w:val="clear" w:pos="567"/>
        </w:tabs>
        <w:spacing w:line="240" w:lineRule="auto"/>
        <w:rPr>
          <w:noProof/>
        </w:rPr>
      </w:pPr>
      <w:r w:rsidRPr="0016542A">
        <w:rPr>
          <w:noProof/>
        </w:rPr>
        <w:t>Paracetamola lietošana, pārsniedzot ieteikto devu, rada ļoti nopietna aknu bojājuma risku. Aknu bojājuma klīniskās izpausmes parasti rodas 1 - 2 dienas pēc paracetamola pārdozēšanas. Izteiktākie aknu bojājuma simptomi parasti novērojami pēc 3 - 4 dienām. Cik ātri vien iespējams, jāsāk terapija ar antidotu.</w:t>
      </w:r>
    </w:p>
    <w:p w14:paraId="44E54ED4" w14:textId="77777777" w:rsidR="00DE76E2" w:rsidRDefault="0016542A" w:rsidP="00A46401">
      <w:pPr>
        <w:tabs>
          <w:tab w:val="clear" w:pos="567"/>
        </w:tabs>
        <w:spacing w:line="240" w:lineRule="auto"/>
        <w:rPr>
          <w:noProof/>
        </w:rPr>
      </w:pPr>
      <w:r w:rsidRPr="00A46401">
        <w:rPr>
          <w:noProof/>
        </w:rPr>
        <w:t>Paracetamols var izraisīt smagas ādas reakcijas, tādas kā akūta ģeneralizēta eksantematoza pustuloze (AGEP), Stīven</w:t>
      </w:r>
      <w:r w:rsidR="00917C78" w:rsidRPr="00A46401">
        <w:rPr>
          <w:noProof/>
        </w:rPr>
        <w:t>s</w:t>
      </w:r>
      <w:r w:rsidRPr="00A46401">
        <w:rPr>
          <w:noProof/>
        </w:rPr>
        <w:t xml:space="preserve">a-Džonsona sindroms un toksiskā </w:t>
      </w:r>
      <w:r w:rsidR="0054789C" w:rsidRPr="00A46401">
        <w:rPr>
          <w:noProof/>
        </w:rPr>
        <w:t xml:space="preserve">epidermas </w:t>
      </w:r>
      <w:r w:rsidRPr="00A46401">
        <w:rPr>
          <w:noProof/>
        </w:rPr>
        <w:t>nekrolīze (TEN),</w:t>
      </w:r>
      <w:r w:rsidRPr="00E64D8C">
        <w:rPr>
          <w:noProof/>
        </w:rPr>
        <w:t xml:space="preserve"> kas var izraisīt nāvi. Pacienti ir jāinformē par smagu ādas reakciju pazīmēm un zāļu lietošana ir jāpārtrauc pēc pirmo ādas izsitumu vai citu paaugstinātas jūtības pazīmju parādīšanās.</w:t>
      </w:r>
    </w:p>
    <w:p w14:paraId="2C0DE665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Ja novērojat jebkādas blakusparādības, kas šajā instrukcijā nav minētas vai kāda no minētajām blakusparādībām Jums izpaužas s</w:t>
      </w:r>
      <w:r w:rsidR="006D2B6E">
        <w:rPr>
          <w:noProof/>
        </w:rPr>
        <w:t>magi, lūdzam par tām izstāstīt ārstam</w:t>
      </w:r>
      <w:r>
        <w:rPr>
          <w:noProof/>
        </w:rPr>
        <w:t>.</w:t>
      </w:r>
    </w:p>
    <w:p w14:paraId="2C4C8031" w14:textId="77777777" w:rsidR="00562616" w:rsidRDefault="00562616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0DDEA6EE" w14:textId="77777777" w:rsidR="00B81989" w:rsidRPr="00B81989" w:rsidRDefault="00B81989" w:rsidP="00B81989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snapToGrid w:val="0"/>
          <w:szCs w:val="22"/>
          <w:lang w:eastAsia="zh-CN"/>
        </w:rPr>
      </w:pPr>
      <w:r w:rsidRPr="00DE287C">
        <w:rPr>
          <w:b/>
          <w:snapToGrid w:val="0"/>
          <w:szCs w:val="22"/>
          <w:lang w:eastAsia="zh-CN"/>
        </w:rPr>
        <w:t>Ziņošana par blakusparādībām</w:t>
      </w:r>
    </w:p>
    <w:p w14:paraId="31B6A4BF" w14:textId="77777777" w:rsidR="00B81989" w:rsidRPr="00DE287C" w:rsidRDefault="00B81989" w:rsidP="00B8198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napToGrid w:val="0"/>
          <w:szCs w:val="24"/>
          <w:lang w:eastAsia="zh-CN"/>
        </w:rPr>
      </w:pPr>
      <w:r w:rsidRPr="00DE287C">
        <w:rPr>
          <w:snapToGrid w:val="0"/>
          <w:lang w:eastAsia="zh-CN"/>
        </w:rPr>
        <w:t xml:space="preserve">Ja Jums rodas jebkādas blakusparādības, konsultējieties ar ārstu vai farmaceitu. Tas attiecas arī uz iespējamajām blakusparādībām, kas </w:t>
      </w:r>
      <w:r w:rsidRPr="00DE287C">
        <w:rPr>
          <w:snapToGrid w:val="0"/>
          <w:szCs w:val="22"/>
          <w:lang w:eastAsia="zh-CN"/>
        </w:rPr>
        <w:t xml:space="preserve">nav minētas šajā instrukcijā. Jūs varat ziņot par blakusparādībām arī tieši </w:t>
      </w:r>
      <w:r w:rsidRPr="00DE287C">
        <w:rPr>
          <w:snapToGrid w:val="0"/>
          <w:lang w:eastAsia="zh-CN"/>
        </w:rPr>
        <w:t xml:space="preserve">Zāļu valsts aģentūrai, Jersikas ielā 15, Rīgā, LV 1003. Tīmekļa vietne: www.zva.gov.lv. </w:t>
      </w:r>
    </w:p>
    <w:p w14:paraId="46DAF446" w14:textId="77777777" w:rsidR="00562616" w:rsidRDefault="00562616" w:rsidP="00883D54">
      <w:pPr>
        <w:numPr>
          <w:ilvl w:val="12"/>
          <w:numId w:val="0"/>
        </w:numPr>
        <w:tabs>
          <w:tab w:val="clear" w:pos="567"/>
        </w:tabs>
        <w:spacing w:line="240" w:lineRule="auto"/>
        <w:rPr>
          <w:snapToGrid w:val="0"/>
          <w:szCs w:val="22"/>
          <w:lang w:eastAsia="zh-CN"/>
        </w:rPr>
      </w:pPr>
    </w:p>
    <w:p w14:paraId="58DA06CE" w14:textId="77777777" w:rsidR="00883D54" w:rsidRDefault="00883D54" w:rsidP="00883D5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883D54">
        <w:rPr>
          <w:snapToGrid w:val="0"/>
          <w:szCs w:val="22"/>
          <w:lang w:eastAsia="zh-CN"/>
        </w:rPr>
        <w:t>Ziņojot par blakusparādībām, Jūs varat palīdzēt nodrošināt daudz plašāku informāciju par šo zāļu drošumu</w:t>
      </w:r>
      <w:r w:rsidRPr="00883D54">
        <w:rPr>
          <w:snapToGrid w:val="0"/>
          <w:lang w:eastAsia="zh-CN"/>
        </w:rPr>
        <w:t>.</w:t>
      </w:r>
    </w:p>
    <w:p w14:paraId="3F4403D3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2F537A37" w14:textId="77777777" w:rsidR="00D6449E" w:rsidRDefault="00D6449E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</w:rPr>
      </w:pPr>
    </w:p>
    <w:p w14:paraId="30844B2D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>
        <w:rPr>
          <w:b/>
          <w:noProof/>
        </w:rPr>
        <w:t>5.</w:t>
      </w:r>
      <w:r>
        <w:rPr>
          <w:b/>
          <w:noProof/>
        </w:rPr>
        <w:tab/>
      </w:r>
      <w:r w:rsidR="00AA60AD" w:rsidRPr="00AA60AD">
        <w:rPr>
          <w:b/>
          <w:noProof/>
        </w:rPr>
        <w:t>Kā uzglabāt</w:t>
      </w:r>
      <w:r>
        <w:rPr>
          <w:b/>
          <w:noProof/>
        </w:rPr>
        <w:t xml:space="preserve"> </w:t>
      </w:r>
      <w:r w:rsidR="006641CD">
        <w:rPr>
          <w:b/>
          <w:noProof/>
        </w:rPr>
        <w:t>EFFERALGAN</w:t>
      </w:r>
      <w:r w:rsidR="004459EF">
        <w:rPr>
          <w:b/>
          <w:noProof/>
        </w:rPr>
        <w:t xml:space="preserve"> </w:t>
      </w:r>
    </w:p>
    <w:p w14:paraId="5E44C3DB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0F1A7F7B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 xml:space="preserve">Uzglabāt bērniem </w:t>
      </w:r>
      <w:r w:rsidR="00D418FF">
        <w:rPr>
          <w:noProof/>
        </w:rPr>
        <w:t xml:space="preserve">neredzamā un </w:t>
      </w:r>
      <w:r>
        <w:rPr>
          <w:noProof/>
        </w:rPr>
        <w:t>nepieejamā vietā.</w:t>
      </w:r>
    </w:p>
    <w:p w14:paraId="069939C6" w14:textId="77777777" w:rsidR="0024083E" w:rsidRDefault="0024083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3F4A1B39" w14:textId="77777777" w:rsidR="00020DFB" w:rsidRDefault="00D6449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Uzglabāt temperatūrā līdz 30</w:t>
      </w:r>
      <w:r w:rsidR="00FA2C83">
        <w:rPr>
          <w:noProof/>
        </w:rPr>
        <w:t xml:space="preserve"> </w:t>
      </w:r>
      <w:r w:rsidR="00020DFB">
        <w:rPr>
          <w:noProof/>
        </w:rPr>
        <w:t xml:space="preserve">ºC. </w:t>
      </w:r>
      <w:r w:rsidR="00A6792C">
        <w:rPr>
          <w:noProof/>
        </w:rPr>
        <w:t xml:space="preserve">Uzglabāt oriģinālā iepakojumā, lai pasargātu </w:t>
      </w:r>
      <w:r w:rsidR="00020DFB">
        <w:rPr>
          <w:noProof/>
        </w:rPr>
        <w:t>no mitruma.</w:t>
      </w:r>
    </w:p>
    <w:p w14:paraId="19033FB0" w14:textId="77777777" w:rsidR="0024083E" w:rsidRDefault="0024083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2CAEFE95" w14:textId="77777777" w:rsidR="00DE76E2" w:rsidRDefault="00020DFB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 xml:space="preserve">Nelietot </w:t>
      </w:r>
      <w:r w:rsidR="00D418FF" w:rsidRPr="00D418FF">
        <w:rPr>
          <w:noProof/>
        </w:rPr>
        <w:t>šīs zāles</w:t>
      </w:r>
      <w:r w:rsidR="00643B15">
        <w:rPr>
          <w:noProof/>
        </w:rPr>
        <w:t xml:space="preserve"> </w:t>
      </w:r>
      <w:r w:rsidR="00DE76E2">
        <w:rPr>
          <w:noProof/>
        </w:rPr>
        <w:t>pēc derīguma termiņa beigām, kas norādīts uz</w:t>
      </w:r>
      <w:r w:rsidR="0024083E">
        <w:rPr>
          <w:noProof/>
        </w:rPr>
        <w:t xml:space="preserve"> iepakojuma</w:t>
      </w:r>
      <w:r>
        <w:rPr>
          <w:noProof/>
        </w:rPr>
        <w:t xml:space="preserve">. </w:t>
      </w:r>
      <w:r w:rsidR="00DE76E2">
        <w:rPr>
          <w:noProof/>
        </w:rPr>
        <w:t>Derīguma termiņš attiecas u</w:t>
      </w:r>
      <w:r>
        <w:rPr>
          <w:noProof/>
        </w:rPr>
        <w:t>z norādītā mēneša pēdējo dienu.</w:t>
      </w:r>
    </w:p>
    <w:p w14:paraId="50696415" w14:textId="77777777" w:rsidR="00D6449E" w:rsidRDefault="00D6449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76315E2E" w14:textId="77777777" w:rsidR="00DE76E2" w:rsidRDefault="00D418F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D418FF">
        <w:rPr>
          <w:noProof/>
        </w:rPr>
        <w:t>Neizmetiet zāles kanalizācijā vai sadzīves atkritumos. Vaicājiet farmaceitam, kā izmest zāles, kuras vairs nelietojat. Šie pasākumi palīdzēs aizsargāt apkārtējo vidi.</w:t>
      </w:r>
    </w:p>
    <w:p w14:paraId="5EF701C5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450BD488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71E549CF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t>6.</w:t>
      </w:r>
      <w:r>
        <w:rPr>
          <w:b/>
          <w:noProof/>
        </w:rPr>
        <w:tab/>
      </w:r>
      <w:r w:rsidR="00AA60AD" w:rsidRPr="00AA60AD">
        <w:rPr>
          <w:b/>
          <w:noProof/>
        </w:rPr>
        <w:t>Iepakojuma saturs un cita informācija</w:t>
      </w:r>
    </w:p>
    <w:p w14:paraId="044D7354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2A4E0B00" w14:textId="77777777" w:rsidR="00DE76E2" w:rsidRDefault="00020DFB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</w:rPr>
      </w:pPr>
      <w:r>
        <w:rPr>
          <w:b/>
          <w:noProof/>
        </w:rPr>
        <w:lastRenderedPageBreak/>
        <w:t xml:space="preserve">Ko </w:t>
      </w:r>
      <w:r w:rsidR="00643B15" w:rsidRPr="00643B15">
        <w:rPr>
          <w:b/>
          <w:noProof/>
        </w:rPr>
        <w:t>Efferalgan</w:t>
      </w:r>
      <w:r w:rsidR="00643B15">
        <w:rPr>
          <w:noProof/>
        </w:rPr>
        <w:t xml:space="preserve"> </w:t>
      </w:r>
      <w:r w:rsidR="00DE76E2">
        <w:rPr>
          <w:b/>
          <w:noProof/>
        </w:rPr>
        <w:t>satur</w:t>
      </w:r>
    </w:p>
    <w:p w14:paraId="0F08BC4B" w14:textId="77777777" w:rsidR="00DE76E2" w:rsidRDefault="00256F8D">
      <w:pPr>
        <w:numPr>
          <w:ilvl w:val="0"/>
          <w:numId w:val="1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Aktīvā</w:t>
      </w:r>
      <w:r w:rsidR="00020DFB">
        <w:rPr>
          <w:noProof/>
        </w:rPr>
        <w:t xml:space="preserve"> viela ir paracetamols. Katra tablete satur </w:t>
      </w:r>
      <w:r>
        <w:rPr>
          <w:noProof/>
        </w:rPr>
        <w:t>50</w:t>
      </w:r>
      <w:r w:rsidR="00020DFB">
        <w:rPr>
          <w:noProof/>
        </w:rPr>
        <w:t>0 mg paracetamola.</w:t>
      </w:r>
    </w:p>
    <w:p w14:paraId="5D2C530D" w14:textId="77777777" w:rsidR="00DE76E2" w:rsidRPr="00423DCD" w:rsidRDefault="00DE76E2">
      <w:pPr>
        <w:numPr>
          <w:ilvl w:val="0"/>
          <w:numId w:val="1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423DCD">
        <w:rPr>
          <w:noProof/>
          <w:szCs w:val="22"/>
        </w:rPr>
        <w:t>Ci</w:t>
      </w:r>
      <w:r w:rsidR="00020DFB" w:rsidRPr="00423DCD">
        <w:rPr>
          <w:noProof/>
          <w:szCs w:val="22"/>
        </w:rPr>
        <w:t xml:space="preserve">tas sastāvdaļas ir </w:t>
      </w:r>
      <w:r w:rsidR="00256F8D" w:rsidRPr="00423DCD">
        <w:rPr>
          <w:color w:val="000000"/>
          <w:szCs w:val="22"/>
        </w:rPr>
        <w:t>bezūdens citronskābe, bezūdens nātrija karbonāts, nātrija hidrogēnkarbonāts, sorbīts</w:t>
      </w:r>
      <w:r w:rsidR="0041766A" w:rsidRPr="00423DCD">
        <w:rPr>
          <w:color w:val="000000"/>
          <w:szCs w:val="22"/>
        </w:rPr>
        <w:t xml:space="preserve"> (E420)</w:t>
      </w:r>
      <w:r w:rsidR="00256F8D" w:rsidRPr="00423DCD">
        <w:rPr>
          <w:color w:val="000000"/>
          <w:szCs w:val="22"/>
        </w:rPr>
        <w:t xml:space="preserve">, </w:t>
      </w:r>
      <w:r w:rsidR="00731A1C">
        <w:rPr>
          <w:color w:val="000000"/>
          <w:szCs w:val="22"/>
        </w:rPr>
        <w:t>saharīna nātrija sāls</w:t>
      </w:r>
      <w:r w:rsidR="00256F8D" w:rsidRPr="00423DCD">
        <w:rPr>
          <w:color w:val="000000"/>
          <w:szCs w:val="22"/>
        </w:rPr>
        <w:t>, nātrija dokuzāts, povidons, nātrija benzoāts</w:t>
      </w:r>
      <w:r w:rsidR="00F2172A">
        <w:rPr>
          <w:color w:val="000000"/>
          <w:szCs w:val="22"/>
        </w:rPr>
        <w:t xml:space="preserve"> </w:t>
      </w:r>
      <w:r w:rsidR="00F2172A" w:rsidRPr="00164120">
        <w:rPr>
          <w:rFonts w:eastAsia="Arial" w:cs="Arial"/>
          <w:bdr w:val="nil"/>
          <w:lang w:val="fr-FR"/>
        </w:rPr>
        <w:t>(E211)</w:t>
      </w:r>
      <w:r w:rsidR="00256F8D" w:rsidRPr="00423DCD">
        <w:rPr>
          <w:color w:val="000000"/>
          <w:szCs w:val="22"/>
        </w:rPr>
        <w:t>.</w:t>
      </w:r>
    </w:p>
    <w:p w14:paraId="087AF058" w14:textId="77777777" w:rsidR="00DE76E2" w:rsidRDefault="00DE76E2">
      <w:pPr>
        <w:tabs>
          <w:tab w:val="clear" w:pos="567"/>
        </w:tabs>
        <w:spacing w:line="240" w:lineRule="auto"/>
        <w:rPr>
          <w:noProof/>
        </w:rPr>
      </w:pPr>
    </w:p>
    <w:p w14:paraId="6F63128B" w14:textId="77777777" w:rsidR="00DE76E2" w:rsidRDefault="00643B15">
      <w:pPr>
        <w:tabs>
          <w:tab w:val="clear" w:pos="567"/>
        </w:tabs>
        <w:spacing w:line="240" w:lineRule="auto"/>
        <w:rPr>
          <w:b/>
          <w:noProof/>
        </w:rPr>
      </w:pPr>
      <w:r w:rsidRPr="00643B15">
        <w:rPr>
          <w:b/>
          <w:noProof/>
        </w:rPr>
        <w:t>Efferalgan</w:t>
      </w:r>
      <w:r>
        <w:rPr>
          <w:noProof/>
        </w:rPr>
        <w:t xml:space="preserve"> </w:t>
      </w:r>
      <w:r w:rsidR="00DE76E2">
        <w:rPr>
          <w:b/>
          <w:noProof/>
        </w:rPr>
        <w:t>ārējais izskats un iepakojums</w:t>
      </w:r>
    </w:p>
    <w:p w14:paraId="46CB4FA3" w14:textId="77777777" w:rsidR="00020DFB" w:rsidRPr="00423DCD" w:rsidRDefault="00020DFB">
      <w:pPr>
        <w:tabs>
          <w:tab w:val="clear" w:pos="567"/>
        </w:tabs>
        <w:spacing w:line="240" w:lineRule="auto"/>
        <w:rPr>
          <w:noProof/>
          <w:szCs w:val="22"/>
        </w:rPr>
      </w:pPr>
      <w:r w:rsidRPr="00423DCD">
        <w:rPr>
          <w:noProof/>
          <w:szCs w:val="22"/>
        </w:rPr>
        <w:t>Kastītē ir 1</w:t>
      </w:r>
      <w:r w:rsidR="00543BE9" w:rsidRPr="00423DCD">
        <w:rPr>
          <w:noProof/>
          <w:szCs w:val="22"/>
        </w:rPr>
        <w:t>6</w:t>
      </w:r>
      <w:r w:rsidRPr="00423DCD">
        <w:rPr>
          <w:noProof/>
          <w:szCs w:val="22"/>
        </w:rPr>
        <w:t xml:space="preserve"> putojošās </w:t>
      </w:r>
      <w:r w:rsidR="00D6449E" w:rsidRPr="00423DCD">
        <w:rPr>
          <w:noProof/>
          <w:szCs w:val="22"/>
        </w:rPr>
        <w:t xml:space="preserve">tabletes </w:t>
      </w:r>
      <w:r w:rsidR="0008594C" w:rsidRPr="00423DCD">
        <w:rPr>
          <w:color w:val="000000"/>
          <w:szCs w:val="22"/>
        </w:rPr>
        <w:t>ar dalījuma līniju</w:t>
      </w:r>
      <w:r w:rsidR="0008594C" w:rsidRPr="00423DCD">
        <w:rPr>
          <w:noProof/>
          <w:szCs w:val="22"/>
        </w:rPr>
        <w:t xml:space="preserve"> </w:t>
      </w:r>
      <w:r w:rsidR="00DB7D1D" w:rsidRPr="00423DCD">
        <w:rPr>
          <w:noProof/>
          <w:szCs w:val="22"/>
        </w:rPr>
        <w:t xml:space="preserve">4 alumīnija-polietilēna </w:t>
      </w:r>
      <w:r w:rsidR="00DB7D1D" w:rsidRPr="00423DCD">
        <w:rPr>
          <w:color w:val="000000"/>
          <w:szCs w:val="22"/>
        </w:rPr>
        <w:t>plāksnītēs</w:t>
      </w:r>
      <w:r w:rsidRPr="00423DCD">
        <w:rPr>
          <w:noProof/>
          <w:szCs w:val="22"/>
        </w:rPr>
        <w:t>.</w:t>
      </w:r>
    </w:p>
    <w:p w14:paraId="00BB04D9" w14:textId="77777777" w:rsidR="00DE76E2" w:rsidRDefault="00DE76E2">
      <w:pPr>
        <w:tabs>
          <w:tab w:val="clear" w:pos="567"/>
        </w:tabs>
        <w:spacing w:line="240" w:lineRule="auto"/>
        <w:rPr>
          <w:b/>
          <w:noProof/>
        </w:rPr>
      </w:pPr>
    </w:p>
    <w:p w14:paraId="21B5AA23" w14:textId="77777777" w:rsidR="00DE76E2" w:rsidRDefault="00DE76E2">
      <w:pPr>
        <w:tabs>
          <w:tab w:val="clear" w:pos="567"/>
        </w:tabs>
        <w:spacing w:line="240" w:lineRule="auto"/>
        <w:rPr>
          <w:b/>
          <w:noProof/>
        </w:rPr>
      </w:pPr>
      <w:r>
        <w:rPr>
          <w:b/>
          <w:noProof/>
        </w:rPr>
        <w:t xml:space="preserve">Reģistrācijas apliecības īpašnieks </w:t>
      </w:r>
    </w:p>
    <w:p w14:paraId="514CC81F" w14:textId="77777777" w:rsidR="00DB7C0E" w:rsidRPr="009D6B1D" w:rsidRDefault="00DB7C0E" w:rsidP="00DB7C0E">
      <w:pPr>
        <w:pStyle w:val="EMEABodyTextCharChar"/>
        <w:rPr>
          <w:lang w:val="lv-LV"/>
        </w:rPr>
      </w:pPr>
      <w:r w:rsidRPr="009D6B1D">
        <w:rPr>
          <w:lang w:val="lv-LV"/>
        </w:rPr>
        <w:t>UPSA SAS</w:t>
      </w:r>
    </w:p>
    <w:p w14:paraId="09A63694" w14:textId="77777777" w:rsidR="00DB7C0E" w:rsidRPr="009D6B1D" w:rsidRDefault="00DB7C0E" w:rsidP="00DB7C0E">
      <w:pPr>
        <w:pStyle w:val="EMEABodyTextCharChar"/>
        <w:rPr>
          <w:lang w:val="lv-LV"/>
        </w:rPr>
      </w:pPr>
      <w:r w:rsidRPr="009D6B1D">
        <w:rPr>
          <w:lang w:val="lv-LV"/>
        </w:rPr>
        <w:t>3, rue Joseph Monier</w:t>
      </w:r>
    </w:p>
    <w:p w14:paraId="48887760" w14:textId="77777777" w:rsidR="00DB7C0E" w:rsidRPr="009D6B1D" w:rsidRDefault="00DB7C0E" w:rsidP="00DB7C0E">
      <w:pPr>
        <w:pStyle w:val="EMEABodyTextCharChar"/>
        <w:rPr>
          <w:lang w:val="lv-LV"/>
        </w:rPr>
      </w:pPr>
      <w:r w:rsidRPr="009D6B1D">
        <w:rPr>
          <w:lang w:val="lv-LV"/>
        </w:rPr>
        <w:t>92500 Rueil-Malmaison</w:t>
      </w:r>
    </w:p>
    <w:p w14:paraId="36586CC7" w14:textId="77777777" w:rsidR="00DB7C0E" w:rsidRPr="00861F64" w:rsidRDefault="00DB7C0E" w:rsidP="00DB7C0E">
      <w:pPr>
        <w:pStyle w:val="EMEABodyTextCharChar"/>
        <w:rPr>
          <w:lang w:val="lv-LV"/>
        </w:rPr>
      </w:pPr>
      <w:r>
        <w:rPr>
          <w:lang w:val="lv-LV"/>
        </w:rPr>
        <w:t>Francija</w:t>
      </w:r>
    </w:p>
    <w:p w14:paraId="7951CC08" w14:textId="77777777" w:rsidR="00861F64" w:rsidRDefault="00861F64" w:rsidP="00861F64">
      <w:pPr>
        <w:tabs>
          <w:tab w:val="clear" w:pos="567"/>
        </w:tabs>
        <w:spacing w:line="240" w:lineRule="auto"/>
        <w:rPr>
          <w:b/>
          <w:noProof/>
        </w:rPr>
      </w:pPr>
    </w:p>
    <w:p w14:paraId="520D4285" w14:textId="77777777" w:rsidR="00861F64" w:rsidRDefault="00861F64" w:rsidP="00861F64">
      <w:pPr>
        <w:tabs>
          <w:tab w:val="clear" w:pos="567"/>
        </w:tabs>
        <w:spacing w:line="240" w:lineRule="auto"/>
        <w:rPr>
          <w:b/>
          <w:noProof/>
        </w:rPr>
      </w:pPr>
      <w:r>
        <w:rPr>
          <w:b/>
          <w:noProof/>
        </w:rPr>
        <w:t>Ražotājs</w:t>
      </w:r>
    </w:p>
    <w:p w14:paraId="61BDCCA5" w14:textId="77777777" w:rsidR="00C11530" w:rsidRPr="000060C1" w:rsidRDefault="00AA6DDF" w:rsidP="00C11530">
      <w:pPr>
        <w:pStyle w:val="EMEABodyText"/>
        <w:rPr>
          <w:lang w:val="lv-LV"/>
        </w:rPr>
      </w:pPr>
      <w:r>
        <w:rPr>
          <w:lang w:val="lv-LV"/>
        </w:rPr>
        <w:t>UPSA SAS</w:t>
      </w:r>
    </w:p>
    <w:p w14:paraId="4960B819" w14:textId="77777777" w:rsidR="00C11530" w:rsidRPr="006A1A50" w:rsidRDefault="00C11530" w:rsidP="00C11530">
      <w:pPr>
        <w:pStyle w:val="EMEABodyText"/>
      </w:pPr>
      <w:r w:rsidRPr="006A1A50">
        <w:t xml:space="preserve">304, avenue du </w:t>
      </w:r>
      <w:proofErr w:type="spellStart"/>
      <w:r w:rsidRPr="006A1A50">
        <w:t>Docteur</w:t>
      </w:r>
      <w:proofErr w:type="spellEnd"/>
      <w:r w:rsidRPr="006A1A50">
        <w:t xml:space="preserve"> Jean Bru</w:t>
      </w:r>
    </w:p>
    <w:p w14:paraId="1E836EFA" w14:textId="77777777" w:rsidR="00C11530" w:rsidRPr="006A1A50" w:rsidRDefault="00C11530" w:rsidP="00C11530">
      <w:pPr>
        <w:pStyle w:val="EMEABodyText"/>
      </w:pPr>
      <w:r w:rsidRPr="006A1A50">
        <w:t xml:space="preserve">47000 </w:t>
      </w:r>
      <w:proofErr w:type="spellStart"/>
      <w:r w:rsidRPr="006A1A50">
        <w:t>Agen</w:t>
      </w:r>
      <w:proofErr w:type="spellEnd"/>
    </w:p>
    <w:p w14:paraId="334522C5" w14:textId="77777777" w:rsidR="00C11530" w:rsidRDefault="00C11530" w:rsidP="00C11530">
      <w:pPr>
        <w:pStyle w:val="EMEABodyText"/>
      </w:pPr>
      <w:proofErr w:type="spellStart"/>
      <w:r w:rsidRPr="006A1A50">
        <w:t>Franc</w:t>
      </w:r>
      <w:r>
        <w:t>ija</w:t>
      </w:r>
      <w:proofErr w:type="spellEnd"/>
    </w:p>
    <w:p w14:paraId="7E53B103" w14:textId="77777777" w:rsidR="00423DCD" w:rsidRDefault="00423DCD" w:rsidP="00C11530">
      <w:pPr>
        <w:pStyle w:val="EMEABodyText"/>
      </w:pPr>
    </w:p>
    <w:p w14:paraId="6BBAAAEF" w14:textId="77777777" w:rsidR="00C11530" w:rsidRDefault="00C11530" w:rsidP="00C11530">
      <w:pPr>
        <w:pStyle w:val="EMEABodyText"/>
      </w:pPr>
      <w:proofErr w:type="spellStart"/>
      <w:r>
        <w:t>vai</w:t>
      </w:r>
      <w:proofErr w:type="spellEnd"/>
    </w:p>
    <w:p w14:paraId="733C93EC" w14:textId="77777777" w:rsidR="00423DCD" w:rsidRDefault="00423DCD" w:rsidP="00C11530">
      <w:pPr>
        <w:pStyle w:val="EMEABodyText"/>
      </w:pPr>
    </w:p>
    <w:p w14:paraId="7603C3BC" w14:textId="77777777" w:rsidR="00861F64" w:rsidRPr="006A1A50" w:rsidRDefault="00AA6DDF" w:rsidP="00861F64">
      <w:pPr>
        <w:pStyle w:val="EMEABodyText"/>
      </w:pPr>
      <w:r>
        <w:t>UPSA SAS</w:t>
      </w:r>
    </w:p>
    <w:p w14:paraId="0978FF02" w14:textId="77777777" w:rsidR="00861F64" w:rsidRPr="006A1A50" w:rsidRDefault="00861F64" w:rsidP="00861F64">
      <w:pPr>
        <w:pStyle w:val="EMEABodyText"/>
      </w:pPr>
      <w:r w:rsidRPr="006A1A50">
        <w:t>979, avenue des Pyrenees</w:t>
      </w:r>
    </w:p>
    <w:p w14:paraId="01DB9F03" w14:textId="77777777" w:rsidR="00861F64" w:rsidRPr="006A1A50" w:rsidRDefault="00861F64" w:rsidP="00861F64">
      <w:pPr>
        <w:pStyle w:val="EMEABodyText"/>
      </w:pPr>
      <w:r w:rsidRPr="006A1A50">
        <w:t>47520 Le Passage</w:t>
      </w:r>
    </w:p>
    <w:p w14:paraId="616FDACE" w14:textId="77777777" w:rsidR="00861F64" w:rsidRPr="006A1A50" w:rsidRDefault="00861F64" w:rsidP="00861F64">
      <w:pPr>
        <w:pStyle w:val="EMEABodyText"/>
      </w:pPr>
      <w:r w:rsidRPr="006A1A50">
        <w:t>Franc</w:t>
      </w:r>
      <w:r>
        <w:t>ija</w:t>
      </w:r>
    </w:p>
    <w:p w14:paraId="1B29EAD4" w14:textId="77777777" w:rsidR="00DE76E2" w:rsidRDefault="00DE76E2">
      <w:pPr>
        <w:tabs>
          <w:tab w:val="clear" w:pos="567"/>
        </w:tabs>
        <w:spacing w:line="240" w:lineRule="auto"/>
        <w:rPr>
          <w:b/>
          <w:noProof/>
        </w:rPr>
      </w:pPr>
    </w:p>
    <w:p w14:paraId="32229744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rPr>
          <w:rStyle w:val="PageNumber"/>
          <w:noProof/>
        </w:rPr>
      </w:pPr>
      <w:r>
        <w:rPr>
          <w:noProof/>
        </w:rPr>
        <w:t xml:space="preserve">Lai iegūtu papildus informāciju par šīm zālēm, lūdzam kontaktēties ar </w:t>
      </w:r>
      <w:r w:rsidR="00C303DA">
        <w:rPr>
          <w:noProof/>
        </w:rPr>
        <w:t>r</w:t>
      </w:r>
      <w:r>
        <w:rPr>
          <w:noProof/>
        </w:rPr>
        <w:t>eģistrācijas apliecības īpašn</w:t>
      </w:r>
      <w:r w:rsidR="00020DFB">
        <w:rPr>
          <w:noProof/>
        </w:rPr>
        <w:t>ieka vietējo pārstāvniecību</w:t>
      </w:r>
      <w:r w:rsidR="00EA739F">
        <w:rPr>
          <w:noProof/>
        </w:rPr>
        <w:t>:</w:t>
      </w:r>
    </w:p>
    <w:p w14:paraId="7411D3C8" w14:textId="77777777" w:rsidR="00EA739F" w:rsidRDefault="00C13705" w:rsidP="001F182E">
      <w:pPr>
        <w:pStyle w:val="EMEABodyTextCharChar"/>
        <w:rPr>
          <w:szCs w:val="22"/>
          <w:lang w:val="lv-LV"/>
        </w:rPr>
      </w:pPr>
      <w:r>
        <w:rPr>
          <w:szCs w:val="22"/>
          <w:lang w:val="sv-SE"/>
        </w:rPr>
        <w:t>SIA</w:t>
      </w:r>
      <w:r w:rsidRPr="00B708BE">
        <w:rPr>
          <w:szCs w:val="22"/>
          <w:lang w:val="sv-SE"/>
        </w:rPr>
        <w:t xml:space="preserve"> </w:t>
      </w:r>
      <w:r w:rsidR="00DB7C0E">
        <w:rPr>
          <w:szCs w:val="22"/>
          <w:lang w:val="sv-SE"/>
        </w:rPr>
        <w:t>Swixx Biopharma</w:t>
      </w:r>
    </w:p>
    <w:p w14:paraId="6AF695D1" w14:textId="77777777" w:rsidR="00AA60AD" w:rsidRPr="00AA60AD" w:rsidRDefault="00ED6492" w:rsidP="00AA60AD">
      <w:pPr>
        <w:pStyle w:val="EMEABodyTextCharChar"/>
        <w:rPr>
          <w:lang w:val="lv-LV"/>
        </w:rPr>
      </w:pPr>
      <w:r>
        <w:rPr>
          <w:lang w:val="lv-LV"/>
        </w:rPr>
        <w:t xml:space="preserve">Krišjāņa Valdemāra </w:t>
      </w:r>
      <w:r w:rsidR="00C9346E">
        <w:rPr>
          <w:lang w:val="lv-LV"/>
        </w:rPr>
        <w:t xml:space="preserve">iela </w:t>
      </w:r>
      <w:r>
        <w:rPr>
          <w:lang w:val="lv-LV"/>
        </w:rPr>
        <w:t>33A –</w:t>
      </w:r>
      <w:r w:rsidR="00C9346E">
        <w:rPr>
          <w:lang w:val="lv-LV"/>
        </w:rPr>
        <w:t xml:space="preserve"> </w:t>
      </w:r>
      <w:r>
        <w:rPr>
          <w:lang w:val="lv-LV"/>
        </w:rPr>
        <w:t>8A</w:t>
      </w:r>
    </w:p>
    <w:p w14:paraId="10DE5E00" w14:textId="77777777" w:rsidR="00AA60AD" w:rsidRPr="00AA60AD" w:rsidRDefault="00AA60AD" w:rsidP="00AA60AD">
      <w:pPr>
        <w:pStyle w:val="EMEABodyTextCharChar"/>
        <w:rPr>
          <w:lang w:val="lv-LV"/>
        </w:rPr>
      </w:pPr>
      <w:r w:rsidRPr="00AA60AD">
        <w:rPr>
          <w:lang w:val="lv-LV"/>
        </w:rPr>
        <w:t>Rīga, LV-</w:t>
      </w:r>
      <w:r w:rsidR="007F434F" w:rsidRPr="00AA60AD">
        <w:rPr>
          <w:lang w:val="lv-LV"/>
        </w:rPr>
        <w:t>10</w:t>
      </w:r>
      <w:r w:rsidR="007F434F">
        <w:rPr>
          <w:lang w:val="lv-LV"/>
        </w:rPr>
        <w:t>10</w:t>
      </w:r>
    </w:p>
    <w:p w14:paraId="3DC8EF35" w14:textId="77777777" w:rsidR="004459EF" w:rsidRDefault="00AA60AD" w:rsidP="00AA60AD">
      <w:pPr>
        <w:pStyle w:val="EMEABodyTextCharChar"/>
        <w:rPr>
          <w:lang w:val="lv-LV"/>
        </w:rPr>
      </w:pPr>
      <w:r w:rsidRPr="00AA60AD">
        <w:rPr>
          <w:lang w:val="lv-LV"/>
        </w:rPr>
        <w:t xml:space="preserve">Tel: </w:t>
      </w:r>
      <w:r w:rsidR="00DB7C0E" w:rsidRPr="00AA60AD">
        <w:rPr>
          <w:lang w:val="lv-LV"/>
        </w:rPr>
        <w:t>6</w:t>
      </w:r>
      <w:r w:rsidR="00DB7C0E">
        <w:rPr>
          <w:lang w:val="lv-LV"/>
        </w:rPr>
        <w:t>6164750</w:t>
      </w:r>
    </w:p>
    <w:p w14:paraId="608D897C" w14:textId="77777777" w:rsidR="00AA60AD" w:rsidRPr="00EA739F" w:rsidRDefault="00AA60AD" w:rsidP="00AA60AD">
      <w:pPr>
        <w:pStyle w:val="EMEABodyTextCharChar"/>
        <w:rPr>
          <w:lang w:val="lv-LV"/>
        </w:rPr>
      </w:pPr>
    </w:p>
    <w:p w14:paraId="30E053F5" w14:textId="77777777" w:rsidR="00DE76E2" w:rsidRDefault="00DE76E2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b/>
          <w:noProof/>
        </w:rPr>
        <w:t xml:space="preserve">Šī lietošanas instrukcija </w:t>
      </w:r>
      <w:r w:rsidR="00AA60AD" w:rsidRPr="00AA60AD">
        <w:rPr>
          <w:b/>
          <w:noProof/>
        </w:rPr>
        <w:t>pēdējo reizi pārskatīta</w:t>
      </w:r>
      <w:r w:rsidRPr="00861F64">
        <w:rPr>
          <w:b/>
          <w:noProof/>
        </w:rPr>
        <w:t xml:space="preserve"> </w:t>
      </w:r>
      <w:r w:rsidR="009D1AC1">
        <w:rPr>
          <w:b/>
          <w:noProof/>
        </w:rPr>
        <w:t>04</w:t>
      </w:r>
      <w:r w:rsidR="00861F64" w:rsidRPr="00861F64">
        <w:rPr>
          <w:b/>
          <w:noProof/>
        </w:rPr>
        <w:t>/</w:t>
      </w:r>
      <w:r w:rsidR="009D1AC1" w:rsidRPr="00861F64">
        <w:rPr>
          <w:b/>
          <w:noProof/>
        </w:rPr>
        <w:t>20</w:t>
      </w:r>
      <w:r w:rsidR="009D1AC1">
        <w:rPr>
          <w:b/>
          <w:noProof/>
        </w:rPr>
        <w:t>22</w:t>
      </w:r>
      <w:r w:rsidR="00861F64" w:rsidRPr="00861F64">
        <w:rPr>
          <w:b/>
          <w:noProof/>
        </w:rPr>
        <w:t>.</w:t>
      </w:r>
    </w:p>
    <w:sectPr w:rsidR="00DE76E2" w:rsidSect="00B529BB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8E1D" w14:textId="77777777" w:rsidR="008873B0" w:rsidRDefault="008873B0">
      <w:r>
        <w:separator/>
      </w:r>
    </w:p>
  </w:endnote>
  <w:endnote w:type="continuationSeparator" w:id="0">
    <w:p w14:paraId="570C971D" w14:textId="77777777" w:rsidR="008873B0" w:rsidRDefault="0088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FF2" w14:textId="77777777" w:rsidR="00643B15" w:rsidRDefault="00643B15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9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FF9E" w14:textId="77777777" w:rsidR="00643B15" w:rsidRDefault="00643B15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9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A5C9" w14:textId="77777777" w:rsidR="008873B0" w:rsidRDefault="008873B0">
      <w:r>
        <w:separator/>
      </w:r>
    </w:p>
  </w:footnote>
  <w:footnote w:type="continuationSeparator" w:id="0">
    <w:p w14:paraId="5EC6ADD1" w14:textId="77777777" w:rsidR="008873B0" w:rsidRDefault="0088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BC2E" w14:textId="7FEAEB20" w:rsidR="00FD682C" w:rsidRPr="00FD682C" w:rsidRDefault="00FD682C" w:rsidP="00FD682C">
    <w:pPr>
      <w:tabs>
        <w:tab w:val="clear" w:pos="567"/>
        <w:tab w:val="center" w:pos="4153"/>
        <w:tab w:val="right" w:pos="8306"/>
      </w:tabs>
      <w:spacing w:line="240" w:lineRule="auto"/>
      <w:jc w:val="right"/>
      <w:rPr>
        <w:sz w:val="24"/>
        <w:lang w:val="en-US"/>
      </w:rPr>
    </w:pPr>
    <w:r w:rsidRPr="00FD682C">
      <w:rPr>
        <w:sz w:val="24"/>
        <w:lang w:val="en-US"/>
      </w:rPr>
      <w:t xml:space="preserve">SASKAŅOTS ZVA </w:t>
    </w:r>
    <w:r>
      <w:rPr>
        <w:sz w:val="24"/>
        <w:lang w:val="en-US"/>
      </w:rPr>
      <w:t>28-04-2022</w:t>
    </w:r>
  </w:p>
  <w:p w14:paraId="4DE14DFE" w14:textId="77777777" w:rsidR="00B529BB" w:rsidRPr="00745EBC" w:rsidRDefault="00B529BB" w:rsidP="00745EBC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9C20" w14:textId="77777777" w:rsidR="000232B3" w:rsidRDefault="000232B3" w:rsidP="000232B3">
    <w:pPr>
      <w:pStyle w:val="Header"/>
      <w:jc w:val="right"/>
      <w:rPr>
        <w:rFonts w:ascii="Times New Roman" w:hAnsi="Times New Roman"/>
        <w:noProof/>
        <w:sz w:val="24"/>
        <w:szCs w:val="24"/>
      </w:rPr>
    </w:pPr>
    <w:r w:rsidRPr="00737E93">
      <w:rPr>
        <w:rFonts w:ascii="Times New Roman" w:hAnsi="Times New Roman"/>
        <w:noProof/>
        <w:sz w:val="24"/>
        <w:szCs w:val="24"/>
      </w:rPr>
      <w:t>SASKAŅOTS ZVA 12-12-2019</w:t>
    </w:r>
  </w:p>
  <w:p w14:paraId="4BBA5C2E" w14:textId="77777777" w:rsidR="00FB56C8" w:rsidRPr="007B24C9" w:rsidRDefault="00FB56C8" w:rsidP="00FB56C8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7B24C9">
      <w:rPr>
        <w:rFonts w:ascii="Times New Roman" w:hAnsi="Times New Roman"/>
        <w:i/>
        <w:sz w:val="24"/>
        <w:szCs w:val="24"/>
      </w:rPr>
      <w:t>Papildināts/labots 21-01-2020</w:t>
    </w:r>
  </w:p>
  <w:p w14:paraId="476F2169" w14:textId="77777777" w:rsidR="00FB56C8" w:rsidRDefault="00FB56C8" w:rsidP="000232B3">
    <w:pPr>
      <w:pStyle w:val="Header"/>
      <w:jc w:val="right"/>
    </w:pPr>
  </w:p>
  <w:p w14:paraId="0D6184AD" w14:textId="77777777" w:rsidR="00745EBC" w:rsidRPr="00745EBC" w:rsidRDefault="00745EBC" w:rsidP="00745EBC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F351A5E"/>
    <w:multiLevelType w:val="hybridMultilevel"/>
    <w:tmpl w:val="754424AA"/>
    <w:lvl w:ilvl="0" w:tplc="FFFFFFFF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D1FE6"/>
    <w:multiLevelType w:val="hybridMultilevel"/>
    <w:tmpl w:val="A29A6472"/>
    <w:lvl w:ilvl="0" w:tplc="AD04EE68">
      <w:start w:val="1"/>
      <w:numFmt w:val="bullet"/>
      <w:pStyle w:val="EMEATableLef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9D6658"/>
    <w:multiLevelType w:val="hybridMultilevel"/>
    <w:tmpl w:val="17F8F9D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4BE54AFE"/>
    <w:multiLevelType w:val="hybridMultilevel"/>
    <w:tmpl w:val="B1A46980"/>
    <w:lvl w:ilvl="0" w:tplc="FFFFFFFF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715EA8"/>
    <w:multiLevelType w:val="hybridMultilevel"/>
    <w:tmpl w:val="85242A2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6D4F3A43"/>
    <w:multiLevelType w:val="hybridMultilevel"/>
    <w:tmpl w:val="44EA2960"/>
    <w:lvl w:ilvl="0" w:tplc="FFFFFFFF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62709E1"/>
    <w:multiLevelType w:val="hybridMultilevel"/>
    <w:tmpl w:val="440A813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B52F6"/>
    <w:multiLevelType w:val="hybridMultilevel"/>
    <w:tmpl w:val="B7EC68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7"/>
  </w:num>
  <w:num w:numId="15">
    <w:abstractNumId w:val="16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DE76E2"/>
    <w:rsid w:val="00020DFB"/>
    <w:rsid w:val="000232B3"/>
    <w:rsid w:val="0003714D"/>
    <w:rsid w:val="000471A5"/>
    <w:rsid w:val="00050254"/>
    <w:rsid w:val="000511AC"/>
    <w:rsid w:val="00052C85"/>
    <w:rsid w:val="00054F72"/>
    <w:rsid w:val="00065516"/>
    <w:rsid w:val="00066631"/>
    <w:rsid w:val="00066818"/>
    <w:rsid w:val="000672D7"/>
    <w:rsid w:val="0007078B"/>
    <w:rsid w:val="00071DE4"/>
    <w:rsid w:val="000761E1"/>
    <w:rsid w:val="00080555"/>
    <w:rsid w:val="0008594C"/>
    <w:rsid w:val="0009710B"/>
    <w:rsid w:val="000B20CC"/>
    <w:rsid w:val="000B44FE"/>
    <w:rsid w:val="000B56A6"/>
    <w:rsid w:val="000B5705"/>
    <w:rsid w:val="000C2BB2"/>
    <w:rsid w:val="000D025C"/>
    <w:rsid w:val="000D680C"/>
    <w:rsid w:val="000E38F4"/>
    <w:rsid w:val="0010489B"/>
    <w:rsid w:val="00105245"/>
    <w:rsid w:val="00107AF3"/>
    <w:rsid w:val="00112D59"/>
    <w:rsid w:val="00137580"/>
    <w:rsid w:val="00144F04"/>
    <w:rsid w:val="001522CE"/>
    <w:rsid w:val="0016542A"/>
    <w:rsid w:val="001727B0"/>
    <w:rsid w:val="00183DC5"/>
    <w:rsid w:val="001869BF"/>
    <w:rsid w:val="0019509E"/>
    <w:rsid w:val="001A0EEA"/>
    <w:rsid w:val="001B2DB6"/>
    <w:rsid w:val="001C14BD"/>
    <w:rsid w:val="001C3CEE"/>
    <w:rsid w:val="001C4568"/>
    <w:rsid w:val="001D049F"/>
    <w:rsid w:val="001D5184"/>
    <w:rsid w:val="001D761B"/>
    <w:rsid w:val="001E3C99"/>
    <w:rsid w:val="001E5F80"/>
    <w:rsid w:val="001F182E"/>
    <w:rsid w:val="001F3FBA"/>
    <w:rsid w:val="00220D93"/>
    <w:rsid w:val="0022485A"/>
    <w:rsid w:val="00231196"/>
    <w:rsid w:val="002322E8"/>
    <w:rsid w:val="00233A43"/>
    <w:rsid w:val="00233FD9"/>
    <w:rsid w:val="0024083E"/>
    <w:rsid w:val="002521AC"/>
    <w:rsid w:val="00256F8D"/>
    <w:rsid w:val="00257A23"/>
    <w:rsid w:val="00262853"/>
    <w:rsid w:val="002679F2"/>
    <w:rsid w:val="002729BE"/>
    <w:rsid w:val="00275528"/>
    <w:rsid w:val="002814BC"/>
    <w:rsid w:val="002948BD"/>
    <w:rsid w:val="002A40D7"/>
    <w:rsid w:val="002A7433"/>
    <w:rsid w:val="002B72E0"/>
    <w:rsid w:val="002C4CEB"/>
    <w:rsid w:val="002D58F0"/>
    <w:rsid w:val="002D6B18"/>
    <w:rsid w:val="002E1BF1"/>
    <w:rsid w:val="002F0403"/>
    <w:rsid w:val="002F29DD"/>
    <w:rsid w:val="002F41E4"/>
    <w:rsid w:val="0030624A"/>
    <w:rsid w:val="00306E58"/>
    <w:rsid w:val="0031191E"/>
    <w:rsid w:val="003235BA"/>
    <w:rsid w:val="00324B4B"/>
    <w:rsid w:val="00351F58"/>
    <w:rsid w:val="00353EC3"/>
    <w:rsid w:val="003725A5"/>
    <w:rsid w:val="0037264D"/>
    <w:rsid w:val="00375AE6"/>
    <w:rsid w:val="003802A3"/>
    <w:rsid w:val="00385F72"/>
    <w:rsid w:val="00387086"/>
    <w:rsid w:val="003924B3"/>
    <w:rsid w:val="00397A81"/>
    <w:rsid w:val="003A0745"/>
    <w:rsid w:val="003A2EB6"/>
    <w:rsid w:val="003A42FE"/>
    <w:rsid w:val="003B3444"/>
    <w:rsid w:val="003B488F"/>
    <w:rsid w:val="003B5E01"/>
    <w:rsid w:val="003C4450"/>
    <w:rsid w:val="003E34D9"/>
    <w:rsid w:val="003F3243"/>
    <w:rsid w:val="003F68F0"/>
    <w:rsid w:val="00406C7D"/>
    <w:rsid w:val="004105E6"/>
    <w:rsid w:val="0041766A"/>
    <w:rsid w:val="00423DCD"/>
    <w:rsid w:val="00436ABF"/>
    <w:rsid w:val="00436D0C"/>
    <w:rsid w:val="004426B3"/>
    <w:rsid w:val="004459EF"/>
    <w:rsid w:val="004566F6"/>
    <w:rsid w:val="00474044"/>
    <w:rsid w:val="00484A90"/>
    <w:rsid w:val="004A0269"/>
    <w:rsid w:val="004A2F3D"/>
    <w:rsid w:val="004A47A2"/>
    <w:rsid w:val="004A61C4"/>
    <w:rsid w:val="004B347C"/>
    <w:rsid w:val="004C02E1"/>
    <w:rsid w:val="004C4992"/>
    <w:rsid w:val="004C7E5F"/>
    <w:rsid w:val="004D2635"/>
    <w:rsid w:val="004D5719"/>
    <w:rsid w:val="004E3F78"/>
    <w:rsid w:val="004E65E9"/>
    <w:rsid w:val="004F082C"/>
    <w:rsid w:val="00504D98"/>
    <w:rsid w:val="00504F3C"/>
    <w:rsid w:val="00522BE6"/>
    <w:rsid w:val="005240FA"/>
    <w:rsid w:val="00527437"/>
    <w:rsid w:val="0054024B"/>
    <w:rsid w:val="00540DE1"/>
    <w:rsid w:val="00542DFD"/>
    <w:rsid w:val="00543BE9"/>
    <w:rsid w:val="005441A0"/>
    <w:rsid w:val="0054789C"/>
    <w:rsid w:val="005525FA"/>
    <w:rsid w:val="00552E05"/>
    <w:rsid w:val="005573CE"/>
    <w:rsid w:val="00562616"/>
    <w:rsid w:val="0057603D"/>
    <w:rsid w:val="0058078B"/>
    <w:rsid w:val="0058155C"/>
    <w:rsid w:val="00582080"/>
    <w:rsid w:val="005B50FA"/>
    <w:rsid w:val="005B76BA"/>
    <w:rsid w:val="005C2FAD"/>
    <w:rsid w:val="005C692A"/>
    <w:rsid w:val="005E3576"/>
    <w:rsid w:val="005F22EA"/>
    <w:rsid w:val="005F275D"/>
    <w:rsid w:val="005F2AB5"/>
    <w:rsid w:val="005F3900"/>
    <w:rsid w:val="005F6064"/>
    <w:rsid w:val="005F79D5"/>
    <w:rsid w:val="00605BAB"/>
    <w:rsid w:val="00611A45"/>
    <w:rsid w:val="00614D6B"/>
    <w:rsid w:val="00625BFE"/>
    <w:rsid w:val="00643B15"/>
    <w:rsid w:val="00644E9F"/>
    <w:rsid w:val="00654A37"/>
    <w:rsid w:val="00661AFD"/>
    <w:rsid w:val="00662CC7"/>
    <w:rsid w:val="006641CD"/>
    <w:rsid w:val="00674780"/>
    <w:rsid w:val="00687AEF"/>
    <w:rsid w:val="00695C48"/>
    <w:rsid w:val="00697F9D"/>
    <w:rsid w:val="006A09DD"/>
    <w:rsid w:val="006A4508"/>
    <w:rsid w:val="006A60BA"/>
    <w:rsid w:val="006A7D01"/>
    <w:rsid w:val="006B0A7D"/>
    <w:rsid w:val="006B4846"/>
    <w:rsid w:val="006C4FB5"/>
    <w:rsid w:val="006C63B2"/>
    <w:rsid w:val="006D0ACD"/>
    <w:rsid w:val="006D1432"/>
    <w:rsid w:val="006D2B6E"/>
    <w:rsid w:val="006E24EF"/>
    <w:rsid w:val="006E6ED2"/>
    <w:rsid w:val="006F7F46"/>
    <w:rsid w:val="00701EE1"/>
    <w:rsid w:val="00706337"/>
    <w:rsid w:val="00713289"/>
    <w:rsid w:val="0071635D"/>
    <w:rsid w:val="00716A84"/>
    <w:rsid w:val="00717D88"/>
    <w:rsid w:val="007231A7"/>
    <w:rsid w:val="00725811"/>
    <w:rsid w:val="00731A1C"/>
    <w:rsid w:val="00735D4D"/>
    <w:rsid w:val="0074301C"/>
    <w:rsid w:val="00745EBC"/>
    <w:rsid w:val="007528E6"/>
    <w:rsid w:val="00765EC2"/>
    <w:rsid w:val="007A2390"/>
    <w:rsid w:val="007A3406"/>
    <w:rsid w:val="007A4E95"/>
    <w:rsid w:val="007B02DE"/>
    <w:rsid w:val="007B24C9"/>
    <w:rsid w:val="007B6A99"/>
    <w:rsid w:val="007D0314"/>
    <w:rsid w:val="007F18C1"/>
    <w:rsid w:val="007F2010"/>
    <w:rsid w:val="007F434F"/>
    <w:rsid w:val="007F4491"/>
    <w:rsid w:val="007F6FC7"/>
    <w:rsid w:val="00805A87"/>
    <w:rsid w:val="00807F63"/>
    <w:rsid w:val="00814397"/>
    <w:rsid w:val="008201FA"/>
    <w:rsid w:val="00833684"/>
    <w:rsid w:val="008408A7"/>
    <w:rsid w:val="00843E91"/>
    <w:rsid w:val="0084634A"/>
    <w:rsid w:val="00850AC4"/>
    <w:rsid w:val="00861F64"/>
    <w:rsid w:val="00871FCF"/>
    <w:rsid w:val="00880ECF"/>
    <w:rsid w:val="00883D54"/>
    <w:rsid w:val="008873B0"/>
    <w:rsid w:val="008953C3"/>
    <w:rsid w:val="00897342"/>
    <w:rsid w:val="00897858"/>
    <w:rsid w:val="008A3823"/>
    <w:rsid w:val="008B2704"/>
    <w:rsid w:val="008B52BB"/>
    <w:rsid w:val="008B79DB"/>
    <w:rsid w:val="008B7F69"/>
    <w:rsid w:val="008C13D3"/>
    <w:rsid w:val="008D0421"/>
    <w:rsid w:val="008D20D7"/>
    <w:rsid w:val="008D21E7"/>
    <w:rsid w:val="008D7BDE"/>
    <w:rsid w:val="008F09DD"/>
    <w:rsid w:val="008F78EF"/>
    <w:rsid w:val="00911C5B"/>
    <w:rsid w:val="00917C78"/>
    <w:rsid w:val="0092150A"/>
    <w:rsid w:val="009345D8"/>
    <w:rsid w:val="00935F06"/>
    <w:rsid w:val="00937A6E"/>
    <w:rsid w:val="00945705"/>
    <w:rsid w:val="00956D7E"/>
    <w:rsid w:val="009950C3"/>
    <w:rsid w:val="00995D62"/>
    <w:rsid w:val="0099753E"/>
    <w:rsid w:val="009B1BCA"/>
    <w:rsid w:val="009B7B7B"/>
    <w:rsid w:val="009C0E9C"/>
    <w:rsid w:val="009D1AC1"/>
    <w:rsid w:val="009D766B"/>
    <w:rsid w:val="009E23E7"/>
    <w:rsid w:val="009E2FFC"/>
    <w:rsid w:val="009E61DD"/>
    <w:rsid w:val="009E7B33"/>
    <w:rsid w:val="009F1617"/>
    <w:rsid w:val="00A20305"/>
    <w:rsid w:val="00A23231"/>
    <w:rsid w:val="00A2450F"/>
    <w:rsid w:val="00A34094"/>
    <w:rsid w:val="00A433D0"/>
    <w:rsid w:val="00A46401"/>
    <w:rsid w:val="00A5652E"/>
    <w:rsid w:val="00A656D7"/>
    <w:rsid w:val="00A6792C"/>
    <w:rsid w:val="00A71DFB"/>
    <w:rsid w:val="00A82385"/>
    <w:rsid w:val="00A85E09"/>
    <w:rsid w:val="00A94384"/>
    <w:rsid w:val="00AA2C5B"/>
    <w:rsid w:val="00AA60AD"/>
    <w:rsid w:val="00AA6DDF"/>
    <w:rsid w:val="00AB0505"/>
    <w:rsid w:val="00AB4510"/>
    <w:rsid w:val="00AB6ACA"/>
    <w:rsid w:val="00AD6899"/>
    <w:rsid w:val="00AE3E26"/>
    <w:rsid w:val="00AE49B8"/>
    <w:rsid w:val="00AE4DDB"/>
    <w:rsid w:val="00AE6BA4"/>
    <w:rsid w:val="00AE7456"/>
    <w:rsid w:val="00B00C86"/>
    <w:rsid w:val="00B00D72"/>
    <w:rsid w:val="00B01B48"/>
    <w:rsid w:val="00B04404"/>
    <w:rsid w:val="00B11D26"/>
    <w:rsid w:val="00B218BE"/>
    <w:rsid w:val="00B358CC"/>
    <w:rsid w:val="00B41729"/>
    <w:rsid w:val="00B4670F"/>
    <w:rsid w:val="00B50017"/>
    <w:rsid w:val="00B529BB"/>
    <w:rsid w:val="00B571FD"/>
    <w:rsid w:val="00B65C22"/>
    <w:rsid w:val="00B7230F"/>
    <w:rsid w:val="00B74E23"/>
    <w:rsid w:val="00B81989"/>
    <w:rsid w:val="00B86C4B"/>
    <w:rsid w:val="00B947D9"/>
    <w:rsid w:val="00B94918"/>
    <w:rsid w:val="00BA5D49"/>
    <w:rsid w:val="00BB24D3"/>
    <w:rsid w:val="00BB27EC"/>
    <w:rsid w:val="00BB342A"/>
    <w:rsid w:val="00BB3C2F"/>
    <w:rsid w:val="00BB4ADD"/>
    <w:rsid w:val="00BC322F"/>
    <w:rsid w:val="00BC355E"/>
    <w:rsid w:val="00BC4EA6"/>
    <w:rsid w:val="00BC6BEF"/>
    <w:rsid w:val="00BC7941"/>
    <w:rsid w:val="00C11530"/>
    <w:rsid w:val="00C13705"/>
    <w:rsid w:val="00C14289"/>
    <w:rsid w:val="00C1588A"/>
    <w:rsid w:val="00C22DF9"/>
    <w:rsid w:val="00C303DA"/>
    <w:rsid w:val="00C33C7D"/>
    <w:rsid w:val="00C36E5E"/>
    <w:rsid w:val="00C40ED3"/>
    <w:rsid w:val="00C475C3"/>
    <w:rsid w:val="00C548CD"/>
    <w:rsid w:val="00C60019"/>
    <w:rsid w:val="00C62169"/>
    <w:rsid w:val="00C6575F"/>
    <w:rsid w:val="00C67A08"/>
    <w:rsid w:val="00C74D21"/>
    <w:rsid w:val="00C911CD"/>
    <w:rsid w:val="00C9346E"/>
    <w:rsid w:val="00CA4329"/>
    <w:rsid w:val="00CB46A6"/>
    <w:rsid w:val="00CC3B0F"/>
    <w:rsid w:val="00CD036F"/>
    <w:rsid w:val="00CE5F59"/>
    <w:rsid w:val="00CE6F2E"/>
    <w:rsid w:val="00D04BB5"/>
    <w:rsid w:val="00D05EF6"/>
    <w:rsid w:val="00D06C3A"/>
    <w:rsid w:val="00D07319"/>
    <w:rsid w:val="00D27678"/>
    <w:rsid w:val="00D3006D"/>
    <w:rsid w:val="00D3311E"/>
    <w:rsid w:val="00D418FF"/>
    <w:rsid w:val="00D429B6"/>
    <w:rsid w:val="00D5509C"/>
    <w:rsid w:val="00D5545C"/>
    <w:rsid w:val="00D603E0"/>
    <w:rsid w:val="00D61C9A"/>
    <w:rsid w:val="00D62722"/>
    <w:rsid w:val="00D6369F"/>
    <w:rsid w:val="00D6449E"/>
    <w:rsid w:val="00D72164"/>
    <w:rsid w:val="00D87748"/>
    <w:rsid w:val="00D97967"/>
    <w:rsid w:val="00DA23F1"/>
    <w:rsid w:val="00DA5580"/>
    <w:rsid w:val="00DB0265"/>
    <w:rsid w:val="00DB27B6"/>
    <w:rsid w:val="00DB7C0E"/>
    <w:rsid w:val="00DB7D1D"/>
    <w:rsid w:val="00DE287C"/>
    <w:rsid w:val="00DE76E2"/>
    <w:rsid w:val="00DF2C3B"/>
    <w:rsid w:val="00DF7733"/>
    <w:rsid w:val="00E027F4"/>
    <w:rsid w:val="00E05CA6"/>
    <w:rsid w:val="00E103AE"/>
    <w:rsid w:val="00E133FA"/>
    <w:rsid w:val="00E2155A"/>
    <w:rsid w:val="00E244F5"/>
    <w:rsid w:val="00E31D02"/>
    <w:rsid w:val="00E327E1"/>
    <w:rsid w:val="00E413BE"/>
    <w:rsid w:val="00E63E08"/>
    <w:rsid w:val="00E647FF"/>
    <w:rsid w:val="00E64D8C"/>
    <w:rsid w:val="00E749B0"/>
    <w:rsid w:val="00E76CCA"/>
    <w:rsid w:val="00E81DE7"/>
    <w:rsid w:val="00E83C05"/>
    <w:rsid w:val="00E84714"/>
    <w:rsid w:val="00E851C1"/>
    <w:rsid w:val="00E925F1"/>
    <w:rsid w:val="00EA739F"/>
    <w:rsid w:val="00EB7FBF"/>
    <w:rsid w:val="00ED6492"/>
    <w:rsid w:val="00ED6794"/>
    <w:rsid w:val="00EE4C38"/>
    <w:rsid w:val="00F002B8"/>
    <w:rsid w:val="00F16996"/>
    <w:rsid w:val="00F2172A"/>
    <w:rsid w:val="00F22CB1"/>
    <w:rsid w:val="00F26592"/>
    <w:rsid w:val="00F33004"/>
    <w:rsid w:val="00F57F02"/>
    <w:rsid w:val="00F62C54"/>
    <w:rsid w:val="00F66DB8"/>
    <w:rsid w:val="00F71E05"/>
    <w:rsid w:val="00F811B9"/>
    <w:rsid w:val="00F90FF1"/>
    <w:rsid w:val="00F95D19"/>
    <w:rsid w:val="00FA2C83"/>
    <w:rsid w:val="00FA427D"/>
    <w:rsid w:val="00FB56C8"/>
    <w:rsid w:val="00FB6A25"/>
    <w:rsid w:val="00FD0BF2"/>
    <w:rsid w:val="00FD12EF"/>
    <w:rsid w:val="00FD5205"/>
    <w:rsid w:val="00FD682C"/>
    <w:rsid w:val="00FD749A"/>
    <w:rsid w:val="00FE22FB"/>
    <w:rsid w:val="00FF56B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065C3"/>
  <w15:chartTrackingRefBased/>
  <w15:docId w15:val="{9821C802-2C3A-47FB-A16B-4AC9AB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0FF1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2635"/>
    <w:rPr>
      <w:rFonts w:ascii="Tahoma" w:hAnsi="Tahoma" w:cs="Tahoma"/>
      <w:sz w:val="16"/>
      <w:szCs w:val="16"/>
    </w:rPr>
  </w:style>
  <w:style w:type="paragraph" w:customStyle="1" w:styleId="EMEABodyTextCharChar">
    <w:name w:val="EMEA Body Text Char Char"/>
    <w:basedOn w:val="Normal"/>
    <w:link w:val="EMEABodyTextCharCharChar"/>
    <w:rsid w:val="004459EF"/>
    <w:pPr>
      <w:tabs>
        <w:tab w:val="clear" w:pos="567"/>
      </w:tabs>
      <w:spacing w:line="240" w:lineRule="auto"/>
    </w:pPr>
    <w:rPr>
      <w:lang w:val="en-GB"/>
    </w:rPr>
  </w:style>
  <w:style w:type="character" w:customStyle="1" w:styleId="EMEABodyTextCharCharChar">
    <w:name w:val="EMEA Body Text Char Char Char"/>
    <w:link w:val="EMEABodyTextCharChar"/>
    <w:rsid w:val="004459EF"/>
    <w:rPr>
      <w:sz w:val="22"/>
      <w:lang w:val="en-GB" w:eastAsia="en-US" w:bidi="ar-SA"/>
    </w:rPr>
  </w:style>
  <w:style w:type="paragraph" w:customStyle="1" w:styleId="EMEABodyText">
    <w:name w:val="EMEA Body Text"/>
    <w:basedOn w:val="Normal"/>
    <w:link w:val="EMEABodyTextChar"/>
    <w:rsid w:val="00861F64"/>
    <w:pPr>
      <w:tabs>
        <w:tab w:val="clear" w:pos="567"/>
      </w:tabs>
      <w:spacing w:line="240" w:lineRule="auto"/>
    </w:pPr>
    <w:rPr>
      <w:lang w:val="en-GB"/>
    </w:rPr>
  </w:style>
  <w:style w:type="character" w:styleId="CommentReference">
    <w:name w:val="annotation reference"/>
    <w:uiPriority w:val="99"/>
    <w:semiHidden/>
    <w:rsid w:val="00BB4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4A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4ADD"/>
    <w:rPr>
      <w:b/>
      <w:bCs/>
    </w:rPr>
  </w:style>
  <w:style w:type="paragraph" w:customStyle="1" w:styleId="EMEAHeading2">
    <w:name w:val="EMEA Heading 2"/>
    <w:basedOn w:val="Normal"/>
    <w:next w:val="Normal"/>
    <w:link w:val="EMEAHeading2Char1"/>
    <w:rsid w:val="003E34D9"/>
    <w:pPr>
      <w:keepNext/>
      <w:keepLines/>
      <w:tabs>
        <w:tab w:val="clear" w:pos="567"/>
      </w:tabs>
      <w:spacing w:line="240" w:lineRule="auto"/>
      <w:ind w:left="567" w:hanging="567"/>
      <w:outlineLvl w:val="1"/>
    </w:pPr>
    <w:rPr>
      <w:b/>
      <w:lang w:val="en-GB"/>
    </w:rPr>
  </w:style>
  <w:style w:type="character" w:customStyle="1" w:styleId="EMEAHeading2Char1">
    <w:name w:val="EMEA Heading 2 Char1"/>
    <w:link w:val="EMEAHeading2"/>
    <w:rsid w:val="003E34D9"/>
    <w:rPr>
      <w:b/>
      <w:sz w:val="22"/>
      <w:lang w:val="en-GB" w:eastAsia="en-US" w:bidi="ar-SA"/>
    </w:rPr>
  </w:style>
  <w:style w:type="paragraph" w:customStyle="1" w:styleId="CM5">
    <w:name w:val="CM5"/>
    <w:basedOn w:val="Normal"/>
    <w:next w:val="Normal"/>
    <w:rsid w:val="0071635D"/>
    <w:pPr>
      <w:widowControl w:val="0"/>
      <w:tabs>
        <w:tab w:val="clear" w:pos="567"/>
      </w:tabs>
      <w:autoSpaceDE w:val="0"/>
      <w:autoSpaceDN w:val="0"/>
      <w:adjustRightInd w:val="0"/>
      <w:spacing w:line="240" w:lineRule="auto"/>
    </w:pPr>
    <w:rPr>
      <w:sz w:val="24"/>
      <w:szCs w:val="24"/>
      <w:lang w:eastAsia="lv-LV"/>
    </w:rPr>
  </w:style>
  <w:style w:type="paragraph" w:customStyle="1" w:styleId="CM2">
    <w:name w:val="CM2"/>
    <w:basedOn w:val="Normal"/>
    <w:next w:val="Normal"/>
    <w:rsid w:val="002F0403"/>
    <w:pPr>
      <w:widowControl w:val="0"/>
      <w:tabs>
        <w:tab w:val="clear" w:pos="567"/>
      </w:tabs>
      <w:autoSpaceDE w:val="0"/>
      <w:autoSpaceDN w:val="0"/>
      <w:adjustRightInd w:val="0"/>
      <w:spacing w:line="273" w:lineRule="atLeast"/>
    </w:pPr>
    <w:rPr>
      <w:sz w:val="24"/>
      <w:szCs w:val="24"/>
      <w:lang w:eastAsia="lv-LV"/>
    </w:rPr>
  </w:style>
  <w:style w:type="character" w:customStyle="1" w:styleId="EMEABodyTextChar">
    <w:name w:val="EMEA Body Text Char"/>
    <w:link w:val="EMEABodyText"/>
    <w:rsid w:val="00C11530"/>
    <w:rPr>
      <w:sz w:val="22"/>
      <w:lang w:val="en-GB" w:eastAsia="en-US" w:bidi="ar-SA"/>
    </w:rPr>
  </w:style>
  <w:style w:type="paragraph" w:customStyle="1" w:styleId="EMEATableLeft">
    <w:name w:val="EMEA Table Left"/>
    <w:basedOn w:val="Normal"/>
    <w:rsid w:val="00522BE6"/>
    <w:pPr>
      <w:numPr>
        <w:numId w:val="19"/>
      </w:numPr>
    </w:pPr>
  </w:style>
  <w:style w:type="paragraph" w:styleId="TOC1">
    <w:name w:val="toc 1"/>
    <w:basedOn w:val="Normal"/>
    <w:next w:val="Normal"/>
    <w:autoRedefine/>
    <w:semiHidden/>
    <w:rsid w:val="00522BE6"/>
    <w:pPr>
      <w:tabs>
        <w:tab w:val="clear" w:pos="567"/>
      </w:tabs>
      <w:spacing w:line="240" w:lineRule="auto"/>
    </w:pPr>
    <w:rPr>
      <w:lang w:val="en-GB"/>
    </w:rPr>
  </w:style>
  <w:style w:type="paragraph" w:customStyle="1" w:styleId="EMEATableCentered">
    <w:name w:val="EMEA Table Centered"/>
    <w:basedOn w:val="EMEABodyText"/>
    <w:next w:val="Normal"/>
    <w:rsid w:val="00054F72"/>
    <w:pPr>
      <w:keepNext/>
      <w:keepLines/>
      <w:jc w:val="center"/>
    </w:pPr>
  </w:style>
  <w:style w:type="character" w:customStyle="1" w:styleId="CommentTextChar">
    <w:name w:val="Comment Text Char"/>
    <w:link w:val="CommentText"/>
    <w:semiHidden/>
    <w:rsid w:val="00D5509C"/>
    <w:rPr>
      <w:lang w:val="lv-LV"/>
    </w:rPr>
  </w:style>
  <w:style w:type="character" w:customStyle="1" w:styleId="HeaderChar">
    <w:name w:val="Header Char"/>
    <w:link w:val="Header"/>
    <w:uiPriority w:val="99"/>
    <w:rsid w:val="000232B3"/>
    <w:rPr>
      <w:rFonts w:ascii="Helvetica" w:hAnsi="Helvetica"/>
      <w:lang w:val="lv-LV"/>
    </w:rPr>
  </w:style>
  <w:style w:type="paragraph" w:styleId="Revision">
    <w:name w:val="Revision"/>
    <w:hidden/>
    <w:uiPriority w:val="99"/>
    <w:semiHidden/>
    <w:rsid w:val="007528E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</vt:lpstr>
    </vt:vector>
  </TitlesOfParts>
  <Company>EMEA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</dc:title>
  <dc:subject>PIL</dc:subject>
  <dc:creator>Grava, Ingrida</dc:creator>
  <cp:keywords/>
  <cp:lastModifiedBy>Gita Rasuma</cp:lastModifiedBy>
  <cp:revision>3</cp:revision>
  <cp:lastPrinted>2009-12-01T09:55:00Z</cp:lastPrinted>
  <dcterms:created xsi:type="dcterms:W3CDTF">2022-04-26T07:19:00Z</dcterms:created>
  <dcterms:modified xsi:type="dcterms:W3CDTF">2022-04-26T07:24:00Z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General-EMEA/380683/2006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LV SPC-II-lab-pl v7.2</vt:lpwstr>
  </property>
  <property fmtid="{D5CDD505-2E9C-101B-9397-08002B2CF9AE}" pid="9" name="DM_Owner">
    <vt:lpwstr>Holemarova Zuzana</vt:lpwstr>
  </property>
  <property fmtid="{D5CDD505-2E9C-101B-9397-08002B2CF9AE}" pid="10" name="DM_Creation_Date">
    <vt:lpwstr>11/10/2006 12:24:29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11/10/2006 12:24:29</vt:lpwstr>
  </property>
  <property fmtid="{D5CDD505-2E9C-101B-9397-08002B2CF9AE}" pid="14" name="DM_Type">
    <vt:lpwstr>emea_document</vt:lpwstr>
  </property>
  <property fmtid="{D5CDD505-2E9C-101B-9397-08002B2CF9AE}" pid="15" name="DM_Version">
    <vt:lpwstr>0.4, CURRENT</vt:lpwstr>
  </property>
  <property fmtid="{D5CDD505-2E9C-101B-9397-08002B2CF9AE}" pid="16" name="DM_emea_doc_ref_id">
    <vt:lpwstr>EMEA/380683/2006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380683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