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FF" w:rsidRPr="00DE5C64" w:rsidRDefault="000001FF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APRAKSTS</w:t>
      </w:r>
    </w:p>
    <w:p w:rsidR="00D07701" w:rsidRPr="00DE5C64" w:rsidRDefault="00D07701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:rsidR="000001FF" w:rsidRPr="00DE5C64" w:rsidRDefault="000001FF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:rsidR="00236494" w:rsidRPr="00DE5C64" w:rsidRDefault="00236494" w:rsidP="00D0770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  <w:tab w:val="left" w:pos="670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NOSAUKUMS</w:t>
      </w:r>
    </w:p>
    <w:p w:rsidR="00236494" w:rsidRPr="00DE5C64" w:rsidRDefault="00236494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236494" w:rsidRPr="00DE5C64" w:rsidRDefault="002F2721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color w:val="000000"/>
          <w:kern w:val="1"/>
          <w:sz w:val="22"/>
          <w:lang w:eastAsia="ar-SA"/>
        </w:rPr>
        <w:t>Lugola RFF 10 mg/g šķīdums lietošanai mutes dobumā</w:t>
      </w:r>
    </w:p>
    <w:p w:rsidR="007002FE" w:rsidRPr="00DE5C64" w:rsidRDefault="007002FE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0001FF" w:rsidRPr="00DE5C64" w:rsidRDefault="000001FF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KVALITATĪVAIS UN KVANTITATĪVAIS SASTĀVS</w:t>
      </w:r>
    </w:p>
    <w:p w:rsidR="00236494" w:rsidRPr="00DE5C64" w:rsidRDefault="00236494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447A61" w:rsidRPr="00DE5C64" w:rsidRDefault="002F2721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Aktīvā viela: 1 g šķīduma satur 10 mg joda (</w:t>
      </w:r>
      <w:r w:rsidRPr="00DE5C64">
        <w:rPr>
          <w:rFonts w:eastAsia="Times New Roman" w:cs="Times New Roman"/>
          <w:i/>
          <w:kern w:val="1"/>
          <w:sz w:val="22"/>
          <w:lang w:eastAsia="ar-SA"/>
        </w:rPr>
        <w:t>Iodum</w:t>
      </w:r>
      <w:r w:rsidRPr="00DE5C64">
        <w:rPr>
          <w:rFonts w:eastAsia="Times New Roman" w:cs="Times New Roman"/>
          <w:kern w:val="1"/>
          <w:sz w:val="22"/>
          <w:lang w:eastAsia="ar-SA"/>
        </w:rPr>
        <w:t>)</w:t>
      </w:r>
      <w:r w:rsidR="00236494"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7002FE" w:rsidRPr="00DE5C64" w:rsidRDefault="007002FE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447A61" w:rsidRPr="00DE5C64" w:rsidRDefault="00447A61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DE5C64">
        <w:rPr>
          <w:rFonts w:eastAsia="Times New Roman" w:cs="Times New Roman"/>
          <w:bCs/>
          <w:kern w:val="1"/>
          <w:sz w:val="22"/>
          <w:u w:val="single"/>
          <w:lang w:eastAsia="ar-SA"/>
        </w:rPr>
        <w:t>Palīgviela</w:t>
      </w:r>
      <w:r w:rsidR="003C4A1F" w:rsidRPr="00DE5C64">
        <w:rPr>
          <w:rFonts w:eastAsia="Times New Roman" w:cs="Times New Roman"/>
          <w:bCs/>
          <w:kern w:val="1"/>
          <w:sz w:val="22"/>
          <w:u w:val="single"/>
          <w:lang w:eastAsia="ar-SA"/>
        </w:rPr>
        <w:t>s</w:t>
      </w:r>
      <w:r w:rsidRPr="00DE5C64">
        <w:rPr>
          <w:rFonts w:eastAsia="Times New Roman" w:cs="Times New Roman"/>
          <w:bCs/>
          <w:kern w:val="1"/>
          <w:sz w:val="22"/>
          <w:u w:val="single"/>
          <w:lang w:eastAsia="ar-SA"/>
        </w:rPr>
        <w:t xml:space="preserve"> ar zināmu iedarbību</w:t>
      </w:r>
      <w:r w:rsidRPr="00DE5C64">
        <w:rPr>
          <w:rFonts w:eastAsia="Times New Roman" w:cs="Times New Roman"/>
          <w:bCs/>
          <w:kern w:val="1"/>
          <w:sz w:val="22"/>
          <w:lang w:eastAsia="ar-SA"/>
        </w:rPr>
        <w:t xml:space="preserve">: </w:t>
      </w:r>
      <w:r w:rsidR="002F2721" w:rsidRPr="00DE5C64">
        <w:rPr>
          <w:rFonts w:eastAsia="Times New Roman" w:cs="Times New Roman"/>
          <w:bCs/>
          <w:kern w:val="1"/>
          <w:sz w:val="22"/>
          <w:lang w:eastAsia="ar-SA"/>
        </w:rPr>
        <w:t>kālija jodīds un glicerīns</w:t>
      </w:r>
      <w:r w:rsidRPr="00DE5C64">
        <w:rPr>
          <w:rFonts w:eastAsia="Times New Roman" w:cs="Times New Roman"/>
          <w:bCs/>
          <w:kern w:val="1"/>
          <w:sz w:val="22"/>
          <w:lang w:eastAsia="ar-SA"/>
        </w:rPr>
        <w:t>.</w:t>
      </w:r>
    </w:p>
    <w:p w:rsidR="00447A61" w:rsidRPr="00DE5C64" w:rsidRDefault="00447A61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DE5C64">
        <w:rPr>
          <w:rFonts w:eastAsia="Times New Roman" w:cs="Times New Roman"/>
          <w:bCs/>
          <w:kern w:val="1"/>
          <w:sz w:val="22"/>
          <w:lang w:eastAsia="ar-SA"/>
        </w:rPr>
        <w:t>Pilnu palīgvielu sarakstu skatīt 6.1.</w:t>
      </w:r>
      <w:r w:rsidR="00922815" w:rsidRPr="00DE5C64">
        <w:rPr>
          <w:rFonts w:eastAsia="Times New Roman" w:cs="Times New Roman"/>
          <w:bCs/>
          <w:kern w:val="1"/>
          <w:sz w:val="22"/>
          <w:lang w:eastAsia="ar-SA"/>
        </w:rPr>
        <w:t> </w:t>
      </w:r>
      <w:r w:rsidRPr="00DE5C64">
        <w:rPr>
          <w:rFonts w:eastAsia="Times New Roman" w:cs="Times New Roman"/>
          <w:bCs/>
          <w:kern w:val="1"/>
          <w:sz w:val="22"/>
          <w:lang w:eastAsia="ar-SA"/>
        </w:rPr>
        <w:t>apakšpunktā.</w:t>
      </w:r>
    </w:p>
    <w:p w:rsidR="007002FE" w:rsidRPr="00DE5C64" w:rsidRDefault="007002FE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0001FF" w:rsidRPr="00DE5C64" w:rsidRDefault="000001FF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ZĀĻU FORMA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253FCB" w:rsidRPr="00DE5C64" w:rsidRDefault="00253FCB" w:rsidP="00253FCB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DE5C64">
        <w:rPr>
          <w:rFonts w:eastAsia="Times New Roman" w:cs="Times New Roman"/>
          <w:color w:val="000000"/>
          <w:sz w:val="22"/>
          <w:lang w:eastAsia="en-GB"/>
        </w:rPr>
        <w:t>Šķīdums lietošanai mutes dobumā.</w:t>
      </w:r>
    </w:p>
    <w:p w:rsidR="00236494" w:rsidRPr="00DE5C64" w:rsidRDefault="00253FCB" w:rsidP="00253FCB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color w:val="000000"/>
          <w:sz w:val="22"/>
          <w:lang w:eastAsia="en-GB"/>
        </w:rPr>
        <w:t>Dzidrs, sarkanbrūns sīrupveidīgs šķidrums ar joda smaržu</w:t>
      </w:r>
      <w:r w:rsidR="00236494" w:rsidRPr="00DE5C64">
        <w:rPr>
          <w:rFonts w:eastAsia="Calibri" w:cs="Times New Roman"/>
          <w:kern w:val="1"/>
          <w:sz w:val="22"/>
          <w:lang w:eastAsia="ar-SA"/>
        </w:rPr>
        <w:t>.</w:t>
      </w: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7002FE" w:rsidRPr="00DE5C64" w:rsidRDefault="007002FE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KLĪNISKĀ INFORMĀCIJA</w:t>
      </w: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:rsidR="00236494" w:rsidRPr="00DE5C64" w:rsidRDefault="00236494" w:rsidP="00D07701">
      <w:pPr>
        <w:numPr>
          <w:ilvl w:val="1"/>
          <w:numId w:val="2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Terapeitiskās indikācijas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646CC7" w:rsidRPr="00DE5C64" w:rsidRDefault="00646CC7" w:rsidP="00D0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color w:val="000000"/>
          <w:sz w:val="22"/>
          <w:lang w:eastAsia="en-GB"/>
        </w:rPr>
        <w:t>Lugola RFF 10 mg/g šķīdumu lieto mutes dobumā</w:t>
      </w:r>
      <w:r w:rsidR="00236494"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236494" w:rsidRPr="00DE5C64" w:rsidRDefault="00646CC7" w:rsidP="00D0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Tas indicēts kā palīglīdzeklis pie žāvas, mandeļu, rīkles gala un balsenes iekaisumiem.</w:t>
      </w:r>
    </w:p>
    <w:p w:rsidR="00646CC7" w:rsidRPr="00DE5C64" w:rsidRDefault="00646CC7" w:rsidP="00D0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1"/>
          <w:numId w:val="1"/>
        </w:numPr>
        <w:shd w:val="clear" w:color="auto" w:fill="FFFFFF"/>
        <w:tabs>
          <w:tab w:val="left" w:pos="420"/>
          <w:tab w:val="left" w:pos="450"/>
          <w:tab w:val="left" w:pos="495"/>
          <w:tab w:val="left" w:pos="567"/>
          <w:tab w:val="left" w:pos="66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Devas un lietošanas veids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</w:pPr>
      <w:r w:rsidRPr="00DE5C64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Devas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2"/>
          <w:sz w:val="22"/>
          <w:u w:val="single"/>
          <w:lang w:eastAsia="ar-SA"/>
        </w:rPr>
      </w:pPr>
    </w:p>
    <w:p w:rsidR="00646CC7" w:rsidRPr="00DE5C64" w:rsidRDefault="00646CC7" w:rsidP="00646CC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kern w:val="22"/>
          <w:sz w:val="22"/>
          <w:lang w:eastAsia="ar-SA"/>
        </w:rPr>
      </w:pPr>
      <w:r w:rsidRPr="00DE5C64">
        <w:rPr>
          <w:rFonts w:eastAsia="Times New Roman" w:cs="Times New Roman"/>
          <w:i/>
          <w:iCs/>
          <w:kern w:val="22"/>
          <w:sz w:val="22"/>
          <w:lang w:eastAsia="ar-SA"/>
        </w:rPr>
        <w:t>Pusaudži no 12 gadu vecuma, pie</w:t>
      </w:r>
      <w:r w:rsidR="008C1BA5" w:rsidRPr="00DE5C64">
        <w:rPr>
          <w:rFonts w:eastAsia="Times New Roman" w:cs="Times New Roman"/>
          <w:i/>
          <w:iCs/>
          <w:kern w:val="22"/>
          <w:sz w:val="22"/>
          <w:lang w:eastAsia="ar-SA"/>
        </w:rPr>
        <w:t>augušie un gados vecāki cilvēki</w:t>
      </w:r>
    </w:p>
    <w:p w:rsidR="00646CC7" w:rsidRPr="00DE5C64" w:rsidRDefault="00646CC7" w:rsidP="00646CC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DE5C64">
        <w:rPr>
          <w:rFonts w:eastAsia="Times New Roman" w:cs="Times New Roman"/>
          <w:kern w:val="22"/>
          <w:sz w:val="22"/>
          <w:lang w:eastAsia="ar-SA"/>
        </w:rPr>
        <w:t xml:space="preserve">Šķīdumā samitrina jodkociņu vai kosmētikas kociņu, ar ko apziež iekaisušās vietas: žāvu, mandeles, rīkles galu. </w:t>
      </w:r>
    </w:p>
    <w:p w:rsidR="00236494" w:rsidRPr="00DE5C64" w:rsidRDefault="00646CC7" w:rsidP="00646CC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DE5C64">
        <w:rPr>
          <w:rFonts w:eastAsia="Times New Roman" w:cs="Times New Roman"/>
          <w:kern w:val="22"/>
          <w:sz w:val="22"/>
          <w:lang w:eastAsia="ar-SA"/>
        </w:rPr>
        <w:t>Procedūru atkārto 2-4 reizes dienā</w:t>
      </w:r>
      <w:r w:rsidR="00236494" w:rsidRPr="00DE5C64">
        <w:rPr>
          <w:rFonts w:eastAsia="Times New Roman" w:cs="Times New Roman"/>
          <w:kern w:val="22"/>
          <w:sz w:val="22"/>
          <w:lang w:eastAsia="ar-SA"/>
        </w:rPr>
        <w:t>.</w:t>
      </w:r>
    </w:p>
    <w:p w:rsidR="009D410E" w:rsidRPr="00DE5C64" w:rsidRDefault="009D41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ind w:left="19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:rsidR="00236494" w:rsidRPr="00DE5C64" w:rsidRDefault="00A30616" w:rsidP="002075F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Nelietot bērniem līdz 12 gadu vecumam</w:t>
      </w:r>
      <w:r w:rsidR="002075F2" w:rsidRPr="00DE5C64">
        <w:rPr>
          <w:rFonts w:eastAsia="Times New Roman" w:cs="Times New Roman"/>
          <w:kern w:val="1"/>
          <w:sz w:val="22"/>
          <w:lang w:eastAsia="ar-SA"/>
        </w:rPr>
        <w:t>, jo nav pietiekamas informācijas par lietošanas drošu</w:t>
      </w:r>
      <w:r w:rsidR="00F64208" w:rsidRPr="00DE5C64">
        <w:rPr>
          <w:rFonts w:eastAsia="Times New Roman" w:cs="Times New Roman"/>
          <w:kern w:val="1"/>
          <w:sz w:val="22"/>
          <w:lang w:eastAsia="ar-SA"/>
        </w:rPr>
        <w:t>mu</w:t>
      </w:r>
      <w:r w:rsidR="002075F2"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Lietošanas veids</w:t>
      </w:r>
    </w:p>
    <w:p w:rsidR="00236494" w:rsidRPr="00DE5C64" w:rsidRDefault="00E2425E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22"/>
          <w:sz w:val="22"/>
          <w:lang w:eastAsia="ar-SA"/>
        </w:rPr>
        <w:t>Šķīdumu l</w:t>
      </w:r>
      <w:r w:rsidR="00646CC7" w:rsidRPr="00DE5C64">
        <w:rPr>
          <w:rFonts w:eastAsia="Times New Roman" w:cs="Times New Roman"/>
          <w:kern w:val="1"/>
          <w:sz w:val="22"/>
          <w:lang w:eastAsia="ar-SA"/>
        </w:rPr>
        <w:t>ieto mutes dobuma ieziešanai</w:t>
      </w:r>
      <w:r w:rsidR="00236494" w:rsidRPr="00DE5C64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Kontrindikācijas</w:t>
      </w:r>
    </w:p>
    <w:p w:rsidR="00E05C0E" w:rsidRPr="00DE5C64" w:rsidRDefault="00E05C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-</w:t>
      </w:r>
      <w:r w:rsidRPr="00DE5C64">
        <w:rPr>
          <w:rFonts w:eastAsia="Times New Roman" w:cs="Times New Roman"/>
          <w:kern w:val="1"/>
          <w:sz w:val="22"/>
          <w:lang w:eastAsia="ar-SA"/>
        </w:rPr>
        <w:tab/>
        <w:t xml:space="preserve">Paaugstināta jutība pret </w:t>
      </w:r>
      <w:r w:rsidR="00E05C0E" w:rsidRPr="00DE5C64">
        <w:rPr>
          <w:rFonts w:eastAsia="Times New Roman" w:cs="Times New Roman"/>
          <w:kern w:val="1"/>
          <w:sz w:val="22"/>
          <w:lang w:eastAsia="ar-SA"/>
        </w:rPr>
        <w:t xml:space="preserve">aktīvām vielām </w:t>
      </w:r>
      <w:r w:rsidRPr="00DE5C64">
        <w:rPr>
          <w:rFonts w:eastAsia="Times New Roman" w:cs="Times New Roman"/>
          <w:kern w:val="1"/>
          <w:sz w:val="22"/>
          <w:lang w:eastAsia="ar-SA"/>
        </w:rPr>
        <w:t xml:space="preserve">vai </w:t>
      </w:r>
      <w:r w:rsidR="00D43127" w:rsidRPr="00DE5C64">
        <w:rPr>
          <w:rFonts w:eastAsia="Times New Roman" w:cs="Times New Roman"/>
          <w:kern w:val="1"/>
          <w:sz w:val="22"/>
          <w:lang w:eastAsia="ar-SA"/>
        </w:rPr>
        <w:t>jebkuru no 6.1. </w:t>
      </w:r>
      <w:r w:rsidR="00E05C0E" w:rsidRPr="00DE5C64">
        <w:rPr>
          <w:rFonts w:eastAsia="Times New Roman" w:cs="Times New Roman"/>
          <w:kern w:val="1"/>
          <w:sz w:val="22"/>
          <w:lang w:eastAsia="ar-SA"/>
        </w:rPr>
        <w:t>apakšpunktā uzskaitītajām palīgvielām</w:t>
      </w:r>
      <w:r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-</w:t>
      </w:r>
      <w:r w:rsidRPr="00DE5C64">
        <w:rPr>
          <w:rFonts w:eastAsia="Times New Roman" w:cs="Times New Roman"/>
          <w:kern w:val="1"/>
          <w:sz w:val="22"/>
          <w:lang w:eastAsia="ar-SA"/>
        </w:rPr>
        <w:tab/>
      </w:r>
      <w:r w:rsidR="00E2425E" w:rsidRPr="00DE5C64">
        <w:rPr>
          <w:rFonts w:eastAsia="Times New Roman" w:cs="Times New Roman"/>
          <w:kern w:val="1"/>
          <w:sz w:val="22"/>
          <w:lang w:eastAsia="ar-SA"/>
        </w:rPr>
        <w:t>S</w:t>
      </w:r>
      <w:r w:rsidR="002075F2" w:rsidRPr="00DE5C64">
        <w:rPr>
          <w:rFonts w:eastAsia="Times New Roman" w:cs="Times New Roman"/>
          <w:kern w:val="1"/>
          <w:sz w:val="22"/>
          <w:lang w:eastAsia="ar-SA"/>
        </w:rPr>
        <w:t>limnieki ar vairogdziedzera slimībām</w:t>
      </w:r>
      <w:r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E05C0E" w:rsidRPr="00DE5C64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-</w:t>
      </w:r>
      <w:r w:rsidRPr="00DE5C64">
        <w:rPr>
          <w:rFonts w:eastAsia="Times New Roman" w:cs="Times New Roman"/>
          <w:kern w:val="1"/>
          <w:sz w:val="22"/>
          <w:lang w:eastAsia="ar-SA"/>
        </w:rPr>
        <w:tab/>
        <w:t xml:space="preserve">Grūtniecība un </w:t>
      </w:r>
      <w:r w:rsidR="00A30616" w:rsidRPr="00DE5C64">
        <w:rPr>
          <w:rFonts w:eastAsia="Times New Roman" w:cs="Times New Roman"/>
          <w:kern w:val="1"/>
          <w:sz w:val="22"/>
          <w:lang w:eastAsia="ar-SA"/>
        </w:rPr>
        <w:t xml:space="preserve">bērna </w:t>
      </w:r>
      <w:r w:rsidRPr="00DE5C64">
        <w:rPr>
          <w:rFonts w:eastAsia="Times New Roman" w:cs="Times New Roman"/>
          <w:kern w:val="1"/>
          <w:sz w:val="22"/>
          <w:lang w:eastAsia="ar-SA"/>
        </w:rPr>
        <w:t>barošana ar krūti.</w:t>
      </w:r>
    </w:p>
    <w:p w:rsidR="00E05C0E" w:rsidRPr="00DE5C64" w:rsidRDefault="00E05C0E" w:rsidP="00D43127">
      <w:pPr>
        <w:tabs>
          <w:tab w:val="left" w:pos="567"/>
        </w:tabs>
        <w:suppressAutoHyphens/>
        <w:spacing w:after="0" w:line="260" w:lineRule="exact"/>
        <w:ind w:left="567" w:hanging="567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-</w:t>
      </w:r>
      <w:r w:rsidRPr="00DE5C64">
        <w:rPr>
          <w:rFonts w:eastAsia="Times New Roman" w:cs="Times New Roman"/>
          <w:kern w:val="1"/>
          <w:sz w:val="22"/>
          <w:lang w:eastAsia="ar-SA"/>
        </w:rPr>
        <w:tab/>
      </w:r>
      <w:r w:rsidR="00A30616" w:rsidRPr="00DE5C64">
        <w:rPr>
          <w:rFonts w:eastAsia="Times New Roman" w:cs="Times New Roman"/>
          <w:kern w:val="1"/>
          <w:sz w:val="22"/>
          <w:lang w:eastAsia="ar-SA"/>
        </w:rPr>
        <w:t>B</w:t>
      </w:r>
      <w:r w:rsidRPr="00DE5C64">
        <w:rPr>
          <w:rFonts w:eastAsia="Times New Roman" w:cs="Times New Roman"/>
          <w:kern w:val="1"/>
          <w:sz w:val="22"/>
          <w:lang w:eastAsia="ar-SA"/>
        </w:rPr>
        <w:t>ērniem līdz 12</w:t>
      </w:r>
      <w:r w:rsidR="007C7F5B" w:rsidRPr="00DE5C64">
        <w:rPr>
          <w:rFonts w:eastAsia="Times New Roman" w:cs="Times New Roman"/>
          <w:kern w:val="1"/>
          <w:sz w:val="22"/>
          <w:lang w:eastAsia="ar-SA"/>
        </w:rPr>
        <w:t> </w:t>
      </w:r>
      <w:r w:rsidRPr="00DE5C64">
        <w:rPr>
          <w:rFonts w:eastAsia="Times New Roman" w:cs="Times New Roman"/>
          <w:kern w:val="1"/>
          <w:sz w:val="22"/>
          <w:lang w:eastAsia="ar-SA"/>
        </w:rPr>
        <w:t>gadu vecumam.</w:t>
      </w:r>
    </w:p>
    <w:p w:rsidR="00E05C0E" w:rsidRPr="00DE5C64" w:rsidRDefault="00E05C0E" w:rsidP="00D07701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lastRenderedPageBreak/>
        <w:t>Īpaši brīdinājumi un piesardzība lietošanā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Ja pēc 14 dienu ilgas zāļu lietošanas simptomi saglabājas vai pastiprinās, jākonsultējas ar ārstu</w:t>
      </w:r>
      <w:r w:rsidRPr="00DE5C64">
        <w:rPr>
          <w:rFonts w:eastAsia="Calibri" w:cs="Times New Roman"/>
          <w:sz w:val="22"/>
        </w:rPr>
        <w:t>.</w:t>
      </w:r>
    </w:p>
    <w:p w:rsidR="00D861B6" w:rsidRPr="00DE5C64" w:rsidRDefault="00D861B6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D861B6" w:rsidRPr="00DE5C64" w:rsidRDefault="004439DA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Lugola RFF 10 mg/g šķīduma lietošanas laikā izmainās vairogdziedzera hormonu laboratoriskie rādītāji</w:t>
      </w:r>
      <w:r w:rsidR="00D861B6"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D861B6" w:rsidRPr="00DE5C64" w:rsidRDefault="00D861B6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D861B6" w:rsidRPr="00DE5C64" w:rsidRDefault="004439DA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Jāizvairās no zāļu nejaušas iekļūšanas plaušās, jo sastāvā esošais glicerīns rada lipoīdo pneimoniju</w:t>
      </w:r>
      <w:r w:rsidR="00D861B6" w:rsidRPr="00DE5C64">
        <w:rPr>
          <w:rFonts w:cs="Times New Roman"/>
          <w:sz w:val="22"/>
        </w:rPr>
        <w:t>.</w:t>
      </w:r>
    </w:p>
    <w:p w:rsidR="000E1C77" w:rsidRPr="00DE5C64" w:rsidRDefault="000E1C77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DE5C64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754"/>
        </w:tabs>
        <w:suppressAutoHyphens/>
        <w:spacing w:after="0" w:line="240" w:lineRule="auto"/>
        <w:ind w:left="15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 xml:space="preserve">Nelietot bērniem līdz </w:t>
      </w:r>
      <w:r w:rsidR="007C7F5B" w:rsidRPr="00DE5C64">
        <w:rPr>
          <w:rFonts w:eastAsia="Times New Roman" w:cs="Times New Roman"/>
          <w:kern w:val="1"/>
          <w:sz w:val="22"/>
          <w:lang w:eastAsia="ar-SA"/>
        </w:rPr>
        <w:t>12</w:t>
      </w:r>
      <w:r w:rsidRPr="00DE5C64">
        <w:rPr>
          <w:rFonts w:eastAsia="Times New Roman" w:cs="Times New Roman"/>
          <w:kern w:val="1"/>
          <w:sz w:val="22"/>
          <w:lang w:eastAsia="ar-SA"/>
        </w:rPr>
        <w:t> gadu vecumam, jo nav pietiekamas informācijas par lietošanas drošumu</w:t>
      </w:r>
      <w:r w:rsidRPr="00DE5C64">
        <w:rPr>
          <w:rFonts w:eastAsia="Times New Roman" w:cs="Times New Roman"/>
          <w:kern w:val="1"/>
          <w:sz w:val="22"/>
          <w:lang w:eastAsia="ar-MA" w:bidi="ar-MA"/>
        </w:rPr>
        <w:t>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Mijiedarbība ar citām zālēm un citi mijiedarbības veidi</w:t>
      </w:r>
    </w:p>
    <w:p w:rsidR="0066005B" w:rsidRPr="00DE5C64" w:rsidRDefault="0066005B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:rsidR="0066005B" w:rsidRPr="00DE5C64" w:rsidRDefault="0066005B" w:rsidP="00B00B4E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DE5C64">
        <w:rPr>
          <w:rFonts w:eastAsia="Times New Roman" w:cs="Times New Roman"/>
          <w:bCs/>
          <w:kern w:val="22"/>
          <w:sz w:val="22"/>
          <w:lang w:eastAsia="ar-SA"/>
        </w:rPr>
        <w:t>-</w:t>
      </w:r>
      <w:r w:rsidRPr="00DE5C64">
        <w:rPr>
          <w:rFonts w:eastAsia="Times New Roman" w:cs="Times New Roman"/>
          <w:bCs/>
          <w:kern w:val="22"/>
          <w:sz w:val="22"/>
          <w:lang w:eastAsia="ar-SA"/>
        </w:rPr>
        <w:tab/>
      </w:r>
      <w:r w:rsidR="009C5407" w:rsidRPr="00DE5C64">
        <w:rPr>
          <w:rFonts w:eastAsia="Times New Roman" w:cs="Times New Roman"/>
          <w:bCs/>
          <w:kern w:val="22"/>
          <w:sz w:val="22"/>
          <w:lang w:eastAsia="ar-SA"/>
        </w:rPr>
        <w:t>Lugola RFF 10 mg/g šķīdums ir ķīmiski nesaderīgs ar amonjaku, sārmiem, sārmzemju metālu karbonātiem, hlorālhidrātu, fenolu, nātrija tiosulfātu, dzīvsudraba un svina šķīstošiem sāļiem, tanīnu, cieti, terpentīneļļu un lielāko daļu ēterisko eļļu</w:t>
      </w:r>
      <w:r w:rsidRPr="00DE5C64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:rsidR="009C5407" w:rsidRPr="00DE5C64" w:rsidRDefault="009C5407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22"/>
          <w:sz w:val="22"/>
          <w:lang w:eastAsia="ar-SA"/>
        </w:rPr>
      </w:pPr>
      <w:r w:rsidRPr="00DE5C64">
        <w:rPr>
          <w:rFonts w:eastAsia="Times New Roman" w:cs="Times New Roman"/>
          <w:i/>
          <w:kern w:val="22"/>
          <w:sz w:val="22"/>
          <w:lang w:eastAsia="ar-SA"/>
        </w:rPr>
        <w:t>Pediatriskā populācija</w:t>
      </w:r>
    </w:p>
    <w:p w:rsidR="00554420" w:rsidRPr="00DE5C64" w:rsidRDefault="00236494" w:rsidP="007002FE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DE5C64">
        <w:rPr>
          <w:rFonts w:eastAsia="Times New Roman" w:cs="Times New Roman"/>
          <w:kern w:val="22"/>
          <w:sz w:val="22"/>
          <w:lang w:eastAsia="ar-SA"/>
        </w:rPr>
        <w:t>Mijiedarbības pētījumi nav veikti.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0001FF" w:rsidRPr="00DE5C64" w:rsidRDefault="000001F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236494" w:rsidRPr="00DE5C64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Fertilitāte, grūtniecība un barošana ar krūti</w:t>
      </w:r>
    </w:p>
    <w:p w:rsidR="00D9557E" w:rsidRPr="00DE5C64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D9557E" w:rsidRPr="00DE5C64" w:rsidRDefault="00D07701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Calibri" w:cs="Times New Roman"/>
          <w:color w:val="000000"/>
          <w:sz w:val="22"/>
        </w:rPr>
        <w:t>Nav pierādīts</w:t>
      </w:r>
      <w:r w:rsidR="00D9557E" w:rsidRPr="00DE5C64">
        <w:rPr>
          <w:rFonts w:eastAsia="Calibri" w:cs="Times New Roman"/>
          <w:color w:val="000000"/>
          <w:sz w:val="22"/>
        </w:rPr>
        <w:t xml:space="preserve"> </w:t>
      </w:r>
      <w:r w:rsidRPr="00DE5C64">
        <w:rPr>
          <w:rFonts w:eastAsia="Calibri" w:cs="Times New Roman"/>
          <w:color w:val="000000"/>
          <w:sz w:val="22"/>
        </w:rPr>
        <w:t>zāļu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 pilnīg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s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 droš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ums, lietojot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 grūtniecības un </w:t>
      </w:r>
      <w:r w:rsidR="00B96787" w:rsidRPr="00DE5C64">
        <w:rPr>
          <w:rFonts w:eastAsia="Times New Roman" w:cs="Times New Roman"/>
          <w:kern w:val="1"/>
          <w:sz w:val="22"/>
          <w:szCs w:val="24"/>
          <w:lang w:eastAsia="ar-SA"/>
        </w:rPr>
        <w:t>barošanas ar krūti periodā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. Tādēļ grūtniecības un 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bērna barošanas ar krūti laikā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zāles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 nedrīkst lietot (skatīt 4.3.</w:t>
      </w:r>
      <w:r w:rsidR="004034B0" w:rsidRPr="00DE5C64">
        <w:rPr>
          <w:rFonts w:eastAsia="Times New Roman" w:cs="Times New Roman"/>
          <w:kern w:val="1"/>
          <w:sz w:val="22"/>
          <w:szCs w:val="24"/>
          <w:lang w:eastAsia="ar-SA"/>
        </w:rPr>
        <w:t> </w:t>
      </w:r>
      <w:r w:rsidR="00D9557E" w:rsidRPr="00DE5C64">
        <w:rPr>
          <w:rFonts w:eastAsia="Times New Roman" w:cs="Times New Roman"/>
          <w:kern w:val="1"/>
          <w:sz w:val="22"/>
          <w:szCs w:val="24"/>
          <w:lang w:eastAsia="ar-SA"/>
        </w:rPr>
        <w:t>apakšpunktu).</w:t>
      </w:r>
    </w:p>
    <w:p w:rsidR="00D9557E" w:rsidRPr="00DE5C64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Nav veikti pētījumi par zāļu ietekmi uz fertilitāti.</w:t>
      </w:r>
    </w:p>
    <w:p w:rsidR="00D9557E" w:rsidRPr="00DE5C64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Ietekme uz spēju vadīt transportlīdzekļus un apkalpot mehānismus</w:t>
      </w: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"/>
          <w:sz w:val="22"/>
          <w:szCs w:val="24"/>
          <w:lang w:eastAsia="ar-SA"/>
        </w:rPr>
      </w:pPr>
    </w:p>
    <w:p w:rsidR="00236494" w:rsidRPr="00DE5C64" w:rsidRDefault="00557107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0"/>
          <w:lang w:eastAsia="ar-SA"/>
        </w:rPr>
      </w:pPr>
      <w:r w:rsidRPr="00DE5C64">
        <w:rPr>
          <w:rFonts w:eastAsia="Times New Roman" w:cs="Times New Roman"/>
          <w:kern w:val="2"/>
          <w:sz w:val="22"/>
          <w:szCs w:val="20"/>
          <w:lang w:eastAsia="ar-SA"/>
        </w:rPr>
        <w:t>Nav piemērojams</w:t>
      </w:r>
      <w:r w:rsidR="00236494" w:rsidRPr="00DE5C64">
        <w:rPr>
          <w:rFonts w:eastAsia="Times New Roman" w:cs="Times New Roman"/>
          <w:kern w:val="2"/>
          <w:sz w:val="22"/>
          <w:szCs w:val="20"/>
          <w:lang w:eastAsia="ar-SA"/>
        </w:rPr>
        <w:t>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4.8.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Nevēlamās blakusparādības</w:t>
      </w: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22"/>
          <w:sz w:val="22"/>
          <w:szCs w:val="24"/>
          <w:lang w:eastAsia="ar-SA"/>
        </w:rPr>
        <w:t xml:space="preserve">Tāpat kā citas zāles, </w:t>
      </w:r>
      <w:r w:rsidR="00B00B4E" w:rsidRPr="00DE5C64">
        <w:rPr>
          <w:rFonts w:eastAsia="Times New Roman" w:cs="Times New Roman"/>
          <w:kern w:val="22"/>
          <w:sz w:val="22"/>
          <w:szCs w:val="24"/>
          <w:lang w:eastAsia="ar-SA"/>
        </w:rPr>
        <w:t>Lugola RFF 10</w:t>
      </w:r>
      <w:r w:rsidR="009338C7" w:rsidRPr="00DE5C64">
        <w:rPr>
          <w:rFonts w:eastAsia="Times New Roman" w:cs="Times New Roman"/>
          <w:kern w:val="22"/>
          <w:sz w:val="22"/>
          <w:szCs w:val="24"/>
          <w:lang w:eastAsia="ar-SA"/>
        </w:rPr>
        <w:t> </w:t>
      </w:r>
      <w:r w:rsidR="00B00B4E" w:rsidRPr="00DE5C64">
        <w:rPr>
          <w:rFonts w:eastAsia="Times New Roman" w:cs="Times New Roman"/>
          <w:kern w:val="22"/>
          <w:sz w:val="22"/>
          <w:szCs w:val="24"/>
          <w:lang w:eastAsia="ar-SA"/>
        </w:rPr>
        <w:t xml:space="preserve">mg/g šķīdums </w:t>
      </w:r>
      <w:r w:rsidRPr="00DE5C64">
        <w:rPr>
          <w:rFonts w:eastAsia="Times New Roman" w:cs="Times New Roman"/>
          <w:kern w:val="22"/>
          <w:sz w:val="22"/>
          <w:szCs w:val="24"/>
          <w:lang w:eastAsia="ar-SA"/>
        </w:rPr>
        <w:t>var izraisīt nevēlamas blakusparādības. Šajos gadījumos lietošana nekavējoties jāpārtrauc.</w:t>
      </w: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22"/>
          <w:sz w:val="22"/>
          <w:szCs w:val="24"/>
          <w:lang w:eastAsia="ar-SA"/>
        </w:rPr>
        <w:t>Minētās blakusparādības ir sakārtotas atbilstoši MedDRA orgānu sistēmu klasifikācijas datubāzei un biežuma iedalījumam: ļoti bieži (≥1/10), bieži (≥1/100 līdz &lt;1/10), retāk (≥1/1000 līdz &lt;1/100), reti (≥1/10 000 līdz &lt;1/1000), ļoti reti (&lt;1/10 000), nav zināms (nevar noteikt pēc pieejamajiem datiem).</w:t>
      </w:r>
    </w:p>
    <w:p w:rsidR="003D3E63" w:rsidRPr="00DE5C64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:rsidR="003D3E63" w:rsidRPr="00DE5C64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Imūnās sistēmas traucējumi</w:t>
      </w:r>
    </w:p>
    <w:p w:rsidR="003D3E63" w:rsidRPr="00DE5C64" w:rsidRDefault="00B00B4E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Reti</w:t>
      </w:r>
      <w:r w:rsidR="003D3E63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: alerģiskas reakcijas.</w:t>
      </w:r>
    </w:p>
    <w:p w:rsidR="003D3E63" w:rsidRPr="00DE5C64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:rsidR="006D0BA5" w:rsidRPr="00DE5C64" w:rsidRDefault="00BC3A01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</w:pPr>
      <w:r w:rsidRPr="00DE5C64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Elpošanas sistēmas traucējumi</w:t>
      </w:r>
      <w:r w:rsidR="006D0BA5" w:rsidRPr="00DE5C64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, krūšu kurvja un videnes slimības</w:t>
      </w:r>
    </w:p>
    <w:p w:rsidR="006D0BA5" w:rsidRPr="00DE5C64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Ret</w:t>
      </w:r>
      <w:r w:rsidR="00BC3A01" w:rsidRPr="00DE5C64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i</w:t>
      </w:r>
      <w:r w:rsidRPr="00DE5C64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r w:rsidR="00DD0D7D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ja nejauši šķīdums tiek ieelpots plaušās, iespējama aspirācijas lipoīdā pneimonija.</w:t>
      </w:r>
    </w:p>
    <w:p w:rsidR="006D0BA5" w:rsidRPr="00DE5C64" w:rsidRDefault="006D0BA5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E92FF4" w:rsidRPr="00DE5C64" w:rsidRDefault="00E92FF4" w:rsidP="00E92FF4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2"/>
          <w:lang w:eastAsia="ar-SA"/>
        </w:rPr>
      </w:pPr>
      <w:r w:rsidRPr="00DE5C64">
        <w:rPr>
          <w:rFonts w:eastAsia="Times New Roman" w:cs="Times New Roman"/>
          <w:i/>
          <w:kern w:val="2"/>
          <w:lang w:eastAsia="ar-SA"/>
        </w:rPr>
        <w:t>Pediatriskā populācija</w:t>
      </w:r>
    </w:p>
    <w:p w:rsidR="00E92FF4" w:rsidRPr="00DE5C64" w:rsidRDefault="00E92FF4" w:rsidP="00E92FF4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ar-SA"/>
        </w:rPr>
      </w:pPr>
      <w:r w:rsidRPr="00DE5C64">
        <w:rPr>
          <w:rFonts w:eastAsia="Times New Roman" w:cs="Times New Roman"/>
          <w:kern w:val="2"/>
          <w:lang w:eastAsia="ar-SA"/>
        </w:rPr>
        <w:t>Pieredze par lietošanu bērniem līdz 12 gadu vecumam ir ierobežota (skatīt 4.2. un 4.3. apakšpunktu).</w:t>
      </w:r>
    </w:p>
    <w:p w:rsidR="00E92FF4" w:rsidRPr="00DE5C64" w:rsidRDefault="00E92FF4" w:rsidP="00E92FF4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ar-SA"/>
        </w:rPr>
      </w:pP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22"/>
          <w:sz w:val="22"/>
          <w:szCs w:val="24"/>
          <w:lang w:eastAsia="ar-SA"/>
        </w:rPr>
        <w:t>Ziņošana par iespējamām nevēlamām blakusparādībām</w:t>
      </w: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22"/>
          <w:sz w:val="22"/>
          <w:szCs w:val="24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</w:t>
      </w:r>
      <w:r w:rsidR="005B5C57" w:rsidRPr="00DE5C64">
        <w:rPr>
          <w:rFonts w:eastAsia="Times New Roman" w:cs="Times New Roman"/>
          <w:kern w:val="22"/>
          <w:sz w:val="22"/>
          <w:szCs w:val="24"/>
          <w:lang w:eastAsia="ar-SA"/>
        </w:rPr>
        <w:noBreakHyphen/>
      </w:r>
      <w:r w:rsidRPr="00DE5C64">
        <w:rPr>
          <w:rFonts w:eastAsia="Times New Roman" w:cs="Times New Roman"/>
          <w:kern w:val="22"/>
          <w:sz w:val="22"/>
          <w:szCs w:val="24"/>
          <w:lang w:eastAsia="ar-SA"/>
        </w:rPr>
        <w:t>1003. Tālr.: +371 67078400; Fakss: +371 67078428. Tīmekļa vietne: www.zva.gov.lv</w:t>
      </w:r>
    </w:p>
    <w:p w:rsidR="0063488C" w:rsidRPr="00DE5C64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>4.9.</w:t>
      </w:r>
      <w:r w:rsidRPr="00DE5C64">
        <w:rPr>
          <w:rFonts w:eastAsia="Times New Roman" w:cs="Times New Roman"/>
          <w:b/>
          <w:bCs/>
          <w:kern w:val="1"/>
          <w:sz w:val="22"/>
          <w:lang w:eastAsia="ar-SA"/>
        </w:rPr>
        <w:tab/>
        <w:t>Pārdozēšana</w:t>
      </w:r>
    </w:p>
    <w:p w:rsidR="00F6579C" w:rsidRPr="00DE5C64" w:rsidRDefault="00F6579C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DD0D7D" w:rsidRPr="00DE5C64" w:rsidRDefault="00DD0D7D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>Lietojot mutes dobumā kā norādīts, pārdozēšana praktiski nav iespējama.</w:t>
      </w:r>
    </w:p>
    <w:p w:rsidR="000001FF" w:rsidRPr="00DE5C64" w:rsidRDefault="000001F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FARMAKOLOĢISKĀS ĪPAŠĪBAS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5.1.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Farmakodinamiskās īpašības</w:t>
      </w: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 New Roman" w:cs="Times New Roman"/>
          <w:kern w:val="1"/>
          <w:sz w:val="22"/>
          <w:lang w:eastAsia="ar-SA"/>
        </w:rPr>
        <w:t xml:space="preserve">Farmakoterapeitiskā grupa: </w:t>
      </w:r>
      <w:r w:rsidR="00833641" w:rsidRPr="00DE5C64">
        <w:rPr>
          <w:rFonts w:eastAsia="Times New Roman" w:cs="Times New Roman"/>
          <w:kern w:val="1"/>
          <w:sz w:val="22"/>
          <w:lang w:eastAsia="ar-SA"/>
        </w:rPr>
        <w:t>Joda preparāti. ATĶ kods: D08AG</w:t>
      </w:r>
    </w:p>
    <w:p w:rsidR="00236494" w:rsidRPr="00DE5C64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833641" w:rsidRPr="00DE5C64" w:rsidRDefault="00833641" w:rsidP="00D07701">
      <w:pPr>
        <w:pStyle w:val="Parastais"/>
        <w:jc w:val="both"/>
        <w:rPr>
          <w:kern w:val="22"/>
          <w:sz w:val="22"/>
          <w:lang w:val="lv-LV" w:eastAsia="ar-SA"/>
        </w:rPr>
      </w:pPr>
      <w:r w:rsidRPr="00DE5C64">
        <w:rPr>
          <w:kern w:val="22"/>
          <w:sz w:val="22"/>
          <w:lang w:val="lv-LV" w:eastAsia="ar-SA"/>
        </w:rPr>
        <w:t>Lugola RFF 10 mg/g šķīdumam piemīt dezinficējošas un antiseptiskas īpašības, ko nodrošina škīduma sastāvā esošais jods.</w:t>
      </w:r>
    </w:p>
    <w:p w:rsidR="00833641" w:rsidRPr="00DE5C64" w:rsidRDefault="00833641" w:rsidP="00D07701">
      <w:pPr>
        <w:pStyle w:val="Parastais"/>
        <w:jc w:val="both"/>
        <w:rPr>
          <w:kern w:val="22"/>
          <w:sz w:val="22"/>
          <w:lang w:val="lv-LV" w:eastAsia="ar-SA"/>
        </w:rPr>
      </w:pPr>
      <w:r w:rsidRPr="00DE5C64">
        <w:rPr>
          <w:kern w:val="22"/>
          <w:sz w:val="22"/>
          <w:lang w:val="lv-LV" w:eastAsia="ar-SA"/>
        </w:rPr>
        <w:t>Jodam piemīt izteiktas antibakteriālas, sporas iznīcinošas, pretsēnīšu un pretvīrusu īpašības.</w:t>
      </w:r>
    </w:p>
    <w:p w:rsidR="00236494" w:rsidRPr="00DE5C64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5.2.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Farmakokinētiskās īpašības</w:t>
      </w:r>
    </w:p>
    <w:p w:rsidR="00236494" w:rsidRPr="00DE5C64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833641" w:rsidP="00D0770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kern w:val="22"/>
          <w:sz w:val="22"/>
          <w:lang w:eastAsia="ar-SA"/>
        </w:rPr>
        <w:t>Jods denaturē slimību izraisītāju olbaltuma apvalkus</w:t>
      </w:r>
      <w:r w:rsidR="00236494" w:rsidRPr="00DE5C64">
        <w:rPr>
          <w:rFonts w:eastAsia="Times New Roman" w:cs="Times New Roman"/>
          <w:kern w:val="1"/>
          <w:sz w:val="22"/>
          <w:szCs w:val="24"/>
          <w:lang w:eastAsia="ar-MA" w:bidi="ar-MA"/>
        </w:rPr>
        <w:t>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5.3.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Preklīniskie dati par drošumu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833641" w:rsidRPr="00DE5C64" w:rsidRDefault="00833641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</w:pPr>
      <w:r w:rsidRPr="00DE5C64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 xml:space="preserve">Jods 1% atšķaidījumā ir maztoksisks. </w:t>
      </w:r>
    </w:p>
    <w:p w:rsidR="007002FE" w:rsidRPr="00DE5C64" w:rsidRDefault="00833641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DE5C64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>Toksiskajiem efektiem, kas rodas iekšķīgi ieņemot, nav praktiskas nozīmes, īslaicīgi ārīgi lietojot</w:t>
      </w:r>
      <w:r w:rsidR="00236494" w:rsidRPr="00DE5C64">
        <w:rPr>
          <w:rFonts w:eastAsia="Times New Roman" w:cs="Times New Roman"/>
          <w:kern w:val="1"/>
          <w:sz w:val="22"/>
          <w:lang w:eastAsia="ar-SA"/>
        </w:rPr>
        <w:t>.</w:t>
      </w:r>
    </w:p>
    <w:p w:rsidR="000001FF" w:rsidRPr="00DE5C64" w:rsidRDefault="000001FF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FARMACEITISKĀ INFORMĀCIJA</w:t>
      </w: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6.1.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Palīgvielu saraksts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022B6F" w:rsidRPr="00DE5C64" w:rsidRDefault="00022B6F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kern w:val="1"/>
          <w:sz w:val="22"/>
          <w:szCs w:val="24"/>
          <w:lang w:eastAsia="ar-SA"/>
        </w:rPr>
        <w:t>Kālija jodīds.</w:t>
      </w:r>
    </w:p>
    <w:p w:rsidR="00447A61" w:rsidRPr="00DE5C64" w:rsidRDefault="00022B6F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kern w:val="1"/>
          <w:sz w:val="22"/>
          <w:szCs w:val="24"/>
          <w:lang w:eastAsia="ar-SA"/>
        </w:rPr>
        <w:t>Glicerīns</w:t>
      </w:r>
      <w:r w:rsidR="003634C7" w:rsidRPr="00DE5C64">
        <w:rPr>
          <w:rFonts w:eastAsia="TimesNewRomanPSMT" w:cs="Times New Roman"/>
          <w:kern w:val="1"/>
          <w:sz w:val="22"/>
          <w:szCs w:val="24"/>
          <w:lang w:eastAsia="ar-SA"/>
        </w:rPr>
        <w:t>.</w:t>
      </w:r>
    </w:p>
    <w:p w:rsidR="00236494" w:rsidRPr="00DE5C64" w:rsidRDefault="00447A61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kern w:val="1"/>
          <w:sz w:val="22"/>
          <w:szCs w:val="24"/>
          <w:lang w:eastAsia="ar-SA"/>
        </w:rPr>
        <w:t>Attīrīts ūdens.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6.2.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Nesaderība</w:t>
      </w:r>
    </w:p>
    <w:p w:rsidR="00236494" w:rsidRPr="00DE5C64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022B6F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color w:val="000000"/>
          <w:kern w:val="1"/>
          <w:sz w:val="22"/>
          <w:szCs w:val="24"/>
          <w:lang w:eastAsia="ar-SA"/>
        </w:rPr>
        <w:t>Nedrīkst lietot kopā ar amonjaku, sārmiem, sārmzemju metālu karbonātiem, hlorālhidrātu, fenolu, nātrija tiosulfātu, dzīvsudraba un svina šķīstošiem sāļiem, tanīnu, cieti, terpentīneļļu un lielāko daļu ēterisko eļļu</w:t>
      </w:r>
      <w:r w:rsidR="00236494" w:rsidRPr="00DE5C64">
        <w:rPr>
          <w:rFonts w:eastAsia="Times New Roman" w:cs="Times New Roman"/>
          <w:color w:val="000000"/>
          <w:kern w:val="1"/>
          <w:sz w:val="22"/>
          <w:szCs w:val="24"/>
          <w:lang w:eastAsia="ar-SA"/>
        </w:rPr>
        <w:t>.</w:t>
      </w:r>
    </w:p>
    <w:p w:rsidR="00236494" w:rsidRPr="00DE5C64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6.3.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Uzglabāšanas laiks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szCs w:val="24"/>
          <w:lang w:eastAsia="ar-SA"/>
        </w:rPr>
      </w:pPr>
    </w:p>
    <w:p w:rsidR="00236494" w:rsidRPr="00DE5C64" w:rsidRDefault="00022B6F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spacing w:val="-1"/>
          <w:kern w:val="1"/>
          <w:sz w:val="22"/>
          <w:szCs w:val="24"/>
          <w:lang w:eastAsia="ar-SA"/>
        </w:rPr>
        <w:t>3</w:t>
      </w:r>
      <w:r w:rsidR="00236494" w:rsidRPr="00DE5C64">
        <w:rPr>
          <w:rFonts w:eastAsia="Times New Roman" w:cs="Times New Roman"/>
          <w:spacing w:val="-1"/>
          <w:kern w:val="1"/>
          <w:sz w:val="22"/>
          <w:szCs w:val="24"/>
          <w:lang w:eastAsia="ar-SA"/>
        </w:rPr>
        <w:t> gadi.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6.4.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Īpaši uzglabāšanas nosacījumi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pacing w:after="0" w:line="240" w:lineRule="auto"/>
        <w:jc w:val="both"/>
        <w:rPr>
          <w:rFonts w:eastAsia="Calibri" w:cs="Times New Roman"/>
          <w:sz w:val="22"/>
        </w:rPr>
      </w:pPr>
      <w:r w:rsidRPr="00DE5C64">
        <w:rPr>
          <w:rFonts w:eastAsia="Calibri" w:cs="Times New Roman"/>
          <w:sz w:val="22"/>
        </w:rPr>
        <w:t>Uzglabāt oriģinālā iepakojumā.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Uzglabāt temperatūrā līdz 25°C.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Uzglabāt bērniem neredzamā un nepieejamā vietā.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6.5.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Iepakojuma veids un saturs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Pa 25 </w:t>
      </w:r>
      <w:r w:rsidR="00022B6F"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g</w:t>
      </w: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 xml:space="preserve"> tumša stikla pudel</w:t>
      </w:r>
      <w:r w:rsidR="00022B6F"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īt</w:t>
      </w: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ē, kas aizvākota ar uzskrūvējam</w:t>
      </w:r>
      <w:r w:rsidR="00434117"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u</w:t>
      </w: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 xml:space="preserve"> plastmasas vāciņu.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Pudel</w:t>
      </w:r>
      <w:r w:rsidR="00022B6F"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īt</w:t>
      </w: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ei uzlīmēta etiķete.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Pudel</w:t>
      </w:r>
      <w:r w:rsidR="00022B6F"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īt</w:t>
      </w:r>
      <w:r w:rsidRPr="00DE5C64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e ar pievienoto lietošanas instrukciju iepakota kartona kastītē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6.6.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Īpaši norādījumi atkritumu likvidēšanai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</w:p>
    <w:p w:rsidR="00236494" w:rsidRPr="00DE5C64" w:rsidRDefault="0093458A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2"/>
          <w:sz w:val="22"/>
          <w:szCs w:val="20"/>
          <w:lang w:eastAsia="ar-SA"/>
        </w:rPr>
        <w:t>Nav īpašu prasību</w:t>
      </w:r>
      <w:r w:rsidR="00236494" w:rsidRPr="00DE5C64">
        <w:rPr>
          <w:rFonts w:eastAsia="Times New Roman" w:cs="Times New Roman"/>
          <w:kern w:val="2"/>
          <w:sz w:val="22"/>
          <w:szCs w:val="24"/>
          <w:lang w:eastAsia="ar-SA"/>
        </w:rPr>
        <w:t>.</w:t>
      </w:r>
    </w:p>
    <w:p w:rsidR="007002FE" w:rsidRPr="00DE5C64" w:rsidRDefault="007002FE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7.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REĢISTRĀCIJAS APLIECĪBAS ĪPAŠNIEKS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4" w:hanging="394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A/S “Rīgas farmaceitiskā fabrika”</w:t>
      </w:r>
    </w:p>
    <w:p w:rsidR="00236494" w:rsidRPr="00DE5C64" w:rsidRDefault="00DC6FD6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4" w:hanging="394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Ozolu</w:t>
      </w:r>
      <w:r w:rsidR="00236494" w:rsidRPr="00DE5C64">
        <w:rPr>
          <w:rFonts w:eastAsia="Times New Roman" w:cs="Times New Roman"/>
          <w:kern w:val="1"/>
          <w:sz w:val="22"/>
          <w:szCs w:val="24"/>
          <w:lang w:eastAsia="ar-SA"/>
        </w:rPr>
        <w:t xml:space="preserve"> iela 1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0</w:t>
      </w:r>
      <w:r w:rsidR="00236494" w:rsidRPr="00DE5C64">
        <w:rPr>
          <w:rFonts w:eastAsia="Times New Roman" w:cs="Times New Roman"/>
          <w:kern w:val="1"/>
          <w:sz w:val="22"/>
          <w:szCs w:val="24"/>
          <w:lang w:eastAsia="ar-SA"/>
        </w:rPr>
        <w:t>, Rīga, LV</w:t>
      </w:r>
      <w:r w:rsidR="00236494" w:rsidRPr="00DE5C64">
        <w:rPr>
          <w:rFonts w:eastAsia="Times New Roman" w:cs="Times New Roman"/>
          <w:kern w:val="1"/>
          <w:sz w:val="22"/>
          <w:szCs w:val="24"/>
          <w:lang w:eastAsia="ar-SA"/>
        </w:rPr>
        <w:noBreakHyphen/>
        <w:t>1005, Latvija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ind w:left="360" w:hanging="394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Tālr.: 67355550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ind w:left="360" w:hanging="394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Fakss: 67355551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ind w:left="360" w:hanging="394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E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noBreakHyphen/>
        <w:t>pasts: rff@rff.lv</w:t>
      </w:r>
    </w:p>
    <w:p w:rsidR="007002FE" w:rsidRPr="00DE5C64" w:rsidRDefault="007002F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8.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REĢISTRĀCIJAS APLIECĪBAS NUMURS</w:t>
      </w:r>
    </w:p>
    <w:p w:rsidR="00236494" w:rsidRPr="00DE5C64" w:rsidRDefault="00236494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9</w:t>
      </w:r>
      <w:r w:rsidR="004042A4" w:rsidRPr="00DE5C64">
        <w:rPr>
          <w:rFonts w:eastAsia="Times New Roman" w:cs="Times New Roman"/>
          <w:kern w:val="1"/>
          <w:sz w:val="22"/>
          <w:szCs w:val="24"/>
          <w:lang w:eastAsia="ar-SA"/>
        </w:rPr>
        <w:t>9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-0</w:t>
      </w:r>
      <w:r w:rsidR="004042A4" w:rsidRPr="00DE5C64">
        <w:rPr>
          <w:rFonts w:eastAsia="Times New Roman" w:cs="Times New Roman"/>
          <w:kern w:val="1"/>
          <w:sz w:val="22"/>
          <w:szCs w:val="24"/>
          <w:lang w:eastAsia="ar-SA"/>
        </w:rPr>
        <w:t>10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0</w:t>
      </w:r>
    </w:p>
    <w:p w:rsidR="007002FE" w:rsidRPr="00DE5C64" w:rsidRDefault="007002FE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9.</w:t>
      </w:r>
      <w:r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PIRMĀS REĢIST</w:t>
      </w:r>
      <w:r w:rsidR="008B06A8" w:rsidRPr="00DE5C64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RĀCIJAS/PĀRREĢISTRĀCIJAS DATUMS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Reģistrācijas datums: 199</w:t>
      </w:r>
      <w:r w:rsidR="00846588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9</w:t>
      </w: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. gada </w:t>
      </w:r>
      <w:r w:rsidR="00846588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20</w:t>
      </w: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. </w:t>
      </w:r>
      <w:r w:rsidR="00846588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janvā</w:t>
      </w:r>
      <w:r w:rsidR="00CF5656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ri</w:t>
      </w: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s</w:t>
      </w: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Pēdējās pārreģistrācijas datums: 2009. gada </w:t>
      </w:r>
      <w:r w:rsidR="00CF5656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2</w:t>
      </w:r>
      <w:r w:rsidR="00846588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6</w:t>
      </w: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. </w:t>
      </w:r>
      <w:r w:rsidR="00846588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ma</w:t>
      </w:r>
      <w:r w:rsidR="00CF5656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r</w:t>
      </w:r>
      <w:r w:rsidR="00846588"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t</w:t>
      </w:r>
      <w:r w:rsidRPr="00DE5C64">
        <w:rPr>
          <w:rFonts w:eastAsia="Times New Roman" w:cs="Times New Roman"/>
          <w:bCs/>
          <w:kern w:val="1"/>
          <w:sz w:val="22"/>
          <w:szCs w:val="24"/>
          <w:lang w:eastAsia="ar-SA"/>
        </w:rPr>
        <w:t>s</w:t>
      </w:r>
    </w:p>
    <w:p w:rsidR="007002FE" w:rsidRPr="00DE5C64" w:rsidRDefault="007002FE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:rsidR="00236494" w:rsidRPr="00DE5C6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DE5C64">
        <w:rPr>
          <w:rFonts w:eastAsia="Times New Roman" w:cs="Times New Roman"/>
          <w:b/>
          <w:kern w:val="1"/>
          <w:sz w:val="22"/>
          <w:szCs w:val="24"/>
          <w:lang w:eastAsia="ar-SA"/>
        </w:rPr>
        <w:t>10.</w:t>
      </w:r>
      <w:r w:rsidRPr="00DE5C64">
        <w:rPr>
          <w:rFonts w:eastAsia="Times New Roman" w:cs="Times New Roman"/>
          <w:b/>
          <w:kern w:val="1"/>
          <w:sz w:val="22"/>
          <w:szCs w:val="24"/>
          <w:lang w:eastAsia="ar-SA"/>
        </w:rPr>
        <w:tab/>
        <w:t>TEKSTA PĀRSKATĪŠANAS DATUMS</w:t>
      </w:r>
    </w:p>
    <w:p w:rsidR="00236494" w:rsidRPr="00DE5C64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:rsidR="00236494" w:rsidRPr="00DE5C64" w:rsidRDefault="00236494" w:rsidP="00554420">
      <w:pPr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0</w:t>
      </w:r>
      <w:r w:rsidR="00B64CC6" w:rsidRPr="00DE5C64">
        <w:rPr>
          <w:rFonts w:eastAsia="Times New Roman" w:cs="Times New Roman"/>
          <w:kern w:val="1"/>
          <w:sz w:val="22"/>
          <w:szCs w:val="24"/>
          <w:lang w:eastAsia="ar-SA"/>
        </w:rPr>
        <w:t>4</w:t>
      </w:r>
      <w:r w:rsidRPr="00DE5C64">
        <w:rPr>
          <w:rFonts w:eastAsia="Times New Roman" w:cs="Times New Roman"/>
          <w:kern w:val="1"/>
          <w:sz w:val="22"/>
          <w:szCs w:val="24"/>
          <w:lang w:eastAsia="ar-SA"/>
        </w:rPr>
        <w:t>/201</w:t>
      </w:r>
      <w:r w:rsidR="008D1051" w:rsidRPr="00DE5C64">
        <w:rPr>
          <w:rFonts w:eastAsia="Times New Roman" w:cs="Times New Roman"/>
          <w:kern w:val="1"/>
          <w:sz w:val="22"/>
          <w:szCs w:val="24"/>
          <w:lang w:eastAsia="ar-SA"/>
        </w:rPr>
        <w:t>7</w:t>
      </w:r>
    </w:p>
    <w:sectPr w:rsidR="00236494" w:rsidRPr="00DE5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9C" w:rsidRDefault="0046329C" w:rsidP="0046329C">
      <w:pPr>
        <w:spacing w:after="0" w:line="240" w:lineRule="auto"/>
      </w:pPr>
      <w:r>
        <w:separator/>
      </w:r>
    </w:p>
  </w:endnote>
  <w:endnote w:type="continuationSeparator" w:id="0">
    <w:p w:rsidR="0046329C" w:rsidRDefault="0046329C" w:rsidP="0046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9C" w:rsidRDefault="0046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9C" w:rsidRDefault="00463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9C" w:rsidRDefault="0046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9C" w:rsidRDefault="0046329C" w:rsidP="0046329C">
      <w:pPr>
        <w:spacing w:after="0" w:line="240" w:lineRule="auto"/>
      </w:pPr>
      <w:r>
        <w:separator/>
      </w:r>
    </w:p>
  </w:footnote>
  <w:footnote w:type="continuationSeparator" w:id="0">
    <w:p w:rsidR="0046329C" w:rsidRDefault="0046329C" w:rsidP="0046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9C" w:rsidRDefault="0046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9C" w:rsidRDefault="0046329C" w:rsidP="0046329C">
    <w:pPr>
      <w:pStyle w:val="Header"/>
      <w:jc w:val="right"/>
    </w:pPr>
    <w:r>
      <w:t xml:space="preserve">SASKAŅOTS ZVA </w:t>
    </w:r>
    <w:r>
      <w:t>20-04-2017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9C" w:rsidRDefault="00463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8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B3A0B44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4"/>
    <w:rsid w:val="000001FF"/>
    <w:rsid w:val="00005DB2"/>
    <w:rsid w:val="00022B6F"/>
    <w:rsid w:val="000511F5"/>
    <w:rsid w:val="000E1C77"/>
    <w:rsid w:val="00117865"/>
    <w:rsid w:val="0017000B"/>
    <w:rsid w:val="00193756"/>
    <w:rsid w:val="00195638"/>
    <w:rsid w:val="001B1241"/>
    <w:rsid w:val="001C69BB"/>
    <w:rsid w:val="002075F2"/>
    <w:rsid w:val="00236494"/>
    <w:rsid w:val="00253A99"/>
    <w:rsid w:val="00253FCB"/>
    <w:rsid w:val="002F2721"/>
    <w:rsid w:val="00330CDB"/>
    <w:rsid w:val="00332546"/>
    <w:rsid w:val="003634C7"/>
    <w:rsid w:val="0036627E"/>
    <w:rsid w:val="003C4A1F"/>
    <w:rsid w:val="003D3E63"/>
    <w:rsid w:val="003D4E61"/>
    <w:rsid w:val="004034B0"/>
    <w:rsid w:val="004042A4"/>
    <w:rsid w:val="0040595D"/>
    <w:rsid w:val="00434117"/>
    <w:rsid w:val="004439DA"/>
    <w:rsid w:val="00447A61"/>
    <w:rsid w:val="0046329C"/>
    <w:rsid w:val="00473A90"/>
    <w:rsid w:val="00474020"/>
    <w:rsid w:val="0049327A"/>
    <w:rsid w:val="004C0C67"/>
    <w:rsid w:val="00507FFD"/>
    <w:rsid w:val="00533074"/>
    <w:rsid w:val="00554420"/>
    <w:rsid w:val="00555403"/>
    <w:rsid w:val="00557107"/>
    <w:rsid w:val="0058614D"/>
    <w:rsid w:val="005B5C57"/>
    <w:rsid w:val="005E7DFC"/>
    <w:rsid w:val="005F7819"/>
    <w:rsid w:val="0063488C"/>
    <w:rsid w:val="00646CC7"/>
    <w:rsid w:val="0066005B"/>
    <w:rsid w:val="006D0BA5"/>
    <w:rsid w:val="007002FE"/>
    <w:rsid w:val="00706F74"/>
    <w:rsid w:val="007204E4"/>
    <w:rsid w:val="00727EF9"/>
    <w:rsid w:val="007A6CA2"/>
    <w:rsid w:val="007B221E"/>
    <w:rsid w:val="007C7F5B"/>
    <w:rsid w:val="00830A16"/>
    <w:rsid w:val="00833641"/>
    <w:rsid w:val="00837A52"/>
    <w:rsid w:val="00846588"/>
    <w:rsid w:val="00897D17"/>
    <w:rsid w:val="008B06A8"/>
    <w:rsid w:val="008B68FD"/>
    <w:rsid w:val="008C1BA5"/>
    <w:rsid w:val="008D1051"/>
    <w:rsid w:val="00922815"/>
    <w:rsid w:val="009338C7"/>
    <w:rsid w:val="0093458A"/>
    <w:rsid w:val="009574A3"/>
    <w:rsid w:val="009C5407"/>
    <w:rsid w:val="009D410E"/>
    <w:rsid w:val="00A21FE6"/>
    <w:rsid w:val="00A30616"/>
    <w:rsid w:val="00A541A0"/>
    <w:rsid w:val="00A54BE3"/>
    <w:rsid w:val="00A747EC"/>
    <w:rsid w:val="00A909A2"/>
    <w:rsid w:val="00AD6BD8"/>
    <w:rsid w:val="00AE6CC9"/>
    <w:rsid w:val="00B00B4E"/>
    <w:rsid w:val="00B26097"/>
    <w:rsid w:val="00B64CC6"/>
    <w:rsid w:val="00B840F6"/>
    <w:rsid w:val="00B85BCB"/>
    <w:rsid w:val="00B96787"/>
    <w:rsid w:val="00BA7B87"/>
    <w:rsid w:val="00BB2DBF"/>
    <w:rsid w:val="00BB6069"/>
    <w:rsid w:val="00BC3A01"/>
    <w:rsid w:val="00BD3CF4"/>
    <w:rsid w:val="00C422C7"/>
    <w:rsid w:val="00C90DFF"/>
    <w:rsid w:val="00CF5656"/>
    <w:rsid w:val="00D07066"/>
    <w:rsid w:val="00D07701"/>
    <w:rsid w:val="00D43127"/>
    <w:rsid w:val="00D861B6"/>
    <w:rsid w:val="00D9557E"/>
    <w:rsid w:val="00DC6FD6"/>
    <w:rsid w:val="00DD0D7D"/>
    <w:rsid w:val="00DD5B09"/>
    <w:rsid w:val="00DE5C64"/>
    <w:rsid w:val="00DF7878"/>
    <w:rsid w:val="00E05C0E"/>
    <w:rsid w:val="00E209BF"/>
    <w:rsid w:val="00E2425E"/>
    <w:rsid w:val="00E51797"/>
    <w:rsid w:val="00E92FF4"/>
    <w:rsid w:val="00E97EDC"/>
    <w:rsid w:val="00EC5F08"/>
    <w:rsid w:val="00ED1585"/>
    <w:rsid w:val="00EF1C00"/>
    <w:rsid w:val="00F64208"/>
    <w:rsid w:val="00F6579C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C339"/>
  <w15:chartTrackingRefBased/>
  <w15:docId w15:val="{311C9E0D-17C1-46A6-BF58-5EDD23D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basedOn w:val="Normal"/>
    <w:next w:val="Normal"/>
    <w:rsid w:val="00837A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9C"/>
  </w:style>
  <w:style w:type="paragraph" w:styleId="Footer">
    <w:name w:val="footer"/>
    <w:basedOn w:val="Normal"/>
    <w:link w:val="FooterChar"/>
    <w:uiPriority w:val="99"/>
    <w:unhideWhenUsed/>
    <w:rsid w:val="0046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63</cp:revision>
  <dcterms:created xsi:type="dcterms:W3CDTF">2017-02-01T07:41:00Z</dcterms:created>
  <dcterms:modified xsi:type="dcterms:W3CDTF">2017-04-19T11:50:00Z</dcterms:modified>
</cp:coreProperties>
</file>