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5002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APRAKSTS</w:t>
      </w:r>
    </w:p>
    <w:p w14:paraId="4843010A" w14:textId="42B785C0" w:rsidR="000001FF" w:rsidRPr="00FA06C5" w:rsidRDefault="000001FF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14:paraId="1592F098" w14:textId="77777777" w:rsidR="000D7972" w:rsidRPr="00FA06C5" w:rsidRDefault="000D7972" w:rsidP="00D07701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rPr>
          <w:rFonts w:eastAsia="Times New Roman" w:cs="Times New Roman"/>
          <w:bCs/>
          <w:spacing w:val="-1"/>
          <w:kern w:val="1"/>
          <w:sz w:val="22"/>
          <w:lang w:eastAsia="ar-SA"/>
        </w:rPr>
      </w:pPr>
    </w:p>
    <w:p w14:paraId="4D8BAE9B" w14:textId="77777777" w:rsidR="00236494" w:rsidRPr="00FA06C5" w:rsidRDefault="00236494" w:rsidP="00D07701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  <w:tab w:val="left" w:pos="567"/>
          <w:tab w:val="left" w:pos="670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spacing w:val="-1"/>
          <w:kern w:val="1"/>
          <w:sz w:val="22"/>
          <w:lang w:eastAsia="ar-SA"/>
        </w:rPr>
        <w:t>ZĀĻU NOSAUKUMS</w:t>
      </w:r>
    </w:p>
    <w:p w14:paraId="02B63F36" w14:textId="77777777" w:rsidR="00236494" w:rsidRPr="00FA06C5" w:rsidRDefault="00236494" w:rsidP="00D26A0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080B777D" w14:textId="62A96A03" w:rsidR="00D26A0E" w:rsidRPr="00FA06C5" w:rsidRDefault="00D26A0E" w:rsidP="00D26A0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FA06C5">
        <w:rPr>
          <w:rFonts w:eastAsia="Times New Roman" w:cs="Times New Roman"/>
          <w:bCs/>
          <w:iCs/>
          <w:sz w:val="22"/>
        </w:rPr>
        <w:t>Baldriāna tinktūra RFF pilieni</w:t>
      </w:r>
      <w:r w:rsidRPr="00FA06C5">
        <w:rPr>
          <w:rFonts w:eastAsia="Times New Roman" w:cs="Times New Roman"/>
          <w:sz w:val="22"/>
        </w:rPr>
        <w:t xml:space="preserve"> iekšķīgai lietošanai, šķīdums</w:t>
      </w:r>
    </w:p>
    <w:p w14:paraId="37E46EAD" w14:textId="5FBCC876" w:rsidR="007002FE" w:rsidRPr="00FA06C5" w:rsidRDefault="007002FE" w:rsidP="00D26A0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686340BD" w14:textId="77777777" w:rsidR="000D7972" w:rsidRPr="00FA06C5" w:rsidRDefault="000D7972" w:rsidP="00D26A0E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5273C625" w14:textId="77777777" w:rsidR="00236494" w:rsidRPr="00FA06C5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KVALITATĪVAIS UN KVANTITATĪVAIS SASTĀVS</w:t>
      </w:r>
    </w:p>
    <w:p w14:paraId="3E855647" w14:textId="77777777" w:rsidR="00236494" w:rsidRPr="00FA06C5" w:rsidRDefault="00236494" w:rsidP="00D07701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6BA8F951" w14:textId="7F28B6AE" w:rsidR="00480876" w:rsidRPr="00FA06C5" w:rsidRDefault="00480876" w:rsidP="00480876">
      <w:pPr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 xml:space="preserve">1 ml šķīduma satur </w:t>
      </w:r>
      <w:r w:rsidR="002E23F9" w:rsidRPr="00FA06C5">
        <w:rPr>
          <w:rFonts w:eastAsia="Times New Roman" w:cs="Times New Roman"/>
          <w:kern w:val="1"/>
          <w:sz w:val="22"/>
          <w:lang w:eastAsia="ar-SA"/>
        </w:rPr>
        <w:t>1</w:t>
      </w:r>
      <w:r w:rsidRPr="00FA06C5">
        <w:rPr>
          <w:rFonts w:eastAsia="Times New Roman" w:cs="Times New Roman"/>
          <w:kern w:val="1"/>
          <w:sz w:val="22"/>
          <w:lang w:eastAsia="ar-SA"/>
        </w:rPr>
        <w:t xml:space="preserve"> ml baldriāna </w:t>
      </w:r>
      <w:r w:rsidR="00BC0CAC" w:rsidRPr="00FA06C5">
        <w:rPr>
          <w:rFonts w:eastAsia="Times New Roman" w:cs="Times New Roman"/>
          <w:kern w:val="1"/>
          <w:sz w:val="22"/>
          <w:lang w:eastAsia="ar-SA"/>
        </w:rPr>
        <w:t xml:space="preserve">sakņu </w:t>
      </w:r>
      <w:r w:rsidRPr="00FA06C5">
        <w:rPr>
          <w:rFonts w:eastAsia="Times New Roman" w:cs="Times New Roman"/>
          <w:kern w:val="1"/>
          <w:sz w:val="22"/>
          <w:lang w:eastAsia="ar-SA"/>
        </w:rPr>
        <w:t>tinktūras (</w:t>
      </w:r>
      <w:r w:rsidRPr="00FA06C5">
        <w:rPr>
          <w:rFonts w:eastAsia="Times New Roman" w:cs="Times New Roman"/>
          <w:i/>
          <w:kern w:val="1"/>
          <w:sz w:val="22"/>
          <w:lang w:eastAsia="ar-SA"/>
        </w:rPr>
        <w:t>Valerianae tinctura</w:t>
      </w:r>
      <w:r w:rsidRPr="00FA06C5">
        <w:rPr>
          <w:rFonts w:eastAsia="Times New Roman" w:cs="Times New Roman"/>
          <w:kern w:val="1"/>
          <w:sz w:val="22"/>
          <w:lang w:eastAsia="ar-SA"/>
        </w:rPr>
        <w:t>) 1:5</w:t>
      </w:r>
      <w:r w:rsidR="004110BB" w:rsidRPr="00FA06C5">
        <w:rPr>
          <w:rFonts w:eastAsia="Times New Roman" w:cs="Times New Roman"/>
          <w:kern w:val="1"/>
          <w:sz w:val="22"/>
          <w:lang w:eastAsia="ar-SA"/>
        </w:rPr>
        <w:t> </w:t>
      </w:r>
      <w:r w:rsidRPr="00FA06C5">
        <w:rPr>
          <w:rFonts w:cs="Times New Roman"/>
          <w:sz w:val="22"/>
        </w:rPr>
        <w:t>(ekstraģents</w:t>
      </w:r>
      <w:r w:rsidR="00FA0478" w:rsidRPr="00FA06C5">
        <w:rPr>
          <w:rFonts w:cs="Times New Roman"/>
          <w:sz w:val="22"/>
        </w:rPr>
        <w:t> </w:t>
      </w:r>
      <w:r w:rsidR="00FA0478" w:rsidRPr="00FA06C5">
        <w:rPr>
          <w:rFonts w:cs="Times New Roman"/>
          <w:sz w:val="22"/>
        </w:rPr>
        <w:noBreakHyphen/>
        <w:t> </w:t>
      </w:r>
      <w:r w:rsidRPr="00FA06C5">
        <w:rPr>
          <w:rFonts w:cs="Times New Roman"/>
          <w:sz w:val="22"/>
        </w:rPr>
        <w:t>etilspirts 70 tilp</w:t>
      </w:r>
      <w:r w:rsidR="00C51966" w:rsidRPr="00FA06C5">
        <w:rPr>
          <w:rFonts w:cs="Times New Roman"/>
          <w:sz w:val="22"/>
        </w:rPr>
        <w:t>.</w:t>
      </w:r>
      <w:r w:rsidRPr="00FA06C5">
        <w:rPr>
          <w:rFonts w:cs="Times New Roman"/>
          <w:sz w:val="22"/>
        </w:rPr>
        <w:t> %)</w:t>
      </w:r>
      <w:r w:rsidRPr="00FA06C5">
        <w:rPr>
          <w:rFonts w:eastAsia="Times New Roman" w:cs="Times New Roman"/>
          <w:kern w:val="1"/>
          <w:sz w:val="22"/>
          <w:lang w:eastAsia="ar-SA"/>
        </w:rPr>
        <w:t>.</w:t>
      </w:r>
    </w:p>
    <w:p w14:paraId="2A64A9EC" w14:textId="77777777" w:rsidR="00B50C37" w:rsidRPr="00FA06C5" w:rsidRDefault="00B50C37" w:rsidP="00B50C37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DF79FDD" w14:textId="77777777" w:rsidR="000D7972" w:rsidRPr="00FA06C5" w:rsidRDefault="000D7972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lang w:eastAsia="ar-SA"/>
        </w:rPr>
      </w:pPr>
    </w:p>
    <w:p w14:paraId="06063F3D" w14:textId="77777777" w:rsidR="00236494" w:rsidRPr="00FA06C5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ZĀĻU FORMA</w:t>
      </w:r>
    </w:p>
    <w:p w14:paraId="38B4CC9F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0B1AB1DA" w14:textId="77777777" w:rsidR="00236494" w:rsidRPr="00FA06C5" w:rsidRDefault="00236494" w:rsidP="00731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FA06C5">
        <w:rPr>
          <w:rFonts w:eastAsia="Times New Roman" w:cs="Times New Roman"/>
          <w:color w:val="000000"/>
          <w:sz w:val="22"/>
          <w:lang w:eastAsia="en-GB"/>
        </w:rPr>
        <w:t>Pilieni iekšķīgai lietošanai</w:t>
      </w:r>
      <w:r w:rsidRPr="00FA06C5">
        <w:rPr>
          <w:rFonts w:eastAsia="Times New Roman" w:cs="Times New Roman"/>
          <w:iCs/>
          <w:sz w:val="22"/>
          <w:lang w:eastAsia="en-GB"/>
        </w:rPr>
        <w:t>,</w:t>
      </w:r>
      <w:r w:rsidRPr="00FA06C5">
        <w:rPr>
          <w:rFonts w:eastAsia="Times New Roman" w:cs="Times New Roman"/>
          <w:color w:val="000000"/>
          <w:sz w:val="22"/>
          <w:lang w:eastAsia="en-GB"/>
        </w:rPr>
        <w:t xml:space="preserve"> šķīdums.</w:t>
      </w:r>
    </w:p>
    <w:p w14:paraId="0D75C377" w14:textId="286BB8B0" w:rsidR="00731A14" w:rsidRPr="00FA06C5" w:rsidRDefault="00731A14" w:rsidP="00731A1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FA06C5">
        <w:rPr>
          <w:rFonts w:eastAsia="Times New Roman" w:cs="Times New Roman"/>
          <w:sz w:val="22"/>
        </w:rPr>
        <w:t>Dzidrs, sarkanbrūns šķidrums ar raksturīgu aromātisku smaržu un rūgteni saldu garšu</w:t>
      </w:r>
      <w:r w:rsidR="00C51966" w:rsidRPr="00FA06C5">
        <w:rPr>
          <w:rFonts w:eastAsia="Times New Roman" w:cs="Times New Roman"/>
          <w:sz w:val="22"/>
        </w:rPr>
        <w:t>.</w:t>
      </w:r>
    </w:p>
    <w:p w14:paraId="33686973" w14:textId="254B9956" w:rsidR="00236494" w:rsidRPr="00FA06C5" w:rsidRDefault="00236494" w:rsidP="00731A14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0463861" w14:textId="77777777" w:rsidR="000D7972" w:rsidRPr="00FA06C5" w:rsidRDefault="000D7972" w:rsidP="00731A14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3652B74" w14:textId="77777777" w:rsidR="00236494" w:rsidRPr="00FA06C5" w:rsidRDefault="00236494" w:rsidP="00D07701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KLĪNISKĀ INFORMĀCIJA</w:t>
      </w:r>
    </w:p>
    <w:p w14:paraId="4B40D73C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14:paraId="118DE753" w14:textId="77777777" w:rsidR="00236494" w:rsidRPr="00FA06C5" w:rsidRDefault="00236494" w:rsidP="00D07701">
      <w:pPr>
        <w:numPr>
          <w:ilvl w:val="1"/>
          <w:numId w:val="2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Terapeitiskās indikācijas</w:t>
      </w:r>
    </w:p>
    <w:p w14:paraId="0BF01C6B" w14:textId="77777777" w:rsidR="00236494" w:rsidRPr="00FA06C5" w:rsidRDefault="00236494" w:rsidP="00CC549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55968CC8" w14:textId="77777777" w:rsidR="00CC5491" w:rsidRPr="00FA06C5" w:rsidRDefault="00BB2DBF" w:rsidP="00CC5491">
      <w:pPr>
        <w:spacing w:after="0" w:line="240" w:lineRule="auto"/>
        <w:rPr>
          <w:rFonts w:eastAsia="Times New Roman" w:cs="Times New Roman"/>
          <w:color w:val="000000"/>
          <w:sz w:val="22"/>
          <w:lang w:eastAsia="en-GB"/>
        </w:rPr>
      </w:pPr>
      <w:r w:rsidRPr="00FA06C5">
        <w:rPr>
          <w:rFonts w:eastAsia="Times New Roman" w:cs="Times New Roman"/>
          <w:color w:val="000000"/>
          <w:sz w:val="22"/>
          <w:lang w:eastAsia="en-GB"/>
        </w:rPr>
        <w:t>A</w:t>
      </w:r>
      <w:r w:rsidR="00236494" w:rsidRPr="00FA06C5">
        <w:rPr>
          <w:rFonts w:eastAsia="Times New Roman" w:cs="Times New Roman"/>
          <w:color w:val="000000"/>
          <w:sz w:val="22"/>
          <w:lang w:eastAsia="en-GB"/>
        </w:rPr>
        <w:t xml:space="preserve">ugu izcelsmes zāles, ko lieto </w:t>
      </w:r>
      <w:r w:rsidR="00CC5491" w:rsidRPr="00FA06C5">
        <w:rPr>
          <w:rFonts w:eastAsia="Times New Roman" w:cs="Times New Roman"/>
          <w:color w:val="000000"/>
          <w:sz w:val="22"/>
          <w:lang w:eastAsia="en-GB"/>
        </w:rPr>
        <w:t>viegl</w:t>
      </w:r>
      <w:r w:rsidR="009D410E" w:rsidRPr="00FA06C5">
        <w:rPr>
          <w:rFonts w:eastAsia="Times New Roman" w:cs="Times New Roman"/>
          <w:color w:val="000000"/>
          <w:sz w:val="22"/>
          <w:lang w:eastAsia="en-GB"/>
        </w:rPr>
        <w:t xml:space="preserve">as </w:t>
      </w:r>
      <w:r w:rsidR="00CC5491" w:rsidRPr="00FA06C5">
        <w:rPr>
          <w:rFonts w:eastAsia="Times New Roman" w:cs="Times New Roman"/>
          <w:color w:val="000000"/>
          <w:sz w:val="22"/>
          <w:lang w:eastAsia="en-GB"/>
        </w:rPr>
        <w:t>nervu spriedzes un/vai iemigšanas grūtību mazināšanai.</w:t>
      </w:r>
    </w:p>
    <w:p w14:paraId="41D8022B" w14:textId="77777777" w:rsidR="00236494" w:rsidRPr="00FA06C5" w:rsidRDefault="00236494" w:rsidP="00CC549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16D7F20E" w14:textId="77777777" w:rsidR="00236494" w:rsidRPr="00FA06C5" w:rsidRDefault="00236494" w:rsidP="00FE3636">
      <w:pPr>
        <w:numPr>
          <w:ilvl w:val="1"/>
          <w:numId w:val="1"/>
        </w:numPr>
        <w:shd w:val="clear" w:color="auto" w:fill="FFFFFF"/>
        <w:tabs>
          <w:tab w:val="left" w:pos="420"/>
          <w:tab w:val="left" w:pos="450"/>
          <w:tab w:val="left" w:pos="495"/>
          <w:tab w:val="left" w:pos="567"/>
          <w:tab w:val="left" w:pos="660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Devas un lietošanas veids</w:t>
      </w:r>
    </w:p>
    <w:p w14:paraId="756DD308" w14:textId="77777777" w:rsidR="00236494" w:rsidRPr="00FA06C5" w:rsidRDefault="00236494" w:rsidP="00FE363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</w:p>
    <w:p w14:paraId="1145D2D8" w14:textId="77777777" w:rsidR="00236494" w:rsidRPr="00FA06C5" w:rsidRDefault="00236494" w:rsidP="00FE3636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</w:pPr>
      <w:r w:rsidRPr="00FA06C5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Devas</w:t>
      </w:r>
    </w:p>
    <w:p w14:paraId="4A43A93F" w14:textId="77777777" w:rsidR="009D410E" w:rsidRPr="00FA06C5" w:rsidRDefault="009D410E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20C0A5B0" w14:textId="53BFB2F8" w:rsidR="009D410E" w:rsidRPr="00FA06C5" w:rsidRDefault="009D410E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FA06C5">
        <w:rPr>
          <w:rFonts w:eastAsia="Times New Roman" w:cs="Times New Roman"/>
          <w:i/>
          <w:iCs/>
          <w:kern w:val="22"/>
          <w:sz w:val="22"/>
          <w:lang w:eastAsia="ar-SA"/>
        </w:rPr>
        <w:t xml:space="preserve">Pusaudži no 12 gadu vecuma, </w:t>
      </w:r>
      <w:r w:rsidR="009C78D0" w:rsidRPr="00FA06C5">
        <w:rPr>
          <w:rFonts w:eastAsia="Times New Roman" w:cs="Times New Roman"/>
          <w:i/>
          <w:iCs/>
          <w:kern w:val="22"/>
          <w:sz w:val="22"/>
          <w:lang w:eastAsia="ar-SA"/>
        </w:rPr>
        <w:t>pieaugušie</w:t>
      </w:r>
      <w:r w:rsidR="00E23194" w:rsidRPr="00FA06C5">
        <w:rPr>
          <w:rFonts w:eastAsia="Times New Roman" w:cs="Times New Roman"/>
          <w:i/>
          <w:iCs/>
          <w:kern w:val="22"/>
          <w:sz w:val="22"/>
          <w:lang w:eastAsia="ar-SA"/>
        </w:rPr>
        <w:t xml:space="preserve"> un</w:t>
      </w:r>
      <w:r w:rsidR="009C78D0" w:rsidRPr="00FA06C5">
        <w:rPr>
          <w:rFonts w:eastAsia="Times New Roman" w:cs="Times New Roman"/>
          <w:i/>
          <w:iCs/>
          <w:kern w:val="22"/>
          <w:sz w:val="22"/>
          <w:lang w:eastAsia="ar-SA"/>
        </w:rPr>
        <w:t xml:space="preserve"> </w:t>
      </w:r>
      <w:r w:rsidRPr="00FA06C5">
        <w:rPr>
          <w:rFonts w:eastAsia="Times New Roman" w:cs="Times New Roman"/>
          <w:i/>
          <w:iCs/>
          <w:kern w:val="22"/>
          <w:sz w:val="22"/>
          <w:lang w:eastAsia="ar-SA"/>
        </w:rPr>
        <w:t>gados vecāki cilvēki</w:t>
      </w:r>
    </w:p>
    <w:p w14:paraId="1A76D01C" w14:textId="13CF3901" w:rsidR="00FE3636" w:rsidRPr="00FA06C5" w:rsidRDefault="00C035D3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Iekšķīgi reizes deva ir 20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noBreakHyphen/>
        <w:t xml:space="preserve">30 pilieni. </w:t>
      </w:r>
    </w:p>
    <w:p w14:paraId="048F36F9" w14:textId="219E56C3" w:rsidR="00C035D3" w:rsidRPr="00FA06C5" w:rsidRDefault="00C035D3" w:rsidP="00FE3636">
      <w:pPr>
        <w:pStyle w:val="Default"/>
        <w:jc w:val="both"/>
        <w:rPr>
          <w:kern w:val="22"/>
          <w:sz w:val="22"/>
          <w:lang w:val="lv-LV" w:eastAsia="ar-SA"/>
        </w:rPr>
      </w:pPr>
      <w:r w:rsidRPr="00FA06C5">
        <w:rPr>
          <w:kern w:val="22"/>
          <w:sz w:val="22"/>
          <w:lang w:val="lv-LV" w:eastAsia="ar-SA"/>
        </w:rPr>
        <w:t xml:space="preserve">Nervu spriedzes </w:t>
      </w:r>
      <w:r w:rsidR="00FE3636" w:rsidRPr="00FA06C5">
        <w:rPr>
          <w:kern w:val="22"/>
          <w:sz w:val="22"/>
          <w:lang w:val="lv-LV" w:eastAsia="ar-SA"/>
        </w:rPr>
        <w:t>mazināšanai</w:t>
      </w:r>
      <w:r w:rsidR="004110BB" w:rsidRPr="00FA06C5">
        <w:rPr>
          <w:kern w:val="22"/>
          <w:sz w:val="22"/>
          <w:lang w:val="lv-LV" w:eastAsia="ar-SA"/>
        </w:rPr>
        <w:t xml:space="preserve"> lietot līdz </w:t>
      </w:r>
      <w:r w:rsidR="00FE3636" w:rsidRPr="00FA06C5">
        <w:rPr>
          <w:kern w:val="22"/>
          <w:sz w:val="22"/>
          <w:lang w:val="lv-LV" w:eastAsia="ar-SA"/>
        </w:rPr>
        <w:t>3</w:t>
      </w:r>
      <w:r w:rsidRPr="00FA06C5">
        <w:rPr>
          <w:kern w:val="22"/>
          <w:sz w:val="22"/>
          <w:lang w:val="lv-LV" w:eastAsia="ar-SA"/>
        </w:rPr>
        <w:t> reiz</w:t>
      </w:r>
      <w:r w:rsidR="004110BB" w:rsidRPr="00FA06C5">
        <w:rPr>
          <w:kern w:val="22"/>
          <w:sz w:val="22"/>
          <w:lang w:val="lv-LV" w:eastAsia="ar-SA"/>
        </w:rPr>
        <w:t>ēm</w:t>
      </w:r>
      <w:r w:rsidRPr="00FA06C5">
        <w:rPr>
          <w:kern w:val="22"/>
          <w:sz w:val="22"/>
          <w:lang w:val="lv-LV" w:eastAsia="ar-SA"/>
        </w:rPr>
        <w:t xml:space="preserve"> d</w:t>
      </w:r>
      <w:r w:rsidR="004110BB" w:rsidRPr="00FA06C5">
        <w:rPr>
          <w:kern w:val="22"/>
          <w:sz w:val="22"/>
          <w:lang w:val="lv-LV" w:eastAsia="ar-SA"/>
        </w:rPr>
        <w:t>ienā</w:t>
      </w:r>
      <w:r w:rsidRPr="00FA06C5">
        <w:rPr>
          <w:kern w:val="22"/>
          <w:sz w:val="22"/>
          <w:lang w:val="lv-LV" w:eastAsia="ar-SA"/>
        </w:rPr>
        <w:t>.</w:t>
      </w:r>
      <w:r w:rsidR="00FE3636" w:rsidRPr="00FA06C5">
        <w:rPr>
          <w:sz w:val="22"/>
          <w:szCs w:val="23"/>
          <w:lang w:val="lv-LV"/>
        </w:rPr>
        <w:t xml:space="preserve"> </w:t>
      </w:r>
    </w:p>
    <w:p w14:paraId="19A11593" w14:textId="085C18B0" w:rsidR="009D410E" w:rsidRPr="00FA06C5" w:rsidRDefault="00C035D3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  <w:r w:rsidRPr="00FA06C5">
        <w:rPr>
          <w:rFonts w:cs="TimesNewRomanPSMT"/>
          <w:sz w:val="22"/>
        </w:rPr>
        <w:t>M</w:t>
      </w:r>
      <w:r w:rsidRPr="00FA06C5">
        <w:rPr>
          <w:sz w:val="22"/>
        </w:rPr>
        <w:t xml:space="preserve">iega traucējumu gadījumā </w:t>
      </w:r>
      <w:r w:rsidRPr="00FA06C5">
        <w:rPr>
          <w:rFonts w:cs="TimesNewRomanPSMT"/>
          <w:sz w:val="22"/>
        </w:rPr>
        <w:t>reizes dev</w:t>
      </w:r>
      <w:r w:rsidR="00FE3636" w:rsidRPr="00FA06C5">
        <w:rPr>
          <w:rFonts w:cs="TimesNewRomanPSMT"/>
          <w:sz w:val="22"/>
        </w:rPr>
        <w:t>a</w:t>
      </w:r>
      <w:r w:rsidRPr="00FA06C5">
        <w:rPr>
          <w:rFonts w:cs="TimesNewRomanPSMT"/>
          <w:sz w:val="22"/>
        </w:rPr>
        <w:t xml:space="preserve"> </w:t>
      </w:r>
      <w:r w:rsidR="00FE3636" w:rsidRPr="00FA06C5">
        <w:rPr>
          <w:rFonts w:eastAsia="Times New Roman" w:cs="Times New Roman"/>
          <w:kern w:val="22"/>
          <w:sz w:val="22"/>
          <w:lang w:eastAsia="ar-SA"/>
        </w:rPr>
        <w:t>jālieto pusstundu līdz vienu stundu</w:t>
      </w:r>
      <w:r w:rsidR="00FE3636" w:rsidRPr="00FA06C5">
        <w:rPr>
          <w:rFonts w:cs="TimesNewRomanPSMT"/>
          <w:sz w:val="22"/>
        </w:rPr>
        <w:t xml:space="preserve"> </w:t>
      </w:r>
      <w:r w:rsidRPr="00FA06C5">
        <w:rPr>
          <w:rFonts w:cs="TimesNewRomanPSMT"/>
          <w:sz w:val="22"/>
        </w:rPr>
        <w:t xml:space="preserve">pirms </w:t>
      </w:r>
      <w:proofErr w:type="spellStart"/>
      <w:r w:rsidRPr="00FA06C5">
        <w:rPr>
          <w:rFonts w:cs="TimesNewRomanPSMT"/>
          <w:sz w:val="22"/>
        </w:rPr>
        <w:t>gulētiešanas</w:t>
      </w:r>
      <w:proofErr w:type="spellEnd"/>
      <w:r w:rsidR="00FE3636" w:rsidRPr="00FA06C5">
        <w:rPr>
          <w:rFonts w:cs="TimesNewRomanPSMT"/>
          <w:sz w:val="22"/>
        </w:rPr>
        <w:t>. N</w:t>
      </w:r>
      <w:r w:rsidRPr="00FA06C5">
        <w:rPr>
          <w:rFonts w:cs="TimesNewRomanPSMT"/>
          <w:sz w:val="22"/>
        </w:rPr>
        <w:t>epieciešamības gadījumā vakarā var lietot vēl 1</w:t>
      </w:r>
      <w:r w:rsidR="000D6219" w:rsidRPr="00FA06C5">
        <w:rPr>
          <w:rFonts w:cs="TimesNewRomanPSMT"/>
          <w:sz w:val="22"/>
        </w:rPr>
        <w:t> </w:t>
      </w:r>
      <w:r w:rsidRPr="00FA06C5">
        <w:rPr>
          <w:rFonts w:cs="TimesNewRomanPSMT"/>
          <w:sz w:val="22"/>
        </w:rPr>
        <w:t>devu</w:t>
      </w:r>
      <w:r w:rsidR="00FE3636" w:rsidRPr="00FA06C5">
        <w:rPr>
          <w:rFonts w:cs="TimesNewRomanPSMT"/>
          <w:sz w:val="22"/>
        </w:rPr>
        <w:t>.</w:t>
      </w:r>
    </w:p>
    <w:p w14:paraId="235F04B2" w14:textId="68FEDDF7" w:rsidR="00FE3636" w:rsidRPr="00FA06C5" w:rsidRDefault="004110BB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Maksimālā dienas deva: 4 reizes devas.</w:t>
      </w:r>
    </w:p>
    <w:p w14:paraId="14963928" w14:textId="77777777" w:rsidR="004110BB" w:rsidRPr="00FA06C5" w:rsidRDefault="004110BB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5795FF10" w14:textId="77777777" w:rsidR="00236494" w:rsidRPr="00FA06C5" w:rsidRDefault="00236494" w:rsidP="00FE3636">
      <w:pPr>
        <w:shd w:val="clear" w:color="auto" w:fill="FFFFFF"/>
        <w:tabs>
          <w:tab w:val="left" w:pos="567"/>
        </w:tabs>
        <w:suppressAutoHyphens/>
        <w:spacing w:after="0" w:line="240" w:lineRule="auto"/>
        <w:ind w:left="19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i/>
          <w:iCs/>
          <w:kern w:val="1"/>
          <w:sz w:val="22"/>
          <w:lang w:eastAsia="ar-SA"/>
        </w:rPr>
        <w:t>Pediatriskā populācija</w:t>
      </w:r>
    </w:p>
    <w:p w14:paraId="3066E01B" w14:textId="77777777" w:rsidR="00236494" w:rsidRPr="00FA06C5" w:rsidRDefault="00A30616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Nelietot bērniem līdz 12 gadu vecumam</w:t>
      </w:r>
      <w:r w:rsidR="00236494" w:rsidRPr="00FA06C5">
        <w:rPr>
          <w:rFonts w:eastAsia="Times New Roman" w:cs="Times New Roman"/>
          <w:kern w:val="1"/>
          <w:sz w:val="22"/>
          <w:lang w:eastAsia="ar-SA"/>
        </w:rPr>
        <w:t>.</w:t>
      </w:r>
    </w:p>
    <w:p w14:paraId="75B036BC" w14:textId="77777777" w:rsidR="00236494" w:rsidRPr="00FA06C5" w:rsidRDefault="00236494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430BCB7" w14:textId="77777777" w:rsidR="00236494" w:rsidRPr="00FA06C5" w:rsidRDefault="00236494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FA06C5">
        <w:rPr>
          <w:rFonts w:eastAsia="Times New Roman" w:cs="Times New Roman"/>
          <w:color w:val="000000"/>
          <w:kern w:val="1"/>
          <w:sz w:val="22"/>
          <w:u w:val="single"/>
          <w:lang w:eastAsia="ar-SA"/>
        </w:rPr>
        <w:t>Lietošanas veids</w:t>
      </w:r>
    </w:p>
    <w:p w14:paraId="5CC47A0B" w14:textId="77777777" w:rsidR="00236494" w:rsidRPr="00FA06C5" w:rsidRDefault="00236494" w:rsidP="00FE363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Iekšķīgai lietošanai</w:t>
      </w:r>
      <w:r w:rsidRPr="00FA06C5">
        <w:rPr>
          <w:rFonts w:eastAsia="Times New Roman" w:cs="Times New Roman"/>
          <w:color w:val="000000"/>
          <w:kern w:val="1"/>
          <w:sz w:val="22"/>
          <w:lang w:eastAsia="ar-SA"/>
        </w:rPr>
        <w:t>.</w:t>
      </w:r>
    </w:p>
    <w:p w14:paraId="788ACF5C" w14:textId="77777777" w:rsidR="00236494" w:rsidRPr="00FA06C5" w:rsidRDefault="00236494" w:rsidP="00FE3636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041F4B0" w14:textId="77777777" w:rsidR="00236494" w:rsidRPr="00FA06C5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Kontrindikācijas</w:t>
      </w:r>
    </w:p>
    <w:p w14:paraId="7D54A594" w14:textId="77777777" w:rsidR="00E05C0E" w:rsidRPr="00FA06C5" w:rsidRDefault="00E05C0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3610DF6" w14:textId="7E8BF71C" w:rsidR="00236494" w:rsidRPr="00FA06C5" w:rsidRDefault="00236494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-</w:t>
      </w:r>
      <w:r w:rsidRPr="00FA06C5">
        <w:rPr>
          <w:rFonts w:eastAsia="Times New Roman" w:cs="Times New Roman"/>
          <w:kern w:val="1"/>
          <w:sz w:val="22"/>
          <w:lang w:eastAsia="ar-SA"/>
        </w:rPr>
        <w:tab/>
        <w:t xml:space="preserve">Paaugstināta jutība pret </w:t>
      </w:r>
      <w:r w:rsidR="00E05C0E" w:rsidRPr="00FA06C5">
        <w:rPr>
          <w:rFonts w:eastAsia="Times New Roman" w:cs="Times New Roman"/>
          <w:kern w:val="1"/>
          <w:sz w:val="22"/>
          <w:lang w:eastAsia="ar-SA"/>
        </w:rPr>
        <w:t>aktīv</w:t>
      </w:r>
      <w:r w:rsidR="0035065A" w:rsidRPr="00FA06C5">
        <w:rPr>
          <w:rFonts w:eastAsia="Times New Roman" w:cs="Times New Roman"/>
          <w:kern w:val="1"/>
          <w:sz w:val="22"/>
          <w:lang w:eastAsia="ar-SA"/>
        </w:rPr>
        <w:t>o</w:t>
      </w:r>
      <w:r w:rsidR="00E05C0E" w:rsidRPr="00FA06C5">
        <w:rPr>
          <w:rFonts w:eastAsia="Times New Roman" w:cs="Times New Roman"/>
          <w:kern w:val="1"/>
          <w:sz w:val="22"/>
          <w:lang w:eastAsia="ar-SA"/>
        </w:rPr>
        <w:t xml:space="preserve"> viel</w:t>
      </w:r>
      <w:r w:rsidR="00E23194" w:rsidRPr="00FA06C5">
        <w:rPr>
          <w:rFonts w:eastAsia="Times New Roman" w:cs="Times New Roman"/>
          <w:kern w:val="1"/>
          <w:sz w:val="22"/>
          <w:lang w:eastAsia="ar-SA"/>
        </w:rPr>
        <w:t>u</w:t>
      </w:r>
      <w:r w:rsidR="00E05C0E" w:rsidRPr="00FA06C5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Pr="00FA06C5">
        <w:rPr>
          <w:rFonts w:eastAsia="Times New Roman" w:cs="Times New Roman"/>
          <w:kern w:val="1"/>
          <w:sz w:val="22"/>
          <w:lang w:eastAsia="ar-SA"/>
        </w:rPr>
        <w:t xml:space="preserve">vai </w:t>
      </w:r>
      <w:r w:rsidR="009C7664" w:rsidRPr="00FA06C5">
        <w:rPr>
          <w:rFonts w:eastAsia="Times New Roman" w:cs="Times New Roman"/>
          <w:kern w:val="1"/>
          <w:sz w:val="22"/>
          <w:lang w:eastAsia="ar-SA"/>
        </w:rPr>
        <w:t>etilspirtu</w:t>
      </w:r>
      <w:r w:rsidR="00E23194" w:rsidRPr="00FA06C5">
        <w:rPr>
          <w:rFonts w:eastAsia="Times New Roman" w:cs="Times New Roman"/>
          <w:kern w:val="1"/>
          <w:sz w:val="22"/>
          <w:lang w:eastAsia="ar-SA"/>
        </w:rPr>
        <w:t> (alkoholu)</w:t>
      </w:r>
      <w:r w:rsidRPr="00FA06C5">
        <w:rPr>
          <w:rFonts w:eastAsia="Times New Roman" w:cs="Times New Roman"/>
          <w:kern w:val="1"/>
          <w:sz w:val="22"/>
          <w:lang w:eastAsia="ar-SA"/>
        </w:rPr>
        <w:t>.</w:t>
      </w:r>
    </w:p>
    <w:p w14:paraId="252E7555" w14:textId="77777777" w:rsidR="00E05C0E" w:rsidRPr="00FA06C5" w:rsidRDefault="00E05C0E" w:rsidP="00D07701">
      <w:pPr>
        <w:tabs>
          <w:tab w:val="left" w:pos="567"/>
        </w:tabs>
        <w:suppressAutoHyphens/>
        <w:spacing w:after="0" w:line="260" w:lineRule="exact"/>
        <w:ind w:left="567" w:hanging="567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-</w:t>
      </w:r>
      <w:r w:rsidRPr="00FA06C5">
        <w:rPr>
          <w:rFonts w:eastAsia="Times New Roman" w:cs="Times New Roman"/>
          <w:kern w:val="1"/>
          <w:sz w:val="22"/>
          <w:lang w:eastAsia="ar-SA"/>
        </w:rPr>
        <w:tab/>
        <w:t xml:space="preserve">Grūtniecība un </w:t>
      </w:r>
      <w:r w:rsidR="00A30616" w:rsidRPr="00FA06C5">
        <w:rPr>
          <w:rFonts w:eastAsia="Times New Roman" w:cs="Times New Roman"/>
          <w:kern w:val="1"/>
          <w:sz w:val="22"/>
          <w:lang w:eastAsia="ar-SA"/>
        </w:rPr>
        <w:t xml:space="preserve">bērna </w:t>
      </w:r>
      <w:r w:rsidRPr="00FA06C5">
        <w:rPr>
          <w:rFonts w:eastAsia="Times New Roman" w:cs="Times New Roman"/>
          <w:kern w:val="1"/>
          <w:sz w:val="22"/>
          <w:lang w:eastAsia="ar-SA"/>
        </w:rPr>
        <w:t>barošana ar krūti.</w:t>
      </w:r>
    </w:p>
    <w:p w14:paraId="02580BF5" w14:textId="2C7FB158" w:rsidR="00E05C0E" w:rsidRPr="00FA06C5" w:rsidRDefault="00E05C0E" w:rsidP="00D43127">
      <w:pPr>
        <w:tabs>
          <w:tab w:val="left" w:pos="567"/>
        </w:tabs>
        <w:suppressAutoHyphens/>
        <w:spacing w:after="0" w:line="260" w:lineRule="exact"/>
        <w:ind w:left="567" w:hanging="567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-</w:t>
      </w:r>
      <w:r w:rsidRPr="00FA06C5">
        <w:rPr>
          <w:rFonts w:eastAsia="Times New Roman" w:cs="Times New Roman"/>
          <w:kern w:val="1"/>
          <w:sz w:val="22"/>
          <w:lang w:eastAsia="ar-SA"/>
        </w:rPr>
        <w:tab/>
      </w:r>
      <w:r w:rsidR="00F8638B" w:rsidRPr="00FA06C5">
        <w:rPr>
          <w:rFonts w:eastAsia="Times New Roman" w:cs="Times New Roman"/>
          <w:kern w:val="1"/>
          <w:sz w:val="22"/>
          <w:lang w:eastAsia="ar-SA"/>
        </w:rPr>
        <w:t>B</w:t>
      </w:r>
      <w:r w:rsidR="00082D3E" w:rsidRPr="00FA06C5">
        <w:rPr>
          <w:rFonts w:eastAsia="Times New Roman" w:cs="Times New Roman"/>
          <w:kern w:val="1"/>
          <w:sz w:val="22"/>
          <w:lang w:eastAsia="ar-SA"/>
        </w:rPr>
        <w:t>ērniem līdz 12</w:t>
      </w:r>
      <w:r w:rsidR="000D6219" w:rsidRPr="00FA06C5">
        <w:rPr>
          <w:rFonts w:eastAsia="Times New Roman" w:cs="Times New Roman"/>
          <w:kern w:val="1"/>
          <w:sz w:val="22"/>
          <w:lang w:eastAsia="ar-SA"/>
        </w:rPr>
        <w:t> </w:t>
      </w:r>
      <w:r w:rsidR="00082D3E" w:rsidRPr="00FA06C5">
        <w:rPr>
          <w:rFonts w:eastAsia="Times New Roman" w:cs="Times New Roman"/>
          <w:kern w:val="1"/>
          <w:sz w:val="22"/>
          <w:lang w:eastAsia="ar-SA"/>
        </w:rPr>
        <w:t>gadu vecumam</w:t>
      </w:r>
      <w:r w:rsidRPr="00FA06C5">
        <w:rPr>
          <w:rFonts w:eastAsia="Times New Roman" w:cs="Times New Roman"/>
          <w:kern w:val="1"/>
          <w:sz w:val="22"/>
          <w:lang w:eastAsia="ar-SA"/>
        </w:rPr>
        <w:t>.</w:t>
      </w:r>
    </w:p>
    <w:p w14:paraId="06CF73D3" w14:textId="77777777" w:rsidR="00E05C0E" w:rsidRPr="00FA06C5" w:rsidRDefault="00E05C0E" w:rsidP="00D07701">
      <w:pPr>
        <w:tabs>
          <w:tab w:val="left" w:pos="567"/>
        </w:tabs>
        <w:suppressAutoHyphens/>
        <w:spacing w:after="0" w:line="260" w:lineRule="exact"/>
        <w:ind w:left="360" w:hanging="360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F9B1382" w14:textId="77777777" w:rsidR="00236494" w:rsidRPr="00FA06C5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Īpaši brīdinājumi un piesardzība lietošanā</w:t>
      </w:r>
    </w:p>
    <w:p w14:paraId="5B48595A" w14:textId="77777777" w:rsidR="00236494" w:rsidRPr="00FA06C5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198BB46" w14:textId="1EDDA796" w:rsidR="00082D3E" w:rsidRPr="00FA06C5" w:rsidRDefault="00236494" w:rsidP="00D0770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2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Ja pēc 14 dienu ilgas zāļu lietošanas simptomi saglabājas vai pastiprinās, jākonsultējas ar ārstu</w:t>
      </w:r>
      <w:r w:rsidRPr="00FA06C5">
        <w:rPr>
          <w:rFonts w:eastAsia="Calibri" w:cs="Times New Roman"/>
          <w:sz w:val="22"/>
        </w:rPr>
        <w:t>.</w:t>
      </w:r>
    </w:p>
    <w:p w14:paraId="3872EDF3" w14:textId="77777777" w:rsidR="00082D3E" w:rsidRPr="00FA06C5" w:rsidRDefault="00082D3E">
      <w:pPr>
        <w:rPr>
          <w:rFonts w:eastAsia="Calibri" w:cs="Times New Roman"/>
          <w:sz w:val="22"/>
        </w:rPr>
      </w:pPr>
      <w:r w:rsidRPr="00FA06C5">
        <w:rPr>
          <w:rFonts w:eastAsia="Calibri" w:cs="Times New Roman"/>
          <w:sz w:val="22"/>
        </w:rPr>
        <w:br w:type="page"/>
      </w:r>
    </w:p>
    <w:p w14:paraId="073011FA" w14:textId="77777777" w:rsidR="00236494" w:rsidRPr="00FA06C5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FA06C5">
        <w:rPr>
          <w:rFonts w:eastAsia="Times New Roman" w:cs="Times New Roman"/>
          <w:i/>
          <w:iCs/>
          <w:kern w:val="1"/>
          <w:sz w:val="22"/>
          <w:lang w:eastAsia="ar-SA"/>
        </w:rPr>
        <w:lastRenderedPageBreak/>
        <w:t>Pediatriskā populācija</w:t>
      </w:r>
    </w:p>
    <w:p w14:paraId="5A2E6827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754"/>
        </w:tabs>
        <w:suppressAutoHyphens/>
        <w:spacing w:after="0" w:line="240" w:lineRule="auto"/>
        <w:ind w:left="15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 xml:space="preserve">Nelietot bērniem līdz </w:t>
      </w:r>
      <w:r w:rsidR="007C7F5B" w:rsidRPr="00FA06C5">
        <w:rPr>
          <w:rFonts w:eastAsia="Times New Roman" w:cs="Times New Roman"/>
          <w:kern w:val="1"/>
          <w:sz w:val="22"/>
          <w:lang w:eastAsia="ar-SA"/>
        </w:rPr>
        <w:t>12</w:t>
      </w:r>
      <w:r w:rsidRPr="00FA06C5">
        <w:rPr>
          <w:rFonts w:eastAsia="Times New Roman" w:cs="Times New Roman"/>
          <w:kern w:val="1"/>
          <w:sz w:val="22"/>
          <w:lang w:eastAsia="ar-SA"/>
        </w:rPr>
        <w:t> gadu vecumam, jo nav pietiekamas informācijas par lietošanas drošumu</w:t>
      </w:r>
      <w:r w:rsidRPr="00FA06C5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415E932F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44144F1" w14:textId="77777777" w:rsidR="00236494" w:rsidRPr="00FA06C5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FA06C5">
        <w:rPr>
          <w:rFonts w:eastAsia="Times New Roman" w:cs="Times New Roman"/>
          <w:i/>
          <w:kern w:val="1"/>
          <w:sz w:val="22"/>
          <w:lang w:eastAsia="ar-SA"/>
        </w:rPr>
        <w:t>Etilspirta (alkohola) saturs šajās zālēs</w:t>
      </w:r>
    </w:p>
    <w:p w14:paraId="651361B0" w14:textId="17E9EE8F" w:rsidR="00480876" w:rsidRPr="00FA06C5" w:rsidRDefault="00236494" w:rsidP="004808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 xml:space="preserve">Šīs zāles satur </w:t>
      </w:r>
      <w:r w:rsidR="00D861B6" w:rsidRPr="00FA06C5">
        <w:rPr>
          <w:rFonts w:eastAsia="Times New Roman" w:cs="Times New Roman"/>
          <w:kern w:val="1"/>
          <w:sz w:val="22"/>
          <w:lang w:eastAsia="ar-SA"/>
        </w:rPr>
        <w:t>6</w:t>
      </w:r>
      <w:r w:rsidR="000A29CF" w:rsidRPr="00FA06C5">
        <w:rPr>
          <w:rFonts w:eastAsia="Times New Roman" w:cs="Times New Roman"/>
          <w:kern w:val="1"/>
          <w:sz w:val="22"/>
          <w:lang w:eastAsia="ar-SA"/>
        </w:rPr>
        <w:t>5</w:t>
      </w:r>
      <w:r w:rsidRPr="00FA06C5">
        <w:rPr>
          <w:rFonts w:eastAsia="Times New Roman" w:cs="Times New Roman"/>
          <w:kern w:val="1"/>
          <w:sz w:val="22"/>
          <w:lang w:eastAsia="ar-SA"/>
        </w:rPr>
        <w:t xml:space="preserve"> tilpuma % etilspirta (alkohola) vai </w:t>
      </w:r>
      <w:r w:rsidRPr="00FA06C5">
        <w:rPr>
          <w:rFonts w:eastAsia="Calibri" w:cs="Times New Roman"/>
          <w:sz w:val="22"/>
        </w:rPr>
        <w:t>reizes devā (</w:t>
      </w:r>
      <w:r w:rsidR="00D861B6" w:rsidRPr="00FA06C5">
        <w:rPr>
          <w:rFonts w:eastAsia="Calibri" w:cs="Times New Roman"/>
          <w:sz w:val="22"/>
        </w:rPr>
        <w:t>2</w:t>
      </w:r>
      <w:r w:rsidRPr="00FA06C5">
        <w:rPr>
          <w:rFonts w:eastAsia="Calibri" w:cs="Times New Roman"/>
          <w:sz w:val="22"/>
        </w:rPr>
        <w:t>0</w:t>
      </w:r>
      <w:r w:rsidRPr="00FA06C5">
        <w:rPr>
          <w:rFonts w:eastAsia="Calibri" w:cs="Times New Roman"/>
          <w:sz w:val="22"/>
        </w:rPr>
        <w:noBreakHyphen/>
      </w:r>
      <w:r w:rsidR="000A29CF" w:rsidRPr="00FA06C5">
        <w:rPr>
          <w:rFonts w:eastAsia="Calibri" w:cs="Times New Roman"/>
          <w:sz w:val="22"/>
        </w:rPr>
        <w:t>30</w:t>
      </w:r>
      <w:r w:rsidRPr="00FA06C5">
        <w:rPr>
          <w:rFonts w:eastAsia="Calibri" w:cs="Times New Roman"/>
          <w:sz w:val="22"/>
        </w:rPr>
        <w:t> pilienos) ir 0,</w:t>
      </w:r>
      <w:r w:rsidR="00D861B6" w:rsidRPr="00FA06C5">
        <w:rPr>
          <w:rFonts w:eastAsia="Calibri" w:cs="Times New Roman"/>
          <w:sz w:val="22"/>
        </w:rPr>
        <w:t>22</w:t>
      </w:r>
      <w:r w:rsidRPr="00FA06C5">
        <w:rPr>
          <w:rFonts w:eastAsia="Calibri" w:cs="Times New Roman"/>
          <w:sz w:val="22"/>
        </w:rPr>
        <w:noBreakHyphen/>
        <w:t>0,</w:t>
      </w:r>
      <w:r w:rsidR="000A29CF" w:rsidRPr="00FA06C5">
        <w:rPr>
          <w:rFonts w:eastAsia="Calibri" w:cs="Times New Roman"/>
          <w:sz w:val="22"/>
        </w:rPr>
        <w:t>33</w:t>
      </w:r>
      <w:r w:rsidRPr="00FA06C5">
        <w:rPr>
          <w:rFonts w:eastAsia="Calibri" w:cs="Times New Roman"/>
          <w:sz w:val="22"/>
        </w:rPr>
        <w:t xml:space="preserve"> g etilspirta, kas </w:t>
      </w:r>
      <w:r w:rsidRPr="00FA06C5">
        <w:rPr>
          <w:rFonts w:eastAsia="Times New Roman" w:cs="Times New Roman"/>
          <w:kern w:val="1"/>
          <w:sz w:val="22"/>
          <w:lang w:eastAsia="ar-SA"/>
        </w:rPr>
        <w:t>ir ekvivalents</w:t>
      </w:r>
      <w:r w:rsidRPr="00FA06C5">
        <w:rPr>
          <w:rFonts w:eastAsia="Calibri" w:cs="Times New Roman"/>
          <w:sz w:val="22"/>
        </w:rPr>
        <w:t xml:space="preserve"> </w:t>
      </w:r>
      <w:r w:rsidR="00D861B6" w:rsidRPr="00FA06C5">
        <w:rPr>
          <w:rFonts w:eastAsia="Calibri" w:cs="Times New Roman"/>
          <w:sz w:val="22"/>
        </w:rPr>
        <w:t>4</w:t>
      </w:r>
      <w:r w:rsidRPr="00FA06C5">
        <w:rPr>
          <w:rFonts w:eastAsia="Calibri" w:cs="Times New Roman"/>
          <w:sz w:val="22"/>
        </w:rPr>
        <w:t>,</w:t>
      </w:r>
      <w:r w:rsidR="00D861B6" w:rsidRPr="00FA06C5">
        <w:rPr>
          <w:rFonts w:eastAsia="Calibri" w:cs="Times New Roman"/>
          <w:sz w:val="22"/>
        </w:rPr>
        <w:t>4</w:t>
      </w:r>
      <w:r w:rsidRPr="00FA06C5">
        <w:rPr>
          <w:rFonts w:eastAsia="Calibri" w:cs="Times New Roman"/>
          <w:sz w:val="22"/>
        </w:rPr>
        <w:noBreakHyphen/>
      </w:r>
      <w:r w:rsidR="000A29CF" w:rsidRPr="00FA06C5">
        <w:rPr>
          <w:rFonts w:eastAsia="Calibri" w:cs="Times New Roman"/>
          <w:sz w:val="22"/>
        </w:rPr>
        <w:t>6</w:t>
      </w:r>
      <w:r w:rsidRPr="00FA06C5">
        <w:rPr>
          <w:rFonts w:eastAsia="Calibri" w:cs="Times New Roman"/>
          <w:sz w:val="22"/>
        </w:rPr>
        <w:t>,</w:t>
      </w:r>
      <w:r w:rsidR="000A29CF" w:rsidRPr="00FA06C5">
        <w:rPr>
          <w:rFonts w:eastAsia="Calibri" w:cs="Times New Roman"/>
          <w:sz w:val="22"/>
        </w:rPr>
        <w:t>6</w:t>
      </w:r>
      <w:r w:rsidRPr="00FA06C5">
        <w:rPr>
          <w:rFonts w:eastAsia="Calibri" w:cs="Times New Roman"/>
          <w:sz w:val="22"/>
        </w:rPr>
        <w:t xml:space="preserve"> ml alus, </w:t>
      </w:r>
      <w:r w:rsidR="00D861B6" w:rsidRPr="00FA06C5">
        <w:rPr>
          <w:rFonts w:eastAsia="Calibri" w:cs="Times New Roman"/>
          <w:sz w:val="22"/>
        </w:rPr>
        <w:t>2</w:t>
      </w:r>
      <w:r w:rsidRPr="00FA06C5">
        <w:rPr>
          <w:rFonts w:eastAsia="Calibri" w:cs="Times New Roman"/>
          <w:sz w:val="22"/>
        </w:rPr>
        <w:t>,</w:t>
      </w:r>
      <w:r w:rsidR="00D861B6" w:rsidRPr="00FA06C5">
        <w:rPr>
          <w:rFonts w:eastAsia="Calibri" w:cs="Times New Roman"/>
          <w:sz w:val="22"/>
        </w:rPr>
        <w:t>75</w:t>
      </w:r>
      <w:r w:rsidRPr="00FA06C5">
        <w:rPr>
          <w:rFonts w:eastAsia="Calibri" w:cs="Times New Roman"/>
          <w:sz w:val="22"/>
        </w:rPr>
        <w:noBreakHyphen/>
      </w:r>
      <w:r w:rsidR="000A29CF" w:rsidRPr="00FA06C5">
        <w:rPr>
          <w:rFonts w:eastAsia="Calibri" w:cs="Times New Roman"/>
          <w:sz w:val="22"/>
        </w:rPr>
        <w:t>4</w:t>
      </w:r>
      <w:r w:rsidRPr="00FA06C5">
        <w:rPr>
          <w:rFonts w:eastAsia="Calibri" w:cs="Times New Roman"/>
          <w:sz w:val="22"/>
        </w:rPr>
        <w:t>,6</w:t>
      </w:r>
      <w:r w:rsidR="000A29CF" w:rsidRPr="00FA06C5">
        <w:rPr>
          <w:rFonts w:eastAsia="Calibri" w:cs="Times New Roman"/>
          <w:sz w:val="22"/>
        </w:rPr>
        <w:t>0</w:t>
      </w:r>
      <w:r w:rsidRPr="00FA06C5">
        <w:rPr>
          <w:rFonts w:eastAsia="Calibri" w:cs="Times New Roman"/>
          <w:sz w:val="22"/>
        </w:rPr>
        <w:t xml:space="preserve"> ml vīna. </w:t>
      </w:r>
      <w:bookmarkStart w:id="0" w:name="_Hlk480363270"/>
      <w:r w:rsidR="00480876" w:rsidRPr="00FA06C5">
        <w:rPr>
          <w:rFonts w:eastAsia="Times New Roman" w:cs="Times New Roman"/>
          <w:kern w:val="1"/>
          <w:sz w:val="22"/>
          <w:lang w:eastAsia="ar-SA"/>
        </w:rPr>
        <w:t xml:space="preserve">Kaitīgs alkoholiķiem. Jāpievērš uzmanība </w:t>
      </w:r>
      <w:r w:rsidR="000A29CF" w:rsidRPr="00FA06C5">
        <w:rPr>
          <w:rFonts w:eastAsia="Times New Roman" w:cs="Times New Roman"/>
          <w:kern w:val="1"/>
          <w:sz w:val="22"/>
          <w:szCs w:val="24"/>
          <w:lang w:eastAsia="ar-SA"/>
        </w:rPr>
        <w:t>grūtniecēm vai ar krūti barojošām sievietēm, bērniem, kā arī paaugstināta riska grupām: pacientiem ar aknu slimību vai epilepsiju</w:t>
      </w:r>
      <w:r w:rsidR="00480876" w:rsidRPr="00FA06C5">
        <w:rPr>
          <w:rFonts w:eastAsia="Times New Roman" w:cs="Times New Roman"/>
          <w:kern w:val="1"/>
          <w:sz w:val="22"/>
          <w:lang w:eastAsia="ar-SA"/>
        </w:rPr>
        <w:t>.</w:t>
      </w:r>
    </w:p>
    <w:bookmarkEnd w:id="0"/>
    <w:p w14:paraId="682671C4" w14:textId="56D283B4" w:rsidR="00236494" w:rsidRPr="00FA06C5" w:rsidRDefault="00236494" w:rsidP="0048087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25E76451" w14:textId="77777777" w:rsidR="00236494" w:rsidRPr="00FA06C5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Mijiedarbība ar citām zālēm un citi mijiedarbības veidi</w:t>
      </w:r>
    </w:p>
    <w:p w14:paraId="3900316C" w14:textId="43EA4974" w:rsidR="0066005B" w:rsidRPr="00FA06C5" w:rsidRDefault="0066005B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</w:p>
    <w:p w14:paraId="5AC157F9" w14:textId="2EFDAC8C" w:rsidR="00494A92" w:rsidRPr="00FA06C5" w:rsidRDefault="00260F0F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Nav datu par </w:t>
      </w:r>
      <w:r w:rsidR="001B4702" w:rsidRPr="00FA06C5">
        <w:rPr>
          <w:rFonts w:eastAsia="Times New Roman" w:cs="Times New Roman"/>
          <w:bCs/>
          <w:kern w:val="22"/>
          <w:sz w:val="22"/>
          <w:lang w:eastAsia="ar-SA"/>
        </w:rPr>
        <w:t>Baldriāna tinktūras RFF pilienu iekšķīgai lietošanai, šķīduma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 mijiedarbību ar citām zālēm. </w:t>
      </w:r>
    </w:p>
    <w:p w14:paraId="0E10C015" w14:textId="0F62C236" w:rsidR="00260F0F" w:rsidRPr="00FA06C5" w:rsidRDefault="00260F0F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Nav novērota nozīmīga mijiedarbība ar zālēm, </w:t>
      </w:r>
      <w:r w:rsidR="00FE2216" w:rsidRPr="00FA06C5">
        <w:rPr>
          <w:rFonts w:eastAsia="Times New Roman" w:cs="Times New Roman"/>
          <w:bCs/>
          <w:kern w:val="22"/>
          <w:sz w:val="22"/>
          <w:lang w:eastAsia="ar-SA"/>
        </w:rPr>
        <w:t>k</w:t>
      </w:r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>o</w:t>
      </w:r>
      <w:r w:rsidR="00FE2216"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 </w:t>
      </w:r>
      <w:proofErr w:type="spellStart"/>
      <w:r w:rsidRPr="00FA06C5">
        <w:rPr>
          <w:rFonts w:eastAsia="Times New Roman" w:cs="Times New Roman"/>
          <w:bCs/>
          <w:kern w:val="22"/>
          <w:sz w:val="22"/>
          <w:lang w:eastAsia="ar-SA"/>
        </w:rPr>
        <w:t>metaboli</w:t>
      </w:r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>zē</w:t>
      </w:r>
      <w:proofErr w:type="spellEnd"/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 </w:t>
      </w:r>
      <w:r w:rsidR="00B364B0"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citohroma P450 </w:t>
      </w:r>
      <w:r w:rsidR="003A42EC"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sistēmas (CYP) </w:t>
      </w:r>
      <w:proofErr w:type="spellStart"/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>izo</w:t>
      </w:r>
      <w:r w:rsidR="003A42EC" w:rsidRPr="00FA06C5">
        <w:rPr>
          <w:rFonts w:eastAsia="Times New Roman" w:cs="Times New Roman"/>
          <w:bCs/>
          <w:kern w:val="22"/>
          <w:sz w:val="22"/>
          <w:lang w:eastAsia="ar-SA"/>
        </w:rPr>
        <w:t>fermenti</w:t>
      </w:r>
      <w:proofErr w:type="spellEnd"/>
      <w:r w:rsidR="003A42EC"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 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>CYP</w:t>
      </w:r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> 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>2D6, CYP</w:t>
      </w:r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> 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>3A4/5, CYP</w:t>
      </w:r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> 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1A2 </w:t>
      </w:r>
      <w:r w:rsidR="003A42EC" w:rsidRPr="00FA06C5">
        <w:rPr>
          <w:rFonts w:eastAsia="Times New Roman" w:cs="Times New Roman"/>
          <w:bCs/>
          <w:kern w:val="22"/>
          <w:sz w:val="22"/>
          <w:lang w:eastAsia="ar-SA"/>
        </w:rPr>
        <w:t>vai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 CYP</w:t>
      </w:r>
      <w:r w:rsidR="0044781B" w:rsidRPr="00FA06C5">
        <w:rPr>
          <w:rFonts w:eastAsia="Times New Roman" w:cs="Times New Roman"/>
          <w:bCs/>
          <w:kern w:val="22"/>
          <w:sz w:val="22"/>
          <w:lang w:eastAsia="ar-SA"/>
        </w:rPr>
        <w:t> 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>2E1.</w:t>
      </w:r>
    </w:p>
    <w:p w14:paraId="28839F24" w14:textId="334E6163" w:rsidR="00494A92" w:rsidRPr="00FA06C5" w:rsidRDefault="00494A92" w:rsidP="00494A9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FA06C5">
        <w:rPr>
          <w:rFonts w:eastAsia="Times New Roman" w:cs="Times New Roman"/>
          <w:bCs/>
          <w:kern w:val="22"/>
          <w:sz w:val="22"/>
          <w:lang w:eastAsia="ar-SA"/>
        </w:rPr>
        <w:t>Vienlaicīga lietošana ar alkoholu</w:t>
      </w:r>
      <w:r w:rsidR="006A4AD9" w:rsidRPr="00FA06C5">
        <w:rPr>
          <w:rFonts w:eastAsia="Times New Roman" w:cs="Times New Roman"/>
          <w:bCs/>
          <w:kern w:val="22"/>
          <w:sz w:val="22"/>
          <w:lang w:eastAsia="ar-SA"/>
        </w:rPr>
        <w:t>,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 miega, nomierinošiem līdzekļiem un </w:t>
      </w:r>
      <w:r w:rsidRPr="00FA06C5">
        <w:rPr>
          <w:sz w:val="22"/>
        </w:rPr>
        <w:t>antidepresantiem var pastiprināt šo preparātu izraisītu centrālas centrālās nervu sistēmas</w:t>
      </w:r>
      <w:r w:rsidR="006A4AD9" w:rsidRPr="00FA06C5">
        <w:rPr>
          <w:sz w:val="22"/>
        </w:rPr>
        <w:t> (CNS)</w:t>
      </w:r>
      <w:r w:rsidRPr="00FA06C5">
        <w:rPr>
          <w:sz w:val="22"/>
        </w:rPr>
        <w:t xml:space="preserve"> nomākumu</w:t>
      </w:r>
      <w:r w:rsidRPr="00FA06C5">
        <w:rPr>
          <w:rFonts w:eastAsia="Times New Roman" w:cs="Times New Roman"/>
          <w:bCs/>
          <w:kern w:val="22"/>
          <w:sz w:val="22"/>
          <w:lang w:eastAsia="ar-SA"/>
        </w:rPr>
        <w:t>.</w:t>
      </w:r>
    </w:p>
    <w:p w14:paraId="75FE1AF8" w14:textId="3CDDF966" w:rsidR="006B428E" w:rsidRPr="00FA06C5" w:rsidRDefault="006B428E" w:rsidP="00494A92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2"/>
          <w:sz w:val="22"/>
          <w:lang w:eastAsia="ar-SA"/>
        </w:rPr>
      </w:pPr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Baldriāns, kā </w:t>
      </w:r>
      <w:proofErr w:type="spellStart"/>
      <w:r w:rsidRPr="00FA06C5">
        <w:rPr>
          <w:rFonts w:eastAsia="Times New Roman" w:cs="Times New Roman"/>
          <w:bCs/>
          <w:kern w:val="22"/>
          <w:sz w:val="22"/>
          <w:lang w:eastAsia="ar-SA"/>
        </w:rPr>
        <w:t>tanīnu</w:t>
      </w:r>
      <w:proofErr w:type="spellEnd"/>
      <w:r w:rsidRPr="00FA06C5">
        <w:rPr>
          <w:rFonts w:eastAsia="Times New Roman" w:cs="Times New Roman"/>
          <w:bCs/>
          <w:kern w:val="22"/>
          <w:sz w:val="22"/>
          <w:lang w:eastAsia="ar-SA"/>
        </w:rPr>
        <w:t xml:space="preserve"> saturošs augs, var mazināt dzelzs absorbciju. Tas jāņem vērā anēmijas slimniekiem, kuri lieto dzelzi saturošas zāles.</w:t>
      </w:r>
    </w:p>
    <w:p w14:paraId="222CB760" w14:textId="77777777" w:rsidR="00494A92" w:rsidRPr="00FA06C5" w:rsidRDefault="00494A92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7352613E" w14:textId="77777777" w:rsidR="00236494" w:rsidRPr="00FA06C5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Fertilitāte, grūtniecība un barošana ar krūti</w:t>
      </w:r>
    </w:p>
    <w:p w14:paraId="3A6988A0" w14:textId="77777777" w:rsidR="00D9557E" w:rsidRPr="00FA06C5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DAB3AC3" w14:textId="22F3F3F9" w:rsidR="00D9557E" w:rsidRPr="00FA06C5" w:rsidRDefault="00D07701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Calibri" w:cs="Times New Roman"/>
          <w:color w:val="000000"/>
          <w:sz w:val="22"/>
        </w:rPr>
        <w:t>Nav pierādīts</w:t>
      </w:r>
      <w:r w:rsidR="00D9557E" w:rsidRPr="00FA06C5">
        <w:rPr>
          <w:rFonts w:eastAsia="Calibri" w:cs="Times New Roman"/>
          <w:color w:val="000000"/>
          <w:sz w:val="22"/>
        </w:rPr>
        <w:t xml:space="preserve"> </w:t>
      </w:r>
      <w:r w:rsidRPr="00FA06C5">
        <w:rPr>
          <w:rFonts w:eastAsia="Calibri" w:cs="Times New Roman"/>
          <w:color w:val="000000"/>
          <w:sz w:val="22"/>
        </w:rPr>
        <w:t>zāļu</w:t>
      </w:r>
      <w:r w:rsidR="00D9557E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pilnīg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s</w:t>
      </w:r>
      <w:r w:rsidR="00D9557E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droš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ums, lietojot</w:t>
      </w:r>
      <w:r w:rsidR="00D9557E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grūtniecības un </w:t>
      </w:r>
      <w:r w:rsidR="000D6219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bērna </w:t>
      </w:r>
      <w:r w:rsidR="00B96787" w:rsidRPr="00FA06C5">
        <w:rPr>
          <w:rFonts w:eastAsia="Times New Roman" w:cs="Times New Roman"/>
          <w:kern w:val="1"/>
          <w:sz w:val="22"/>
          <w:szCs w:val="24"/>
          <w:lang w:eastAsia="ar-SA"/>
        </w:rPr>
        <w:t>barošanas ar krūti periodā</w:t>
      </w:r>
      <w:r w:rsidR="000D6219" w:rsidRPr="00FA06C5">
        <w:rPr>
          <w:rFonts w:eastAsia="Times New Roman" w:cs="Times New Roman"/>
          <w:kern w:val="1"/>
          <w:sz w:val="22"/>
          <w:szCs w:val="24"/>
          <w:lang w:eastAsia="ar-SA"/>
        </w:rPr>
        <w:t>,</w:t>
      </w:r>
      <w:r w:rsidR="00D9557E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r w:rsidR="000D6219" w:rsidRPr="00FA06C5">
        <w:rPr>
          <w:rFonts w:eastAsia="Times New Roman" w:cs="Times New Roman"/>
          <w:kern w:val="1"/>
          <w:sz w:val="22"/>
          <w:szCs w:val="24"/>
          <w:lang w:eastAsia="ar-SA"/>
        </w:rPr>
        <w:t>t</w:t>
      </w:r>
      <w:r w:rsidR="00D9557E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ādēļ </w:t>
      </w:r>
      <w:r w:rsidR="000D6219" w:rsidRPr="00FA06C5">
        <w:rPr>
          <w:rFonts w:cs="Times New Roman"/>
          <w:kern w:val="1"/>
          <w:sz w:val="22"/>
          <w:lang w:eastAsia="ar-SA"/>
        </w:rPr>
        <w:t xml:space="preserve">grūtnieces un sievietes, kas baro bērnu ar krūti, zāles nedrīkst lietot </w:t>
      </w:r>
      <w:r w:rsidR="00D9557E" w:rsidRPr="00FA06C5">
        <w:rPr>
          <w:rFonts w:eastAsia="Times New Roman" w:cs="Times New Roman"/>
          <w:kern w:val="1"/>
          <w:sz w:val="22"/>
          <w:szCs w:val="24"/>
          <w:lang w:eastAsia="ar-SA"/>
        </w:rPr>
        <w:t>(skatīt 4.3.</w:t>
      </w:r>
      <w:r w:rsidR="004034B0" w:rsidRPr="00FA06C5">
        <w:rPr>
          <w:rFonts w:eastAsia="Times New Roman" w:cs="Times New Roman"/>
          <w:kern w:val="1"/>
          <w:sz w:val="22"/>
          <w:szCs w:val="24"/>
          <w:lang w:eastAsia="ar-SA"/>
        </w:rPr>
        <w:t> </w:t>
      </w:r>
      <w:r w:rsidR="00D9557E" w:rsidRPr="00FA06C5">
        <w:rPr>
          <w:rFonts w:eastAsia="Times New Roman" w:cs="Times New Roman"/>
          <w:kern w:val="1"/>
          <w:sz w:val="22"/>
          <w:szCs w:val="24"/>
          <w:lang w:eastAsia="ar-SA"/>
        </w:rPr>
        <w:t>apakšpunktu).</w:t>
      </w:r>
    </w:p>
    <w:p w14:paraId="186E5EB6" w14:textId="77777777" w:rsidR="00D9557E" w:rsidRPr="00FA06C5" w:rsidRDefault="00D9557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5D341BEC" w14:textId="77777777" w:rsidR="00236494" w:rsidRPr="00FA06C5" w:rsidRDefault="00236494" w:rsidP="00D07701">
      <w:pPr>
        <w:numPr>
          <w:ilvl w:val="1"/>
          <w:numId w:val="1"/>
        </w:num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Ietekme uz spēju vadīt transportlīdzekļus un apkalpot mehānismus</w:t>
      </w:r>
    </w:p>
    <w:p w14:paraId="3320023B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2"/>
          <w:sz w:val="22"/>
          <w:szCs w:val="24"/>
          <w:lang w:eastAsia="ar-SA"/>
        </w:rPr>
      </w:pPr>
    </w:p>
    <w:p w14:paraId="6E024E93" w14:textId="73599CE8" w:rsidR="00236494" w:rsidRPr="00FA06C5" w:rsidRDefault="001B4702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0"/>
          <w:lang w:eastAsia="ar-SA"/>
        </w:rPr>
      </w:pPr>
      <w:r w:rsidRPr="00FA06C5">
        <w:rPr>
          <w:rFonts w:eastAsia="Times New Roman" w:cs="Times New Roman"/>
          <w:kern w:val="2"/>
          <w:sz w:val="22"/>
          <w:szCs w:val="20"/>
          <w:lang w:eastAsia="ar-SA"/>
        </w:rPr>
        <w:t>Baldriāna tinktūra RFF pilieni iekšķīgai lietošanai, šķīdums</w:t>
      </w:r>
      <w:r w:rsidR="000D6219" w:rsidRPr="00FA06C5">
        <w:rPr>
          <w:rFonts w:eastAsia="Times New Roman" w:cs="Times New Roman"/>
          <w:kern w:val="2"/>
          <w:sz w:val="22"/>
          <w:szCs w:val="20"/>
          <w:lang w:eastAsia="ar-SA"/>
        </w:rPr>
        <w:t xml:space="preserve"> </w:t>
      </w:r>
      <w:r w:rsidR="00D9557E" w:rsidRPr="00FA06C5">
        <w:rPr>
          <w:rFonts w:eastAsia="Times New Roman" w:cs="Times New Roman"/>
          <w:kern w:val="2"/>
          <w:sz w:val="22"/>
          <w:szCs w:val="20"/>
          <w:lang w:eastAsia="ar-SA"/>
        </w:rPr>
        <w:t>var izraisīt miegainību</w:t>
      </w:r>
      <w:r w:rsidR="00236494" w:rsidRPr="00FA06C5">
        <w:rPr>
          <w:rFonts w:eastAsia="Times New Roman" w:cs="Times New Roman"/>
          <w:kern w:val="2"/>
          <w:sz w:val="22"/>
          <w:szCs w:val="20"/>
          <w:lang w:eastAsia="ar-SA"/>
        </w:rPr>
        <w:t>, tāpēc to nedrīkst lietot pirms transportlīdzekļu vadīšanas un mehānismu apkalpošanas.</w:t>
      </w:r>
    </w:p>
    <w:p w14:paraId="698D3FA2" w14:textId="77777777" w:rsidR="00236494" w:rsidRPr="00FA06C5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</w:p>
    <w:p w14:paraId="6ACF08C9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4.8.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Nevēlamās blakusparādības</w:t>
      </w:r>
    </w:p>
    <w:p w14:paraId="2390E62E" w14:textId="77777777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08DB4091" w14:textId="340E722B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Tāpat kā </w:t>
      </w:r>
      <w:r w:rsidR="00C5622D" w:rsidRPr="00FA06C5">
        <w:rPr>
          <w:rFonts w:eastAsia="Times New Roman" w:cs="Times New Roman"/>
          <w:kern w:val="22"/>
          <w:sz w:val="22"/>
          <w:szCs w:val="24"/>
          <w:lang w:eastAsia="ar-SA"/>
        </w:rPr>
        <w:t>v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i</w:t>
      </w:r>
      <w:r w:rsidR="00C5622D" w:rsidRPr="00FA06C5">
        <w:rPr>
          <w:rFonts w:eastAsia="Times New Roman" w:cs="Times New Roman"/>
          <w:kern w:val="22"/>
          <w:sz w:val="22"/>
          <w:szCs w:val="24"/>
          <w:lang w:eastAsia="ar-SA"/>
        </w:rPr>
        <w:t>s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as zāles, </w:t>
      </w:r>
      <w:r w:rsidR="001B4702" w:rsidRPr="00FA06C5">
        <w:rPr>
          <w:rFonts w:eastAsia="Times New Roman" w:cs="Times New Roman"/>
          <w:kern w:val="22"/>
          <w:sz w:val="22"/>
          <w:szCs w:val="24"/>
          <w:lang w:eastAsia="ar-SA"/>
        </w:rPr>
        <w:t>Baldriāna tinktūra RFF pilieni iekšķīgai lietošanai, šķīdums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 var izraisīt nevēlamas blakusparādības. Šajos gadījumos lietošana nekavējoties jāpārtrauc.</w:t>
      </w:r>
    </w:p>
    <w:p w14:paraId="5E48A396" w14:textId="77777777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23B89214" w14:textId="7ED7E434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Minētās blakusparādības ir sakārtotas atbilstoši MedDRA orgānu sistēmu klasifikācijas datubāzei un biežuma iedalījumam: ļoti bieži (≥1/10), bieži (≥1/100 līdz &lt;1/10), retāk (≥1/1000 līdz &lt;1/100), reti (≥1/10 000 līdz &lt;1/1000), ļoti reti (&lt;1/10 000), nav zinām</w:t>
      </w:r>
      <w:r w:rsidR="00CD5E99" w:rsidRPr="00FA06C5">
        <w:rPr>
          <w:rFonts w:eastAsia="Times New Roman" w:cs="Times New Roman"/>
          <w:kern w:val="22"/>
          <w:sz w:val="22"/>
          <w:szCs w:val="24"/>
          <w:lang w:eastAsia="ar-SA"/>
        </w:rPr>
        <w:t>i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 (nevar noteikt pēc pieejamajiem datiem).</w:t>
      </w:r>
    </w:p>
    <w:p w14:paraId="7AC8C1E8" w14:textId="77777777" w:rsidR="003D3E63" w:rsidRPr="00FA06C5" w:rsidRDefault="003D3E63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23CA57D8" w14:textId="77777777" w:rsidR="006D0BA5" w:rsidRPr="00FA06C5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</w:pPr>
      <w:r w:rsidRPr="00FA06C5">
        <w:rPr>
          <w:rFonts w:eastAsia="Times New Roman" w:cs="Times New Roman"/>
          <w:bCs/>
          <w:kern w:val="1"/>
          <w:sz w:val="22"/>
          <w:szCs w:val="24"/>
          <w:u w:val="single"/>
          <w:lang w:eastAsia="ar-SA"/>
        </w:rPr>
        <w:t>Nervu sistēmas traucējumi</w:t>
      </w:r>
    </w:p>
    <w:p w14:paraId="12CD5375" w14:textId="2C69DEC5" w:rsidR="00507FFD" w:rsidRPr="00FA06C5" w:rsidRDefault="00507FFD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Nav zinām</w:t>
      </w:r>
      <w:r w:rsidR="007523D5" w:rsidRPr="00FA06C5">
        <w:rPr>
          <w:rFonts w:eastAsia="Times New Roman" w:cs="Times New Roman"/>
          <w:bCs/>
          <w:i/>
          <w:iCs/>
          <w:kern w:val="1"/>
          <w:sz w:val="22"/>
          <w:szCs w:val="24"/>
          <w:lang w:eastAsia="ar-SA"/>
        </w:rPr>
        <w:t>i</w:t>
      </w:r>
      <w:r w:rsidRPr="00FA06C5">
        <w:rPr>
          <w:rFonts w:eastAsia="Times New Roman" w:cs="Times New Roman"/>
          <w:bCs/>
          <w:i/>
          <w:kern w:val="1"/>
          <w:sz w:val="22"/>
          <w:szCs w:val="24"/>
          <w:lang w:eastAsia="ar-SA"/>
        </w:rPr>
        <w:t>:</w:t>
      </w:r>
      <w:r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 (ilgstoši lietojot palielinātās devās) galvassāpes, nemiers, bezmiegs.</w:t>
      </w:r>
    </w:p>
    <w:p w14:paraId="6A076167" w14:textId="77777777" w:rsidR="00507FFD" w:rsidRPr="00FA06C5" w:rsidRDefault="00507FFD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3FDFB453" w14:textId="77777777" w:rsidR="006D0BA5" w:rsidRPr="00FA06C5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szCs w:val="24"/>
          <w:lang w:eastAsia="ar-MA" w:bidi="ar-MA"/>
        </w:rPr>
      </w:pPr>
      <w:r w:rsidRPr="00FA06C5">
        <w:rPr>
          <w:rFonts w:eastAsia="Times New Roman" w:cs="Times New Roman"/>
          <w:color w:val="000000"/>
          <w:kern w:val="1"/>
          <w:sz w:val="22"/>
          <w:szCs w:val="24"/>
          <w:u w:val="single"/>
          <w:lang w:eastAsia="ar-MA" w:bidi="ar-MA"/>
        </w:rPr>
        <w:t>Kuņģa</w:t>
      </w:r>
      <w:r w:rsidR="00332546" w:rsidRPr="00FA06C5">
        <w:rPr>
          <w:rFonts w:eastAsia="Times New Roman" w:cs="Times New Roman"/>
          <w:color w:val="000000"/>
          <w:kern w:val="1"/>
          <w:sz w:val="22"/>
          <w:szCs w:val="24"/>
          <w:u w:val="single"/>
          <w:lang w:eastAsia="ar-MA" w:bidi="ar-MA"/>
        </w:rPr>
        <w:t>-</w:t>
      </w:r>
      <w:r w:rsidRPr="00FA06C5">
        <w:rPr>
          <w:rFonts w:eastAsia="Times New Roman" w:cs="Times New Roman"/>
          <w:color w:val="000000"/>
          <w:kern w:val="1"/>
          <w:sz w:val="22"/>
          <w:szCs w:val="24"/>
          <w:u w:val="single"/>
          <w:lang w:eastAsia="ar-MA" w:bidi="ar-MA"/>
        </w:rPr>
        <w:t>zarnu trakta traucējumi</w:t>
      </w:r>
    </w:p>
    <w:p w14:paraId="0415B3EA" w14:textId="6AE5CEE1" w:rsidR="006D0BA5" w:rsidRPr="00FA06C5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i/>
          <w:kern w:val="1"/>
          <w:sz w:val="22"/>
          <w:szCs w:val="24"/>
          <w:lang w:eastAsia="ar-MA" w:bidi="ar-MA"/>
        </w:rPr>
        <w:t>Reti</w:t>
      </w:r>
      <w:r w:rsidRPr="00FA06C5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: slikta dūša, </w:t>
      </w:r>
      <w:r w:rsidR="00B26097" w:rsidRPr="00FA06C5">
        <w:rPr>
          <w:rFonts w:eastAsia="Times New Roman" w:cs="Times New Roman"/>
          <w:kern w:val="1"/>
          <w:sz w:val="22"/>
          <w:szCs w:val="24"/>
          <w:lang w:eastAsia="ar-MA" w:bidi="ar-MA"/>
        </w:rPr>
        <w:t xml:space="preserve">spazmatiskas </w:t>
      </w:r>
      <w:r w:rsidR="00A909A2" w:rsidRPr="00FA06C5">
        <w:rPr>
          <w:rFonts w:eastAsia="Times New Roman" w:cs="Times New Roman"/>
          <w:kern w:val="1"/>
          <w:sz w:val="22"/>
          <w:szCs w:val="24"/>
          <w:lang w:eastAsia="ar-MA" w:bidi="ar-MA"/>
        </w:rPr>
        <w:t>sāpes vēderā</w:t>
      </w:r>
      <w:r w:rsidRPr="00FA06C5">
        <w:rPr>
          <w:rFonts w:eastAsia="Times New Roman" w:cs="Times New Roman"/>
          <w:kern w:val="1"/>
          <w:sz w:val="22"/>
          <w:szCs w:val="24"/>
          <w:lang w:eastAsia="ar-MA" w:bidi="ar-MA"/>
        </w:rPr>
        <w:t>.</w:t>
      </w:r>
    </w:p>
    <w:p w14:paraId="4FA3D0BA" w14:textId="77777777" w:rsidR="006D0BA5" w:rsidRPr="00FA06C5" w:rsidRDefault="006D0BA5" w:rsidP="00D07701">
      <w:pPr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31EF1B54" w14:textId="77777777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i/>
          <w:kern w:val="22"/>
          <w:sz w:val="22"/>
          <w:szCs w:val="24"/>
          <w:lang w:eastAsia="ar-SA"/>
        </w:rPr>
      </w:pPr>
      <w:r w:rsidRPr="00FA06C5">
        <w:rPr>
          <w:rFonts w:eastAsia="Times New Roman" w:cs="Times New Roman"/>
          <w:i/>
          <w:kern w:val="22"/>
          <w:sz w:val="22"/>
          <w:szCs w:val="24"/>
          <w:lang w:eastAsia="ar-SA"/>
        </w:rPr>
        <w:t>Pediatriskā populācija</w:t>
      </w:r>
    </w:p>
    <w:p w14:paraId="3CF843DA" w14:textId="77777777" w:rsidR="0063488C" w:rsidRPr="00FA06C5" w:rsidRDefault="00117865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Nelietot bērniem līdz 12 gadu vecumam</w:t>
      </w:r>
    </w:p>
    <w:p w14:paraId="1B4FCFF9" w14:textId="77777777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</w:p>
    <w:p w14:paraId="5FEA4BC3" w14:textId="77777777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Ziņošana par iespējamām nevēlamām blakusparādībām</w:t>
      </w:r>
    </w:p>
    <w:p w14:paraId="3A695C8B" w14:textId="26D96724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</w:t>
      </w:r>
      <w:r w:rsidR="005B5C57" w:rsidRPr="00FA06C5">
        <w:rPr>
          <w:rFonts w:eastAsia="Times New Roman" w:cs="Times New Roman"/>
          <w:kern w:val="22"/>
          <w:sz w:val="22"/>
          <w:szCs w:val="24"/>
          <w:lang w:eastAsia="ar-SA"/>
        </w:rPr>
        <w:noBreakHyphen/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1003. Tīmekļa vietne: www.zva.gov.lv</w:t>
      </w:r>
    </w:p>
    <w:p w14:paraId="77101F21" w14:textId="77777777" w:rsidR="0063488C" w:rsidRPr="00FA06C5" w:rsidRDefault="0063488C" w:rsidP="00D07701">
      <w:pPr>
        <w:tabs>
          <w:tab w:val="left" w:pos="567"/>
        </w:tabs>
        <w:suppressAutoHyphens/>
        <w:spacing w:after="0" w:line="260" w:lineRule="exact"/>
        <w:jc w:val="both"/>
        <w:rPr>
          <w:rFonts w:eastAsia="Times New Roman" w:cs="Times New Roman"/>
          <w:kern w:val="22"/>
          <w:sz w:val="22"/>
          <w:lang w:eastAsia="ar-SA"/>
        </w:rPr>
      </w:pPr>
    </w:p>
    <w:p w14:paraId="40871EA3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>4.9.</w:t>
      </w:r>
      <w:r w:rsidRPr="00FA06C5">
        <w:rPr>
          <w:rFonts w:eastAsia="Times New Roman" w:cs="Times New Roman"/>
          <w:b/>
          <w:bCs/>
          <w:kern w:val="1"/>
          <w:sz w:val="22"/>
          <w:lang w:eastAsia="ar-SA"/>
        </w:rPr>
        <w:tab/>
        <w:t>Pārdozēšana</w:t>
      </w:r>
    </w:p>
    <w:p w14:paraId="1AAF318D" w14:textId="77777777" w:rsidR="00F6579C" w:rsidRPr="00FA06C5" w:rsidRDefault="00F6579C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E0CBBFF" w14:textId="77777777" w:rsidR="00F6579C" w:rsidRPr="00FA06C5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kern w:val="1"/>
          <w:sz w:val="22"/>
          <w:lang w:eastAsia="ar-MA" w:bidi="ar-MA"/>
        </w:rPr>
      </w:pPr>
      <w:r w:rsidRPr="00FA06C5">
        <w:rPr>
          <w:rFonts w:eastAsia="Times New Roman" w:cs="Times New Roman"/>
          <w:i/>
          <w:color w:val="000000"/>
          <w:kern w:val="1"/>
          <w:sz w:val="22"/>
          <w:lang w:eastAsia="ar-MA" w:bidi="ar-MA"/>
        </w:rPr>
        <w:t>Simptomi</w:t>
      </w:r>
    </w:p>
    <w:p w14:paraId="5995144E" w14:textId="57F5384E" w:rsidR="00F6579C" w:rsidRPr="00FA06C5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FA06C5">
        <w:rPr>
          <w:rFonts w:eastAsia="Times New Roman" w:cs="Times New Roman"/>
          <w:kern w:val="1"/>
          <w:sz w:val="22"/>
          <w:lang w:eastAsia="ar-MA" w:bidi="ar-MA"/>
        </w:rPr>
        <w:t xml:space="preserve">Zāļu pārdozēšana var izraisīt: </w:t>
      </w:r>
      <w:r w:rsidR="001378E9" w:rsidRPr="00FA06C5">
        <w:rPr>
          <w:rFonts w:eastAsia="Times New Roman" w:cs="Times New Roman"/>
          <w:kern w:val="1"/>
          <w:sz w:val="22"/>
          <w:lang w:eastAsia="ar-MA" w:bidi="ar-MA"/>
        </w:rPr>
        <w:t>bradikardiju, aritmij</w:t>
      </w:r>
      <w:r w:rsidR="0063092F" w:rsidRPr="00FA06C5">
        <w:rPr>
          <w:rFonts w:eastAsia="Times New Roman" w:cs="Times New Roman"/>
          <w:kern w:val="1"/>
          <w:sz w:val="22"/>
          <w:lang w:eastAsia="ar-MA" w:bidi="ar-MA"/>
        </w:rPr>
        <w:t>u</w:t>
      </w:r>
      <w:r w:rsidR="001378E9" w:rsidRPr="00FA06C5">
        <w:rPr>
          <w:rFonts w:eastAsia="Times New Roman" w:cs="Times New Roman"/>
          <w:kern w:val="1"/>
          <w:sz w:val="22"/>
          <w:lang w:eastAsia="ar-MA" w:bidi="ar-MA"/>
        </w:rPr>
        <w:t xml:space="preserve">, nomāktu zarnu motoriku, vājumu, reiboni, roku trīci, </w:t>
      </w:r>
      <w:proofErr w:type="spellStart"/>
      <w:r w:rsidR="001378E9" w:rsidRPr="00FA06C5">
        <w:rPr>
          <w:rFonts w:eastAsia="Times New Roman" w:cs="Times New Roman"/>
          <w:kern w:val="1"/>
          <w:sz w:val="22"/>
          <w:lang w:eastAsia="ar-MA" w:bidi="ar-MA"/>
        </w:rPr>
        <w:t>midriāzi</w:t>
      </w:r>
      <w:proofErr w:type="spellEnd"/>
      <w:r w:rsidRPr="00FA06C5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4738D90A" w14:textId="2F0AB5C6" w:rsidR="00F6579C" w:rsidRPr="00FA06C5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FA06C5">
        <w:rPr>
          <w:rFonts w:eastAsia="Times New Roman" w:cs="Times New Roman"/>
          <w:kern w:val="1"/>
          <w:sz w:val="22"/>
          <w:lang w:eastAsia="ar-MA" w:bidi="ar-MA"/>
        </w:rPr>
        <w:t>Pēc zāļu lietošanas pārtraukšanas</w:t>
      </w:r>
      <w:r w:rsidR="006A4AD9" w:rsidRPr="00FA06C5">
        <w:rPr>
          <w:rFonts w:eastAsia="Times New Roman" w:cs="Times New Roman"/>
          <w:kern w:val="1"/>
          <w:sz w:val="22"/>
          <w:lang w:eastAsia="ar-MA" w:bidi="ar-MA"/>
        </w:rPr>
        <w:t>,</w:t>
      </w:r>
      <w:r w:rsidRPr="00FA06C5">
        <w:rPr>
          <w:rFonts w:eastAsia="Times New Roman" w:cs="Times New Roman"/>
          <w:kern w:val="1"/>
          <w:sz w:val="22"/>
          <w:lang w:eastAsia="ar-MA" w:bidi="ar-MA"/>
        </w:rPr>
        <w:t xml:space="preserve"> s</w:t>
      </w:r>
      <w:r w:rsidR="006A4AD9" w:rsidRPr="00FA06C5">
        <w:rPr>
          <w:rFonts w:eastAsia="Times New Roman" w:cs="Times New Roman"/>
          <w:kern w:val="1"/>
          <w:sz w:val="22"/>
          <w:lang w:eastAsia="ar-MA" w:bidi="ar-MA"/>
        </w:rPr>
        <w:t>imptomi</w:t>
      </w:r>
      <w:r w:rsidRPr="00FA06C5">
        <w:rPr>
          <w:rFonts w:eastAsia="Times New Roman" w:cs="Times New Roman"/>
          <w:kern w:val="1"/>
          <w:sz w:val="22"/>
          <w:lang w:eastAsia="ar-MA" w:bidi="ar-MA"/>
        </w:rPr>
        <w:t xml:space="preserve"> izzūd 24 stundu laikā.</w:t>
      </w:r>
    </w:p>
    <w:p w14:paraId="6AEB3344" w14:textId="77777777" w:rsidR="00F6579C" w:rsidRPr="00FA06C5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</w:p>
    <w:p w14:paraId="5C1AA15A" w14:textId="77777777" w:rsidR="00F6579C" w:rsidRPr="00FA06C5" w:rsidRDefault="00F6579C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FA06C5">
        <w:rPr>
          <w:rFonts w:eastAsia="Times New Roman" w:cs="Times New Roman"/>
          <w:i/>
          <w:kern w:val="1"/>
          <w:sz w:val="22"/>
          <w:lang w:eastAsia="ar-MA" w:bidi="ar-MA"/>
        </w:rPr>
        <w:t>Ārstēšana</w:t>
      </w:r>
    </w:p>
    <w:p w14:paraId="04ACD809" w14:textId="77777777" w:rsidR="00F6579C" w:rsidRPr="00FA06C5" w:rsidRDefault="005B5C57" w:rsidP="00D07701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MA" w:bidi="ar-MA"/>
        </w:rPr>
      </w:pPr>
      <w:r w:rsidRPr="00FA06C5">
        <w:rPr>
          <w:rFonts w:eastAsia="Times New Roman" w:cs="Times New Roman"/>
          <w:kern w:val="1"/>
          <w:sz w:val="22"/>
          <w:lang w:eastAsia="ar-MA" w:bidi="ar-MA"/>
        </w:rPr>
        <w:t>P</w:t>
      </w:r>
      <w:r w:rsidR="00F6579C" w:rsidRPr="00FA06C5">
        <w:rPr>
          <w:rFonts w:eastAsia="Times New Roman" w:cs="Times New Roman"/>
          <w:kern w:val="1"/>
          <w:sz w:val="22"/>
          <w:lang w:eastAsia="ar-MA" w:bidi="ar-MA"/>
        </w:rPr>
        <w:t>ārdozēšanas gadījumā ārstēšana simptomātiska</w:t>
      </w:r>
      <w:r w:rsidRPr="00FA06C5">
        <w:rPr>
          <w:rFonts w:eastAsia="Times New Roman" w:cs="Times New Roman"/>
          <w:kern w:val="1"/>
          <w:sz w:val="22"/>
          <w:lang w:eastAsia="ar-MA" w:bidi="ar-MA"/>
        </w:rPr>
        <w:t>. Jāskalo kuņģis. Jādzer aktivētā ogle (20</w:t>
      </w:r>
      <w:r w:rsidRPr="00FA06C5">
        <w:rPr>
          <w:rFonts w:eastAsia="Times New Roman" w:cs="Times New Roman"/>
          <w:kern w:val="1"/>
          <w:sz w:val="22"/>
          <w:lang w:eastAsia="ar-MA" w:bidi="ar-MA"/>
        </w:rPr>
        <w:noBreakHyphen/>
        <w:t>30 g) zāļu adsorbēšanai</w:t>
      </w:r>
      <w:r w:rsidR="00F6579C" w:rsidRPr="00FA06C5">
        <w:rPr>
          <w:rFonts w:eastAsia="Times New Roman" w:cs="Times New Roman"/>
          <w:kern w:val="1"/>
          <w:sz w:val="22"/>
          <w:lang w:eastAsia="ar-MA" w:bidi="ar-MA"/>
        </w:rPr>
        <w:t>.</w:t>
      </w:r>
    </w:p>
    <w:p w14:paraId="726A99E1" w14:textId="63A1C8F1" w:rsidR="000001FF" w:rsidRPr="00FA06C5" w:rsidRDefault="000001FF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0A6AD1A" w14:textId="77777777" w:rsidR="000D7972" w:rsidRPr="00FA06C5" w:rsidRDefault="000D7972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7E9E3183" w14:textId="77777777" w:rsidR="00236494" w:rsidRPr="00FA06C5" w:rsidRDefault="00236494" w:rsidP="00D07701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FARMAKOLOĢISKĀS ĪPAŠĪBAS</w:t>
      </w:r>
    </w:p>
    <w:p w14:paraId="15DE7AA2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13135F10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5.1.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Farmakodinamiskās īpašības</w:t>
      </w:r>
    </w:p>
    <w:p w14:paraId="6932A3DB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56C4E77E" w14:textId="21C67B7F" w:rsidR="00236494" w:rsidRPr="00FA06C5" w:rsidRDefault="00236494" w:rsidP="00D07701">
      <w:pPr>
        <w:shd w:val="clear" w:color="auto" w:fill="FFFFFF"/>
        <w:tabs>
          <w:tab w:val="left" w:pos="0"/>
          <w:tab w:val="left" w:pos="954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>Farmakoterapeitiskā grupa: Cit</w:t>
      </w:r>
      <w:r w:rsidR="005B5C57" w:rsidRPr="00FA06C5">
        <w:rPr>
          <w:rFonts w:eastAsia="Times New Roman" w:cs="Times New Roman"/>
          <w:kern w:val="1"/>
          <w:sz w:val="22"/>
          <w:lang w:eastAsia="ar-SA"/>
        </w:rPr>
        <w:t>i</w:t>
      </w:r>
      <w:r w:rsidRPr="00FA06C5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603601" w:rsidRPr="00FA06C5">
        <w:rPr>
          <w:rFonts w:eastAsia="Times New Roman" w:cs="Times New Roman"/>
          <w:kern w:val="1"/>
          <w:sz w:val="22"/>
          <w:lang w:eastAsia="ar-SA"/>
        </w:rPr>
        <w:t>m</w:t>
      </w:r>
      <w:r w:rsidR="005B5C57" w:rsidRPr="00FA06C5">
        <w:rPr>
          <w:rFonts w:eastAsia="Times New Roman" w:cs="Times New Roman"/>
          <w:kern w:val="1"/>
          <w:sz w:val="22"/>
          <w:lang w:eastAsia="ar-SA"/>
        </w:rPr>
        <w:t>ie</w:t>
      </w:r>
      <w:r w:rsidR="00603601" w:rsidRPr="00FA06C5">
        <w:rPr>
          <w:rFonts w:eastAsia="Times New Roman" w:cs="Times New Roman"/>
          <w:kern w:val="1"/>
          <w:sz w:val="22"/>
          <w:lang w:eastAsia="ar-SA"/>
        </w:rPr>
        <w:t>ga</w:t>
      </w:r>
      <w:r w:rsidR="005B5C57" w:rsidRPr="00FA06C5">
        <w:rPr>
          <w:rFonts w:eastAsia="Times New Roman" w:cs="Times New Roman"/>
          <w:kern w:val="1"/>
          <w:sz w:val="22"/>
          <w:lang w:eastAsia="ar-SA"/>
        </w:rPr>
        <w:t xml:space="preserve"> </w:t>
      </w:r>
      <w:r w:rsidR="00603601" w:rsidRPr="00FA06C5">
        <w:rPr>
          <w:rFonts w:eastAsia="Times New Roman" w:cs="Times New Roman"/>
          <w:kern w:val="1"/>
          <w:sz w:val="22"/>
          <w:lang w:eastAsia="ar-SA"/>
        </w:rPr>
        <w:t xml:space="preserve">un </w:t>
      </w:r>
      <w:proofErr w:type="spellStart"/>
      <w:r w:rsidR="005B5C57" w:rsidRPr="00FA06C5">
        <w:rPr>
          <w:rFonts w:eastAsia="Times New Roman" w:cs="Times New Roman"/>
          <w:kern w:val="1"/>
          <w:sz w:val="22"/>
          <w:lang w:eastAsia="ar-SA"/>
        </w:rPr>
        <w:t>s</w:t>
      </w:r>
      <w:r w:rsidR="00603601" w:rsidRPr="00FA06C5">
        <w:rPr>
          <w:rFonts w:eastAsia="Times New Roman" w:cs="Times New Roman"/>
          <w:kern w:val="1"/>
          <w:sz w:val="22"/>
          <w:lang w:eastAsia="ar-SA"/>
        </w:rPr>
        <w:t>e</w:t>
      </w:r>
      <w:r w:rsidR="005B5C57" w:rsidRPr="00FA06C5">
        <w:rPr>
          <w:rFonts w:eastAsia="Times New Roman" w:cs="Times New Roman"/>
          <w:kern w:val="1"/>
          <w:sz w:val="22"/>
          <w:lang w:eastAsia="ar-SA"/>
        </w:rPr>
        <w:t>d</w:t>
      </w:r>
      <w:r w:rsidR="00603601" w:rsidRPr="00FA06C5">
        <w:rPr>
          <w:rFonts w:eastAsia="Times New Roman" w:cs="Times New Roman"/>
          <w:kern w:val="1"/>
          <w:sz w:val="22"/>
          <w:lang w:eastAsia="ar-SA"/>
        </w:rPr>
        <w:t>atīvie</w:t>
      </w:r>
      <w:proofErr w:type="spellEnd"/>
      <w:r w:rsidR="005B5C57" w:rsidRPr="00FA06C5">
        <w:rPr>
          <w:rFonts w:eastAsia="Times New Roman" w:cs="Times New Roman"/>
          <w:kern w:val="1"/>
          <w:sz w:val="22"/>
          <w:lang w:eastAsia="ar-SA"/>
        </w:rPr>
        <w:t xml:space="preserve"> līdzekļi</w:t>
      </w:r>
      <w:r w:rsidRPr="00FA06C5">
        <w:rPr>
          <w:rFonts w:eastAsia="Times New Roman" w:cs="Times New Roman"/>
          <w:kern w:val="1"/>
          <w:sz w:val="22"/>
          <w:lang w:eastAsia="ar-SA"/>
        </w:rPr>
        <w:t xml:space="preserve">, </w:t>
      </w:r>
      <w:r w:rsidRPr="00FA06C5">
        <w:rPr>
          <w:rFonts w:eastAsia="Times New Roman" w:cs="Times New Roman"/>
          <w:kern w:val="22"/>
          <w:sz w:val="22"/>
          <w:lang w:eastAsia="ar-SA"/>
        </w:rPr>
        <w:t xml:space="preserve">ATĶ kods: </w:t>
      </w:r>
      <w:r w:rsidR="00603601" w:rsidRPr="00FA06C5">
        <w:rPr>
          <w:rFonts w:eastAsia="Times New Roman" w:cs="Times New Roman"/>
          <w:kern w:val="22"/>
          <w:sz w:val="22"/>
          <w:lang w:eastAsia="ar-SA"/>
        </w:rPr>
        <w:t>N</w:t>
      </w:r>
      <w:r w:rsidRPr="00FA06C5">
        <w:rPr>
          <w:rFonts w:eastAsia="Times New Roman" w:cs="Times New Roman"/>
          <w:kern w:val="22"/>
          <w:sz w:val="22"/>
          <w:lang w:eastAsia="ar-SA"/>
        </w:rPr>
        <w:t>0</w:t>
      </w:r>
      <w:r w:rsidR="00603601" w:rsidRPr="00FA06C5">
        <w:rPr>
          <w:rFonts w:eastAsia="Times New Roman" w:cs="Times New Roman"/>
          <w:kern w:val="22"/>
          <w:sz w:val="22"/>
          <w:lang w:eastAsia="ar-SA"/>
        </w:rPr>
        <w:t>5CM09</w:t>
      </w:r>
    </w:p>
    <w:p w14:paraId="5AF1ABEE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4A623B12" w14:textId="23D54E6D" w:rsidR="00236494" w:rsidRPr="00FA06C5" w:rsidRDefault="00DB4547" w:rsidP="00DB4547">
      <w:pPr>
        <w:tabs>
          <w:tab w:val="left" w:pos="0"/>
        </w:tabs>
        <w:spacing w:after="0" w:line="240" w:lineRule="auto"/>
        <w:contextualSpacing/>
        <w:jc w:val="both"/>
        <w:rPr>
          <w:rFonts w:eastAsia="Calibri"/>
          <w:sz w:val="22"/>
        </w:rPr>
      </w:pP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Baldriāna tinktūras nomierinošais efekts, kas empīriski atzīts jau sen, ir pierādīts gan </w:t>
      </w:r>
      <w:proofErr w:type="spellStart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preklīniskos</w:t>
      </w:r>
      <w:proofErr w:type="spellEnd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 pētījumos, gan kontrolētos klīniskos novērojumos. </w:t>
      </w:r>
      <w:r w:rsidR="006A4AD9" w:rsidRPr="00FA06C5">
        <w:rPr>
          <w:rFonts w:eastAsia="Times New Roman" w:cs="Times New Roman"/>
          <w:kern w:val="22"/>
          <w:sz w:val="22"/>
          <w:szCs w:val="24"/>
          <w:lang w:eastAsia="ar-SA"/>
        </w:rPr>
        <w:t>P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ierādīts, ka baldriāna sakņu spirta ekstrakti uzlabo iemigšanu un miega kvalitāti, ko nodrošina tinktūras sastāvā esošās ķīmisko vielu grupas 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noBreakHyphen/>
        <w:t> </w:t>
      </w:r>
      <w:proofErr w:type="spellStart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valepotriāti</w:t>
      </w:r>
      <w:proofErr w:type="spellEnd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, </w:t>
      </w:r>
      <w:proofErr w:type="spellStart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seskviterpēni</w:t>
      </w:r>
      <w:proofErr w:type="spellEnd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, </w:t>
      </w:r>
      <w:proofErr w:type="spellStart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lignāni</w:t>
      </w:r>
      <w:proofErr w:type="spellEnd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 un </w:t>
      </w:r>
      <w:proofErr w:type="spellStart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flavonoīdi</w:t>
      </w:r>
      <w:proofErr w:type="spellEnd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, kas iedarbojas nomierinoši uz </w:t>
      </w:r>
      <w:r w:rsidR="006A4AD9" w:rsidRPr="00FA06C5">
        <w:rPr>
          <w:rFonts w:eastAsia="Times New Roman" w:cs="Times New Roman"/>
          <w:kern w:val="22"/>
          <w:sz w:val="22"/>
          <w:szCs w:val="24"/>
          <w:lang w:eastAsia="ar-SA"/>
        </w:rPr>
        <w:t>CNS</w:t>
      </w:r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 un </w:t>
      </w:r>
      <w:proofErr w:type="spellStart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>spazmolītiski</w:t>
      </w:r>
      <w:proofErr w:type="spellEnd"/>
      <w:r w:rsidRPr="00FA06C5">
        <w:rPr>
          <w:rFonts w:eastAsia="Times New Roman" w:cs="Times New Roman"/>
          <w:kern w:val="22"/>
          <w:sz w:val="22"/>
          <w:szCs w:val="24"/>
          <w:lang w:eastAsia="ar-SA"/>
        </w:rPr>
        <w:t xml:space="preserve"> uz iekšējo orgānu gludo muskulatūru</w:t>
      </w:r>
      <w:r w:rsidR="00236494" w:rsidRPr="00FA06C5">
        <w:rPr>
          <w:rFonts w:eastAsia="Calibri"/>
          <w:sz w:val="22"/>
        </w:rPr>
        <w:t>.</w:t>
      </w:r>
    </w:p>
    <w:p w14:paraId="33B728C5" w14:textId="69A6B367" w:rsidR="00DB4547" w:rsidRPr="00FA06C5" w:rsidRDefault="00D26112" w:rsidP="00DB4547">
      <w:pPr>
        <w:tabs>
          <w:tab w:val="left" w:pos="0"/>
        </w:tabs>
        <w:spacing w:after="0" w:line="240" w:lineRule="auto"/>
        <w:contextualSpacing/>
        <w:jc w:val="both"/>
        <w:rPr>
          <w:kern w:val="1"/>
          <w:sz w:val="22"/>
          <w:lang w:eastAsia="ar-SA"/>
        </w:rPr>
      </w:pPr>
      <w:r w:rsidRPr="00FA06C5">
        <w:rPr>
          <w:kern w:val="1"/>
          <w:sz w:val="22"/>
          <w:lang w:eastAsia="ar-SA"/>
        </w:rPr>
        <w:t>P</w:t>
      </w:r>
      <w:r w:rsidR="00DB4547" w:rsidRPr="00FA06C5">
        <w:rPr>
          <w:kern w:val="1"/>
          <w:sz w:val="22"/>
          <w:lang w:eastAsia="ar-SA"/>
        </w:rPr>
        <w:t>ierādīta iedarbība uz gamma-</w:t>
      </w:r>
      <w:proofErr w:type="spellStart"/>
      <w:r w:rsidR="00DB4547" w:rsidRPr="00FA06C5">
        <w:rPr>
          <w:kern w:val="1"/>
          <w:sz w:val="22"/>
          <w:lang w:eastAsia="ar-SA"/>
        </w:rPr>
        <w:t>aminosviestskābes</w:t>
      </w:r>
      <w:proofErr w:type="spellEnd"/>
      <w:r w:rsidR="00DB4547" w:rsidRPr="00FA06C5">
        <w:rPr>
          <w:kern w:val="1"/>
          <w:sz w:val="22"/>
          <w:lang w:eastAsia="ar-SA"/>
        </w:rPr>
        <w:t xml:space="preserve"> (GASS) receptoriem, </w:t>
      </w:r>
      <w:proofErr w:type="spellStart"/>
      <w:r w:rsidR="00B02F57" w:rsidRPr="00FA06C5">
        <w:rPr>
          <w:kern w:val="1"/>
          <w:sz w:val="22"/>
          <w:lang w:eastAsia="ar-SA"/>
        </w:rPr>
        <w:t>agonisms</w:t>
      </w:r>
      <w:proofErr w:type="spellEnd"/>
      <w:r w:rsidR="00B02F57" w:rsidRPr="00FA06C5">
        <w:rPr>
          <w:kern w:val="1"/>
          <w:sz w:val="22"/>
          <w:lang w:eastAsia="ar-SA"/>
        </w:rPr>
        <w:t xml:space="preserve"> ar </w:t>
      </w:r>
      <w:proofErr w:type="spellStart"/>
      <w:r w:rsidR="00DB4547" w:rsidRPr="00FA06C5">
        <w:rPr>
          <w:kern w:val="1"/>
          <w:sz w:val="22"/>
          <w:lang w:eastAsia="ar-SA"/>
        </w:rPr>
        <w:t>adenozīna</w:t>
      </w:r>
      <w:proofErr w:type="spellEnd"/>
      <w:r w:rsidR="00DB4547" w:rsidRPr="00FA06C5">
        <w:rPr>
          <w:kern w:val="1"/>
          <w:sz w:val="22"/>
          <w:lang w:eastAsia="ar-SA"/>
        </w:rPr>
        <w:t xml:space="preserve"> A</w:t>
      </w:r>
      <w:r w:rsidR="00DB4547" w:rsidRPr="00FA06C5">
        <w:rPr>
          <w:kern w:val="1"/>
          <w:sz w:val="22"/>
          <w:vertAlign w:val="subscript"/>
          <w:lang w:eastAsia="ar-SA"/>
        </w:rPr>
        <w:t>1</w:t>
      </w:r>
      <w:r w:rsidR="00DB4547" w:rsidRPr="00FA06C5">
        <w:rPr>
          <w:kern w:val="1"/>
          <w:sz w:val="22"/>
          <w:lang w:eastAsia="ar-SA"/>
        </w:rPr>
        <w:t xml:space="preserve"> </w:t>
      </w:r>
      <w:r w:rsidR="00B02F57" w:rsidRPr="00FA06C5">
        <w:rPr>
          <w:kern w:val="1"/>
          <w:sz w:val="22"/>
          <w:lang w:eastAsia="ar-SA"/>
        </w:rPr>
        <w:t xml:space="preserve">receptoriem un </w:t>
      </w:r>
      <w:r w:rsidR="00DB4547" w:rsidRPr="00FA06C5">
        <w:rPr>
          <w:kern w:val="1"/>
          <w:sz w:val="22"/>
          <w:lang w:eastAsia="ar-SA"/>
        </w:rPr>
        <w:t>saistīšanās ar 5</w:t>
      </w:r>
      <w:r w:rsidR="00DB4547" w:rsidRPr="00FA06C5">
        <w:rPr>
          <w:kern w:val="1"/>
          <w:sz w:val="22"/>
          <w:lang w:eastAsia="ar-SA"/>
        </w:rPr>
        <w:noBreakHyphen/>
        <w:t>hidroksitriptamīna-1A (5-HT</w:t>
      </w:r>
      <w:r w:rsidR="00DB4547" w:rsidRPr="00FA06C5">
        <w:rPr>
          <w:kern w:val="1"/>
          <w:sz w:val="22"/>
          <w:vertAlign w:val="subscript"/>
          <w:lang w:eastAsia="ar-SA"/>
        </w:rPr>
        <w:t>1A</w:t>
      </w:r>
      <w:r w:rsidR="00DB4547" w:rsidRPr="00FA06C5">
        <w:rPr>
          <w:kern w:val="1"/>
          <w:sz w:val="22"/>
          <w:lang w:eastAsia="ar-SA"/>
        </w:rPr>
        <w:t>) receptoriem.</w:t>
      </w:r>
    </w:p>
    <w:p w14:paraId="35810EB6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31E3402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i/>
          <w:kern w:val="1"/>
          <w:sz w:val="22"/>
          <w:lang w:eastAsia="ar-SA"/>
        </w:rPr>
      </w:pPr>
      <w:r w:rsidRPr="00FA06C5">
        <w:rPr>
          <w:rFonts w:eastAsia="Times New Roman" w:cs="Times New Roman"/>
          <w:i/>
          <w:kern w:val="1"/>
          <w:sz w:val="22"/>
          <w:lang w:eastAsia="ar-SA"/>
        </w:rPr>
        <w:t>Pediatriskā populācija</w:t>
      </w:r>
    </w:p>
    <w:p w14:paraId="28BE0D0A" w14:textId="18A70F38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  <w:r w:rsidRPr="00FA06C5">
        <w:rPr>
          <w:rFonts w:eastAsia="Times New Roman" w:cs="Times New Roman"/>
          <w:kern w:val="1"/>
          <w:sz w:val="22"/>
          <w:lang w:eastAsia="ar-SA"/>
        </w:rPr>
        <w:t xml:space="preserve">Nav datu par </w:t>
      </w:r>
      <w:r w:rsidR="001B4702" w:rsidRPr="00FA06C5">
        <w:rPr>
          <w:rFonts w:eastAsia="Times New Roman" w:cs="Times New Roman"/>
          <w:kern w:val="22"/>
          <w:sz w:val="22"/>
          <w:szCs w:val="24"/>
          <w:lang w:eastAsia="ar-SA"/>
        </w:rPr>
        <w:t>Baldriāna tinktūras RFF pilienu iekšķīgai lietošanai, šķīduma</w:t>
      </w:r>
      <w:r w:rsidRPr="00FA06C5">
        <w:rPr>
          <w:rFonts w:eastAsia="Times New Roman" w:cs="Times New Roman"/>
          <w:kern w:val="1"/>
          <w:sz w:val="22"/>
          <w:lang w:eastAsia="ar-SA"/>
        </w:rPr>
        <w:t xml:space="preserve"> iedarbību bērniem.</w:t>
      </w:r>
    </w:p>
    <w:p w14:paraId="1E070A15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0F1A8C1E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5.2.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Farmakokinētiskās īpašības</w:t>
      </w:r>
    </w:p>
    <w:p w14:paraId="087E0F21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67170940" w14:textId="4B059A8D" w:rsidR="00480876" w:rsidRPr="00FA06C5" w:rsidRDefault="00837A52" w:rsidP="00D07701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kern w:val="1"/>
          <w:sz w:val="22"/>
          <w:szCs w:val="24"/>
          <w:lang w:eastAsia="ar-MA" w:bidi="ar-MA"/>
        </w:rPr>
      </w:pPr>
      <w:r w:rsidRPr="00FA06C5">
        <w:rPr>
          <w:rFonts w:eastAsia="Calibri" w:cs="Times New Roman"/>
          <w:sz w:val="22"/>
        </w:rPr>
        <w:t>Pētījumi nav veikti</w:t>
      </w:r>
      <w:r w:rsidR="00236494" w:rsidRPr="00FA06C5">
        <w:rPr>
          <w:rFonts w:eastAsia="Times New Roman" w:cs="Times New Roman"/>
          <w:kern w:val="1"/>
          <w:sz w:val="22"/>
          <w:szCs w:val="24"/>
          <w:lang w:eastAsia="ar-MA" w:bidi="ar-MA"/>
        </w:rPr>
        <w:t>.</w:t>
      </w:r>
    </w:p>
    <w:p w14:paraId="79CAD927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5F9A580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5.3.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Preklīniskie dati par drošumu</w:t>
      </w:r>
    </w:p>
    <w:p w14:paraId="054F14EB" w14:textId="77777777" w:rsidR="00236494" w:rsidRPr="00FA06C5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49ACFCDF" w14:textId="55C68D7D" w:rsidR="00B02F57" w:rsidRPr="00FA06C5" w:rsidRDefault="00236494" w:rsidP="00B02F57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</w:pPr>
      <w:r w:rsidRPr="00FA06C5"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  <w:t>Akūta toksicitāte</w:t>
      </w:r>
      <w:r w:rsidR="00BD3CF4" w:rsidRPr="00FA06C5">
        <w:rPr>
          <w:rFonts w:eastAsia="TimesNewRomanPSMT" w:cs="Times New Roman"/>
          <w:color w:val="000000"/>
          <w:spacing w:val="-8"/>
          <w:kern w:val="22"/>
          <w:sz w:val="22"/>
          <w:szCs w:val="24"/>
          <w:lang w:eastAsia="ar-SA"/>
        </w:rPr>
        <w:t xml:space="preserve"> </w:t>
      </w:r>
      <w:r w:rsidR="00BD3CF4" w:rsidRPr="00FA06C5">
        <w:rPr>
          <w:rFonts w:eastAsia="Times New Roman" w:cs="Times New Roman"/>
          <w:kern w:val="1"/>
          <w:sz w:val="22"/>
          <w:szCs w:val="24"/>
          <w:lang w:eastAsia="ar-SA"/>
        </w:rPr>
        <w:t>žurkām</w:t>
      </w:r>
      <w:r w:rsidR="008005C8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- </w:t>
      </w:r>
      <w:r w:rsidR="00B02F57" w:rsidRPr="00FA06C5">
        <w:rPr>
          <w:rFonts w:eastAsia="Times New Roman" w:cs="Times New Roman"/>
          <w:kern w:val="1"/>
          <w:sz w:val="22"/>
          <w:szCs w:val="24"/>
          <w:lang w:eastAsia="ar-SA"/>
        </w:rPr>
        <w:t>baldriāna sakņu spirta ekstraktam ir noteikta ļoti zema</w:t>
      </w:r>
      <w:r w:rsidR="008005C8" w:rsidRPr="00FA06C5">
        <w:rPr>
          <w:rFonts w:eastAsia="Times New Roman" w:cs="Times New Roman"/>
          <w:kern w:val="1"/>
          <w:sz w:val="22"/>
          <w:szCs w:val="24"/>
          <w:lang w:eastAsia="ar-SA"/>
        </w:rPr>
        <w:t>.</w:t>
      </w:r>
      <w:r w:rsidR="00B02F57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r w:rsidR="008005C8" w:rsidRPr="00FA06C5">
        <w:rPr>
          <w:rFonts w:eastAsia="Times New Roman" w:cs="Times New Roman"/>
          <w:kern w:val="1"/>
          <w:sz w:val="22"/>
          <w:szCs w:val="24"/>
          <w:lang w:eastAsia="ar-SA"/>
        </w:rPr>
        <w:t>I</w:t>
      </w:r>
      <w:r w:rsidR="00A138EB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evadot </w:t>
      </w:r>
      <w:proofErr w:type="spellStart"/>
      <w:r w:rsidR="00A138EB" w:rsidRPr="00FA06C5">
        <w:rPr>
          <w:rFonts w:eastAsia="Times New Roman" w:cs="Times New Roman"/>
          <w:kern w:val="1"/>
          <w:sz w:val="22"/>
          <w:szCs w:val="24"/>
          <w:lang w:eastAsia="ar-SA"/>
        </w:rPr>
        <w:t>intraperitoneāli</w:t>
      </w:r>
      <w:proofErr w:type="spellEnd"/>
      <w:r w:rsidR="008005C8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, </w:t>
      </w:r>
      <w:r w:rsidR="00B02F57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vidējā </w:t>
      </w:r>
      <w:r w:rsidR="00B02F57" w:rsidRPr="00FA06C5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>letālā deva (LD</w:t>
      </w:r>
      <w:r w:rsidR="00B02F57" w:rsidRPr="00FA06C5">
        <w:rPr>
          <w:rFonts w:eastAsia="TimesNewRomanPSMT" w:cs="Times New Roman"/>
          <w:color w:val="000000"/>
          <w:spacing w:val="-8"/>
          <w:kern w:val="22"/>
          <w:sz w:val="22"/>
          <w:szCs w:val="24"/>
          <w:vertAlign w:val="subscript"/>
          <w:lang w:eastAsia="ar-SA"/>
        </w:rPr>
        <w:t>50</w:t>
      </w:r>
      <w:r w:rsidR="00B02F57" w:rsidRPr="00FA06C5">
        <w:rPr>
          <w:rFonts w:eastAsia="TimesNewRomanPSMT" w:cs="Times New Roman"/>
          <w:color w:val="000000"/>
          <w:spacing w:val="-8"/>
          <w:kern w:val="1"/>
          <w:sz w:val="22"/>
          <w:szCs w:val="24"/>
          <w:lang w:eastAsia="ar-SA"/>
        </w:rPr>
        <w:t xml:space="preserve">) </w:t>
      </w:r>
      <w:r w:rsidR="00B02F57" w:rsidRPr="00FA06C5">
        <w:rPr>
          <w:rFonts w:eastAsia="Times New Roman" w:cs="Times New Roman"/>
          <w:kern w:val="1"/>
          <w:sz w:val="22"/>
          <w:szCs w:val="24"/>
          <w:lang w:eastAsia="ar-SA"/>
        </w:rPr>
        <w:t>ir 3,3 g/kg ķermeņa masas</w:t>
      </w:r>
      <w:r w:rsidR="00A138EB" w:rsidRPr="00FA06C5"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14:paraId="6632C6CE" w14:textId="7C3A88E9" w:rsidR="00236494" w:rsidRPr="00FA06C5" w:rsidRDefault="00B02F57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Spirta ekstrakts, ievadot žurkām 45 dienas </w:t>
      </w:r>
      <w:proofErr w:type="spellStart"/>
      <w:r w:rsidR="008005C8" w:rsidRPr="00FA06C5">
        <w:rPr>
          <w:rFonts w:eastAsia="Times New Roman" w:cs="Times New Roman"/>
          <w:kern w:val="1"/>
          <w:sz w:val="22"/>
          <w:szCs w:val="24"/>
          <w:lang w:eastAsia="ar-SA"/>
        </w:rPr>
        <w:t>intraperitoneāli</w:t>
      </w:r>
      <w:proofErr w:type="spellEnd"/>
      <w:r w:rsidR="008005C8"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0,400-0,600 g/kg, n</w:t>
      </w:r>
      <w:r w:rsidR="00D464DA" w:rsidRPr="00FA06C5">
        <w:rPr>
          <w:rFonts w:eastAsia="Times New Roman" w:cs="Times New Roman"/>
          <w:kern w:val="1"/>
          <w:sz w:val="22"/>
          <w:szCs w:val="24"/>
          <w:lang w:eastAsia="ar-SA"/>
        </w:rPr>
        <w:t>e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izsauc</w:t>
      </w:r>
      <w:r w:rsidR="00D464DA" w:rsidRPr="00FA06C5">
        <w:rPr>
          <w:rFonts w:eastAsia="Times New Roman" w:cs="Times New Roman"/>
          <w:kern w:val="1"/>
          <w:sz w:val="22"/>
          <w:szCs w:val="24"/>
          <w:lang w:eastAsia="ar-SA"/>
        </w:rPr>
        <w:t>a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 xml:space="preserve"> izmaiņas dzīvnieku svarā, asins un urīna analīzēs, salīdzinot ar </w:t>
      </w:r>
      <w:proofErr w:type="spellStart"/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kontroldzīvniekiem</w:t>
      </w:r>
      <w:proofErr w:type="spellEnd"/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14:paraId="30ADCEDF" w14:textId="77777777" w:rsidR="00B02F57" w:rsidRPr="00FA06C5" w:rsidRDefault="00B02F57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38A31678" w14:textId="77777777" w:rsidR="000D7972" w:rsidRPr="00FA06C5" w:rsidRDefault="000D7972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lang w:eastAsia="ar-SA"/>
        </w:rPr>
      </w:pPr>
    </w:p>
    <w:p w14:paraId="6F8D8D7C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FARMACEITISKĀ INFORMĀCIJA</w:t>
      </w:r>
    </w:p>
    <w:p w14:paraId="2479CE8D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6FF5BE7A" w14:textId="77777777" w:rsidR="00236494" w:rsidRPr="00FA06C5" w:rsidRDefault="00236494" w:rsidP="00D07701">
      <w:pPr>
        <w:shd w:val="clear" w:color="auto" w:fill="FFFFFF"/>
        <w:tabs>
          <w:tab w:val="left" w:pos="567"/>
          <w:tab w:val="left" w:pos="643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6.1.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Palīgvielu saraksts</w:t>
      </w:r>
    </w:p>
    <w:p w14:paraId="4199448F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6F96DE5E" w14:textId="2319CE15" w:rsidR="00236494" w:rsidRPr="00FA06C5" w:rsidRDefault="002D078B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NewRomanPSMT" w:cs="Times New Roman"/>
          <w:kern w:val="1"/>
          <w:sz w:val="22"/>
          <w:szCs w:val="24"/>
          <w:lang w:eastAsia="ar-SA"/>
        </w:rPr>
        <w:t>Nav.</w:t>
      </w:r>
    </w:p>
    <w:p w14:paraId="09DD9D09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15DE1081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6.2.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Nesaderība</w:t>
      </w:r>
    </w:p>
    <w:p w14:paraId="032BDB1E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4481AE7E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NewRomanPSMT" w:cs="Times New Roman"/>
          <w:color w:val="000000"/>
          <w:kern w:val="1"/>
          <w:sz w:val="22"/>
          <w:szCs w:val="24"/>
          <w:lang w:eastAsia="ar-SA"/>
        </w:rPr>
        <w:t>Nav piemērojama</w:t>
      </w:r>
      <w:r w:rsidRPr="00FA06C5">
        <w:rPr>
          <w:rFonts w:eastAsia="Times New Roman" w:cs="Times New Roman"/>
          <w:color w:val="000000"/>
          <w:kern w:val="1"/>
          <w:sz w:val="22"/>
          <w:szCs w:val="24"/>
          <w:lang w:eastAsia="ar-SA"/>
        </w:rPr>
        <w:t>.</w:t>
      </w:r>
    </w:p>
    <w:p w14:paraId="3E0FF224" w14:textId="77777777" w:rsidR="00236494" w:rsidRPr="00FA06C5" w:rsidRDefault="00236494" w:rsidP="00D07701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4C91BCF" w14:textId="77777777" w:rsidR="00236494" w:rsidRPr="00FA06C5" w:rsidRDefault="00236494" w:rsidP="00D07701">
      <w:pPr>
        <w:shd w:val="clear" w:color="auto" w:fill="FFFFFF"/>
        <w:tabs>
          <w:tab w:val="left" w:pos="54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6.3.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Uzglabāšanas laiks</w:t>
      </w:r>
    </w:p>
    <w:p w14:paraId="323C87AD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spacing w:val="-1"/>
          <w:kern w:val="1"/>
          <w:sz w:val="22"/>
          <w:szCs w:val="24"/>
          <w:lang w:eastAsia="ar-SA"/>
        </w:rPr>
      </w:pPr>
    </w:p>
    <w:p w14:paraId="572DC985" w14:textId="7406AA9F" w:rsidR="00236494" w:rsidRPr="00FA06C5" w:rsidRDefault="00A138EB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spacing w:val="-1"/>
          <w:kern w:val="1"/>
          <w:sz w:val="22"/>
          <w:szCs w:val="24"/>
          <w:lang w:eastAsia="ar-SA"/>
        </w:rPr>
        <w:t>5</w:t>
      </w:r>
      <w:r w:rsidR="00236494" w:rsidRPr="00FA06C5">
        <w:rPr>
          <w:rFonts w:eastAsia="Times New Roman" w:cs="Times New Roman"/>
          <w:spacing w:val="-1"/>
          <w:kern w:val="1"/>
          <w:sz w:val="22"/>
          <w:szCs w:val="24"/>
          <w:lang w:eastAsia="ar-SA"/>
        </w:rPr>
        <w:t> gadi.</w:t>
      </w:r>
    </w:p>
    <w:p w14:paraId="1298CCB5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AF209FC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6.4.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Īpaši uzglabāšanas nosacījumi</w:t>
      </w:r>
    </w:p>
    <w:p w14:paraId="0275ADF1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1AD9D825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Uzglabāt temperatūrā līdz 25°C.</w:t>
      </w:r>
    </w:p>
    <w:p w14:paraId="3A2D8886" w14:textId="77777777" w:rsidR="00236494" w:rsidRPr="00FA06C5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FDB4894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6.5.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Iepakojuma veids un saturs</w:t>
      </w:r>
    </w:p>
    <w:p w14:paraId="1A7C560C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2EFDBCA3" w14:textId="5DD83F03" w:rsidR="00236494" w:rsidRPr="00FA06C5" w:rsidRDefault="006E618E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</w:pPr>
      <w:r w:rsidRPr="00FA06C5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Fasēts p</w:t>
      </w:r>
      <w:r w:rsidR="00236494" w:rsidRPr="00FA06C5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 xml:space="preserve">a 25 ml </w:t>
      </w:r>
      <w:r w:rsidR="002D078B" w:rsidRPr="00FA06C5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 xml:space="preserve">vai 90 ml </w:t>
      </w:r>
      <w:r w:rsidR="00236494" w:rsidRPr="00FA06C5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tumša stikla pudelē, kas aizvākota ar pilinātājkorķi un uzskrūvējamo plastmasas vāciņu.</w:t>
      </w:r>
    </w:p>
    <w:p w14:paraId="573A8E7B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</w:pPr>
      <w:r w:rsidRPr="00FA06C5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Pudelei uzlīmēta etiķete.</w:t>
      </w:r>
    </w:p>
    <w:p w14:paraId="7C78F9A5" w14:textId="4BF637CC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NewRomanPSMT" w:cs="Times New Roman"/>
          <w:spacing w:val="-3"/>
          <w:kern w:val="1"/>
          <w:sz w:val="22"/>
          <w:szCs w:val="24"/>
          <w:lang w:eastAsia="ar-SA"/>
        </w:rPr>
        <w:t>Pudele ar pievienoto lietošanas instrukciju iepakota kartona kastītē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.</w:t>
      </w:r>
    </w:p>
    <w:p w14:paraId="5C621F24" w14:textId="77777777" w:rsidR="006A5C63" w:rsidRPr="00FA06C5" w:rsidRDefault="006A5C63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480E1D89" w14:textId="644AE7A9" w:rsidR="00236494" w:rsidRPr="00FA06C5" w:rsidRDefault="0012203D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sz w:val="22"/>
        </w:rPr>
      </w:pPr>
      <w:r w:rsidRPr="00FA06C5">
        <w:rPr>
          <w:sz w:val="22"/>
        </w:rPr>
        <w:t>Visi iepakojuma lielumi tirgū var nebūt pieejami.</w:t>
      </w:r>
    </w:p>
    <w:p w14:paraId="28A61829" w14:textId="77777777" w:rsidR="0012203D" w:rsidRPr="00FA06C5" w:rsidRDefault="0012203D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608FEE81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spacing w:val="-5"/>
          <w:kern w:val="1"/>
          <w:sz w:val="22"/>
          <w:szCs w:val="24"/>
          <w:lang w:eastAsia="ar-SA"/>
        </w:rPr>
        <w:t>6.6.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Īpaši norādījumi atkritumu likvidēšanai</w:t>
      </w:r>
    </w:p>
    <w:p w14:paraId="0CBDAD9F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</w:p>
    <w:p w14:paraId="63BA6FAC" w14:textId="77777777" w:rsidR="00236494" w:rsidRPr="00FA06C5" w:rsidRDefault="0093458A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2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2"/>
          <w:sz w:val="22"/>
          <w:szCs w:val="20"/>
          <w:lang w:eastAsia="ar-SA"/>
        </w:rPr>
        <w:t>Nav īpašu prasību</w:t>
      </w:r>
      <w:r w:rsidR="00236494" w:rsidRPr="00FA06C5">
        <w:rPr>
          <w:rFonts w:eastAsia="Times New Roman" w:cs="Times New Roman"/>
          <w:kern w:val="2"/>
          <w:sz w:val="22"/>
          <w:szCs w:val="24"/>
          <w:lang w:eastAsia="ar-SA"/>
        </w:rPr>
        <w:t>.</w:t>
      </w:r>
    </w:p>
    <w:p w14:paraId="29BC72C6" w14:textId="77777777" w:rsidR="000D7972" w:rsidRPr="00FA06C5" w:rsidRDefault="000D7972" w:rsidP="00D07701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7635B3E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7.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REĢISTRĀCIJAS APLIECĪBAS ĪPAŠNIEKS</w:t>
      </w:r>
    </w:p>
    <w:p w14:paraId="39B04E91" w14:textId="2A11AECA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4C85CDD" w14:textId="77777777" w:rsidR="000D7972" w:rsidRPr="00FA06C5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AS “Rīgas farmaceitiskā fabrika”</w:t>
      </w:r>
    </w:p>
    <w:p w14:paraId="459F9234" w14:textId="77777777" w:rsidR="000D7972" w:rsidRPr="00FA06C5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Ozolu iela 10, Rīga, LV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noBreakHyphen/>
        <w:t>1005, Latvija</w:t>
      </w:r>
    </w:p>
    <w:p w14:paraId="15B8C1EA" w14:textId="77777777" w:rsidR="000D7972" w:rsidRPr="00FA06C5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Tālr.: 67355550</w:t>
      </w:r>
    </w:p>
    <w:p w14:paraId="6BF3EC7F" w14:textId="77777777" w:rsidR="000D7972" w:rsidRPr="00FA06C5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Fakss: 67355551</w:t>
      </w:r>
    </w:p>
    <w:p w14:paraId="036B4F02" w14:textId="07C4B0B6" w:rsidR="000D7972" w:rsidRPr="00FA06C5" w:rsidRDefault="000D7972" w:rsidP="000D7972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E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noBreakHyphen/>
        <w:t>pasts: rff@rff.lv</w:t>
      </w:r>
    </w:p>
    <w:p w14:paraId="64899394" w14:textId="77777777" w:rsidR="007002FE" w:rsidRPr="00FA06C5" w:rsidRDefault="007002FE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CEF79B3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8.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>REĢISTRĀCIJAS APLIECĪBAS NUMURS</w:t>
      </w:r>
    </w:p>
    <w:p w14:paraId="5A1C6ED7" w14:textId="77777777" w:rsidR="00236494" w:rsidRPr="00FA06C5" w:rsidRDefault="00236494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FD50B65" w14:textId="3108FDE9" w:rsidR="00480876" w:rsidRPr="00FA06C5" w:rsidRDefault="00236494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9</w:t>
      </w:r>
      <w:r w:rsidR="00CF5656" w:rsidRPr="00FA06C5">
        <w:rPr>
          <w:rFonts w:eastAsia="Times New Roman" w:cs="Times New Roman"/>
          <w:kern w:val="1"/>
          <w:sz w:val="22"/>
          <w:szCs w:val="24"/>
          <w:lang w:eastAsia="ar-SA"/>
        </w:rPr>
        <w:t>8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-08</w:t>
      </w:r>
      <w:r w:rsidR="00CF5656" w:rsidRPr="00FA06C5">
        <w:rPr>
          <w:rFonts w:eastAsia="Times New Roman" w:cs="Times New Roman"/>
          <w:kern w:val="1"/>
          <w:sz w:val="22"/>
          <w:szCs w:val="24"/>
          <w:lang w:eastAsia="ar-SA"/>
        </w:rPr>
        <w:t>7</w:t>
      </w:r>
      <w:r w:rsidR="007230C6" w:rsidRPr="00FA06C5">
        <w:rPr>
          <w:rFonts w:eastAsia="Times New Roman" w:cs="Times New Roman"/>
          <w:kern w:val="1"/>
          <w:sz w:val="22"/>
          <w:szCs w:val="24"/>
          <w:lang w:eastAsia="ar-SA"/>
        </w:rPr>
        <w:t>4</w:t>
      </w:r>
    </w:p>
    <w:p w14:paraId="7B22DAA2" w14:textId="77777777" w:rsidR="007002FE" w:rsidRPr="00FA06C5" w:rsidRDefault="007002FE" w:rsidP="00D07701">
      <w:pPr>
        <w:shd w:val="clear" w:color="auto" w:fill="FFFFFF"/>
        <w:tabs>
          <w:tab w:val="left" w:pos="355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032A7ADB" w14:textId="77777777" w:rsidR="00236494" w:rsidRPr="00FA06C5" w:rsidRDefault="00236494" w:rsidP="00D07701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>9.</w:t>
      </w:r>
      <w:r w:rsidRPr="00FA06C5">
        <w:rPr>
          <w:rFonts w:eastAsia="Times New Roman" w:cs="Times New Roman"/>
          <w:b/>
          <w:bCs/>
          <w:kern w:val="1"/>
          <w:sz w:val="22"/>
          <w:szCs w:val="24"/>
          <w:lang w:eastAsia="ar-SA"/>
        </w:rPr>
        <w:tab/>
        <w:t xml:space="preserve">PIRMĀS REĢISTRĀCIJAS/PĀRREĢISTRĀCIJAS DATUMS </w:t>
      </w:r>
    </w:p>
    <w:p w14:paraId="0FB7DCBB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1B9BBC1E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Reģistrācijas datums: 199</w:t>
      </w:r>
      <w:r w:rsidR="00CF5656"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8</w:t>
      </w:r>
      <w:r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. gada 1</w:t>
      </w:r>
      <w:r w:rsidR="00CF5656"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6</w:t>
      </w:r>
      <w:r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. </w:t>
      </w:r>
      <w:r w:rsidR="00CF5656"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decembri</w:t>
      </w:r>
      <w:r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s</w:t>
      </w:r>
    </w:p>
    <w:p w14:paraId="408C8EA2" w14:textId="75C00F6A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Pēdējās pārreģistrācijas datums: 2009. gada </w:t>
      </w:r>
      <w:r w:rsidR="007230C6"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02</w:t>
      </w:r>
      <w:r w:rsidR="00C258E1"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 xml:space="preserve">. </w:t>
      </w:r>
      <w:r w:rsidR="007230C6" w:rsidRPr="00FA06C5">
        <w:rPr>
          <w:rFonts w:eastAsia="Times New Roman" w:cs="Times New Roman"/>
          <w:bCs/>
          <w:kern w:val="1"/>
          <w:sz w:val="22"/>
          <w:szCs w:val="24"/>
          <w:lang w:eastAsia="ar-SA"/>
        </w:rPr>
        <w:t>februāris</w:t>
      </w:r>
    </w:p>
    <w:p w14:paraId="6B48BE7B" w14:textId="77777777" w:rsidR="007002FE" w:rsidRPr="00FA06C5" w:rsidRDefault="007002FE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bCs/>
          <w:kern w:val="1"/>
          <w:sz w:val="22"/>
          <w:szCs w:val="24"/>
          <w:lang w:eastAsia="ar-SA"/>
        </w:rPr>
      </w:pPr>
    </w:p>
    <w:p w14:paraId="60C06885" w14:textId="77777777" w:rsidR="00236494" w:rsidRPr="00FA06C5" w:rsidRDefault="00236494" w:rsidP="00D07701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  <w:r w:rsidRPr="00FA06C5">
        <w:rPr>
          <w:rFonts w:eastAsia="Times New Roman" w:cs="Times New Roman"/>
          <w:b/>
          <w:kern w:val="1"/>
          <w:sz w:val="22"/>
          <w:szCs w:val="24"/>
          <w:lang w:eastAsia="ar-SA"/>
        </w:rPr>
        <w:t>10.</w:t>
      </w:r>
      <w:r w:rsidRPr="00FA06C5">
        <w:rPr>
          <w:rFonts w:eastAsia="Times New Roman" w:cs="Times New Roman"/>
          <w:b/>
          <w:kern w:val="1"/>
          <w:sz w:val="22"/>
          <w:szCs w:val="24"/>
          <w:lang w:eastAsia="ar-SA"/>
        </w:rPr>
        <w:tab/>
        <w:t>TEKSTA PĀRSKATĪŠANAS DATUMS</w:t>
      </w:r>
    </w:p>
    <w:p w14:paraId="5076AFA0" w14:textId="77777777" w:rsidR="00236494" w:rsidRPr="00FA06C5" w:rsidRDefault="00236494" w:rsidP="00D07701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  <w:szCs w:val="24"/>
          <w:lang w:eastAsia="ar-SA"/>
        </w:rPr>
      </w:pPr>
    </w:p>
    <w:p w14:paraId="743C69E2" w14:textId="2E5287C0" w:rsidR="00236494" w:rsidRPr="00FA06C5" w:rsidRDefault="00236494" w:rsidP="00554420">
      <w:pPr>
        <w:tabs>
          <w:tab w:val="left" w:pos="567"/>
        </w:tabs>
        <w:suppressAutoHyphens/>
        <w:spacing w:after="0" w:line="240" w:lineRule="auto"/>
        <w:jc w:val="both"/>
        <w:rPr>
          <w:sz w:val="22"/>
        </w:rPr>
      </w:pP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0</w:t>
      </w:r>
      <w:r w:rsidR="00727136" w:rsidRPr="00FA06C5">
        <w:rPr>
          <w:rFonts w:eastAsia="Times New Roman" w:cs="Times New Roman"/>
          <w:kern w:val="1"/>
          <w:sz w:val="22"/>
          <w:szCs w:val="24"/>
          <w:lang w:eastAsia="ar-SA"/>
        </w:rPr>
        <w:t>1</w:t>
      </w:r>
      <w:r w:rsidRPr="00FA06C5">
        <w:rPr>
          <w:rFonts w:eastAsia="Times New Roman" w:cs="Times New Roman"/>
          <w:kern w:val="1"/>
          <w:sz w:val="22"/>
          <w:szCs w:val="24"/>
          <w:lang w:eastAsia="ar-SA"/>
        </w:rPr>
        <w:t>/201</w:t>
      </w:r>
      <w:r w:rsidR="00727136" w:rsidRPr="00FA06C5">
        <w:rPr>
          <w:rFonts w:eastAsia="Times New Roman" w:cs="Times New Roman"/>
          <w:kern w:val="1"/>
          <w:sz w:val="22"/>
          <w:szCs w:val="24"/>
          <w:lang w:eastAsia="ar-SA"/>
        </w:rPr>
        <w:t>9</w:t>
      </w:r>
    </w:p>
    <w:sectPr w:rsidR="00236494" w:rsidRPr="00FA0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3FC9F" w14:textId="77777777" w:rsidR="00B109F5" w:rsidRDefault="00B109F5" w:rsidP="00B109F5">
      <w:pPr>
        <w:spacing w:after="0" w:line="240" w:lineRule="auto"/>
      </w:pPr>
      <w:r>
        <w:separator/>
      </w:r>
    </w:p>
  </w:endnote>
  <w:endnote w:type="continuationSeparator" w:id="0">
    <w:p w14:paraId="7A08DDC8" w14:textId="77777777" w:rsidR="00B109F5" w:rsidRDefault="00B109F5" w:rsidP="00B1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FFA1" w14:textId="77777777" w:rsidR="00BF6924" w:rsidRDefault="00BF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B6CE" w14:textId="77777777" w:rsidR="00BF6924" w:rsidRDefault="00BF6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44D9" w14:textId="77777777" w:rsidR="00BF6924" w:rsidRDefault="00BF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4E60" w14:textId="77777777" w:rsidR="00B109F5" w:rsidRDefault="00B109F5" w:rsidP="00B109F5">
      <w:pPr>
        <w:spacing w:after="0" w:line="240" w:lineRule="auto"/>
      </w:pPr>
      <w:r>
        <w:separator/>
      </w:r>
    </w:p>
  </w:footnote>
  <w:footnote w:type="continuationSeparator" w:id="0">
    <w:p w14:paraId="3C27322C" w14:textId="77777777" w:rsidR="00B109F5" w:rsidRDefault="00B109F5" w:rsidP="00B1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071B" w14:textId="77777777" w:rsidR="00BF6924" w:rsidRDefault="00BF6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527F" w14:textId="628AC859" w:rsidR="002901CD" w:rsidRDefault="00BF6924" w:rsidP="002901CD">
    <w:pPr>
      <w:pStyle w:val="Header"/>
      <w:jc w:val="right"/>
    </w:pPr>
    <w:r>
      <w:t xml:space="preserve">SASKAŅOTS ZVA </w:t>
    </w:r>
    <w:r>
      <w:t>17-01-2019</w:t>
    </w:r>
    <w:bookmarkStart w:id="1" w:name="_GoBack"/>
    <w:bookmarkEnd w:id="1"/>
  </w:p>
  <w:p w14:paraId="1D9FB884" w14:textId="77777777" w:rsidR="002901CD" w:rsidRDefault="00290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F3C9" w14:textId="77777777" w:rsidR="00BF6924" w:rsidRDefault="00BF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89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3"/>
    <w:multiLevelType w:val="multilevel"/>
    <w:tmpl w:val="B3A0B442"/>
    <w:name w:val="WW8Num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lang w:val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94"/>
    <w:rsid w:val="000001FF"/>
    <w:rsid w:val="00005DB2"/>
    <w:rsid w:val="00014FDB"/>
    <w:rsid w:val="000511F5"/>
    <w:rsid w:val="0007212B"/>
    <w:rsid w:val="00082D3E"/>
    <w:rsid w:val="0009454D"/>
    <w:rsid w:val="000A12CE"/>
    <w:rsid w:val="000A29CF"/>
    <w:rsid w:val="000C7F73"/>
    <w:rsid w:val="000D6219"/>
    <w:rsid w:val="000D7972"/>
    <w:rsid w:val="000E1C77"/>
    <w:rsid w:val="00117865"/>
    <w:rsid w:val="0012203D"/>
    <w:rsid w:val="001378E9"/>
    <w:rsid w:val="0017000B"/>
    <w:rsid w:val="00193756"/>
    <w:rsid w:val="00195638"/>
    <w:rsid w:val="001B1241"/>
    <w:rsid w:val="001B4702"/>
    <w:rsid w:val="00236494"/>
    <w:rsid w:val="00253A99"/>
    <w:rsid w:val="00260F0F"/>
    <w:rsid w:val="00290036"/>
    <w:rsid w:val="002901CD"/>
    <w:rsid w:val="002965CA"/>
    <w:rsid w:val="002D078B"/>
    <w:rsid w:val="002E23F9"/>
    <w:rsid w:val="00330CDB"/>
    <w:rsid w:val="00332546"/>
    <w:rsid w:val="0035065A"/>
    <w:rsid w:val="00357EA0"/>
    <w:rsid w:val="003634C7"/>
    <w:rsid w:val="0036627E"/>
    <w:rsid w:val="0039069E"/>
    <w:rsid w:val="003A42EC"/>
    <w:rsid w:val="003D3E63"/>
    <w:rsid w:val="003D4E61"/>
    <w:rsid w:val="004034B0"/>
    <w:rsid w:val="0040595D"/>
    <w:rsid w:val="00407CB7"/>
    <w:rsid w:val="004110BB"/>
    <w:rsid w:val="0044781B"/>
    <w:rsid w:val="00447A61"/>
    <w:rsid w:val="00473A90"/>
    <w:rsid w:val="00474020"/>
    <w:rsid w:val="00480876"/>
    <w:rsid w:val="0049327A"/>
    <w:rsid w:val="00494A92"/>
    <w:rsid w:val="004C0C67"/>
    <w:rsid w:val="00507FFD"/>
    <w:rsid w:val="005253E9"/>
    <w:rsid w:val="00533074"/>
    <w:rsid w:val="00554420"/>
    <w:rsid w:val="00555403"/>
    <w:rsid w:val="0058614D"/>
    <w:rsid w:val="00591F1A"/>
    <w:rsid w:val="005B5C57"/>
    <w:rsid w:val="005E7DFC"/>
    <w:rsid w:val="005F48B7"/>
    <w:rsid w:val="005F7819"/>
    <w:rsid w:val="00603601"/>
    <w:rsid w:val="00605B4B"/>
    <w:rsid w:val="0061549A"/>
    <w:rsid w:val="00622B84"/>
    <w:rsid w:val="00623809"/>
    <w:rsid w:val="0063092F"/>
    <w:rsid w:val="0063488C"/>
    <w:rsid w:val="0066005B"/>
    <w:rsid w:val="006A0D3E"/>
    <w:rsid w:val="006A4AD9"/>
    <w:rsid w:val="006A5C63"/>
    <w:rsid w:val="006B428E"/>
    <w:rsid w:val="006D0BA5"/>
    <w:rsid w:val="006E618E"/>
    <w:rsid w:val="007002FE"/>
    <w:rsid w:val="0071416B"/>
    <w:rsid w:val="007204E4"/>
    <w:rsid w:val="007230C6"/>
    <w:rsid w:val="00727136"/>
    <w:rsid w:val="00727EF9"/>
    <w:rsid w:val="00731A14"/>
    <w:rsid w:val="007523D5"/>
    <w:rsid w:val="007A6CA2"/>
    <w:rsid w:val="007B11F8"/>
    <w:rsid w:val="007B221E"/>
    <w:rsid w:val="007C7F5B"/>
    <w:rsid w:val="008005C8"/>
    <w:rsid w:val="00830A16"/>
    <w:rsid w:val="00837A52"/>
    <w:rsid w:val="00896004"/>
    <w:rsid w:val="008B68FD"/>
    <w:rsid w:val="008C7AC0"/>
    <w:rsid w:val="008D1051"/>
    <w:rsid w:val="00922815"/>
    <w:rsid w:val="0093458A"/>
    <w:rsid w:val="009446EA"/>
    <w:rsid w:val="009574A3"/>
    <w:rsid w:val="00972A3C"/>
    <w:rsid w:val="009C7664"/>
    <w:rsid w:val="009C78D0"/>
    <w:rsid w:val="009D410E"/>
    <w:rsid w:val="00A009BE"/>
    <w:rsid w:val="00A138EB"/>
    <w:rsid w:val="00A21FE6"/>
    <w:rsid w:val="00A30616"/>
    <w:rsid w:val="00A541A0"/>
    <w:rsid w:val="00A54BE3"/>
    <w:rsid w:val="00A747EC"/>
    <w:rsid w:val="00A909A2"/>
    <w:rsid w:val="00A92A30"/>
    <w:rsid w:val="00AA2336"/>
    <w:rsid w:val="00AA424A"/>
    <w:rsid w:val="00AD320D"/>
    <w:rsid w:val="00AD6BD8"/>
    <w:rsid w:val="00AE6CC9"/>
    <w:rsid w:val="00B02F57"/>
    <w:rsid w:val="00B109F5"/>
    <w:rsid w:val="00B26097"/>
    <w:rsid w:val="00B364B0"/>
    <w:rsid w:val="00B50C37"/>
    <w:rsid w:val="00B840F6"/>
    <w:rsid w:val="00B85BCB"/>
    <w:rsid w:val="00B96787"/>
    <w:rsid w:val="00BA7B87"/>
    <w:rsid w:val="00BB2DBF"/>
    <w:rsid w:val="00BB471D"/>
    <w:rsid w:val="00BB6069"/>
    <w:rsid w:val="00BC0CAC"/>
    <w:rsid w:val="00BC3A01"/>
    <w:rsid w:val="00BD3CF4"/>
    <w:rsid w:val="00BF1BB7"/>
    <w:rsid w:val="00BF6924"/>
    <w:rsid w:val="00C035D3"/>
    <w:rsid w:val="00C2035D"/>
    <w:rsid w:val="00C258E1"/>
    <w:rsid w:val="00C422C7"/>
    <w:rsid w:val="00C51966"/>
    <w:rsid w:val="00C5622D"/>
    <w:rsid w:val="00C90DFF"/>
    <w:rsid w:val="00CA0315"/>
    <w:rsid w:val="00CC5491"/>
    <w:rsid w:val="00CD5E99"/>
    <w:rsid w:val="00CF5656"/>
    <w:rsid w:val="00D07701"/>
    <w:rsid w:val="00D26112"/>
    <w:rsid w:val="00D26A0E"/>
    <w:rsid w:val="00D43127"/>
    <w:rsid w:val="00D464DA"/>
    <w:rsid w:val="00D4748C"/>
    <w:rsid w:val="00D5621E"/>
    <w:rsid w:val="00D705C2"/>
    <w:rsid w:val="00D84818"/>
    <w:rsid w:val="00D861B6"/>
    <w:rsid w:val="00D9557E"/>
    <w:rsid w:val="00DB4547"/>
    <w:rsid w:val="00DC6FD6"/>
    <w:rsid w:val="00DD5B09"/>
    <w:rsid w:val="00DF7878"/>
    <w:rsid w:val="00E05C0E"/>
    <w:rsid w:val="00E15EAF"/>
    <w:rsid w:val="00E209BF"/>
    <w:rsid w:val="00E23194"/>
    <w:rsid w:val="00E51797"/>
    <w:rsid w:val="00E97EDC"/>
    <w:rsid w:val="00EA2C58"/>
    <w:rsid w:val="00EC41C2"/>
    <w:rsid w:val="00ED7A06"/>
    <w:rsid w:val="00EF1C00"/>
    <w:rsid w:val="00F348A4"/>
    <w:rsid w:val="00F6579C"/>
    <w:rsid w:val="00F65CC3"/>
    <w:rsid w:val="00F8638B"/>
    <w:rsid w:val="00FA0478"/>
    <w:rsid w:val="00FA06C5"/>
    <w:rsid w:val="00FE2216"/>
    <w:rsid w:val="00FE3636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2D3B"/>
  <w15:chartTrackingRefBased/>
  <w15:docId w15:val="{311C9E0D-17C1-46A6-BF58-5EDD23D3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basedOn w:val="Normal"/>
    <w:next w:val="Normal"/>
    <w:rsid w:val="00837A5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4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1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F5"/>
  </w:style>
  <w:style w:type="paragraph" w:styleId="Footer">
    <w:name w:val="footer"/>
    <w:basedOn w:val="Normal"/>
    <w:link w:val="FooterChar"/>
    <w:uiPriority w:val="99"/>
    <w:unhideWhenUsed/>
    <w:rsid w:val="00B10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F5"/>
  </w:style>
  <w:style w:type="paragraph" w:customStyle="1" w:styleId="Default">
    <w:name w:val="Default"/>
    <w:rsid w:val="00FE363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16D1-6201-42B6-B3B3-8C240B5F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3</cp:revision>
  <dcterms:created xsi:type="dcterms:W3CDTF">2019-01-08T06:46:00Z</dcterms:created>
  <dcterms:modified xsi:type="dcterms:W3CDTF">2019-01-17T06:46:00Z</dcterms:modified>
</cp:coreProperties>
</file>