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1280" w14:textId="77777777" w:rsidR="00482315" w:rsidRPr="00916A8D" w:rsidRDefault="00482315" w:rsidP="00F127AD">
      <w:pPr>
        <w:spacing w:after="120"/>
        <w:ind w:right="-1"/>
        <w:rPr>
          <w:noProof/>
          <w:szCs w:val="22"/>
          <w:lang w:val="lv-LV"/>
        </w:rPr>
      </w:pPr>
    </w:p>
    <w:p w14:paraId="2D9777E4" w14:textId="77777777" w:rsidR="00E96B16" w:rsidRPr="00916A8D" w:rsidRDefault="00E96B16" w:rsidP="00F127AD">
      <w:pPr>
        <w:pStyle w:val="BodyText"/>
        <w:rPr>
          <w:szCs w:val="22"/>
          <w:lang w:val="lv-LV"/>
        </w:rPr>
      </w:pPr>
    </w:p>
    <w:p w14:paraId="26DF32EE" w14:textId="77777777" w:rsidR="00E96B16" w:rsidRPr="00916A8D" w:rsidRDefault="00E96B16" w:rsidP="00F127AD">
      <w:pPr>
        <w:pStyle w:val="Heading1"/>
        <w:spacing w:after="120" w:line="240" w:lineRule="auto"/>
        <w:ind w:right="-7"/>
        <w:jc w:val="center"/>
        <w:rPr>
          <w:szCs w:val="22"/>
          <w:lang w:val="lv-LV"/>
        </w:rPr>
      </w:pPr>
      <w:r w:rsidRPr="00916A8D">
        <w:rPr>
          <w:szCs w:val="22"/>
          <w:lang w:val="lv-LV"/>
        </w:rPr>
        <w:t>ZĀĻU APRAKSTS</w:t>
      </w:r>
    </w:p>
    <w:p w14:paraId="49F177B9" w14:textId="77777777" w:rsidR="00E96B16" w:rsidRPr="00916A8D" w:rsidRDefault="00E96B16" w:rsidP="00F127AD">
      <w:pPr>
        <w:pStyle w:val="BodyText"/>
        <w:rPr>
          <w:b/>
          <w:szCs w:val="22"/>
          <w:lang w:val="lv-LV"/>
        </w:rPr>
      </w:pPr>
    </w:p>
    <w:p w14:paraId="4F8ACF78" w14:textId="77777777" w:rsidR="00C36330" w:rsidRPr="00061E9F" w:rsidRDefault="00E96B16" w:rsidP="00F127AD">
      <w:pPr>
        <w:pStyle w:val="ListParagraph"/>
        <w:numPr>
          <w:ilvl w:val="0"/>
          <w:numId w:val="15"/>
        </w:numPr>
        <w:spacing w:after="120"/>
        <w:ind w:left="0" w:right="-7" w:firstLine="0"/>
        <w:rPr>
          <w:i/>
          <w:lang w:val="lv-LV"/>
        </w:rPr>
      </w:pPr>
      <w:r w:rsidRPr="00061E9F">
        <w:rPr>
          <w:b/>
          <w:lang w:val="lv-LV"/>
        </w:rPr>
        <w:t xml:space="preserve">ZĀĻU NOSAUKUMS </w:t>
      </w:r>
    </w:p>
    <w:p w14:paraId="6A1D0C37" w14:textId="3656685B" w:rsidR="00C36330" w:rsidRPr="00061E9F" w:rsidRDefault="00E96B16" w:rsidP="00F127AD">
      <w:pPr>
        <w:pStyle w:val="ListParagraph"/>
        <w:spacing w:after="120"/>
        <w:ind w:left="0" w:right="-7" w:firstLine="0"/>
        <w:rPr>
          <w:b/>
          <w:spacing w:val="-4"/>
          <w:lang w:val="lv-LV"/>
        </w:rPr>
      </w:pPr>
      <w:r w:rsidRPr="00061E9F">
        <w:rPr>
          <w:b/>
          <w:lang w:val="lv-LV"/>
        </w:rPr>
        <w:t xml:space="preserve">Aknefug  -oxid mild 50 mg/g </w:t>
      </w:r>
      <w:r w:rsidRPr="00061E9F">
        <w:rPr>
          <w:b/>
          <w:spacing w:val="-4"/>
          <w:lang w:val="lv-LV"/>
        </w:rPr>
        <w:t xml:space="preserve">gels </w:t>
      </w:r>
    </w:p>
    <w:p w14:paraId="4EFD5681" w14:textId="77777777" w:rsidR="00E96B16" w:rsidRPr="00061E9F" w:rsidRDefault="00E96B16" w:rsidP="00F127AD">
      <w:pPr>
        <w:pStyle w:val="BodyText"/>
        <w:rPr>
          <w:i/>
          <w:szCs w:val="22"/>
          <w:lang w:val="lv-LV"/>
        </w:rPr>
      </w:pPr>
    </w:p>
    <w:p w14:paraId="67EC7D7C" w14:textId="77777777" w:rsidR="00E96B16" w:rsidRPr="00061E9F" w:rsidRDefault="00E96B16" w:rsidP="00F127AD">
      <w:pPr>
        <w:pStyle w:val="ListParagraph"/>
        <w:numPr>
          <w:ilvl w:val="0"/>
          <w:numId w:val="15"/>
        </w:numPr>
        <w:spacing w:after="120"/>
        <w:ind w:left="567" w:hanging="566"/>
        <w:rPr>
          <w:b/>
          <w:lang w:val="lv-LV"/>
        </w:rPr>
      </w:pPr>
      <w:r w:rsidRPr="00061E9F">
        <w:rPr>
          <w:b/>
          <w:lang w:val="lv-LV"/>
        </w:rPr>
        <w:t>KVALITATĪVAIS UN KVANTITATĪVAIS</w:t>
      </w:r>
      <w:r w:rsidRPr="00061E9F">
        <w:rPr>
          <w:b/>
          <w:spacing w:val="-8"/>
          <w:lang w:val="lv-LV"/>
        </w:rPr>
        <w:t xml:space="preserve"> </w:t>
      </w:r>
      <w:r w:rsidRPr="00061E9F">
        <w:rPr>
          <w:b/>
          <w:lang w:val="lv-LV"/>
        </w:rPr>
        <w:t>SASTĀVS</w:t>
      </w:r>
    </w:p>
    <w:p w14:paraId="1129BC95" w14:textId="103021B7" w:rsidR="00E96B16" w:rsidRPr="00061E9F" w:rsidRDefault="00E96B16" w:rsidP="00F127AD">
      <w:pPr>
        <w:pStyle w:val="BodyText"/>
        <w:rPr>
          <w:i/>
          <w:szCs w:val="22"/>
          <w:lang w:val="lv-LV"/>
        </w:rPr>
      </w:pPr>
    </w:p>
    <w:p w14:paraId="6C23AA31" w14:textId="1CAA70AF" w:rsidR="000B384E" w:rsidRPr="000F5876" w:rsidRDefault="000B384E" w:rsidP="00F127AD">
      <w:pPr>
        <w:pStyle w:val="BodyText"/>
        <w:rPr>
          <w:szCs w:val="22"/>
          <w:lang w:val="lv-LV"/>
        </w:rPr>
      </w:pPr>
      <w:r w:rsidRPr="00061E9F">
        <w:rPr>
          <w:szCs w:val="22"/>
          <w:lang w:val="lv-LV"/>
        </w:rPr>
        <w:t>1 g gela satur 66,7 mg benzilperoksīda</w:t>
      </w:r>
      <w:r w:rsidR="00C73DA4" w:rsidRPr="00061E9F">
        <w:rPr>
          <w:szCs w:val="22"/>
          <w:lang w:val="lv-LV"/>
        </w:rPr>
        <w:t xml:space="preserve"> hidrāta</w:t>
      </w:r>
      <w:r w:rsidRPr="00061E9F">
        <w:rPr>
          <w:szCs w:val="22"/>
          <w:lang w:val="lv-LV"/>
        </w:rPr>
        <w:t>, kas atbilst 50 mg ben</w:t>
      </w:r>
      <w:r w:rsidR="00C15E26" w:rsidRPr="00061E9F">
        <w:rPr>
          <w:szCs w:val="22"/>
          <w:lang w:val="lv-LV"/>
        </w:rPr>
        <w:t>z</w:t>
      </w:r>
      <w:r w:rsidRPr="00061E9F">
        <w:rPr>
          <w:szCs w:val="22"/>
          <w:lang w:val="lv-LV"/>
        </w:rPr>
        <w:t>ilperoksīda (</w:t>
      </w:r>
      <w:r w:rsidRPr="00061E9F">
        <w:rPr>
          <w:i/>
          <w:szCs w:val="22"/>
          <w:lang w:val="lv-LV"/>
        </w:rPr>
        <w:t xml:space="preserve">Benzoylis </w:t>
      </w:r>
      <w:r w:rsidRPr="000F5876">
        <w:rPr>
          <w:i/>
          <w:szCs w:val="22"/>
          <w:lang w:val="lv-LV"/>
        </w:rPr>
        <w:t>peroxidum</w:t>
      </w:r>
      <w:r w:rsidRPr="000F5876">
        <w:rPr>
          <w:szCs w:val="22"/>
          <w:lang w:val="lv-LV"/>
        </w:rPr>
        <w:t>).</w:t>
      </w:r>
    </w:p>
    <w:p w14:paraId="406B02F1" w14:textId="30F548AD" w:rsidR="00FE68AE" w:rsidRPr="00916A8D" w:rsidRDefault="00FE68AE" w:rsidP="00F127AD">
      <w:pPr>
        <w:pStyle w:val="BodyText"/>
        <w:rPr>
          <w:i/>
          <w:szCs w:val="22"/>
          <w:lang w:val="lv-LV"/>
        </w:rPr>
      </w:pPr>
      <w:r w:rsidRPr="000F5876">
        <w:rPr>
          <w:color w:val="000000"/>
          <w:szCs w:val="22"/>
          <w:u w:val="single"/>
          <w:lang w:val="lv-LV"/>
        </w:rPr>
        <w:t>Palīgviela ar zināmu iedarbību</w:t>
      </w:r>
      <w:r w:rsidRPr="000F5876">
        <w:rPr>
          <w:color w:val="000000"/>
          <w:szCs w:val="22"/>
          <w:lang w:val="lv-LV"/>
        </w:rPr>
        <w:t xml:space="preserve">: </w:t>
      </w:r>
      <w:r w:rsidR="00D571BE" w:rsidRPr="000F5876">
        <w:rPr>
          <w:color w:val="000000"/>
          <w:szCs w:val="22"/>
          <w:lang w:val="lv-LV"/>
        </w:rPr>
        <w:t xml:space="preserve">viens g gela satur 18 mg </w:t>
      </w:r>
      <w:r w:rsidRPr="000F5876">
        <w:rPr>
          <w:color w:val="000000"/>
          <w:szCs w:val="22"/>
          <w:lang w:val="lv-LV"/>
        </w:rPr>
        <w:t>ste</w:t>
      </w:r>
      <w:r w:rsidR="000C7818" w:rsidRPr="000F5876">
        <w:rPr>
          <w:color w:val="000000"/>
          <w:szCs w:val="22"/>
          <w:lang w:val="lv-LV"/>
        </w:rPr>
        <w:t>a</w:t>
      </w:r>
      <w:r w:rsidRPr="000F5876">
        <w:rPr>
          <w:color w:val="000000"/>
          <w:szCs w:val="22"/>
          <w:lang w:val="lv-LV"/>
        </w:rPr>
        <w:t>rilspirt</w:t>
      </w:r>
      <w:r w:rsidR="000F5876" w:rsidRPr="000F5876">
        <w:rPr>
          <w:color w:val="000000"/>
          <w:szCs w:val="22"/>
          <w:lang w:val="lv-LV"/>
        </w:rPr>
        <w:t>a</w:t>
      </w:r>
      <w:r w:rsidR="000C7818" w:rsidRPr="000F5876">
        <w:rPr>
          <w:color w:val="000000"/>
          <w:szCs w:val="22"/>
          <w:lang w:val="lv-LV"/>
        </w:rPr>
        <w:t>.</w:t>
      </w:r>
    </w:p>
    <w:p w14:paraId="75B6573F" w14:textId="4D71130D" w:rsidR="00E96B16" w:rsidRPr="00916A8D" w:rsidRDefault="00E96B16" w:rsidP="00F127AD">
      <w:pPr>
        <w:pStyle w:val="BodyText"/>
        <w:rPr>
          <w:szCs w:val="22"/>
          <w:lang w:val="lv-LV"/>
        </w:rPr>
      </w:pPr>
      <w:r w:rsidRPr="00061E9F">
        <w:rPr>
          <w:szCs w:val="22"/>
          <w:lang w:val="lv-LV"/>
        </w:rPr>
        <w:t xml:space="preserve">Pilnu palīgvielu sarakstu skatīt </w:t>
      </w:r>
      <w:r w:rsidR="00C17B69" w:rsidRPr="00061E9F">
        <w:rPr>
          <w:szCs w:val="22"/>
          <w:lang w:val="lv-LV"/>
        </w:rPr>
        <w:t xml:space="preserve">6.1. </w:t>
      </w:r>
      <w:r w:rsidRPr="00061E9F">
        <w:rPr>
          <w:szCs w:val="22"/>
          <w:lang w:val="lv-LV"/>
        </w:rPr>
        <w:t>apakšpunktā</w:t>
      </w:r>
      <w:r w:rsidR="00C17B69" w:rsidRPr="00061E9F">
        <w:rPr>
          <w:szCs w:val="22"/>
          <w:lang w:val="lv-LV"/>
        </w:rPr>
        <w:t>.</w:t>
      </w:r>
      <w:r w:rsidRPr="00061E9F">
        <w:rPr>
          <w:szCs w:val="22"/>
          <w:lang w:val="lv-LV"/>
        </w:rPr>
        <w:t xml:space="preserve"> </w:t>
      </w:r>
    </w:p>
    <w:p w14:paraId="6F3DF336" w14:textId="77777777" w:rsidR="00E96B16" w:rsidRPr="00916A8D" w:rsidRDefault="00E96B16" w:rsidP="00F127AD">
      <w:pPr>
        <w:pStyle w:val="BodyText"/>
        <w:rPr>
          <w:szCs w:val="22"/>
          <w:lang w:val="lv-LV"/>
        </w:rPr>
      </w:pPr>
    </w:p>
    <w:p w14:paraId="36A84B0A" w14:textId="77777777" w:rsidR="00E96B16" w:rsidRPr="00916A8D" w:rsidRDefault="00E96B16" w:rsidP="00F127AD">
      <w:pPr>
        <w:pStyle w:val="Heading1"/>
        <w:keepNext w:val="0"/>
        <w:widowControl w:val="0"/>
        <w:numPr>
          <w:ilvl w:val="0"/>
          <w:numId w:val="15"/>
        </w:numPr>
        <w:autoSpaceDE w:val="0"/>
        <w:autoSpaceDN w:val="0"/>
        <w:spacing w:after="120" w:line="240" w:lineRule="auto"/>
        <w:ind w:left="567" w:hanging="566"/>
        <w:rPr>
          <w:szCs w:val="22"/>
          <w:lang w:val="lv-LV"/>
        </w:rPr>
      </w:pPr>
      <w:r w:rsidRPr="00916A8D">
        <w:rPr>
          <w:szCs w:val="22"/>
          <w:lang w:val="lv-LV"/>
        </w:rPr>
        <w:t>ZĀĻU</w:t>
      </w:r>
      <w:r w:rsidRPr="00916A8D">
        <w:rPr>
          <w:spacing w:val="-3"/>
          <w:szCs w:val="22"/>
          <w:lang w:val="lv-LV"/>
        </w:rPr>
        <w:t xml:space="preserve"> </w:t>
      </w:r>
      <w:r w:rsidRPr="00916A8D">
        <w:rPr>
          <w:szCs w:val="22"/>
          <w:lang w:val="lv-LV"/>
        </w:rPr>
        <w:t>FORMA</w:t>
      </w:r>
    </w:p>
    <w:p w14:paraId="2E1BB67E" w14:textId="77777777" w:rsidR="00E96B16" w:rsidRPr="00061E9F" w:rsidRDefault="00E96B16" w:rsidP="00F127AD">
      <w:pPr>
        <w:pStyle w:val="BodyText"/>
        <w:rPr>
          <w:szCs w:val="22"/>
          <w:lang w:val="lv-LV"/>
        </w:rPr>
      </w:pPr>
      <w:r w:rsidRPr="00061E9F">
        <w:rPr>
          <w:szCs w:val="22"/>
          <w:lang w:val="lv-LV"/>
        </w:rPr>
        <w:t>Gels.</w:t>
      </w:r>
    </w:p>
    <w:p w14:paraId="1EA42CAD" w14:textId="50308E33" w:rsidR="00E96B16" w:rsidRPr="00916A8D" w:rsidRDefault="00E96B16" w:rsidP="00F127AD">
      <w:pPr>
        <w:pStyle w:val="BodyText"/>
        <w:ind w:right="7198"/>
        <w:rPr>
          <w:szCs w:val="22"/>
          <w:lang w:val="lv-LV"/>
        </w:rPr>
      </w:pPr>
      <w:r w:rsidRPr="00061E9F">
        <w:rPr>
          <w:szCs w:val="22"/>
          <w:lang w:val="lv-LV"/>
        </w:rPr>
        <w:t>Balts, viendabīgsgels.</w:t>
      </w:r>
    </w:p>
    <w:p w14:paraId="1B52A16C" w14:textId="77777777" w:rsidR="00E96B16" w:rsidRPr="00916A8D" w:rsidRDefault="00E96B16" w:rsidP="00F127AD">
      <w:pPr>
        <w:pStyle w:val="BodyText"/>
        <w:ind w:right="7198"/>
        <w:rPr>
          <w:szCs w:val="22"/>
          <w:lang w:val="lv-LV"/>
        </w:rPr>
      </w:pPr>
    </w:p>
    <w:p w14:paraId="4C076508" w14:textId="77777777" w:rsidR="00E96B16" w:rsidRPr="00916A8D" w:rsidRDefault="00E96B16" w:rsidP="00F127AD">
      <w:pPr>
        <w:pStyle w:val="Heading1"/>
        <w:keepNext w:val="0"/>
        <w:widowControl w:val="0"/>
        <w:numPr>
          <w:ilvl w:val="0"/>
          <w:numId w:val="15"/>
        </w:numPr>
        <w:autoSpaceDE w:val="0"/>
        <w:autoSpaceDN w:val="0"/>
        <w:spacing w:after="120" w:line="240" w:lineRule="auto"/>
        <w:ind w:left="567" w:hanging="566"/>
        <w:rPr>
          <w:szCs w:val="22"/>
          <w:lang w:val="lv-LV"/>
        </w:rPr>
      </w:pPr>
      <w:r w:rsidRPr="00916A8D">
        <w:rPr>
          <w:szCs w:val="22"/>
          <w:lang w:val="lv-LV"/>
        </w:rPr>
        <w:t>KLĪNISKĀ</w:t>
      </w:r>
      <w:r w:rsidRPr="00916A8D">
        <w:rPr>
          <w:spacing w:val="-4"/>
          <w:szCs w:val="22"/>
          <w:lang w:val="lv-LV"/>
        </w:rPr>
        <w:t xml:space="preserve"> </w:t>
      </w:r>
      <w:r w:rsidRPr="00916A8D">
        <w:rPr>
          <w:szCs w:val="22"/>
          <w:lang w:val="lv-LV"/>
        </w:rPr>
        <w:t>INFORMĀCIJA</w:t>
      </w:r>
    </w:p>
    <w:p w14:paraId="05996F03" w14:textId="77777777" w:rsidR="00E96B16" w:rsidRPr="00916A8D" w:rsidRDefault="00E96B16" w:rsidP="00F127AD">
      <w:pPr>
        <w:pStyle w:val="ListParagraph"/>
        <w:numPr>
          <w:ilvl w:val="1"/>
          <w:numId w:val="15"/>
        </w:numPr>
        <w:spacing w:after="120"/>
        <w:ind w:left="567" w:hanging="566"/>
        <w:rPr>
          <w:b/>
          <w:lang w:val="lv-LV"/>
        </w:rPr>
      </w:pPr>
      <w:r w:rsidRPr="00916A8D">
        <w:rPr>
          <w:b/>
          <w:lang w:val="lv-LV"/>
        </w:rPr>
        <w:t>Terapeitiskās indikācijas</w:t>
      </w:r>
    </w:p>
    <w:p w14:paraId="6A44888D" w14:textId="12AC39F9" w:rsidR="00E96B16" w:rsidRPr="00061E9F" w:rsidRDefault="00303E6F" w:rsidP="00F127AD">
      <w:pPr>
        <w:pStyle w:val="BodyText"/>
        <w:ind w:right="195"/>
        <w:rPr>
          <w:szCs w:val="22"/>
          <w:lang w:val="lv-LV"/>
        </w:rPr>
      </w:pPr>
      <w:r w:rsidRPr="00061E9F">
        <w:rPr>
          <w:szCs w:val="22"/>
          <w:lang w:val="lv-LV"/>
        </w:rPr>
        <w:t>E</w:t>
      </w:r>
      <w:r w:rsidR="00E96B16" w:rsidRPr="00061E9F">
        <w:rPr>
          <w:szCs w:val="22"/>
          <w:lang w:val="lv-LV"/>
        </w:rPr>
        <w:t>ndog</w:t>
      </w:r>
      <w:r w:rsidRPr="00061E9F">
        <w:rPr>
          <w:szCs w:val="22"/>
          <w:lang w:val="lv-LV"/>
        </w:rPr>
        <w:t>ē</w:t>
      </w:r>
      <w:r w:rsidR="00E96B16" w:rsidRPr="00061E9F">
        <w:rPr>
          <w:szCs w:val="22"/>
          <w:lang w:val="lv-LV"/>
        </w:rPr>
        <w:t>n</w:t>
      </w:r>
      <w:r w:rsidRPr="00061E9F">
        <w:rPr>
          <w:szCs w:val="22"/>
          <w:lang w:val="lv-LV"/>
        </w:rPr>
        <w:t>as</w:t>
      </w:r>
      <w:r w:rsidR="00E96B16" w:rsidRPr="00061E9F">
        <w:rPr>
          <w:szCs w:val="22"/>
          <w:lang w:val="lv-LV"/>
        </w:rPr>
        <w:t xml:space="preserve"> pi</w:t>
      </w:r>
      <w:r w:rsidRPr="00061E9F">
        <w:rPr>
          <w:szCs w:val="22"/>
          <w:lang w:val="lv-LV"/>
        </w:rPr>
        <w:t>nnes</w:t>
      </w:r>
      <w:r w:rsidR="00E96B16" w:rsidRPr="00061E9F">
        <w:rPr>
          <w:szCs w:val="22"/>
          <w:lang w:val="lv-LV"/>
        </w:rPr>
        <w:t xml:space="preserve"> </w:t>
      </w:r>
      <w:r w:rsidR="00E96B16" w:rsidRPr="00061E9F">
        <w:rPr>
          <w:i/>
          <w:szCs w:val="22"/>
          <w:lang w:val="lv-LV"/>
        </w:rPr>
        <w:t xml:space="preserve">(Acne vulgaris), </w:t>
      </w:r>
      <w:r w:rsidR="00E96B16" w:rsidRPr="00061E9F">
        <w:rPr>
          <w:szCs w:val="22"/>
          <w:lang w:val="lv-LV"/>
        </w:rPr>
        <w:t xml:space="preserve">kuras </w:t>
      </w:r>
      <w:r w:rsidR="006839F1" w:rsidRPr="00061E9F">
        <w:rPr>
          <w:szCs w:val="22"/>
          <w:lang w:val="lv-LV"/>
        </w:rPr>
        <w:t>izsauc</w:t>
      </w:r>
      <w:r w:rsidR="00E96B16" w:rsidRPr="00061E9F">
        <w:rPr>
          <w:szCs w:val="22"/>
          <w:lang w:val="lv-LV"/>
        </w:rPr>
        <w:t xml:space="preserve"> hormonāl</w:t>
      </w:r>
      <w:r w:rsidR="006839F1" w:rsidRPr="00061E9F">
        <w:rPr>
          <w:szCs w:val="22"/>
          <w:lang w:val="lv-LV"/>
        </w:rPr>
        <w:t>as</w:t>
      </w:r>
      <w:r w:rsidR="00E96B16" w:rsidRPr="00061E9F">
        <w:rPr>
          <w:szCs w:val="22"/>
          <w:lang w:val="lv-LV"/>
        </w:rPr>
        <w:t xml:space="preserve"> izmaiņ</w:t>
      </w:r>
      <w:r w:rsidR="003F651C" w:rsidRPr="00061E9F">
        <w:rPr>
          <w:szCs w:val="22"/>
          <w:lang w:val="lv-LV"/>
        </w:rPr>
        <w:t>as</w:t>
      </w:r>
      <w:r w:rsidR="00E96B16" w:rsidRPr="00061E9F">
        <w:rPr>
          <w:szCs w:val="22"/>
          <w:lang w:val="lv-LV"/>
        </w:rPr>
        <w:t xml:space="preserve">  puber</w:t>
      </w:r>
      <w:r w:rsidR="00656D89" w:rsidRPr="00061E9F">
        <w:rPr>
          <w:szCs w:val="22"/>
          <w:lang w:val="lv-LV"/>
        </w:rPr>
        <w:t>t</w:t>
      </w:r>
      <w:r w:rsidR="00E96B16" w:rsidRPr="00061E9F">
        <w:rPr>
          <w:szCs w:val="22"/>
          <w:lang w:val="lv-LV"/>
        </w:rPr>
        <w:t>ātes laikā.</w:t>
      </w:r>
    </w:p>
    <w:p w14:paraId="6237677B" w14:textId="77777777" w:rsidR="00E96B16" w:rsidRPr="00061E9F" w:rsidRDefault="00E96B16" w:rsidP="00F127AD">
      <w:pPr>
        <w:pStyle w:val="BodyText"/>
        <w:rPr>
          <w:szCs w:val="22"/>
          <w:lang w:val="lv-LV"/>
        </w:rPr>
      </w:pPr>
    </w:p>
    <w:p w14:paraId="0289C6DC" w14:textId="77777777" w:rsidR="00E96B16" w:rsidRPr="00061E9F"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061E9F">
        <w:rPr>
          <w:szCs w:val="22"/>
          <w:lang w:val="lv-LV"/>
        </w:rPr>
        <w:t>Devas un lietošanas</w:t>
      </w:r>
      <w:r w:rsidRPr="00061E9F">
        <w:rPr>
          <w:spacing w:val="-1"/>
          <w:szCs w:val="22"/>
          <w:lang w:val="lv-LV"/>
        </w:rPr>
        <w:t xml:space="preserve"> </w:t>
      </w:r>
      <w:r w:rsidRPr="00061E9F">
        <w:rPr>
          <w:szCs w:val="22"/>
          <w:lang w:val="lv-LV"/>
        </w:rPr>
        <w:t>veids</w:t>
      </w:r>
    </w:p>
    <w:p w14:paraId="7A9E8BFB" w14:textId="77777777" w:rsidR="00E96B16" w:rsidRPr="00061E9F" w:rsidRDefault="00E96B16" w:rsidP="00F127AD">
      <w:pPr>
        <w:pStyle w:val="BodyText"/>
        <w:rPr>
          <w:szCs w:val="22"/>
          <w:lang w:val="lv-LV"/>
        </w:rPr>
      </w:pPr>
      <w:r w:rsidRPr="00061E9F">
        <w:rPr>
          <w:szCs w:val="22"/>
          <w:lang w:val="lv-LV"/>
        </w:rPr>
        <w:t>Arīgai lietošanai uz ādas.</w:t>
      </w:r>
    </w:p>
    <w:p w14:paraId="2F6D26E1" w14:textId="64E0985B" w:rsidR="00E96B16" w:rsidRPr="00916A8D" w:rsidRDefault="00E96B16" w:rsidP="00F127AD">
      <w:pPr>
        <w:pStyle w:val="BodyText"/>
        <w:ind w:hanging="1"/>
        <w:rPr>
          <w:szCs w:val="22"/>
          <w:lang w:val="lv-LV"/>
        </w:rPr>
      </w:pPr>
      <w:r w:rsidRPr="00061E9F">
        <w:rPr>
          <w:b/>
          <w:szCs w:val="22"/>
          <w:lang w:val="lv-LV"/>
        </w:rPr>
        <w:t xml:space="preserve">Aknefug  -oxid mild </w:t>
      </w:r>
      <w:r w:rsidRPr="00061E9F">
        <w:rPr>
          <w:szCs w:val="22"/>
          <w:lang w:val="lv-LV"/>
        </w:rPr>
        <w:t xml:space="preserve">jāuzziež uz </w:t>
      </w:r>
      <w:r w:rsidR="001E4E36" w:rsidRPr="00061E9F">
        <w:rPr>
          <w:szCs w:val="22"/>
          <w:lang w:val="lv-LV"/>
        </w:rPr>
        <w:t>bojātajiem</w:t>
      </w:r>
      <w:r w:rsidRPr="00061E9F">
        <w:rPr>
          <w:szCs w:val="22"/>
          <w:lang w:val="lv-LV"/>
        </w:rPr>
        <w:t xml:space="preserve"> ādas </w:t>
      </w:r>
      <w:r w:rsidR="001E4E36" w:rsidRPr="00061E9F">
        <w:rPr>
          <w:szCs w:val="22"/>
          <w:lang w:val="lv-LV"/>
        </w:rPr>
        <w:t xml:space="preserve">rajoniem </w:t>
      </w:r>
      <w:r w:rsidR="00315B9D" w:rsidRPr="00061E9F">
        <w:rPr>
          <w:szCs w:val="22"/>
          <w:lang w:val="lv-LV"/>
        </w:rPr>
        <w:t>1-2</w:t>
      </w:r>
      <w:r w:rsidRPr="00061E9F">
        <w:rPr>
          <w:szCs w:val="22"/>
          <w:lang w:val="lv-LV"/>
        </w:rPr>
        <w:t xml:space="preserve"> reizes dienā. T</w:t>
      </w:r>
      <w:r w:rsidR="00315B9D" w:rsidRPr="00061E9F">
        <w:rPr>
          <w:szCs w:val="22"/>
          <w:lang w:val="lv-LV"/>
        </w:rPr>
        <w:t>o</w:t>
      </w:r>
      <w:r w:rsidRPr="00061E9F">
        <w:rPr>
          <w:szCs w:val="22"/>
          <w:lang w:val="lv-LV"/>
        </w:rPr>
        <w:t xml:space="preserve"> lieto, līdz izzūd slimības simptomi, vidēji apmēram 4 nedēļas.</w:t>
      </w:r>
    </w:p>
    <w:p w14:paraId="0979588A" w14:textId="77777777" w:rsidR="00E96B16" w:rsidRPr="00916A8D" w:rsidRDefault="00E96B16" w:rsidP="00F127AD">
      <w:pPr>
        <w:pStyle w:val="BodyText"/>
        <w:rPr>
          <w:szCs w:val="22"/>
          <w:lang w:val="lv-LV"/>
        </w:rPr>
      </w:pPr>
    </w:p>
    <w:p w14:paraId="0F464E99" w14:textId="77777777" w:rsidR="00E96B16" w:rsidRPr="00916A8D"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916A8D">
        <w:rPr>
          <w:szCs w:val="22"/>
          <w:lang w:val="lv-LV"/>
        </w:rPr>
        <w:t>Kontrindikācijas</w:t>
      </w:r>
    </w:p>
    <w:p w14:paraId="1741FA5C" w14:textId="1741B713" w:rsidR="00E96B16" w:rsidRPr="00061E9F" w:rsidRDefault="00E96B16" w:rsidP="002764DE">
      <w:pPr>
        <w:spacing w:after="120"/>
        <w:rPr>
          <w:szCs w:val="22"/>
          <w:lang w:val="lv-LV"/>
        </w:rPr>
      </w:pPr>
      <w:r w:rsidRPr="00061E9F">
        <w:rPr>
          <w:szCs w:val="22"/>
          <w:lang w:val="lv-LV"/>
        </w:rPr>
        <w:t xml:space="preserve">Paaugstināta jutība pret </w:t>
      </w:r>
      <w:r w:rsidRPr="00061E9F">
        <w:rPr>
          <w:b/>
          <w:szCs w:val="22"/>
          <w:lang w:val="lv-LV"/>
        </w:rPr>
        <w:t xml:space="preserve">Aknefug  -oxid mild </w:t>
      </w:r>
      <w:r w:rsidRPr="00061E9F">
        <w:rPr>
          <w:szCs w:val="22"/>
          <w:lang w:val="lv-LV"/>
        </w:rPr>
        <w:t xml:space="preserve">aktīvo vielu un/vai jebkuru no </w:t>
      </w:r>
      <w:r w:rsidR="000E6DBE" w:rsidRPr="00061E9F">
        <w:rPr>
          <w:lang w:val="lv-LV"/>
        </w:rPr>
        <w:t xml:space="preserve">6.1. apakšpunktā uzskaitītajām </w:t>
      </w:r>
      <w:r w:rsidRPr="00061E9F">
        <w:rPr>
          <w:szCs w:val="22"/>
          <w:lang w:val="lv-LV"/>
        </w:rPr>
        <w:t>palīgvielām.</w:t>
      </w:r>
    </w:p>
    <w:p w14:paraId="592E466E" w14:textId="4F19097A" w:rsidR="00E96B16" w:rsidRPr="00061E9F" w:rsidRDefault="00E96B16" w:rsidP="00F127AD">
      <w:pPr>
        <w:rPr>
          <w:b/>
          <w:szCs w:val="22"/>
          <w:lang w:val="lv-LV"/>
        </w:rPr>
      </w:pPr>
      <w:r w:rsidRPr="00061E9F">
        <w:rPr>
          <w:szCs w:val="22"/>
          <w:lang w:val="lv-LV"/>
        </w:rPr>
        <w:t xml:space="preserve">Zināma paaugstināta jutība pret benzilperoksīdu, makrogolu vai kādu citu </w:t>
      </w:r>
      <w:r w:rsidRPr="00061E9F">
        <w:rPr>
          <w:b/>
          <w:szCs w:val="22"/>
          <w:lang w:val="lv-LV"/>
        </w:rPr>
        <w:t>Aknefug  -oxid mild</w:t>
      </w:r>
    </w:p>
    <w:p w14:paraId="5F50CDD7" w14:textId="77777777" w:rsidR="00E96B16" w:rsidRPr="00061E9F" w:rsidRDefault="00E96B16" w:rsidP="00F127AD">
      <w:pPr>
        <w:pStyle w:val="BodyText"/>
        <w:rPr>
          <w:szCs w:val="22"/>
          <w:lang w:val="lv-LV"/>
        </w:rPr>
      </w:pPr>
      <w:r w:rsidRPr="00061E9F">
        <w:rPr>
          <w:szCs w:val="22"/>
          <w:lang w:val="lv-LV"/>
        </w:rPr>
        <w:t>sastāvdaļu.</w:t>
      </w:r>
    </w:p>
    <w:p w14:paraId="39F58FD1" w14:textId="77777777" w:rsidR="00E96B16" w:rsidRPr="00061E9F" w:rsidRDefault="00E96B16" w:rsidP="00F127AD">
      <w:pPr>
        <w:pStyle w:val="BodyText"/>
        <w:rPr>
          <w:szCs w:val="22"/>
          <w:lang w:val="lv-LV"/>
        </w:rPr>
      </w:pPr>
      <w:r w:rsidRPr="00061E9F">
        <w:rPr>
          <w:szCs w:val="22"/>
          <w:lang w:val="lv-LV"/>
        </w:rPr>
        <w:t>Zāles nedrīkst lietot grūtniecības pēdējos mēnešos.</w:t>
      </w:r>
    </w:p>
    <w:p w14:paraId="1C9B0F2F" w14:textId="77777777" w:rsidR="00E96B16" w:rsidRPr="00061E9F" w:rsidRDefault="00E96B16" w:rsidP="00F127AD">
      <w:pPr>
        <w:pStyle w:val="BodyText"/>
        <w:rPr>
          <w:szCs w:val="22"/>
          <w:lang w:val="lv-LV"/>
        </w:rPr>
      </w:pPr>
    </w:p>
    <w:p w14:paraId="03A231C7" w14:textId="77777777" w:rsidR="00E96B16" w:rsidRPr="00061E9F"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061E9F">
        <w:rPr>
          <w:szCs w:val="22"/>
          <w:lang w:val="lv-LV"/>
        </w:rPr>
        <w:t>Īpaši brīdinājumi un piesardzība</w:t>
      </w:r>
      <w:r w:rsidRPr="00061E9F">
        <w:rPr>
          <w:spacing w:val="-2"/>
          <w:szCs w:val="22"/>
          <w:lang w:val="lv-LV"/>
        </w:rPr>
        <w:t xml:space="preserve"> </w:t>
      </w:r>
      <w:r w:rsidRPr="00061E9F">
        <w:rPr>
          <w:szCs w:val="22"/>
          <w:lang w:val="lv-LV"/>
        </w:rPr>
        <w:t>lietošanā</w:t>
      </w:r>
    </w:p>
    <w:p w14:paraId="005C5F83" w14:textId="77777777" w:rsidR="00E96B16" w:rsidRPr="00061E9F" w:rsidRDefault="00E96B16" w:rsidP="00F127AD">
      <w:pPr>
        <w:pStyle w:val="BodyText"/>
        <w:rPr>
          <w:szCs w:val="22"/>
          <w:lang w:val="lv-LV"/>
        </w:rPr>
      </w:pPr>
      <w:r w:rsidRPr="00061E9F">
        <w:rPr>
          <w:szCs w:val="22"/>
          <w:lang w:val="lv-LV"/>
        </w:rPr>
        <w:t>Stearilspirts var izraisīt vietējas ādas reakcijas (piemēram, kontaktdermatītu).</w:t>
      </w:r>
    </w:p>
    <w:p w14:paraId="72C8CB40" w14:textId="71CC1749" w:rsidR="00E96B16" w:rsidRPr="00061E9F" w:rsidRDefault="00E96B16" w:rsidP="00F127AD">
      <w:pPr>
        <w:pStyle w:val="BodyText"/>
        <w:rPr>
          <w:szCs w:val="22"/>
          <w:lang w:val="lv-LV"/>
        </w:rPr>
      </w:pPr>
      <w:r w:rsidRPr="00061E9F">
        <w:rPr>
          <w:b/>
          <w:szCs w:val="22"/>
          <w:lang w:val="lv-LV"/>
        </w:rPr>
        <w:t xml:space="preserve">Aknefug  -oxid mild </w:t>
      </w:r>
      <w:r w:rsidRPr="00061E9F">
        <w:rPr>
          <w:szCs w:val="22"/>
          <w:lang w:val="lv-LV"/>
        </w:rPr>
        <w:t xml:space="preserve">atopiskiem pacientiem ar sausu, </w:t>
      </w:r>
      <w:r w:rsidR="00C572BB" w:rsidRPr="00C572BB">
        <w:rPr>
          <w:szCs w:val="22"/>
          <w:lang w:val="lv-LV"/>
        </w:rPr>
        <w:t>netaukainu</w:t>
      </w:r>
      <w:r w:rsidRPr="00061E9F">
        <w:rPr>
          <w:szCs w:val="22"/>
          <w:lang w:val="lv-LV"/>
        </w:rPr>
        <w:t xml:space="preserve"> ādu jālieto</w:t>
      </w:r>
      <w:r w:rsidR="003C1783">
        <w:rPr>
          <w:szCs w:val="22"/>
          <w:lang w:val="lv-LV"/>
        </w:rPr>
        <w:t>,</w:t>
      </w:r>
      <w:r w:rsidRPr="00061E9F">
        <w:rPr>
          <w:szCs w:val="22"/>
          <w:lang w:val="lv-LV"/>
        </w:rPr>
        <w:t xml:space="preserve"> ievērojot piesardzību. </w:t>
      </w:r>
      <w:r w:rsidRPr="00061E9F">
        <w:rPr>
          <w:b/>
          <w:szCs w:val="22"/>
          <w:lang w:val="lv-LV"/>
        </w:rPr>
        <w:t xml:space="preserve">Aknefug  -oxid mild </w:t>
      </w:r>
      <w:r w:rsidRPr="00061E9F">
        <w:rPr>
          <w:szCs w:val="22"/>
          <w:lang w:val="lv-LV"/>
        </w:rPr>
        <w:t>lietošanas laikā jāizvairās no ārstēto ādas apgabalu vienlaicīgas intensīvas apstarošanas ar UV stariem (piemēram, sauļošanās, solārija), jo var pastiprināties reakcija pret UV stariem.</w:t>
      </w:r>
    </w:p>
    <w:p w14:paraId="1C2A4BF7" w14:textId="4830B2F8" w:rsidR="00E96B16" w:rsidRPr="00916A8D" w:rsidRDefault="00E96B16" w:rsidP="00F127AD">
      <w:pPr>
        <w:pStyle w:val="BodyText"/>
        <w:ind w:right="195"/>
        <w:rPr>
          <w:szCs w:val="22"/>
          <w:lang w:val="lv-LV"/>
        </w:rPr>
      </w:pPr>
      <w:r w:rsidRPr="00061E9F">
        <w:rPr>
          <w:b/>
          <w:szCs w:val="22"/>
          <w:lang w:val="lv-LV"/>
        </w:rPr>
        <w:lastRenderedPageBreak/>
        <w:t xml:space="preserve">Aknefug  -oxid mild </w:t>
      </w:r>
      <w:r w:rsidRPr="00061E9F">
        <w:rPr>
          <w:szCs w:val="22"/>
          <w:lang w:val="lv-LV"/>
        </w:rPr>
        <w:t>var izbalināt matus un krāsainus audumus (gultasveļu, apģērbu).</w:t>
      </w:r>
      <w:r w:rsidR="000E6DBE" w:rsidRPr="00061E9F">
        <w:rPr>
          <w:szCs w:val="22"/>
          <w:lang w:val="lv-LV"/>
        </w:rPr>
        <w:t xml:space="preserve"> </w:t>
      </w:r>
      <w:r w:rsidRPr="00061E9F">
        <w:rPr>
          <w:szCs w:val="22"/>
          <w:lang w:val="lv-LV"/>
        </w:rPr>
        <w:t>Lai izvairītos no izbal</w:t>
      </w:r>
      <w:r w:rsidR="00406F27" w:rsidRPr="00061E9F">
        <w:rPr>
          <w:szCs w:val="22"/>
          <w:lang w:val="lv-LV"/>
        </w:rPr>
        <w:t>ē</w:t>
      </w:r>
      <w:r w:rsidRPr="00061E9F">
        <w:rPr>
          <w:szCs w:val="22"/>
          <w:lang w:val="lv-LV"/>
        </w:rPr>
        <w:t xml:space="preserve">šanas, </w:t>
      </w:r>
      <w:r w:rsidRPr="00061E9F">
        <w:rPr>
          <w:b/>
          <w:szCs w:val="22"/>
          <w:lang w:val="lv-LV"/>
        </w:rPr>
        <w:t xml:space="preserve">Aknefug  -oxid mild </w:t>
      </w:r>
      <w:r w:rsidRPr="00061E9F">
        <w:rPr>
          <w:szCs w:val="22"/>
          <w:lang w:val="lv-LV"/>
        </w:rPr>
        <w:t>nedrīkst nonākt saskarē ar matiem vai krāsainiem audumiem (no rokām vai ārstētās ādas)</w:t>
      </w:r>
      <w:r w:rsidR="00AF25E1" w:rsidRPr="00061E9F">
        <w:rPr>
          <w:szCs w:val="22"/>
          <w:lang w:val="lv-LV"/>
        </w:rPr>
        <w:t>.</w:t>
      </w:r>
    </w:p>
    <w:p w14:paraId="1DB11262" w14:textId="0F4EBBB9" w:rsidR="00E96B16" w:rsidRPr="00916A8D" w:rsidRDefault="00E96B16" w:rsidP="00F127AD">
      <w:pPr>
        <w:pStyle w:val="BodyText"/>
        <w:ind w:right="109" w:hanging="1"/>
        <w:jc w:val="both"/>
        <w:rPr>
          <w:szCs w:val="22"/>
          <w:lang w:val="lv-LV"/>
        </w:rPr>
      </w:pPr>
      <w:r w:rsidRPr="00916A8D">
        <w:rPr>
          <w:b/>
          <w:szCs w:val="22"/>
          <w:lang w:val="lv-LV"/>
        </w:rPr>
        <w:t xml:space="preserve">Aknefug  -oxid mild </w:t>
      </w:r>
      <w:r w:rsidRPr="00916A8D">
        <w:rPr>
          <w:szCs w:val="22"/>
          <w:lang w:val="lv-LV"/>
        </w:rPr>
        <w:t>ir paredzēts tikai ārīgai lietošanai. Jāuzmanās, lai tas nenokļūst acīs un uz gļotādām (lūpām, mutē).</w:t>
      </w:r>
      <w:r w:rsidR="0081068A">
        <w:rPr>
          <w:szCs w:val="22"/>
          <w:lang w:val="lv-LV"/>
        </w:rPr>
        <w:t xml:space="preserve"> </w:t>
      </w:r>
      <w:r w:rsidRPr="00916A8D">
        <w:rPr>
          <w:szCs w:val="22"/>
          <w:lang w:val="lv-LV"/>
        </w:rPr>
        <w:t>Nejauša nokļūšana acīs izraisa apsārtumu un durstošu sajūtu. Šādos gadījumos acis rūpīgi jāizskalo ar tekošu</w:t>
      </w:r>
      <w:r w:rsidRPr="00916A8D">
        <w:rPr>
          <w:spacing w:val="2"/>
          <w:szCs w:val="22"/>
          <w:lang w:val="lv-LV"/>
        </w:rPr>
        <w:t xml:space="preserve"> </w:t>
      </w:r>
      <w:r w:rsidRPr="00916A8D">
        <w:rPr>
          <w:szCs w:val="22"/>
          <w:lang w:val="lv-LV"/>
        </w:rPr>
        <w:t>ūdeni.</w:t>
      </w:r>
    </w:p>
    <w:p w14:paraId="2D1AF04D" w14:textId="3A31B6B1" w:rsidR="00E96B16" w:rsidRPr="00916A8D" w:rsidRDefault="00E96B16" w:rsidP="00F127AD">
      <w:pPr>
        <w:pStyle w:val="BodyText"/>
        <w:ind w:right="195"/>
        <w:rPr>
          <w:szCs w:val="22"/>
          <w:lang w:val="lv-LV"/>
        </w:rPr>
      </w:pPr>
      <w:r w:rsidRPr="00916A8D">
        <w:rPr>
          <w:b/>
          <w:szCs w:val="22"/>
          <w:lang w:val="lv-LV"/>
        </w:rPr>
        <w:t xml:space="preserve">Aknefug  -oxid mild </w:t>
      </w:r>
      <w:r w:rsidRPr="00916A8D">
        <w:rPr>
          <w:szCs w:val="22"/>
          <w:lang w:val="lv-LV"/>
        </w:rPr>
        <w:t>pēc nejaušas norīšanas var rasties gļotādas kairinājums ar retrosternālām sāpēm, kuņģa sāpēm, sliktu dūšu un vemšanu. Pēc neliela daudzuma norīšanas (līdz 0,5 g benzilperoksīda uz apmēram 1 kilogramu ķermeņa masas), jālieto aktivētā ogle un liels daudzums šķidruma. Nedrīkst izraisīt vemšanu. Pēc 0,5 līdz 5 g benzilperoksīda norīšanas uz 1 kg ķermeņa masas var būt nepieciešama kuņģa skalošana. Pacients jānovēro attiecībā uz iespējamām barības vada vai kuņģa kairinājuma pazīmēm, jo benzilperoksīdam (aktīvajai vielai) piemīt oksidatīvas īpašības.</w:t>
      </w:r>
    </w:p>
    <w:p w14:paraId="7D81845F" w14:textId="77777777" w:rsidR="00E96B16" w:rsidRPr="00916A8D" w:rsidRDefault="00E96B16" w:rsidP="00F127AD">
      <w:pPr>
        <w:pStyle w:val="BodyText"/>
        <w:rPr>
          <w:szCs w:val="22"/>
          <w:lang w:val="lv-LV"/>
        </w:rPr>
      </w:pPr>
    </w:p>
    <w:p w14:paraId="6CC03EE0" w14:textId="77777777" w:rsidR="00E96B16" w:rsidRPr="00916A8D"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916A8D">
        <w:rPr>
          <w:szCs w:val="22"/>
          <w:lang w:val="lv-LV"/>
        </w:rPr>
        <w:t>Mijiedarbība ar citām zālēm un citi mijiedarbības</w:t>
      </w:r>
      <w:r w:rsidRPr="00916A8D">
        <w:rPr>
          <w:spacing w:val="3"/>
          <w:szCs w:val="22"/>
          <w:lang w:val="lv-LV"/>
        </w:rPr>
        <w:t xml:space="preserve"> </w:t>
      </w:r>
      <w:r w:rsidRPr="00916A8D">
        <w:rPr>
          <w:szCs w:val="22"/>
          <w:lang w:val="lv-LV"/>
        </w:rPr>
        <w:t>veidi</w:t>
      </w:r>
    </w:p>
    <w:p w14:paraId="2638F5B6" w14:textId="21160F6F" w:rsidR="00E96B16" w:rsidRDefault="00E96B16" w:rsidP="00F127AD">
      <w:pPr>
        <w:pStyle w:val="BodyText"/>
        <w:ind w:right="111"/>
        <w:jc w:val="both"/>
        <w:rPr>
          <w:szCs w:val="22"/>
          <w:lang w:val="lv-LV"/>
        </w:rPr>
      </w:pPr>
      <w:r w:rsidRPr="00916A8D">
        <w:rPr>
          <w:szCs w:val="22"/>
          <w:lang w:val="lv-LV"/>
        </w:rPr>
        <w:t xml:space="preserve">Jāizvairās no vienlaicīgas ādu kairinošu līdzekļu un ārīgi lietojamu terapeitisko vai kosmētisko līdzekļu lietošanas. Pie tiem pieskaitāmi arī intensīvi saules stari (UV starojums), tādēļ </w:t>
      </w:r>
      <w:r w:rsidRPr="00916A8D">
        <w:rPr>
          <w:b/>
          <w:szCs w:val="22"/>
          <w:lang w:val="lv-LV"/>
        </w:rPr>
        <w:t xml:space="preserve">Aknefug  - oxid mild </w:t>
      </w:r>
      <w:r w:rsidRPr="00916A8D">
        <w:rPr>
          <w:szCs w:val="22"/>
          <w:lang w:val="lv-LV"/>
        </w:rPr>
        <w:t>terapijas laikā jāizvairās no</w:t>
      </w:r>
      <w:r w:rsidRPr="00916A8D">
        <w:rPr>
          <w:spacing w:val="2"/>
          <w:szCs w:val="22"/>
          <w:lang w:val="lv-LV"/>
        </w:rPr>
        <w:t xml:space="preserve"> </w:t>
      </w:r>
      <w:r w:rsidRPr="00916A8D">
        <w:rPr>
          <w:szCs w:val="22"/>
          <w:lang w:val="lv-LV"/>
        </w:rPr>
        <w:t>sauļošanās.</w:t>
      </w:r>
    </w:p>
    <w:p w14:paraId="665AE8CB" w14:textId="77777777" w:rsidR="00AB35AA" w:rsidRPr="00916A8D" w:rsidRDefault="00AB35AA" w:rsidP="00F127AD">
      <w:pPr>
        <w:pStyle w:val="BodyText"/>
        <w:ind w:right="111"/>
        <w:jc w:val="both"/>
        <w:rPr>
          <w:szCs w:val="22"/>
          <w:lang w:val="lv-LV"/>
        </w:rPr>
      </w:pPr>
    </w:p>
    <w:p w14:paraId="462C3D5E" w14:textId="5A5C2359" w:rsidR="00C36330" w:rsidRPr="00061E9F" w:rsidRDefault="00AB35AA" w:rsidP="00C572BB">
      <w:pPr>
        <w:pStyle w:val="Heading1"/>
        <w:keepNext w:val="0"/>
        <w:widowControl w:val="0"/>
        <w:numPr>
          <w:ilvl w:val="1"/>
          <w:numId w:val="15"/>
        </w:numPr>
        <w:autoSpaceDE w:val="0"/>
        <w:autoSpaceDN w:val="0"/>
        <w:spacing w:after="120" w:line="240" w:lineRule="auto"/>
        <w:ind w:left="567" w:hanging="567"/>
        <w:rPr>
          <w:szCs w:val="22"/>
          <w:lang w:val="lv-LV"/>
        </w:rPr>
      </w:pPr>
      <w:r w:rsidRPr="00061E9F">
        <w:rPr>
          <w:noProof/>
          <w:szCs w:val="22"/>
        </w:rPr>
        <w:t xml:space="preserve">Fertilitāte, grūtniecība </w:t>
      </w:r>
      <w:r w:rsidRPr="00061E9F">
        <w:t xml:space="preserve">un </w:t>
      </w:r>
      <w:r w:rsidRPr="00061E9F">
        <w:rPr>
          <w:noProof/>
          <w:szCs w:val="22"/>
        </w:rPr>
        <w:t>barošana ar krūti</w:t>
      </w:r>
    </w:p>
    <w:p w14:paraId="2A3B1FE2" w14:textId="342E226F" w:rsidR="00C36330" w:rsidRPr="00061E9F" w:rsidRDefault="00C36330" w:rsidP="00F127AD">
      <w:pPr>
        <w:pStyle w:val="BodyText"/>
        <w:rPr>
          <w:szCs w:val="22"/>
          <w:lang w:val="lv-LV"/>
        </w:rPr>
      </w:pPr>
      <w:r w:rsidRPr="00061E9F">
        <w:rPr>
          <w:szCs w:val="22"/>
          <w:lang w:val="lv-LV"/>
        </w:rPr>
        <w:t xml:space="preserve">Aknefug  -oxid mild grūtniecības un </w:t>
      </w:r>
      <w:r w:rsidR="00FC4D46" w:rsidRPr="00061E9F">
        <w:rPr>
          <w:szCs w:val="22"/>
          <w:lang w:val="lv-LV"/>
        </w:rPr>
        <w:t>barošanas ar krūti</w:t>
      </w:r>
      <w:r w:rsidRPr="00061E9F">
        <w:rPr>
          <w:szCs w:val="22"/>
          <w:lang w:val="lv-LV"/>
        </w:rPr>
        <w:t xml:space="preserve"> periodā drīkst lietot tikai izvērtējot iespējam</w:t>
      </w:r>
      <w:r w:rsidR="00FC4D46" w:rsidRPr="00061E9F">
        <w:rPr>
          <w:szCs w:val="22"/>
          <w:lang w:val="lv-LV"/>
        </w:rPr>
        <w:t>o</w:t>
      </w:r>
      <w:r w:rsidRPr="00061E9F">
        <w:rPr>
          <w:lang w:val="lv-LV"/>
        </w:rPr>
        <w:t xml:space="preserve"> </w:t>
      </w:r>
      <w:r w:rsidRPr="00061E9F">
        <w:rPr>
          <w:szCs w:val="22"/>
          <w:lang w:val="lv-LV"/>
        </w:rPr>
        <w:t>ieguvuma/riska attiecību.</w:t>
      </w:r>
    </w:p>
    <w:p w14:paraId="3942E7AF" w14:textId="1820C0A3" w:rsidR="00C36330" w:rsidRPr="00916A8D" w:rsidRDefault="00C36330" w:rsidP="00F127AD">
      <w:pPr>
        <w:pStyle w:val="BodyText"/>
        <w:rPr>
          <w:szCs w:val="22"/>
          <w:lang w:val="lv-LV"/>
        </w:rPr>
      </w:pPr>
      <w:r w:rsidRPr="00061E9F">
        <w:rPr>
          <w:szCs w:val="22"/>
          <w:lang w:val="lv-LV"/>
        </w:rPr>
        <w:t xml:space="preserve">Zāles nedrīkst lietot grūtniecības perioda pēdējos mēnešos (skatīt  5.3. </w:t>
      </w:r>
      <w:r w:rsidR="00FC4D46" w:rsidRPr="00061E9F">
        <w:rPr>
          <w:szCs w:val="22"/>
          <w:lang w:val="lv-LV"/>
        </w:rPr>
        <w:t xml:space="preserve">apakšpunktu </w:t>
      </w:r>
      <w:r w:rsidRPr="00061E9F">
        <w:rPr>
          <w:szCs w:val="22"/>
          <w:lang w:val="lv-LV"/>
        </w:rPr>
        <w:t>Reproduktīvā toksicitāte).</w:t>
      </w:r>
    </w:p>
    <w:p w14:paraId="56BF0275" w14:textId="77777777" w:rsidR="00E96B16" w:rsidRPr="00916A8D" w:rsidRDefault="00E96B16" w:rsidP="00F127AD">
      <w:pPr>
        <w:pStyle w:val="BodyText"/>
        <w:rPr>
          <w:szCs w:val="22"/>
          <w:lang w:val="lv-LV"/>
        </w:rPr>
      </w:pPr>
    </w:p>
    <w:p w14:paraId="78CE3331" w14:textId="77777777" w:rsidR="00E96B16" w:rsidRPr="00916A8D"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916A8D">
        <w:rPr>
          <w:szCs w:val="22"/>
          <w:lang w:val="lv-LV"/>
        </w:rPr>
        <w:t>Ietekme uz spēju vadīt transportlīdzekļus un apkalpot</w:t>
      </w:r>
      <w:r w:rsidRPr="00916A8D">
        <w:rPr>
          <w:spacing w:val="-4"/>
          <w:szCs w:val="22"/>
          <w:lang w:val="lv-LV"/>
        </w:rPr>
        <w:t xml:space="preserve"> </w:t>
      </w:r>
      <w:r w:rsidRPr="00916A8D">
        <w:rPr>
          <w:szCs w:val="22"/>
          <w:lang w:val="lv-LV"/>
        </w:rPr>
        <w:t>mehānismus</w:t>
      </w:r>
    </w:p>
    <w:p w14:paraId="198EE633" w14:textId="77777777" w:rsidR="00E96B16" w:rsidRPr="00916A8D" w:rsidRDefault="00E96B16" w:rsidP="00F127AD">
      <w:pPr>
        <w:pStyle w:val="BodyText"/>
        <w:rPr>
          <w:szCs w:val="22"/>
          <w:lang w:val="lv-LV"/>
        </w:rPr>
      </w:pPr>
      <w:r w:rsidRPr="00916A8D">
        <w:rPr>
          <w:szCs w:val="22"/>
          <w:lang w:val="lv-LV"/>
        </w:rPr>
        <w:t>Nav piemērojama.</w:t>
      </w:r>
    </w:p>
    <w:p w14:paraId="1A21EEB3" w14:textId="77777777" w:rsidR="00E96B16" w:rsidRPr="00916A8D" w:rsidRDefault="00E96B16" w:rsidP="00F127AD">
      <w:pPr>
        <w:pStyle w:val="BodyText"/>
        <w:rPr>
          <w:szCs w:val="22"/>
          <w:lang w:val="lv-LV"/>
        </w:rPr>
      </w:pPr>
    </w:p>
    <w:p w14:paraId="22CEF709" w14:textId="77777777" w:rsidR="00E96B16" w:rsidRPr="00916A8D" w:rsidRDefault="00E96B16" w:rsidP="00F127AD">
      <w:pPr>
        <w:pStyle w:val="Heading1"/>
        <w:keepNext w:val="0"/>
        <w:widowControl w:val="0"/>
        <w:numPr>
          <w:ilvl w:val="1"/>
          <w:numId w:val="15"/>
        </w:numPr>
        <w:autoSpaceDE w:val="0"/>
        <w:autoSpaceDN w:val="0"/>
        <w:spacing w:after="120" w:line="240" w:lineRule="auto"/>
        <w:ind w:left="567" w:hanging="571"/>
        <w:rPr>
          <w:szCs w:val="22"/>
          <w:lang w:val="lv-LV"/>
        </w:rPr>
      </w:pPr>
      <w:r w:rsidRPr="00916A8D">
        <w:rPr>
          <w:szCs w:val="22"/>
          <w:lang w:val="lv-LV"/>
        </w:rPr>
        <w:t>Nevēlamās blakusparādības</w:t>
      </w:r>
    </w:p>
    <w:p w14:paraId="71EED923" w14:textId="09831EE6" w:rsidR="00E96B16" w:rsidRPr="00916A8D" w:rsidRDefault="00E96B16" w:rsidP="00F127AD">
      <w:pPr>
        <w:pStyle w:val="BodyText"/>
        <w:ind w:right="5606"/>
        <w:rPr>
          <w:szCs w:val="22"/>
          <w:lang w:val="lv-LV"/>
        </w:rPr>
      </w:pPr>
      <w:r w:rsidRPr="00916A8D">
        <w:rPr>
          <w:b/>
          <w:szCs w:val="22"/>
          <w:lang w:val="lv-LV"/>
        </w:rPr>
        <w:t xml:space="preserve">Reti </w:t>
      </w:r>
      <w:r w:rsidRPr="00916A8D">
        <w:rPr>
          <w:szCs w:val="22"/>
          <w:lang w:val="lv-LV"/>
        </w:rPr>
        <w:t>( ≥1/10</w:t>
      </w:r>
      <w:r w:rsidR="00FC4D46">
        <w:rPr>
          <w:szCs w:val="22"/>
          <w:lang w:val="lv-LV"/>
        </w:rPr>
        <w:t xml:space="preserve"> </w:t>
      </w:r>
      <w:r w:rsidRPr="00916A8D">
        <w:rPr>
          <w:szCs w:val="22"/>
          <w:lang w:val="lv-LV"/>
        </w:rPr>
        <w:t>000 līdz &lt;1/1</w:t>
      </w:r>
      <w:r w:rsidR="00017588">
        <w:rPr>
          <w:szCs w:val="22"/>
          <w:lang w:val="lv-LV"/>
        </w:rPr>
        <w:t xml:space="preserve"> </w:t>
      </w:r>
      <w:r w:rsidRPr="00916A8D">
        <w:rPr>
          <w:szCs w:val="22"/>
          <w:lang w:val="lv-LV"/>
        </w:rPr>
        <w:t>000) Alerģiskas ādas reakcijas, folikulīts.</w:t>
      </w:r>
    </w:p>
    <w:p w14:paraId="730D1351" w14:textId="77777777" w:rsidR="00E96B16" w:rsidRPr="00916A8D" w:rsidRDefault="00E96B16" w:rsidP="002764DE">
      <w:pPr>
        <w:pStyle w:val="BodyText"/>
        <w:spacing w:after="0"/>
        <w:rPr>
          <w:szCs w:val="22"/>
          <w:lang w:val="lv-LV"/>
        </w:rPr>
      </w:pPr>
      <w:r w:rsidRPr="00916A8D">
        <w:rPr>
          <w:szCs w:val="22"/>
          <w:lang w:val="lv-LV"/>
        </w:rPr>
        <w:t>Atsevišķos gadījumos benzilperoksīds var izraisīt paaugstinātas jutības reakcijas (kontaktalerģiju). Šādos gadījumos zāļu lietošana jāpārtrauc.</w:t>
      </w:r>
    </w:p>
    <w:p w14:paraId="06FF7919" w14:textId="77777777" w:rsidR="00F127AD" w:rsidRPr="00916A8D" w:rsidRDefault="00F127AD" w:rsidP="00F127AD">
      <w:pPr>
        <w:rPr>
          <w:b/>
          <w:szCs w:val="22"/>
          <w:lang w:val="lv-LV"/>
        </w:rPr>
      </w:pPr>
    </w:p>
    <w:p w14:paraId="53F24034" w14:textId="06452304" w:rsidR="00E96B16" w:rsidRPr="00916A8D" w:rsidRDefault="00E96B16" w:rsidP="00F127AD">
      <w:pPr>
        <w:spacing w:after="120"/>
        <w:rPr>
          <w:szCs w:val="22"/>
          <w:lang w:val="lv-LV"/>
        </w:rPr>
      </w:pPr>
      <w:r w:rsidRPr="00916A8D">
        <w:rPr>
          <w:b/>
          <w:szCs w:val="22"/>
          <w:lang w:val="lv-LV"/>
        </w:rPr>
        <w:t xml:space="preserve">Retāk </w:t>
      </w:r>
      <w:r w:rsidRPr="00916A8D">
        <w:rPr>
          <w:szCs w:val="22"/>
          <w:lang w:val="lv-LV"/>
        </w:rPr>
        <w:t>( ≥1/1</w:t>
      </w:r>
      <w:r w:rsidR="00017588">
        <w:rPr>
          <w:szCs w:val="22"/>
          <w:lang w:val="lv-LV"/>
        </w:rPr>
        <w:t xml:space="preserve"> </w:t>
      </w:r>
      <w:r w:rsidRPr="00916A8D">
        <w:rPr>
          <w:szCs w:val="22"/>
          <w:lang w:val="lv-LV"/>
        </w:rPr>
        <w:t>000 līdz &lt;1/100)</w:t>
      </w:r>
    </w:p>
    <w:p w14:paraId="0F95FF55" w14:textId="58D523BD" w:rsidR="00E96B16" w:rsidRPr="00916A8D" w:rsidRDefault="00E96B16" w:rsidP="00F127AD">
      <w:pPr>
        <w:pStyle w:val="BodyText"/>
        <w:rPr>
          <w:szCs w:val="22"/>
          <w:lang w:val="lv-LV"/>
        </w:rPr>
      </w:pPr>
      <w:r w:rsidRPr="00916A8D">
        <w:rPr>
          <w:szCs w:val="22"/>
          <w:lang w:val="lv-LV"/>
        </w:rPr>
        <w:t>Kontaktekzēma, kontaktdermatīts, nātrenes izsitumi.</w:t>
      </w:r>
    </w:p>
    <w:p w14:paraId="768D09E1" w14:textId="77777777" w:rsidR="00E96B16" w:rsidRPr="00916A8D" w:rsidRDefault="00E96B16" w:rsidP="00F127AD">
      <w:pPr>
        <w:pStyle w:val="BodyText"/>
        <w:spacing w:after="0"/>
        <w:ind w:right="193"/>
        <w:rPr>
          <w:szCs w:val="22"/>
          <w:lang w:val="lv-LV"/>
        </w:rPr>
      </w:pPr>
      <w:r w:rsidRPr="00916A8D">
        <w:rPr>
          <w:szCs w:val="22"/>
          <w:lang w:val="lv-LV"/>
        </w:rPr>
        <w:t>Katrā sastopamības biežuma grupā nevēlamās blakusparādības sakārtotas to nopietnības samazinājuma secībā.</w:t>
      </w:r>
    </w:p>
    <w:p w14:paraId="1BC1033D" w14:textId="77777777" w:rsidR="00E96B16" w:rsidRPr="00916A8D" w:rsidRDefault="00E96B16" w:rsidP="00F127AD">
      <w:pPr>
        <w:pStyle w:val="BodyText"/>
        <w:spacing w:after="0"/>
        <w:rPr>
          <w:szCs w:val="22"/>
          <w:lang w:val="lv-LV"/>
        </w:rPr>
      </w:pPr>
    </w:p>
    <w:p w14:paraId="56A5F06F" w14:textId="1A98C2ED" w:rsidR="00E96B16" w:rsidRPr="00061E9F" w:rsidRDefault="00E96B16" w:rsidP="00F127AD">
      <w:pPr>
        <w:pStyle w:val="Heading1"/>
        <w:spacing w:line="240" w:lineRule="auto"/>
        <w:ind w:right="113"/>
        <w:rPr>
          <w:szCs w:val="22"/>
          <w:lang w:val="lv-LV"/>
        </w:rPr>
      </w:pPr>
      <w:r w:rsidRPr="00061E9F">
        <w:rPr>
          <w:szCs w:val="22"/>
          <w:lang w:val="lv-LV"/>
        </w:rPr>
        <w:t>Ārstēšanās sākumā</w:t>
      </w:r>
      <w:r w:rsidR="00FB68FD" w:rsidRPr="00061E9F">
        <w:rPr>
          <w:szCs w:val="22"/>
          <w:lang w:val="lv-LV"/>
        </w:rPr>
        <w:t xml:space="preserve"> ārstētajos rajonos</w:t>
      </w:r>
      <w:r w:rsidRPr="00061E9F">
        <w:rPr>
          <w:szCs w:val="22"/>
          <w:lang w:val="lv-LV"/>
        </w:rPr>
        <w:t xml:space="preserve"> iespējami nelieli ādas </w:t>
      </w:r>
      <w:r w:rsidR="00FB68FD" w:rsidRPr="00061E9F">
        <w:rPr>
          <w:szCs w:val="22"/>
          <w:lang w:val="lv-LV"/>
        </w:rPr>
        <w:t xml:space="preserve">kairinājuma simptomi </w:t>
      </w:r>
      <w:r w:rsidRPr="00061E9F">
        <w:rPr>
          <w:szCs w:val="22"/>
          <w:lang w:val="lv-LV"/>
        </w:rPr>
        <w:t xml:space="preserve"> kā apsārtums, nieze, dedzinoša sajūta, kuri parasti </w:t>
      </w:r>
      <w:r w:rsidR="00FB68FD" w:rsidRPr="00061E9F">
        <w:rPr>
          <w:szCs w:val="22"/>
          <w:lang w:val="lv-LV"/>
        </w:rPr>
        <w:t>izzūd</w:t>
      </w:r>
      <w:r w:rsidRPr="00061E9F">
        <w:rPr>
          <w:szCs w:val="22"/>
          <w:lang w:val="lv-LV"/>
        </w:rPr>
        <w:t xml:space="preserve"> pēc </w:t>
      </w:r>
      <w:r w:rsidR="00841F7B" w:rsidRPr="00061E9F">
        <w:rPr>
          <w:szCs w:val="22"/>
          <w:lang w:val="lv-LV"/>
        </w:rPr>
        <w:t>dažām</w:t>
      </w:r>
      <w:r w:rsidRPr="00061E9F">
        <w:rPr>
          <w:szCs w:val="22"/>
          <w:lang w:val="lv-LV"/>
        </w:rPr>
        <w:t xml:space="preserve"> dienām. Sausa āda un neliela ādas lobīšanās ir terapijai vēlamas blakusparādības.</w:t>
      </w:r>
    </w:p>
    <w:p w14:paraId="3705B1C9" w14:textId="7BAE75A0" w:rsidR="00E96B16" w:rsidRPr="00061E9F" w:rsidRDefault="00E96B16" w:rsidP="00F127AD">
      <w:pPr>
        <w:pStyle w:val="BodyText"/>
        <w:spacing w:after="0"/>
        <w:rPr>
          <w:szCs w:val="22"/>
          <w:lang w:val="lv-LV"/>
        </w:rPr>
      </w:pPr>
      <w:r w:rsidRPr="00061E9F">
        <w:rPr>
          <w:szCs w:val="22"/>
          <w:lang w:val="lv-LV"/>
        </w:rPr>
        <w:t xml:space="preserve">Ja šie simptomi </w:t>
      </w:r>
      <w:r w:rsidR="00841F7B" w:rsidRPr="00061E9F">
        <w:rPr>
          <w:szCs w:val="22"/>
          <w:lang w:val="lv-LV"/>
        </w:rPr>
        <w:t>saglabājas</w:t>
      </w:r>
      <w:r w:rsidRPr="00061E9F">
        <w:rPr>
          <w:szCs w:val="22"/>
          <w:lang w:val="lv-LV"/>
        </w:rPr>
        <w:t xml:space="preserve"> vai </w:t>
      </w:r>
      <w:r w:rsidR="00FC4D46" w:rsidRPr="00061E9F">
        <w:rPr>
          <w:szCs w:val="22"/>
          <w:lang w:val="lv-LV"/>
        </w:rPr>
        <w:t>pastiprinās</w:t>
      </w:r>
      <w:r w:rsidRPr="00061E9F">
        <w:rPr>
          <w:szCs w:val="22"/>
          <w:lang w:val="lv-LV"/>
        </w:rPr>
        <w:t xml:space="preserve"> 4-6 dien</w:t>
      </w:r>
      <w:r w:rsidR="00FC4D46" w:rsidRPr="00061E9F">
        <w:rPr>
          <w:szCs w:val="22"/>
          <w:lang w:val="lv-LV"/>
        </w:rPr>
        <w:t>as</w:t>
      </w:r>
      <w:r w:rsidRPr="00061E9F">
        <w:rPr>
          <w:szCs w:val="22"/>
          <w:lang w:val="lv-LV"/>
        </w:rPr>
        <w:t xml:space="preserve"> </w:t>
      </w:r>
      <w:r w:rsidR="00FC4D46" w:rsidRPr="00061E9F">
        <w:rPr>
          <w:szCs w:val="22"/>
          <w:lang w:val="lv-LV"/>
        </w:rPr>
        <w:t xml:space="preserve">pēc </w:t>
      </w:r>
      <w:r w:rsidRPr="00061E9F">
        <w:rPr>
          <w:szCs w:val="22"/>
          <w:lang w:val="lv-LV"/>
        </w:rPr>
        <w:t>ārstēšanas</w:t>
      </w:r>
      <w:r w:rsidR="00FC4D46" w:rsidRPr="00061E9F">
        <w:rPr>
          <w:szCs w:val="22"/>
          <w:lang w:val="lv-LV"/>
        </w:rPr>
        <w:t xml:space="preserve"> uzsākšanas</w:t>
      </w:r>
      <w:r w:rsidRPr="00061E9F">
        <w:rPr>
          <w:szCs w:val="22"/>
          <w:lang w:val="lv-LV"/>
        </w:rPr>
        <w:t>,</w:t>
      </w:r>
      <w:r w:rsidR="00EA4EBC" w:rsidRPr="00061E9F">
        <w:rPr>
          <w:szCs w:val="22"/>
          <w:lang w:val="lv-LV"/>
        </w:rPr>
        <w:t xml:space="preserve"> ir</w:t>
      </w:r>
      <w:r w:rsidRPr="00061E9F">
        <w:rPr>
          <w:szCs w:val="22"/>
          <w:lang w:val="lv-LV"/>
        </w:rPr>
        <w:t xml:space="preserve"> jāsamazina deva.</w:t>
      </w:r>
    </w:p>
    <w:p w14:paraId="4020D90A" w14:textId="77777777" w:rsidR="00F127AD" w:rsidRPr="00061E9F" w:rsidRDefault="00F127AD" w:rsidP="00F127AD">
      <w:pPr>
        <w:pStyle w:val="BodyText"/>
        <w:spacing w:after="0"/>
        <w:rPr>
          <w:szCs w:val="22"/>
          <w:lang w:val="lv-LV"/>
        </w:rPr>
      </w:pPr>
    </w:p>
    <w:p w14:paraId="70822F3A" w14:textId="77777777" w:rsidR="00D779B0" w:rsidRPr="00061E9F" w:rsidRDefault="00D779B0" w:rsidP="00F127AD">
      <w:pPr>
        <w:autoSpaceDE w:val="0"/>
        <w:autoSpaceDN w:val="0"/>
        <w:adjustRightInd w:val="0"/>
        <w:jc w:val="both"/>
        <w:rPr>
          <w:szCs w:val="22"/>
          <w:u w:val="single"/>
          <w:lang w:val="lv-LV"/>
        </w:rPr>
      </w:pPr>
      <w:r w:rsidRPr="00061E9F">
        <w:rPr>
          <w:szCs w:val="22"/>
          <w:u w:val="single"/>
          <w:lang w:val="lv-LV"/>
        </w:rPr>
        <w:t>Ziņošana par iespējamām nevēlamām blakusparādībām</w:t>
      </w:r>
    </w:p>
    <w:p w14:paraId="2DC3E7A1" w14:textId="11F04B57" w:rsidR="00595D70" w:rsidRPr="00061E9F" w:rsidRDefault="00D779B0" w:rsidP="00F44124">
      <w:pPr>
        <w:rPr>
          <w:lang w:val="lv-LV"/>
        </w:rPr>
      </w:pPr>
      <w:r w:rsidRPr="00061E9F">
        <w:rPr>
          <w:szCs w:val="22"/>
          <w:lang w:val="lv-LV"/>
        </w:rPr>
        <w:t xml:space="preserve">Ir svarīgi ziņot par iespējamām nevēlamām blakusparādībām pēc zāļu reģistrācijas. Tādējādi zāļu ieguvuma/riska attiecība tiek nepārtraukti uzraudzīta. Veselības aprūpes speciālisti tiek lūgti ziņot par </w:t>
      </w:r>
      <w:r w:rsidRPr="00061E9F">
        <w:rPr>
          <w:szCs w:val="22"/>
          <w:lang w:val="lv-LV"/>
        </w:rPr>
        <w:lastRenderedPageBreak/>
        <w:t xml:space="preserve">jebkādām iespējamām nevēlamām blakusparādībām, izmantojot </w:t>
      </w:r>
      <w:r w:rsidR="00595D70" w:rsidRPr="00061E9F">
        <w:rPr>
          <w:lang w:val="lv-LV"/>
        </w:rPr>
        <w:t xml:space="preserve">šādu kontaktinformāciju: Zāļu valsts aģentūra, Jersikas iela 15, Rīga, LV 1003, tīmekļa vietne: </w:t>
      </w:r>
      <w:hyperlink r:id="rId7" w:history="1">
        <w:r w:rsidR="00595D70" w:rsidRPr="00061E9F">
          <w:rPr>
            <w:color w:val="0000FF"/>
            <w:u w:val="single"/>
            <w:lang w:val="lv-LV"/>
          </w:rPr>
          <w:t>www.zva.gov.lv</w:t>
        </w:r>
      </w:hyperlink>
      <w:r w:rsidR="00595D70" w:rsidRPr="00061E9F">
        <w:rPr>
          <w:lang w:val="lv-LV"/>
        </w:rPr>
        <w:t>.</w:t>
      </w:r>
    </w:p>
    <w:p w14:paraId="4F99DBA9" w14:textId="77777777" w:rsidR="00E96B16" w:rsidRPr="00061E9F" w:rsidRDefault="00E96B16" w:rsidP="00F127AD">
      <w:pPr>
        <w:pStyle w:val="BodyText"/>
        <w:rPr>
          <w:szCs w:val="22"/>
          <w:lang w:val="lv-LV"/>
        </w:rPr>
      </w:pPr>
    </w:p>
    <w:p w14:paraId="5C8CC9DE" w14:textId="77777777" w:rsidR="00E96B16" w:rsidRPr="00061E9F" w:rsidRDefault="00E96B16" w:rsidP="00F127AD">
      <w:pPr>
        <w:pStyle w:val="Heading1"/>
        <w:keepNext w:val="0"/>
        <w:widowControl w:val="0"/>
        <w:numPr>
          <w:ilvl w:val="1"/>
          <w:numId w:val="15"/>
        </w:numPr>
        <w:autoSpaceDE w:val="0"/>
        <w:autoSpaceDN w:val="0"/>
        <w:spacing w:after="120" w:line="240" w:lineRule="auto"/>
        <w:ind w:left="567" w:hanging="571"/>
        <w:rPr>
          <w:szCs w:val="22"/>
          <w:lang w:val="lv-LV"/>
        </w:rPr>
      </w:pPr>
      <w:r w:rsidRPr="00061E9F">
        <w:rPr>
          <w:szCs w:val="22"/>
          <w:lang w:val="lv-LV"/>
        </w:rPr>
        <w:t>Pārdozēšana</w:t>
      </w:r>
    </w:p>
    <w:p w14:paraId="6A1FEC15" w14:textId="64C4FF45" w:rsidR="00E96B16" w:rsidRPr="00061E9F" w:rsidRDefault="00E96B16" w:rsidP="00F127AD">
      <w:pPr>
        <w:pStyle w:val="BodyText"/>
        <w:rPr>
          <w:szCs w:val="22"/>
          <w:lang w:val="lv-LV"/>
        </w:rPr>
      </w:pPr>
      <w:r w:rsidRPr="00061E9F">
        <w:rPr>
          <w:szCs w:val="22"/>
          <w:lang w:val="lv-LV"/>
        </w:rPr>
        <w:t xml:space="preserve">Ja </w:t>
      </w:r>
      <w:r w:rsidRPr="00061E9F">
        <w:rPr>
          <w:b/>
          <w:szCs w:val="22"/>
          <w:lang w:val="lv-LV"/>
        </w:rPr>
        <w:t xml:space="preserve">Aknefug  -oxid mild </w:t>
      </w:r>
      <w:r w:rsidRPr="00061E9F">
        <w:rPr>
          <w:szCs w:val="22"/>
          <w:lang w:val="lv-LV"/>
        </w:rPr>
        <w:t>tiek uzklāts pārāk ātri vai pārāk bieži,</w:t>
      </w:r>
      <w:r w:rsidR="00AB35AA">
        <w:rPr>
          <w:szCs w:val="22"/>
          <w:lang w:val="lv-LV"/>
        </w:rPr>
        <w:t xml:space="preserve"> </w:t>
      </w:r>
      <w:r w:rsidR="00383148" w:rsidRPr="00061E9F">
        <w:rPr>
          <w:szCs w:val="22"/>
          <w:lang w:val="lv-LV"/>
        </w:rPr>
        <w:t>pastiprinātā veidā</w:t>
      </w:r>
      <w:r w:rsidRPr="00061E9F">
        <w:rPr>
          <w:szCs w:val="22"/>
          <w:lang w:val="lv-LV"/>
        </w:rPr>
        <w:t xml:space="preserve"> var rasties ādas kairinājums, kas aprakstīts </w:t>
      </w:r>
      <w:r w:rsidR="00FD2733" w:rsidRPr="00061E9F">
        <w:rPr>
          <w:szCs w:val="22"/>
          <w:lang w:val="lv-LV"/>
        </w:rPr>
        <w:t xml:space="preserve">4.8. </w:t>
      </w:r>
      <w:r w:rsidRPr="00061E9F">
        <w:rPr>
          <w:szCs w:val="22"/>
          <w:lang w:val="lv-LV"/>
        </w:rPr>
        <w:t>apakšpunktā „Nevēlamās blakusparādības”. Šādos gadījumos pietiek samazinā</w:t>
      </w:r>
      <w:r w:rsidR="00FB68FD" w:rsidRPr="00061E9F">
        <w:rPr>
          <w:szCs w:val="22"/>
          <w:lang w:val="lv-LV"/>
        </w:rPr>
        <w:t>t lietošanas biežumu</w:t>
      </w:r>
      <w:r w:rsidRPr="00061E9F">
        <w:rPr>
          <w:szCs w:val="22"/>
          <w:lang w:val="lv-LV"/>
        </w:rPr>
        <w:t>, vai samazināt</w:t>
      </w:r>
      <w:r w:rsidR="00FB68FD" w:rsidRPr="00061E9F">
        <w:rPr>
          <w:szCs w:val="22"/>
          <w:lang w:val="lv-LV"/>
        </w:rPr>
        <w:t xml:space="preserve"> devu</w:t>
      </w:r>
      <w:r w:rsidRPr="00061E9F">
        <w:rPr>
          <w:szCs w:val="22"/>
          <w:lang w:val="lv-LV"/>
        </w:rPr>
        <w:t>, noslaukot lieko daudzumu ar papīra salveti vai noskalojot to ar ūdeni.</w:t>
      </w:r>
    </w:p>
    <w:p w14:paraId="65B0CDAC" w14:textId="77777777" w:rsidR="00E96B16" w:rsidRPr="00061E9F" w:rsidRDefault="00E96B16" w:rsidP="00F127AD">
      <w:pPr>
        <w:pStyle w:val="BodyText"/>
        <w:rPr>
          <w:szCs w:val="22"/>
          <w:lang w:val="lv-LV"/>
        </w:rPr>
      </w:pPr>
    </w:p>
    <w:p w14:paraId="4ACF3CD7" w14:textId="77777777" w:rsidR="00E96B16" w:rsidRPr="00061E9F" w:rsidRDefault="00E96B16" w:rsidP="00F127AD">
      <w:pPr>
        <w:pStyle w:val="Heading1"/>
        <w:keepNext w:val="0"/>
        <w:widowControl w:val="0"/>
        <w:numPr>
          <w:ilvl w:val="0"/>
          <w:numId w:val="15"/>
        </w:numPr>
        <w:autoSpaceDE w:val="0"/>
        <w:autoSpaceDN w:val="0"/>
        <w:spacing w:after="120" w:line="240" w:lineRule="auto"/>
        <w:ind w:left="567" w:hanging="566"/>
        <w:rPr>
          <w:szCs w:val="22"/>
          <w:lang w:val="lv-LV"/>
        </w:rPr>
      </w:pPr>
      <w:r w:rsidRPr="00061E9F">
        <w:rPr>
          <w:szCs w:val="22"/>
          <w:lang w:val="lv-LV"/>
        </w:rPr>
        <w:t>FARMAKOLOĢISKĀS</w:t>
      </w:r>
      <w:r w:rsidRPr="00061E9F">
        <w:rPr>
          <w:spacing w:val="-2"/>
          <w:szCs w:val="22"/>
          <w:lang w:val="lv-LV"/>
        </w:rPr>
        <w:t xml:space="preserve"> </w:t>
      </w:r>
      <w:r w:rsidRPr="00061E9F">
        <w:rPr>
          <w:szCs w:val="22"/>
          <w:lang w:val="lv-LV"/>
        </w:rPr>
        <w:t>ĪPAŠĪBAS</w:t>
      </w:r>
    </w:p>
    <w:p w14:paraId="2A6EC638" w14:textId="3DA646C7" w:rsidR="00E96B16" w:rsidRPr="00061E9F" w:rsidRDefault="00E96B16" w:rsidP="00F127AD">
      <w:pPr>
        <w:pStyle w:val="ListParagraph"/>
        <w:numPr>
          <w:ilvl w:val="1"/>
          <w:numId w:val="15"/>
        </w:numPr>
        <w:spacing w:after="120"/>
        <w:ind w:left="0" w:right="4503" w:firstLine="1"/>
        <w:rPr>
          <w:lang w:val="lv-LV"/>
        </w:rPr>
      </w:pPr>
      <w:r w:rsidRPr="00061E9F">
        <w:rPr>
          <w:b/>
          <w:lang w:val="lv-LV"/>
        </w:rPr>
        <w:t xml:space="preserve">Farmakodinamiskās īpašības </w:t>
      </w:r>
      <w:r w:rsidRPr="00061E9F">
        <w:rPr>
          <w:lang w:val="lv-LV"/>
        </w:rPr>
        <w:t xml:space="preserve">Farmakoterapeitiskā grupa: </w:t>
      </w:r>
      <w:r w:rsidR="0092604A" w:rsidRPr="00061E9F">
        <w:rPr>
          <w:lang w:val="lv-LV"/>
        </w:rPr>
        <w:t>vietēji lietojamie</w:t>
      </w:r>
      <w:r w:rsidR="00AF5E7C">
        <w:rPr>
          <w:lang w:val="lv-LV"/>
        </w:rPr>
        <w:t xml:space="preserve"> </w:t>
      </w:r>
      <w:r w:rsidR="0092604A" w:rsidRPr="00061E9F">
        <w:rPr>
          <w:lang w:val="lv-LV"/>
        </w:rPr>
        <w:t>pretpiņņu līdzekļi, p</w:t>
      </w:r>
      <w:r w:rsidRPr="00061E9F">
        <w:rPr>
          <w:lang w:val="lv-LV"/>
        </w:rPr>
        <w:t>eroksīdi</w:t>
      </w:r>
      <w:r w:rsidR="0092604A" w:rsidRPr="00061E9F">
        <w:rPr>
          <w:lang w:val="lv-LV"/>
        </w:rPr>
        <w:t>.</w:t>
      </w:r>
      <w:r w:rsidRPr="00061E9F">
        <w:rPr>
          <w:lang w:val="lv-LV"/>
        </w:rPr>
        <w:t xml:space="preserve"> ATĶ kods:</w:t>
      </w:r>
      <w:r w:rsidRPr="00061E9F">
        <w:rPr>
          <w:spacing w:val="2"/>
          <w:lang w:val="lv-LV"/>
        </w:rPr>
        <w:t xml:space="preserve"> </w:t>
      </w:r>
      <w:r w:rsidRPr="00061E9F">
        <w:rPr>
          <w:lang w:val="lv-LV"/>
        </w:rPr>
        <w:t>D10AE01</w:t>
      </w:r>
    </w:p>
    <w:p w14:paraId="76B71254" w14:textId="77777777" w:rsidR="00E96B16" w:rsidRPr="00916A8D" w:rsidRDefault="00E96B16" w:rsidP="00F127AD">
      <w:pPr>
        <w:pStyle w:val="BodyText"/>
        <w:rPr>
          <w:szCs w:val="22"/>
          <w:lang w:val="lv-LV"/>
        </w:rPr>
      </w:pPr>
      <w:r w:rsidRPr="00061E9F">
        <w:rPr>
          <w:szCs w:val="22"/>
          <w:lang w:val="lv-LV"/>
        </w:rPr>
        <w:t>Benzilperoksīdam piemīt pretmikrobu un netieša, metaboliska</w:t>
      </w:r>
      <w:r w:rsidRPr="00916A8D">
        <w:rPr>
          <w:szCs w:val="22"/>
          <w:lang w:val="lv-LV"/>
        </w:rPr>
        <w:t xml:space="preserve"> keratoplastiska iedarbība.</w:t>
      </w:r>
    </w:p>
    <w:p w14:paraId="6847255D" w14:textId="77777777" w:rsidR="00E96B16" w:rsidRPr="00916A8D" w:rsidRDefault="00E96B16" w:rsidP="00F127AD">
      <w:pPr>
        <w:pStyle w:val="BodyText"/>
        <w:rPr>
          <w:szCs w:val="22"/>
          <w:lang w:val="lv-LV"/>
        </w:rPr>
      </w:pPr>
      <w:r w:rsidRPr="00916A8D">
        <w:rPr>
          <w:szCs w:val="22"/>
          <w:lang w:val="lv-LV"/>
        </w:rPr>
        <w:t>Ādā metabolisku procesu rezultātā no benzilperoksīda tiek atbrīvots skābeklis. Tas izraisa skābekļa līmeņa paaugstināšanos pat tauku dziedzeru infundibulārajos apvidos, kas izraisa aknei specifiskas anaerobās floras inhibīciju, kas, savukārt, izraisa bakteriālo enzīmu produkcijas samazināšanos. Ādas virsējo lipīdu sastāvā esošo brīvo taukskābju procentuālais daudzums samazinās nomāktas bakteriālo enzīmu lipolīzes dēļ.</w:t>
      </w:r>
    </w:p>
    <w:p w14:paraId="0C713C93" w14:textId="77777777" w:rsidR="00E96B16" w:rsidRPr="00916A8D" w:rsidRDefault="00E96B16" w:rsidP="00F127AD">
      <w:pPr>
        <w:pStyle w:val="BodyText"/>
        <w:rPr>
          <w:szCs w:val="22"/>
          <w:lang w:val="lv-LV"/>
        </w:rPr>
      </w:pPr>
      <w:r w:rsidRPr="00916A8D">
        <w:rPr>
          <w:szCs w:val="22"/>
          <w:lang w:val="lv-LV"/>
        </w:rPr>
        <w:t>Šī ietekme klīniski izpaužas kā iekaisīga ādas reakcija ar tai sekojošu lobīšanos un komedolīzi.</w:t>
      </w:r>
    </w:p>
    <w:p w14:paraId="6F2D9A6F" w14:textId="77777777" w:rsidR="00E96B16" w:rsidRPr="00916A8D" w:rsidRDefault="00E96B16" w:rsidP="00F127AD">
      <w:pPr>
        <w:pStyle w:val="BodyText"/>
        <w:rPr>
          <w:szCs w:val="22"/>
          <w:lang w:val="lv-LV"/>
        </w:rPr>
      </w:pPr>
    </w:p>
    <w:p w14:paraId="438A75A8" w14:textId="77777777" w:rsidR="00E96B16" w:rsidRPr="00061E9F"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061E9F">
        <w:rPr>
          <w:szCs w:val="22"/>
          <w:lang w:val="lv-LV"/>
        </w:rPr>
        <w:t>Farmakokinētiskās īpašības</w:t>
      </w:r>
    </w:p>
    <w:p w14:paraId="31D08613" w14:textId="437C36D3" w:rsidR="00E96B16" w:rsidRPr="00061E9F" w:rsidRDefault="00E96B16" w:rsidP="00F127AD">
      <w:pPr>
        <w:pStyle w:val="BodyText"/>
        <w:ind w:right="486"/>
        <w:jc w:val="both"/>
        <w:rPr>
          <w:szCs w:val="22"/>
          <w:lang w:val="lv-LV"/>
        </w:rPr>
      </w:pPr>
      <w:r w:rsidRPr="00061E9F">
        <w:rPr>
          <w:szCs w:val="22"/>
          <w:lang w:val="lv-LV"/>
        </w:rPr>
        <w:t>Tiek uzskatīts, ka lokāli uzklāts benzilperoksīds, uzsūcoties caur ādu, tiek pilnībā metabolizēts par benzoskābi. Asinīs t</w:t>
      </w:r>
      <w:r w:rsidR="005B4949" w:rsidRPr="00061E9F">
        <w:rPr>
          <w:szCs w:val="22"/>
          <w:lang w:val="lv-LV"/>
        </w:rPr>
        <w:t>ā</w:t>
      </w:r>
      <w:r w:rsidRPr="00061E9F">
        <w:rPr>
          <w:szCs w:val="22"/>
          <w:lang w:val="lv-LV"/>
        </w:rPr>
        <w:t xml:space="preserve"> ir sastopam</w:t>
      </w:r>
      <w:r w:rsidR="005B4949" w:rsidRPr="00061E9F">
        <w:rPr>
          <w:szCs w:val="22"/>
          <w:lang w:val="lv-LV"/>
        </w:rPr>
        <w:t>a</w:t>
      </w:r>
      <w:r w:rsidRPr="00061E9F">
        <w:rPr>
          <w:szCs w:val="22"/>
          <w:lang w:val="lv-LV"/>
        </w:rPr>
        <w:t xml:space="preserve"> brīvā veidā. Taču aknās vairāk nekā 95% benzoskābes tiek konjugēti ar glicīnu, izveidojot hipūrskābi, un šādi tā tiek izvadīta caur nierēm. Jau trīs dienas pēc devas lietošanas benzoskābe vairs nav nosakāma plazmā.</w:t>
      </w:r>
    </w:p>
    <w:p w14:paraId="27B44ACA" w14:textId="77777777" w:rsidR="00E96B16" w:rsidRPr="00061E9F" w:rsidRDefault="00E96B16" w:rsidP="00F127AD">
      <w:pPr>
        <w:pStyle w:val="BodyText"/>
        <w:rPr>
          <w:szCs w:val="22"/>
          <w:lang w:val="lv-LV"/>
        </w:rPr>
      </w:pPr>
    </w:p>
    <w:p w14:paraId="0F8D60A3" w14:textId="0F5016F2" w:rsidR="00B90780" w:rsidRPr="00061E9F" w:rsidRDefault="00E96B16" w:rsidP="00C572BB">
      <w:pPr>
        <w:pStyle w:val="Heading1"/>
        <w:keepNext w:val="0"/>
        <w:widowControl w:val="0"/>
        <w:numPr>
          <w:ilvl w:val="1"/>
          <w:numId w:val="15"/>
        </w:numPr>
        <w:autoSpaceDE w:val="0"/>
        <w:autoSpaceDN w:val="0"/>
        <w:spacing w:after="120" w:line="240" w:lineRule="auto"/>
        <w:ind w:left="567" w:right="-7" w:hanging="567"/>
        <w:rPr>
          <w:szCs w:val="22"/>
          <w:lang w:val="lv-LV"/>
        </w:rPr>
      </w:pPr>
      <w:r w:rsidRPr="00061E9F">
        <w:rPr>
          <w:szCs w:val="22"/>
          <w:lang w:val="lv-LV"/>
        </w:rPr>
        <w:t>Preklīniskie dati par droš</w:t>
      </w:r>
      <w:r w:rsidR="0044472F" w:rsidRPr="00061E9F">
        <w:rPr>
          <w:szCs w:val="22"/>
          <w:lang w:val="lv-LV"/>
        </w:rPr>
        <w:t>umu</w:t>
      </w:r>
      <w:r w:rsidRPr="00061E9F">
        <w:rPr>
          <w:szCs w:val="22"/>
          <w:lang w:val="lv-LV"/>
        </w:rPr>
        <w:t xml:space="preserve"> </w:t>
      </w:r>
    </w:p>
    <w:p w14:paraId="4AA5F096" w14:textId="54ED6400" w:rsidR="00E96B16" w:rsidRPr="00061E9F" w:rsidRDefault="00E96B16" w:rsidP="00B90780">
      <w:pPr>
        <w:pStyle w:val="Heading1"/>
        <w:keepNext w:val="0"/>
        <w:widowControl w:val="0"/>
        <w:autoSpaceDE w:val="0"/>
        <w:autoSpaceDN w:val="0"/>
        <w:spacing w:after="120" w:line="240" w:lineRule="auto"/>
        <w:ind w:right="-7"/>
        <w:rPr>
          <w:szCs w:val="22"/>
          <w:lang w:val="lv-LV"/>
        </w:rPr>
      </w:pPr>
      <w:r w:rsidRPr="00061E9F">
        <w:rPr>
          <w:szCs w:val="22"/>
          <w:lang w:val="lv-LV"/>
        </w:rPr>
        <w:t>Toksicitāte</w:t>
      </w:r>
    </w:p>
    <w:p w14:paraId="5B0B9616" w14:textId="77777777" w:rsidR="00E96B16" w:rsidRPr="00061E9F" w:rsidRDefault="00E96B16" w:rsidP="00F127AD">
      <w:pPr>
        <w:pStyle w:val="BodyText"/>
        <w:spacing w:after="0"/>
        <w:rPr>
          <w:szCs w:val="22"/>
          <w:lang w:val="lv-LV"/>
        </w:rPr>
      </w:pPr>
      <w:r w:rsidRPr="00061E9F">
        <w:rPr>
          <w:szCs w:val="22"/>
          <w:lang w:val="lv-LV"/>
        </w:rPr>
        <w:t>Benzilperoksīdam konstatēta kairinoša iedarbība vairākos eksperimentālos modeļos (Dūringa kambaru</w:t>
      </w:r>
    </w:p>
    <w:p w14:paraId="6689C3E6" w14:textId="77777777" w:rsidR="00E96B16" w:rsidRPr="00061E9F" w:rsidRDefault="00E96B16" w:rsidP="00F127AD">
      <w:pPr>
        <w:pStyle w:val="BodyText"/>
        <w:rPr>
          <w:szCs w:val="22"/>
          <w:lang w:val="lv-LV"/>
        </w:rPr>
      </w:pPr>
      <w:r w:rsidRPr="00061E9F">
        <w:rPr>
          <w:szCs w:val="22"/>
          <w:lang w:val="lv-LV"/>
        </w:rPr>
        <w:t>tests, trušu acu tests, Draiza tests).</w:t>
      </w:r>
    </w:p>
    <w:p w14:paraId="4E2D3CB3" w14:textId="77777777" w:rsidR="00E96B16" w:rsidRPr="00061E9F" w:rsidRDefault="00E96B16" w:rsidP="00F127AD">
      <w:pPr>
        <w:pStyle w:val="BodyText"/>
        <w:ind w:right="204"/>
        <w:rPr>
          <w:szCs w:val="22"/>
          <w:lang w:val="lv-LV"/>
        </w:rPr>
      </w:pPr>
      <w:r w:rsidRPr="00061E9F">
        <w:rPr>
          <w:szCs w:val="22"/>
          <w:lang w:val="lv-LV"/>
        </w:rPr>
        <w:t>Ievadot intraperitoneālā veidā, LD</w:t>
      </w:r>
      <w:r w:rsidRPr="00061E9F">
        <w:rPr>
          <w:szCs w:val="22"/>
          <w:vertAlign w:val="subscript"/>
          <w:lang w:val="lv-LV"/>
        </w:rPr>
        <w:t>50</w:t>
      </w:r>
      <w:r w:rsidRPr="00061E9F">
        <w:rPr>
          <w:szCs w:val="22"/>
          <w:lang w:val="lv-LV"/>
        </w:rPr>
        <w:t xml:space="preserve"> pelēm un žurkām ir robežās no 250 līdz 500 mg/kg ĶM. Žurkām perorālā LD</w:t>
      </w:r>
      <w:r w:rsidRPr="00061E9F">
        <w:rPr>
          <w:szCs w:val="22"/>
          <w:vertAlign w:val="subscript"/>
          <w:lang w:val="lv-LV"/>
        </w:rPr>
        <w:t>50</w:t>
      </w:r>
      <w:r w:rsidRPr="00061E9F">
        <w:rPr>
          <w:szCs w:val="22"/>
          <w:lang w:val="lv-LV"/>
        </w:rPr>
        <w:t xml:space="preserve"> tiek minēta kā vairāk nekā 950 mg/kg ĶM. Citi autori perorāli ievadījuši līdz 5 g/kg ĶM 78% benzilperoksīda preparāta. Nevienai no žurkām nāve neiestājās.</w:t>
      </w:r>
    </w:p>
    <w:p w14:paraId="387E7951" w14:textId="77777777" w:rsidR="00E96B16" w:rsidRPr="00061E9F" w:rsidRDefault="00E96B16" w:rsidP="00F127AD">
      <w:pPr>
        <w:pStyle w:val="BodyText"/>
        <w:ind w:right="195"/>
        <w:rPr>
          <w:szCs w:val="22"/>
          <w:lang w:val="lv-LV"/>
        </w:rPr>
      </w:pPr>
      <w:r w:rsidRPr="00061E9F">
        <w:rPr>
          <w:szCs w:val="22"/>
          <w:lang w:val="lv-LV"/>
        </w:rPr>
        <w:t>Hroniskas toksicitātes pētījumos ar žurkām pie ārkārtīgi lielām devām tika novērota sēklinieku atrofija. Pētījumos ar pelēm toksiska ietekme netika atklāta.</w:t>
      </w:r>
    </w:p>
    <w:p w14:paraId="6700ED8B" w14:textId="77777777" w:rsidR="00E96B16" w:rsidRPr="00061E9F" w:rsidRDefault="00E96B16" w:rsidP="00F127AD">
      <w:pPr>
        <w:pStyle w:val="BodyText"/>
        <w:rPr>
          <w:szCs w:val="22"/>
          <w:lang w:val="lv-LV"/>
        </w:rPr>
      </w:pPr>
      <w:r w:rsidRPr="00061E9F">
        <w:rPr>
          <w:szCs w:val="22"/>
          <w:lang w:val="lv-LV"/>
        </w:rPr>
        <w:t>Suņiem, kas saņēma 0,625 g benzilperoksīda/kg barības, 6 nedēļu laikā patoloģiski simptomi neradās.</w:t>
      </w:r>
    </w:p>
    <w:p w14:paraId="29A5D486" w14:textId="322246DE" w:rsidR="00E96B16" w:rsidRPr="00061E9F" w:rsidRDefault="00E96B16" w:rsidP="00F127AD">
      <w:pPr>
        <w:pStyle w:val="Heading1"/>
        <w:spacing w:after="120" w:line="240" w:lineRule="auto"/>
        <w:rPr>
          <w:szCs w:val="22"/>
          <w:lang w:val="lv-LV"/>
        </w:rPr>
      </w:pPr>
      <w:r w:rsidRPr="00061E9F">
        <w:rPr>
          <w:szCs w:val="22"/>
          <w:lang w:val="lv-LV"/>
        </w:rPr>
        <w:t>Mutagenitāte</w:t>
      </w:r>
    </w:p>
    <w:p w14:paraId="59D6E927" w14:textId="77777777" w:rsidR="00E96B16" w:rsidRPr="00061E9F" w:rsidRDefault="00E96B16" w:rsidP="00F127AD">
      <w:pPr>
        <w:pStyle w:val="BodyText"/>
        <w:ind w:right="195"/>
        <w:rPr>
          <w:szCs w:val="22"/>
          <w:lang w:val="lv-LV"/>
        </w:rPr>
      </w:pPr>
      <w:r w:rsidRPr="00061E9F">
        <w:rPr>
          <w:szCs w:val="22"/>
          <w:lang w:val="lv-LV"/>
        </w:rPr>
        <w:t xml:space="preserve">Benzilperoksīdam nav veiktas plašas mutagēniskas pārbaudes. Līdz šim </w:t>
      </w:r>
      <w:r w:rsidRPr="00061E9F">
        <w:rPr>
          <w:i/>
          <w:szCs w:val="22"/>
          <w:lang w:val="lv-LV"/>
        </w:rPr>
        <w:t xml:space="preserve">in vitro </w:t>
      </w:r>
      <w:r w:rsidRPr="00061E9F">
        <w:rPr>
          <w:szCs w:val="22"/>
          <w:lang w:val="lv-LV"/>
        </w:rPr>
        <w:t xml:space="preserve">un </w:t>
      </w:r>
      <w:r w:rsidRPr="00061E9F">
        <w:rPr>
          <w:i/>
          <w:szCs w:val="22"/>
          <w:lang w:val="lv-LV"/>
        </w:rPr>
        <w:t xml:space="preserve">in vivo </w:t>
      </w:r>
      <w:r w:rsidRPr="00061E9F">
        <w:rPr>
          <w:szCs w:val="22"/>
          <w:lang w:val="lv-LV"/>
        </w:rPr>
        <w:t>pētījumos nav atklāti pierādījumi par jebkādu mutagēnisku potenciālu.</w:t>
      </w:r>
    </w:p>
    <w:p w14:paraId="24BB5A28" w14:textId="59863154" w:rsidR="00E96B16" w:rsidRPr="00061E9F" w:rsidRDefault="00E96B16" w:rsidP="00F127AD">
      <w:pPr>
        <w:pStyle w:val="Heading1"/>
        <w:spacing w:after="120" w:line="240" w:lineRule="auto"/>
        <w:rPr>
          <w:szCs w:val="22"/>
          <w:lang w:val="lv-LV"/>
        </w:rPr>
      </w:pPr>
      <w:r w:rsidRPr="00061E9F">
        <w:rPr>
          <w:szCs w:val="22"/>
          <w:lang w:val="lv-LV"/>
        </w:rPr>
        <w:t>Kancero</w:t>
      </w:r>
      <w:r w:rsidR="008051AE" w:rsidRPr="00061E9F">
        <w:rPr>
          <w:szCs w:val="22"/>
          <w:lang w:val="lv-LV"/>
        </w:rPr>
        <w:t>genitāte</w:t>
      </w:r>
    </w:p>
    <w:p w14:paraId="427E73F8" w14:textId="77777777" w:rsidR="00E96B16" w:rsidRPr="00061E9F" w:rsidRDefault="00E96B16" w:rsidP="00F127AD">
      <w:pPr>
        <w:pStyle w:val="BodyText"/>
        <w:ind w:right="195"/>
        <w:rPr>
          <w:szCs w:val="22"/>
          <w:lang w:val="lv-LV"/>
        </w:rPr>
      </w:pPr>
      <w:r w:rsidRPr="00061E9F">
        <w:rPr>
          <w:szCs w:val="22"/>
          <w:lang w:val="lv-LV"/>
        </w:rPr>
        <w:t xml:space="preserve">Ilgstošos pētījumos ar dzīvniekiem benzilperoksīdam nav aprakstīta nekāda audzējus izraisoša ietekme. Tomēr </w:t>
      </w:r>
      <w:r w:rsidRPr="00061E9F">
        <w:rPr>
          <w:i/>
          <w:szCs w:val="22"/>
          <w:lang w:val="lv-LV"/>
        </w:rPr>
        <w:t xml:space="preserve">in vivo </w:t>
      </w:r>
      <w:r w:rsidRPr="00061E9F">
        <w:rPr>
          <w:szCs w:val="22"/>
          <w:lang w:val="lv-LV"/>
        </w:rPr>
        <w:t>pētījumos ar pelēm benzilperoksīdam novērota audzēju rašanos veicinoša iedarbība.</w:t>
      </w:r>
    </w:p>
    <w:p w14:paraId="0833B6DB" w14:textId="77777777" w:rsidR="00E96B16" w:rsidRPr="00061E9F" w:rsidRDefault="00E96B16" w:rsidP="00F127AD">
      <w:pPr>
        <w:pStyle w:val="BodyText"/>
        <w:rPr>
          <w:szCs w:val="22"/>
          <w:lang w:val="lv-LV"/>
        </w:rPr>
      </w:pPr>
    </w:p>
    <w:p w14:paraId="42FAA728" w14:textId="77777777" w:rsidR="00E96B16" w:rsidRPr="00061E9F" w:rsidRDefault="00E96B16" w:rsidP="00F127AD">
      <w:pPr>
        <w:pStyle w:val="Heading1"/>
        <w:keepNext w:val="0"/>
        <w:widowControl w:val="0"/>
        <w:numPr>
          <w:ilvl w:val="0"/>
          <w:numId w:val="15"/>
        </w:numPr>
        <w:autoSpaceDE w:val="0"/>
        <w:autoSpaceDN w:val="0"/>
        <w:spacing w:after="120" w:line="240" w:lineRule="auto"/>
        <w:ind w:left="567" w:hanging="566"/>
        <w:rPr>
          <w:szCs w:val="22"/>
          <w:lang w:val="lv-LV"/>
        </w:rPr>
      </w:pPr>
      <w:r w:rsidRPr="00061E9F">
        <w:rPr>
          <w:szCs w:val="22"/>
          <w:lang w:val="lv-LV"/>
        </w:rPr>
        <w:lastRenderedPageBreak/>
        <w:t>FARMACEITISKĀ</w:t>
      </w:r>
      <w:r w:rsidRPr="00061E9F">
        <w:rPr>
          <w:spacing w:val="-4"/>
          <w:szCs w:val="22"/>
          <w:lang w:val="lv-LV"/>
        </w:rPr>
        <w:t xml:space="preserve"> </w:t>
      </w:r>
      <w:r w:rsidRPr="00061E9F">
        <w:rPr>
          <w:szCs w:val="22"/>
          <w:lang w:val="lv-LV"/>
        </w:rPr>
        <w:t>INFORMĀCIJA</w:t>
      </w:r>
    </w:p>
    <w:p w14:paraId="78D3F3EC" w14:textId="77777777" w:rsidR="00E96B16" w:rsidRPr="00061E9F" w:rsidRDefault="00E96B16" w:rsidP="00F127AD">
      <w:pPr>
        <w:pStyle w:val="ListParagraph"/>
        <w:numPr>
          <w:ilvl w:val="1"/>
          <w:numId w:val="15"/>
        </w:numPr>
        <w:spacing w:after="120"/>
        <w:ind w:left="567" w:hanging="566"/>
        <w:rPr>
          <w:b/>
          <w:lang w:val="lv-LV"/>
        </w:rPr>
      </w:pPr>
      <w:r w:rsidRPr="00061E9F">
        <w:rPr>
          <w:b/>
          <w:lang w:val="lv-LV"/>
        </w:rPr>
        <w:t>Palīgvielu</w:t>
      </w:r>
      <w:r w:rsidRPr="00061E9F">
        <w:rPr>
          <w:b/>
          <w:spacing w:val="-1"/>
          <w:lang w:val="lv-LV"/>
        </w:rPr>
        <w:t xml:space="preserve"> </w:t>
      </w:r>
      <w:r w:rsidRPr="00061E9F">
        <w:rPr>
          <w:b/>
          <w:lang w:val="lv-LV"/>
        </w:rPr>
        <w:t>saraksts</w:t>
      </w:r>
    </w:p>
    <w:p w14:paraId="7641ADED" w14:textId="0C1F387D" w:rsidR="00E96B16" w:rsidRPr="00061E9F" w:rsidRDefault="00E96B16" w:rsidP="00F127AD">
      <w:pPr>
        <w:pStyle w:val="BodyText"/>
        <w:ind w:right="195"/>
        <w:rPr>
          <w:szCs w:val="22"/>
          <w:lang w:val="lv-LV"/>
        </w:rPr>
      </w:pPr>
      <w:r w:rsidRPr="00061E9F">
        <w:rPr>
          <w:szCs w:val="22"/>
          <w:lang w:val="lv-LV"/>
        </w:rPr>
        <w:t>Karmelozes nātrij</w:t>
      </w:r>
      <w:r w:rsidR="00684ED5" w:rsidRPr="00061E9F">
        <w:rPr>
          <w:szCs w:val="22"/>
          <w:lang w:val="lv-LV"/>
        </w:rPr>
        <w:t>a sāls</w:t>
      </w:r>
      <w:r w:rsidRPr="00061E9F">
        <w:rPr>
          <w:szCs w:val="22"/>
          <w:lang w:val="lv-LV"/>
        </w:rPr>
        <w:t>, mikrokristāliskā celuloze, sāls</w:t>
      </w:r>
      <w:r w:rsidR="00684ED5" w:rsidRPr="00061E9F">
        <w:rPr>
          <w:szCs w:val="22"/>
          <w:lang w:val="lv-LV"/>
        </w:rPr>
        <w:t>s</w:t>
      </w:r>
      <w:r w:rsidRPr="00061E9F">
        <w:rPr>
          <w:szCs w:val="22"/>
          <w:lang w:val="lv-LV"/>
        </w:rPr>
        <w:t>kābe, makrogollaurilēsteris, 96% etilspirts, makrogols 400, makrogolstearilēsteris, stearilspirts, attīrīts ūdens.</w:t>
      </w:r>
    </w:p>
    <w:p w14:paraId="50BA4D6A" w14:textId="77777777" w:rsidR="00E96B16" w:rsidRPr="00061E9F" w:rsidRDefault="00E96B16" w:rsidP="00F127AD">
      <w:pPr>
        <w:pStyle w:val="BodyText"/>
        <w:rPr>
          <w:szCs w:val="22"/>
          <w:lang w:val="lv-LV"/>
        </w:rPr>
      </w:pPr>
    </w:p>
    <w:p w14:paraId="1638C024" w14:textId="77777777" w:rsidR="00E96B16" w:rsidRPr="00061E9F"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061E9F">
        <w:rPr>
          <w:szCs w:val="22"/>
          <w:lang w:val="lv-LV"/>
        </w:rPr>
        <w:t>Nesaderība</w:t>
      </w:r>
    </w:p>
    <w:p w14:paraId="1A2FD662" w14:textId="24C6DD24" w:rsidR="00E96B16" w:rsidRPr="00916A8D" w:rsidRDefault="00E96B16" w:rsidP="00F127AD">
      <w:pPr>
        <w:pStyle w:val="BodyText"/>
        <w:rPr>
          <w:szCs w:val="22"/>
          <w:lang w:val="lv-LV"/>
        </w:rPr>
      </w:pPr>
      <w:r w:rsidRPr="00061E9F">
        <w:rPr>
          <w:szCs w:val="22"/>
          <w:lang w:val="lv-LV"/>
        </w:rPr>
        <w:t>Nav zināma</w:t>
      </w:r>
      <w:r w:rsidR="009624CA" w:rsidRPr="00061E9F">
        <w:rPr>
          <w:szCs w:val="22"/>
          <w:lang w:val="lv-LV"/>
        </w:rPr>
        <w:t>,</w:t>
      </w:r>
      <w:r w:rsidRPr="00061E9F">
        <w:rPr>
          <w:szCs w:val="22"/>
          <w:lang w:val="lv-LV"/>
        </w:rPr>
        <w:t xml:space="preserve"> tomēr neiesaka vienlaicīgi lietot citus ārīgi lietojamos t</w:t>
      </w:r>
      <w:r w:rsidRPr="00916A8D">
        <w:rPr>
          <w:szCs w:val="22"/>
          <w:lang w:val="lv-LV"/>
        </w:rPr>
        <w:t>erapeitiskos vai kosmētiskos līdzekļus.</w:t>
      </w:r>
    </w:p>
    <w:p w14:paraId="38403502" w14:textId="77777777" w:rsidR="00E96B16" w:rsidRPr="00916A8D" w:rsidRDefault="00E96B16" w:rsidP="00F127AD">
      <w:pPr>
        <w:pStyle w:val="BodyText"/>
        <w:rPr>
          <w:szCs w:val="22"/>
          <w:lang w:val="lv-LV"/>
        </w:rPr>
      </w:pPr>
    </w:p>
    <w:p w14:paraId="123E6B8A" w14:textId="77777777" w:rsidR="00E96B16" w:rsidRPr="00061E9F"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061E9F">
        <w:rPr>
          <w:szCs w:val="22"/>
          <w:lang w:val="lv-LV"/>
        </w:rPr>
        <w:t>Uzglabāšanas laiks</w:t>
      </w:r>
    </w:p>
    <w:p w14:paraId="7FB0507D" w14:textId="77777777" w:rsidR="00E96B16" w:rsidRPr="00061E9F" w:rsidRDefault="00E96B16" w:rsidP="00F127AD">
      <w:pPr>
        <w:pStyle w:val="BodyText"/>
        <w:rPr>
          <w:szCs w:val="22"/>
          <w:lang w:val="lv-LV"/>
        </w:rPr>
      </w:pPr>
      <w:r w:rsidRPr="00061E9F">
        <w:rPr>
          <w:szCs w:val="22"/>
          <w:lang w:val="lv-LV"/>
        </w:rPr>
        <w:t>3 gadi.</w:t>
      </w:r>
    </w:p>
    <w:p w14:paraId="499E2454" w14:textId="67219F5A" w:rsidR="00E96B16" w:rsidRPr="00061E9F" w:rsidRDefault="00684ED5" w:rsidP="00F127AD">
      <w:pPr>
        <w:pStyle w:val="BodyText"/>
        <w:rPr>
          <w:szCs w:val="22"/>
          <w:lang w:val="lv-LV"/>
        </w:rPr>
      </w:pPr>
      <w:r w:rsidRPr="00061E9F">
        <w:rPr>
          <w:szCs w:val="22"/>
          <w:lang w:val="lv-LV"/>
        </w:rPr>
        <w:t>U</w:t>
      </w:r>
      <w:r w:rsidR="00E96B16" w:rsidRPr="00061E9F">
        <w:rPr>
          <w:szCs w:val="22"/>
          <w:lang w:val="lv-LV"/>
        </w:rPr>
        <w:t xml:space="preserve">zglabāšanas laiks </w:t>
      </w:r>
      <w:r w:rsidRPr="00061E9F">
        <w:rPr>
          <w:szCs w:val="22"/>
          <w:lang w:val="lv-LV"/>
        </w:rPr>
        <w:t xml:space="preserve">pēc pirmās atvēršanas - </w:t>
      </w:r>
      <w:r w:rsidR="00E96B16" w:rsidRPr="00061E9F">
        <w:rPr>
          <w:szCs w:val="22"/>
          <w:lang w:val="lv-LV"/>
        </w:rPr>
        <w:t>12 mēneši.</w:t>
      </w:r>
    </w:p>
    <w:p w14:paraId="52E48960" w14:textId="77777777" w:rsidR="00E96B16" w:rsidRPr="00061E9F" w:rsidRDefault="00E96B16" w:rsidP="00F127AD">
      <w:pPr>
        <w:pStyle w:val="BodyText"/>
        <w:rPr>
          <w:szCs w:val="22"/>
          <w:lang w:val="lv-LV"/>
        </w:rPr>
      </w:pPr>
    </w:p>
    <w:p w14:paraId="24770011" w14:textId="77777777" w:rsidR="00E96B16" w:rsidRPr="00061E9F"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061E9F">
        <w:rPr>
          <w:szCs w:val="22"/>
          <w:lang w:val="lv-LV"/>
        </w:rPr>
        <w:t>Īpaši uzglabāšanas</w:t>
      </w:r>
      <w:r w:rsidRPr="00061E9F">
        <w:rPr>
          <w:spacing w:val="1"/>
          <w:szCs w:val="22"/>
          <w:lang w:val="lv-LV"/>
        </w:rPr>
        <w:t xml:space="preserve"> </w:t>
      </w:r>
      <w:r w:rsidRPr="00061E9F">
        <w:rPr>
          <w:szCs w:val="22"/>
          <w:lang w:val="lv-LV"/>
        </w:rPr>
        <w:t>nosacījumi</w:t>
      </w:r>
    </w:p>
    <w:p w14:paraId="044A5E00" w14:textId="5712A1C4" w:rsidR="00E96B16" w:rsidRPr="00061E9F" w:rsidRDefault="00E96B16" w:rsidP="00F127AD">
      <w:pPr>
        <w:pStyle w:val="BodyText"/>
        <w:rPr>
          <w:szCs w:val="22"/>
          <w:lang w:val="lv-LV"/>
        </w:rPr>
      </w:pPr>
      <w:r w:rsidRPr="00061E9F">
        <w:rPr>
          <w:szCs w:val="22"/>
          <w:lang w:val="lv-LV"/>
        </w:rPr>
        <w:t>Uzglabāt ledusskapī (2°C - 8</w:t>
      </w:r>
      <w:r w:rsidR="00B90780" w:rsidRPr="00061E9F">
        <w:rPr>
          <w:szCs w:val="22"/>
          <w:lang w:val="lv-LV"/>
        </w:rPr>
        <w:t>°</w:t>
      </w:r>
      <w:r w:rsidRPr="00061E9F">
        <w:rPr>
          <w:szCs w:val="22"/>
          <w:lang w:val="lv-LV"/>
        </w:rPr>
        <w:t>C).</w:t>
      </w:r>
    </w:p>
    <w:p w14:paraId="3404E6F7" w14:textId="77777777" w:rsidR="00E96B16" w:rsidRPr="00061E9F" w:rsidRDefault="00E96B16" w:rsidP="00F127AD">
      <w:pPr>
        <w:pStyle w:val="BodyText"/>
        <w:rPr>
          <w:szCs w:val="22"/>
          <w:lang w:val="lv-LV"/>
        </w:rPr>
      </w:pPr>
    </w:p>
    <w:p w14:paraId="7CE823B0" w14:textId="77777777" w:rsidR="00B90780" w:rsidRPr="00061E9F" w:rsidRDefault="00E96B16" w:rsidP="00C572BB">
      <w:pPr>
        <w:pStyle w:val="Heading1"/>
        <w:keepNext w:val="0"/>
        <w:widowControl w:val="0"/>
        <w:numPr>
          <w:ilvl w:val="1"/>
          <w:numId w:val="15"/>
        </w:numPr>
        <w:autoSpaceDE w:val="0"/>
        <w:autoSpaceDN w:val="0"/>
        <w:spacing w:after="120" w:line="240" w:lineRule="auto"/>
        <w:ind w:left="567" w:right="-7" w:hanging="567"/>
        <w:rPr>
          <w:b w:val="0"/>
          <w:szCs w:val="22"/>
          <w:lang w:val="lv-LV"/>
        </w:rPr>
      </w:pPr>
      <w:r w:rsidRPr="00061E9F">
        <w:rPr>
          <w:szCs w:val="22"/>
          <w:lang w:val="lv-LV"/>
        </w:rPr>
        <w:t>Iepakojuma veids un saturs</w:t>
      </w:r>
    </w:p>
    <w:p w14:paraId="6FBAD3FB" w14:textId="36E0E497" w:rsidR="00E96B16" w:rsidRPr="00061E9F" w:rsidRDefault="00E96B16" w:rsidP="00F127AD">
      <w:pPr>
        <w:pStyle w:val="BodyText"/>
        <w:rPr>
          <w:szCs w:val="22"/>
          <w:lang w:val="lv-LV"/>
        </w:rPr>
      </w:pPr>
      <w:r w:rsidRPr="00061E9F">
        <w:rPr>
          <w:szCs w:val="22"/>
          <w:lang w:val="lv-LV"/>
        </w:rPr>
        <w:t>Tūbiņa pa 25 g vai 50 g</w:t>
      </w:r>
      <w:r w:rsidR="00813337" w:rsidRPr="00061E9F">
        <w:rPr>
          <w:szCs w:val="22"/>
          <w:lang w:val="lv-LV"/>
        </w:rPr>
        <w:t>.</w:t>
      </w:r>
    </w:p>
    <w:p w14:paraId="6D632F7A" w14:textId="77777777" w:rsidR="00E96B16" w:rsidRPr="00061E9F" w:rsidRDefault="00E96B16" w:rsidP="00F127AD">
      <w:pPr>
        <w:pStyle w:val="BodyText"/>
        <w:rPr>
          <w:szCs w:val="22"/>
          <w:lang w:val="lv-LV"/>
        </w:rPr>
      </w:pPr>
      <w:r w:rsidRPr="00061E9F">
        <w:rPr>
          <w:szCs w:val="22"/>
          <w:lang w:val="lv-LV"/>
        </w:rPr>
        <w:t>Visi iepakojuma lielumi tirgū var nebūt pieejami.</w:t>
      </w:r>
    </w:p>
    <w:p w14:paraId="11215FB9" w14:textId="77777777" w:rsidR="00E96B16" w:rsidRPr="00061E9F" w:rsidRDefault="00E96B16" w:rsidP="00F127AD">
      <w:pPr>
        <w:pStyle w:val="BodyText"/>
        <w:rPr>
          <w:szCs w:val="22"/>
          <w:lang w:val="lv-LV"/>
        </w:rPr>
      </w:pPr>
    </w:p>
    <w:p w14:paraId="4861EE2F" w14:textId="60E49F1E" w:rsidR="00E96B16" w:rsidRPr="00061E9F" w:rsidRDefault="00E96B16" w:rsidP="00F127AD">
      <w:pPr>
        <w:pStyle w:val="Heading1"/>
        <w:keepNext w:val="0"/>
        <w:widowControl w:val="0"/>
        <w:numPr>
          <w:ilvl w:val="1"/>
          <w:numId w:val="15"/>
        </w:numPr>
        <w:autoSpaceDE w:val="0"/>
        <w:autoSpaceDN w:val="0"/>
        <w:spacing w:after="120" w:line="240" w:lineRule="auto"/>
        <w:ind w:left="567" w:hanging="566"/>
        <w:rPr>
          <w:szCs w:val="22"/>
          <w:lang w:val="lv-LV"/>
        </w:rPr>
      </w:pPr>
      <w:r w:rsidRPr="00061E9F">
        <w:rPr>
          <w:szCs w:val="22"/>
          <w:lang w:val="lv-LV"/>
        </w:rPr>
        <w:t xml:space="preserve">Īpaši norādījumi atkritumu likvidēšanai un </w:t>
      </w:r>
      <w:r w:rsidR="009624CA" w:rsidRPr="00061E9F">
        <w:rPr>
          <w:lang w:val="lv-LV"/>
        </w:rPr>
        <w:t>citi norādījumi par rīkošanos.</w:t>
      </w:r>
    </w:p>
    <w:p w14:paraId="6FFB60D4" w14:textId="77777777" w:rsidR="00E96B16" w:rsidRPr="00916A8D" w:rsidRDefault="00E96B16" w:rsidP="00F127AD">
      <w:pPr>
        <w:pStyle w:val="BodyText"/>
        <w:rPr>
          <w:szCs w:val="22"/>
          <w:lang w:val="lv-LV"/>
        </w:rPr>
      </w:pPr>
      <w:r w:rsidRPr="00916A8D">
        <w:rPr>
          <w:szCs w:val="22"/>
          <w:lang w:val="lv-LV"/>
        </w:rPr>
        <w:t>Nav īpašu prasību.</w:t>
      </w:r>
    </w:p>
    <w:p w14:paraId="19BEAA77" w14:textId="77777777" w:rsidR="00E96B16" w:rsidRPr="00916A8D" w:rsidRDefault="00E96B16" w:rsidP="00F127AD">
      <w:pPr>
        <w:pStyle w:val="BodyText"/>
        <w:rPr>
          <w:szCs w:val="22"/>
          <w:lang w:val="lv-LV"/>
        </w:rPr>
      </w:pPr>
    </w:p>
    <w:p w14:paraId="429E5E0A" w14:textId="77777777" w:rsidR="00E96B16" w:rsidRPr="00916A8D" w:rsidRDefault="00E96B16" w:rsidP="00F127AD">
      <w:pPr>
        <w:pStyle w:val="Heading1"/>
        <w:keepNext w:val="0"/>
        <w:widowControl w:val="0"/>
        <w:numPr>
          <w:ilvl w:val="0"/>
          <w:numId w:val="15"/>
        </w:numPr>
        <w:autoSpaceDE w:val="0"/>
        <w:autoSpaceDN w:val="0"/>
        <w:spacing w:after="120" w:line="240" w:lineRule="auto"/>
        <w:ind w:left="567" w:hanging="566"/>
        <w:rPr>
          <w:szCs w:val="22"/>
          <w:lang w:val="lv-LV"/>
        </w:rPr>
      </w:pPr>
      <w:r w:rsidRPr="00916A8D">
        <w:rPr>
          <w:szCs w:val="22"/>
          <w:lang w:val="lv-LV"/>
        </w:rPr>
        <w:t>REĢISTRĀCIJAS APLIECĪBAS</w:t>
      </w:r>
      <w:r w:rsidRPr="00916A8D">
        <w:rPr>
          <w:spacing w:val="-5"/>
          <w:szCs w:val="22"/>
          <w:lang w:val="lv-LV"/>
        </w:rPr>
        <w:t xml:space="preserve"> </w:t>
      </w:r>
      <w:r w:rsidRPr="00916A8D">
        <w:rPr>
          <w:szCs w:val="22"/>
          <w:lang w:val="lv-LV"/>
        </w:rPr>
        <w:t>ĪPAŠNIEKS</w:t>
      </w:r>
    </w:p>
    <w:p w14:paraId="508A720F" w14:textId="77777777" w:rsidR="00E96B16" w:rsidRPr="00916A8D" w:rsidRDefault="00E96B16" w:rsidP="00C139D3">
      <w:pPr>
        <w:pStyle w:val="BodyText"/>
        <w:spacing w:after="0"/>
        <w:rPr>
          <w:szCs w:val="22"/>
          <w:lang w:val="lv-LV"/>
        </w:rPr>
      </w:pPr>
      <w:r w:rsidRPr="00916A8D">
        <w:rPr>
          <w:szCs w:val="22"/>
          <w:lang w:val="lv-LV"/>
        </w:rPr>
        <w:t>Dr.August Wolff GmbH &amp; Co.KG Arzneimittel</w:t>
      </w:r>
    </w:p>
    <w:p w14:paraId="6A468DC7" w14:textId="77777777" w:rsidR="00E96B16" w:rsidRPr="00916A8D" w:rsidRDefault="00E96B16" w:rsidP="00C139D3">
      <w:pPr>
        <w:pStyle w:val="BodyText"/>
        <w:spacing w:after="0"/>
        <w:rPr>
          <w:szCs w:val="22"/>
          <w:lang w:val="lv-LV"/>
        </w:rPr>
      </w:pPr>
      <w:r w:rsidRPr="00916A8D">
        <w:rPr>
          <w:szCs w:val="22"/>
          <w:lang w:val="lv-LV"/>
        </w:rPr>
        <w:t>Sudbrackstraße 56, 33611 Bielefeld</w:t>
      </w:r>
    </w:p>
    <w:p w14:paraId="2FB9ED73" w14:textId="77777777" w:rsidR="00E96B16" w:rsidRPr="00916A8D" w:rsidRDefault="00E96B16" w:rsidP="00C139D3">
      <w:pPr>
        <w:pStyle w:val="BodyText"/>
        <w:spacing w:after="0"/>
        <w:rPr>
          <w:szCs w:val="22"/>
          <w:lang w:val="lv-LV"/>
        </w:rPr>
      </w:pPr>
      <w:r w:rsidRPr="00916A8D">
        <w:rPr>
          <w:szCs w:val="22"/>
          <w:lang w:val="lv-LV"/>
        </w:rPr>
        <w:t>Vācija</w:t>
      </w:r>
    </w:p>
    <w:p w14:paraId="0AD72CAC" w14:textId="77777777" w:rsidR="00E96B16" w:rsidRPr="00916A8D" w:rsidRDefault="00E96B16" w:rsidP="00C139D3">
      <w:pPr>
        <w:pStyle w:val="BodyText"/>
        <w:spacing w:after="0"/>
        <w:rPr>
          <w:szCs w:val="22"/>
          <w:lang w:val="lv-LV"/>
        </w:rPr>
      </w:pPr>
      <w:r w:rsidRPr="00916A8D">
        <w:rPr>
          <w:szCs w:val="22"/>
          <w:lang w:val="lv-LV"/>
        </w:rPr>
        <w:t>Tālrunis: 49 521 8808 05</w:t>
      </w:r>
    </w:p>
    <w:p w14:paraId="7BD9786E" w14:textId="77777777" w:rsidR="00E96B16" w:rsidRPr="00916A8D" w:rsidRDefault="00E96B16" w:rsidP="00C139D3">
      <w:pPr>
        <w:pStyle w:val="BodyText"/>
        <w:spacing w:after="0"/>
        <w:rPr>
          <w:szCs w:val="22"/>
          <w:lang w:val="lv-LV"/>
        </w:rPr>
      </w:pPr>
      <w:r w:rsidRPr="00916A8D">
        <w:rPr>
          <w:szCs w:val="22"/>
          <w:lang w:val="lv-LV"/>
        </w:rPr>
        <w:t>Faks: 49 521 8808 334</w:t>
      </w:r>
    </w:p>
    <w:p w14:paraId="60EE0BC5" w14:textId="77777777" w:rsidR="00E96B16" w:rsidRPr="00916A8D" w:rsidRDefault="00E96B16" w:rsidP="00C139D3">
      <w:pPr>
        <w:pStyle w:val="BodyText"/>
        <w:spacing w:after="0"/>
        <w:rPr>
          <w:szCs w:val="22"/>
          <w:lang w:val="lv-LV"/>
        </w:rPr>
      </w:pPr>
      <w:r w:rsidRPr="00916A8D">
        <w:rPr>
          <w:szCs w:val="22"/>
          <w:lang w:val="lv-LV"/>
        </w:rPr>
        <w:t xml:space="preserve">E pasts: </w:t>
      </w:r>
      <w:hyperlink r:id="rId8">
        <w:r w:rsidRPr="00916A8D">
          <w:rPr>
            <w:color w:val="0000FF"/>
            <w:szCs w:val="22"/>
            <w:u w:val="single" w:color="0000FF"/>
            <w:lang w:val="lv-LV"/>
          </w:rPr>
          <w:t>info@wolff-arzneimittel.de</w:t>
        </w:r>
      </w:hyperlink>
    </w:p>
    <w:p w14:paraId="27466F7E" w14:textId="77777777" w:rsidR="00E96B16" w:rsidRPr="00916A8D" w:rsidRDefault="00E96B16" w:rsidP="00F127AD">
      <w:pPr>
        <w:pStyle w:val="BodyText"/>
        <w:rPr>
          <w:szCs w:val="22"/>
          <w:lang w:val="lv-LV"/>
        </w:rPr>
      </w:pPr>
    </w:p>
    <w:p w14:paraId="542FEFF7" w14:textId="77777777" w:rsidR="00E96B16" w:rsidRPr="00061E9F" w:rsidRDefault="00E96B16" w:rsidP="00F127AD">
      <w:pPr>
        <w:pStyle w:val="Heading1"/>
        <w:keepNext w:val="0"/>
        <w:widowControl w:val="0"/>
        <w:numPr>
          <w:ilvl w:val="0"/>
          <w:numId w:val="15"/>
        </w:numPr>
        <w:autoSpaceDE w:val="0"/>
        <w:autoSpaceDN w:val="0"/>
        <w:spacing w:after="120" w:line="240" w:lineRule="auto"/>
        <w:ind w:left="567" w:hanging="566"/>
        <w:rPr>
          <w:szCs w:val="22"/>
          <w:lang w:val="lv-LV"/>
        </w:rPr>
      </w:pPr>
      <w:r w:rsidRPr="00061E9F">
        <w:rPr>
          <w:szCs w:val="22"/>
          <w:lang w:val="lv-LV"/>
        </w:rPr>
        <w:t>REĢISTRĀCIJAS</w:t>
      </w:r>
      <w:r w:rsidRPr="00061E9F">
        <w:rPr>
          <w:spacing w:val="-3"/>
          <w:szCs w:val="22"/>
          <w:lang w:val="lv-LV"/>
        </w:rPr>
        <w:t xml:space="preserve"> </w:t>
      </w:r>
      <w:r w:rsidRPr="00061E9F">
        <w:rPr>
          <w:szCs w:val="22"/>
          <w:lang w:val="lv-LV"/>
        </w:rPr>
        <w:t>NUMURS</w:t>
      </w:r>
    </w:p>
    <w:p w14:paraId="33FDC1DD" w14:textId="360AD76C" w:rsidR="00E96B16" w:rsidRPr="00061E9F" w:rsidRDefault="00A952DE" w:rsidP="00F127AD">
      <w:pPr>
        <w:pStyle w:val="BodyText"/>
        <w:rPr>
          <w:szCs w:val="22"/>
          <w:lang w:val="lv-LV"/>
        </w:rPr>
      </w:pPr>
      <w:r w:rsidRPr="00061E9F">
        <w:rPr>
          <w:szCs w:val="22"/>
          <w:lang w:val="lv-LV"/>
        </w:rPr>
        <w:t>98-0855</w:t>
      </w:r>
    </w:p>
    <w:p w14:paraId="290309BD" w14:textId="77777777" w:rsidR="00E96B16" w:rsidRPr="00061E9F" w:rsidRDefault="00E96B16" w:rsidP="00F127AD">
      <w:pPr>
        <w:pStyle w:val="BodyText"/>
        <w:rPr>
          <w:b/>
          <w:szCs w:val="22"/>
          <w:lang w:val="lv-LV"/>
        </w:rPr>
      </w:pPr>
    </w:p>
    <w:p w14:paraId="749951F4" w14:textId="615D0BF0" w:rsidR="00E96B16" w:rsidRPr="00061E9F" w:rsidRDefault="0044472F" w:rsidP="00F127AD">
      <w:pPr>
        <w:pStyle w:val="ListParagraph"/>
        <w:numPr>
          <w:ilvl w:val="0"/>
          <w:numId w:val="15"/>
        </w:numPr>
        <w:spacing w:after="120"/>
        <w:ind w:left="567" w:hanging="566"/>
        <w:rPr>
          <w:b/>
          <w:lang w:val="lv-LV"/>
        </w:rPr>
      </w:pPr>
      <w:r w:rsidRPr="00061E9F">
        <w:rPr>
          <w:b/>
        </w:rPr>
        <w:t>PIRMĀS</w:t>
      </w:r>
      <w:r w:rsidRPr="00061E9F">
        <w:rPr>
          <w:b/>
          <w:lang w:val="lv-LV"/>
        </w:rPr>
        <w:t xml:space="preserve"> </w:t>
      </w:r>
      <w:r w:rsidR="00E96B16" w:rsidRPr="00061E9F">
        <w:rPr>
          <w:b/>
          <w:lang w:val="lv-LV"/>
        </w:rPr>
        <w:t>REĢISTRĀCIJAS / PĀRREĢISTRĀCIJAS</w:t>
      </w:r>
      <w:r w:rsidR="00E96B16" w:rsidRPr="00061E9F">
        <w:rPr>
          <w:b/>
          <w:spacing w:val="-4"/>
          <w:lang w:val="lv-LV"/>
        </w:rPr>
        <w:t xml:space="preserve"> </w:t>
      </w:r>
      <w:r w:rsidR="00E96B16" w:rsidRPr="00061E9F">
        <w:rPr>
          <w:b/>
          <w:lang w:val="lv-LV"/>
        </w:rPr>
        <w:t>DATUMS</w:t>
      </w:r>
    </w:p>
    <w:p w14:paraId="7B486714" w14:textId="2C510520" w:rsidR="0044472F" w:rsidRPr="00061E9F" w:rsidRDefault="0044472F" w:rsidP="0044472F">
      <w:pPr>
        <w:rPr>
          <w:lang w:val="lv-LV"/>
        </w:rPr>
      </w:pPr>
      <w:r w:rsidRPr="00061E9F">
        <w:rPr>
          <w:lang w:val="lv-LV"/>
        </w:rPr>
        <w:t xml:space="preserve">Reģistrācijas datums: </w:t>
      </w:r>
      <w:r w:rsidRPr="00061E9F">
        <w:rPr>
          <w:szCs w:val="22"/>
          <w:lang w:val="lv-LV"/>
        </w:rPr>
        <w:t>08</w:t>
      </w:r>
      <w:r w:rsidR="00813337" w:rsidRPr="00061E9F">
        <w:rPr>
          <w:szCs w:val="22"/>
          <w:lang w:val="lv-LV"/>
        </w:rPr>
        <w:t>/</w:t>
      </w:r>
      <w:r w:rsidRPr="00061E9F">
        <w:rPr>
          <w:szCs w:val="22"/>
          <w:lang w:val="lv-LV"/>
        </w:rPr>
        <w:t>09</w:t>
      </w:r>
      <w:r w:rsidR="00813337" w:rsidRPr="00061E9F">
        <w:rPr>
          <w:szCs w:val="22"/>
          <w:lang w:val="lv-LV"/>
        </w:rPr>
        <w:t>/</w:t>
      </w:r>
      <w:r w:rsidRPr="00061E9F">
        <w:rPr>
          <w:szCs w:val="22"/>
          <w:lang w:val="lv-LV"/>
        </w:rPr>
        <w:t>1999</w:t>
      </w:r>
    </w:p>
    <w:p w14:paraId="23A75E1B" w14:textId="64343D58" w:rsidR="0044472F" w:rsidRPr="00302954" w:rsidRDefault="0044472F" w:rsidP="0044472F">
      <w:pPr>
        <w:rPr>
          <w:noProof/>
          <w:lang w:val="lv-LV"/>
        </w:rPr>
      </w:pPr>
      <w:r w:rsidRPr="00061E9F">
        <w:rPr>
          <w:lang w:val="lv-LV"/>
        </w:rPr>
        <w:t xml:space="preserve">Pēdējās pārreģistrācijas datums: </w:t>
      </w:r>
      <w:r w:rsidRPr="00061E9F">
        <w:rPr>
          <w:szCs w:val="22"/>
          <w:lang w:val="lv-LV"/>
        </w:rPr>
        <w:t>26</w:t>
      </w:r>
      <w:r w:rsidR="00813337" w:rsidRPr="00061E9F">
        <w:rPr>
          <w:szCs w:val="22"/>
          <w:lang w:val="lv-LV"/>
        </w:rPr>
        <w:t>/</w:t>
      </w:r>
      <w:r w:rsidRPr="00061E9F">
        <w:rPr>
          <w:szCs w:val="22"/>
          <w:lang w:val="lv-LV"/>
        </w:rPr>
        <w:t>03</w:t>
      </w:r>
      <w:r w:rsidR="00813337" w:rsidRPr="00061E9F">
        <w:rPr>
          <w:szCs w:val="22"/>
          <w:lang w:val="lv-LV"/>
        </w:rPr>
        <w:t>/</w:t>
      </w:r>
      <w:r w:rsidRPr="00061E9F">
        <w:rPr>
          <w:szCs w:val="22"/>
          <w:lang w:val="lv-LV"/>
        </w:rPr>
        <w:t>2009</w:t>
      </w:r>
    </w:p>
    <w:p w14:paraId="66D204C1" w14:textId="77777777" w:rsidR="0044472F" w:rsidRPr="00302954" w:rsidRDefault="0044472F" w:rsidP="0044472F">
      <w:pPr>
        <w:ind w:left="567" w:hanging="567"/>
        <w:rPr>
          <w:noProof/>
          <w:lang w:val="lv-LV"/>
        </w:rPr>
      </w:pPr>
    </w:p>
    <w:p w14:paraId="7FCE067A" w14:textId="77777777" w:rsidR="00E96B16" w:rsidRPr="00911689" w:rsidRDefault="00E96B16" w:rsidP="00F127AD">
      <w:pPr>
        <w:pStyle w:val="BodyText"/>
        <w:rPr>
          <w:szCs w:val="22"/>
          <w:lang w:val="lv-LV"/>
        </w:rPr>
      </w:pPr>
    </w:p>
    <w:p w14:paraId="1DDB6D9C" w14:textId="77777777" w:rsidR="00E96B16" w:rsidRPr="00916A8D" w:rsidRDefault="00E96B16" w:rsidP="00F127AD">
      <w:pPr>
        <w:pStyle w:val="Heading1"/>
        <w:keepNext w:val="0"/>
        <w:widowControl w:val="0"/>
        <w:numPr>
          <w:ilvl w:val="0"/>
          <w:numId w:val="15"/>
        </w:numPr>
        <w:autoSpaceDE w:val="0"/>
        <w:autoSpaceDN w:val="0"/>
        <w:spacing w:after="120" w:line="240" w:lineRule="auto"/>
        <w:ind w:left="567" w:hanging="566"/>
        <w:rPr>
          <w:szCs w:val="22"/>
          <w:lang w:val="lv-LV"/>
        </w:rPr>
      </w:pPr>
      <w:r w:rsidRPr="00916A8D">
        <w:rPr>
          <w:szCs w:val="22"/>
          <w:lang w:val="lv-LV"/>
        </w:rPr>
        <w:t>TEKSTA PĒDĒJĀS PĀRSKATĪŠANAS</w:t>
      </w:r>
      <w:r w:rsidRPr="00916A8D">
        <w:rPr>
          <w:spacing w:val="-8"/>
          <w:szCs w:val="22"/>
          <w:lang w:val="lv-LV"/>
        </w:rPr>
        <w:t xml:space="preserve"> </w:t>
      </w:r>
      <w:r w:rsidRPr="00916A8D">
        <w:rPr>
          <w:szCs w:val="22"/>
          <w:lang w:val="lv-LV"/>
        </w:rPr>
        <w:t>DATUMS</w:t>
      </w:r>
    </w:p>
    <w:p w14:paraId="16E45119" w14:textId="77A00F03" w:rsidR="00E96B16" w:rsidRPr="00916A8D" w:rsidRDefault="00A952DE" w:rsidP="00F127AD">
      <w:pPr>
        <w:pStyle w:val="BodyText"/>
        <w:rPr>
          <w:szCs w:val="22"/>
          <w:lang w:val="lv-LV"/>
        </w:rPr>
      </w:pPr>
      <w:r w:rsidRPr="00916A8D">
        <w:rPr>
          <w:szCs w:val="22"/>
          <w:lang w:val="lv-LV"/>
        </w:rPr>
        <w:t>05/2019</w:t>
      </w:r>
    </w:p>
    <w:p w14:paraId="5007F416" w14:textId="77777777" w:rsidR="00E96B16" w:rsidRPr="00774DC5" w:rsidRDefault="00E96B16" w:rsidP="00F127AD">
      <w:pPr>
        <w:pStyle w:val="BodyText"/>
        <w:rPr>
          <w:szCs w:val="22"/>
          <w:lang w:val="lv-LV"/>
        </w:rPr>
      </w:pPr>
      <w:r w:rsidRPr="00774DC5">
        <w:rPr>
          <w:szCs w:val="22"/>
          <w:lang w:val="lv-LV"/>
        </w:rPr>
        <w:t>Sīkāka informācija par šīm zālēm ir pieejama Eiropas zāļu aģentūras (EMEA) mājas lapā</w:t>
      </w:r>
    </w:p>
    <w:p w14:paraId="5C2BDF2F" w14:textId="77777777" w:rsidR="00E96B16" w:rsidRPr="00916A8D" w:rsidRDefault="009D33F7" w:rsidP="00F127AD">
      <w:pPr>
        <w:pStyle w:val="BodyText"/>
        <w:rPr>
          <w:szCs w:val="22"/>
          <w:lang w:val="lv-LV"/>
        </w:rPr>
      </w:pPr>
      <w:hyperlink r:id="rId9">
        <w:r w:rsidR="00E96B16" w:rsidRPr="00774DC5">
          <w:rPr>
            <w:color w:val="0000FF"/>
            <w:szCs w:val="22"/>
            <w:u w:val="single" w:color="0000FF"/>
            <w:lang w:val="lv-LV"/>
          </w:rPr>
          <w:t>http://www.emea.europa.eu/</w:t>
        </w:r>
      </w:hyperlink>
    </w:p>
    <w:p w14:paraId="1A1DFD32" w14:textId="77777777" w:rsidR="00E96B16" w:rsidRPr="00916A8D" w:rsidRDefault="00E96B16" w:rsidP="00F127AD">
      <w:pPr>
        <w:spacing w:after="120"/>
        <w:ind w:right="-1"/>
        <w:rPr>
          <w:noProof/>
          <w:szCs w:val="22"/>
          <w:lang w:val="lv-LV"/>
        </w:rPr>
      </w:pPr>
    </w:p>
    <w:sectPr w:rsidR="00E96B16" w:rsidRPr="00916A8D" w:rsidSect="002E75BA">
      <w:headerReference w:type="even" r:id="rId10"/>
      <w:headerReference w:type="default" r:id="rId11"/>
      <w:footerReference w:type="even" r:id="rId12"/>
      <w:footerReference w:type="default" r:id="rId13"/>
      <w:headerReference w:type="first" r:id="rId14"/>
      <w:footerReference w:type="first" r:id="rId15"/>
      <w:pgSz w:w="11901" w:h="16840" w:code="9"/>
      <w:pgMar w:top="1134" w:right="1418" w:bottom="1134" w:left="1418" w:header="737" w:footer="737"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9897" w14:textId="77777777" w:rsidR="00235C03" w:rsidRDefault="00235C03">
      <w:r>
        <w:separator/>
      </w:r>
    </w:p>
  </w:endnote>
  <w:endnote w:type="continuationSeparator" w:id="0">
    <w:p w14:paraId="0F8C7503" w14:textId="77777777" w:rsidR="00235C03" w:rsidRDefault="0023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2C3A" w14:textId="77777777" w:rsidR="000704B8" w:rsidRDefault="00070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E42E" w14:textId="77777777" w:rsidR="005E71CB" w:rsidRDefault="00482315" w:rsidP="00B86683">
    <w:pPr>
      <w:pStyle w:val="Footer"/>
      <w:jc w:val="center"/>
    </w:pPr>
    <w:r>
      <w:fldChar w:fldCharType="begin"/>
    </w:r>
    <w:r>
      <w:instrText xml:space="preserve"> EQ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F73B" w14:textId="77777777" w:rsidR="00482315" w:rsidRDefault="00482315">
    <w:pPr>
      <w:pStyle w:val="Footer"/>
      <w:jc w:val="center"/>
    </w:pPr>
    <w:r>
      <w:fldChar w:fldCharType="begin"/>
    </w:r>
    <w:r>
      <w:instrText xml:space="preserve"> EQ </w:instrText>
    </w:r>
    <w:r>
      <w:fldChar w:fldCharType="end"/>
    </w:r>
    <w:r w:rsidRPr="00CF70DB">
      <w:rPr>
        <w:rStyle w:val="PageNumber"/>
        <w:rFonts w:ascii="Times New Roman" w:hAnsi="Times New Roman"/>
      </w:rPr>
      <w:fldChar w:fldCharType="begin"/>
    </w:r>
    <w:r w:rsidRPr="00CF70DB">
      <w:rPr>
        <w:rStyle w:val="PageNumber"/>
        <w:rFonts w:ascii="Times New Roman" w:hAnsi="Times New Roman"/>
      </w:rPr>
      <w:instrText xml:space="preserve">PAGE  </w:instrText>
    </w:r>
    <w:r w:rsidRPr="00CF70DB">
      <w:rPr>
        <w:rStyle w:val="PageNumber"/>
        <w:rFonts w:ascii="Times New Roman" w:hAnsi="Times New Roman"/>
      </w:rPr>
      <w:fldChar w:fldCharType="separate"/>
    </w:r>
    <w:r w:rsidR="002E75BA">
      <w:rPr>
        <w:rStyle w:val="PageNumber"/>
        <w:rFonts w:ascii="Times New Roman" w:hAnsi="Times New Roman"/>
        <w:noProof/>
      </w:rPr>
      <w:t>1</w:t>
    </w:r>
    <w:r w:rsidRPr="00CF70DB">
      <w:rPr>
        <w:rStyle w:val="PageNumber"/>
        <w:rFonts w:ascii="Times New Roman" w:hAnsi="Times New Roman"/>
      </w:rPr>
      <w:fldChar w:fldCharType="end"/>
    </w:r>
  </w:p>
  <w:p w14:paraId="0C208142" w14:textId="77777777" w:rsidR="005E71CB" w:rsidRDefault="005E71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58F0" w14:textId="77777777" w:rsidR="00235C03" w:rsidRDefault="00235C03">
      <w:r>
        <w:separator/>
      </w:r>
    </w:p>
  </w:footnote>
  <w:footnote w:type="continuationSeparator" w:id="0">
    <w:p w14:paraId="1D2EBCD3" w14:textId="77777777" w:rsidR="00235C03" w:rsidRDefault="0023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B9D5" w14:textId="77777777" w:rsidR="000704B8" w:rsidRDefault="00070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B80D" w14:textId="0EF85562" w:rsidR="009D33F7" w:rsidRPr="009D33F7" w:rsidRDefault="009D33F7" w:rsidP="009D33F7">
    <w:pPr>
      <w:pStyle w:val="Header"/>
      <w:jc w:val="right"/>
      <w:rPr>
        <w:sz w:val="24"/>
        <w:szCs w:val="24"/>
      </w:rPr>
    </w:pPr>
    <w:r>
      <w:rPr>
        <w:sz w:val="24"/>
        <w:szCs w:val="24"/>
      </w:rPr>
      <w:t>SASKAŅOTS ZVA 24-10-2019</w:t>
    </w:r>
    <w:bookmarkStart w:id="0" w:name="_GoBack"/>
    <w:bookmarkEnd w:id="0"/>
  </w:p>
  <w:p w14:paraId="018A7EFE" w14:textId="77777777" w:rsidR="005E71CB" w:rsidRDefault="005E71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5784"/>
      <w:gridCol w:w="1928"/>
    </w:tblGrid>
    <w:tr w:rsidR="00BB528C" w:rsidRPr="002C06BF" w14:paraId="0AA5CD46" w14:textId="77777777" w:rsidTr="003A1E8E">
      <w:trPr>
        <w:trHeight w:val="851"/>
      </w:trPr>
      <w:tc>
        <w:tcPr>
          <w:tcW w:w="1927" w:type="dxa"/>
          <w:shd w:val="clear" w:color="auto" w:fill="auto"/>
        </w:tcPr>
        <w:p w14:paraId="54F0EC8C" w14:textId="77777777" w:rsidR="00BB528C" w:rsidRPr="008E676C" w:rsidRDefault="00020C41" w:rsidP="003A1E8E">
          <w:pPr>
            <w:pStyle w:val="Header"/>
            <w:jc w:val="center"/>
            <w:rPr>
              <w:rFonts w:eastAsia="Calibri"/>
              <w:kern w:val="22"/>
              <w:szCs w:val="22"/>
            </w:rPr>
          </w:pPr>
          <w:r>
            <w:rPr>
              <w:rFonts w:eastAsia="Calibri"/>
              <w:noProof/>
              <w:kern w:val="22"/>
              <w:szCs w:val="22"/>
              <w:lang w:val="en-US"/>
            </w:rPr>
            <w:drawing>
              <wp:anchor distT="0" distB="0" distL="114300" distR="114300" simplePos="0" relativeHeight="251633664" behindDoc="0" locked="0" layoutInCell="1" allowOverlap="1" wp14:anchorId="7450C79C" wp14:editId="5A06A654">
                <wp:simplePos x="0" y="0"/>
                <wp:positionH relativeFrom="margin">
                  <wp:posOffset>5080</wp:posOffset>
                </wp:positionH>
                <wp:positionV relativeFrom="margin">
                  <wp:posOffset>107315</wp:posOffset>
                </wp:positionV>
                <wp:extent cx="1076325" cy="276225"/>
                <wp:effectExtent l="0" t="0" r="9525" b="9525"/>
                <wp:wrapSquare wrapText="bothSides"/>
                <wp:docPr id="1" name="Grafik 18" descr="DrAugustWolff-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DrAugustWolff-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4" w:type="dxa"/>
          <w:shd w:val="clear" w:color="auto" w:fill="auto"/>
        </w:tcPr>
        <w:p w14:paraId="39AF9352" w14:textId="77777777" w:rsidR="00CF70DB" w:rsidRPr="00110332" w:rsidRDefault="00CF70DB" w:rsidP="00CF70DB">
          <w:pPr>
            <w:jc w:val="center"/>
            <w:rPr>
              <w:rFonts w:eastAsia="Calibri"/>
              <w:b/>
              <w:kern w:val="22"/>
              <w:szCs w:val="22"/>
            </w:rPr>
          </w:pPr>
          <w:r w:rsidRPr="00110332">
            <w:rPr>
              <w:rFonts w:eastAsia="Calibri"/>
              <w:b/>
              <w:kern w:val="22"/>
              <w:szCs w:val="22"/>
            </w:rPr>
            <w:t>“Produktname”</w:t>
          </w:r>
        </w:p>
        <w:p w14:paraId="1FB3902D" w14:textId="77777777" w:rsidR="00CF70DB" w:rsidRPr="00110332" w:rsidRDefault="00CF70DB" w:rsidP="00CF70DB">
          <w:pPr>
            <w:jc w:val="center"/>
            <w:rPr>
              <w:rFonts w:eastAsia="Calibri"/>
              <w:b/>
              <w:kern w:val="22"/>
              <w:szCs w:val="22"/>
            </w:rPr>
          </w:pPr>
        </w:p>
        <w:p w14:paraId="46AECA97" w14:textId="77777777" w:rsidR="00020C41" w:rsidRPr="00110332" w:rsidRDefault="009D33F7" w:rsidP="00020C41">
          <w:pPr>
            <w:jc w:val="center"/>
            <w:rPr>
              <w:rFonts w:eastAsia="Calibri"/>
              <w:kern w:val="22"/>
              <w:szCs w:val="22"/>
            </w:rPr>
          </w:pPr>
          <w:sdt>
            <w:sdtPr>
              <w:rPr>
                <w:rFonts w:eastAsia="Calibri"/>
                <w:kern w:val="22"/>
                <w:szCs w:val="22"/>
              </w:rPr>
              <w:alias w:val="dvelop_DDF_33"/>
              <w:tag w:val="dvelop_DDF_33"/>
              <w:id w:val="787086049"/>
              <w:placeholder>
                <w:docPart w:val="DefaultPlaceholder_1082065158"/>
              </w:placeholder>
            </w:sdtPr>
            <w:sdtEndPr/>
            <w:sdtContent>
              <w:r w:rsidR="00020C41" w:rsidRPr="00110332">
                <w:rPr>
                  <w:rFonts w:eastAsia="Calibri"/>
                  <w:kern w:val="22"/>
                  <w:szCs w:val="22"/>
                </w:rPr>
                <w:t>@Dokumentart (Ebene 4)@</w:t>
              </w:r>
            </w:sdtContent>
          </w:sdt>
          <w:r w:rsidR="00020C41" w:rsidRPr="00110332">
            <w:rPr>
              <w:rFonts w:eastAsia="Calibri"/>
              <w:kern w:val="22"/>
              <w:szCs w:val="22"/>
            </w:rPr>
            <w:t xml:space="preserve"> </w:t>
          </w:r>
        </w:p>
        <w:sdt>
          <w:sdtPr>
            <w:rPr>
              <w:rFonts w:eastAsia="Calibri"/>
              <w:kern w:val="22"/>
              <w:szCs w:val="22"/>
            </w:rPr>
            <w:alias w:val="dvelop_DDF_32"/>
            <w:tag w:val="dvelop_DDF_32"/>
            <w:id w:val="-1781253919"/>
            <w:placeholder>
              <w:docPart w:val="DefaultPlaceholder_1082065158"/>
            </w:placeholder>
          </w:sdtPr>
          <w:sdtEndPr/>
          <w:sdtContent>
            <w:p w14:paraId="3A9EDE32" w14:textId="77777777" w:rsidR="00BB528C" w:rsidRPr="00110332" w:rsidRDefault="00020C41" w:rsidP="00020C41">
              <w:pPr>
                <w:jc w:val="center"/>
                <w:rPr>
                  <w:rFonts w:eastAsia="Calibri"/>
                  <w:kern w:val="22"/>
                  <w:szCs w:val="22"/>
                </w:rPr>
              </w:pPr>
              <w:r w:rsidRPr="00110332">
                <w:rPr>
                  <w:rFonts w:eastAsia="Calibri"/>
                  <w:kern w:val="22"/>
                  <w:szCs w:val="22"/>
                </w:rPr>
                <w:t>@Dokumentartverfeinerung (Ebene 5)@</w:t>
              </w:r>
            </w:p>
          </w:sdtContent>
        </w:sdt>
      </w:tc>
      <w:tc>
        <w:tcPr>
          <w:tcW w:w="1928" w:type="dxa"/>
          <w:shd w:val="clear" w:color="auto" w:fill="auto"/>
        </w:tcPr>
        <w:p w14:paraId="7BBEE7BF" w14:textId="77777777" w:rsidR="00BB528C" w:rsidRPr="008E676C" w:rsidRDefault="00BB528C" w:rsidP="003A1E8E">
          <w:pPr>
            <w:ind w:right="139"/>
            <w:jc w:val="right"/>
            <w:rPr>
              <w:rStyle w:val="PageNumber"/>
              <w:rFonts w:eastAsia="Calibri"/>
              <w:b/>
              <w:kern w:val="22"/>
              <w:szCs w:val="22"/>
              <w:lang w:val="fr-CH"/>
            </w:rPr>
          </w:pPr>
          <w:r w:rsidRPr="008E676C">
            <w:rPr>
              <w:rStyle w:val="PageNumber"/>
              <w:rFonts w:eastAsia="Calibri"/>
              <w:kern w:val="22"/>
              <w:szCs w:val="22"/>
              <w:lang w:val="fr-CH"/>
            </w:rPr>
            <w:t xml:space="preserve">Page </w:t>
          </w:r>
          <w:r w:rsidRPr="008E676C">
            <w:rPr>
              <w:rStyle w:val="PageNumber"/>
              <w:rFonts w:eastAsia="Calibri"/>
              <w:b/>
              <w:kern w:val="22"/>
              <w:szCs w:val="22"/>
            </w:rPr>
            <w:fldChar w:fldCharType="begin"/>
          </w:r>
          <w:r w:rsidRPr="008E676C">
            <w:rPr>
              <w:rStyle w:val="PageNumber"/>
              <w:rFonts w:eastAsia="Calibri"/>
              <w:b/>
              <w:kern w:val="22"/>
              <w:szCs w:val="22"/>
              <w:lang w:val="fr-CH"/>
            </w:rPr>
            <w:instrText xml:space="preserve"> PAGE </w:instrText>
          </w:r>
          <w:r w:rsidRPr="008E676C">
            <w:rPr>
              <w:rStyle w:val="PageNumber"/>
              <w:rFonts w:eastAsia="Calibri"/>
              <w:b/>
              <w:kern w:val="22"/>
              <w:szCs w:val="22"/>
            </w:rPr>
            <w:fldChar w:fldCharType="separate"/>
          </w:r>
          <w:r w:rsidR="002E75BA">
            <w:rPr>
              <w:rStyle w:val="PageNumber"/>
              <w:rFonts w:eastAsia="Calibri"/>
              <w:b/>
              <w:noProof/>
              <w:kern w:val="22"/>
              <w:szCs w:val="22"/>
              <w:lang w:val="fr-CH"/>
            </w:rPr>
            <w:t>1</w:t>
          </w:r>
          <w:r w:rsidRPr="008E676C">
            <w:rPr>
              <w:rStyle w:val="PageNumber"/>
              <w:rFonts w:eastAsia="Calibri"/>
              <w:b/>
              <w:kern w:val="22"/>
              <w:szCs w:val="22"/>
            </w:rPr>
            <w:fldChar w:fldCharType="end"/>
          </w:r>
        </w:p>
        <w:p w14:paraId="65CD8471" w14:textId="77777777" w:rsidR="00BB528C" w:rsidRPr="008E676C" w:rsidRDefault="00BB528C" w:rsidP="003A1E8E">
          <w:pPr>
            <w:ind w:right="139"/>
            <w:jc w:val="right"/>
            <w:rPr>
              <w:rStyle w:val="PageNumber"/>
              <w:rFonts w:eastAsia="Calibri"/>
              <w:noProof/>
              <w:kern w:val="22"/>
              <w:szCs w:val="22"/>
              <w:lang w:val="fr-CH"/>
            </w:rPr>
          </w:pPr>
        </w:p>
        <w:p w14:paraId="185EDF36" w14:textId="77777777" w:rsidR="00BB528C" w:rsidRPr="008E676C" w:rsidRDefault="00BB528C" w:rsidP="003A1E8E">
          <w:pPr>
            <w:pStyle w:val="Header"/>
            <w:jc w:val="right"/>
            <w:rPr>
              <w:rFonts w:eastAsia="Calibri"/>
              <w:kern w:val="22"/>
              <w:szCs w:val="24"/>
            </w:rPr>
          </w:pPr>
          <w:r w:rsidRPr="008E676C">
            <w:rPr>
              <w:rStyle w:val="PageNumber"/>
              <w:rFonts w:eastAsia="Calibri"/>
              <w:kern w:val="22"/>
              <w:szCs w:val="22"/>
              <w:lang w:val="fr-CH"/>
            </w:rPr>
            <w:t>MM/JJJJ</w:t>
          </w:r>
        </w:p>
      </w:tc>
    </w:tr>
  </w:tbl>
  <w:p w14:paraId="15C0A1D1" w14:textId="77777777" w:rsidR="001F275D" w:rsidRDefault="001F275D">
    <w:pPr>
      <w:pStyle w:val="Header"/>
    </w:pPr>
  </w:p>
  <w:p w14:paraId="1A0C88EC" w14:textId="77777777" w:rsidR="005E71CB" w:rsidRDefault="005E71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415F58"/>
    <w:multiLevelType w:val="multilevel"/>
    <w:tmpl w:val="C31CADBA"/>
    <w:lvl w:ilvl="0">
      <w:start w:val="1"/>
      <w:numFmt w:val="decimal"/>
      <w:lvlText w:val="%1."/>
      <w:lvlJc w:val="left"/>
      <w:pPr>
        <w:ind w:left="360" w:hanging="360"/>
      </w:pPr>
      <w:rPr>
        <w:rFonts w:hint="default"/>
        <w:b/>
        <w:bCs/>
        <w:i w:val="0"/>
        <w:w w:val="100"/>
        <w:sz w:val="22"/>
        <w:szCs w:val="22"/>
      </w:rPr>
    </w:lvl>
    <w:lvl w:ilvl="1">
      <w:start w:val="1"/>
      <w:numFmt w:val="decimal"/>
      <w:lvlText w:val="%1.%2."/>
      <w:lvlJc w:val="left"/>
      <w:pPr>
        <w:ind w:left="792" w:hanging="432"/>
      </w:pPr>
      <w:rPr>
        <w:rFonts w:hint="default"/>
        <w:b/>
        <w:bCs/>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4" w15:restartNumberingAfterBreak="0">
    <w:nsid w:val="2AAE135F"/>
    <w:multiLevelType w:val="hybridMultilevel"/>
    <w:tmpl w:val="2FA402D2"/>
    <w:lvl w:ilvl="0" w:tplc="443C159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B9909EF"/>
    <w:multiLevelType w:val="multilevel"/>
    <w:tmpl w:val="A350E4E4"/>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5AAF4295"/>
    <w:multiLevelType w:val="multilevel"/>
    <w:tmpl w:val="065E850C"/>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4" w15:restartNumberingAfterBreak="0">
    <w:nsid w:val="70A116BF"/>
    <w:multiLevelType w:val="multilevel"/>
    <w:tmpl w:val="92C07BB4"/>
    <w:lvl w:ilvl="0">
      <w:start w:val="1"/>
      <w:numFmt w:val="decimal"/>
      <w:lvlText w:val="%1."/>
      <w:lvlJc w:val="left"/>
      <w:pPr>
        <w:ind w:left="318" w:hanging="552"/>
      </w:pPr>
      <w:rPr>
        <w:rFonts w:ascii="Times New Roman" w:eastAsia="Times New Roman" w:hAnsi="Times New Roman" w:cs="Times New Roman" w:hint="default"/>
        <w:b/>
        <w:bCs/>
        <w:w w:val="100"/>
        <w:sz w:val="22"/>
        <w:szCs w:val="22"/>
      </w:rPr>
    </w:lvl>
    <w:lvl w:ilvl="1">
      <w:start w:val="1"/>
      <w:numFmt w:val="decimal"/>
      <w:lvlText w:val="%1.%2"/>
      <w:lvlJc w:val="left"/>
      <w:pPr>
        <w:ind w:left="884" w:hanging="567"/>
      </w:pPr>
      <w:rPr>
        <w:rFonts w:ascii="Times New Roman" w:eastAsia="Times New Roman" w:hAnsi="Times New Roman" w:cs="Times New Roman" w:hint="default"/>
        <w:b/>
        <w:bCs/>
        <w:w w:val="100"/>
        <w:sz w:val="22"/>
        <w:szCs w:val="22"/>
      </w:rPr>
    </w:lvl>
    <w:lvl w:ilvl="2">
      <w:numFmt w:val="bullet"/>
      <w:lvlText w:val="•"/>
      <w:lvlJc w:val="left"/>
      <w:pPr>
        <w:ind w:left="1838" w:hanging="567"/>
      </w:pPr>
      <w:rPr>
        <w:rFonts w:hint="default"/>
      </w:rPr>
    </w:lvl>
    <w:lvl w:ilvl="3">
      <w:numFmt w:val="bullet"/>
      <w:lvlText w:val="•"/>
      <w:lvlJc w:val="left"/>
      <w:pPr>
        <w:ind w:left="2796" w:hanging="567"/>
      </w:pPr>
      <w:rPr>
        <w:rFonts w:hint="default"/>
      </w:rPr>
    </w:lvl>
    <w:lvl w:ilvl="4">
      <w:numFmt w:val="bullet"/>
      <w:lvlText w:val="•"/>
      <w:lvlJc w:val="left"/>
      <w:pPr>
        <w:ind w:left="3755" w:hanging="567"/>
      </w:pPr>
      <w:rPr>
        <w:rFonts w:hint="default"/>
      </w:rPr>
    </w:lvl>
    <w:lvl w:ilvl="5">
      <w:numFmt w:val="bullet"/>
      <w:lvlText w:val="•"/>
      <w:lvlJc w:val="left"/>
      <w:pPr>
        <w:ind w:left="4713" w:hanging="567"/>
      </w:pPr>
      <w:rPr>
        <w:rFonts w:hint="default"/>
      </w:rPr>
    </w:lvl>
    <w:lvl w:ilvl="6">
      <w:numFmt w:val="bullet"/>
      <w:lvlText w:val="•"/>
      <w:lvlJc w:val="left"/>
      <w:pPr>
        <w:ind w:left="5672" w:hanging="567"/>
      </w:pPr>
      <w:rPr>
        <w:rFonts w:hint="default"/>
      </w:rPr>
    </w:lvl>
    <w:lvl w:ilvl="7">
      <w:numFmt w:val="bullet"/>
      <w:lvlText w:val="•"/>
      <w:lvlJc w:val="left"/>
      <w:pPr>
        <w:ind w:left="6630" w:hanging="567"/>
      </w:pPr>
      <w:rPr>
        <w:rFonts w:hint="default"/>
      </w:rPr>
    </w:lvl>
    <w:lvl w:ilvl="8">
      <w:numFmt w:val="bullet"/>
      <w:lvlText w:val="•"/>
      <w:lvlJc w:val="left"/>
      <w:pPr>
        <w:ind w:left="7589" w:hanging="567"/>
      </w:pPr>
      <w:rPr>
        <w:rFonts w:hint="default"/>
      </w:rPr>
    </w:lvl>
  </w:abstractNum>
  <w:abstractNum w:abstractNumId="15" w15:restartNumberingAfterBreak="0">
    <w:nsid w:val="7C7A191D"/>
    <w:multiLevelType w:val="multilevel"/>
    <w:tmpl w:val="92C07BB4"/>
    <w:lvl w:ilvl="0">
      <w:start w:val="1"/>
      <w:numFmt w:val="decimal"/>
      <w:lvlText w:val="%1."/>
      <w:lvlJc w:val="left"/>
      <w:pPr>
        <w:ind w:left="318" w:hanging="552"/>
      </w:pPr>
      <w:rPr>
        <w:rFonts w:ascii="Times New Roman" w:eastAsia="Times New Roman" w:hAnsi="Times New Roman" w:cs="Times New Roman" w:hint="default"/>
        <w:b/>
        <w:bCs/>
        <w:w w:val="100"/>
        <w:sz w:val="22"/>
        <w:szCs w:val="22"/>
      </w:rPr>
    </w:lvl>
    <w:lvl w:ilvl="1">
      <w:start w:val="1"/>
      <w:numFmt w:val="decimal"/>
      <w:lvlText w:val="%1.%2"/>
      <w:lvlJc w:val="left"/>
      <w:pPr>
        <w:ind w:left="884" w:hanging="567"/>
      </w:pPr>
      <w:rPr>
        <w:rFonts w:ascii="Times New Roman" w:eastAsia="Times New Roman" w:hAnsi="Times New Roman" w:cs="Times New Roman" w:hint="default"/>
        <w:b/>
        <w:bCs/>
        <w:w w:val="100"/>
        <w:sz w:val="22"/>
        <w:szCs w:val="22"/>
      </w:rPr>
    </w:lvl>
    <w:lvl w:ilvl="2">
      <w:numFmt w:val="bullet"/>
      <w:lvlText w:val="•"/>
      <w:lvlJc w:val="left"/>
      <w:pPr>
        <w:ind w:left="1838" w:hanging="567"/>
      </w:pPr>
      <w:rPr>
        <w:rFonts w:hint="default"/>
      </w:rPr>
    </w:lvl>
    <w:lvl w:ilvl="3">
      <w:numFmt w:val="bullet"/>
      <w:lvlText w:val="•"/>
      <w:lvlJc w:val="left"/>
      <w:pPr>
        <w:ind w:left="2796" w:hanging="567"/>
      </w:pPr>
      <w:rPr>
        <w:rFonts w:hint="default"/>
      </w:rPr>
    </w:lvl>
    <w:lvl w:ilvl="4">
      <w:numFmt w:val="bullet"/>
      <w:lvlText w:val="•"/>
      <w:lvlJc w:val="left"/>
      <w:pPr>
        <w:ind w:left="3755" w:hanging="567"/>
      </w:pPr>
      <w:rPr>
        <w:rFonts w:hint="default"/>
      </w:rPr>
    </w:lvl>
    <w:lvl w:ilvl="5">
      <w:numFmt w:val="bullet"/>
      <w:lvlText w:val="•"/>
      <w:lvlJc w:val="left"/>
      <w:pPr>
        <w:ind w:left="4713" w:hanging="567"/>
      </w:pPr>
      <w:rPr>
        <w:rFonts w:hint="default"/>
      </w:rPr>
    </w:lvl>
    <w:lvl w:ilvl="6">
      <w:numFmt w:val="bullet"/>
      <w:lvlText w:val="•"/>
      <w:lvlJc w:val="left"/>
      <w:pPr>
        <w:ind w:left="5672" w:hanging="567"/>
      </w:pPr>
      <w:rPr>
        <w:rFonts w:hint="default"/>
      </w:rPr>
    </w:lvl>
    <w:lvl w:ilvl="7">
      <w:numFmt w:val="bullet"/>
      <w:lvlText w:val="•"/>
      <w:lvlJc w:val="left"/>
      <w:pPr>
        <w:ind w:left="6630" w:hanging="567"/>
      </w:pPr>
      <w:rPr>
        <w:rFonts w:hint="default"/>
      </w:rPr>
    </w:lvl>
    <w:lvl w:ilvl="8">
      <w:numFmt w:val="bullet"/>
      <w:lvlText w:val="•"/>
      <w:lvlJc w:val="left"/>
      <w:pPr>
        <w:ind w:left="7589" w:hanging="567"/>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2"/>
  </w:num>
  <w:num w:numId="5">
    <w:abstractNumId w:val="5"/>
  </w:num>
  <w:num w:numId="6">
    <w:abstractNumId w:val="9"/>
  </w:num>
  <w:num w:numId="7">
    <w:abstractNumId w:val="8"/>
  </w:num>
  <w:num w:numId="8">
    <w:abstractNumId w:val="3"/>
  </w:num>
  <w:num w:numId="9">
    <w:abstractNumId w:val="11"/>
  </w:num>
  <w:num w:numId="10">
    <w:abstractNumId w:val="1"/>
  </w:num>
  <w:num w:numId="11">
    <w:abstractNumId w:val="7"/>
  </w:num>
  <w:num w:numId="12">
    <w:abstractNumId w:val="10"/>
  </w:num>
  <w:num w:numId="13">
    <w:abstractNumId w:val="6"/>
  </w:num>
  <w:num w:numId="14">
    <w:abstractNumId w:val="0"/>
    <w:lvlOverride w:ilvl="0">
      <w:lvl w:ilvl="0">
        <w:start w:val="1"/>
        <w:numFmt w:val="bullet"/>
        <w:lvlText w:val="-"/>
        <w:lvlJc w:val="left"/>
        <w:pPr>
          <w:ind w:left="360" w:hanging="360"/>
        </w:pPr>
      </w:lvl>
    </w:lvlOverride>
  </w:num>
  <w:num w:numId="15">
    <w:abstractNumId w:val="2"/>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nl-NL"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sv-SE" w:vendorID="0" w:dllVersion="512" w:checkStyle="1"/>
  <w:activeWritingStyle w:appName="MSWord" w:lang="it-IT" w:vendorID="3" w:dllVersion="517" w:checkStyle="1"/>
  <w:activeWritingStyle w:appName="MSWord" w:lang="pl-PL" w:vendorID="12"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482315"/>
    <w:rsid w:val="00000E09"/>
    <w:rsid w:val="00017588"/>
    <w:rsid w:val="00020C41"/>
    <w:rsid w:val="0003028E"/>
    <w:rsid w:val="00030F3E"/>
    <w:rsid w:val="00051937"/>
    <w:rsid w:val="00061E9F"/>
    <w:rsid w:val="00062A8B"/>
    <w:rsid w:val="000704B8"/>
    <w:rsid w:val="0007258E"/>
    <w:rsid w:val="00077695"/>
    <w:rsid w:val="00096446"/>
    <w:rsid w:val="000B384E"/>
    <w:rsid w:val="000C557F"/>
    <w:rsid w:val="000C7818"/>
    <w:rsid w:val="000D4028"/>
    <w:rsid w:val="000E6DBE"/>
    <w:rsid w:val="000F5876"/>
    <w:rsid w:val="00110332"/>
    <w:rsid w:val="00116526"/>
    <w:rsid w:val="00117159"/>
    <w:rsid w:val="00141B77"/>
    <w:rsid w:val="001425A7"/>
    <w:rsid w:val="0014271A"/>
    <w:rsid w:val="0016038C"/>
    <w:rsid w:val="00184257"/>
    <w:rsid w:val="00194A9C"/>
    <w:rsid w:val="001B01E7"/>
    <w:rsid w:val="001E4E36"/>
    <w:rsid w:val="001E652E"/>
    <w:rsid w:val="001F275D"/>
    <w:rsid w:val="002076CC"/>
    <w:rsid w:val="00212AF3"/>
    <w:rsid w:val="00226C80"/>
    <w:rsid w:val="0023359E"/>
    <w:rsid w:val="00235C03"/>
    <w:rsid w:val="00265C00"/>
    <w:rsid w:val="002764DE"/>
    <w:rsid w:val="002A48DC"/>
    <w:rsid w:val="002E75BA"/>
    <w:rsid w:val="002F2046"/>
    <w:rsid w:val="00302954"/>
    <w:rsid w:val="00303E6F"/>
    <w:rsid w:val="00315B9D"/>
    <w:rsid w:val="00315D69"/>
    <w:rsid w:val="00336EFC"/>
    <w:rsid w:val="0034195A"/>
    <w:rsid w:val="00344293"/>
    <w:rsid w:val="003746A1"/>
    <w:rsid w:val="00383148"/>
    <w:rsid w:val="003943D1"/>
    <w:rsid w:val="0039498B"/>
    <w:rsid w:val="003A1E8E"/>
    <w:rsid w:val="003B6372"/>
    <w:rsid w:val="003C1783"/>
    <w:rsid w:val="003F651C"/>
    <w:rsid w:val="00402910"/>
    <w:rsid w:val="00406F27"/>
    <w:rsid w:val="004134D4"/>
    <w:rsid w:val="004263A4"/>
    <w:rsid w:val="00426745"/>
    <w:rsid w:val="00427A92"/>
    <w:rsid w:val="004339D8"/>
    <w:rsid w:val="0044472F"/>
    <w:rsid w:val="00451062"/>
    <w:rsid w:val="00457FDC"/>
    <w:rsid w:val="004819A0"/>
    <w:rsid w:val="00482315"/>
    <w:rsid w:val="004E6E06"/>
    <w:rsid w:val="004F4A61"/>
    <w:rsid w:val="00534202"/>
    <w:rsid w:val="00534A2D"/>
    <w:rsid w:val="005359CF"/>
    <w:rsid w:val="005412F2"/>
    <w:rsid w:val="00556685"/>
    <w:rsid w:val="00595D70"/>
    <w:rsid w:val="005A31B4"/>
    <w:rsid w:val="005B4949"/>
    <w:rsid w:val="005C2B97"/>
    <w:rsid w:val="005C54DE"/>
    <w:rsid w:val="005E71CB"/>
    <w:rsid w:val="005F041E"/>
    <w:rsid w:val="00605254"/>
    <w:rsid w:val="00656D89"/>
    <w:rsid w:val="0068108A"/>
    <w:rsid w:val="006839F1"/>
    <w:rsid w:val="00684ED5"/>
    <w:rsid w:val="00697A7D"/>
    <w:rsid w:val="006A2F40"/>
    <w:rsid w:val="006B2BC6"/>
    <w:rsid w:val="006D7246"/>
    <w:rsid w:val="006E1291"/>
    <w:rsid w:val="006E18C6"/>
    <w:rsid w:val="00706507"/>
    <w:rsid w:val="00746308"/>
    <w:rsid w:val="007477BE"/>
    <w:rsid w:val="00763F2B"/>
    <w:rsid w:val="007648E6"/>
    <w:rsid w:val="00774DC5"/>
    <w:rsid w:val="00790A82"/>
    <w:rsid w:val="007A1DB2"/>
    <w:rsid w:val="007B2B53"/>
    <w:rsid w:val="007C0F26"/>
    <w:rsid w:val="007D66A5"/>
    <w:rsid w:val="007E62BA"/>
    <w:rsid w:val="007F1F09"/>
    <w:rsid w:val="00802B0C"/>
    <w:rsid w:val="008051AE"/>
    <w:rsid w:val="0081068A"/>
    <w:rsid w:val="00813337"/>
    <w:rsid w:val="00841F7B"/>
    <w:rsid w:val="0085036B"/>
    <w:rsid w:val="00860674"/>
    <w:rsid w:val="00872308"/>
    <w:rsid w:val="00883F2A"/>
    <w:rsid w:val="0089197E"/>
    <w:rsid w:val="008A2AD8"/>
    <w:rsid w:val="008C5294"/>
    <w:rsid w:val="008D51EA"/>
    <w:rsid w:val="008E46FA"/>
    <w:rsid w:val="008F5C1E"/>
    <w:rsid w:val="0090401A"/>
    <w:rsid w:val="00906956"/>
    <w:rsid w:val="00911689"/>
    <w:rsid w:val="00916A8D"/>
    <w:rsid w:val="009236A9"/>
    <w:rsid w:val="0092604A"/>
    <w:rsid w:val="009624CA"/>
    <w:rsid w:val="00963F1A"/>
    <w:rsid w:val="009760FB"/>
    <w:rsid w:val="0098385B"/>
    <w:rsid w:val="00995BCF"/>
    <w:rsid w:val="009C6CB2"/>
    <w:rsid w:val="009C7FB5"/>
    <w:rsid w:val="009D1673"/>
    <w:rsid w:val="009D1D51"/>
    <w:rsid w:val="009D33F7"/>
    <w:rsid w:val="00A02D71"/>
    <w:rsid w:val="00A24558"/>
    <w:rsid w:val="00A82A56"/>
    <w:rsid w:val="00A82E53"/>
    <w:rsid w:val="00A85A6F"/>
    <w:rsid w:val="00A952DE"/>
    <w:rsid w:val="00AB35AA"/>
    <w:rsid w:val="00AF25E1"/>
    <w:rsid w:val="00AF5E7C"/>
    <w:rsid w:val="00B06984"/>
    <w:rsid w:val="00B23B97"/>
    <w:rsid w:val="00B30B07"/>
    <w:rsid w:val="00B4646D"/>
    <w:rsid w:val="00B65731"/>
    <w:rsid w:val="00B81350"/>
    <w:rsid w:val="00B86683"/>
    <w:rsid w:val="00B90780"/>
    <w:rsid w:val="00BB528C"/>
    <w:rsid w:val="00BC1F52"/>
    <w:rsid w:val="00BC25E7"/>
    <w:rsid w:val="00BF542B"/>
    <w:rsid w:val="00C06065"/>
    <w:rsid w:val="00C139D3"/>
    <w:rsid w:val="00C15E26"/>
    <w:rsid w:val="00C17B69"/>
    <w:rsid w:val="00C36330"/>
    <w:rsid w:val="00C518EB"/>
    <w:rsid w:val="00C5404D"/>
    <w:rsid w:val="00C572BB"/>
    <w:rsid w:val="00C63F62"/>
    <w:rsid w:val="00C642A2"/>
    <w:rsid w:val="00C722AA"/>
    <w:rsid w:val="00C73DA4"/>
    <w:rsid w:val="00C93419"/>
    <w:rsid w:val="00CA064B"/>
    <w:rsid w:val="00CB5CB3"/>
    <w:rsid w:val="00CD15B9"/>
    <w:rsid w:val="00CF2583"/>
    <w:rsid w:val="00CF70DB"/>
    <w:rsid w:val="00D05EA5"/>
    <w:rsid w:val="00D32223"/>
    <w:rsid w:val="00D571BE"/>
    <w:rsid w:val="00D627C9"/>
    <w:rsid w:val="00D76CD1"/>
    <w:rsid w:val="00D779B0"/>
    <w:rsid w:val="00D92476"/>
    <w:rsid w:val="00DB36EC"/>
    <w:rsid w:val="00DD09C3"/>
    <w:rsid w:val="00E041A3"/>
    <w:rsid w:val="00E045FB"/>
    <w:rsid w:val="00E07E06"/>
    <w:rsid w:val="00E26A7B"/>
    <w:rsid w:val="00E3082A"/>
    <w:rsid w:val="00E96B16"/>
    <w:rsid w:val="00EA4EBC"/>
    <w:rsid w:val="00ED4D81"/>
    <w:rsid w:val="00EE6C54"/>
    <w:rsid w:val="00F04710"/>
    <w:rsid w:val="00F127AD"/>
    <w:rsid w:val="00F44124"/>
    <w:rsid w:val="00F56380"/>
    <w:rsid w:val="00F7483D"/>
    <w:rsid w:val="00F85A4E"/>
    <w:rsid w:val="00FB5125"/>
    <w:rsid w:val="00FB64E6"/>
    <w:rsid w:val="00FB68FD"/>
    <w:rsid w:val="00FC4D46"/>
    <w:rsid w:val="00FC561C"/>
    <w:rsid w:val="00FD2733"/>
    <w:rsid w:val="00FD4878"/>
    <w:rsid w:val="00FE68AE"/>
    <w:rsid w:val="00FF25B8"/>
    <w:rsid w:val="00FF4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86F77C"/>
  <w15:docId w15:val="{4B9F9B93-C8CB-4886-9E7E-1A9AAB10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spacing w:line="260" w:lineRule="exact"/>
      <w:jc w:val="both"/>
      <w:outlineLvl w:val="0"/>
    </w:pPr>
    <w:rPr>
      <w:b/>
    </w:rPr>
  </w:style>
  <w:style w:type="paragraph" w:styleId="Heading2">
    <w:name w:val="heading 2"/>
    <w:basedOn w:val="Normal"/>
    <w:next w:val="Normal"/>
    <w:qFormat/>
    <w:pPr>
      <w:keepNext/>
      <w:tabs>
        <w:tab w:val="left" w:pos="567"/>
      </w:tabs>
      <w:outlineLvl w:val="1"/>
    </w:pPr>
    <w:rPr>
      <w:b/>
    </w:rPr>
  </w:style>
  <w:style w:type="paragraph" w:styleId="Heading3">
    <w:name w:val="heading 3"/>
    <w:basedOn w:val="Normal"/>
    <w:next w:val="Normal"/>
    <w:qFormat/>
    <w:pPr>
      <w:keepNext/>
      <w:spacing w:line="260" w:lineRule="exact"/>
      <w:jc w:val="both"/>
      <w:outlineLvl w:val="2"/>
    </w:pPr>
  </w:style>
  <w:style w:type="paragraph" w:styleId="Heading4">
    <w:name w:val="heading 4"/>
    <w:basedOn w:val="Normal"/>
    <w:next w:val="Normal"/>
    <w:qFormat/>
    <w:pPr>
      <w:keepNext/>
      <w:tabs>
        <w:tab w:val="left" w:pos="567"/>
      </w:tabs>
      <w:spacing w:line="260" w:lineRule="exact"/>
      <w:jc w:val="both"/>
      <w:outlineLvl w:val="3"/>
    </w:pPr>
    <w:rPr>
      <w:b/>
      <w:noProo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720"/>
        <w:tab w:val="left" w:pos="567"/>
        <w:tab w:val="left" w:pos="4536"/>
      </w:tabs>
      <w:suppressAutoHyphens/>
      <w:spacing w:line="260" w:lineRule="exact"/>
      <w:outlineLvl w:val="5"/>
    </w:pPr>
    <w:rPr>
      <w:i/>
      <w:lang w:val="en-GB"/>
    </w:rPr>
  </w:style>
  <w:style w:type="paragraph" w:styleId="Heading7">
    <w:name w:val="heading 7"/>
    <w:basedOn w:val="Normal"/>
    <w:next w:val="Normal"/>
    <w:qFormat/>
    <w:pPr>
      <w:keepNext/>
      <w:tabs>
        <w:tab w:val="left" w:pos="-720"/>
        <w:tab w:val="left" w:pos="567"/>
        <w:tab w:val="left" w:pos="4536"/>
      </w:tabs>
      <w:suppressAutoHyphens/>
      <w:spacing w:line="260" w:lineRule="exact"/>
      <w:jc w:val="both"/>
      <w:outlineLvl w:val="6"/>
    </w:pPr>
    <w:rPr>
      <w:i/>
      <w:lang w:val="en-GB"/>
    </w:rPr>
  </w:style>
  <w:style w:type="paragraph" w:styleId="Heading8">
    <w:name w:val="heading 8"/>
    <w:basedOn w:val="Normal"/>
    <w:next w:val="Normal"/>
    <w:qFormat/>
    <w:pPr>
      <w:keepNext/>
      <w:ind w:left="1494" w:hanging="360"/>
      <w:outlineLvl w:val="7"/>
    </w:pPr>
    <w:rPr>
      <w:b/>
    </w:rPr>
  </w:style>
  <w:style w:type="paragraph" w:styleId="Heading9">
    <w:name w:val="heading 9"/>
    <w:basedOn w:val="Normal"/>
    <w:next w:val="Normal"/>
    <w:qFormat/>
    <w:pPr>
      <w:keepNext/>
      <w:shd w:val="pct25" w:color="000000" w:fill="FFFFFF"/>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536"/>
        <w:tab w:val="center" w:pos="8930"/>
      </w:tabs>
    </w:pPr>
    <w:rPr>
      <w:rFonts w:ascii="Helvetica" w:hAnsi="Helvetica"/>
      <w:sz w:val="16"/>
      <w:lang w:val="es-ES_tradnl"/>
    </w:rPr>
  </w:style>
  <w:style w:type="paragraph" w:styleId="BodyTextIndent">
    <w:name w:val="Body Text Indent"/>
    <w:basedOn w:val="Normal"/>
    <w:pPr>
      <w:shd w:val="pct25" w:color="000000" w:fill="FFFFFF"/>
      <w:ind w:left="567" w:hanging="567"/>
    </w:pPr>
    <w:rPr>
      <w:b/>
    </w:rPr>
  </w:style>
  <w:style w:type="character" w:styleId="Hyperlink">
    <w:name w:val="Hyperlink"/>
    <w:uiPriority w:val="99"/>
    <w:rPr>
      <w:color w:val="0000FF"/>
      <w:u w:val="single"/>
    </w:rPr>
  </w:style>
  <w:style w:type="paragraph" w:customStyle="1" w:styleId="EMEAEnBodyText">
    <w:name w:val="EMEA En Body Text"/>
    <w:basedOn w:val="Normal"/>
    <w:pPr>
      <w:spacing w:before="120" w:after="120"/>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character" w:customStyle="1" w:styleId="HeaderChar">
    <w:name w:val="Header Char"/>
    <w:link w:val="Header"/>
    <w:uiPriority w:val="99"/>
    <w:rsid w:val="00BB528C"/>
    <w:rPr>
      <w:sz w:val="22"/>
      <w:lang w:eastAsia="en-US"/>
    </w:rPr>
  </w:style>
  <w:style w:type="character" w:styleId="PlaceholderText">
    <w:name w:val="Placeholder Text"/>
    <w:basedOn w:val="DefaultParagraphFont"/>
    <w:uiPriority w:val="99"/>
    <w:semiHidden/>
    <w:rsid w:val="00110332"/>
    <w:rPr>
      <w:color w:val="808080"/>
    </w:rPr>
  </w:style>
  <w:style w:type="paragraph" w:styleId="BodyText">
    <w:name w:val="Body Text"/>
    <w:basedOn w:val="Normal"/>
    <w:link w:val="BodyTextChar"/>
    <w:unhideWhenUsed/>
    <w:rsid w:val="00E96B16"/>
    <w:pPr>
      <w:spacing w:after="120"/>
    </w:pPr>
  </w:style>
  <w:style w:type="character" w:customStyle="1" w:styleId="BodyTextChar">
    <w:name w:val="Body Text Char"/>
    <w:basedOn w:val="DefaultParagraphFont"/>
    <w:link w:val="BodyText"/>
    <w:rsid w:val="00E96B16"/>
    <w:rPr>
      <w:sz w:val="22"/>
      <w:lang w:eastAsia="en-US"/>
    </w:rPr>
  </w:style>
  <w:style w:type="table" w:customStyle="1" w:styleId="TableNormal1">
    <w:name w:val="Table Normal1"/>
    <w:uiPriority w:val="2"/>
    <w:semiHidden/>
    <w:unhideWhenUsed/>
    <w:qFormat/>
    <w:rsid w:val="00E96B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Paragraph">
    <w:name w:val="List Paragraph"/>
    <w:basedOn w:val="Normal"/>
    <w:uiPriority w:val="1"/>
    <w:qFormat/>
    <w:rsid w:val="00E96B16"/>
    <w:pPr>
      <w:widowControl w:val="0"/>
      <w:autoSpaceDE w:val="0"/>
      <w:autoSpaceDN w:val="0"/>
      <w:ind w:left="884" w:hanging="566"/>
    </w:pPr>
    <w:rPr>
      <w:szCs w:val="22"/>
      <w:lang w:val="en-US"/>
    </w:rPr>
  </w:style>
  <w:style w:type="paragraph" w:customStyle="1" w:styleId="TableParagraph">
    <w:name w:val="Table Paragraph"/>
    <w:basedOn w:val="Normal"/>
    <w:uiPriority w:val="1"/>
    <w:qFormat/>
    <w:rsid w:val="00E96B16"/>
    <w:pPr>
      <w:widowControl w:val="0"/>
      <w:autoSpaceDE w:val="0"/>
      <w:autoSpaceDN w:val="0"/>
      <w:spacing w:before="4"/>
      <w:ind w:left="306"/>
    </w:pPr>
    <w:rPr>
      <w:szCs w:val="22"/>
      <w:lang w:val="en-US"/>
    </w:rPr>
  </w:style>
  <w:style w:type="character" w:customStyle="1" w:styleId="Heading1Char">
    <w:name w:val="Heading 1 Char"/>
    <w:basedOn w:val="DefaultParagraphFont"/>
    <w:link w:val="Heading1"/>
    <w:rsid w:val="00C36330"/>
    <w:rPr>
      <w:b/>
      <w:sz w:val="22"/>
      <w:lang w:eastAsia="en-US"/>
    </w:rPr>
  </w:style>
  <w:style w:type="character" w:customStyle="1" w:styleId="tlid-translation">
    <w:name w:val="tlid-translation"/>
    <w:basedOn w:val="DefaultParagraphFont"/>
    <w:rsid w:val="000C557F"/>
  </w:style>
  <w:style w:type="character" w:customStyle="1" w:styleId="hps">
    <w:name w:val="hps"/>
    <w:basedOn w:val="DefaultParagraphFont"/>
    <w:rsid w:val="00963F1A"/>
  </w:style>
  <w:style w:type="paragraph" w:styleId="Revision">
    <w:name w:val="Revision"/>
    <w:hidden/>
    <w:uiPriority w:val="99"/>
    <w:semiHidden/>
    <w:rsid w:val="00061E9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olff-arzneimittel.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ea.europa.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A43984E0-4B73-4B09-A247-48C0BAB148C6}"/>
      </w:docPartPr>
      <w:docPartBody>
        <w:p w:rsidR="00BB6EBD" w:rsidRDefault="00450785">
          <w:r w:rsidRPr="0089138B">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85"/>
    <w:rsid w:val="00021837"/>
    <w:rsid w:val="002C1493"/>
    <w:rsid w:val="00450785"/>
    <w:rsid w:val="00BB6EBD"/>
    <w:rsid w:val="00D31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EBD"/>
    <w:rPr>
      <w:color w:val="808080"/>
    </w:rPr>
  </w:style>
  <w:style w:type="paragraph" w:customStyle="1" w:styleId="EF67056416AF4410925EF245E3FB228D">
    <w:name w:val="EF67056416AF4410925EF245E3FB228D"/>
    <w:rsid w:val="00BB6EBD"/>
  </w:style>
  <w:style w:type="paragraph" w:customStyle="1" w:styleId="A912AA43A9234A81AEE909C96294D1F4">
    <w:name w:val="A912AA43A9234A81AEE909C96294D1F4"/>
    <w:rsid w:val="00021837"/>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7186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Hreferralspccleande</vt:lpstr>
      <vt:lpstr>Hreferralspccleande</vt:lpstr>
    </vt:vector>
  </TitlesOfParts>
  <Company>EMEA</Company>
  <LinksUpToDate>false</LinksUpToDate>
  <CharactersWithSpaces>8211</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Hreferralspccleande</dc:title>
  <dc:subject>RA_1.3.1_00000313</dc:subject>
  <dc:creator>Offermann, Rita</dc:creator>
  <cp:lastModifiedBy>Skaidrīte Lapsenīte</cp:lastModifiedBy>
  <cp:revision>4</cp:revision>
  <cp:lastPrinted>2003-12-17T11:32:00Z</cp:lastPrinted>
  <dcterms:created xsi:type="dcterms:W3CDTF">2019-10-16T09:08:00Z</dcterms:created>
  <dcterms:modified xsi:type="dcterms:W3CDTF">2019-10-21T12:00:00Z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53546</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General-EMA/53546/2010</vt:lpwstr>
  </property>
  <property fmtid="{D5CDD505-2E9C-101B-9397-08002B2CF9AE}" pid="30" name="DM_Version">
    <vt:lpwstr>CURRENT,1.0</vt:lpwstr>
  </property>
  <property fmtid="{D5CDD505-2E9C-101B-9397-08002B2CF9AE}" pid="31" name="DM_Name">
    <vt:lpwstr>Hreferralspccleande</vt:lpwstr>
  </property>
  <property fmtid="{D5CDD505-2E9C-101B-9397-08002B2CF9AE}" pid="32" name="DM_Creation_Date">
    <vt:lpwstr>04/04/2013 15:45:01</vt:lpwstr>
  </property>
  <property fmtid="{D5CDD505-2E9C-101B-9397-08002B2CF9AE}" pid="33" name="DM_Modify_Date">
    <vt:lpwstr>04/04/2013 15:45:02</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EMA/213249/2013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EMA/213249/2013</vt:lpwstr>
  </property>
  <property fmtid="{D5CDD505-2E9C-101B-9397-08002B2CF9AE}" pid="41" name="DM_Modifer_Name">
    <vt:lpwstr>Horemans Karina</vt:lpwstr>
  </property>
  <property fmtid="{D5CDD505-2E9C-101B-9397-08002B2CF9AE}" pid="42" name="DM_Modified_Date">
    <vt:lpwstr>04/04/2013 15:45:02</vt:lpwstr>
  </property>
</Properties>
</file>