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5880" w14:textId="77777777" w:rsidR="001021BC" w:rsidRPr="00E808F3" w:rsidRDefault="001021BC" w:rsidP="001021BC">
      <w:pPr>
        <w:ind w:left="567" w:hanging="567"/>
        <w:jc w:val="center"/>
        <w:rPr>
          <w:b/>
          <w:sz w:val="22"/>
          <w:szCs w:val="22"/>
          <w:lang w:val="lv-LV"/>
        </w:rPr>
      </w:pPr>
      <w:r w:rsidRPr="00E808F3">
        <w:rPr>
          <w:b/>
          <w:sz w:val="22"/>
          <w:szCs w:val="22"/>
          <w:lang w:val="lv-LV"/>
        </w:rPr>
        <w:t>ZĀĻU APRAKSTS</w:t>
      </w:r>
    </w:p>
    <w:p w14:paraId="5FC3055C" w14:textId="77777777" w:rsidR="001021BC" w:rsidRPr="00E808F3" w:rsidRDefault="001021BC" w:rsidP="001021BC">
      <w:pPr>
        <w:jc w:val="center"/>
        <w:rPr>
          <w:b/>
          <w:sz w:val="22"/>
          <w:szCs w:val="22"/>
          <w:lang w:val="lv-LV"/>
        </w:rPr>
      </w:pPr>
    </w:p>
    <w:p w14:paraId="57B1729D" w14:textId="77777777" w:rsidR="001021BC" w:rsidRPr="00E808F3" w:rsidRDefault="001021BC" w:rsidP="001021BC">
      <w:pPr>
        <w:rPr>
          <w:b/>
          <w:sz w:val="22"/>
          <w:szCs w:val="22"/>
          <w:lang w:val="lv-LV"/>
        </w:rPr>
      </w:pPr>
      <w:r w:rsidRPr="00E808F3">
        <w:rPr>
          <w:b/>
          <w:sz w:val="22"/>
          <w:szCs w:val="22"/>
          <w:lang w:val="lv-LV"/>
        </w:rPr>
        <w:t>1. ZĀĻU NOSAUKUMS</w:t>
      </w:r>
    </w:p>
    <w:p w14:paraId="4D86C2DB" w14:textId="77777777" w:rsidR="001021BC" w:rsidRPr="00E808F3" w:rsidRDefault="00271A5E" w:rsidP="00271A5E">
      <w:pPr>
        <w:tabs>
          <w:tab w:val="left" w:pos="8424"/>
        </w:tabs>
        <w:rPr>
          <w:b/>
          <w:sz w:val="22"/>
          <w:szCs w:val="22"/>
          <w:lang w:val="lv-LV"/>
        </w:rPr>
      </w:pPr>
      <w:r w:rsidRPr="00E808F3">
        <w:rPr>
          <w:b/>
          <w:sz w:val="22"/>
          <w:szCs w:val="22"/>
          <w:lang w:val="lv-LV"/>
        </w:rPr>
        <w:tab/>
      </w:r>
    </w:p>
    <w:p w14:paraId="45EE32E2" w14:textId="77777777" w:rsidR="001021BC" w:rsidRPr="00E808F3" w:rsidRDefault="001021BC" w:rsidP="001021BC">
      <w:pPr>
        <w:rPr>
          <w:b/>
          <w:sz w:val="22"/>
          <w:szCs w:val="22"/>
          <w:lang w:val="lv-LV"/>
        </w:rPr>
      </w:pPr>
      <w:r w:rsidRPr="00E808F3">
        <w:rPr>
          <w:b/>
          <w:sz w:val="22"/>
          <w:szCs w:val="22"/>
          <w:lang w:val="lv-LV"/>
        </w:rPr>
        <w:t xml:space="preserve"> Tot'hema 5 mg/ 0,133 mg/ 0,07 mg/ ml šķīdums iekšķīgai lietošanai</w:t>
      </w:r>
    </w:p>
    <w:p w14:paraId="5E22F472" w14:textId="77777777" w:rsidR="001021BC" w:rsidRPr="00E808F3" w:rsidRDefault="001021BC" w:rsidP="001021BC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</w:p>
    <w:p w14:paraId="7E08AC47" w14:textId="77777777" w:rsidR="001021BC" w:rsidRPr="00E808F3" w:rsidRDefault="001021BC" w:rsidP="001021BC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</w:p>
    <w:p w14:paraId="2DC60B17" w14:textId="77777777" w:rsidR="001021BC" w:rsidRPr="00E808F3" w:rsidRDefault="001021BC" w:rsidP="001021BC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E808F3">
        <w:rPr>
          <w:rFonts w:ascii="Times New Roman" w:hAnsi="Times New Roman" w:cs="Times New Roman"/>
          <w:color w:val="auto"/>
          <w:sz w:val="22"/>
          <w:szCs w:val="22"/>
          <w:lang w:val="lv-LV"/>
        </w:rPr>
        <w:t>2. KVALITATĪVAIS UN KVANTITATĪVAIS SASTĀVS</w:t>
      </w:r>
    </w:p>
    <w:p w14:paraId="21A44F65" w14:textId="77777777" w:rsidR="001021BC" w:rsidRPr="00E808F3" w:rsidRDefault="001021BC" w:rsidP="001021BC">
      <w:pPr>
        <w:rPr>
          <w:b/>
          <w:sz w:val="22"/>
          <w:szCs w:val="22"/>
          <w:lang w:val="lv-LV"/>
        </w:rPr>
      </w:pPr>
    </w:p>
    <w:p w14:paraId="37868798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 xml:space="preserve">Katra ampula (10 ml) satur </w:t>
      </w:r>
    </w:p>
    <w:p w14:paraId="3F0CAB02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 xml:space="preserve">50 mg dzelzs </w:t>
      </w:r>
      <w:r w:rsidRPr="00E808F3">
        <w:rPr>
          <w:i/>
          <w:sz w:val="22"/>
          <w:szCs w:val="22"/>
          <w:lang w:val="lv-LV"/>
        </w:rPr>
        <w:t>(Ferrum)</w:t>
      </w:r>
      <w:r w:rsidRPr="00E808F3">
        <w:rPr>
          <w:sz w:val="22"/>
          <w:szCs w:val="22"/>
          <w:lang w:val="lv-LV"/>
        </w:rPr>
        <w:t>, kas atbilst 399,73 mg dzelzs glikonāta</w:t>
      </w:r>
      <w:r w:rsidR="00A7618F">
        <w:rPr>
          <w:sz w:val="22"/>
          <w:szCs w:val="22"/>
          <w:lang w:val="lv-LV"/>
        </w:rPr>
        <w:t xml:space="preserve"> hidrāta</w:t>
      </w:r>
      <w:r w:rsidRPr="00E808F3">
        <w:rPr>
          <w:sz w:val="22"/>
          <w:szCs w:val="22"/>
          <w:lang w:val="lv-LV"/>
        </w:rPr>
        <w:t>;</w:t>
      </w:r>
    </w:p>
    <w:p w14:paraId="64094EEE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 xml:space="preserve">1,33 mg mangāna </w:t>
      </w:r>
      <w:r w:rsidRPr="00E808F3">
        <w:rPr>
          <w:i/>
          <w:sz w:val="22"/>
          <w:szCs w:val="22"/>
          <w:lang w:val="lv-LV"/>
        </w:rPr>
        <w:t>(Manganum)</w:t>
      </w:r>
      <w:r w:rsidRPr="00E808F3">
        <w:rPr>
          <w:sz w:val="22"/>
          <w:szCs w:val="22"/>
          <w:lang w:val="lv-LV"/>
        </w:rPr>
        <w:t xml:space="preserve">, kas atbilst 10,78 mg mangāna glikonāta;  </w:t>
      </w:r>
    </w:p>
    <w:p w14:paraId="5425ED2E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 xml:space="preserve">0,7 mg vara </w:t>
      </w:r>
      <w:r w:rsidRPr="00E808F3">
        <w:rPr>
          <w:i/>
          <w:sz w:val="22"/>
          <w:szCs w:val="22"/>
          <w:lang w:val="lv-LV"/>
        </w:rPr>
        <w:t>(Cuprum),</w:t>
      </w:r>
      <w:r w:rsidRPr="00E808F3">
        <w:rPr>
          <w:sz w:val="22"/>
          <w:szCs w:val="22"/>
          <w:lang w:val="lv-LV"/>
        </w:rPr>
        <w:t xml:space="preserve"> kas atbilst 5 mg</w:t>
      </w:r>
      <w:r w:rsidRPr="00E808F3">
        <w:rPr>
          <w:i/>
          <w:sz w:val="22"/>
          <w:szCs w:val="22"/>
          <w:lang w:val="lv-LV"/>
        </w:rPr>
        <w:t xml:space="preserve"> </w:t>
      </w:r>
      <w:r w:rsidRPr="00E808F3">
        <w:rPr>
          <w:sz w:val="22"/>
          <w:szCs w:val="22"/>
          <w:lang w:val="lv-LV"/>
        </w:rPr>
        <w:t xml:space="preserve">vara glikonāta. </w:t>
      </w:r>
    </w:p>
    <w:p w14:paraId="4E08ED0E" w14:textId="77777777" w:rsidR="001021BC" w:rsidRPr="00E808F3" w:rsidRDefault="001021BC" w:rsidP="001021BC">
      <w:pPr>
        <w:pStyle w:val="Heading2"/>
        <w:rPr>
          <w:rFonts w:ascii="Times New Roman" w:hAnsi="Times New Roman" w:cs="Times New Roman"/>
          <w:b w:val="0"/>
          <w:sz w:val="22"/>
          <w:szCs w:val="22"/>
          <w:lang w:val="lv-LV"/>
        </w:rPr>
      </w:pPr>
    </w:p>
    <w:p w14:paraId="477B08C7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>1 ml šķīduma satur 5 mg dzelzs, 0,133 mg mangāna un 0,07 mg vara.</w:t>
      </w:r>
    </w:p>
    <w:p w14:paraId="560C9A33" w14:textId="77777777" w:rsidR="001021BC" w:rsidRPr="00E808F3" w:rsidRDefault="001021BC" w:rsidP="001021BC">
      <w:pPr>
        <w:rPr>
          <w:sz w:val="22"/>
          <w:szCs w:val="22"/>
          <w:lang w:val="lv-LV"/>
        </w:rPr>
      </w:pPr>
    </w:p>
    <w:p w14:paraId="3C84838C" w14:textId="77777777" w:rsidR="001021BC" w:rsidRPr="0033085D" w:rsidRDefault="001021BC" w:rsidP="001021BC">
      <w:pPr>
        <w:pStyle w:val="Heading2"/>
        <w:rPr>
          <w:rFonts w:ascii="Times New Roman" w:hAnsi="Times New Roman" w:cs="Times New Roman"/>
          <w:sz w:val="22"/>
          <w:szCs w:val="22"/>
          <w:lang w:val="lv-LV"/>
        </w:rPr>
      </w:pPr>
      <w:r w:rsidRPr="00E808F3">
        <w:rPr>
          <w:rFonts w:ascii="Times New Roman" w:hAnsi="Times New Roman" w:cs="Times New Roman"/>
          <w:b w:val="0"/>
          <w:sz w:val="22"/>
          <w:szCs w:val="22"/>
          <w:u w:val="single"/>
          <w:lang w:val="lv-LV"/>
        </w:rPr>
        <w:t>Palīgvielas ar zināmu iedarbību</w:t>
      </w:r>
      <w:r w:rsidRPr="00E808F3">
        <w:rPr>
          <w:rFonts w:ascii="Times New Roman" w:hAnsi="Times New Roman" w:cs="Times New Roman"/>
          <w:b w:val="0"/>
          <w:sz w:val="22"/>
          <w:szCs w:val="22"/>
          <w:lang w:val="lv-LV"/>
        </w:rPr>
        <w:t>: glikoze (</w:t>
      </w:r>
      <w:r w:rsidR="00025C9D" w:rsidRPr="00E808F3">
        <w:rPr>
          <w:rFonts w:ascii="Times New Roman" w:hAnsi="Times New Roman" w:cs="Times New Roman"/>
          <w:b w:val="0"/>
          <w:sz w:val="22"/>
          <w:szCs w:val="22"/>
          <w:lang w:val="lv-LV"/>
        </w:rPr>
        <w:t>99</w:t>
      </w:r>
      <w:r w:rsidRPr="0033085D">
        <w:rPr>
          <w:rFonts w:ascii="Times New Roman" w:hAnsi="Times New Roman" w:cs="Times New Roman"/>
          <w:b w:val="0"/>
          <w:sz w:val="22"/>
          <w:szCs w:val="22"/>
          <w:lang w:val="lv-LV"/>
        </w:rPr>
        <w:t xml:space="preserve"> mg/10 ml), saharoze (3000 mg/10 ml), etilspirts</w:t>
      </w:r>
      <w:r w:rsidR="004F1947">
        <w:rPr>
          <w:rFonts w:ascii="Times New Roman" w:hAnsi="Times New Roman" w:cs="Times New Roman"/>
          <w:b w:val="0"/>
          <w:sz w:val="22"/>
          <w:szCs w:val="22"/>
          <w:lang w:val="lv-LV"/>
        </w:rPr>
        <w:t xml:space="preserve"> (108 mg/10 ml), nātrija benzoāts 20 mg/</w:t>
      </w:r>
      <w:r w:rsidR="00025C9D" w:rsidRPr="0033085D">
        <w:rPr>
          <w:rFonts w:ascii="Times New Roman" w:hAnsi="Times New Roman" w:cs="Times New Roman"/>
          <w:b w:val="0"/>
          <w:sz w:val="22"/>
          <w:szCs w:val="22"/>
          <w:lang w:val="lv-LV"/>
        </w:rPr>
        <w:t>10 ml</w:t>
      </w:r>
      <w:r w:rsidRPr="0033085D">
        <w:rPr>
          <w:rFonts w:ascii="Times New Roman" w:hAnsi="Times New Roman" w:cs="Times New Roman"/>
          <w:b w:val="0"/>
          <w:sz w:val="22"/>
          <w:szCs w:val="22"/>
          <w:lang w:val="lv-LV"/>
        </w:rPr>
        <w:t>.</w:t>
      </w:r>
    </w:p>
    <w:p w14:paraId="42B776B7" w14:textId="77777777" w:rsidR="001021BC" w:rsidRPr="0033085D" w:rsidRDefault="001021BC" w:rsidP="001021BC">
      <w:pPr>
        <w:rPr>
          <w:sz w:val="22"/>
          <w:szCs w:val="22"/>
          <w:lang w:val="lv-LV"/>
        </w:rPr>
      </w:pPr>
    </w:p>
    <w:p w14:paraId="135210B1" w14:textId="77777777" w:rsidR="001021BC" w:rsidRPr="0033085D" w:rsidRDefault="001021BC" w:rsidP="001021BC">
      <w:pPr>
        <w:rPr>
          <w:sz w:val="22"/>
          <w:szCs w:val="22"/>
          <w:lang w:val="lv-LV"/>
        </w:rPr>
      </w:pPr>
      <w:r w:rsidRPr="0033085D">
        <w:rPr>
          <w:sz w:val="22"/>
          <w:szCs w:val="22"/>
          <w:lang w:val="lv-LV"/>
        </w:rPr>
        <w:t>Pilnu palīgvielu sarakstu skatīt 6.1. apakšpunktā.</w:t>
      </w:r>
    </w:p>
    <w:p w14:paraId="4E571158" w14:textId="77777777" w:rsidR="001021BC" w:rsidRPr="00FD6D19" w:rsidRDefault="001021BC" w:rsidP="001021BC">
      <w:pPr>
        <w:rPr>
          <w:sz w:val="22"/>
          <w:szCs w:val="22"/>
          <w:lang w:val="lv-LV"/>
        </w:rPr>
      </w:pPr>
    </w:p>
    <w:p w14:paraId="7D413BE6" w14:textId="77777777" w:rsidR="001021BC" w:rsidRPr="00FD6D19" w:rsidRDefault="001021BC" w:rsidP="001021BC">
      <w:pPr>
        <w:rPr>
          <w:sz w:val="22"/>
          <w:szCs w:val="22"/>
          <w:lang w:val="lv-LV"/>
        </w:rPr>
      </w:pPr>
    </w:p>
    <w:p w14:paraId="4AA3EC14" w14:textId="77777777" w:rsidR="001021BC" w:rsidRPr="00FD6D19" w:rsidRDefault="001021BC" w:rsidP="001021BC">
      <w:pPr>
        <w:pStyle w:val="Heading2"/>
        <w:rPr>
          <w:rFonts w:ascii="Times New Roman" w:hAnsi="Times New Roman" w:cs="Times New Roman"/>
          <w:sz w:val="22"/>
          <w:szCs w:val="22"/>
          <w:lang w:val="lv-LV"/>
        </w:rPr>
      </w:pPr>
      <w:r w:rsidRPr="00FD6D19">
        <w:rPr>
          <w:rFonts w:ascii="Times New Roman" w:hAnsi="Times New Roman" w:cs="Times New Roman"/>
          <w:sz w:val="22"/>
          <w:szCs w:val="22"/>
          <w:lang w:val="lv-LV"/>
        </w:rPr>
        <w:t>3. ZĀĻU FORMA</w:t>
      </w:r>
    </w:p>
    <w:p w14:paraId="0DA4891F" w14:textId="77777777" w:rsidR="001021BC" w:rsidRPr="00FD6D19" w:rsidRDefault="001021BC" w:rsidP="001021BC">
      <w:pPr>
        <w:rPr>
          <w:sz w:val="22"/>
          <w:szCs w:val="22"/>
          <w:lang w:val="lv-LV"/>
        </w:rPr>
      </w:pPr>
    </w:p>
    <w:p w14:paraId="7C2D132B" w14:textId="77777777" w:rsidR="001021BC" w:rsidRPr="00FD6D19" w:rsidRDefault="001021BC" w:rsidP="001021BC">
      <w:pPr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Šķīdums iekšķīgai lietošanai.</w:t>
      </w:r>
    </w:p>
    <w:p w14:paraId="68455F91" w14:textId="77777777" w:rsidR="001021BC" w:rsidRPr="00FD6D19" w:rsidRDefault="001021BC" w:rsidP="001021BC">
      <w:pPr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Tot’hema ir caurspīdīgs, tumši brūns šķidrums</w:t>
      </w:r>
      <w:r w:rsidR="00A26AC8" w:rsidRPr="00FD6D19">
        <w:rPr>
          <w:sz w:val="22"/>
          <w:szCs w:val="22"/>
          <w:lang w:val="lv-LV"/>
        </w:rPr>
        <w:t>.</w:t>
      </w:r>
      <w:r w:rsidRPr="00FD6D19">
        <w:rPr>
          <w:sz w:val="22"/>
          <w:szCs w:val="22"/>
          <w:lang w:val="lv-LV"/>
        </w:rPr>
        <w:t xml:space="preserve"> </w:t>
      </w:r>
      <w:r w:rsidR="00A26AC8" w:rsidRPr="00FD6D19">
        <w:rPr>
          <w:sz w:val="22"/>
          <w:szCs w:val="22"/>
          <w:lang w:val="lv-LV"/>
        </w:rPr>
        <w:t>Iespējama nogulšņu klātbūtne.</w:t>
      </w:r>
    </w:p>
    <w:p w14:paraId="48701CC2" w14:textId="77777777" w:rsidR="001021BC" w:rsidRPr="00FD6D19" w:rsidRDefault="001021BC" w:rsidP="001021BC">
      <w:pPr>
        <w:rPr>
          <w:b/>
          <w:sz w:val="22"/>
          <w:szCs w:val="22"/>
          <w:lang w:val="lv-LV"/>
        </w:rPr>
      </w:pPr>
    </w:p>
    <w:p w14:paraId="100C2B93" w14:textId="77777777" w:rsidR="001021BC" w:rsidRPr="007E0034" w:rsidRDefault="001021BC" w:rsidP="001021BC">
      <w:pPr>
        <w:rPr>
          <w:b/>
          <w:sz w:val="22"/>
          <w:szCs w:val="22"/>
          <w:lang w:val="lv-LV"/>
        </w:rPr>
      </w:pPr>
    </w:p>
    <w:p w14:paraId="3DF06BDC" w14:textId="77777777" w:rsidR="001021BC" w:rsidRPr="007E0034" w:rsidRDefault="001021BC" w:rsidP="001021BC">
      <w:pPr>
        <w:rPr>
          <w:b/>
          <w:sz w:val="22"/>
          <w:szCs w:val="22"/>
          <w:lang w:val="lv-LV"/>
        </w:rPr>
      </w:pPr>
      <w:r w:rsidRPr="007E0034">
        <w:rPr>
          <w:b/>
          <w:sz w:val="22"/>
          <w:szCs w:val="22"/>
          <w:lang w:val="lv-LV"/>
        </w:rPr>
        <w:t>4. KLĪNISKĀS ĪPAŠĪBAS</w:t>
      </w:r>
    </w:p>
    <w:p w14:paraId="4B66BF5F" w14:textId="77777777" w:rsidR="001021BC" w:rsidRPr="00BE32A6" w:rsidRDefault="001021BC" w:rsidP="001021BC">
      <w:pPr>
        <w:rPr>
          <w:b/>
          <w:sz w:val="22"/>
          <w:szCs w:val="22"/>
          <w:lang w:val="lv-LV"/>
        </w:rPr>
      </w:pPr>
    </w:p>
    <w:p w14:paraId="3FC8814B" w14:textId="77777777" w:rsidR="001021BC" w:rsidRPr="00BE32A6" w:rsidRDefault="001021BC" w:rsidP="001021BC">
      <w:pPr>
        <w:rPr>
          <w:b/>
          <w:sz w:val="22"/>
          <w:szCs w:val="22"/>
          <w:lang w:val="lv-LV"/>
        </w:rPr>
      </w:pPr>
      <w:r w:rsidRPr="00BE32A6">
        <w:rPr>
          <w:b/>
          <w:sz w:val="22"/>
          <w:szCs w:val="22"/>
          <w:lang w:val="lv-LV"/>
        </w:rPr>
        <w:t>4.1. Terapeitiskās indikācijas</w:t>
      </w:r>
    </w:p>
    <w:p w14:paraId="0A14F5AA" w14:textId="77777777" w:rsidR="001021BC" w:rsidRPr="00816CA2" w:rsidRDefault="001021BC" w:rsidP="001021BC">
      <w:pPr>
        <w:rPr>
          <w:b/>
          <w:sz w:val="22"/>
          <w:szCs w:val="22"/>
          <w:lang w:val="lv-LV"/>
        </w:rPr>
      </w:pPr>
    </w:p>
    <w:p w14:paraId="61211EF2" w14:textId="77777777" w:rsidR="001021BC" w:rsidRPr="00816CA2" w:rsidRDefault="001021BC" w:rsidP="001021BC">
      <w:pPr>
        <w:jc w:val="both"/>
        <w:rPr>
          <w:sz w:val="22"/>
          <w:szCs w:val="22"/>
          <w:lang w:val="lv-LV"/>
        </w:rPr>
      </w:pPr>
      <w:r w:rsidRPr="00816CA2">
        <w:rPr>
          <w:sz w:val="22"/>
          <w:szCs w:val="22"/>
          <w:lang w:val="lv-LV"/>
        </w:rPr>
        <w:t xml:space="preserve">Dzelzs deficīta anēmija. </w:t>
      </w:r>
    </w:p>
    <w:p w14:paraId="4EAD1FDA" w14:textId="77777777" w:rsidR="001021BC" w:rsidRPr="004F1947" w:rsidRDefault="001021BC" w:rsidP="00337389">
      <w:pPr>
        <w:jc w:val="both"/>
        <w:rPr>
          <w:sz w:val="22"/>
          <w:szCs w:val="22"/>
          <w:lang w:val="lv-LV"/>
        </w:rPr>
      </w:pPr>
      <w:r w:rsidRPr="004F1947">
        <w:rPr>
          <w:sz w:val="22"/>
          <w:szCs w:val="22"/>
          <w:lang w:val="lv-LV"/>
        </w:rPr>
        <w:t>Zāles paredzētas dzelzs deficīta profilaksei grūtniecēm</w:t>
      </w:r>
      <w:r w:rsidR="004F1947">
        <w:rPr>
          <w:sz w:val="22"/>
          <w:szCs w:val="22"/>
          <w:lang w:val="lv-LV"/>
        </w:rPr>
        <w:t xml:space="preserve"> un </w:t>
      </w:r>
      <w:r w:rsidRPr="004F1947">
        <w:rPr>
          <w:sz w:val="22"/>
          <w:szCs w:val="22"/>
          <w:lang w:val="lv-LV"/>
        </w:rPr>
        <w:t xml:space="preserve">visu to dzelzs deficīta anēmiju gadījumos, kad organisms netiek pietiekoši nodrošināts ar vajadzīgo dzelzs daudzumu.  </w:t>
      </w:r>
    </w:p>
    <w:p w14:paraId="62ABC449" w14:textId="77777777" w:rsidR="001021BC" w:rsidRPr="004F1947" w:rsidRDefault="001021BC" w:rsidP="001021B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</w:p>
    <w:p w14:paraId="72961968" w14:textId="77777777" w:rsidR="001021BC" w:rsidRPr="004F1947" w:rsidRDefault="001021BC" w:rsidP="001021BC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4F1947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4.2. Devas un lietošanas veids</w:t>
      </w:r>
    </w:p>
    <w:p w14:paraId="03599269" w14:textId="77777777" w:rsidR="001021BC" w:rsidRPr="004F1947" w:rsidRDefault="001021BC" w:rsidP="001021BC">
      <w:pPr>
        <w:rPr>
          <w:sz w:val="22"/>
          <w:szCs w:val="22"/>
          <w:lang w:val="lv-LV"/>
        </w:rPr>
      </w:pPr>
    </w:p>
    <w:p w14:paraId="1E5281B7" w14:textId="77777777" w:rsidR="002617D9" w:rsidRPr="004F1947" w:rsidRDefault="002617D9" w:rsidP="001021BC">
      <w:pPr>
        <w:rPr>
          <w:b/>
          <w:sz w:val="22"/>
          <w:szCs w:val="22"/>
          <w:u w:val="single"/>
          <w:lang w:val="lv-LV"/>
        </w:rPr>
      </w:pPr>
      <w:r w:rsidRPr="004F1947">
        <w:rPr>
          <w:b/>
          <w:sz w:val="22"/>
          <w:szCs w:val="22"/>
          <w:u w:val="single"/>
          <w:lang w:val="lv-LV"/>
        </w:rPr>
        <w:t>Devas</w:t>
      </w:r>
    </w:p>
    <w:p w14:paraId="5E470C77" w14:textId="77777777" w:rsidR="00122A30" w:rsidRPr="00FF4C58" w:rsidRDefault="00122A30" w:rsidP="001021BC">
      <w:pPr>
        <w:rPr>
          <w:b/>
          <w:sz w:val="22"/>
          <w:szCs w:val="22"/>
          <w:u w:val="single"/>
          <w:lang w:val="lv-LV"/>
        </w:rPr>
      </w:pPr>
    </w:p>
    <w:p w14:paraId="66B619E7" w14:textId="77777777" w:rsidR="001021BC" w:rsidRPr="00114EC4" w:rsidRDefault="001021BC" w:rsidP="001021BC">
      <w:pPr>
        <w:rPr>
          <w:sz w:val="22"/>
          <w:szCs w:val="22"/>
          <w:lang w:val="lv-LV"/>
        </w:rPr>
      </w:pPr>
      <w:r w:rsidRPr="00FF4C58">
        <w:rPr>
          <w:sz w:val="22"/>
          <w:szCs w:val="22"/>
          <w:lang w:val="lv-LV"/>
        </w:rPr>
        <w:t>Viena ampula satur 50 mg</w:t>
      </w:r>
      <w:r w:rsidRPr="00114EC4">
        <w:rPr>
          <w:sz w:val="22"/>
          <w:szCs w:val="22"/>
          <w:lang w:val="lv-LV"/>
        </w:rPr>
        <w:t xml:space="preserve"> dzelzs.</w:t>
      </w:r>
    </w:p>
    <w:p w14:paraId="730CA99A" w14:textId="77777777" w:rsidR="001021BC" w:rsidRPr="004F1947" w:rsidRDefault="001021BC" w:rsidP="001021BC">
      <w:pPr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Viens ml šķīduma satur 5 mg dzelzs.</w:t>
      </w:r>
    </w:p>
    <w:p w14:paraId="47D36E5C" w14:textId="77777777" w:rsidR="001021BC" w:rsidRPr="004F1947" w:rsidRDefault="001021BC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153D8B2D" w14:textId="77777777" w:rsidR="001021BC" w:rsidRPr="00FF4C58" w:rsidRDefault="00CE1B4C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lang w:val="lv-LV"/>
        </w:rPr>
      </w:pPr>
      <w:r w:rsidRPr="004F1947">
        <w:rPr>
          <w:rStyle w:val="Normale"/>
          <w:rFonts w:ascii="Times New Roman" w:hAnsi="Times New Roman"/>
          <w:b/>
          <w:sz w:val="22"/>
          <w:szCs w:val="22"/>
          <w:lang w:val="lv-LV"/>
        </w:rPr>
        <w:t>Dzelzs deficīta anēmijas ā</w:t>
      </w:r>
      <w:r w:rsidR="001021BC" w:rsidRPr="00FF4C58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rstēšana </w:t>
      </w:r>
    </w:p>
    <w:p w14:paraId="75110952" w14:textId="77777777" w:rsidR="00122A30" w:rsidRPr="00FF4C58" w:rsidRDefault="00122A30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lang w:val="lv-LV"/>
        </w:rPr>
      </w:pPr>
    </w:p>
    <w:p w14:paraId="299F9609" w14:textId="77777777" w:rsidR="00662D18" w:rsidRPr="00114EC4" w:rsidRDefault="00122A30" w:rsidP="00662D18">
      <w:pPr>
        <w:pStyle w:val="BodyText"/>
        <w:numPr>
          <w:ilvl w:val="0"/>
          <w:numId w:val="2"/>
        </w:numPr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  <w:r w:rsidR="00662D18" w:rsidRPr="00114EC4">
        <w:rPr>
          <w:rStyle w:val="Normale"/>
          <w:rFonts w:ascii="Times New Roman" w:hAnsi="Times New Roman"/>
          <w:sz w:val="22"/>
          <w:szCs w:val="22"/>
          <w:lang w:val="lv-LV"/>
        </w:rPr>
        <w:t>Zīdaiņiem no 1 mēneša vecuma un bērniem: 3 mg dzelzs/ kg dienā, nepārsniedzot 60 mg</w:t>
      </w:r>
      <w:r w:rsidR="00853B19">
        <w:rPr>
          <w:rStyle w:val="Normale"/>
          <w:rFonts w:ascii="Times New Roman" w:hAnsi="Times New Roman"/>
          <w:sz w:val="22"/>
          <w:szCs w:val="22"/>
          <w:lang w:val="lv-LV"/>
        </w:rPr>
        <w:t xml:space="preserve"> dienā</w:t>
      </w:r>
      <w:r w:rsidR="00662D18" w:rsidRPr="00114EC4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</w:p>
    <w:p w14:paraId="6A4BABDC" w14:textId="77777777" w:rsidR="002617D9" w:rsidRDefault="00122A30" w:rsidP="003B70F0">
      <w:pPr>
        <w:pStyle w:val="BodyText"/>
        <w:numPr>
          <w:ilvl w:val="0"/>
          <w:numId w:val="2"/>
        </w:numPr>
        <w:ind w:left="0" w:firstLine="0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  <w:r w:rsidR="002617D9" w:rsidRPr="00114EC4">
        <w:rPr>
          <w:rStyle w:val="Normale"/>
          <w:rFonts w:ascii="Times New Roman" w:hAnsi="Times New Roman"/>
          <w:sz w:val="22"/>
          <w:szCs w:val="22"/>
          <w:lang w:val="lv-LV"/>
        </w:rPr>
        <w:t>Pieauguš</w:t>
      </w:r>
      <w:r w:rsidR="002617D9" w:rsidRPr="00B428EE">
        <w:rPr>
          <w:rStyle w:val="Normale"/>
          <w:rFonts w:ascii="Times New Roman" w:hAnsi="Times New Roman"/>
          <w:sz w:val="22"/>
          <w:szCs w:val="22"/>
          <w:lang w:val="lv-LV"/>
        </w:rPr>
        <w:t>ajiem: 100 līdz 15</w:t>
      </w:r>
      <w:r w:rsidR="001021BC" w:rsidRPr="00B428EE">
        <w:rPr>
          <w:rStyle w:val="Normale"/>
          <w:rFonts w:ascii="Times New Roman" w:hAnsi="Times New Roman"/>
          <w:sz w:val="22"/>
          <w:szCs w:val="22"/>
          <w:lang w:val="lv-LV"/>
        </w:rPr>
        <w:t>0 mg dzelzs dienā</w:t>
      </w:r>
      <w:r w:rsidR="002617D9" w:rsidRPr="00B428EE">
        <w:rPr>
          <w:rStyle w:val="Normale"/>
          <w:rFonts w:ascii="Times New Roman" w:hAnsi="Times New Roman"/>
          <w:sz w:val="22"/>
          <w:szCs w:val="22"/>
          <w:lang w:val="lv-LV"/>
        </w:rPr>
        <w:t xml:space="preserve"> jeb 2 līdz 3 </w:t>
      </w:r>
      <w:r w:rsidR="004F1947" w:rsidRPr="00B428EE">
        <w:rPr>
          <w:rStyle w:val="Normale"/>
          <w:rFonts w:ascii="Times New Roman" w:hAnsi="Times New Roman"/>
          <w:sz w:val="22"/>
          <w:szCs w:val="22"/>
          <w:lang w:val="lv-LV"/>
        </w:rPr>
        <w:t>ampulas dienā</w:t>
      </w:r>
      <w:r w:rsidR="00026883">
        <w:rPr>
          <w:rStyle w:val="Normale"/>
          <w:rFonts w:ascii="Times New Roman" w:hAnsi="Times New Roman"/>
          <w:sz w:val="22"/>
          <w:szCs w:val="22"/>
          <w:lang w:val="lv-LV"/>
        </w:rPr>
        <w:t xml:space="preserve">. </w:t>
      </w:r>
      <w:r w:rsidR="00FE7267">
        <w:rPr>
          <w:rStyle w:val="Normale"/>
          <w:rFonts w:ascii="Times New Roman" w:hAnsi="Times New Roman"/>
          <w:sz w:val="22"/>
          <w:szCs w:val="22"/>
          <w:lang w:val="lv-LV"/>
        </w:rPr>
        <w:t>Dienas devu var sadalīt atsevišķās devās vai lietot vienu devu.</w:t>
      </w:r>
    </w:p>
    <w:p w14:paraId="740D19E5" w14:textId="77777777" w:rsidR="00FE7267" w:rsidRPr="004F1947" w:rsidRDefault="00FE7267" w:rsidP="008719FC">
      <w:pPr>
        <w:pStyle w:val="BodyText"/>
        <w:ind w:left="360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35A75383" w14:textId="77777777" w:rsidR="00B40AA0" w:rsidRPr="00FF4C58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u w:val="single"/>
          <w:lang w:val="lv-LV"/>
        </w:rPr>
      </w:pPr>
      <w:r w:rsidRPr="00FF4C58">
        <w:rPr>
          <w:rStyle w:val="Normale"/>
          <w:rFonts w:ascii="Times New Roman" w:hAnsi="Times New Roman"/>
          <w:sz w:val="22"/>
          <w:szCs w:val="22"/>
          <w:u w:val="single"/>
          <w:lang w:val="lv-LV"/>
        </w:rPr>
        <w:t>Nieru darbības traucējumi</w:t>
      </w:r>
    </w:p>
    <w:p w14:paraId="6F3BA307" w14:textId="77777777" w:rsidR="000744EB" w:rsidRPr="00A000B6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FF4C58">
        <w:rPr>
          <w:rStyle w:val="Normale"/>
          <w:rFonts w:ascii="Times New Roman" w:hAnsi="Times New Roman"/>
          <w:sz w:val="22"/>
          <w:szCs w:val="22"/>
          <w:lang w:val="lv-LV"/>
        </w:rPr>
        <w:t>Pacientiem ar nieru darbības traucējumiem devas pielāgošana parasti nav nepie</w:t>
      </w:r>
      <w:r w:rsidR="00B428EE">
        <w:rPr>
          <w:rStyle w:val="Normale"/>
          <w:rFonts w:ascii="Times New Roman" w:hAnsi="Times New Roman"/>
          <w:sz w:val="22"/>
          <w:szCs w:val="22"/>
          <w:lang w:val="lv-LV"/>
        </w:rPr>
        <w:t>ciešama (skatīt 4.4. apakšpunktā</w:t>
      </w:r>
      <w:r w:rsidRPr="00A000B6">
        <w:rPr>
          <w:rStyle w:val="Normale"/>
          <w:rFonts w:ascii="Times New Roman" w:hAnsi="Times New Roman"/>
          <w:sz w:val="22"/>
          <w:szCs w:val="22"/>
          <w:lang w:val="lv-LV"/>
        </w:rPr>
        <w:t>).</w:t>
      </w:r>
    </w:p>
    <w:p w14:paraId="5DEA2699" w14:textId="77777777" w:rsidR="000744EB" w:rsidRPr="00114EC4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7AD79A83" w14:textId="77777777" w:rsidR="000744EB" w:rsidRPr="00114EC4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u w:val="single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u w:val="single"/>
          <w:lang w:val="lv-LV"/>
        </w:rPr>
        <w:t>Aknu darbības traucējumi</w:t>
      </w:r>
    </w:p>
    <w:p w14:paraId="3C4F991D" w14:textId="77777777" w:rsidR="000744EB" w:rsidRPr="00B428EE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lastRenderedPageBreak/>
        <w:t>Pacientiem ar aknu darbības traucējumiem devas pielāgošana parasti nav nepie</w:t>
      </w:r>
      <w:r w:rsidR="00B428EE">
        <w:rPr>
          <w:rStyle w:val="Normale"/>
          <w:rFonts w:ascii="Times New Roman" w:hAnsi="Times New Roman"/>
          <w:sz w:val="22"/>
          <w:szCs w:val="22"/>
          <w:lang w:val="lv-LV"/>
        </w:rPr>
        <w:t>ciešama (skatīt 4.4. apakšpunktā</w:t>
      </w: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>).</w:t>
      </w:r>
    </w:p>
    <w:p w14:paraId="54B1BB62" w14:textId="77777777" w:rsidR="000744EB" w:rsidRPr="00B428EE" w:rsidRDefault="000744EB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416E943D" w14:textId="77777777" w:rsidR="001021BC" w:rsidRPr="00B428EE" w:rsidRDefault="0073745C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lang w:val="lv-LV"/>
        </w:rPr>
      </w:pPr>
      <w:r w:rsidRPr="00B428EE">
        <w:rPr>
          <w:rStyle w:val="Normale"/>
          <w:rFonts w:ascii="Times New Roman" w:hAnsi="Times New Roman"/>
          <w:b/>
          <w:sz w:val="22"/>
          <w:szCs w:val="22"/>
          <w:lang w:val="lv-LV"/>
        </w:rPr>
        <w:t>Dzelzs deficīta p</w:t>
      </w:r>
      <w:r w:rsidR="001021BC" w:rsidRPr="00B428EE">
        <w:rPr>
          <w:rStyle w:val="Normale"/>
          <w:rFonts w:ascii="Times New Roman" w:hAnsi="Times New Roman"/>
          <w:b/>
          <w:sz w:val="22"/>
          <w:szCs w:val="22"/>
          <w:lang w:val="lv-LV"/>
        </w:rPr>
        <w:t>rofilakse</w:t>
      </w:r>
    </w:p>
    <w:p w14:paraId="4A39C8BE" w14:textId="77777777" w:rsidR="00122A30" w:rsidRPr="00114EC4" w:rsidRDefault="00122A30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lang w:val="lv-LV"/>
        </w:rPr>
      </w:pPr>
    </w:p>
    <w:p w14:paraId="25D70009" w14:textId="77777777" w:rsidR="001021BC" w:rsidRPr="00FF4C58" w:rsidRDefault="00122A30" w:rsidP="001021BC">
      <w:pPr>
        <w:pStyle w:val="BodyText"/>
        <w:numPr>
          <w:ilvl w:val="0"/>
          <w:numId w:val="2"/>
        </w:numPr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  <w:r w:rsidR="001021BC" w:rsidRPr="00114EC4">
        <w:rPr>
          <w:rStyle w:val="Normale"/>
          <w:rFonts w:ascii="Times New Roman" w:hAnsi="Times New Roman"/>
          <w:sz w:val="22"/>
          <w:szCs w:val="22"/>
          <w:lang w:val="lv-LV"/>
        </w:rPr>
        <w:t xml:space="preserve">Grūtniecēm: 50 mg </w:t>
      </w:r>
      <w:r w:rsidR="001021BC" w:rsidRPr="00FF4C58">
        <w:rPr>
          <w:rStyle w:val="Normale"/>
          <w:rFonts w:ascii="Times New Roman" w:hAnsi="Times New Roman"/>
          <w:sz w:val="22"/>
          <w:szCs w:val="22"/>
          <w:lang w:val="lv-LV"/>
        </w:rPr>
        <w:t xml:space="preserve">dzelzs dienā </w:t>
      </w:r>
      <w:r w:rsidR="0073745C" w:rsidRPr="00FF4C58">
        <w:rPr>
          <w:rStyle w:val="Normale"/>
          <w:rFonts w:ascii="Times New Roman" w:hAnsi="Times New Roman"/>
          <w:sz w:val="22"/>
          <w:szCs w:val="22"/>
          <w:lang w:val="lv-LV"/>
        </w:rPr>
        <w:t xml:space="preserve">(1 ampula) </w:t>
      </w:r>
      <w:r w:rsidR="001021BC" w:rsidRPr="00FF4C58">
        <w:rPr>
          <w:rStyle w:val="Normale"/>
          <w:rFonts w:ascii="Times New Roman" w:hAnsi="Times New Roman"/>
          <w:sz w:val="22"/>
          <w:szCs w:val="22"/>
          <w:lang w:val="lv-LV"/>
        </w:rPr>
        <w:t xml:space="preserve">grūtniecības pēdējos </w:t>
      </w:r>
      <w:r w:rsidR="0073745C" w:rsidRPr="00FF4C58">
        <w:rPr>
          <w:rStyle w:val="Normale"/>
          <w:rFonts w:ascii="Times New Roman" w:hAnsi="Times New Roman"/>
          <w:sz w:val="22"/>
          <w:szCs w:val="22"/>
          <w:lang w:val="lv-LV"/>
        </w:rPr>
        <w:t>2 trimestros</w:t>
      </w:r>
      <w:r w:rsidR="001021BC" w:rsidRPr="00FF4C58">
        <w:rPr>
          <w:rStyle w:val="Normale"/>
          <w:rFonts w:ascii="Times New Roman" w:hAnsi="Times New Roman"/>
          <w:sz w:val="22"/>
          <w:szCs w:val="22"/>
          <w:lang w:val="lv-LV"/>
        </w:rPr>
        <w:t xml:space="preserve"> (jeb no 4. grūtniecības mēneša).</w:t>
      </w:r>
    </w:p>
    <w:p w14:paraId="44291909" w14:textId="77777777" w:rsidR="001021BC" w:rsidRPr="00FF4C58" w:rsidRDefault="001021BC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77B237D9" w14:textId="77777777" w:rsidR="001021BC" w:rsidRPr="00114EC4" w:rsidRDefault="001021BC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114EC4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Lietošanas ilgums</w:t>
      </w:r>
    </w:p>
    <w:p w14:paraId="0B1567E9" w14:textId="77777777" w:rsidR="00122A30" w:rsidRPr="00114EC4" w:rsidRDefault="00122A30" w:rsidP="001021BC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</w:p>
    <w:p w14:paraId="4F4014A9" w14:textId="77777777" w:rsidR="001021BC" w:rsidRPr="00B428EE" w:rsidRDefault="001021BC" w:rsidP="001021BC">
      <w:pPr>
        <w:jc w:val="both"/>
        <w:rPr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 xml:space="preserve">Lietošanas ilgumam </w:t>
      </w:r>
      <w:r w:rsidRPr="00114EC4">
        <w:rPr>
          <w:sz w:val="22"/>
          <w:szCs w:val="22"/>
          <w:lang w:val="lv-LV"/>
        </w:rPr>
        <w:t xml:space="preserve">jābūt pietiekami ilgam, lai koriģētu anēmiju </w:t>
      </w:r>
      <w:r w:rsidR="0073745C" w:rsidRPr="00114EC4">
        <w:rPr>
          <w:sz w:val="22"/>
          <w:szCs w:val="22"/>
          <w:lang w:val="lv-LV"/>
        </w:rPr>
        <w:t>(H</w:t>
      </w:r>
      <w:r w:rsidR="00262DAC" w:rsidRPr="00114EC4">
        <w:rPr>
          <w:sz w:val="22"/>
          <w:szCs w:val="22"/>
          <w:lang w:val="lv-LV"/>
        </w:rPr>
        <w:t xml:space="preserve">b, </w:t>
      </w:r>
      <w:r w:rsidR="00262DAC" w:rsidRPr="00B428EE">
        <w:rPr>
          <w:sz w:val="22"/>
          <w:szCs w:val="22"/>
          <w:lang w:val="lv-LV"/>
        </w:rPr>
        <w:t>MCV</w:t>
      </w:r>
      <w:r w:rsidR="0073745C" w:rsidRPr="00B428EE">
        <w:rPr>
          <w:sz w:val="22"/>
          <w:szCs w:val="22"/>
          <w:lang w:val="lv-LV"/>
        </w:rPr>
        <w:t xml:space="preserve">) </w:t>
      </w:r>
      <w:r w:rsidRPr="00B428EE">
        <w:rPr>
          <w:sz w:val="22"/>
          <w:szCs w:val="22"/>
          <w:lang w:val="lv-LV"/>
        </w:rPr>
        <w:t>un</w:t>
      </w:r>
      <w:r w:rsidR="0073745C" w:rsidRPr="00B428EE">
        <w:rPr>
          <w:sz w:val="22"/>
          <w:szCs w:val="22"/>
          <w:lang w:val="lv-LV"/>
        </w:rPr>
        <w:t>/vai</w:t>
      </w:r>
      <w:r w:rsidRPr="00B428EE">
        <w:rPr>
          <w:sz w:val="22"/>
          <w:szCs w:val="22"/>
          <w:lang w:val="lv-LV"/>
        </w:rPr>
        <w:t xml:space="preserve"> atjaunotu dzelzs rezerves </w:t>
      </w:r>
      <w:r w:rsidR="0073745C" w:rsidRPr="00B428EE">
        <w:rPr>
          <w:sz w:val="22"/>
          <w:szCs w:val="22"/>
          <w:lang w:val="lv-LV"/>
        </w:rPr>
        <w:t xml:space="preserve">(feritīns, transferīna piesātinājums) </w:t>
      </w:r>
      <w:r w:rsidRPr="00B428EE">
        <w:rPr>
          <w:sz w:val="22"/>
          <w:szCs w:val="22"/>
          <w:lang w:val="lv-LV"/>
        </w:rPr>
        <w:t>organismā, kas pieauguš</w:t>
      </w:r>
      <w:r w:rsidR="00AC5C0B" w:rsidRPr="00B428EE">
        <w:rPr>
          <w:sz w:val="22"/>
          <w:szCs w:val="22"/>
          <w:lang w:val="lv-LV"/>
        </w:rPr>
        <w:t>aj</w:t>
      </w:r>
      <w:r w:rsidRPr="00B428EE">
        <w:rPr>
          <w:sz w:val="22"/>
          <w:szCs w:val="22"/>
          <w:lang w:val="lv-LV"/>
        </w:rPr>
        <w:t xml:space="preserve">iem ir: 600 mg sievietēm un 1200 mg vīriešiem. </w:t>
      </w:r>
    </w:p>
    <w:p w14:paraId="68656804" w14:textId="77777777" w:rsidR="00262DAC" w:rsidRPr="00A32C44" w:rsidRDefault="00262DAC" w:rsidP="001021BC">
      <w:pPr>
        <w:jc w:val="both"/>
        <w:rPr>
          <w:sz w:val="22"/>
          <w:szCs w:val="22"/>
          <w:lang w:val="lv-LV"/>
        </w:rPr>
      </w:pPr>
    </w:p>
    <w:p w14:paraId="15544C61" w14:textId="77777777" w:rsidR="00262DAC" w:rsidRPr="00A32C44" w:rsidRDefault="00262DAC" w:rsidP="001021BC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>Dzelzs deficīta anēmija:</w:t>
      </w:r>
    </w:p>
    <w:p w14:paraId="5E02E06E" w14:textId="77777777" w:rsidR="00262DAC" w:rsidRPr="00254C05" w:rsidRDefault="00262DAC" w:rsidP="00262DAC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 xml:space="preserve">Četras nedēļas pēc </w:t>
      </w:r>
      <w:r w:rsidRPr="0090542F">
        <w:rPr>
          <w:sz w:val="22"/>
          <w:szCs w:val="22"/>
          <w:lang w:val="lv-LV"/>
        </w:rPr>
        <w:t>ārstēšanas uzsākšanas jānosaka Hb līmenis. Turpmāko pārbaužu laiks būs atkarīgs no anēmijas pakāpes. Dzelzs deficīta anēmijas gadījumā lietošanas ilgums i</w:t>
      </w:r>
      <w:r w:rsidRPr="00254C05">
        <w:rPr>
          <w:sz w:val="22"/>
          <w:szCs w:val="22"/>
          <w:lang w:val="lv-LV"/>
        </w:rPr>
        <w:t xml:space="preserve">r no 3 līdz 6 mēnešiem, atkarībā no dzelzs rezervju izsīkšanas pakāpes, bet var būt arī ilgāk, ja anēmijas iemesls nav likvidēts. </w:t>
      </w:r>
    </w:p>
    <w:p w14:paraId="2F68C8D5" w14:textId="77777777" w:rsidR="001021BC" w:rsidRPr="00254C05" w:rsidRDefault="00262DAC" w:rsidP="001021BC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>Ārstēšana jāturpina vēl 3 mēnešus pēc Hb līmeņa normalizācijas.</w:t>
      </w:r>
    </w:p>
    <w:p w14:paraId="61ED6A4B" w14:textId="77777777" w:rsidR="007D7FBB" w:rsidRPr="00254C05" w:rsidRDefault="007D7FBB" w:rsidP="001021BC">
      <w:pPr>
        <w:jc w:val="both"/>
        <w:rPr>
          <w:b/>
          <w:sz w:val="22"/>
          <w:szCs w:val="22"/>
          <w:u w:val="single"/>
          <w:lang w:val="lv-LV"/>
        </w:rPr>
      </w:pPr>
    </w:p>
    <w:p w14:paraId="6C13B40F" w14:textId="77777777" w:rsidR="001021BC" w:rsidRPr="00254C05" w:rsidRDefault="001021BC" w:rsidP="001021BC">
      <w:pPr>
        <w:jc w:val="both"/>
        <w:rPr>
          <w:b/>
          <w:sz w:val="22"/>
          <w:szCs w:val="22"/>
          <w:u w:val="single"/>
          <w:lang w:val="lv-LV"/>
        </w:rPr>
      </w:pPr>
      <w:r w:rsidRPr="00254C05">
        <w:rPr>
          <w:b/>
          <w:sz w:val="22"/>
          <w:szCs w:val="22"/>
          <w:u w:val="single"/>
          <w:lang w:val="lv-LV"/>
        </w:rPr>
        <w:t>Lietošanas veids</w:t>
      </w:r>
    </w:p>
    <w:p w14:paraId="4AEF841B" w14:textId="77777777" w:rsidR="00122A30" w:rsidRPr="00254C05" w:rsidRDefault="00122A30" w:rsidP="001021BC">
      <w:pPr>
        <w:jc w:val="both"/>
        <w:rPr>
          <w:b/>
          <w:sz w:val="22"/>
          <w:szCs w:val="22"/>
          <w:u w:val="single"/>
          <w:lang w:val="lv-LV"/>
        </w:rPr>
      </w:pPr>
    </w:p>
    <w:p w14:paraId="61ABE5EF" w14:textId="77777777" w:rsidR="001021BC" w:rsidRPr="00ED6984" w:rsidRDefault="001021BC" w:rsidP="001021BC">
      <w:pPr>
        <w:jc w:val="both"/>
        <w:rPr>
          <w:sz w:val="22"/>
          <w:szCs w:val="22"/>
          <w:lang w:val="lv-LV"/>
        </w:rPr>
      </w:pPr>
      <w:r w:rsidRPr="00ED6984">
        <w:rPr>
          <w:sz w:val="22"/>
          <w:szCs w:val="22"/>
          <w:lang w:val="lv-LV"/>
        </w:rPr>
        <w:t>Iekšķīgai lietošanai.</w:t>
      </w:r>
    </w:p>
    <w:p w14:paraId="1AA0F1C5" w14:textId="77777777" w:rsidR="0018287F" w:rsidRPr="00ED6984" w:rsidRDefault="0018287F" w:rsidP="0018287F">
      <w:pPr>
        <w:jc w:val="both"/>
        <w:rPr>
          <w:sz w:val="22"/>
          <w:szCs w:val="22"/>
          <w:lang w:val="lv-LV"/>
        </w:rPr>
      </w:pPr>
      <w:r w:rsidRPr="00ED6984">
        <w:rPr>
          <w:sz w:val="22"/>
          <w:szCs w:val="22"/>
          <w:lang w:val="lv-LV"/>
        </w:rPr>
        <w:t>Pirms lietošanas ampulu sakratīt.</w:t>
      </w:r>
    </w:p>
    <w:p w14:paraId="2B67D448" w14:textId="77777777" w:rsidR="00122A30" w:rsidRPr="00ED6984" w:rsidRDefault="00122A30" w:rsidP="0018287F">
      <w:pPr>
        <w:jc w:val="both"/>
        <w:rPr>
          <w:sz w:val="22"/>
          <w:szCs w:val="22"/>
          <w:lang w:val="lv-LV"/>
        </w:rPr>
      </w:pPr>
    </w:p>
    <w:p w14:paraId="49478D19" w14:textId="77777777" w:rsidR="001021BC" w:rsidRPr="00FF4C58" w:rsidRDefault="00FF4C58" w:rsidP="001021BC">
      <w:pPr>
        <w:pStyle w:val="BodyText"/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D6984">
        <w:rPr>
          <w:rFonts w:ascii="Times New Roman" w:hAnsi="Times New Roman"/>
          <w:sz w:val="22"/>
          <w:szCs w:val="22"/>
          <w:lang w:val="lv-LV"/>
        </w:rPr>
        <w:t>Uzmanīgi nolauz</w:t>
      </w:r>
      <w:r w:rsidR="00943E89" w:rsidRPr="00ED6984">
        <w:rPr>
          <w:rFonts w:ascii="Times New Roman" w:hAnsi="Times New Roman"/>
          <w:sz w:val="22"/>
          <w:szCs w:val="22"/>
          <w:lang w:val="lv-LV"/>
        </w:rPr>
        <w:t>t abus ampulas galus un iel</w:t>
      </w:r>
      <w:r>
        <w:rPr>
          <w:rFonts w:ascii="Times New Roman" w:hAnsi="Times New Roman"/>
          <w:sz w:val="22"/>
          <w:szCs w:val="22"/>
          <w:lang w:val="lv-LV"/>
        </w:rPr>
        <w:t>ie</w:t>
      </w:r>
      <w:r w:rsidR="00943E89" w:rsidRPr="00FF4C58">
        <w:rPr>
          <w:rFonts w:ascii="Times New Roman" w:hAnsi="Times New Roman"/>
          <w:sz w:val="22"/>
          <w:szCs w:val="22"/>
          <w:lang w:val="lv-LV"/>
        </w:rPr>
        <w:t>t ampulas saturu glāzē ar saldinātu vai nesaldinātu ūdeni vai jebkuru citu bezalkoholisku dzērienu.</w:t>
      </w:r>
    </w:p>
    <w:p w14:paraId="58FCC1BC" w14:textId="77777777" w:rsidR="001021BC" w:rsidRPr="00114EC4" w:rsidRDefault="001021BC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73A13856" w14:textId="77777777" w:rsidR="001021BC" w:rsidRPr="00B428EE" w:rsidRDefault="001021BC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14EC4">
        <w:rPr>
          <w:rStyle w:val="Normale"/>
          <w:rFonts w:ascii="Times New Roman" w:hAnsi="Times New Roman"/>
          <w:sz w:val="22"/>
          <w:szCs w:val="22"/>
          <w:lang w:val="lv-LV"/>
        </w:rPr>
        <w:t>Zāles ieteicams lietot pirms ēšanas, bet reizēm lie</w:t>
      </w:r>
      <w:r w:rsidRPr="00B428EE">
        <w:rPr>
          <w:rStyle w:val="Normale"/>
          <w:rFonts w:ascii="Times New Roman" w:hAnsi="Times New Roman"/>
          <w:sz w:val="22"/>
          <w:szCs w:val="22"/>
          <w:lang w:val="lv-LV"/>
        </w:rPr>
        <w:t>tošanas laiku un devas lielumu jāpiemēro katra pacienta gremošanas trakta darbībai.</w:t>
      </w:r>
    </w:p>
    <w:p w14:paraId="0AFB42CB" w14:textId="77777777" w:rsidR="001021BC" w:rsidRPr="00B428EE" w:rsidRDefault="001021BC" w:rsidP="001021BC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643E097C" w14:textId="77777777" w:rsidR="001021BC" w:rsidRPr="00A32C44" w:rsidRDefault="001021BC" w:rsidP="001021BC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A32C44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4.3. Kontrindikācijas</w:t>
      </w:r>
    </w:p>
    <w:p w14:paraId="3AFECC8A" w14:textId="77777777" w:rsidR="001021BC" w:rsidRPr="00A32C44" w:rsidRDefault="001021B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</w:p>
    <w:p w14:paraId="5BF99296" w14:textId="77777777" w:rsidR="001021BC" w:rsidRPr="0090542F" w:rsidRDefault="001021BC" w:rsidP="001021BC">
      <w:pPr>
        <w:rPr>
          <w:sz w:val="22"/>
          <w:szCs w:val="22"/>
          <w:lang w:val="lv-LV" w:eastAsia="en-US"/>
        </w:rPr>
      </w:pPr>
      <w:r w:rsidRPr="00A32C44">
        <w:rPr>
          <w:sz w:val="22"/>
          <w:szCs w:val="22"/>
          <w:lang w:val="lv-LV" w:eastAsia="en-US"/>
        </w:rPr>
        <w:t>Paaugstināta jutība pret aktīvajām vi</w:t>
      </w:r>
      <w:r w:rsidRPr="0090542F">
        <w:rPr>
          <w:sz w:val="22"/>
          <w:szCs w:val="22"/>
          <w:lang w:val="lv-LV" w:eastAsia="en-US"/>
        </w:rPr>
        <w:t>elām vai jebkuru no 6.1. apakšpunktā uzskaitītajām palīgvielām</w:t>
      </w:r>
      <w:r w:rsidR="002F3E1C" w:rsidRPr="0090542F">
        <w:rPr>
          <w:sz w:val="22"/>
          <w:szCs w:val="22"/>
          <w:lang w:val="lv-LV" w:eastAsia="en-US"/>
        </w:rPr>
        <w:t>.</w:t>
      </w:r>
    </w:p>
    <w:p w14:paraId="10797723" w14:textId="77777777" w:rsidR="00122A30" w:rsidRPr="0090542F" w:rsidRDefault="00122A30" w:rsidP="001021BC">
      <w:pPr>
        <w:rPr>
          <w:noProof/>
          <w:sz w:val="22"/>
          <w:szCs w:val="22"/>
          <w:lang w:val="lv-LV" w:eastAsia="en-US"/>
        </w:rPr>
      </w:pPr>
    </w:p>
    <w:p w14:paraId="1EDC29BF" w14:textId="77777777" w:rsidR="001021BC" w:rsidRPr="00FE7267" w:rsidRDefault="002F3E1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  <w:r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P</w:t>
      </w:r>
      <w:r w:rsidR="001021BC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alielināts dzelzs daudzums</w:t>
      </w:r>
      <w:r w:rsidR="005D0636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, ko izraisa</w:t>
      </w:r>
      <w:r w:rsidR="00C57989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pastiprin</w:t>
      </w:r>
      <w:r w:rsidR="005D0636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āta dzelzs uzsūkšanās</w:t>
      </w:r>
      <w:r w:rsidR="00C57989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zarnās vai izmain</w:t>
      </w:r>
      <w:r w:rsidR="005D0636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īts</w:t>
      </w:r>
      <w:r w:rsidR="00C57989" w:rsidRPr="00254C05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dzelzs metabolism</w:t>
      </w:r>
      <w:r w:rsidR="005D0636" w:rsidRPr="00ED6984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s</w:t>
      </w:r>
      <w:r w:rsidR="001021BC" w:rsidRPr="00ED6984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, piemēram, </w:t>
      </w:r>
      <w:r w:rsidR="00C57989" w:rsidRPr="00ED6984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hemohromatoze,</w:t>
      </w:r>
      <w:r w:rsidR="001021BC" w:rsidRPr="00ED6984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talasēmija, refrakt</w:t>
      </w:r>
      <w:r w:rsidR="00C57989" w:rsidRPr="00ED6984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ā</w:t>
      </w:r>
      <w:r w:rsidR="001021BC" w:rsidRPr="0033738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rā anēmija</w:t>
      </w:r>
      <w:r w:rsidR="00C57989" w:rsidRPr="0033738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, </w:t>
      </w:r>
      <w:r w:rsidR="001021BC" w:rsidRPr="00853B1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aplastiskā anēmija</w:t>
      </w:r>
      <w:r w:rsidR="00C57989" w:rsidRPr="00853B1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, sideroblastiskā anēmija</w:t>
      </w:r>
      <w:r w:rsidR="007C2919" w:rsidRPr="00853B1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,</w:t>
      </w:r>
      <w:r w:rsidR="00C57989" w:rsidRPr="00853B19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vai</w:t>
      </w:r>
      <w:r w:rsidR="005D0636" w:rsidRPr="00026883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</w:t>
      </w:r>
      <w:r w:rsidR="00253251" w:rsidRPr="00026883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pārmērīga parenterāla ievadīšana, piemēram, </w:t>
      </w:r>
      <w:r w:rsidR="005D0636" w:rsidRPr="00026883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atk</w:t>
      </w:r>
      <w:r w:rsidR="00253251" w:rsidRPr="00FE7267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ārtotas</w:t>
      </w:r>
      <w:r w:rsidR="005D0636" w:rsidRPr="00FE7267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 vai hroniskas asins pārlie</w:t>
      </w:r>
      <w:r w:rsidR="00253251" w:rsidRPr="00FE7267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šanas gadījumos</w:t>
      </w:r>
      <w:r w:rsidRPr="00FE7267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.</w:t>
      </w:r>
    </w:p>
    <w:p w14:paraId="7F3A486B" w14:textId="77777777" w:rsidR="002F3E1C" w:rsidRPr="00FE7267" w:rsidRDefault="002F3E1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</w:p>
    <w:p w14:paraId="79F92E5F" w14:textId="77777777" w:rsidR="001021BC" w:rsidRPr="003B70F0" w:rsidRDefault="002F3E1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  <w:r w:rsidRPr="006070DA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A</w:t>
      </w:r>
      <w:r w:rsidR="00122A30" w:rsidRPr="006070DA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nēmijas, kuru iemesls nav dzelzs deficīts</w:t>
      </w:r>
      <w:r w:rsidR="00DC7F30" w:rsidRPr="003B70F0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 xml:space="preserve">, piemēram, hemolītiska anēmija, megaloblastiska anēmija </w:t>
      </w:r>
      <w:r w:rsidRPr="003B70F0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vai iekaisuma izraisīta anēmija.</w:t>
      </w:r>
    </w:p>
    <w:p w14:paraId="6774FC4E" w14:textId="77777777" w:rsidR="002F3E1C" w:rsidRPr="003B70F0" w:rsidRDefault="002F3E1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</w:p>
    <w:p w14:paraId="0E0017AD" w14:textId="77777777" w:rsidR="00DE463C" w:rsidRPr="003B70F0" w:rsidRDefault="00DE463C" w:rsidP="001021BC">
      <w:pPr>
        <w:pStyle w:val="BodyText3"/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</w:pPr>
      <w:r w:rsidRPr="003B70F0">
        <w:rPr>
          <w:rStyle w:val="Normale"/>
          <w:rFonts w:ascii="Times New Roman" w:hAnsi="Times New Roman"/>
          <w:color w:val="auto"/>
          <w:sz w:val="22"/>
          <w:szCs w:val="22"/>
          <w:lang w:val="lv-LV"/>
        </w:rPr>
        <w:t>Vilsona slimība.</w:t>
      </w:r>
    </w:p>
    <w:p w14:paraId="34990B6F" w14:textId="77777777" w:rsidR="001021BC" w:rsidRPr="002347FA" w:rsidRDefault="001021BC" w:rsidP="001021BC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6E587504" w14:textId="77777777" w:rsidR="001021BC" w:rsidRPr="00482E43" w:rsidRDefault="001021BC" w:rsidP="001021B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82E43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4.4. Īpaši brīdinājumi un piesardzība lietošanā</w:t>
      </w:r>
    </w:p>
    <w:p w14:paraId="528E1689" w14:textId="77777777" w:rsidR="001021BC" w:rsidRPr="00482E43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300357D1" w14:textId="77777777" w:rsidR="0070284D" w:rsidRPr="00482E43" w:rsidRDefault="0070284D" w:rsidP="0070284D">
      <w:pPr>
        <w:jc w:val="both"/>
        <w:rPr>
          <w:b/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Īpaši brīdinājumi</w:t>
      </w:r>
    </w:p>
    <w:p w14:paraId="0B4CC2CC" w14:textId="77777777" w:rsidR="00122A30" w:rsidRPr="00482E43" w:rsidRDefault="00122A30" w:rsidP="0070284D">
      <w:pPr>
        <w:jc w:val="both"/>
        <w:rPr>
          <w:b/>
          <w:sz w:val="22"/>
          <w:szCs w:val="22"/>
          <w:lang w:val="lv-LV"/>
        </w:rPr>
      </w:pPr>
    </w:p>
    <w:p w14:paraId="1AD9C5BB" w14:textId="77777777" w:rsidR="0070284D" w:rsidRPr="00482E43" w:rsidRDefault="0070284D" w:rsidP="0070284D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>Šīs zāles nav ieteicamas hiposiderēmijas ārstēšanai, kas saistīta ar iekaisuma sindromiem.</w:t>
      </w:r>
    </w:p>
    <w:p w14:paraId="2F836490" w14:textId="77777777" w:rsidR="00C61B2B" w:rsidRPr="00482E43" w:rsidRDefault="00C61B2B" w:rsidP="0070284D">
      <w:pPr>
        <w:jc w:val="both"/>
        <w:rPr>
          <w:sz w:val="22"/>
          <w:szCs w:val="22"/>
          <w:lang w:val="lv-LV"/>
        </w:rPr>
      </w:pPr>
    </w:p>
    <w:p w14:paraId="5EB5A2AE" w14:textId="77777777" w:rsidR="0070284D" w:rsidRPr="00114EC4" w:rsidRDefault="00114EC4" w:rsidP="0070284D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J</w:t>
      </w:r>
      <w:r w:rsidRPr="00B8203B">
        <w:rPr>
          <w:color w:val="000000"/>
          <w:sz w:val="22"/>
          <w:szCs w:val="22"/>
          <w:lang w:val="lv-LV"/>
        </w:rPr>
        <w:t>a vien tas ir iespējams</w:t>
      </w:r>
      <w:r w:rsidR="00B428EE">
        <w:rPr>
          <w:color w:val="000000"/>
          <w:sz w:val="22"/>
          <w:szCs w:val="22"/>
          <w:lang w:val="lv-LV"/>
        </w:rPr>
        <w:t>,</w:t>
      </w:r>
      <w:r w:rsidRPr="00114EC4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d</w:t>
      </w:r>
      <w:r w:rsidR="00BF7AEC" w:rsidRPr="00114EC4">
        <w:rPr>
          <w:color w:val="000000"/>
          <w:sz w:val="22"/>
          <w:szCs w:val="22"/>
          <w:lang w:val="lv-LV"/>
        </w:rPr>
        <w:t>zelzs deficīta ārstēšana ir jāapvieno ar dzelzs deficītu izraisošā iemesla ārstēšanu</w:t>
      </w:r>
      <w:r w:rsidR="00FF70CA" w:rsidRPr="00114EC4">
        <w:rPr>
          <w:color w:val="000000"/>
          <w:sz w:val="22"/>
          <w:szCs w:val="22"/>
          <w:lang w:val="lv-LV"/>
        </w:rPr>
        <w:t>.</w:t>
      </w:r>
    </w:p>
    <w:p w14:paraId="792EDA27" w14:textId="77777777" w:rsidR="00C61B2B" w:rsidRPr="00114EC4" w:rsidRDefault="00C61B2B" w:rsidP="0070284D">
      <w:pPr>
        <w:jc w:val="both"/>
        <w:rPr>
          <w:sz w:val="22"/>
          <w:szCs w:val="22"/>
          <w:lang w:val="lv-LV"/>
        </w:rPr>
      </w:pPr>
    </w:p>
    <w:p w14:paraId="15740E6B" w14:textId="77777777" w:rsidR="0070284D" w:rsidRPr="00B428EE" w:rsidRDefault="0070284D" w:rsidP="0070284D">
      <w:pPr>
        <w:jc w:val="both"/>
        <w:rPr>
          <w:sz w:val="22"/>
          <w:szCs w:val="22"/>
          <w:lang w:val="lv-LV"/>
        </w:rPr>
      </w:pPr>
      <w:r w:rsidRPr="00B428EE">
        <w:rPr>
          <w:sz w:val="22"/>
          <w:szCs w:val="22"/>
          <w:lang w:val="lv-LV"/>
        </w:rPr>
        <w:t xml:space="preserve">Nejauša </w:t>
      </w:r>
      <w:r w:rsidR="00B428EE">
        <w:rPr>
          <w:sz w:val="22"/>
          <w:szCs w:val="22"/>
          <w:lang w:val="lv-LV"/>
        </w:rPr>
        <w:t>pārdozēšana</w:t>
      </w:r>
      <w:r w:rsidRPr="00B428EE">
        <w:rPr>
          <w:sz w:val="22"/>
          <w:szCs w:val="22"/>
          <w:lang w:val="lv-LV"/>
        </w:rPr>
        <w:t xml:space="preserve"> var izraisīt nopietnu intoksikāciju, īpaši maziem bērniem (skatīt 4.9.</w:t>
      </w:r>
      <w:r w:rsidR="00BE6DEB" w:rsidRPr="00B428EE">
        <w:rPr>
          <w:sz w:val="22"/>
          <w:szCs w:val="22"/>
          <w:lang w:val="lv-LV"/>
        </w:rPr>
        <w:t xml:space="preserve"> apak</w:t>
      </w:r>
      <w:r w:rsidR="00FF70CA" w:rsidRPr="00B428EE">
        <w:rPr>
          <w:sz w:val="22"/>
          <w:szCs w:val="22"/>
          <w:lang w:val="lv-LV"/>
        </w:rPr>
        <w:t>špunkt</w:t>
      </w:r>
      <w:r w:rsidR="00B428EE">
        <w:rPr>
          <w:sz w:val="22"/>
          <w:szCs w:val="22"/>
          <w:lang w:val="lv-LV"/>
        </w:rPr>
        <w:t>ā</w:t>
      </w:r>
      <w:r w:rsidRPr="00B428EE">
        <w:rPr>
          <w:sz w:val="22"/>
          <w:szCs w:val="22"/>
          <w:lang w:val="lv-LV"/>
        </w:rPr>
        <w:t>)</w:t>
      </w:r>
      <w:r w:rsidR="00FF70CA" w:rsidRPr="00B428EE">
        <w:rPr>
          <w:sz w:val="22"/>
          <w:szCs w:val="22"/>
          <w:lang w:val="lv-LV"/>
        </w:rPr>
        <w:t>.</w:t>
      </w:r>
    </w:p>
    <w:p w14:paraId="2059E947" w14:textId="77777777" w:rsidR="00C61B2B" w:rsidRPr="00B428EE" w:rsidRDefault="00C61B2B" w:rsidP="0070284D">
      <w:pPr>
        <w:jc w:val="both"/>
        <w:rPr>
          <w:sz w:val="22"/>
          <w:szCs w:val="22"/>
          <w:lang w:val="lv-LV"/>
        </w:rPr>
      </w:pPr>
    </w:p>
    <w:p w14:paraId="34570A6E" w14:textId="77777777" w:rsidR="00BF7AEC" w:rsidRPr="00A32C44" w:rsidRDefault="00BF7AEC" w:rsidP="0070284D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>Šīs zāles nevajadzētu lietot pacientiem ar retu iedzimtu fruktozes nepanesību, glikozes-galaktozes malabsorbciju vai saharāzes−izomaltāzes nepietiekamību.</w:t>
      </w:r>
    </w:p>
    <w:p w14:paraId="0A37FC4D" w14:textId="77777777" w:rsidR="00C61B2B" w:rsidRPr="00A32C44" w:rsidRDefault="00C61B2B" w:rsidP="0070284D">
      <w:pPr>
        <w:jc w:val="both"/>
        <w:rPr>
          <w:sz w:val="22"/>
          <w:szCs w:val="22"/>
          <w:lang w:val="lv-LV"/>
        </w:rPr>
      </w:pPr>
    </w:p>
    <w:p w14:paraId="20D6BD63" w14:textId="77777777" w:rsidR="00FF70CA" w:rsidRPr="00E808F3" w:rsidRDefault="00FF70CA" w:rsidP="00FF70CA">
      <w:pPr>
        <w:jc w:val="both"/>
        <w:rPr>
          <w:color w:val="000000"/>
          <w:sz w:val="22"/>
          <w:szCs w:val="22"/>
          <w:lang w:val="lv-LV"/>
        </w:rPr>
      </w:pPr>
      <w:r w:rsidRPr="0090542F">
        <w:rPr>
          <w:color w:val="000000"/>
          <w:sz w:val="22"/>
          <w:szCs w:val="22"/>
          <w:lang w:val="lv-LV"/>
        </w:rPr>
        <w:t>Glikoze un saharoze var kaitēt zobiem,</w:t>
      </w:r>
      <w:r w:rsidRPr="00E808F3">
        <w:rPr>
          <w:color w:val="414142"/>
          <w:sz w:val="22"/>
          <w:szCs w:val="22"/>
          <w:shd w:val="clear" w:color="auto" w:fill="FFFFFF"/>
          <w:lang w:val="lv-LV"/>
        </w:rPr>
        <w:t xml:space="preserve"> </w:t>
      </w:r>
      <w:r w:rsidRPr="00E808F3">
        <w:rPr>
          <w:color w:val="000000"/>
          <w:sz w:val="22"/>
          <w:szCs w:val="22"/>
          <w:lang w:val="lv-LV"/>
        </w:rPr>
        <w:t xml:space="preserve">ja šīs zāles lieto ilgstoši, piemēram, divas nedēļas vai vairāk. </w:t>
      </w:r>
    </w:p>
    <w:p w14:paraId="692C4745" w14:textId="77777777" w:rsidR="00C61B2B" w:rsidRPr="0033085D" w:rsidRDefault="00C61B2B" w:rsidP="00FF70CA">
      <w:pPr>
        <w:jc w:val="both"/>
        <w:rPr>
          <w:color w:val="000000"/>
          <w:sz w:val="22"/>
          <w:szCs w:val="22"/>
          <w:lang w:val="lv-LV"/>
        </w:rPr>
      </w:pPr>
    </w:p>
    <w:p w14:paraId="62B706C5" w14:textId="77777777" w:rsidR="00307853" w:rsidRPr="0033085D" w:rsidRDefault="00307853" w:rsidP="0070284D">
      <w:pPr>
        <w:jc w:val="both"/>
        <w:rPr>
          <w:color w:val="000000"/>
          <w:sz w:val="22"/>
          <w:szCs w:val="22"/>
        </w:rPr>
      </w:pPr>
      <w:proofErr w:type="spellStart"/>
      <w:r w:rsidRPr="0033085D">
        <w:rPr>
          <w:color w:val="000000"/>
          <w:sz w:val="22"/>
          <w:szCs w:val="22"/>
        </w:rPr>
        <w:t>Šīs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zāles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satur</w:t>
      </w:r>
      <w:proofErr w:type="spellEnd"/>
      <w:r w:rsidRPr="0033085D">
        <w:rPr>
          <w:color w:val="000000"/>
          <w:sz w:val="22"/>
          <w:szCs w:val="22"/>
        </w:rPr>
        <w:t xml:space="preserve"> 108 mg </w:t>
      </w:r>
      <w:proofErr w:type="spellStart"/>
      <w:r w:rsidRPr="0033085D">
        <w:rPr>
          <w:color w:val="000000"/>
          <w:sz w:val="22"/>
          <w:szCs w:val="22"/>
        </w:rPr>
        <w:t>etilspirta</w:t>
      </w:r>
      <w:proofErr w:type="spellEnd"/>
      <w:r w:rsidRPr="0033085D">
        <w:rPr>
          <w:color w:val="000000"/>
          <w:sz w:val="22"/>
          <w:szCs w:val="22"/>
        </w:rPr>
        <w:t xml:space="preserve"> (</w:t>
      </w:r>
      <w:proofErr w:type="spellStart"/>
      <w:r w:rsidRPr="0033085D">
        <w:rPr>
          <w:color w:val="000000"/>
          <w:sz w:val="22"/>
          <w:szCs w:val="22"/>
        </w:rPr>
        <w:t>alkohola</w:t>
      </w:r>
      <w:proofErr w:type="spellEnd"/>
      <w:r w:rsidRPr="0033085D">
        <w:rPr>
          <w:color w:val="000000"/>
          <w:sz w:val="22"/>
          <w:szCs w:val="22"/>
        </w:rPr>
        <w:t xml:space="preserve">) </w:t>
      </w:r>
      <w:proofErr w:type="spellStart"/>
      <w:r w:rsidRPr="0033085D">
        <w:rPr>
          <w:color w:val="000000"/>
          <w:sz w:val="22"/>
          <w:szCs w:val="22"/>
        </w:rPr>
        <w:t>vienā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ampulā</w:t>
      </w:r>
      <w:proofErr w:type="spellEnd"/>
      <w:r w:rsidRPr="0033085D">
        <w:rPr>
          <w:color w:val="000000"/>
          <w:sz w:val="22"/>
          <w:szCs w:val="22"/>
        </w:rPr>
        <w:t xml:space="preserve"> (10 ml), kas </w:t>
      </w:r>
      <w:proofErr w:type="spellStart"/>
      <w:r w:rsidRPr="0033085D">
        <w:rPr>
          <w:color w:val="000000"/>
          <w:sz w:val="22"/>
          <w:szCs w:val="22"/>
        </w:rPr>
        <w:t>ir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ekvivalents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mazāk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kā</w:t>
      </w:r>
      <w:proofErr w:type="spellEnd"/>
      <w:r w:rsidRPr="0033085D">
        <w:rPr>
          <w:color w:val="000000"/>
          <w:sz w:val="22"/>
          <w:szCs w:val="22"/>
        </w:rPr>
        <w:t xml:space="preserve"> 3 ml </w:t>
      </w:r>
      <w:proofErr w:type="spellStart"/>
      <w:r w:rsidRPr="0033085D">
        <w:rPr>
          <w:color w:val="000000"/>
          <w:sz w:val="22"/>
          <w:szCs w:val="22"/>
        </w:rPr>
        <w:t>alus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vai</w:t>
      </w:r>
      <w:proofErr w:type="spellEnd"/>
      <w:r w:rsidRPr="0033085D">
        <w:rPr>
          <w:color w:val="000000"/>
          <w:sz w:val="22"/>
          <w:szCs w:val="22"/>
        </w:rPr>
        <w:t xml:space="preserve"> 2 ml </w:t>
      </w:r>
      <w:proofErr w:type="spellStart"/>
      <w:r w:rsidRPr="0033085D">
        <w:rPr>
          <w:color w:val="000000"/>
          <w:sz w:val="22"/>
          <w:szCs w:val="22"/>
        </w:rPr>
        <w:t>vīna</w:t>
      </w:r>
      <w:proofErr w:type="spellEnd"/>
      <w:r w:rsidRPr="0033085D">
        <w:rPr>
          <w:color w:val="000000"/>
          <w:sz w:val="22"/>
          <w:szCs w:val="22"/>
        </w:rPr>
        <w:t xml:space="preserve">. </w:t>
      </w:r>
      <w:proofErr w:type="spellStart"/>
      <w:r w:rsidRPr="0033085D">
        <w:rPr>
          <w:color w:val="000000"/>
          <w:sz w:val="22"/>
          <w:szCs w:val="22"/>
        </w:rPr>
        <w:t>Nelielajam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alkohola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daudzumam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šajās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zālēs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nav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būtiskas</w:t>
      </w:r>
      <w:proofErr w:type="spellEnd"/>
      <w:r w:rsidRPr="0033085D">
        <w:rPr>
          <w:color w:val="000000"/>
          <w:sz w:val="22"/>
          <w:szCs w:val="22"/>
        </w:rPr>
        <w:t xml:space="preserve"> </w:t>
      </w:r>
      <w:proofErr w:type="spellStart"/>
      <w:r w:rsidRPr="0033085D">
        <w:rPr>
          <w:color w:val="000000"/>
          <w:sz w:val="22"/>
          <w:szCs w:val="22"/>
        </w:rPr>
        <w:t>ietekmes</w:t>
      </w:r>
      <w:proofErr w:type="spellEnd"/>
      <w:r w:rsidRPr="0033085D">
        <w:rPr>
          <w:color w:val="000000"/>
          <w:sz w:val="22"/>
          <w:szCs w:val="22"/>
        </w:rPr>
        <w:t xml:space="preserve">. </w:t>
      </w:r>
    </w:p>
    <w:p w14:paraId="228B9234" w14:textId="77777777" w:rsidR="00C61B2B" w:rsidRPr="0033085D" w:rsidRDefault="00C61B2B" w:rsidP="0070284D">
      <w:pPr>
        <w:jc w:val="both"/>
        <w:rPr>
          <w:color w:val="000000"/>
          <w:sz w:val="22"/>
          <w:szCs w:val="22"/>
        </w:rPr>
      </w:pPr>
    </w:p>
    <w:p w14:paraId="5F74982D" w14:textId="77777777" w:rsidR="0070284D" w:rsidRPr="00FD6D19" w:rsidRDefault="00307853" w:rsidP="0070284D">
      <w:pPr>
        <w:jc w:val="both"/>
        <w:rPr>
          <w:color w:val="000000"/>
          <w:sz w:val="22"/>
          <w:szCs w:val="22"/>
        </w:rPr>
      </w:pPr>
      <w:proofErr w:type="spellStart"/>
      <w:r w:rsidRPr="00FD6D19">
        <w:rPr>
          <w:color w:val="000000"/>
          <w:sz w:val="22"/>
          <w:szCs w:val="22"/>
        </w:rPr>
        <w:t>Šīs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zāles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satur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mazāk</w:t>
      </w:r>
      <w:proofErr w:type="spellEnd"/>
      <w:r w:rsidRPr="00FD6D19">
        <w:rPr>
          <w:color w:val="000000"/>
          <w:sz w:val="22"/>
          <w:szCs w:val="22"/>
        </w:rPr>
        <w:t xml:space="preserve"> par 1 </w:t>
      </w:r>
      <w:proofErr w:type="spellStart"/>
      <w:r w:rsidRPr="00FD6D19">
        <w:rPr>
          <w:color w:val="000000"/>
          <w:sz w:val="22"/>
          <w:szCs w:val="22"/>
        </w:rPr>
        <w:t>mmol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nātrija</w:t>
      </w:r>
      <w:proofErr w:type="spellEnd"/>
      <w:r w:rsidRPr="00FD6D19">
        <w:rPr>
          <w:color w:val="000000"/>
          <w:sz w:val="22"/>
          <w:szCs w:val="22"/>
        </w:rPr>
        <w:t xml:space="preserve"> (23 mg) </w:t>
      </w:r>
      <w:proofErr w:type="spellStart"/>
      <w:r w:rsidRPr="00FD6D19">
        <w:rPr>
          <w:color w:val="000000"/>
          <w:sz w:val="22"/>
          <w:szCs w:val="22"/>
        </w:rPr>
        <w:t>katrā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ampulā</w:t>
      </w:r>
      <w:proofErr w:type="spellEnd"/>
      <w:r w:rsidRPr="00FD6D19">
        <w:rPr>
          <w:color w:val="000000"/>
          <w:sz w:val="22"/>
          <w:szCs w:val="22"/>
        </w:rPr>
        <w:t xml:space="preserve"> (10 ml), - </w:t>
      </w:r>
      <w:proofErr w:type="spellStart"/>
      <w:r w:rsidRPr="00FD6D19">
        <w:rPr>
          <w:color w:val="000000"/>
          <w:sz w:val="22"/>
          <w:szCs w:val="22"/>
        </w:rPr>
        <w:t>būtībā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tās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ir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nātriju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nesaturošas</w:t>
      </w:r>
      <w:proofErr w:type="spellEnd"/>
      <w:r w:rsidRPr="00FD6D19">
        <w:rPr>
          <w:color w:val="000000"/>
          <w:sz w:val="22"/>
          <w:szCs w:val="22"/>
        </w:rPr>
        <w:t>.</w:t>
      </w:r>
    </w:p>
    <w:p w14:paraId="16FED489" w14:textId="77777777" w:rsidR="00C61B2B" w:rsidRPr="00FD6D19" w:rsidRDefault="00C61B2B" w:rsidP="0070284D">
      <w:pPr>
        <w:jc w:val="both"/>
        <w:rPr>
          <w:sz w:val="22"/>
          <w:szCs w:val="22"/>
          <w:lang w:val="lv-LV"/>
        </w:rPr>
      </w:pPr>
    </w:p>
    <w:p w14:paraId="492C4B9C" w14:textId="77777777" w:rsidR="00307853" w:rsidRPr="007E0034" w:rsidRDefault="00307853" w:rsidP="00307853">
      <w:pPr>
        <w:jc w:val="both"/>
        <w:rPr>
          <w:color w:val="000000"/>
          <w:sz w:val="22"/>
          <w:szCs w:val="22"/>
        </w:rPr>
      </w:pPr>
      <w:proofErr w:type="spellStart"/>
      <w:r w:rsidRPr="00FD6D19">
        <w:rPr>
          <w:color w:val="000000"/>
          <w:sz w:val="22"/>
          <w:szCs w:val="22"/>
        </w:rPr>
        <w:t>Šīs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zāles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satur</w:t>
      </w:r>
      <w:proofErr w:type="spellEnd"/>
      <w:r w:rsidRPr="00FD6D19">
        <w:rPr>
          <w:color w:val="000000"/>
          <w:sz w:val="22"/>
          <w:szCs w:val="22"/>
        </w:rPr>
        <w:t xml:space="preserve"> 20 mg </w:t>
      </w:r>
      <w:proofErr w:type="spellStart"/>
      <w:r w:rsidRPr="00FD6D19">
        <w:rPr>
          <w:color w:val="000000"/>
          <w:sz w:val="22"/>
          <w:szCs w:val="22"/>
        </w:rPr>
        <w:t>nātrija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benzoāta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katrā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ampulā</w:t>
      </w:r>
      <w:proofErr w:type="spellEnd"/>
      <w:r w:rsidRPr="00FD6D19">
        <w:rPr>
          <w:color w:val="000000"/>
          <w:sz w:val="22"/>
          <w:szCs w:val="22"/>
        </w:rPr>
        <w:t xml:space="preserve"> (10 ml). </w:t>
      </w:r>
      <w:proofErr w:type="spellStart"/>
      <w:r w:rsidRPr="00FD6D19">
        <w:rPr>
          <w:color w:val="000000"/>
          <w:sz w:val="22"/>
          <w:szCs w:val="22"/>
        </w:rPr>
        <w:t>Nātrija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benzoāts</w:t>
      </w:r>
      <w:proofErr w:type="spellEnd"/>
      <w:r w:rsidRPr="00FD6D19">
        <w:rPr>
          <w:color w:val="000000"/>
          <w:sz w:val="22"/>
          <w:szCs w:val="22"/>
        </w:rPr>
        <w:t xml:space="preserve"> var </w:t>
      </w:r>
      <w:proofErr w:type="spellStart"/>
      <w:r w:rsidRPr="00FD6D19">
        <w:rPr>
          <w:color w:val="000000"/>
          <w:sz w:val="22"/>
          <w:szCs w:val="22"/>
        </w:rPr>
        <w:t>palielināt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ādas</w:t>
      </w:r>
      <w:proofErr w:type="spellEnd"/>
      <w:r w:rsidRPr="00FD6D19">
        <w:rPr>
          <w:color w:val="000000"/>
          <w:sz w:val="22"/>
          <w:szCs w:val="22"/>
        </w:rPr>
        <w:t xml:space="preserve"> un </w:t>
      </w:r>
      <w:proofErr w:type="spellStart"/>
      <w:r w:rsidRPr="00FD6D19">
        <w:rPr>
          <w:color w:val="000000"/>
          <w:sz w:val="22"/>
          <w:szCs w:val="22"/>
        </w:rPr>
        <w:t>acu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dzeltes</w:t>
      </w:r>
      <w:proofErr w:type="spellEnd"/>
      <w:r w:rsidRPr="00FD6D19">
        <w:rPr>
          <w:color w:val="000000"/>
          <w:sz w:val="22"/>
          <w:szCs w:val="22"/>
        </w:rPr>
        <w:t xml:space="preserve"> </w:t>
      </w:r>
      <w:proofErr w:type="spellStart"/>
      <w:r w:rsidRPr="00FD6D19">
        <w:rPr>
          <w:color w:val="000000"/>
          <w:sz w:val="22"/>
          <w:szCs w:val="22"/>
        </w:rPr>
        <w:t>risku</w:t>
      </w:r>
      <w:proofErr w:type="spellEnd"/>
      <w:r w:rsidRPr="007E0034">
        <w:rPr>
          <w:color w:val="000000"/>
          <w:sz w:val="22"/>
          <w:szCs w:val="22"/>
        </w:rPr>
        <w:t xml:space="preserve"> </w:t>
      </w:r>
      <w:proofErr w:type="spellStart"/>
      <w:r w:rsidRPr="007E0034">
        <w:rPr>
          <w:color w:val="000000"/>
          <w:sz w:val="22"/>
          <w:szCs w:val="22"/>
        </w:rPr>
        <w:t>jaundzimušajiem</w:t>
      </w:r>
      <w:proofErr w:type="spellEnd"/>
      <w:r w:rsidRPr="007E0034">
        <w:rPr>
          <w:color w:val="000000"/>
          <w:sz w:val="22"/>
          <w:szCs w:val="22"/>
        </w:rPr>
        <w:t xml:space="preserve"> (</w:t>
      </w:r>
      <w:proofErr w:type="spellStart"/>
      <w:r w:rsidRPr="007E0034">
        <w:rPr>
          <w:color w:val="000000"/>
          <w:sz w:val="22"/>
          <w:szCs w:val="22"/>
        </w:rPr>
        <w:t>līdz</w:t>
      </w:r>
      <w:proofErr w:type="spellEnd"/>
      <w:r w:rsidRPr="007E0034">
        <w:rPr>
          <w:color w:val="000000"/>
          <w:sz w:val="22"/>
          <w:szCs w:val="22"/>
        </w:rPr>
        <w:t xml:space="preserve"> 4 </w:t>
      </w:r>
      <w:proofErr w:type="spellStart"/>
      <w:r w:rsidRPr="007E0034">
        <w:rPr>
          <w:color w:val="000000"/>
          <w:sz w:val="22"/>
          <w:szCs w:val="22"/>
        </w:rPr>
        <w:t>nedēļu</w:t>
      </w:r>
      <w:proofErr w:type="spellEnd"/>
      <w:r w:rsidRPr="007E0034">
        <w:rPr>
          <w:color w:val="000000"/>
          <w:sz w:val="22"/>
          <w:szCs w:val="22"/>
        </w:rPr>
        <w:t xml:space="preserve"> </w:t>
      </w:r>
      <w:proofErr w:type="spellStart"/>
      <w:r w:rsidRPr="007E0034">
        <w:rPr>
          <w:color w:val="000000"/>
          <w:sz w:val="22"/>
          <w:szCs w:val="22"/>
        </w:rPr>
        <w:t>vecumam</w:t>
      </w:r>
      <w:proofErr w:type="spellEnd"/>
      <w:r w:rsidRPr="007E0034">
        <w:rPr>
          <w:color w:val="000000"/>
          <w:sz w:val="22"/>
          <w:szCs w:val="22"/>
        </w:rPr>
        <w:t>).</w:t>
      </w:r>
    </w:p>
    <w:p w14:paraId="435D7038" w14:textId="77777777" w:rsidR="00C61B2B" w:rsidRPr="007E0034" w:rsidRDefault="00C61B2B" w:rsidP="00307853">
      <w:pPr>
        <w:jc w:val="both"/>
        <w:rPr>
          <w:color w:val="000000"/>
          <w:sz w:val="22"/>
          <w:szCs w:val="22"/>
        </w:rPr>
      </w:pPr>
    </w:p>
    <w:p w14:paraId="72A6F84C" w14:textId="77777777" w:rsidR="00B428EE" w:rsidRDefault="00B428EE" w:rsidP="0030785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Jābūt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uzmanīgam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ārstējot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Tot’hema</w:t>
      </w:r>
      <w:proofErr w:type="spellEnd"/>
      <w:r>
        <w:rPr>
          <w:sz w:val="22"/>
          <w:szCs w:val="22"/>
        </w:rPr>
        <w:t>:</w:t>
      </w:r>
      <w:proofErr w:type="gramEnd"/>
    </w:p>
    <w:p w14:paraId="0A90614A" w14:textId="77777777" w:rsidR="00B428EE" w:rsidRDefault="00B428EE" w:rsidP="0030785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</w:rPr>
        <w:t>- p</w:t>
      </w:r>
      <w:r>
        <w:rPr>
          <w:sz w:val="22"/>
          <w:szCs w:val="22"/>
          <w:lang w:val="lv-LV"/>
        </w:rPr>
        <w:t>acientus</w:t>
      </w:r>
      <w:r w:rsidR="0070284D" w:rsidRPr="00BE32A6">
        <w:rPr>
          <w:sz w:val="22"/>
          <w:szCs w:val="22"/>
          <w:lang w:val="lv-LV"/>
        </w:rPr>
        <w:t xml:space="preserve"> ar aknu </w:t>
      </w:r>
      <w:r w:rsidR="00307853" w:rsidRPr="00BE32A6">
        <w:rPr>
          <w:sz w:val="22"/>
          <w:szCs w:val="22"/>
          <w:lang w:val="lv-LV"/>
        </w:rPr>
        <w:t>darbības traucējumiem, t.</w:t>
      </w:r>
      <w:r w:rsidR="00307853" w:rsidRPr="00816CA2">
        <w:rPr>
          <w:sz w:val="22"/>
          <w:szCs w:val="22"/>
          <w:lang w:val="lv-LV"/>
        </w:rPr>
        <w:t>s.</w:t>
      </w:r>
      <w:r w:rsidR="00E10012" w:rsidRPr="00816CA2">
        <w:rPr>
          <w:sz w:val="22"/>
          <w:szCs w:val="22"/>
          <w:lang w:val="lv-LV"/>
        </w:rPr>
        <w:t xml:space="preserve"> alkohola </w:t>
      </w:r>
      <w:r w:rsidR="005B7C68" w:rsidRPr="00816CA2">
        <w:rPr>
          <w:sz w:val="22"/>
          <w:szCs w:val="22"/>
          <w:lang w:val="lv-LV"/>
        </w:rPr>
        <w:t xml:space="preserve">izraisītu </w:t>
      </w:r>
      <w:r w:rsidR="00307853" w:rsidRPr="00816CA2">
        <w:rPr>
          <w:sz w:val="22"/>
          <w:szCs w:val="22"/>
          <w:lang w:val="lv-LV"/>
        </w:rPr>
        <w:t>taukain</w:t>
      </w:r>
      <w:r w:rsidR="005B7C68" w:rsidRPr="004F1947">
        <w:rPr>
          <w:sz w:val="22"/>
          <w:szCs w:val="22"/>
          <w:lang w:val="lv-LV"/>
        </w:rPr>
        <w:t>o aknu slimību</w:t>
      </w:r>
      <w:r w:rsidR="00E10012" w:rsidRPr="004F1947">
        <w:rPr>
          <w:sz w:val="22"/>
          <w:szCs w:val="22"/>
          <w:lang w:val="lv-LV"/>
        </w:rPr>
        <w:t>, nealkohola taukain</w:t>
      </w:r>
      <w:r w:rsidR="005B7C68" w:rsidRPr="004F1947">
        <w:rPr>
          <w:sz w:val="22"/>
          <w:szCs w:val="22"/>
          <w:lang w:val="lv-LV"/>
        </w:rPr>
        <w:t>o</w:t>
      </w:r>
      <w:r w:rsidR="0070284D" w:rsidRPr="004F1947">
        <w:rPr>
          <w:sz w:val="22"/>
          <w:szCs w:val="22"/>
          <w:lang w:val="lv-LV"/>
        </w:rPr>
        <w:t xml:space="preserve"> aknu slimību un vīrusu </w:t>
      </w:r>
      <w:r w:rsidR="005B7C68" w:rsidRPr="004F1947">
        <w:rPr>
          <w:sz w:val="22"/>
          <w:szCs w:val="22"/>
          <w:lang w:val="lv-LV"/>
        </w:rPr>
        <w:t xml:space="preserve">izraisītu </w:t>
      </w:r>
      <w:proofErr w:type="gramStart"/>
      <w:r w:rsidR="005B7C68" w:rsidRPr="004F1947">
        <w:rPr>
          <w:sz w:val="22"/>
          <w:szCs w:val="22"/>
          <w:lang w:val="lv-LV"/>
        </w:rPr>
        <w:t>hepatītu</w:t>
      </w:r>
      <w:r>
        <w:rPr>
          <w:sz w:val="22"/>
          <w:szCs w:val="22"/>
          <w:lang w:val="lv-LV"/>
        </w:rPr>
        <w:t>;</w:t>
      </w:r>
      <w:proofErr w:type="gramEnd"/>
    </w:p>
    <w:p w14:paraId="5FF11A17" w14:textId="77777777" w:rsidR="0070284D" w:rsidRPr="00FF4C58" w:rsidRDefault="00B428EE" w:rsidP="0030785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- pacientus</w:t>
      </w:r>
      <w:r w:rsidR="0070284D" w:rsidRPr="00FF4C58">
        <w:rPr>
          <w:sz w:val="22"/>
          <w:szCs w:val="22"/>
          <w:lang w:val="lv-LV"/>
        </w:rPr>
        <w:t xml:space="preserve"> ar esošām kuņģa un zarnu trakta slimībām, piemēram, hronisku zarnu iekaisumu, zarnu stenozēm, divertikulā</w:t>
      </w:r>
      <w:r w:rsidR="005B7C68" w:rsidRPr="00FF4C58">
        <w:rPr>
          <w:sz w:val="22"/>
          <w:szCs w:val="22"/>
          <w:lang w:val="lv-LV"/>
        </w:rPr>
        <w:t>m, gastrītu, kuņģa un zarnu čūlām</w:t>
      </w:r>
      <w:r w:rsidR="0070284D" w:rsidRPr="00FF4C58">
        <w:rPr>
          <w:sz w:val="22"/>
          <w:szCs w:val="22"/>
          <w:lang w:val="lv-LV"/>
        </w:rPr>
        <w:t>.</w:t>
      </w:r>
    </w:p>
    <w:p w14:paraId="3F82C5C3" w14:textId="77777777" w:rsidR="00C61B2B" w:rsidRPr="00A000B6" w:rsidRDefault="00C61B2B" w:rsidP="00307853">
      <w:pPr>
        <w:jc w:val="both"/>
        <w:rPr>
          <w:sz w:val="22"/>
          <w:szCs w:val="22"/>
          <w:lang w:val="lv-LV"/>
        </w:rPr>
      </w:pPr>
    </w:p>
    <w:p w14:paraId="16E9A8C7" w14:textId="77777777" w:rsidR="00B428EE" w:rsidRDefault="0070284D" w:rsidP="0070284D">
      <w:pPr>
        <w:jc w:val="both"/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Pacientiem ar ni</w:t>
      </w:r>
      <w:r w:rsidR="00957ED9" w:rsidRPr="00114EC4">
        <w:rPr>
          <w:sz w:val="22"/>
          <w:szCs w:val="22"/>
          <w:lang w:val="lv-LV"/>
        </w:rPr>
        <w:t>eru darbības traucējumiem</w:t>
      </w:r>
      <w:r w:rsidRPr="00114EC4">
        <w:rPr>
          <w:sz w:val="22"/>
          <w:szCs w:val="22"/>
          <w:lang w:val="lv-LV"/>
        </w:rPr>
        <w:t xml:space="preserve"> nepieciešamība </w:t>
      </w:r>
      <w:r w:rsidR="00957ED9" w:rsidRPr="00114EC4">
        <w:rPr>
          <w:sz w:val="22"/>
          <w:szCs w:val="22"/>
          <w:lang w:val="lv-LV"/>
        </w:rPr>
        <w:t xml:space="preserve">pēc dzelzs </w:t>
      </w:r>
      <w:r w:rsidRPr="00114EC4">
        <w:rPr>
          <w:sz w:val="22"/>
          <w:szCs w:val="22"/>
          <w:lang w:val="lv-LV"/>
        </w:rPr>
        <w:t>var palielināties. Pacienti ar smagu un hronisku nieru slimību, kuriem nepieciešams eritropoetīns, jāārstē piesardzīgi; dzelzs jāievada intravenozi, jo perorāli lietots dzelzs sli</w:t>
      </w:r>
      <w:r w:rsidR="00957ED9" w:rsidRPr="00114EC4">
        <w:rPr>
          <w:sz w:val="22"/>
          <w:szCs w:val="22"/>
          <w:lang w:val="lv-LV"/>
        </w:rPr>
        <w:t>kti uzsūcas urēmiskiem pacientiem</w:t>
      </w:r>
      <w:r w:rsidRPr="00114EC4">
        <w:rPr>
          <w:sz w:val="22"/>
          <w:szCs w:val="22"/>
          <w:lang w:val="lv-LV"/>
        </w:rPr>
        <w:t xml:space="preserve"> (skatīt 4.2. apakšpunkt</w:t>
      </w:r>
      <w:r w:rsidR="00B428EE">
        <w:rPr>
          <w:sz w:val="22"/>
          <w:szCs w:val="22"/>
          <w:lang w:val="lv-LV"/>
        </w:rPr>
        <w:t>ā</w:t>
      </w:r>
      <w:r w:rsidRPr="00114EC4">
        <w:rPr>
          <w:sz w:val="22"/>
          <w:szCs w:val="22"/>
          <w:lang w:val="lv-LV"/>
        </w:rPr>
        <w:t xml:space="preserve">). </w:t>
      </w:r>
    </w:p>
    <w:p w14:paraId="1CFC9317" w14:textId="77777777" w:rsidR="0070284D" w:rsidRPr="00114EC4" w:rsidRDefault="0070284D" w:rsidP="0070284D">
      <w:pPr>
        <w:jc w:val="both"/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Tot’hema nedrīkst ievadīt intravenozi.</w:t>
      </w:r>
    </w:p>
    <w:p w14:paraId="20A3A70F" w14:textId="77777777" w:rsidR="00C61B2B" w:rsidRPr="00B428EE" w:rsidRDefault="00C61B2B" w:rsidP="0070284D">
      <w:pPr>
        <w:jc w:val="both"/>
        <w:rPr>
          <w:sz w:val="22"/>
          <w:szCs w:val="22"/>
          <w:lang w:val="lv-LV"/>
        </w:rPr>
      </w:pPr>
    </w:p>
    <w:p w14:paraId="414CABC9" w14:textId="77777777" w:rsidR="0070284D" w:rsidRPr="00B428EE" w:rsidRDefault="0070284D" w:rsidP="0070284D">
      <w:pPr>
        <w:jc w:val="both"/>
        <w:rPr>
          <w:sz w:val="22"/>
          <w:szCs w:val="22"/>
          <w:lang w:val="lv-LV"/>
        </w:rPr>
      </w:pPr>
      <w:r w:rsidRPr="00B428EE">
        <w:rPr>
          <w:sz w:val="22"/>
          <w:szCs w:val="22"/>
          <w:lang w:val="lv-LV"/>
        </w:rPr>
        <w:t>Vienlaikus uzņemot lielu daudzumu tējas vai kafijas, tiek kavēta dzelzs uzsūkšanās (skatīt</w:t>
      </w:r>
      <w:r w:rsidR="00957ED9" w:rsidRPr="00B428EE">
        <w:rPr>
          <w:sz w:val="22"/>
          <w:szCs w:val="22"/>
          <w:lang w:val="lv-LV"/>
        </w:rPr>
        <w:t xml:space="preserve"> 4.5. a</w:t>
      </w:r>
      <w:r w:rsidR="00A32C44">
        <w:rPr>
          <w:sz w:val="22"/>
          <w:szCs w:val="22"/>
          <w:lang w:val="lv-LV"/>
        </w:rPr>
        <w:t>pakšpunktā</w:t>
      </w:r>
      <w:r w:rsidRPr="00B428EE">
        <w:rPr>
          <w:sz w:val="22"/>
          <w:szCs w:val="22"/>
          <w:lang w:val="lv-LV"/>
        </w:rPr>
        <w:t>).</w:t>
      </w:r>
    </w:p>
    <w:p w14:paraId="356726D8" w14:textId="77777777" w:rsidR="0070284D" w:rsidRPr="00B428EE" w:rsidRDefault="0070284D" w:rsidP="0070284D">
      <w:pPr>
        <w:jc w:val="both"/>
        <w:rPr>
          <w:sz w:val="22"/>
          <w:szCs w:val="22"/>
          <w:lang w:val="lv-LV"/>
        </w:rPr>
      </w:pPr>
    </w:p>
    <w:p w14:paraId="514A0ABA" w14:textId="77777777" w:rsidR="0070284D" w:rsidRPr="00B428EE" w:rsidRDefault="00957ED9" w:rsidP="0070284D">
      <w:pPr>
        <w:jc w:val="both"/>
        <w:rPr>
          <w:b/>
          <w:sz w:val="22"/>
          <w:szCs w:val="22"/>
          <w:lang w:val="lv-LV"/>
        </w:rPr>
      </w:pPr>
      <w:r w:rsidRPr="00B428EE">
        <w:rPr>
          <w:b/>
          <w:sz w:val="22"/>
          <w:szCs w:val="22"/>
          <w:lang w:val="lv-LV"/>
        </w:rPr>
        <w:t>Piesardzība lietošanā</w:t>
      </w:r>
    </w:p>
    <w:p w14:paraId="208A6EBE" w14:textId="77777777" w:rsidR="00122A30" w:rsidRPr="00A32C44" w:rsidRDefault="00122A30" w:rsidP="0070284D">
      <w:pPr>
        <w:jc w:val="both"/>
        <w:rPr>
          <w:b/>
          <w:sz w:val="22"/>
          <w:szCs w:val="22"/>
          <w:lang w:val="lv-LV"/>
        </w:rPr>
      </w:pPr>
    </w:p>
    <w:p w14:paraId="79C73B72" w14:textId="77777777" w:rsidR="0070284D" w:rsidRPr="00A32C44" w:rsidRDefault="00957ED9" w:rsidP="0070284D">
      <w:pPr>
        <w:jc w:val="both"/>
        <w:rPr>
          <w:sz w:val="22"/>
          <w:szCs w:val="22"/>
          <w:lang w:val="lv-LV"/>
        </w:rPr>
      </w:pPr>
      <w:r w:rsidRPr="00A32C44">
        <w:rPr>
          <w:color w:val="000000"/>
          <w:sz w:val="22"/>
          <w:szCs w:val="22"/>
          <w:lang w:val="lv-LV"/>
        </w:rPr>
        <w:t>Zīdaiņu dzelzs deficīta profilakses pamatā ir uzņemamās pārtikas dažādošana</w:t>
      </w:r>
      <w:r w:rsidR="0070284D" w:rsidRPr="00A32C44">
        <w:rPr>
          <w:sz w:val="22"/>
          <w:szCs w:val="22"/>
          <w:lang w:val="lv-LV"/>
        </w:rPr>
        <w:t>.</w:t>
      </w:r>
    </w:p>
    <w:p w14:paraId="6B408F1B" w14:textId="77777777" w:rsidR="00C61B2B" w:rsidRPr="0090542F" w:rsidRDefault="00C61B2B" w:rsidP="0070284D">
      <w:pPr>
        <w:jc w:val="both"/>
        <w:rPr>
          <w:sz w:val="22"/>
          <w:szCs w:val="22"/>
          <w:lang w:val="lv-LV"/>
        </w:rPr>
      </w:pPr>
    </w:p>
    <w:p w14:paraId="26BEE10B" w14:textId="77777777" w:rsidR="00957ED9" w:rsidRPr="00A32C44" w:rsidRDefault="00957ED9" w:rsidP="00957ED9">
      <w:pPr>
        <w:jc w:val="both"/>
        <w:rPr>
          <w:color w:val="000000"/>
          <w:sz w:val="22"/>
          <w:szCs w:val="22"/>
          <w:lang w:val="lv-LV"/>
        </w:rPr>
      </w:pPr>
      <w:r w:rsidRPr="0090542F">
        <w:rPr>
          <w:color w:val="000000"/>
          <w:sz w:val="22"/>
          <w:szCs w:val="22"/>
          <w:lang w:val="lv-LV"/>
        </w:rPr>
        <w:t xml:space="preserve">Literatūrā publicētos datos ir minēts, ka pacientiem, kurus ārstē ar iekšķīgi lietojamu dzelzi, kuņģa un zarnu trakta gļotādas var būt pigmentētas. Tas var apgrūtināt kuņģa-zarnu trakta operācijas </w:t>
      </w:r>
      <w:r w:rsidRPr="0090542F">
        <w:rPr>
          <w:sz w:val="22"/>
          <w:szCs w:val="22"/>
          <w:lang w:val="lv-LV"/>
        </w:rPr>
        <w:t>(skatīt 4.8. apakšpunkt</w:t>
      </w:r>
      <w:r w:rsidR="00A32C44">
        <w:rPr>
          <w:sz w:val="22"/>
          <w:szCs w:val="22"/>
          <w:lang w:val="lv-LV"/>
        </w:rPr>
        <w:t>ā</w:t>
      </w:r>
      <w:r w:rsidRPr="00A32C44">
        <w:rPr>
          <w:sz w:val="22"/>
          <w:szCs w:val="22"/>
          <w:lang w:val="lv-LV"/>
        </w:rPr>
        <w:t>).</w:t>
      </w:r>
    </w:p>
    <w:p w14:paraId="03CC1B92" w14:textId="77777777" w:rsidR="001021BC" w:rsidRPr="00254C05" w:rsidRDefault="001021BC" w:rsidP="001021BC">
      <w:pPr>
        <w:jc w:val="both"/>
        <w:rPr>
          <w:sz w:val="22"/>
          <w:szCs w:val="22"/>
          <w:lang w:val="lv-LV"/>
        </w:rPr>
      </w:pPr>
    </w:p>
    <w:p w14:paraId="484A68D6" w14:textId="77777777" w:rsidR="001021BC" w:rsidRPr="00254C05" w:rsidRDefault="001021BC" w:rsidP="001021BC">
      <w:pPr>
        <w:jc w:val="both"/>
        <w:rPr>
          <w:b/>
          <w:sz w:val="22"/>
          <w:szCs w:val="22"/>
          <w:lang w:val="lv-LV"/>
        </w:rPr>
      </w:pPr>
      <w:r w:rsidRPr="00254C05">
        <w:rPr>
          <w:b/>
          <w:sz w:val="22"/>
          <w:szCs w:val="22"/>
          <w:lang w:val="lv-LV"/>
        </w:rPr>
        <w:t>4.5. Mijiedarbība ar citām zālēm un citi mijiedarbības veidi</w:t>
      </w:r>
    </w:p>
    <w:p w14:paraId="69A4A771" w14:textId="77777777" w:rsidR="001021BC" w:rsidRPr="00254C05" w:rsidRDefault="001021BC" w:rsidP="001021BC">
      <w:pPr>
        <w:pStyle w:val="Heading7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6CB881C0" w14:textId="77777777" w:rsidR="001021BC" w:rsidRPr="00254C05" w:rsidRDefault="001021BC" w:rsidP="001021BC">
      <w:pPr>
        <w:pStyle w:val="Heading7"/>
        <w:rPr>
          <w:rFonts w:ascii="Times New Roman" w:hAnsi="Times New Roman"/>
          <w:b/>
          <w:i w:val="0"/>
          <w:color w:val="auto"/>
          <w:sz w:val="22"/>
          <w:szCs w:val="22"/>
          <w:u w:val="single"/>
          <w:lang w:val="lv-LV"/>
        </w:rPr>
      </w:pPr>
      <w:r w:rsidRPr="00254C05">
        <w:rPr>
          <w:rFonts w:ascii="Times New Roman" w:hAnsi="Times New Roman"/>
          <w:b/>
          <w:i w:val="0"/>
          <w:color w:val="auto"/>
          <w:sz w:val="22"/>
          <w:szCs w:val="22"/>
          <w:u w:val="single"/>
          <w:lang w:val="lv-LV"/>
        </w:rPr>
        <w:t xml:space="preserve">Nevēlamās kombinācijas </w:t>
      </w:r>
    </w:p>
    <w:p w14:paraId="7D568B92" w14:textId="77777777" w:rsidR="00122A30" w:rsidRPr="00E808F3" w:rsidRDefault="00122A30" w:rsidP="007E52AF">
      <w:pPr>
        <w:rPr>
          <w:sz w:val="22"/>
          <w:szCs w:val="22"/>
          <w:lang w:val="lv-LV"/>
        </w:rPr>
      </w:pPr>
    </w:p>
    <w:p w14:paraId="7C3564BC" w14:textId="77777777" w:rsidR="00C61B2B" w:rsidRPr="00E808F3" w:rsidRDefault="001021BC" w:rsidP="007E52AF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  <w:r w:rsidRPr="00E808F3">
        <w:rPr>
          <w:rFonts w:ascii="Times New Roman" w:hAnsi="Times New Roman"/>
          <w:b/>
          <w:color w:val="auto"/>
          <w:sz w:val="22"/>
          <w:szCs w:val="22"/>
          <w:lang w:val="lv-LV"/>
        </w:rPr>
        <w:t>Dzelzs</w:t>
      </w:r>
      <w:r w:rsidRPr="00E808F3">
        <w:rPr>
          <w:rFonts w:ascii="Times New Roman" w:hAnsi="Times New Roman"/>
          <w:color w:val="auto"/>
          <w:sz w:val="22"/>
          <w:szCs w:val="22"/>
          <w:lang w:val="lv-LV"/>
        </w:rPr>
        <w:t xml:space="preserve">, tās sāļi, injekciju veidā: </w:t>
      </w:r>
    </w:p>
    <w:p w14:paraId="27667483" w14:textId="77777777" w:rsidR="001021BC" w:rsidRPr="0033085D" w:rsidRDefault="001021BC" w:rsidP="007E52AF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  <w:r w:rsidRPr="0033085D">
        <w:rPr>
          <w:rFonts w:ascii="Times New Roman" w:hAnsi="Times New Roman"/>
          <w:color w:val="auto"/>
          <w:sz w:val="22"/>
          <w:szCs w:val="22"/>
          <w:lang w:val="lv-LV"/>
        </w:rPr>
        <w:t>lipotīmija, vai šoks, kas saistīti ar ātru dzelzs atbrīvošanos no kompleksiem un transferīna saturāciju.</w:t>
      </w:r>
    </w:p>
    <w:p w14:paraId="209094F1" w14:textId="77777777" w:rsidR="001021BC" w:rsidRPr="0033085D" w:rsidRDefault="001021BC" w:rsidP="001021BC">
      <w:pPr>
        <w:jc w:val="both"/>
        <w:rPr>
          <w:sz w:val="22"/>
          <w:szCs w:val="22"/>
          <w:lang w:val="lv-LV"/>
        </w:rPr>
      </w:pPr>
    </w:p>
    <w:p w14:paraId="65AEA2BD" w14:textId="77777777" w:rsidR="001021BC" w:rsidRPr="0033085D" w:rsidRDefault="001021BC" w:rsidP="001021BC">
      <w:pPr>
        <w:jc w:val="both"/>
        <w:rPr>
          <w:b/>
          <w:sz w:val="22"/>
          <w:szCs w:val="22"/>
          <w:u w:val="single"/>
          <w:lang w:val="lv-LV"/>
        </w:rPr>
      </w:pPr>
      <w:r w:rsidRPr="0033085D">
        <w:rPr>
          <w:b/>
          <w:sz w:val="22"/>
          <w:szCs w:val="22"/>
          <w:u w:val="single"/>
          <w:lang w:val="lv-LV"/>
        </w:rPr>
        <w:t>Kombinācijas, kuru gadījumā jāievēro piesardzība</w:t>
      </w:r>
    </w:p>
    <w:p w14:paraId="77A6078C" w14:textId="77777777" w:rsidR="00122A30" w:rsidRPr="0033085D" w:rsidRDefault="00122A30" w:rsidP="001021BC">
      <w:pPr>
        <w:jc w:val="both"/>
        <w:rPr>
          <w:b/>
          <w:sz w:val="22"/>
          <w:szCs w:val="22"/>
          <w:u w:val="single"/>
          <w:lang w:val="lv-LV"/>
        </w:rPr>
      </w:pPr>
    </w:p>
    <w:p w14:paraId="377C6C5D" w14:textId="77777777" w:rsidR="00ED3790" w:rsidRPr="00FD6D19" w:rsidRDefault="00EC0557" w:rsidP="007E52AF">
      <w:pPr>
        <w:jc w:val="both"/>
        <w:rPr>
          <w:sz w:val="22"/>
          <w:szCs w:val="22"/>
          <w:lang w:val="lv-LV"/>
        </w:rPr>
      </w:pPr>
      <w:r w:rsidRPr="00FD6D19">
        <w:rPr>
          <w:b/>
          <w:sz w:val="22"/>
          <w:szCs w:val="22"/>
          <w:lang w:val="lv-LV"/>
        </w:rPr>
        <w:t>C</w:t>
      </w:r>
      <w:r w:rsidR="001021BC" w:rsidRPr="00FD6D19">
        <w:rPr>
          <w:b/>
          <w:sz w:val="22"/>
          <w:szCs w:val="22"/>
          <w:lang w:val="lv-LV"/>
        </w:rPr>
        <w:t>iklīn</w:t>
      </w:r>
      <w:r w:rsidRPr="00FD6D19">
        <w:rPr>
          <w:b/>
          <w:sz w:val="22"/>
          <w:szCs w:val="22"/>
          <w:lang w:val="lv-LV"/>
        </w:rPr>
        <w:t>i</w:t>
      </w:r>
      <w:r w:rsidR="001021BC" w:rsidRPr="00FD6D19">
        <w:rPr>
          <w:sz w:val="22"/>
          <w:szCs w:val="22"/>
          <w:lang w:val="lv-LV"/>
        </w:rPr>
        <w:t xml:space="preserve"> (lietojot iekšķīgi) </w:t>
      </w:r>
    </w:p>
    <w:p w14:paraId="3B55F1D8" w14:textId="77777777" w:rsidR="00122A30" w:rsidRPr="00FD6D19" w:rsidRDefault="007D1F63" w:rsidP="007E52AF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 xml:space="preserve">Vienlaicīga lietošana ar dzelzs sāļiem </w:t>
      </w:r>
      <w:r w:rsidR="001021BC" w:rsidRPr="00FD6D19">
        <w:rPr>
          <w:sz w:val="22"/>
          <w:szCs w:val="22"/>
          <w:lang w:val="lv-LV"/>
        </w:rPr>
        <w:t>samazin</w:t>
      </w:r>
      <w:r w:rsidR="00A32C44">
        <w:rPr>
          <w:sz w:val="22"/>
          <w:szCs w:val="22"/>
          <w:lang w:val="lv-LV"/>
        </w:rPr>
        <w:t>a</w:t>
      </w:r>
      <w:r w:rsidR="00ED3790" w:rsidRPr="00FD6D19">
        <w:rPr>
          <w:sz w:val="22"/>
          <w:szCs w:val="22"/>
          <w:lang w:val="lv-LV"/>
        </w:rPr>
        <w:t xml:space="preserve"> </w:t>
      </w:r>
      <w:r w:rsidR="001021BC" w:rsidRPr="00FD6D19">
        <w:rPr>
          <w:sz w:val="22"/>
          <w:szCs w:val="22"/>
          <w:lang w:val="lv-LV"/>
        </w:rPr>
        <w:t xml:space="preserve">ciklīnu </w:t>
      </w:r>
      <w:r w:rsidR="00ED3790" w:rsidRPr="00FD6D19">
        <w:rPr>
          <w:sz w:val="22"/>
          <w:szCs w:val="22"/>
          <w:lang w:val="lv-LV"/>
        </w:rPr>
        <w:t xml:space="preserve">grupas antibiotisko līdzekļu </w:t>
      </w:r>
      <w:r w:rsidR="001021BC" w:rsidRPr="00FD6D19">
        <w:rPr>
          <w:sz w:val="22"/>
          <w:szCs w:val="22"/>
          <w:lang w:val="lv-LV"/>
        </w:rPr>
        <w:t>uzsūkšan</w:t>
      </w:r>
      <w:r w:rsidR="00A32C44">
        <w:rPr>
          <w:sz w:val="22"/>
          <w:szCs w:val="22"/>
          <w:lang w:val="lv-LV"/>
        </w:rPr>
        <w:t>o</w:t>
      </w:r>
      <w:r w:rsidR="001021BC" w:rsidRPr="00FD6D19">
        <w:rPr>
          <w:sz w:val="22"/>
          <w:szCs w:val="22"/>
          <w:lang w:val="lv-LV"/>
        </w:rPr>
        <w:t xml:space="preserve">s kuņģa zarnu traktā (veidojas savienojumi). </w:t>
      </w:r>
    </w:p>
    <w:p w14:paraId="6B2BBEF0" w14:textId="77777777" w:rsidR="001021BC" w:rsidRPr="00BE32A6" w:rsidRDefault="00511F09" w:rsidP="007E52AF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Ja iesp</w:t>
      </w:r>
      <w:r w:rsidRPr="007E0034">
        <w:rPr>
          <w:sz w:val="22"/>
          <w:szCs w:val="22"/>
          <w:lang w:val="lv-LV"/>
        </w:rPr>
        <w:t>ējams, n</w:t>
      </w:r>
      <w:r w:rsidR="001021BC" w:rsidRPr="007E0034">
        <w:rPr>
          <w:sz w:val="22"/>
          <w:szCs w:val="22"/>
          <w:lang w:val="lv-LV"/>
        </w:rPr>
        <w:t xml:space="preserve">epieciešams ievērot vismaz 2 stundu starplaiku starp </w:t>
      </w:r>
      <w:r w:rsidR="001021BC" w:rsidRPr="00BE32A6">
        <w:rPr>
          <w:sz w:val="22"/>
          <w:szCs w:val="22"/>
          <w:lang w:val="lv-LV"/>
        </w:rPr>
        <w:t xml:space="preserve">ciklīnu </w:t>
      </w:r>
      <w:r w:rsidR="00122A30" w:rsidRPr="00BE32A6">
        <w:rPr>
          <w:sz w:val="22"/>
          <w:szCs w:val="22"/>
          <w:lang w:val="lv-LV"/>
        </w:rPr>
        <w:t xml:space="preserve">grupas antibiotisko līdzekļu </w:t>
      </w:r>
      <w:r w:rsidR="001021BC" w:rsidRPr="00BE32A6">
        <w:rPr>
          <w:sz w:val="22"/>
          <w:szCs w:val="22"/>
          <w:lang w:val="lv-LV"/>
        </w:rPr>
        <w:t xml:space="preserve">un dzelzs sāļu lietošanu. </w:t>
      </w:r>
    </w:p>
    <w:p w14:paraId="0848E45E" w14:textId="77777777" w:rsidR="001021BC" w:rsidRPr="00816CA2" w:rsidRDefault="001021BC" w:rsidP="001021BC">
      <w:pPr>
        <w:ind w:left="360"/>
        <w:jc w:val="both"/>
        <w:rPr>
          <w:sz w:val="22"/>
          <w:szCs w:val="22"/>
          <w:lang w:val="lv-LV"/>
        </w:rPr>
      </w:pPr>
    </w:p>
    <w:p w14:paraId="6F6DA244" w14:textId="77777777" w:rsidR="007D1F63" w:rsidRPr="00B428EE" w:rsidRDefault="001021BC" w:rsidP="007E52AF">
      <w:pPr>
        <w:jc w:val="both"/>
        <w:rPr>
          <w:sz w:val="22"/>
          <w:szCs w:val="22"/>
          <w:lang w:val="lv-LV"/>
        </w:rPr>
      </w:pPr>
      <w:r w:rsidRPr="00816CA2">
        <w:rPr>
          <w:b/>
          <w:sz w:val="22"/>
          <w:szCs w:val="22"/>
          <w:lang w:val="lv-LV"/>
        </w:rPr>
        <w:t>Fluorhinolon</w:t>
      </w:r>
      <w:r w:rsidR="007D1F63" w:rsidRPr="00816CA2">
        <w:rPr>
          <w:b/>
          <w:sz w:val="22"/>
          <w:szCs w:val="22"/>
          <w:lang w:val="lv-LV"/>
        </w:rPr>
        <w:t>i</w:t>
      </w:r>
      <w:r w:rsidR="00EC0557" w:rsidRPr="004F1947">
        <w:rPr>
          <w:b/>
          <w:sz w:val="22"/>
          <w:szCs w:val="22"/>
          <w:lang w:val="lv-LV"/>
        </w:rPr>
        <w:t>, tiro</w:t>
      </w:r>
      <w:r w:rsidR="007D1F63" w:rsidRPr="004F1947">
        <w:rPr>
          <w:b/>
          <w:sz w:val="22"/>
          <w:szCs w:val="22"/>
          <w:lang w:val="lv-LV"/>
        </w:rPr>
        <w:t>īdie hormoni</w:t>
      </w:r>
      <w:r w:rsidR="00EC0557" w:rsidRPr="004F1947">
        <w:rPr>
          <w:b/>
          <w:sz w:val="22"/>
          <w:szCs w:val="22"/>
          <w:lang w:val="lv-LV"/>
        </w:rPr>
        <w:t>, k</w:t>
      </w:r>
      <w:r w:rsidR="007D1F63" w:rsidRPr="004F1947">
        <w:rPr>
          <w:b/>
          <w:sz w:val="22"/>
          <w:szCs w:val="22"/>
          <w:lang w:val="lv-LV"/>
        </w:rPr>
        <w:t>arbidopa, levodopa</w:t>
      </w:r>
      <w:r w:rsidR="00EC0557" w:rsidRPr="004F1947">
        <w:rPr>
          <w:b/>
          <w:sz w:val="22"/>
          <w:szCs w:val="22"/>
          <w:lang w:val="lv-LV"/>
        </w:rPr>
        <w:t xml:space="preserve">, </w:t>
      </w:r>
      <w:r w:rsidR="007D1F63" w:rsidRPr="004F1947">
        <w:rPr>
          <w:b/>
          <w:sz w:val="22"/>
          <w:szCs w:val="22"/>
          <w:lang w:val="lv-LV"/>
        </w:rPr>
        <w:t>metildopa</w:t>
      </w:r>
      <w:r w:rsidR="00ED3790" w:rsidRPr="004F1947">
        <w:rPr>
          <w:b/>
          <w:sz w:val="22"/>
          <w:szCs w:val="22"/>
          <w:lang w:val="lv-LV"/>
        </w:rPr>
        <w:t>, penicilam</w:t>
      </w:r>
      <w:r w:rsidR="007D1F63" w:rsidRPr="00FF4C58">
        <w:rPr>
          <w:b/>
          <w:sz w:val="22"/>
          <w:szCs w:val="22"/>
          <w:lang w:val="lv-LV"/>
        </w:rPr>
        <w:t>īns, stroncijs</w:t>
      </w:r>
      <w:r w:rsidR="00ED3790" w:rsidRPr="00FF4C58">
        <w:rPr>
          <w:b/>
          <w:sz w:val="22"/>
          <w:szCs w:val="22"/>
          <w:lang w:val="lv-LV"/>
        </w:rPr>
        <w:t>, cink</w:t>
      </w:r>
      <w:r w:rsidR="007D1F63" w:rsidRPr="00FF4C58">
        <w:rPr>
          <w:b/>
          <w:sz w:val="22"/>
          <w:szCs w:val="22"/>
          <w:lang w:val="lv-LV"/>
        </w:rPr>
        <w:t>s</w:t>
      </w:r>
      <w:r w:rsidRPr="00FF4C58">
        <w:rPr>
          <w:sz w:val="22"/>
          <w:szCs w:val="22"/>
          <w:lang w:val="lv-LV"/>
        </w:rPr>
        <w:t xml:space="preserve"> </w:t>
      </w:r>
      <w:r w:rsidR="007D1F63" w:rsidRPr="00A000B6">
        <w:rPr>
          <w:sz w:val="22"/>
          <w:szCs w:val="22"/>
          <w:lang w:val="lv-LV"/>
        </w:rPr>
        <w:t>V</w:t>
      </w:r>
      <w:r w:rsidRPr="00114EC4">
        <w:rPr>
          <w:sz w:val="22"/>
          <w:szCs w:val="22"/>
          <w:lang w:val="lv-LV"/>
        </w:rPr>
        <w:t>ienlaicīga lietošana</w:t>
      </w:r>
      <w:r w:rsidR="007D1F63" w:rsidRPr="00114EC4">
        <w:rPr>
          <w:sz w:val="22"/>
          <w:szCs w:val="22"/>
          <w:lang w:val="lv-LV"/>
        </w:rPr>
        <w:t xml:space="preserve"> ar dzelzs sāļiem </w:t>
      </w:r>
      <w:r w:rsidRPr="00114EC4">
        <w:rPr>
          <w:sz w:val="22"/>
          <w:szCs w:val="22"/>
          <w:lang w:val="lv-LV"/>
        </w:rPr>
        <w:t xml:space="preserve">samazina </w:t>
      </w:r>
      <w:r w:rsidR="00122A30" w:rsidRPr="00114EC4">
        <w:rPr>
          <w:sz w:val="22"/>
          <w:szCs w:val="22"/>
          <w:lang w:val="lv-LV"/>
        </w:rPr>
        <w:t>šo vielu</w:t>
      </w:r>
      <w:r w:rsidRPr="00114EC4">
        <w:rPr>
          <w:sz w:val="22"/>
          <w:szCs w:val="22"/>
          <w:lang w:val="lv-LV"/>
        </w:rPr>
        <w:t xml:space="preserve"> uzsūkšanos. </w:t>
      </w:r>
    </w:p>
    <w:p w14:paraId="5BF70CC7" w14:textId="77777777" w:rsidR="001021BC" w:rsidRPr="00B428EE" w:rsidRDefault="00511F09" w:rsidP="007E52AF">
      <w:pPr>
        <w:jc w:val="both"/>
        <w:rPr>
          <w:sz w:val="22"/>
          <w:szCs w:val="22"/>
          <w:lang w:val="lv-LV"/>
        </w:rPr>
      </w:pPr>
      <w:r w:rsidRPr="00B428EE">
        <w:rPr>
          <w:sz w:val="22"/>
          <w:szCs w:val="22"/>
          <w:lang w:val="lv-LV"/>
        </w:rPr>
        <w:t>Ja iespējams, n</w:t>
      </w:r>
      <w:r w:rsidR="001021BC" w:rsidRPr="00B428EE">
        <w:rPr>
          <w:sz w:val="22"/>
          <w:szCs w:val="22"/>
          <w:lang w:val="lv-LV"/>
        </w:rPr>
        <w:t xml:space="preserve">epieciešams ievērot vismaz 2 stundu starplaiku starp </w:t>
      </w:r>
      <w:r w:rsidR="00122A30" w:rsidRPr="00B428EE">
        <w:rPr>
          <w:sz w:val="22"/>
          <w:szCs w:val="22"/>
          <w:lang w:val="lv-LV"/>
        </w:rPr>
        <w:t>šo vielu</w:t>
      </w:r>
      <w:r w:rsidR="001021BC" w:rsidRPr="00B428EE">
        <w:rPr>
          <w:sz w:val="22"/>
          <w:szCs w:val="22"/>
          <w:lang w:val="lv-LV"/>
        </w:rPr>
        <w:t xml:space="preserve"> un dzelzs sāļu lietošanu.</w:t>
      </w:r>
    </w:p>
    <w:p w14:paraId="2FB214B9" w14:textId="77777777" w:rsidR="001021BC" w:rsidRPr="00B428EE" w:rsidRDefault="001021BC" w:rsidP="001021BC">
      <w:pPr>
        <w:jc w:val="both"/>
        <w:rPr>
          <w:sz w:val="22"/>
          <w:szCs w:val="22"/>
          <w:lang w:val="lv-LV"/>
        </w:rPr>
      </w:pPr>
    </w:p>
    <w:p w14:paraId="5DD1BC4C" w14:textId="77777777" w:rsidR="007D1F63" w:rsidRPr="00A32C44" w:rsidRDefault="00122A30" w:rsidP="007E52AF">
      <w:pPr>
        <w:jc w:val="both"/>
        <w:rPr>
          <w:b/>
          <w:sz w:val="22"/>
          <w:szCs w:val="22"/>
          <w:lang w:val="lv-LV"/>
        </w:rPr>
      </w:pPr>
      <w:r w:rsidRPr="00A32C44">
        <w:rPr>
          <w:b/>
          <w:sz w:val="22"/>
          <w:szCs w:val="22"/>
          <w:lang w:val="lv-LV"/>
        </w:rPr>
        <w:t>Antacīdi</w:t>
      </w:r>
      <w:r w:rsidR="0090542F">
        <w:rPr>
          <w:b/>
          <w:sz w:val="22"/>
          <w:szCs w:val="22"/>
          <w:lang w:val="lv-LV"/>
        </w:rPr>
        <w:t>e</w:t>
      </w:r>
      <w:r w:rsidRPr="00A32C44">
        <w:rPr>
          <w:b/>
          <w:sz w:val="22"/>
          <w:szCs w:val="22"/>
          <w:lang w:val="lv-LV"/>
        </w:rPr>
        <w:t xml:space="preserve"> līdzekļi un adsorbenti </w:t>
      </w:r>
    </w:p>
    <w:p w14:paraId="52318733" w14:textId="77777777" w:rsidR="007D1F63" w:rsidRPr="00A32C44" w:rsidRDefault="007D1F63" w:rsidP="007E52AF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>V</w:t>
      </w:r>
      <w:r w:rsidR="00122A30" w:rsidRPr="00A32C44">
        <w:rPr>
          <w:sz w:val="22"/>
          <w:szCs w:val="22"/>
          <w:lang w:val="lv-LV"/>
        </w:rPr>
        <w:t>ienlaicīga lietošana ar dzelzs sāļiem samazina dzelzs sāļu uzsūkšanos</w:t>
      </w:r>
      <w:r w:rsidRPr="00A32C44">
        <w:rPr>
          <w:sz w:val="22"/>
          <w:szCs w:val="22"/>
          <w:lang w:val="lv-LV"/>
        </w:rPr>
        <w:t xml:space="preserve">. </w:t>
      </w:r>
    </w:p>
    <w:p w14:paraId="511C9654" w14:textId="77777777" w:rsidR="00122A30" w:rsidRPr="0090542F" w:rsidRDefault="00511F09" w:rsidP="007E52AF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>J</w:t>
      </w:r>
      <w:r w:rsidRPr="0090542F">
        <w:rPr>
          <w:sz w:val="22"/>
          <w:szCs w:val="22"/>
          <w:lang w:val="lv-LV"/>
        </w:rPr>
        <w:t>a iespējams, n</w:t>
      </w:r>
      <w:r w:rsidR="007D1F63" w:rsidRPr="0090542F">
        <w:rPr>
          <w:sz w:val="22"/>
          <w:szCs w:val="22"/>
          <w:lang w:val="lv-LV"/>
        </w:rPr>
        <w:t xml:space="preserve">epieciešams ievērot vismaz 2 stundu starplaiku starp </w:t>
      </w:r>
      <w:r w:rsidR="0090542F">
        <w:rPr>
          <w:sz w:val="22"/>
          <w:szCs w:val="22"/>
          <w:lang w:val="lv-LV"/>
        </w:rPr>
        <w:t>antacīdo</w:t>
      </w:r>
      <w:r w:rsidR="007D1F63" w:rsidRPr="0090542F">
        <w:rPr>
          <w:sz w:val="22"/>
          <w:szCs w:val="22"/>
          <w:lang w:val="lv-LV"/>
        </w:rPr>
        <w:t xml:space="preserve"> līdzekļu, adsorbentu un dzelzs sāļu lietošanu.</w:t>
      </w:r>
    </w:p>
    <w:p w14:paraId="50BFF672" w14:textId="77777777" w:rsidR="00122A30" w:rsidRPr="0090542F" w:rsidRDefault="00122A30" w:rsidP="007E52AF">
      <w:pPr>
        <w:ind w:left="360"/>
        <w:jc w:val="both"/>
        <w:rPr>
          <w:sz w:val="22"/>
          <w:szCs w:val="22"/>
          <w:lang w:val="lv-LV"/>
        </w:rPr>
      </w:pPr>
    </w:p>
    <w:p w14:paraId="6F5E5CC3" w14:textId="77777777" w:rsidR="007D1F63" w:rsidRPr="00254C05" w:rsidRDefault="001021BC" w:rsidP="007E52AF">
      <w:pPr>
        <w:jc w:val="both"/>
        <w:rPr>
          <w:sz w:val="22"/>
          <w:szCs w:val="22"/>
          <w:lang w:val="lv-LV"/>
        </w:rPr>
      </w:pPr>
      <w:r w:rsidRPr="0090542F">
        <w:rPr>
          <w:b/>
          <w:sz w:val="22"/>
          <w:szCs w:val="22"/>
          <w:lang w:val="lv-LV"/>
        </w:rPr>
        <w:t>Bisfosfonāt</w:t>
      </w:r>
      <w:r w:rsidR="007D1F63" w:rsidRPr="0090542F">
        <w:rPr>
          <w:b/>
          <w:sz w:val="22"/>
          <w:szCs w:val="22"/>
          <w:lang w:val="lv-LV"/>
        </w:rPr>
        <w:t>i</w:t>
      </w:r>
      <w:r w:rsidRPr="00254C05">
        <w:rPr>
          <w:sz w:val="22"/>
          <w:szCs w:val="22"/>
          <w:lang w:val="lv-LV"/>
        </w:rPr>
        <w:t xml:space="preserve"> (lietojot iekšķīgi)</w:t>
      </w:r>
    </w:p>
    <w:p w14:paraId="12198D85" w14:textId="77777777" w:rsidR="007D1F63" w:rsidRPr="00254C05" w:rsidRDefault="007D1F63" w:rsidP="007E52AF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>V</w:t>
      </w:r>
      <w:r w:rsidR="001021BC" w:rsidRPr="00254C05">
        <w:rPr>
          <w:sz w:val="22"/>
          <w:szCs w:val="22"/>
          <w:lang w:val="lv-LV"/>
        </w:rPr>
        <w:t xml:space="preserve">ienlaicīga lietošana </w:t>
      </w:r>
      <w:r w:rsidRPr="00254C05">
        <w:rPr>
          <w:sz w:val="22"/>
          <w:szCs w:val="22"/>
          <w:lang w:val="lv-LV"/>
        </w:rPr>
        <w:t xml:space="preserve">ar dzelzs sāļiem </w:t>
      </w:r>
      <w:r w:rsidR="001021BC" w:rsidRPr="00254C05">
        <w:rPr>
          <w:sz w:val="22"/>
          <w:szCs w:val="22"/>
          <w:lang w:val="lv-LV"/>
        </w:rPr>
        <w:t xml:space="preserve">samazina bisfosfonātu uzsūkšanos. </w:t>
      </w:r>
    </w:p>
    <w:p w14:paraId="7956D159" w14:textId="77777777" w:rsidR="001021BC" w:rsidRPr="0090542F" w:rsidRDefault="001021BC" w:rsidP="007E52AF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 xml:space="preserve">Nepieciešams ievērot vismaz </w:t>
      </w:r>
      <w:r w:rsidR="007D1F63" w:rsidRPr="00254C05">
        <w:rPr>
          <w:sz w:val="22"/>
          <w:szCs w:val="22"/>
          <w:lang w:val="lv-LV"/>
        </w:rPr>
        <w:t xml:space="preserve">30 minūšu līdz </w:t>
      </w:r>
      <w:r w:rsidRPr="00254C05">
        <w:rPr>
          <w:sz w:val="22"/>
          <w:szCs w:val="22"/>
          <w:lang w:val="lv-LV"/>
        </w:rPr>
        <w:t>2 stundu starplaiku starp bisfosfonātu un dzelzs sāļu lietošanu</w:t>
      </w:r>
      <w:r w:rsidR="0090542F" w:rsidRPr="00254C05">
        <w:rPr>
          <w:sz w:val="22"/>
          <w:szCs w:val="22"/>
          <w:lang w:val="lv-LV"/>
        </w:rPr>
        <w:t xml:space="preserve">. </w:t>
      </w:r>
      <w:r w:rsidR="0090542F">
        <w:rPr>
          <w:sz w:val="22"/>
          <w:szCs w:val="22"/>
          <w:lang w:val="lv-LV"/>
        </w:rPr>
        <w:t xml:space="preserve">Starplaiks ir </w:t>
      </w:r>
      <w:r w:rsidR="007D1F63" w:rsidRPr="0090542F">
        <w:rPr>
          <w:sz w:val="22"/>
          <w:szCs w:val="22"/>
          <w:lang w:val="lv-LV"/>
        </w:rPr>
        <w:t>atkarīgs no bifosfonāta veida</w:t>
      </w:r>
      <w:r w:rsidRPr="0090542F">
        <w:rPr>
          <w:sz w:val="22"/>
          <w:szCs w:val="22"/>
          <w:lang w:val="lv-LV"/>
        </w:rPr>
        <w:t>.</w:t>
      </w:r>
    </w:p>
    <w:p w14:paraId="12AA3FB7" w14:textId="77777777" w:rsidR="001021BC" w:rsidRPr="0090542F" w:rsidRDefault="001021BC" w:rsidP="001021BC">
      <w:pPr>
        <w:jc w:val="both"/>
        <w:rPr>
          <w:sz w:val="22"/>
          <w:szCs w:val="22"/>
          <w:lang w:val="lv-LV"/>
        </w:rPr>
      </w:pPr>
    </w:p>
    <w:p w14:paraId="285B170A" w14:textId="77777777" w:rsidR="007D1F63" w:rsidRPr="00254C05" w:rsidRDefault="007D1F63" w:rsidP="007E52AF">
      <w:pPr>
        <w:jc w:val="both"/>
        <w:rPr>
          <w:sz w:val="22"/>
          <w:szCs w:val="22"/>
          <w:lang w:val="lv-LV"/>
        </w:rPr>
      </w:pPr>
      <w:r w:rsidRPr="00254C05">
        <w:rPr>
          <w:b/>
          <w:sz w:val="22"/>
          <w:szCs w:val="22"/>
          <w:lang w:val="lv-LV"/>
        </w:rPr>
        <w:t>Kalcijs</w:t>
      </w:r>
    </w:p>
    <w:p w14:paraId="498FA004" w14:textId="77777777" w:rsidR="007D1F63" w:rsidRPr="00254C05" w:rsidRDefault="007D1F63" w:rsidP="007D1F63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 xml:space="preserve">Vienlaicīga lietošana ar dzelzs sāļiem samazina dzelzs sāļu uzsūkšanos. </w:t>
      </w:r>
    </w:p>
    <w:p w14:paraId="25FA9AF0" w14:textId="77777777" w:rsidR="00D457E4" w:rsidRPr="00254C05" w:rsidRDefault="00D457E4" w:rsidP="007D1F63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>Dzelzs sāļus nepieciešams lietot starp ēdienreizēm un nekad kopā ar kalciju.</w:t>
      </w:r>
    </w:p>
    <w:p w14:paraId="1A16A8BB" w14:textId="77777777" w:rsidR="00D457E4" w:rsidRPr="00ED6984" w:rsidRDefault="00D457E4" w:rsidP="007D1F63">
      <w:pPr>
        <w:jc w:val="both"/>
        <w:rPr>
          <w:sz w:val="22"/>
          <w:szCs w:val="22"/>
          <w:lang w:val="lv-LV"/>
        </w:rPr>
      </w:pPr>
    </w:p>
    <w:p w14:paraId="7253C29B" w14:textId="77777777" w:rsidR="00D457E4" w:rsidRPr="00ED6984" w:rsidRDefault="00D457E4" w:rsidP="007E52AF">
      <w:pPr>
        <w:jc w:val="both"/>
        <w:rPr>
          <w:sz w:val="22"/>
          <w:szCs w:val="22"/>
          <w:lang w:val="lv-LV"/>
        </w:rPr>
      </w:pPr>
      <w:r w:rsidRPr="00ED6984">
        <w:rPr>
          <w:b/>
          <w:sz w:val="22"/>
          <w:szCs w:val="22"/>
          <w:lang w:val="lv-LV"/>
        </w:rPr>
        <w:t>Holestiramīns</w:t>
      </w:r>
    </w:p>
    <w:p w14:paraId="125DA8C0" w14:textId="77777777" w:rsidR="00D457E4" w:rsidRPr="00ED6984" w:rsidRDefault="00D457E4" w:rsidP="00D457E4">
      <w:pPr>
        <w:jc w:val="both"/>
        <w:rPr>
          <w:sz w:val="22"/>
          <w:szCs w:val="22"/>
          <w:lang w:val="lv-LV"/>
        </w:rPr>
      </w:pPr>
      <w:r w:rsidRPr="00ED6984">
        <w:rPr>
          <w:sz w:val="22"/>
          <w:szCs w:val="22"/>
          <w:lang w:val="lv-LV"/>
        </w:rPr>
        <w:t>Vienlaicīga lietošana ar dzelzs sāļiem samazina dzelzs sāļu uzsūkšanos.</w:t>
      </w:r>
    </w:p>
    <w:p w14:paraId="2E1F8BB8" w14:textId="77777777" w:rsidR="007D1F63" w:rsidRPr="00026883" w:rsidRDefault="00D457E4" w:rsidP="007D1F63">
      <w:pPr>
        <w:jc w:val="both"/>
        <w:rPr>
          <w:sz w:val="22"/>
          <w:szCs w:val="22"/>
          <w:lang w:val="lv-LV"/>
        </w:rPr>
      </w:pPr>
      <w:r w:rsidRPr="00853B19">
        <w:rPr>
          <w:sz w:val="22"/>
          <w:szCs w:val="22"/>
          <w:lang w:val="lv-LV"/>
        </w:rPr>
        <w:t>Dzelzs sāļus nepieciešams lietot 1 līdz 2 stundas pirms vai 4 stundas pēc holestiramīna lietošanas</w:t>
      </w:r>
      <w:r w:rsidR="007D1F63" w:rsidRPr="00026883">
        <w:rPr>
          <w:sz w:val="22"/>
          <w:szCs w:val="22"/>
          <w:lang w:val="lv-LV"/>
        </w:rPr>
        <w:t xml:space="preserve">. </w:t>
      </w:r>
    </w:p>
    <w:p w14:paraId="0B3FCDA4" w14:textId="77777777" w:rsidR="006E32FB" w:rsidRPr="00FE7267" w:rsidRDefault="006E32FB" w:rsidP="00D457E4">
      <w:pPr>
        <w:jc w:val="both"/>
        <w:rPr>
          <w:sz w:val="22"/>
          <w:szCs w:val="22"/>
          <w:lang w:val="lv-LV"/>
        </w:rPr>
      </w:pPr>
    </w:p>
    <w:p w14:paraId="29C0BE1B" w14:textId="77777777" w:rsidR="00D457E4" w:rsidRPr="00FE7267" w:rsidRDefault="00D457E4" w:rsidP="00D457E4">
      <w:pPr>
        <w:jc w:val="both"/>
        <w:rPr>
          <w:sz w:val="22"/>
          <w:szCs w:val="22"/>
          <w:lang w:val="lv-LV"/>
        </w:rPr>
      </w:pPr>
      <w:r w:rsidRPr="00FE7267">
        <w:rPr>
          <w:b/>
          <w:sz w:val="22"/>
          <w:szCs w:val="22"/>
          <w:lang w:val="lv-LV"/>
        </w:rPr>
        <w:t>Entakapons</w:t>
      </w:r>
    </w:p>
    <w:p w14:paraId="6249EE1E" w14:textId="77777777" w:rsidR="00D457E4" w:rsidRPr="006070DA" w:rsidRDefault="00D457E4" w:rsidP="00D457E4">
      <w:pPr>
        <w:jc w:val="both"/>
        <w:rPr>
          <w:sz w:val="22"/>
          <w:szCs w:val="22"/>
          <w:lang w:val="lv-LV"/>
        </w:rPr>
      </w:pPr>
      <w:r w:rsidRPr="00FE7267">
        <w:rPr>
          <w:sz w:val="22"/>
          <w:szCs w:val="22"/>
          <w:lang w:val="lv-LV"/>
        </w:rPr>
        <w:t xml:space="preserve">Vienlaicīga lietošana ar dzelzs sāļiem samazina gan entakapona, gan dzelzs sāļu uzsūkšanos, jo </w:t>
      </w:r>
      <w:r w:rsidR="007D199E" w:rsidRPr="006070DA">
        <w:rPr>
          <w:sz w:val="22"/>
          <w:szCs w:val="22"/>
          <w:lang w:val="lv-LV"/>
        </w:rPr>
        <w:t>veidojas dzelzs helāts.</w:t>
      </w:r>
    </w:p>
    <w:p w14:paraId="4940ECB5" w14:textId="77777777" w:rsidR="00D457E4" w:rsidRPr="008719FC" w:rsidRDefault="00511F09" w:rsidP="00D457E4">
      <w:pPr>
        <w:jc w:val="both"/>
        <w:rPr>
          <w:sz w:val="22"/>
          <w:szCs w:val="22"/>
          <w:lang w:val="lv-LV"/>
        </w:rPr>
      </w:pPr>
      <w:r w:rsidRPr="003B70F0">
        <w:rPr>
          <w:sz w:val="22"/>
          <w:szCs w:val="22"/>
          <w:lang w:val="lv-LV"/>
        </w:rPr>
        <w:t>Ja iespējams, n</w:t>
      </w:r>
      <w:r w:rsidR="00D457E4" w:rsidRPr="003B70F0">
        <w:rPr>
          <w:sz w:val="22"/>
          <w:szCs w:val="22"/>
          <w:lang w:val="lv-LV"/>
        </w:rPr>
        <w:t>epiecie</w:t>
      </w:r>
      <w:r w:rsidR="007D199E" w:rsidRPr="003B70F0">
        <w:rPr>
          <w:sz w:val="22"/>
          <w:szCs w:val="22"/>
          <w:lang w:val="lv-LV"/>
        </w:rPr>
        <w:t>šams ievērot vismaz 2 stundu starplaiku starp dzelzs sā</w:t>
      </w:r>
      <w:r w:rsidR="005907C5" w:rsidRPr="003B70F0">
        <w:rPr>
          <w:sz w:val="22"/>
          <w:szCs w:val="22"/>
          <w:lang w:val="lv-LV"/>
        </w:rPr>
        <w:t>ļu un entakapona</w:t>
      </w:r>
      <w:r w:rsidR="00D457E4" w:rsidRPr="003B70F0">
        <w:rPr>
          <w:sz w:val="22"/>
          <w:szCs w:val="22"/>
          <w:lang w:val="lv-LV"/>
        </w:rPr>
        <w:t xml:space="preserve"> lieto</w:t>
      </w:r>
      <w:r w:rsidR="007D199E" w:rsidRPr="003B70F0">
        <w:rPr>
          <w:sz w:val="22"/>
          <w:szCs w:val="22"/>
          <w:lang w:val="lv-LV"/>
        </w:rPr>
        <w:t>šanu</w:t>
      </w:r>
      <w:r w:rsidR="00D457E4" w:rsidRPr="008719FC">
        <w:rPr>
          <w:sz w:val="22"/>
          <w:szCs w:val="22"/>
          <w:lang w:val="lv-LV"/>
        </w:rPr>
        <w:t xml:space="preserve">. </w:t>
      </w:r>
    </w:p>
    <w:p w14:paraId="5AC5C69A" w14:textId="77777777" w:rsidR="002C4293" w:rsidRPr="002347FA" w:rsidRDefault="002C4293" w:rsidP="00D457E4">
      <w:pPr>
        <w:jc w:val="both"/>
        <w:rPr>
          <w:sz w:val="22"/>
          <w:szCs w:val="22"/>
          <w:lang w:val="lv-LV"/>
        </w:rPr>
      </w:pPr>
    </w:p>
    <w:p w14:paraId="7060DC88" w14:textId="77777777" w:rsidR="002C4293" w:rsidRPr="00482E43" w:rsidRDefault="002C4293" w:rsidP="002C4293">
      <w:pPr>
        <w:jc w:val="both"/>
        <w:rPr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HIV intergrāzes inhibitori</w:t>
      </w:r>
    </w:p>
    <w:p w14:paraId="4EF93E66" w14:textId="77777777" w:rsidR="002C4293" w:rsidRPr="00482E43" w:rsidRDefault="002C4293" w:rsidP="002C4293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 xml:space="preserve">Vienlaicīga lietošana ar dzelzs sāļiem samazina HIV intergrāzes inhibitoru uzsūkšanos. </w:t>
      </w:r>
    </w:p>
    <w:p w14:paraId="4ADBA599" w14:textId="77777777" w:rsidR="0060258F" w:rsidRPr="00482E43" w:rsidRDefault="0060258F" w:rsidP="0060258F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 xml:space="preserve">Ja iespējams, nepieciešams ievērot vismaz 2 stundu starplaiku starp dzelzs sāļu un HIV intergrāzes inhibitoru lietošanu. </w:t>
      </w:r>
    </w:p>
    <w:p w14:paraId="676CB08D" w14:textId="77777777" w:rsidR="002C4293" w:rsidRPr="00482E43" w:rsidRDefault="002C4293" w:rsidP="00D457E4">
      <w:pPr>
        <w:jc w:val="both"/>
        <w:rPr>
          <w:sz w:val="22"/>
          <w:szCs w:val="22"/>
          <w:lang w:val="lv-LV"/>
        </w:rPr>
      </w:pPr>
    </w:p>
    <w:p w14:paraId="4FBE067C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Biktegravīrs</w:t>
      </w:r>
    </w:p>
    <w:p w14:paraId="480BA727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 xml:space="preserve">Vienlaicīga lietošana ar dzelzs sāļiem vai lietošana tukšā dūšā samazina biktegravīra uzsūkšanos pat par divām trešdaļām. </w:t>
      </w:r>
    </w:p>
    <w:p w14:paraId="0218506C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>Lietojiet biktegravīru vismaz 2 stundas pirms dzelzs sāļiem vai vienlaicīgi ēdienreizes laikā.</w:t>
      </w:r>
    </w:p>
    <w:p w14:paraId="79D1FD1F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</w:p>
    <w:p w14:paraId="07E88FD2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Trientīns</w:t>
      </w:r>
    </w:p>
    <w:p w14:paraId="7FE21193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 xml:space="preserve">Vienlaicīga lietošana ar dzelzs sāļiem </w:t>
      </w:r>
      <w:r w:rsidR="00E9797E" w:rsidRPr="00482E43">
        <w:rPr>
          <w:sz w:val="22"/>
          <w:szCs w:val="22"/>
          <w:lang w:val="lv-LV"/>
        </w:rPr>
        <w:t>samazina</w:t>
      </w:r>
      <w:r w:rsidRPr="00482E43">
        <w:rPr>
          <w:sz w:val="22"/>
          <w:szCs w:val="22"/>
          <w:lang w:val="lv-LV"/>
        </w:rPr>
        <w:t xml:space="preserve"> dzelzs sāļu uzsūkšanos.</w:t>
      </w:r>
    </w:p>
    <w:p w14:paraId="1EC92DA4" w14:textId="77777777" w:rsidR="006E32FB" w:rsidRPr="00482E43" w:rsidRDefault="006E32FB" w:rsidP="006E32FB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>Ja iespējams, nepieciešams ievērot vismaz 2 stundu starplaiku starp dzelzs sā</w:t>
      </w:r>
      <w:r w:rsidR="00E9797E" w:rsidRPr="00482E43">
        <w:rPr>
          <w:sz w:val="22"/>
          <w:szCs w:val="22"/>
          <w:lang w:val="lv-LV"/>
        </w:rPr>
        <w:t>ļu un trientīna</w:t>
      </w:r>
      <w:r w:rsidRPr="00482E43">
        <w:rPr>
          <w:sz w:val="22"/>
          <w:szCs w:val="22"/>
          <w:lang w:val="lv-LV"/>
        </w:rPr>
        <w:t xml:space="preserve"> lietošanu. </w:t>
      </w:r>
    </w:p>
    <w:p w14:paraId="26E89C29" w14:textId="77777777" w:rsidR="00B012B6" w:rsidRPr="00482E43" w:rsidRDefault="00B012B6" w:rsidP="007E52AF">
      <w:pPr>
        <w:jc w:val="both"/>
        <w:rPr>
          <w:sz w:val="22"/>
          <w:szCs w:val="22"/>
          <w:lang w:val="lv-LV"/>
        </w:rPr>
      </w:pPr>
    </w:p>
    <w:p w14:paraId="44BB917C" w14:textId="77777777" w:rsidR="00B012B6" w:rsidRPr="00482E43" w:rsidRDefault="00B012B6" w:rsidP="007E52AF">
      <w:pPr>
        <w:jc w:val="both"/>
        <w:rPr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Uzturs</w:t>
      </w:r>
    </w:p>
    <w:p w14:paraId="6AC90B8D" w14:textId="77777777" w:rsidR="00B012B6" w:rsidRPr="00482E43" w:rsidRDefault="00B012B6" w:rsidP="007E52AF">
      <w:pPr>
        <w:jc w:val="both"/>
        <w:rPr>
          <w:color w:val="000000"/>
          <w:sz w:val="22"/>
          <w:szCs w:val="22"/>
          <w:lang w:val="lv-LV"/>
        </w:rPr>
      </w:pPr>
      <w:r w:rsidRPr="00482E43">
        <w:rPr>
          <w:color w:val="000000"/>
          <w:sz w:val="22"/>
          <w:szCs w:val="22"/>
          <w:lang w:val="lv-LV"/>
        </w:rPr>
        <w:t>Fitīnskābes (veseli graudi), dārzeņi, polifenoli (tēja, kafija, sarkanvīns), kalcijs (piens, piena produkti) un daži proteīni (olas) ievērojami pasliktina dzelzs uzsūkšanos.</w:t>
      </w:r>
    </w:p>
    <w:p w14:paraId="3DCD0155" w14:textId="77777777" w:rsidR="007D1F63" w:rsidRPr="00482E43" w:rsidRDefault="00B012B6" w:rsidP="007E52AF">
      <w:pPr>
        <w:jc w:val="both"/>
        <w:rPr>
          <w:sz w:val="22"/>
          <w:szCs w:val="22"/>
          <w:lang w:val="lv-LV"/>
        </w:rPr>
      </w:pPr>
      <w:r w:rsidRPr="00482E43">
        <w:rPr>
          <w:color w:val="000000"/>
          <w:sz w:val="22"/>
          <w:szCs w:val="22"/>
          <w:lang w:val="lv-LV"/>
        </w:rPr>
        <w:t>Ja iespējams,</w:t>
      </w:r>
      <w:r w:rsidR="007D705E" w:rsidRPr="00482E43">
        <w:rPr>
          <w:color w:val="000000"/>
          <w:sz w:val="22"/>
          <w:szCs w:val="22"/>
          <w:lang w:val="lv-LV"/>
        </w:rPr>
        <w:t xml:space="preserve"> </w:t>
      </w:r>
      <w:r w:rsidRPr="00482E43">
        <w:rPr>
          <w:color w:val="000000"/>
          <w:sz w:val="22"/>
          <w:szCs w:val="22"/>
          <w:lang w:val="lv-LV"/>
        </w:rPr>
        <w:t>nepieciešams ievērot vismaz 2 stundu starplaiku starp dzelzs sāļu un šo pārtikas produktu un dzērienu lietošanu.</w:t>
      </w:r>
    </w:p>
    <w:p w14:paraId="7CB8DCF0" w14:textId="77777777" w:rsidR="00B012B6" w:rsidRPr="00482E43" w:rsidRDefault="00B012B6" w:rsidP="007E52AF">
      <w:pPr>
        <w:jc w:val="both"/>
        <w:rPr>
          <w:sz w:val="22"/>
          <w:szCs w:val="22"/>
          <w:lang w:val="lv-LV"/>
        </w:rPr>
      </w:pPr>
    </w:p>
    <w:p w14:paraId="5B00D2D4" w14:textId="77777777" w:rsidR="007D705E" w:rsidRPr="00482E43" w:rsidRDefault="007D705E" w:rsidP="007D705E">
      <w:pPr>
        <w:jc w:val="both"/>
        <w:rPr>
          <w:b/>
          <w:sz w:val="22"/>
          <w:szCs w:val="22"/>
          <w:u w:val="single"/>
          <w:lang w:val="lv-LV"/>
        </w:rPr>
      </w:pPr>
      <w:r w:rsidRPr="00482E43">
        <w:rPr>
          <w:b/>
          <w:sz w:val="22"/>
          <w:szCs w:val="22"/>
          <w:u w:val="single"/>
          <w:lang w:val="lv-LV"/>
        </w:rPr>
        <w:t>Kombinācijas, kuras jāņem vērā</w:t>
      </w:r>
    </w:p>
    <w:p w14:paraId="49A501BB" w14:textId="77777777" w:rsidR="00D4560A" w:rsidRPr="00482E43" w:rsidRDefault="00D4560A" w:rsidP="007D705E">
      <w:pPr>
        <w:jc w:val="both"/>
        <w:rPr>
          <w:b/>
          <w:sz w:val="22"/>
          <w:szCs w:val="22"/>
          <w:lang w:val="lv-LV"/>
        </w:rPr>
      </w:pPr>
    </w:p>
    <w:p w14:paraId="5A40404B" w14:textId="77777777" w:rsidR="007D705E" w:rsidRPr="00482E43" w:rsidRDefault="007D705E" w:rsidP="007D705E">
      <w:pPr>
        <w:jc w:val="both"/>
        <w:rPr>
          <w:b/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Acetohidroksiamīnskābe</w:t>
      </w:r>
    </w:p>
    <w:p w14:paraId="6DEF6385" w14:textId="77777777" w:rsidR="00C16DE2" w:rsidRPr="00482E43" w:rsidRDefault="00C16DE2" w:rsidP="00C16DE2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>Vienlaicīga lietošana ar dzelzs sāļiem samazina abu vielu uzsūkšanos, jo veidojas dzelzs helāts.</w:t>
      </w:r>
    </w:p>
    <w:p w14:paraId="13C9E333" w14:textId="77777777" w:rsidR="001021BC" w:rsidRPr="00482E43" w:rsidRDefault="001021BC" w:rsidP="001021BC">
      <w:pPr>
        <w:jc w:val="both"/>
        <w:rPr>
          <w:sz w:val="22"/>
          <w:szCs w:val="22"/>
          <w:lang w:val="lv-LV"/>
        </w:rPr>
      </w:pPr>
    </w:p>
    <w:p w14:paraId="431DD4FF" w14:textId="77777777" w:rsidR="001021BC" w:rsidRPr="00482E43" w:rsidRDefault="001021BC" w:rsidP="001021BC">
      <w:pPr>
        <w:rPr>
          <w:b/>
          <w:sz w:val="22"/>
          <w:szCs w:val="22"/>
          <w:lang w:val="lv-LV"/>
        </w:rPr>
      </w:pPr>
      <w:r w:rsidRPr="00482E43">
        <w:rPr>
          <w:b/>
          <w:caps/>
          <w:sz w:val="22"/>
          <w:szCs w:val="22"/>
          <w:lang w:val="lv-LV"/>
        </w:rPr>
        <w:t xml:space="preserve">4.6. </w:t>
      </w:r>
      <w:r w:rsidRPr="00482E43">
        <w:rPr>
          <w:b/>
          <w:sz w:val="22"/>
          <w:szCs w:val="22"/>
          <w:lang w:val="lv-LV"/>
        </w:rPr>
        <w:t>Fertilitāte, grūtniecība un barošana ar krūti</w:t>
      </w:r>
    </w:p>
    <w:p w14:paraId="6A8120B0" w14:textId="77777777" w:rsidR="001021BC" w:rsidRPr="00482E43" w:rsidRDefault="001021BC" w:rsidP="001021BC">
      <w:pPr>
        <w:rPr>
          <w:sz w:val="22"/>
          <w:szCs w:val="22"/>
          <w:lang w:val="lv-LV"/>
        </w:rPr>
      </w:pPr>
    </w:p>
    <w:p w14:paraId="76CFE8E9" w14:textId="77777777" w:rsidR="001021BC" w:rsidRPr="00482E43" w:rsidRDefault="001021BC" w:rsidP="001021BC">
      <w:pPr>
        <w:rPr>
          <w:sz w:val="22"/>
          <w:szCs w:val="22"/>
          <w:u w:val="single"/>
          <w:lang w:val="lv-LV"/>
        </w:rPr>
      </w:pPr>
      <w:r w:rsidRPr="00482E43">
        <w:rPr>
          <w:sz w:val="22"/>
          <w:szCs w:val="22"/>
          <w:u w:val="single"/>
          <w:lang w:val="lv-LV"/>
        </w:rPr>
        <w:t>Grūtniecība</w:t>
      </w:r>
    </w:p>
    <w:p w14:paraId="21271ED8" w14:textId="77777777" w:rsidR="00254C05" w:rsidRDefault="001021BC" w:rsidP="001021BC">
      <w:pPr>
        <w:jc w:val="both"/>
        <w:rPr>
          <w:sz w:val="22"/>
          <w:szCs w:val="22"/>
          <w:lang w:val="lv-LV"/>
        </w:rPr>
      </w:pPr>
      <w:r w:rsidRPr="00482E43">
        <w:rPr>
          <w:sz w:val="22"/>
          <w:szCs w:val="22"/>
          <w:lang w:val="lv-LV"/>
        </w:rPr>
        <w:t xml:space="preserve">Pieejamos datos par </w:t>
      </w:r>
      <w:r w:rsidR="007E52AF" w:rsidRPr="00482E43">
        <w:rPr>
          <w:sz w:val="22"/>
          <w:szCs w:val="22"/>
          <w:lang w:val="lv-LV"/>
        </w:rPr>
        <w:t xml:space="preserve">vairāk </w:t>
      </w:r>
      <w:r w:rsidR="00254C05">
        <w:rPr>
          <w:sz w:val="22"/>
          <w:szCs w:val="22"/>
          <w:lang w:val="lv-LV"/>
        </w:rPr>
        <w:t>ne</w:t>
      </w:r>
      <w:r w:rsidR="007E52AF" w:rsidRPr="00254C05">
        <w:rPr>
          <w:sz w:val="22"/>
          <w:szCs w:val="22"/>
          <w:lang w:val="lv-LV"/>
        </w:rPr>
        <w:t>kā 1000</w:t>
      </w:r>
      <w:r w:rsidRPr="00254C05">
        <w:rPr>
          <w:sz w:val="22"/>
          <w:szCs w:val="22"/>
          <w:lang w:val="lv-LV"/>
        </w:rPr>
        <w:t xml:space="preserve"> grūtniecīb</w:t>
      </w:r>
      <w:r w:rsidR="00254C05">
        <w:rPr>
          <w:sz w:val="22"/>
          <w:szCs w:val="22"/>
          <w:lang w:val="lv-LV"/>
        </w:rPr>
        <w:t>ām</w:t>
      </w:r>
      <w:r w:rsidRPr="00254C05">
        <w:rPr>
          <w:sz w:val="22"/>
          <w:szCs w:val="22"/>
          <w:lang w:val="lv-LV"/>
        </w:rPr>
        <w:t xml:space="preserve"> netika novērot</w:t>
      </w:r>
      <w:r w:rsidR="007E52AF" w:rsidRPr="00254C05">
        <w:rPr>
          <w:sz w:val="22"/>
          <w:szCs w:val="22"/>
          <w:lang w:val="lv-LV"/>
        </w:rPr>
        <w:t>a</w:t>
      </w:r>
      <w:r w:rsidRPr="00254C05">
        <w:rPr>
          <w:sz w:val="22"/>
          <w:szCs w:val="22"/>
          <w:lang w:val="lv-LV"/>
        </w:rPr>
        <w:t xml:space="preserve"> </w:t>
      </w:r>
      <w:r w:rsidR="007E52AF" w:rsidRPr="00254C05">
        <w:rPr>
          <w:sz w:val="22"/>
          <w:szCs w:val="22"/>
          <w:lang w:val="lv-LV"/>
        </w:rPr>
        <w:t xml:space="preserve">malformatīva </w:t>
      </w:r>
      <w:r w:rsidR="005835FE" w:rsidRPr="00254C05">
        <w:rPr>
          <w:sz w:val="22"/>
          <w:szCs w:val="22"/>
          <w:lang w:val="lv-LV"/>
        </w:rPr>
        <w:t xml:space="preserve">vai toksiska </w:t>
      </w:r>
      <w:r w:rsidR="007E52AF" w:rsidRPr="00254C05">
        <w:rPr>
          <w:sz w:val="22"/>
          <w:szCs w:val="22"/>
          <w:lang w:val="lv-LV"/>
        </w:rPr>
        <w:t xml:space="preserve">ietekme </w:t>
      </w:r>
      <w:r w:rsidRPr="00254C05">
        <w:rPr>
          <w:sz w:val="22"/>
          <w:szCs w:val="22"/>
          <w:lang w:val="lv-LV"/>
        </w:rPr>
        <w:t xml:space="preserve">auglim vai jaundzimušajam. </w:t>
      </w:r>
    </w:p>
    <w:p w14:paraId="74D70308" w14:textId="77777777" w:rsidR="001021BC" w:rsidRPr="0090542F" w:rsidRDefault="0090542F" w:rsidP="001021B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Nepieciešamības gadījumā</w:t>
      </w:r>
      <w:r w:rsidR="0075589D" w:rsidRPr="0090542F">
        <w:rPr>
          <w:sz w:val="22"/>
          <w:szCs w:val="22"/>
          <w:lang w:val="lv-LV"/>
        </w:rPr>
        <w:t xml:space="preserve"> </w:t>
      </w:r>
      <w:r w:rsidR="001021BC" w:rsidRPr="0090542F">
        <w:rPr>
          <w:sz w:val="22"/>
          <w:szCs w:val="22"/>
          <w:lang w:val="lv-LV"/>
        </w:rPr>
        <w:t xml:space="preserve">šīs zāles drīkst </w:t>
      </w:r>
      <w:r w:rsidR="0028290D" w:rsidRPr="0090542F">
        <w:rPr>
          <w:sz w:val="22"/>
          <w:szCs w:val="22"/>
          <w:lang w:val="lv-LV"/>
        </w:rPr>
        <w:t>lietot</w:t>
      </w:r>
      <w:r w:rsidR="001021BC" w:rsidRPr="0090542F">
        <w:rPr>
          <w:sz w:val="22"/>
          <w:szCs w:val="22"/>
          <w:lang w:val="lv-LV"/>
        </w:rPr>
        <w:t xml:space="preserve"> grūtniecības laikā.</w:t>
      </w:r>
    </w:p>
    <w:p w14:paraId="779C3D71" w14:textId="77777777" w:rsidR="001021BC" w:rsidRPr="00254C05" w:rsidRDefault="001021BC" w:rsidP="001021BC">
      <w:pPr>
        <w:rPr>
          <w:sz w:val="22"/>
          <w:szCs w:val="22"/>
          <w:lang w:val="lv-LV"/>
        </w:rPr>
      </w:pPr>
    </w:p>
    <w:p w14:paraId="3FEE1BDA" w14:textId="77777777" w:rsidR="001021BC" w:rsidRPr="00254C05" w:rsidRDefault="001021BC" w:rsidP="001021BC">
      <w:pPr>
        <w:rPr>
          <w:sz w:val="22"/>
          <w:szCs w:val="22"/>
          <w:u w:val="single"/>
          <w:lang w:val="lv-LV"/>
        </w:rPr>
      </w:pPr>
      <w:r w:rsidRPr="00254C05">
        <w:rPr>
          <w:sz w:val="22"/>
          <w:szCs w:val="22"/>
          <w:u w:val="single"/>
          <w:lang w:val="lv-LV"/>
        </w:rPr>
        <w:t>Barošana ar krūti</w:t>
      </w:r>
    </w:p>
    <w:p w14:paraId="2CAF4127" w14:textId="77777777" w:rsidR="00254C05" w:rsidRDefault="0075589D" w:rsidP="0028290D">
      <w:pPr>
        <w:jc w:val="both"/>
        <w:rPr>
          <w:sz w:val="22"/>
          <w:szCs w:val="22"/>
          <w:lang w:val="lv-LV" w:eastAsia="en-US"/>
        </w:rPr>
      </w:pPr>
      <w:r w:rsidRPr="00254C05">
        <w:rPr>
          <w:sz w:val="22"/>
          <w:szCs w:val="22"/>
          <w:lang w:val="lv-LV" w:eastAsia="en-US"/>
        </w:rPr>
        <w:t>N</w:t>
      </w:r>
      <w:r w:rsidR="00254C05" w:rsidRPr="00254C05">
        <w:rPr>
          <w:sz w:val="22"/>
          <w:szCs w:val="22"/>
          <w:lang w:val="lv-LV" w:eastAsia="en-US"/>
        </w:rPr>
        <w:t>etika</w:t>
      </w:r>
      <w:r w:rsidRPr="00254C05">
        <w:rPr>
          <w:sz w:val="22"/>
          <w:szCs w:val="22"/>
          <w:lang w:val="lv-LV" w:eastAsia="en-US"/>
        </w:rPr>
        <w:t xml:space="preserve"> novērot</w:t>
      </w:r>
      <w:r w:rsidR="00254C05">
        <w:rPr>
          <w:sz w:val="22"/>
          <w:szCs w:val="22"/>
          <w:lang w:val="lv-LV" w:eastAsia="en-US"/>
        </w:rPr>
        <w:t>a</w:t>
      </w:r>
      <w:r w:rsidRPr="00254C05">
        <w:rPr>
          <w:sz w:val="22"/>
          <w:szCs w:val="22"/>
          <w:lang w:val="lv-LV" w:eastAsia="en-US"/>
        </w:rPr>
        <w:t xml:space="preserve"> </w:t>
      </w:r>
      <w:r w:rsidR="0028290D" w:rsidRPr="00254C05">
        <w:rPr>
          <w:sz w:val="22"/>
          <w:szCs w:val="22"/>
          <w:lang w:val="lv-LV" w:eastAsia="en-US"/>
        </w:rPr>
        <w:t>ietekme</w:t>
      </w:r>
      <w:r w:rsidR="00254C05" w:rsidRPr="00254C05">
        <w:rPr>
          <w:sz w:val="22"/>
          <w:szCs w:val="22"/>
          <w:lang w:val="lv-LV" w:eastAsia="en-US"/>
        </w:rPr>
        <w:t xml:space="preserve"> uz</w:t>
      </w:r>
      <w:r w:rsidR="0028290D" w:rsidRPr="00254C05">
        <w:rPr>
          <w:sz w:val="22"/>
          <w:szCs w:val="22"/>
          <w:lang w:val="lv-LV" w:eastAsia="en-US"/>
        </w:rPr>
        <w:t xml:space="preserve"> jaundzimušajiem vai zīdaiņiem, </w:t>
      </w:r>
      <w:r w:rsidR="00254C05">
        <w:rPr>
          <w:sz w:val="22"/>
          <w:szCs w:val="22"/>
          <w:lang w:val="lv-LV" w:eastAsia="en-US"/>
        </w:rPr>
        <w:t>kuru</w:t>
      </w:r>
      <w:r w:rsidR="0028290D" w:rsidRPr="00254C05">
        <w:rPr>
          <w:sz w:val="22"/>
          <w:szCs w:val="22"/>
          <w:lang w:val="lv-LV" w:eastAsia="en-US"/>
        </w:rPr>
        <w:t xml:space="preserve"> </w:t>
      </w:r>
      <w:r w:rsidR="00254C05">
        <w:rPr>
          <w:sz w:val="22"/>
          <w:szCs w:val="22"/>
          <w:lang w:val="lv-LV" w:eastAsia="en-US"/>
        </w:rPr>
        <w:t>mātes krūtsbarošanas laikā tika ārstētas ar dzelzs glikonātu.</w:t>
      </w:r>
      <w:r w:rsidR="0028290D" w:rsidRPr="00254C05">
        <w:rPr>
          <w:sz w:val="22"/>
          <w:szCs w:val="22"/>
          <w:lang w:val="lv-LV" w:eastAsia="en-US"/>
        </w:rPr>
        <w:t xml:space="preserve"> </w:t>
      </w:r>
    </w:p>
    <w:p w14:paraId="5A634F88" w14:textId="77777777" w:rsidR="0028290D" w:rsidRPr="00254C05" w:rsidRDefault="00254C05" w:rsidP="0028290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 w:eastAsia="en-US"/>
        </w:rPr>
        <w:lastRenderedPageBreak/>
        <w:t>Š</w:t>
      </w:r>
      <w:r w:rsidR="0028290D" w:rsidRPr="00254C05">
        <w:rPr>
          <w:sz w:val="22"/>
          <w:szCs w:val="22"/>
          <w:lang w:val="lv-LV"/>
        </w:rPr>
        <w:t>īs zāles drīkst lietot barošanas ar krūti laikā.</w:t>
      </w:r>
    </w:p>
    <w:p w14:paraId="2EEEF07F" w14:textId="77777777" w:rsidR="001021BC" w:rsidRPr="00254C05" w:rsidRDefault="001021BC" w:rsidP="001021BC">
      <w:pPr>
        <w:autoSpaceDE w:val="0"/>
        <w:autoSpaceDN w:val="0"/>
        <w:adjustRightInd w:val="0"/>
        <w:rPr>
          <w:sz w:val="22"/>
          <w:szCs w:val="22"/>
          <w:lang w:val="lv-LV" w:eastAsia="en-US"/>
        </w:rPr>
      </w:pPr>
      <w:r w:rsidRPr="00254C05">
        <w:rPr>
          <w:sz w:val="22"/>
          <w:szCs w:val="22"/>
          <w:lang w:val="lv-LV" w:eastAsia="en-US"/>
        </w:rPr>
        <w:t xml:space="preserve"> </w:t>
      </w:r>
    </w:p>
    <w:p w14:paraId="1F8CF4AE" w14:textId="77777777" w:rsidR="0028290D" w:rsidRPr="00254C05" w:rsidRDefault="0028290D" w:rsidP="001021BC">
      <w:pPr>
        <w:autoSpaceDE w:val="0"/>
        <w:autoSpaceDN w:val="0"/>
        <w:adjustRightInd w:val="0"/>
        <w:rPr>
          <w:sz w:val="22"/>
          <w:szCs w:val="22"/>
          <w:u w:val="single"/>
          <w:lang w:val="lv-LV" w:eastAsia="en-US"/>
        </w:rPr>
      </w:pPr>
      <w:r w:rsidRPr="00254C05">
        <w:rPr>
          <w:sz w:val="22"/>
          <w:szCs w:val="22"/>
          <w:u w:val="single"/>
          <w:lang w:val="lv-LV" w:eastAsia="en-US"/>
        </w:rPr>
        <w:t>Fertilitāte</w:t>
      </w:r>
    </w:p>
    <w:p w14:paraId="7D93880E" w14:textId="77777777" w:rsidR="0028290D" w:rsidRPr="00254C05" w:rsidRDefault="0028290D" w:rsidP="001021BC">
      <w:pPr>
        <w:autoSpaceDE w:val="0"/>
        <w:autoSpaceDN w:val="0"/>
        <w:adjustRightInd w:val="0"/>
        <w:rPr>
          <w:sz w:val="22"/>
          <w:szCs w:val="22"/>
          <w:lang w:val="lv-LV" w:eastAsia="en-US"/>
        </w:rPr>
      </w:pPr>
      <w:r w:rsidRPr="00254C05">
        <w:rPr>
          <w:sz w:val="22"/>
          <w:szCs w:val="22"/>
          <w:lang w:val="lv-LV" w:eastAsia="en-US"/>
        </w:rPr>
        <w:t>Pētījumos uz dzīvniekiem netika novērota ietekme uz tēviņu vai mātīšu fertilitāti</w:t>
      </w:r>
      <w:r w:rsidR="00A67E42" w:rsidRPr="00254C05">
        <w:rPr>
          <w:sz w:val="22"/>
          <w:szCs w:val="22"/>
          <w:lang w:val="lv-LV" w:eastAsia="en-US"/>
        </w:rPr>
        <w:t xml:space="preserve"> (skat</w:t>
      </w:r>
      <w:r w:rsidR="00ED6984">
        <w:rPr>
          <w:sz w:val="22"/>
          <w:szCs w:val="22"/>
          <w:lang w:val="lv-LV" w:eastAsia="en-US"/>
        </w:rPr>
        <w:t>īt 5.3. apakšpunktā</w:t>
      </w:r>
      <w:r w:rsidR="00A67E42" w:rsidRPr="00254C05">
        <w:rPr>
          <w:sz w:val="22"/>
          <w:szCs w:val="22"/>
          <w:lang w:val="lv-LV" w:eastAsia="en-US"/>
        </w:rPr>
        <w:t>)</w:t>
      </w:r>
      <w:r w:rsidRPr="00254C05">
        <w:rPr>
          <w:sz w:val="22"/>
          <w:szCs w:val="22"/>
          <w:lang w:val="lv-LV" w:eastAsia="en-US"/>
        </w:rPr>
        <w:t>.</w:t>
      </w:r>
    </w:p>
    <w:p w14:paraId="1FD780EA" w14:textId="77777777" w:rsidR="0028290D" w:rsidRPr="00254C05" w:rsidRDefault="0028290D" w:rsidP="001021BC">
      <w:pPr>
        <w:autoSpaceDE w:val="0"/>
        <w:autoSpaceDN w:val="0"/>
        <w:adjustRightInd w:val="0"/>
        <w:rPr>
          <w:sz w:val="22"/>
          <w:szCs w:val="22"/>
          <w:lang w:val="lv-LV" w:eastAsia="en-US"/>
        </w:rPr>
      </w:pPr>
    </w:p>
    <w:p w14:paraId="2979665A" w14:textId="77777777" w:rsidR="001021BC" w:rsidRPr="00254C05" w:rsidRDefault="001021BC" w:rsidP="001021BC">
      <w:pPr>
        <w:rPr>
          <w:b/>
          <w:sz w:val="22"/>
          <w:szCs w:val="22"/>
          <w:lang w:val="lv-LV"/>
        </w:rPr>
      </w:pPr>
      <w:r w:rsidRPr="00254C05">
        <w:rPr>
          <w:b/>
          <w:sz w:val="22"/>
          <w:szCs w:val="22"/>
          <w:lang w:val="lv-LV"/>
        </w:rPr>
        <w:t>4.7. Ietekme uz spēju vadīt transportlīdzekļus un apkalpot mehānismus</w:t>
      </w:r>
    </w:p>
    <w:p w14:paraId="31586044" w14:textId="77777777" w:rsidR="00FD6D19" w:rsidRDefault="00FD6D19" w:rsidP="001021BC">
      <w:pPr>
        <w:pStyle w:val="Heading3"/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</w:pPr>
    </w:p>
    <w:p w14:paraId="2671D4D1" w14:textId="77777777" w:rsidR="001021BC" w:rsidRPr="00FD6D19" w:rsidRDefault="00FD6D19" w:rsidP="001021BC">
      <w:pPr>
        <w:rPr>
          <w:sz w:val="22"/>
          <w:szCs w:val="22"/>
          <w:lang w:val="lv-LV"/>
        </w:rPr>
      </w:pPr>
      <w:r w:rsidRPr="00FD6D19">
        <w:rPr>
          <w:b/>
          <w:caps/>
          <w:sz w:val="22"/>
          <w:szCs w:val="22"/>
          <w:lang w:val="lv-LV"/>
        </w:rPr>
        <w:t xml:space="preserve">Tot’hema neietekmē vai nenozīmīgi ietekmē spēju vadīt transportlīdzekļus un apkalpot mehānismus. </w:t>
      </w:r>
    </w:p>
    <w:p w14:paraId="77FE0DAB" w14:textId="77777777" w:rsidR="00D10FE6" w:rsidRPr="0033085D" w:rsidRDefault="00D10FE6" w:rsidP="001021BC">
      <w:pPr>
        <w:rPr>
          <w:sz w:val="22"/>
          <w:szCs w:val="22"/>
          <w:lang w:val="lv-LV"/>
        </w:rPr>
      </w:pPr>
    </w:p>
    <w:p w14:paraId="685F5EB7" w14:textId="77777777" w:rsidR="001021BC" w:rsidRPr="0033085D" w:rsidRDefault="001021BC" w:rsidP="001021BC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33085D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4.8. Nevēlamās blakusparādības</w:t>
      </w:r>
    </w:p>
    <w:p w14:paraId="2DC18D97" w14:textId="77777777" w:rsidR="001021BC" w:rsidRPr="00FD6D19" w:rsidRDefault="001021BC" w:rsidP="001021BC">
      <w:pPr>
        <w:rPr>
          <w:sz w:val="22"/>
          <w:szCs w:val="22"/>
          <w:lang w:val="lv-LV"/>
        </w:rPr>
      </w:pPr>
    </w:p>
    <w:p w14:paraId="75619E0A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Blakusparādību biežums</w:t>
      </w:r>
      <w:r w:rsidR="00D10FE6" w:rsidRPr="00FD6D19">
        <w:rPr>
          <w:sz w:val="22"/>
          <w:szCs w:val="22"/>
          <w:lang w:val="lv-LV"/>
        </w:rPr>
        <w:t>, kas novērots klīniskajos pētījumos ar Tothema,</w:t>
      </w:r>
      <w:r w:rsidRPr="00FD6D19">
        <w:rPr>
          <w:sz w:val="22"/>
          <w:szCs w:val="22"/>
          <w:lang w:val="lv-LV"/>
        </w:rPr>
        <w:t xml:space="preserve"> novērtēts atbilstoši MedDRA orgānu sistēmas klasei/ biežumam. Biežums tiek definēts kā: ļoti bieži (≥1/10), bieži (≥1/100 līdz &lt;1/10), retāk (≥1/1 000 līdz &lt;1/100), reti (≥1/10 000 līdz &lt;1/1 000) un ļoti reti (&lt;1/10 000), nav zināmi (nevar noteikt pēc pieejamajiem datiem).</w:t>
      </w:r>
    </w:p>
    <w:p w14:paraId="3CF8CAB6" w14:textId="77777777" w:rsidR="002020B2" w:rsidRPr="00FD6D19" w:rsidRDefault="002020B2" w:rsidP="001021BC">
      <w:pPr>
        <w:jc w:val="both"/>
        <w:rPr>
          <w:sz w:val="22"/>
          <w:szCs w:val="22"/>
          <w:lang w:val="lv-LV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4111"/>
      </w:tblGrid>
      <w:tr w:rsidR="00D6232B" w:rsidRPr="00482E43" w14:paraId="659CD108" w14:textId="77777777" w:rsidTr="00E808F3">
        <w:tc>
          <w:tcPr>
            <w:tcW w:w="2694" w:type="dxa"/>
            <w:shd w:val="clear" w:color="auto" w:fill="auto"/>
            <w:vAlign w:val="center"/>
          </w:tcPr>
          <w:p w14:paraId="2F85834E" w14:textId="77777777" w:rsidR="00D6232B" w:rsidRPr="00E808F3" w:rsidRDefault="00D6232B" w:rsidP="00D6232B">
            <w:pPr>
              <w:spacing w:before="60" w:after="60"/>
              <w:jc w:val="center"/>
              <w:rPr>
                <w:rFonts w:eastAsia="Cambria"/>
                <w:b/>
                <w:sz w:val="22"/>
                <w:szCs w:val="22"/>
                <w:lang w:val="en-GB" w:eastAsia="en-US"/>
              </w:rPr>
            </w:pPr>
            <w:proofErr w:type="spellStart"/>
            <w:r w:rsidRPr="00E808F3">
              <w:rPr>
                <w:b/>
                <w:sz w:val="22"/>
                <w:szCs w:val="22"/>
              </w:rPr>
              <w:t>MedDRA</w:t>
            </w:r>
            <w:proofErr w:type="spellEnd"/>
            <w:r w:rsidRPr="00E808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08F3">
              <w:rPr>
                <w:b/>
                <w:sz w:val="22"/>
                <w:szCs w:val="22"/>
              </w:rPr>
              <w:t>orgānu</w:t>
            </w:r>
            <w:proofErr w:type="spellEnd"/>
            <w:r w:rsidRPr="00E808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08F3">
              <w:rPr>
                <w:b/>
                <w:sz w:val="22"/>
                <w:szCs w:val="22"/>
              </w:rPr>
              <w:t>sistēmas</w:t>
            </w:r>
            <w:proofErr w:type="spellEnd"/>
            <w:r w:rsidRPr="00E808F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808F3">
              <w:rPr>
                <w:b/>
                <w:sz w:val="22"/>
                <w:szCs w:val="22"/>
              </w:rPr>
              <w:t>klase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00B2359" w14:textId="77777777" w:rsidR="00D6232B" w:rsidRPr="00E808F3" w:rsidRDefault="00D6232B" w:rsidP="00D6232B">
            <w:pPr>
              <w:spacing w:before="60" w:after="60"/>
              <w:jc w:val="center"/>
              <w:rPr>
                <w:rFonts w:eastAsia="Cambria"/>
                <w:b/>
                <w:sz w:val="22"/>
                <w:szCs w:val="22"/>
                <w:lang w:val="en-GB" w:eastAsia="en-US"/>
              </w:rPr>
            </w:pPr>
            <w:proofErr w:type="spellStart"/>
            <w:r w:rsidRPr="00E808F3">
              <w:rPr>
                <w:rFonts w:eastAsia="Cambria"/>
                <w:b/>
                <w:sz w:val="22"/>
                <w:szCs w:val="22"/>
                <w:lang w:val="en-GB" w:eastAsia="en-US"/>
              </w:rPr>
              <w:t>Bieži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657E945" w14:textId="77777777" w:rsidR="00D6232B" w:rsidRPr="0033085D" w:rsidRDefault="00D6232B" w:rsidP="00D6232B">
            <w:pPr>
              <w:spacing w:before="60" w:after="60"/>
              <w:jc w:val="center"/>
              <w:rPr>
                <w:rFonts w:eastAsia="Cambria"/>
                <w:b/>
                <w:sz w:val="22"/>
                <w:szCs w:val="22"/>
                <w:lang w:val="lv-LV" w:eastAsia="en-US"/>
              </w:rPr>
            </w:pP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Biežums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nav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zināms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nevar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noteikt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pēc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pieejam</w:t>
            </w:r>
            <w:r w:rsidR="00FD6D19">
              <w:rPr>
                <w:rFonts w:eastAsia="Cambria"/>
                <w:b/>
                <w:sz w:val="22"/>
                <w:szCs w:val="22"/>
                <w:lang w:val="en-GB" w:eastAsia="en-US"/>
              </w:rPr>
              <w:t>aj</w:t>
            </w:r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iem</w:t>
            </w:r>
            <w:proofErr w:type="spellEnd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3085D">
              <w:rPr>
                <w:rFonts w:eastAsia="Cambria"/>
                <w:b/>
                <w:sz w:val="22"/>
                <w:szCs w:val="22"/>
                <w:lang w:val="en-GB" w:eastAsia="en-US"/>
              </w:rPr>
              <w:t>datiem</w:t>
            </w:r>
            <w:proofErr w:type="spellEnd"/>
          </w:p>
        </w:tc>
      </w:tr>
      <w:tr w:rsidR="00D6232B" w:rsidRPr="00482E43" w14:paraId="71989A1E" w14:textId="77777777" w:rsidTr="00E808F3">
        <w:tc>
          <w:tcPr>
            <w:tcW w:w="2694" w:type="dxa"/>
            <w:shd w:val="clear" w:color="auto" w:fill="auto"/>
            <w:vAlign w:val="center"/>
          </w:tcPr>
          <w:p w14:paraId="4C0C1F5C" w14:textId="77777777" w:rsidR="00D6232B" w:rsidRPr="00482E43" w:rsidRDefault="006C131D" w:rsidP="00D6232B">
            <w:pPr>
              <w:spacing w:before="60" w:after="60"/>
              <w:rPr>
                <w:rFonts w:eastAsia="Cambria"/>
                <w:b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Imūnās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sistēmas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traucējumi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81BE524" w14:textId="77777777" w:rsidR="00D6232B" w:rsidRPr="00482E43" w:rsidRDefault="00D6232B" w:rsidP="00D6232B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324BF4" w14:textId="77777777" w:rsidR="00D6232B" w:rsidRPr="00482E43" w:rsidRDefault="006C131D" w:rsidP="006C131D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Paaugstināta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jutība</w:t>
            </w:r>
            <w:proofErr w:type="spellEnd"/>
            <w:r w:rsidR="00D6232B"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anafilaktiska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reakcija</w:t>
            </w:r>
            <w:proofErr w:type="spellEnd"/>
          </w:p>
        </w:tc>
      </w:tr>
      <w:tr w:rsidR="00D6232B" w:rsidRPr="00482E43" w14:paraId="1A29EC43" w14:textId="77777777" w:rsidTr="00E808F3">
        <w:tc>
          <w:tcPr>
            <w:tcW w:w="2694" w:type="dxa"/>
            <w:shd w:val="clear" w:color="auto" w:fill="auto"/>
            <w:vAlign w:val="center"/>
          </w:tcPr>
          <w:p w14:paraId="065D5FDF" w14:textId="77777777" w:rsidR="00D6232B" w:rsidRPr="00482E43" w:rsidRDefault="006C131D" w:rsidP="00D6232B">
            <w:pPr>
              <w:spacing w:before="60" w:after="60"/>
              <w:rPr>
                <w:rFonts w:eastAsia="Cambria"/>
                <w:b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Kunģa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zarnu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trakta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traucējumi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733A1F0" w14:textId="77777777" w:rsidR="00D6232B" w:rsidRPr="00482E43" w:rsidRDefault="006C131D" w:rsidP="006C131D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Aizcietējums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caureja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dedzināšanas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sajūta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kuņģī</w:t>
            </w:r>
            <w:proofErr w:type="spellEnd"/>
            <w:r w:rsidR="00D6232B"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slikta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dūša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vemšana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fēču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krāsas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izmaiņas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melnas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fēces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)</w:t>
            </w:r>
            <w:r w:rsidR="00D6232B"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vēdera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uzpūšanās</w:t>
            </w:r>
            <w:proofErr w:type="spellEnd"/>
            <w:r w:rsidR="00D6232B" w:rsidRPr="00482E43">
              <w:rPr>
                <w:rFonts w:eastAsia="Cambria"/>
                <w:sz w:val="22"/>
                <w:szCs w:val="22"/>
                <w:lang w:val="en-GB" w:eastAsia="en-US"/>
              </w:rPr>
              <w:t>,</w:t>
            </w:r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sāpes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vēderā</w:t>
            </w:r>
            <w:proofErr w:type="spellEnd"/>
            <w:r w:rsidRPr="00482E43">
              <w:rPr>
                <w:rFonts w:eastAsia="Cambria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2D8494F" w14:textId="77777777" w:rsidR="00D6232B" w:rsidRPr="00482E43" w:rsidRDefault="00ED6984" w:rsidP="00D6232B">
            <w:pPr>
              <w:spacing w:before="60" w:after="60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482E43">
              <w:rPr>
                <w:rFonts w:eastAsia="Cambria"/>
                <w:sz w:val="22"/>
                <w:szCs w:val="22"/>
                <w:lang w:eastAsia="en-US"/>
              </w:rPr>
              <w:t>Kuņģa-</w:t>
            </w:r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>zarnu</w:t>
            </w:r>
            <w:proofErr w:type="spellEnd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>trakta</w:t>
            </w:r>
            <w:proofErr w:type="spellEnd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>kairinājums</w:t>
            </w:r>
            <w:proofErr w:type="spellEnd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>gastrīts</w:t>
            </w:r>
            <w:proofErr w:type="spellEnd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020B2" w:rsidRPr="00482E43">
              <w:rPr>
                <w:rFonts w:eastAsia="Cambria"/>
                <w:sz w:val="22"/>
                <w:szCs w:val="22"/>
                <w:lang w:eastAsia="en-US"/>
              </w:rPr>
              <w:t>gastrointestināla</w:t>
            </w:r>
            <w:proofErr w:type="spellEnd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131D" w:rsidRPr="00482E43">
              <w:rPr>
                <w:rFonts w:eastAsia="Cambria"/>
                <w:sz w:val="22"/>
                <w:szCs w:val="22"/>
                <w:lang w:eastAsia="en-US"/>
              </w:rPr>
              <w:t>pseidomelanoze</w:t>
            </w:r>
            <w:proofErr w:type="spellEnd"/>
            <w:r w:rsidR="00D6232B" w:rsidRPr="00482E43">
              <w:rPr>
                <w:rFonts w:eastAsia="Cambria"/>
                <w:sz w:val="22"/>
                <w:szCs w:val="22"/>
                <w:lang w:eastAsia="en-US"/>
              </w:rPr>
              <w:t>*.</w:t>
            </w:r>
          </w:p>
          <w:p w14:paraId="5E811C5C" w14:textId="77777777" w:rsidR="00D6232B" w:rsidRPr="00482E43" w:rsidRDefault="006C131D" w:rsidP="00D6232B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sz w:val="22"/>
                <w:szCs w:val="22"/>
                <w:lang w:eastAsia="en-US"/>
              </w:rPr>
              <w:t>Zobu</w:t>
            </w:r>
            <w:proofErr w:type="spellEnd"/>
            <w:r w:rsidRPr="00482E43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sz w:val="22"/>
                <w:szCs w:val="22"/>
                <w:lang w:eastAsia="en-US"/>
              </w:rPr>
              <w:t>iekrāsošanās</w:t>
            </w:r>
            <w:proofErr w:type="spellEnd"/>
            <w:r w:rsidR="00D6232B" w:rsidRPr="00482E43">
              <w:rPr>
                <w:rFonts w:eastAsia="Cambria"/>
                <w:sz w:val="22"/>
                <w:szCs w:val="22"/>
                <w:lang w:val="en-GB" w:eastAsia="en-US"/>
              </w:rPr>
              <w:t>**</w:t>
            </w:r>
          </w:p>
        </w:tc>
      </w:tr>
      <w:tr w:rsidR="00D6232B" w:rsidRPr="00482E43" w14:paraId="25E00D33" w14:textId="77777777" w:rsidTr="00E808F3">
        <w:tc>
          <w:tcPr>
            <w:tcW w:w="2694" w:type="dxa"/>
            <w:shd w:val="clear" w:color="auto" w:fill="auto"/>
            <w:vAlign w:val="center"/>
          </w:tcPr>
          <w:p w14:paraId="55597CF6" w14:textId="77777777" w:rsidR="00D6232B" w:rsidRPr="00482E43" w:rsidRDefault="006C131D" w:rsidP="00D6232B">
            <w:pPr>
              <w:spacing w:before="60" w:after="60"/>
              <w:rPr>
                <w:rFonts w:eastAsia="Cambria"/>
                <w:b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Ādas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un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zemādas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audu</w:t>
            </w:r>
            <w:proofErr w:type="spellEnd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mbria"/>
                <w:b/>
                <w:sz w:val="22"/>
                <w:szCs w:val="22"/>
                <w:lang w:val="en-GB" w:eastAsia="en-US"/>
              </w:rPr>
              <w:t>bojājumi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651BD32A" w14:textId="77777777" w:rsidR="00D6232B" w:rsidRPr="00482E43" w:rsidRDefault="00D6232B" w:rsidP="00D6232B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80DE60" w14:textId="77777777" w:rsidR="00D6232B" w:rsidRPr="00482E43" w:rsidRDefault="006C131D" w:rsidP="00D6232B">
            <w:pPr>
              <w:spacing w:before="60" w:after="60"/>
              <w:rPr>
                <w:rFonts w:eastAsia="Cambria"/>
                <w:sz w:val="22"/>
                <w:szCs w:val="22"/>
                <w:lang w:val="en-GB" w:eastAsia="en-US"/>
              </w:rPr>
            </w:pP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Izsitumi</w:t>
            </w:r>
            <w:proofErr w:type="spellEnd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nieze</w:t>
            </w:r>
            <w:proofErr w:type="spellEnd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nātrene</w:t>
            </w:r>
            <w:proofErr w:type="spellEnd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angioedēma</w:t>
            </w:r>
            <w:proofErr w:type="spellEnd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allerģisks</w:t>
            </w:r>
            <w:proofErr w:type="spellEnd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82E43">
              <w:rPr>
                <w:rFonts w:eastAsia="Calibri"/>
                <w:sz w:val="22"/>
                <w:szCs w:val="22"/>
                <w:lang w:val="en-GB" w:eastAsia="en-US"/>
              </w:rPr>
              <w:t>dermatīts</w:t>
            </w:r>
            <w:proofErr w:type="spellEnd"/>
            <w:r w:rsidR="00D6232B" w:rsidRPr="00482E43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</w:tr>
    </w:tbl>
    <w:p w14:paraId="1F672EFA" w14:textId="77777777" w:rsidR="001021BC" w:rsidRPr="00482E43" w:rsidRDefault="001021BC" w:rsidP="001021BC">
      <w:pPr>
        <w:jc w:val="both"/>
        <w:rPr>
          <w:sz w:val="22"/>
          <w:szCs w:val="22"/>
          <w:lang w:val="en-GB"/>
        </w:rPr>
      </w:pPr>
    </w:p>
    <w:p w14:paraId="5481F14E" w14:textId="77777777" w:rsidR="002020B2" w:rsidRPr="00482E43" w:rsidRDefault="002020B2" w:rsidP="002020B2">
      <w:pPr>
        <w:jc w:val="both"/>
        <w:rPr>
          <w:color w:val="000000"/>
          <w:sz w:val="22"/>
          <w:szCs w:val="22"/>
          <w:lang w:val="lv-LV"/>
        </w:rPr>
      </w:pPr>
      <w:r w:rsidRPr="00482E43">
        <w:rPr>
          <w:color w:val="000000"/>
          <w:sz w:val="22"/>
          <w:szCs w:val="22"/>
          <w:lang w:val="lv-LV"/>
        </w:rPr>
        <w:t>* Literatūrā publicētos datos ir minēts, ka pacientiem, kurus ārstē ar iekšķīgi lietojamu dzelzi, kuņģa un zarnu trakta gļotādas var būt pigmentētas. Tas var apgrūtināt kuņģa-zarnu trakta operācijas.</w:t>
      </w:r>
    </w:p>
    <w:p w14:paraId="181317ED" w14:textId="77777777" w:rsidR="002020B2" w:rsidRPr="00E808F3" w:rsidRDefault="002020B2" w:rsidP="00E808F3">
      <w:pPr>
        <w:jc w:val="both"/>
        <w:rPr>
          <w:sz w:val="22"/>
          <w:szCs w:val="22"/>
          <w:lang w:val="lv-LV"/>
        </w:rPr>
      </w:pPr>
      <w:r w:rsidRPr="00482E43">
        <w:rPr>
          <w:color w:val="000000"/>
          <w:sz w:val="22"/>
          <w:szCs w:val="22"/>
          <w:lang w:val="lv-LV"/>
        </w:rPr>
        <w:t>**</w:t>
      </w:r>
      <w:r w:rsidRPr="00E808F3">
        <w:rPr>
          <w:sz w:val="22"/>
          <w:szCs w:val="22"/>
        </w:rPr>
        <w:t xml:space="preserve"> </w:t>
      </w:r>
      <w:r w:rsidRPr="00E808F3">
        <w:rPr>
          <w:color w:val="000000"/>
          <w:sz w:val="22"/>
          <w:szCs w:val="22"/>
          <w:lang w:val="lv-LV"/>
        </w:rPr>
        <w:t>Zobu emaljas iekrāsošanās, kas izzūd pēc zāļu lietošanas pārtraukšanas.</w:t>
      </w:r>
    </w:p>
    <w:p w14:paraId="2F89A9BA" w14:textId="77777777" w:rsidR="002020B2" w:rsidRPr="00E808F3" w:rsidRDefault="002020B2" w:rsidP="00E808F3">
      <w:pPr>
        <w:ind w:left="360"/>
        <w:jc w:val="both"/>
        <w:rPr>
          <w:sz w:val="22"/>
          <w:szCs w:val="22"/>
          <w:lang w:val="lv-LV"/>
        </w:rPr>
      </w:pPr>
    </w:p>
    <w:p w14:paraId="4F411B1D" w14:textId="77777777" w:rsidR="001021BC" w:rsidRPr="00FD6D19" w:rsidRDefault="001021BC" w:rsidP="001021BC">
      <w:pPr>
        <w:jc w:val="both"/>
        <w:rPr>
          <w:sz w:val="22"/>
          <w:szCs w:val="22"/>
          <w:u w:val="single"/>
          <w:lang w:val="lv-LV"/>
        </w:rPr>
      </w:pPr>
      <w:r w:rsidRPr="00FD6D19">
        <w:rPr>
          <w:sz w:val="22"/>
          <w:szCs w:val="22"/>
          <w:u w:val="single"/>
          <w:lang w:val="lv-LV"/>
        </w:rPr>
        <w:t>Ziņošana par iespējamām nevēlamām blakusparādībām</w:t>
      </w:r>
    </w:p>
    <w:p w14:paraId="0FB9F983" w14:textId="77777777" w:rsidR="001021BC" w:rsidRPr="00E808F3" w:rsidRDefault="001021BC" w:rsidP="001021BC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 xml:space="preserve">Ir svarīgi ziņot par iespējamām nevēlamām blakusparādībām pēc zāļu reģistrācijas. Tādējādi zāļu ieguvuma/riska attiecība tiek nepārtraukti uzraudzīta. Veselības aprūpes speciālisti tiek lūgti ziņot par jebkādām iespējamām nevēlamām blakusparādībām Zāļu valsts aģentūrai, Jersikas ielā 15, Rīgā, LV 1003. Tīmekļa vietne: </w:t>
      </w:r>
      <w:hyperlink r:id="rId8" w:history="1">
        <w:r w:rsidRPr="00E808F3">
          <w:rPr>
            <w:rStyle w:val="Hyperlink"/>
            <w:color w:val="auto"/>
            <w:sz w:val="22"/>
            <w:szCs w:val="22"/>
            <w:lang w:val="lv-LV"/>
          </w:rPr>
          <w:t>www.zva.gov.lv</w:t>
        </w:r>
      </w:hyperlink>
    </w:p>
    <w:p w14:paraId="6CA5BF20" w14:textId="77777777" w:rsidR="001021BC" w:rsidRPr="00E808F3" w:rsidRDefault="001021BC" w:rsidP="001021BC">
      <w:pPr>
        <w:jc w:val="both"/>
        <w:rPr>
          <w:sz w:val="22"/>
          <w:szCs w:val="22"/>
          <w:lang w:val="lv-LV"/>
        </w:rPr>
      </w:pPr>
    </w:p>
    <w:p w14:paraId="2DA212BB" w14:textId="77777777" w:rsidR="001021BC" w:rsidRPr="0033085D" w:rsidRDefault="001021BC" w:rsidP="001021BC">
      <w:pPr>
        <w:jc w:val="both"/>
        <w:rPr>
          <w:b/>
          <w:sz w:val="22"/>
          <w:szCs w:val="22"/>
          <w:lang w:val="lv-LV"/>
        </w:rPr>
      </w:pPr>
      <w:r w:rsidRPr="0033085D">
        <w:rPr>
          <w:b/>
          <w:sz w:val="22"/>
          <w:szCs w:val="22"/>
          <w:lang w:val="lv-LV"/>
        </w:rPr>
        <w:t>4.9. Pārdozēšana</w:t>
      </w:r>
    </w:p>
    <w:p w14:paraId="3DB55D2F" w14:textId="77777777" w:rsidR="001021BC" w:rsidRPr="0033085D" w:rsidRDefault="001021BC" w:rsidP="001021BC">
      <w:pPr>
        <w:jc w:val="both"/>
        <w:rPr>
          <w:sz w:val="22"/>
          <w:szCs w:val="22"/>
          <w:lang w:val="lv-LV"/>
        </w:rPr>
      </w:pPr>
    </w:p>
    <w:p w14:paraId="71C4B853" w14:textId="77777777" w:rsidR="00F566BE" w:rsidRPr="00FD6D19" w:rsidRDefault="00F566BE" w:rsidP="001021BC">
      <w:pPr>
        <w:jc w:val="both"/>
        <w:rPr>
          <w:sz w:val="22"/>
          <w:szCs w:val="22"/>
          <w:lang w:val="lv-LV"/>
        </w:rPr>
      </w:pPr>
      <w:r w:rsidRPr="0033085D">
        <w:rPr>
          <w:sz w:val="22"/>
          <w:szCs w:val="22"/>
          <w:lang w:val="lv-LV"/>
        </w:rPr>
        <w:t>Ir ziņots par p</w:t>
      </w:r>
      <w:r w:rsidR="001021BC" w:rsidRPr="0033085D">
        <w:rPr>
          <w:sz w:val="22"/>
          <w:szCs w:val="22"/>
          <w:lang w:val="lv-LV"/>
        </w:rPr>
        <w:t>ārdozēšanas gadījumi</w:t>
      </w:r>
      <w:r w:rsidRPr="0033085D">
        <w:rPr>
          <w:sz w:val="22"/>
          <w:szCs w:val="22"/>
          <w:lang w:val="lv-LV"/>
        </w:rPr>
        <w:t xml:space="preserve">em </w:t>
      </w:r>
      <w:r w:rsidR="00816CA2">
        <w:rPr>
          <w:sz w:val="22"/>
          <w:szCs w:val="22"/>
          <w:lang w:val="lv-LV"/>
        </w:rPr>
        <w:t xml:space="preserve">ar dzelzs sāļiem </w:t>
      </w:r>
      <w:r w:rsidRPr="0033085D">
        <w:rPr>
          <w:sz w:val="22"/>
          <w:szCs w:val="22"/>
          <w:lang w:val="lv-LV"/>
        </w:rPr>
        <w:t>galvenokārt maziem bērniem</w:t>
      </w:r>
      <w:r w:rsidR="001021BC" w:rsidRPr="0033085D">
        <w:rPr>
          <w:sz w:val="22"/>
          <w:szCs w:val="22"/>
          <w:lang w:val="lv-LV"/>
        </w:rPr>
        <w:t xml:space="preserve"> pēc </w:t>
      </w:r>
      <w:r w:rsidRPr="0033085D">
        <w:rPr>
          <w:sz w:val="22"/>
          <w:szCs w:val="22"/>
          <w:lang w:val="lv-LV"/>
        </w:rPr>
        <w:t xml:space="preserve">nejaušas, </w:t>
      </w:r>
      <w:r w:rsidR="001021BC" w:rsidRPr="00FD6D19">
        <w:rPr>
          <w:sz w:val="22"/>
          <w:szCs w:val="22"/>
          <w:lang w:val="lv-LV"/>
        </w:rPr>
        <w:t>pārlieku lielas devas</w:t>
      </w:r>
      <w:r w:rsidRPr="00FD6D19">
        <w:rPr>
          <w:sz w:val="22"/>
          <w:szCs w:val="22"/>
          <w:lang w:val="lv-LV"/>
        </w:rPr>
        <w:t xml:space="preserve"> </w:t>
      </w:r>
      <w:r w:rsidR="007E0034">
        <w:rPr>
          <w:sz w:val="22"/>
          <w:szCs w:val="22"/>
          <w:lang w:val="lv-LV"/>
        </w:rPr>
        <w:t>norīšanas</w:t>
      </w:r>
      <w:r w:rsidRPr="00FD6D19">
        <w:rPr>
          <w:sz w:val="22"/>
          <w:szCs w:val="22"/>
          <w:lang w:val="lv-LV"/>
        </w:rPr>
        <w:t>.</w:t>
      </w:r>
      <w:r w:rsidR="001021BC" w:rsidRPr="00FD6D19">
        <w:rPr>
          <w:sz w:val="22"/>
          <w:szCs w:val="22"/>
          <w:lang w:val="lv-LV"/>
        </w:rPr>
        <w:t xml:space="preserve"> </w:t>
      </w:r>
      <w:r w:rsidR="007E0034">
        <w:rPr>
          <w:sz w:val="22"/>
          <w:szCs w:val="22"/>
          <w:lang w:val="lv-LV"/>
        </w:rPr>
        <w:t>Norijot</w:t>
      </w:r>
      <w:r w:rsidR="0019398E" w:rsidRPr="00FD6D19">
        <w:rPr>
          <w:sz w:val="22"/>
          <w:szCs w:val="22"/>
          <w:lang w:val="lv-LV"/>
        </w:rPr>
        <w:t xml:space="preserve"> 20 mg</w:t>
      </w:r>
      <w:r w:rsidR="00816CA2">
        <w:rPr>
          <w:sz w:val="22"/>
          <w:szCs w:val="22"/>
          <w:lang w:val="lv-LV"/>
        </w:rPr>
        <w:t>/kg</w:t>
      </w:r>
      <w:r w:rsidR="0019398E" w:rsidRPr="00FD6D19">
        <w:rPr>
          <w:sz w:val="22"/>
          <w:szCs w:val="22"/>
          <w:lang w:val="lv-LV"/>
        </w:rPr>
        <w:t xml:space="preserve"> t</w:t>
      </w:r>
      <w:r w:rsidR="00816CA2">
        <w:rPr>
          <w:sz w:val="22"/>
          <w:szCs w:val="22"/>
          <w:lang w:val="lv-LV"/>
        </w:rPr>
        <w:t>īra dzelzs vai vairāk</w:t>
      </w:r>
      <w:r w:rsidR="007E0034">
        <w:rPr>
          <w:sz w:val="22"/>
          <w:szCs w:val="22"/>
          <w:lang w:val="lv-LV"/>
        </w:rPr>
        <w:t>,</w:t>
      </w:r>
      <w:r w:rsidRPr="00FD6D19">
        <w:rPr>
          <w:sz w:val="22"/>
          <w:szCs w:val="22"/>
          <w:lang w:val="lv-LV"/>
        </w:rPr>
        <w:t xml:space="preserve"> var rasties intoksikācijas </w:t>
      </w:r>
      <w:r w:rsidR="00816CA2">
        <w:rPr>
          <w:sz w:val="22"/>
          <w:szCs w:val="22"/>
          <w:lang w:val="lv-LV"/>
        </w:rPr>
        <w:t>pazīmes</w:t>
      </w:r>
      <w:r w:rsidRPr="00FD6D19">
        <w:rPr>
          <w:sz w:val="22"/>
          <w:szCs w:val="22"/>
          <w:lang w:val="lv-LV"/>
        </w:rPr>
        <w:t xml:space="preserve">. </w:t>
      </w:r>
      <w:r w:rsidR="007E0034">
        <w:rPr>
          <w:sz w:val="22"/>
          <w:szCs w:val="22"/>
          <w:lang w:val="lv-LV"/>
        </w:rPr>
        <w:t>Norijot</w:t>
      </w:r>
      <w:r w:rsidR="00816CA2">
        <w:rPr>
          <w:sz w:val="22"/>
          <w:szCs w:val="22"/>
          <w:lang w:val="lv-LV"/>
        </w:rPr>
        <w:t xml:space="preserve"> vairāk kā 60 mg/ kg</w:t>
      </w:r>
      <w:r w:rsidR="00697686" w:rsidRPr="00FD6D19">
        <w:rPr>
          <w:sz w:val="22"/>
          <w:szCs w:val="22"/>
          <w:lang w:val="lv-LV"/>
        </w:rPr>
        <w:t xml:space="preserve">, </w:t>
      </w:r>
      <w:r w:rsidRPr="00FD6D19">
        <w:rPr>
          <w:sz w:val="22"/>
          <w:szCs w:val="22"/>
          <w:lang w:val="lv-LV"/>
        </w:rPr>
        <w:t>var rasties smaga</w:t>
      </w:r>
      <w:r w:rsidR="007E0034">
        <w:rPr>
          <w:sz w:val="22"/>
          <w:szCs w:val="22"/>
          <w:lang w:val="lv-LV"/>
        </w:rPr>
        <w:t xml:space="preserve"> saindēšanās</w:t>
      </w:r>
      <w:r w:rsidRPr="00FD6D19">
        <w:rPr>
          <w:sz w:val="22"/>
          <w:szCs w:val="22"/>
          <w:lang w:val="lv-LV"/>
        </w:rPr>
        <w:t xml:space="preserve">. </w:t>
      </w:r>
      <w:r w:rsidR="0019398E" w:rsidRPr="00FD6D19">
        <w:rPr>
          <w:sz w:val="22"/>
          <w:szCs w:val="22"/>
          <w:lang w:val="lv-LV"/>
        </w:rPr>
        <w:t xml:space="preserve"> </w:t>
      </w:r>
      <w:r w:rsidRPr="00FD6D19">
        <w:rPr>
          <w:sz w:val="22"/>
          <w:szCs w:val="22"/>
          <w:lang w:val="lv-LV"/>
        </w:rPr>
        <w:t>Par poten</w:t>
      </w:r>
      <w:r w:rsidR="00816CA2">
        <w:rPr>
          <w:sz w:val="22"/>
          <w:szCs w:val="22"/>
          <w:lang w:val="lv-LV"/>
        </w:rPr>
        <w:t>ciālu</w:t>
      </w:r>
      <w:r w:rsidR="00BE32A6">
        <w:rPr>
          <w:sz w:val="22"/>
          <w:szCs w:val="22"/>
          <w:lang w:val="lv-LV"/>
        </w:rPr>
        <w:t xml:space="preserve"> letālu devu uzskata</w:t>
      </w:r>
      <w:r w:rsidRPr="00FD6D19">
        <w:rPr>
          <w:sz w:val="22"/>
          <w:szCs w:val="22"/>
          <w:lang w:val="lv-LV"/>
        </w:rPr>
        <w:t xml:space="preserve"> </w:t>
      </w:r>
      <w:r w:rsidR="00E87CE4">
        <w:rPr>
          <w:sz w:val="22"/>
          <w:szCs w:val="22"/>
          <w:lang w:val="lv-LV"/>
        </w:rPr>
        <w:t>200 -</w:t>
      </w:r>
      <w:r w:rsidRPr="00FD6D19">
        <w:rPr>
          <w:sz w:val="22"/>
          <w:szCs w:val="22"/>
          <w:lang w:val="lv-LV"/>
        </w:rPr>
        <w:t xml:space="preserve"> </w:t>
      </w:r>
      <w:r w:rsidR="00816CA2">
        <w:rPr>
          <w:sz w:val="22"/>
          <w:szCs w:val="22"/>
          <w:lang w:val="lv-LV"/>
        </w:rPr>
        <w:t>250 mg elementāra dzelzs</w:t>
      </w:r>
      <w:r w:rsidRPr="00FD6D19">
        <w:rPr>
          <w:sz w:val="22"/>
          <w:szCs w:val="22"/>
          <w:lang w:val="lv-LV"/>
        </w:rPr>
        <w:t>. Akūtu saindēšanos ar dzelzi var iedalīt 4 fāzēs:</w:t>
      </w:r>
    </w:p>
    <w:p w14:paraId="22E049B5" w14:textId="77777777" w:rsidR="00697686" w:rsidRPr="00FD6D19" w:rsidRDefault="00697686" w:rsidP="001021BC">
      <w:pPr>
        <w:jc w:val="both"/>
        <w:rPr>
          <w:sz w:val="22"/>
          <w:szCs w:val="22"/>
          <w:lang w:val="lv-LV"/>
        </w:rPr>
      </w:pPr>
    </w:p>
    <w:p w14:paraId="11785A7B" w14:textId="77777777" w:rsidR="00816CA2" w:rsidRPr="00337389" w:rsidRDefault="00F566BE" w:rsidP="001021BC">
      <w:pPr>
        <w:jc w:val="both"/>
        <w:rPr>
          <w:sz w:val="22"/>
          <w:szCs w:val="22"/>
          <w:u w:val="single"/>
          <w:lang w:val="lv-LV"/>
        </w:rPr>
      </w:pPr>
      <w:r w:rsidRPr="00337389">
        <w:rPr>
          <w:sz w:val="22"/>
          <w:szCs w:val="22"/>
          <w:u w:val="single"/>
          <w:lang w:val="lv-LV"/>
        </w:rPr>
        <w:t>Pirmā fāzē</w:t>
      </w:r>
      <w:r w:rsidR="00816CA2" w:rsidRPr="00337389">
        <w:rPr>
          <w:sz w:val="22"/>
          <w:szCs w:val="22"/>
          <w:u w:val="single"/>
          <w:lang w:val="lv-LV"/>
        </w:rPr>
        <w:t>, 6 stundu laikā</w:t>
      </w:r>
      <w:r w:rsidRPr="00337389">
        <w:rPr>
          <w:sz w:val="22"/>
          <w:szCs w:val="22"/>
          <w:u w:val="single"/>
          <w:lang w:val="lv-LV"/>
        </w:rPr>
        <w:t xml:space="preserve"> pēc </w:t>
      </w:r>
      <w:r w:rsidR="00816CA2" w:rsidRPr="00337389">
        <w:rPr>
          <w:sz w:val="22"/>
          <w:szCs w:val="22"/>
          <w:u w:val="single"/>
          <w:lang w:val="lv-LV"/>
        </w:rPr>
        <w:t>intoksikācijas</w:t>
      </w:r>
      <w:r w:rsidRPr="00337389">
        <w:rPr>
          <w:sz w:val="22"/>
          <w:szCs w:val="22"/>
          <w:u w:val="single"/>
          <w:lang w:val="lv-LV"/>
        </w:rPr>
        <w:t xml:space="preserve"> </w:t>
      </w:r>
    </w:p>
    <w:p w14:paraId="5133DD3A" w14:textId="77777777" w:rsidR="00697686" w:rsidRPr="0033085D" w:rsidRDefault="00816CA2" w:rsidP="001021B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</w:t>
      </w:r>
      <w:r w:rsidR="00F566BE" w:rsidRPr="00FD6D19">
        <w:rPr>
          <w:sz w:val="22"/>
          <w:szCs w:val="22"/>
          <w:lang w:val="lv-LV"/>
        </w:rPr>
        <w:t>ovēro gremošanas trakta trauc</w:t>
      </w:r>
      <w:r w:rsidR="00697686" w:rsidRPr="00FD6D19">
        <w:rPr>
          <w:sz w:val="22"/>
          <w:szCs w:val="22"/>
          <w:lang w:val="lv-LV"/>
        </w:rPr>
        <w:t>ējumus -</w:t>
      </w:r>
      <w:r w:rsidR="00F566BE" w:rsidRPr="00FD6D19">
        <w:rPr>
          <w:sz w:val="22"/>
          <w:szCs w:val="22"/>
          <w:lang w:val="lv-LV"/>
        </w:rPr>
        <w:t xml:space="preserve"> vemšanu un caureju.</w:t>
      </w:r>
      <w:r w:rsidR="00697686" w:rsidRPr="00E808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Citas </w:t>
      </w:r>
      <w:proofErr w:type="spellStart"/>
      <w:r>
        <w:rPr>
          <w:sz w:val="22"/>
          <w:szCs w:val="22"/>
        </w:rPr>
        <w:t>pazīmes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</w:t>
      </w:r>
      <w:r w:rsidR="00F566BE" w:rsidRPr="00E808F3">
        <w:rPr>
          <w:sz w:val="22"/>
          <w:szCs w:val="22"/>
          <w:lang w:val="lv-LV"/>
        </w:rPr>
        <w:t>kardiovaskulāri traucējumi, piemēram, hipotensija, vielmaiņas izmaiņas, ieskait</w:t>
      </w:r>
      <w:r w:rsidR="00697686" w:rsidRPr="00E808F3">
        <w:rPr>
          <w:sz w:val="22"/>
          <w:szCs w:val="22"/>
          <w:lang w:val="lv-LV"/>
        </w:rPr>
        <w:t xml:space="preserve">ot </w:t>
      </w:r>
      <w:r w:rsidR="00E87CE4">
        <w:rPr>
          <w:sz w:val="22"/>
          <w:szCs w:val="22"/>
          <w:lang w:val="lv-LV"/>
        </w:rPr>
        <w:t xml:space="preserve">metabolo </w:t>
      </w:r>
      <w:r w:rsidR="00697686" w:rsidRPr="00E808F3">
        <w:rPr>
          <w:sz w:val="22"/>
          <w:szCs w:val="22"/>
          <w:lang w:val="lv-LV"/>
        </w:rPr>
        <w:t>acidozi un hiperglikēmiju,</w:t>
      </w:r>
      <w:r w:rsidR="00E87CE4">
        <w:rPr>
          <w:sz w:val="22"/>
          <w:szCs w:val="22"/>
          <w:lang w:val="lv-LV"/>
        </w:rPr>
        <w:t xml:space="preserve"> centrālās nervu sistēmas</w:t>
      </w:r>
      <w:r>
        <w:rPr>
          <w:sz w:val="22"/>
          <w:szCs w:val="22"/>
          <w:lang w:val="lv-LV"/>
        </w:rPr>
        <w:t xml:space="preserve"> nomākums,</w:t>
      </w:r>
      <w:r w:rsidR="00F566BE" w:rsidRPr="00E808F3">
        <w:rPr>
          <w:sz w:val="22"/>
          <w:szCs w:val="22"/>
          <w:lang w:val="lv-LV"/>
        </w:rPr>
        <w:t xml:space="preserve"> no letarģijas līdz komai. </w:t>
      </w:r>
      <w:r w:rsidRPr="00942396">
        <w:rPr>
          <w:iCs/>
          <w:sz w:val="22"/>
          <w:szCs w:val="22"/>
          <w:lang w:val="lv-LV"/>
        </w:rPr>
        <w:t>Vieglas vai vidēji smagas intoksikācijas gadījumā pacientam parasti neiestājas nākamās fāzes.</w:t>
      </w:r>
    </w:p>
    <w:p w14:paraId="4DBACAEB" w14:textId="77777777" w:rsidR="00697686" w:rsidRPr="0033085D" w:rsidRDefault="00697686" w:rsidP="001021BC">
      <w:pPr>
        <w:jc w:val="both"/>
        <w:rPr>
          <w:sz w:val="22"/>
          <w:szCs w:val="22"/>
          <w:lang w:val="lv-LV"/>
        </w:rPr>
      </w:pPr>
    </w:p>
    <w:p w14:paraId="120772D7" w14:textId="77777777" w:rsidR="00E87CE4" w:rsidRPr="00337389" w:rsidRDefault="00697686" w:rsidP="001021BC">
      <w:pPr>
        <w:jc w:val="both"/>
        <w:rPr>
          <w:sz w:val="22"/>
          <w:szCs w:val="22"/>
          <w:u w:val="single"/>
          <w:lang w:val="lv-LV"/>
        </w:rPr>
      </w:pPr>
      <w:r w:rsidRPr="00337389">
        <w:rPr>
          <w:sz w:val="22"/>
          <w:szCs w:val="22"/>
          <w:u w:val="single"/>
          <w:lang w:val="lv-LV"/>
        </w:rPr>
        <w:lastRenderedPageBreak/>
        <w:t xml:space="preserve">Otrā fāze, 6 līdz 24 stundas </w:t>
      </w:r>
      <w:r w:rsidR="00E87CE4" w:rsidRPr="00337389">
        <w:rPr>
          <w:sz w:val="22"/>
          <w:szCs w:val="22"/>
          <w:u w:val="single"/>
          <w:lang w:val="lv-LV"/>
        </w:rPr>
        <w:t>pēc pārdozēšanas</w:t>
      </w:r>
    </w:p>
    <w:p w14:paraId="42CD50F0" w14:textId="77777777" w:rsidR="00697686" w:rsidRPr="0033085D" w:rsidRDefault="00E87CE4" w:rsidP="001021B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To raksturo īslaicīga uzlabošanās</w:t>
      </w:r>
      <w:r w:rsidR="00697686" w:rsidRPr="0033085D">
        <w:rPr>
          <w:sz w:val="22"/>
          <w:szCs w:val="22"/>
          <w:lang w:val="lv-LV"/>
        </w:rPr>
        <w:t xml:space="preserve"> vai klīniskā stabilizācija.</w:t>
      </w:r>
    </w:p>
    <w:p w14:paraId="59A6CED1" w14:textId="77777777" w:rsidR="00697686" w:rsidRPr="00FD6D19" w:rsidRDefault="00697686" w:rsidP="001021BC">
      <w:pPr>
        <w:jc w:val="both"/>
        <w:rPr>
          <w:sz w:val="22"/>
          <w:szCs w:val="22"/>
          <w:lang w:val="lv-LV"/>
        </w:rPr>
      </w:pPr>
    </w:p>
    <w:p w14:paraId="6F591AA3" w14:textId="77777777" w:rsidR="00E87CE4" w:rsidRPr="00337389" w:rsidRDefault="00E87CE4" w:rsidP="001021BC">
      <w:pPr>
        <w:jc w:val="both"/>
        <w:rPr>
          <w:sz w:val="22"/>
          <w:szCs w:val="22"/>
          <w:u w:val="single"/>
          <w:lang w:val="lv-LV"/>
        </w:rPr>
      </w:pPr>
      <w:r w:rsidRPr="00337389">
        <w:rPr>
          <w:sz w:val="22"/>
          <w:szCs w:val="22"/>
          <w:u w:val="single"/>
          <w:lang w:val="lv-LV"/>
        </w:rPr>
        <w:t>Trešā fāzē,</w:t>
      </w:r>
      <w:r w:rsidR="00697686" w:rsidRPr="00337389">
        <w:rPr>
          <w:sz w:val="22"/>
          <w:szCs w:val="22"/>
          <w:u w:val="single"/>
          <w:lang w:val="lv-LV"/>
        </w:rPr>
        <w:t xml:space="preserve"> 1</w:t>
      </w:r>
      <w:r w:rsidRPr="00337389">
        <w:rPr>
          <w:sz w:val="22"/>
          <w:szCs w:val="22"/>
          <w:u w:val="single"/>
          <w:lang w:val="lv-LV"/>
        </w:rPr>
        <w:t>2 līdz 48 stundas pēc pārdozēšanas</w:t>
      </w:r>
    </w:p>
    <w:p w14:paraId="485FE2F0" w14:textId="77777777" w:rsidR="00697686" w:rsidRPr="00FD6D19" w:rsidRDefault="00E87CE4" w:rsidP="001021B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Var atkārtoties k</w:t>
      </w:r>
      <w:r w:rsidR="00697686" w:rsidRPr="00FD6D19">
        <w:rPr>
          <w:sz w:val="22"/>
          <w:szCs w:val="22"/>
          <w:lang w:val="lv-LV"/>
        </w:rPr>
        <w:t xml:space="preserve">uņģa-zarnu trakta toksicitāte kopā ar šoku, metabolo acidozi, smagu letarģiju vai komu, aknu nekrozi un dzelti, hipoglikēmiju, </w:t>
      </w:r>
      <w:r>
        <w:rPr>
          <w:sz w:val="22"/>
          <w:szCs w:val="22"/>
          <w:lang w:val="lv-LV"/>
        </w:rPr>
        <w:t>asins recēšanas</w:t>
      </w:r>
      <w:r w:rsidR="00697686" w:rsidRPr="00FD6D19">
        <w:rPr>
          <w:sz w:val="22"/>
          <w:szCs w:val="22"/>
          <w:lang w:val="lv-LV"/>
        </w:rPr>
        <w:t xml:space="preserve"> traucējumiem, oligūriju vai nieru mazspēju un iespējamu miokarda disfunkciju.</w:t>
      </w:r>
    </w:p>
    <w:p w14:paraId="2191F79E" w14:textId="77777777" w:rsidR="00697686" w:rsidRPr="00FD6D19" w:rsidRDefault="00697686" w:rsidP="001021BC">
      <w:pPr>
        <w:jc w:val="both"/>
        <w:rPr>
          <w:sz w:val="22"/>
          <w:szCs w:val="22"/>
          <w:lang w:val="lv-LV"/>
        </w:rPr>
      </w:pPr>
    </w:p>
    <w:p w14:paraId="77D5277C" w14:textId="77777777" w:rsidR="00E87CE4" w:rsidRPr="00337389" w:rsidRDefault="00E87CE4" w:rsidP="001021BC">
      <w:pPr>
        <w:jc w:val="both"/>
        <w:rPr>
          <w:sz w:val="22"/>
          <w:szCs w:val="22"/>
          <w:u w:val="single"/>
          <w:lang w:val="lv-LV"/>
        </w:rPr>
      </w:pPr>
      <w:r w:rsidRPr="00337389">
        <w:rPr>
          <w:sz w:val="22"/>
          <w:szCs w:val="22"/>
          <w:u w:val="single"/>
          <w:lang w:val="lv-LV"/>
        </w:rPr>
        <w:t>Ceturtā fāze, vairākas nedēļas pēc pārdozēšanas</w:t>
      </w:r>
    </w:p>
    <w:p w14:paraId="4758BE00" w14:textId="77777777" w:rsidR="00697686" w:rsidRPr="00FD6D19" w:rsidRDefault="00E87CE4" w:rsidP="001021B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Var rasties</w:t>
      </w:r>
      <w:r w:rsidR="00697686" w:rsidRPr="00FD6D19">
        <w:rPr>
          <w:sz w:val="22"/>
          <w:szCs w:val="22"/>
          <w:lang w:val="lv-LV"/>
        </w:rPr>
        <w:t xml:space="preserve"> kuņģa-zarnu trakt</w:t>
      </w:r>
      <w:r>
        <w:rPr>
          <w:sz w:val="22"/>
          <w:szCs w:val="22"/>
          <w:lang w:val="lv-LV"/>
        </w:rPr>
        <w:t>a obstrukcija un novēlots</w:t>
      </w:r>
      <w:r w:rsidR="00697686" w:rsidRPr="00FD6D19">
        <w:rPr>
          <w:sz w:val="22"/>
          <w:szCs w:val="22"/>
          <w:lang w:val="lv-LV"/>
        </w:rPr>
        <w:t xml:space="preserve"> aknu bojājums.</w:t>
      </w:r>
    </w:p>
    <w:p w14:paraId="327DECE1" w14:textId="77777777" w:rsidR="00697686" w:rsidRPr="00FD6D19" w:rsidRDefault="00697686" w:rsidP="001021BC">
      <w:pPr>
        <w:jc w:val="both"/>
        <w:rPr>
          <w:sz w:val="22"/>
          <w:szCs w:val="22"/>
          <w:lang w:val="lv-LV"/>
        </w:rPr>
      </w:pPr>
    </w:p>
    <w:p w14:paraId="23F53647" w14:textId="77777777" w:rsidR="00697686" w:rsidRPr="00BE32A6" w:rsidRDefault="00697686" w:rsidP="001021BC">
      <w:pPr>
        <w:jc w:val="both"/>
        <w:rPr>
          <w:sz w:val="22"/>
          <w:szCs w:val="22"/>
          <w:lang w:val="lv-LV"/>
        </w:rPr>
      </w:pPr>
      <w:r w:rsidRPr="007E0034">
        <w:rPr>
          <w:sz w:val="22"/>
          <w:szCs w:val="22"/>
          <w:lang w:val="lv-LV"/>
        </w:rPr>
        <w:t>Ārstēšana jāuzsāk pēc iespējas ātrāk</w:t>
      </w:r>
      <w:r w:rsidR="00585734" w:rsidRPr="007E0034">
        <w:rPr>
          <w:sz w:val="22"/>
          <w:szCs w:val="22"/>
          <w:lang w:val="lv-LV"/>
        </w:rPr>
        <w:t>. A</w:t>
      </w:r>
      <w:r w:rsidRPr="007E0034">
        <w:rPr>
          <w:sz w:val="22"/>
          <w:szCs w:val="22"/>
          <w:lang w:val="lv-LV"/>
        </w:rPr>
        <w:t xml:space="preserve">tkarībā no dzelzs </w:t>
      </w:r>
      <w:r w:rsidR="00E87CE4">
        <w:rPr>
          <w:sz w:val="22"/>
          <w:szCs w:val="22"/>
          <w:lang w:val="lv-LV"/>
        </w:rPr>
        <w:t>koncentrācijas serumā,</w:t>
      </w:r>
      <w:r w:rsidRPr="007E0034">
        <w:rPr>
          <w:sz w:val="22"/>
          <w:szCs w:val="22"/>
          <w:lang w:val="lv-LV"/>
        </w:rPr>
        <w:t xml:space="preserve"> </w:t>
      </w:r>
      <w:r w:rsidR="00E87CE4">
        <w:rPr>
          <w:sz w:val="22"/>
          <w:szCs w:val="22"/>
          <w:lang w:val="lv-LV"/>
        </w:rPr>
        <w:t>jālieto</w:t>
      </w:r>
      <w:r w:rsidRPr="007E0034">
        <w:rPr>
          <w:sz w:val="22"/>
          <w:szCs w:val="22"/>
          <w:lang w:val="lv-LV"/>
        </w:rPr>
        <w:t xml:space="preserve"> helātus veidojoš</w:t>
      </w:r>
      <w:r w:rsidR="00E87CE4">
        <w:rPr>
          <w:sz w:val="22"/>
          <w:szCs w:val="22"/>
          <w:lang w:val="lv-LV"/>
        </w:rPr>
        <w:t>s</w:t>
      </w:r>
      <w:r w:rsidRPr="007E0034">
        <w:rPr>
          <w:sz w:val="22"/>
          <w:szCs w:val="22"/>
          <w:lang w:val="lv-LV"/>
        </w:rPr>
        <w:t xml:space="preserve"> līdzekli</w:t>
      </w:r>
      <w:r w:rsidR="00E87CE4">
        <w:rPr>
          <w:sz w:val="22"/>
          <w:szCs w:val="22"/>
          <w:lang w:val="lv-LV"/>
        </w:rPr>
        <w:t>s, piemēram, deferoksamīns</w:t>
      </w:r>
      <w:r w:rsidRPr="00BE32A6">
        <w:rPr>
          <w:sz w:val="22"/>
          <w:szCs w:val="22"/>
          <w:lang w:val="lv-LV"/>
        </w:rPr>
        <w:t>.</w:t>
      </w:r>
    </w:p>
    <w:p w14:paraId="113000A9" w14:textId="77777777" w:rsidR="00697686" w:rsidRPr="00BE32A6" w:rsidRDefault="00697686" w:rsidP="001021BC">
      <w:pPr>
        <w:jc w:val="both"/>
        <w:rPr>
          <w:sz w:val="22"/>
          <w:szCs w:val="22"/>
          <w:lang w:val="lv-LV"/>
        </w:rPr>
      </w:pPr>
    </w:p>
    <w:p w14:paraId="79961614" w14:textId="77777777" w:rsidR="001021BC" w:rsidRPr="0033085D" w:rsidRDefault="001021BC" w:rsidP="001021BC">
      <w:pPr>
        <w:jc w:val="both"/>
        <w:rPr>
          <w:sz w:val="22"/>
          <w:szCs w:val="22"/>
          <w:lang w:val="lv-LV"/>
        </w:rPr>
      </w:pPr>
    </w:p>
    <w:p w14:paraId="0DD9F06F" w14:textId="77777777" w:rsidR="001021BC" w:rsidRPr="0033085D" w:rsidRDefault="001021BC" w:rsidP="001021BC">
      <w:pPr>
        <w:jc w:val="both"/>
        <w:rPr>
          <w:b/>
          <w:sz w:val="22"/>
          <w:szCs w:val="22"/>
          <w:lang w:val="lv-LV"/>
        </w:rPr>
      </w:pPr>
      <w:r w:rsidRPr="0033085D">
        <w:rPr>
          <w:b/>
          <w:sz w:val="22"/>
          <w:szCs w:val="22"/>
          <w:lang w:val="lv-LV"/>
        </w:rPr>
        <w:t>5. FARMAKOLOĢISKĀS ĪPAŠĪBAS</w:t>
      </w:r>
    </w:p>
    <w:p w14:paraId="7CE98CD7" w14:textId="77777777" w:rsidR="001021BC" w:rsidRPr="0033085D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26CD0EFD" w14:textId="77777777" w:rsidR="001021BC" w:rsidRPr="00FD6D19" w:rsidRDefault="001021BC" w:rsidP="001021BC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FD6D19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5.1. Farmakodinamiskās īpašības</w:t>
      </w:r>
    </w:p>
    <w:p w14:paraId="23C4D58E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</w:p>
    <w:p w14:paraId="514173AA" w14:textId="77777777" w:rsidR="00ED6984" w:rsidRDefault="001021BC" w:rsidP="001021BC">
      <w:pPr>
        <w:jc w:val="both"/>
        <w:rPr>
          <w:b/>
          <w:sz w:val="22"/>
          <w:szCs w:val="22"/>
          <w:lang w:val="lv-LV"/>
        </w:rPr>
      </w:pPr>
      <w:r w:rsidRPr="00FD6D19">
        <w:rPr>
          <w:b/>
          <w:sz w:val="22"/>
          <w:szCs w:val="22"/>
          <w:lang w:val="lv-LV"/>
        </w:rPr>
        <w:t>Farmakoterapeitiskā grupa</w:t>
      </w:r>
      <w:r w:rsidRPr="00FD6D19">
        <w:rPr>
          <w:sz w:val="22"/>
          <w:szCs w:val="22"/>
          <w:lang w:val="lv-LV"/>
        </w:rPr>
        <w:t xml:space="preserve">: </w:t>
      </w:r>
      <w:r w:rsidR="00585734" w:rsidRPr="00FD6D19">
        <w:rPr>
          <w:sz w:val="22"/>
          <w:szCs w:val="22"/>
          <w:lang w:val="lv-LV"/>
        </w:rPr>
        <w:t>ANTIANĒMISKI LĪDZEKĻI.</w:t>
      </w:r>
    </w:p>
    <w:p w14:paraId="56FF1ABF" w14:textId="77777777" w:rsidR="001021BC" w:rsidRPr="00FD6D19" w:rsidRDefault="001021BC" w:rsidP="001021BC">
      <w:pPr>
        <w:jc w:val="both"/>
        <w:rPr>
          <w:b/>
          <w:sz w:val="22"/>
          <w:szCs w:val="22"/>
          <w:lang w:val="lv-LV"/>
        </w:rPr>
      </w:pPr>
      <w:r w:rsidRPr="00FD6D19">
        <w:rPr>
          <w:b/>
          <w:sz w:val="22"/>
          <w:szCs w:val="22"/>
          <w:lang w:val="lv-LV"/>
        </w:rPr>
        <w:t>ATĶ kods: B03AE10.</w:t>
      </w:r>
    </w:p>
    <w:p w14:paraId="13B1F100" w14:textId="77777777" w:rsidR="00ED6984" w:rsidRDefault="00ED6984" w:rsidP="001021BC">
      <w:pPr>
        <w:pStyle w:val="BodyText2"/>
        <w:tabs>
          <w:tab w:val="right" w:pos="7371"/>
        </w:tabs>
        <w:rPr>
          <w:sz w:val="22"/>
          <w:szCs w:val="22"/>
          <w:u w:val="single"/>
          <w:lang w:val="lv-LV"/>
        </w:rPr>
      </w:pPr>
    </w:p>
    <w:p w14:paraId="2C7737C9" w14:textId="77777777" w:rsidR="001021BC" w:rsidRPr="00FD6D19" w:rsidRDefault="00942134" w:rsidP="001021BC">
      <w:pPr>
        <w:pStyle w:val="BodyText2"/>
        <w:tabs>
          <w:tab w:val="right" w:pos="7371"/>
        </w:tabs>
        <w:rPr>
          <w:sz w:val="22"/>
          <w:szCs w:val="22"/>
          <w:u w:val="single"/>
          <w:lang w:val="lv-LV"/>
        </w:rPr>
      </w:pPr>
      <w:r w:rsidRPr="00FD6D19">
        <w:rPr>
          <w:sz w:val="22"/>
          <w:szCs w:val="22"/>
          <w:u w:val="single"/>
          <w:lang w:val="lv-LV"/>
        </w:rPr>
        <w:t>Darbības mehānisms</w:t>
      </w:r>
    </w:p>
    <w:p w14:paraId="74A3E8FE" w14:textId="77777777" w:rsidR="00942134" w:rsidRPr="007E0034" w:rsidRDefault="00ED6984" w:rsidP="00942134">
      <w:pPr>
        <w:pStyle w:val="BodyText2"/>
        <w:tabs>
          <w:tab w:val="right" w:pos="7371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Dzelzs ir nozīmīga minerālviela, kurai ir būtiska</w:t>
      </w:r>
      <w:r w:rsidR="00942134" w:rsidRPr="00FD6D19">
        <w:rPr>
          <w:sz w:val="22"/>
          <w:szCs w:val="22"/>
          <w:lang w:val="lv-LV"/>
        </w:rPr>
        <w:t xml:space="preserve"> loma daudzās fizioloģiskajās funkcijās, pi</w:t>
      </w:r>
      <w:r w:rsidR="00920F15" w:rsidRPr="00FD6D19">
        <w:rPr>
          <w:sz w:val="22"/>
          <w:szCs w:val="22"/>
          <w:lang w:val="lv-LV"/>
        </w:rPr>
        <w:t>emēram, sk</w:t>
      </w:r>
      <w:r w:rsidR="00920F15" w:rsidRPr="007E0034">
        <w:rPr>
          <w:sz w:val="22"/>
          <w:szCs w:val="22"/>
          <w:lang w:val="lv-LV"/>
        </w:rPr>
        <w:t>ābekļa transportā, ATF</w:t>
      </w:r>
      <w:r w:rsidR="00942134" w:rsidRPr="007E0034">
        <w:rPr>
          <w:sz w:val="22"/>
          <w:szCs w:val="22"/>
          <w:lang w:val="lv-LV"/>
        </w:rPr>
        <w:t xml:space="preserve"> ražošanā, DNS sintēzē un elektronu transportā.</w:t>
      </w:r>
    </w:p>
    <w:p w14:paraId="4F2E4358" w14:textId="77777777" w:rsidR="00942134" w:rsidRPr="00BE32A6" w:rsidRDefault="00942134" w:rsidP="00942134">
      <w:pPr>
        <w:pStyle w:val="BodyText2"/>
        <w:tabs>
          <w:tab w:val="right" w:pos="7371"/>
        </w:tabs>
        <w:rPr>
          <w:sz w:val="22"/>
          <w:szCs w:val="22"/>
          <w:lang w:val="lv-LV"/>
        </w:rPr>
      </w:pPr>
      <w:r w:rsidRPr="007E0034">
        <w:rPr>
          <w:sz w:val="22"/>
          <w:szCs w:val="22"/>
          <w:lang w:val="lv-LV"/>
        </w:rPr>
        <w:t xml:space="preserve">Dzelzs ir hemoglobīna hēma grupas centrālais atoms, tāpēc tas ir </w:t>
      </w:r>
      <w:r w:rsidRPr="00BE32A6">
        <w:rPr>
          <w:sz w:val="22"/>
          <w:szCs w:val="22"/>
          <w:lang w:val="lv-LV"/>
        </w:rPr>
        <w:t>būtisks eritropoēzes nodrošināšanā.</w:t>
      </w:r>
    </w:p>
    <w:p w14:paraId="3CDA768A" w14:textId="77777777" w:rsidR="00942134" w:rsidRPr="00FF4C58" w:rsidRDefault="00942134" w:rsidP="00942134">
      <w:pPr>
        <w:pStyle w:val="BodyText2"/>
        <w:tabs>
          <w:tab w:val="right" w:pos="7371"/>
        </w:tabs>
        <w:rPr>
          <w:sz w:val="22"/>
          <w:szCs w:val="22"/>
          <w:lang w:val="lv-LV"/>
        </w:rPr>
      </w:pPr>
      <w:r w:rsidRPr="00816CA2">
        <w:rPr>
          <w:sz w:val="22"/>
          <w:szCs w:val="22"/>
          <w:lang w:val="lv-LV"/>
        </w:rPr>
        <w:t>Dzelzs preparāti novērš dzelzs deficītu organismā</w:t>
      </w:r>
      <w:r w:rsidR="00920F15" w:rsidRPr="00816CA2">
        <w:rPr>
          <w:sz w:val="22"/>
          <w:szCs w:val="22"/>
          <w:lang w:val="lv-LV"/>
        </w:rPr>
        <w:t>. Tie</w:t>
      </w:r>
      <w:r w:rsidRPr="00816CA2">
        <w:rPr>
          <w:sz w:val="22"/>
          <w:szCs w:val="22"/>
          <w:lang w:val="lv-LV"/>
        </w:rPr>
        <w:t xml:space="preserve"> novērš </w:t>
      </w:r>
      <w:r w:rsidR="00920F15" w:rsidRPr="00816CA2">
        <w:rPr>
          <w:sz w:val="22"/>
          <w:szCs w:val="22"/>
          <w:lang w:val="lv-LV"/>
        </w:rPr>
        <w:t xml:space="preserve">arī </w:t>
      </w:r>
      <w:r w:rsidRPr="00816CA2">
        <w:rPr>
          <w:sz w:val="22"/>
          <w:szCs w:val="22"/>
          <w:lang w:val="lv-LV"/>
        </w:rPr>
        <w:t xml:space="preserve">iespējamu dzelzs deficīta rašanos, ja organismā ir palielināta </w:t>
      </w:r>
      <w:r w:rsidRPr="004F1947">
        <w:rPr>
          <w:sz w:val="22"/>
          <w:szCs w:val="22"/>
          <w:lang w:val="lv-LV"/>
        </w:rPr>
        <w:t>nepieciešamība pēc dzelzs un tā</w:t>
      </w:r>
      <w:r w:rsidR="00920F15" w:rsidRPr="004F1947">
        <w:rPr>
          <w:sz w:val="22"/>
          <w:szCs w:val="22"/>
          <w:lang w:val="lv-LV"/>
        </w:rPr>
        <w:t xml:space="preserve"> organismā</w:t>
      </w:r>
      <w:r w:rsidRPr="004F1947">
        <w:rPr>
          <w:sz w:val="22"/>
          <w:szCs w:val="22"/>
          <w:lang w:val="lv-LV"/>
        </w:rPr>
        <w:t xml:space="preserve"> ir par maz.</w:t>
      </w:r>
    </w:p>
    <w:p w14:paraId="2402515E" w14:textId="77777777" w:rsidR="00585734" w:rsidRPr="00FF4C58" w:rsidRDefault="00585734" w:rsidP="001021BC">
      <w:pPr>
        <w:pStyle w:val="BodyText2"/>
        <w:tabs>
          <w:tab w:val="right" w:pos="7371"/>
        </w:tabs>
        <w:rPr>
          <w:sz w:val="22"/>
          <w:szCs w:val="22"/>
          <w:lang w:val="lv-LV"/>
        </w:rPr>
      </w:pPr>
    </w:p>
    <w:p w14:paraId="07F856B2" w14:textId="77777777" w:rsidR="001021BC" w:rsidRPr="00FF4C58" w:rsidRDefault="001021BC" w:rsidP="001021BC">
      <w:pPr>
        <w:jc w:val="both"/>
        <w:rPr>
          <w:b/>
          <w:caps/>
          <w:sz w:val="22"/>
          <w:szCs w:val="22"/>
          <w:lang w:val="lv-LV"/>
        </w:rPr>
      </w:pPr>
      <w:r w:rsidRPr="00FF4C58">
        <w:rPr>
          <w:b/>
          <w:sz w:val="22"/>
          <w:szCs w:val="22"/>
          <w:lang w:val="lv-LV"/>
        </w:rPr>
        <w:t>5.2. Farmakokinētiskās īpašības</w:t>
      </w:r>
    </w:p>
    <w:p w14:paraId="5D22B272" w14:textId="77777777" w:rsidR="001021BC" w:rsidRPr="00A000B6" w:rsidRDefault="001021BC" w:rsidP="001021BC">
      <w:pPr>
        <w:jc w:val="both"/>
        <w:rPr>
          <w:sz w:val="22"/>
          <w:szCs w:val="22"/>
          <w:lang w:val="lv-LV"/>
        </w:rPr>
      </w:pPr>
    </w:p>
    <w:p w14:paraId="172499B5" w14:textId="77777777" w:rsidR="00920F15" w:rsidRPr="00114EC4" w:rsidRDefault="00ED6984" w:rsidP="00920F15">
      <w:pPr>
        <w:jc w:val="both"/>
        <w:rPr>
          <w:sz w:val="22"/>
          <w:szCs w:val="22"/>
          <w:u w:val="single"/>
          <w:lang w:val="lv-LV"/>
        </w:rPr>
      </w:pPr>
      <w:r>
        <w:rPr>
          <w:sz w:val="22"/>
          <w:szCs w:val="22"/>
          <w:u w:val="single"/>
          <w:lang w:val="lv-LV"/>
        </w:rPr>
        <w:t>Uzsūkšanās</w:t>
      </w:r>
    </w:p>
    <w:p w14:paraId="72296382" w14:textId="77777777" w:rsidR="00920F15" w:rsidRPr="00B428EE" w:rsidRDefault="00920F15" w:rsidP="00920F15">
      <w:pPr>
        <w:jc w:val="both"/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 xml:space="preserve">Uzsūkšanās galvenokārt notiek divpadsmitpirkstu zarnā un tievās zarnas proksimālajā daļā. Uzsūkšanās procents palielinās, </w:t>
      </w:r>
      <w:r w:rsidRPr="00B428EE">
        <w:rPr>
          <w:sz w:val="22"/>
          <w:szCs w:val="22"/>
          <w:lang w:val="lv-LV"/>
        </w:rPr>
        <w:t>ja ir dzelzs trūkums organismā.</w:t>
      </w:r>
    </w:p>
    <w:p w14:paraId="38DB5941" w14:textId="77777777" w:rsidR="00920F15" w:rsidRPr="00B428EE" w:rsidRDefault="00920F15" w:rsidP="00920F15">
      <w:pPr>
        <w:jc w:val="both"/>
        <w:rPr>
          <w:sz w:val="22"/>
          <w:szCs w:val="22"/>
          <w:lang w:val="lv-LV"/>
        </w:rPr>
      </w:pPr>
      <w:r w:rsidRPr="00B428EE">
        <w:rPr>
          <w:sz w:val="22"/>
          <w:szCs w:val="22"/>
          <w:lang w:val="lv-LV"/>
        </w:rPr>
        <w:t xml:space="preserve">Varš var pozitīvi ietekmēt dzelzs transportu enterocītos. Dzelzs uzsūkšanos var ietekmēt vienlaicīga noteiktu pārtikas produktu un dzērienu lietošana, vai atsevišķu zāļu vienlaicīga lietošana </w:t>
      </w:r>
      <w:r w:rsidR="00ED6984">
        <w:rPr>
          <w:sz w:val="22"/>
          <w:szCs w:val="22"/>
          <w:lang w:val="lv-LV"/>
        </w:rPr>
        <w:t>(skatīt 4.4. un 4.5. apakšpunkto</w:t>
      </w:r>
      <w:r w:rsidRPr="00B428EE">
        <w:rPr>
          <w:sz w:val="22"/>
          <w:szCs w:val="22"/>
          <w:lang w:val="lv-LV"/>
        </w:rPr>
        <w:t>s).</w:t>
      </w:r>
    </w:p>
    <w:p w14:paraId="51FBE329" w14:textId="77777777" w:rsidR="00920F15" w:rsidRPr="00B428EE" w:rsidRDefault="00920F15" w:rsidP="00920F15">
      <w:pPr>
        <w:jc w:val="both"/>
        <w:rPr>
          <w:sz w:val="22"/>
          <w:szCs w:val="22"/>
          <w:lang w:val="lv-LV"/>
        </w:rPr>
      </w:pPr>
    </w:p>
    <w:p w14:paraId="47467FD9" w14:textId="77777777" w:rsidR="00920F15" w:rsidRPr="00A32C44" w:rsidRDefault="00920F15" w:rsidP="00920F15">
      <w:pPr>
        <w:jc w:val="both"/>
        <w:rPr>
          <w:sz w:val="22"/>
          <w:szCs w:val="22"/>
          <w:u w:val="single"/>
          <w:lang w:val="lv-LV"/>
        </w:rPr>
      </w:pPr>
      <w:r w:rsidRPr="00A32C44">
        <w:rPr>
          <w:sz w:val="22"/>
          <w:szCs w:val="22"/>
          <w:u w:val="single"/>
          <w:lang w:val="lv-LV"/>
        </w:rPr>
        <w:t>Izkliede</w:t>
      </w:r>
    </w:p>
    <w:p w14:paraId="76A38D82" w14:textId="77777777" w:rsidR="00920F15" w:rsidRPr="00254C05" w:rsidRDefault="00920F15" w:rsidP="00920F15">
      <w:pPr>
        <w:jc w:val="both"/>
        <w:rPr>
          <w:sz w:val="22"/>
          <w:szCs w:val="22"/>
          <w:lang w:val="lv-LV"/>
        </w:rPr>
      </w:pPr>
      <w:r w:rsidRPr="0090542F">
        <w:rPr>
          <w:sz w:val="22"/>
          <w:szCs w:val="22"/>
          <w:lang w:val="lv-LV"/>
        </w:rPr>
        <w:t>Organismā d</w:t>
      </w:r>
      <w:r w:rsidR="00ED6984">
        <w:rPr>
          <w:sz w:val="22"/>
          <w:szCs w:val="22"/>
          <w:lang w:val="lv-LV"/>
        </w:rPr>
        <w:t>zelzs galvenokārt uzkrājas</w:t>
      </w:r>
      <w:r w:rsidRPr="0090542F">
        <w:rPr>
          <w:sz w:val="22"/>
          <w:szCs w:val="22"/>
          <w:lang w:val="lv-LV"/>
        </w:rPr>
        <w:t xml:space="preserve"> kaulu smadzenēs (eritroblastos) un eritrocītos. </w:t>
      </w:r>
      <w:r w:rsidR="00337389">
        <w:rPr>
          <w:sz w:val="22"/>
          <w:szCs w:val="22"/>
          <w:lang w:val="lv-LV"/>
        </w:rPr>
        <w:t>Tas var uzkrāties d</w:t>
      </w:r>
      <w:r w:rsidRPr="0090542F">
        <w:rPr>
          <w:sz w:val="22"/>
          <w:szCs w:val="22"/>
          <w:lang w:val="lv-LV"/>
        </w:rPr>
        <w:t xml:space="preserve">zelzs kompleksa </w:t>
      </w:r>
      <w:r w:rsidR="00ED6984">
        <w:rPr>
          <w:sz w:val="22"/>
          <w:szCs w:val="22"/>
          <w:lang w:val="lv-LV"/>
        </w:rPr>
        <w:t xml:space="preserve">veidā (feritīns) </w:t>
      </w:r>
      <w:r w:rsidRPr="0090542F">
        <w:rPr>
          <w:sz w:val="22"/>
          <w:szCs w:val="22"/>
          <w:lang w:val="lv-LV"/>
        </w:rPr>
        <w:t xml:space="preserve">aknās, liesā un kaulu smadzenēs. Asinsritē dzelzi </w:t>
      </w:r>
      <w:r w:rsidR="00337389" w:rsidRPr="0090542F">
        <w:rPr>
          <w:sz w:val="22"/>
          <w:szCs w:val="22"/>
          <w:lang w:val="lv-LV"/>
        </w:rPr>
        <w:t xml:space="preserve">uz kaulu smadzenēm </w:t>
      </w:r>
      <w:r w:rsidRPr="0090542F">
        <w:rPr>
          <w:sz w:val="22"/>
          <w:szCs w:val="22"/>
          <w:lang w:val="lv-LV"/>
        </w:rPr>
        <w:t>tra</w:t>
      </w:r>
      <w:r w:rsidR="00337389">
        <w:rPr>
          <w:sz w:val="22"/>
          <w:szCs w:val="22"/>
          <w:lang w:val="lv-LV"/>
        </w:rPr>
        <w:t>nsportē transferīns</w:t>
      </w:r>
      <w:r w:rsidRPr="0090542F">
        <w:rPr>
          <w:sz w:val="22"/>
          <w:szCs w:val="22"/>
          <w:lang w:val="lv-LV"/>
        </w:rPr>
        <w:t>, kur tas tiek ie</w:t>
      </w:r>
      <w:r w:rsidR="0039256B" w:rsidRPr="0090542F">
        <w:rPr>
          <w:sz w:val="22"/>
          <w:szCs w:val="22"/>
          <w:lang w:val="lv-LV"/>
        </w:rPr>
        <w:t>kļauts</w:t>
      </w:r>
      <w:r w:rsidR="00ED6984">
        <w:rPr>
          <w:sz w:val="22"/>
          <w:szCs w:val="22"/>
          <w:lang w:val="lv-LV"/>
        </w:rPr>
        <w:t xml:space="preserve"> hemoglobīna sastāvā</w:t>
      </w:r>
      <w:r w:rsidRPr="00254C05">
        <w:rPr>
          <w:sz w:val="22"/>
          <w:szCs w:val="22"/>
          <w:lang w:val="lv-LV"/>
        </w:rPr>
        <w:t>.</w:t>
      </w:r>
    </w:p>
    <w:p w14:paraId="7B78A0B8" w14:textId="77777777" w:rsidR="00920F15" w:rsidRPr="00254C05" w:rsidRDefault="00920F15" w:rsidP="00920F15">
      <w:pPr>
        <w:jc w:val="both"/>
        <w:rPr>
          <w:sz w:val="22"/>
          <w:szCs w:val="22"/>
          <w:lang w:val="lv-LV"/>
        </w:rPr>
      </w:pPr>
    </w:p>
    <w:p w14:paraId="5DBAB3A5" w14:textId="77777777" w:rsidR="00920F15" w:rsidRPr="00254C05" w:rsidRDefault="00920F15" w:rsidP="00920F15">
      <w:pPr>
        <w:jc w:val="both"/>
        <w:rPr>
          <w:sz w:val="22"/>
          <w:szCs w:val="22"/>
          <w:u w:val="single"/>
          <w:lang w:val="lv-LV"/>
        </w:rPr>
      </w:pPr>
      <w:r w:rsidRPr="00254C05">
        <w:rPr>
          <w:sz w:val="22"/>
          <w:szCs w:val="22"/>
          <w:u w:val="single"/>
          <w:lang w:val="lv-LV"/>
        </w:rPr>
        <w:t>Biotransformācija</w:t>
      </w:r>
    </w:p>
    <w:p w14:paraId="5E8AA412" w14:textId="77777777" w:rsidR="00920F15" w:rsidRPr="00254C05" w:rsidRDefault="00920F15" w:rsidP="00920F15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>Dzelzs, varš un mangāns ir metālu joni, kas netiek metabolizēti aknās.</w:t>
      </w:r>
    </w:p>
    <w:p w14:paraId="07C52C4C" w14:textId="77777777" w:rsidR="00920F15" w:rsidRPr="00254C05" w:rsidRDefault="00920F15" w:rsidP="00920F15">
      <w:pPr>
        <w:jc w:val="both"/>
        <w:rPr>
          <w:sz w:val="22"/>
          <w:szCs w:val="22"/>
          <w:lang w:val="lv-LV"/>
        </w:rPr>
      </w:pPr>
    </w:p>
    <w:p w14:paraId="32410659" w14:textId="77777777" w:rsidR="00920F15" w:rsidRPr="00254C05" w:rsidRDefault="00920F15" w:rsidP="00920F15">
      <w:pPr>
        <w:jc w:val="both"/>
        <w:rPr>
          <w:sz w:val="22"/>
          <w:szCs w:val="22"/>
          <w:u w:val="single"/>
          <w:lang w:val="lv-LV"/>
        </w:rPr>
      </w:pPr>
      <w:r w:rsidRPr="00254C05">
        <w:rPr>
          <w:sz w:val="22"/>
          <w:szCs w:val="22"/>
          <w:u w:val="single"/>
          <w:lang w:val="lv-LV"/>
        </w:rPr>
        <w:t>Eliminācija</w:t>
      </w:r>
    </w:p>
    <w:p w14:paraId="039D5AA7" w14:textId="77777777" w:rsidR="00920F15" w:rsidRPr="00254C05" w:rsidRDefault="00E37E77" w:rsidP="00920F15">
      <w:pPr>
        <w:jc w:val="both"/>
        <w:rPr>
          <w:sz w:val="22"/>
          <w:szCs w:val="22"/>
          <w:lang w:val="lv-LV"/>
        </w:rPr>
      </w:pPr>
      <w:r w:rsidRPr="00254C05">
        <w:rPr>
          <w:sz w:val="22"/>
          <w:szCs w:val="22"/>
          <w:lang w:val="lv-LV"/>
        </w:rPr>
        <w:t xml:space="preserve">Parasti vesels </w:t>
      </w:r>
      <w:r w:rsidR="00337389">
        <w:rPr>
          <w:sz w:val="22"/>
          <w:szCs w:val="22"/>
          <w:lang w:val="lv-LV"/>
        </w:rPr>
        <w:t>cilvēks</w:t>
      </w:r>
      <w:r w:rsidR="0039256B" w:rsidRPr="00254C05">
        <w:rPr>
          <w:sz w:val="22"/>
          <w:szCs w:val="22"/>
          <w:lang w:val="lv-LV"/>
        </w:rPr>
        <w:t xml:space="preserve"> zaudē aptuveni </w:t>
      </w:r>
      <w:r w:rsidR="00920F15" w:rsidRPr="00254C05">
        <w:rPr>
          <w:sz w:val="22"/>
          <w:szCs w:val="22"/>
          <w:lang w:val="lv-LV"/>
        </w:rPr>
        <w:t>1 mg</w:t>
      </w:r>
      <w:r w:rsidR="0039256B" w:rsidRPr="00254C05">
        <w:rPr>
          <w:sz w:val="22"/>
          <w:szCs w:val="22"/>
          <w:lang w:val="lv-LV"/>
        </w:rPr>
        <w:t xml:space="preserve"> dzelzs</w:t>
      </w:r>
      <w:r w:rsidR="00920F15" w:rsidRPr="00254C05">
        <w:rPr>
          <w:sz w:val="22"/>
          <w:szCs w:val="22"/>
          <w:lang w:val="lv-LV"/>
        </w:rPr>
        <w:t xml:space="preserve"> dienā.</w:t>
      </w:r>
    </w:p>
    <w:p w14:paraId="46AB75BC" w14:textId="77777777" w:rsidR="00920F15" w:rsidRPr="00337389" w:rsidRDefault="004A71E3" w:rsidP="00920F15">
      <w:pPr>
        <w:jc w:val="both"/>
        <w:rPr>
          <w:sz w:val="22"/>
          <w:szCs w:val="22"/>
          <w:lang w:val="lv-LV"/>
        </w:rPr>
      </w:pPr>
      <w:r w:rsidRPr="00ED6984">
        <w:rPr>
          <w:sz w:val="22"/>
          <w:szCs w:val="22"/>
          <w:lang w:val="lv-LV"/>
        </w:rPr>
        <w:t>Dzelzs galvenokārt izdalās caur k</w:t>
      </w:r>
      <w:r w:rsidR="00E37E77" w:rsidRPr="00ED6984">
        <w:rPr>
          <w:sz w:val="22"/>
          <w:szCs w:val="22"/>
          <w:lang w:val="lv-LV"/>
        </w:rPr>
        <w:t>uņģa-</w:t>
      </w:r>
      <w:r w:rsidRPr="00ED6984">
        <w:rPr>
          <w:sz w:val="22"/>
          <w:szCs w:val="22"/>
          <w:lang w:val="lv-LV"/>
        </w:rPr>
        <w:t>zarnu traktu</w:t>
      </w:r>
      <w:r w:rsidR="00920F15" w:rsidRPr="00ED6984">
        <w:rPr>
          <w:sz w:val="22"/>
          <w:szCs w:val="22"/>
          <w:lang w:val="lv-LV"/>
        </w:rPr>
        <w:t xml:space="preserve"> (</w:t>
      </w:r>
      <w:r w:rsidRPr="00ED6984">
        <w:rPr>
          <w:sz w:val="22"/>
          <w:szCs w:val="22"/>
          <w:lang w:val="lv-LV"/>
        </w:rPr>
        <w:t>ar enterocītiem</w:t>
      </w:r>
      <w:r w:rsidR="00E37E77" w:rsidRPr="00ED6984">
        <w:rPr>
          <w:sz w:val="22"/>
          <w:szCs w:val="22"/>
          <w:lang w:val="lv-LV"/>
        </w:rPr>
        <w:t>, hēma sadalīšanās</w:t>
      </w:r>
      <w:r w:rsidR="00920F15" w:rsidRPr="00ED6984">
        <w:rPr>
          <w:sz w:val="22"/>
          <w:szCs w:val="22"/>
          <w:lang w:val="lv-LV"/>
        </w:rPr>
        <w:t xml:space="preserve"> </w:t>
      </w:r>
      <w:r w:rsidR="00E37E77" w:rsidRPr="00ED6984">
        <w:rPr>
          <w:sz w:val="22"/>
          <w:szCs w:val="22"/>
          <w:lang w:val="lv-LV"/>
        </w:rPr>
        <w:t xml:space="preserve">rezultātā </w:t>
      </w:r>
      <w:r w:rsidR="00920F15" w:rsidRPr="00ED6984">
        <w:rPr>
          <w:sz w:val="22"/>
          <w:szCs w:val="22"/>
          <w:lang w:val="lv-LV"/>
        </w:rPr>
        <w:t>eritrocītu</w:t>
      </w:r>
      <w:r w:rsidR="00E37E77" w:rsidRPr="00ED6984">
        <w:rPr>
          <w:sz w:val="22"/>
          <w:szCs w:val="22"/>
          <w:lang w:val="lv-LV"/>
        </w:rPr>
        <w:t xml:space="preserve"> ekstravazācijas laikā), caur </w:t>
      </w:r>
      <w:r w:rsidR="00E37E77" w:rsidRPr="00337389">
        <w:rPr>
          <w:sz w:val="22"/>
          <w:szCs w:val="22"/>
          <w:lang w:val="lv-LV"/>
        </w:rPr>
        <w:t>uroģenitālo</w:t>
      </w:r>
      <w:r w:rsidR="00920F15" w:rsidRPr="00337389">
        <w:rPr>
          <w:sz w:val="22"/>
          <w:szCs w:val="22"/>
          <w:lang w:val="lv-LV"/>
        </w:rPr>
        <w:t xml:space="preserve"> trakt</w:t>
      </w:r>
      <w:r w:rsidR="00E37E77" w:rsidRPr="00337389">
        <w:rPr>
          <w:sz w:val="22"/>
          <w:szCs w:val="22"/>
          <w:lang w:val="lv-LV"/>
        </w:rPr>
        <w:t>u</w:t>
      </w:r>
      <w:r w:rsidR="00920F15" w:rsidRPr="00337389">
        <w:rPr>
          <w:sz w:val="22"/>
          <w:szCs w:val="22"/>
          <w:lang w:val="lv-LV"/>
        </w:rPr>
        <w:t xml:space="preserve"> un ād</w:t>
      </w:r>
      <w:r w:rsidR="00E37E77" w:rsidRPr="00337389">
        <w:rPr>
          <w:sz w:val="22"/>
          <w:szCs w:val="22"/>
          <w:lang w:val="lv-LV"/>
        </w:rPr>
        <w:t>u</w:t>
      </w:r>
      <w:r w:rsidR="00920F15" w:rsidRPr="00337389">
        <w:rPr>
          <w:sz w:val="22"/>
          <w:szCs w:val="22"/>
          <w:lang w:val="lv-LV"/>
        </w:rPr>
        <w:t>.</w:t>
      </w:r>
    </w:p>
    <w:p w14:paraId="3AD0888F" w14:textId="77777777" w:rsidR="00920F15" w:rsidRPr="00853B19" w:rsidRDefault="00920F15" w:rsidP="00920F15">
      <w:pPr>
        <w:jc w:val="both"/>
        <w:rPr>
          <w:sz w:val="22"/>
          <w:szCs w:val="22"/>
          <w:lang w:val="lv-LV"/>
        </w:rPr>
      </w:pPr>
      <w:r w:rsidRPr="00337389">
        <w:rPr>
          <w:sz w:val="22"/>
          <w:szCs w:val="22"/>
          <w:lang w:val="lv-LV"/>
        </w:rPr>
        <w:t>Galvenais mangāna</w:t>
      </w:r>
      <w:r w:rsidR="00337389" w:rsidRPr="00337389">
        <w:rPr>
          <w:sz w:val="22"/>
          <w:szCs w:val="22"/>
          <w:lang w:val="lv-LV"/>
        </w:rPr>
        <w:t xml:space="preserve"> un vara izdalīšanās ceļš ir</w:t>
      </w:r>
      <w:r w:rsidRPr="00853B19">
        <w:rPr>
          <w:sz w:val="22"/>
          <w:szCs w:val="22"/>
          <w:lang w:val="lv-LV"/>
        </w:rPr>
        <w:t xml:space="preserve"> caur žulti.</w:t>
      </w:r>
    </w:p>
    <w:p w14:paraId="6D13B8ED" w14:textId="77777777" w:rsidR="001021BC" w:rsidRPr="00FE7267" w:rsidRDefault="001021BC" w:rsidP="001021BC">
      <w:pPr>
        <w:jc w:val="both"/>
        <w:rPr>
          <w:sz w:val="22"/>
          <w:szCs w:val="22"/>
          <w:lang w:val="lv-LV"/>
        </w:rPr>
      </w:pPr>
    </w:p>
    <w:p w14:paraId="28AA5A47" w14:textId="77777777" w:rsidR="001021BC" w:rsidRPr="006070DA" w:rsidRDefault="001021BC" w:rsidP="001021BC">
      <w:pPr>
        <w:jc w:val="both"/>
        <w:rPr>
          <w:b/>
          <w:sz w:val="22"/>
          <w:szCs w:val="22"/>
          <w:lang w:val="lv-LV"/>
        </w:rPr>
      </w:pPr>
      <w:r w:rsidRPr="006070DA">
        <w:rPr>
          <w:b/>
          <w:sz w:val="22"/>
          <w:szCs w:val="22"/>
          <w:lang w:val="lv-LV"/>
        </w:rPr>
        <w:t>5.3. Preklīniskie dati par drošumu</w:t>
      </w:r>
    </w:p>
    <w:p w14:paraId="2A562B23" w14:textId="77777777" w:rsidR="001021BC" w:rsidRPr="003B70F0" w:rsidRDefault="001021BC" w:rsidP="001021BC">
      <w:pPr>
        <w:jc w:val="both"/>
        <w:rPr>
          <w:sz w:val="22"/>
          <w:szCs w:val="22"/>
          <w:lang w:val="lv-LV"/>
        </w:rPr>
      </w:pPr>
    </w:p>
    <w:p w14:paraId="46C1B348" w14:textId="77777777" w:rsidR="002D03EB" w:rsidRPr="003B70F0" w:rsidRDefault="002D03EB" w:rsidP="002D03EB">
      <w:pPr>
        <w:rPr>
          <w:sz w:val="22"/>
          <w:szCs w:val="22"/>
          <w:lang w:val="lv-LV"/>
        </w:rPr>
      </w:pPr>
      <w:r w:rsidRPr="003B70F0">
        <w:rPr>
          <w:sz w:val="22"/>
          <w:szCs w:val="22"/>
          <w:lang w:val="lv-LV"/>
        </w:rPr>
        <w:lastRenderedPageBreak/>
        <w:t>Neklīniskajos standartpētījumos iegūtie dati par katras aktīvās vielas farmakoloģisko drošumu, atkārtotu devu toksicitāti, genotoksicitāti un toksisku ietekmi uz reproduktivitāti neliecina par īpašu risku cilvēkam.</w:t>
      </w:r>
    </w:p>
    <w:p w14:paraId="1007BBA2" w14:textId="77777777" w:rsidR="001021BC" w:rsidRPr="008719FC" w:rsidRDefault="001021BC" w:rsidP="001021BC">
      <w:pPr>
        <w:jc w:val="both"/>
        <w:rPr>
          <w:sz w:val="22"/>
          <w:szCs w:val="22"/>
          <w:lang w:val="lv-LV"/>
        </w:rPr>
      </w:pPr>
    </w:p>
    <w:p w14:paraId="13B5ED9A" w14:textId="77777777" w:rsidR="001021BC" w:rsidRPr="002347FA" w:rsidRDefault="001021BC" w:rsidP="001021BC">
      <w:pPr>
        <w:jc w:val="both"/>
        <w:rPr>
          <w:b/>
          <w:sz w:val="22"/>
          <w:szCs w:val="22"/>
          <w:lang w:val="lv-LV"/>
        </w:rPr>
      </w:pPr>
      <w:r w:rsidRPr="002347FA">
        <w:rPr>
          <w:b/>
          <w:sz w:val="22"/>
          <w:szCs w:val="22"/>
          <w:lang w:val="lv-LV"/>
        </w:rPr>
        <w:t>6. FARMACEITISKĀ INFORMĀCIJA</w:t>
      </w:r>
    </w:p>
    <w:p w14:paraId="4568E5D1" w14:textId="77777777" w:rsidR="001021BC" w:rsidRPr="00482E43" w:rsidRDefault="001021BC" w:rsidP="001021BC">
      <w:pPr>
        <w:jc w:val="both"/>
        <w:rPr>
          <w:sz w:val="22"/>
          <w:szCs w:val="22"/>
          <w:lang w:val="lv-LV"/>
        </w:rPr>
      </w:pPr>
    </w:p>
    <w:p w14:paraId="64455798" w14:textId="77777777" w:rsidR="001021BC" w:rsidRPr="00482E43" w:rsidRDefault="001021BC" w:rsidP="001021BC">
      <w:pPr>
        <w:jc w:val="both"/>
        <w:rPr>
          <w:b/>
          <w:sz w:val="22"/>
          <w:szCs w:val="22"/>
          <w:lang w:val="lv-LV"/>
        </w:rPr>
      </w:pPr>
      <w:r w:rsidRPr="00482E43">
        <w:rPr>
          <w:b/>
          <w:sz w:val="22"/>
          <w:szCs w:val="22"/>
          <w:lang w:val="lv-LV"/>
        </w:rPr>
        <w:t>6.1. Palīgvielu saraksts</w:t>
      </w:r>
    </w:p>
    <w:p w14:paraId="533E45CC" w14:textId="77777777" w:rsidR="001021BC" w:rsidRPr="00482E43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17088C50" w14:textId="77777777" w:rsidR="001021BC" w:rsidRPr="00E808F3" w:rsidRDefault="001021BC" w:rsidP="001021BC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lv-LV"/>
        </w:rPr>
      </w:pPr>
      <w:r w:rsidRPr="00482E43">
        <w:rPr>
          <w:rFonts w:ascii="Times New Roman" w:hAnsi="Times New Roman"/>
          <w:sz w:val="22"/>
          <w:szCs w:val="22"/>
          <w:lang w:val="lv-LV"/>
        </w:rPr>
        <w:t>Glicerīns, glikozes šķīdums, saharoze, citronskābe, nātrija citrāts, nātrija benzoāts (E211), polisorbāts 80, karameļu krāsviela (E150c)</w:t>
      </w:r>
      <w:r w:rsidRPr="00482E43">
        <w:rPr>
          <w:rFonts w:ascii="Times New Roman" w:hAnsi="Times New Roman"/>
          <w:sz w:val="22"/>
          <w:szCs w:val="22"/>
          <w:vertAlign w:val="superscript"/>
          <w:lang w:val="lv-LV"/>
        </w:rPr>
        <w:t xml:space="preserve"> </w:t>
      </w:r>
      <w:r w:rsidRPr="00E808F3">
        <w:rPr>
          <w:rFonts w:ascii="Times New Roman" w:hAnsi="Times New Roman"/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rFonts w:ascii="Times New Roman" w:hAnsi="Times New Roman"/>
          <w:sz w:val="22"/>
          <w:szCs w:val="22"/>
          <w:lang w:val="lv-LV"/>
        </w:rPr>
        <w:t>, Tutti frutti aromatizētājs</w:t>
      </w:r>
      <w:r w:rsidRPr="00E808F3">
        <w:rPr>
          <w:rFonts w:ascii="Times New Roman" w:hAnsi="Times New Roman"/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rFonts w:ascii="Times New Roman" w:hAnsi="Times New Roman"/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rFonts w:ascii="Times New Roman" w:hAnsi="Times New Roman"/>
          <w:sz w:val="22"/>
          <w:szCs w:val="22"/>
          <w:lang w:val="lv-LV"/>
        </w:rPr>
        <w:t>, attīrīts ūdens.</w:t>
      </w:r>
    </w:p>
    <w:p w14:paraId="3DFB8D70" w14:textId="77777777" w:rsidR="001021BC" w:rsidRPr="0033085D" w:rsidRDefault="001021BC" w:rsidP="001021BC">
      <w:pPr>
        <w:rPr>
          <w:sz w:val="22"/>
          <w:szCs w:val="22"/>
          <w:lang w:val="lv-LV"/>
        </w:rPr>
      </w:pPr>
    </w:p>
    <w:p w14:paraId="766DDA40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sz w:val="22"/>
          <w:szCs w:val="22"/>
          <w:vertAlign w:val="superscript"/>
          <w:lang w:val="lv-LV"/>
        </w:rPr>
        <w:t xml:space="preserve"> </w:t>
      </w:r>
      <w:r w:rsidRPr="00E808F3">
        <w:rPr>
          <w:sz w:val="22"/>
          <w:szCs w:val="22"/>
          <w:lang w:val="lv-LV"/>
        </w:rPr>
        <w:t>Karameļu krāsvielas sastāvs: saharoze, amonija hidroksīds.</w:t>
      </w:r>
    </w:p>
    <w:p w14:paraId="6F5ABDE9" w14:textId="77777777" w:rsidR="001021BC" w:rsidRPr="00E808F3" w:rsidRDefault="001021BC" w:rsidP="001021BC">
      <w:pPr>
        <w:rPr>
          <w:sz w:val="22"/>
          <w:szCs w:val="22"/>
          <w:lang w:val="lv-LV"/>
        </w:rPr>
      </w:pPr>
      <w:r w:rsidRPr="00E808F3">
        <w:rPr>
          <w:sz w:val="22"/>
          <w:szCs w:val="22"/>
          <w:lang w:val="lv-LV"/>
        </w:rPr>
        <w:t xml:space="preserve"> </w:t>
      </w:r>
      <w:r w:rsidRPr="00E808F3">
        <w:rPr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sz w:val="22"/>
          <w:szCs w:val="22"/>
          <w:vertAlign w:val="superscript"/>
          <w:lang w:val="lv-LV"/>
        </w:rPr>
        <w:sym w:font="Symbol" w:char="F02A"/>
      </w:r>
      <w:r w:rsidRPr="00E808F3">
        <w:rPr>
          <w:sz w:val="22"/>
          <w:szCs w:val="22"/>
          <w:vertAlign w:val="superscript"/>
          <w:lang w:val="lv-LV"/>
        </w:rPr>
        <w:t xml:space="preserve"> </w:t>
      </w:r>
      <w:r w:rsidRPr="00E808F3">
        <w:rPr>
          <w:sz w:val="22"/>
          <w:szCs w:val="22"/>
          <w:lang w:val="lv-LV"/>
        </w:rPr>
        <w:t>Tutti frutti aromatizētāja sastāvs: izoamilacetāts, izoamilbutirāts, benzaldehīds, etilmetilfenilglicidatāts, gamma undekalaktons, etilvanilīns, etilspirts, ūdens.</w:t>
      </w:r>
    </w:p>
    <w:p w14:paraId="07348CCF" w14:textId="77777777" w:rsidR="001021BC" w:rsidRPr="0033085D" w:rsidRDefault="001021BC" w:rsidP="001021BC">
      <w:pPr>
        <w:jc w:val="both"/>
        <w:rPr>
          <w:sz w:val="22"/>
          <w:szCs w:val="22"/>
          <w:lang w:val="lv-LV"/>
        </w:rPr>
      </w:pPr>
    </w:p>
    <w:p w14:paraId="060A89BD" w14:textId="77777777" w:rsidR="001021BC" w:rsidRPr="0033085D" w:rsidRDefault="001021BC" w:rsidP="001021BC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33085D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6.2. Nesaderība</w:t>
      </w:r>
    </w:p>
    <w:p w14:paraId="5D52D566" w14:textId="77777777" w:rsidR="001021BC" w:rsidRPr="0033085D" w:rsidRDefault="001021BC" w:rsidP="001021BC">
      <w:pPr>
        <w:rPr>
          <w:sz w:val="22"/>
          <w:szCs w:val="22"/>
          <w:lang w:val="lv-LV"/>
        </w:rPr>
      </w:pPr>
    </w:p>
    <w:p w14:paraId="4DD19DAB" w14:textId="77777777" w:rsidR="001021BC" w:rsidRPr="0033085D" w:rsidRDefault="001021BC" w:rsidP="001021BC">
      <w:pPr>
        <w:rPr>
          <w:sz w:val="22"/>
          <w:szCs w:val="22"/>
          <w:lang w:val="lv-LV"/>
        </w:rPr>
      </w:pPr>
      <w:r w:rsidRPr="0033085D">
        <w:rPr>
          <w:sz w:val="22"/>
          <w:szCs w:val="22"/>
          <w:lang w:val="lv-LV"/>
        </w:rPr>
        <w:t>Nav piemērojama.</w:t>
      </w:r>
    </w:p>
    <w:p w14:paraId="7D9A8D5F" w14:textId="77777777" w:rsidR="001021BC" w:rsidRPr="00FD6D19" w:rsidRDefault="001021BC" w:rsidP="001021BC">
      <w:pPr>
        <w:rPr>
          <w:sz w:val="22"/>
          <w:szCs w:val="22"/>
          <w:lang w:val="lv-LV"/>
        </w:rPr>
      </w:pPr>
    </w:p>
    <w:p w14:paraId="2D2E7710" w14:textId="77777777" w:rsidR="001021BC" w:rsidRPr="00FD6D19" w:rsidRDefault="001021BC" w:rsidP="001021B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FD6D19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6.3. Uzglabāšanas laiks</w:t>
      </w:r>
    </w:p>
    <w:p w14:paraId="6A9A7CE6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</w:p>
    <w:p w14:paraId="43B66676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2 gadi.</w:t>
      </w:r>
    </w:p>
    <w:p w14:paraId="47858DB7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</w:p>
    <w:p w14:paraId="699A7EF1" w14:textId="77777777" w:rsidR="001021BC" w:rsidRPr="00FD6D19" w:rsidRDefault="001021BC" w:rsidP="001021BC">
      <w:pPr>
        <w:jc w:val="both"/>
        <w:rPr>
          <w:b/>
          <w:sz w:val="22"/>
          <w:szCs w:val="22"/>
          <w:lang w:val="lv-LV"/>
        </w:rPr>
      </w:pPr>
      <w:r w:rsidRPr="00FD6D19">
        <w:rPr>
          <w:b/>
          <w:sz w:val="22"/>
          <w:szCs w:val="22"/>
          <w:lang w:val="lv-LV"/>
        </w:rPr>
        <w:t>6.4. Īpaši uzglabāšanas nosacījumi</w:t>
      </w:r>
    </w:p>
    <w:p w14:paraId="6704DF1B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</w:p>
    <w:p w14:paraId="40EFFCCE" w14:textId="77777777" w:rsidR="001021BC" w:rsidRPr="00FD6D19" w:rsidRDefault="001021BC" w:rsidP="001021BC">
      <w:pPr>
        <w:jc w:val="both"/>
        <w:rPr>
          <w:sz w:val="22"/>
          <w:szCs w:val="22"/>
          <w:lang w:val="lv-LV"/>
        </w:rPr>
      </w:pPr>
      <w:r w:rsidRPr="00FD6D19">
        <w:rPr>
          <w:sz w:val="22"/>
          <w:szCs w:val="22"/>
          <w:lang w:val="lv-LV"/>
        </w:rPr>
        <w:t>Uzglabāt temperatūrā līdz 25°C.</w:t>
      </w:r>
    </w:p>
    <w:p w14:paraId="51C23730" w14:textId="77777777" w:rsidR="001021BC" w:rsidRPr="007E0034" w:rsidRDefault="001021BC" w:rsidP="001021BC">
      <w:pPr>
        <w:jc w:val="both"/>
        <w:rPr>
          <w:sz w:val="22"/>
          <w:szCs w:val="22"/>
          <w:lang w:val="lv-LV"/>
        </w:rPr>
      </w:pPr>
    </w:p>
    <w:p w14:paraId="22CC09CD" w14:textId="77777777" w:rsidR="001021BC" w:rsidRPr="007E0034" w:rsidRDefault="001021BC" w:rsidP="001021BC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7E0034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6.5. Iepakojuma veids un saturs</w:t>
      </w:r>
    </w:p>
    <w:p w14:paraId="08A0BD64" w14:textId="77777777" w:rsidR="001021BC" w:rsidRPr="007E0034" w:rsidRDefault="001021BC" w:rsidP="001021BC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98E567C" w14:textId="77777777" w:rsidR="001021BC" w:rsidRPr="00BE32A6" w:rsidRDefault="001021BC" w:rsidP="001021BC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  <w:r w:rsidRPr="00BE32A6">
        <w:rPr>
          <w:rFonts w:ascii="Times New Roman" w:hAnsi="Times New Roman"/>
          <w:color w:val="auto"/>
          <w:sz w:val="22"/>
          <w:szCs w:val="22"/>
          <w:lang w:val="lv-LV"/>
        </w:rPr>
        <w:t>Iekšķīgi lietojams šķīdums 10 ml brūnas krāsas stikla ampulā.</w:t>
      </w:r>
    </w:p>
    <w:p w14:paraId="04988C85" w14:textId="77777777" w:rsidR="001021BC" w:rsidRPr="00816CA2" w:rsidRDefault="001021BC" w:rsidP="001021BC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  <w:r w:rsidRPr="00816CA2">
        <w:rPr>
          <w:rFonts w:ascii="Times New Roman" w:hAnsi="Times New Roman"/>
          <w:color w:val="auto"/>
          <w:sz w:val="22"/>
          <w:szCs w:val="22"/>
          <w:lang w:val="lv-LV"/>
        </w:rPr>
        <w:t xml:space="preserve">Kastītē 20 ampulas. </w:t>
      </w:r>
    </w:p>
    <w:p w14:paraId="6B538A01" w14:textId="77777777" w:rsidR="001021BC" w:rsidRPr="00816CA2" w:rsidRDefault="001021BC" w:rsidP="001021BC">
      <w:pPr>
        <w:pStyle w:val="BodyText3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7EE23156" w14:textId="77777777" w:rsidR="001021BC" w:rsidRPr="004F1947" w:rsidRDefault="001021BC" w:rsidP="001021BC">
      <w:pPr>
        <w:jc w:val="both"/>
        <w:rPr>
          <w:b/>
          <w:sz w:val="22"/>
          <w:szCs w:val="22"/>
          <w:lang w:val="lv-LV"/>
        </w:rPr>
      </w:pPr>
      <w:r w:rsidRPr="004F1947">
        <w:rPr>
          <w:b/>
          <w:sz w:val="22"/>
          <w:szCs w:val="22"/>
          <w:lang w:val="lv-LV"/>
        </w:rPr>
        <w:t>6.6. Īpaši norādījumi atkritumu likvidēšanai</w:t>
      </w:r>
    </w:p>
    <w:p w14:paraId="468B9C83" w14:textId="77777777" w:rsidR="001021BC" w:rsidRPr="004F1947" w:rsidRDefault="001021BC" w:rsidP="001021BC">
      <w:pPr>
        <w:jc w:val="both"/>
        <w:rPr>
          <w:sz w:val="22"/>
          <w:szCs w:val="22"/>
          <w:lang w:val="lv-LV"/>
        </w:rPr>
      </w:pPr>
    </w:p>
    <w:p w14:paraId="7500398F" w14:textId="77777777" w:rsidR="001021BC" w:rsidRPr="004F1947" w:rsidRDefault="001021BC" w:rsidP="001021BC">
      <w:pPr>
        <w:jc w:val="both"/>
        <w:rPr>
          <w:sz w:val="22"/>
          <w:szCs w:val="22"/>
          <w:lang w:val="lv-LV"/>
        </w:rPr>
      </w:pPr>
      <w:r w:rsidRPr="004F1947">
        <w:rPr>
          <w:sz w:val="22"/>
          <w:szCs w:val="22"/>
          <w:lang w:val="lv-LV"/>
        </w:rPr>
        <w:t>Nav īpašu prasību.</w:t>
      </w:r>
    </w:p>
    <w:p w14:paraId="24AD1957" w14:textId="77777777" w:rsidR="00E808F3" w:rsidRPr="004F1947" w:rsidRDefault="00E808F3" w:rsidP="00E808F3">
      <w:pPr>
        <w:jc w:val="both"/>
        <w:rPr>
          <w:sz w:val="22"/>
          <w:szCs w:val="22"/>
          <w:lang w:val="lv-LV"/>
        </w:rPr>
      </w:pPr>
      <w:r w:rsidRPr="004F1947">
        <w:rPr>
          <w:sz w:val="22"/>
          <w:szCs w:val="22"/>
          <w:lang w:val="lv-LV"/>
        </w:rPr>
        <w:t>Neizlietotās zāles vai izlietotie materiāli jāiznīcina atbilstoši vietējām prasībām.</w:t>
      </w:r>
    </w:p>
    <w:p w14:paraId="1FB1D1C9" w14:textId="77777777" w:rsidR="001021BC" w:rsidRPr="00FF4C58" w:rsidRDefault="001021BC" w:rsidP="001021BC">
      <w:pPr>
        <w:jc w:val="both"/>
        <w:rPr>
          <w:sz w:val="22"/>
          <w:szCs w:val="22"/>
          <w:lang w:val="lv-LV"/>
        </w:rPr>
      </w:pPr>
    </w:p>
    <w:p w14:paraId="03C9C1D2" w14:textId="77777777" w:rsidR="001021BC" w:rsidRPr="00FF4C58" w:rsidRDefault="001021BC" w:rsidP="001021BC">
      <w:pPr>
        <w:jc w:val="both"/>
        <w:rPr>
          <w:sz w:val="22"/>
          <w:szCs w:val="22"/>
          <w:lang w:val="lv-LV"/>
        </w:rPr>
      </w:pPr>
    </w:p>
    <w:p w14:paraId="6E1D58CC" w14:textId="77777777" w:rsidR="001021BC" w:rsidRPr="00FF4C58" w:rsidRDefault="001021BC" w:rsidP="001021BC">
      <w:pPr>
        <w:tabs>
          <w:tab w:val="left" w:pos="851"/>
        </w:tabs>
        <w:rPr>
          <w:b/>
          <w:caps/>
          <w:sz w:val="22"/>
          <w:szCs w:val="22"/>
          <w:lang w:val="lv-LV"/>
        </w:rPr>
      </w:pPr>
      <w:r w:rsidRPr="00FF4C58">
        <w:rPr>
          <w:b/>
          <w:sz w:val="22"/>
          <w:szCs w:val="22"/>
          <w:lang w:val="lv-LV"/>
        </w:rPr>
        <w:t xml:space="preserve">7. </w:t>
      </w:r>
      <w:r w:rsidRPr="00FF4C58">
        <w:rPr>
          <w:b/>
          <w:caps/>
          <w:sz w:val="22"/>
          <w:szCs w:val="22"/>
          <w:lang w:val="lv-LV"/>
        </w:rPr>
        <w:t>REĢISTRĀCIJAS APLIECĪBAS ĪPAŠNIEKS</w:t>
      </w:r>
    </w:p>
    <w:p w14:paraId="76E47D32" w14:textId="77777777" w:rsidR="001021BC" w:rsidRPr="00A000B6" w:rsidRDefault="001021BC" w:rsidP="001021BC">
      <w:pPr>
        <w:tabs>
          <w:tab w:val="left" w:pos="851"/>
        </w:tabs>
        <w:rPr>
          <w:sz w:val="22"/>
          <w:szCs w:val="22"/>
          <w:lang w:val="lv-LV"/>
        </w:rPr>
      </w:pPr>
    </w:p>
    <w:p w14:paraId="36A3E75E" w14:textId="77777777" w:rsidR="001021BC" w:rsidRPr="00114EC4" w:rsidRDefault="001021BC" w:rsidP="001021BC">
      <w:pPr>
        <w:tabs>
          <w:tab w:val="left" w:pos="851"/>
        </w:tabs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LABORATOIRE INNOTECH INTERNATIONAL</w:t>
      </w:r>
    </w:p>
    <w:p w14:paraId="48EFD2E5" w14:textId="77777777" w:rsidR="001021BC" w:rsidRPr="00114EC4" w:rsidRDefault="001021BC" w:rsidP="001021BC">
      <w:pPr>
        <w:tabs>
          <w:tab w:val="left" w:pos="851"/>
        </w:tabs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22, avenue Aristide Briand</w:t>
      </w:r>
    </w:p>
    <w:p w14:paraId="337A7B8D" w14:textId="77777777" w:rsidR="00E808F3" w:rsidRPr="00B428EE" w:rsidRDefault="001021BC" w:rsidP="001021BC">
      <w:pPr>
        <w:tabs>
          <w:tab w:val="left" w:pos="851"/>
        </w:tabs>
        <w:rPr>
          <w:sz w:val="22"/>
          <w:szCs w:val="22"/>
          <w:lang w:val="lv-LV"/>
        </w:rPr>
      </w:pPr>
      <w:r w:rsidRPr="00114EC4">
        <w:rPr>
          <w:sz w:val="22"/>
          <w:szCs w:val="22"/>
          <w:lang w:val="lv-LV"/>
        </w:rPr>
        <w:t>94 110 ARCUEIL</w:t>
      </w:r>
      <w:r w:rsidR="00E808F3" w:rsidRPr="00114EC4">
        <w:rPr>
          <w:sz w:val="22"/>
          <w:szCs w:val="22"/>
          <w:lang w:val="lv-LV"/>
        </w:rPr>
        <w:t xml:space="preserve">, </w:t>
      </w:r>
    </w:p>
    <w:p w14:paraId="7CE29A53" w14:textId="77777777" w:rsidR="001021BC" w:rsidRPr="00B428EE" w:rsidRDefault="00E808F3" w:rsidP="001021BC">
      <w:pPr>
        <w:tabs>
          <w:tab w:val="left" w:pos="851"/>
        </w:tabs>
        <w:rPr>
          <w:sz w:val="22"/>
          <w:szCs w:val="22"/>
          <w:lang w:val="lv-LV"/>
        </w:rPr>
      </w:pPr>
      <w:r w:rsidRPr="00B428EE">
        <w:rPr>
          <w:sz w:val="22"/>
          <w:szCs w:val="22"/>
          <w:lang w:val="lv-LV"/>
        </w:rPr>
        <w:t>FRANCIJA</w:t>
      </w:r>
    </w:p>
    <w:p w14:paraId="1C4754A5" w14:textId="77777777" w:rsidR="001021BC" w:rsidRPr="00B428EE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77870665" w14:textId="77777777" w:rsidR="001021BC" w:rsidRPr="00B428EE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120D4356" w14:textId="77777777" w:rsidR="001021BC" w:rsidRPr="00B428EE" w:rsidRDefault="001021BC" w:rsidP="001021BC">
      <w:pPr>
        <w:jc w:val="both"/>
        <w:rPr>
          <w:b/>
          <w:sz w:val="22"/>
          <w:szCs w:val="22"/>
          <w:lang w:val="lv-LV"/>
        </w:rPr>
      </w:pPr>
      <w:r w:rsidRPr="00B428EE">
        <w:rPr>
          <w:b/>
          <w:sz w:val="22"/>
          <w:szCs w:val="22"/>
          <w:lang w:val="lv-LV"/>
        </w:rPr>
        <w:t xml:space="preserve">8. REĢISTRĀCIJAS APLIECĪBAS NUMURS </w:t>
      </w:r>
    </w:p>
    <w:p w14:paraId="21DCEA6C" w14:textId="77777777" w:rsidR="001021BC" w:rsidRPr="00A32C44" w:rsidRDefault="001021BC" w:rsidP="001021BC">
      <w:pPr>
        <w:jc w:val="both"/>
        <w:rPr>
          <w:sz w:val="22"/>
          <w:szCs w:val="22"/>
          <w:lang w:val="lv-LV"/>
        </w:rPr>
      </w:pPr>
    </w:p>
    <w:p w14:paraId="331A0335" w14:textId="77777777" w:rsidR="001021BC" w:rsidRPr="00A32C44" w:rsidRDefault="001021BC" w:rsidP="001021BC">
      <w:pPr>
        <w:jc w:val="both"/>
        <w:rPr>
          <w:sz w:val="22"/>
          <w:szCs w:val="22"/>
          <w:lang w:val="lv-LV"/>
        </w:rPr>
      </w:pPr>
      <w:r w:rsidRPr="00A32C44">
        <w:rPr>
          <w:sz w:val="22"/>
          <w:szCs w:val="22"/>
          <w:lang w:val="lv-LV"/>
        </w:rPr>
        <w:t>98-0690</w:t>
      </w:r>
    </w:p>
    <w:p w14:paraId="07F9D728" w14:textId="77777777" w:rsidR="001021BC" w:rsidRPr="0090542F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16BFD746" w14:textId="77777777" w:rsidR="001021BC" w:rsidRPr="0090542F" w:rsidRDefault="001021BC" w:rsidP="001021BC">
      <w:pPr>
        <w:jc w:val="both"/>
        <w:rPr>
          <w:b/>
          <w:sz w:val="22"/>
          <w:szCs w:val="22"/>
          <w:lang w:val="lv-LV"/>
        </w:rPr>
      </w:pPr>
    </w:p>
    <w:p w14:paraId="58B265AE" w14:textId="77777777" w:rsidR="001021BC" w:rsidRPr="0090542F" w:rsidRDefault="001021BC" w:rsidP="001021BC">
      <w:pPr>
        <w:pStyle w:val="BodyText"/>
        <w:rPr>
          <w:rFonts w:ascii="Times New Roman" w:hAnsi="Times New Roman"/>
          <w:b/>
          <w:sz w:val="22"/>
          <w:szCs w:val="22"/>
          <w:lang w:val="lv-LV"/>
        </w:rPr>
      </w:pPr>
      <w:r w:rsidRPr="0090542F">
        <w:rPr>
          <w:rFonts w:ascii="Times New Roman" w:hAnsi="Times New Roman"/>
          <w:b/>
          <w:sz w:val="22"/>
          <w:szCs w:val="22"/>
          <w:lang w:val="lv-LV"/>
        </w:rPr>
        <w:t>9. PIRMĀS REĢISTRĀCIJAS/ PĀRREĢISTRĀCIJAS DATUMS</w:t>
      </w:r>
    </w:p>
    <w:p w14:paraId="4EF3A877" w14:textId="77777777" w:rsidR="001021BC" w:rsidRPr="0090542F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7492B86A" w14:textId="77777777" w:rsidR="001021BC" w:rsidRPr="0090542F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 w:rsidRPr="0090542F">
        <w:rPr>
          <w:rFonts w:ascii="Times New Roman" w:hAnsi="Times New Roman"/>
          <w:sz w:val="22"/>
          <w:szCs w:val="22"/>
          <w:lang w:val="lv-LV"/>
        </w:rPr>
        <w:t>Reģistrācijas datums: 1998. gada 11. novembris.</w:t>
      </w:r>
    </w:p>
    <w:p w14:paraId="3BB9BCE2" w14:textId="77777777" w:rsidR="001021BC" w:rsidRPr="00254C05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  <w:r w:rsidRPr="00254C05">
        <w:rPr>
          <w:rFonts w:ascii="Times New Roman" w:hAnsi="Times New Roman"/>
          <w:sz w:val="22"/>
          <w:szCs w:val="22"/>
          <w:lang w:val="lv-LV"/>
        </w:rPr>
        <w:t>Pēdējās pārreģistrācijas datums: 2009. gada 2. decembris.</w:t>
      </w:r>
    </w:p>
    <w:p w14:paraId="5F900609" w14:textId="77777777" w:rsidR="001021BC" w:rsidRPr="00254C05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3344829A" w14:textId="77777777" w:rsidR="001021BC" w:rsidRPr="00254C05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66532708" w14:textId="77777777" w:rsidR="001021BC" w:rsidRPr="00254C05" w:rsidRDefault="001021BC" w:rsidP="001021BC">
      <w:pPr>
        <w:pStyle w:val="BodyText"/>
        <w:rPr>
          <w:rFonts w:ascii="Times New Roman" w:hAnsi="Times New Roman"/>
          <w:b/>
          <w:sz w:val="22"/>
          <w:szCs w:val="22"/>
          <w:lang w:val="lv-LV"/>
        </w:rPr>
      </w:pPr>
      <w:r w:rsidRPr="00254C05">
        <w:rPr>
          <w:rFonts w:ascii="Times New Roman" w:hAnsi="Times New Roman"/>
          <w:b/>
          <w:sz w:val="22"/>
          <w:szCs w:val="22"/>
          <w:lang w:val="lv-LV"/>
        </w:rPr>
        <w:t>10. TEKSTA PĀRSKATĪŠANAS DATUMS</w:t>
      </w:r>
    </w:p>
    <w:p w14:paraId="1F0D5CFD" w14:textId="77777777" w:rsidR="001021BC" w:rsidRPr="00254C05" w:rsidRDefault="001021BC" w:rsidP="001021BC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5EB50BC8" w14:textId="77777777" w:rsidR="001021BC" w:rsidRPr="00ED6984" w:rsidRDefault="001021BC" w:rsidP="00DC7F30">
      <w:pPr>
        <w:rPr>
          <w:b/>
          <w:sz w:val="22"/>
          <w:szCs w:val="22"/>
          <w:lang w:val="lv-LV"/>
        </w:rPr>
      </w:pPr>
    </w:p>
    <w:sectPr w:rsidR="001021BC" w:rsidRPr="00ED6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414D" w14:textId="77777777" w:rsidR="001D0EEA" w:rsidRDefault="001D0EEA">
      <w:r>
        <w:separator/>
      </w:r>
    </w:p>
    <w:p w14:paraId="4B031D82" w14:textId="77777777" w:rsidR="001D0EEA" w:rsidRDefault="001D0EEA"/>
    <w:p w14:paraId="518FEBB4" w14:textId="77777777" w:rsidR="001D0EEA" w:rsidRDefault="001D0EEA"/>
  </w:endnote>
  <w:endnote w:type="continuationSeparator" w:id="0">
    <w:p w14:paraId="007ABD54" w14:textId="77777777" w:rsidR="001D0EEA" w:rsidRDefault="001D0EEA">
      <w:r>
        <w:continuationSeparator/>
      </w:r>
    </w:p>
    <w:p w14:paraId="7FBDDED5" w14:textId="77777777" w:rsidR="001D0EEA" w:rsidRDefault="001D0EEA"/>
    <w:p w14:paraId="321A8EBC" w14:textId="77777777" w:rsidR="001D0EEA" w:rsidRDefault="001D0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C78E" w14:textId="77777777" w:rsidR="00B428EE" w:rsidRDefault="00B428EE" w:rsidP="00D70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39BB4" w14:textId="77777777" w:rsidR="00B428EE" w:rsidRDefault="00B428EE">
    <w:pPr>
      <w:pStyle w:val="Footer"/>
    </w:pPr>
  </w:p>
  <w:p w14:paraId="50D931D0" w14:textId="77777777" w:rsidR="00B428EE" w:rsidRDefault="00B428EE"/>
  <w:p w14:paraId="3758E835" w14:textId="77777777" w:rsidR="00B428EE" w:rsidRDefault="00B428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8EE" w14:textId="77777777" w:rsidR="00B428EE" w:rsidRDefault="00B428EE" w:rsidP="00D70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A7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DEDFA9E" w14:textId="77777777" w:rsidR="00B428EE" w:rsidRDefault="00B428EE">
    <w:pPr>
      <w:pStyle w:val="Footer"/>
    </w:pPr>
  </w:p>
  <w:p w14:paraId="3DB4562A" w14:textId="77777777" w:rsidR="00B428EE" w:rsidRDefault="00B428EE"/>
  <w:p w14:paraId="4A5A7022" w14:textId="77777777" w:rsidR="00B428EE" w:rsidRDefault="00B428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89E" w14:textId="77777777" w:rsidR="00292594" w:rsidRDefault="00292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E87F" w14:textId="77777777" w:rsidR="001D0EEA" w:rsidRDefault="001D0EEA">
      <w:r>
        <w:separator/>
      </w:r>
    </w:p>
    <w:p w14:paraId="12913F1C" w14:textId="77777777" w:rsidR="001D0EEA" w:rsidRDefault="001D0EEA"/>
    <w:p w14:paraId="692EC905" w14:textId="77777777" w:rsidR="001D0EEA" w:rsidRDefault="001D0EEA"/>
  </w:footnote>
  <w:footnote w:type="continuationSeparator" w:id="0">
    <w:p w14:paraId="0EECB6AB" w14:textId="77777777" w:rsidR="001D0EEA" w:rsidRDefault="001D0EEA">
      <w:r>
        <w:continuationSeparator/>
      </w:r>
    </w:p>
    <w:p w14:paraId="2A2867DC" w14:textId="77777777" w:rsidR="001D0EEA" w:rsidRDefault="001D0EEA"/>
    <w:p w14:paraId="6B251D10" w14:textId="77777777" w:rsidR="001D0EEA" w:rsidRDefault="001D0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AFF8" w14:textId="77777777" w:rsidR="00B428EE" w:rsidRDefault="00B42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BB0DB" w14:textId="77777777" w:rsidR="00B428EE" w:rsidRDefault="00B428EE">
    <w:pPr>
      <w:pStyle w:val="Header"/>
      <w:ind w:right="360"/>
    </w:pPr>
  </w:p>
  <w:p w14:paraId="310CB3D3" w14:textId="77777777" w:rsidR="00B428EE" w:rsidRDefault="00B428EE"/>
  <w:p w14:paraId="4F5B7F91" w14:textId="77777777" w:rsidR="00B428EE" w:rsidRDefault="00B428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98B" w14:textId="69E0BC9C" w:rsidR="00292594" w:rsidRPr="00292594" w:rsidRDefault="00292594" w:rsidP="00292594">
    <w:pPr>
      <w:pStyle w:val="Header"/>
      <w:jc w:val="right"/>
      <w:rPr>
        <w:rFonts w:ascii="Times New Roman" w:hAnsi="Times New Roman"/>
      </w:rPr>
    </w:pPr>
    <w:r w:rsidRPr="00292594">
      <w:rPr>
        <w:rFonts w:ascii="Times New Roman" w:hAnsi="Times New Roman"/>
      </w:rPr>
      <w:t xml:space="preserve">SASKAŅOTS ZVA </w:t>
    </w:r>
    <w:r w:rsidRPr="00292594">
      <w:rPr>
        <w:rFonts w:ascii="Times New Roman" w:hAnsi="Times New Roman"/>
      </w:rPr>
      <w:t>21-07-2022</w:t>
    </w:r>
  </w:p>
  <w:p w14:paraId="5EB77943" w14:textId="77777777" w:rsidR="00B428EE" w:rsidRDefault="00B428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9B2" w14:textId="77777777" w:rsidR="00292594" w:rsidRDefault="00292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01895"/>
    <w:multiLevelType w:val="hybridMultilevel"/>
    <w:tmpl w:val="513259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EC0"/>
    <w:multiLevelType w:val="hybridMultilevel"/>
    <w:tmpl w:val="3BCA44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17B88"/>
    <w:multiLevelType w:val="hybridMultilevel"/>
    <w:tmpl w:val="265264C0"/>
    <w:lvl w:ilvl="0" w:tplc="D7BE0F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3B0"/>
    <w:multiLevelType w:val="hybridMultilevel"/>
    <w:tmpl w:val="E3DACD40"/>
    <w:lvl w:ilvl="0" w:tplc="AF68B2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1465"/>
    <w:multiLevelType w:val="singleLevel"/>
    <w:tmpl w:val="2E304F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30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59966604">
    <w:abstractNumId w:val="5"/>
  </w:num>
  <w:num w:numId="3" w16cid:durableId="5791712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893811928">
    <w:abstractNumId w:val="4"/>
  </w:num>
  <w:num w:numId="5" w16cid:durableId="1027606572">
    <w:abstractNumId w:val="6"/>
  </w:num>
  <w:num w:numId="6" w16cid:durableId="1061296794">
    <w:abstractNumId w:val="1"/>
  </w:num>
  <w:num w:numId="7" w16cid:durableId="899751149">
    <w:abstractNumId w:val="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0663466">
    <w:abstractNumId w:val="2"/>
  </w:num>
  <w:num w:numId="9" w16cid:durableId="810442647">
    <w:abstractNumId w:val="3"/>
  </w:num>
  <w:num w:numId="10" w16cid:durableId="179655728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A5C"/>
    <w:rsid w:val="0000640F"/>
    <w:rsid w:val="00010C68"/>
    <w:rsid w:val="00013035"/>
    <w:rsid w:val="00017ADE"/>
    <w:rsid w:val="000221BB"/>
    <w:rsid w:val="00022A73"/>
    <w:rsid w:val="00025C9D"/>
    <w:rsid w:val="00026883"/>
    <w:rsid w:val="00040BEC"/>
    <w:rsid w:val="00042903"/>
    <w:rsid w:val="00044DA9"/>
    <w:rsid w:val="00065877"/>
    <w:rsid w:val="000744EB"/>
    <w:rsid w:val="00077521"/>
    <w:rsid w:val="0009077A"/>
    <w:rsid w:val="0009198E"/>
    <w:rsid w:val="000943B1"/>
    <w:rsid w:val="0009536E"/>
    <w:rsid w:val="000B6ABD"/>
    <w:rsid w:val="000C201F"/>
    <w:rsid w:val="000C67D4"/>
    <w:rsid w:val="000C6B60"/>
    <w:rsid w:val="000C751A"/>
    <w:rsid w:val="000D3E62"/>
    <w:rsid w:val="000D6110"/>
    <w:rsid w:val="000D61AE"/>
    <w:rsid w:val="000D7F8C"/>
    <w:rsid w:val="000E404B"/>
    <w:rsid w:val="000E445B"/>
    <w:rsid w:val="000F1997"/>
    <w:rsid w:val="000F5C6E"/>
    <w:rsid w:val="000F764E"/>
    <w:rsid w:val="001021BC"/>
    <w:rsid w:val="00106165"/>
    <w:rsid w:val="00114EC4"/>
    <w:rsid w:val="001153E6"/>
    <w:rsid w:val="00122A30"/>
    <w:rsid w:val="00125B22"/>
    <w:rsid w:val="00132CA6"/>
    <w:rsid w:val="001522DF"/>
    <w:rsid w:val="001533FA"/>
    <w:rsid w:val="001545D4"/>
    <w:rsid w:val="0016348D"/>
    <w:rsid w:val="00165E99"/>
    <w:rsid w:val="00177D94"/>
    <w:rsid w:val="0018287F"/>
    <w:rsid w:val="00183B52"/>
    <w:rsid w:val="00184B92"/>
    <w:rsid w:val="00185719"/>
    <w:rsid w:val="0019398E"/>
    <w:rsid w:val="00193FEE"/>
    <w:rsid w:val="001A19B8"/>
    <w:rsid w:val="001B2464"/>
    <w:rsid w:val="001B50C0"/>
    <w:rsid w:val="001D0EEA"/>
    <w:rsid w:val="001D6911"/>
    <w:rsid w:val="001E3B72"/>
    <w:rsid w:val="001E7854"/>
    <w:rsid w:val="001E7F74"/>
    <w:rsid w:val="001F0629"/>
    <w:rsid w:val="001F0CBE"/>
    <w:rsid w:val="001F13C1"/>
    <w:rsid w:val="001F5D87"/>
    <w:rsid w:val="002020B2"/>
    <w:rsid w:val="0020617B"/>
    <w:rsid w:val="00217322"/>
    <w:rsid w:val="002347FA"/>
    <w:rsid w:val="00246CE2"/>
    <w:rsid w:val="00252E19"/>
    <w:rsid w:val="00253251"/>
    <w:rsid w:val="00254C05"/>
    <w:rsid w:val="002617D9"/>
    <w:rsid w:val="00262DAC"/>
    <w:rsid w:val="00263D2B"/>
    <w:rsid w:val="00270DD9"/>
    <w:rsid w:val="00271A5E"/>
    <w:rsid w:val="00272724"/>
    <w:rsid w:val="00272DA0"/>
    <w:rsid w:val="00276FB3"/>
    <w:rsid w:val="00281C39"/>
    <w:rsid w:val="0028290D"/>
    <w:rsid w:val="00283156"/>
    <w:rsid w:val="002843E9"/>
    <w:rsid w:val="00285028"/>
    <w:rsid w:val="00291393"/>
    <w:rsid w:val="00292594"/>
    <w:rsid w:val="002A7106"/>
    <w:rsid w:val="002C4293"/>
    <w:rsid w:val="002C5821"/>
    <w:rsid w:val="002D03EB"/>
    <w:rsid w:val="002D50A2"/>
    <w:rsid w:val="002F3E1C"/>
    <w:rsid w:val="00305245"/>
    <w:rsid w:val="00307853"/>
    <w:rsid w:val="00310C17"/>
    <w:rsid w:val="0033085D"/>
    <w:rsid w:val="00331596"/>
    <w:rsid w:val="003371A0"/>
    <w:rsid w:val="00337389"/>
    <w:rsid w:val="00347617"/>
    <w:rsid w:val="003568E0"/>
    <w:rsid w:val="00356F0A"/>
    <w:rsid w:val="00357AA5"/>
    <w:rsid w:val="00361C95"/>
    <w:rsid w:val="00362C4A"/>
    <w:rsid w:val="00376566"/>
    <w:rsid w:val="00384C38"/>
    <w:rsid w:val="0039256B"/>
    <w:rsid w:val="00393074"/>
    <w:rsid w:val="003A5E24"/>
    <w:rsid w:val="003B1B3D"/>
    <w:rsid w:val="003B2030"/>
    <w:rsid w:val="003B579A"/>
    <w:rsid w:val="003B70F0"/>
    <w:rsid w:val="003C55E4"/>
    <w:rsid w:val="003E253B"/>
    <w:rsid w:val="003E3C9C"/>
    <w:rsid w:val="003E507F"/>
    <w:rsid w:val="003F5370"/>
    <w:rsid w:val="00415031"/>
    <w:rsid w:val="0041576E"/>
    <w:rsid w:val="00415AE2"/>
    <w:rsid w:val="00425270"/>
    <w:rsid w:val="00425ADF"/>
    <w:rsid w:val="00426DC3"/>
    <w:rsid w:val="00431BBE"/>
    <w:rsid w:val="004439DA"/>
    <w:rsid w:val="00444A79"/>
    <w:rsid w:val="00445418"/>
    <w:rsid w:val="00457BA9"/>
    <w:rsid w:val="00462A98"/>
    <w:rsid w:val="0047385A"/>
    <w:rsid w:val="00476D16"/>
    <w:rsid w:val="00477288"/>
    <w:rsid w:val="00482E43"/>
    <w:rsid w:val="00483E22"/>
    <w:rsid w:val="00485E05"/>
    <w:rsid w:val="0048632C"/>
    <w:rsid w:val="004919EB"/>
    <w:rsid w:val="00491C00"/>
    <w:rsid w:val="004946AD"/>
    <w:rsid w:val="00496A9B"/>
    <w:rsid w:val="004A2A6D"/>
    <w:rsid w:val="004A67C6"/>
    <w:rsid w:val="004A71E3"/>
    <w:rsid w:val="004A78E8"/>
    <w:rsid w:val="004B0044"/>
    <w:rsid w:val="004C61A1"/>
    <w:rsid w:val="004D5D7C"/>
    <w:rsid w:val="004E6621"/>
    <w:rsid w:val="004E76D9"/>
    <w:rsid w:val="004F1947"/>
    <w:rsid w:val="004F4769"/>
    <w:rsid w:val="004F7789"/>
    <w:rsid w:val="005038DA"/>
    <w:rsid w:val="00511F09"/>
    <w:rsid w:val="0051224F"/>
    <w:rsid w:val="0052425B"/>
    <w:rsid w:val="00530407"/>
    <w:rsid w:val="00530CE3"/>
    <w:rsid w:val="005365BF"/>
    <w:rsid w:val="0054571F"/>
    <w:rsid w:val="00545C2C"/>
    <w:rsid w:val="0055082A"/>
    <w:rsid w:val="00562294"/>
    <w:rsid w:val="0057093A"/>
    <w:rsid w:val="0057150F"/>
    <w:rsid w:val="005748CA"/>
    <w:rsid w:val="0058188F"/>
    <w:rsid w:val="00583088"/>
    <w:rsid w:val="005835FE"/>
    <w:rsid w:val="00584874"/>
    <w:rsid w:val="00585734"/>
    <w:rsid w:val="00586FC7"/>
    <w:rsid w:val="005907C5"/>
    <w:rsid w:val="00593FA4"/>
    <w:rsid w:val="005A61BC"/>
    <w:rsid w:val="005B0306"/>
    <w:rsid w:val="005B7C68"/>
    <w:rsid w:val="005C01D8"/>
    <w:rsid w:val="005C390D"/>
    <w:rsid w:val="005C5DA3"/>
    <w:rsid w:val="005D0636"/>
    <w:rsid w:val="005E5008"/>
    <w:rsid w:val="005F4E32"/>
    <w:rsid w:val="0060258F"/>
    <w:rsid w:val="0060263E"/>
    <w:rsid w:val="006070DA"/>
    <w:rsid w:val="006150FF"/>
    <w:rsid w:val="00620DD9"/>
    <w:rsid w:val="006215AF"/>
    <w:rsid w:val="00637630"/>
    <w:rsid w:val="00641CBD"/>
    <w:rsid w:val="0064231E"/>
    <w:rsid w:val="00644737"/>
    <w:rsid w:val="00651C1A"/>
    <w:rsid w:val="006533F6"/>
    <w:rsid w:val="006555AD"/>
    <w:rsid w:val="00662D18"/>
    <w:rsid w:val="00663545"/>
    <w:rsid w:val="00675FF0"/>
    <w:rsid w:val="00682EB8"/>
    <w:rsid w:val="0069025A"/>
    <w:rsid w:val="00693970"/>
    <w:rsid w:val="0069697A"/>
    <w:rsid w:val="00697686"/>
    <w:rsid w:val="006A469D"/>
    <w:rsid w:val="006B4123"/>
    <w:rsid w:val="006B4EB7"/>
    <w:rsid w:val="006C131D"/>
    <w:rsid w:val="006C2C2D"/>
    <w:rsid w:val="006D1A8D"/>
    <w:rsid w:val="006D2AB5"/>
    <w:rsid w:val="006E32FB"/>
    <w:rsid w:val="0070284D"/>
    <w:rsid w:val="007072AC"/>
    <w:rsid w:val="00717271"/>
    <w:rsid w:val="007266F6"/>
    <w:rsid w:val="00731246"/>
    <w:rsid w:val="0073420B"/>
    <w:rsid w:val="0073745C"/>
    <w:rsid w:val="00747CDF"/>
    <w:rsid w:val="007512ED"/>
    <w:rsid w:val="0075589D"/>
    <w:rsid w:val="00755C79"/>
    <w:rsid w:val="00772679"/>
    <w:rsid w:val="00775971"/>
    <w:rsid w:val="00786FEE"/>
    <w:rsid w:val="00787C21"/>
    <w:rsid w:val="007B03EB"/>
    <w:rsid w:val="007B4552"/>
    <w:rsid w:val="007B61C0"/>
    <w:rsid w:val="007C2919"/>
    <w:rsid w:val="007C5ADD"/>
    <w:rsid w:val="007D199E"/>
    <w:rsid w:val="007D1F63"/>
    <w:rsid w:val="007D47AC"/>
    <w:rsid w:val="007D705E"/>
    <w:rsid w:val="007D7FBB"/>
    <w:rsid w:val="007E0034"/>
    <w:rsid w:val="007E52AF"/>
    <w:rsid w:val="007E564F"/>
    <w:rsid w:val="007F4A17"/>
    <w:rsid w:val="00801F8D"/>
    <w:rsid w:val="00803705"/>
    <w:rsid w:val="00803E49"/>
    <w:rsid w:val="00804EB0"/>
    <w:rsid w:val="00806CF2"/>
    <w:rsid w:val="00816CA2"/>
    <w:rsid w:val="00823D2A"/>
    <w:rsid w:val="00823E55"/>
    <w:rsid w:val="00825B78"/>
    <w:rsid w:val="008311DD"/>
    <w:rsid w:val="00833C91"/>
    <w:rsid w:val="00834579"/>
    <w:rsid w:val="008400FF"/>
    <w:rsid w:val="008476F8"/>
    <w:rsid w:val="00853B19"/>
    <w:rsid w:val="00854A8F"/>
    <w:rsid w:val="008567FD"/>
    <w:rsid w:val="008608CA"/>
    <w:rsid w:val="00863058"/>
    <w:rsid w:val="00867376"/>
    <w:rsid w:val="00870DE6"/>
    <w:rsid w:val="008719FC"/>
    <w:rsid w:val="00882F45"/>
    <w:rsid w:val="00886364"/>
    <w:rsid w:val="00896639"/>
    <w:rsid w:val="008C12E0"/>
    <w:rsid w:val="008C30EB"/>
    <w:rsid w:val="008C51FC"/>
    <w:rsid w:val="008C5CAD"/>
    <w:rsid w:val="008D0C89"/>
    <w:rsid w:val="008E050F"/>
    <w:rsid w:val="008E1273"/>
    <w:rsid w:val="008E1D10"/>
    <w:rsid w:val="008E28EB"/>
    <w:rsid w:val="008E3C87"/>
    <w:rsid w:val="008E6641"/>
    <w:rsid w:val="008F1CC7"/>
    <w:rsid w:val="008F335A"/>
    <w:rsid w:val="009008BF"/>
    <w:rsid w:val="0090542F"/>
    <w:rsid w:val="00905C9D"/>
    <w:rsid w:val="00907602"/>
    <w:rsid w:val="00907E1C"/>
    <w:rsid w:val="009123F3"/>
    <w:rsid w:val="00920270"/>
    <w:rsid w:val="00920F15"/>
    <w:rsid w:val="00942134"/>
    <w:rsid w:val="00943E89"/>
    <w:rsid w:val="00950C71"/>
    <w:rsid w:val="00950FA8"/>
    <w:rsid w:val="00957ED9"/>
    <w:rsid w:val="00966063"/>
    <w:rsid w:val="0097237F"/>
    <w:rsid w:val="009766BB"/>
    <w:rsid w:val="00981FBB"/>
    <w:rsid w:val="009A4BC3"/>
    <w:rsid w:val="009A4CA9"/>
    <w:rsid w:val="009C4DAF"/>
    <w:rsid w:val="009D31C2"/>
    <w:rsid w:val="009E1F12"/>
    <w:rsid w:val="009E1F37"/>
    <w:rsid w:val="009E28DD"/>
    <w:rsid w:val="009E2E61"/>
    <w:rsid w:val="00A000B6"/>
    <w:rsid w:val="00A04008"/>
    <w:rsid w:val="00A06011"/>
    <w:rsid w:val="00A0690A"/>
    <w:rsid w:val="00A110BA"/>
    <w:rsid w:val="00A11737"/>
    <w:rsid w:val="00A24B50"/>
    <w:rsid w:val="00A2655E"/>
    <w:rsid w:val="00A26AC8"/>
    <w:rsid w:val="00A26B88"/>
    <w:rsid w:val="00A32C44"/>
    <w:rsid w:val="00A4090D"/>
    <w:rsid w:val="00A53A72"/>
    <w:rsid w:val="00A67E42"/>
    <w:rsid w:val="00A70BF0"/>
    <w:rsid w:val="00A71697"/>
    <w:rsid w:val="00A71A39"/>
    <w:rsid w:val="00A72165"/>
    <w:rsid w:val="00A727EC"/>
    <w:rsid w:val="00A7618F"/>
    <w:rsid w:val="00A82C46"/>
    <w:rsid w:val="00A855EC"/>
    <w:rsid w:val="00AA4E12"/>
    <w:rsid w:val="00AA5E9F"/>
    <w:rsid w:val="00AA6C26"/>
    <w:rsid w:val="00AA7164"/>
    <w:rsid w:val="00AB0CF2"/>
    <w:rsid w:val="00AB65CA"/>
    <w:rsid w:val="00AC2CE1"/>
    <w:rsid w:val="00AC2FB0"/>
    <w:rsid w:val="00AC5C0B"/>
    <w:rsid w:val="00AD4B42"/>
    <w:rsid w:val="00AE1660"/>
    <w:rsid w:val="00AE3C2C"/>
    <w:rsid w:val="00AE44E3"/>
    <w:rsid w:val="00AE6E7F"/>
    <w:rsid w:val="00AF0298"/>
    <w:rsid w:val="00AF6D9E"/>
    <w:rsid w:val="00B012B6"/>
    <w:rsid w:val="00B04E7F"/>
    <w:rsid w:val="00B07355"/>
    <w:rsid w:val="00B14651"/>
    <w:rsid w:val="00B310E6"/>
    <w:rsid w:val="00B313CA"/>
    <w:rsid w:val="00B34E72"/>
    <w:rsid w:val="00B40890"/>
    <w:rsid w:val="00B40AA0"/>
    <w:rsid w:val="00B41159"/>
    <w:rsid w:val="00B428EE"/>
    <w:rsid w:val="00B523D5"/>
    <w:rsid w:val="00B5253E"/>
    <w:rsid w:val="00B5616A"/>
    <w:rsid w:val="00B56988"/>
    <w:rsid w:val="00B67683"/>
    <w:rsid w:val="00B73568"/>
    <w:rsid w:val="00B77DE7"/>
    <w:rsid w:val="00B91092"/>
    <w:rsid w:val="00B94730"/>
    <w:rsid w:val="00BA4A53"/>
    <w:rsid w:val="00BA5025"/>
    <w:rsid w:val="00BA55EE"/>
    <w:rsid w:val="00BB13F7"/>
    <w:rsid w:val="00BB56FE"/>
    <w:rsid w:val="00BC022E"/>
    <w:rsid w:val="00BC2A5C"/>
    <w:rsid w:val="00BC2CCC"/>
    <w:rsid w:val="00BC3B9B"/>
    <w:rsid w:val="00BC5F36"/>
    <w:rsid w:val="00BD6564"/>
    <w:rsid w:val="00BE32A6"/>
    <w:rsid w:val="00BE5BC8"/>
    <w:rsid w:val="00BE6DEB"/>
    <w:rsid w:val="00BF4FC8"/>
    <w:rsid w:val="00BF7AEC"/>
    <w:rsid w:val="00C05010"/>
    <w:rsid w:val="00C05CEB"/>
    <w:rsid w:val="00C118A8"/>
    <w:rsid w:val="00C16DE2"/>
    <w:rsid w:val="00C22341"/>
    <w:rsid w:val="00C276B2"/>
    <w:rsid w:val="00C32458"/>
    <w:rsid w:val="00C32AE8"/>
    <w:rsid w:val="00C36CA9"/>
    <w:rsid w:val="00C4471B"/>
    <w:rsid w:val="00C4590C"/>
    <w:rsid w:val="00C46E7A"/>
    <w:rsid w:val="00C53A2B"/>
    <w:rsid w:val="00C57989"/>
    <w:rsid w:val="00C61B2B"/>
    <w:rsid w:val="00C65E2D"/>
    <w:rsid w:val="00C65F66"/>
    <w:rsid w:val="00C70FA2"/>
    <w:rsid w:val="00C773AF"/>
    <w:rsid w:val="00C839BE"/>
    <w:rsid w:val="00C97180"/>
    <w:rsid w:val="00CA2873"/>
    <w:rsid w:val="00CA3C50"/>
    <w:rsid w:val="00CB326D"/>
    <w:rsid w:val="00CD08B2"/>
    <w:rsid w:val="00CD1EA9"/>
    <w:rsid w:val="00CD56F7"/>
    <w:rsid w:val="00CE1B4C"/>
    <w:rsid w:val="00D10FE6"/>
    <w:rsid w:val="00D133DA"/>
    <w:rsid w:val="00D13C45"/>
    <w:rsid w:val="00D313A2"/>
    <w:rsid w:val="00D32BCA"/>
    <w:rsid w:val="00D40BA7"/>
    <w:rsid w:val="00D4231D"/>
    <w:rsid w:val="00D4560A"/>
    <w:rsid w:val="00D457E4"/>
    <w:rsid w:val="00D50744"/>
    <w:rsid w:val="00D60EEC"/>
    <w:rsid w:val="00D6232B"/>
    <w:rsid w:val="00D703DC"/>
    <w:rsid w:val="00D91BB1"/>
    <w:rsid w:val="00D92A41"/>
    <w:rsid w:val="00DA1EAC"/>
    <w:rsid w:val="00DA2451"/>
    <w:rsid w:val="00DA750A"/>
    <w:rsid w:val="00DC1C82"/>
    <w:rsid w:val="00DC6636"/>
    <w:rsid w:val="00DC6D5B"/>
    <w:rsid w:val="00DC7F30"/>
    <w:rsid w:val="00DE463C"/>
    <w:rsid w:val="00DE7961"/>
    <w:rsid w:val="00E05632"/>
    <w:rsid w:val="00E10012"/>
    <w:rsid w:val="00E1399B"/>
    <w:rsid w:val="00E2389F"/>
    <w:rsid w:val="00E24E3F"/>
    <w:rsid w:val="00E27472"/>
    <w:rsid w:val="00E37E77"/>
    <w:rsid w:val="00E46B3B"/>
    <w:rsid w:val="00E60496"/>
    <w:rsid w:val="00E6660F"/>
    <w:rsid w:val="00E717F1"/>
    <w:rsid w:val="00E75E59"/>
    <w:rsid w:val="00E808F3"/>
    <w:rsid w:val="00E82871"/>
    <w:rsid w:val="00E86DC5"/>
    <w:rsid w:val="00E87CE4"/>
    <w:rsid w:val="00E92A24"/>
    <w:rsid w:val="00E9797E"/>
    <w:rsid w:val="00EA08D9"/>
    <w:rsid w:val="00EA3C1A"/>
    <w:rsid w:val="00EA6E56"/>
    <w:rsid w:val="00EC0557"/>
    <w:rsid w:val="00ED15FF"/>
    <w:rsid w:val="00ED3790"/>
    <w:rsid w:val="00ED4B40"/>
    <w:rsid w:val="00ED68C0"/>
    <w:rsid w:val="00ED6984"/>
    <w:rsid w:val="00EF68A5"/>
    <w:rsid w:val="00EF6F6A"/>
    <w:rsid w:val="00F06FC2"/>
    <w:rsid w:val="00F11A92"/>
    <w:rsid w:val="00F15197"/>
    <w:rsid w:val="00F219E1"/>
    <w:rsid w:val="00F2510C"/>
    <w:rsid w:val="00F27DFA"/>
    <w:rsid w:val="00F34752"/>
    <w:rsid w:val="00F46618"/>
    <w:rsid w:val="00F54D9D"/>
    <w:rsid w:val="00F557D1"/>
    <w:rsid w:val="00F566BE"/>
    <w:rsid w:val="00F60273"/>
    <w:rsid w:val="00F60F36"/>
    <w:rsid w:val="00F6165E"/>
    <w:rsid w:val="00F67EE5"/>
    <w:rsid w:val="00F82F65"/>
    <w:rsid w:val="00F90416"/>
    <w:rsid w:val="00F97383"/>
    <w:rsid w:val="00FA085D"/>
    <w:rsid w:val="00FB1974"/>
    <w:rsid w:val="00FB5EC0"/>
    <w:rsid w:val="00FB793D"/>
    <w:rsid w:val="00FC2FEE"/>
    <w:rsid w:val="00FD0D86"/>
    <w:rsid w:val="00FD23ED"/>
    <w:rsid w:val="00FD6D19"/>
    <w:rsid w:val="00FE0FA2"/>
    <w:rsid w:val="00FE7267"/>
    <w:rsid w:val="00FF4C58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F0A74F"/>
  <w15:chartTrackingRefBased/>
  <w15:docId w15:val="{81FA6A01-3AE8-41F0-A395-215CCAA9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FF99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caps/>
      <w:color w:val="FF9900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3"/>
    </w:pPr>
    <w:rPr>
      <w:rFonts w:ascii="Tahoma" w:hAnsi="Tahoma"/>
      <w:b/>
      <w:i/>
      <w:color w:val="000000"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4"/>
    </w:pPr>
    <w:rPr>
      <w:rFonts w:ascii="Tahoma" w:hAnsi="Tahoma"/>
      <w:b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color w:val="000000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i/>
      <w:color w:val="00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" w:hAnsi="Times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ormale">
    <w:name w:val="Normal(e)"/>
    <w:rPr>
      <w:rFonts w:ascii="Helvetica 45 Light" w:hAnsi="Helvetica 45 Light"/>
    </w:rPr>
  </w:style>
  <w:style w:type="paragraph" w:styleId="BodyText">
    <w:name w:val="Body Text"/>
    <w:basedOn w:val="Normal"/>
    <w:pPr>
      <w:tabs>
        <w:tab w:val="left" w:pos="74"/>
        <w:tab w:val="left" w:pos="113"/>
        <w:tab w:val="left" w:pos="1870"/>
        <w:tab w:val="left" w:pos="2990"/>
        <w:tab w:val="center" w:pos="3968"/>
        <w:tab w:val="right" w:pos="442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2">
    <w:name w:val="Body Text 2"/>
    <w:basedOn w:val="Normal"/>
    <w:pPr>
      <w:jc w:val="both"/>
    </w:pPr>
    <w:rPr>
      <w:bCs/>
      <w:lang w:val="en-GB"/>
    </w:rPr>
  </w:style>
  <w:style w:type="paragraph" w:styleId="BodyText3">
    <w:name w:val="Body Text 3"/>
    <w:basedOn w:val="Normal"/>
    <w:pPr>
      <w:jc w:val="both"/>
    </w:pPr>
    <w:rPr>
      <w:rFonts w:ascii="Tahoma" w:hAnsi="Tahoma"/>
      <w:color w:val="000000"/>
      <w:lang w:val="en-GB"/>
    </w:rPr>
  </w:style>
  <w:style w:type="character" w:styleId="CommentReference">
    <w:name w:val="annotation reference"/>
    <w:semiHidden/>
    <w:rsid w:val="009C4DAF"/>
    <w:rPr>
      <w:sz w:val="16"/>
      <w:szCs w:val="16"/>
    </w:rPr>
  </w:style>
  <w:style w:type="paragraph" w:styleId="CommentText">
    <w:name w:val="annotation text"/>
    <w:basedOn w:val="Normal"/>
    <w:semiHidden/>
    <w:rsid w:val="009C4D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AF"/>
    <w:rPr>
      <w:b/>
      <w:bCs/>
    </w:rPr>
  </w:style>
  <w:style w:type="paragraph" w:styleId="BalloonText">
    <w:name w:val="Balloon Text"/>
    <w:basedOn w:val="Normal"/>
    <w:semiHidden/>
    <w:rsid w:val="009C4DAF"/>
    <w:rPr>
      <w:rFonts w:ascii="Tahoma" w:hAnsi="Tahoma" w:cs="Tahoma"/>
      <w:sz w:val="16"/>
      <w:szCs w:val="16"/>
    </w:rPr>
  </w:style>
  <w:style w:type="character" w:styleId="Hyperlink">
    <w:name w:val="Hyperlink"/>
    <w:rsid w:val="00EF6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8B2"/>
    <w:pPr>
      <w:ind w:left="720"/>
    </w:pPr>
  </w:style>
  <w:style w:type="character" w:customStyle="1" w:styleId="st">
    <w:name w:val="st"/>
    <w:rsid w:val="00A71A39"/>
    <w:rPr>
      <w:rFonts w:cs="Times New Roman"/>
    </w:rPr>
  </w:style>
  <w:style w:type="character" w:styleId="Emphasis">
    <w:name w:val="Emphasis"/>
    <w:qFormat/>
    <w:rsid w:val="00A71A39"/>
    <w:rPr>
      <w:rFonts w:cs="Times New Roman"/>
      <w:i/>
      <w:iCs/>
    </w:rPr>
  </w:style>
  <w:style w:type="paragraph" w:customStyle="1" w:styleId="AmmCorpsTexte">
    <w:name w:val="AmmCorpsTexte"/>
    <w:basedOn w:val="Normal"/>
    <w:rsid w:val="00A71A39"/>
    <w:pPr>
      <w:spacing w:after="120"/>
      <w:jc w:val="both"/>
    </w:pPr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5038DA"/>
    <w:rPr>
      <w:sz w:val="24"/>
      <w:szCs w:val="24"/>
      <w:lang w:val="fr-FR" w:eastAsia="fr-FR"/>
    </w:rPr>
  </w:style>
  <w:style w:type="character" w:customStyle="1" w:styleId="HeaderChar">
    <w:name w:val="Header Char"/>
    <w:link w:val="Header"/>
    <w:uiPriority w:val="99"/>
    <w:rsid w:val="00177D94"/>
    <w:rPr>
      <w:rFonts w:ascii="Times" w:hAnsi="Times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../?id=613&amp;sa=613&amp;top=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6A23-A479-4701-AC48-51B31BA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10004</Words>
  <Characters>5703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SUMMARY OF THE PRODUCT CHARACTERISTICS</vt:lpstr>
      <vt:lpstr>SUMMARY OF THE PRODUCT CHARACTERISTICS</vt:lpstr>
    </vt:vector>
  </TitlesOfParts>
  <Company>Laboratoire Innothera</Company>
  <LinksUpToDate>false</LinksUpToDate>
  <CharactersWithSpaces>15676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http://www.zva.gov.lv/?id=613&amp;sa=613&amp;top=3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PRODUCT CHARACTERISTICS</dc:title>
  <dc:subject/>
  <dc:creator>Innothera</dc:creator>
  <cp:keywords/>
  <cp:lastModifiedBy>Marita Laviceviča</cp:lastModifiedBy>
  <cp:revision>2</cp:revision>
  <cp:lastPrinted>2018-05-07T13:35:00Z</cp:lastPrinted>
  <dcterms:created xsi:type="dcterms:W3CDTF">2022-07-20T13:03:00Z</dcterms:created>
  <dcterms:modified xsi:type="dcterms:W3CDTF">2022-07-20T13:03:00Z</dcterms:modified>
</cp:coreProperties>
</file>