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72FF" w14:textId="77777777" w:rsidR="009E28DD" w:rsidRPr="00C30F38" w:rsidRDefault="009E28DD" w:rsidP="009E28DD">
      <w:pPr>
        <w:jc w:val="center"/>
        <w:rPr>
          <w:b/>
          <w:sz w:val="22"/>
          <w:szCs w:val="22"/>
          <w:lang w:val="lv-LV"/>
        </w:rPr>
      </w:pPr>
      <w:r w:rsidRPr="00C30F38">
        <w:rPr>
          <w:b/>
          <w:sz w:val="22"/>
          <w:szCs w:val="22"/>
          <w:lang w:val="lv-LV"/>
        </w:rPr>
        <w:t>Lietošanas instrukcija: informācija pacientam</w:t>
      </w:r>
    </w:p>
    <w:p w14:paraId="757A6365" w14:textId="77777777" w:rsidR="009E28DD" w:rsidRPr="00C30F38" w:rsidRDefault="009E28DD" w:rsidP="009E28DD">
      <w:pPr>
        <w:jc w:val="center"/>
        <w:rPr>
          <w:b/>
          <w:sz w:val="22"/>
          <w:szCs w:val="22"/>
          <w:lang w:val="lv-LV"/>
        </w:rPr>
      </w:pPr>
    </w:p>
    <w:p w14:paraId="734413D2" w14:textId="77777777" w:rsidR="009E28DD" w:rsidRPr="00C30F38" w:rsidRDefault="009E28DD" w:rsidP="009E28DD">
      <w:pPr>
        <w:jc w:val="center"/>
        <w:rPr>
          <w:b/>
          <w:sz w:val="22"/>
          <w:szCs w:val="22"/>
          <w:lang w:val="lv-LV"/>
        </w:rPr>
      </w:pPr>
    </w:p>
    <w:p w14:paraId="15B9627E" w14:textId="77777777" w:rsidR="009E28DD" w:rsidRPr="00C30F38" w:rsidRDefault="009E28DD" w:rsidP="009E28DD">
      <w:pPr>
        <w:jc w:val="center"/>
        <w:rPr>
          <w:b/>
          <w:sz w:val="22"/>
          <w:szCs w:val="22"/>
          <w:lang w:val="lv-LV"/>
        </w:rPr>
      </w:pPr>
      <w:r w:rsidRPr="00C30F38">
        <w:rPr>
          <w:b/>
          <w:sz w:val="22"/>
          <w:szCs w:val="22"/>
          <w:lang w:val="lv-LV"/>
        </w:rPr>
        <w:t>Tot'hema 5 mg/  0,133 mg/ 0,07 mg/ ml šķīdums iekšķīgai lietošanai</w:t>
      </w:r>
    </w:p>
    <w:p w14:paraId="0404315A" w14:textId="77777777" w:rsidR="009E28DD" w:rsidRPr="00C30F38" w:rsidRDefault="009E28DD" w:rsidP="009E28DD">
      <w:pPr>
        <w:jc w:val="center"/>
        <w:rPr>
          <w:i/>
          <w:sz w:val="22"/>
          <w:szCs w:val="22"/>
          <w:lang w:val="lv-LV"/>
        </w:rPr>
      </w:pPr>
    </w:p>
    <w:p w14:paraId="2FE5F84D" w14:textId="77777777" w:rsidR="009E28DD" w:rsidRPr="00C30F38" w:rsidRDefault="009E28DD" w:rsidP="009E28DD">
      <w:pPr>
        <w:jc w:val="center"/>
        <w:rPr>
          <w:i/>
          <w:sz w:val="22"/>
          <w:szCs w:val="22"/>
          <w:lang w:val="lv-LV"/>
        </w:rPr>
      </w:pPr>
      <w:r w:rsidRPr="00C30F38">
        <w:rPr>
          <w:i/>
          <w:sz w:val="22"/>
          <w:szCs w:val="22"/>
          <w:lang w:val="lv-LV"/>
        </w:rPr>
        <w:t>Ferrum, Manganum, Cuprum</w:t>
      </w:r>
    </w:p>
    <w:p w14:paraId="24737B10" w14:textId="77777777" w:rsidR="009E28DD" w:rsidRPr="00C30F38" w:rsidRDefault="009E28DD" w:rsidP="009E28DD">
      <w:pPr>
        <w:jc w:val="center"/>
        <w:rPr>
          <w:i/>
          <w:sz w:val="22"/>
          <w:szCs w:val="22"/>
          <w:lang w:val="lv-LV"/>
        </w:rPr>
      </w:pPr>
    </w:p>
    <w:p w14:paraId="7D44ED86" w14:textId="77777777" w:rsidR="009E28DD" w:rsidRPr="00C30F38" w:rsidRDefault="009E28DD" w:rsidP="009E28DD">
      <w:pPr>
        <w:jc w:val="center"/>
        <w:rPr>
          <w:i/>
          <w:sz w:val="22"/>
          <w:szCs w:val="22"/>
          <w:lang w:val="lv-LV"/>
        </w:rPr>
      </w:pPr>
    </w:p>
    <w:p w14:paraId="58593047" w14:textId="77777777" w:rsidR="009E28DD" w:rsidRPr="00C30F38" w:rsidRDefault="009E28DD" w:rsidP="009E28DD">
      <w:pPr>
        <w:jc w:val="center"/>
        <w:rPr>
          <w:i/>
          <w:sz w:val="22"/>
          <w:szCs w:val="22"/>
          <w:lang w:val="lv-LV"/>
        </w:rPr>
      </w:pPr>
    </w:p>
    <w:p w14:paraId="709E04B5" w14:textId="77777777" w:rsidR="009E28DD" w:rsidRPr="00C30F38" w:rsidRDefault="009E28DD" w:rsidP="009E28DD">
      <w:pPr>
        <w:jc w:val="both"/>
        <w:rPr>
          <w:b/>
          <w:sz w:val="22"/>
          <w:szCs w:val="22"/>
          <w:lang w:val="lv-LV"/>
        </w:rPr>
      </w:pPr>
      <w:r w:rsidRPr="00C30F38">
        <w:rPr>
          <w:b/>
          <w:sz w:val="22"/>
          <w:szCs w:val="22"/>
          <w:lang w:val="lv-LV"/>
        </w:rPr>
        <w:t>Pirms šo zāļu lietošanas uzmanīgi izlasiet visu instrukciju, jo tā satur Jums svarīgu informāciju.</w:t>
      </w:r>
    </w:p>
    <w:p w14:paraId="792789B0" w14:textId="77777777" w:rsidR="009E28DD" w:rsidRPr="00C30F38" w:rsidRDefault="009E28DD" w:rsidP="009E28DD">
      <w:pPr>
        <w:jc w:val="both"/>
        <w:rPr>
          <w:sz w:val="22"/>
          <w:szCs w:val="22"/>
          <w:lang w:val="lv-LV"/>
        </w:rPr>
      </w:pPr>
      <w:r w:rsidRPr="00C30F38">
        <w:rPr>
          <w:sz w:val="22"/>
          <w:szCs w:val="22"/>
          <w:lang w:val="lv-LV"/>
        </w:rPr>
        <w:t>Vienmēr lietojiet šīs zāles tieši tā, kā aprakstīts šajā instrukcijā, vai arī tā, kā ārsts vai farmaceits Jums teicis.</w:t>
      </w:r>
    </w:p>
    <w:p w14:paraId="7CDA218A" w14:textId="77777777" w:rsidR="009E28DD" w:rsidRPr="00C30F38" w:rsidRDefault="009E28DD" w:rsidP="009E28DD">
      <w:pPr>
        <w:numPr>
          <w:ilvl w:val="0"/>
          <w:numId w:val="10"/>
        </w:numPr>
        <w:jc w:val="both"/>
        <w:rPr>
          <w:sz w:val="22"/>
          <w:szCs w:val="22"/>
          <w:lang w:val="lv-LV"/>
        </w:rPr>
      </w:pPr>
      <w:r w:rsidRPr="00C30F38">
        <w:rPr>
          <w:sz w:val="22"/>
          <w:szCs w:val="22"/>
          <w:lang w:val="lv-LV"/>
        </w:rPr>
        <w:t>Saglabājiet šo instrukciju! Iespējams, ka vēlāk to vajadzēs pārlasīt.</w:t>
      </w:r>
    </w:p>
    <w:p w14:paraId="5745AE08" w14:textId="77777777" w:rsidR="009E28DD" w:rsidRPr="00C30F38" w:rsidRDefault="009E28DD" w:rsidP="009E28DD">
      <w:pPr>
        <w:numPr>
          <w:ilvl w:val="0"/>
          <w:numId w:val="10"/>
        </w:numPr>
        <w:jc w:val="both"/>
        <w:rPr>
          <w:sz w:val="22"/>
          <w:szCs w:val="22"/>
          <w:lang w:val="lv-LV"/>
        </w:rPr>
      </w:pPr>
      <w:r w:rsidRPr="00C30F38">
        <w:rPr>
          <w:sz w:val="22"/>
          <w:szCs w:val="22"/>
          <w:lang w:val="lv-LV"/>
        </w:rPr>
        <w:t>Ja Jums nepieciešama papildus informācija vai padoms, vaicājiet farmaceitam.</w:t>
      </w:r>
    </w:p>
    <w:p w14:paraId="27324F56" w14:textId="77777777" w:rsidR="009E28DD" w:rsidRPr="00C30F38" w:rsidRDefault="009E28DD" w:rsidP="009E28DD">
      <w:pPr>
        <w:numPr>
          <w:ilvl w:val="0"/>
          <w:numId w:val="10"/>
        </w:numPr>
        <w:jc w:val="both"/>
        <w:rPr>
          <w:sz w:val="22"/>
          <w:szCs w:val="22"/>
          <w:lang w:val="lv-LV"/>
        </w:rPr>
      </w:pPr>
      <w:r w:rsidRPr="00C30F38">
        <w:rPr>
          <w:sz w:val="22"/>
          <w:szCs w:val="22"/>
          <w:lang w:val="lv-LV"/>
        </w:rPr>
        <w:t>Ja Jums rodas jebkādas blakusparādības, konsultējieties ar ārstu vai farmaceitu. Tas attiecas arī uz iespējamām blakusparādībām, kas nav minētas šajā instrukcijā. Skatīt 4. punktu.</w:t>
      </w:r>
    </w:p>
    <w:p w14:paraId="501A5555" w14:textId="77777777" w:rsidR="009E28DD" w:rsidRPr="00C30F38" w:rsidRDefault="009E28DD" w:rsidP="009E28DD">
      <w:pPr>
        <w:numPr>
          <w:ilvl w:val="0"/>
          <w:numId w:val="10"/>
        </w:numPr>
        <w:jc w:val="both"/>
        <w:rPr>
          <w:sz w:val="22"/>
          <w:szCs w:val="22"/>
          <w:lang w:val="lv-LV"/>
        </w:rPr>
      </w:pPr>
      <w:r w:rsidRPr="00C30F38">
        <w:rPr>
          <w:sz w:val="22"/>
          <w:szCs w:val="22"/>
          <w:lang w:val="lv-LV"/>
        </w:rPr>
        <w:t xml:space="preserve">Ja </w:t>
      </w:r>
      <w:r w:rsidR="00984EB1" w:rsidRPr="00C30F38">
        <w:rPr>
          <w:sz w:val="22"/>
          <w:szCs w:val="22"/>
          <w:lang w:val="lv-LV"/>
        </w:rPr>
        <w:t xml:space="preserve">pēc 4 nedēļām </w:t>
      </w:r>
      <w:r w:rsidRPr="00C30F38">
        <w:rPr>
          <w:sz w:val="22"/>
          <w:szCs w:val="22"/>
          <w:lang w:val="lv-LV"/>
        </w:rPr>
        <w:t xml:space="preserve">nejūtaties labāk vai jūtaties sliktāk, Jums jākonsultējas ar ārstu. </w:t>
      </w:r>
    </w:p>
    <w:p w14:paraId="1D487579" w14:textId="77777777" w:rsidR="009E28DD" w:rsidRPr="00C30F38" w:rsidRDefault="009E28DD" w:rsidP="009E28DD">
      <w:pPr>
        <w:jc w:val="both"/>
        <w:rPr>
          <w:sz w:val="22"/>
          <w:szCs w:val="22"/>
          <w:u w:val="single"/>
          <w:lang w:val="lv-LV"/>
        </w:rPr>
      </w:pPr>
    </w:p>
    <w:p w14:paraId="7FCF6364" w14:textId="77777777" w:rsidR="009E28DD" w:rsidRPr="005C0034" w:rsidRDefault="009E28DD" w:rsidP="009E28DD">
      <w:pPr>
        <w:jc w:val="both"/>
        <w:rPr>
          <w:b/>
          <w:sz w:val="22"/>
          <w:szCs w:val="22"/>
          <w:lang w:val="lv-LV"/>
        </w:rPr>
      </w:pPr>
      <w:r w:rsidRPr="005C0034">
        <w:rPr>
          <w:b/>
          <w:sz w:val="22"/>
          <w:szCs w:val="22"/>
          <w:lang w:val="lv-LV"/>
        </w:rPr>
        <w:t>Šajā instrukcijā varat uzzināt:</w:t>
      </w:r>
    </w:p>
    <w:p w14:paraId="5224FB9F" w14:textId="77777777" w:rsidR="009E28DD" w:rsidRPr="002C6709" w:rsidRDefault="009E28DD" w:rsidP="009E28DD">
      <w:pPr>
        <w:numPr>
          <w:ilvl w:val="0"/>
          <w:numId w:val="8"/>
        </w:numPr>
        <w:jc w:val="both"/>
        <w:rPr>
          <w:sz w:val="22"/>
          <w:szCs w:val="22"/>
          <w:lang w:val="lv-LV"/>
        </w:rPr>
      </w:pPr>
      <w:r w:rsidRPr="005C0034">
        <w:rPr>
          <w:sz w:val="22"/>
          <w:szCs w:val="22"/>
          <w:lang w:val="lv-LV"/>
        </w:rPr>
        <w:t>Kas ir Tot’hema</w:t>
      </w:r>
      <w:r w:rsidRPr="002C6709">
        <w:rPr>
          <w:sz w:val="22"/>
          <w:szCs w:val="22"/>
          <w:lang w:val="lv-LV"/>
        </w:rPr>
        <w:t xml:space="preserve"> un kādam nolūkam to lieto</w:t>
      </w:r>
    </w:p>
    <w:p w14:paraId="6FD5EC2F" w14:textId="77777777" w:rsidR="009E28DD" w:rsidRPr="00C8575A" w:rsidRDefault="009E28DD" w:rsidP="009E28DD">
      <w:pPr>
        <w:numPr>
          <w:ilvl w:val="0"/>
          <w:numId w:val="8"/>
        </w:numPr>
        <w:jc w:val="both"/>
        <w:rPr>
          <w:sz w:val="22"/>
          <w:szCs w:val="22"/>
          <w:lang w:val="lv-LV"/>
        </w:rPr>
      </w:pPr>
      <w:r w:rsidRPr="002C6709">
        <w:rPr>
          <w:sz w:val="22"/>
          <w:szCs w:val="22"/>
          <w:lang w:val="lv-LV"/>
        </w:rPr>
        <w:t>Kas Jums jāzina pirms Tot’hema</w:t>
      </w:r>
      <w:r w:rsidRPr="00C8575A">
        <w:rPr>
          <w:i/>
          <w:sz w:val="22"/>
          <w:szCs w:val="22"/>
          <w:lang w:val="lv-LV"/>
        </w:rPr>
        <w:t xml:space="preserve"> </w:t>
      </w:r>
      <w:r w:rsidRPr="00C8575A">
        <w:rPr>
          <w:sz w:val="22"/>
          <w:szCs w:val="22"/>
          <w:lang w:val="lv-LV"/>
        </w:rPr>
        <w:t>lietošanas</w:t>
      </w:r>
    </w:p>
    <w:p w14:paraId="7CD2B6B7" w14:textId="77777777" w:rsidR="009E28DD" w:rsidRPr="00176E55" w:rsidRDefault="009E28DD" w:rsidP="009E28DD">
      <w:pPr>
        <w:numPr>
          <w:ilvl w:val="0"/>
          <w:numId w:val="8"/>
        </w:numPr>
        <w:jc w:val="both"/>
        <w:rPr>
          <w:sz w:val="22"/>
          <w:szCs w:val="22"/>
          <w:lang w:val="lv-LV"/>
        </w:rPr>
      </w:pPr>
      <w:r w:rsidRPr="00C8575A">
        <w:rPr>
          <w:sz w:val="22"/>
          <w:szCs w:val="22"/>
          <w:lang w:val="lv-LV"/>
        </w:rPr>
        <w:t>Kā lietot Tot’hema</w:t>
      </w:r>
      <w:r w:rsidRPr="00176E55">
        <w:rPr>
          <w:sz w:val="22"/>
          <w:szCs w:val="22"/>
          <w:lang w:val="lv-LV"/>
        </w:rPr>
        <w:t xml:space="preserve"> </w:t>
      </w:r>
    </w:p>
    <w:p w14:paraId="3AB87D32" w14:textId="77777777" w:rsidR="009E28DD" w:rsidRPr="003414D3" w:rsidRDefault="009E28DD" w:rsidP="009E28DD">
      <w:pPr>
        <w:numPr>
          <w:ilvl w:val="0"/>
          <w:numId w:val="8"/>
        </w:numPr>
        <w:jc w:val="both"/>
        <w:rPr>
          <w:sz w:val="22"/>
          <w:szCs w:val="22"/>
          <w:lang w:val="lv-LV"/>
        </w:rPr>
      </w:pPr>
      <w:r w:rsidRPr="003414D3">
        <w:rPr>
          <w:sz w:val="22"/>
          <w:szCs w:val="22"/>
          <w:lang w:val="lv-LV"/>
        </w:rPr>
        <w:t>Iespējamās blakusparādības</w:t>
      </w:r>
    </w:p>
    <w:p w14:paraId="52A7C499" w14:textId="77777777" w:rsidR="009E28DD" w:rsidRPr="003414D3" w:rsidRDefault="009E28DD" w:rsidP="009E28DD">
      <w:pPr>
        <w:numPr>
          <w:ilvl w:val="0"/>
          <w:numId w:val="8"/>
        </w:numPr>
        <w:jc w:val="both"/>
        <w:rPr>
          <w:sz w:val="22"/>
          <w:szCs w:val="22"/>
          <w:lang w:val="lv-LV"/>
        </w:rPr>
      </w:pPr>
      <w:r w:rsidRPr="003414D3">
        <w:rPr>
          <w:sz w:val="22"/>
          <w:szCs w:val="22"/>
          <w:lang w:val="lv-LV"/>
        </w:rPr>
        <w:t xml:space="preserve">Kā uzglabāt Tot’hema  </w:t>
      </w:r>
    </w:p>
    <w:p w14:paraId="092E0ED5" w14:textId="77777777" w:rsidR="009E28DD" w:rsidRPr="003414D3" w:rsidRDefault="009E28DD" w:rsidP="009E28DD">
      <w:pPr>
        <w:numPr>
          <w:ilvl w:val="0"/>
          <w:numId w:val="8"/>
        </w:numPr>
        <w:jc w:val="both"/>
        <w:rPr>
          <w:sz w:val="22"/>
          <w:szCs w:val="22"/>
          <w:lang w:val="lv-LV"/>
        </w:rPr>
      </w:pPr>
      <w:r w:rsidRPr="003414D3">
        <w:rPr>
          <w:sz w:val="22"/>
          <w:szCs w:val="22"/>
          <w:lang w:val="lv-LV"/>
        </w:rPr>
        <w:t>Iepakojuma saturs un cita informācija</w:t>
      </w:r>
    </w:p>
    <w:p w14:paraId="46FBAE69" w14:textId="77777777" w:rsidR="009E28DD" w:rsidRPr="003414D3" w:rsidRDefault="009E28DD" w:rsidP="009E28DD">
      <w:pPr>
        <w:ind w:left="360"/>
        <w:jc w:val="both"/>
        <w:rPr>
          <w:sz w:val="22"/>
          <w:szCs w:val="22"/>
          <w:lang w:val="lv-LV"/>
        </w:rPr>
      </w:pPr>
    </w:p>
    <w:p w14:paraId="405ED25A" w14:textId="77777777" w:rsidR="009E28DD" w:rsidRPr="003414D3" w:rsidRDefault="009E28DD" w:rsidP="009E28DD">
      <w:pPr>
        <w:ind w:left="360"/>
        <w:jc w:val="both"/>
        <w:rPr>
          <w:sz w:val="22"/>
          <w:szCs w:val="22"/>
          <w:lang w:val="lv-LV"/>
        </w:rPr>
      </w:pPr>
    </w:p>
    <w:p w14:paraId="10B8A93B" w14:textId="77777777" w:rsidR="009E28DD" w:rsidRPr="003414D3" w:rsidRDefault="009E28DD" w:rsidP="009E28DD">
      <w:pPr>
        <w:jc w:val="both"/>
        <w:rPr>
          <w:b/>
          <w:sz w:val="22"/>
          <w:szCs w:val="22"/>
          <w:lang w:val="lv-LV"/>
        </w:rPr>
      </w:pPr>
      <w:r w:rsidRPr="003414D3">
        <w:rPr>
          <w:b/>
          <w:sz w:val="22"/>
          <w:szCs w:val="22"/>
          <w:lang w:val="lv-LV"/>
        </w:rPr>
        <w:t>1. Kas ir Tot’hema</w:t>
      </w:r>
      <w:r w:rsidRPr="003414D3">
        <w:rPr>
          <w:i/>
          <w:sz w:val="22"/>
          <w:szCs w:val="22"/>
          <w:lang w:val="lv-LV"/>
        </w:rPr>
        <w:t xml:space="preserve"> </w:t>
      </w:r>
      <w:r w:rsidRPr="003414D3">
        <w:rPr>
          <w:b/>
          <w:sz w:val="22"/>
          <w:szCs w:val="22"/>
          <w:lang w:val="lv-LV"/>
        </w:rPr>
        <w:t>un kādam nolūkam to lieto</w:t>
      </w:r>
    </w:p>
    <w:p w14:paraId="1740EA71" w14:textId="77777777" w:rsidR="009E28DD" w:rsidRPr="003414D3" w:rsidRDefault="009E28DD" w:rsidP="009E28DD">
      <w:pPr>
        <w:rPr>
          <w:sz w:val="22"/>
          <w:szCs w:val="22"/>
          <w:lang w:val="lv-LV"/>
        </w:rPr>
      </w:pPr>
    </w:p>
    <w:p w14:paraId="306EB8C2" w14:textId="77777777" w:rsidR="00984EB1" w:rsidRPr="003414D3" w:rsidRDefault="00984EB1" w:rsidP="009E28DD">
      <w:pPr>
        <w:jc w:val="both"/>
        <w:rPr>
          <w:color w:val="000000"/>
          <w:sz w:val="22"/>
          <w:szCs w:val="22"/>
          <w:lang w:val="lv-LV"/>
        </w:rPr>
      </w:pPr>
      <w:r w:rsidRPr="003414D3">
        <w:rPr>
          <w:color w:val="000000"/>
          <w:sz w:val="22"/>
          <w:szCs w:val="22"/>
          <w:lang w:val="lv-LV"/>
        </w:rPr>
        <w:t xml:space="preserve">Tot’hema aktīvās vielas ir dzelzs, mangāns un varš. </w:t>
      </w:r>
    </w:p>
    <w:p w14:paraId="22B2BDCD" w14:textId="77777777" w:rsidR="00984EB1" w:rsidRPr="003414D3" w:rsidRDefault="00984EB1" w:rsidP="009E28DD">
      <w:pPr>
        <w:jc w:val="both"/>
        <w:rPr>
          <w:color w:val="000000"/>
          <w:sz w:val="22"/>
          <w:szCs w:val="22"/>
          <w:lang w:val="lv-LV"/>
        </w:rPr>
      </w:pPr>
    </w:p>
    <w:p w14:paraId="3E281459" w14:textId="77777777" w:rsidR="00984EB1" w:rsidRPr="003414D3" w:rsidRDefault="00984EB1" w:rsidP="009E28DD">
      <w:pPr>
        <w:jc w:val="both"/>
        <w:rPr>
          <w:color w:val="000000"/>
          <w:sz w:val="22"/>
          <w:szCs w:val="22"/>
          <w:lang w:val="lv-LV"/>
        </w:rPr>
      </w:pPr>
      <w:r w:rsidRPr="003414D3">
        <w:rPr>
          <w:color w:val="000000"/>
          <w:sz w:val="22"/>
          <w:szCs w:val="22"/>
          <w:lang w:val="lv-LV"/>
        </w:rPr>
        <w:t>Šīs</w:t>
      </w:r>
      <w:r w:rsidR="009E28DD" w:rsidRPr="003414D3">
        <w:rPr>
          <w:color w:val="000000"/>
          <w:sz w:val="22"/>
          <w:szCs w:val="22"/>
          <w:lang w:val="lv-LV"/>
        </w:rPr>
        <w:t xml:space="preserve"> zāles </w:t>
      </w:r>
      <w:r w:rsidRPr="003414D3">
        <w:rPr>
          <w:color w:val="000000"/>
          <w:sz w:val="22"/>
          <w:szCs w:val="22"/>
          <w:lang w:val="lv-LV"/>
        </w:rPr>
        <w:t>lieto:</w:t>
      </w:r>
    </w:p>
    <w:p w14:paraId="22A180FC" w14:textId="77777777" w:rsidR="00984EB1" w:rsidRPr="003414D3" w:rsidRDefault="009E28DD" w:rsidP="009E28DD">
      <w:pPr>
        <w:jc w:val="both"/>
        <w:rPr>
          <w:color w:val="000000"/>
          <w:sz w:val="22"/>
          <w:szCs w:val="22"/>
          <w:lang w:val="lv-LV"/>
        </w:rPr>
      </w:pPr>
      <w:r w:rsidRPr="003414D3">
        <w:rPr>
          <w:color w:val="000000"/>
          <w:sz w:val="22"/>
          <w:szCs w:val="22"/>
          <w:lang w:val="lv-LV"/>
        </w:rPr>
        <w:t>dzelzs deficīta anēmijas ārstēšanai</w:t>
      </w:r>
      <w:r w:rsidR="00984EB1" w:rsidRPr="003414D3">
        <w:rPr>
          <w:color w:val="000000"/>
          <w:sz w:val="22"/>
          <w:szCs w:val="22"/>
          <w:lang w:val="lv-LV"/>
        </w:rPr>
        <w:t>;</w:t>
      </w:r>
    </w:p>
    <w:p w14:paraId="28DE178B" w14:textId="77777777" w:rsidR="009E28DD" w:rsidRPr="003414D3" w:rsidRDefault="009E28DD" w:rsidP="009E28DD">
      <w:pPr>
        <w:jc w:val="both"/>
        <w:rPr>
          <w:color w:val="000000"/>
          <w:sz w:val="22"/>
          <w:szCs w:val="22"/>
          <w:lang w:val="lv-LV"/>
        </w:rPr>
      </w:pPr>
      <w:r w:rsidRPr="003414D3">
        <w:rPr>
          <w:color w:val="000000"/>
          <w:sz w:val="22"/>
          <w:szCs w:val="22"/>
          <w:lang w:val="lv-LV"/>
        </w:rPr>
        <w:t xml:space="preserve">dzelzs deficīta profilaksei grūtniecēm, un visu to dzelzs deficīta anēmiju gadījumos, kad organisms netiek pietiekoši nodrošināts ar vajadzīgo dzelzs daudzumu.  </w:t>
      </w:r>
    </w:p>
    <w:p w14:paraId="6B39FAB9" w14:textId="77777777" w:rsidR="009E28DD" w:rsidRPr="003414D3" w:rsidRDefault="009E28DD" w:rsidP="009E28DD">
      <w:pPr>
        <w:jc w:val="both"/>
        <w:rPr>
          <w:b/>
          <w:sz w:val="22"/>
          <w:szCs w:val="22"/>
          <w:lang w:val="lv-LV"/>
        </w:rPr>
      </w:pPr>
    </w:p>
    <w:p w14:paraId="2A547322" w14:textId="77777777" w:rsidR="009E28DD" w:rsidRPr="003414D3" w:rsidRDefault="009E28DD" w:rsidP="009E28DD">
      <w:pPr>
        <w:jc w:val="both"/>
        <w:rPr>
          <w:b/>
          <w:sz w:val="22"/>
          <w:szCs w:val="22"/>
          <w:lang w:val="lv-LV"/>
        </w:rPr>
      </w:pPr>
    </w:p>
    <w:p w14:paraId="04D1B6CC" w14:textId="77777777" w:rsidR="009E28DD" w:rsidRPr="003414D3" w:rsidRDefault="009E28DD" w:rsidP="009E28DD">
      <w:pPr>
        <w:jc w:val="both"/>
        <w:rPr>
          <w:b/>
          <w:sz w:val="22"/>
          <w:szCs w:val="22"/>
          <w:lang w:val="lv-LV"/>
        </w:rPr>
      </w:pPr>
      <w:r w:rsidRPr="003414D3">
        <w:rPr>
          <w:b/>
          <w:sz w:val="22"/>
          <w:szCs w:val="22"/>
          <w:lang w:val="lv-LV"/>
        </w:rPr>
        <w:t>2. Kas Jums jāzina pirms Tot’hema lietošanas</w:t>
      </w:r>
    </w:p>
    <w:p w14:paraId="7C5E629C" w14:textId="77777777" w:rsidR="009E28DD" w:rsidRPr="003414D3" w:rsidRDefault="009E28DD" w:rsidP="009E28DD">
      <w:pPr>
        <w:jc w:val="both"/>
        <w:rPr>
          <w:b/>
          <w:sz w:val="22"/>
          <w:szCs w:val="22"/>
          <w:lang w:val="lv-LV"/>
        </w:rPr>
      </w:pPr>
    </w:p>
    <w:p w14:paraId="4BF9E4D8" w14:textId="77777777" w:rsidR="009E28DD" w:rsidRPr="003414D3" w:rsidRDefault="009E28DD" w:rsidP="009E28DD">
      <w:pPr>
        <w:jc w:val="both"/>
        <w:rPr>
          <w:b/>
          <w:sz w:val="22"/>
          <w:szCs w:val="22"/>
          <w:lang w:val="lv-LV"/>
        </w:rPr>
      </w:pPr>
      <w:r w:rsidRPr="003414D3">
        <w:rPr>
          <w:b/>
          <w:sz w:val="22"/>
          <w:szCs w:val="22"/>
          <w:lang w:val="lv-LV"/>
        </w:rPr>
        <w:t>Nelietojiet Tot’hema</w:t>
      </w:r>
      <w:r w:rsidRPr="003414D3">
        <w:rPr>
          <w:i/>
          <w:sz w:val="22"/>
          <w:szCs w:val="22"/>
          <w:lang w:val="lv-LV"/>
        </w:rPr>
        <w:t xml:space="preserve"> </w:t>
      </w:r>
      <w:r w:rsidRPr="003414D3">
        <w:rPr>
          <w:b/>
          <w:sz w:val="22"/>
          <w:szCs w:val="22"/>
          <w:lang w:val="lv-LV"/>
        </w:rPr>
        <w:t>šādos gadījumos</w:t>
      </w:r>
    </w:p>
    <w:p w14:paraId="4CCD1B25" w14:textId="77777777" w:rsidR="009E28DD" w:rsidRPr="003414D3" w:rsidRDefault="009E28DD" w:rsidP="009E28DD">
      <w:pPr>
        <w:numPr>
          <w:ilvl w:val="0"/>
          <w:numId w:val="9"/>
        </w:numPr>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 xml:space="preserve">ja Jums ir alerģija pret </w:t>
      </w:r>
      <w:r w:rsidR="00984EB1" w:rsidRPr="003414D3">
        <w:rPr>
          <w:rStyle w:val="Normale"/>
          <w:rFonts w:ascii="Times New Roman" w:hAnsi="Times New Roman"/>
          <w:color w:val="000000"/>
          <w:sz w:val="22"/>
          <w:szCs w:val="22"/>
          <w:lang w:val="lv-LV"/>
        </w:rPr>
        <w:t>dzelzi, mangānu vai varu,</w:t>
      </w:r>
      <w:r w:rsidRPr="003414D3">
        <w:rPr>
          <w:rStyle w:val="Normale"/>
          <w:rFonts w:ascii="Times New Roman" w:hAnsi="Times New Roman"/>
          <w:color w:val="000000"/>
          <w:sz w:val="22"/>
          <w:szCs w:val="22"/>
          <w:lang w:val="lv-LV"/>
        </w:rPr>
        <w:t xml:space="preserve"> vai kādu citu (6. punktā minēto) šo zāļu sastāvdaļu;</w:t>
      </w:r>
    </w:p>
    <w:p w14:paraId="73972AC3" w14:textId="77777777" w:rsidR="009E28DD" w:rsidRPr="003414D3" w:rsidRDefault="009E28DD" w:rsidP="009E28DD">
      <w:pPr>
        <w:numPr>
          <w:ilvl w:val="0"/>
          <w:numId w:val="9"/>
        </w:numPr>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 xml:space="preserve">ja Jums ir </w:t>
      </w:r>
      <w:r w:rsidR="00984EB1" w:rsidRPr="003414D3">
        <w:rPr>
          <w:rStyle w:val="Normale"/>
          <w:rFonts w:ascii="Times New Roman" w:hAnsi="Times New Roman"/>
          <w:color w:val="000000"/>
          <w:sz w:val="22"/>
          <w:szCs w:val="22"/>
          <w:lang w:val="lv-LV"/>
        </w:rPr>
        <w:t xml:space="preserve">palielināts dzelzs daudzums, piemēram, hemohromatozes, talasēmijas, refraktāras anēmijas, aplastiskas anēmijas, sideroplastiskas anēmijas gadījumā, vai atkārtotas vai hroniskas </w:t>
      </w:r>
      <w:r w:rsidR="00D6372D" w:rsidRPr="003414D3">
        <w:rPr>
          <w:rStyle w:val="Normale"/>
          <w:rFonts w:ascii="Times New Roman" w:hAnsi="Times New Roman"/>
          <w:color w:val="000000"/>
          <w:sz w:val="22"/>
          <w:szCs w:val="22"/>
          <w:lang w:val="lv-LV"/>
        </w:rPr>
        <w:t>asins pārliešanas gadījumos</w:t>
      </w:r>
      <w:r w:rsidRPr="003414D3">
        <w:rPr>
          <w:rStyle w:val="Normale"/>
          <w:rFonts w:ascii="Times New Roman" w:hAnsi="Times New Roman"/>
          <w:color w:val="000000"/>
          <w:sz w:val="22"/>
          <w:szCs w:val="22"/>
          <w:lang w:val="lv-LV"/>
        </w:rPr>
        <w:t>;</w:t>
      </w:r>
    </w:p>
    <w:p w14:paraId="09507042" w14:textId="77777777" w:rsidR="00984EB1" w:rsidRPr="003414D3" w:rsidRDefault="00984EB1" w:rsidP="009E28DD">
      <w:pPr>
        <w:numPr>
          <w:ilvl w:val="0"/>
          <w:numId w:val="9"/>
        </w:numPr>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ja Jums ir ar dzelzs deficītu nesaistītas anēmijas</w:t>
      </w:r>
      <w:r w:rsidR="00D6372D" w:rsidRPr="003414D3">
        <w:rPr>
          <w:rStyle w:val="Normale"/>
          <w:rFonts w:ascii="Times New Roman" w:hAnsi="Times New Roman"/>
          <w:color w:val="000000"/>
          <w:sz w:val="22"/>
          <w:szCs w:val="22"/>
          <w:lang w:val="lv-LV"/>
        </w:rPr>
        <w:t>, piemēram, hemolītiska anēmija, megaloblastiska anēmija vai iekaisuma izraisīta anēmija</w:t>
      </w:r>
      <w:r w:rsidRPr="003414D3">
        <w:rPr>
          <w:rStyle w:val="Normale"/>
          <w:rFonts w:ascii="Times New Roman" w:hAnsi="Times New Roman"/>
          <w:color w:val="000000"/>
          <w:sz w:val="22"/>
          <w:szCs w:val="22"/>
          <w:lang w:val="lv-LV"/>
        </w:rPr>
        <w:t>;</w:t>
      </w:r>
    </w:p>
    <w:p w14:paraId="6DEF395D" w14:textId="77777777" w:rsidR="00D6372D" w:rsidRPr="003414D3" w:rsidRDefault="00D6372D" w:rsidP="009E28DD">
      <w:pPr>
        <w:numPr>
          <w:ilvl w:val="0"/>
          <w:numId w:val="9"/>
        </w:numPr>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ja Jums ir Vilsona slimība.</w:t>
      </w:r>
    </w:p>
    <w:p w14:paraId="0D789721" w14:textId="77777777" w:rsidR="009E28DD" w:rsidRPr="003414D3" w:rsidRDefault="009E28DD" w:rsidP="009E28DD">
      <w:pPr>
        <w:jc w:val="both"/>
        <w:rPr>
          <w:sz w:val="22"/>
          <w:szCs w:val="22"/>
          <w:lang w:val="lv-LV"/>
        </w:rPr>
      </w:pPr>
    </w:p>
    <w:p w14:paraId="664A87A8" w14:textId="77777777" w:rsidR="009E28DD" w:rsidRPr="003414D3" w:rsidRDefault="009E28DD" w:rsidP="009E28DD">
      <w:pPr>
        <w:jc w:val="both"/>
        <w:rPr>
          <w:b/>
          <w:sz w:val="22"/>
          <w:szCs w:val="22"/>
          <w:lang w:val="lv-LV"/>
        </w:rPr>
      </w:pPr>
      <w:r w:rsidRPr="003414D3">
        <w:rPr>
          <w:b/>
          <w:sz w:val="22"/>
          <w:szCs w:val="22"/>
          <w:lang w:val="lv-LV"/>
        </w:rPr>
        <w:t>Brīdinājumi un piesardzība lietošanā</w:t>
      </w:r>
    </w:p>
    <w:p w14:paraId="54431A7C" w14:textId="77777777" w:rsidR="009E28DD" w:rsidRPr="003414D3" w:rsidRDefault="009E28DD" w:rsidP="009E28DD">
      <w:pPr>
        <w:jc w:val="both"/>
        <w:rPr>
          <w:color w:val="000000"/>
          <w:sz w:val="22"/>
          <w:szCs w:val="22"/>
          <w:lang w:val="lv-LV"/>
        </w:rPr>
      </w:pPr>
    </w:p>
    <w:p w14:paraId="2D5BFAD0" w14:textId="77777777" w:rsidR="00D6372D" w:rsidRPr="003414D3" w:rsidRDefault="00D6372D" w:rsidP="009E28DD">
      <w:pPr>
        <w:jc w:val="both"/>
        <w:rPr>
          <w:color w:val="000000"/>
          <w:sz w:val="22"/>
          <w:szCs w:val="22"/>
          <w:lang w:val="lv-LV"/>
        </w:rPr>
      </w:pPr>
      <w:r w:rsidRPr="003414D3">
        <w:rPr>
          <w:color w:val="000000"/>
          <w:sz w:val="22"/>
          <w:szCs w:val="22"/>
          <w:lang w:val="lv-LV"/>
        </w:rPr>
        <w:t>Pirms Tot’hema lietošanas konsultējieties ar ārstu vai farmaceitu.</w:t>
      </w:r>
    </w:p>
    <w:p w14:paraId="3CB1C964" w14:textId="77777777" w:rsidR="00D6372D" w:rsidRPr="003414D3" w:rsidRDefault="00D6372D" w:rsidP="009E28DD">
      <w:pPr>
        <w:jc w:val="both"/>
        <w:rPr>
          <w:color w:val="000000"/>
          <w:sz w:val="22"/>
          <w:szCs w:val="22"/>
          <w:lang w:val="lv-LV"/>
        </w:rPr>
      </w:pPr>
    </w:p>
    <w:p w14:paraId="0B87D447" w14:textId="77777777" w:rsidR="009E28DD" w:rsidRPr="003414D3" w:rsidRDefault="00D6372D" w:rsidP="00D6372D">
      <w:pPr>
        <w:jc w:val="both"/>
        <w:rPr>
          <w:color w:val="000000"/>
          <w:sz w:val="22"/>
          <w:szCs w:val="22"/>
          <w:lang w:val="lv-LV"/>
        </w:rPr>
      </w:pPr>
      <w:r w:rsidRPr="003414D3">
        <w:rPr>
          <w:color w:val="000000"/>
          <w:sz w:val="22"/>
          <w:szCs w:val="22"/>
          <w:lang w:val="lv-LV"/>
        </w:rPr>
        <w:t xml:space="preserve">- </w:t>
      </w:r>
      <w:r w:rsidR="009E28DD" w:rsidRPr="003414D3">
        <w:rPr>
          <w:color w:val="000000"/>
          <w:sz w:val="22"/>
          <w:szCs w:val="22"/>
          <w:lang w:val="lv-LV"/>
        </w:rPr>
        <w:t>Zīdaiņu dzelzs deficīta profilakses pamatā ir uzņemamās pārtikas dažādošana.</w:t>
      </w:r>
    </w:p>
    <w:p w14:paraId="74E75E30" w14:textId="77777777" w:rsidR="00D6372D" w:rsidRPr="003414D3" w:rsidRDefault="00D6372D" w:rsidP="00D6372D">
      <w:pPr>
        <w:jc w:val="both"/>
        <w:rPr>
          <w:color w:val="000000"/>
          <w:sz w:val="22"/>
          <w:szCs w:val="22"/>
          <w:lang w:val="lv-LV"/>
        </w:rPr>
      </w:pPr>
    </w:p>
    <w:p w14:paraId="6B1552B1" w14:textId="77777777" w:rsidR="00D6372D" w:rsidRPr="003414D3" w:rsidRDefault="00D6372D" w:rsidP="00D6372D">
      <w:pPr>
        <w:jc w:val="both"/>
        <w:rPr>
          <w:color w:val="000000"/>
          <w:sz w:val="22"/>
          <w:szCs w:val="22"/>
          <w:lang w:val="lv-LV"/>
        </w:rPr>
      </w:pPr>
      <w:r w:rsidRPr="003414D3">
        <w:rPr>
          <w:color w:val="000000"/>
          <w:sz w:val="22"/>
          <w:szCs w:val="22"/>
          <w:lang w:val="lv-LV"/>
        </w:rPr>
        <w:t>- Literatūrā publicētos datos ir minēts, ka pacientiem, kurus ārstē ar iekšķīgi lietojamu dzelzi, kuņģa un zarnu trakta gļotādas var būt pigmentētas. Tas var apgrūtināt kuņģa-zarnu trakta operācijas.</w:t>
      </w:r>
    </w:p>
    <w:p w14:paraId="2C1248DD" w14:textId="77777777" w:rsidR="00D6372D" w:rsidRPr="003414D3" w:rsidRDefault="00D6372D" w:rsidP="00D6372D">
      <w:pPr>
        <w:jc w:val="both"/>
        <w:rPr>
          <w:color w:val="000000"/>
          <w:sz w:val="22"/>
          <w:szCs w:val="22"/>
          <w:lang w:val="lv-LV"/>
        </w:rPr>
      </w:pPr>
    </w:p>
    <w:p w14:paraId="548203CD" w14:textId="77777777" w:rsidR="00D6372D" w:rsidRPr="003414D3" w:rsidRDefault="00D6372D" w:rsidP="00D6372D">
      <w:pPr>
        <w:jc w:val="both"/>
        <w:rPr>
          <w:color w:val="000000"/>
          <w:sz w:val="22"/>
          <w:szCs w:val="22"/>
          <w:lang w:val="lv-LV"/>
        </w:rPr>
      </w:pPr>
      <w:r w:rsidRPr="003414D3">
        <w:rPr>
          <w:color w:val="000000"/>
          <w:sz w:val="22"/>
          <w:szCs w:val="22"/>
          <w:lang w:val="lv-LV"/>
        </w:rPr>
        <w:t>- Tot’hema nedrīkst ievadīt intravenozi.</w:t>
      </w:r>
    </w:p>
    <w:p w14:paraId="1AD8AE2F" w14:textId="77777777" w:rsidR="00D6372D" w:rsidRPr="003414D3" w:rsidRDefault="00D6372D" w:rsidP="00D6372D">
      <w:pPr>
        <w:jc w:val="both"/>
        <w:rPr>
          <w:color w:val="000000"/>
          <w:sz w:val="22"/>
          <w:szCs w:val="22"/>
          <w:lang w:val="lv-LV"/>
        </w:rPr>
      </w:pPr>
    </w:p>
    <w:p w14:paraId="059F0B55" w14:textId="77777777" w:rsidR="00D6372D" w:rsidRPr="003414D3" w:rsidRDefault="00D6372D" w:rsidP="00D6372D">
      <w:pPr>
        <w:jc w:val="both"/>
        <w:rPr>
          <w:color w:val="000000"/>
          <w:sz w:val="22"/>
          <w:szCs w:val="22"/>
          <w:lang w:val="lv-LV"/>
        </w:rPr>
      </w:pPr>
      <w:r w:rsidRPr="003414D3">
        <w:rPr>
          <w:color w:val="000000"/>
          <w:sz w:val="22"/>
          <w:szCs w:val="22"/>
          <w:lang w:val="lv-LV"/>
        </w:rPr>
        <w:t>- Ja dzelzs deficītu izraisa iekaisuma slimība, tad ārstēšana ar Tot’hema būs neefektīva.</w:t>
      </w:r>
    </w:p>
    <w:p w14:paraId="41826F94" w14:textId="77777777" w:rsidR="00D6372D" w:rsidRPr="003414D3" w:rsidRDefault="00D6372D" w:rsidP="00D6372D">
      <w:pPr>
        <w:jc w:val="both"/>
        <w:rPr>
          <w:color w:val="000000"/>
          <w:sz w:val="22"/>
          <w:szCs w:val="22"/>
          <w:lang w:val="lv-LV"/>
        </w:rPr>
      </w:pPr>
    </w:p>
    <w:p w14:paraId="43FF6758" w14:textId="77777777" w:rsidR="00D6372D" w:rsidRPr="003414D3" w:rsidRDefault="00D6372D" w:rsidP="00D6372D">
      <w:pPr>
        <w:jc w:val="both"/>
        <w:rPr>
          <w:color w:val="000000"/>
          <w:sz w:val="22"/>
          <w:szCs w:val="22"/>
          <w:lang w:val="lv-LV"/>
        </w:rPr>
      </w:pPr>
      <w:r w:rsidRPr="003414D3">
        <w:rPr>
          <w:color w:val="000000"/>
          <w:sz w:val="22"/>
          <w:szCs w:val="22"/>
          <w:lang w:val="lv-LV"/>
        </w:rPr>
        <w:t>- Dzelzs deficīta ārstēšana ir jāapvieno ar dzelzs deficītu izraisošā iemesla ārstēšanu.</w:t>
      </w:r>
    </w:p>
    <w:p w14:paraId="382C67FF" w14:textId="77777777" w:rsidR="00D6372D" w:rsidRPr="003414D3" w:rsidRDefault="00D6372D" w:rsidP="00D6372D">
      <w:pPr>
        <w:pStyle w:val="BodyText2"/>
        <w:rPr>
          <w:color w:val="000000"/>
          <w:sz w:val="22"/>
          <w:szCs w:val="22"/>
          <w:lang w:val="lv-LV"/>
        </w:rPr>
      </w:pPr>
    </w:p>
    <w:p w14:paraId="1A9E70FD" w14:textId="77777777" w:rsidR="00D6372D" w:rsidRPr="003414D3" w:rsidRDefault="00D6372D" w:rsidP="00D6372D">
      <w:pPr>
        <w:pStyle w:val="BodyText2"/>
        <w:rPr>
          <w:sz w:val="22"/>
          <w:szCs w:val="22"/>
          <w:lang w:val="lv-LV"/>
        </w:rPr>
      </w:pPr>
      <w:r w:rsidRPr="003414D3">
        <w:rPr>
          <w:color w:val="000000"/>
          <w:sz w:val="22"/>
          <w:szCs w:val="22"/>
          <w:lang w:val="lv-LV"/>
        </w:rPr>
        <w:t xml:space="preserve">- </w:t>
      </w:r>
      <w:r w:rsidRPr="003414D3">
        <w:rPr>
          <w:sz w:val="22"/>
          <w:szCs w:val="22"/>
          <w:lang w:val="lv-LV"/>
        </w:rPr>
        <w:t>Ja ārsts ir teicis, ka Jums ir kāda cukura nepanesība, pirms lietojat šīs zāles, konsultējieties ar ārstu.</w:t>
      </w:r>
    </w:p>
    <w:p w14:paraId="4B615B19" w14:textId="77777777" w:rsidR="00D6372D" w:rsidRPr="003414D3" w:rsidRDefault="00D6372D" w:rsidP="00D6372D">
      <w:pPr>
        <w:jc w:val="both"/>
        <w:rPr>
          <w:color w:val="000000"/>
          <w:sz w:val="22"/>
          <w:szCs w:val="22"/>
          <w:lang w:val="lv-LV"/>
        </w:rPr>
      </w:pPr>
    </w:p>
    <w:p w14:paraId="70F0A8F8" w14:textId="77777777" w:rsidR="00D6372D" w:rsidRPr="003414D3" w:rsidRDefault="00D6372D" w:rsidP="00D6372D">
      <w:pPr>
        <w:jc w:val="both"/>
        <w:rPr>
          <w:color w:val="000000"/>
          <w:sz w:val="22"/>
          <w:szCs w:val="22"/>
          <w:lang w:val="lv-LV"/>
        </w:rPr>
      </w:pPr>
      <w:r w:rsidRPr="003414D3">
        <w:rPr>
          <w:color w:val="000000"/>
          <w:sz w:val="22"/>
          <w:szCs w:val="22"/>
          <w:lang w:val="lv-LV"/>
        </w:rPr>
        <w:t>- Glikoze un saharoze var kaitēt zobiem,</w:t>
      </w:r>
      <w:r w:rsidRPr="003414D3">
        <w:rPr>
          <w:color w:val="414142"/>
          <w:sz w:val="22"/>
          <w:szCs w:val="22"/>
          <w:shd w:val="clear" w:color="auto" w:fill="FFFFFF"/>
          <w:lang w:val="lv-LV"/>
        </w:rPr>
        <w:t xml:space="preserve"> </w:t>
      </w:r>
      <w:r w:rsidRPr="003414D3">
        <w:rPr>
          <w:color w:val="000000"/>
          <w:sz w:val="22"/>
          <w:szCs w:val="22"/>
          <w:lang w:val="lv-LV"/>
        </w:rPr>
        <w:t xml:space="preserve">ja šīs zāles lieto ilgstoši, piemēram, divas nedēļas vai vairāk. </w:t>
      </w:r>
    </w:p>
    <w:p w14:paraId="5B8F1898" w14:textId="77777777" w:rsidR="00D6372D" w:rsidRPr="003414D3" w:rsidRDefault="00D6372D" w:rsidP="00D6372D">
      <w:pPr>
        <w:jc w:val="both"/>
        <w:rPr>
          <w:color w:val="000000"/>
          <w:sz w:val="22"/>
          <w:szCs w:val="22"/>
        </w:rPr>
      </w:pPr>
    </w:p>
    <w:p w14:paraId="1BAF6BA4" w14:textId="77777777" w:rsidR="00D6372D" w:rsidRPr="003414D3" w:rsidRDefault="00D6372D" w:rsidP="00D6372D">
      <w:pPr>
        <w:jc w:val="both"/>
        <w:rPr>
          <w:color w:val="000000"/>
          <w:sz w:val="22"/>
          <w:szCs w:val="22"/>
          <w:lang w:val="lv-LV"/>
        </w:rPr>
      </w:pPr>
      <w:r w:rsidRPr="003414D3">
        <w:rPr>
          <w:color w:val="000000"/>
          <w:sz w:val="22"/>
          <w:szCs w:val="22"/>
        </w:rPr>
        <w:t xml:space="preserve">- </w:t>
      </w:r>
      <w:proofErr w:type="spellStart"/>
      <w:r w:rsidRPr="003414D3">
        <w:rPr>
          <w:color w:val="000000"/>
          <w:sz w:val="22"/>
          <w:szCs w:val="22"/>
        </w:rPr>
        <w:t>Šīs</w:t>
      </w:r>
      <w:proofErr w:type="spellEnd"/>
      <w:r w:rsidRPr="003414D3">
        <w:rPr>
          <w:color w:val="000000"/>
          <w:sz w:val="22"/>
          <w:szCs w:val="22"/>
        </w:rPr>
        <w:t xml:space="preserve"> </w:t>
      </w:r>
      <w:proofErr w:type="spellStart"/>
      <w:r w:rsidRPr="003414D3">
        <w:rPr>
          <w:color w:val="000000"/>
          <w:sz w:val="22"/>
          <w:szCs w:val="22"/>
        </w:rPr>
        <w:t>zāles</w:t>
      </w:r>
      <w:proofErr w:type="spellEnd"/>
      <w:r w:rsidRPr="003414D3">
        <w:rPr>
          <w:color w:val="000000"/>
          <w:sz w:val="22"/>
          <w:szCs w:val="22"/>
        </w:rPr>
        <w:t xml:space="preserve"> </w:t>
      </w:r>
      <w:proofErr w:type="spellStart"/>
      <w:r w:rsidRPr="003414D3">
        <w:rPr>
          <w:color w:val="000000"/>
          <w:sz w:val="22"/>
          <w:szCs w:val="22"/>
        </w:rPr>
        <w:t>satur</w:t>
      </w:r>
      <w:proofErr w:type="spellEnd"/>
      <w:r w:rsidRPr="003414D3">
        <w:rPr>
          <w:color w:val="000000"/>
          <w:sz w:val="22"/>
          <w:szCs w:val="22"/>
        </w:rPr>
        <w:t xml:space="preserve"> 108 mg </w:t>
      </w:r>
      <w:proofErr w:type="spellStart"/>
      <w:r w:rsidRPr="003414D3">
        <w:rPr>
          <w:color w:val="000000"/>
          <w:sz w:val="22"/>
          <w:szCs w:val="22"/>
        </w:rPr>
        <w:t>etilspirta</w:t>
      </w:r>
      <w:proofErr w:type="spellEnd"/>
      <w:r w:rsidRPr="003414D3">
        <w:rPr>
          <w:color w:val="000000"/>
          <w:sz w:val="22"/>
          <w:szCs w:val="22"/>
        </w:rPr>
        <w:t xml:space="preserve"> (</w:t>
      </w:r>
      <w:proofErr w:type="spellStart"/>
      <w:r w:rsidRPr="003414D3">
        <w:rPr>
          <w:color w:val="000000"/>
          <w:sz w:val="22"/>
          <w:szCs w:val="22"/>
        </w:rPr>
        <w:t>alkohola</w:t>
      </w:r>
      <w:proofErr w:type="spellEnd"/>
      <w:r w:rsidRPr="003414D3">
        <w:rPr>
          <w:color w:val="000000"/>
          <w:sz w:val="22"/>
          <w:szCs w:val="22"/>
        </w:rPr>
        <w:t xml:space="preserve">) </w:t>
      </w:r>
      <w:proofErr w:type="spellStart"/>
      <w:r w:rsidRPr="003414D3">
        <w:rPr>
          <w:color w:val="000000"/>
          <w:sz w:val="22"/>
          <w:szCs w:val="22"/>
        </w:rPr>
        <w:t>vienā</w:t>
      </w:r>
      <w:proofErr w:type="spellEnd"/>
      <w:r w:rsidRPr="003414D3">
        <w:rPr>
          <w:color w:val="000000"/>
          <w:sz w:val="22"/>
          <w:szCs w:val="22"/>
        </w:rPr>
        <w:t xml:space="preserve"> </w:t>
      </w:r>
      <w:proofErr w:type="spellStart"/>
      <w:r w:rsidRPr="003414D3">
        <w:rPr>
          <w:color w:val="000000"/>
          <w:sz w:val="22"/>
          <w:szCs w:val="22"/>
        </w:rPr>
        <w:t>ampulā</w:t>
      </w:r>
      <w:proofErr w:type="spellEnd"/>
      <w:r w:rsidRPr="003414D3">
        <w:rPr>
          <w:color w:val="000000"/>
          <w:sz w:val="22"/>
          <w:szCs w:val="22"/>
        </w:rPr>
        <w:t xml:space="preserve"> (10 ml), kas </w:t>
      </w:r>
      <w:proofErr w:type="spellStart"/>
      <w:r w:rsidRPr="003414D3">
        <w:rPr>
          <w:color w:val="000000"/>
          <w:sz w:val="22"/>
          <w:szCs w:val="22"/>
        </w:rPr>
        <w:t>ir</w:t>
      </w:r>
      <w:proofErr w:type="spellEnd"/>
      <w:r w:rsidRPr="003414D3">
        <w:rPr>
          <w:color w:val="000000"/>
          <w:sz w:val="22"/>
          <w:szCs w:val="22"/>
        </w:rPr>
        <w:t xml:space="preserve"> </w:t>
      </w:r>
      <w:proofErr w:type="spellStart"/>
      <w:r w:rsidRPr="003414D3">
        <w:rPr>
          <w:color w:val="000000"/>
          <w:sz w:val="22"/>
          <w:szCs w:val="22"/>
        </w:rPr>
        <w:t>ekvivalents</w:t>
      </w:r>
      <w:proofErr w:type="spellEnd"/>
      <w:r w:rsidRPr="003414D3">
        <w:rPr>
          <w:color w:val="000000"/>
          <w:sz w:val="22"/>
          <w:szCs w:val="22"/>
        </w:rPr>
        <w:t xml:space="preserve"> </w:t>
      </w:r>
      <w:proofErr w:type="spellStart"/>
      <w:r w:rsidRPr="003414D3">
        <w:rPr>
          <w:color w:val="000000"/>
          <w:sz w:val="22"/>
          <w:szCs w:val="22"/>
        </w:rPr>
        <w:t>mazāk</w:t>
      </w:r>
      <w:proofErr w:type="spellEnd"/>
      <w:r w:rsidRPr="003414D3">
        <w:rPr>
          <w:color w:val="000000"/>
          <w:sz w:val="22"/>
          <w:szCs w:val="22"/>
        </w:rPr>
        <w:t xml:space="preserve"> </w:t>
      </w:r>
      <w:proofErr w:type="spellStart"/>
      <w:r w:rsidRPr="003414D3">
        <w:rPr>
          <w:color w:val="000000"/>
          <w:sz w:val="22"/>
          <w:szCs w:val="22"/>
        </w:rPr>
        <w:t>kā</w:t>
      </w:r>
      <w:proofErr w:type="spellEnd"/>
      <w:r w:rsidRPr="003414D3">
        <w:rPr>
          <w:color w:val="000000"/>
          <w:sz w:val="22"/>
          <w:szCs w:val="22"/>
        </w:rPr>
        <w:t xml:space="preserve"> 3 ml </w:t>
      </w:r>
      <w:proofErr w:type="spellStart"/>
      <w:r w:rsidRPr="003414D3">
        <w:rPr>
          <w:color w:val="000000"/>
          <w:sz w:val="22"/>
          <w:szCs w:val="22"/>
        </w:rPr>
        <w:t>alus</w:t>
      </w:r>
      <w:proofErr w:type="spellEnd"/>
      <w:r w:rsidRPr="003414D3">
        <w:rPr>
          <w:color w:val="000000"/>
          <w:sz w:val="22"/>
          <w:szCs w:val="22"/>
        </w:rPr>
        <w:t xml:space="preserve"> </w:t>
      </w:r>
      <w:proofErr w:type="spellStart"/>
      <w:r w:rsidRPr="003414D3">
        <w:rPr>
          <w:color w:val="000000"/>
          <w:sz w:val="22"/>
          <w:szCs w:val="22"/>
        </w:rPr>
        <w:t>vai</w:t>
      </w:r>
      <w:proofErr w:type="spellEnd"/>
      <w:r w:rsidRPr="003414D3">
        <w:rPr>
          <w:color w:val="000000"/>
          <w:sz w:val="22"/>
          <w:szCs w:val="22"/>
        </w:rPr>
        <w:t xml:space="preserve"> 2 ml </w:t>
      </w:r>
      <w:proofErr w:type="spellStart"/>
      <w:r w:rsidRPr="003414D3">
        <w:rPr>
          <w:color w:val="000000"/>
          <w:sz w:val="22"/>
          <w:szCs w:val="22"/>
        </w:rPr>
        <w:t>vīna</w:t>
      </w:r>
      <w:proofErr w:type="spellEnd"/>
      <w:r w:rsidRPr="003414D3">
        <w:rPr>
          <w:color w:val="000000"/>
          <w:sz w:val="22"/>
          <w:szCs w:val="22"/>
        </w:rPr>
        <w:t xml:space="preserve">. </w:t>
      </w:r>
      <w:proofErr w:type="spellStart"/>
      <w:r w:rsidRPr="003414D3">
        <w:rPr>
          <w:color w:val="000000"/>
          <w:sz w:val="22"/>
          <w:szCs w:val="22"/>
        </w:rPr>
        <w:t>Nelielajam</w:t>
      </w:r>
      <w:proofErr w:type="spellEnd"/>
      <w:r w:rsidRPr="003414D3">
        <w:rPr>
          <w:color w:val="000000"/>
          <w:sz w:val="22"/>
          <w:szCs w:val="22"/>
        </w:rPr>
        <w:t xml:space="preserve"> </w:t>
      </w:r>
      <w:proofErr w:type="spellStart"/>
      <w:r w:rsidRPr="003414D3">
        <w:rPr>
          <w:color w:val="000000"/>
          <w:sz w:val="22"/>
          <w:szCs w:val="22"/>
        </w:rPr>
        <w:t>alkohola</w:t>
      </w:r>
      <w:proofErr w:type="spellEnd"/>
      <w:r w:rsidRPr="003414D3">
        <w:rPr>
          <w:color w:val="000000"/>
          <w:sz w:val="22"/>
          <w:szCs w:val="22"/>
        </w:rPr>
        <w:t xml:space="preserve"> </w:t>
      </w:r>
      <w:proofErr w:type="spellStart"/>
      <w:r w:rsidRPr="003414D3">
        <w:rPr>
          <w:color w:val="000000"/>
          <w:sz w:val="22"/>
          <w:szCs w:val="22"/>
        </w:rPr>
        <w:t>daudzumam</w:t>
      </w:r>
      <w:proofErr w:type="spellEnd"/>
      <w:r w:rsidRPr="003414D3">
        <w:rPr>
          <w:color w:val="000000"/>
          <w:sz w:val="22"/>
          <w:szCs w:val="22"/>
        </w:rPr>
        <w:t xml:space="preserve"> </w:t>
      </w:r>
      <w:proofErr w:type="spellStart"/>
      <w:r w:rsidRPr="003414D3">
        <w:rPr>
          <w:color w:val="000000"/>
          <w:sz w:val="22"/>
          <w:szCs w:val="22"/>
        </w:rPr>
        <w:t>šajās</w:t>
      </w:r>
      <w:proofErr w:type="spellEnd"/>
      <w:r w:rsidRPr="003414D3">
        <w:rPr>
          <w:color w:val="000000"/>
          <w:sz w:val="22"/>
          <w:szCs w:val="22"/>
        </w:rPr>
        <w:t xml:space="preserve"> </w:t>
      </w:r>
      <w:proofErr w:type="spellStart"/>
      <w:r w:rsidRPr="003414D3">
        <w:rPr>
          <w:color w:val="000000"/>
          <w:sz w:val="22"/>
          <w:szCs w:val="22"/>
        </w:rPr>
        <w:t>zālēs</w:t>
      </w:r>
      <w:proofErr w:type="spellEnd"/>
      <w:r w:rsidRPr="003414D3">
        <w:rPr>
          <w:color w:val="000000"/>
          <w:sz w:val="22"/>
          <w:szCs w:val="22"/>
        </w:rPr>
        <w:t xml:space="preserve"> </w:t>
      </w:r>
      <w:proofErr w:type="spellStart"/>
      <w:r w:rsidRPr="003414D3">
        <w:rPr>
          <w:color w:val="000000"/>
          <w:sz w:val="22"/>
          <w:szCs w:val="22"/>
        </w:rPr>
        <w:t>nav</w:t>
      </w:r>
      <w:proofErr w:type="spellEnd"/>
      <w:r w:rsidRPr="003414D3">
        <w:rPr>
          <w:color w:val="000000"/>
          <w:sz w:val="22"/>
          <w:szCs w:val="22"/>
        </w:rPr>
        <w:t xml:space="preserve"> </w:t>
      </w:r>
      <w:proofErr w:type="spellStart"/>
      <w:r w:rsidRPr="003414D3">
        <w:rPr>
          <w:color w:val="000000"/>
          <w:sz w:val="22"/>
          <w:szCs w:val="22"/>
        </w:rPr>
        <w:t>būtiskas</w:t>
      </w:r>
      <w:proofErr w:type="spellEnd"/>
      <w:r w:rsidRPr="003414D3">
        <w:rPr>
          <w:color w:val="000000"/>
          <w:sz w:val="22"/>
          <w:szCs w:val="22"/>
        </w:rPr>
        <w:t xml:space="preserve"> </w:t>
      </w:r>
      <w:proofErr w:type="spellStart"/>
      <w:r w:rsidRPr="003414D3">
        <w:rPr>
          <w:color w:val="000000"/>
          <w:sz w:val="22"/>
          <w:szCs w:val="22"/>
        </w:rPr>
        <w:t>ietekmes</w:t>
      </w:r>
      <w:proofErr w:type="spellEnd"/>
      <w:r w:rsidRPr="003414D3">
        <w:rPr>
          <w:color w:val="000000"/>
          <w:sz w:val="22"/>
          <w:szCs w:val="22"/>
        </w:rPr>
        <w:t xml:space="preserve">. </w:t>
      </w:r>
    </w:p>
    <w:p w14:paraId="33C1460D" w14:textId="77777777" w:rsidR="00D6372D" w:rsidRPr="003414D3" w:rsidRDefault="00D6372D" w:rsidP="00D6372D">
      <w:pPr>
        <w:jc w:val="both"/>
        <w:rPr>
          <w:color w:val="000000"/>
          <w:sz w:val="22"/>
          <w:szCs w:val="22"/>
        </w:rPr>
      </w:pPr>
    </w:p>
    <w:p w14:paraId="18A9218A" w14:textId="77777777" w:rsidR="00D6372D" w:rsidRPr="003414D3" w:rsidRDefault="00D6372D" w:rsidP="00D6372D">
      <w:pPr>
        <w:jc w:val="both"/>
        <w:rPr>
          <w:color w:val="000000"/>
          <w:sz w:val="22"/>
          <w:szCs w:val="22"/>
        </w:rPr>
      </w:pPr>
      <w:r w:rsidRPr="003414D3">
        <w:rPr>
          <w:color w:val="000000"/>
          <w:sz w:val="22"/>
          <w:szCs w:val="22"/>
        </w:rPr>
        <w:t xml:space="preserve">- </w:t>
      </w:r>
      <w:proofErr w:type="spellStart"/>
      <w:r w:rsidRPr="003414D3">
        <w:rPr>
          <w:color w:val="000000"/>
          <w:sz w:val="22"/>
          <w:szCs w:val="22"/>
        </w:rPr>
        <w:t>Šīs</w:t>
      </w:r>
      <w:proofErr w:type="spellEnd"/>
      <w:r w:rsidRPr="003414D3">
        <w:rPr>
          <w:color w:val="000000"/>
          <w:sz w:val="22"/>
          <w:szCs w:val="22"/>
        </w:rPr>
        <w:t xml:space="preserve"> </w:t>
      </w:r>
      <w:proofErr w:type="spellStart"/>
      <w:r w:rsidRPr="003414D3">
        <w:rPr>
          <w:color w:val="000000"/>
          <w:sz w:val="22"/>
          <w:szCs w:val="22"/>
        </w:rPr>
        <w:t>zāles</w:t>
      </w:r>
      <w:proofErr w:type="spellEnd"/>
      <w:r w:rsidRPr="003414D3">
        <w:rPr>
          <w:color w:val="000000"/>
          <w:sz w:val="22"/>
          <w:szCs w:val="22"/>
        </w:rPr>
        <w:t xml:space="preserve"> </w:t>
      </w:r>
      <w:proofErr w:type="spellStart"/>
      <w:r w:rsidRPr="003414D3">
        <w:rPr>
          <w:color w:val="000000"/>
          <w:sz w:val="22"/>
          <w:szCs w:val="22"/>
        </w:rPr>
        <w:t>satur</w:t>
      </w:r>
      <w:proofErr w:type="spellEnd"/>
      <w:r w:rsidRPr="003414D3">
        <w:rPr>
          <w:color w:val="000000"/>
          <w:sz w:val="22"/>
          <w:szCs w:val="22"/>
        </w:rPr>
        <w:t xml:space="preserve"> </w:t>
      </w:r>
      <w:proofErr w:type="spellStart"/>
      <w:r w:rsidRPr="003414D3">
        <w:rPr>
          <w:color w:val="000000"/>
          <w:sz w:val="22"/>
          <w:szCs w:val="22"/>
        </w:rPr>
        <w:t>mazāk</w:t>
      </w:r>
      <w:proofErr w:type="spellEnd"/>
      <w:r w:rsidRPr="003414D3">
        <w:rPr>
          <w:color w:val="000000"/>
          <w:sz w:val="22"/>
          <w:szCs w:val="22"/>
        </w:rPr>
        <w:t xml:space="preserve"> par 1 </w:t>
      </w:r>
      <w:proofErr w:type="spellStart"/>
      <w:r w:rsidRPr="003414D3">
        <w:rPr>
          <w:color w:val="000000"/>
          <w:sz w:val="22"/>
          <w:szCs w:val="22"/>
        </w:rPr>
        <w:t>mmol</w:t>
      </w:r>
      <w:proofErr w:type="spellEnd"/>
      <w:r w:rsidRPr="003414D3">
        <w:rPr>
          <w:color w:val="000000"/>
          <w:sz w:val="22"/>
          <w:szCs w:val="22"/>
        </w:rPr>
        <w:t xml:space="preserve"> </w:t>
      </w:r>
      <w:proofErr w:type="spellStart"/>
      <w:r w:rsidRPr="003414D3">
        <w:rPr>
          <w:color w:val="000000"/>
          <w:sz w:val="22"/>
          <w:szCs w:val="22"/>
        </w:rPr>
        <w:t>nātrija</w:t>
      </w:r>
      <w:proofErr w:type="spellEnd"/>
      <w:r w:rsidRPr="003414D3">
        <w:rPr>
          <w:color w:val="000000"/>
          <w:sz w:val="22"/>
          <w:szCs w:val="22"/>
        </w:rPr>
        <w:t xml:space="preserve"> (23 mg) </w:t>
      </w:r>
      <w:proofErr w:type="spellStart"/>
      <w:r w:rsidRPr="003414D3">
        <w:rPr>
          <w:color w:val="000000"/>
          <w:sz w:val="22"/>
          <w:szCs w:val="22"/>
        </w:rPr>
        <w:t>katrā</w:t>
      </w:r>
      <w:proofErr w:type="spellEnd"/>
      <w:r w:rsidRPr="003414D3">
        <w:rPr>
          <w:color w:val="000000"/>
          <w:sz w:val="22"/>
          <w:szCs w:val="22"/>
        </w:rPr>
        <w:t xml:space="preserve"> </w:t>
      </w:r>
      <w:proofErr w:type="spellStart"/>
      <w:r w:rsidRPr="003414D3">
        <w:rPr>
          <w:color w:val="000000"/>
          <w:sz w:val="22"/>
          <w:szCs w:val="22"/>
        </w:rPr>
        <w:t>ampulā</w:t>
      </w:r>
      <w:proofErr w:type="spellEnd"/>
      <w:r w:rsidRPr="003414D3">
        <w:rPr>
          <w:color w:val="000000"/>
          <w:sz w:val="22"/>
          <w:szCs w:val="22"/>
        </w:rPr>
        <w:t xml:space="preserve"> (10 ml), - </w:t>
      </w:r>
      <w:proofErr w:type="spellStart"/>
      <w:r w:rsidRPr="003414D3">
        <w:rPr>
          <w:color w:val="000000"/>
          <w:sz w:val="22"/>
          <w:szCs w:val="22"/>
        </w:rPr>
        <w:t>būtībā</w:t>
      </w:r>
      <w:proofErr w:type="spellEnd"/>
      <w:r w:rsidRPr="003414D3">
        <w:rPr>
          <w:color w:val="000000"/>
          <w:sz w:val="22"/>
          <w:szCs w:val="22"/>
        </w:rPr>
        <w:t xml:space="preserve"> </w:t>
      </w:r>
      <w:proofErr w:type="spellStart"/>
      <w:r w:rsidRPr="003414D3">
        <w:rPr>
          <w:color w:val="000000"/>
          <w:sz w:val="22"/>
          <w:szCs w:val="22"/>
        </w:rPr>
        <w:t>tās</w:t>
      </w:r>
      <w:proofErr w:type="spellEnd"/>
      <w:r w:rsidRPr="003414D3">
        <w:rPr>
          <w:color w:val="000000"/>
          <w:sz w:val="22"/>
          <w:szCs w:val="22"/>
        </w:rPr>
        <w:t xml:space="preserve"> </w:t>
      </w:r>
      <w:proofErr w:type="spellStart"/>
      <w:r w:rsidRPr="003414D3">
        <w:rPr>
          <w:color w:val="000000"/>
          <w:sz w:val="22"/>
          <w:szCs w:val="22"/>
        </w:rPr>
        <w:t>ir</w:t>
      </w:r>
      <w:proofErr w:type="spellEnd"/>
      <w:r w:rsidRPr="003414D3">
        <w:rPr>
          <w:color w:val="000000"/>
          <w:sz w:val="22"/>
          <w:szCs w:val="22"/>
        </w:rPr>
        <w:t xml:space="preserve"> </w:t>
      </w:r>
      <w:proofErr w:type="spellStart"/>
      <w:r w:rsidRPr="003414D3">
        <w:rPr>
          <w:color w:val="000000"/>
          <w:sz w:val="22"/>
          <w:szCs w:val="22"/>
        </w:rPr>
        <w:t>nātriju</w:t>
      </w:r>
      <w:proofErr w:type="spellEnd"/>
      <w:r w:rsidRPr="003414D3">
        <w:rPr>
          <w:color w:val="000000"/>
          <w:sz w:val="22"/>
          <w:szCs w:val="22"/>
        </w:rPr>
        <w:t xml:space="preserve"> </w:t>
      </w:r>
      <w:proofErr w:type="spellStart"/>
      <w:r w:rsidRPr="003414D3">
        <w:rPr>
          <w:color w:val="000000"/>
          <w:sz w:val="22"/>
          <w:szCs w:val="22"/>
        </w:rPr>
        <w:t>nesaturošas</w:t>
      </w:r>
      <w:proofErr w:type="spellEnd"/>
      <w:r w:rsidRPr="003414D3">
        <w:rPr>
          <w:color w:val="000000"/>
          <w:sz w:val="22"/>
          <w:szCs w:val="22"/>
        </w:rPr>
        <w:t>.</w:t>
      </w:r>
    </w:p>
    <w:p w14:paraId="2B78632E" w14:textId="77777777" w:rsidR="00D6372D" w:rsidRPr="003414D3" w:rsidRDefault="00D6372D" w:rsidP="00D6372D">
      <w:pPr>
        <w:jc w:val="both"/>
        <w:rPr>
          <w:color w:val="000000"/>
          <w:sz w:val="22"/>
          <w:szCs w:val="22"/>
        </w:rPr>
      </w:pPr>
    </w:p>
    <w:p w14:paraId="4481B074" w14:textId="77777777" w:rsidR="00D6372D" w:rsidRPr="003414D3" w:rsidRDefault="00D6372D" w:rsidP="00D6372D">
      <w:pPr>
        <w:jc w:val="both"/>
        <w:rPr>
          <w:color w:val="000000"/>
          <w:sz w:val="22"/>
          <w:szCs w:val="22"/>
          <w:lang w:val="lv-LV"/>
        </w:rPr>
      </w:pPr>
      <w:r w:rsidRPr="003414D3">
        <w:rPr>
          <w:color w:val="000000"/>
          <w:sz w:val="22"/>
          <w:szCs w:val="22"/>
        </w:rPr>
        <w:t xml:space="preserve">- </w:t>
      </w:r>
      <w:proofErr w:type="spellStart"/>
      <w:r w:rsidRPr="003414D3">
        <w:rPr>
          <w:color w:val="000000"/>
          <w:sz w:val="22"/>
          <w:szCs w:val="22"/>
        </w:rPr>
        <w:t>Šīs</w:t>
      </w:r>
      <w:proofErr w:type="spellEnd"/>
      <w:r w:rsidRPr="003414D3">
        <w:rPr>
          <w:color w:val="000000"/>
          <w:sz w:val="22"/>
          <w:szCs w:val="22"/>
        </w:rPr>
        <w:t xml:space="preserve"> </w:t>
      </w:r>
      <w:proofErr w:type="spellStart"/>
      <w:r w:rsidRPr="003414D3">
        <w:rPr>
          <w:color w:val="000000"/>
          <w:sz w:val="22"/>
          <w:szCs w:val="22"/>
        </w:rPr>
        <w:t>zāles</w:t>
      </w:r>
      <w:proofErr w:type="spellEnd"/>
      <w:r w:rsidRPr="003414D3">
        <w:rPr>
          <w:color w:val="000000"/>
          <w:sz w:val="22"/>
          <w:szCs w:val="22"/>
        </w:rPr>
        <w:t xml:space="preserve"> </w:t>
      </w:r>
      <w:proofErr w:type="spellStart"/>
      <w:r w:rsidRPr="003414D3">
        <w:rPr>
          <w:color w:val="000000"/>
          <w:sz w:val="22"/>
          <w:szCs w:val="22"/>
        </w:rPr>
        <w:t>satur</w:t>
      </w:r>
      <w:proofErr w:type="spellEnd"/>
      <w:r w:rsidRPr="003414D3">
        <w:rPr>
          <w:color w:val="000000"/>
          <w:sz w:val="22"/>
          <w:szCs w:val="22"/>
        </w:rPr>
        <w:t xml:space="preserve"> 20 mg </w:t>
      </w:r>
      <w:proofErr w:type="spellStart"/>
      <w:r w:rsidRPr="003414D3">
        <w:rPr>
          <w:color w:val="000000"/>
          <w:sz w:val="22"/>
          <w:szCs w:val="22"/>
        </w:rPr>
        <w:t>nātrija</w:t>
      </w:r>
      <w:proofErr w:type="spellEnd"/>
      <w:r w:rsidRPr="003414D3">
        <w:rPr>
          <w:color w:val="000000"/>
          <w:sz w:val="22"/>
          <w:szCs w:val="22"/>
        </w:rPr>
        <w:t xml:space="preserve"> </w:t>
      </w:r>
      <w:proofErr w:type="spellStart"/>
      <w:r w:rsidRPr="003414D3">
        <w:rPr>
          <w:color w:val="000000"/>
          <w:sz w:val="22"/>
          <w:szCs w:val="22"/>
        </w:rPr>
        <w:t>benzoāta</w:t>
      </w:r>
      <w:proofErr w:type="spellEnd"/>
      <w:r w:rsidRPr="003414D3">
        <w:rPr>
          <w:color w:val="000000"/>
          <w:sz w:val="22"/>
          <w:szCs w:val="22"/>
        </w:rPr>
        <w:t xml:space="preserve"> </w:t>
      </w:r>
      <w:proofErr w:type="spellStart"/>
      <w:r w:rsidRPr="003414D3">
        <w:rPr>
          <w:color w:val="000000"/>
          <w:sz w:val="22"/>
          <w:szCs w:val="22"/>
        </w:rPr>
        <w:t>katrā</w:t>
      </w:r>
      <w:proofErr w:type="spellEnd"/>
      <w:r w:rsidRPr="003414D3">
        <w:rPr>
          <w:color w:val="000000"/>
          <w:sz w:val="22"/>
          <w:szCs w:val="22"/>
        </w:rPr>
        <w:t xml:space="preserve"> </w:t>
      </w:r>
      <w:proofErr w:type="spellStart"/>
      <w:r w:rsidRPr="003414D3">
        <w:rPr>
          <w:color w:val="000000"/>
          <w:sz w:val="22"/>
          <w:szCs w:val="22"/>
        </w:rPr>
        <w:t>ampulā</w:t>
      </w:r>
      <w:proofErr w:type="spellEnd"/>
      <w:r w:rsidRPr="003414D3">
        <w:rPr>
          <w:color w:val="000000"/>
          <w:sz w:val="22"/>
          <w:szCs w:val="22"/>
        </w:rPr>
        <w:t xml:space="preserve"> (10 ml). </w:t>
      </w:r>
      <w:proofErr w:type="spellStart"/>
      <w:r w:rsidRPr="003414D3">
        <w:rPr>
          <w:color w:val="000000"/>
          <w:sz w:val="22"/>
          <w:szCs w:val="22"/>
        </w:rPr>
        <w:t>Nātrija</w:t>
      </w:r>
      <w:proofErr w:type="spellEnd"/>
      <w:r w:rsidRPr="003414D3">
        <w:rPr>
          <w:color w:val="000000"/>
          <w:sz w:val="22"/>
          <w:szCs w:val="22"/>
        </w:rPr>
        <w:t xml:space="preserve"> </w:t>
      </w:r>
      <w:proofErr w:type="spellStart"/>
      <w:r w:rsidRPr="003414D3">
        <w:rPr>
          <w:color w:val="000000"/>
          <w:sz w:val="22"/>
          <w:szCs w:val="22"/>
        </w:rPr>
        <w:t>benzoāts</w:t>
      </w:r>
      <w:proofErr w:type="spellEnd"/>
      <w:r w:rsidRPr="003414D3">
        <w:rPr>
          <w:color w:val="000000"/>
          <w:sz w:val="22"/>
          <w:szCs w:val="22"/>
        </w:rPr>
        <w:t xml:space="preserve"> var </w:t>
      </w:r>
      <w:proofErr w:type="spellStart"/>
      <w:r w:rsidRPr="003414D3">
        <w:rPr>
          <w:color w:val="000000"/>
          <w:sz w:val="22"/>
          <w:szCs w:val="22"/>
        </w:rPr>
        <w:t>palielināt</w:t>
      </w:r>
      <w:proofErr w:type="spellEnd"/>
      <w:r w:rsidRPr="003414D3">
        <w:rPr>
          <w:color w:val="000000"/>
          <w:sz w:val="22"/>
          <w:szCs w:val="22"/>
        </w:rPr>
        <w:t xml:space="preserve"> </w:t>
      </w:r>
      <w:proofErr w:type="spellStart"/>
      <w:r w:rsidRPr="003414D3">
        <w:rPr>
          <w:color w:val="000000"/>
          <w:sz w:val="22"/>
          <w:szCs w:val="22"/>
        </w:rPr>
        <w:t>ādas</w:t>
      </w:r>
      <w:proofErr w:type="spellEnd"/>
      <w:r w:rsidRPr="003414D3">
        <w:rPr>
          <w:color w:val="000000"/>
          <w:sz w:val="22"/>
          <w:szCs w:val="22"/>
        </w:rPr>
        <w:t xml:space="preserve"> un </w:t>
      </w:r>
      <w:proofErr w:type="spellStart"/>
      <w:r w:rsidRPr="003414D3">
        <w:rPr>
          <w:color w:val="000000"/>
          <w:sz w:val="22"/>
          <w:szCs w:val="22"/>
        </w:rPr>
        <w:t>acu</w:t>
      </w:r>
      <w:proofErr w:type="spellEnd"/>
      <w:r w:rsidRPr="003414D3">
        <w:rPr>
          <w:color w:val="000000"/>
          <w:sz w:val="22"/>
          <w:szCs w:val="22"/>
        </w:rPr>
        <w:t xml:space="preserve"> </w:t>
      </w:r>
      <w:proofErr w:type="spellStart"/>
      <w:r w:rsidRPr="003414D3">
        <w:rPr>
          <w:color w:val="000000"/>
          <w:sz w:val="22"/>
          <w:szCs w:val="22"/>
        </w:rPr>
        <w:t>dzeltes</w:t>
      </w:r>
      <w:proofErr w:type="spellEnd"/>
      <w:r w:rsidRPr="003414D3">
        <w:rPr>
          <w:color w:val="000000"/>
          <w:sz w:val="22"/>
          <w:szCs w:val="22"/>
        </w:rPr>
        <w:t xml:space="preserve"> </w:t>
      </w:r>
      <w:proofErr w:type="spellStart"/>
      <w:r w:rsidRPr="003414D3">
        <w:rPr>
          <w:color w:val="000000"/>
          <w:sz w:val="22"/>
          <w:szCs w:val="22"/>
        </w:rPr>
        <w:t>risku</w:t>
      </w:r>
      <w:proofErr w:type="spellEnd"/>
      <w:r w:rsidRPr="003414D3">
        <w:rPr>
          <w:color w:val="000000"/>
          <w:sz w:val="22"/>
          <w:szCs w:val="22"/>
        </w:rPr>
        <w:t xml:space="preserve"> </w:t>
      </w:r>
      <w:proofErr w:type="spellStart"/>
      <w:r w:rsidRPr="003414D3">
        <w:rPr>
          <w:color w:val="000000"/>
          <w:sz w:val="22"/>
          <w:szCs w:val="22"/>
        </w:rPr>
        <w:t>jaundzimušajiem</w:t>
      </w:r>
      <w:proofErr w:type="spellEnd"/>
      <w:r w:rsidRPr="003414D3">
        <w:rPr>
          <w:color w:val="000000"/>
          <w:sz w:val="22"/>
          <w:szCs w:val="22"/>
        </w:rPr>
        <w:t xml:space="preserve"> (</w:t>
      </w:r>
      <w:proofErr w:type="spellStart"/>
      <w:r w:rsidRPr="003414D3">
        <w:rPr>
          <w:color w:val="000000"/>
          <w:sz w:val="22"/>
          <w:szCs w:val="22"/>
        </w:rPr>
        <w:t>līdz</w:t>
      </w:r>
      <w:proofErr w:type="spellEnd"/>
      <w:r w:rsidRPr="003414D3">
        <w:rPr>
          <w:color w:val="000000"/>
          <w:sz w:val="22"/>
          <w:szCs w:val="22"/>
        </w:rPr>
        <w:t xml:space="preserve"> 4 </w:t>
      </w:r>
      <w:proofErr w:type="spellStart"/>
      <w:r w:rsidRPr="003414D3">
        <w:rPr>
          <w:color w:val="000000"/>
          <w:sz w:val="22"/>
          <w:szCs w:val="22"/>
        </w:rPr>
        <w:t>nedēļu</w:t>
      </w:r>
      <w:proofErr w:type="spellEnd"/>
      <w:r w:rsidRPr="003414D3">
        <w:rPr>
          <w:color w:val="000000"/>
          <w:sz w:val="22"/>
          <w:szCs w:val="22"/>
        </w:rPr>
        <w:t xml:space="preserve"> </w:t>
      </w:r>
      <w:proofErr w:type="spellStart"/>
      <w:r w:rsidRPr="003414D3">
        <w:rPr>
          <w:color w:val="000000"/>
          <w:sz w:val="22"/>
          <w:szCs w:val="22"/>
        </w:rPr>
        <w:t>vecumam</w:t>
      </w:r>
      <w:proofErr w:type="spellEnd"/>
      <w:r w:rsidRPr="003414D3">
        <w:rPr>
          <w:color w:val="000000"/>
          <w:sz w:val="22"/>
          <w:szCs w:val="22"/>
        </w:rPr>
        <w:t>).</w:t>
      </w:r>
    </w:p>
    <w:p w14:paraId="3E5B3CB0" w14:textId="77777777" w:rsidR="00D6372D" w:rsidRPr="003414D3" w:rsidRDefault="00D6372D" w:rsidP="00D6372D">
      <w:pPr>
        <w:jc w:val="both"/>
        <w:rPr>
          <w:color w:val="000000"/>
          <w:sz w:val="22"/>
          <w:szCs w:val="22"/>
          <w:lang w:val="lv-LV"/>
        </w:rPr>
      </w:pPr>
    </w:p>
    <w:p w14:paraId="4D341104" w14:textId="77777777" w:rsidR="00D6372D" w:rsidRPr="003414D3" w:rsidRDefault="00D6372D" w:rsidP="00D6372D">
      <w:pPr>
        <w:jc w:val="both"/>
        <w:rPr>
          <w:b/>
          <w:color w:val="000000"/>
          <w:sz w:val="22"/>
          <w:szCs w:val="22"/>
          <w:lang w:val="lv-LV"/>
        </w:rPr>
      </w:pPr>
      <w:r w:rsidRPr="003414D3">
        <w:rPr>
          <w:b/>
          <w:color w:val="000000"/>
          <w:sz w:val="22"/>
          <w:szCs w:val="22"/>
          <w:lang w:val="lv-LV"/>
        </w:rPr>
        <w:t>Bērni</w:t>
      </w:r>
    </w:p>
    <w:p w14:paraId="617DA190" w14:textId="77777777" w:rsidR="00D6372D" w:rsidRPr="003414D3" w:rsidRDefault="00D6372D" w:rsidP="00D6372D">
      <w:pPr>
        <w:jc w:val="both"/>
        <w:rPr>
          <w:color w:val="000000"/>
          <w:sz w:val="22"/>
          <w:szCs w:val="22"/>
          <w:lang w:val="lv-LV"/>
        </w:rPr>
      </w:pPr>
      <w:r w:rsidRPr="003414D3">
        <w:rPr>
          <w:color w:val="000000"/>
          <w:sz w:val="22"/>
          <w:szCs w:val="22"/>
          <w:lang w:val="lv-LV"/>
        </w:rPr>
        <w:t>- Šīs zāles ir paredzētas zīdaiņiem no 1 mēneša vecuma.</w:t>
      </w:r>
    </w:p>
    <w:p w14:paraId="2BAC0CB9" w14:textId="77777777" w:rsidR="009E28DD" w:rsidRPr="003414D3" w:rsidRDefault="009E28DD" w:rsidP="009E28DD">
      <w:pPr>
        <w:jc w:val="both"/>
        <w:rPr>
          <w:color w:val="000000"/>
          <w:sz w:val="22"/>
          <w:szCs w:val="22"/>
          <w:lang w:val="lv-LV"/>
        </w:rPr>
      </w:pPr>
    </w:p>
    <w:p w14:paraId="0270CEE8" w14:textId="77777777" w:rsidR="009E28DD" w:rsidRPr="003414D3" w:rsidRDefault="009E28DD" w:rsidP="009E28DD">
      <w:pPr>
        <w:rPr>
          <w:b/>
          <w:sz w:val="22"/>
          <w:szCs w:val="22"/>
          <w:lang w:val="lv-LV"/>
        </w:rPr>
      </w:pPr>
      <w:r w:rsidRPr="003414D3">
        <w:rPr>
          <w:b/>
          <w:sz w:val="22"/>
          <w:szCs w:val="22"/>
          <w:lang w:val="lv-LV"/>
        </w:rPr>
        <w:t>Citas zāles un Tot’hema</w:t>
      </w:r>
    </w:p>
    <w:p w14:paraId="3CBE4883" w14:textId="77777777" w:rsidR="009E28DD" w:rsidRPr="003414D3" w:rsidRDefault="009E28DD" w:rsidP="009E28DD">
      <w:pPr>
        <w:pStyle w:val="Heading7"/>
        <w:rPr>
          <w:rFonts w:ascii="Times New Roman" w:hAnsi="Times New Roman"/>
          <w:sz w:val="22"/>
          <w:szCs w:val="22"/>
          <w:lang w:val="lv-LV"/>
        </w:rPr>
      </w:pPr>
    </w:p>
    <w:p w14:paraId="6AF0A634" w14:textId="77777777" w:rsidR="009E28DD" w:rsidRPr="003414D3" w:rsidRDefault="009E28DD" w:rsidP="009E28DD">
      <w:pPr>
        <w:numPr>
          <w:ilvl w:val="12"/>
          <w:numId w:val="0"/>
        </w:numPr>
        <w:rPr>
          <w:noProof/>
          <w:sz w:val="22"/>
          <w:szCs w:val="22"/>
          <w:lang w:val="lv-LV" w:eastAsia="en-US"/>
        </w:rPr>
      </w:pPr>
      <w:r w:rsidRPr="003414D3">
        <w:rPr>
          <w:noProof/>
          <w:sz w:val="22"/>
          <w:szCs w:val="22"/>
          <w:lang w:val="lv-LV" w:eastAsia="en-US"/>
        </w:rPr>
        <w:t>Pastāstiet ārstam vai farmaceitam par visām zālēm, kuras lietojat pēdējā laikā, esat lietojis vai varētu lietot.</w:t>
      </w:r>
    </w:p>
    <w:p w14:paraId="2D24F6DA" w14:textId="77777777" w:rsidR="009E28DD" w:rsidRPr="003414D3" w:rsidRDefault="009E28DD" w:rsidP="009E28DD">
      <w:pPr>
        <w:numPr>
          <w:ilvl w:val="12"/>
          <w:numId w:val="0"/>
        </w:numPr>
        <w:rPr>
          <w:noProof/>
          <w:sz w:val="22"/>
          <w:szCs w:val="22"/>
          <w:lang w:val="lv-LV" w:eastAsia="en-US"/>
        </w:rPr>
      </w:pPr>
    </w:p>
    <w:p w14:paraId="7E1EDAA4"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Ja Jūs lietojat kādu no zemāk minētajām zālēm, nelietojiet Tot’hemu, ja vien to nav ieteicis ārsts. Dažas zāles nedrīkst lietot vienlaikus, savukārt citām zālēm nepieciešami īpaši lietošanas nosacījumi (piemēram, noteikts lietošanas laiks):</w:t>
      </w:r>
    </w:p>
    <w:p w14:paraId="00B6B06E" w14:textId="77777777" w:rsidR="00B15989" w:rsidRPr="003414D3" w:rsidRDefault="00B15989" w:rsidP="00B15989">
      <w:pPr>
        <w:numPr>
          <w:ilvl w:val="12"/>
          <w:numId w:val="0"/>
        </w:numPr>
        <w:rPr>
          <w:noProof/>
          <w:sz w:val="22"/>
          <w:szCs w:val="22"/>
          <w:lang w:val="lv-LV" w:eastAsia="en-US"/>
        </w:rPr>
      </w:pPr>
    </w:p>
    <w:p w14:paraId="7B9B2055"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Ja Jūs lietojat dzelzi saturošas zāles injekcijām, jums vajadzētu izvairīties no Tot’hema lietošanas.</w:t>
      </w:r>
    </w:p>
    <w:p w14:paraId="09345BD0"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Informējiet savu ārstu, ja lietojat zāles, kas satur acetohidroksamīnskābi.</w:t>
      </w:r>
    </w:p>
    <w:p w14:paraId="38B2EE0A" w14:textId="77777777" w:rsidR="00B15989" w:rsidRPr="003414D3" w:rsidRDefault="00B15989" w:rsidP="00B15989">
      <w:pPr>
        <w:numPr>
          <w:ilvl w:val="12"/>
          <w:numId w:val="0"/>
        </w:numPr>
        <w:rPr>
          <w:noProof/>
          <w:sz w:val="22"/>
          <w:szCs w:val="22"/>
          <w:lang w:val="lv-LV" w:eastAsia="en-US"/>
        </w:rPr>
      </w:pPr>
    </w:p>
    <w:p w14:paraId="4362C74E" w14:textId="77777777" w:rsidR="00B15989" w:rsidRPr="003414D3" w:rsidRDefault="00B15989" w:rsidP="00B15989">
      <w:pPr>
        <w:numPr>
          <w:ilvl w:val="12"/>
          <w:numId w:val="0"/>
        </w:numPr>
        <w:rPr>
          <w:b/>
          <w:noProof/>
          <w:sz w:val="22"/>
          <w:szCs w:val="22"/>
          <w:lang w:val="lv-LV" w:eastAsia="en-US"/>
        </w:rPr>
      </w:pPr>
      <w:r w:rsidRPr="003414D3">
        <w:rPr>
          <w:b/>
          <w:noProof/>
          <w:sz w:val="22"/>
          <w:szCs w:val="22"/>
          <w:lang w:val="lv-LV" w:eastAsia="en-US"/>
        </w:rPr>
        <w:t>Ja lietojat šādas zāles, tad ievērojiet vismaz 2 stundu starplaiku starp šo zāļu un Tot’hemas lietošanu:</w:t>
      </w:r>
    </w:p>
    <w:p w14:paraId="3F84D4BA"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noteikti antibiotiski līdzekļi (ciklīni vai fluorhinoloni);</w:t>
      </w:r>
    </w:p>
    <w:p w14:paraId="65E1B1CB"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zāles locītavu slimību ārstēšanai (penicilamīns);</w:t>
      </w:r>
    </w:p>
    <w:p w14:paraId="1E6EAADD"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zāles vairogdziedzera slimību ārstēšanai (vairogdziedzera hormoni);</w:t>
      </w:r>
    </w:p>
    <w:p w14:paraId="169DAC44"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zāles Parkinsona slimības ārstēšanai (karbidopa, levodopa, entakapons);</w:t>
      </w:r>
    </w:p>
    <w:p w14:paraId="39E66739"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zāles HIV ārstēšanai (biktegravīrs, integrāzes inhibitori);</w:t>
      </w:r>
    </w:p>
    <w:p w14:paraId="5712CA3A"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zāles Vilsona slimības ārstēšanai(trientīns);</w:t>
      </w:r>
    </w:p>
    <w:p w14:paraId="06E4E8B8"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zāles arteriālās hipertensijas ārstēšanai(metildopa);</w:t>
      </w:r>
    </w:p>
    <w:p w14:paraId="16C07F90" w14:textId="77777777" w:rsidR="00B15989" w:rsidRPr="003414D3" w:rsidRDefault="00B15989" w:rsidP="00B15989">
      <w:pPr>
        <w:numPr>
          <w:ilvl w:val="12"/>
          <w:numId w:val="0"/>
        </w:numPr>
        <w:rPr>
          <w:noProof/>
          <w:sz w:val="22"/>
          <w:szCs w:val="22"/>
          <w:lang w:val="lv-LV" w:eastAsia="en-US"/>
        </w:rPr>
      </w:pPr>
      <w:r w:rsidRPr="003414D3">
        <w:rPr>
          <w:noProof/>
          <w:sz w:val="22"/>
          <w:szCs w:val="22"/>
          <w:lang w:val="lv-LV" w:eastAsia="en-US"/>
        </w:rPr>
        <w:t>- uztura bagātinātāji un/vai zāles, kas satur stronciju, cinku vai kalciju;</w:t>
      </w:r>
    </w:p>
    <w:p w14:paraId="71EA6AEF" w14:textId="77777777" w:rsidR="00B15989" w:rsidRPr="005C0034" w:rsidRDefault="00B15989" w:rsidP="00B15989">
      <w:pPr>
        <w:numPr>
          <w:ilvl w:val="12"/>
          <w:numId w:val="0"/>
        </w:numPr>
        <w:rPr>
          <w:noProof/>
          <w:sz w:val="22"/>
          <w:szCs w:val="22"/>
          <w:lang w:val="lv-LV" w:eastAsia="en-US"/>
        </w:rPr>
      </w:pPr>
      <w:r w:rsidRPr="003414D3">
        <w:rPr>
          <w:noProof/>
          <w:sz w:val="22"/>
          <w:szCs w:val="22"/>
          <w:lang w:val="lv-LV" w:eastAsia="en-US"/>
        </w:rPr>
        <w:t xml:space="preserve">- zāles, kas neitralizē paaugstinātu kuņģa skābi: </w:t>
      </w:r>
      <w:r w:rsidR="005C0034">
        <w:rPr>
          <w:noProof/>
          <w:sz w:val="22"/>
          <w:szCs w:val="22"/>
          <w:lang w:val="lv-LV" w:eastAsia="en-US"/>
        </w:rPr>
        <w:t xml:space="preserve">gastrointestinālie </w:t>
      </w:r>
      <w:r w:rsidRPr="005C0034">
        <w:rPr>
          <w:noProof/>
          <w:sz w:val="22"/>
          <w:szCs w:val="22"/>
          <w:lang w:val="lv-LV" w:eastAsia="en-US"/>
        </w:rPr>
        <w:t>minerāl</w:t>
      </w:r>
      <w:r w:rsidR="005C0034">
        <w:rPr>
          <w:noProof/>
          <w:sz w:val="22"/>
          <w:szCs w:val="22"/>
          <w:lang w:val="lv-LV" w:eastAsia="en-US"/>
        </w:rPr>
        <w:t>preparāti</w:t>
      </w:r>
      <w:r w:rsidR="00C8575A">
        <w:rPr>
          <w:noProof/>
          <w:sz w:val="22"/>
          <w:szCs w:val="22"/>
          <w:lang w:val="lv-LV" w:eastAsia="en-US"/>
        </w:rPr>
        <w:t>, antacīdie līdzekļi vai</w:t>
      </w:r>
      <w:r w:rsidRPr="005C0034">
        <w:rPr>
          <w:noProof/>
          <w:sz w:val="22"/>
          <w:szCs w:val="22"/>
          <w:lang w:val="lv-LV" w:eastAsia="en-US"/>
        </w:rPr>
        <w:t xml:space="preserve"> adsorbenti (alumīnija, kalcija un magnija sāļi);</w:t>
      </w:r>
    </w:p>
    <w:p w14:paraId="491558CC" w14:textId="77777777" w:rsidR="00B15989" w:rsidRPr="005C0034" w:rsidRDefault="00B15989" w:rsidP="00B15989">
      <w:pPr>
        <w:numPr>
          <w:ilvl w:val="12"/>
          <w:numId w:val="0"/>
        </w:numPr>
        <w:rPr>
          <w:noProof/>
          <w:sz w:val="22"/>
          <w:szCs w:val="22"/>
          <w:lang w:val="lv-LV" w:eastAsia="en-US"/>
        </w:rPr>
      </w:pPr>
      <w:r w:rsidRPr="005C0034">
        <w:rPr>
          <w:noProof/>
          <w:sz w:val="22"/>
          <w:szCs w:val="22"/>
          <w:lang w:val="lv-LV" w:eastAsia="en-US"/>
        </w:rPr>
        <w:t>- zāles kaulu trausluma ārstēšanai (bifosfonāti).</w:t>
      </w:r>
    </w:p>
    <w:p w14:paraId="52FC5B42" w14:textId="77777777" w:rsidR="00B15989" w:rsidRPr="002C6709" w:rsidRDefault="00B15989" w:rsidP="00B15989">
      <w:pPr>
        <w:numPr>
          <w:ilvl w:val="12"/>
          <w:numId w:val="0"/>
        </w:numPr>
        <w:rPr>
          <w:noProof/>
          <w:sz w:val="22"/>
          <w:szCs w:val="22"/>
          <w:lang w:val="lv-LV" w:eastAsia="en-US"/>
        </w:rPr>
      </w:pPr>
    </w:p>
    <w:p w14:paraId="3645C1F4" w14:textId="77777777" w:rsidR="00B15989" w:rsidRPr="002C6709" w:rsidRDefault="00B15989" w:rsidP="00B15989">
      <w:pPr>
        <w:numPr>
          <w:ilvl w:val="12"/>
          <w:numId w:val="0"/>
        </w:numPr>
        <w:rPr>
          <w:noProof/>
          <w:sz w:val="22"/>
          <w:szCs w:val="22"/>
          <w:lang w:val="lv-LV" w:eastAsia="en-US"/>
        </w:rPr>
      </w:pPr>
      <w:r w:rsidRPr="002C6709">
        <w:rPr>
          <w:noProof/>
          <w:sz w:val="22"/>
          <w:szCs w:val="22"/>
          <w:lang w:val="lv-LV" w:eastAsia="en-US"/>
        </w:rPr>
        <w:t>Ja lietojat holestiramīnu (to lieto pacienti ar augstu holesterīna līmeni), dzelzs sāļi jālieto 1 līdz 2 stundas pirms vai 4 stundas pēc holestiramīna lietošanas.</w:t>
      </w:r>
    </w:p>
    <w:p w14:paraId="2D2E725A" w14:textId="77777777" w:rsidR="009E28DD" w:rsidRPr="003414D3" w:rsidRDefault="009E28DD" w:rsidP="009E28DD">
      <w:pPr>
        <w:jc w:val="both"/>
        <w:rPr>
          <w:color w:val="000000"/>
          <w:sz w:val="22"/>
          <w:szCs w:val="22"/>
          <w:lang w:val="lv-LV"/>
        </w:rPr>
      </w:pPr>
    </w:p>
    <w:p w14:paraId="69E5AFD3" w14:textId="77777777" w:rsidR="009E28DD" w:rsidRPr="003414D3" w:rsidRDefault="009E28DD" w:rsidP="009E28DD">
      <w:pPr>
        <w:jc w:val="both"/>
        <w:rPr>
          <w:color w:val="000000"/>
          <w:sz w:val="22"/>
          <w:szCs w:val="22"/>
          <w:lang w:val="lv-LV"/>
        </w:rPr>
      </w:pPr>
      <w:r w:rsidRPr="003414D3">
        <w:rPr>
          <w:b/>
          <w:sz w:val="22"/>
          <w:szCs w:val="22"/>
          <w:lang w:val="lv-LV"/>
        </w:rPr>
        <w:t>Tot’hema</w:t>
      </w:r>
      <w:r w:rsidRPr="003414D3">
        <w:rPr>
          <w:color w:val="000000"/>
          <w:sz w:val="22"/>
          <w:szCs w:val="22"/>
          <w:lang w:val="lv-LV"/>
        </w:rPr>
        <w:t xml:space="preserve"> </w:t>
      </w:r>
      <w:r w:rsidRPr="003414D3">
        <w:rPr>
          <w:b/>
          <w:color w:val="000000"/>
          <w:sz w:val="22"/>
          <w:szCs w:val="22"/>
          <w:lang w:val="lv-LV"/>
        </w:rPr>
        <w:t>kopā ar uzturu</w:t>
      </w:r>
      <w:r w:rsidRPr="003414D3">
        <w:rPr>
          <w:color w:val="000000"/>
          <w:sz w:val="22"/>
          <w:szCs w:val="22"/>
          <w:lang w:val="lv-LV"/>
        </w:rPr>
        <w:t xml:space="preserve"> </w:t>
      </w:r>
    </w:p>
    <w:p w14:paraId="2B971648" w14:textId="77777777" w:rsidR="009E28DD" w:rsidRPr="003414D3" w:rsidRDefault="009E28DD" w:rsidP="009E28DD">
      <w:pPr>
        <w:jc w:val="both"/>
        <w:rPr>
          <w:color w:val="000000"/>
          <w:sz w:val="22"/>
          <w:szCs w:val="22"/>
          <w:lang w:val="lv-LV"/>
        </w:rPr>
      </w:pPr>
    </w:p>
    <w:p w14:paraId="5E3E9FD2" w14:textId="77777777" w:rsidR="009E28DD" w:rsidRPr="003414D3" w:rsidRDefault="00B15989" w:rsidP="009E28DD">
      <w:pPr>
        <w:jc w:val="both"/>
        <w:rPr>
          <w:color w:val="000000"/>
          <w:sz w:val="22"/>
          <w:szCs w:val="22"/>
          <w:lang w:val="lv-LV"/>
        </w:rPr>
      </w:pPr>
      <w:r w:rsidRPr="003414D3">
        <w:rPr>
          <w:color w:val="000000"/>
          <w:sz w:val="22"/>
          <w:szCs w:val="22"/>
          <w:lang w:val="lv-LV"/>
        </w:rPr>
        <w:t xml:space="preserve">Nav ieteicams lietot Tot'hema vienlaicīgi ar pilngraudu produktiem (klijām, graudiem), dārzeņiem, dažām olbaltumvielām (olām), tēju, kafiju, sarkanvīnu vai ēdieniem un dzērieniem, kas satur kalciju (siers, piens utt.), jo tas var samazināt dzelzs uzsūkšanos. Nepieciešams ievērot vismaz 2 stundu starplaiku starp dzelzs sāļu un šo pārtikas produktu un dzērienu lietošanu. </w:t>
      </w:r>
      <w:r w:rsidR="009E28DD" w:rsidRPr="003414D3">
        <w:rPr>
          <w:color w:val="000000"/>
          <w:sz w:val="22"/>
          <w:szCs w:val="22"/>
          <w:lang w:val="lv-LV"/>
        </w:rPr>
        <w:t xml:space="preserve"> </w:t>
      </w:r>
    </w:p>
    <w:p w14:paraId="23862910" w14:textId="77777777" w:rsidR="009E28DD" w:rsidRPr="003414D3" w:rsidRDefault="009E28DD" w:rsidP="009E28DD">
      <w:pPr>
        <w:jc w:val="both"/>
        <w:rPr>
          <w:b/>
          <w:color w:val="000000"/>
          <w:sz w:val="22"/>
          <w:szCs w:val="22"/>
          <w:lang w:val="lv-LV"/>
        </w:rPr>
      </w:pPr>
    </w:p>
    <w:p w14:paraId="6CE20242" w14:textId="77777777" w:rsidR="009E28DD" w:rsidRPr="003414D3" w:rsidRDefault="009E28DD" w:rsidP="009E28DD">
      <w:pPr>
        <w:jc w:val="both"/>
        <w:rPr>
          <w:b/>
          <w:color w:val="000000"/>
          <w:sz w:val="22"/>
          <w:szCs w:val="22"/>
          <w:lang w:val="lv-LV"/>
        </w:rPr>
      </w:pPr>
      <w:r w:rsidRPr="003414D3">
        <w:rPr>
          <w:b/>
          <w:color w:val="000000"/>
          <w:sz w:val="22"/>
          <w:szCs w:val="22"/>
          <w:lang w:val="lv-LV"/>
        </w:rPr>
        <w:t>Grūtniecība un barošana ar krūti</w:t>
      </w:r>
    </w:p>
    <w:p w14:paraId="357D87B4" w14:textId="77777777" w:rsidR="009E28DD" w:rsidRPr="003414D3" w:rsidRDefault="009E28DD" w:rsidP="009E28DD">
      <w:pPr>
        <w:numPr>
          <w:ilvl w:val="12"/>
          <w:numId w:val="0"/>
        </w:numPr>
        <w:jc w:val="both"/>
        <w:rPr>
          <w:noProof/>
          <w:sz w:val="22"/>
          <w:szCs w:val="22"/>
          <w:lang w:val="lv-LV" w:eastAsia="en-US"/>
        </w:rPr>
      </w:pPr>
    </w:p>
    <w:p w14:paraId="2BCBC342" w14:textId="77777777" w:rsidR="00B15989" w:rsidRPr="003414D3" w:rsidRDefault="00B15989" w:rsidP="00B15989">
      <w:pPr>
        <w:numPr>
          <w:ilvl w:val="12"/>
          <w:numId w:val="0"/>
        </w:numPr>
        <w:jc w:val="both"/>
        <w:rPr>
          <w:noProof/>
          <w:sz w:val="22"/>
          <w:szCs w:val="22"/>
          <w:lang w:val="lv-LV" w:eastAsia="en-US"/>
        </w:rPr>
      </w:pPr>
      <w:r w:rsidRPr="003414D3">
        <w:rPr>
          <w:noProof/>
          <w:sz w:val="22"/>
          <w:szCs w:val="22"/>
          <w:lang w:val="lv-LV" w:eastAsia="en-US"/>
        </w:rPr>
        <w:t>Ja Jūs esat grūtniece vai barojat bērnu ar krūti, ja domājat, ka Jums varētu būt grūtniecība, vai plānojat grūtniecību, pirms šo zāļu lietošanas konsultējieties ar ārstu vai farmaceitu.</w:t>
      </w:r>
    </w:p>
    <w:p w14:paraId="430E7DAA" w14:textId="77777777" w:rsidR="00B15989" w:rsidRPr="003414D3" w:rsidRDefault="00B15989" w:rsidP="00B15989">
      <w:pPr>
        <w:numPr>
          <w:ilvl w:val="12"/>
          <w:numId w:val="0"/>
        </w:numPr>
        <w:jc w:val="both"/>
        <w:rPr>
          <w:noProof/>
          <w:sz w:val="22"/>
          <w:szCs w:val="22"/>
          <w:lang w:val="lv-LV" w:eastAsia="en-US"/>
        </w:rPr>
      </w:pPr>
      <w:r w:rsidRPr="003414D3">
        <w:rPr>
          <w:noProof/>
          <w:sz w:val="22"/>
          <w:szCs w:val="22"/>
          <w:lang w:val="lv-LV" w:eastAsia="en-US"/>
        </w:rPr>
        <w:t>Šīs zāles drīkst lietot grūtniecības un bērna barošanas ar krūti laikā.</w:t>
      </w:r>
    </w:p>
    <w:p w14:paraId="1DF7AF90" w14:textId="77777777" w:rsidR="009E28DD" w:rsidRPr="003414D3" w:rsidRDefault="009E28DD" w:rsidP="009E28DD">
      <w:pPr>
        <w:numPr>
          <w:ilvl w:val="12"/>
          <w:numId w:val="0"/>
        </w:numPr>
        <w:jc w:val="both"/>
        <w:rPr>
          <w:noProof/>
          <w:sz w:val="22"/>
          <w:szCs w:val="22"/>
          <w:lang w:val="lv-LV" w:eastAsia="en-US"/>
        </w:rPr>
      </w:pPr>
    </w:p>
    <w:p w14:paraId="4216E1C2" w14:textId="77777777" w:rsidR="009E28DD" w:rsidRPr="003414D3" w:rsidRDefault="009E28DD" w:rsidP="009E28DD">
      <w:pPr>
        <w:jc w:val="both"/>
        <w:rPr>
          <w:b/>
          <w:color w:val="000000"/>
          <w:sz w:val="22"/>
          <w:szCs w:val="22"/>
          <w:lang w:val="lv-LV"/>
        </w:rPr>
      </w:pPr>
      <w:r w:rsidRPr="003414D3">
        <w:rPr>
          <w:b/>
          <w:color w:val="000000"/>
          <w:sz w:val="22"/>
          <w:szCs w:val="22"/>
          <w:lang w:val="lv-LV"/>
        </w:rPr>
        <w:t>Transportlīdzekļu vadīšana un mehānismu apkalpošana</w:t>
      </w:r>
    </w:p>
    <w:p w14:paraId="02DF9D08" w14:textId="77777777" w:rsidR="009E28DD" w:rsidRPr="003414D3" w:rsidRDefault="009E28DD" w:rsidP="009E28DD">
      <w:pPr>
        <w:jc w:val="both"/>
        <w:rPr>
          <w:color w:val="000000"/>
          <w:sz w:val="22"/>
          <w:szCs w:val="22"/>
          <w:lang w:val="lv-LV"/>
        </w:rPr>
      </w:pPr>
    </w:p>
    <w:p w14:paraId="5797EF4E" w14:textId="77777777" w:rsidR="00B15989" w:rsidRPr="003414D3" w:rsidRDefault="00B15989" w:rsidP="009E28DD">
      <w:pPr>
        <w:jc w:val="both"/>
        <w:rPr>
          <w:color w:val="000000"/>
          <w:sz w:val="22"/>
          <w:szCs w:val="22"/>
          <w:lang w:val="lv-LV"/>
        </w:rPr>
      </w:pPr>
      <w:r w:rsidRPr="003414D3">
        <w:rPr>
          <w:color w:val="000000"/>
          <w:sz w:val="22"/>
          <w:szCs w:val="22"/>
          <w:lang w:val="lv-LV"/>
        </w:rPr>
        <w:t>Tot’hema neietekmē vai nenozīmīgi ietekmē spēju vadīt transportlīdzekļus un apkalpot mehānismus.</w:t>
      </w:r>
    </w:p>
    <w:p w14:paraId="7AC47467" w14:textId="77777777" w:rsidR="009E28DD" w:rsidRPr="003414D3" w:rsidRDefault="009E28DD" w:rsidP="009E28DD">
      <w:pPr>
        <w:jc w:val="both"/>
        <w:rPr>
          <w:color w:val="000000"/>
          <w:sz w:val="22"/>
          <w:szCs w:val="22"/>
          <w:lang w:val="lv-LV"/>
        </w:rPr>
      </w:pPr>
    </w:p>
    <w:p w14:paraId="5DB287EE" w14:textId="77777777" w:rsidR="009E28DD" w:rsidRPr="003414D3" w:rsidRDefault="009E28DD" w:rsidP="009E28DD">
      <w:pPr>
        <w:jc w:val="both"/>
        <w:rPr>
          <w:b/>
          <w:color w:val="000000"/>
          <w:sz w:val="22"/>
          <w:szCs w:val="22"/>
          <w:lang w:val="lv-LV"/>
        </w:rPr>
      </w:pPr>
      <w:r w:rsidRPr="003414D3">
        <w:rPr>
          <w:b/>
          <w:color w:val="000000"/>
          <w:sz w:val="22"/>
          <w:szCs w:val="22"/>
          <w:lang w:val="lv-LV"/>
        </w:rPr>
        <w:t>Tot’hema satur glikozi, saharozi</w:t>
      </w:r>
      <w:r w:rsidR="00B15989" w:rsidRPr="003414D3">
        <w:rPr>
          <w:b/>
          <w:color w:val="000000"/>
          <w:sz w:val="22"/>
          <w:szCs w:val="22"/>
          <w:lang w:val="lv-LV"/>
        </w:rPr>
        <w:t>,</w:t>
      </w:r>
      <w:r w:rsidRPr="003414D3">
        <w:rPr>
          <w:b/>
          <w:color w:val="000000"/>
          <w:sz w:val="22"/>
          <w:szCs w:val="22"/>
          <w:lang w:val="lv-LV"/>
        </w:rPr>
        <w:t xml:space="preserve"> etilspirtu</w:t>
      </w:r>
      <w:r w:rsidR="00B15989" w:rsidRPr="003414D3">
        <w:rPr>
          <w:b/>
          <w:color w:val="000000"/>
          <w:sz w:val="22"/>
          <w:szCs w:val="22"/>
          <w:lang w:val="lv-LV"/>
        </w:rPr>
        <w:t xml:space="preserve"> un nātrija benzoātu (skatīt sadaļu “Brīdinājumi un piesardzība lietošanā”)</w:t>
      </w:r>
      <w:r w:rsidRPr="003414D3">
        <w:rPr>
          <w:b/>
          <w:color w:val="000000"/>
          <w:sz w:val="22"/>
          <w:szCs w:val="22"/>
          <w:lang w:val="lv-LV"/>
        </w:rPr>
        <w:t>.</w:t>
      </w:r>
    </w:p>
    <w:p w14:paraId="2515A0AF" w14:textId="77777777" w:rsidR="009E28DD" w:rsidRPr="003414D3" w:rsidRDefault="009E28DD" w:rsidP="009E28DD">
      <w:pPr>
        <w:pStyle w:val="BodyText2"/>
        <w:rPr>
          <w:sz w:val="22"/>
          <w:szCs w:val="22"/>
          <w:lang w:val="lv-LV"/>
        </w:rPr>
      </w:pPr>
      <w:r w:rsidRPr="003414D3">
        <w:rPr>
          <w:sz w:val="22"/>
          <w:szCs w:val="22"/>
          <w:lang w:val="lv-LV"/>
        </w:rPr>
        <w:t>Ja ārsts ir teicis, ka Jums ir kāda cukura nepanesība, pirms lietojat šīs zāles, konsultējieties ar ārstu.</w:t>
      </w:r>
    </w:p>
    <w:p w14:paraId="49C230A4" w14:textId="77777777" w:rsidR="009E28DD" w:rsidRPr="003414D3" w:rsidRDefault="009E28DD" w:rsidP="009E28DD">
      <w:pPr>
        <w:pStyle w:val="BodyText2"/>
        <w:rPr>
          <w:rStyle w:val="Normale"/>
          <w:rFonts w:ascii="Times New Roman" w:hAnsi="Times New Roman"/>
          <w:sz w:val="22"/>
          <w:szCs w:val="22"/>
          <w:lang w:val="lv-LV"/>
        </w:rPr>
      </w:pPr>
      <w:r w:rsidRPr="003414D3">
        <w:rPr>
          <w:sz w:val="22"/>
          <w:szCs w:val="22"/>
          <w:lang w:val="lv-LV"/>
        </w:rPr>
        <w:t>Šīs zāles satur nelielu etilspirta (alkohola) daudzumu ampulā, kas ir mazāks par 100 mg.</w:t>
      </w:r>
    </w:p>
    <w:p w14:paraId="39D0DFF7" w14:textId="77777777" w:rsidR="009E28DD" w:rsidRPr="003414D3" w:rsidRDefault="009E28DD" w:rsidP="009E28DD">
      <w:pPr>
        <w:jc w:val="both"/>
        <w:rPr>
          <w:color w:val="000000"/>
          <w:sz w:val="22"/>
          <w:szCs w:val="22"/>
          <w:lang w:val="lv-LV"/>
        </w:rPr>
      </w:pPr>
      <w:r w:rsidRPr="003414D3">
        <w:rPr>
          <w:color w:val="000000"/>
          <w:sz w:val="22"/>
          <w:szCs w:val="22"/>
          <w:lang w:val="lv-LV"/>
        </w:rPr>
        <w:t>Glikoze un saharoze var kaitēt zobiem,</w:t>
      </w:r>
      <w:r w:rsidRPr="003414D3">
        <w:rPr>
          <w:color w:val="414142"/>
          <w:sz w:val="22"/>
          <w:szCs w:val="22"/>
          <w:shd w:val="clear" w:color="auto" w:fill="FFFFFF"/>
          <w:lang w:val="lv-LV"/>
        </w:rPr>
        <w:t xml:space="preserve"> </w:t>
      </w:r>
      <w:r w:rsidRPr="003414D3">
        <w:rPr>
          <w:color w:val="000000"/>
          <w:sz w:val="22"/>
          <w:szCs w:val="22"/>
          <w:lang w:val="lv-LV"/>
        </w:rPr>
        <w:t xml:space="preserve">ja šīs zāles lieto ilgstoši, piemēram, divas nedēļas vai vairāk. </w:t>
      </w:r>
    </w:p>
    <w:p w14:paraId="1D2CDF26" w14:textId="77777777" w:rsidR="009E28DD" w:rsidRPr="003414D3" w:rsidRDefault="009E28DD" w:rsidP="009E28DD">
      <w:pPr>
        <w:pStyle w:val="BodyText2"/>
        <w:rPr>
          <w:rStyle w:val="Normale"/>
          <w:rFonts w:ascii="Times New Roman" w:hAnsi="Times New Roman"/>
          <w:sz w:val="22"/>
          <w:szCs w:val="22"/>
          <w:lang w:val="lv-LV"/>
        </w:rPr>
      </w:pPr>
    </w:p>
    <w:p w14:paraId="5D79752B" w14:textId="77777777" w:rsidR="009E28DD" w:rsidRPr="003414D3" w:rsidRDefault="009E28DD" w:rsidP="009E28DD">
      <w:pPr>
        <w:pStyle w:val="BodyText2"/>
        <w:rPr>
          <w:rStyle w:val="Normale"/>
          <w:rFonts w:ascii="Times New Roman" w:hAnsi="Times New Roman"/>
          <w:sz w:val="22"/>
          <w:szCs w:val="22"/>
          <w:lang w:val="lv-LV"/>
        </w:rPr>
      </w:pPr>
    </w:p>
    <w:p w14:paraId="1790CD96" w14:textId="77777777" w:rsidR="009E28DD" w:rsidRPr="003414D3" w:rsidRDefault="009E28DD" w:rsidP="009E28DD">
      <w:pPr>
        <w:jc w:val="both"/>
        <w:rPr>
          <w:b/>
          <w:sz w:val="22"/>
          <w:szCs w:val="22"/>
          <w:lang w:val="lv-LV"/>
        </w:rPr>
      </w:pPr>
      <w:r w:rsidRPr="003414D3">
        <w:rPr>
          <w:b/>
          <w:sz w:val="22"/>
          <w:szCs w:val="22"/>
          <w:lang w:val="lv-LV"/>
        </w:rPr>
        <w:t xml:space="preserve">3. Kā lietot </w:t>
      </w:r>
      <w:r w:rsidRPr="003414D3">
        <w:rPr>
          <w:b/>
          <w:color w:val="000000"/>
          <w:sz w:val="22"/>
          <w:szCs w:val="22"/>
          <w:lang w:val="lv-LV"/>
        </w:rPr>
        <w:t xml:space="preserve">Tot’hema </w:t>
      </w:r>
      <w:r w:rsidRPr="003414D3">
        <w:rPr>
          <w:b/>
          <w:sz w:val="22"/>
          <w:szCs w:val="22"/>
          <w:lang w:val="lv-LV"/>
        </w:rPr>
        <w:t xml:space="preserve"> </w:t>
      </w:r>
    </w:p>
    <w:p w14:paraId="292BBA9A" w14:textId="77777777" w:rsidR="009E28DD" w:rsidRPr="003414D3" w:rsidRDefault="009E28DD" w:rsidP="009E28DD">
      <w:pPr>
        <w:numPr>
          <w:ilvl w:val="12"/>
          <w:numId w:val="0"/>
        </w:numPr>
        <w:jc w:val="both"/>
        <w:rPr>
          <w:noProof/>
          <w:sz w:val="22"/>
          <w:szCs w:val="22"/>
          <w:lang w:val="lv-LV" w:eastAsia="en-US"/>
        </w:rPr>
      </w:pPr>
    </w:p>
    <w:p w14:paraId="0DA267E3" w14:textId="77777777" w:rsidR="009E28DD" w:rsidRPr="003414D3" w:rsidRDefault="009E28DD" w:rsidP="009E28DD">
      <w:pPr>
        <w:numPr>
          <w:ilvl w:val="12"/>
          <w:numId w:val="0"/>
        </w:numPr>
        <w:jc w:val="both"/>
        <w:rPr>
          <w:noProof/>
          <w:sz w:val="22"/>
          <w:szCs w:val="22"/>
          <w:lang w:val="lv-LV" w:eastAsia="en-US"/>
        </w:rPr>
      </w:pPr>
      <w:r w:rsidRPr="003414D3">
        <w:rPr>
          <w:noProof/>
          <w:sz w:val="22"/>
          <w:szCs w:val="22"/>
          <w:lang w:val="lv-LV" w:eastAsia="en-US"/>
        </w:rPr>
        <w:t xml:space="preserve">Vienmēr lietojiet šīs zāles tieši tā, kā aprakstīts šajā instrukcijā vai </w:t>
      </w:r>
      <w:r w:rsidRPr="003414D3">
        <w:rPr>
          <w:sz w:val="22"/>
          <w:szCs w:val="22"/>
          <w:lang w:val="lv-LV" w:eastAsia="en-US"/>
        </w:rPr>
        <w:t xml:space="preserve">kā ārsts vai farmaceits Jums teicis. </w:t>
      </w:r>
      <w:r w:rsidRPr="003414D3">
        <w:rPr>
          <w:noProof/>
          <w:sz w:val="22"/>
          <w:szCs w:val="22"/>
          <w:lang w:val="lv-LV" w:eastAsia="en-US"/>
        </w:rPr>
        <w:t>Neskaidrību gadījumā vaicājiet ārstam vai farmaceitam.</w:t>
      </w:r>
    </w:p>
    <w:p w14:paraId="2A781CF3" w14:textId="77777777" w:rsidR="009E28DD" w:rsidRPr="003414D3" w:rsidRDefault="009E28DD" w:rsidP="009E28DD">
      <w:pPr>
        <w:pStyle w:val="BodyText"/>
        <w:jc w:val="both"/>
        <w:rPr>
          <w:rStyle w:val="Normale"/>
          <w:rFonts w:ascii="Times New Roman" w:hAnsi="Times New Roman"/>
          <w:i/>
          <w:color w:val="000000"/>
          <w:sz w:val="22"/>
          <w:szCs w:val="22"/>
          <w:lang w:val="lv-LV"/>
        </w:rPr>
      </w:pPr>
    </w:p>
    <w:p w14:paraId="5CFB5391" w14:textId="77777777" w:rsidR="009E28DD" w:rsidRPr="003414D3" w:rsidRDefault="009E28DD" w:rsidP="009E28DD">
      <w:pPr>
        <w:pStyle w:val="BodyText"/>
        <w:jc w:val="both"/>
        <w:rPr>
          <w:rStyle w:val="Normale"/>
          <w:rFonts w:ascii="Times New Roman" w:hAnsi="Times New Roman"/>
          <w:b/>
          <w:color w:val="000000"/>
          <w:sz w:val="22"/>
          <w:szCs w:val="22"/>
          <w:lang w:val="lv-LV"/>
        </w:rPr>
      </w:pPr>
      <w:r w:rsidRPr="003414D3">
        <w:rPr>
          <w:rStyle w:val="Normale"/>
          <w:rFonts w:ascii="Times New Roman" w:hAnsi="Times New Roman"/>
          <w:b/>
          <w:color w:val="000000"/>
          <w:sz w:val="22"/>
          <w:szCs w:val="22"/>
          <w:lang w:val="lv-LV"/>
        </w:rPr>
        <w:t xml:space="preserve">Ieteicamā deva ārstēšanai ir: </w:t>
      </w:r>
    </w:p>
    <w:p w14:paraId="30C1D1D8" w14:textId="77777777" w:rsidR="00A2737F" w:rsidRPr="003414D3" w:rsidRDefault="00A2737F" w:rsidP="00A2737F">
      <w:pPr>
        <w:pStyle w:val="BodyText"/>
        <w:numPr>
          <w:ilvl w:val="0"/>
          <w:numId w:val="2"/>
        </w:numPr>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 xml:space="preserve"> Zīdaiņiem no 1 mēneša vecuma un bērniem: 3 mg dzelzs/ kg dienā, nepārsniedzot 60 mg dienā.</w:t>
      </w:r>
    </w:p>
    <w:p w14:paraId="169C2217" w14:textId="77777777" w:rsidR="009E28DD" w:rsidRPr="003414D3" w:rsidRDefault="00A2737F" w:rsidP="00C30F38">
      <w:pPr>
        <w:pStyle w:val="BodyText"/>
        <w:numPr>
          <w:ilvl w:val="0"/>
          <w:numId w:val="2"/>
        </w:numPr>
        <w:ind w:left="0" w:firstLine="0"/>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 xml:space="preserve"> </w:t>
      </w:r>
      <w:r w:rsidR="009E28DD" w:rsidRPr="003414D3">
        <w:rPr>
          <w:rStyle w:val="Normale"/>
          <w:rFonts w:ascii="Times New Roman" w:hAnsi="Times New Roman"/>
          <w:color w:val="000000"/>
          <w:sz w:val="22"/>
          <w:szCs w:val="22"/>
          <w:lang w:val="lv-LV"/>
        </w:rPr>
        <w:t>Pieauguš</w:t>
      </w:r>
      <w:r w:rsidR="00EB0F10" w:rsidRPr="003414D3">
        <w:rPr>
          <w:rStyle w:val="Normale"/>
          <w:rFonts w:ascii="Times New Roman" w:hAnsi="Times New Roman"/>
          <w:color w:val="000000"/>
          <w:sz w:val="22"/>
          <w:szCs w:val="22"/>
          <w:lang w:val="lv-LV"/>
        </w:rPr>
        <w:t>aj</w:t>
      </w:r>
      <w:r w:rsidR="009E28DD" w:rsidRPr="003414D3">
        <w:rPr>
          <w:rStyle w:val="Normale"/>
          <w:rFonts w:ascii="Times New Roman" w:hAnsi="Times New Roman"/>
          <w:color w:val="000000"/>
          <w:sz w:val="22"/>
          <w:szCs w:val="22"/>
          <w:lang w:val="lv-LV"/>
        </w:rPr>
        <w:t xml:space="preserve">iem: 100 līdz </w:t>
      </w:r>
      <w:r w:rsidRPr="003414D3">
        <w:rPr>
          <w:rStyle w:val="Normale"/>
          <w:rFonts w:ascii="Times New Roman" w:hAnsi="Times New Roman"/>
          <w:color w:val="000000"/>
          <w:sz w:val="22"/>
          <w:szCs w:val="22"/>
          <w:lang w:val="lv-LV"/>
        </w:rPr>
        <w:t>150</w:t>
      </w:r>
      <w:r w:rsidR="009E28DD" w:rsidRPr="003414D3">
        <w:rPr>
          <w:rStyle w:val="Normale"/>
          <w:rFonts w:ascii="Times New Roman" w:hAnsi="Times New Roman"/>
          <w:color w:val="000000"/>
          <w:sz w:val="22"/>
          <w:szCs w:val="22"/>
          <w:lang w:val="lv-LV"/>
        </w:rPr>
        <w:t xml:space="preserve"> mg dzelzs dienā, jeb 2 līdz </w:t>
      </w:r>
      <w:r w:rsidRPr="003414D3">
        <w:rPr>
          <w:rStyle w:val="Normale"/>
          <w:rFonts w:ascii="Times New Roman" w:hAnsi="Times New Roman"/>
          <w:color w:val="000000"/>
          <w:sz w:val="22"/>
          <w:szCs w:val="22"/>
          <w:lang w:val="lv-LV"/>
        </w:rPr>
        <w:t>3</w:t>
      </w:r>
      <w:r w:rsidR="009E28DD" w:rsidRPr="003414D3">
        <w:rPr>
          <w:rStyle w:val="Normale"/>
          <w:rFonts w:ascii="Times New Roman" w:hAnsi="Times New Roman"/>
          <w:color w:val="000000"/>
          <w:sz w:val="22"/>
          <w:szCs w:val="22"/>
          <w:lang w:val="lv-LV"/>
        </w:rPr>
        <w:t xml:space="preserve"> ampulas dienā</w:t>
      </w:r>
      <w:r w:rsidR="00B33041" w:rsidRPr="003414D3">
        <w:rPr>
          <w:rStyle w:val="Normale"/>
          <w:rFonts w:ascii="Times New Roman" w:hAnsi="Times New Roman"/>
          <w:color w:val="000000"/>
          <w:sz w:val="22"/>
          <w:szCs w:val="22"/>
          <w:lang w:val="lv-LV"/>
        </w:rPr>
        <w:t>.</w:t>
      </w:r>
      <w:r w:rsidRPr="003414D3">
        <w:rPr>
          <w:rStyle w:val="Normale"/>
          <w:rFonts w:ascii="Times New Roman" w:hAnsi="Times New Roman"/>
          <w:color w:val="000000"/>
          <w:sz w:val="22"/>
          <w:szCs w:val="22"/>
          <w:lang w:val="lv-LV"/>
        </w:rPr>
        <w:t xml:space="preserve"> </w:t>
      </w:r>
      <w:r w:rsidR="00B33041" w:rsidRPr="003414D3">
        <w:rPr>
          <w:rFonts w:ascii="Times New Roman" w:hAnsi="Times New Roman"/>
          <w:color w:val="000000"/>
          <w:sz w:val="22"/>
          <w:szCs w:val="22"/>
          <w:lang w:val="lv-LV"/>
        </w:rPr>
        <w:t>Dienas devu var sadalīt atsevišķās devās vai lietot vienu devu</w:t>
      </w:r>
      <w:r w:rsidR="009E28DD" w:rsidRPr="003414D3">
        <w:rPr>
          <w:rStyle w:val="Normale"/>
          <w:rFonts w:ascii="Times New Roman" w:hAnsi="Times New Roman"/>
          <w:color w:val="000000"/>
          <w:sz w:val="22"/>
          <w:szCs w:val="22"/>
          <w:lang w:val="lv-LV"/>
        </w:rPr>
        <w:t>.</w:t>
      </w:r>
    </w:p>
    <w:p w14:paraId="7ED47EEE" w14:textId="77777777" w:rsidR="009E28DD" w:rsidRPr="003414D3" w:rsidRDefault="009E28DD" w:rsidP="009E28DD">
      <w:pPr>
        <w:pStyle w:val="BodyText"/>
        <w:jc w:val="both"/>
        <w:rPr>
          <w:rStyle w:val="Normale"/>
          <w:rFonts w:ascii="Times New Roman" w:hAnsi="Times New Roman"/>
          <w:color w:val="000000"/>
          <w:sz w:val="22"/>
          <w:szCs w:val="22"/>
          <w:lang w:val="lv-LV"/>
        </w:rPr>
      </w:pPr>
    </w:p>
    <w:p w14:paraId="3916619A" w14:textId="77777777" w:rsidR="009E28DD" w:rsidRPr="003414D3" w:rsidRDefault="009E28DD" w:rsidP="009E28DD">
      <w:pPr>
        <w:pStyle w:val="BodyText"/>
        <w:jc w:val="both"/>
        <w:rPr>
          <w:rStyle w:val="Normale"/>
          <w:rFonts w:ascii="Times New Roman" w:hAnsi="Times New Roman"/>
          <w:b/>
          <w:color w:val="000000"/>
          <w:sz w:val="22"/>
          <w:szCs w:val="22"/>
          <w:lang w:val="lv-LV"/>
        </w:rPr>
      </w:pPr>
      <w:r w:rsidRPr="003414D3">
        <w:rPr>
          <w:rStyle w:val="Normale"/>
          <w:rFonts w:ascii="Times New Roman" w:hAnsi="Times New Roman"/>
          <w:b/>
          <w:color w:val="000000"/>
          <w:sz w:val="22"/>
          <w:szCs w:val="22"/>
          <w:lang w:val="lv-LV"/>
        </w:rPr>
        <w:t xml:space="preserve">Ieteicamā deva profilaksei ir: </w:t>
      </w:r>
    </w:p>
    <w:p w14:paraId="2AAB3593" w14:textId="77777777" w:rsidR="009E28DD" w:rsidRPr="003414D3" w:rsidRDefault="009E28DD" w:rsidP="009E28DD">
      <w:pPr>
        <w:pStyle w:val="BodyText"/>
        <w:numPr>
          <w:ilvl w:val="0"/>
          <w:numId w:val="2"/>
        </w:numPr>
        <w:tabs>
          <w:tab w:val="clear" w:pos="360"/>
          <w:tab w:val="num" w:pos="0"/>
        </w:tabs>
        <w:ind w:left="0" w:firstLine="0"/>
        <w:jc w:val="both"/>
        <w:rPr>
          <w:rStyle w:val="Normale"/>
          <w:rFonts w:ascii="Times New Roman" w:hAnsi="Times New Roman"/>
          <w:color w:val="000000"/>
          <w:sz w:val="22"/>
          <w:szCs w:val="22"/>
          <w:lang w:val="lv-LV"/>
        </w:rPr>
      </w:pPr>
      <w:r w:rsidRPr="003414D3">
        <w:rPr>
          <w:rStyle w:val="Normale"/>
          <w:rFonts w:ascii="Times New Roman" w:hAnsi="Times New Roman"/>
          <w:color w:val="000000"/>
          <w:sz w:val="22"/>
          <w:szCs w:val="22"/>
          <w:lang w:val="lv-LV"/>
        </w:rPr>
        <w:t xml:space="preserve"> Grūtniecēm: 50 mg dzelzs dienā (1 ampula) grūtniecības pēdējos divos trimestros (jeb no 4. grūtniecības mēneša).</w:t>
      </w:r>
    </w:p>
    <w:p w14:paraId="05332013" w14:textId="77777777" w:rsidR="009E28DD" w:rsidRPr="003414D3" w:rsidRDefault="009E28DD" w:rsidP="009E28DD">
      <w:pPr>
        <w:pStyle w:val="BodyText"/>
        <w:jc w:val="both"/>
        <w:rPr>
          <w:rStyle w:val="Normale"/>
          <w:rFonts w:ascii="Times New Roman" w:hAnsi="Times New Roman"/>
          <w:i/>
          <w:color w:val="000000"/>
          <w:sz w:val="22"/>
          <w:szCs w:val="22"/>
          <w:lang w:val="lv-LV"/>
        </w:rPr>
      </w:pPr>
    </w:p>
    <w:p w14:paraId="156219F3" w14:textId="77777777" w:rsidR="00362263" w:rsidRPr="003414D3" w:rsidRDefault="00362263" w:rsidP="00362263">
      <w:pPr>
        <w:pStyle w:val="BodyText"/>
        <w:jc w:val="both"/>
        <w:rPr>
          <w:rStyle w:val="Normale"/>
          <w:rFonts w:ascii="Times New Roman" w:hAnsi="Times New Roman"/>
          <w:color w:val="000000"/>
          <w:sz w:val="22"/>
          <w:szCs w:val="22"/>
          <w:u w:val="single"/>
          <w:lang w:val="lv-LV"/>
        </w:rPr>
      </w:pPr>
      <w:r w:rsidRPr="003414D3">
        <w:rPr>
          <w:rStyle w:val="Normale"/>
          <w:rFonts w:ascii="Times New Roman" w:hAnsi="Times New Roman"/>
          <w:color w:val="000000"/>
          <w:sz w:val="22"/>
          <w:szCs w:val="22"/>
          <w:u w:val="single"/>
          <w:lang w:val="lv-LV"/>
        </w:rPr>
        <w:t>Lietošanas veids</w:t>
      </w:r>
    </w:p>
    <w:p w14:paraId="6F8A36B9" w14:textId="77777777" w:rsidR="00362263" w:rsidRPr="003414D3" w:rsidRDefault="00362263" w:rsidP="00362263">
      <w:pPr>
        <w:jc w:val="both"/>
        <w:rPr>
          <w:sz w:val="22"/>
          <w:szCs w:val="22"/>
          <w:lang w:val="lv-LV"/>
        </w:rPr>
      </w:pPr>
      <w:r w:rsidRPr="003414D3">
        <w:rPr>
          <w:sz w:val="22"/>
          <w:szCs w:val="22"/>
          <w:lang w:val="lv-LV"/>
        </w:rPr>
        <w:t xml:space="preserve">Iekšķīgai lietošanai. </w:t>
      </w:r>
    </w:p>
    <w:p w14:paraId="246240EF" w14:textId="77777777" w:rsidR="00362263" w:rsidRPr="003414D3" w:rsidRDefault="00362263" w:rsidP="00362263">
      <w:pPr>
        <w:jc w:val="both"/>
        <w:rPr>
          <w:sz w:val="22"/>
          <w:szCs w:val="22"/>
          <w:lang w:val="lv-LV"/>
        </w:rPr>
      </w:pPr>
      <w:r w:rsidRPr="003414D3">
        <w:rPr>
          <w:sz w:val="22"/>
          <w:szCs w:val="22"/>
          <w:lang w:val="lv-LV"/>
        </w:rPr>
        <w:t>Pirms lietošanas ampulu sakratīt.</w:t>
      </w:r>
    </w:p>
    <w:p w14:paraId="6861CFB0" w14:textId="77777777" w:rsidR="00362263" w:rsidRPr="003414D3" w:rsidRDefault="00362263" w:rsidP="00362263">
      <w:pPr>
        <w:jc w:val="both"/>
        <w:rPr>
          <w:sz w:val="22"/>
          <w:szCs w:val="22"/>
          <w:lang w:val="lv-LV"/>
        </w:rPr>
      </w:pPr>
      <w:r w:rsidRPr="003414D3">
        <w:rPr>
          <w:sz w:val="22"/>
          <w:szCs w:val="22"/>
          <w:lang w:val="lv-LV"/>
        </w:rPr>
        <w:t>Uzmanīgi nolauziet abus ampulas galus, kā parādīts attēlā, un ielejiet ampulas saturu glāzē ar saldinātu vai nesaldinātu ūdeni vai jebkuru citu bezalkoholisku dzērienu.</w:t>
      </w:r>
    </w:p>
    <w:p w14:paraId="0B697BFE" w14:textId="77777777" w:rsidR="00362263" w:rsidRPr="003414D3" w:rsidRDefault="00362263" w:rsidP="00362263">
      <w:pPr>
        <w:jc w:val="both"/>
        <w:rPr>
          <w:sz w:val="22"/>
          <w:szCs w:val="22"/>
          <w:lang w:val="lv-LV"/>
        </w:rPr>
      </w:pPr>
    </w:p>
    <w:p w14:paraId="68C665B6" w14:textId="77777777" w:rsidR="00362263" w:rsidRPr="00C30F38" w:rsidRDefault="00362263" w:rsidP="00362263">
      <w:pPr>
        <w:jc w:val="both"/>
        <w:rPr>
          <w:sz w:val="22"/>
          <w:szCs w:val="22"/>
          <w:lang w:val="lv-LV"/>
        </w:rPr>
      </w:pPr>
      <w:r w:rsidRPr="00C30F38">
        <w:rPr>
          <w:b/>
          <w:noProof/>
          <w:sz w:val="22"/>
          <w:szCs w:val="22"/>
          <w:u w:val="single"/>
          <w:lang w:val="en-US" w:eastAsia="en-US"/>
        </w:rPr>
        <w:pict w14:anchorId="7227F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69.5pt;height:63.5pt;visibility:visible">
            <v:imagedata r:id="rId8" o:title=""/>
          </v:shape>
        </w:pict>
      </w:r>
    </w:p>
    <w:p w14:paraId="1E38D7ED" w14:textId="77777777" w:rsidR="00362263" w:rsidRPr="00C30F38" w:rsidRDefault="00362263" w:rsidP="00362263">
      <w:pPr>
        <w:jc w:val="both"/>
        <w:rPr>
          <w:sz w:val="22"/>
          <w:szCs w:val="22"/>
          <w:lang w:val="lv-LV"/>
        </w:rPr>
      </w:pPr>
    </w:p>
    <w:p w14:paraId="05C06CA7" w14:textId="77777777" w:rsidR="00362263" w:rsidRPr="00C30F38" w:rsidRDefault="00362263" w:rsidP="00362263">
      <w:pPr>
        <w:jc w:val="both"/>
        <w:rPr>
          <w:rStyle w:val="Normale"/>
          <w:rFonts w:ascii="Times New Roman" w:hAnsi="Times New Roman"/>
          <w:color w:val="000000"/>
          <w:sz w:val="22"/>
          <w:szCs w:val="22"/>
          <w:u w:val="single"/>
          <w:lang w:val="lv-LV"/>
        </w:rPr>
      </w:pPr>
      <w:r w:rsidRPr="00C30F38">
        <w:rPr>
          <w:rStyle w:val="Normale"/>
          <w:rFonts w:ascii="Times New Roman" w:hAnsi="Times New Roman"/>
          <w:color w:val="000000"/>
          <w:sz w:val="22"/>
          <w:szCs w:val="22"/>
          <w:u w:val="single"/>
          <w:lang w:val="lv-LV"/>
        </w:rPr>
        <w:t>Lietošanas biežums</w:t>
      </w:r>
    </w:p>
    <w:p w14:paraId="4214F612" w14:textId="77777777" w:rsidR="00362263" w:rsidRPr="005C0034" w:rsidRDefault="00362263" w:rsidP="00362263">
      <w:pPr>
        <w:jc w:val="both"/>
        <w:rPr>
          <w:rStyle w:val="Normale"/>
          <w:rFonts w:ascii="Times New Roman" w:hAnsi="Times New Roman"/>
          <w:color w:val="000000"/>
          <w:sz w:val="22"/>
          <w:szCs w:val="22"/>
          <w:lang w:val="lv-LV"/>
        </w:rPr>
      </w:pPr>
      <w:r w:rsidRPr="005C0034">
        <w:rPr>
          <w:rStyle w:val="Normale"/>
          <w:rFonts w:ascii="Times New Roman" w:hAnsi="Times New Roman"/>
          <w:color w:val="000000"/>
          <w:sz w:val="22"/>
          <w:szCs w:val="22"/>
          <w:lang w:val="lv-LV"/>
        </w:rPr>
        <w:t>Zāles ieteicams lietot pirms ēšanas, bet reizēm lietošanas laiku un devas lielumu jāpiemēro katra pacienta gremošanas trakta darbībai.</w:t>
      </w:r>
    </w:p>
    <w:p w14:paraId="3930DB3E" w14:textId="77777777" w:rsidR="00362263" w:rsidRPr="002C6709" w:rsidRDefault="00362263" w:rsidP="00362263">
      <w:pPr>
        <w:pStyle w:val="BodyText"/>
        <w:rPr>
          <w:rStyle w:val="Normale"/>
          <w:rFonts w:ascii="Times New Roman" w:hAnsi="Times New Roman"/>
          <w:color w:val="000000"/>
          <w:sz w:val="22"/>
          <w:szCs w:val="22"/>
          <w:u w:val="single"/>
          <w:lang w:val="lv-LV"/>
        </w:rPr>
      </w:pPr>
    </w:p>
    <w:p w14:paraId="2257B709" w14:textId="77777777" w:rsidR="00362263" w:rsidRPr="00C8575A" w:rsidRDefault="00362263" w:rsidP="00362263">
      <w:pPr>
        <w:pStyle w:val="BodyText"/>
        <w:rPr>
          <w:rStyle w:val="Normale"/>
          <w:rFonts w:ascii="Times New Roman" w:hAnsi="Times New Roman"/>
          <w:color w:val="000000"/>
          <w:sz w:val="22"/>
          <w:szCs w:val="22"/>
          <w:u w:val="single"/>
          <w:lang w:val="lv-LV"/>
        </w:rPr>
      </w:pPr>
      <w:r w:rsidRPr="00C8575A">
        <w:rPr>
          <w:rStyle w:val="Normale"/>
          <w:rFonts w:ascii="Times New Roman" w:hAnsi="Times New Roman"/>
          <w:color w:val="000000"/>
          <w:sz w:val="22"/>
          <w:szCs w:val="22"/>
          <w:u w:val="single"/>
          <w:lang w:val="lv-LV"/>
        </w:rPr>
        <w:t>Lietošanas ilgums</w:t>
      </w:r>
    </w:p>
    <w:p w14:paraId="1A15A21F" w14:textId="77777777" w:rsidR="00362263" w:rsidRPr="00176E55" w:rsidRDefault="00362263" w:rsidP="00362263">
      <w:pPr>
        <w:jc w:val="both"/>
        <w:rPr>
          <w:sz w:val="22"/>
          <w:szCs w:val="22"/>
          <w:lang w:val="lv-LV"/>
        </w:rPr>
      </w:pPr>
      <w:r w:rsidRPr="00176E55">
        <w:rPr>
          <w:rStyle w:val="Normale"/>
          <w:rFonts w:ascii="Times New Roman" w:hAnsi="Times New Roman"/>
          <w:color w:val="000000"/>
          <w:sz w:val="22"/>
          <w:szCs w:val="22"/>
          <w:lang w:val="lv-LV"/>
        </w:rPr>
        <w:t xml:space="preserve">Lietošanas ilgumam </w:t>
      </w:r>
      <w:r w:rsidRPr="00176E55">
        <w:rPr>
          <w:sz w:val="22"/>
          <w:szCs w:val="22"/>
          <w:lang w:val="lv-LV"/>
        </w:rPr>
        <w:t xml:space="preserve">jābūt pietiekami ilgam, lai koriģētu anēmiju un atjaunotu dzelzs rezerves organismā (pieaugušajiem: sievietēm 600 mg, vīriešiem 1200 mg). </w:t>
      </w:r>
    </w:p>
    <w:p w14:paraId="4AF94E89" w14:textId="77777777" w:rsidR="00362263" w:rsidRPr="003414D3" w:rsidRDefault="00362263" w:rsidP="00362263">
      <w:pPr>
        <w:jc w:val="both"/>
        <w:rPr>
          <w:sz w:val="22"/>
          <w:szCs w:val="22"/>
          <w:lang w:val="lv-LV"/>
        </w:rPr>
      </w:pPr>
    </w:p>
    <w:p w14:paraId="5946BE5A" w14:textId="77777777" w:rsidR="00362263" w:rsidRPr="00C30F38" w:rsidRDefault="00362263" w:rsidP="00362263">
      <w:pPr>
        <w:pStyle w:val="BodyText"/>
        <w:jc w:val="both"/>
        <w:rPr>
          <w:rFonts w:ascii="Times New Roman" w:hAnsi="Times New Roman"/>
          <w:sz w:val="22"/>
          <w:szCs w:val="22"/>
          <w:lang w:val="lv-LV"/>
        </w:rPr>
      </w:pPr>
      <w:r w:rsidRPr="00C30F38">
        <w:rPr>
          <w:rFonts w:ascii="Times New Roman" w:hAnsi="Times New Roman"/>
          <w:sz w:val="22"/>
          <w:szCs w:val="22"/>
          <w:lang w:val="lv-LV"/>
        </w:rPr>
        <w:t>Dzelzs deficīta anēmijas gadījumā: no 3 līdz 6 mēnešiem, atkarībā no dzelzs rezervju izsīkšanas pakāpes, bet var būt paildzināts, ja anēmijas iemesls nav likvidēts.</w:t>
      </w:r>
    </w:p>
    <w:p w14:paraId="0A0161B5" w14:textId="77777777" w:rsidR="009E28DD" w:rsidRPr="003414D3" w:rsidRDefault="009E28DD" w:rsidP="009E28DD">
      <w:pPr>
        <w:pStyle w:val="BodyText"/>
        <w:rPr>
          <w:rStyle w:val="Normale"/>
          <w:rFonts w:ascii="Times New Roman" w:hAnsi="Times New Roman"/>
          <w:color w:val="000000"/>
          <w:sz w:val="22"/>
          <w:szCs w:val="22"/>
          <w:lang w:val="lv-LV"/>
        </w:rPr>
      </w:pPr>
    </w:p>
    <w:p w14:paraId="720E1C84" w14:textId="77777777" w:rsidR="009E28DD" w:rsidRPr="003414D3" w:rsidRDefault="009E28DD" w:rsidP="009E28DD">
      <w:pPr>
        <w:pStyle w:val="BodyText"/>
        <w:rPr>
          <w:rFonts w:ascii="Times New Roman" w:hAnsi="Times New Roman"/>
          <w:sz w:val="22"/>
          <w:szCs w:val="22"/>
          <w:lang w:val="lv-LV"/>
        </w:rPr>
      </w:pPr>
    </w:p>
    <w:p w14:paraId="2268E3E6" w14:textId="77777777" w:rsidR="009E28DD" w:rsidRPr="003414D3" w:rsidRDefault="009E28DD" w:rsidP="009E28DD">
      <w:pPr>
        <w:pStyle w:val="BodyText"/>
        <w:rPr>
          <w:rFonts w:ascii="Times New Roman" w:hAnsi="Times New Roman"/>
          <w:b/>
          <w:sz w:val="22"/>
          <w:szCs w:val="22"/>
          <w:lang w:val="lv-LV"/>
        </w:rPr>
      </w:pPr>
      <w:r w:rsidRPr="003414D3">
        <w:rPr>
          <w:rFonts w:ascii="Times New Roman" w:hAnsi="Times New Roman"/>
          <w:b/>
          <w:sz w:val="22"/>
          <w:szCs w:val="22"/>
          <w:lang w:val="lv-LV"/>
        </w:rPr>
        <w:t>Ja esat lietojis Tot’hema vairāk kā noteikts</w:t>
      </w:r>
    </w:p>
    <w:p w14:paraId="2CFBB06B" w14:textId="77777777" w:rsidR="00362263" w:rsidRPr="003414D3" w:rsidRDefault="00362263" w:rsidP="00362263">
      <w:pPr>
        <w:jc w:val="both"/>
        <w:rPr>
          <w:color w:val="000000"/>
          <w:sz w:val="22"/>
          <w:szCs w:val="22"/>
          <w:lang w:val="lv-LV"/>
        </w:rPr>
      </w:pPr>
      <w:r w:rsidRPr="003414D3">
        <w:rPr>
          <w:color w:val="000000"/>
          <w:sz w:val="22"/>
          <w:szCs w:val="22"/>
          <w:lang w:val="lv-LV"/>
        </w:rPr>
        <w:t>Pārdozēšanas gadījumi pēc pārlieku lielas devas ieņemšanas galvenokārt ir novēroti bērniem.</w:t>
      </w:r>
    </w:p>
    <w:p w14:paraId="4EABC5BF" w14:textId="77777777" w:rsidR="00362263" w:rsidRPr="003414D3" w:rsidRDefault="00362263" w:rsidP="00362263">
      <w:pPr>
        <w:jc w:val="both"/>
        <w:rPr>
          <w:color w:val="000000"/>
          <w:sz w:val="22"/>
          <w:szCs w:val="22"/>
          <w:lang w:val="lv-LV"/>
        </w:rPr>
      </w:pPr>
      <w:r w:rsidRPr="003414D3">
        <w:rPr>
          <w:color w:val="000000"/>
          <w:sz w:val="22"/>
          <w:szCs w:val="22"/>
          <w:lang w:val="lv-LV"/>
        </w:rPr>
        <w:t xml:space="preserve">Pārdozēšanas simptomi ir: </w:t>
      </w:r>
    </w:p>
    <w:p w14:paraId="2ECE182A" w14:textId="77777777" w:rsidR="00362263" w:rsidRPr="003414D3" w:rsidRDefault="00362263" w:rsidP="00362263">
      <w:pPr>
        <w:jc w:val="both"/>
        <w:rPr>
          <w:color w:val="000000"/>
          <w:sz w:val="22"/>
          <w:szCs w:val="22"/>
          <w:lang w:val="lv-LV"/>
        </w:rPr>
      </w:pPr>
      <w:r w:rsidRPr="003414D3">
        <w:rPr>
          <w:color w:val="000000"/>
          <w:sz w:val="22"/>
          <w:szCs w:val="22"/>
          <w:lang w:val="lv-LV"/>
        </w:rPr>
        <w:t>- kuņģa zarnu trakta kairinājums: vemšana un caureja;</w:t>
      </w:r>
    </w:p>
    <w:p w14:paraId="3381CCB0" w14:textId="77777777" w:rsidR="00362263" w:rsidRPr="003414D3" w:rsidRDefault="00362263" w:rsidP="00362263">
      <w:pPr>
        <w:jc w:val="both"/>
        <w:rPr>
          <w:color w:val="000000"/>
          <w:sz w:val="22"/>
          <w:szCs w:val="22"/>
          <w:lang w:val="lv-LV"/>
        </w:rPr>
      </w:pPr>
      <w:r w:rsidRPr="003414D3">
        <w:rPr>
          <w:color w:val="000000"/>
          <w:sz w:val="22"/>
          <w:szCs w:val="22"/>
          <w:lang w:val="lv-LV"/>
        </w:rPr>
        <w:t>- kardiovaskulārs šoks vai metabolās acidozes stāvoklis (ātra un sekla elpošana, paātrināta sirdsdarbība, galvassāpes, apjukums, miegainība, nogurums, apetītes trūkums, slikta dūša, vemšana);</w:t>
      </w:r>
    </w:p>
    <w:p w14:paraId="15965614" w14:textId="77777777" w:rsidR="00362263" w:rsidRPr="003414D3" w:rsidRDefault="00362263" w:rsidP="00362263">
      <w:pPr>
        <w:jc w:val="both"/>
        <w:rPr>
          <w:color w:val="000000"/>
          <w:sz w:val="22"/>
          <w:szCs w:val="22"/>
          <w:lang w:val="lv-LV"/>
        </w:rPr>
      </w:pPr>
      <w:r w:rsidRPr="003414D3">
        <w:rPr>
          <w:color w:val="000000"/>
          <w:sz w:val="22"/>
          <w:szCs w:val="22"/>
          <w:lang w:val="lv-LV"/>
        </w:rPr>
        <w:t>- nieru darbības traucējumi (būtisks urīna daudzuma samazinājums) un aknu darbības traucējumi (sāpes labajā paribē, iedzeltena ādas un acu krāsa, tumšs urīns).</w:t>
      </w:r>
    </w:p>
    <w:p w14:paraId="43710473" w14:textId="77777777" w:rsidR="00362263" w:rsidRPr="003414D3" w:rsidRDefault="00362263" w:rsidP="00362263">
      <w:pPr>
        <w:jc w:val="both"/>
        <w:rPr>
          <w:color w:val="000000"/>
          <w:sz w:val="22"/>
          <w:szCs w:val="22"/>
          <w:lang w:val="lv-LV"/>
        </w:rPr>
      </w:pPr>
      <w:r w:rsidRPr="003414D3">
        <w:rPr>
          <w:color w:val="000000"/>
          <w:sz w:val="22"/>
          <w:szCs w:val="22"/>
          <w:lang w:val="lv-LV"/>
        </w:rPr>
        <w:t>Ja Jūs esat lietojis Tot’hema vairāk kā noteikts, nekavējoties sazinieties ar savu ārstu vai neatliekamo medicīnisko palīdzību, lai saņemtu nepieciešamo palīdzību.</w:t>
      </w:r>
    </w:p>
    <w:p w14:paraId="61C478AE" w14:textId="77777777" w:rsidR="009E28DD" w:rsidRPr="003414D3" w:rsidRDefault="009E28DD" w:rsidP="009E28DD">
      <w:pPr>
        <w:rPr>
          <w:b/>
          <w:sz w:val="22"/>
          <w:szCs w:val="22"/>
          <w:lang w:val="lv-LV"/>
        </w:rPr>
      </w:pPr>
    </w:p>
    <w:p w14:paraId="4956A14C" w14:textId="77777777" w:rsidR="009E28DD" w:rsidRPr="003414D3" w:rsidRDefault="009E28DD" w:rsidP="009E28DD">
      <w:pPr>
        <w:numPr>
          <w:ilvl w:val="12"/>
          <w:numId w:val="0"/>
        </w:numPr>
        <w:ind w:left="567" w:hanging="567"/>
        <w:rPr>
          <w:noProof/>
          <w:sz w:val="22"/>
          <w:szCs w:val="22"/>
          <w:lang w:val="lv-LV" w:eastAsia="en-US"/>
        </w:rPr>
      </w:pPr>
      <w:r w:rsidRPr="003414D3">
        <w:rPr>
          <w:b/>
          <w:noProof/>
          <w:sz w:val="22"/>
          <w:szCs w:val="22"/>
          <w:lang w:val="lv-LV" w:eastAsia="en-US"/>
        </w:rPr>
        <w:t>Ja esat aizmirsis lietot Tot’hema</w:t>
      </w:r>
    </w:p>
    <w:p w14:paraId="1B76C4A4" w14:textId="77777777" w:rsidR="00362263" w:rsidRPr="003414D3" w:rsidRDefault="00362263" w:rsidP="00362263">
      <w:pPr>
        <w:numPr>
          <w:ilvl w:val="12"/>
          <w:numId w:val="0"/>
        </w:numPr>
        <w:ind w:left="567" w:hanging="567"/>
        <w:rPr>
          <w:noProof/>
          <w:sz w:val="22"/>
          <w:szCs w:val="22"/>
          <w:lang w:val="lv-LV" w:eastAsia="en-US"/>
        </w:rPr>
      </w:pPr>
      <w:r w:rsidRPr="003414D3">
        <w:rPr>
          <w:noProof/>
          <w:sz w:val="22"/>
          <w:szCs w:val="22"/>
          <w:lang w:val="lv-LV" w:eastAsia="en-US"/>
        </w:rPr>
        <w:t>Ja Jūs esat aizmirsis lietot devu, turpiniet zāļu lietošanu kā bija noteikts.</w:t>
      </w:r>
    </w:p>
    <w:p w14:paraId="36628DDD" w14:textId="77777777" w:rsidR="009E28DD" w:rsidRPr="003414D3" w:rsidRDefault="009E28DD" w:rsidP="009E28DD">
      <w:pPr>
        <w:numPr>
          <w:ilvl w:val="12"/>
          <w:numId w:val="0"/>
        </w:numPr>
        <w:ind w:left="567" w:hanging="567"/>
        <w:rPr>
          <w:noProof/>
          <w:sz w:val="22"/>
          <w:szCs w:val="22"/>
          <w:lang w:val="lv-LV" w:eastAsia="en-US"/>
        </w:rPr>
      </w:pPr>
      <w:r w:rsidRPr="003414D3">
        <w:rPr>
          <w:noProof/>
          <w:sz w:val="22"/>
          <w:szCs w:val="22"/>
          <w:lang w:val="lv-LV" w:eastAsia="en-US"/>
        </w:rPr>
        <w:t>Nelietojiet dubultu devu, lai aizvietotu aizmirsto devu.</w:t>
      </w:r>
    </w:p>
    <w:p w14:paraId="7DE9194B" w14:textId="77777777" w:rsidR="009E28DD" w:rsidRPr="003414D3" w:rsidRDefault="009E28DD" w:rsidP="009E28DD">
      <w:pPr>
        <w:numPr>
          <w:ilvl w:val="12"/>
          <w:numId w:val="0"/>
        </w:numPr>
        <w:ind w:left="567" w:hanging="567"/>
        <w:rPr>
          <w:noProof/>
          <w:sz w:val="22"/>
          <w:szCs w:val="22"/>
          <w:lang w:val="lv-LV" w:eastAsia="en-US"/>
        </w:rPr>
      </w:pPr>
    </w:p>
    <w:p w14:paraId="727C536B" w14:textId="77777777" w:rsidR="009E28DD" w:rsidRPr="003414D3" w:rsidRDefault="009E28DD" w:rsidP="009E28DD">
      <w:pPr>
        <w:numPr>
          <w:ilvl w:val="12"/>
          <w:numId w:val="0"/>
        </w:numPr>
        <w:ind w:left="567" w:hanging="567"/>
        <w:rPr>
          <w:b/>
          <w:noProof/>
          <w:sz w:val="22"/>
          <w:szCs w:val="22"/>
          <w:lang w:val="lv-LV" w:eastAsia="en-US"/>
        </w:rPr>
      </w:pPr>
      <w:r w:rsidRPr="003414D3">
        <w:rPr>
          <w:b/>
          <w:noProof/>
          <w:sz w:val="22"/>
          <w:szCs w:val="22"/>
          <w:lang w:val="lv-LV" w:eastAsia="en-US"/>
        </w:rPr>
        <w:t>Ja pārtraucat lietot Tot’hema</w:t>
      </w:r>
    </w:p>
    <w:p w14:paraId="269935C5" w14:textId="77777777" w:rsidR="00362263" w:rsidRPr="003414D3" w:rsidRDefault="00362263" w:rsidP="009E28DD">
      <w:pPr>
        <w:numPr>
          <w:ilvl w:val="12"/>
          <w:numId w:val="0"/>
        </w:numPr>
        <w:rPr>
          <w:noProof/>
          <w:sz w:val="22"/>
          <w:szCs w:val="22"/>
          <w:lang w:val="lv-LV" w:eastAsia="en-US"/>
        </w:rPr>
      </w:pPr>
      <w:r w:rsidRPr="003414D3">
        <w:rPr>
          <w:noProof/>
          <w:sz w:val="22"/>
          <w:szCs w:val="22"/>
          <w:lang w:val="lv-LV" w:eastAsia="en-US"/>
        </w:rPr>
        <w:t>Ir svarīgi turpināt lietot Tot’hema katru dienu, tik ilgi, cik Jūsu ārsts ir norādījis.</w:t>
      </w:r>
    </w:p>
    <w:p w14:paraId="5EB090D2" w14:textId="77777777" w:rsidR="009E28DD" w:rsidRPr="003414D3" w:rsidRDefault="009E28DD" w:rsidP="009E28DD">
      <w:pPr>
        <w:numPr>
          <w:ilvl w:val="12"/>
          <w:numId w:val="0"/>
        </w:numPr>
        <w:rPr>
          <w:noProof/>
          <w:sz w:val="22"/>
          <w:szCs w:val="22"/>
          <w:lang w:val="lv-LV" w:eastAsia="en-US"/>
        </w:rPr>
      </w:pPr>
      <w:r w:rsidRPr="003414D3">
        <w:rPr>
          <w:noProof/>
          <w:sz w:val="22"/>
          <w:szCs w:val="22"/>
          <w:lang w:val="lv-LV" w:eastAsia="en-US"/>
        </w:rPr>
        <w:t>Ja Jums ir kādi jautājumi par šo zāļu lietošanu, jautājiet ārstam vai farmaceitam.</w:t>
      </w:r>
    </w:p>
    <w:p w14:paraId="36B0A25B" w14:textId="77777777" w:rsidR="009E28DD" w:rsidRPr="003414D3" w:rsidRDefault="009E28DD" w:rsidP="009E28DD">
      <w:pPr>
        <w:numPr>
          <w:ilvl w:val="12"/>
          <w:numId w:val="0"/>
        </w:numPr>
        <w:ind w:left="567" w:hanging="567"/>
        <w:rPr>
          <w:noProof/>
          <w:sz w:val="22"/>
          <w:szCs w:val="22"/>
          <w:lang w:val="lv-LV" w:eastAsia="en-US"/>
        </w:rPr>
      </w:pPr>
    </w:p>
    <w:p w14:paraId="31513D46" w14:textId="77777777" w:rsidR="009E28DD" w:rsidRPr="003414D3" w:rsidRDefault="009E28DD" w:rsidP="009E28DD">
      <w:pPr>
        <w:rPr>
          <w:b/>
          <w:sz w:val="22"/>
          <w:szCs w:val="22"/>
          <w:lang w:val="lv-LV"/>
        </w:rPr>
      </w:pPr>
    </w:p>
    <w:p w14:paraId="14A87375" w14:textId="77777777" w:rsidR="009E28DD" w:rsidRPr="003414D3" w:rsidRDefault="009E28DD" w:rsidP="009E28DD">
      <w:pPr>
        <w:pStyle w:val="Heading3"/>
        <w:rPr>
          <w:rFonts w:ascii="Times New Roman" w:hAnsi="Times New Roman" w:cs="Times New Roman"/>
          <w:color w:val="000000"/>
          <w:sz w:val="22"/>
          <w:szCs w:val="22"/>
          <w:lang w:val="lv-LV"/>
        </w:rPr>
      </w:pPr>
      <w:r w:rsidRPr="003414D3">
        <w:rPr>
          <w:rFonts w:ascii="Times New Roman" w:hAnsi="Times New Roman" w:cs="Times New Roman"/>
          <w:color w:val="000000"/>
          <w:sz w:val="22"/>
          <w:szCs w:val="22"/>
          <w:lang w:val="lv-LV"/>
        </w:rPr>
        <w:t>4. I</w:t>
      </w:r>
      <w:r w:rsidRPr="003414D3">
        <w:rPr>
          <w:rFonts w:ascii="Times New Roman" w:hAnsi="Times New Roman" w:cs="Times New Roman"/>
          <w:caps w:val="0"/>
          <w:color w:val="000000"/>
          <w:sz w:val="22"/>
          <w:szCs w:val="22"/>
          <w:lang w:val="lv-LV"/>
        </w:rPr>
        <w:t>espējamās blakusparādības</w:t>
      </w:r>
    </w:p>
    <w:p w14:paraId="1D621EDB" w14:textId="77777777" w:rsidR="009E28DD" w:rsidRPr="003414D3" w:rsidRDefault="009E28DD" w:rsidP="009E28DD">
      <w:pPr>
        <w:jc w:val="both"/>
        <w:rPr>
          <w:color w:val="000000"/>
          <w:sz w:val="22"/>
          <w:szCs w:val="22"/>
          <w:lang w:val="lv-LV"/>
        </w:rPr>
      </w:pPr>
    </w:p>
    <w:p w14:paraId="584678BF" w14:textId="77777777" w:rsidR="00362263" w:rsidRPr="003414D3" w:rsidRDefault="00362263" w:rsidP="00362263">
      <w:pPr>
        <w:jc w:val="both"/>
        <w:rPr>
          <w:color w:val="000000"/>
          <w:sz w:val="22"/>
          <w:szCs w:val="22"/>
          <w:lang w:val="lv-LV"/>
        </w:rPr>
      </w:pPr>
      <w:r w:rsidRPr="003414D3">
        <w:rPr>
          <w:color w:val="000000"/>
          <w:sz w:val="22"/>
          <w:szCs w:val="22"/>
          <w:lang w:val="lv-LV"/>
        </w:rPr>
        <w:t>Tāpat kā visas zāles, šīs zāles var izraisīt blakusparādības, kaut arī ne visiem tās izpaužas.</w:t>
      </w:r>
    </w:p>
    <w:p w14:paraId="22931247" w14:textId="77777777" w:rsidR="00362263" w:rsidRPr="003414D3" w:rsidRDefault="00362263" w:rsidP="00362263">
      <w:pPr>
        <w:jc w:val="both"/>
        <w:rPr>
          <w:color w:val="000000"/>
          <w:sz w:val="22"/>
          <w:szCs w:val="22"/>
          <w:lang w:val="lv-LV"/>
        </w:rPr>
      </w:pPr>
      <w:r w:rsidRPr="003414D3">
        <w:rPr>
          <w:color w:val="000000"/>
          <w:sz w:val="22"/>
          <w:szCs w:val="22"/>
          <w:lang w:val="lv-LV"/>
        </w:rPr>
        <w:t xml:space="preserve">Var novērot šādas blakusparādības, kas sarindotas biežuma samazināšanas secībā </w:t>
      </w:r>
    </w:p>
    <w:p w14:paraId="7F30EDEE" w14:textId="77777777" w:rsidR="00362263" w:rsidRPr="003414D3" w:rsidRDefault="00362263" w:rsidP="00362263">
      <w:pPr>
        <w:jc w:val="both"/>
        <w:rPr>
          <w:color w:val="000000"/>
          <w:sz w:val="22"/>
          <w:szCs w:val="22"/>
          <w:lang w:val="lv-LV"/>
        </w:rPr>
      </w:pPr>
    </w:p>
    <w:p w14:paraId="1324AFE3" w14:textId="77777777" w:rsidR="00362263" w:rsidRPr="003414D3" w:rsidRDefault="00362263" w:rsidP="00362263">
      <w:pPr>
        <w:jc w:val="both"/>
        <w:rPr>
          <w:color w:val="000000"/>
          <w:sz w:val="22"/>
          <w:szCs w:val="22"/>
          <w:lang w:val="lv-LV"/>
        </w:rPr>
      </w:pPr>
      <w:r w:rsidRPr="003414D3">
        <w:rPr>
          <w:color w:val="000000"/>
          <w:sz w:val="22"/>
          <w:szCs w:val="22"/>
          <w:lang w:val="lv-LV"/>
        </w:rPr>
        <w:t>Bieži (1 līdz 10 cilvēkiem):</w:t>
      </w:r>
    </w:p>
    <w:p w14:paraId="017C44A7"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aizcietējums;</w:t>
      </w:r>
    </w:p>
    <w:p w14:paraId="17625C17"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caureja;</w:t>
      </w:r>
    </w:p>
    <w:p w14:paraId="33739248"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dedzināšanas sajūta kuņģī;</w:t>
      </w:r>
    </w:p>
    <w:p w14:paraId="73BFB4C6"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slikta dūša;</w:t>
      </w:r>
    </w:p>
    <w:p w14:paraId="1C87059B"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vemšana;</w:t>
      </w:r>
    </w:p>
    <w:p w14:paraId="02EEDC4F"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melna fēču krāsa (normāla parādība);</w:t>
      </w:r>
    </w:p>
    <w:p w14:paraId="208683BD"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vēdera pūšanās;</w:t>
      </w:r>
    </w:p>
    <w:p w14:paraId="6378B69D"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sāpes vēderā.</w:t>
      </w:r>
    </w:p>
    <w:p w14:paraId="2902846C" w14:textId="77777777" w:rsidR="00362263" w:rsidRPr="003414D3" w:rsidRDefault="00362263" w:rsidP="00362263">
      <w:pPr>
        <w:jc w:val="both"/>
        <w:rPr>
          <w:color w:val="000000"/>
          <w:sz w:val="22"/>
          <w:szCs w:val="22"/>
          <w:lang w:val="lv-LV"/>
        </w:rPr>
      </w:pPr>
    </w:p>
    <w:p w14:paraId="609EDF7A" w14:textId="77777777" w:rsidR="00362263" w:rsidRPr="003414D3" w:rsidRDefault="00362263" w:rsidP="00362263">
      <w:pPr>
        <w:jc w:val="both"/>
        <w:rPr>
          <w:color w:val="000000"/>
          <w:sz w:val="22"/>
          <w:szCs w:val="22"/>
          <w:lang w:val="lv-LV"/>
        </w:rPr>
      </w:pPr>
      <w:r w:rsidRPr="003414D3">
        <w:rPr>
          <w:color w:val="000000"/>
          <w:sz w:val="22"/>
          <w:szCs w:val="22"/>
          <w:lang w:val="lv-LV"/>
        </w:rPr>
        <w:t xml:space="preserve">Blakusparādības, kuru biežums nav zināms: </w:t>
      </w:r>
    </w:p>
    <w:p w14:paraId="49F026A8"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paaugstinātas jutības reakcija;</w:t>
      </w:r>
    </w:p>
    <w:p w14:paraId="1D07E4FB"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 xml:space="preserve">anafilaktiska reakcija (nopietna alerģiska reakcija, kuras simptomi ir sejas, lūpu, mēles un rīkles pietūkums, sēkšana, apgrūtināta elpošana, pēkšņi sarkani, niezoši izsitumi (nātrene), ģībšanas vai reiboņa sajūta, kas var būt bīstami dzīvībai. Ja Jūs novērojat kādu no šīm reakcijām, pārtrauciet Tot’hemas lietošanu un izsauciet neatliekamo medicīnisko palīdzību;  </w:t>
      </w:r>
    </w:p>
    <w:p w14:paraId="52E844E1"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kuņģa – zarnu trakta kairinājums;</w:t>
      </w:r>
    </w:p>
    <w:p w14:paraId="33A74175"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akūts kuņģa iekaisums (gastrīts);</w:t>
      </w:r>
    </w:p>
    <w:p w14:paraId="3286F78D"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kuņģa un zarnu gļotādas iekrāsošanās (gastrointestināla pseidomelanoze)*;</w:t>
      </w:r>
    </w:p>
    <w:p w14:paraId="7ED3B216"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zobu iekrāsošanās**;</w:t>
      </w:r>
    </w:p>
    <w:p w14:paraId="1A63FC57"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ādas izsitumi;</w:t>
      </w:r>
    </w:p>
    <w:p w14:paraId="08D4634F"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nieze;</w:t>
      </w:r>
    </w:p>
    <w:p w14:paraId="56F28F09"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niezoši izsitumi (nātrene);</w:t>
      </w:r>
    </w:p>
    <w:p w14:paraId="32663518"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pēkšņs lūpu, vaigu, plakstiņu, mēles, mīksto aukslēju, rīkles vai gļotādas pietūkums (angioneirotiskā tūska);</w:t>
      </w:r>
    </w:p>
    <w:p w14:paraId="160FB7FB" w14:textId="77777777" w:rsidR="00362263" w:rsidRPr="003414D3" w:rsidRDefault="00362263" w:rsidP="00362263">
      <w:pPr>
        <w:numPr>
          <w:ilvl w:val="0"/>
          <w:numId w:val="2"/>
        </w:numPr>
        <w:jc w:val="both"/>
        <w:rPr>
          <w:color w:val="000000"/>
          <w:sz w:val="22"/>
          <w:szCs w:val="22"/>
          <w:lang w:val="lv-LV"/>
        </w:rPr>
      </w:pPr>
      <w:r w:rsidRPr="003414D3">
        <w:rPr>
          <w:color w:val="000000"/>
          <w:sz w:val="22"/>
          <w:szCs w:val="22"/>
          <w:lang w:val="lv-LV"/>
        </w:rPr>
        <w:t>alerģisks dermatīts (alerģiska ādas reakcija).</w:t>
      </w:r>
    </w:p>
    <w:p w14:paraId="7411DEFD" w14:textId="77777777" w:rsidR="00362263" w:rsidRPr="003414D3" w:rsidRDefault="00362263" w:rsidP="00362263">
      <w:pPr>
        <w:jc w:val="both"/>
        <w:rPr>
          <w:color w:val="000000"/>
          <w:sz w:val="22"/>
          <w:szCs w:val="22"/>
          <w:lang w:val="lv-LV"/>
        </w:rPr>
      </w:pPr>
    </w:p>
    <w:p w14:paraId="6CA482B3" w14:textId="77777777" w:rsidR="00362263" w:rsidRPr="003414D3" w:rsidRDefault="00362263" w:rsidP="00362263">
      <w:pPr>
        <w:jc w:val="both"/>
        <w:rPr>
          <w:color w:val="000000"/>
          <w:sz w:val="22"/>
          <w:szCs w:val="22"/>
          <w:lang w:val="lv-LV"/>
        </w:rPr>
      </w:pPr>
      <w:r w:rsidRPr="003414D3">
        <w:rPr>
          <w:color w:val="000000"/>
          <w:sz w:val="22"/>
          <w:szCs w:val="22"/>
          <w:lang w:val="lv-LV"/>
        </w:rPr>
        <w:t>* Literatūrā publicētos datos ir minēts, ka pacientiem, kurus ārstē ar iekšķīgi lietojamu dzelzi, kuņģa un zarnu trakta gļotādas var būt pigmentētas. Tas var apgrūtināt kuņģa-zarnu trakta operācijas.</w:t>
      </w:r>
    </w:p>
    <w:p w14:paraId="7E36F15A" w14:textId="77777777" w:rsidR="00362263" w:rsidRPr="00C30F38" w:rsidRDefault="00362263" w:rsidP="00362263">
      <w:pPr>
        <w:jc w:val="both"/>
        <w:rPr>
          <w:color w:val="000000"/>
          <w:sz w:val="22"/>
          <w:szCs w:val="22"/>
          <w:lang w:val="lv-LV"/>
        </w:rPr>
      </w:pPr>
      <w:r w:rsidRPr="003414D3">
        <w:rPr>
          <w:color w:val="000000"/>
          <w:sz w:val="22"/>
          <w:szCs w:val="22"/>
          <w:lang w:val="lv-LV"/>
        </w:rPr>
        <w:t>**</w:t>
      </w:r>
      <w:r w:rsidRPr="00C30F38">
        <w:rPr>
          <w:sz w:val="22"/>
          <w:szCs w:val="22"/>
        </w:rPr>
        <w:t xml:space="preserve"> </w:t>
      </w:r>
      <w:r w:rsidRPr="00C30F38">
        <w:rPr>
          <w:color w:val="000000"/>
          <w:sz w:val="22"/>
          <w:szCs w:val="22"/>
          <w:lang w:val="lv-LV"/>
        </w:rPr>
        <w:t>Zobu emaljas iekrāsošanās, kas izzūd pēc zāļu lietošanas pārtraukšanas.</w:t>
      </w:r>
    </w:p>
    <w:p w14:paraId="1CD6124B" w14:textId="77777777" w:rsidR="009E28DD" w:rsidRPr="003414D3" w:rsidRDefault="009E28DD" w:rsidP="009E28DD">
      <w:pPr>
        <w:jc w:val="both"/>
        <w:rPr>
          <w:color w:val="000000"/>
          <w:sz w:val="22"/>
          <w:szCs w:val="22"/>
          <w:lang w:val="lv-LV"/>
        </w:rPr>
      </w:pPr>
    </w:p>
    <w:p w14:paraId="5B887FD1" w14:textId="77777777" w:rsidR="009E28DD" w:rsidRPr="003414D3" w:rsidRDefault="009E28DD" w:rsidP="009E28DD">
      <w:pPr>
        <w:pStyle w:val="BodyText"/>
        <w:rPr>
          <w:rStyle w:val="Normale"/>
          <w:rFonts w:ascii="Times New Roman" w:hAnsi="Times New Roman"/>
          <w:color w:val="000000"/>
          <w:sz w:val="22"/>
          <w:szCs w:val="22"/>
          <w:lang w:val="lv-LV"/>
        </w:rPr>
      </w:pPr>
    </w:p>
    <w:p w14:paraId="1E9C5416" w14:textId="77777777" w:rsidR="009E28DD" w:rsidRPr="003414D3" w:rsidRDefault="009E28DD" w:rsidP="009E28DD">
      <w:pPr>
        <w:jc w:val="both"/>
        <w:rPr>
          <w:sz w:val="22"/>
          <w:szCs w:val="22"/>
          <w:u w:val="single"/>
          <w:lang w:val="lv-LV"/>
        </w:rPr>
      </w:pPr>
      <w:r w:rsidRPr="003414D3">
        <w:rPr>
          <w:sz w:val="22"/>
          <w:szCs w:val="22"/>
          <w:u w:val="single"/>
          <w:lang w:val="lv-LV"/>
        </w:rPr>
        <w:t>Ziņošana par blakusparādībām</w:t>
      </w:r>
    </w:p>
    <w:p w14:paraId="6E529DB1" w14:textId="77777777" w:rsidR="009E28DD" w:rsidRPr="00C30F38" w:rsidRDefault="009E28DD" w:rsidP="009E28DD">
      <w:pPr>
        <w:numPr>
          <w:ilvl w:val="12"/>
          <w:numId w:val="0"/>
        </w:numPr>
        <w:jc w:val="both"/>
        <w:rPr>
          <w:sz w:val="22"/>
          <w:szCs w:val="22"/>
          <w:lang w:val="lv-LV" w:eastAsia="en-US"/>
        </w:rPr>
      </w:pPr>
      <w:r w:rsidRPr="003414D3">
        <w:rPr>
          <w:sz w:val="22"/>
          <w:szCs w:val="22"/>
          <w:lang w:val="lv-LV" w:eastAsia="en-US"/>
        </w:rPr>
        <w:t xml:space="preserve">Ja Jums rodas jebkādas blakusparādības, konsultējieties ar ārstu vai farmaceitu. Tas attiecas arī uz iespējamajām blakusparādībām, kas nav minētas šajā instrukcijā. Jūs varat ziņot par blakusparādībām arī tieši </w:t>
      </w:r>
      <w:r w:rsidRPr="003414D3">
        <w:rPr>
          <w:sz w:val="22"/>
          <w:szCs w:val="22"/>
          <w:lang w:val="lv-LV"/>
        </w:rPr>
        <w:t xml:space="preserve">Zāļu valsts aģentūrai, Jersikas ielā 15, Rīgā, LV 1003. Tīmekļa vietne: </w:t>
      </w:r>
      <w:r w:rsidR="00C30F38" w:rsidRPr="00C30F38">
        <w:rPr>
          <w:sz w:val="22"/>
          <w:szCs w:val="22"/>
          <w:lang w:val="lv-LV"/>
        </w:rPr>
        <w:t>www.zva.gov.lv</w:t>
      </w:r>
      <w:r w:rsidRPr="00C30F38">
        <w:rPr>
          <w:sz w:val="22"/>
          <w:szCs w:val="22"/>
          <w:lang w:val="lv-LV"/>
        </w:rPr>
        <w:t>.</w:t>
      </w:r>
      <w:r w:rsidRPr="00C30F38">
        <w:rPr>
          <w:sz w:val="22"/>
          <w:szCs w:val="22"/>
          <w:lang w:val="lv-LV" w:eastAsia="en-US"/>
        </w:rPr>
        <w:t xml:space="preserve"> Ziņojot par blakusparādībām, Jūs varat palīdzēt nodrošināt daudz plašāku informāciju par šo zāļu drošumu.</w:t>
      </w:r>
    </w:p>
    <w:p w14:paraId="72787700" w14:textId="77777777" w:rsidR="009E28DD" w:rsidRPr="00C30F38" w:rsidRDefault="009E28DD" w:rsidP="009E28DD">
      <w:pPr>
        <w:pStyle w:val="BodyText"/>
        <w:rPr>
          <w:rStyle w:val="Normale"/>
          <w:rFonts w:ascii="Times New Roman" w:hAnsi="Times New Roman"/>
          <w:color w:val="000000"/>
          <w:sz w:val="22"/>
          <w:szCs w:val="22"/>
          <w:lang w:val="lv-LV"/>
        </w:rPr>
      </w:pPr>
    </w:p>
    <w:p w14:paraId="127A23D4" w14:textId="77777777" w:rsidR="009E28DD" w:rsidRPr="00C30F38" w:rsidRDefault="009E28DD" w:rsidP="009E28DD">
      <w:pPr>
        <w:pStyle w:val="BodyText"/>
        <w:rPr>
          <w:rStyle w:val="Normale"/>
          <w:rFonts w:ascii="Times New Roman" w:hAnsi="Times New Roman"/>
          <w:color w:val="000000"/>
          <w:sz w:val="22"/>
          <w:szCs w:val="22"/>
          <w:lang w:val="lv-LV"/>
        </w:rPr>
      </w:pPr>
    </w:p>
    <w:p w14:paraId="72BD33FC" w14:textId="77777777" w:rsidR="009E28DD" w:rsidRPr="002C6709" w:rsidRDefault="009E28DD" w:rsidP="009E28DD">
      <w:pPr>
        <w:jc w:val="both"/>
        <w:rPr>
          <w:b/>
          <w:sz w:val="22"/>
          <w:szCs w:val="22"/>
          <w:lang w:val="lv-LV"/>
        </w:rPr>
      </w:pPr>
      <w:r w:rsidRPr="005C0034">
        <w:rPr>
          <w:b/>
          <w:sz w:val="22"/>
          <w:szCs w:val="22"/>
          <w:lang w:val="lv-LV"/>
        </w:rPr>
        <w:t>5. Kā uzglabāt</w:t>
      </w:r>
      <w:r w:rsidRPr="005C0034">
        <w:rPr>
          <w:b/>
          <w:color w:val="000000"/>
          <w:sz w:val="22"/>
          <w:szCs w:val="22"/>
          <w:lang w:val="lv-LV"/>
        </w:rPr>
        <w:t xml:space="preserve"> Tot’hema</w:t>
      </w:r>
    </w:p>
    <w:p w14:paraId="5F803EAF" w14:textId="77777777" w:rsidR="009E28DD" w:rsidRPr="00C8575A" w:rsidRDefault="009E28DD" w:rsidP="009E28DD">
      <w:pPr>
        <w:jc w:val="both"/>
        <w:rPr>
          <w:sz w:val="22"/>
          <w:szCs w:val="22"/>
          <w:lang w:val="lv-LV"/>
        </w:rPr>
      </w:pPr>
    </w:p>
    <w:p w14:paraId="55F1AE64" w14:textId="77777777" w:rsidR="009E28DD" w:rsidRPr="00176E55" w:rsidRDefault="009E28DD" w:rsidP="009E28DD">
      <w:pPr>
        <w:jc w:val="both"/>
        <w:rPr>
          <w:sz w:val="22"/>
          <w:szCs w:val="22"/>
          <w:lang w:val="lv-LV"/>
        </w:rPr>
      </w:pPr>
      <w:r w:rsidRPr="00176E55">
        <w:rPr>
          <w:sz w:val="22"/>
          <w:szCs w:val="22"/>
          <w:lang w:val="lv-LV"/>
        </w:rPr>
        <w:t>Uzglabāt bērniem neredzamā un nepieejamā vietā.</w:t>
      </w:r>
    </w:p>
    <w:p w14:paraId="33BC24F8" w14:textId="77777777" w:rsidR="009E28DD" w:rsidRPr="00C30F38" w:rsidRDefault="009E28DD" w:rsidP="00C30F38">
      <w:pPr>
        <w:jc w:val="both"/>
        <w:rPr>
          <w:noProof/>
          <w:sz w:val="22"/>
          <w:szCs w:val="22"/>
          <w:lang w:val="lv-LV" w:eastAsia="en-US"/>
        </w:rPr>
      </w:pPr>
      <w:r w:rsidRPr="00C30F38">
        <w:rPr>
          <w:noProof/>
          <w:sz w:val="22"/>
          <w:szCs w:val="22"/>
          <w:lang w:val="lv-LV" w:eastAsia="en-US"/>
        </w:rPr>
        <w:t>Nelietot šīs zāles pēc derīguma termiņa beigām, kas norādīts uz kastītes pēc “Derīgs līdz:”. Derīguma termiņš attiecas uz norādītā mēneša pēdējo dienu.</w:t>
      </w:r>
    </w:p>
    <w:p w14:paraId="53E3147C" w14:textId="77777777" w:rsidR="00341963" w:rsidRPr="00C30F38" w:rsidRDefault="00341963" w:rsidP="009E28DD">
      <w:pPr>
        <w:numPr>
          <w:ilvl w:val="12"/>
          <w:numId w:val="0"/>
        </w:numPr>
        <w:jc w:val="both"/>
        <w:rPr>
          <w:sz w:val="22"/>
          <w:szCs w:val="22"/>
          <w:lang w:val="lv-LV"/>
        </w:rPr>
      </w:pPr>
      <w:r w:rsidRPr="00C30F38">
        <w:rPr>
          <w:sz w:val="22"/>
          <w:szCs w:val="22"/>
          <w:lang w:val="lv-LV"/>
        </w:rPr>
        <w:t>Uzglabāt temperatūrā līdz 25°C.</w:t>
      </w:r>
    </w:p>
    <w:p w14:paraId="4995C372" w14:textId="77777777" w:rsidR="009E28DD" w:rsidRPr="00C30F38" w:rsidRDefault="009E28DD" w:rsidP="009E28DD">
      <w:pPr>
        <w:numPr>
          <w:ilvl w:val="12"/>
          <w:numId w:val="0"/>
        </w:numPr>
        <w:jc w:val="both"/>
        <w:rPr>
          <w:noProof/>
          <w:sz w:val="22"/>
          <w:szCs w:val="22"/>
          <w:lang w:val="lv-LV" w:eastAsia="en-US"/>
        </w:rPr>
      </w:pPr>
      <w:r w:rsidRPr="00C30F38">
        <w:rPr>
          <w:noProof/>
          <w:sz w:val="22"/>
          <w:szCs w:val="22"/>
          <w:lang w:val="lv-LV" w:eastAsia="en-US"/>
        </w:rPr>
        <w:t>Neizmetiet zāles kanalizācijā vai sadzīves atkritumos. Vaicājiet farmaceitam, kā izmest zāles, kuras vairs nelietojat. Šie pasākumi palīdzēs aizsargāt apkārtējo vidi.</w:t>
      </w:r>
    </w:p>
    <w:p w14:paraId="1177C38F" w14:textId="77777777" w:rsidR="009E28DD" w:rsidRPr="005C0034" w:rsidRDefault="009E28DD" w:rsidP="009E28DD">
      <w:pPr>
        <w:jc w:val="both"/>
        <w:rPr>
          <w:sz w:val="22"/>
          <w:szCs w:val="22"/>
          <w:lang w:val="lv-LV"/>
        </w:rPr>
      </w:pPr>
    </w:p>
    <w:p w14:paraId="3A9601F1" w14:textId="77777777" w:rsidR="009E28DD" w:rsidRPr="002C6709" w:rsidRDefault="009E28DD" w:rsidP="009E28DD">
      <w:pPr>
        <w:jc w:val="both"/>
        <w:rPr>
          <w:sz w:val="22"/>
          <w:szCs w:val="22"/>
          <w:lang w:val="lv-LV"/>
        </w:rPr>
      </w:pPr>
    </w:p>
    <w:p w14:paraId="27D54ED9" w14:textId="77777777" w:rsidR="009E28DD" w:rsidRPr="00176E55" w:rsidRDefault="009E28DD" w:rsidP="009E28DD">
      <w:pPr>
        <w:keepNext/>
        <w:jc w:val="both"/>
        <w:rPr>
          <w:b/>
          <w:sz w:val="22"/>
          <w:szCs w:val="22"/>
          <w:lang w:val="lv-LV"/>
        </w:rPr>
      </w:pPr>
      <w:r w:rsidRPr="00C8575A">
        <w:rPr>
          <w:b/>
          <w:sz w:val="22"/>
          <w:szCs w:val="22"/>
          <w:lang w:val="lv-LV"/>
        </w:rPr>
        <w:t xml:space="preserve">6. </w:t>
      </w:r>
      <w:r w:rsidRPr="00176E55">
        <w:rPr>
          <w:b/>
          <w:sz w:val="22"/>
          <w:szCs w:val="22"/>
          <w:lang w:val="lv-LV"/>
        </w:rPr>
        <w:t>Iepakojuma saturs un cita informācija</w:t>
      </w:r>
    </w:p>
    <w:p w14:paraId="3D3E9B92" w14:textId="77777777" w:rsidR="009E28DD" w:rsidRPr="003414D3" w:rsidRDefault="009E28DD" w:rsidP="009E28DD">
      <w:pPr>
        <w:keepNext/>
        <w:jc w:val="both"/>
        <w:rPr>
          <w:b/>
          <w:sz w:val="22"/>
          <w:szCs w:val="22"/>
          <w:lang w:val="lv-LV"/>
        </w:rPr>
      </w:pPr>
    </w:p>
    <w:p w14:paraId="25E3077B" w14:textId="77777777" w:rsidR="009E28DD" w:rsidRPr="003414D3" w:rsidRDefault="009E28DD" w:rsidP="009E28DD">
      <w:pPr>
        <w:jc w:val="both"/>
        <w:rPr>
          <w:b/>
          <w:sz w:val="22"/>
          <w:szCs w:val="22"/>
          <w:lang w:val="lv-LV"/>
        </w:rPr>
      </w:pPr>
      <w:r w:rsidRPr="003414D3">
        <w:rPr>
          <w:b/>
          <w:sz w:val="22"/>
          <w:szCs w:val="22"/>
          <w:lang w:val="lv-LV"/>
        </w:rPr>
        <w:t xml:space="preserve">Ko </w:t>
      </w:r>
      <w:r w:rsidRPr="003414D3">
        <w:rPr>
          <w:b/>
          <w:color w:val="000000"/>
          <w:sz w:val="22"/>
          <w:szCs w:val="22"/>
          <w:lang w:val="lv-LV"/>
        </w:rPr>
        <w:t>Tot’hema</w:t>
      </w:r>
      <w:r w:rsidRPr="003414D3">
        <w:rPr>
          <w:b/>
          <w:sz w:val="22"/>
          <w:szCs w:val="22"/>
          <w:lang w:val="lv-LV"/>
        </w:rPr>
        <w:t xml:space="preserve"> satur</w:t>
      </w:r>
    </w:p>
    <w:p w14:paraId="11A2D28D" w14:textId="77777777" w:rsidR="009E28DD" w:rsidRPr="003414D3" w:rsidRDefault="009E28DD" w:rsidP="009E28DD">
      <w:pPr>
        <w:rPr>
          <w:color w:val="000000"/>
          <w:sz w:val="22"/>
          <w:szCs w:val="22"/>
          <w:u w:val="single"/>
          <w:lang w:val="lv-LV"/>
        </w:rPr>
      </w:pPr>
    </w:p>
    <w:p w14:paraId="2E742F09" w14:textId="77777777" w:rsidR="009E28DD" w:rsidRPr="003414D3" w:rsidRDefault="009E28DD" w:rsidP="009E28DD">
      <w:pPr>
        <w:jc w:val="both"/>
        <w:rPr>
          <w:i/>
          <w:sz w:val="22"/>
          <w:szCs w:val="22"/>
          <w:lang w:val="lv-LV"/>
        </w:rPr>
      </w:pPr>
      <w:r w:rsidRPr="003414D3">
        <w:rPr>
          <w:color w:val="000000"/>
          <w:sz w:val="22"/>
          <w:szCs w:val="22"/>
          <w:lang w:val="lv-LV"/>
        </w:rPr>
        <w:t>Aktīvās vielas ir dzelzs, mangāns un varš.</w:t>
      </w:r>
    </w:p>
    <w:p w14:paraId="3A3D2E82" w14:textId="77777777" w:rsidR="009E28DD" w:rsidRPr="003414D3" w:rsidRDefault="009E28DD" w:rsidP="009E28DD">
      <w:pPr>
        <w:jc w:val="both"/>
        <w:rPr>
          <w:sz w:val="22"/>
          <w:szCs w:val="22"/>
          <w:lang w:val="lv-LV"/>
        </w:rPr>
      </w:pPr>
    </w:p>
    <w:p w14:paraId="582DFA95" w14:textId="77777777" w:rsidR="009E28DD" w:rsidRPr="003414D3" w:rsidRDefault="009E28DD" w:rsidP="009E28DD">
      <w:pPr>
        <w:rPr>
          <w:color w:val="000000"/>
          <w:sz w:val="22"/>
          <w:szCs w:val="22"/>
          <w:lang w:val="lv-LV"/>
        </w:rPr>
      </w:pPr>
      <w:r w:rsidRPr="003414D3">
        <w:rPr>
          <w:color w:val="000000"/>
          <w:sz w:val="22"/>
          <w:szCs w:val="22"/>
          <w:lang w:val="lv-LV"/>
        </w:rPr>
        <w:t>Katra ampula (10 ml) satur: 50 mg dzelzs, kas atbilst 399,73 mg dzelzs glikonāta</w:t>
      </w:r>
      <w:r w:rsidR="003E7C02">
        <w:rPr>
          <w:color w:val="000000"/>
          <w:sz w:val="22"/>
          <w:szCs w:val="22"/>
          <w:lang w:val="lv-LV"/>
        </w:rPr>
        <w:t xml:space="preserve"> hidrāta</w:t>
      </w:r>
      <w:r w:rsidRPr="003414D3">
        <w:rPr>
          <w:color w:val="000000"/>
          <w:sz w:val="22"/>
          <w:szCs w:val="22"/>
          <w:lang w:val="lv-LV"/>
        </w:rPr>
        <w:t>; 1,33 mg mangāna, kas atbilst 10,78 mg mangāna glikonāta un 0,7 mg vara</w:t>
      </w:r>
      <w:r w:rsidRPr="003414D3">
        <w:rPr>
          <w:i/>
          <w:color w:val="000000"/>
          <w:sz w:val="22"/>
          <w:szCs w:val="22"/>
          <w:lang w:val="lv-LV"/>
        </w:rPr>
        <w:t>,</w:t>
      </w:r>
      <w:r w:rsidRPr="003414D3">
        <w:rPr>
          <w:color w:val="000000"/>
          <w:sz w:val="22"/>
          <w:szCs w:val="22"/>
          <w:lang w:val="lv-LV"/>
        </w:rPr>
        <w:t xml:space="preserve"> kas atbilst 5 mg</w:t>
      </w:r>
      <w:r w:rsidRPr="003414D3">
        <w:rPr>
          <w:i/>
          <w:color w:val="000000"/>
          <w:sz w:val="22"/>
          <w:szCs w:val="22"/>
          <w:lang w:val="lv-LV"/>
        </w:rPr>
        <w:t xml:space="preserve"> </w:t>
      </w:r>
      <w:r w:rsidRPr="003414D3">
        <w:rPr>
          <w:color w:val="000000"/>
          <w:sz w:val="22"/>
          <w:szCs w:val="22"/>
          <w:lang w:val="lv-LV"/>
        </w:rPr>
        <w:t>vara glikonāta.</w:t>
      </w:r>
    </w:p>
    <w:p w14:paraId="76F2F94C" w14:textId="77777777" w:rsidR="009E28DD" w:rsidRPr="003414D3" w:rsidRDefault="009E28DD" w:rsidP="009E28DD">
      <w:pPr>
        <w:rPr>
          <w:color w:val="000000"/>
          <w:sz w:val="22"/>
          <w:szCs w:val="22"/>
          <w:lang w:val="lv-LV"/>
        </w:rPr>
      </w:pPr>
    </w:p>
    <w:p w14:paraId="6252CA46" w14:textId="77777777" w:rsidR="009E28DD" w:rsidRPr="003414D3" w:rsidRDefault="009E28DD" w:rsidP="009E28DD">
      <w:pPr>
        <w:rPr>
          <w:color w:val="000000"/>
          <w:sz w:val="22"/>
          <w:szCs w:val="22"/>
          <w:lang w:val="lv-LV"/>
        </w:rPr>
      </w:pPr>
      <w:r w:rsidRPr="003414D3">
        <w:rPr>
          <w:color w:val="000000"/>
          <w:sz w:val="22"/>
          <w:szCs w:val="22"/>
          <w:lang w:val="lv-LV"/>
        </w:rPr>
        <w:t>1 ml šķīduma satur 5 mg dzelzs,  0,133 mg mangāna un 0,07 mg vara.</w:t>
      </w:r>
    </w:p>
    <w:p w14:paraId="1D26CE67" w14:textId="77777777" w:rsidR="009E28DD" w:rsidRPr="003414D3" w:rsidRDefault="009E28DD" w:rsidP="009E28DD">
      <w:pPr>
        <w:pStyle w:val="Header"/>
        <w:tabs>
          <w:tab w:val="clear" w:pos="4536"/>
          <w:tab w:val="clear" w:pos="9072"/>
        </w:tabs>
        <w:jc w:val="both"/>
        <w:rPr>
          <w:rFonts w:ascii="Times New Roman" w:hAnsi="Times New Roman"/>
          <w:sz w:val="22"/>
          <w:szCs w:val="22"/>
          <w:u w:val="single"/>
          <w:lang w:val="lv-LV"/>
        </w:rPr>
      </w:pPr>
    </w:p>
    <w:p w14:paraId="74C8F944" w14:textId="77777777" w:rsidR="009E28DD" w:rsidRPr="00C30F38" w:rsidRDefault="009E28DD" w:rsidP="009E28DD">
      <w:pPr>
        <w:pStyle w:val="Header"/>
        <w:tabs>
          <w:tab w:val="clear" w:pos="4536"/>
          <w:tab w:val="clear" w:pos="9072"/>
        </w:tabs>
        <w:jc w:val="both"/>
        <w:rPr>
          <w:rFonts w:ascii="Times New Roman" w:hAnsi="Times New Roman"/>
          <w:sz w:val="22"/>
          <w:szCs w:val="22"/>
          <w:lang w:val="lv-LV"/>
        </w:rPr>
      </w:pPr>
      <w:r w:rsidRPr="003414D3">
        <w:rPr>
          <w:rFonts w:ascii="Times New Roman" w:hAnsi="Times New Roman"/>
          <w:sz w:val="22"/>
          <w:szCs w:val="22"/>
          <w:u w:val="single"/>
          <w:lang w:val="lv-LV"/>
        </w:rPr>
        <w:t>Citas sastāvdaļas</w:t>
      </w:r>
      <w:r w:rsidRPr="003414D3">
        <w:rPr>
          <w:rFonts w:ascii="Times New Roman" w:hAnsi="Times New Roman"/>
          <w:sz w:val="22"/>
          <w:szCs w:val="22"/>
          <w:lang w:val="lv-LV"/>
        </w:rPr>
        <w:t xml:space="preserve"> ir glicerīns, glikozes šķīdums, saharoze, citronskābe, nātrija citrāts, nātrija benzoāts (E211), polisorbāts 80, karameļu krāsviela (E150c)</w:t>
      </w:r>
      <w:r w:rsidRPr="003414D3">
        <w:rPr>
          <w:rFonts w:ascii="Times New Roman" w:hAnsi="Times New Roman"/>
          <w:sz w:val="22"/>
          <w:szCs w:val="22"/>
          <w:vertAlign w:val="superscript"/>
          <w:lang w:val="lv-LV"/>
        </w:rPr>
        <w:t xml:space="preserve"> </w:t>
      </w:r>
      <w:r w:rsidRPr="00C30F38">
        <w:rPr>
          <w:rFonts w:ascii="Times New Roman" w:hAnsi="Times New Roman"/>
          <w:sz w:val="22"/>
          <w:szCs w:val="22"/>
          <w:vertAlign w:val="superscript"/>
          <w:lang w:val="lv-LV"/>
        </w:rPr>
        <w:sym w:font="Symbol" w:char="F02A"/>
      </w:r>
      <w:r w:rsidRPr="00C30F38">
        <w:rPr>
          <w:rFonts w:ascii="Times New Roman" w:hAnsi="Times New Roman"/>
          <w:sz w:val="22"/>
          <w:szCs w:val="22"/>
          <w:lang w:val="lv-LV"/>
        </w:rPr>
        <w:t>, Tutti frutti aromatizētājs</w:t>
      </w:r>
      <w:r w:rsidRPr="00C30F38">
        <w:rPr>
          <w:rFonts w:ascii="Times New Roman" w:hAnsi="Times New Roman"/>
          <w:sz w:val="22"/>
          <w:szCs w:val="22"/>
          <w:vertAlign w:val="superscript"/>
          <w:lang w:val="lv-LV"/>
        </w:rPr>
        <w:sym w:font="Symbol" w:char="F02A"/>
      </w:r>
      <w:r w:rsidRPr="00C30F38">
        <w:rPr>
          <w:rFonts w:ascii="Times New Roman" w:hAnsi="Times New Roman"/>
          <w:sz w:val="22"/>
          <w:szCs w:val="22"/>
          <w:vertAlign w:val="superscript"/>
          <w:lang w:val="lv-LV"/>
        </w:rPr>
        <w:sym w:font="Symbol" w:char="F02A"/>
      </w:r>
      <w:r w:rsidRPr="00C30F38">
        <w:rPr>
          <w:rFonts w:ascii="Times New Roman" w:hAnsi="Times New Roman"/>
          <w:sz w:val="22"/>
          <w:szCs w:val="22"/>
          <w:lang w:val="lv-LV"/>
        </w:rPr>
        <w:t>, attīrīts ūdens.</w:t>
      </w:r>
    </w:p>
    <w:p w14:paraId="5D0F9A37" w14:textId="77777777" w:rsidR="009E28DD" w:rsidRPr="00C30F38" w:rsidRDefault="009E28DD" w:rsidP="009E28DD">
      <w:pPr>
        <w:jc w:val="both"/>
        <w:rPr>
          <w:sz w:val="22"/>
          <w:szCs w:val="22"/>
          <w:lang w:val="lv-LV"/>
        </w:rPr>
      </w:pPr>
    </w:p>
    <w:p w14:paraId="3A9C1B34" w14:textId="77777777" w:rsidR="009E28DD" w:rsidRPr="00C30F38" w:rsidRDefault="009E28DD" w:rsidP="009E28DD">
      <w:pPr>
        <w:jc w:val="both"/>
        <w:rPr>
          <w:sz w:val="22"/>
          <w:szCs w:val="22"/>
          <w:lang w:val="lv-LV"/>
        </w:rPr>
      </w:pPr>
      <w:r w:rsidRPr="00C30F38">
        <w:rPr>
          <w:sz w:val="22"/>
          <w:szCs w:val="22"/>
          <w:vertAlign w:val="superscript"/>
          <w:lang w:val="lv-LV"/>
        </w:rPr>
        <w:sym w:font="Symbol" w:char="F02A"/>
      </w:r>
      <w:r w:rsidRPr="00C30F38">
        <w:rPr>
          <w:sz w:val="22"/>
          <w:szCs w:val="22"/>
          <w:vertAlign w:val="superscript"/>
          <w:lang w:val="lv-LV"/>
        </w:rPr>
        <w:t xml:space="preserve"> </w:t>
      </w:r>
      <w:r w:rsidRPr="00C30F38">
        <w:rPr>
          <w:sz w:val="22"/>
          <w:szCs w:val="22"/>
          <w:lang w:val="lv-LV"/>
        </w:rPr>
        <w:t>Karameļu krāsviela: saharoze, amonija hidroksīds.</w:t>
      </w:r>
    </w:p>
    <w:p w14:paraId="11CC70F6" w14:textId="77777777" w:rsidR="009E28DD" w:rsidRPr="00C30F38" w:rsidRDefault="009E28DD" w:rsidP="009E28DD">
      <w:pPr>
        <w:jc w:val="both"/>
        <w:rPr>
          <w:sz w:val="22"/>
          <w:szCs w:val="22"/>
          <w:lang w:val="lv-LV"/>
        </w:rPr>
      </w:pPr>
      <w:r w:rsidRPr="00C30F38">
        <w:rPr>
          <w:sz w:val="22"/>
          <w:szCs w:val="22"/>
          <w:lang w:val="lv-LV"/>
        </w:rPr>
        <w:t xml:space="preserve"> </w:t>
      </w:r>
      <w:r w:rsidRPr="00C30F38">
        <w:rPr>
          <w:sz w:val="22"/>
          <w:szCs w:val="22"/>
          <w:vertAlign w:val="superscript"/>
          <w:lang w:val="lv-LV"/>
        </w:rPr>
        <w:sym w:font="Symbol" w:char="F02A"/>
      </w:r>
      <w:r w:rsidRPr="00C30F38">
        <w:rPr>
          <w:sz w:val="22"/>
          <w:szCs w:val="22"/>
          <w:vertAlign w:val="superscript"/>
          <w:lang w:val="lv-LV"/>
        </w:rPr>
        <w:sym w:font="Symbol" w:char="F02A"/>
      </w:r>
      <w:r w:rsidRPr="00C30F38">
        <w:rPr>
          <w:sz w:val="22"/>
          <w:szCs w:val="22"/>
          <w:vertAlign w:val="superscript"/>
          <w:lang w:val="lv-LV"/>
        </w:rPr>
        <w:t xml:space="preserve"> </w:t>
      </w:r>
      <w:r w:rsidRPr="00C30F38">
        <w:rPr>
          <w:sz w:val="22"/>
          <w:szCs w:val="22"/>
          <w:lang w:val="lv-LV"/>
        </w:rPr>
        <w:t>Tutti frutti aromatizētājs: izoamilacetāts, izoamilbutirāts, benzaldehīds, etilmetilfenilglicidatāts, gamma undekalaktons, etilvanilīns, etilspirts, ūdens.</w:t>
      </w:r>
    </w:p>
    <w:p w14:paraId="6B164363" w14:textId="77777777" w:rsidR="009E28DD" w:rsidRPr="002C6709" w:rsidRDefault="009E28DD" w:rsidP="009E28DD">
      <w:pPr>
        <w:jc w:val="both"/>
        <w:rPr>
          <w:sz w:val="22"/>
          <w:szCs w:val="22"/>
          <w:lang w:val="lv-LV"/>
        </w:rPr>
      </w:pPr>
    </w:p>
    <w:p w14:paraId="50242BBE" w14:textId="77777777" w:rsidR="009E28DD" w:rsidRPr="00176E55" w:rsidRDefault="009E28DD" w:rsidP="009E28DD">
      <w:pPr>
        <w:jc w:val="both"/>
        <w:rPr>
          <w:b/>
          <w:sz w:val="22"/>
          <w:szCs w:val="22"/>
          <w:lang w:val="lv-LV"/>
        </w:rPr>
      </w:pPr>
      <w:r w:rsidRPr="00C8575A">
        <w:rPr>
          <w:b/>
          <w:sz w:val="22"/>
          <w:szCs w:val="22"/>
          <w:lang w:val="lv-LV"/>
        </w:rPr>
        <w:t>Tot’hema</w:t>
      </w:r>
      <w:r w:rsidRPr="00176E55">
        <w:rPr>
          <w:b/>
          <w:sz w:val="22"/>
          <w:szCs w:val="22"/>
          <w:lang w:val="lv-LV"/>
        </w:rPr>
        <w:t xml:space="preserve"> ārējais izskats un iepakojums </w:t>
      </w:r>
    </w:p>
    <w:p w14:paraId="16AEFEC1" w14:textId="77777777" w:rsidR="009E28DD" w:rsidRPr="003414D3" w:rsidRDefault="009E28DD" w:rsidP="009E28DD">
      <w:pPr>
        <w:pStyle w:val="BodyText3"/>
        <w:rPr>
          <w:rFonts w:ascii="Times New Roman" w:hAnsi="Times New Roman"/>
          <w:sz w:val="22"/>
          <w:szCs w:val="22"/>
          <w:lang w:val="lv-LV"/>
        </w:rPr>
      </w:pPr>
    </w:p>
    <w:p w14:paraId="526FE6B6" w14:textId="77777777" w:rsidR="00341963" w:rsidRPr="003414D3" w:rsidRDefault="00341963" w:rsidP="009E28DD">
      <w:pPr>
        <w:pStyle w:val="BodyText3"/>
        <w:rPr>
          <w:rFonts w:ascii="Times New Roman" w:hAnsi="Times New Roman"/>
          <w:sz w:val="22"/>
          <w:szCs w:val="22"/>
          <w:lang w:val="lv-LV"/>
        </w:rPr>
      </w:pPr>
      <w:r w:rsidRPr="003414D3">
        <w:rPr>
          <w:rFonts w:ascii="Times New Roman" w:hAnsi="Times New Roman"/>
          <w:sz w:val="22"/>
          <w:szCs w:val="22"/>
          <w:lang w:val="lv-LV"/>
        </w:rPr>
        <w:t>Tot’hema ir šķīdums iekšķīgai lietošanai.</w:t>
      </w:r>
    </w:p>
    <w:p w14:paraId="29F2C197" w14:textId="77777777" w:rsidR="009E28DD" w:rsidRPr="003414D3" w:rsidRDefault="009E28DD" w:rsidP="009E28DD">
      <w:pPr>
        <w:pStyle w:val="BodyText3"/>
        <w:rPr>
          <w:rFonts w:ascii="Times New Roman" w:hAnsi="Times New Roman"/>
          <w:sz w:val="22"/>
          <w:szCs w:val="22"/>
          <w:lang w:val="lv-LV"/>
        </w:rPr>
      </w:pPr>
      <w:r w:rsidRPr="003414D3">
        <w:rPr>
          <w:rFonts w:ascii="Times New Roman" w:hAnsi="Times New Roman"/>
          <w:sz w:val="22"/>
          <w:szCs w:val="22"/>
          <w:lang w:val="lv-LV"/>
        </w:rPr>
        <w:t>Tot’hema ir caurspīdīgs, tumši brūns šķidrums</w:t>
      </w:r>
      <w:r w:rsidR="00A4090D" w:rsidRPr="003414D3">
        <w:rPr>
          <w:rFonts w:ascii="Times New Roman" w:hAnsi="Times New Roman"/>
          <w:sz w:val="22"/>
          <w:szCs w:val="22"/>
          <w:lang w:val="lv-LV"/>
        </w:rPr>
        <w:t>. Iespējama nogulšņu klātbūtne</w:t>
      </w:r>
      <w:r w:rsidRPr="003414D3">
        <w:rPr>
          <w:rFonts w:ascii="Times New Roman" w:hAnsi="Times New Roman"/>
          <w:sz w:val="22"/>
          <w:szCs w:val="22"/>
          <w:lang w:val="lv-LV"/>
        </w:rPr>
        <w:t>.</w:t>
      </w:r>
    </w:p>
    <w:p w14:paraId="60F97FCA" w14:textId="77777777" w:rsidR="009E28DD" w:rsidRPr="003414D3" w:rsidRDefault="009E28DD" w:rsidP="009E28DD">
      <w:pPr>
        <w:pStyle w:val="BodyText3"/>
        <w:rPr>
          <w:rFonts w:ascii="Times New Roman" w:hAnsi="Times New Roman"/>
          <w:sz w:val="22"/>
          <w:szCs w:val="22"/>
          <w:lang w:val="lv-LV"/>
        </w:rPr>
      </w:pPr>
      <w:r w:rsidRPr="003414D3">
        <w:rPr>
          <w:rFonts w:ascii="Times New Roman" w:hAnsi="Times New Roman"/>
          <w:sz w:val="22"/>
          <w:szCs w:val="22"/>
          <w:lang w:val="lv-LV"/>
        </w:rPr>
        <w:t>Iekšķīgi lietojams šķīdums 10 ml brūnas krāsas stikla ampulā.</w:t>
      </w:r>
    </w:p>
    <w:p w14:paraId="5EA86297" w14:textId="77777777" w:rsidR="009E28DD" w:rsidRPr="003414D3" w:rsidRDefault="009E28DD" w:rsidP="009E28DD">
      <w:pPr>
        <w:pStyle w:val="BodyText3"/>
        <w:rPr>
          <w:rFonts w:ascii="Times New Roman" w:hAnsi="Times New Roman"/>
          <w:sz w:val="22"/>
          <w:szCs w:val="22"/>
          <w:lang w:val="lv-LV"/>
        </w:rPr>
      </w:pPr>
      <w:r w:rsidRPr="003414D3">
        <w:rPr>
          <w:rFonts w:ascii="Times New Roman" w:hAnsi="Times New Roman"/>
          <w:sz w:val="22"/>
          <w:szCs w:val="22"/>
          <w:lang w:val="lv-LV"/>
        </w:rPr>
        <w:t xml:space="preserve">Kastītē 20 ampulas. </w:t>
      </w:r>
    </w:p>
    <w:p w14:paraId="7CDB1E82" w14:textId="77777777" w:rsidR="009E28DD" w:rsidRPr="003414D3" w:rsidRDefault="009E28DD" w:rsidP="009E28DD">
      <w:pPr>
        <w:jc w:val="both"/>
        <w:rPr>
          <w:sz w:val="22"/>
          <w:szCs w:val="22"/>
          <w:lang w:val="lv-LV"/>
        </w:rPr>
      </w:pPr>
    </w:p>
    <w:p w14:paraId="7D2E5164" w14:textId="77777777" w:rsidR="009E28DD" w:rsidRPr="003414D3" w:rsidRDefault="009E28DD" w:rsidP="009E28DD">
      <w:pPr>
        <w:pStyle w:val="Heading6"/>
        <w:rPr>
          <w:rFonts w:ascii="Times New Roman" w:hAnsi="Times New Roman"/>
          <w:sz w:val="22"/>
          <w:szCs w:val="22"/>
          <w:lang w:val="lv-LV"/>
        </w:rPr>
      </w:pPr>
      <w:r w:rsidRPr="003414D3">
        <w:rPr>
          <w:rFonts w:ascii="Times New Roman" w:hAnsi="Times New Roman"/>
          <w:sz w:val="22"/>
          <w:szCs w:val="22"/>
          <w:lang w:val="lv-LV"/>
        </w:rPr>
        <w:t>Reģistrācijas apliecības īpašnieks</w:t>
      </w:r>
    </w:p>
    <w:p w14:paraId="74F56661" w14:textId="77777777" w:rsidR="009E28DD" w:rsidRPr="003414D3" w:rsidRDefault="009E28DD" w:rsidP="009E28DD">
      <w:pPr>
        <w:tabs>
          <w:tab w:val="left" w:pos="851"/>
        </w:tabs>
        <w:rPr>
          <w:color w:val="000000"/>
          <w:sz w:val="22"/>
          <w:szCs w:val="22"/>
          <w:lang w:val="lv-LV"/>
        </w:rPr>
      </w:pPr>
    </w:p>
    <w:p w14:paraId="05659D97" w14:textId="77777777" w:rsidR="009E28DD" w:rsidRPr="003414D3" w:rsidRDefault="009E28DD" w:rsidP="009E28DD">
      <w:pPr>
        <w:tabs>
          <w:tab w:val="left" w:pos="851"/>
        </w:tabs>
        <w:rPr>
          <w:color w:val="000000"/>
          <w:sz w:val="22"/>
          <w:szCs w:val="22"/>
          <w:lang w:val="lv-LV"/>
        </w:rPr>
      </w:pPr>
      <w:r w:rsidRPr="003414D3">
        <w:rPr>
          <w:color w:val="000000"/>
          <w:sz w:val="22"/>
          <w:szCs w:val="22"/>
          <w:lang w:val="lv-LV"/>
        </w:rPr>
        <w:t>LABORATOIRE INNOTECH INTERNATIONAL</w:t>
      </w:r>
    </w:p>
    <w:p w14:paraId="265B5132" w14:textId="77777777" w:rsidR="009E28DD" w:rsidRPr="003414D3" w:rsidRDefault="009E28DD" w:rsidP="009E28DD">
      <w:pPr>
        <w:tabs>
          <w:tab w:val="left" w:pos="851"/>
        </w:tabs>
        <w:rPr>
          <w:color w:val="000000"/>
          <w:sz w:val="22"/>
          <w:szCs w:val="22"/>
          <w:lang w:val="lv-LV"/>
        </w:rPr>
      </w:pPr>
      <w:r w:rsidRPr="003414D3">
        <w:rPr>
          <w:color w:val="000000"/>
          <w:sz w:val="22"/>
          <w:szCs w:val="22"/>
          <w:lang w:val="lv-LV"/>
        </w:rPr>
        <w:t>22, avenue Aristide Briand</w:t>
      </w:r>
    </w:p>
    <w:p w14:paraId="1846AC81" w14:textId="77777777" w:rsidR="00C30F38" w:rsidRPr="003414D3" w:rsidRDefault="009E28DD" w:rsidP="009E28DD">
      <w:pPr>
        <w:tabs>
          <w:tab w:val="left" w:pos="851"/>
        </w:tabs>
        <w:rPr>
          <w:color w:val="000000"/>
          <w:sz w:val="22"/>
          <w:szCs w:val="22"/>
          <w:lang w:val="lv-LV"/>
        </w:rPr>
      </w:pPr>
      <w:r w:rsidRPr="003414D3">
        <w:rPr>
          <w:color w:val="000000"/>
          <w:sz w:val="22"/>
          <w:szCs w:val="22"/>
          <w:lang w:val="lv-LV"/>
        </w:rPr>
        <w:t xml:space="preserve">94 110 ARCUEIL, </w:t>
      </w:r>
    </w:p>
    <w:p w14:paraId="6A549353" w14:textId="77777777" w:rsidR="009E28DD" w:rsidRPr="003414D3" w:rsidRDefault="00C30F38" w:rsidP="009E28DD">
      <w:pPr>
        <w:tabs>
          <w:tab w:val="left" w:pos="851"/>
        </w:tabs>
        <w:rPr>
          <w:color w:val="000000"/>
          <w:sz w:val="22"/>
          <w:szCs w:val="22"/>
          <w:lang w:val="lv-LV"/>
        </w:rPr>
      </w:pPr>
      <w:r w:rsidRPr="003414D3">
        <w:rPr>
          <w:color w:val="000000"/>
          <w:sz w:val="22"/>
          <w:szCs w:val="22"/>
          <w:lang w:val="lv-LV"/>
        </w:rPr>
        <w:t>FRANCIJA</w:t>
      </w:r>
    </w:p>
    <w:p w14:paraId="49A4B569" w14:textId="77777777" w:rsidR="009E28DD" w:rsidRPr="003414D3" w:rsidRDefault="009E28DD" w:rsidP="009E28DD">
      <w:pPr>
        <w:tabs>
          <w:tab w:val="left" w:pos="851"/>
        </w:tabs>
        <w:jc w:val="both"/>
        <w:rPr>
          <w:color w:val="000000"/>
          <w:sz w:val="22"/>
          <w:szCs w:val="22"/>
          <w:lang w:val="lv-LV"/>
        </w:rPr>
      </w:pPr>
      <w:bookmarkStart w:id="0" w:name="OLE_LINK3"/>
      <w:bookmarkStart w:id="1" w:name="OLE_LINK4"/>
    </w:p>
    <w:bookmarkEnd w:id="0"/>
    <w:bookmarkEnd w:id="1"/>
    <w:p w14:paraId="4ED06A51" w14:textId="77777777" w:rsidR="009E28DD" w:rsidRPr="003414D3" w:rsidRDefault="009E28DD" w:rsidP="009E28DD">
      <w:pPr>
        <w:pStyle w:val="Heading3"/>
        <w:rPr>
          <w:rFonts w:ascii="Times New Roman" w:hAnsi="Times New Roman" w:cs="Times New Roman"/>
          <w:color w:val="000000"/>
          <w:sz w:val="22"/>
          <w:szCs w:val="22"/>
          <w:lang w:val="lv-LV"/>
        </w:rPr>
      </w:pPr>
      <w:r w:rsidRPr="003414D3">
        <w:rPr>
          <w:rFonts w:ascii="Times New Roman" w:hAnsi="Times New Roman" w:cs="Times New Roman"/>
          <w:caps w:val="0"/>
          <w:color w:val="000000"/>
          <w:sz w:val="22"/>
          <w:szCs w:val="22"/>
          <w:lang w:val="lv-LV"/>
        </w:rPr>
        <w:t>Ražotājs</w:t>
      </w:r>
    </w:p>
    <w:p w14:paraId="2C8B71DB" w14:textId="77777777" w:rsidR="009E28DD" w:rsidRPr="00C30F38" w:rsidRDefault="009E28DD" w:rsidP="009E28DD">
      <w:pPr>
        <w:rPr>
          <w:sz w:val="22"/>
          <w:szCs w:val="22"/>
          <w:lang w:val="lv-LV"/>
        </w:rPr>
      </w:pPr>
    </w:p>
    <w:p w14:paraId="7C9B9C85" w14:textId="77777777" w:rsidR="009E28DD" w:rsidRPr="00C30F38" w:rsidRDefault="009E28DD" w:rsidP="009E28DD">
      <w:pPr>
        <w:tabs>
          <w:tab w:val="left" w:pos="851"/>
        </w:tabs>
        <w:rPr>
          <w:color w:val="000000"/>
          <w:sz w:val="22"/>
          <w:szCs w:val="22"/>
          <w:lang w:val="lv-LV"/>
        </w:rPr>
      </w:pPr>
      <w:r w:rsidRPr="00C30F38">
        <w:rPr>
          <w:color w:val="000000"/>
          <w:sz w:val="22"/>
          <w:szCs w:val="22"/>
          <w:lang w:val="lv-LV"/>
        </w:rPr>
        <w:t>INNOTHERA CHOUZY</w:t>
      </w:r>
    </w:p>
    <w:p w14:paraId="78D0A2D5" w14:textId="77777777" w:rsidR="009E28DD" w:rsidRPr="005C0034" w:rsidRDefault="00A53A72" w:rsidP="009E28DD">
      <w:pPr>
        <w:tabs>
          <w:tab w:val="left" w:pos="851"/>
        </w:tabs>
        <w:rPr>
          <w:color w:val="000000"/>
          <w:sz w:val="22"/>
          <w:szCs w:val="22"/>
          <w:lang w:val="lv-LV"/>
        </w:rPr>
      </w:pPr>
      <w:r w:rsidRPr="00C30F38">
        <w:rPr>
          <w:color w:val="000000"/>
          <w:sz w:val="22"/>
          <w:szCs w:val="22"/>
          <w:lang w:val="lv-LV"/>
        </w:rPr>
        <w:t>Rue Rene Chantereau – Chouzy-sur-cisse</w:t>
      </w:r>
    </w:p>
    <w:p w14:paraId="7703C3C8" w14:textId="77777777" w:rsidR="00C30F38" w:rsidRPr="00C8575A" w:rsidRDefault="00A53A72" w:rsidP="009E28DD">
      <w:pPr>
        <w:tabs>
          <w:tab w:val="left" w:pos="851"/>
        </w:tabs>
        <w:rPr>
          <w:color w:val="000000"/>
          <w:sz w:val="22"/>
          <w:szCs w:val="22"/>
          <w:lang w:val="lv-LV"/>
        </w:rPr>
      </w:pPr>
      <w:r w:rsidRPr="002C6709">
        <w:rPr>
          <w:color w:val="000000"/>
          <w:sz w:val="22"/>
          <w:szCs w:val="22"/>
          <w:lang w:val="lv-LV"/>
        </w:rPr>
        <w:lastRenderedPageBreak/>
        <w:t xml:space="preserve">41150 </w:t>
      </w:r>
      <w:r w:rsidR="00C30F38" w:rsidRPr="002C6709">
        <w:rPr>
          <w:color w:val="000000"/>
          <w:sz w:val="22"/>
          <w:szCs w:val="22"/>
          <w:lang w:val="lv-LV"/>
        </w:rPr>
        <w:t xml:space="preserve">VALLOIRE-SUR-CISSE, </w:t>
      </w:r>
    </w:p>
    <w:p w14:paraId="667AB9FA" w14:textId="77777777" w:rsidR="00A53A72" w:rsidRPr="003414D3" w:rsidRDefault="00C30F38" w:rsidP="009E28DD">
      <w:pPr>
        <w:tabs>
          <w:tab w:val="left" w:pos="851"/>
        </w:tabs>
        <w:rPr>
          <w:color w:val="000000"/>
          <w:sz w:val="22"/>
          <w:szCs w:val="22"/>
          <w:lang w:val="lv-LV"/>
        </w:rPr>
      </w:pPr>
      <w:r w:rsidRPr="00176E55">
        <w:rPr>
          <w:color w:val="000000"/>
          <w:sz w:val="22"/>
          <w:szCs w:val="22"/>
          <w:lang w:val="lv-LV"/>
        </w:rPr>
        <w:t>FRANCIJA</w:t>
      </w:r>
    </w:p>
    <w:p w14:paraId="0D3DA26F" w14:textId="77777777" w:rsidR="00A53A72" w:rsidRPr="003414D3" w:rsidRDefault="00A53A72" w:rsidP="009E28DD">
      <w:pPr>
        <w:tabs>
          <w:tab w:val="left" w:pos="851"/>
        </w:tabs>
        <w:rPr>
          <w:color w:val="000000"/>
          <w:sz w:val="22"/>
          <w:szCs w:val="22"/>
          <w:lang w:val="lv-LV"/>
        </w:rPr>
      </w:pPr>
    </w:p>
    <w:p w14:paraId="108D4469" w14:textId="77777777" w:rsidR="009E28DD" w:rsidRPr="003414D3" w:rsidRDefault="009E28DD" w:rsidP="009E28DD">
      <w:pPr>
        <w:tabs>
          <w:tab w:val="left" w:pos="851"/>
        </w:tabs>
        <w:jc w:val="both"/>
        <w:rPr>
          <w:color w:val="000000"/>
          <w:sz w:val="22"/>
          <w:szCs w:val="22"/>
          <w:lang w:val="lv-LV"/>
        </w:rPr>
      </w:pPr>
      <w:r w:rsidRPr="003414D3">
        <w:rPr>
          <w:color w:val="000000"/>
          <w:sz w:val="22"/>
          <w:szCs w:val="22"/>
          <w:lang w:val="lv-LV"/>
        </w:rPr>
        <w:t xml:space="preserve">Lai </w:t>
      </w:r>
      <w:r w:rsidR="00496A9B" w:rsidRPr="003414D3">
        <w:rPr>
          <w:color w:val="000000"/>
          <w:sz w:val="22"/>
          <w:szCs w:val="22"/>
          <w:lang w:val="lv-LV"/>
        </w:rPr>
        <w:t>saņemtu</w:t>
      </w:r>
      <w:r w:rsidRPr="003414D3">
        <w:rPr>
          <w:color w:val="000000"/>
          <w:sz w:val="22"/>
          <w:szCs w:val="22"/>
          <w:lang w:val="lv-LV"/>
        </w:rPr>
        <w:t xml:space="preserve"> papildu informāciju par šīm zālēm, lūdzam </w:t>
      </w:r>
      <w:r w:rsidR="00496A9B" w:rsidRPr="003414D3">
        <w:rPr>
          <w:color w:val="000000"/>
          <w:sz w:val="22"/>
          <w:szCs w:val="22"/>
          <w:lang w:val="lv-LV"/>
        </w:rPr>
        <w:t>sazināties</w:t>
      </w:r>
      <w:r w:rsidRPr="003414D3">
        <w:rPr>
          <w:color w:val="000000"/>
          <w:sz w:val="22"/>
          <w:szCs w:val="22"/>
          <w:lang w:val="lv-LV"/>
        </w:rPr>
        <w:t xml:space="preserve"> ar reģistrācijas apliecības īpašnieka vietējo pārstāvniecību:</w:t>
      </w:r>
    </w:p>
    <w:p w14:paraId="16861995" w14:textId="77777777" w:rsidR="009E28DD" w:rsidRPr="003414D3" w:rsidRDefault="009E28DD" w:rsidP="009E28DD">
      <w:pPr>
        <w:tabs>
          <w:tab w:val="left" w:pos="851"/>
        </w:tabs>
        <w:jc w:val="both"/>
        <w:rPr>
          <w:color w:val="000000"/>
          <w:sz w:val="22"/>
          <w:szCs w:val="22"/>
          <w:lang w:val="lv-LV"/>
        </w:rPr>
      </w:pPr>
    </w:p>
    <w:p w14:paraId="31902DC4" w14:textId="77777777" w:rsidR="009E28DD" w:rsidRPr="003414D3" w:rsidRDefault="009E28DD" w:rsidP="009E28DD">
      <w:pPr>
        <w:tabs>
          <w:tab w:val="left" w:pos="851"/>
        </w:tabs>
        <w:jc w:val="both"/>
        <w:rPr>
          <w:color w:val="000000"/>
          <w:sz w:val="22"/>
          <w:szCs w:val="22"/>
          <w:lang w:val="lv-LV"/>
        </w:rPr>
      </w:pPr>
      <w:r w:rsidRPr="003414D3">
        <w:rPr>
          <w:color w:val="000000"/>
          <w:sz w:val="22"/>
          <w:szCs w:val="22"/>
          <w:lang w:val="lv-LV"/>
        </w:rPr>
        <w:t>SIA « INNOTHERA BALTICS »,</w:t>
      </w:r>
    </w:p>
    <w:p w14:paraId="03387A5E" w14:textId="77777777" w:rsidR="009E28DD" w:rsidRPr="003414D3" w:rsidRDefault="009E28DD" w:rsidP="009E28DD">
      <w:pPr>
        <w:tabs>
          <w:tab w:val="left" w:pos="851"/>
        </w:tabs>
        <w:jc w:val="both"/>
        <w:rPr>
          <w:color w:val="000000"/>
          <w:sz w:val="22"/>
          <w:szCs w:val="22"/>
          <w:lang w:val="lv-LV"/>
        </w:rPr>
      </w:pPr>
      <w:r w:rsidRPr="003414D3">
        <w:rPr>
          <w:color w:val="000000"/>
          <w:sz w:val="22"/>
          <w:szCs w:val="22"/>
          <w:lang w:val="lv-LV"/>
        </w:rPr>
        <w:t xml:space="preserve">Bauskas iela 33-101, </w:t>
      </w:r>
    </w:p>
    <w:p w14:paraId="28BB2A89" w14:textId="77777777" w:rsidR="009E28DD" w:rsidRPr="003414D3" w:rsidRDefault="009E28DD" w:rsidP="009E28DD">
      <w:pPr>
        <w:tabs>
          <w:tab w:val="left" w:pos="851"/>
        </w:tabs>
        <w:jc w:val="both"/>
        <w:rPr>
          <w:color w:val="000000"/>
          <w:sz w:val="22"/>
          <w:szCs w:val="22"/>
          <w:lang w:val="lv-LV"/>
        </w:rPr>
      </w:pPr>
      <w:r w:rsidRPr="003414D3">
        <w:rPr>
          <w:color w:val="000000"/>
          <w:sz w:val="22"/>
          <w:szCs w:val="22"/>
          <w:lang w:val="lv-LV"/>
        </w:rPr>
        <w:t>Rīga, LV-1004</w:t>
      </w:r>
    </w:p>
    <w:p w14:paraId="2F5BA111" w14:textId="77777777" w:rsidR="009E28DD" w:rsidRPr="003414D3" w:rsidRDefault="009E28DD" w:rsidP="009E28DD">
      <w:pPr>
        <w:tabs>
          <w:tab w:val="left" w:pos="851"/>
        </w:tabs>
        <w:jc w:val="both"/>
        <w:rPr>
          <w:color w:val="000000"/>
          <w:sz w:val="22"/>
          <w:szCs w:val="22"/>
          <w:lang w:val="lv-LV"/>
        </w:rPr>
      </w:pPr>
      <w:r w:rsidRPr="003414D3">
        <w:rPr>
          <w:color w:val="000000"/>
          <w:sz w:val="22"/>
          <w:szCs w:val="22"/>
          <w:lang w:val="lv-LV"/>
        </w:rPr>
        <w:t>Tel.: 67808604</w:t>
      </w:r>
    </w:p>
    <w:p w14:paraId="693EC4BE" w14:textId="77777777" w:rsidR="009E28DD" w:rsidRPr="003414D3" w:rsidRDefault="009E28DD" w:rsidP="009E28DD">
      <w:pPr>
        <w:tabs>
          <w:tab w:val="left" w:pos="851"/>
        </w:tabs>
        <w:jc w:val="both"/>
        <w:rPr>
          <w:color w:val="000000"/>
          <w:sz w:val="22"/>
          <w:szCs w:val="22"/>
          <w:lang w:val="lv-LV"/>
        </w:rPr>
      </w:pPr>
      <w:r w:rsidRPr="003414D3">
        <w:rPr>
          <w:color w:val="000000"/>
          <w:sz w:val="22"/>
          <w:szCs w:val="22"/>
          <w:lang w:val="lv-LV"/>
        </w:rPr>
        <w:t>e-pasts: innotherabaltics@apollo.lv</w:t>
      </w:r>
    </w:p>
    <w:p w14:paraId="280E9660" w14:textId="77777777" w:rsidR="009E28DD" w:rsidRPr="003414D3" w:rsidRDefault="009E28DD" w:rsidP="009E28DD">
      <w:pPr>
        <w:tabs>
          <w:tab w:val="left" w:pos="851"/>
        </w:tabs>
        <w:rPr>
          <w:color w:val="000000"/>
          <w:sz w:val="22"/>
          <w:szCs w:val="22"/>
          <w:lang w:val="lv-LV"/>
        </w:rPr>
      </w:pPr>
    </w:p>
    <w:p w14:paraId="52ABA330" w14:textId="77777777" w:rsidR="009E28DD" w:rsidRPr="003414D3" w:rsidRDefault="009E28DD" w:rsidP="009E28DD">
      <w:pPr>
        <w:jc w:val="both"/>
        <w:rPr>
          <w:sz w:val="22"/>
          <w:szCs w:val="22"/>
          <w:lang w:val="lv-LV"/>
        </w:rPr>
      </w:pPr>
      <w:r w:rsidRPr="003414D3">
        <w:rPr>
          <w:b/>
          <w:sz w:val="22"/>
          <w:szCs w:val="22"/>
          <w:lang w:val="lv-LV"/>
        </w:rPr>
        <w:t>Šī lietošanas instrukcija pēdējo reizi pārskatīta</w:t>
      </w:r>
      <w:r w:rsidR="00A53A72" w:rsidRPr="003414D3">
        <w:rPr>
          <w:b/>
          <w:sz w:val="22"/>
          <w:szCs w:val="22"/>
          <w:lang w:val="lv-LV"/>
        </w:rPr>
        <w:t>.</w:t>
      </w:r>
    </w:p>
    <w:p w14:paraId="1DA038C3" w14:textId="77777777" w:rsidR="009E28DD" w:rsidRPr="00C30F38" w:rsidRDefault="009E28DD" w:rsidP="00B77DE7">
      <w:pPr>
        <w:pStyle w:val="BodyText"/>
        <w:rPr>
          <w:rFonts w:ascii="Times New Roman" w:hAnsi="Times New Roman"/>
          <w:sz w:val="22"/>
          <w:szCs w:val="22"/>
          <w:lang w:val="lv-LV"/>
        </w:rPr>
      </w:pPr>
    </w:p>
    <w:sectPr w:rsidR="009E28DD" w:rsidRPr="00C30F38">
      <w:headerReference w:type="even" r:id="rId9"/>
      <w:headerReference w:type="default" r:id="rId10"/>
      <w:footerReference w:type="even" r:id="rId11"/>
      <w:footerReference w:type="default" r:id="rId12"/>
      <w:headerReference w:type="first" r:id="rId13"/>
      <w:footerReference w:type="first" r:id="rId14"/>
      <w:pgSz w:w="11906" w:h="16838"/>
      <w:pgMar w:top="1417" w:right="92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DD90" w14:textId="77777777" w:rsidR="000843A8" w:rsidRDefault="000843A8">
      <w:r>
        <w:separator/>
      </w:r>
    </w:p>
  </w:endnote>
  <w:endnote w:type="continuationSeparator" w:id="0">
    <w:p w14:paraId="55595AC0" w14:textId="77777777" w:rsidR="000843A8" w:rsidRDefault="0008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Helvetica 45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76C" w14:textId="77777777" w:rsidR="00341963" w:rsidRDefault="00341963" w:rsidP="00D70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4C413" w14:textId="77777777" w:rsidR="00341963" w:rsidRDefault="0034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86CA" w14:textId="77777777" w:rsidR="00341963" w:rsidRDefault="00341963" w:rsidP="00D70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82C">
      <w:rPr>
        <w:rStyle w:val="PageNumber"/>
        <w:noProof/>
      </w:rPr>
      <w:t>6</w:t>
    </w:r>
    <w:r>
      <w:rPr>
        <w:rStyle w:val="PageNumber"/>
      </w:rPr>
      <w:fldChar w:fldCharType="end"/>
    </w:r>
  </w:p>
  <w:p w14:paraId="316CE7F9" w14:textId="77777777" w:rsidR="00341963" w:rsidRDefault="00341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769C" w14:textId="77777777" w:rsidR="00601B93" w:rsidRDefault="0060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7982" w14:textId="77777777" w:rsidR="000843A8" w:rsidRDefault="000843A8">
      <w:r>
        <w:separator/>
      </w:r>
    </w:p>
  </w:footnote>
  <w:footnote w:type="continuationSeparator" w:id="0">
    <w:p w14:paraId="156A23CE" w14:textId="77777777" w:rsidR="000843A8" w:rsidRDefault="0008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E2E" w14:textId="77777777" w:rsidR="00341963" w:rsidRDefault="00341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09D9D" w14:textId="77777777" w:rsidR="00341963" w:rsidRDefault="00341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556D" w14:textId="591C2F14" w:rsidR="00A207D9" w:rsidRDefault="00A207D9" w:rsidP="00A207D9">
    <w:pPr>
      <w:pStyle w:val="Header"/>
      <w:jc w:val="right"/>
      <w:rPr>
        <w:rFonts w:ascii="Times New Roman" w:hAnsi="Times New Roman"/>
      </w:rPr>
    </w:pPr>
    <w:r>
      <w:rPr>
        <w:rFonts w:ascii="Times New Roman" w:hAnsi="Times New Roman"/>
      </w:rPr>
      <w:t xml:space="preserve">SASKAŅOTS ZVA </w:t>
    </w:r>
    <w:r>
      <w:rPr>
        <w:rFonts w:ascii="Times New Roman" w:hAnsi="Times New Roman"/>
      </w:rPr>
      <w:t>2</w:t>
    </w:r>
    <w:r w:rsidR="00601B93">
      <w:rPr>
        <w:rFonts w:ascii="Times New Roman" w:hAnsi="Times New Roman"/>
      </w:rPr>
      <w:t>1</w:t>
    </w:r>
    <w:r>
      <w:rPr>
        <w:rFonts w:ascii="Times New Roman" w:hAnsi="Times New Roman"/>
      </w:rPr>
      <w:t>-07-202</w:t>
    </w:r>
    <w:r w:rsidR="00601B93">
      <w:rPr>
        <w:rFonts w:ascii="Times New Roman" w:hAnsi="Times New Roman"/>
      </w:rPr>
      <w:t>2</w:t>
    </w:r>
  </w:p>
  <w:p w14:paraId="441A12C2" w14:textId="77777777" w:rsidR="00341963" w:rsidRPr="00FB793D" w:rsidRDefault="00341963" w:rsidP="00FB793D">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33A7" w14:textId="77777777" w:rsidR="00601B93" w:rsidRDefault="00601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01895"/>
    <w:multiLevelType w:val="hybridMultilevel"/>
    <w:tmpl w:val="513259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CD4EC0"/>
    <w:multiLevelType w:val="hybridMultilevel"/>
    <w:tmpl w:val="3BCA44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C417B88"/>
    <w:multiLevelType w:val="hybridMultilevel"/>
    <w:tmpl w:val="265264C0"/>
    <w:lvl w:ilvl="0" w:tplc="D7BE0F60">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1753B0"/>
    <w:multiLevelType w:val="hybridMultilevel"/>
    <w:tmpl w:val="E3DACD40"/>
    <w:lvl w:ilvl="0" w:tplc="AF68B2C6">
      <w:start w:val="6"/>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41465"/>
    <w:multiLevelType w:val="singleLevel"/>
    <w:tmpl w:val="2E304F76"/>
    <w:lvl w:ilvl="0">
      <w:start w:val="4"/>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100D28"/>
    <w:multiLevelType w:val="hybridMultilevel"/>
    <w:tmpl w:val="49EE9F1C"/>
    <w:lvl w:ilvl="0" w:tplc="FD788292">
      <w:start w:val="1"/>
      <w:numFmt w:val="upperLetter"/>
      <w:lvlText w:val="%1."/>
      <w:lvlJc w:val="left"/>
      <w:pPr>
        <w:ind w:left="5670" w:hanging="5670"/>
      </w:pPr>
      <w:rPr>
        <w:b/>
      </w:rPr>
    </w:lvl>
    <w:lvl w:ilvl="1" w:tplc="BC80F8FA">
      <w:start w:val="17"/>
      <w:numFmt w:val="decimal"/>
      <w:lvlText w:val="%2."/>
      <w:lvlJc w:val="left"/>
      <w:pPr>
        <w:ind w:left="1650" w:hanging="570"/>
      </w:pPr>
      <w:rPr>
        <w:b/>
        <w:i w:val="0"/>
      </w:r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16cid:durableId="4470889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04740493">
    <w:abstractNumId w:val="5"/>
  </w:num>
  <w:num w:numId="3" w16cid:durableId="10624881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375884761">
    <w:abstractNumId w:val="4"/>
  </w:num>
  <w:num w:numId="5" w16cid:durableId="680546005">
    <w:abstractNumId w:val="6"/>
  </w:num>
  <w:num w:numId="6" w16cid:durableId="1966765828">
    <w:abstractNumId w:val="1"/>
  </w:num>
  <w:num w:numId="7" w16cid:durableId="759135816">
    <w:abstractNumId w:val="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950194">
    <w:abstractNumId w:val="2"/>
  </w:num>
  <w:num w:numId="9" w16cid:durableId="884026863">
    <w:abstractNumId w:val="3"/>
  </w:num>
  <w:num w:numId="10" w16cid:durableId="1518999763">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A5C"/>
    <w:rsid w:val="0000640F"/>
    <w:rsid w:val="00010C68"/>
    <w:rsid w:val="00013035"/>
    <w:rsid w:val="00017ADE"/>
    <w:rsid w:val="000221BB"/>
    <w:rsid w:val="00040BEC"/>
    <w:rsid w:val="00042903"/>
    <w:rsid w:val="00044DA9"/>
    <w:rsid w:val="00065877"/>
    <w:rsid w:val="00077521"/>
    <w:rsid w:val="000843A8"/>
    <w:rsid w:val="0009077A"/>
    <w:rsid w:val="0009198E"/>
    <w:rsid w:val="0009536E"/>
    <w:rsid w:val="000B6ABD"/>
    <w:rsid w:val="000C67D4"/>
    <w:rsid w:val="000C751A"/>
    <w:rsid w:val="000D3E62"/>
    <w:rsid w:val="000D6110"/>
    <w:rsid w:val="000D61AE"/>
    <w:rsid w:val="000D7F8C"/>
    <w:rsid w:val="000E445B"/>
    <w:rsid w:val="000F1997"/>
    <w:rsid w:val="000F5C6E"/>
    <w:rsid w:val="000F764E"/>
    <w:rsid w:val="001021BC"/>
    <w:rsid w:val="001153E6"/>
    <w:rsid w:val="00125B22"/>
    <w:rsid w:val="00132CA6"/>
    <w:rsid w:val="001522DF"/>
    <w:rsid w:val="001533FA"/>
    <w:rsid w:val="0016348D"/>
    <w:rsid w:val="00165E99"/>
    <w:rsid w:val="00176E55"/>
    <w:rsid w:val="00177D94"/>
    <w:rsid w:val="0018287F"/>
    <w:rsid w:val="00183B52"/>
    <w:rsid w:val="00184B92"/>
    <w:rsid w:val="00185719"/>
    <w:rsid w:val="00193FEE"/>
    <w:rsid w:val="001A19B8"/>
    <w:rsid w:val="001B2464"/>
    <w:rsid w:val="001B50C0"/>
    <w:rsid w:val="001D6911"/>
    <w:rsid w:val="001E3B72"/>
    <w:rsid w:val="001E7854"/>
    <w:rsid w:val="001E7F74"/>
    <w:rsid w:val="001F019D"/>
    <w:rsid w:val="001F0629"/>
    <w:rsid w:val="001F0CBE"/>
    <w:rsid w:val="001F13C1"/>
    <w:rsid w:val="001F5D87"/>
    <w:rsid w:val="0020617B"/>
    <w:rsid w:val="00217322"/>
    <w:rsid w:val="00252E19"/>
    <w:rsid w:val="00260B99"/>
    <w:rsid w:val="00263D2B"/>
    <w:rsid w:val="00270DD9"/>
    <w:rsid w:val="00272724"/>
    <w:rsid w:val="00272DA0"/>
    <w:rsid w:val="00276FB3"/>
    <w:rsid w:val="00283156"/>
    <w:rsid w:val="002843E9"/>
    <w:rsid w:val="00285028"/>
    <w:rsid w:val="00291393"/>
    <w:rsid w:val="002A7106"/>
    <w:rsid w:val="002C6709"/>
    <w:rsid w:val="002D50A2"/>
    <w:rsid w:val="00305245"/>
    <w:rsid w:val="00310C17"/>
    <w:rsid w:val="0031138D"/>
    <w:rsid w:val="00331596"/>
    <w:rsid w:val="003414D3"/>
    <w:rsid w:val="00341963"/>
    <w:rsid w:val="00347617"/>
    <w:rsid w:val="003568E0"/>
    <w:rsid w:val="00356F0A"/>
    <w:rsid w:val="00357AA5"/>
    <w:rsid w:val="00361C95"/>
    <w:rsid w:val="00362263"/>
    <w:rsid w:val="00362C4A"/>
    <w:rsid w:val="00384C38"/>
    <w:rsid w:val="00393074"/>
    <w:rsid w:val="003A5E24"/>
    <w:rsid w:val="003B1B3D"/>
    <w:rsid w:val="003B2030"/>
    <w:rsid w:val="003B579A"/>
    <w:rsid w:val="003C55E4"/>
    <w:rsid w:val="003E253B"/>
    <w:rsid w:val="003E3C9C"/>
    <w:rsid w:val="003E507F"/>
    <w:rsid w:val="003E7C02"/>
    <w:rsid w:val="003F5370"/>
    <w:rsid w:val="00415031"/>
    <w:rsid w:val="0041576E"/>
    <w:rsid w:val="00415AE2"/>
    <w:rsid w:val="00425270"/>
    <w:rsid w:val="00426DC3"/>
    <w:rsid w:val="00431BBE"/>
    <w:rsid w:val="004439DA"/>
    <w:rsid w:val="00444A79"/>
    <w:rsid w:val="00445418"/>
    <w:rsid w:val="00457BA9"/>
    <w:rsid w:val="00462A98"/>
    <w:rsid w:val="0047385A"/>
    <w:rsid w:val="00476D16"/>
    <w:rsid w:val="00483E22"/>
    <w:rsid w:val="00485E05"/>
    <w:rsid w:val="0048632C"/>
    <w:rsid w:val="004919EB"/>
    <w:rsid w:val="00491C00"/>
    <w:rsid w:val="004946AD"/>
    <w:rsid w:val="00496A9B"/>
    <w:rsid w:val="004A2A6D"/>
    <w:rsid w:val="004A67C6"/>
    <w:rsid w:val="004A78E8"/>
    <w:rsid w:val="004B0044"/>
    <w:rsid w:val="004C61A1"/>
    <w:rsid w:val="004D5D7C"/>
    <w:rsid w:val="004E6621"/>
    <w:rsid w:val="004E76D9"/>
    <w:rsid w:val="004F1518"/>
    <w:rsid w:val="004F4769"/>
    <w:rsid w:val="004F7789"/>
    <w:rsid w:val="005038DA"/>
    <w:rsid w:val="0051224F"/>
    <w:rsid w:val="0052425B"/>
    <w:rsid w:val="00530407"/>
    <w:rsid w:val="00530CE3"/>
    <w:rsid w:val="005365BF"/>
    <w:rsid w:val="0054571F"/>
    <w:rsid w:val="00545C2C"/>
    <w:rsid w:val="0055082A"/>
    <w:rsid w:val="00562294"/>
    <w:rsid w:val="0057093A"/>
    <w:rsid w:val="0057150F"/>
    <w:rsid w:val="005748CA"/>
    <w:rsid w:val="0058188F"/>
    <w:rsid w:val="00583088"/>
    <w:rsid w:val="00584874"/>
    <w:rsid w:val="00586FC7"/>
    <w:rsid w:val="00593FA4"/>
    <w:rsid w:val="005A61BC"/>
    <w:rsid w:val="005C0034"/>
    <w:rsid w:val="005C01D8"/>
    <w:rsid w:val="005C390D"/>
    <w:rsid w:val="005C5DA3"/>
    <w:rsid w:val="005E5008"/>
    <w:rsid w:val="005F4E32"/>
    <w:rsid w:val="00601B93"/>
    <w:rsid w:val="0060263E"/>
    <w:rsid w:val="006150FF"/>
    <w:rsid w:val="006215AF"/>
    <w:rsid w:val="00637630"/>
    <w:rsid w:val="00641CBD"/>
    <w:rsid w:val="0064231E"/>
    <w:rsid w:val="00644737"/>
    <w:rsid w:val="00651C1A"/>
    <w:rsid w:val="006533F6"/>
    <w:rsid w:val="006555AD"/>
    <w:rsid w:val="00663545"/>
    <w:rsid w:val="00675FF0"/>
    <w:rsid w:val="00682EB8"/>
    <w:rsid w:val="0069025A"/>
    <w:rsid w:val="00693970"/>
    <w:rsid w:val="0069697A"/>
    <w:rsid w:val="006A469D"/>
    <w:rsid w:val="006B4EB7"/>
    <w:rsid w:val="006C2C2D"/>
    <w:rsid w:val="006D1A8D"/>
    <w:rsid w:val="006D2AB5"/>
    <w:rsid w:val="007072AC"/>
    <w:rsid w:val="0070736E"/>
    <w:rsid w:val="00713A54"/>
    <w:rsid w:val="00717271"/>
    <w:rsid w:val="007266F6"/>
    <w:rsid w:val="00731246"/>
    <w:rsid w:val="0073420B"/>
    <w:rsid w:val="00737772"/>
    <w:rsid w:val="00747CDF"/>
    <w:rsid w:val="007512ED"/>
    <w:rsid w:val="00755C79"/>
    <w:rsid w:val="00772679"/>
    <w:rsid w:val="00775971"/>
    <w:rsid w:val="00786FEE"/>
    <w:rsid w:val="00787C21"/>
    <w:rsid w:val="007B03EB"/>
    <w:rsid w:val="007B4552"/>
    <w:rsid w:val="007B61C0"/>
    <w:rsid w:val="007C5ADD"/>
    <w:rsid w:val="007D47AC"/>
    <w:rsid w:val="007E564F"/>
    <w:rsid w:val="007F4A17"/>
    <w:rsid w:val="00801F8D"/>
    <w:rsid w:val="00803705"/>
    <w:rsid w:val="00803E49"/>
    <w:rsid w:val="00804EB0"/>
    <w:rsid w:val="00806CF2"/>
    <w:rsid w:val="00823D2A"/>
    <w:rsid w:val="00823E55"/>
    <w:rsid w:val="00825B78"/>
    <w:rsid w:val="008311DD"/>
    <w:rsid w:val="00833C91"/>
    <w:rsid w:val="00834579"/>
    <w:rsid w:val="008400FF"/>
    <w:rsid w:val="008476F8"/>
    <w:rsid w:val="00854A8F"/>
    <w:rsid w:val="008567FD"/>
    <w:rsid w:val="008608CA"/>
    <w:rsid w:val="00863058"/>
    <w:rsid w:val="00867376"/>
    <w:rsid w:val="00882F45"/>
    <w:rsid w:val="00886364"/>
    <w:rsid w:val="00896639"/>
    <w:rsid w:val="008C12E0"/>
    <w:rsid w:val="008C30EB"/>
    <w:rsid w:val="008C51FC"/>
    <w:rsid w:val="008C5CAD"/>
    <w:rsid w:val="008E050F"/>
    <w:rsid w:val="008E1273"/>
    <w:rsid w:val="008E1D10"/>
    <w:rsid w:val="008E3C87"/>
    <w:rsid w:val="008E6641"/>
    <w:rsid w:val="008F335A"/>
    <w:rsid w:val="008F682C"/>
    <w:rsid w:val="00900312"/>
    <w:rsid w:val="00905C9D"/>
    <w:rsid w:val="00907602"/>
    <w:rsid w:val="00907E1C"/>
    <w:rsid w:val="009123F3"/>
    <w:rsid w:val="00950C71"/>
    <w:rsid w:val="00950FA8"/>
    <w:rsid w:val="00966063"/>
    <w:rsid w:val="0097237F"/>
    <w:rsid w:val="009766BB"/>
    <w:rsid w:val="00984EB1"/>
    <w:rsid w:val="009A4BC3"/>
    <w:rsid w:val="009A4CA9"/>
    <w:rsid w:val="009C4DAF"/>
    <w:rsid w:val="009C64D3"/>
    <w:rsid w:val="009D31C2"/>
    <w:rsid w:val="009E1F37"/>
    <w:rsid w:val="009E28DD"/>
    <w:rsid w:val="009E2E61"/>
    <w:rsid w:val="00A04008"/>
    <w:rsid w:val="00A06011"/>
    <w:rsid w:val="00A0690A"/>
    <w:rsid w:val="00A110BA"/>
    <w:rsid w:val="00A11737"/>
    <w:rsid w:val="00A207D9"/>
    <w:rsid w:val="00A24B50"/>
    <w:rsid w:val="00A2655E"/>
    <w:rsid w:val="00A26AC8"/>
    <w:rsid w:val="00A26B88"/>
    <w:rsid w:val="00A2737F"/>
    <w:rsid w:val="00A4090D"/>
    <w:rsid w:val="00A53A72"/>
    <w:rsid w:val="00A70BF0"/>
    <w:rsid w:val="00A71697"/>
    <w:rsid w:val="00A71A39"/>
    <w:rsid w:val="00A72165"/>
    <w:rsid w:val="00A727EC"/>
    <w:rsid w:val="00A82C46"/>
    <w:rsid w:val="00A855EC"/>
    <w:rsid w:val="00AA4E12"/>
    <w:rsid w:val="00AA5E9F"/>
    <w:rsid w:val="00AA6C26"/>
    <w:rsid w:val="00AA7164"/>
    <w:rsid w:val="00AB0CF2"/>
    <w:rsid w:val="00AB65CA"/>
    <w:rsid w:val="00AC2CE1"/>
    <w:rsid w:val="00AD4B42"/>
    <w:rsid w:val="00AE1660"/>
    <w:rsid w:val="00AE3C2C"/>
    <w:rsid w:val="00AE44E3"/>
    <w:rsid w:val="00AE6E7F"/>
    <w:rsid w:val="00AF0298"/>
    <w:rsid w:val="00AF6D9E"/>
    <w:rsid w:val="00B04E7F"/>
    <w:rsid w:val="00B07355"/>
    <w:rsid w:val="00B14651"/>
    <w:rsid w:val="00B15989"/>
    <w:rsid w:val="00B310E6"/>
    <w:rsid w:val="00B313CA"/>
    <w:rsid w:val="00B33041"/>
    <w:rsid w:val="00B34E72"/>
    <w:rsid w:val="00B40890"/>
    <w:rsid w:val="00B41159"/>
    <w:rsid w:val="00B523D5"/>
    <w:rsid w:val="00B5253E"/>
    <w:rsid w:val="00B5616A"/>
    <w:rsid w:val="00B56988"/>
    <w:rsid w:val="00B67683"/>
    <w:rsid w:val="00B73568"/>
    <w:rsid w:val="00B77DE7"/>
    <w:rsid w:val="00B91092"/>
    <w:rsid w:val="00B94730"/>
    <w:rsid w:val="00BA4A53"/>
    <w:rsid w:val="00BA5025"/>
    <w:rsid w:val="00BA55EE"/>
    <w:rsid w:val="00BB13F7"/>
    <w:rsid w:val="00BC022E"/>
    <w:rsid w:val="00BC2A5C"/>
    <w:rsid w:val="00BC2CCC"/>
    <w:rsid w:val="00BC2EEA"/>
    <w:rsid w:val="00BC3B9B"/>
    <w:rsid w:val="00BC5F36"/>
    <w:rsid w:val="00BD6564"/>
    <w:rsid w:val="00BE5BC8"/>
    <w:rsid w:val="00BF4FC8"/>
    <w:rsid w:val="00C05010"/>
    <w:rsid w:val="00C05CEB"/>
    <w:rsid w:val="00C118A8"/>
    <w:rsid w:val="00C22341"/>
    <w:rsid w:val="00C276B2"/>
    <w:rsid w:val="00C30F38"/>
    <w:rsid w:val="00C32458"/>
    <w:rsid w:val="00C32AE8"/>
    <w:rsid w:val="00C36CA9"/>
    <w:rsid w:val="00C4471B"/>
    <w:rsid w:val="00C4590C"/>
    <w:rsid w:val="00C46E7A"/>
    <w:rsid w:val="00C53A2B"/>
    <w:rsid w:val="00C65E2D"/>
    <w:rsid w:val="00C70FA2"/>
    <w:rsid w:val="00C773AF"/>
    <w:rsid w:val="00C8575A"/>
    <w:rsid w:val="00CA2873"/>
    <w:rsid w:val="00CA3C50"/>
    <w:rsid w:val="00CB326D"/>
    <w:rsid w:val="00CC0FA4"/>
    <w:rsid w:val="00CD08B2"/>
    <w:rsid w:val="00CD19E9"/>
    <w:rsid w:val="00CD56F7"/>
    <w:rsid w:val="00D133DA"/>
    <w:rsid w:val="00D13C45"/>
    <w:rsid w:val="00D313A2"/>
    <w:rsid w:val="00D32BCA"/>
    <w:rsid w:val="00D40BA7"/>
    <w:rsid w:val="00D4231D"/>
    <w:rsid w:val="00D50744"/>
    <w:rsid w:val="00D60EEC"/>
    <w:rsid w:val="00D6372D"/>
    <w:rsid w:val="00D703DC"/>
    <w:rsid w:val="00D91BB1"/>
    <w:rsid w:val="00D92A41"/>
    <w:rsid w:val="00DA1EAC"/>
    <w:rsid w:val="00DA2451"/>
    <w:rsid w:val="00DA750A"/>
    <w:rsid w:val="00DC1C82"/>
    <w:rsid w:val="00DC6636"/>
    <w:rsid w:val="00DC6D5B"/>
    <w:rsid w:val="00DE7961"/>
    <w:rsid w:val="00E05632"/>
    <w:rsid w:val="00E1399B"/>
    <w:rsid w:val="00E2389F"/>
    <w:rsid w:val="00E24E3F"/>
    <w:rsid w:val="00E27472"/>
    <w:rsid w:val="00E46B3B"/>
    <w:rsid w:val="00E60496"/>
    <w:rsid w:val="00E6660F"/>
    <w:rsid w:val="00E717F1"/>
    <w:rsid w:val="00E774EC"/>
    <w:rsid w:val="00E81AFF"/>
    <w:rsid w:val="00E82871"/>
    <w:rsid w:val="00E86DC5"/>
    <w:rsid w:val="00E92A24"/>
    <w:rsid w:val="00EA08D9"/>
    <w:rsid w:val="00EA3C1A"/>
    <w:rsid w:val="00EA6E56"/>
    <w:rsid w:val="00EB0F10"/>
    <w:rsid w:val="00ED15FF"/>
    <w:rsid w:val="00ED68C0"/>
    <w:rsid w:val="00EF68A5"/>
    <w:rsid w:val="00EF6F6A"/>
    <w:rsid w:val="00F03FC8"/>
    <w:rsid w:val="00F06FC2"/>
    <w:rsid w:val="00F11A92"/>
    <w:rsid w:val="00F15197"/>
    <w:rsid w:val="00F219E1"/>
    <w:rsid w:val="00F2510C"/>
    <w:rsid w:val="00F27DFA"/>
    <w:rsid w:val="00F34752"/>
    <w:rsid w:val="00F46618"/>
    <w:rsid w:val="00F54D9D"/>
    <w:rsid w:val="00F557D1"/>
    <w:rsid w:val="00F60273"/>
    <w:rsid w:val="00F60F36"/>
    <w:rsid w:val="00F6165E"/>
    <w:rsid w:val="00F67EE5"/>
    <w:rsid w:val="00F82F65"/>
    <w:rsid w:val="00F90416"/>
    <w:rsid w:val="00F97383"/>
    <w:rsid w:val="00FA085D"/>
    <w:rsid w:val="00FB1974"/>
    <w:rsid w:val="00FB5EC0"/>
    <w:rsid w:val="00FB793D"/>
    <w:rsid w:val="00FC2FEE"/>
    <w:rsid w:val="00FD0D86"/>
    <w:rsid w:val="00FE0F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AA6200B"/>
  <w15:chartTrackingRefBased/>
  <w15:docId w15:val="{5A7043E6-C281-4EA1-B5F3-5C5CE939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rFonts w:ascii="Tahoma" w:hAnsi="Tahoma" w:cs="Tahoma"/>
      <w:b/>
      <w:color w:val="FF9900"/>
    </w:rPr>
  </w:style>
  <w:style w:type="paragraph" w:styleId="Heading2">
    <w:name w:val="heading 2"/>
    <w:basedOn w:val="Normal"/>
    <w:next w:val="Normal"/>
    <w:qFormat/>
    <w:pPr>
      <w:keepNext/>
      <w:outlineLvl w:val="1"/>
    </w:pPr>
    <w:rPr>
      <w:rFonts w:ascii="Tahoma" w:hAnsi="Tahoma" w:cs="Tahoma"/>
      <w:b/>
      <w:lang w:val="en-GB"/>
    </w:rPr>
  </w:style>
  <w:style w:type="paragraph" w:styleId="Heading3">
    <w:name w:val="heading 3"/>
    <w:basedOn w:val="Normal"/>
    <w:next w:val="Normal"/>
    <w:qFormat/>
    <w:pPr>
      <w:keepNext/>
      <w:jc w:val="both"/>
      <w:outlineLvl w:val="2"/>
    </w:pPr>
    <w:rPr>
      <w:rFonts w:ascii="Tahoma" w:hAnsi="Tahoma" w:cs="Tahoma"/>
      <w:b/>
      <w:caps/>
      <w:color w:val="FF9900"/>
      <w:lang w:val="en-GB"/>
    </w:rPr>
  </w:style>
  <w:style w:type="paragraph" w:styleId="Heading4">
    <w:name w:val="heading 4"/>
    <w:basedOn w:val="Normal"/>
    <w:next w:val="Normal"/>
    <w:qFormat/>
    <w:pPr>
      <w:keepNext/>
      <w:pBdr>
        <w:top w:val="double" w:sz="4" w:space="1" w:color="FFFF00"/>
        <w:left w:val="double" w:sz="4" w:space="4" w:color="FFFF00"/>
        <w:bottom w:val="double" w:sz="4" w:space="1" w:color="FFFF00"/>
        <w:right w:val="double" w:sz="4" w:space="4" w:color="FFFF00"/>
      </w:pBdr>
      <w:jc w:val="center"/>
      <w:outlineLvl w:val="3"/>
    </w:pPr>
    <w:rPr>
      <w:rFonts w:ascii="Tahoma" w:hAnsi="Tahoma"/>
      <w:b/>
      <w:i/>
      <w:color w:val="000000"/>
      <w:sz w:val="22"/>
      <w:lang w:val="en-GB"/>
    </w:rPr>
  </w:style>
  <w:style w:type="paragraph" w:styleId="Heading5">
    <w:name w:val="heading 5"/>
    <w:basedOn w:val="Normal"/>
    <w:next w:val="Normal"/>
    <w:qFormat/>
    <w:pPr>
      <w:keepNext/>
      <w:pBdr>
        <w:top w:val="double" w:sz="4" w:space="1" w:color="FFFF00"/>
        <w:left w:val="double" w:sz="4" w:space="4" w:color="FFFF00"/>
        <w:bottom w:val="double" w:sz="4" w:space="1" w:color="FFFF00"/>
        <w:right w:val="double" w:sz="4" w:space="4" w:color="FFFF00"/>
      </w:pBdr>
      <w:jc w:val="center"/>
      <w:outlineLvl w:val="4"/>
    </w:pPr>
    <w:rPr>
      <w:rFonts w:ascii="Tahoma" w:hAnsi="Tahoma"/>
      <w:b/>
      <w:color w:val="000000"/>
      <w:lang w:val="en-GB"/>
    </w:rPr>
  </w:style>
  <w:style w:type="paragraph" w:styleId="Heading6">
    <w:name w:val="heading 6"/>
    <w:basedOn w:val="Normal"/>
    <w:next w:val="Normal"/>
    <w:qFormat/>
    <w:pPr>
      <w:keepNext/>
      <w:jc w:val="both"/>
      <w:outlineLvl w:val="5"/>
    </w:pPr>
    <w:rPr>
      <w:rFonts w:ascii="Tahoma" w:hAnsi="Tahoma"/>
      <w:b/>
      <w:color w:val="000000"/>
      <w:lang w:val="en-GB"/>
    </w:rPr>
  </w:style>
  <w:style w:type="paragraph" w:styleId="Heading7">
    <w:name w:val="heading 7"/>
    <w:basedOn w:val="Normal"/>
    <w:next w:val="Normal"/>
    <w:qFormat/>
    <w:pPr>
      <w:keepNext/>
      <w:jc w:val="both"/>
      <w:outlineLvl w:val="6"/>
    </w:pPr>
    <w:rPr>
      <w:rFonts w:ascii="Tahoma" w:hAnsi="Tahoma"/>
      <w:i/>
      <w:color w:val="00000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536"/>
        <w:tab w:val="right" w:pos="9072"/>
      </w:tabs>
    </w:pPr>
    <w:rPr>
      <w:rFonts w:ascii="Times" w:hAnsi="Times"/>
      <w:szCs w:val="20"/>
      <w:lang w:val="en-G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customStyle="1" w:styleId="Normale">
    <w:name w:val="Normal(e)"/>
    <w:rPr>
      <w:rFonts w:ascii="Helvetica 45 Light" w:hAnsi="Helvetica 45 Light"/>
    </w:rPr>
  </w:style>
  <w:style w:type="paragraph" w:styleId="BodyText">
    <w:name w:val="Body Text"/>
    <w:basedOn w:val="Normal"/>
    <w:pPr>
      <w:tabs>
        <w:tab w:val="left" w:pos="74"/>
        <w:tab w:val="left" w:pos="113"/>
        <w:tab w:val="left" w:pos="1870"/>
        <w:tab w:val="left" w:pos="2990"/>
        <w:tab w:val="center" w:pos="3968"/>
        <w:tab w:val="right" w:pos="4422"/>
      </w:tabs>
      <w:overflowPunct w:val="0"/>
      <w:autoSpaceDE w:val="0"/>
      <w:autoSpaceDN w:val="0"/>
      <w:adjustRightInd w:val="0"/>
      <w:textAlignment w:val="baseline"/>
    </w:pPr>
    <w:rPr>
      <w:rFonts w:ascii="Arial" w:hAnsi="Arial"/>
      <w:szCs w:val="20"/>
      <w:lang w:val="en-US"/>
    </w:rPr>
  </w:style>
  <w:style w:type="paragraph" w:styleId="BodyText2">
    <w:name w:val="Body Text 2"/>
    <w:basedOn w:val="Normal"/>
    <w:pPr>
      <w:jc w:val="both"/>
    </w:pPr>
    <w:rPr>
      <w:bCs/>
      <w:lang w:val="en-GB"/>
    </w:rPr>
  </w:style>
  <w:style w:type="paragraph" w:styleId="BodyText3">
    <w:name w:val="Body Text 3"/>
    <w:basedOn w:val="Normal"/>
    <w:pPr>
      <w:jc w:val="both"/>
    </w:pPr>
    <w:rPr>
      <w:rFonts w:ascii="Tahoma" w:hAnsi="Tahoma"/>
      <w:color w:val="000000"/>
      <w:lang w:val="en-GB"/>
    </w:rPr>
  </w:style>
  <w:style w:type="character" w:styleId="CommentReference">
    <w:name w:val="annotation reference"/>
    <w:semiHidden/>
    <w:rsid w:val="009C4DAF"/>
    <w:rPr>
      <w:sz w:val="16"/>
      <w:szCs w:val="16"/>
    </w:rPr>
  </w:style>
  <w:style w:type="paragraph" w:styleId="CommentText">
    <w:name w:val="annotation text"/>
    <w:basedOn w:val="Normal"/>
    <w:semiHidden/>
    <w:rsid w:val="009C4DAF"/>
    <w:rPr>
      <w:sz w:val="20"/>
      <w:szCs w:val="20"/>
    </w:rPr>
  </w:style>
  <w:style w:type="paragraph" w:styleId="CommentSubject">
    <w:name w:val="annotation subject"/>
    <w:basedOn w:val="CommentText"/>
    <w:next w:val="CommentText"/>
    <w:semiHidden/>
    <w:rsid w:val="009C4DAF"/>
    <w:rPr>
      <w:b/>
      <w:bCs/>
    </w:rPr>
  </w:style>
  <w:style w:type="paragraph" w:styleId="BalloonText">
    <w:name w:val="Balloon Text"/>
    <w:basedOn w:val="Normal"/>
    <w:semiHidden/>
    <w:rsid w:val="009C4DAF"/>
    <w:rPr>
      <w:rFonts w:ascii="Tahoma" w:hAnsi="Tahoma" w:cs="Tahoma"/>
      <w:sz w:val="16"/>
      <w:szCs w:val="16"/>
    </w:rPr>
  </w:style>
  <w:style w:type="character" w:styleId="Hyperlink">
    <w:name w:val="Hyperlink"/>
    <w:rsid w:val="00EF68A5"/>
    <w:rPr>
      <w:color w:val="0000FF"/>
      <w:u w:val="single"/>
    </w:rPr>
  </w:style>
  <w:style w:type="paragraph" w:styleId="ListParagraph">
    <w:name w:val="List Paragraph"/>
    <w:basedOn w:val="Normal"/>
    <w:uiPriority w:val="34"/>
    <w:qFormat/>
    <w:rsid w:val="00CD08B2"/>
    <w:pPr>
      <w:ind w:left="720"/>
    </w:pPr>
  </w:style>
  <w:style w:type="character" w:customStyle="1" w:styleId="st">
    <w:name w:val="st"/>
    <w:rsid w:val="00A71A39"/>
    <w:rPr>
      <w:rFonts w:cs="Times New Roman"/>
    </w:rPr>
  </w:style>
  <w:style w:type="character" w:styleId="Emphasis">
    <w:name w:val="Emphasis"/>
    <w:qFormat/>
    <w:rsid w:val="00A71A39"/>
    <w:rPr>
      <w:rFonts w:cs="Times New Roman"/>
      <w:i/>
      <w:iCs/>
    </w:rPr>
  </w:style>
  <w:style w:type="paragraph" w:customStyle="1" w:styleId="AmmCorpsTexte">
    <w:name w:val="AmmCorpsTexte"/>
    <w:basedOn w:val="Normal"/>
    <w:rsid w:val="00A71A39"/>
    <w:pPr>
      <w:spacing w:after="120"/>
      <w:jc w:val="both"/>
    </w:pPr>
    <w:rPr>
      <w:rFonts w:ascii="Arial" w:hAnsi="Arial"/>
      <w:sz w:val="20"/>
      <w:szCs w:val="20"/>
    </w:rPr>
  </w:style>
  <w:style w:type="paragraph" w:styleId="Revision">
    <w:name w:val="Revision"/>
    <w:hidden/>
    <w:uiPriority w:val="99"/>
    <w:semiHidden/>
    <w:rsid w:val="005038DA"/>
    <w:rPr>
      <w:sz w:val="24"/>
      <w:szCs w:val="24"/>
      <w:lang w:val="fr-FR" w:eastAsia="fr-FR"/>
    </w:rPr>
  </w:style>
  <w:style w:type="character" w:customStyle="1" w:styleId="HeaderChar">
    <w:name w:val="Header Char"/>
    <w:link w:val="Header"/>
    <w:uiPriority w:val="99"/>
    <w:rsid w:val="00177D94"/>
    <w:rPr>
      <w:rFonts w:ascii="Times" w:hAnsi="Times"/>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8024">
      <w:bodyDiv w:val="1"/>
      <w:marLeft w:val="0"/>
      <w:marRight w:val="0"/>
      <w:marTop w:val="0"/>
      <w:marBottom w:val="0"/>
      <w:divBdr>
        <w:top w:val="none" w:sz="0" w:space="0" w:color="auto"/>
        <w:left w:val="none" w:sz="0" w:space="0" w:color="auto"/>
        <w:bottom w:val="none" w:sz="0" w:space="0" w:color="auto"/>
        <w:right w:val="none" w:sz="0" w:space="0" w:color="auto"/>
      </w:divBdr>
    </w:div>
    <w:div w:id="1326320339">
      <w:bodyDiv w:val="1"/>
      <w:marLeft w:val="0"/>
      <w:marRight w:val="0"/>
      <w:marTop w:val="0"/>
      <w:marBottom w:val="0"/>
      <w:divBdr>
        <w:top w:val="none" w:sz="0" w:space="0" w:color="auto"/>
        <w:left w:val="none" w:sz="0" w:space="0" w:color="auto"/>
        <w:bottom w:val="none" w:sz="0" w:space="0" w:color="auto"/>
        <w:right w:val="none" w:sz="0" w:space="0" w:color="auto"/>
      </w:divBdr>
    </w:div>
    <w:div w:id="1717116973">
      <w:bodyDiv w:val="1"/>
      <w:marLeft w:val="0"/>
      <w:marRight w:val="0"/>
      <w:marTop w:val="0"/>
      <w:marBottom w:val="0"/>
      <w:divBdr>
        <w:top w:val="none" w:sz="0" w:space="0" w:color="auto"/>
        <w:left w:val="none" w:sz="0" w:space="0" w:color="auto"/>
        <w:bottom w:val="none" w:sz="0" w:space="0" w:color="auto"/>
        <w:right w:val="none" w:sz="0" w:space="0" w:color="auto"/>
      </w:divBdr>
    </w:div>
    <w:div w:id="19419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C89D-6128-46DA-929F-1C6F6CBE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7894</Words>
  <Characters>4501</Characters>
  <Application>Microsoft Office Word</Application>
  <DocSecurity>0</DocSecurity>
  <Lines>37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SUMMARY OF THE PRODUCT CHARACTERISTICS</vt:lpstr>
      <vt:lpstr>SUMMARY OF THE PRODUCT CHARACTERISTICS</vt:lpstr>
    </vt:vector>
  </TitlesOfParts>
  <Company>Laboratoire Innothera</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PRODUCT CHARACTERISTICS</dc:title>
  <dc:subject/>
  <dc:creator>Innothera</dc:creator>
  <cp:keywords/>
  <cp:lastModifiedBy>Marita Laviceviča</cp:lastModifiedBy>
  <cp:revision>2</cp:revision>
  <cp:lastPrinted>2018-05-07T13:35:00Z</cp:lastPrinted>
  <dcterms:created xsi:type="dcterms:W3CDTF">2022-07-20T13:04:00Z</dcterms:created>
  <dcterms:modified xsi:type="dcterms:W3CDTF">2022-07-20T13:04:00Z</dcterms:modified>
</cp:coreProperties>
</file>