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06" w:rsidRDefault="009A7F06" w:rsidP="004F433C">
      <w:pPr>
        <w:jc w:val="both"/>
        <w:rPr>
          <w:sz w:val="22"/>
          <w:szCs w:val="22"/>
          <w:lang w:val="lv-LV"/>
        </w:rPr>
      </w:pPr>
    </w:p>
    <w:p w:rsidR="00E369B1" w:rsidRPr="009A7F06" w:rsidRDefault="009A7F06" w:rsidP="00A9454E">
      <w:pPr>
        <w:jc w:val="center"/>
        <w:rPr>
          <w:b/>
          <w:sz w:val="22"/>
          <w:szCs w:val="22"/>
          <w:lang w:val="lv-LV"/>
        </w:rPr>
      </w:pPr>
      <w:r w:rsidRPr="00A9454E">
        <w:rPr>
          <w:b/>
          <w:sz w:val="22"/>
          <w:szCs w:val="22"/>
          <w:lang w:val="lv-LV"/>
        </w:rPr>
        <w:t>ZĀĻU APRAKSTS</w:t>
      </w:r>
    </w:p>
    <w:p w:rsidR="00E369B1" w:rsidRPr="009A7F06" w:rsidRDefault="00E369B1" w:rsidP="009A7F06">
      <w:pPr>
        <w:tabs>
          <w:tab w:val="left" w:pos="7065"/>
        </w:tabs>
        <w:jc w:val="both"/>
        <w:rPr>
          <w:b/>
          <w:sz w:val="22"/>
          <w:szCs w:val="22"/>
          <w:lang w:val="lv-LV"/>
        </w:rPr>
      </w:pPr>
      <w:r w:rsidRPr="009A7F06">
        <w:rPr>
          <w:b/>
          <w:sz w:val="22"/>
          <w:szCs w:val="22"/>
          <w:lang w:val="lv-LV"/>
        </w:rPr>
        <w:t>1. ZĀĻU NOSAUKUMS</w:t>
      </w:r>
      <w:r w:rsidR="00C96E1B">
        <w:rPr>
          <w:b/>
          <w:sz w:val="22"/>
          <w:szCs w:val="22"/>
          <w:lang w:val="lv-LV"/>
        </w:rPr>
        <w:tab/>
      </w:r>
    </w:p>
    <w:p w:rsidR="00E369B1" w:rsidRPr="009A7F06" w:rsidRDefault="00E369B1" w:rsidP="00C96E1B">
      <w:pPr>
        <w:jc w:val="both"/>
        <w:rPr>
          <w:b/>
          <w:sz w:val="22"/>
          <w:szCs w:val="22"/>
          <w:lang w:val="lv-LV"/>
        </w:rPr>
      </w:pPr>
    </w:p>
    <w:p w:rsidR="00E369B1" w:rsidRPr="009A7F06" w:rsidRDefault="00E369B1" w:rsidP="00C96E1B">
      <w:pPr>
        <w:jc w:val="both"/>
        <w:rPr>
          <w:bCs/>
          <w:sz w:val="22"/>
          <w:szCs w:val="22"/>
          <w:lang w:val="lv-LV"/>
        </w:rPr>
      </w:pPr>
      <w:r w:rsidRPr="009A7F06">
        <w:rPr>
          <w:bCs/>
          <w:sz w:val="22"/>
          <w:szCs w:val="22"/>
          <w:lang w:val="lv-LV"/>
        </w:rPr>
        <w:t xml:space="preserve">Oxis Turbuhaler 9 mikrogrami/devā inhalācijas pulveris </w:t>
      </w:r>
    </w:p>
    <w:p w:rsidR="00E369B1" w:rsidRDefault="00E369B1" w:rsidP="009A7F06">
      <w:pPr>
        <w:jc w:val="both"/>
        <w:rPr>
          <w:sz w:val="22"/>
          <w:szCs w:val="22"/>
          <w:lang w:val="lv-LV"/>
        </w:rPr>
      </w:pPr>
    </w:p>
    <w:p w:rsidR="004F433C" w:rsidRPr="009A7F06" w:rsidRDefault="004F433C"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2. KVALITATĪVAIS UN KVANTITATĪVAIS SASTĀVS</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Katra </w:t>
      </w:r>
      <w:r w:rsidRPr="009A7F06">
        <w:rPr>
          <w:i/>
          <w:sz w:val="22"/>
          <w:szCs w:val="22"/>
          <w:lang w:val="lv-LV"/>
        </w:rPr>
        <w:t>ieelpotā Oxis Turbuhaler</w:t>
      </w:r>
      <w:r w:rsidRPr="009A7F06">
        <w:rPr>
          <w:sz w:val="22"/>
          <w:szCs w:val="22"/>
          <w:lang w:val="lv-LV"/>
        </w:rPr>
        <w:t xml:space="preserve"> deva (t. i., deva, kas izdalās no iemu</w:t>
      </w:r>
      <w:r w:rsidR="0075169F" w:rsidRPr="009A7F06">
        <w:rPr>
          <w:sz w:val="22"/>
          <w:szCs w:val="22"/>
          <w:lang w:val="lv-LV"/>
        </w:rPr>
        <w:t>tņ</w:t>
      </w:r>
      <w:r w:rsidRPr="009A7F06">
        <w:rPr>
          <w:sz w:val="22"/>
          <w:szCs w:val="22"/>
          <w:lang w:val="lv-LV"/>
        </w:rPr>
        <w:t>a) satur 9 mikrogramus formoterola fumarāta dihidrāta (</w:t>
      </w:r>
      <w:r w:rsidRPr="009A7F06">
        <w:rPr>
          <w:i/>
          <w:sz w:val="22"/>
          <w:szCs w:val="22"/>
          <w:lang w:val="lv-LV"/>
        </w:rPr>
        <w:t>formoteroli fumaras dihydricus)</w:t>
      </w:r>
      <w:r w:rsidRPr="009A7F06">
        <w:rPr>
          <w:sz w:val="22"/>
          <w:szCs w:val="22"/>
          <w:lang w:val="lv-LV"/>
        </w:rPr>
        <w:t>, kas tiek iegūti no 12 mikrogramiem nomērītas devas.</w:t>
      </w:r>
    </w:p>
    <w:p w:rsidR="00592497" w:rsidRPr="009A7F06" w:rsidRDefault="00592497" w:rsidP="009A7F06">
      <w:pPr>
        <w:rPr>
          <w:sz w:val="22"/>
          <w:szCs w:val="22"/>
          <w:u w:val="single"/>
          <w:lang w:val="lv-LV"/>
        </w:rPr>
      </w:pPr>
    </w:p>
    <w:p w:rsidR="00592497" w:rsidRPr="009A7F06" w:rsidRDefault="00592497" w:rsidP="009A7F06">
      <w:pPr>
        <w:rPr>
          <w:sz w:val="22"/>
          <w:szCs w:val="22"/>
          <w:lang w:val="lv-LV"/>
        </w:rPr>
      </w:pPr>
      <w:r w:rsidRPr="009A7F06">
        <w:rPr>
          <w:sz w:val="22"/>
          <w:szCs w:val="22"/>
          <w:u w:val="single"/>
          <w:lang w:val="lv-LV"/>
        </w:rPr>
        <w:t>Palīgviela(-s) ar zināmu iedarbību</w:t>
      </w:r>
    </w:p>
    <w:p w:rsidR="00E369B1" w:rsidRPr="009A7F06" w:rsidRDefault="00E369B1" w:rsidP="009A7F06">
      <w:pPr>
        <w:jc w:val="both"/>
        <w:rPr>
          <w:sz w:val="22"/>
          <w:szCs w:val="22"/>
          <w:lang w:val="lv-LV"/>
        </w:rPr>
      </w:pPr>
      <w:r w:rsidRPr="009A7F06">
        <w:rPr>
          <w:sz w:val="22"/>
          <w:szCs w:val="22"/>
          <w:lang w:val="lv-LV"/>
        </w:rPr>
        <w:t xml:space="preserve">laktozes monohidrāts </w:t>
      </w:r>
      <w:r w:rsidR="000C4F56" w:rsidRPr="009A7F06">
        <w:rPr>
          <w:sz w:val="22"/>
          <w:szCs w:val="22"/>
          <w:lang w:val="lv-LV"/>
        </w:rPr>
        <w:t xml:space="preserve">891 </w:t>
      </w:r>
      <w:r w:rsidRPr="009A7F06">
        <w:rPr>
          <w:sz w:val="22"/>
          <w:szCs w:val="22"/>
          <w:lang w:val="lv-LV"/>
        </w:rPr>
        <w:t>mikrogram</w:t>
      </w:r>
      <w:r w:rsidR="00BB46F0" w:rsidRPr="009A7F06">
        <w:rPr>
          <w:sz w:val="22"/>
          <w:szCs w:val="22"/>
          <w:lang w:val="lv-LV"/>
        </w:rPr>
        <w:t xml:space="preserve">i katrā ieelpotā devā (atbilst </w:t>
      </w:r>
      <w:r w:rsidR="000C4F56" w:rsidRPr="009A7F06">
        <w:rPr>
          <w:sz w:val="22"/>
          <w:szCs w:val="22"/>
          <w:lang w:val="lv-LV"/>
        </w:rPr>
        <w:t xml:space="preserve">1000 </w:t>
      </w:r>
      <w:r w:rsidRPr="009A7F06">
        <w:rPr>
          <w:sz w:val="22"/>
          <w:szCs w:val="22"/>
          <w:lang w:val="lv-LV"/>
        </w:rPr>
        <w:t xml:space="preserve">mikrogramiem nomērītā devā). </w:t>
      </w:r>
      <w:r w:rsidR="000C4F56" w:rsidRPr="009A7F06">
        <w:rPr>
          <w:sz w:val="22"/>
          <w:szCs w:val="22"/>
          <w:lang w:val="lv-LV"/>
        </w:rPr>
        <w:t>Skatīt 4.4. apakšpunkt</w:t>
      </w:r>
      <w:r w:rsidR="00A83810" w:rsidRPr="009A7F06">
        <w:rPr>
          <w:sz w:val="22"/>
          <w:szCs w:val="22"/>
          <w:lang w:val="lv-LV"/>
        </w:rPr>
        <w:t>u</w:t>
      </w:r>
      <w:r w:rsidR="000C4F56" w:rsidRPr="009A7F06">
        <w:rPr>
          <w:sz w:val="22"/>
          <w:szCs w:val="22"/>
          <w:lang w:val="lv-LV"/>
        </w:rPr>
        <w:t>.</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Pilnu palīgvielu sarakstu skatīt </w:t>
      </w:r>
      <w:r w:rsidR="00587150" w:rsidRPr="009A7F06">
        <w:rPr>
          <w:sz w:val="22"/>
          <w:szCs w:val="22"/>
          <w:lang w:val="lv-LV"/>
        </w:rPr>
        <w:t>6.1</w:t>
      </w:r>
      <w:r w:rsidR="006F28B1" w:rsidRPr="009A7F06">
        <w:rPr>
          <w:sz w:val="22"/>
          <w:szCs w:val="22"/>
          <w:lang w:val="lv-LV"/>
        </w:rPr>
        <w:t>.</w:t>
      </w:r>
      <w:r w:rsidR="00587150" w:rsidRPr="009A7F06">
        <w:rPr>
          <w:sz w:val="22"/>
          <w:szCs w:val="22"/>
          <w:lang w:val="lv-LV"/>
        </w:rPr>
        <w:t xml:space="preserve"> </w:t>
      </w:r>
      <w:r w:rsidRPr="009A7F06">
        <w:rPr>
          <w:sz w:val="22"/>
          <w:szCs w:val="22"/>
          <w:lang w:val="lv-LV"/>
        </w:rPr>
        <w:t>apakšpunktā</w:t>
      </w:r>
      <w:r w:rsidR="00587150" w:rsidRPr="009A7F06">
        <w:rPr>
          <w:sz w:val="22"/>
          <w:szCs w:val="22"/>
          <w:lang w:val="lv-LV"/>
        </w:rPr>
        <w:t>.</w:t>
      </w:r>
    </w:p>
    <w:p w:rsidR="00E369B1" w:rsidRDefault="00E369B1" w:rsidP="009A7F06">
      <w:pPr>
        <w:jc w:val="both"/>
        <w:rPr>
          <w:sz w:val="22"/>
          <w:szCs w:val="22"/>
          <w:lang w:val="lv-LV"/>
        </w:rPr>
      </w:pPr>
    </w:p>
    <w:p w:rsidR="004F433C" w:rsidRPr="009A7F06" w:rsidRDefault="004F433C"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3. ZĀĻU FORMA</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t>Inhalācijas pulveris.</w:t>
      </w:r>
    </w:p>
    <w:p w:rsidR="00E369B1" w:rsidRPr="009A7F06" w:rsidRDefault="00E369B1" w:rsidP="009A7F06">
      <w:pPr>
        <w:jc w:val="both"/>
        <w:rPr>
          <w:sz w:val="22"/>
          <w:szCs w:val="22"/>
          <w:lang w:val="lv-LV"/>
        </w:rPr>
      </w:pPr>
      <w:r w:rsidRPr="009A7F06">
        <w:rPr>
          <w:sz w:val="22"/>
          <w:szCs w:val="22"/>
          <w:lang w:val="lv-LV"/>
        </w:rPr>
        <w:t>Balts pulveris.</w:t>
      </w:r>
    </w:p>
    <w:p w:rsidR="00E369B1" w:rsidRDefault="00E369B1" w:rsidP="009A7F06">
      <w:pPr>
        <w:jc w:val="both"/>
        <w:rPr>
          <w:sz w:val="22"/>
          <w:szCs w:val="22"/>
          <w:lang w:val="lv-LV"/>
        </w:rPr>
      </w:pPr>
    </w:p>
    <w:p w:rsidR="004F433C" w:rsidRPr="009A7F06" w:rsidRDefault="004F433C"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4. KLĪNISKAIS RAKSTUROJUMS</w:t>
      </w:r>
    </w:p>
    <w:p w:rsidR="00E369B1" w:rsidRPr="009A7F06" w:rsidRDefault="00E369B1" w:rsidP="009A7F06">
      <w:pPr>
        <w:jc w:val="both"/>
        <w:rPr>
          <w:b/>
          <w:sz w:val="22"/>
          <w:szCs w:val="22"/>
          <w:lang w:val="lv-LV"/>
        </w:rPr>
      </w:pPr>
    </w:p>
    <w:p w:rsidR="00E369B1" w:rsidRPr="009A7F06" w:rsidRDefault="00E369B1" w:rsidP="009A7F06">
      <w:pPr>
        <w:jc w:val="both"/>
        <w:rPr>
          <w:b/>
          <w:sz w:val="22"/>
          <w:szCs w:val="22"/>
          <w:lang w:val="lv-LV"/>
        </w:rPr>
      </w:pPr>
      <w:r w:rsidRPr="009A7F06">
        <w:rPr>
          <w:b/>
          <w:sz w:val="22"/>
          <w:szCs w:val="22"/>
          <w:lang w:val="lv-LV"/>
        </w:rPr>
        <w:t xml:space="preserve">4.1. KLĪNISKĀ INFORMĀCIJA </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Oxis Turbuhaler indicēts </w:t>
      </w:r>
      <w:r w:rsidR="000C4F56" w:rsidRPr="009A7F06">
        <w:rPr>
          <w:sz w:val="22"/>
          <w:szCs w:val="22"/>
          <w:lang w:val="lv-LV"/>
        </w:rPr>
        <w:t xml:space="preserve">pieaugušajiem, pusaudžiem un bērniem no 6 gadu vecuma, </w:t>
      </w:r>
      <w:r w:rsidR="002419E5" w:rsidRPr="009A7F06">
        <w:rPr>
          <w:sz w:val="22"/>
          <w:szCs w:val="22"/>
          <w:lang w:val="lv-LV"/>
        </w:rPr>
        <w:t xml:space="preserve">papildus uzturošai terapijai ar inhalējamiem kortikosteroīdiem </w:t>
      </w:r>
      <w:r w:rsidRPr="009A7F06">
        <w:rPr>
          <w:sz w:val="22"/>
          <w:szCs w:val="22"/>
          <w:lang w:val="lv-LV"/>
        </w:rPr>
        <w:t>bronhu obstrukcijas simptomu</w:t>
      </w:r>
      <w:r w:rsidR="002419E5" w:rsidRPr="009A7F06">
        <w:rPr>
          <w:sz w:val="22"/>
          <w:szCs w:val="22"/>
          <w:lang w:val="lv-LV"/>
        </w:rPr>
        <w:t xml:space="preserve"> </w:t>
      </w:r>
      <w:r w:rsidRPr="009A7F06">
        <w:rPr>
          <w:sz w:val="22"/>
          <w:szCs w:val="22"/>
          <w:lang w:val="lv-LV"/>
        </w:rPr>
        <w:t>mazināšanai un fiziskas slodzes izraisītu bronhiālās astmas simptomu profilaksei, ja atbilstoša ārstēšana ar kortikosteroīdiem nav pietiekama.</w:t>
      </w:r>
    </w:p>
    <w:p w:rsidR="00E369B1" w:rsidRPr="009A7F06" w:rsidRDefault="00E369B1" w:rsidP="009A7F06">
      <w:pPr>
        <w:jc w:val="both"/>
        <w:rPr>
          <w:sz w:val="22"/>
          <w:szCs w:val="22"/>
          <w:lang w:val="lv-LV"/>
        </w:rPr>
      </w:pPr>
      <w:r w:rsidRPr="009A7F06">
        <w:rPr>
          <w:sz w:val="22"/>
          <w:szCs w:val="22"/>
          <w:lang w:val="lv-LV"/>
        </w:rPr>
        <w:t xml:space="preserve">Astmas gadījumā, </w:t>
      </w:r>
      <w:r w:rsidRPr="009A7F06">
        <w:rPr>
          <w:iCs/>
          <w:sz w:val="22"/>
          <w:szCs w:val="22"/>
          <w:lang w:val="lv-LV"/>
        </w:rPr>
        <w:t>Oxis Turbuhaler</w:t>
      </w:r>
      <w:r w:rsidRPr="009A7F06">
        <w:rPr>
          <w:sz w:val="22"/>
          <w:szCs w:val="22"/>
          <w:lang w:val="lv-LV"/>
        </w:rPr>
        <w:t xml:space="preserve"> jālieto papildus pretiekaisuma </w:t>
      </w:r>
      <w:r w:rsidR="007C44CD">
        <w:rPr>
          <w:sz w:val="22"/>
          <w:szCs w:val="22"/>
          <w:lang w:val="lv-LV"/>
        </w:rPr>
        <w:t>zālēm</w:t>
      </w:r>
      <w:r w:rsidRPr="009A7F06">
        <w:rPr>
          <w:sz w:val="22"/>
          <w:szCs w:val="22"/>
          <w:lang w:val="lv-LV"/>
        </w:rPr>
        <w:t>, piemēram, inhalējamiem kortikosteroīdiem.</w:t>
      </w:r>
    </w:p>
    <w:p w:rsidR="00BB46F0" w:rsidRPr="009A7F06" w:rsidRDefault="00BB46F0" w:rsidP="009A7F06">
      <w:pPr>
        <w:jc w:val="both"/>
        <w:rPr>
          <w:iCs/>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Oxis Turbuhaler indicēts arī </w:t>
      </w:r>
      <w:r w:rsidR="00587150" w:rsidRPr="009A7F06">
        <w:rPr>
          <w:sz w:val="22"/>
          <w:szCs w:val="22"/>
          <w:lang w:val="lv-LV"/>
        </w:rPr>
        <w:t xml:space="preserve">pieaugušajiem </w:t>
      </w:r>
      <w:r w:rsidRPr="009A7F06">
        <w:rPr>
          <w:sz w:val="22"/>
          <w:szCs w:val="22"/>
          <w:lang w:val="lv-LV"/>
        </w:rPr>
        <w:t>ar hronisku obstruktīvu plaušu slimību (HOPS), lai atvieglotu bronhu obstrukcijas simptomus.</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4.2. Devas un lietošanas veids</w:t>
      </w:r>
    </w:p>
    <w:p w:rsidR="00587150" w:rsidRPr="009A7F06" w:rsidRDefault="00587150" w:rsidP="009A7F06">
      <w:pPr>
        <w:jc w:val="both"/>
        <w:rPr>
          <w:b/>
          <w:sz w:val="22"/>
          <w:szCs w:val="22"/>
          <w:lang w:val="lv-LV"/>
        </w:rPr>
      </w:pPr>
    </w:p>
    <w:p w:rsidR="00E369B1" w:rsidRPr="009A7F06" w:rsidRDefault="00587150" w:rsidP="009A7F06">
      <w:pPr>
        <w:jc w:val="both"/>
        <w:rPr>
          <w:b/>
          <w:sz w:val="22"/>
          <w:szCs w:val="22"/>
          <w:lang w:val="lv-LV"/>
        </w:rPr>
      </w:pPr>
      <w:r w:rsidRPr="009A7F06">
        <w:rPr>
          <w:sz w:val="22"/>
          <w:szCs w:val="22"/>
          <w:u w:val="single"/>
          <w:lang w:val="lv-LV"/>
        </w:rPr>
        <w:t>Devas</w:t>
      </w:r>
    </w:p>
    <w:p w:rsidR="00E369B1" w:rsidRPr="009A7F06" w:rsidRDefault="00E369B1" w:rsidP="009A7F06">
      <w:pPr>
        <w:jc w:val="both"/>
        <w:rPr>
          <w:b/>
          <w:sz w:val="22"/>
          <w:szCs w:val="22"/>
          <w:lang w:val="lv-LV"/>
        </w:rPr>
      </w:pPr>
      <w:r w:rsidRPr="009A7F06">
        <w:rPr>
          <w:sz w:val="22"/>
          <w:szCs w:val="22"/>
          <w:lang w:val="lv-LV"/>
        </w:rPr>
        <w:t>Zāļu lietošana vairāk kā 2 dienas nedēļā, lielākā devā nekā konkrētam pacientam nepieciešamā parastā balstdeva, liecina par nepietiekamu bronhiālās astmas kontroli, un ārstēšana ir jāpārskata.</w:t>
      </w:r>
    </w:p>
    <w:p w:rsidR="00E369B1" w:rsidRPr="009A7F06" w:rsidRDefault="00E369B1" w:rsidP="009A7F06">
      <w:pPr>
        <w:rPr>
          <w:sz w:val="22"/>
          <w:szCs w:val="22"/>
          <w:lang w:val="lv-LV"/>
        </w:rPr>
      </w:pPr>
    </w:p>
    <w:p w:rsidR="00E369B1" w:rsidRPr="009A7F06" w:rsidRDefault="00E369B1" w:rsidP="009A7F06">
      <w:pPr>
        <w:jc w:val="both"/>
        <w:rPr>
          <w:sz w:val="22"/>
          <w:szCs w:val="22"/>
          <w:lang w:val="lv-LV"/>
        </w:rPr>
      </w:pPr>
      <w:r w:rsidRPr="009A7F06">
        <w:rPr>
          <w:sz w:val="22"/>
          <w:szCs w:val="22"/>
          <w:lang w:val="lv-LV"/>
        </w:rPr>
        <w:t>Astma</w:t>
      </w:r>
      <w:r w:rsidR="00592497" w:rsidRPr="009A7F06">
        <w:rPr>
          <w:sz w:val="22"/>
          <w:szCs w:val="22"/>
          <w:lang w:val="lv-LV"/>
        </w:rPr>
        <w:t>:</w:t>
      </w:r>
    </w:p>
    <w:p w:rsidR="00E369B1" w:rsidRPr="009A7F06" w:rsidRDefault="00E369B1" w:rsidP="009A7F06">
      <w:pPr>
        <w:jc w:val="both"/>
        <w:rPr>
          <w:bCs/>
          <w:iCs/>
          <w:sz w:val="22"/>
          <w:szCs w:val="22"/>
          <w:lang w:val="lv-LV"/>
        </w:rPr>
      </w:pPr>
      <w:r w:rsidRPr="009A7F06">
        <w:rPr>
          <w:bCs/>
          <w:iCs/>
          <w:sz w:val="22"/>
          <w:szCs w:val="22"/>
          <w:lang w:val="lv-LV"/>
        </w:rPr>
        <w:t xml:space="preserve">Astmas gadījumā </w:t>
      </w:r>
      <w:r w:rsidRPr="009A7F06">
        <w:rPr>
          <w:bCs/>
          <w:sz w:val="22"/>
          <w:szCs w:val="22"/>
          <w:lang w:val="lv-LV"/>
        </w:rPr>
        <w:t>Oxis Turbuhaler</w:t>
      </w:r>
      <w:r w:rsidRPr="009A7F06">
        <w:rPr>
          <w:bCs/>
          <w:iCs/>
          <w:sz w:val="22"/>
          <w:szCs w:val="22"/>
          <w:lang w:val="lv-LV"/>
        </w:rPr>
        <w:t xml:space="preserve"> var lietot vienu vai divas reizes dienā (“pamata terapija”) vai kā “</w:t>
      </w:r>
      <w:r w:rsidR="007C44CD" w:rsidRPr="009A7F06">
        <w:rPr>
          <w:bCs/>
          <w:iCs/>
          <w:sz w:val="22"/>
          <w:szCs w:val="22"/>
          <w:lang w:val="lv-LV"/>
        </w:rPr>
        <w:t>glābēj</w:t>
      </w:r>
      <w:r w:rsidR="007C44CD">
        <w:rPr>
          <w:bCs/>
          <w:iCs/>
          <w:sz w:val="22"/>
          <w:szCs w:val="22"/>
          <w:lang w:val="lv-LV"/>
        </w:rPr>
        <w:t>zāles</w:t>
      </w:r>
      <w:r w:rsidRPr="009A7F06">
        <w:rPr>
          <w:bCs/>
          <w:iCs/>
          <w:sz w:val="22"/>
          <w:szCs w:val="22"/>
          <w:lang w:val="lv-LV"/>
        </w:rPr>
        <w:t>”, lai atvieglotu akūtus bronhu obstrukcijas simptomus.</w:t>
      </w:r>
    </w:p>
    <w:p w:rsidR="00E369B1" w:rsidRPr="009A7F06" w:rsidRDefault="00E369B1" w:rsidP="009A7F06">
      <w:pPr>
        <w:jc w:val="both"/>
        <w:rPr>
          <w:bCs/>
          <w:iCs/>
          <w:sz w:val="22"/>
          <w:szCs w:val="22"/>
          <w:lang w:val="lv-LV"/>
        </w:rPr>
      </w:pPr>
    </w:p>
    <w:p w:rsidR="00E369B1" w:rsidRPr="009A7F06" w:rsidRDefault="00E369B1" w:rsidP="009A7F06">
      <w:pPr>
        <w:jc w:val="both"/>
        <w:rPr>
          <w:i/>
          <w:sz w:val="22"/>
          <w:szCs w:val="22"/>
          <w:lang w:val="lv-LV"/>
        </w:rPr>
      </w:pPr>
      <w:r w:rsidRPr="009A7F06">
        <w:rPr>
          <w:i/>
          <w:sz w:val="22"/>
          <w:szCs w:val="22"/>
          <w:lang w:val="lv-LV"/>
        </w:rPr>
        <w:t>Pieaugušie no 18 gadu vecuma</w:t>
      </w:r>
      <w:r w:rsidR="00592497" w:rsidRPr="009A7F06">
        <w:rPr>
          <w:i/>
          <w:sz w:val="22"/>
          <w:szCs w:val="22"/>
          <w:lang w:val="lv-LV"/>
        </w:rPr>
        <w:t>:</w:t>
      </w:r>
    </w:p>
    <w:p w:rsidR="00E369B1" w:rsidRPr="009A7F06" w:rsidRDefault="00E369B1" w:rsidP="009A7F06">
      <w:pPr>
        <w:jc w:val="both"/>
        <w:rPr>
          <w:i/>
          <w:sz w:val="22"/>
          <w:szCs w:val="22"/>
          <w:lang w:val="lv-LV"/>
        </w:rPr>
      </w:pPr>
      <w:r w:rsidRPr="009A7F06">
        <w:rPr>
          <w:i/>
          <w:sz w:val="22"/>
          <w:szCs w:val="22"/>
          <w:lang w:val="lv-LV"/>
        </w:rPr>
        <w:lastRenderedPageBreak/>
        <w:t xml:space="preserve">Lietošana pēc nepieciešamības: </w:t>
      </w:r>
      <w:r w:rsidRPr="009A7F06">
        <w:rPr>
          <w:iCs/>
          <w:sz w:val="22"/>
          <w:szCs w:val="22"/>
          <w:lang w:val="lv-LV"/>
        </w:rPr>
        <w:t>1 inhalācija akūtu bronhu obstrukcijas simptomu atvieglošanai.</w:t>
      </w:r>
    </w:p>
    <w:p w:rsidR="00E369B1" w:rsidRPr="009A7F06" w:rsidRDefault="00E369B1" w:rsidP="009A7F06">
      <w:pPr>
        <w:jc w:val="both"/>
        <w:rPr>
          <w:sz w:val="22"/>
          <w:szCs w:val="22"/>
          <w:lang w:val="lv-LV"/>
        </w:rPr>
      </w:pPr>
      <w:r w:rsidRPr="009A7F06">
        <w:rPr>
          <w:i/>
          <w:sz w:val="22"/>
          <w:szCs w:val="22"/>
          <w:lang w:val="lv-LV"/>
        </w:rPr>
        <w:t>Parastā deva</w:t>
      </w:r>
      <w:r w:rsidRPr="009A7F06">
        <w:rPr>
          <w:sz w:val="22"/>
          <w:szCs w:val="22"/>
          <w:lang w:val="lv-LV"/>
        </w:rPr>
        <w:t>: 1 inhalācija reizi vai div</w:t>
      </w:r>
      <w:r w:rsidR="00F47E90">
        <w:rPr>
          <w:sz w:val="22"/>
          <w:szCs w:val="22"/>
          <w:lang w:val="lv-LV"/>
        </w:rPr>
        <w:t xml:space="preserve">as </w:t>
      </w:r>
      <w:r w:rsidRPr="009A7F06">
        <w:rPr>
          <w:sz w:val="22"/>
          <w:szCs w:val="22"/>
          <w:lang w:val="lv-LV"/>
        </w:rPr>
        <w:t>reiz</w:t>
      </w:r>
      <w:r w:rsidR="00F47E90">
        <w:rPr>
          <w:sz w:val="22"/>
          <w:szCs w:val="22"/>
          <w:lang w:val="lv-LV"/>
        </w:rPr>
        <w:t>es</w:t>
      </w:r>
      <w:r w:rsidRPr="009A7F06">
        <w:rPr>
          <w:sz w:val="22"/>
          <w:szCs w:val="22"/>
          <w:lang w:val="lv-LV"/>
        </w:rPr>
        <w:t xml:space="preserve"> dienā. Dažiem pacientiem var būt nepieciešamas 2 inhalācijas reizi vai div</w:t>
      </w:r>
      <w:r w:rsidR="00F47E90">
        <w:rPr>
          <w:sz w:val="22"/>
          <w:szCs w:val="22"/>
          <w:lang w:val="lv-LV"/>
        </w:rPr>
        <w:t xml:space="preserve">as </w:t>
      </w:r>
      <w:r w:rsidRPr="009A7F06">
        <w:rPr>
          <w:sz w:val="22"/>
          <w:szCs w:val="22"/>
          <w:lang w:val="lv-LV"/>
        </w:rPr>
        <w:t>reiz</w:t>
      </w:r>
      <w:r w:rsidR="00F47E90">
        <w:rPr>
          <w:sz w:val="22"/>
          <w:szCs w:val="22"/>
          <w:lang w:val="lv-LV"/>
        </w:rPr>
        <w:t>es</w:t>
      </w:r>
      <w:r w:rsidRPr="009A7F06">
        <w:rPr>
          <w:sz w:val="22"/>
          <w:szCs w:val="22"/>
          <w:lang w:val="lv-LV"/>
        </w:rPr>
        <w:t xml:space="preserve"> dienā. </w:t>
      </w:r>
    </w:p>
    <w:p w:rsidR="00E369B1" w:rsidRPr="009A7F06" w:rsidRDefault="00E369B1" w:rsidP="009A7F06">
      <w:pPr>
        <w:jc w:val="both"/>
        <w:rPr>
          <w:sz w:val="22"/>
          <w:szCs w:val="22"/>
          <w:lang w:val="lv-LV"/>
        </w:rPr>
      </w:pPr>
      <w:r w:rsidRPr="009A7F06">
        <w:rPr>
          <w:i/>
          <w:iCs/>
          <w:sz w:val="22"/>
          <w:szCs w:val="22"/>
          <w:lang w:val="lv-LV"/>
        </w:rPr>
        <w:t>Fiziskas slodzes izraisītu astmas simptomu profilaksei:</w:t>
      </w:r>
      <w:r w:rsidRPr="009A7F06">
        <w:rPr>
          <w:sz w:val="22"/>
          <w:szCs w:val="22"/>
          <w:lang w:val="lv-LV"/>
        </w:rPr>
        <w:t xml:space="preserve"> 1 inhalācija pirms fiziskās slodzes.</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Maksimālā dienas deva parastai lietošanai nedrīkst pārsniegt 4 inhalācijas, tomēr nepieciešamības gadījumā pieļaujamas līdz 6 inhalācijām 24 stundu laikā. Vienā reizē nedrīkst lietot vairāk par 3 inhalācijām. </w:t>
      </w:r>
    </w:p>
    <w:p w:rsidR="00E369B1" w:rsidRPr="009A7F06" w:rsidRDefault="00E369B1" w:rsidP="009A7F06">
      <w:pPr>
        <w:jc w:val="both"/>
        <w:rPr>
          <w:b/>
          <w:bCs/>
          <w:i/>
          <w:iCs/>
          <w:sz w:val="22"/>
          <w:szCs w:val="22"/>
          <w:lang w:val="lv-LV"/>
        </w:rPr>
      </w:pPr>
    </w:p>
    <w:p w:rsidR="00E369B1" w:rsidRPr="009A7F06" w:rsidRDefault="00E369B1" w:rsidP="009A7F06">
      <w:pPr>
        <w:jc w:val="both"/>
        <w:rPr>
          <w:sz w:val="22"/>
          <w:szCs w:val="22"/>
          <w:lang w:val="lv-LV"/>
        </w:rPr>
      </w:pPr>
      <w:r w:rsidRPr="009A7F06">
        <w:rPr>
          <w:bCs/>
          <w:i/>
          <w:iCs/>
          <w:sz w:val="22"/>
          <w:szCs w:val="22"/>
          <w:lang w:val="lv-LV"/>
        </w:rPr>
        <w:t>Pusaudži un bērni no 6 gadu vecuma</w:t>
      </w:r>
      <w:r w:rsidR="00592497" w:rsidRPr="009A7F06">
        <w:rPr>
          <w:bCs/>
          <w:i/>
          <w:iCs/>
          <w:sz w:val="22"/>
          <w:szCs w:val="22"/>
          <w:lang w:val="lv-LV"/>
        </w:rPr>
        <w:t>:</w:t>
      </w:r>
    </w:p>
    <w:p w:rsidR="00E369B1" w:rsidRPr="009A7F06" w:rsidRDefault="00E369B1" w:rsidP="009A7F06">
      <w:pPr>
        <w:jc w:val="both"/>
        <w:rPr>
          <w:i/>
          <w:sz w:val="22"/>
          <w:szCs w:val="22"/>
          <w:lang w:val="lv-LV"/>
        </w:rPr>
      </w:pPr>
      <w:r w:rsidRPr="009A7F06">
        <w:rPr>
          <w:i/>
          <w:sz w:val="22"/>
          <w:szCs w:val="22"/>
          <w:lang w:val="lv-LV"/>
        </w:rPr>
        <w:t xml:space="preserve">Lietošana pēc nepieciešamības: </w:t>
      </w:r>
      <w:r w:rsidRPr="009A7F06">
        <w:rPr>
          <w:iCs/>
          <w:sz w:val="22"/>
          <w:szCs w:val="22"/>
          <w:lang w:val="lv-LV"/>
        </w:rPr>
        <w:t>1 inhalācija akūtu bronhu obstrukcijas simptomu atvieglošanai.</w:t>
      </w:r>
    </w:p>
    <w:p w:rsidR="00E369B1" w:rsidRPr="009A7F06" w:rsidRDefault="00E369B1" w:rsidP="009A7F06">
      <w:pPr>
        <w:jc w:val="both"/>
        <w:rPr>
          <w:sz w:val="22"/>
          <w:szCs w:val="22"/>
          <w:lang w:val="lv-LV"/>
        </w:rPr>
      </w:pPr>
      <w:r w:rsidRPr="009A7F06">
        <w:rPr>
          <w:i/>
          <w:sz w:val="22"/>
          <w:szCs w:val="22"/>
          <w:lang w:val="lv-LV"/>
        </w:rPr>
        <w:t>Parastā deva</w:t>
      </w:r>
      <w:r w:rsidRPr="009A7F06">
        <w:rPr>
          <w:sz w:val="22"/>
          <w:szCs w:val="22"/>
          <w:lang w:val="lv-LV"/>
        </w:rPr>
        <w:t>: 1 inhalācija reizi vai div</w:t>
      </w:r>
      <w:r w:rsidR="00F47E90">
        <w:rPr>
          <w:sz w:val="22"/>
          <w:szCs w:val="22"/>
          <w:lang w:val="lv-LV"/>
        </w:rPr>
        <w:t xml:space="preserve">as </w:t>
      </w:r>
      <w:r w:rsidRPr="009A7F06">
        <w:rPr>
          <w:sz w:val="22"/>
          <w:szCs w:val="22"/>
          <w:lang w:val="lv-LV"/>
        </w:rPr>
        <w:t>reiz</w:t>
      </w:r>
      <w:r w:rsidR="00F47E90">
        <w:rPr>
          <w:sz w:val="22"/>
          <w:szCs w:val="22"/>
          <w:lang w:val="lv-LV"/>
        </w:rPr>
        <w:t>es</w:t>
      </w:r>
      <w:r w:rsidRPr="009A7F06">
        <w:rPr>
          <w:sz w:val="22"/>
          <w:szCs w:val="22"/>
          <w:lang w:val="lv-LV"/>
        </w:rPr>
        <w:t xml:space="preserve"> dienā. </w:t>
      </w:r>
    </w:p>
    <w:p w:rsidR="00E369B1" w:rsidRPr="009A7F06" w:rsidRDefault="00E369B1" w:rsidP="009A7F06">
      <w:pPr>
        <w:jc w:val="both"/>
        <w:rPr>
          <w:sz w:val="22"/>
          <w:szCs w:val="22"/>
          <w:lang w:val="lv-LV"/>
        </w:rPr>
      </w:pPr>
      <w:r w:rsidRPr="009A7F06">
        <w:rPr>
          <w:i/>
          <w:iCs/>
          <w:sz w:val="22"/>
          <w:szCs w:val="22"/>
          <w:lang w:val="lv-LV"/>
        </w:rPr>
        <w:t>Fiziskas slodzes izraisītu astmas simptomu profilaksei:</w:t>
      </w:r>
      <w:r w:rsidRPr="009A7F06">
        <w:rPr>
          <w:sz w:val="22"/>
          <w:szCs w:val="22"/>
          <w:lang w:val="lv-LV"/>
        </w:rPr>
        <w:t xml:space="preserve"> 1 inhalācija pirms fiziskās slodzes.</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Dienas deva parastai lietošanai nedrīkst pārsniegt 2 inhalācijas, tomēr nepieciešamības gadījumā pieļaujamas līdz 4 inhalācijām 24 stundu laikā. Vienā reizē nedrīkst lietot vairāk par 1 inhalāciju.</w:t>
      </w:r>
    </w:p>
    <w:p w:rsidR="00E369B1" w:rsidRPr="009A7F06" w:rsidRDefault="00E369B1" w:rsidP="009A7F06">
      <w:pPr>
        <w:jc w:val="both"/>
        <w:rPr>
          <w:b/>
          <w:bCs/>
          <w:sz w:val="22"/>
          <w:szCs w:val="22"/>
          <w:u w:val="single"/>
          <w:lang w:val="lv-LV"/>
        </w:rPr>
      </w:pPr>
    </w:p>
    <w:p w:rsidR="00E369B1" w:rsidRPr="009A7F06" w:rsidRDefault="00E369B1" w:rsidP="009A7F06">
      <w:pPr>
        <w:jc w:val="both"/>
        <w:rPr>
          <w:i/>
          <w:sz w:val="22"/>
          <w:szCs w:val="22"/>
          <w:lang w:val="lv-LV"/>
        </w:rPr>
      </w:pPr>
      <w:r w:rsidRPr="009A7F06">
        <w:rPr>
          <w:bCs/>
          <w:i/>
          <w:sz w:val="22"/>
          <w:szCs w:val="22"/>
          <w:lang w:val="lv-LV"/>
        </w:rPr>
        <w:t>HOPS</w:t>
      </w:r>
      <w:r w:rsidR="00592497" w:rsidRPr="009A7F06">
        <w:rPr>
          <w:i/>
          <w:sz w:val="22"/>
          <w:szCs w:val="22"/>
          <w:lang w:val="lv-LV"/>
        </w:rPr>
        <w:t>:</w:t>
      </w:r>
    </w:p>
    <w:p w:rsidR="00587150" w:rsidRPr="009A7F06" w:rsidRDefault="00587150" w:rsidP="009A7F06">
      <w:pPr>
        <w:jc w:val="both"/>
        <w:rPr>
          <w:i/>
          <w:sz w:val="22"/>
          <w:szCs w:val="22"/>
          <w:lang w:val="lv-LV"/>
        </w:rPr>
      </w:pPr>
      <w:r w:rsidRPr="009A7F06">
        <w:rPr>
          <w:i/>
          <w:sz w:val="22"/>
          <w:szCs w:val="22"/>
          <w:lang w:val="lv-LV"/>
        </w:rPr>
        <w:t>Pieaugušajiem no 18 gadu vecuma</w:t>
      </w:r>
    </w:p>
    <w:p w:rsidR="00E369B1" w:rsidRPr="009A7F06" w:rsidRDefault="00E369B1" w:rsidP="009A7F06">
      <w:pPr>
        <w:jc w:val="both"/>
        <w:rPr>
          <w:sz w:val="22"/>
          <w:szCs w:val="22"/>
          <w:lang w:val="lv-LV"/>
        </w:rPr>
      </w:pPr>
      <w:r w:rsidRPr="009A7F06">
        <w:rPr>
          <w:i/>
          <w:sz w:val="22"/>
          <w:szCs w:val="22"/>
          <w:lang w:val="lv-LV"/>
        </w:rPr>
        <w:t>Parastā deva</w:t>
      </w:r>
      <w:r w:rsidRPr="009A7F06">
        <w:rPr>
          <w:sz w:val="22"/>
          <w:szCs w:val="22"/>
          <w:lang w:val="lv-LV"/>
        </w:rPr>
        <w:t>: 1 inhalācija reizi vai div</w:t>
      </w:r>
      <w:r w:rsidR="00F47E90">
        <w:rPr>
          <w:sz w:val="22"/>
          <w:szCs w:val="22"/>
          <w:lang w:val="lv-LV"/>
        </w:rPr>
        <w:t xml:space="preserve">as </w:t>
      </w:r>
      <w:r w:rsidRPr="009A7F06">
        <w:rPr>
          <w:sz w:val="22"/>
          <w:szCs w:val="22"/>
          <w:lang w:val="lv-LV"/>
        </w:rPr>
        <w:t>reiz</w:t>
      </w:r>
      <w:r w:rsidR="00F47E90">
        <w:rPr>
          <w:sz w:val="22"/>
          <w:szCs w:val="22"/>
          <w:lang w:val="lv-LV"/>
        </w:rPr>
        <w:t>es</w:t>
      </w:r>
      <w:r w:rsidRPr="009A7F06">
        <w:rPr>
          <w:sz w:val="22"/>
          <w:szCs w:val="22"/>
          <w:lang w:val="lv-LV"/>
        </w:rPr>
        <w:t xml:space="preserve"> dienā. </w:t>
      </w:r>
    </w:p>
    <w:p w:rsidR="00E369B1" w:rsidRPr="009A7F06" w:rsidRDefault="00E369B1" w:rsidP="009A7F06">
      <w:pPr>
        <w:jc w:val="both"/>
        <w:rPr>
          <w:sz w:val="22"/>
          <w:szCs w:val="22"/>
          <w:lang w:val="lv-LV"/>
        </w:rPr>
      </w:pPr>
      <w:r w:rsidRPr="009A7F06">
        <w:rPr>
          <w:sz w:val="22"/>
          <w:szCs w:val="22"/>
          <w:lang w:val="lv-LV"/>
        </w:rPr>
        <w:t xml:space="preserve">Dienas deva parastai lietošanai nedrīkst pārsniegt 2 inhalācijas. </w:t>
      </w:r>
    </w:p>
    <w:p w:rsidR="00E369B1" w:rsidRPr="009A7F06" w:rsidRDefault="00E369B1" w:rsidP="009A7F06">
      <w:pPr>
        <w:jc w:val="both"/>
        <w:rPr>
          <w:sz w:val="22"/>
          <w:szCs w:val="22"/>
          <w:lang w:val="lv-LV"/>
        </w:rPr>
      </w:pPr>
      <w:r w:rsidRPr="009A7F06">
        <w:rPr>
          <w:sz w:val="22"/>
          <w:szCs w:val="22"/>
          <w:lang w:val="lv-LV"/>
        </w:rPr>
        <w:t xml:space="preserve">Nepieciešamības gadījumā balstterapijai klāt var lietot papildus inhalācijas simptomu atvieglošanai līdz maksimālai kopējai devai 4 inhalācijām </w:t>
      </w:r>
      <w:r w:rsidRPr="009A7F06">
        <w:rPr>
          <w:sz w:val="22"/>
          <w:szCs w:val="22"/>
          <w:u w:val="single"/>
          <w:lang w:val="lv-LV"/>
        </w:rPr>
        <w:t>24 stundu laikā</w:t>
      </w:r>
      <w:r w:rsidRPr="009A7F06">
        <w:rPr>
          <w:sz w:val="22"/>
          <w:szCs w:val="22"/>
          <w:lang w:val="lv-LV"/>
        </w:rPr>
        <w:t xml:space="preserve"> (balstdeva kopā ar lietošanu pēc nepieciešamības). Vienā reizē nedrīkst lietot vairāk par 2 inhalācijām. </w:t>
      </w:r>
    </w:p>
    <w:p w:rsidR="00E369B1" w:rsidRPr="009A7F06" w:rsidRDefault="00E369B1" w:rsidP="009A7F06">
      <w:pPr>
        <w:jc w:val="both"/>
        <w:rPr>
          <w:sz w:val="22"/>
          <w:szCs w:val="22"/>
          <w:lang w:val="lv-LV"/>
        </w:rPr>
      </w:pPr>
    </w:p>
    <w:p w:rsidR="00587150" w:rsidRPr="009A7F06" w:rsidRDefault="00E369B1" w:rsidP="009A7F06">
      <w:pPr>
        <w:jc w:val="both"/>
        <w:rPr>
          <w:sz w:val="22"/>
          <w:szCs w:val="22"/>
          <w:lang w:val="lv-LV"/>
        </w:rPr>
      </w:pPr>
      <w:r w:rsidRPr="009A7F06">
        <w:rPr>
          <w:i/>
          <w:sz w:val="22"/>
          <w:szCs w:val="22"/>
          <w:lang w:val="lv-LV"/>
        </w:rPr>
        <w:t>Īpašas p</w:t>
      </w:r>
      <w:r w:rsidR="00587150" w:rsidRPr="009A7F06">
        <w:rPr>
          <w:i/>
          <w:sz w:val="22"/>
          <w:szCs w:val="22"/>
          <w:lang w:val="lv-LV"/>
        </w:rPr>
        <w:t>opulācijas</w:t>
      </w:r>
    </w:p>
    <w:p w:rsidR="00587150" w:rsidRPr="009A7F06" w:rsidRDefault="00E369B1" w:rsidP="009A7F06">
      <w:pPr>
        <w:jc w:val="both"/>
        <w:rPr>
          <w:sz w:val="22"/>
          <w:szCs w:val="22"/>
          <w:lang w:val="lv-LV"/>
        </w:rPr>
      </w:pPr>
      <w:r w:rsidRPr="009A7F06">
        <w:rPr>
          <w:sz w:val="22"/>
          <w:szCs w:val="22"/>
          <w:lang w:val="lv-LV"/>
        </w:rPr>
        <w:t>Gados vec</w:t>
      </w:r>
      <w:r w:rsidR="00587150" w:rsidRPr="009A7F06">
        <w:rPr>
          <w:sz w:val="22"/>
          <w:szCs w:val="22"/>
          <w:lang w:val="lv-LV"/>
        </w:rPr>
        <w:t>āk</w:t>
      </w:r>
      <w:r w:rsidRPr="009A7F06">
        <w:rPr>
          <w:sz w:val="22"/>
          <w:szCs w:val="22"/>
          <w:lang w:val="lv-LV"/>
        </w:rPr>
        <w:t xml:space="preserve">iem pacientiem </w:t>
      </w:r>
      <w:r w:rsidR="00587150" w:rsidRPr="009A7F06">
        <w:rPr>
          <w:sz w:val="22"/>
          <w:szCs w:val="22"/>
          <w:lang w:val="lv-LV"/>
        </w:rPr>
        <w:t>nav atšķirīgs lietošanas režīms.</w:t>
      </w:r>
    </w:p>
    <w:p w:rsidR="006F28B1" w:rsidRPr="009A7F06" w:rsidRDefault="006F28B1" w:rsidP="009A7F06">
      <w:pPr>
        <w:jc w:val="both"/>
        <w:rPr>
          <w:sz w:val="22"/>
          <w:szCs w:val="22"/>
          <w:lang w:val="lv-LV"/>
        </w:rPr>
      </w:pPr>
    </w:p>
    <w:p w:rsidR="006F28B1" w:rsidRPr="009A7F06" w:rsidRDefault="006F28B1" w:rsidP="009A7F06">
      <w:pPr>
        <w:jc w:val="both"/>
        <w:rPr>
          <w:sz w:val="22"/>
          <w:szCs w:val="22"/>
        </w:rPr>
      </w:pPr>
      <w:r w:rsidRPr="009A7F06">
        <w:rPr>
          <w:i/>
          <w:sz w:val="22"/>
          <w:szCs w:val="22"/>
          <w:lang w:val="lv-LV"/>
        </w:rPr>
        <w:t>Pacientiem ar pavājinātu nieru vai aknu darbību</w:t>
      </w:r>
    </w:p>
    <w:p w:rsidR="006F28B1" w:rsidRPr="009A7F06" w:rsidRDefault="00587150" w:rsidP="009A7F06">
      <w:pPr>
        <w:jc w:val="both"/>
        <w:rPr>
          <w:sz w:val="22"/>
          <w:szCs w:val="22"/>
          <w:lang w:val="lv-LV"/>
        </w:rPr>
      </w:pPr>
      <w:r w:rsidRPr="009A7F06">
        <w:rPr>
          <w:sz w:val="22"/>
          <w:szCs w:val="22"/>
        </w:rPr>
        <w:t xml:space="preserve">Nav pieejami dati par </w:t>
      </w:r>
      <w:r w:rsidRPr="009A7F06">
        <w:rPr>
          <w:iCs/>
          <w:sz w:val="22"/>
          <w:szCs w:val="22"/>
        </w:rPr>
        <w:t>Oxis</w:t>
      </w:r>
      <w:r w:rsidR="00E857F0" w:rsidRPr="009A7F06">
        <w:rPr>
          <w:iCs/>
          <w:sz w:val="22"/>
          <w:szCs w:val="22"/>
        </w:rPr>
        <w:t xml:space="preserve"> </w:t>
      </w:r>
      <w:r w:rsidRPr="009A7F06">
        <w:rPr>
          <w:iCs/>
          <w:sz w:val="22"/>
          <w:szCs w:val="22"/>
        </w:rPr>
        <w:t xml:space="preserve">Turbuhaler </w:t>
      </w:r>
      <w:r w:rsidRPr="009A7F06">
        <w:rPr>
          <w:sz w:val="22"/>
          <w:szCs w:val="22"/>
        </w:rPr>
        <w:t>lietošanu pacientiem ar aknu vai nieru darbības traucējumiem</w:t>
      </w:r>
      <w:r w:rsidRPr="009A7F06">
        <w:rPr>
          <w:sz w:val="22"/>
          <w:szCs w:val="22"/>
          <w:lang w:val="lv-LV"/>
        </w:rPr>
        <w:t xml:space="preserve"> </w:t>
      </w:r>
      <w:r w:rsidR="006F28B1" w:rsidRPr="009A7F06">
        <w:rPr>
          <w:sz w:val="22"/>
          <w:szCs w:val="22"/>
          <w:lang w:val="lv-LV"/>
        </w:rPr>
        <w:t>(</w:t>
      </w:r>
      <w:r w:rsidR="00C64316" w:rsidRPr="009A7F06">
        <w:rPr>
          <w:sz w:val="22"/>
          <w:szCs w:val="22"/>
          <w:lang w:val="lv-LV"/>
        </w:rPr>
        <w:t>s</w:t>
      </w:r>
      <w:r w:rsidR="006F28B1" w:rsidRPr="009A7F06">
        <w:rPr>
          <w:sz w:val="22"/>
          <w:szCs w:val="22"/>
          <w:lang w:val="lv-LV"/>
        </w:rPr>
        <w:t>katīt 5.2. apakšpunktu)</w:t>
      </w:r>
      <w:r w:rsidR="00C64316" w:rsidRPr="009A7F06">
        <w:rPr>
          <w:sz w:val="22"/>
          <w:szCs w:val="22"/>
          <w:lang w:val="lv-LV"/>
        </w:rPr>
        <w:t>.</w:t>
      </w:r>
    </w:p>
    <w:p w:rsidR="00587150" w:rsidRPr="009A7F06" w:rsidRDefault="00587150" w:rsidP="009A7F06">
      <w:pPr>
        <w:jc w:val="both"/>
        <w:rPr>
          <w:sz w:val="22"/>
          <w:szCs w:val="22"/>
          <w:lang w:val="lv-LV"/>
        </w:rPr>
      </w:pPr>
    </w:p>
    <w:p w:rsidR="00587150" w:rsidRPr="009A7F06" w:rsidRDefault="00587150" w:rsidP="009A7F06">
      <w:pPr>
        <w:jc w:val="both"/>
        <w:rPr>
          <w:i/>
          <w:sz w:val="22"/>
          <w:szCs w:val="22"/>
          <w:lang w:val="lv-LV"/>
        </w:rPr>
      </w:pPr>
      <w:r w:rsidRPr="009A7F06">
        <w:rPr>
          <w:i/>
          <w:sz w:val="22"/>
          <w:szCs w:val="22"/>
          <w:lang w:val="lv-LV"/>
        </w:rPr>
        <w:t>Pediatriskā populācija</w:t>
      </w:r>
    </w:p>
    <w:p w:rsidR="00587150" w:rsidRPr="009A7F06" w:rsidRDefault="00587150" w:rsidP="009A7F06">
      <w:pPr>
        <w:jc w:val="both"/>
        <w:rPr>
          <w:sz w:val="22"/>
          <w:szCs w:val="22"/>
          <w:lang w:val="lv-LV"/>
        </w:rPr>
      </w:pPr>
      <w:r w:rsidRPr="009A7F06">
        <w:rPr>
          <w:iCs/>
          <w:sz w:val="22"/>
          <w:szCs w:val="22"/>
          <w:lang w:val="lv-LV"/>
        </w:rPr>
        <w:t xml:space="preserve">Tā kā nav pietiekamas informācijas, Oxis Turbuhaler </w:t>
      </w:r>
      <w:r w:rsidRPr="009A7F06">
        <w:rPr>
          <w:sz w:val="22"/>
          <w:szCs w:val="22"/>
          <w:lang w:val="lv-LV"/>
        </w:rPr>
        <w:t>nav ieteicams lietot bērniem, kuri jaunāki par 6 gadiem.</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i/>
          <w:sz w:val="22"/>
          <w:szCs w:val="22"/>
          <w:lang w:val="lv-LV"/>
        </w:rPr>
        <w:t>NB!</w:t>
      </w:r>
      <w:r w:rsidRPr="009A7F06">
        <w:rPr>
          <w:sz w:val="22"/>
          <w:szCs w:val="22"/>
          <w:lang w:val="lv-LV"/>
        </w:rPr>
        <w:t xml:space="preserve"> Pieejami arī inhalatori ar mazāku </w:t>
      </w:r>
      <w:r w:rsidR="009441F1" w:rsidRPr="009A7F06">
        <w:rPr>
          <w:sz w:val="22"/>
          <w:szCs w:val="22"/>
          <w:lang w:val="lv-LV"/>
        </w:rPr>
        <w:t>(</w:t>
      </w:r>
      <w:r w:rsidR="00587150" w:rsidRPr="009A7F06">
        <w:rPr>
          <w:sz w:val="22"/>
          <w:szCs w:val="22"/>
          <w:lang w:val="lv-LV"/>
        </w:rPr>
        <w:t xml:space="preserve">4.5 mikrogrami/ devā) </w:t>
      </w:r>
      <w:r w:rsidRPr="009A7F06">
        <w:rPr>
          <w:sz w:val="22"/>
          <w:szCs w:val="22"/>
          <w:lang w:val="lv-LV"/>
        </w:rPr>
        <w:t>aktīvās vielas saturu.</w:t>
      </w:r>
    </w:p>
    <w:p w:rsidR="003F4DD9" w:rsidRPr="009A7F06" w:rsidRDefault="003F4DD9" w:rsidP="009A7F06">
      <w:pPr>
        <w:jc w:val="both"/>
        <w:rPr>
          <w:sz w:val="22"/>
          <w:szCs w:val="22"/>
          <w:lang w:val="lv-LV"/>
        </w:rPr>
      </w:pPr>
    </w:p>
    <w:p w:rsidR="003F4DD9" w:rsidRPr="009A7F06" w:rsidRDefault="003F4DD9" w:rsidP="009A7F06">
      <w:pPr>
        <w:jc w:val="both"/>
        <w:rPr>
          <w:sz w:val="22"/>
          <w:szCs w:val="22"/>
          <w:u w:val="single"/>
          <w:lang w:val="lv-LV"/>
        </w:rPr>
      </w:pPr>
      <w:r w:rsidRPr="009A7F06">
        <w:rPr>
          <w:sz w:val="22"/>
          <w:szCs w:val="22"/>
          <w:u w:val="single"/>
          <w:lang w:val="lv-LV"/>
        </w:rPr>
        <w:t>Lietošanas veids</w:t>
      </w:r>
    </w:p>
    <w:p w:rsidR="003F4DD9" w:rsidRPr="009A7F06" w:rsidRDefault="003F4DD9" w:rsidP="009A7F06">
      <w:pPr>
        <w:jc w:val="both"/>
        <w:rPr>
          <w:i/>
          <w:sz w:val="22"/>
          <w:szCs w:val="22"/>
          <w:lang w:val="lv-LV"/>
        </w:rPr>
      </w:pPr>
      <w:r w:rsidRPr="009A7F06">
        <w:rPr>
          <w:i/>
          <w:sz w:val="22"/>
          <w:szCs w:val="22"/>
          <w:lang w:val="lv-LV"/>
        </w:rPr>
        <w:t>Norādījumi par pareizu Oxis Turbuhaler lietošanu</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Oxis Turbuhaler tiek darbināts ar ieelpu. Tas nozīmē, ka pacientam ieelpojot caur iemut</w:t>
      </w:r>
      <w:r w:rsidR="00633E46" w:rsidRPr="009A7F06">
        <w:rPr>
          <w:sz w:val="22"/>
          <w:szCs w:val="22"/>
          <w:lang w:val="lv-LV"/>
        </w:rPr>
        <w:t>n</w:t>
      </w:r>
      <w:r w:rsidRPr="009A7F06">
        <w:rPr>
          <w:sz w:val="22"/>
          <w:szCs w:val="22"/>
          <w:lang w:val="lv-LV"/>
        </w:rPr>
        <w:t>i, viela ar ieelpoto gaisu nokļūs elpceļos.</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Piezīme! Svarīgi norādīt pacientam, ka, lai ieelpotu optimālo devu, jāizdara spēcīga un dziļa ieelpa caur iemut</w:t>
      </w:r>
      <w:r w:rsidR="00633E46" w:rsidRPr="009A7F06">
        <w:rPr>
          <w:sz w:val="22"/>
          <w:szCs w:val="22"/>
          <w:lang w:val="lv-LV"/>
        </w:rPr>
        <w:t>n</w:t>
      </w:r>
      <w:r w:rsidRPr="009A7F06">
        <w:rPr>
          <w:sz w:val="22"/>
          <w:szCs w:val="22"/>
          <w:lang w:val="lv-LV"/>
        </w:rPr>
        <w:t>i.</w:t>
      </w:r>
    </w:p>
    <w:p w:rsidR="00914980" w:rsidRPr="009A7F06" w:rsidRDefault="00914980"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Ir svarīgi norādīt pacientam, ka nedrīkst sakost iemut</w:t>
      </w:r>
      <w:r w:rsidR="00633E46" w:rsidRPr="009A7F06">
        <w:rPr>
          <w:sz w:val="22"/>
          <w:szCs w:val="22"/>
          <w:lang w:val="lv-LV"/>
        </w:rPr>
        <w:t>n</w:t>
      </w:r>
      <w:r w:rsidRPr="009A7F06">
        <w:rPr>
          <w:sz w:val="22"/>
          <w:szCs w:val="22"/>
          <w:lang w:val="lv-LV"/>
        </w:rPr>
        <w:t>i un lietot inhalatoru, ja tas ir bijis bojāts vai iemut</w:t>
      </w:r>
      <w:r w:rsidR="00633E46" w:rsidRPr="009A7F06">
        <w:rPr>
          <w:sz w:val="22"/>
          <w:szCs w:val="22"/>
          <w:lang w:val="lv-LV"/>
        </w:rPr>
        <w:t>n</w:t>
      </w:r>
      <w:r w:rsidRPr="009A7F06">
        <w:rPr>
          <w:sz w:val="22"/>
          <w:szCs w:val="22"/>
          <w:lang w:val="lv-LV"/>
        </w:rPr>
        <w:t>is ir atdalījies.</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Lietojot Oxis Turbuhaler, pacients nejūt zāles un to garšu, jo izdalās neliels zāļu daudzums.</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Sīkāki norādījumi par lietošanu ir katra inhalatora iepakojumā.</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4.3. Kontrindikācijas</w:t>
      </w:r>
    </w:p>
    <w:p w:rsidR="00E369B1" w:rsidRPr="009A7F06" w:rsidRDefault="00E369B1" w:rsidP="009A7F06">
      <w:pPr>
        <w:jc w:val="both"/>
        <w:rPr>
          <w:b/>
          <w:sz w:val="22"/>
          <w:szCs w:val="22"/>
          <w:lang w:val="lv-LV"/>
        </w:rPr>
      </w:pPr>
    </w:p>
    <w:p w:rsidR="006F28B1" w:rsidRPr="009A7F06" w:rsidRDefault="003F4DD9" w:rsidP="009A7F06">
      <w:pPr>
        <w:jc w:val="both"/>
        <w:rPr>
          <w:sz w:val="22"/>
          <w:szCs w:val="22"/>
          <w:lang w:val="lv-LV"/>
        </w:rPr>
      </w:pPr>
      <w:r w:rsidRPr="009A7F06">
        <w:rPr>
          <w:sz w:val="22"/>
          <w:szCs w:val="22"/>
          <w:lang w:val="lv-LV"/>
        </w:rPr>
        <w:t>Paaugstināta jutība pret aktīvo(-ajām) vielu(-ām) vai jebkuru no 6.1. apakšpunktā uzskaitītajām palīgvielām.</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 xml:space="preserve">4.4. Īpaši brīdinājumi un piesardzība lietošanā </w:t>
      </w:r>
    </w:p>
    <w:p w:rsidR="00E369B1" w:rsidRPr="009A7F06" w:rsidRDefault="00E369B1" w:rsidP="009A7F06">
      <w:pPr>
        <w:jc w:val="both"/>
        <w:rPr>
          <w:b/>
          <w:sz w:val="22"/>
          <w:szCs w:val="22"/>
          <w:lang w:val="lv-LV"/>
        </w:rPr>
      </w:pPr>
    </w:p>
    <w:p w:rsidR="003F4DD9" w:rsidRPr="009A7F06" w:rsidRDefault="003F4DD9" w:rsidP="009A7F06">
      <w:pPr>
        <w:jc w:val="both"/>
        <w:rPr>
          <w:sz w:val="22"/>
          <w:szCs w:val="22"/>
          <w:u w:val="single"/>
          <w:lang w:val="lv-LV"/>
        </w:rPr>
      </w:pPr>
      <w:r w:rsidRPr="009A7F06">
        <w:rPr>
          <w:sz w:val="22"/>
          <w:szCs w:val="22"/>
          <w:u w:val="single"/>
          <w:lang w:val="lv-LV"/>
        </w:rPr>
        <w:t>Vispārēji</w:t>
      </w:r>
    </w:p>
    <w:p w:rsidR="009441F1" w:rsidRPr="009A7F06" w:rsidRDefault="009441F1" w:rsidP="009A7F06">
      <w:pPr>
        <w:autoSpaceDE w:val="0"/>
        <w:autoSpaceDN w:val="0"/>
        <w:adjustRightInd w:val="0"/>
        <w:rPr>
          <w:sz w:val="22"/>
          <w:szCs w:val="22"/>
          <w:lang w:val="lv-LV" w:eastAsia="lv-LV"/>
        </w:rPr>
      </w:pPr>
      <w:r w:rsidRPr="009A7F06">
        <w:rPr>
          <w:sz w:val="22"/>
          <w:szCs w:val="22"/>
          <w:lang w:val="lv-LV"/>
        </w:rPr>
        <w:t>Oxis Turbuhaler</w:t>
      </w:r>
      <w:r w:rsidRPr="009A7F06">
        <w:rPr>
          <w:sz w:val="22"/>
          <w:szCs w:val="22"/>
          <w:lang w:val="lv-LV" w:eastAsia="lv-LV"/>
        </w:rPr>
        <w:t xml:space="preserve"> nedrīkst lietot (un tas nav pietiekams) kā pirmo astmas ārstēšanas līdzekli.</w:t>
      </w:r>
    </w:p>
    <w:p w:rsidR="00316727" w:rsidRPr="009A7F06" w:rsidRDefault="00316727" w:rsidP="009A7F06">
      <w:pPr>
        <w:jc w:val="both"/>
        <w:rPr>
          <w:sz w:val="22"/>
          <w:szCs w:val="22"/>
          <w:lang w:val="lv-LV"/>
        </w:rPr>
      </w:pPr>
      <w:r w:rsidRPr="009A7F06">
        <w:rPr>
          <w:sz w:val="22"/>
          <w:szCs w:val="22"/>
          <w:lang w:val="lv-LV"/>
        </w:rPr>
        <w:t xml:space="preserve">Bronhiālās astmas slimniekiem, kam ir nepieciešama ārstēšana ar </w:t>
      </w:r>
      <w:r w:rsidRPr="009A7F06">
        <w:rPr>
          <w:sz w:val="22"/>
          <w:szCs w:val="22"/>
          <w:lang w:val="lv-LV"/>
        </w:rPr>
        <w:sym w:font="Symbol" w:char="F062"/>
      </w:r>
      <w:r w:rsidRPr="009A7F06">
        <w:rPr>
          <w:sz w:val="22"/>
          <w:szCs w:val="22"/>
          <w:vertAlign w:val="subscript"/>
          <w:lang w:val="lv-LV"/>
        </w:rPr>
        <w:t xml:space="preserve">2 </w:t>
      </w:r>
      <w:r w:rsidRPr="009A7F06">
        <w:rPr>
          <w:sz w:val="22"/>
          <w:szCs w:val="22"/>
          <w:lang w:val="lv-LV"/>
        </w:rPr>
        <w:t xml:space="preserve">agonistiem, jāsaņem arī optimāla pretiekaisuma terapija ar kortikosteroīdiem. Pacientiem jāiesaka turpināt pretiekaisuma terapiju pēc Oxis Turbuhaler lietošanas sākšanas, pat ja simptomi mazinās. Ja simptomi saglabājas vai jāpalielina ārstēšana ar </w:t>
      </w:r>
      <w:r w:rsidRPr="009A7F06">
        <w:rPr>
          <w:sz w:val="22"/>
          <w:szCs w:val="22"/>
          <w:lang w:val="lv-LV"/>
        </w:rPr>
        <w:sym w:font="Symbol" w:char="F062"/>
      </w:r>
      <w:r w:rsidRPr="009A7F06">
        <w:rPr>
          <w:sz w:val="22"/>
          <w:szCs w:val="22"/>
          <w:vertAlign w:val="subscript"/>
          <w:lang w:val="lv-LV"/>
        </w:rPr>
        <w:t>2</w:t>
      </w:r>
      <w:r w:rsidRPr="009A7F06">
        <w:rPr>
          <w:sz w:val="22"/>
          <w:szCs w:val="22"/>
          <w:lang w:val="lv-LV"/>
        </w:rPr>
        <w:t xml:space="preserve"> agonistiem, tas liecina par pamatslimības gaitas pasliktināšanos, un bronhiālās astmas ārstēšana ir jāpārskata. </w:t>
      </w:r>
    </w:p>
    <w:p w:rsidR="00316727" w:rsidRPr="009A7F06" w:rsidRDefault="00316727" w:rsidP="009A7F06">
      <w:pPr>
        <w:jc w:val="both"/>
        <w:rPr>
          <w:sz w:val="22"/>
          <w:szCs w:val="22"/>
          <w:lang w:val="lv-LV"/>
        </w:rPr>
      </w:pPr>
    </w:p>
    <w:p w:rsidR="00316727" w:rsidRPr="009A7F06" w:rsidRDefault="00316727" w:rsidP="009A7F06">
      <w:pPr>
        <w:autoSpaceDE w:val="0"/>
        <w:autoSpaceDN w:val="0"/>
        <w:adjustRightInd w:val="0"/>
        <w:rPr>
          <w:sz w:val="22"/>
          <w:szCs w:val="22"/>
          <w:lang w:val="lv-LV" w:eastAsia="lv-LV"/>
        </w:rPr>
      </w:pPr>
      <w:r w:rsidRPr="009A7F06">
        <w:rPr>
          <w:sz w:val="22"/>
          <w:szCs w:val="22"/>
          <w:lang w:val="lv-LV" w:eastAsia="lv-LV"/>
        </w:rPr>
        <w:t xml:space="preserve">Lai gan </w:t>
      </w:r>
      <w:r w:rsidRPr="009A7F06">
        <w:rPr>
          <w:iCs/>
          <w:sz w:val="22"/>
          <w:szCs w:val="22"/>
          <w:lang w:val="lv-LV"/>
        </w:rPr>
        <w:t>Oxis Turbuhaler</w:t>
      </w:r>
      <w:r w:rsidRPr="009A7F06">
        <w:rPr>
          <w:sz w:val="22"/>
          <w:szCs w:val="22"/>
          <w:lang w:val="lv-LV"/>
        </w:rPr>
        <w:t xml:space="preserve"> </w:t>
      </w:r>
      <w:r w:rsidRPr="009A7F06">
        <w:rPr>
          <w:sz w:val="22"/>
          <w:szCs w:val="22"/>
          <w:lang w:val="lv-LV" w:eastAsia="lv-LV"/>
        </w:rPr>
        <w:t>var pievienot par papildlīdzekli astmas terapijā, ja inhalējamie</w:t>
      </w:r>
    </w:p>
    <w:p w:rsidR="00316727" w:rsidRPr="009A7F06" w:rsidRDefault="00316727" w:rsidP="009A7F06">
      <w:pPr>
        <w:autoSpaceDE w:val="0"/>
        <w:autoSpaceDN w:val="0"/>
        <w:adjustRightInd w:val="0"/>
        <w:rPr>
          <w:sz w:val="22"/>
          <w:szCs w:val="22"/>
          <w:lang w:val="lv-LV" w:eastAsia="lv-LV"/>
        </w:rPr>
      </w:pPr>
      <w:r w:rsidRPr="009A7F06">
        <w:rPr>
          <w:sz w:val="22"/>
          <w:szCs w:val="22"/>
          <w:lang w:val="lv-LV" w:eastAsia="lv-LV"/>
        </w:rPr>
        <w:t xml:space="preserve">kortikosteroīdi nesniedz pietiekamu astmas simptomu kontroli, tomēr </w:t>
      </w:r>
      <w:r w:rsidRPr="009A7F06">
        <w:rPr>
          <w:iCs/>
          <w:sz w:val="22"/>
          <w:szCs w:val="22"/>
          <w:lang w:val="lv-LV"/>
        </w:rPr>
        <w:t>Oxis Turbuhaler</w:t>
      </w:r>
    </w:p>
    <w:p w:rsidR="00316727" w:rsidRPr="009A7F06" w:rsidRDefault="00316727" w:rsidP="009A7F06">
      <w:pPr>
        <w:autoSpaceDE w:val="0"/>
        <w:autoSpaceDN w:val="0"/>
        <w:adjustRightInd w:val="0"/>
        <w:rPr>
          <w:sz w:val="22"/>
          <w:szCs w:val="22"/>
          <w:lang w:val="lv-LV"/>
        </w:rPr>
      </w:pPr>
      <w:r w:rsidRPr="009A7F06">
        <w:rPr>
          <w:sz w:val="22"/>
          <w:szCs w:val="22"/>
          <w:lang w:val="lv-LV" w:eastAsia="lv-LV"/>
        </w:rPr>
        <w:t>ordinēšanu nedrīkst sākt smaga akūta astmas uzliesmojuma laikā, kā arī tad, ja pacientam astmas gaita būtiski pasliktinās vai astmas lēkmes laikā.</w:t>
      </w:r>
    </w:p>
    <w:p w:rsidR="00316727" w:rsidRPr="009A7F06" w:rsidRDefault="00316727" w:rsidP="009A7F06">
      <w:pPr>
        <w:jc w:val="both"/>
        <w:rPr>
          <w:sz w:val="22"/>
          <w:szCs w:val="22"/>
          <w:lang w:val="lv-LV"/>
        </w:rPr>
      </w:pPr>
    </w:p>
    <w:p w:rsidR="00316727" w:rsidRPr="009A7F06" w:rsidRDefault="00316727" w:rsidP="009A7F06">
      <w:pPr>
        <w:autoSpaceDE w:val="0"/>
        <w:autoSpaceDN w:val="0"/>
        <w:adjustRightInd w:val="0"/>
        <w:rPr>
          <w:sz w:val="22"/>
          <w:szCs w:val="22"/>
          <w:lang w:val="lv-LV" w:eastAsia="lv-LV"/>
        </w:rPr>
      </w:pPr>
      <w:r w:rsidRPr="009A7F06">
        <w:rPr>
          <w:iCs/>
          <w:sz w:val="22"/>
          <w:szCs w:val="22"/>
          <w:lang w:val="lv-LV"/>
        </w:rPr>
        <w:t>Oxis Turbuhaler</w:t>
      </w:r>
      <w:r w:rsidRPr="009A7F06">
        <w:rPr>
          <w:sz w:val="22"/>
          <w:szCs w:val="22"/>
          <w:lang w:val="lv-LV"/>
        </w:rPr>
        <w:t xml:space="preserve"> </w:t>
      </w:r>
      <w:r w:rsidRPr="009A7F06">
        <w:rPr>
          <w:sz w:val="22"/>
          <w:szCs w:val="22"/>
          <w:lang w:val="lv-LV" w:eastAsia="lv-LV"/>
        </w:rPr>
        <w:t>lietošanas laikā var rasties smagi ar astmu saistīti nevēlami notikumi un</w:t>
      </w:r>
    </w:p>
    <w:p w:rsidR="00316727" w:rsidRPr="009A7F06" w:rsidRDefault="00316727" w:rsidP="009A7F06">
      <w:pPr>
        <w:autoSpaceDE w:val="0"/>
        <w:autoSpaceDN w:val="0"/>
        <w:adjustRightInd w:val="0"/>
        <w:rPr>
          <w:sz w:val="22"/>
          <w:szCs w:val="22"/>
          <w:lang w:val="lv-LV"/>
        </w:rPr>
      </w:pPr>
      <w:r w:rsidRPr="009A7F06">
        <w:rPr>
          <w:sz w:val="22"/>
          <w:szCs w:val="22"/>
          <w:lang w:val="lv-LV" w:eastAsia="lv-LV"/>
        </w:rPr>
        <w:t xml:space="preserve">astmas uzliesmojums. Pacienti jāaicina turpināt ārstēšanos. Tomēr, ja pēc </w:t>
      </w:r>
      <w:r w:rsidRPr="009A7F06">
        <w:rPr>
          <w:iCs/>
          <w:sz w:val="22"/>
          <w:szCs w:val="22"/>
          <w:lang w:val="lv-LV"/>
        </w:rPr>
        <w:t xml:space="preserve">Oxis Turbuhaler </w:t>
      </w:r>
      <w:r w:rsidRPr="009A7F06">
        <w:rPr>
          <w:sz w:val="22"/>
          <w:szCs w:val="22"/>
          <w:lang w:val="lv-LV" w:eastAsia="lv-LV"/>
        </w:rPr>
        <w:t>lietošanas sākšanas astmas simptomi joprojām netiek kontrolēti vai pastiprinās, pacienti jāaicina vērsties pie ārsta.</w:t>
      </w:r>
      <w:r w:rsidRPr="009A7F06">
        <w:rPr>
          <w:sz w:val="22"/>
          <w:szCs w:val="22"/>
          <w:lang w:val="lv-LV"/>
        </w:rPr>
        <w:t xml:space="preserve"> </w:t>
      </w:r>
    </w:p>
    <w:p w:rsidR="00316727" w:rsidRPr="009A7F06" w:rsidRDefault="00316727" w:rsidP="009A7F06">
      <w:pPr>
        <w:autoSpaceDE w:val="0"/>
        <w:autoSpaceDN w:val="0"/>
        <w:adjustRightInd w:val="0"/>
        <w:rPr>
          <w:sz w:val="22"/>
          <w:szCs w:val="22"/>
          <w:lang w:val="lv-LV"/>
        </w:rPr>
      </w:pPr>
    </w:p>
    <w:p w:rsidR="00316727" w:rsidRPr="009A7F06" w:rsidRDefault="00316727" w:rsidP="009A7F06">
      <w:pPr>
        <w:autoSpaceDE w:val="0"/>
        <w:autoSpaceDN w:val="0"/>
        <w:adjustRightInd w:val="0"/>
        <w:rPr>
          <w:sz w:val="22"/>
          <w:szCs w:val="22"/>
          <w:lang w:val="lv-LV"/>
        </w:rPr>
      </w:pPr>
      <w:r w:rsidRPr="009A7F06">
        <w:rPr>
          <w:sz w:val="22"/>
          <w:szCs w:val="22"/>
          <w:lang w:val="lv-LV" w:eastAsia="lv-LV"/>
        </w:rPr>
        <w:t xml:space="preserve">Tiklīdz panākta astmas simptomu kontrole, var apsvērt iespēju pakāpeniski mazināt </w:t>
      </w:r>
      <w:r w:rsidRPr="009A7F06">
        <w:rPr>
          <w:iCs/>
          <w:sz w:val="22"/>
          <w:szCs w:val="22"/>
          <w:lang w:val="lv-LV"/>
        </w:rPr>
        <w:t>Oxis Turbuhaler</w:t>
      </w:r>
      <w:r w:rsidRPr="009A7F06">
        <w:rPr>
          <w:sz w:val="22"/>
          <w:szCs w:val="22"/>
          <w:lang w:val="lv-LV" w:eastAsia="lv-LV"/>
        </w:rPr>
        <w:t xml:space="preserve"> devu. Zāļu devas mazināšanas laikā ir svarīgi regulāri vērtēt pacienta veselību. Jāordinē mazākā </w:t>
      </w:r>
      <w:r w:rsidRPr="009A7F06">
        <w:rPr>
          <w:iCs/>
          <w:sz w:val="22"/>
          <w:szCs w:val="22"/>
          <w:lang w:val="lv-LV"/>
        </w:rPr>
        <w:t xml:space="preserve">Oxis Turbuhaler </w:t>
      </w:r>
      <w:r w:rsidRPr="009A7F06">
        <w:rPr>
          <w:sz w:val="22"/>
          <w:szCs w:val="22"/>
          <w:lang w:val="lv-LV" w:eastAsia="lv-LV"/>
        </w:rPr>
        <w:t>efektīvā deva.</w:t>
      </w:r>
      <w:r w:rsidRPr="009A7F06">
        <w:rPr>
          <w:sz w:val="22"/>
          <w:szCs w:val="22"/>
          <w:lang w:val="lv-LV"/>
        </w:rPr>
        <w:t xml:space="preserve"> </w:t>
      </w:r>
    </w:p>
    <w:p w:rsidR="00316727" w:rsidRPr="009A7F06" w:rsidRDefault="00316727" w:rsidP="009A7F06">
      <w:pPr>
        <w:jc w:val="both"/>
        <w:rPr>
          <w:sz w:val="22"/>
          <w:szCs w:val="22"/>
          <w:lang w:val="lv-LV"/>
        </w:rPr>
      </w:pPr>
    </w:p>
    <w:p w:rsidR="00316727" w:rsidRPr="009A7F06" w:rsidRDefault="00316727" w:rsidP="009A7F06">
      <w:pPr>
        <w:jc w:val="both"/>
        <w:rPr>
          <w:sz w:val="22"/>
          <w:szCs w:val="22"/>
          <w:lang w:val="lv-LV"/>
        </w:rPr>
      </w:pPr>
      <w:r w:rsidRPr="009A7F06">
        <w:rPr>
          <w:sz w:val="22"/>
          <w:szCs w:val="22"/>
          <w:lang w:val="lv-LV"/>
        </w:rPr>
        <w:t>Nedrīkst pārsniegt maksimālo dienas devu. Nav pierādīt</w:t>
      </w:r>
      <w:r w:rsidR="00DA455E" w:rsidRPr="009A7F06">
        <w:rPr>
          <w:sz w:val="22"/>
          <w:szCs w:val="22"/>
          <w:lang w:val="lv-LV"/>
        </w:rPr>
        <w:t>s</w:t>
      </w:r>
      <w:r w:rsidRPr="009A7F06">
        <w:rPr>
          <w:sz w:val="22"/>
          <w:szCs w:val="22"/>
          <w:lang w:val="lv-LV"/>
        </w:rPr>
        <w:t xml:space="preserve"> ilgtermiņa </w:t>
      </w:r>
      <w:r w:rsidR="00DA455E" w:rsidRPr="009A7F06">
        <w:rPr>
          <w:sz w:val="22"/>
          <w:szCs w:val="22"/>
          <w:lang w:val="lv-LV"/>
        </w:rPr>
        <w:t>drošums</w:t>
      </w:r>
      <w:r w:rsidR="00F40586" w:rsidRPr="009A7F06">
        <w:rPr>
          <w:sz w:val="22"/>
          <w:szCs w:val="22"/>
          <w:lang w:val="lv-LV"/>
        </w:rPr>
        <w:t>,</w:t>
      </w:r>
      <w:r w:rsidR="00DA455E" w:rsidRPr="009A7F06">
        <w:rPr>
          <w:sz w:val="22"/>
          <w:szCs w:val="22"/>
          <w:lang w:val="lv-LV"/>
        </w:rPr>
        <w:t xml:space="preserve"> </w:t>
      </w:r>
      <w:r w:rsidRPr="009A7F06">
        <w:rPr>
          <w:sz w:val="22"/>
          <w:szCs w:val="22"/>
          <w:lang w:val="lv-LV"/>
        </w:rPr>
        <w:t xml:space="preserve">regulāri lietojot devas, kas pārsniedz 36 mikrogramus dienā pieaugušajiem ar astmu, 18 mikrogramus dienā bērniem ar astmu un 18 mikrogramus dienā pacientiem ar HOPS. </w:t>
      </w:r>
    </w:p>
    <w:p w:rsidR="00E369B1" w:rsidRPr="009A7F06" w:rsidRDefault="00E369B1" w:rsidP="009A7F06">
      <w:pPr>
        <w:jc w:val="both"/>
        <w:rPr>
          <w:sz w:val="22"/>
          <w:szCs w:val="22"/>
          <w:lang w:val="lv-LV"/>
        </w:rPr>
      </w:pPr>
    </w:p>
    <w:p w:rsidR="00BB46F0" w:rsidRPr="009A7F06" w:rsidRDefault="00E369B1" w:rsidP="009A7F06">
      <w:pPr>
        <w:jc w:val="both"/>
        <w:rPr>
          <w:sz w:val="22"/>
          <w:szCs w:val="22"/>
          <w:lang w:val="lv-LV"/>
        </w:rPr>
      </w:pPr>
      <w:r w:rsidRPr="009A7F06">
        <w:rPr>
          <w:sz w:val="22"/>
          <w:szCs w:val="22"/>
          <w:lang w:val="lv-LV"/>
        </w:rPr>
        <w:t xml:space="preserve">Nepieciešamība bieži lietot zāles fiziskas slodzes izraisītu bronhu spazmu profilaksei var liecināt par nepietiekamu bronhiālās astmas kontroli, un ir jāpārskata bronhiālās astmas terapija un jānovērtē pacienta līdzestība. </w:t>
      </w:r>
    </w:p>
    <w:p w:rsidR="00BB46F0" w:rsidRPr="009A7F06" w:rsidRDefault="00BB46F0"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Ja, neskatoties uz atbilstošu balstterapiju (piemēram, kortikosteroīdi un ilgstošas darbības </w:t>
      </w:r>
      <w:r w:rsidRPr="009A7F06">
        <w:rPr>
          <w:sz w:val="22"/>
          <w:szCs w:val="22"/>
          <w:lang w:val="lv-LV"/>
        </w:rPr>
        <w:sym w:font="Symbol" w:char="F062"/>
      </w:r>
      <w:r w:rsidRPr="009A7F06">
        <w:rPr>
          <w:sz w:val="22"/>
          <w:szCs w:val="22"/>
          <w:vertAlign w:val="subscript"/>
          <w:lang w:val="lv-LV"/>
        </w:rPr>
        <w:t>2</w:t>
      </w:r>
      <w:r w:rsidRPr="009A7F06">
        <w:rPr>
          <w:sz w:val="22"/>
          <w:szCs w:val="22"/>
          <w:lang w:val="lv-LV"/>
        </w:rPr>
        <w:t xml:space="preserve"> agonisti), pacientam fiziskas slodzes izraisītu bronhu spazmu profilaktiska ārstēšana ir nepieciešama vairākas reizes nedēļā, bronhiālās astmas ārstēšanas shēma atkārtoti jānovērtē speciālistam.</w:t>
      </w:r>
    </w:p>
    <w:p w:rsidR="003F4DD9" w:rsidRPr="009A7F06" w:rsidRDefault="003F4DD9" w:rsidP="009A7F06">
      <w:pPr>
        <w:jc w:val="both"/>
        <w:rPr>
          <w:sz w:val="22"/>
          <w:szCs w:val="22"/>
          <w:lang w:val="lv-LV"/>
        </w:rPr>
      </w:pPr>
    </w:p>
    <w:p w:rsidR="003F4DD9" w:rsidRPr="009A7F06" w:rsidRDefault="003F4DD9" w:rsidP="009A7F06">
      <w:pPr>
        <w:jc w:val="both"/>
        <w:rPr>
          <w:sz w:val="22"/>
          <w:szCs w:val="22"/>
          <w:u w:val="single"/>
          <w:lang w:val="lv-LV"/>
        </w:rPr>
      </w:pPr>
      <w:r w:rsidRPr="009A7F06">
        <w:rPr>
          <w:sz w:val="22"/>
          <w:szCs w:val="22"/>
          <w:u w:val="single"/>
          <w:lang w:val="lv-LV"/>
        </w:rPr>
        <w:t>Kardiovaskulārās un endokrīnās slimības</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Pacienti, kam ir tireotoksikoze, feohromocitoma, hipertrofiska obstruktīva kardiomiopātija, idiopātiska subvalvulāra aortāla stenoze, smaga hipertensija, aneirisma vai citi smagas pakāpes kardiovaskulāri traucējumi, piemēram, sirds išēmiskā slimība, tahiaritmija vai smaga sirds mazspēja, jāārstē uzmanīgi.</w:t>
      </w:r>
    </w:p>
    <w:p w:rsidR="00E369B1" w:rsidRPr="009A7F06" w:rsidRDefault="00E369B1" w:rsidP="009A7F06">
      <w:pPr>
        <w:jc w:val="both"/>
        <w:rPr>
          <w:sz w:val="22"/>
          <w:szCs w:val="22"/>
          <w:lang w:val="lv-LV"/>
        </w:rPr>
      </w:pPr>
    </w:p>
    <w:p w:rsidR="003F4DD9" w:rsidRPr="009A7F06" w:rsidRDefault="003F4DD9" w:rsidP="009A7F06">
      <w:pPr>
        <w:jc w:val="both"/>
        <w:rPr>
          <w:sz w:val="22"/>
          <w:szCs w:val="22"/>
          <w:u w:val="single"/>
          <w:lang w:val="lv-LV"/>
        </w:rPr>
      </w:pPr>
      <w:r w:rsidRPr="009A7F06">
        <w:rPr>
          <w:sz w:val="22"/>
          <w:szCs w:val="22"/>
          <w:u w:val="single"/>
          <w:lang w:val="lv-LV"/>
        </w:rPr>
        <w:t>Pagarināts QT intervāls</w:t>
      </w:r>
    </w:p>
    <w:p w:rsidR="006F28B1" w:rsidRPr="009A7F06" w:rsidRDefault="006F28B1" w:rsidP="009A7F06">
      <w:pPr>
        <w:jc w:val="both"/>
        <w:rPr>
          <w:sz w:val="22"/>
          <w:szCs w:val="22"/>
          <w:u w:val="single"/>
          <w:lang w:val="lv-LV"/>
        </w:rPr>
      </w:pPr>
    </w:p>
    <w:p w:rsidR="00E369B1" w:rsidRPr="009A7F06" w:rsidRDefault="00E369B1" w:rsidP="009A7F06">
      <w:pPr>
        <w:jc w:val="both"/>
        <w:rPr>
          <w:sz w:val="22"/>
          <w:szCs w:val="22"/>
          <w:lang w:val="lv-LV"/>
        </w:rPr>
      </w:pPr>
      <w:r w:rsidRPr="009A7F06">
        <w:rPr>
          <w:sz w:val="22"/>
          <w:szCs w:val="22"/>
          <w:lang w:val="lv-LV"/>
        </w:rPr>
        <w:t>Formoterols var pagarināt QTc</w:t>
      </w:r>
      <w:r w:rsidRPr="009A7F06">
        <w:rPr>
          <w:sz w:val="22"/>
          <w:szCs w:val="22"/>
          <w:vertAlign w:val="subscript"/>
          <w:lang w:val="lv-LV"/>
        </w:rPr>
        <w:t xml:space="preserve"> </w:t>
      </w:r>
      <w:r w:rsidRPr="009A7F06">
        <w:rPr>
          <w:sz w:val="22"/>
          <w:szCs w:val="22"/>
          <w:lang w:val="lv-LV"/>
        </w:rPr>
        <w:t xml:space="preserve">intervālu. Uzmanīgi jāārstē pacienti, kam ir pagarināts QTc intervāls, un pacienti, kas saņem QTc intervālu ietekmējošas zāles (skatīt </w:t>
      </w:r>
      <w:r w:rsidR="00DA455E" w:rsidRPr="009A7F06">
        <w:rPr>
          <w:sz w:val="22"/>
          <w:szCs w:val="22"/>
          <w:lang w:val="lv-LV"/>
        </w:rPr>
        <w:t xml:space="preserve">4.5. </w:t>
      </w:r>
      <w:r w:rsidRPr="009A7F06">
        <w:rPr>
          <w:sz w:val="22"/>
          <w:szCs w:val="22"/>
          <w:lang w:val="lv-LV"/>
        </w:rPr>
        <w:t xml:space="preserve">apakšpunktu). </w:t>
      </w:r>
    </w:p>
    <w:p w:rsidR="00E369B1" w:rsidRPr="009A7F06" w:rsidRDefault="00E369B1" w:rsidP="009A7F06">
      <w:pPr>
        <w:jc w:val="both"/>
        <w:rPr>
          <w:sz w:val="22"/>
          <w:szCs w:val="22"/>
          <w:lang w:val="lv-LV"/>
        </w:rPr>
      </w:pPr>
    </w:p>
    <w:p w:rsidR="003F4DD9" w:rsidRPr="009A7F06" w:rsidRDefault="003F4DD9" w:rsidP="009A7F06">
      <w:pPr>
        <w:jc w:val="both"/>
        <w:rPr>
          <w:sz w:val="22"/>
          <w:szCs w:val="22"/>
          <w:u w:val="single"/>
          <w:lang w:val="lv-LV"/>
        </w:rPr>
      </w:pPr>
      <w:r w:rsidRPr="009A7F06">
        <w:rPr>
          <w:sz w:val="22"/>
          <w:szCs w:val="22"/>
          <w:u w:val="single"/>
          <w:lang w:val="lv-LV"/>
        </w:rPr>
        <w:t>Diabēta pacienti</w:t>
      </w:r>
    </w:p>
    <w:p w:rsidR="003F4DD9" w:rsidRPr="009A7F06" w:rsidRDefault="003F4DD9"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sym w:font="Symbol" w:char="F062"/>
      </w:r>
      <w:r w:rsidRPr="009A7F06">
        <w:rPr>
          <w:sz w:val="22"/>
          <w:szCs w:val="22"/>
          <w:vertAlign w:val="subscript"/>
          <w:lang w:val="lv-LV"/>
        </w:rPr>
        <w:t>2</w:t>
      </w:r>
      <w:r w:rsidRPr="009A7F06">
        <w:rPr>
          <w:sz w:val="22"/>
          <w:szCs w:val="22"/>
          <w:lang w:val="lv-LV"/>
        </w:rPr>
        <w:t xml:space="preserve"> agonistu hiperglikēmiskās iedarbības dēļ cukura diabēta slimniekiem sākotnēji ieteicams papildus kontrolēt glikozes līmeni asinīs.</w:t>
      </w:r>
    </w:p>
    <w:p w:rsidR="00E369B1" w:rsidRPr="009A7F06" w:rsidRDefault="00E369B1" w:rsidP="009A7F06">
      <w:pPr>
        <w:jc w:val="both"/>
        <w:rPr>
          <w:sz w:val="22"/>
          <w:szCs w:val="22"/>
          <w:lang w:val="lv-LV"/>
        </w:rPr>
      </w:pPr>
    </w:p>
    <w:p w:rsidR="003F4DD9" w:rsidRPr="009A7F06" w:rsidRDefault="003F4DD9" w:rsidP="009A7F06">
      <w:pPr>
        <w:jc w:val="both"/>
        <w:rPr>
          <w:sz w:val="22"/>
          <w:szCs w:val="22"/>
          <w:u w:val="single"/>
          <w:lang w:val="lv-LV"/>
        </w:rPr>
      </w:pPr>
      <w:r w:rsidRPr="009A7F06">
        <w:rPr>
          <w:sz w:val="22"/>
          <w:szCs w:val="22"/>
          <w:u w:val="single"/>
          <w:lang w:val="lv-LV"/>
        </w:rPr>
        <w:t>Hipokalēmija</w:t>
      </w:r>
    </w:p>
    <w:p w:rsidR="006F28B1" w:rsidRPr="009A7F06" w:rsidRDefault="006F28B1" w:rsidP="009A7F06">
      <w:pPr>
        <w:jc w:val="both"/>
        <w:rPr>
          <w:sz w:val="22"/>
          <w:szCs w:val="22"/>
          <w:u w:val="single"/>
          <w:lang w:val="lv-LV"/>
        </w:rPr>
      </w:pPr>
    </w:p>
    <w:p w:rsidR="00E369B1" w:rsidRPr="009A7F06" w:rsidRDefault="00E369B1" w:rsidP="009A7F06">
      <w:pPr>
        <w:jc w:val="both"/>
        <w:rPr>
          <w:sz w:val="22"/>
          <w:szCs w:val="22"/>
          <w:lang w:val="lv-LV"/>
        </w:rPr>
      </w:pPr>
      <w:r w:rsidRPr="009A7F06">
        <w:rPr>
          <w:sz w:val="22"/>
          <w:szCs w:val="22"/>
          <w:lang w:val="lv-LV"/>
        </w:rPr>
        <w:t xml:space="preserve">Ārstēšana ar </w:t>
      </w:r>
      <w:r w:rsidRPr="009A7F06">
        <w:rPr>
          <w:sz w:val="22"/>
          <w:szCs w:val="22"/>
          <w:lang w:val="lv-LV"/>
        </w:rPr>
        <w:sym w:font="Symbol" w:char="F062"/>
      </w:r>
      <w:r w:rsidRPr="009A7F06">
        <w:rPr>
          <w:sz w:val="22"/>
          <w:szCs w:val="22"/>
          <w:vertAlign w:val="subscript"/>
          <w:lang w:val="lv-LV"/>
        </w:rPr>
        <w:t>2</w:t>
      </w:r>
      <w:r w:rsidRPr="009A7F06">
        <w:rPr>
          <w:sz w:val="22"/>
          <w:szCs w:val="22"/>
          <w:lang w:val="lv-LV"/>
        </w:rPr>
        <w:t xml:space="preserve"> agonistiem var izraisīt nopietnu hipokalēmiju. </w:t>
      </w:r>
      <w:r w:rsidR="003D10CB" w:rsidRPr="009A7F06">
        <w:rPr>
          <w:sz w:val="22"/>
          <w:szCs w:val="22"/>
          <w:lang w:val="lv-LV"/>
        </w:rPr>
        <w:t xml:space="preserve">Zāles </w:t>
      </w:r>
      <w:r w:rsidRPr="009A7F06">
        <w:rPr>
          <w:sz w:val="22"/>
          <w:szCs w:val="22"/>
          <w:lang w:val="lv-LV"/>
        </w:rPr>
        <w:t>īpaši uzmanīgi jālieto akūtas smagas bronhiālās astmas gadījumā, jo iespējamo risku var pastiprināt hipoksija. Hipokalēmisko iedarbību var pastiprināt vienlaikus ārstēšana ar ksantīna atvasinājumiem, steroīdiem un diurētiskiem līdzekļiem, tādēļ jākontrolē kālija līmenis serumā.</w:t>
      </w:r>
    </w:p>
    <w:p w:rsidR="00E369B1" w:rsidRPr="009A7F06" w:rsidRDefault="00E369B1" w:rsidP="009A7F06">
      <w:pPr>
        <w:jc w:val="both"/>
        <w:rPr>
          <w:sz w:val="22"/>
          <w:szCs w:val="22"/>
          <w:lang w:val="lv-LV"/>
        </w:rPr>
      </w:pPr>
    </w:p>
    <w:p w:rsidR="006F28B1" w:rsidRPr="009A7F06" w:rsidRDefault="003F4DD9" w:rsidP="009A7F06">
      <w:pPr>
        <w:jc w:val="both"/>
        <w:rPr>
          <w:sz w:val="22"/>
          <w:szCs w:val="22"/>
          <w:u w:val="single"/>
          <w:lang w:val="lv-LV"/>
        </w:rPr>
      </w:pPr>
      <w:r w:rsidRPr="009A7F06">
        <w:rPr>
          <w:sz w:val="22"/>
          <w:szCs w:val="22"/>
          <w:u w:val="single"/>
          <w:lang w:val="lv-LV"/>
        </w:rPr>
        <w:t>Bronhu spazmas</w:t>
      </w:r>
    </w:p>
    <w:p w:rsidR="00E369B1" w:rsidRPr="009A7F06" w:rsidRDefault="00E369B1" w:rsidP="009A7F06">
      <w:pPr>
        <w:jc w:val="both"/>
        <w:rPr>
          <w:sz w:val="22"/>
          <w:szCs w:val="22"/>
          <w:lang w:val="lv-LV"/>
        </w:rPr>
      </w:pPr>
      <w:r w:rsidRPr="009A7F06">
        <w:rPr>
          <w:sz w:val="22"/>
          <w:szCs w:val="22"/>
          <w:lang w:val="lv-LV"/>
        </w:rPr>
        <w:t>Tāpat kā lietojot citas zāles inhalāciju veidā, jāapsver paradoksālu bronhu spazmu iespējamība. Ja tā notiek, ārstēšana nekavējoties jāpārtrauc un jāuzsāk alternatīva terapija</w:t>
      </w:r>
      <w:r w:rsidR="002419E5" w:rsidRPr="009A7F06">
        <w:rPr>
          <w:sz w:val="22"/>
          <w:szCs w:val="22"/>
          <w:lang w:val="lv-LV"/>
        </w:rPr>
        <w:t xml:space="preserve"> (skatīt </w:t>
      </w:r>
      <w:r w:rsidR="003D10CB" w:rsidRPr="009A7F06">
        <w:rPr>
          <w:sz w:val="22"/>
          <w:szCs w:val="22"/>
          <w:lang w:val="lv-LV"/>
        </w:rPr>
        <w:t xml:space="preserve">4.8. </w:t>
      </w:r>
      <w:r w:rsidR="002419E5" w:rsidRPr="009A7F06">
        <w:rPr>
          <w:sz w:val="22"/>
          <w:szCs w:val="22"/>
          <w:lang w:val="lv-LV"/>
        </w:rPr>
        <w:t>apakšpunktu)</w:t>
      </w:r>
      <w:r w:rsidRPr="009A7F06">
        <w:rPr>
          <w:sz w:val="22"/>
          <w:szCs w:val="22"/>
          <w:lang w:val="lv-LV"/>
        </w:rPr>
        <w:t>.</w:t>
      </w:r>
    </w:p>
    <w:p w:rsidR="00E369B1" w:rsidRPr="009A7F06" w:rsidRDefault="00E369B1" w:rsidP="009A7F06">
      <w:pPr>
        <w:jc w:val="both"/>
        <w:rPr>
          <w:sz w:val="22"/>
          <w:szCs w:val="22"/>
          <w:lang w:val="lv-LV"/>
        </w:rPr>
      </w:pPr>
    </w:p>
    <w:p w:rsidR="006F28B1" w:rsidRPr="009A7F06" w:rsidRDefault="003F4DD9" w:rsidP="009A7F06">
      <w:pPr>
        <w:jc w:val="both"/>
        <w:rPr>
          <w:sz w:val="22"/>
          <w:szCs w:val="22"/>
          <w:u w:val="single"/>
          <w:lang w:val="lv-LV"/>
        </w:rPr>
      </w:pPr>
      <w:r w:rsidRPr="009A7F06">
        <w:rPr>
          <w:sz w:val="22"/>
          <w:szCs w:val="22"/>
          <w:u w:val="single"/>
          <w:lang w:val="lv-LV"/>
        </w:rPr>
        <w:t>Laktozes nepanesība</w:t>
      </w:r>
    </w:p>
    <w:p w:rsidR="00E369B1" w:rsidRPr="009A7F06" w:rsidRDefault="00E369B1" w:rsidP="009A7F06">
      <w:pPr>
        <w:jc w:val="both"/>
        <w:rPr>
          <w:sz w:val="22"/>
          <w:szCs w:val="22"/>
          <w:lang w:val="fr-FR"/>
        </w:rPr>
      </w:pPr>
      <w:r w:rsidRPr="009A7F06">
        <w:rPr>
          <w:sz w:val="22"/>
          <w:szCs w:val="22"/>
          <w:lang w:val="lv-LV"/>
        </w:rPr>
        <w:t xml:space="preserve">Oxis Turbuhaler satur </w:t>
      </w:r>
      <w:r w:rsidR="003F4DD9" w:rsidRPr="009A7F06">
        <w:rPr>
          <w:sz w:val="22"/>
          <w:szCs w:val="22"/>
          <w:lang w:val="lv-LV"/>
        </w:rPr>
        <w:t xml:space="preserve">891 </w:t>
      </w:r>
      <w:r w:rsidRPr="009A7F06">
        <w:rPr>
          <w:sz w:val="22"/>
          <w:szCs w:val="22"/>
          <w:lang w:val="lv-LV"/>
        </w:rPr>
        <w:t xml:space="preserve">mikrogramus laktozes ieelpotā devā (atbilst </w:t>
      </w:r>
      <w:r w:rsidR="003F4DD9" w:rsidRPr="009A7F06">
        <w:rPr>
          <w:sz w:val="22"/>
          <w:szCs w:val="22"/>
          <w:lang w:val="lv-LV"/>
        </w:rPr>
        <w:t xml:space="preserve">1000 </w:t>
      </w:r>
      <w:r w:rsidRPr="009A7F06">
        <w:rPr>
          <w:sz w:val="22"/>
          <w:szCs w:val="22"/>
          <w:lang w:val="lv-LV"/>
        </w:rPr>
        <w:t>mikrogramiem nomērītā devā). Šis daudzums parasti nerada problēmas cilvēkiem, kuri nepanes laktozi</w:t>
      </w:r>
      <w:r w:rsidRPr="00C96E1B">
        <w:rPr>
          <w:sz w:val="22"/>
          <w:szCs w:val="22"/>
          <w:lang w:val="lv-LV"/>
        </w:rPr>
        <w:t xml:space="preserve">. </w:t>
      </w:r>
      <w:r w:rsidRPr="009A7F06">
        <w:rPr>
          <w:sz w:val="22"/>
          <w:szCs w:val="22"/>
          <w:lang w:val="fr-FR"/>
        </w:rPr>
        <w:t>Šīs zāles nevajadzētu lietot pacientiem ar retu iedzimtu galaktozes nepanesību</w:t>
      </w:r>
      <w:r w:rsidR="004F63C6">
        <w:rPr>
          <w:sz w:val="22"/>
          <w:szCs w:val="22"/>
          <w:lang w:val="fr-FR"/>
        </w:rPr>
        <w:t>,</w:t>
      </w:r>
      <w:r w:rsidR="004F63C6" w:rsidRPr="009A7F06">
        <w:rPr>
          <w:sz w:val="22"/>
          <w:szCs w:val="22"/>
          <w:lang w:val="fr-FR"/>
        </w:rPr>
        <w:t xml:space="preserve"> </w:t>
      </w:r>
      <w:r w:rsidR="00F47E90">
        <w:rPr>
          <w:iCs/>
          <w:sz w:val="22"/>
          <w:szCs w:val="22"/>
          <w:lang w:val="fr-FR"/>
        </w:rPr>
        <w:t>pilnīgu</w:t>
      </w:r>
      <w:r w:rsidR="004F63C6" w:rsidRPr="009A7F06">
        <w:rPr>
          <w:sz w:val="22"/>
          <w:szCs w:val="22"/>
          <w:lang w:val="fr-FR"/>
        </w:rPr>
        <w:t xml:space="preserve"> </w:t>
      </w:r>
      <w:r w:rsidRPr="009A7F06">
        <w:rPr>
          <w:sz w:val="22"/>
          <w:szCs w:val="22"/>
          <w:lang w:val="fr-FR"/>
        </w:rPr>
        <w:t>laktāzes deficītu vai glikozes-galaktozes malabsorbciju.</w:t>
      </w:r>
    </w:p>
    <w:p w:rsidR="00E369B1" w:rsidRPr="009A7F06" w:rsidRDefault="00E369B1" w:rsidP="009A7F06">
      <w:pPr>
        <w:jc w:val="both"/>
        <w:rPr>
          <w:sz w:val="22"/>
          <w:szCs w:val="22"/>
          <w:lang w:val="lv-LV"/>
        </w:rPr>
      </w:pPr>
    </w:p>
    <w:p w:rsidR="003F4DD9" w:rsidRPr="009A7F06" w:rsidRDefault="003F4DD9" w:rsidP="009A7F06">
      <w:pPr>
        <w:jc w:val="both"/>
        <w:rPr>
          <w:sz w:val="22"/>
          <w:szCs w:val="22"/>
          <w:u w:val="single"/>
          <w:lang w:val="lv-LV"/>
        </w:rPr>
      </w:pPr>
      <w:r w:rsidRPr="009A7F06">
        <w:rPr>
          <w:sz w:val="22"/>
          <w:szCs w:val="22"/>
          <w:u w:val="single"/>
          <w:lang w:val="lv-LV"/>
        </w:rPr>
        <w:t>Pediatriskā populācija</w:t>
      </w:r>
    </w:p>
    <w:p w:rsidR="00E369B1" w:rsidRPr="009A7F06" w:rsidRDefault="00E369B1" w:rsidP="009A7F06">
      <w:pPr>
        <w:jc w:val="both"/>
        <w:rPr>
          <w:sz w:val="22"/>
          <w:szCs w:val="22"/>
          <w:lang w:val="lv-LV"/>
        </w:rPr>
      </w:pPr>
      <w:r w:rsidRPr="009A7F06">
        <w:rPr>
          <w:sz w:val="22"/>
          <w:szCs w:val="22"/>
          <w:lang w:val="lv-LV"/>
        </w:rPr>
        <w:t>Bērnus līdz 6 gadu vecumam nedrīkst ārstēt ar Oxis Turbuhaler, jo nav pietiekamas pieredzes par šo grupu.</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4.5. Mijiedarbība ar citām zālēm un citi mijiedarbības veidi</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t>Ar Oxis Turbuhaler specifiski mijiedarbības pētījumi nav veikti.</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Vienlaikus ārstēšana ar citām simpatomimētiskām vielām, piemēram, citiem </w:t>
      </w:r>
      <w:r w:rsidR="00F47E90" w:rsidRPr="009A7F06">
        <w:rPr>
          <w:sz w:val="22"/>
          <w:szCs w:val="22"/>
          <w:lang w:val="lv-LV"/>
        </w:rPr>
        <w:sym w:font="Symbol" w:char="F062"/>
      </w:r>
      <w:r w:rsidR="00F47E90" w:rsidRPr="009A7F06">
        <w:rPr>
          <w:sz w:val="22"/>
          <w:szCs w:val="22"/>
          <w:vertAlign w:val="subscript"/>
          <w:lang w:val="lv-LV"/>
        </w:rPr>
        <w:t>2</w:t>
      </w:r>
      <w:r w:rsidR="00F47E90">
        <w:rPr>
          <w:sz w:val="22"/>
          <w:szCs w:val="22"/>
          <w:vertAlign w:val="subscript"/>
          <w:lang w:val="lv-LV"/>
        </w:rPr>
        <w:t xml:space="preserve"> </w:t>
      </w:r>
      <w:r w:rsidRPr="009A7F06">
        <w:rPr>
          <w:sz w:val="22"/>
          <w:szCs w:val="22"/>
          <w:lang w:val="lv-LV"/>
        </w:rPr>
        <w:t xml:space="preserve">agonistiem vai efedrīnu var pastiprināt Oxis Turbuhaler blakusparādības un var būt nepieciešama devas titrēšana. </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Vienlaikus ārstēšana ar ksantīna atvasinājumiem, kortikosteroīdiem vai diurētiskiem līdzekļiem, piemēram, tiazīdiem vai “cilpas diurētiķiem” var pastiprināt </w:t>
      </w:r>
      <w:r w:rsidRPr="009A7F06">
        <w:rPr>
          <w:sz w:val="22"/>
          <w:szCs w:val="22"/>
          <w:lang w:val="lv-LV"/>
        </w:rPr>
        <w:sym w:font="Symbol" w:char="F062"/>
      </w:r>
      <w:r w:rsidRPr="009A7F06">
        <w:rPr>
          <w:sz w:val="22"/>
          <w:szCs w:val="22"/>
          <w:vertAlign w:val="subscript"/>
          <w:lang w:val="lv-LV"/>
        </w:rPr>
        <w:t>2</w:t>
      </w:r>
      <w:r w:rsidRPr="009A7F06">
        <w:rPr>
          <w:sz w:val="22"/>
          <w:szCs w:val="22"/>
          <w:lang w:val="lv-LV"/>
        </w:rPr>
        <w:t xml:space="preserve"> agonistu iespējamo hipokalēmisko iedarbību. Hipokalēmija var palielināt noslieci uz aritmijām pacientiem, kas tiek ārstēti ar uzpirkstītes glikozīdiem.</w:t>
      </w:r>
    </w:p>
    <w:p w:rsidR="00BB46F0" w:rsidRPr="009A7F06" w:rsidRDefault="00BB46F0"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Pastāv teorētisks risks, ka vienlaicīgi lietojot citas zāles, kas pagarina QTc intervālu, var veicināt farmakodinamisko mijiedarbību ar formoterolu un palielināt iespējamo sirds aritmiju risku. Pie šīm zālēm pieder daži antihistamīna līdzekļi (piem., terfenadīns, astemizols, mizolastīns), daži antiaritmiskie līdzekļi (piem., hinidīns, dizopiramīds, prokainamīds), eritromicīns un tricikliskie antidepresanti.</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lastRenderedPageBreak/>
        <w:t xml:space="preserve">Pastāv palielināts aritmiju risks pacientiem, kas vienlaicīgi saņem anestēziju ar halogēnajiem </w:t>
      </w:r>
      <w:r w:rsidR="002419E5" w:rsidRPr="009A7F06">
        <w:rPr>
          <w:sz w:val="22"/>
          <w:szCs w:val="22"/>
          <w:lang w:val="lv-LV"/>
        </w:rPr>
        <w:t>ogļūdeņražiem</w:t>
      </w:r>
      <w:r w:rsidRPr="009A7F06">
        <w:rPr>
          <w:sz w:val="22"/>
          <w:szCs w:val="22"/>
          <w:lang w:val="lv-LV"/>
        </w:rPr>
        <w:t>.</w:t>
      </w:r>
    </w:p>
    <w:p w:rsidR="002419E5" w:rsidRPr="009A7F06" w:rsidRDefault="002419E5"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Formoterola bronhodilatācijas efektivitāti pastiprina antiholīnerģiskās zāles.</w:t>
      </w:r>
    </w:p>
    <w:p w:rsidR="00E369B1" w:rsidRPr="009A7F06" w:rsidRDefault="00E369B1" w:rsidP="009A7F06">
      <w:pPr>
        <w:jc w:val="both"/>
        <w:rPr>
          <w:b/>
          <w:bCs/>
          <w:sz w:val="22"/>
          <w:szCs w:val="22"/>
          <w:u w:val="single"/>
          <w:lang w:val="lv-LV"/>
        </w:rPr>
      </w:pPr>
      <w:r w:rsidRPr="009A7F06">
        <w:rPr>
          <w:b/>
          <w:bCs/>
          <w:sz w:val="22"/>
          <w:szCs w:val="22"/>
          <w:u w:val="single"/>
          <w:lang w:val="lv-LV"/>
        </w:rPr>
        <w:t xml:space="preserve"> </w:t>
      </w:r>
    </w:p>
    <w:p w:rsidR="00E369B1" w:rsidRPr="009A7F06" w:rsidRDefault="00551194" w:rsidP="009A7F06">
      <w:pPr>
        <w:jc w:val="both"/>
        <w:rPr>
          <w:sz w:val="22"/>
          <w:szCs w:val="22"/>
          <w:lang w:val="lv-LV"/>
        </w:rPr>
      </w:pPr>
      <w:r w:rsidRPr="009A7F06">
        <w:rPr>
          <w:sz w:val="22"/>
          <w:szCs w:val="22"/>
          <w:lang w:val="lv-LV"/>
        </w:rPr>
        <w:t>Bēta</w:t>
      </w:r>
      <w:r w:rsidR="00E369B1" w:rsidRPr="009A7F06">
        <w:rPr>
          <w:sz w:val="22"/>
          <w:szCs w:val="22"/>
          <w:lang w:val="lv-LV"/>
        </w:rPr>
        <w:t xml:space="preserve">-adrenerģiskie blokatori var vājināt vai inhibēt </w:t>
      </w:r>
      <w:r w:rsidR="00E369B1" w:rsidRPr="009A7F06">
        <w:rPr>
          <w:iCs/>
          <w:sz w:val="22"/>
          <w:szCs w:val="22"/>
          <w:lang w:val="lv-LV"/>
        </w:rPr>
        <w:t xml:space="preserve">Oxis Turbuhaler </w:t>
      </w:r>
      <w:r w:rsidR="00E369B1" w:rsidRPr="009A7F06">
        <w:rPr>
          <w:sz w:val="22"/>
          <w:szCs w:val="22"/>
          <w:lang w:val="lv-LV"/>
        </w:rPr>
        <w:t xml:space="preserve">iedarbību. Tāpēc </w:t>
      </w:r>
      <w:r w:rsidR="00E369B1" w:rsidRPr="009A7F06">
        <w:rPr>
          <w:iCs/>
          <w:sz w:val="22"/>
          <w:szCs w:val="22"/>
          <w:lang w:val="lv-LV"/>
        </w:rPr>
        <w:t>Oxis Turbuhaler</w:t>
      </w:r>
      <w:r w:rsidR="00E369B1" w:rsidRPr="009A7F06">
        <w:rPr>
          <w:sz w:val="22"/>
          <w:szCs w:val="22"/>
          <w:lang w:val="lv-LV"/>
        </w:rPr>
        <w:t xml:space="preserve"> nedrīkst lietot kopā ar b</w:t>
      </w:r>
      <w:r w:rsidRPr="009A7F06">
        <w:rPr>
          <w:sz w:val="22"/>
          <w:szCs w:val="22"/>
          <w:lang w:val="lv-LV"/>
        </w:rPr>
        <w:t>ē</w:t>
      </w:r>
      <w:r w:rsidR="00E369B1" w:rsidRPr="009A7F06">
        <w:rPr>
          <w:sz w:val="22"/>
          <w:szCs w:val="22"/>
          <w:lang w:val="lv-LV"/>
        </w:rPr>
        <w:t>ta-adrenerģiskajiem blokatoriem (t</w:t>
      </w:r>
      <w:r w:rsidR="003C0DA3">
        <w:rPr>
          <w:sz w:val="22"/>
          <w:szCs w:val="22"/>
          <w:lang w:val="lv-LV"/>
        </w:rPr>
        <w:t>ajā skaitā</w:t>
      </w:r>
      <w:r w:rsidR="00E369B1" w:rsidRPr="009A7F06">
        <w:rPr>
          <w:sz w:val="22"/>
          <w:szCs w:val="22"/>
          <w:lang w:val="lv-LV"/>
        </w:rPr>
        <w:t xml:space="preserve"> acu pilieniem), ja vien tam nav kādi īpaši svarīgi iemesli.</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 xml:space="preserve">4.6. </w:t>
      </w:r>
      <w:r w:rsidR="003F4DD9" w:rsidRPr="009A7F06">
        <w:rPr>
          <w:b/>
          <w:sz w:val="22"/>
          <w:szCs w:val="22"/>
          <w:lang w:val="lv-LV"/>
        </w:rPr>
        <w:t>Fertilitāte, grūtniecība un barošana ar krūti</w:t>
      </w:r>
    </w:p>
    <w:p w:rsidR="00E369B1" w:rsidRPr="009A7F06" w:rsidRDefault="00E369B1" w:rsidP="009A7F06">
      <w:pPr>
        <w:jc w:val="both"/>
        <w:rPr>
          <w:b/>
          <w:sz w:val="22"/>
          <w:szCs w:val="22"/>
          <w:lang w:val="lv-LV"/>
        </w:rPr>
      </w:pPr>
    </w:p>
    <w:p w:rsidR="003F4DD9" w:rsidRPr="009A7F06" w:rsidRDefault="003F4DD9" w:rsidP="009A7F06">
      <w:pPr>
        <w:jc w:val="both"/>
        <w:rPr>
          <w:sz w:val="22"/>
          <w:szCs w:val="22"/>
          <w:u w:val="single"/>
          <w:lang w:val="lv-LV"/>
        </w:rPr>
      </w:pPr>
      <w:r w:rsidRPr="009A7F06">
        <w:rPr>
          <w:sz w:val="22"/>
          <w:szCs w:val="22"/>
          <w:u w:val="single"/>
          <w:lang w:val="lv-LV"/>
        </w:rPr>
        <w:t>Grūtniecība</w:t>
      </w:r>
    </w:p>
    <w:p w:rsidR="00E369B1" w:rsidRPr="009A7F06" w:rsidRDefault="00E369B1" w:rsidP="009A7F06">
      <w:pPr>
        <w:jc w:val="both"/>
        <w:rPr>
          <w:sz w:val="22"/>
          <w:szCs w:val="22"/>
          <w:lang w:val="lv-LV"/>
        </w:rPr>
      </w:pPr>
      <w:r w:rsidRPr="009A7F06">
        <w:rPr>
          <w:sz w:val="22"/>
          <w:szCs w:val="22"/>
          <w:lang w:val="lv-LV"/>
        </w:rPr>
        <w:t xml:space="preserve">Nav pieejami pietiekami dati par formoterola lietošanu grūtniecības laikā. Pētījumos ar dzīvniekiem formoterols izraisīja abortus, kā arī mazināja agrīno izdzīvošanu pēc dzimšanas un dzimšanas masu. Šī iedarbība bija vērojama daudz izteiktākas sistēmiskās iedarbības gadījumā nekā sistēmiskā iedarbība pēc Oxis Turbuhaler klīniskas lietošanas. Terapija ar </w:t>
      </w:r>
      <w:r w:rsidRPr="009A7F06">
        <w:rPr>
          <w:iCs/>
          <w:sz w:val="22"/>
          <w:szCs w:val="22"/>
          <w:lang w:val="lv-LV"/>
        </w:rPr>
        <w:t>Oxis Turbuhaler</w:t>
      </w:r>
      <w:r w:rsidRPr="009A7F06">
        <w:rPr>
          <w:sz w:val="22"/>
          <w:szCs w:val="22"/>
          <w:lang w:val="lv-LV"/>
        </w:rPr>
        <w:t xml:space="preserve"> ir pieļaujama visu grūtniecības laiku, ja tas nepieciešams astmas kontrolei, un ja paredzamais ieguvums mātei pārsniedz iespējamo risku auglim.</w:t>
      </w:r>
      <w:r w:rsidR="002419E5" w:rsidRPr="009A7F06">
        <w:rPr>
          <w:sz w:val="22"/>
          <w:szCs w:val="22"/>
          <w:lang w:val="lv-LV"/>
        </w:rPr>
        <w:t xml:space="preserve"> Potenciālais risks cilvēkam nav zināms.</w:t>
      </w:r>
      <w:r w:rsidRPr="009A7F06">
        <w:rPr>
          <w:sz w:val="22"/>
          <w:szCs w:val="22"/>
          <w:lang w:val="lv-LV"/>
        </w:rPr>
        <w:t xml:space="preserve">  </w:t>
      </w:r>
    </w:p>
    <w:p w:rsidR="003F4DD9" w:rsidRPr="009A7F06" w:rsidRDefault="003F4DD9" w:rsidP="009A7F06">
      <w:pPr>
        <w:jc w:val="both"/>
        <w:rPr>
          <w:sz w:val="22"/>
          <w:szCs w:val="22"/>
          <w:lang w:val="lv-LV"/>
        </w:rPr>
      </w:pPr>
    </w:p>
    <w:p w:rsidR="00E369B1" w:rsidRPr="009A7F06" w:rsidRDefault="003F4DD9" w:rsidP="009A7F06">
      <w:pPr>
        <w:jc w:val="both"/>
        <w:rPr>
          <w:sz w:val="22"/>
          <w:szCs w:val="22"/>
          <w:u w:val="single"/>
          <w:lang w:val="lv-LV"/>
        </w:rPr>
      </w:pPr>
      <w:r w:rsidRPr="009A7F06">
        <w:rPr>
          <w:sz w:val="22"/>
          <w:szCs w:val="22"/>
          <w:u w:val="single"/>
          <w:lang w:val="lv-LV"/>
        </w:rPr>
        <w:t>Barošana ar krūti</w:t>
      </w:r>
    </w:p>
    <w:p w:rsidR="00E369B1" w:rsidRPr="009A7F06" w:rsidRDefault="00E369B1" w:rsidP="009A7F06">
      <w:pPr>
        <w:jc w:val="both"/>
        <w:rPr>
          <w:sz w:val="22"/>
          <w:szCs w:val="22"/>
          <w:lang w:val="lv-LV"/>
        </w:rPr>
      </w:pPr>
      <w:r w:rsidRPr="009A7F06">
        <w:rPr>
          <w:sz w:val="22"/>
          <w:szCs w:val="22"/>
          <w:lang w:val="lv-LV"/>
        </w:rPr>
        <w:t>Nav zināms, vai formoterols izdalās ar mātes pienu. Žurkām formoterols nelielā daudzumā konstatēts mātītes pienā. Oxis Turbuhaler lietošana sievietēm, kas baro bērnu ar krūti pieļaujama tikai gadījumā, ja paredzamais ieguvums mātei pārsniedz iespējamo risku auglim.</w:t>
      </w:r>
    </w:p>
    <w:p w:rsidR="003F4DD9" w:rsidRPr="009A7F06" w:rsidRDefault="003F4DD9" w:rsidP="009A7F06">
      <w:pPr>
        <w:jc w:val="both"/>
        <w:rPr>
          <w:sz w:val="22"/>
          <w:szCs w:val="22"/>
          <w:lang w:val="lv-LV"/>
        </w:rPr>
      </w:pPr>
    </w:p>
    <w:p w:rsidR="003F4DD9" w:rsidRPr="009A7F06" w:rsidRDefault="003F4DD9" w:rsidP="009A7F06">
      <w:pPr>
        <w:jc w:val="both"/>
        <w:rPr>
          <w:sz w:val="22"/>
          <w:szCs w:val="22"/>
          <w:u w:val="single"/>
          <w:lang w:val="lv-LV"/>
        </w:rPr>
      </w:pPr>
      <w:r w:rsidRPr="009A7F06">
        <w:rPr>
          <w:sz w:val="22"/>
          <w:szCs w:val="22"/>
          <w:u w:val="single"/>
          <w:lang w:val="lv-LV"/>
        </w:rPr>
        <w:t>Fertilitāte</w:t>
      </w:r>
    </w:p>
    <w:p w:rsidR="003F4DD9" w:rsidRPr="009A7F06" w:rsidRDefault="003F4DD9" w:rsidP="009A7F06">
      <w:pPr>
        <w:jc w:val="both"/>
        <w:rPr>
          <w:sz w:val="22"/>
          <w:szCs w:val="22"/>
          <w:lang w:val="lv-LV"/>
        </w:rPr>
      </w:pPr>
      <w:r w:rsidRPr="009A7F06">
        <w:rPr>
          <w:sz w:val="22"/>
          <w:szCs w:val="22"/>
          <w:lang w:val="lv-LV"/>
        </w:rPr>
        <w:t xml:space="preserve">Nav pieejami dati par </w:t>
      </w:r>
      <w:r w:rsidR="00BC52F6" w:rsidRPr="009A7F06">
        <w:rPr>
          <w:sz w:val="22"/>
          <w:szCs w:val="22"/>
          <w:lang w:val="lv-LV"/>
        </w:rPr>
        <w:t xml:space="preserve">formoterola </w:t>
      </w:r>
      <w:r w:rsidRPr="009A7F06">
        <w:rPr>
          <w:sz w:val="22"/>
          <w:szCs w:val="22"/>
          <w:lang w:val="lv-LV"/>
        </w:rPr>
        <w:t>potenciālo ietekmi uz fertiliāti. Dzīvnieku vairošanās pētījumos ar formoterolu konstatēta neliela auglības mazināšanās žurku tēviņiem, pakļaujot tos izteiktai augstai sistēmiskai iedarbībai. Tomēr, šie eksperimentālie rezultāti dzīvniekiem nav uzskatāmi par saistošiem cilvēkiem.</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4.7. Ietekme uz spēju vadīt transportlīdzekļus un apkalpot mehānismus</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t>Oxis Turbuhaler n</w:t>
      </w:r>
      <w:r w:rsidR="00D521AB" w:rsidRPr="009A7F06">
        <w:rPr>
          <w:sz w:val="22"/>
          <w:szCs w:val="22"/>
          <w:lang w:val="lv-LV"/>
        </w:rPr>
        <w:t xml:space="preserve">eietekmē vai nedaudz ietekmē </w:t>
      </w:r>
      <w:r w:rsidRPr="009A7F06">
        <w:rPr>
          <w:sz w:val="22"/>
          <w:szCs w:val="22"/>
          <w:lang w:val="lv-LV"/>
        </w:rPr>
        <w:t>spēju vadīt transportlīdzekļus un apkalpot mehānismus.</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4.8. Nevēlamās blakusparādības</w:t>
      </w:r>
    </w:p>
    <w:p w:rsidR="00E369B1" w:rsidRPr="009A7F06" w:rsidRDefault="00E369B1" w:rsidP="009A7F06">
      <w:pPr>
        <w:jc w:val="both"/>
        <w:rPr>
          <w:b/>
          <w:sz w:val="22"/>
          <w:szCs w:val="22"/>
          <w:lang w:val="lv-LV"/>
        </w:rPr>
      </w:pPr>
    </w:p>
    <w:p w:rsidR="00D521AB" w:rsidRPr="009A7F06" w:rsidRDefault="00BA7208" w:rsidP="009A7F06">
      <w:pPr>
        <w:jc w:val="both"/>
        <w:rPr>
          <w:sz w:val="22"/>
          <w:szCs w:val="22"/>
          <w:u w:val="single"/>
          <w:lang w:val="lv-LV"/>
        </w:rPr>
      </w:pPr>
      <w:r w:rsidRPr="009A7F06">
        <w:rPr>
          <w:sz w:val="22"/>
          <w:szCs w:val="22"/>
          <w:u w:val="single"/>
          <w:lang w:val="lv-LV"/>
        </w:rPr>
        <w:t xml:space="preserve">Drošuma </w:t>
      </w:r>
      <w:r w:rsidR="00D521AB" w:rsidRPr="009A7F06">
        <w:rPr>
          <w:sz w:val="22"/>
          <w:szCs w:val="22"/>
          <w:u w:val="single"/>
          <w:lang w:val="lv-LV"/>
        </w:rPr>
        <w:t>profila kopsavilkums</w:t>
      </w:r>
    </w:p>
    <w:p w:rsidR="00E369B1" w:rsidRPr="009A7F06" w:rsidRDefault="00E369B1" w:rsidP="009A7F06">
      <w:pPr>
        <w:jc w:val="both"/>
        <w:rPr>
          <w:bCs/>
          <w:sz w:val="22"/>
          <w:szCs w:val="22"/>
          <w:lang w:val="lv-LV"/>
        </w:rPr>
      </w:pPr>
      <w:r w:rsidRPr="009A7F06">
        <w:rPr>
          <w:bCs/>
          <w:sz w:val="22"/>
          <w:szCs w:val="22"/>
          <w:lang w:val="lv-LV"/>
        </w:rPr>
        <w:t>Visbiežāk sastopamās β</w:t>
      </w:r>
      <w:r w:rsidRPr="009A7F06">
        <w:rPr>
          <w:bCs/>
          <w:sz w:val="22"/>
          <w:szCs w:val="22"/>
          <w:vertAlign w:val="subscript"/>
          <w:lang w:val="lv-LV"/>
        </w:rPr>
        <w:t>2</w:t>
      </w:r>
      <w:r w:rsidRPr="009A7F06">
        <w:rPr>
          <w:bCs/>
          <w:sz w:val="22"/>
          <w:szCs w:val="22"/>
          <w:lang w:val="lv-LV"/>
        </w:rPr>
        <w:t>-agonistu terapijas blakusparādības, piemēram, trīce un sirdsklauves, parasti ir viegli izteiktas un izzūd pāris dienu laikā.</w:t>
      </w:r>
    </w:p>
    <w:p w:rsidR="00E369B1" w:rsidRPr="009A7F06" w:rsidRDefault="00E369B1" w:rsidP="009A7F06">
      <w:pPr>
        <w:jc w:val="both"/>
        <w:rPr>
          <w:bCs/>
          <w:sz w:val="22"/>
          <w:szCs w:val="22"/>
          <w:lang w:val="lv-LV"/>
        </w:rPr>
      </w:pPr>
    </w:p>
    <w:p w:rsidR="00D521AB" w:rsidRPr="009A7F06" w:rsidRDefault="00D521AB" w:rsidP="009A7F06">
      <w:pPr>
        <w:jc w:val="both"/>
        <w:rPr>
          <w:bCs/>
          <w:sz w:val="22"/>
          <w:szCs w:val="22"/>
          <w:u w:val="single"/>
          <w:lang w:val="lv-LV"/>
        </w:rPr>
      </w:pPr>
      <w:r w:rsidRPr="009A7F06">
        <w:rPr>
          <w:bCs/>
          <w:sz w:val="22"/>
          <w:szCs w:val="22"/>
          <w:u w:val="single"/>
          <w:lang w:val="lv-LV"/>
        </w:rPr>
        <w:t>Blakusparādību saraksts</w:t>
      </w:r>
    </w:p>
    <w:p w:rsidR="00E369B1" w:rsidRPr="009A7F06" w:rsidRDefault="00E369B1" w:rsidP="009A7F06">
      <w:pPr>
        <w:jc w:val="both"/>
        <w:rPr>
          <w:sz w:val="22"/>
          <w:szCs w:val="22"/>
          <w:lang w:val="fr-FR"/>
        </w:rPr>
      </w:pPr>
      <w:r w:rsidRPr="009A7F06">
        <w:rPr>
          <w:noProof/>
          <w:sz w:val="22"/>
          <w:szCs w:val="22"/>
          <w:lang w:val="fr-FR"/>
        </w:rPr>
        <w:t>Ar formterolu saistītās nevēlamās blakusparādības, kas norādītas zemāk, ir sakārtotas pēc orgānu sistēmu klases un biežuma.</w:t>
      </w:r>
      <w:r w:rsidRPr="009A7F06">
        <w:rPr>
          <w:sz w:val="22"/>
          <w:szCs w:val="22"/>
          <w:lang w:val="fr-FR"/>
        </w:rPr>
        <w:t xml:space="preserve"> Biežums definēts šādi: ļoti bieži (</w:t>
      </w:r>
      <w:r w:rsidRPr="009A7F06">
        <w:rPr>
          <w:sz w:val="22"/>
          <w:szCs w:val="22"/>
        </w:rPr>
        <w:sym w:font="Symbol" w:char="F0B3"/>
      </w:r>
      <w:r w:rsidRPr="009A7F06">
        <w:rPr>
          <w:sz w:val="22"/>
          <w:szCs w:val="22"/>
          <w:lang w:val="fr-FR"/>
        </w:rPr>
        <w:t>1/10), bieži (</w:t>
      </w:r>
      <w:r w:rsidRPr="009A7F06">
        <w:rPr>
          <w:sz w:val="22"/>
          <w:szCs w:val="22"/>
        </w:rPr>
        <w:sym w:font="Symbol" w:char="F0B3"/>
      </w:r>
      <w:r w:rsidRPr="009A7F06">
        <w:rPr>
          <w:sz w:val="22"/>
          <w:szCs w:val="22"/>
          <w:lang w:val="fr-FR"/>
        </w:rPr>
        <w:t xml:space="preserve">1/100 </w:t>
      </w:r>
      <w:r w:rsidR="00D81F5E" w:rsidRPr="009A7F06">
        <w:rPr>
          <w:sz w:val="22"/>
          <w:szCs w:val="22"/>
          <w:lang w:val="fr-FR"/>
        </w:rPr>
        <w:t xml:space="preserve">līdz </w:t>
      </w:r>
      <w:r w:rsidRPr="009A7F06">
        <w:rPr>
          <w:sz w:val="22"/>
          <w:szCs w:val="22"/>
          <w:lang w:val="fr-FR"/>
        </w:rPr>
        <w:t>&lt;1/10), retāk (</w:t>
      </w:r>
      <w:r w:rsidRPr="009A7F06">
        <w:rPr>
          <w:sz w:val="22"/>
          <w:szCs w:val="22"/>
        </w:rPr>
        <w:sym w:font="Symbol" w:char="F0B3"/>
      </w:r>
      <w:r w:rsidRPr="009A7F06">
        <w:rPr>
          <w:sz w:val="22"/>
          <w:szCs w:val="22"/>
          <w:lang w:val="fr-FR"/>
        </w:rPr>
        <w:t xml:space="preserve">1/1 000 </w:t>
      </w:r>
      <w:r w:rsidR="00D81F5E" w:rsidRPr="009A7F06">
        <w:rPr>
          <w:sz w:val="22"/>
          <w:szCs w:val="22"/>
          <w:lang w:val="fr-FR"/>
        </w:rPr>
        <w:t xml:space="preserve">līdz </w:t>
      </w:r>
      <w:r w:rsidRPr="009A7F06">
        <w:rPr>
          <w:sz w:val="22"/>
          <w:szCs w:val="22"/>
          <w:lang w:val="fr-FR"/>
        </w:rPr>
        <w:t>&lt; 1/100), reti (</w:t>
      </w:r>
      <w:r w:rsidRPr="009A7F06">
        <w:rPr>
          <w:sz w:val="22"/>
          <w:szCs w:val="22"/>
        </w:rPr>
        <w:sym w:font="Symbol" w:char="F0B3"/>
      </w:r>
      <w:r w:rsidRPr="009A7F06">
        <w:rPr>
          <w:sz w:val="22"/>
          <w:szCs w:val="22"/>
          <w:lang w:val="fr-FR"/>
        </w:rPr>
        <w:t xml:space="preserve">1/10 000 </w:t>
      </w:r>
      <w:r w:rsidR="00D81F5E" w:rsidRPr="009A7F06">
        <w:rPr>
          <w:sz w:val="22"/>
          <w:szCs w:val="22"/>
          <w:lang w:val="fr-FR"/>
        </w:rPr>
        <w:t xml:space="preserve">līdz </w:t>
      </w:r>
      <w:r w:rsidRPr="009A7F06">
        <w:rPr>
          <w:sz w:val="22"/>
          <w:szCs w:val="22"/>
          <w:lang w:val="fr-FR"/>
        </w:rPr>
        <w:t>&lt; 1/1000) un ļoti reti (&lt;1/10 000).</w:t>
      </w:r>
    </w:p>
    <w:p w:rsidR="00E369B1" w:rsidRPr="009A7F06" w:rsidRDefault="00E369B1" w:rsidP="009A7F06">
      <w:pPr>
        <w:jc w:val="both"/>
        <w:rPr>
          <w:sz w:val="22"/>
          <w:szCs w:val="22"/>
          <w:lang w:val="fr-FR"/>
        </w:rPr>
      </w:pPr>
    </w:p>
    <w:tbl>
      <w:tblPr>
        <w:tblW w:w="9317" w:type="dxa"/>
        <w:tblLayout w:type="fixed"/>
        <w:tblLook w:val="0000" w:firstRow="0" w:lastRow="0" w:firstColumn="0" w:lastColumn="0" w:noHBand="0" w:noVBand="0"/>
      </w:tblPr>
      <w:tblGrid>
        <w:gridCol w:w="3105"/>
        <w:gridCol w:w="3106"/>
        <w:gridCol w:w="3106"/>
      </w:tblGrid>
      <w:tr w:rsidR="0081180F" w:rsidRPr="009A7F06" w:rsidTr="005D5443">
        <w:trPr>
          <w:cantSplit/>
        </w:trPr>
        <w:tc>
          <w:tcPr>
            <w:tcW w:w="9317" w:type="dxa"/>
            <w:gridSpan w:val="3"/>
            <w:tcBorders>
              <w:bottom w:val="single" w:sz="12" w:space="0" w:color="auto"/>
            </w:tcBorders>
          </w:tcPr>
          <w:p w:rsidR="0081180F" w:rsidRPr="009A7F06" w:rsidRDefault="0081180F" w:rsidP="009A7F06">
            <w:pPr>
              <w:pStyle w:val="A-TableTitle"/>
              <w:numPr>
                <w:ilvl w:val="0"/>
                <w:numId w:val="11"/>
              </w:numPr>
              <w:spacing w:after="0" w:line="240" w:lineRule="auto"/>
              <w:rPr>
                <w:sz w:val="22"/>
                <w:szCs w:val="22"/>
              </w:rPr>
            </w:pPr>
            <w:r w:rsidRPr="009A7F06">
              <w:rPr>
                <w:sz w:val="22"/>
                <w:szCs w:val="22"/>
              </w:rPr>
              <w:t>tabula</w:t>
            </w:r>
            <w:r w:rsidRPr="009A7F06">
              <w:rPr>
                <w:sz w:val="22"/>
                <w:szCs w:val="22"/>
              </w:rPr>
              <w:tab/>
              <w:t>Nevēlamās blakusparādības</w:t>
            </w:r>
          </w:p>
        </w:tc>
      </w:tr>
      <w:tr w:rsidR="0081180F" w:rsidRPr="009A7F06" w:rsidTr="005D5443">
        <w:tc>
          <w:tcPr>
            <w:tcW w:w="3105" w:type="dxa"/>
          </w:tcPr>
          <w:p w:rsidR="0081180F" w:rsidRPr="00C96E1B" w:rsidRDefault="0081180F" w:rsidP="009A7F06">
            <w:pPr>
              <w:pStyle w:val="A-TableText"/>
              <w:spacing w:before="0" w:after="0"/>
              <w:rPr>
                <w:b/>
                <w:bCs/>
                <w:szCs w:val="22"/>
              </w:rPr>
            </w:pPr>
            <w:r w:rsidRPr="00C96E1B">
              <w:rPr>
                <w:b/>
                <w:bCs/>
                <w:szCs w:val="22"/>
              </w:rPr>
              <w:t>Bieži</w:t>
            </w:r>
          </w:p>
          <w:p w:rsidR="0081180F" w:rsidRPr="009A7F06" w:rsidRDefault="0081180F" w:rsidP="009A7F06">
            <w:pPr>
              <w:pStyle w:val="A-TableText"/>
              <w:spacing w:before="0" w:after="0"/>
              <w:rPr>
                <w:szCs w:val="22"/>
              </w:rPr>
            </w:pPr>
            <w:r w:rsidRPr="00C96E1B">
              <w:rPr>
                <w:szCs w:val="22"/>
              </w:rPr>
              <w:t xml:space="preserve">1% </w:t>
            </w:r>
            <w:r w:rsidR="004D6BC3" w:rsidRPr="00C96E1B">
              <w:rPr>
                <w:szCs w:val="22"/>
              </w:rPr>
              <w:t xml:space="preserve">līdz </w:t>
            </w:r>
            <w:r w:rsidRPr="009A7F06">
              <w:rPr>
                <w:szCs w:val="22"/>
              </w:rPr>
              <w:t>10%</w:t>
            </w:r>
          </w:p>
        </w:tc>
        <w:tc>
          <w:tcPr>
            <w:tcW w:w="3106" w:type="dxa"/>
          </w:tcPr>
          <w:p w:rsidR="0081180F" w:rsidRPr="009A7F06" w:rsidRDefault="0081180F" w:rsidP="009A7F06">
            <w:pPr>
              <w:pStyle w:val="A-TableText"/>
              <w:spacing w:before="0" w:after="0"/>
              <w:rPr>
                <w:i/>
                <w:iCs/>
                <w:szCs w:val="22"/>
                <w:lang w:val="sv-SE"/>
              </w:rPr>
            </w:pPr>
            <w:r w:rsidRPr="009A7F06">
              <w:rPr>
                <w:i/>
                <w:iCs/>
                <w:szCs w:val="22"/>
                <w:lang w:val="sv-SE"/>
              </w:rPr>
              <w:t>Nervu sistēmas traucējumi:</w:t>
            </w:r>
          </w:p>
        </w:tc>
        <w:tc>
          <w:tcPr>
            <w:tcW w:w="3106" w:type="dxa"/>
          </w:tcPr>
          <w:p w:rsidR="0081180F" w:rsidRPr="009A7F06" w:rsidRDefault="0081180F" w:rsidP="009A7F06">
            <w:pPr>
              <w:pStyle w:val="A-TableText"/>
              <w:spacing w:before="0" w:after="0"/>
              <w:rPr>
                <w:i/>
                <w:szCs w:val="22"/>
                <w:lang w:val="sv-SE"/>
              </w:rPr>
            </w:pPr>
            <w:r w:rsidRPr="009A7F06">
              <w:rPr>
                <w:i/>
                <w:szCs w:val="22"/>
                <w:lang w:val="sv-SE"/>
              </w:rPr>
              <w:t>Galvassāpes*, trīce, reibo</w:t>
            </w:r>
            <w:r w:rsidR="00B139E3" w:rsidRPr="009A7F06">
              <w:rPr>
                <w:i/>
                <w:szCs w:val="22"/>
                <w:lang w:val="sv-SE"/>
              </w:rPr>
              <w:t>nis</w:t>
            </w:r>
          </w:p>
        </w:tc>
      </w:tr>
      <w:tr w:rsidR="0081180F" w:rsidRPr="009A7F06" w:rsidTr="005D5443">
        <w:tc>
          <w:tcPr>
            <w:tcW w:w="3105" w:type="dxa"/>
          </w:tcPr>
          <w:p w:rsidR="0081180F" w:rsidRPr="00C96E1B" w:rsidRDefault="0081180F" w:rsidP="009A7F06">
            <w:pPr>
              <w:pStyle w:val="A-TableText"/>
              <w:spacing w:before="0" w:after="0"/>
              <w:rPr>
                <w:szCs w:val="22"/>
              </w:rPr>
            </w:pPr>
          </w:p>
        </w:tc>
        <w:tc>
          <w:tcPr>
            <w:tcW w:w="3106" w:type="dxa"/>
          </w:tcPr>
          <w:p w:rsidR="0081180F" w:rsidRPr="00C96E1B" w:rsidRDefault="0081180F" w:rsidP="009A7F06">
            <w:pPr>
              <w:pStyle w:val="A-TableText"/>
              <w:spacing w:before="0" w:after="0"/>
              <w:rPr>
                <w:i/>
                <w:iCs/>
                <w:szCs w:val="22"/>
                <w:lang w:val="sv-SE"/>
              </w:rPr>
            </w:pPr>
            <w:r w:rsidRPr="00C96E1B">
              <w:rPr>
                <w:i/>
                <w:iCs/>
                <w:szCs w:val="22"/>
                <w:lang w:val="sv-SE"/>
              </w:rPr>
              <w:t>Ku</w:t>
            </w:r>
            <w:r w:rsidR="00D522FD">
              <w:rPr>
                <w:i/>
                <w:iCs/>
                <w:szCs w:val="22"/>
                <w:lang w:val="sv-SE"/>
              </w:rPr>
              <w:t>ņ</w:t>
            </w:r>
            <w:r w:rsidRPr="00C96E1B">
              <w:rPr>
                <w:i/>
                <w:iCs/>
                <w:szCs w:val="22"/>
                <w:lang w:val="sv-SE"/>
              </w:rPr>
              <w:t>ģa-zarnu trakta traucējumi</w:t>
            </w:r>
          </w:p>
        </w:tc>
        <w:tc>
          <w:tcPr>
            <w:tcW w:w="3106" w:type="dxa"/>
          </w:tcPr>
          <w:p w:rsidR="0081180F" w:rsidRPr="009A7F06" w:rsidRDefault="0081180F" w:rsidP="009A7F06">
            <w:pPr>
              <w:pStyle w:val="A-TableText"/>
              <w:spacing w:before="0" w:after="0"/>
              <w:rPr>
                <w:i/>
                <w:szCs w:val="22"/>
                <w:lang w:val="sv-SE"/>
              </w:rPr>
            </w:pPr>
            <w:r w:rsidRPr="009A7F06">
              <w:rPr>
                <w:i/>
                <w:szCs w:val="22"/>
                <w:lang w:val="sv-SE"/>
              </w:rPr>
              <w:t>Slikta dūša</w:t>
            </w:r>
          </w:p>
        </w:tc>
      </w:tr>
      <w:tr w:rsidR="0081180F" w:rsidRPr="009A7F06" w:rsidTr="005D5443">
        <w:tc>
          <w:tcPr>
            <w:tcW w:w="3105" w:type="dxa"/>
          </w:tcPr>
          <w:p w:rsidR="0081180F" w:rsidRPr="00C96E1B" w:rsidRDefault="0081180F" w:rsidP="009A7F06">
            <w:pPr>
              <w:pStyle w:val="A-TableText"/>
              <w:spacing w:before="0" w:after="0"/>
              <w:rPr>
                <w:szCs w:val="22"/>
              </w:rPr>
            </w:pPr>
          </w:p>
        </w:tc>
        <w:tc>
          <w:tcPr>
            <w:tcW w:w="3106" w:type="dxa"/>
          </w:tcPr>
          <w:p w:rsidR="0081180F" w:rsidRPr="009A7F06" w:rsidRDefault="0081180F" w:rsidP="009A7F06">
            <w:pPr>
              <w:pStyle w:val="A-TableText"/>
              <w:spacing w:before="0" w:after="0"/>
              <w:rPr>
                <w:i/>
                <w:iCs/>
                <w:szCs w:val="22"/>
                <w:lang w:val="sv-SE"/>
              </w:rPr>
            </w:pPr>
            <w:r w:rsidRPr="00C96E1B">
              <w:rPr>
                <w:bCs/>
                <w:i/>
                <w:szCs w:val="22"/>
                <w:lang w:val="lv-LV"/>
              </w:rPr>
              <w:t>Skeleta-muskuļu un saistaudu sistēmas bojājumi</w:t>
            </w:r>
          </w:p>
        </w:tc>
        <w:tc>
          <w:tcPr>
            <w:tcW w:w="3106" w:type="dxa"/>
          </w:tcPr>
          <w:p w:rsidR="0081180F" w:rsidRPr="009A7F06" w:rsidRDefault="0081180F" w:rsidP="009A7F06">
            <w:pPr>
              <w:pStyle w:val="A-TableText"/>
              <w:spacing w:before="0" w:after="0"/>
              <w:rPr>
                <w:i/>
                <w:szCs w:val="22"/>
                <w:lang w:val="sv-SE"/>
              </w:rPr>
            </w:pPr>
            <w:r w:rsidRPr="009A7F06">
              <w:rPr>
                <w:i/>
                <w:szCs w:val="22"/>
                <w:lang w:val="sv-SE"/>
              </w:rPr>
              <w:t>Muskuļu krampji</w:t>
            </w:r>
          </w:p>
        </w:tc>
      </w:tr>
      <w:tr w:rsidR="0081180F" w:rsidRPr="009A7F06" w:rsidTr="005D5443">
        <w:tc>
          <w:tcPr>
            <w:tcW w:w="3105" w:type="dxa"/>
          </w:tcPr>
          <w:p w:rsidR="0081180F" w:rsidRPr="00C96E1B" w:rsidRDefault="0081180F" w:rsidP="009A7F06">
            <w:pPr>
              <w:pStyle w:val="A-TableText"/>
              <w:spacing w:before="0" w:after="0"/>
              <w:rPr>
                <w:b/>
                <w:bCs/>
                <w:szCs w:val="22"/>
              </w:rPr>
            </w:pPr>
            <w:r w:rsidRPr="00C96E1B">
              <w:rPr>
                <w:b/>
                <w:bCs/>
                <w:szCs w:val="22"/>
              </w:rPr>
              <w:t>Retāk</w:t>
            </w:r>
          </w:p>
          <w:p w:rsidR="0081180F" w:rsidRPr="009A7F06" w:rsidRDefault="0081180F" w:rsidP="009A7F06">
            <w:pPr>
              <w:pStyle w:val="A-TableText"/>
              <w:spacing w:before="0" w:after="0"/>
              <w:rPr>
                <w:szCs w:val="22"/>
              </w:rPr>
            </w:pPr>
            <w:r w:rsidRPr="00C96E1B">
              <w:rPr>
                <w:szCs w:val="22"/>
              </w:rPr>
              <w:t>0</w:t>
            </w:r>
            <w:r w:rsidR="005107B2">
              <w:rPr>
                <w:szCs w:val="22"/>
              </w:rPr>
              <w:t>,</w:t>
            </w:r>
            <w:r w:rsidRPr="00C96E1B">
              <w:rPr>
                <w:szCs w:val="22"/>
              </w:rPr>
              <w:t xml:space="preserve">1% </w:t>
            </w:r>
            <w:r w:rsidR="004D6BC3" w:rsidRPr="00C96E1B">
              <w:rPr>
                <w:szCs w:val="22"/>
              </w:rPr>
              <w:t xml:space="preserve">līdz </w:t>
            </w:r>
            <w:r w:rsidRPr="009A7F06">
              <w:rPr>
                <w:szCs w:val="22"/>
              </w:rPr>
              <w:t>1%</w:t>
            </w:r>
          </w:p>
        </w:tc>
        <w:tc>
          <w:tcPr>
            <w:tcW w:w="3106" w:type="dxa"/>
          </w:tcPr>
          <w:p w:rsidR="0081180F" w:rsidRPr="009A7F06" w:rsidRDefault="0081180F" w:rsidP="009A7F06">
            <w:pPr>
              <w:pStyle w:val="A-TableText"/>
              <w:spacing w:before="0" w:after="0"/>
              <w:rPr>
                <w:i/>
                <w:iCs/>
                <w:szCs w:val="22"/>
              </w:rPr>
            </w:pPr>
            <w:r w:rsidRPr="009A7F06">
              <w:rPr>
                <w:i/>
                <w:iCs/>
                <w:szCs w:val="22"/>
              </w:rPr>
              <w:t>Sirds funkcijas traucējumi</w:t>
            </w:r>
          </w:p>
        </w:tc>
        <w:tc>
          <w:tcPr>
            <w:tcW w:w="3106" w:type="dxa"/>
          </w:tcPr>
          <w:p w:rsidR="0081180F" w:rsidRPr="009A7F06" w:rsidRDefault="0081180F" w:rsidP="009A7F06">
            <w:pPr>
              <w:pStyle w:val="A-TableText"/>
              <w:spacing w:before="0" w:after="0"/>
              <w:rPr>
                <w:i/>
                <w:szCs w:val="22"/>
              </w:rPr>
            </w:pPr>
            <w:r w:rsidRPr="009A7F06">
              <w:rPr>
                <w:i/>
                <w:szCs w:val="22"/>
              </w:rPr>
              <w:t>Tahikardija</w:t>
            </w:r>
          </w:p>
        </w:tc>
      </w:tr>
      <w:tr w:rsidR="0081180F" w:rsidRPr="009A7F06" w:rsidTr="005D5443">
        <w:tc>
          <w:tcPr>
            <w:tcW w:w="3105" w:type="dxa"/>
          </w:tcPr>
          <w:p w:rsidR="0081180F" w:rsidRPr="00C96E1B" w:rsidRDefault="0081180F" w:rsidP="009A7F06">
            <w:pPr>
              <w:pStyle w:val="A-TableText"/>
              <w:spacing w:before="0" w:after="0"/>
              <w:rPr>
                <w:b/>
                <w:bCs/>
                <w:szCs w:val="22"/>
              </w:rPr>
            </w:pPr>
          </w:p>
        </w:tc>
        <w:tc>
          <w:tcPr>
            <w:tcW w:w="3106" w:type="dxa"/>
          </w:tcPr>
          <w:p w:rsidR="0081180F" w:rsidRPr="00C96E1B" w:rsidRDefault="0081180F" w:rsidP="009A7F06">
            <w:pPr>
              <w:pStyle w:val="A-TableText"/>
              <w:spacing w:before="0" w:after="0"/>
              <w:rPr>
                <w:i/>
                <w:iCs/>
                <w:szCs w:val="22"/>
              </w:rPr>
            </w:pPr>
          </w:p>
        </w:tc>
        <w:tc>
          <w:tcPr>
            <w:tcW w:w="3106" w:type="dxa"/>
          </w:tcPr>
          <w:p w:rsidR="0081180F" w:rsidRPr="009A7F06" w:rsidRDefault="0081180F" w:rsidP="009A7F06">
            <w:pPr>
              <w:pStyle w:val="A-TableText"/>
              <w:spacing w:before="0" w:after="0"/>
              <w:rPr>
                <w:i/>
                <w:szCs w:val="22"/>
              </w:rPr>
            </w:pPr>
            <w:r w:rsidRPr="009A7F06">
              <w:rPr>
                <w:i/>
                <w:szCs w:val="22"/>
              </w:rPr>
              <w:t>Sirdsklauves</w:t>
            </w:r>
          </w:p>
        </w:tc>
      </w:tr>
      <w:tr w:rsidR="0081180F" w:rsidRPr="009A7F06" w:rsidTr="005D5443">
        <w:tc>
          <w:tcPr>
            <w:tcW w:w="3105" w:type="dxa"/>
          </w:tcPr>
          <w:p w:rsidR="0081180F" w:rsidRPr="00C96E1B" w:rsidRDefault="0081180F" w:rsidP="009A7F06">
            <w:pPr>
              <w:pStyle w:val="A-TableText"/>
              <w:spacing w:before="0" w:after="0"/>
              <w:rPr>
                <w:b/>
                <w:bCs/>
                <w:szCs w:val="22"/>
              </w:rPr>
            </w:pPr>
          </w:p>
        </w:tc>
        <w:tc>
          <w:tcPr>
            <w:tcW w:w="3106" w:type="dxa"/>
          </w:tcPr>
          <w:p w:rsidR="0081180F" w:rsidRPr="00C96E1B" w:rsidRDefault="0081180F" w:rsidP="009A7F06">
            <w:pPr>
              <w:pStyle w:val="A-TableText"/>
              <w:spacing w:before="0" w:after="0"/>
              <w:rPr>
                <w:i/>
                <w:iCs/>
                <w:szCs w:val="22"/>
              </w:rPr>
            </w:pPr>
          </w:p>
        </w:tc>
        <w:tc>
          <w:tcPr>
            <w:tcW w:w="3106" w:type="dxa"/>
          </w:tcPr>
          <w:p w:rsidR="0081180F" w:rsidRPr="009A7F06" w:rsidRDefault="0081180F" w:rsidP="009A7F06">
            <w:pPr>
              <w:pStyle w:val="A-TableText"/>
              <w:spacing w:before="0" w:after="0"/>
              <w:rPr>
                <w:i/>
                <w:szCs w:val="22"/>
              </w:rPr>
            </w:pPr>
            <w:r w:rsidRPr="009A7F06">
              <w:rPr>
                <w:i/>
                <w:szCs w:val="22"/>
                <w:lang w:val="lv-LV"/>
              </w:rPr>
              <w:t>Sirds aritmijas, piem., atriālā fibrillācija,  supraventrikulāra tahikardija, ekstrasistoles</w:t>
            </w:r>
          </w:p>
        </w:tc>
      </w:tr>
      <w:tr w:rsidR="0081180F" w:rsidRPr="009A7F06" w:rsidTr="005D5443">
        <w:tc>
          <w:tcPr>
            <w:tcW w:w="3105" w:type="dxa"/>
          </w:tcPr>
          <w:p w:rsidR="0081180F" w:rsidRPr="00C96E1B" w:rsidRDefault="0081180F" w:rsidP="009A7F06">
            <w:pPr>
              <w:pStyle w:val="A-TableText"/>
              <w:spacing w:before="0" w:after="0"/>
              <w:rPr>
                <w:b/>
                <w:bCs/>
                <w:szCs w:val="22"/>
              </w:rPr>
            </w:pPr>
          </w:p>
        </w:tc>
        <w:tc>
          <w:tcPr>
            <w:tcW w:w="3106" w:type="dxa"/>
          </w:tcPr>
          <w:p w:rsidR="0081180F" w:rsidRPr="00C96E1B" w:rsidRDefault="0081180F" w:rsidP="009A7F06">
            <w:pPr>
              <w:pStyle w:val="A-TableText"/>
              <w:spacing w:before="0" w:after="0"/>
              <w:rPr>
                <w:i/>
                <w:iCs/>
                <w:szCs w:val="22"/>
              </w:rPr>
            </w:pPr>
          </w:p>
        </w:tc>
        <w:tc>
          <w:tcPr>
            <w:tcW w:w="3106" w:type="dxa"/>
          </w:tcPr>
          <w:p w:rsidR="0081180F" w:rsidRPr="009A7F06" w:rsidRDefault="0081180F" w:rsidP="009A7F06">
            <w:pPr>
              <w:pStyle w:val="A-TableText"/>
              <w:spacing w:before="0" w:after="0"/>
              <w:rPr>
                <w:i/>
                <w:szCs w:val="22"/>
              </w:rPr>
            </w:pPr>
            <w:r w:rsidRPr="009A7F06">
              <w:rPr>
                <w:i/>
                <w:szCs w:val="22"/>
              </w:rPr>
              <w:t>Stenokardija</w:t>
            </w:r>
          </w:p>
        </w:tc>
      </w:tr>
      <w:tr w:rsidR="0081180F" w:rsidRPr="009A7F06" w:rsidTr="005D5443">
        <w:tc>
          <w:tcPr>
            <w:tcW w:w="3105" w:type="dxa"/>
          </w:tcPr>
          <w:p w:rsidR="0081180F" w:rsidRPr="00C96E1B" w:rsidRDefault="0081180F" w:rsidP="009A7F06">
            <w:pPr>
              <w:pStyle w:val="A-TableText"/>
              <w:spacing w:before="0" w:after="0"/>
              <w:rPr>
                <w:szCs w:val="22"/>
              </w:rPr>
            </w:pPr>
          </w:p>
        </w:tc>
        <w:tc>
          <w:tcPr>
            <w:tcW w:w="3106" w:type="dxa"/>
          </w:tcPr>
          <w:p w:rsidR="0081180F" w:rsidRPr="00C96E1B" w:rsidRDefault="0081180F" w:rsidP="009A7F06">
            <w:pPr>
              <w:pStyle w:val="A-TableText"/>
              <w:spacing w:before="0" w:after="0"/>
              <w:rPr>
                <w:i/>
                <w:iCs/>
                <w:szCs w:val="22"/>
              </w:rPr>
            </w:pPr>
          </w:p>
        </w:tc>
        <w:tc>
          <w:tcPr>
            <w:tcW w:w="3106" w:type="dxa"/>
          </w:tcPr>
          <w:p w:rsidR="0081180F" w:rsidRPr="009A7F06" w:rsidRDefault="0081180F" w:rsidP="009A7F06">
            <w:pPr>
              <w:pStyle w:val="A-TableText"/>
              <w:spacing w:before="0" w:after="0"/>
              <w:rPr>
                <w:i/>
                <w:szCs w:val="22"/>
              </w:rPr>
            </w:pPr>
          </w:p>
        </w:tc>
      </w:tr>
      <w:tr w:rsidR="0081180F" w:rsidRPr="009A7F06" w:rsidTr="005D5443">
        <w:tc>
          <w:tcPr>
            <w:tcW w:w="3105" w:type="dxa"/>
          </w:tcPr>
          <w:p w:rsidR="0081180F" w:rsidRPr="00C96E1B" w:rsidRDefault="0081180F" w:rsidP="009A7F06">
            <w:pPr>
              <w:pStyle w:val="A-TableText"/>
              <w:spacing w:before="0" w:after="0"/>
              <w:rPr>
                <w:szCs w:val="22"/>
              </w:rPr>
            </w:pPr>
          </w:p>
        </w:tc>
        <w:tc>
          <w:tcPr>
            <w:tcW w:w="3106" w:type="dxa"/>
          </w:tcPr>
          <w:p w:rsidR="0081180F" w:rsidRPr="00C96E1B" w:rsidRDefault="0081180F" w:rsidP="009A7F06">
            <w:pPr>
              <w:pStyle w:val="A-TableText"/>
              <w:spacing w:before="0" w:after="0"/>
              <w:rPr>
                <w:i/>
                <w:iCs/>
                <w:szCs w:val="22"/>
              </w:rPr>
            </w:pPr>
            <w:r w:rsidRPr="00C96E1B">
              <w:rPr>
                <w:i/>
                <w:iCs/>
                <w:szCs w:val="22"/>
              </w:rPr>
              <w:t>Psihiskie traucējumi</w:t>
            </w:r>
          </w:p>
        </w:tc>
        <w:tc>
          <w:tcPr>
            <w:tcW w:w="3106" w:type="dxa"/>
          </w:tcPr>
          <w:p w:rsidR="0081180F" w:rsidRPr="009A7F06" w:rsidRDefault="0081180F" w:rsidP="009A7F06">
            <w:pPr>
              <w:pStyle w:val="A-TableText"/>
              <w:spacing w:before="0" w:after="0"/>
              <w:rPr>
                <w:i/>
                <w:szCs w:val="22"/>
              </w:rPr>
            </w:pPr>
            <w:r w:rsidRPr="009A7F06">
              <w:rPr>
                <w:i/>
                <w:szCs w:val="22"/>
              </w:rPr>
              <w:t>Miega traucējumi</w:t>
            </w:r>
          </w:p>
          <w:p w:rsidR="0081180F" w:rsidRPr="009A7F06" w:rsidRDefault="0081180F" w:rsidP="009A7F06">
            <w:pPr>
              <w:pStyle w:val="A-TableText"/>
              <w:spacing w:before="0" w:after="0"/>
              <w:rPr>
                <w:i/>
                <w:szCs w:val="22"/>
              </w:rPr>
            </w:pPr>
          </w:p>
        </w:tc>
      </w:tr>
      <w:tr w:rsidR="0081180F" w:rsidRPr="009A7F06" w:rsidTr="005D5443">
        <w:tc>
          <w:tcPr>
            <w:tcW w:w="3105" w:type="dxa"/>
          </w:tcPr>
          <w:p w:rsidR="0081180F" w:rsidRPr="00C96E1B" w:rsidRDefault="0081180F" w:rsidP="009A7F06">
            <w:pPr>
              <w:pStyle w:val="A-TableText"/>
              <w:spacing w:before="0" w:after="0"/>
              <w:rPr>
                <w:szCs w:val="22"/>
              </w:rPr>
            </w:pPr>
          </w:p>
        </w:tc>
        <w:tc>
          <w:tcPr>
            <w:tcW w:w="3106" w:type="dxa"/>
          </w:tcPr>
          <w:p w:rsidR="0081180F" w:rsidRPr="00C96E1B" w:rsidRDefault="0081180F" w:rsidP="009A7F06">
            <w:pPr>
              <w:pStyle w:val="A-TableText"/>
              <w:spacing w:before="0" w:after="0"/>
              <w:rPr>
                <w:i/>
                <w:iCs/>
                <w:szCs w:val="22"/>
              </w:rPr>
            </w:pPr>
            <w:r w:rsidRPr="00C96E1B">
              <w:rPr>
                <w:i/>
                <w:iCs/>
                <w:szCs w:val="22"/>
              </w:rPr>
              <w:t>Imūnās sistēmas traucējumi</w:t>
            </w:r>
          </w:p>
        </w:tc>
        <w:tc>
          <w:tcPr>
            <w:tcW w:w="3106" w:type="dxa"/>
          </w:tcPr>
          <w:p w:rsidR="0081180F" w:rsidRPr="009A7F06" w:rsidDel="0090301B" w:rsidRDefault="0081180F" w:rsidP="009A7F06">
            <w:pPr>
              <w:pStyle w:val="A-TableText"/>
              <w:spacing w:before="0" w:after="0"/>
              <w:rPr>
                <w:i/>
                <w:szCs w:val="22"/>
              </w:rPr>
            </w:pPr>
            <w:r w:rsidRPr="009A7F06">
              <w:rPr>
                <w:i/>
                <w:iCs/>
                <w:szCs w:val="22"/>
                <w:lang w:val="lv-LV"/>
              </w:rPr>
              <w:t>Hipersensitivitātes reakcijas, piem., brohospazmas,</w:t>
            </w:r>
            <w:r w:rsidRPr="009A7F06">
              <w:rPr>
                <w:i/>
                <w:szCs w:val="22"/>
                <w:lang w:val="lv-LV"/>
              </w:rPr>
              <w:t xml:space="preserve"> eksantēma, nātrene, nieze</w:t>
            </w:r>
          </w:p>
        </w:tc>
      </w:tr>
      <w:tr w:rsidR="0081180F" w:rsidRPr="009A7F06" w:rsidTr="005D5443">
        <w:tc>
          <w:tcPr>
            <w:tcW w:w="3105" w:type="dxa"/>
          </w:tcPr>
          <w:p w:rsidR="0081180F" w:rsidRPr="00C96E1B" w:rsidRDefault="0081180F" w:rsidP="009A7F06">
            <w:pPr>
              <w:pStyle w:val="A-TableText"/>
              <w:spacing w:before="0" w:after="0"/>
              <w:rPr>
                <w:szCs w:val="22"/>
              </w:rPr>
            </w:pPr>
          </w:p>
        </w:tc>
        <w:tc>
          <w:tcPr>
            <w:tcW w:w="3106" w:type="dxa"/>
          </w:tcPr>
          <w:p w:rsidR="0081180F" w:rsidRPr="00C96E1B" w:rsidRDefault="004C5441" w:rsidP="009A7F06">
            <w:pPr>
              <w:pStyle w:val="A-TableText"/>
              <w:spacing w:before="0" w:after="0"/>
              <w:rPr>
                <w:i/>
                <w:iCs/>
                <w:szCs w:val="22"/>
              </w:rPr>
            </w:pPr>
            <w:r w:rsidRPr="00A9454E">
              <w:rPr>
                <w:bCs/>
                <w:i/>
                <w:color w:val="000000"/>
                <w:szCs w:val="22"/>
              </w:rPr>
              <w:t>Vielmaiņas un uztures traucējumi</w:t>
            </w:r>
          </w:p>
        </w:tc>
        <w:tc>
          <w:tcPr>
            <w:tcW w:w="3106" w:type="dxa"/>
          </w:tcPr>
          <w:p w:rsidR="0081180F" w:rsidRPr="009A7F06" w:rsidRDefault="0081180F" w:rsidP="009A7F06">
            <w:pPr>
              <w:pStyle w:val="A-TableText"/>
              <w:spacing w:before="0" w:after="0"/>
              <w:rPr>
                <w:i/>
                <w:szCs w:val="22"/>
              </w:rPr>
            </w:pPr>
            <w:r w:rsidRPr="009A7F06">
              <w:rPr>
                <w:i/>
                <w:szCs w:val="22"/>
              </w:rPr>
              <w:t>Hipokaliēmija, hiperglikēmija</w:t>
            </w:r>
          </w:p>
        </w:tc>
      </w:tr>
      <w:tr w:rsidR="0081180F" w:rsidRPr="009A7F06" w:rsidTr="005D5443">
        <w:tc>
          <w:tcPr>
            <w:tcW w:w="3105" w:type="dxa"/>
          </w:tcPr>
          <w:p w:rsidR="0081180F" w:rsidRPr="00C96E1B" w:rsidRDefault="0081180F" w:rsidP="009A7F06">
            <w:pPr>
              <w:pStyle w:val="A-TableText"/>
              <w:spacing w:before="0" w:after="0"/>
              <w:rPr>
                <w:szCs w:val="22"/>
              </w:rPr>
            </w:pPr>
          </w:p>
        </w:tc>
        <w:tc>
          <w:tcPr>
            <w:tcW w:w="3106" w:type="dxa"/>
          </w:tcPr>
          <w:p w:rsidR="0081180F" w:rsidRPr="00C96E1B" w:rsidRDefault="0081180F" w:rsidP="009A7F06">
            <w:pPr>
              <w:pStyle w:val="A-TableText"/>
              <w:spacing w:before="0" w:after="0"/>
              <w:rPr>
                <w:i/>
                <w:iCs/>
                <w:szCs w:val="22"/>
              </w:rPr>
            </w:pPr>
            <w:r w:rsidRPr="00C96E1B">
              <w:rPr>
                <w:i/>
                <w:iCs/>
                <w:szCs w:val="22"/>
              </w:rPr>
              <w:t>Nervu sistēmas traucējumi</w:t>
            </w:r>
          </w:p>
        </w:tc>
        <w:tc>
          <w:tcPr>
            <w:tcW w:w="3106" w:type="dxa"/>
          </w:tcPr>
          <w:p w:rsidR="0081180F" w:rsidRPr="009A7F06" w:rsidRDefault="0081180F" w:rsidP="009A7F06">
            <w:pPr>
              <w:pStyle w:val="A-TableText"/>
              <w:spacing w:before="0" w:after="0"/>
              <w:rPr>
                <w:i/>
                <w:szCs w:val="22"/>
              </w:rPr>
            </w:pPr>
            <w:r w:rsidRPr="009A7F06">
              <w:rPr>
                <w:i/>
                <w:szCs w:val="22"/>
              </w:rPr>
              <w:t>Garšas traucējumi</w:t>
            </w:r>
          </w:p>
        </w:tc>
      </w:tr>
      <w:tr w:rsidR="0081180F" w:rsidRPr="009A7F06" w:rsidTr="003A2645">
        <w:tc>
          <w:tcPr>
            <w:tcW w:w="3105" w:type="dxa"/>
          </w:tcPr>
          <w:p w:rsidR="0081180F" w:rsidRPr="00C96E1B" w:rsidRDefault="0081180F" w:rsidP="009A7F06">
            <w:pPr>
              <w:pStyle w:val="A-TableText"/>
              <w:spacing w:before="0" w:after="0"/>
              <w:rPr>
                <w:szCs w:val="22"/>
              </w:rPr>
            </w:pPr>
          </w:p>
        </w:tc>
        <w:tc>
          <w:tcPr>
            <w:tcW w:w="3106" w:type="dxa"/>
          </w:tcPr>
          <w:p w:rsidR="0081180F" w:rsidRPr="00C96E1B" w:rsidRDefault="0081180F" w:rsidP="009A7F06">
            <w:pPr>
              <w:pStyle w:val="A-TableText"/>
              <w:spacing w:before="0" w:after="0"/>
              <w:rPr>
                <w:i/>
                <w:iCs/>
                <w:szCs w:val="22"/>
              </w:rPr>
            </w:pPr>
            <w:r w:rsidRPr="00C96E1B">
              <w:rPr>
                <w:i/>
                <w:iCs/>
                <w:szCs w:val="22"/>
              </w:rPr>
              <w:t>Asinsvadu sistēmas traucējumi</w:t>
            </w:r>
          </w:p>
        </w:tc>
        <w:tc>
          <w:tcPr>
            <w:tcW w:w="3106" w:type="dxa"/>
          </w:tcPr>
          <w:p w:rsidR="0081180F" w:rsidRPr="009A7F06" w:rsidRDefault="0081180F" w:rsidP="009A7F06">
            <w:pPr>
              <w:pStyle w:val="A-TableText"/>
              <w:spacing w:before="0" w:after="0"/>
              <w:rPr>
                <w:i/>
                <w:szCs w:val="22"/>
              </w:rPr>
            </w:pPr>
            <w:r w:rsidRPr="009A7F06">
              <w:rPr>
                <w:i/>
                <w:szCs w:val="22"/>
              </w:rPr>
              <w:t>Asinsspiediena izmaiņas</w:t>
            </w:r>
          </w:p>
        </w:tc>
      </w:tr>
      <w:tr w:rsidR="0081180F" w:rsidRPr="009A7F06" w:rsidTr="003A2645">
        <w:tc>
          <w:tcPr>
            <w:tcW w:w="3105" w:type="dxa"/>
            <w:tcBorders>
              <w:bottom w:val="single" w:sz="4" w:space="0" w:color="auto"/>
            </w:tcBorders>
          </w:tcPr>
          <w:p w:rsidR="0081180F" w:rsidRPr="00C96E1B" w:rsidRDefault="0081180F" w:rsidP="009A7F06">
            <w:pPr>
              <w:pStyle w:val="A-TableText"/>
              <w:spacing w:before="0" w:after="0"/>
              <w:rPr>
                <w:b/>
                <w:bCs/>
                <w:szCs w:val="22"/>
              </w:rPr>
            </w:pPr>
            <w:r w:rsidRPr="00C96E1B">
              <w:rPr>
                <w:b/>
                <w:bCs/>
                <w:szCs w:val="22"/>
              </w:rPr>
              <w:t>Reti</w:t>
            </w:r>
          </w:p>
          <w:p w:rsidR="0081180F" w:rsidRPr="009A7F06" w:rsidRDefault="0081180F" w:rsidP="009A7F06">
            <w:pPr>
              <w:pStyle w:val="A-TableText"/>
              <w:spacing w:before="0" w:after="0"/>
              <w:rPr>
                <w:szCs w:val="22"/>
              </w:rPr>
            </w:pPr>
            <w:r w:rsidRPr="00C96E1B">
              <w:rPr>
                <w:szCs w:val="22"/>
              </w:rPr>
              <w:t>0</w:t>
            </w:r>
            <w:r w:rsidR="005107B2">
              <w:rPr>
                <w:szCs w:val="22"/>
              </w:rPr>
              <w:t>,</w:t>
            </w:r>
            <w:r w:rsidRPr="00C96E1B">
              <w:rPr>
                <w:szCs w:val="22"/>
              </w:rPr>
              <w:t xml:space="preserve">01% </w:t>
            </w:r>
            <w:r w:rsidR="004D6BC3" w:rsidRPr="00C96E1B">
              <w:rPr>
                <w:szCs w:val="22"/>
              </w:rPr>
              <w:t xml:space="preserve">līdz </w:t>
            </w:r>
            <w:r w:rsidRPr="009A7F06">
              <w:rPr>
                <w:szCs w:val="22"/>
              </w:rPr>
              <w:t>0</w:t>
            </w:r>
            <w:r w:rsidR="005107B2">
              <w:rPr>
                <w:szCs w:val="22"/>
              </w:rPr>
              <w:t>,</w:t>
            </w:r>
            <w:r w:rsidRPr="009A7F06">
              <w:rPr>
                <w:szCs w:val="22"/>
              </w:rPr>
              <w:t>1%</w:t>
            </w:r>
          </w:p>
        </w:tc>
        <w:tc>
          <w:tcPr>
            <w:tcW w:w="3106" w:type="dxa"/>
            <w:tcBorders>
              <w:bottom w:val="single" w:sz="4" w:space="0" w:color="auto"/>
            </w:tcBorders>
          </w:tcPr>
          <w:p w:rsidR="0081180F" w:rsidRPr="009A7F06" w:rsidRDefault="0081180F" w:rsidP="009A7F06">
            <w:pPr>
              <w:pStyle w:val="A-TableText"/>
              <w:spacing w:before="0" w:after="0"/>
              <w:rPr>
                <w:i/>
                <w:iCs/>
                <w:szCs w:val="22"/>
              </w:rPr>
            </w:pPr>
            <w:r w:rsidRPr="009A7F06">
              <w:rPr>
                <w:i/>
                <w:iCs/>
                <w:szCs w:val="22"/>
              </w:rPr>
              <w:t>Psihiskie traucējumi</w:t>
            </w:r>
          </w:p>
        </w:tc>
        <w:tc>
          <w:tcPr>
            <w:tcW w:w="3106" w:type="dxa"/>
            <w:tcBorders>
              <w:bottom w:val="single" w:sz="4" w:space="0" w:color="auto"/>
            </w:tcBorders>
          </w:tcPr>
          <w:p w:rsidR="0081180F" w:rsidRPr="009A7F06" w:rsidRDefault="0081180F" w:rsidP="009A7F06">
            <w:pPr>
              <w:pStyle w:val="A-TableText"/>
              <w:spacing w:before="0" w:after="0"/>
              <w:rPr>
                <w:i/>
                <w:szCs w:val="22"/>
              </w:rPr>
            </w:pPr>
            <w:r w:rsidRPr="009A7F06">
              <w:rPr>
                <w:i/>
                <w:szCs w:val="22"/>
              </w:rPr>
              <w:t>Uzbudinājums, nemiers</w:t>
            </w:r>
          </w:p>
        </w:tc>
      </w:tr>
    </w:tbl>
    <w:p w:rsidR="004D6BC3" w:rsidRPr="009A7F06" w:rsidRDefault="004D6BC3" w:rsidP="00C96E1B">
      <w:pPr>
        <w:jc w:val="both"/>
        <w:rPr>
          <w:sz w:val="22"/>
          <w:szCs w:val="22"/>
          <w:lang w:val="fr-FR"/>
        </w:rPr>
      </w:pPr>
      <w:r w:rsidRPr="009A7F06">
        <w:rPr>
          <w:rStyle w:val="hps"/>
          <w:sz w:val="22"/>
          <w:szCs w:val="22"/>
        </w:rPr>
        <w:t>*</w:t>
      </w:r>
      <w:r w:rsidRPr="009A7F06">
        <w:rPr>
          <w:sz w:val="22"/>
          <w:szCs w:val="22"/>
        </w:rPr>
        <w:t xml:space="preserve"> </w:t>
      </w:r>
      <w:r w:rsidRPr="009A7F06">
        <w:rPr>
          <w:rStyle w:val="hps"/>
          <w:sz w:val="22"/>
          <w:szCs w:val="22"/>
        </w:rPr>
        <w:t>Galvassāpes</w:t>
      </w:r>
      <w:r w:rsidRPr="009A7F06">
        <w:rPr>
          <w:sz w:val="22"/>
          <w:szCs w:val="22"/>
        </w:rPr>
        <w:t xml:space="preserve"> </w:t>
      </w:r>
      <w:r w:rsidRPr="009A7F06">
        <w:rPr>
          <w:rStyle w:val="hps"/>
          <w:sz w:val="22"/>
          <w:szCs w:val="22"/>
        </w:rPr>
        <w:t>radās</w:t>
      </w:r>
      <w:r w:rsidRPr="009A7F06">
        <w:rPr>
          <w:sz w:val="22"/>
          <w:szCs w:val="22"/>
        </w:rPr>
        <w:t xml:space="preserve"> </w:t>
      </w:r>
      <w:r w:rsidRPr="009A7F06">
        <w:rPr>
          <w:rStyle w:val="hps"/>
          <w:sz w:val="22"/>
          <w:szCs w:val="22"/>
        </w:rPr>
        <w:t>6,5</w:t>
      </w:r>
      <w:r w:rsidRPr="009A7F06">
        <w:rPr>
          <w:sz w:val="22"/>
          <w:szCs w:val="22"/>
        </w:rPr>
        <w:t xml:space="preserve">% </w:t>
      </w:r>
      <w:r w:rsidRPr="009A7F06">
        <w:rPr>
          <w:rStyle w:val="hps"/>
          <w:sz w:val="22"/>
          <w:szCs w:val="22"/>
        </w:rPr>
        <w:t>OXIS</w:t>
      </w:r>
      <w:r w:rsidRPr="009A7F06">
        <w:rPr>
          <w:sz w:val="22"/>
          <w:szCs w:val="22"/>
        </w:rPr>
        <w:t xml:space="preserve"> pacientu grupā </w:t>
      </w:r>
      <w:r w:rsidRPr="009A7F06">
        <w:rPr>
          <w:rStyle w:val="hps"/>
          <w:sz w:val="22"/>
          <w:szCs w:val="22"/>
        </w:rPr>
        <w:t>un 6,2</w:t>
      </w:r>
      <w:r w:rsidRPr="009A7F06">
        <w:rPr>
          <w:sz w:val="22"/>
          <w:szCs w:val="22"/>
        </w:rPr>
        <w:t>% placebo grupā.</w:t>
      </w:r>
    </w:p>
    <w:p w:rsidR="00E369B1" w:rsidRPr="009A7F06" w:rsidRDefault="00E369B1" w:rsidP="00C96E1B">
      <w:pPr>
        <w:jc w:val="both"/>
        <w:rPr>
          <w:sz w:val="22"/>
          <w:szCs w:val="22"/>
          <w:lang w:val="fr-FR"/>
        </w:rPr>
      </w:pPr>
    </w:p>
    <w:p w:rsidR="00D521AB" w:rsidRPr="009A7F06" w:rsidRDefault="00D521AB" w:rsidP="009A7F06">
      <w:pPr>
        <w:jc w:val="both"/>
        <w:rPr>
          <w:sz w:val="22"/>
          <w:szCs w:val="22"/>
          <w:u w:val="single"/>
          <w:lang w:val="lv-LV"/>
        </w:rPr>
      </w:pPr>
      <w:r w:rsidRPr="009A7F06">
        <w:rPr>
          <w:sz w:val="22"/>
          <w:szCs w:val="22"/>
          <w:u w:val="single"/>
          <w:lang w:val="lv-LV"/>
        </w:rPr>
        <w:t>Blakusparādību apraksts</w:t>
      </w:r>
    </w:p>
    <w:p w:rsidR="00E369B1" w:rsidRPr="009A7F06" w:rsidRDefault="00E369B1" w:rsidP="009A7F06">
      <w:pPr>
        <w:jc w:val="both"/>
        <w:rPr>
          <w:sz w:val="22"/>
          <w:szCs w:val="22"/>
          <w:lang w:val="lv-LV"/>
        </w:rPr>
      </w:pPr>
      <w:r w:rsidRPr="009A7F06">
        <w:rPr>
          <w:sz w:val="22"/>
          <w:szCs w:val="22"/>
          <w:lang w:val="lv-LV"/>
        </w:rPr>
        <w:t xml:space="preserve">Tāpat kā lietojot citas zāles inhalāciju veidā, ļoti retos gadījumos var rasties paradoksālas bronhu spazmas (skatīt </w:t>
      </w:r>
      <w:r w:rsidR="00D81F5E" w:rsidRPr="009A7F06">
        <w:rPr>
          <w:sz w:val="22"/>
          <w:szCs w:val="22"/>
          <w:lang w:val="lv-LV"/>
        </w:rPr>
        <w:t xml:space="preserve">4.4. </w:t>
      </w:r>
      <w:r w:rsidRPr="009A7F06">
        <w:rPr>
          <w:sz w:val="22"/>
          <w:szCs w:val="22"/>
          <w:lang w:val="lv-LV"/>
        </w:rPr>
        <w:t>apakšpunktu).</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Veicot ārstēšanu ar </w:t>
      </w:r>
      <w:r w:rsidRPr="009A7F06">
        <w:rPr>
          <w:sz w:val="22"/>
          <w:szCs w:val="22"/>
          <w:lang w:val="lv-LV"/>
        </w:rPr>
        <w:sym w:font="Symbol" w:char="F062"/>
      </w:r>
      <w:r w:rsidRPr="009A7F06">
        <w:rPr>
          <w:sz w:val="22"/>
          <w:szCs w:val="22"/>
          <w:vertAlign w:val="subscript"/>
          <w:lang w:val="lv-LV"/>
        </w:rPr>
        <w:t xml:space="preserve">2 </w:t>
      </w:r>
      <w:r w:rsidRPr="009A7F06">
        <w:rPr>
          <w:sz w:val="22"/>
          <w:szCs w:val="22"/>
          <w:lang w:val="lv-LV"/>
        </w:rPr>
        <w:t>agonistiem, var palielināties insulīna, brīvo taukskābju, glicer</w:t>
      </w:r>
      <w:r w:rsidR="00C348FD">
        <w:rPr>
          <w:sz w:val="22"/>
          <w:szCs w:val="22"/>
          <w:lang w:val="lv-LV"/>
        </w:rPr>
        <w:t>īna</w:t>
      </w:r>
      <w:r w:rsidRPr="009A7F06">
        <w:rPr>
          <w:sz w:val="22"/>
          <w:szCs w:val="22"/>
          <w:lang w:val="lv-LV"/>
        </w:rPr>
        <w:t xml:space="preserve"> un ketonvielu koncentrācija asinīs.</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Palīgviela laktoze satur nelielu daudzumu piena olbaltumviel</w:t>
      </w:r>
      <w:r w:rsidR="00002738">
        <w:rPr>
          <w:sz w:val="22"/>
          <w:szCs w:val="22"/>
          <w:lang w:val="lv-LV"/>
        </w:rPr>
        <w:t>u</w:t>
      </w:r>
      <w:r w:rsidRPr="009A7F06">
        <w:rPr>
          <w:sz w:val="22"/>
          <w:szCs w:val="22"/>
          <w:lang w:val="lv-LV"/>
        </w:rPr>
        <w:t>. Tās var izraisīt alerģiskas reakcijas.</w:t>
      </w:r>
    </w:p>
    <w:p w:rsidR="006F28B1" w:rsidRPr="009A7F06" w:rsidRDefault="006F28B1" w:rsidP="009A7F06">
      <w:pPr>
        <w:jc w:val="both"/>
        <w:rPr>
          <w:sz w:val="22"/>
          <w:szCs w:val="22"/>
          <w:lang w:val="lv-LV"/>
        </w:rPr>
      </w:pPr>
    </w:p>
    <w:p w:rsidR="00D521AB" w:rsidRPr="009A7F06" w:rsidRDefault="00D521AB" w:rsidP="009A7F06">
      <w:pPr>
        <w:pStyle w:val="Default"/>
        <w:rPr>
          <w:sz w:val="22"/>
          <w:szCs w:val="22"/>
          <w:u w:val="single"/>
        </w:rPr>
      </w:pPr>
      <w:r w:rsidRPr="009A7F06">
        <w:rPr>
          <w:sz w:val="22"/>
          <w:szCs w:val="22"/>
          <w:u w:val="single"/>
        </w:rPr>
        <w:t xml:space="preserve">Ziņošana par iespējamām nevēlamām blakusparādībām </w:t>
      </w:r>
    </w:p>
    <w:p w:rsidR="00D521AB" w:rsidRPr="009A7F06" w:rsidRDefault="00D521AB" w:rsidP="009A7F06">
      <w:pPr>
        <w:pStyle w:val="Default"/>
        <w:rPr>
          <w:sz w:val="22"/>
          <w:szCs w:val="22"/>
        </w:rPr>
      </w:pPr>
      <w:r w:rsidRPr="009A7F06">
        <w:rPr>
          <w:sz w:val="22"/>
          <w:szCs w:val="22"/>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aģentūrai, Jersikas ielā 15, Rīgā, LV-1003. </w:t>
      </w:r>
    </w:p>
    <w:p w:rsidR="00D521AB" w:rsidRPr="009A7F06" w:rsidRDefault="00D521AB" w:rsidP="009A7F06">
      <w:pPr>
        <w:jc w:val="both"/>
        <w:rPr>
          <w:sz w:val="22"/>
          <w:szCs w:val="22"/>
          <w:lang w:val="lv-LV"/>
        </w:rPr>
      </w:pPr>
      <w:r w:rsidRPr="009A7F06">
        <w:rPr>
          <w:sz w:val="22"/>
          <w:szCs w:val="22"/>
          <w:lang w:val="lv-LV"/>
        </w:rPr>
        <w:t>Tīmekļa vietne – www.zva.gov.lv.</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4.9. Pārdozēšana</w:t>
      </w:r>
    </w:p>
    <w:p w:rsidR="00E369B1" w:rsidRPr="009A7F06" w:rsidRDefault="00E369B1" w:rsidP="009A7F06">
      <w:pPr>
        <w:jc w:val="both"/>
        <w:rPr>
          <w:b/>
          <w:sz w:val="22"/>
          <w:szCs w:val="22"/>
          <w:lang w:val="lv-LV"/>
        </w:rPr>
      </w:pPr>
    </w:p>
    <w:p w:rsidR="00D521AB" w:rsidRPr="009A7F06" w:rsidRDefault="00E369B1" w:rsidP="009A7F06">
      <w:pPr>
        <w:jc w:val="both"/>
        <w:rPr>
          <w:sz w:val="22"/>
          <w:szCs w:val="22"/>
          <w:lang w:val="lv-LV"/>
        </w:rPr>
      </w:pPr>
      <w:r w:rsidRPr="009A7F06">
        <w:rPr>
          <w:sz w:val="22"/>
          <w:szCs w:val="22"/>
          <w:lang w:val="lv-LV"/>
        </w:rPr>
        <w:t>Klīniskā pieredze par pārdozēšanas ārstēšanu ir nepietiekama.</w:t>
      </w:r>
    </w:p>
    <w:p w:rsidR="00D521AB" w:rsidRPr="009A7F06" w:rsidRDefault="00D521AB" w:rsidP="009A7F06">
      <w:pPr>
        <w:jc w:val="both"/>
        <w:rPr>
          <w:sz w:val="22"/>
          <w:szCs w:val="22"/>
          <w:lang w:val="lv-LV"/>
        </w:rPr>
      </w:pPr>
    </w:p>
    <w:p w:rsidR="00D521AB" w:rsidRPr="009A7F06" w:rsidRDefault="00D521AB" w:rsidP="009A7F06">
      <w:pPr>
        <w:jc w:val="both"/>
        <w:rPr>
          <w:sz w:val="22"/>
          <w:szCs w:val="22"/>
          <w:u w:val="single"/>
          <w:lang w:val="lv-LV"/>
        </w:rPr>
      </w:pPr>
      <w:r w:rsidRPr="009A7F06">
        <w:rPr>
          <w:sz w:val="22"/>
          <w:szCs w:val="22"/>
          <w:u w:val="single"/>
          <w:lang w:val="lv-LV"/>
        </w:rPr>
        <w:t>Simptomi</w:t>
      </w:r>
    </w:p>
    <w:p w:rsidR="00E369B1" w:rsidRPr="009A7F06" w:rsidRDefault="00E369B1" w:rsidP="009A7F06">
      <w:pPr>
        <w:jc w:val="both"/>
        <w:rPr>
          <w:sz w:val="22"/>
          <w:szCs w:val="22"/>
          <w:lang w:val="lv-LV"/>
        </w:rPr>
      </w:pPr>
      <w:r w:rsidRPr="009A7F06">
        <w:rPr>
          <w:sz w:val="22"/>
          <w:szCs w:val="22"/>
          <w:lang w:val="lv-LV"/>
        </w:rPr>
        <w:t xml:space="preserve">Pārdozēšana izraisa </w:t>
      </w:r>
      <w:r w:rsidRPr="009A7F06">
        <w:rPr>
          <w:sz w:val="22"/>
          <w:szCs w:val="22"/>
          <w:lang w:val="lv-LV"/>
        </w:rPr>
        <w:sym w:font="Symbol" w:char="F062"/>
      </w:r>
      <w:r w:rsidRPr="009A7F06">
        <w:rPr>
          <w:sz w:val="22"/>
          <w:szCs w:val="22"/>
          <w:vertAlign w:val="subscript"/>
          <w:lang w:val="lv-LV"/>
        </w:rPr>
        <w:t xml:space="preserve">2 </w:t>
      </w:r>
      <w:r w:rsidRPr="009A7F06">
        <w:rPr>
          <w:sz w:val="22"/>
          <w:szCs w:val="22"/>
          <w:lang w:val="lv-LV"/>
        </w:rPr>
        <w:t>agonistiem raksturīgu iedarbību: trīci, galvassāpes, sirdsklauves. Atsevišķos gadījumos novēroti šādi simptomi: tahikardija, hiperglikēmija, hipokaliēmija, pagarināts QTc intervāls, aritmija, slikta dūša un vemšana. Indicēta uzturoša un simptomātiska ārstēšana.</w:t>
      </w:r>
    </w:p>
    <w:p w:rsidR="00E369B1" w:rsidRPr="009A7F06" w:rsidRDefault="00E369B1" w:rsidP="009A7F06">
      <w:pPr>
        <w:jc w:val="both"/>
        <w:rPr>
          <w:sz w:val="22"/>
          <w:szCs w:val="22"/>
          <w:lang w:val="lv-LV"/>
        </w:rPr>
      </w:pPr>
    </w:p>
    <w:p w:rsidR="00D521AB" w:rsidRPr="009A7F06" w:rsidRDefault="00D521AB" w:rsidP="009A7F06">
      <w:pPr>
        <w:jc w:val="both"/>
        <w:rPr>
          <w:sz w:val="22"/>
          <w:szCs w:val="22"/>
          <w:u w:val="single"/>
          <w:lang w:val="lv-LV"/>
        </w:rPr>
      </w:pPr>
      <w:r w:rsidRPr="009A7F06">
        <w:rPr>
          <w:sz w:val="22"/>
          <w:szCs w:val="22"/>
          <w:u w:val="single"/>
          <w:lang w:val="lv-LV"/>
        </w:rPr>
        <w:t>Terapija</w:t>
      </w:r>
    </w:p>
    <w:p w:rsidR="00E369B1" w:rsidRPr="009A7F06" w:rsidRDefault="00E369B1" w:rsidP="009A7F06">
      <w:pPr>
        <w:jc w:val="both"/>
        <w:rPr>
          <w:sz w:val="22"/>
          <w:szCs w:val="22"/>
          <w:lang w:val="lv-LV"/>
        </w:rPr>
      </w:pPr>
      <w:r w:rsidRPr="009A7F06">
        <w:rPr>
          <w:sz w:val="22"/>
          <w:szCs w:val="22"/>
          <w:lang w:val="lv-LV"/>
        </w:rPr>
        <w:lastRenderedPageBreak/>
        <w:t xml:space="preserve">Var apsvērt kardioselektīvu </w:t>
      </w:r>
      <w:r w:rsidR="00C348FD" w:rsidRPr="009A7F06">
        <w:rPr>
          <w:sz w:val="22"/>
          <w:szCs w:val="22"/>
          <w:lang w:val="lv-LV"/>
        </w:rPr>
        <w:t>b</w:t>
      </w:r>
      <w:r w:rsidR="00C348FD">
        <w:rPr>
          <w:sz w:val="22"/>
          <w:szCs w:val="22"/>
          <w:lang w:val="lv-LV"/>
        </w:rPr>
        <w:t>ē</w:t>
      </w:r>
      <w:r w:rsidR="00C348FD" w:rsidRPr="009A7F06">
        <w:rPr>
          <w:sz w:val="22"/>
          <w:szCs w:val="22"/>
          <w:lang w:val="lv-LV"/>
        </w:rPr>
        <w:t xml:space="preserve">ta </w:t>
      </w:r>
      <w:r w:rsidRPr="009A7F06">
        <w:rPr>
          <w:sz w:val="22"/>
          <w:szCs w:val="22"/>
          <w:lang w:val="lv-LV"/>
        </w:rPr>
        <w:t xml:space="preserve">blokatoru lietošanu, bet tikai ļoti uzmanīgi, jo </w:t>
      </w:r>
      <w:r w:rsidRPr="009A7F06">
        <w:rPr>
          <w:sz w:val="22"/>
          <w:szCs w:val="22"/>
          <w:lang w:val="lv-LV"/>
        </w:rPr>
        <w:sym w:font="Symbol" w:char="F062"/>
      </w:r>
      <w:r w:rsidRPr="009A7F06">
        <w:rPr>
          <w:sz w:val="22"/>
          <w:szCs w:val="22"/>
          <w:lang w:val="lv-LV"/>
        </w:rPr>
        <w:t xml:space="preserve"> blokatoru lietošana var izraisīt bronhu spazmas. Jākontrolē kālija līmenis serumā.</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5. FARMAKOLOĢISKĀS ĪPAŠĪBAS</w:t>
      </w:r>
    </w:p>
    <w:p w:rsidR="00E369B1" w:rsidRPr="009A7F06" w:rsidRDefault="00E369B1" w:rsidP="009A7F06">
      <w:pPr>
        <w:jc w:val="both"/>
        <w:rPr>
          <w:b/>
          <w:sz w:val="22"/>
          <w:szCs w:val="22"/>
          <w:lang w:val="lv-LV"/>
        </w:rPr>
      </w:pPr>
    </w:p>
    <w:p w:rsidR="00E369B1" w:rsidRPr="009A7F06" w:rsidRDefault="00E369B1" w:rsidP="009A7F06">
      <w:pPr>
        <w:jc w:val="both"/>
        <w:rPr>
          <w:b/>
          <w:sz w:val="22"/>
          <w:szCs w:val="22"/>
          <w:lang w:val="lv-LV"/>
        </w:rPr>
      </w:pPr>
      <w:r w:rsidRPr="009A7F06">
        <w:rPr>
          <w:b/>
          <w:sz w:val="22"/>
          <w:szCs w:val="22"/>
          <w:lang w:val="lv-LV"/>
        </w:rPr>
        <w:t>5.1. Farmakodinamiskās īpašības</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Farmakoterapeitiskā grupa: selektīvs </w:t>
      </w:r>
      <w:r w:rsidRPr="009A7F06">
        <w:rPr>
          <w:sz w:val="22"/>
          <w:szCs w:val="22"/>
          <w:lang w:val="lv-LV"/>
        </w:rPr>
        <w:sym w:font="Symbol" w:char="F062"/>
      </w:r>
      <w:r w:rsidRPr="009A7F06">
        <w:rPr>
          <w:sz w:val="22"/>
          <w:szCs w:val="22"/>
          <w:vertAlign w:val="subscript"/>
          <w:lang w:val="lv-LV"/>
        </w:rPr>
        <w:t>2</w:t>
      </w:r>
      <w:r w:rsidRPr="009A7F06">
        <w:rPr>
          <w:sz w:val="22"/>
          <w:szCs w:val="22"/>
          <w:lang w:val="lv-LV"/>
        </w:rPr>
        <w:t xml:space="preserve"> agonists, formoterols, ATĶ kods: R03A C13.</w:t>
      </w:r>
    </w:p>
    <w:p w:rsidR="002434C1" w:rsidRPr="009A7F06" w:rsidRDefault="002434C1" w:rsidP="009A7F06">
      <w:pPr>
        <w:jc w:val="both"/>
        <w:rPr>
          <w:sz w:val="22"/>
          <w:szCs w:val="22"/>
          <w:lang w:val="lv-LV"/>
        </w:rPr>
      </w:pPr>
    </w:p>
    <w:p w:rsidR="00E369B1" w:rsidRPr="009A7F06" w:rsidRDefault="00D521AB" w:rsidP="009A7F06">
      <w:pPr>
        <w:pStyle w:val="Heading1"/>
        <w:spacing w:before="0" w:after="0"/>
        <w:jc w:val="both"/>
        <w:rPr>
          <w:rFonts w:ascii="Times New Roman" w:hAnsi="Times New Roman"/>
          <w:b w:val="0"/>
          <w:bCs/>
          <w:iCs/>
          <w:sz w:val="22"/>
          <w:szCs w:val="22"/>
          <w:u w:val="single"/>
          <w:lang w:val="lv-LV"/>
        </w:rPr>
      </w:pPr>
      <w:r w:rsidRPr="009A7F06">
        <w:rPr>
          <w:rFonts w:ascii="Times New Roman" w:hAnsi="Times New Roman"/>
          <w:b w:val="0"/>
          <w:bCs/>
          <w:iCs/>
          <w:sz w:val="22"/>
          <w:szCs w:val="22"/>
          <w:u w:val="single"/>
          <w:lang w:val="lv-LV"/>
        </w:rPr>
        <w:t>Darbības mehānisms un farmakodinamiskā iedarbība</w:t>
      </w:r>
    </w:p>
    <w:p w:rsidR="00E369B1" w:rsidRPr="009A7F06" w:rsidRDefault="00E369B1" w:rsidP="009A7F06">
      <w:pPr>
        <w:jc w:val="both"/>
        <w:rPr>
          <w:sz w:val="22"/>
          <w:szCs w:val="22"/>
          <w:lang w:val="lv-LV"/>
        </w:rPr>
      </w:pPr>
      <w:r w:rsidRPr="009A7F06">
        <w:rPr>
          <w:sz w:val="22"/>
          <w:szCs w:val="22"/>
          <w:lang w:val="lv-LV"/>
        </w:rPr>
        <w:t xml:space="preserve">Formoterols ir selektīvs </w:t>
      </w:r>
      <w:r w:rsidRPr="009A7F06">
        <w:rPr>
          <w:sz w:val="22"/>
          <w:szCs w:val="22"/>
          <w:lang w:val="lv-LV"/>
        </w:rPr>
        <w:sym w:font="Symbol" w:char="F062"/>
      </w:r>
      <w:r w:rsidRPr="009A7F06">
        <w:rPr>
          <w:sz w:val="22"/>
          <w:szCs w:val="22"/>
          <w:vertAlign w:val="subscript"/>
          <w:lang w:val="lv-LV"/>
        </w:rPr>
        <w:t>2</w:t>
      </w:r>
      <w:r w:rsidRPr="009A7F06">
        <w:rPr>
          <w:sz w:val="22"/>
          <w:szCs w:val="22"/>
          <w:lang w:val="lv-LV"/>
        </w:rPr>
        <w:t xml:space="preserve"> adrenoreceptoru agonists, kas atslābina bronhu gludo muskulatūru. Tādējādi formoterols pacientiem ar atgriezenisku elpceļu obstrukciju paplašina bronhus. Bronhus paplašinošā darbība sākas ātri – 1 – 3 min pēc inhalācijas – un pēc vienreizējas devas lietošanas ilgst vidēji 12 h.</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5.2. Farmakokinētiskās īpašības</w:t>
      </w:r>
    </w:p>
    <w:p w:rsidR="00E369B1" w:rsidRPr="009A7F06" w:rsidRDefault="00E369B1" w:rsidP="009A7F06">
      <w:pPr>
        <w:jc w:val="both"/>
        <w:rPr>
          <w:b/>
          <w:sz w:val="22"/>
          <w:szCs w:val="22"/>
          <w:lang w:val="lv-LV"/>
        </w:rPr>
      </w:pPr>
    </w:p>
    <w:p w:rsidR="00E369B1" w:rsidRPr="009A7F06" w:rsidRDefault="00E369B1" w:rsidP="009A7F06">
      <w:pPr>
        <w:jc w:val="both"/>
        <w:rPr>
          <w:sz w:val="22"/>
          <w:szCs w:val="22"/>
          <w:u w:val="single"/>
          <w:lang w:val="lv-LV"/>
        </w:rPr>
      </w:pPr>
      <w:r w:rsidRPr="009A7F06">
        <w:rPr>
          <w:sz w:val="22"/>
          <w:szCs w:val="22"/>
          <w:u w:val="single"/>
          <w:lang w:val="lv-LV"/>
        </w:rPr>
        <w:t>Uzsūkšanās</w:t>
      </w:r>
    </w:p>
    <w:p w:rsidR="00E369B1" w:rsidRPr="009A7F06" w:rsidRDefault="00E369B1" w:rsidP="009A7F06">
      <w:pPr>
        <w:jc w:val="both"/>
        <w:rPr>
          <w:sz w:val="22"/>
          <w:szCs w:val="22"/>
          <w:lang w:val="lv-LV"/>
        </w:rPr>
      </w:pPr>
      <w:r w:rsidRPr="009A7F06">
        <w:rPr>
          <w:sz w:val="22"/>
          <w:szCs w:val="22"/>
          <w:lang w:val="lv-LV"/>
        </w:rPr>
        <w:t>Pēc inhalācijas formoterols uzsūcas ātri. Maksimālā koncentrācija plazmā tiek sasniegta aptuveni 10 min pēc inhalācijas.</w:t>
      </w:r>
    </w:p>
    <w:p w:rsidR="00E369B1" w:rsidRPr="009A7F06" w:rsidRDefault="00E369B1" w:rsidP="009A7F06">
      <w:pPr>
        <w:jc w:val="both"/>
        <w:rPr>
          <w:sz w:val="22"/>
          <w:szCs w:val="22"/>
          <w:lang w:val="lv-LV"/>
        </w:rPr>
      </w:pPr>
    </w:p>
    <w:p w:rsidR="00E369B1" w:rsidRPr="009A7F06" w:rsidRDefault="00D521AB" w:rsidP="009A7F06">
      <w:pPr>
        <w:jc w:val="both"/>
        <w:rPr>
          <w:sz w:val="22"/>
          <w:szCs w:val="22"/>
          <w:lang w:val="lv-LV"/>
        </w:rPr>
      </w:pPr>
      <w:r w:rsidRPr="009A7F06">
        <w:rPr>
          <w:sz w:val="22"/>
          <w:szCs w:val="22"/>
          <w:lang w:val="lv-LV"/>
        </w:rPr>
        <w:t>Farmakokinētiskajos p</w:t>
      </w:r>
      <w:r w:rsidR="00E369B1" w:rsidRPr="009A7F06">
        <w:rPr>
          <w:sz w:val="22"/>
          <w:szCs w:val="22"/>
          <w:lang w:val="lv-LV"/>
        </w:rPr>
        <w:t xml:space="preserve">ētījumos vidējais formoterola daudzums, kas uzkrājās plaušās pēc inhalācijas caur </w:t>
      </w:r>
      <w:r w:rsidR="00E369B1" w:rsidRPr="009A7F06">
        <w:rPr>
          <w:i/>
          <w:sz w:val="22"/>
          <w:szCs w:val="22"/>
          <w:lang w:val="lv-LV"/>
        </w:rPr>
        <w:t>Turbuhaler</w:t>
      </w:r>
      <w:r w:rsidR="00E369B1" w:rsidRPr="009A7F06">
        <w:rPr>
          <w:sz w:val="22"/>
          <w:szCs w:val="22"/>
          <w:lang w:val="lv-LV"/>
        </w:rPr>
        <w:t xml:space="preserve">, bija </w:t>
      </w:r>
      <w:r w:rsidRPr="009A7F06">
        <w:rPr>
          <w:sz w:val="22"/>
          <w:szCs w:val="22"/>
          <w:lang w:val="lv-LV"/>
        </w:rPr>
        <w:t>43</w:t>
      </w:r>
      <w:r w:rsidR="00E369B1" w:rsidRPr="009A7F06">
        <w:rPr>
          <w:sz w:val="22"/>
          <w:szCs w:val="22"/>
          <w:lang w:val="lv-LV"/>
        </w:rPr>
        <w:t xml:space="preserve">% ieelpotās devas (atbilst </w:t>
      </w:r>
      <w:r w:rsidRPr="009A7F06">
        <w:rPr>
          <w:sz w:val="22"/>
          <w:szCs w:val="22"/>
          <w:lang w:val="lv-LV"/>
        </w:rPr>
        <w:t>32</w:t>
      </w:r>
      <w:r w:rsidR="00E369B1" w:rsidRPr="009A7F06">
        <w:rPr>
          <w:sz w:val="22"/>
          <w:szCs w:val="22"/>
          <w:lang w:val="lv-LV"/>
        </w:rPr>
        <w:t>% nomērītās devas). Ja uzkrāšanās plaušās bija izteiktāka</w:t>
      </w:r>
      <w:r w:rsidR="00694924" w:rsidRPr="009A7F06">
        <w:rPr>
          <w:sz w:val="22"/>
          <w:szCs w:val="22"/>
          <w:lang w:val="lv-LV"/>
        </w:rPr>
        <w:t>.</w:t>
      </w:r>
      <w:r w:rsidR="00E369B1" w:rsidRPr="009A7F06">
        <w:rPr>
          <w:sz w:val="22"/>
          <w:szCs w:val="22"/>
          <w:lang w:val="lv-LV"/>
        </w:rPr>
        <w:t xml:space="preserve"> </w:t>
      </w:r>
      <w:r w:rsidR="00694924" w:rsidRPr="009A7F06">
        <w:rPr>
          <w:sz w:val="22"/>
          <w:szCs w:val="22"/>
          <w:lang w:val="lv-LV"/>
        </w:rPr>
        <w:t xml:space="preserve">Kopējā </w:t>
      </w:r>
      <w:r w:rsidR="00E369B1" w:rsidRPr="009A7F06">
        <w:rPr>
          <w:sz w:val="22"/>
          <w:szCs w:val="22"/>
          <w:lang w:val="lv-LV"/>
        </w:rPr>
        <w:t>sistēmiskā pieejamība bija aptuveni 6</w:t>
      </w:r>
      <w:r w:rsidR="00694924" w:rsidRPr="009A7F06">
        <w:rPr>
          <w:sz w:val="22"/>
          <w:szCs w:val="22"/>
          <w:lang w:val="lv-LV"/>
        </w:rPr>
        <w:t>0</w:t>
      </w:r>
      <w:r w:rsidR="00E369B1" w:rsidRPr="009A7F06">
        <w:rPr>
          <w:sz w:val="22"/>
          <w:szCs w:val="22"/>
          <w:lang w:val="lv-LV"/>
        </w:rPr>
        <w:t>% ieelpotās devas</w:t>
      </w:r>
      <w:r w:rsidR="00694924" w:rsidRPr="009A7F06">
        <w:rPr>
          <w:sz w:val="22"/>
          <w:szCs w:val="22"/>
          <w:lang w:val="lv-LV"/>
        </w:rPr>
        <w:t>.</w:t>
      </w:r>
      <w:r w:rsidR="00E369B1" w:rsidRPr="009A7F06">
        <w:rPr>
          <w:sz w:val="22"/>
          <w:szCs w:val="22"/>
          <w:lang w:val="lv-LV"/>
        </w:rPr>
        <w:t xml:space="preserve"> </w:t>
      </w:r>
    </w:p>
    <w:p w:rsidR="00E369B1" w:rsidRPr="009A7F06" w:rsidRDefault="00E369B1" w:rsidP="009A7F06">
      <w:pPr>
        <w:jc w:val="both"/>
        <w:rPr>
          <w:sz w:val="22"/>
          <w:szCs w:val="22"/>
          <w:lang w:val="lv-LV"/>
        </w:rPr>
      </w:pPr>
    </w:p>
    <w:p w:rsidR="00E369B1" w:rsidRPr="009A7F06" w:rsidRDefault="00E73F5C" w:rsidP="009A7F06">
      <w:pPr>
        <w:jc w:val="both"/>
        <w:rPr>
          <w:sz w:val="22"/>
          <w:szCs w:val="22"/>
          <w:u w:val="single"/>
          <w:lang w:val="lv-LV"/>
        </w:rPr>
      </w:pPr>
      <w:r w:rsidRPr="009A7F06">
        <w:rPr>
          <w:sz w:val="22"/>
          <w:szCs w:val="22"/>
          <w:u w:val="single"/>
          <w:lang w:val="lv-LV"/>
        </w:rPr>
        <w:t xml:space="preserve">Izkliede </w:t>
      </w:r>
      <w:r w:rsidR="00E369B1" w:rsidRPr="009A7F06">
        <w:rPr>
          <w:sz w:val="22"/>
          <w:szCs w:val="22"/>
          <w:u w:val="single"/>
          <w:lang w:val="lv-LV"/>
        </w:rPr>
        <w:t xml:space="preserve">un </w:t>
      </w:r>
      <w:r w:rsidR="00D521AB" w:rsidRPr="009A7F06">
        <w:rPr>
          <w:sz w:val="22"/>
          <w:szCs w:val="22"/>
          <w:u w:val="single"/>
          <w:lang w:val="lv-LV"/>
        </w:rPr>
        <w:t>biotransformācija</w:t>
      </w:r>
    </w:p>
    <w:p w:rsidR="00E369B1" w:rsidRPr="009A7F06" w:rsidRDefault="00E369B1" w:rsidP="009A7F06">
      <w:pPr>
        <w:jc w:val="both"/>
        <w:rPr>
          <w:sz w:val="22"/>
          <w:szCs w:val="22"/>
          <w:lang w:val="lv-LV"/>
        </w:rPr>
      </w:pPr>
      <w:r w:rsidRPr="009A7F06">
        <w:rPr>
          <w:sz w:val="22"/>
          <w:szCs w:val="22"/>
          <w:lang w:val="lv-LV"/>
        </w:rPr>
        <w:t>Ar plazmas olbaltumiem saistās aptuveni 50% formoterola.</w:t>
      </w:r>
    </w:p>
    <w:p w:rsidR="00E369B1" w:rsidRPr="009A7F06" w:rsidRDefault="00E369B1" w:rsidP="009A7F06">
      <w:pPr>
        <w:jc w:val="both"/>
        <w:rPr>
          <w:sz w:val="22"/>
          <w:szCs w:val="22"/>
          <w:lang w:val="lv-LV"/>
        </w:rPr>
      </w:pPr>
      <w:r w:rsidRPr="009A7F06">
        <w:rPr>
          <w:sz w:val="22"/>
          <w:szCs w:val="22"/>
          <w:lang w:val="lv-LV"/>
        </w:rPr>
        <w:t xml:space="preserve">Formoterols metabolizējas tiešas glikuronidēšanas un O–demetilēšanas ceļā. Enzīms, kas veic O–demetilēšanu, nav noteikts. </w:t>
      </w:r>
    </w:p>
    <w:p w:rsidR="00E369B1" w:rsidRPr="009A7F06" w:rsidRDefault="00E369B1" w:rsidP="009A7F06">
      <w:pPr>
        <w:jc w:val="both"/>
        <w:rPr>
          <w:sz w:val="22"/>
          <w:szCs w:val="22"/>
          <w:lang w:val="lv-LV"/>
        </w:rPr>
      </w:pPr>
      <w:r w:rsidRPr="009A7F06">
        <w:rPr>
          <w:sz w:val="22"/>
          <w:szCs w:val="22"/>
          <w:lang w:val="lv-LV"/>
        </w:rPr>
        <w:t xml:space="preserve"> </w:t>
      </w:r>
    </w:p>
    <w:p w:rsidR="00E369B1" w:rsidRPr="009A7F06" w:rsidRDefault="00E369B1" w:rsidP="009A7F06">
      <w:pPr>
        <w:jc w:val="both"/>
        <w:rPr>
          <w:sz w:val="22"/>
          <w:szCs w:val="22"/>
          <w:u w:val="single"/>
          <w:lang w:val="lv-LV"/>
        </w:rPr>
      </w:pPr>
      <w:r w:rsidRPr="009A7F06">
        <w:rPr>
          <w:sz w:val="22"/>
          <w:szCs w:val="22"/>
          <w:u w:val="single"/>
          <w:lang w:val="lv-LV"/>
        </w:rPr>
        <w:t>Eliminācija</w:t>
      </w:r>
    </w:p>
    <w:p w:rsidR="00E369B1" w:rsidRPr="009A7F06" w:rsidRDefault="00E369B1" w:rsidP="009A7F06">
      <w:pPr>
        <w:jc w:val="both"/>
        <w:rPr>
          <w:sz w:val="22"/>
          <w:szCs w:val="22"/>
          <w:lang w:val="lv-LV"/>
        </w:rPr>
      </w:pPr>
      <w:r w:rsidRPr="009A7F06">
        <w:rPr>
          <w:sz w:val="22"/>
          <w:szCs w:val="22"/>
          <w:lang w:val="lv-LV"/>
        </w:rPr>
        <w:t xml:space="preserve">Lielākā formoterola devas daļa izdalās metabolizētā veidā. </w:t>
      </w:r>
      <w:r w:rsidR="00D521AB" w:rsidRPr="009A7F06">
        <w:rPr>
          <w:sz w:val="22"/>
          <w:szCs w:val="22"/>
          <w:lang w:val="lv-LV"/>
        </w:rPr>
        <w:t xml:space="preserve">Kopējais plazmas klīrenss un </w:t>
      </w:r>
      <w:r w:rsidR="00694924" w:rsidRPr="009A7F06">
        <w:rPr>
          <w:sz w:val="22"/>
          <w:szCs w:val="22"/>
          <w:lang w:val="lv-LV"/>
        </w:rPr>
        <w:t xml:space="preserve">izkliedes </w:t>
      </w:r>
      <w:r w:rsidR="00D521AB" w:rsidRPr="009A7F06">
        <w:rPr>
          <w:sz w:val="22"/>
          <w:szCs w:val="22"/>
          <w:lang w:val="lv-LV"/>
        </w:rPr>
        <w:t xml:space="preserve">tilpums nav noteikts. </w:t>
      </w:r>
      <w:r w:rsidRPr="009A7F06">
        <w:rPr>
          <w:sz w:val="22"/>
          <w:szCs w:val="22"/>
          <w:lang w:val="lv-LV"/>
        </w:rPr>
        <w:t xml:space="preserve">Pēc inhalācijas 8 – 13% ieelpotās formoterola devas (atbilst 6 – 10% nomērītās devas) izdalās nemetabolizētā veidā ar urīnu. Aptuveni 20% intravenozi ievadītas devas izdalās nemainītā veidā ar urīnu. Aprēķināts, ka terminālais </w:t>
      </w:r>
      <w:r w:rsidR="00E73F5C" w:rsidRPr="009A7F06">
        <w:rPr>
          <w:sz w:val="22"/>
          <w:szCs w:val="22"/>
          <w:lang w:val="lv-LV"/>
        </w:rPr>
        <w:t xml:space="preserve">eliminācijas </w:t>
      </w:r>
      <w:r w:rsidRPr="009A7F06">
        <w:rPr>
          <w:sz w:val="22"/>
          <w:szCs w:val="22"/>
          <w:lang w:val="lv-LV"/>
        </w:rPr>
        <w:t>pusperiods pēc inhalācijas ir 17 h.</w:t>
      </w:r>
    </w:p>
    <w:p w:rsidR="00CB0EA2" w:rsidRPr="009A7F06" w:rsidRDefault="00CB0EA2" w:rsidP="009A7F06">
      <w:pPr>
        <w:jc w:val="both"/>
        <w:rPr>
          <w:sz w:val="22"/>
          <w:szCs w:val="22"/>
          <w:lang w:val="lv-LV"/>
        </w:rPr>
      </w:pPr>
    </w:p>
    <w:p w:rsidR="00CB0EA2" w:rsidRPr="009A7F06" w:rsidRDefault="00CB0EA2" w:rsidP="009A7F06">
      <w:pPr>
        <w:jc w:val="both"/>
        <w:rPr>
          <w:sz w:val="22"/>
          <w:szCs w:val="22"/>
          <w:u w:val="single"/>
          <w:lang w:val="lv-LV"/>
        </w:rPr>
      </w:pPr>
      <w:r w:rsidRPr="009A7F06">
        <w:rPr>
          <w:sz w:val="22"/>
          <w:szCs w:val="22"/>
          <w:u w:val="single"/>
          <w:lang w:val="lv-LV"/>
        </w:rPr>
        <w:t>Linearitāte/nelinearitāte</w:t>
      </w:r>
    </w:p>
    <w:p w:rsidR="00CB0EA2" w:rsidRPr="009A7F06" w:rsidRDefault="00CB0EA2" w:rsidP="009A7F06">
      <w:pPr>
        <w:jc w:val="both"/>
        <w:rPr>
          <w:sz w:val="22"/>
          <w:szCs w:val="22"/>
          <w:lang w:val="lv-LV"/>
        </w:rPr>
      </w:pPr>
      <w:r w:rsidRPr="009A7F06">
        <w:rPr>
          <w:sz w:val="22"/>
          <w:szCs w:val="22"/>
        </w:rPr>
        <w:t>Formoterola sistēmiskā iedarbība norādītajās devās ir lineāra.</w:t>
      </w:r>
    </w:p>
    <w:p w:rsidR="00E369B1" w:rsidRPr="009A7F06" w:rsidRDefault="00E369B1" w:rsidP="009A7F06">
      <w:pPr>
        <w:jc w:val="both"/>
        <w:rPr>
          <w:sz w:val="22"/>
          <w:szCs w:val="22"/>
          <w:lang w:val="lv-LV"/>
        </w:rPr>
      </w:pPr>
    </w:p>
    <w:p w:rsidR="00E369B1" w:rsidRPr="009A7F06" w:rsidRDefault="00E369B1" w:rsidP="009A7F06">
      <w:pPr>
        <w:jc w:val="both"/>
        <w:rPr>
          <w:sz w:val="22"/>
          <w:szCs w:val="22"/>
          <w:u w:val="single"/>
          <w:lang w:val="lv-LV"/>
        </w:rPr>
      </w:pPr>
      <w:r w:rsidRPr="009A7F06">
        <w:rPr>
          <w:sz w:val="22"/>
          <w:szCs w:val="22"/>
          <w:u w:val="single"/>
          <w:lang w:val="lv-LV"/>
        </w:rPr>
        <w:t>Īpašas pacientu grupas</w:t>
      </w:r>
    </w:p>
    <w:p w:rsidR="00E369B1" w:rsidRPr="009A7F06" w:rsidRDefault="00E369B1" w:rsidP="009A7F06">
      <w:pPr>
        <w:jc w:val="both"/>
        <w:rPr>
          <w:sz w:val="22"/>
          <w:szCs w:val="22"/>
          <w:lang w:val="lv-LV"/>
        </w:rPr>
      </w:pPr>
      <w:r w:rsidRPr="009A7F06">
        <w:rPr>
          <w:sz w:val="22"/>
          <w:szCs w:val="22"/>
          <w:lang w:val="lv-LV"/>
        </w:rPr>
        <w:t>Pavājinātas aknu vai nieru darbības ietekme uz formoterola farmakokinētiku un farmakokinētika gados veciem cilvēkiem nav zināma. Tā kā formoterols galvenokārt izdalās metabolizējoties, pacientiem ar smagu aknu cirozi iespējama pastiprināta iedarbība.</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 xml:space="preserve">5.3. Preklīniskie dati par </w:t>
      </w:r>
      <w:r w:rsidR="007A3C26" w:rsidRPr="009A7F06">
        <w:rPr>
          <w:b/>
          <w:sz w:val="22"/>
          <w:szCs w:val="22"/>
          <w:lang w:val="lv-LV"/>
        </w:rPr>
        <w:t>drošumu</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lastRenderedPageBreak/>
        <w:t xml:space="preserve">Toksiskuma pētījumos ar žurkām un suņiem formoterols ietekmēja galvenokārt kardiovaskulāro sistēmu un izraisīja hiperēmiju, tahikardiju, aritmiju un miokarda bojājumus. Šīs reakcijas ir zināma farmakoloģiska iedarbība pēc lielu </w:t>
      </w:r>
      <w:r w:rsidRPr="009A7F06">
        <w:rPr>
          <w:sz w:val="22"/>
          <w:szCs w:val="22"/>
          <w:lang w:val="lv-LV"/>
        </w:rPr>
        <w:sym w:font="Symbol" w:char="F062"/>
      </w:r>
      <w:r w:rsidRPr="009A7F06">
        <w:rPr>
          <w:sz w:val="22"/>
          <w:szCs w:val="22"/>
          <w:vertAlign w:val="subscript"/>
          <w:lang w:val="lv-LV"/>
        </w:rPr>
        <w:t>2</w:t>
      </w:r>
      <w:r w:rsidRPr="009A7F06">
        <w:rPr>
          <w:sz w:val="22"/>
          <w:szCs w:val="22"/>
          <w:lang w:val="lv-LV"/>
        </w:rPr>
        <w:t xml:space="preserve">-agonistu devu lietošanas. </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i/>
          <w:sz w:val="22"/>
          <w:szCs w:val="22"/>
          <w:lang w:val="lv-LV"/>
        </w:rPr>
        <w:t>In vitro</w:t>
      </w:r>
      <w:r w:rsidRPr="009A7F06">
        <w:rPr>
          <w:sz w:val="22"/>
          <w:szCs w:val="22"/>
          <w:lang w:val="lv-LV"/>
        </w:rPr>
        <w:t xml:space="preserve"> un </w:t>
      </w:r>
      <w:r w:rsidRPr="009A7F06">
        <w:rPr>
          <w:i/>
          <w:sz w:val="22"/>
          <w:szCs w:val="22"/>
          <w:lang w:val="lv-LV"/>
        </w:rPr>
        <w:t>in vivo</w:t>
      </w:r>
      <w:r w:rsidRPr="009A7F06">
        <w:rPr>
          <w:sz w:val="22"/>
          <w:szCs w:val="22"/>
          <w:lang w:val="lv-LV"/>
        </w:rPr>
        <w:t xml:space="preserve"> veiktos testos formoterolam nekonstatēja genotoksisku iedarbību. Žurkām un pelēm novēroja nedaudz palielinātu labdabīgu dzemdes leiomiomu sastopamību. To uzskata par grupai raksturīgu iedarbību, kas novērota grauzējiem pēc ilgstošas lielu </w:t>
      </w:r>
      <w:r w:rsidRPr="009A7F06">
        <w:rPr>
          <w:sz w:val="22"/>
          <w:szCs w:val="22"/>
          <w:lang w:val="lv-LV"/>
        </w:rPr>
        <w:sym w:font="Symbol" w:char="F062"/>
      </w:r>
      <w:r w:rsidRPr="009A7F06">
        <w:rPr>
          <w:sz w:val="22"/>
          <w:szCs w:val="22"/>
          <w:vertAlign w:val="subscript"/>
          <w:lang w:val="lv-LV"/>
        </w:rPr>
        <w:t>2</w:t>
      </w:r>
      <w:r w:rsidRPr="009A7F06">
        <w:rPr>
          <w:sz w:val="22"/>
          <w:szCs w:val="22"/>
          <w:lang w:val="lv-LV"/>
        </w:rPr>
        <w:t xml:space="preserve"> agonistu devu lietošanas.</w:t>
      </w:r>
    </w:p>
    <w:p w:rsidR="00E369B1" w:rsidRPr="009A7F06" w:rsidRDefault="00E369B1" w:rsidP="009A7F06">
      <w:pPr>
        <w:jc w:val="both"/>
        <w:rPr>
          <w:sz w:val="22"/>
          <w:szCs w:val="22"/>
          <w:lang w:val="lv-LV"/>
        </w:rPr>
      </w:pPr>
    </w:p>
    <w:p w:rsidR="00101FC0" w:rsidRPr="009A7F06" w:rsidRDefault="00101FC0"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 xml:space="preserve">6. FARMACEITISKĀ INFORMĀCIJA </w:t>
      </w:r>
    </w:p>
    <w:p w:rsidR="00E369B1" w:rsidRPr="009A7F06" w:rsidRDefault="00E369B1" w:rsidP="009A7F06">
      <w:pPr>
        <w:jc w:val="both"/>
        <w:rPr>
          <w:b/>
          <w:sz w:val="22"/>
          <w:szCs w:val="22"/>
          <w:lang w:val="lv-LV"/>
        </w:rPr>
      </w:pPr>
    </w:p>
    <w:p w:rsidR="00E369B1" w:rsidRPr="009A7F06" w:rsidRDefault="00E369B1" w:rsidP="009A7F06">
      <w:pPr>
        <w:jc w:val="both"/>
        <w:rPr>
          <w:b/>
          <w:sz w:val="22"/>
          <w:szCs w:val="22"/>
          <w:lang w:val="lv-LV"/>
        </w:rPr>
      </w:pPr>
      <w:r w:rsidRPr="009A7F06">
        <w:rPr>
          <w:b/>
          <w:sz w:val="22"/>
          <w:szCs w:val="22"/>
          <w:lang w:val="lv-LV"/>
        </w:rPr>
        <w:t>6.1. Palīgvielu saraksts</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t>Laktozes monohidrāts (kas satur piena olbaltumvielas).</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6.2. Nesaderība</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t xml:space="preserve">Nav </w:t>
      </w:r>
      <w:r w:rsidR="00A83810" w:rsidRPr="009A7F06">
        <w:rPr>
          <w:sz w:val="22"/>
          <w:szCs w:val="22"/>
          <w:lang w:val="lv-LV"/>
        </w:rPr>
        <w:t>piemērojama</w:t>
      </w:r>
      <w:r w:rsidRPr="009A7F06">
        <w:rPr>
          <w:sz w:val="22"/>
          <w:szCs w:val="22"/>
          <w:lang w:val="lv-LV"/>
        </w:rPr>
        <w:t>.</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6.3. Uzglabāšanas laiks</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t>2 gadi.</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 xml:space="preserve">6.4. Īpaši uzglabāšanas nosacījumi </w:t>
      </w:r>
    </w:p>
    <w:p w:rsidR="00E369B1" w:rsidRPr="009A7F06" w:rsidRDefault="00E369B1" w:rsidP="009A7F06">
      <w:pPr>
        <w:jc w:val="both"/>
        <w:rPr>
          <w:b/>
          <w:sz w:val="22"/>
          <w:szCs w:val="22"/>
          <w:lang w:val="lv-LV"/>
        </w:rPr>
      </w:pPr>
    </w:p>
    <w:p w:rsidR="00E369B1" w:rsidRPr="009A7F06" w:rsidRDefault="00E8155A" w:rsidP="009A7F06">
      <w:pPr>
        <w:jc w:val="both"/>
        <w:rPr>
          <w:sz w:val="22"/>
          <w:szCs w:val="22"/>
          <w:lang w:val="lv-LV"/>
        </w:rPr>
      </w:pPr>
      <w:r w:rsidRPr="009A7F06">
        <w:rPr>
          <w:sz w:val="22"/>
          <w:szCs w:val="22"/>
          <w:lang w:val="lv-LV"/>
        </w:rPr>
        <w:t xml:space="preserve">Šīm zālēm nav nepieciešami īpaši uzglabāšanas apstākļi. </w:t>
      </w:r>
      <w:r w:rsidR="00E369B1" w:rsidRPr="009A7F06">
        <w:rPr>
          <w:sz w:val="22"/>
          <w:szCs w:val="22"/>
          <w:lang w:val="lv-LV"/>
        </w:rPr>
        <w:t>Uzglabāt stingri noslēgtu.</w:t>
      </w:r>
    </w:p>
    <w:p w:rsidR="00E369B1" w:rsidRPr="009A7F06" w:rsidRDefault="00E369B1"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6.5. Iepakojuma veids un  saturs</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i/>
          <w:sz w:val="22"/>
          <w:szCs w:val="22"/>
          <w:lang w:val="lv-LV"/>
        </w:rPr>
        <w:t>Oxis Turbuhaler</w:t>
      </w:r>
      <w:r w:rsidRPr="009A7F06">
        <w:rPr>
          <w:sz w:val="22"/>
          <w:szCs w:val="22"/>
          <w:lang w:val="lv-LV"/>
        </w:rPr>
        <w:t xml:space="preserve"> ir daudzdevu, ar ieelpu darbināms pulverinhalators. Inhalators ir gatavots no plastmasas daļām (PP, PH, ABPE, ZBPE, L</w:t>
      </w:r>
      <w:r w:rsidR="00A83810" w:rsidRPr="009A7F06">
        <w:rPr>
          <w:sz w:val="22"/>
          <w:szCs w:val="22"/>
          <w:lang w:val="lv-LV"/>
        </w:rPr>
        <w:t>ZB</w:t>
      </w:r>
      <w:r w:rsidRPr="009A7F06">
        <w:rPr>
          <w:sz w:val="22"/>
          <w:szCs w:val="22"/>
          <w:lang w:val="lv-LV"/>
        </w:rPr>
        <w:t>PE, PBT).</w:t>
      </w:r>
    </w:p>
    <w:p w:rsidR="00E369B1" w:rsidRPr="009A7F06" w:rsidRDefault="00E369B1" w:rsidP="009A7F06">
      <w:pPr>
        <w:jc w:val="both"/>
        <w:rPr>
          <w:sz w:val="22"/>
          <w:szCs w:val="22"/>
          <w:lang w:val="lv-LV"/>
        </w:rPr>
      </w:pPr>
      <w:r w:rsidRPr="009A7F06">
        <w:rPr>
          <w:sz w:val="22"/>
          <w:szCs w:val="22"/>
          <w:lang w:val="lv-LV"/>
        </w:rPr>
        <w:t>Inhalatorā ir 60 devu.</w:t>
      </w:r>
    </w:p>
    <w:p w:rsidR="006F28B1" w:rsidRPr="009A7F06" w:rsidRDefault="006F28B1" w:rsidP="009A7F06">
      <w:pPr>
        <w:jc w:val="both"/>
        <w:rPr>
          <w:iCs/>
          <w:sz w:val="22"/>
          <w:szCs w:val="22"/>
          <w:lang w:val="lv-LV"/>
        </w:rPr>
      </w:pPr>
      <w:r w:rsidRPr="009A7F06">
        <w:rPr>
          <w:sz w:val="22"/>
          <w:szCs w:val="22"/>
          <w:lang w:val="lv-LV"/>
        </w:rPr>
        <w:t xml:space="preserve">Katrs iepakojums satur: </w:t>
      </w:r>
      <w:r w:rsidRPr="009A7F06">
        <w:rPr>
          <w:iCs/>
          <w:sz w:val="22"/>
          <w:szCs w:val="22"/>
          <w:lang w:val="lv-LV"/>
        </w:rPr>
        <w:t>60 devas (1 inhalators), 3x60 devas (3 inhalatori).</w:t>
      </w:r>
    </w:p>
    <w:p w:rsidR="00E369B1" w:rsidRPr="009A7F06" w:rsidRDefault="009A3654" w:rsidP="009A7F06">
      <w:pPr>
        <w:jc w:val="both"/>
        <w:rPr>
          <w:iCs/>
          <w:sz w:val="22"/>
          <w:szCs w:val="22"/>
          <w:lang w:val="lv-LV"/>
        </w:rPr>
      </w:pPr>
      <w:r w:rsidRPr="009A7F06">
        <w:rPr>
          <w:iCs/>
          <w:sz w:val="22"/>
          <w:szCs w:val="22"/>
          <w:lang w:val="lv-LV"/>
        </w:rPr>
        <w:t>Visi iepakojuma lielumi tirgū var nebūt pieejami.</w:t>
      </w:r>
    </w:p>
    <w:p w:rsidR="00F9673B" w:rsidRPr="009A7F06" w:rsidRDefault="00F9673B"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 xml:space="preserve">6.6. Īpaši norādījumi atkritumu likvidēšanai </w:t>
      </w:r>
    </w:p>
    <w:p w:rsidR="00E369B1" w:rsidRPr="009A7F06" w:rsidRDefault="00E369B1" w:rsidP="009A7F06">
      <w:pPr>
        <w:jc w:val="both"/>
        <w:rPr>
          <w:b/>
          <w:sz w:val="22"/>
          <w:szCs w:val="22"/>
          <w:lang w:val="lv-LV"/>
        </w:rPr>
      </w:pPr>
    </w:p>
    <w:p w:rsidR="00E369B1" w:rsidRPr="009A7F06" w:rsidRDefault="00E369B1" w:rsidP="009A7F06">
      <w:pPr>
        <w:jc w:val="both"/>
        <w:rPr>
          <w:sz w:val="22"/>
          <w:szCs w:val="22"/>
          <w:lang w:val="lv-LV"/>
        </w:rPr>
      </w:pPr>
      <w:r w:rsidRPr="009A7F06">
        <w:rPr>
          <w:sz w:val="22"/>
          <w:szCs w:val="22"/>
          <w:lang w:val="lv-LV"/>
        </w:rPr>
        <w:t>Nav īpašu prasību.</w:t>
      </w:r>
    </w:p>
    <w:p w:rsidR="00E369B1" w:rsidRPr="009A7F06" w:rsidRDefault="00E369B1" w:rsidP="009A7F06">
      <w:pPr>
        <w:jc w:val="both"/>
        <w:rPr>
          <w:sz w:val="22"/>
          <w:szCs w:val="22"/>
          <w:lang w:val="lv-LV"/>
        </w:rPr>
      </w:pPr>
    </w:p>
    <w:p w:rsidR="00101FC0" w:rsidRPr="009A7F06" w:rsidRDefault="00101FC0"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7. REĢISTRĀCIJAS APLIECĪBAS ĪPAŠNIEKS</w:t>
      </w:r>
    </w:p>
    <w:p w:rsidR="00E369B1" w:rsidRPr="009A7F06" w:rsidRDefault="00E369B1" w:rsidP="009A7F06">
      <w:pPr>
        <w:jc w:val="both"/>
        <w:rPr>
          <w:b/>
          <w:sz w:val="22"/>
          <w:szCs w:val="22"/>
          <w:lang w:val="lv-LV"/>
        </w:rPr>
      </w:pPr>
    </w:p>
    <w:p w:rsidR="00E369B1" w:rsidRPr="009A7F06" w:rsidRDefault="00E369B1" w:rsidP="009A7F06">
      <w:pPr>
        <w:jc w:val="both"/>
        <w:rPr>
          <w:i/>
          <w:sz w:val="22"/>
          <w:szCs w:val="22"/>
          <w:lang w:val="lv-LV"/>
        </w:rPr>
      </w:pPr>
      <w:r w:rsidRPr="009A7F06">
        <w:rPr>
          <w:iCs/>
          <w:sz w:val="22"/>
          <w:szCs w:val="22"/>
          <w:lang w:val="lv-LV"/>
        </w:rPr>
        <w:t>AstraZeneca AB,151 85 Södertälje, Zviedrija</w:t>
      </w:r>
    </w:p>
    <w:p w:rsidR="00E369B1" w:rsidRPr="009A7F06" w:rsidRDefault="00E369B1" w:rsidP="009A7F06">
      <w:pPr>
        <w:jc w:val="both"/>
        <w:rPr>
          <w:i/>
          <w:sz w:val="22"/>
          <w:szCs w:val="22"/>
          <w:lang w:val="lv-LV"/>
        </w:rPr>
      </w:pPr>
    </w:p>
    <w:p w:rsidR="00101FC0" w:rsidRPr="009A7F06" w:rsidRDefault="00101FC0" w:rsidP="009A7F06">
      <w:pPr>
        <w:jc w:val="both"/>
        <w:rPr>
          <w:i/>
          <w:sz w:val="22"/>
          <w:szCs w:val="22"/>
          <w:lang w:val="lv-LV"/>
        </w:rPr>
      </w:pPr>
    </w:p>
    <w:p w:rsidR="00E369B1" w:rsidRPr="009A7F06" w:rsidRDefault="00E369B1" w:rsidP="009A7F06">
      <w:pPr>
        <w:jc w:val="both"/>
        <w:rPr>
          <w:b/>
          <w:sz w:val="22"/>
          <w:szCs w:val="22"/>
          <w:lang w:val="lv-LV"/>
        </w:rPr>
      </w:pPr>
      <w:r w:rsidRPr="009A7F06">
        <w:rPr>
          <w:b/>
          <w:sz w:val="22"/>
          <w:szCs w:val="22"/>
          <w:lang w:val="lv-LV"/>
        </w:rPr>
        <w:t xml:space="preserve">8. REĢISTRĀCIJAS </w:t>
      </w:r>
      <w:r w:rsidR="009A3654" w:rsidRPr="009A7F06">
        <w:rPr>
          <w:b/>
          <w:sz w:val="22"/>
          <w:szCs w:val="22"/>
          <w:lang w:val="lv-LV"/>
        </w:rPr>
        <w:t xml:space="preserve">APLIECĪBAS </w:t>
      </w:r>
      <w:r w:rsidRPr="009A7F06">
        <w:rPr>
          <w:b/>
          <w:sz w:val="22"/>
          <w:szCs w:val="22"/>
          <w:lang w:val="lv-LV"/>
        </w:rPr>
        <w:t xml:space="preserve">NUMURS </w:t>
      </w:r>
    </w:p>
    <w:p w:rsidR="00E369B1" w:rsidRPr="009A7F06" w:rsidRDefault="00E369B1" w:rsidP="009A7F06">
      <w:pPr>
        <w:jc w:val="both"/>
        <w:rPr>
          <w:sz w:val="22"/>
          <w:szCs w:val="22"/>
          <w:lang w:val="lv-LV"/>
        </w:rPr>
      </w:pPr>
    </w:p>
    <w:p w:rsidR="00E369B1" w:rsidRPr="009A7F06" w:rsidRDefault="00E369B1" w:rsidP="009A7F06">
      <w:pPr>
        <w:jc w:val="both"/>
        <w:rPr>
          <w:sz w:val="22"/>
          <w:szCs w:val="22"/>
          <w:lang w:val="lv-LV"/>
        </w:rPr>
      </w:pPr>
      <w:r w:rsidRPr="009A7F06">
        <w:rPr>
          <w:sz w:val="22"/>
          <w:szCs w:val="22"/>
          <w:lang w:val="lv-LV"/>
        </w:rPr>
        <w:t>98-0532</w:t>
      </w:r>
    </w:p>
    <w:p w:rsidR="00E369B1" w:rsidRPr="009A7F06" w:rsidRDefault="00E369B1" w:rsidP="009A7F06">
      <w:pPr>
        <w:jc w:val="both"/>
        <w:rPr>
          <w:sz w:val="22"/>
          <w:szCs w:val="22"/>
          <w:lang w:val="lv-LV"/>
        </w:rPr>
      </w:pPr>
    </w:p>
    <w:p w:rsidR="00D07332" w:rsidRPr="009A7F06" w:rsidRDefault="00D07332"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 xml:space="preserve">9. </w:t>
      </w:r>
      <w:r w:rsidR="009A3654" w:rsidRPr="009A7F06">
        <w:rPr>
          <w:b/>
          <w:sz w:val="22"/>
          <w:szCs w:val="22"/>
          <w:lang w:val="lv-LV"/>
        </w:rPr>
        <w:t xml:space="preserve">PIRMĀS </w:t>
      </w:r>
      <w:r w:rsidRPr="009A7F06">
        <w:rPr>
          <w:b/>
          <w:sz w:val="22"/>
          <w:szCs w:val="22"/>
          <w:lang w:val="lv-LV"/>
        </w:rPr>
        <w:t xml:space="preserve">REĢISTRĀCIJAS/PĀRREĢISTRĀCIJAS DATUMS </w:t>
      </w:r>
    </w:p>
    <w:p w:rsidR="00E369B1" w:rsidRPr="009A7F06" w:rsidRDefault="00E369B1" w:rsidP="009A7F06">
      <w:pPr>
        <w:jc w:val="both"/>
        <w:rPr>
          <w:sz w:val="22"/>
          <w:szCs w:val="22"/>
          <w:lang w:val="lv-LV"/>
        </w:rPr>
      </w:pPr>
    </w:p>
    <w:p w:rsidR="009A3654" w:rsidRPr="009A7F06" w:rsidRDefault="009A3654" w:rsidP="009A7F06">
      <w:pPr>
        <w:jc w:val="both"/>
        <w:rPr>
          <w:sz w:val="22"/>
          <w:szCs w:val="22"/>
          <w:lang w:val="lv-LV"/>
        </w:rPr>
      </w:pPr>
      <w:r w:rsidRPr="009A7F06">
        <w:rPr>
          <w:sz w:val="22"/>
          <w:szCs w:val="22"/>
          <w:lang w:val="lv-LV"/>
        </w:rPr>
        <w:t>Reģistrācijas datums: 1998.</w:t>
      </w:r>
      <w:r w:rsidR="00190D3F">
        <w:rPr>
          <w:sz w:val="22"/>
          <w:szCs w:val="22"/>
          <w:lang w:val="lv-LV"/>
        </w:rPr>
        <w:t xml:space="preserve"> </w:t>
      </w:r>
      <w:r w:rsidRPr="009A7F06">
        <w:rPr>
          <w:sz w:val="22"/>
          <w:szCs w:val="22"/>
          <w:lang w:val="lv-LV"/>
        </w:rPr>
        <w:t>gada 9.</w:t>
      </w:r>
      <w:r w:rsidR="00190D3F">
        <w:rPr>
          <w:sz w:val="22"/>
          <w:szCs w:val="22"/>
          <w:lang w:val="lv-LV"/>
        </w:rPr>
        <w:t xml:space="preserve"> </w:t>
      </w:r>
      <w:r w:rsidRPr="009A7F06">
        <w:rPr>
          <w:sz w:val="22"/>
          <w:szCs w:val="22"/>
          <w:lang w:val="lv-LV"/>
        </w:rPr>
        <w:t>septembris</w:t>
      </w:r>
    </w:p>
    <w:p w:rsidR="00E369B1" w:rsidRPr="009A7F06" w:rsidRDefault="009A3654" w:rsidP="009A7F06">
      <w:pPr>
        <w:jc w:val="both"/>
        <w:rPr>
          <w:sz w:val="22"/>
          <w:szCs w:val="22"/>
          <w:lang w:val="lv-LV"/>
        </w:rPr>
      </w:pPr>
      <w:r w:rsidRPr="009A7F06">
        <w:rPr>
          <w:sz w:val="22"/>
          <w:szCs w:val="22"/>
          <w:lang w:val="lv-LV"/>
        </w:rPr>
        <w:t>Pēdējās pārreģistrācijas datums: 2008.</w:t>
      </w:r>
      <w:r w:rsidR="00190D3F">
        <w:rPr>
          <w:sz w:val="22"/>
          <w:szCs w:val="22"/>
          <w:lang w:val="lv-LV"/>
        </w:rPr>
        <w:t xml:space="preserve"> </w:t>
      </w:r>
      <w:r w:rsidRPr="009A7F06">
        <w:rPr>
          <w:sz w:val="22"/>
          <w:szCs w:val="22"/>
          <w:lang w:val="lv-LV"/>
        </w:rPr>
        <w:t>gada 22.</w:t>
      </w:r>
      <w:r w:rsidR="00190D3F">
        <w:rPr>
          <w:sz w:val="22"/>
          <w:szCs w:val="22"/>
          <w:lang w:val="lv-LV"/>
        </w:rPr>
        <w:t xml:space="preserve"> </w:t>
      </w:r>
      <w:r w:rsidRPr="009A7F06">
        <w:rPr>
          <w:sz w:val="22"/>
          <w:szCs w:val="22"/>
          <w:lang w:val="lv-LV"/>
        </w:rPr>
        <w:t>decembris</w:t>
      </w:r>
    </w:p>
    <w:p w:rsidR="00101FC0" w:rsidRDefault="00101FC0" w:rsidP="009A7F06">
      <w:pPr>
        <w:jc w:val="both"/>
        <w:rPr>
          <w:sz w:val="22"/>
          <w:szCs w:val="22"/>
          <w:lang w:val="lv-LV"/>
        </w:rPr>
      </w:pPr>
    </w:p>
    <w:p w:rsidR="004F433C" w:rsidRPr="009A7F06" w:rsidRDefault="004F433C" w:rsidP="009A7F06">
      <w:pPr>
        <w:jc w:val="both"/>
        <w:rPr>
          <w:sz w:val="22"/>
          <w:szCs w:val="22"/>
          <w:lang w:val="lv-LV"/>
        </w:rPr>
      </w:pPr>
    </w:p>
    <w:p w:rsidR="00E369B1" w:rsidRPr="009A7F06" w:rsidRDefault="00E369B1" w:rsidP="009A7F06">
      <w:pPr>
        <w:jc w:val="both"/>
        <w:rPr>
          <w:b/>
          <w:sz w:val="22"/>
          <w:szCs w:val="22"/>
          <w:lang w:val="lv-LV"/>
        </w:rPr>
      </w:pPr>
      <w:r w:rsidRPr="009A7F06">
        <w:rPr>
          <w:b/>
          <w:sz w:val="22"/>
          <w:szCs w:val="22"/>
          <w:lang w:val="lv-LV"/>
        </w:rPr>
        <w:t>10. TEKSTA PĀRSKATĪŠANAS DATUMS</w:t>
      </w:r>
    </w:p>
    <w:p w:rsidR="00E369B1" w:rsidRPr="009A7F06" w:rsidRDefault="00E369B1" w:rsidP="009A7F06">
      <w:pPr>
        <w:jc w:val="both"/>
        <w:rPr>
          <w:b/>
          <w:sz w:val="22"/>
          <w:szCs w:val="22"/>
          <w:lang w:val="lv-LV"/>
        </w:rPr>
      </w:pPr>
    </w:p>
    <w:p w:rsidR="00E369B1" w:rsidRPr="009A7F06" w:rsidRDefault="00F47E90" w:rsidP="009A7F06">
      <w:pPr>
        <w:jc w:val="both"/>
        <w:rPr>
          <w:sz w:val="22"/>
          <w:szCs w:val="22"/>
          <w:lang w:val="lv-LV"/>
        </w:rPr>
      </w:pPr>
      <w:r>
        <w:rPr>
          <w:sz w:val="22"/>
          <w:szCs w:val="22"/>
          <w:lang w:val="lv-LV"/>
        </w:rPr>
        <w:t>01</w:t>
      </w:r>
      <w:r w:rsidR="004F433C" w:rsidRPr="009A7F06">
        <w:rPr>
          <w:sz w:val="22"/>
          <w:szCs w:val="22"/>
          <w:lang w:val="lv-LV"/>
        </w:rPr>
        <w:t>/20</w:t>
      </w:r>
      <w:r>
        <w:rPr>
          <w:sz w:val="22"/>
          <w:szCs w:val="22"/>
          <w:lang w:val="lv-LV"/>
        </w:rPr>
        <w:t>20</w:t>
      </w:r>
    </w:p>
    <w:sectPr w:rsidR="00E369B1" w:rsidRPr="009A7F0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B9" w:rsidRDefault="001F78B9">
      <w:r>
        <w:separator/>
      </w:r>
    </w:p>
  </w:endnote>
  <w:endnote w:type="continuationSeparator" w:id="0">
    <w:p w:rsidR="001F78B9" w:rsidRDefault="001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D9" w:rsidRDefault="003F4D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4DD9" w:rsidRDefault="003F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D9" w:rsidRDefault="003F4D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5F6">
      <w:rPr>
        <w:rStyle w:val="PageNumber"/>
        <w:noProof/>
      </w:rPr>
      <w:t>1</w:t>
    </w:r>
    <w:r>
      <w:rPr>
        <w:rStyle w:val="PageNumber"/>
      </w:rPr>
      <w:fldChar w:fldCharType="end"/>
    </w:r>
  </w:p>
  <w:p w:rsidR="00D878A7" w:rsidRPr="00813F10" w:rsidRDefault="00D878A7" w:rsidP="00D878A7">
    <w:pPr>
      <w:pStyle w:val="Header"/>
      <w:jc w:val="right"/>
      <w:rPr>
        <w:sz w:val="18"/>
        <w:szCs w:val="18"/>
      </w:rPr>
    </w:pPr>
    <w:r w:rsidRPr="00813F10">
      <w:rPr>
        <w:sz w:val="18"/>
        <w:szCs w:val="18"/>
      </w:rPr>
      <w:t>98-0532/IB/0</w:t>
    </w:r>
    <w:r w:rsidR="004F63C6">
      <w:rPr>
        <w:sz w:val="18"/>
        <w:szCs w:val="18"/>
      </w:rPr>
      <w:t>11</w:t>
    </w:r>
  </w:p>
  <w:p w:rsidR="00813F10" w:rsidRPr="00813F10" w:rsidRDefault="00813F10" w:rsidP="00813F10">
    <w:pPr>
      <w:pStyle w:val="Header"/>
      <w:jc w:val="right"/>
      <w:rPr>
        <w:sz w:val="18"/>
        <w:szCs w:val="18"/>
      </w:rPr>
    </w:pPr>
    <w:r>
      <w:tab/>
    </w:r>
    <w:r w:rsidRPr="00813F10">
      <w:rPr>
        <w:sz w:val="18"/>
        <w:szCs w:val="18"/>
      </w:rPr>
      <w:t>98-0532/IB/0</w:t>
    </w:r>
    <w:r w:rsidR="004F63C6">
      <w:rPr>
        <w:sz w:val="18"/>
        <w:szCs w:val="18"/>
      </w:rPr>
      <w:t>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F6" w:rsidRDefault="0021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B9" w:rsidRDefault="001F78B9">
      <w:r>
        <w:separator/>
      </w:r>
    </w:p>
  </w:footnote>
  <w:footnote w:type="continuationSeparator" w:id="0">
    <w:p w:rsidR="001F78B9" w:rsidRDefault="001F7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F6" w:rsidRDefault="00215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F6" w:rsidRDefault="002155F6" w:rsidP="002155F6">
    <w:pPr>
      <w:pStyle w:val="Header"/>
      <w:jc w:val="right"/>
      <w:rPr>
        <w:sz w:val="24"/>
        <w:szCs w:val="24"/>
      </w:rPr>
    </w:pPr>
    <w:bookmarkStart w:id="0" w:name="_GoBack"/>
    <w:r>
      <w:rPr>
        <w:sz w:val="24"/>
        <w:szCs w:val="24"/>
      </w:rPr>
      <w:t>SASKAŅOTS ZVA 30-01-2020</w:t>
    </w:r>
  </w:p>
  <w:bookmarkEnd w:id="0"/>
  <w:p w:rsidR="006B2046" w:rsidRDefault="006B2046" w:rsidP="002155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5F6" w:rsidRDefault="0021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6AC3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08F9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B60477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12D1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3211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5640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4825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FCAA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08E7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AE38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E59D1"/>
    <w:multiLevelType w:val="hybridMultilevel"/>
    <w:tmpl w:val="A2AE8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B1"/>
    <w:rsid w:val="00002738"/>
    <w:rsid w:val="000419A0"/>
    <w:rsid w:val="000A3E0D"/>
    <w:rsid w:val="000C4F56"/>
    <w:rsid w:val="000D23FC"/>
    <w:rsid w:val="000F0300"/>
    <w:rsid w:val="00101FC0"/>
    <w:rsid w:val="00115BA6"/>
    <w:rsid w:val="00126991"/>
    <w:rsid w:val="00190D3F"/>
    <w:rsid w:val="001B7334"/>
    <w:rsid w:val="001D53D6"/>
    <w:rsid w:val="001F78B9"/>
    <w:rsid w:val="00202E68"/>
    <w:rsid w:val="002155F6"/>
    <w:rsid w:val="0022178D"/>
    <w:rsid w:val="002419E5"/>
    <w:rsid w:val="002434C1"/>
    <w:rsid w:val="00270614"/>
    <w:rsid w:val="002A7938"/>
    <w:rsid w:val="002F3714"/>
    <w:rsid w:val="00315701"/>
    <w:rsid w:val="00316727"/>
    <w:rsid w:val="0036269B"/>
    <w:rsid w:val="003A2645"/>
    <w:rsid w:val="003B65F3"/>
    <w:rsid w:val="003C0DA3"/>
    <w:rsid w:val="003D10CB"/>
    <w:rsid w:val="003E6710"/>
    <w:rsid w:val="003F4DD9"/>
    <w:rsid w:val="00411D73"/>
    <w:rsid w:val="00467EBA"/>
    <w:rsid w:val="00483504"/>
    <w:rsid w:val="004C5441"/>
    <w:rsid w:val="004D4927"/>
    <w:rsid w:val="004D6BC3"/>
    <w:rsid w:val="004F433C"/>
    <w:rsid w:val="004F63C6"/>
    <w:rsid w:val="00506E38"/>
    <w:rsid w:val="005107B2"/>
    <w:rsid w:val="00512ADD"/>
    <w:rsid w:val="0053188E"/>
    <w:rsid w:val="00551194"/>
    <w:rsid w:val="00587150"/>
    <w:rsid w:val="00592497"/>
    <w:rsid w:val="005A050F"/>
    <w:rsid w:val="005D5443"/>
    <w:rsid w:val="005E2470"/>
    <w:rsid w:val="00633E46"/>
    <w:rsid w:val="00665413"/>
    <w:rsid w:val="006850C3"/>
    <w:rsid w:val="00694924"/>
    <w:rsid w:val="006B08D5"/>
    <w:rsid w:val="006B2046"/>
    <w:rsid w:val="006F28B1"/>
    <w:rsid w:val="0075169F"/>
    <w:rsid w:val="00790C27"/>
    <w:rsid w:val="007A3C26"/>
    <w:rsid w:val="007A4080"/>
    <w:rsid w:val="007C44CD"/>
    <w:rsid w:val="008034EA"/>
    <w:rsid w:val="0081180F"/>
    <w:rsid w:val="00813F10"/>
    <w:rsid w:val="008164F9"/>
    <w:rsid w:val="00821050"/>
    <w:rsid w:val="00842868"/>
    <w:rsid w:val="008C40C0"/>
    <w:rsid w:val="008F2DD8"/>
    <w:rsid w:val="00914980"/>
    <w:rsid w:val="00935618"/>
    <w:rsid w:val="009441F1"/>
    <w:rsid w:val="009A3654"/>
    <w:rsid w:val="009A7F06"/>
    <w:rsid w:val="009F539C"/>
    <w:rsid w:val="00A0430C"/>
    <w:rsid w:val="00A4541B"/>
    <w:rsid w:val="00A61C1F"/>
    <w:rsid w:val="00A742B9"/>
    <w:rsid w:val="00A83810"/>
    <w:rsid w:val="00A9454E"/>
    <w:rsid w:val="00AD0363"/>
    <w:rsid w:val="00B139E3"/>
    <w:rsid w:val="00B42F61"/>
    <w:rsid w:val="00B6324A"/>
    <w:rsid w:val="00B7735C"/>
    <w:rsid w:val="00B932A5"/>
    <w:rsid w:val="00B93B5F"/>
    <w:rsid w:val="00BA7208"/>
    <w:rsid w:val="00BB46F0"/>
    <w:rsid w:val="00BC52F6"/>
    <w:rsid w:val="00C170E0"/>
    <w:rsid w:val="00C348FD"/>
    <w:rsid w:val="00C64316"/>
    <w:rsid w:val="00C70214"/>
    <w:rsid w:val="00C96E1B"/>
    <w:rsid w:val="00CA22A0"/>
    <w:rsid w:val="00CB0EA2"/>
    <w:rsid w:val="00CC318D"/>
    <w:rsid w:val="00CD6F32"/>
    <w:rsid w:val="00CE053B"/>
    <w:rsid w:val="00D006AE"/>
    <w:rsid w:val="00D07332"/>
    <w:rsid w:val="00D521AB"/>
    <w:rsid w:val="00D522FD"/>
    <w:rsid w:val="00D67EB7"/>
    <w:rsid w:val="00D81F5E"/>
    <w:rsid w:val="00D878A7"/>
    <w:rsid w:val="00DA455E"/>
    <w:rsid w:val="00DC747E"/>
    <w:rsid w:val="00DE2000"/>
    <w:rsid w:val="00E25E18"/>
    <w:rsid w:val="00E369B1"/>
    <w:rsid w:val="00E654FE"/>
    <w:rsid w:val="00E73F5C"/>
    <w:rsid w:val="00E8155A"/>
    <w:rsid w:val="00E857F0"/>
    <w:rsid w:val="00EF17C9"/>
    <w:rsid w:val="00F13AB2"/>
    <w:rsid w:val="00F40586"/>
    <w:rsid w:val="00F47E90"/>
    <w:rsid w:val="00F5047A"/>
    <w:rsid w:val="00F51AD7"/>
    <w:rsid w:val="00F82D47"/>
    <w:rsid w:val="00F9673B"/>
    <w:rsid w:val="00FC4B82"/>
    <w:rsid w:val="00FC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90765BC-F16A-4E48-8DE2-B4D10041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Header">
    <w:name w:val="header"/>
    <w:basedOn w:val="Normal"/>
    <w:link w:val="HeaderChar"/>
    <w:uiPriority w:val="99"/>
    <w:pPr>
      <w:tabs>
        <w:tab w:val="center" w:pos="4153"/>
        <w:tab w:val="right" w:pos="8306"/>
      </w:tabs>
    </w:pPr>
  </w:style>
  <w:style w:type="character" w:styleId="Hyperlink">
    <w:name w:val="Hyperlink"/>
    <w:semiHidden/>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r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link w:val="BalloonTextChar"/>
    <w:uiPriority w:val="99"/>
    <w:semiHidden/>
    <w:unhideWhenUsed/>
    <w:rsid w:val="00914980"/>
    <w:rPr>
      <w:rFonts w:ascii="Tahoma" w:hAnsi="Tahoma"/>
      <w:sz w:val="16"/>
      <w:szCs w:val="16"/>
    </w:rPr>
  </w:style>
  <w:style w:type="character" w:customStyle="1" w:styleId="BalloonTextChar">
    <w:name w:val="Balloon Text Char"/>
    <w:link w:val="BalloonText"/>
    <w:uiPriority w:val="99"/>
    <w:semiHidden/>
    <w:rsid w:val="00914980"/>
    <w:rPr>
      <w:rFonts w:ascii="Tahoma" w:hAnsi="Tahoma" w:cs="Tahoma"/>
      <w:sz w:val="16"/>
      <w:szCs w:val="16"/>
      <w:lang w:val="en-GB" w:eastAsia="en-US"/>
    </w:rPr>
  </w:style>
  <w:style w:type="character" w:customStyle="1" w:styleId="HeaderChar">
    <w:name w:val="Header Char"/>
    <w:link w:val="Header"/>
    <w:uiPriority w:val="99"/>
    <w:rsid w:val="00B6324A"/>
    <w:rPr>
      <w:lang w:val="en-GB" w:eastAsia="en-US"/>
    </w:rPr>
  </w:style>
  <w:style w:type="paragraph" w:customStyle="1" w:styleId="Default">
    <w:name w:val="Default"/>
    <w:rsid w:val="00D521AB"/>
    <w:pPr>
      <w:autoSpaceDE w:val="0"/>
      <w:autoSpaceDN w:val="0"/>
      <w:adjustRightInd w:val="0"/>
    </w:pPr>
    <w:rPr>
      <w:rFonts w:eastAsia="Calibri"/>
      <w:color w:val="000000"/>
      <w:sz w:val="24"/>
      <w:szCs w:val="24"/>
      <w:lang w:val="lv-LV" w:eastAsia="lv-LV"/>
    </w:rPr>
  </w:style>
  <w:style w:type="paragraph" w:styleId="CommentSubject">
    <w:name w:val="annotation subject"/>
    <w:basedOn w:val="CommentText"/>
    <w:next w:val="CommentText"/>
    <w:link w:val="CommentSubjectChar"/>
    <w:uiPriority w:val="99"/>
    <w:semiHidden/>
    <w:unhideWhenUsed/>
    <w:rsid w:val="00126991"/>
    <w:rPr>
      <w:b/>
      <w:bCs/>
    </w:rPr>
  </w:style>
  <w:style w:type="character" w:customStyle="1" w:styleId="CommentTextChar">
    <w:name w:val="Comment Text Char"/>
    <w:link w:val="CommentText"/>
    <w:semiHidden/>
    <w:rsid w:val="00126991"/>
    <w:rPr>
      <w:lang w:val="en-GB" w:eastAsia="en-US"/>
    </w:rPr>
  </w:style>
  <w:style w:type="character" w:customStyle="1" w:styleId="CommentSubjectChar">
    <w:name w:val="Comment Subject Char"/>
    <w:link w:val="CommentSubject"/>
    <w:uiPriority w:val="99"/>
    <w:semiHidden/>
    <w:rsid w:val="00126991"/>
    <w:rPr>
      <w:b/>
      <w:bCs/>
      <w:lang w:val="en-GB" w:eastAsia="en-US"/>
    </w:rPr>
  </w:style>
  <w:style w:type="paragraph" w:styleId="Revision">
    <w:name w:val="Revision"/>
    <w:hidden/>
    <w:uiPriority w:val="99"/>
    <w:semiHidden/>
    <w:rsid w:val="00FC4B82"/>
    <w:rPr>
      <w:lang w:val="en-GB"/>
    </w:rPr>
  </w:style>
  <w:style w:type="paragraph" w:customStyle="1" w:styleId="A-TableText">
    <w:name w:val="A-Table Text"/>
    <w:rsid w:val="0081180F"/>
    <w:pPr>
      <w:spacing w:before="60" w:after="60"/>
    </w:pPr>
    <w:rPr>
      <w:sz w:val="22"/>
      <w:lang w:val="en-GB"/>
    </w:rPr>
  </w:style>
  <w:style w:type="paragraph" w:customStyle="1" w:styleId="A-TableTitle">
    <w:name w:val="A-Table Title"/>
    <w:next w:val="Normal"/>
    <w:rsid w:val="0081180F"/>
    <w:pPr>
      <w:keepNext/>
      <w:tabs>
        <w:tab w:val="left" w:pos="1800"/>
      </w:tabs>
      <w:spacing w:after="120" w:line="280" w:lineRule="atLeast"/>
      <w:ind w:left="1800" w:hanging="1800"/>
    </w:pPr>
    <w:rPr>
      <w:b/>
      <w:sz w:val="24"/>
      <w:lang w:val="en-GB"/>
    </w:rPr>
  </w:style>
  <w:style w:type="character" w:customStyle="1" w:styleId="hps">
    <w:name w:val="hps"/>
    <w:rsid w:val="004D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2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6F00-EDC4-490E-AD6A-118522F7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2123</Words>
  <Characters>15316</Characters>
  <Application>Microsoft Office Word</Application>
  <DocSecurity>0</DocSecurity>
  <Lines>127</Lines>
  <Paragraphs>34</Paragraphs>
  <ScaleCrop>false</ScaleCrop>
  <HeadingPairs>
    <vt:vector size="2" baseType="variant">
      <vt:variant>
        <vt:lpstr>Title</vt:lpstr>
      </vt:variant>
      <vt:variant>
        <vt:i4>1</vt:i4>
      </vt:variant>
    </vt:vector>
  </HeadingPairs>
  <TitlesOfParts>
    <vt:vector size="1" baseType="lpstr">
      <vt:lpstr>ZĀĻU APRAKSTS</vt:lpstr>
    </vt:vector>
  </TitlesOfParts>
  <Company>MIC</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ZĀĻU APRAKSTS</dc:title>
  <dc:subject/>
  <dc:creator>Ingrīda</dc:creator>
  <cp:keywords/>
  <cp:lastModifiedBy>Skaidrīte Lapsenīte</cp:lastModifiedBy>
  <cp:revision>11</cp:revision>
  <cp:lastPrinted>2010-02-22T12:54:00Z</cp:lastPrinted>
  <dcterms:created xsi:type="dcterms:W3CDTF">2018-05-10T05:38:00Z</dcterms:created>
  <dcterms:modified xsi:type="dcterms:W3CDTF">2020-01-29T14:11:00Z</dcterms:modified>
</cp:coreProperties>
</file>