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C6F0" w14:textId="77777777" w:rsidR="007946E0" w:rsidRPr="006B7DEB" w:rsidRDefault="007946E0" w:rsidP="000E07C1">
      <w:pPr>
        <w:jc w:val="center"/>
        <w:rPr>
          <w:b/>
          <w:sz w:val="22"/>
          <w:szCs w:val="22"/>
          <w:lang w:val="lv-LV"/>
        </w:rPr>
      </w:pPr>
      <w:r w:rsidRPr="006B7DEB">
        <w:rPr>
          <w:b/>
          <w:sz w:val="22"/>
          <w:szCs w:val="22"/>
          <w:lang w:val="lv-LV"/>
        </w:rPr>
        <w:t>ZĀĻU APRAKSTS</w:t>
      </w:r>
    </w:p>
    <w:p w14:paraId="75CFA94B" w14:textId="77777777" w:rsidR="007946E0" w:rsidRPr="006B7DEB" w:rsidRDefault="007946E0" w:rsidP="000E07C1">
      <w:pPr>
        <w:jc w:val="center"/>
        <w:rPr>
          <w:bCs/>
          <w:sz w:val="22"/>
          <w:szCs w:val="22"/>
          <w:lang w:val="lv-LV"/>
        </w:rPr>
      </w:pPr>
    </w:p>
    <w:p w14:paraId="3A9EA6B8" w14:textId="77777777" w:rsidR="00EB116A" w:rsidRPr="006B7DEB" w:rsidRDefault="00EB116A" w:rsidP="000E07C1">
      <w:pPr>
        <w:jc w:val="center"/>
        <w:rPr>
          <w:bCs/>
          <w:sz w:val="22"/>
          <w:szCs w:val="22"/>
          <w:lang w:val="lv-LV"/>
        </w:rPr>
      </w:pPr>
    </w:p>
    <w:p w14:paraId="736EC013" w14:textId="77777777" w:rsidR="007946E0" w:rsidRPr="006B7DEB" w:rsidRDefault="00637070" w:rsidP="000E07C1">
      <w:pPr>
        <w:rPr>
          <w:b/>
          <w:sz w:val="22"/>
          <w:szCs w:val="22"/>
          <w:lang w:val="lv-LV"/>
        </w:rPr>
      </w:pPr>
      <w:r w:rsidRPr="006B7DEB">
        <w:rPr>
          <w:b/>
          <w:sz w:val="22"/>
          <w:szCs w:val="22"/>
          <w:lang w:val="lv-LV"/>
        </w:rPr>
        <w:t>1.</w:t>
      </w:r>
      <w:r w:rsidRPr="006B7DEB">
        <w:rPr>
          <w:b/>
          <w:sz w:val="22"/>
          <w:szCs w:val="22"/>
          <w:lang w:val="lv-LV"/>
        </w:rPr>
        <w:tab/>
      </w:r>
      <w:r w:rsidR="007946E0" w:rsidRPr="006B7DEB">
        <w:rPr>
          <w:b/>
          <w:sz w:val="22"/>
          <w:szCs w:val="22"/>
          <w:lang w:val="lv-LV"/>
        </w:rPr>
        <w:t>ZĀĻU NOSAUKUMS</w:t>
      </w:r>
    </w:p>
    <w:p w14:paraId="7ACB93EE" w14:textId="77777777" w:rsidR="007946E0" w:rsidRPr="006B7DEB" w:rsidRDefault="007946E0" w:rsidP="000E07C1">
      <w:pPr>
        <w:rPr>
          <w:sz w:val="22"/>
          <w:szCs w:val="22"/>
          <w:lang w:val="lv-LV"/>
        </w:rPr>
      </w:pPr>
    </w:p>
    <w:p w14:paraId="6EF71B8D" w14:textId="77777777" w:rsidR="007946E0" w:rsidRPr="006B7DEB" w:rsidRDefault="004E4A1E" w:rsidP="000E07C1">
      <w:pPr>
        <w:rPr>
          <w:sz w:val="22"/>
          <w:szCs w:val="22"/>
          <w:lang w:val="lv-LV"/>
        </w:rPr>
      </w:pPr>
      <w:r w:rsidRPr="006B7DEB">
        <w:rPr>
          <w:sz w:val="22"/>
          <w:szCs w:val="22"/>
          <w:lang w:val="lv-LV"/>
        </w:rPr>
        <w:t>PARACETAMOL</w:t>
      </w:r>
      <w:r w:rsidR="00EE60C9" w:rsidRPr="006B7DEB">
        <w:rPr>
          <w:sz w:val="22"/>
          <w:szCs w:val="22"/>
          <w:lang w:val="lv-LV"/>
        </w:rPr>
        <w:noBreakHyphen/>
        <w:t>GRINDEKS 500 </w:t>
      </w:r>
      <w:r w:rsidR="007946E0" w:rsidRPr="006B7DEB">
        <w:rPr>
          <w:sz w:val="22"/>
          <w:szCs w:val="22"/>
          <w:lang w:val="lv-LV"/>
        </w:rPr>
        <w:t>mg tabletes</w:t>
      </w:r>
    </w:p>
    <w:p w14:paraId="18E8E770" w14:textId="77777777" w:rsidR="007946E0" w:rsidRPr="006B7DEB" w:rsidRDefault="007946E0" w:rsidP="000E07C1">
      <w:pPr>
        <w:rPr>
          <w:sz w:val="22"/>
          <w:szCs w:val="22"/>
          <w:lang w:val="lv-LV"/>
        </w:rPr>
      </w:pPr>
    </w:p>
    <w:p w14:paraId="3A0366DD" w14:textId="77777777" w:rsidR="00EE60C9" w:rsidRPr="006B7DEB" w:rsidRDefault="00EE60C9" w:rsidP="000E07C1">
      <w:pPr>
        <w:rPr>
          <w:sz w:val="22"/>
          <w:szCs w:val="22"/>
          <w:lang w:val="lv-LV"/>
        </w:rPr>
      </w:pPr>
    </w:p>
    <w:p w14:paraId="2F8E0873" w14:textId="77777777" w:rsidR="007946E0" w:rsidRPr="006B7DEB" w:rsidRDefault="00637070" w:rsidP="000E07C1">
      <w:pPr>
        <w:rPr>
          <w:b/>
          <w:sz w:val="22"/>
          <w:szCs w:val="22"/>
          <w:lang w:val="lv-LV"/>
        </w:rPr>
      </w:pPr>
      <w:r w:rsidRPr="006B7DEB">
        <w:rPr>
          <w:b/>
          <w:sz w:val="22"/>
          <w:szCs w:val="22"/>
          <w:lang w:val="lv-LV"/>
        </w:rPr>
        <w:t>2.</w:t>
      </w:r>
      <w:r w:rsidRPr="006B7DEB">
        <w:rPr>
          <w:b/>
          <w:sz w:val="22"/>
          <w:szCs w:val="22"/>
          <w:lang w:val="lv-LV"/>
        </w:rPr>
        <w:tab/>
      </w:r>
      <w:r w:rsidR="007946E0" w:rsidRPr="006B7DEB">
        <w:rPr>
          <w:b/>
          <w:sz w:val="22"/>
          <w:szCs w:val="22"/>
          <w:lang w:val="lv-LV"/>
        </w:rPr>
        <w:t>KVALITATĪVAIS UN KVANTITATĪVAIS SASTĀVS</w:t>
      </w:r>
    </w:p>
    <w:p w14:paraId="76E6E749" w14:textId="77777777" w:rsidR="007946E0" w:rsidRPr="006B7DEB" w:rsidRDefault="007946E0" w:rsidP="000E07C1">
      <w:pPr>
        <w:rPr>
          <w:sz w:val="22"/>
          <w:szCs w:val="22"/>
          <w:lang w:val="lv-LV"/>
        </w:rPr>
      </w:pPr>
    </w:p>
    <w:p w14:paraId="1343CE9D" w14:textId="21D55269" w:rsidR="007946E0" w:rsidRPr="006B7DEB" w:rsidRDefault="00916021" w:rsidP="000E07C1">
      <w:pPr>
        <w:rPr>
          <w:sz w:val="22"/>
          <w:szCs w:val="22"/>
          <w:lang w:val="lv-LV"/>
        </w:rPr>
      </w:pPr>
      <w:r w:rsidRPr="006B7DEB">
        <w:rPr>
          <w:sz w:val="22"/>
          <w:szCs w:val="22"/>
          <w:lang w:val="lv-LV"/>
        </w:rPr>
        <w:t>Katra</w:t>
      </w:r>
      <w:r w:rsidR="00EE60C9" w:rsidRPr="006B7DEB">
        <w:rPr>
          <w:sz w:val="22"/>
          <w:szCs w:val="22"/>
          <w:lang w:val="lv-LV"/>
        </w:rPr>
        <w:t xml:space="preserve"> tablete satur 500 </w:t>
      </w:r>
      <w:r w:rsidR="007946E0" w:rsidRPr="006B7DEB">
        <w:rPr>
          <w:sz w:val="22"/>
          <w:szCs w:val="22"/>
          <w:lang w:val="lv-LV"/>
        </w:rPr>
        <w:t xml:space="preserve">mg </w:t>
      </w:r>
      <w:proofErr w:type="spellStart"/>
      <w:r w:rsidR="007946E0" w:rsidRPr="006B7DEB">
        <w:rPr>
          <w:sz w:val="22"/>
          <w:szCs w:val="22"/>
          <w:lang w:val="lv-LV"/>
        </w:rPr>
        <w:t>paracetamola</w:t>
      </w:r>
      <w:proofErr w:type="spellEnd"/>
      <w:r w:rsidR="007946E0" w:rsidRPr="006B7DEB">
        <w:rPr>
          <w:sz w:val="22"/>
          <w:szCs w:val="22"/>
          <w:lang w:val="lv-LV"/>
        </w:rPr>
        <w:t xml:space="preserve"> (</w:t>
      </w:r>
      <w:proofErr w:type="spellStart"/>
      <w:r w:rsidR="00337404" w:rsidRPr="006B7DEB">
        <w:rPr>
          <w:i/>
          <w:sz w:val="22"/>
          <w:szCs w:val="22"/>
          <w:lang w:val="lv-LV"/>
        </w:rPr>
        <w:t>p</w:t>
      </w:r>
      <w:r w:rsidR="007946E0" w:rsidRPr="006B7DEB">
        <w:rPr>
          <w:i/>
          <w:sz w:val="22"/>
          <w:szCs w:val="22"/>
          <w:lang w:val="lv-LV"/>
        </w:rPr>
        <w:t>aracetamolum</w:t>
      </w:r>
      <w:proofErr w:type="spellEnd"/>
      <w:r w:rsidR="007946E0" w:rsidRPr="006B7DEB">
        <w:rPr>
          <w:sz w:val="22"/>
          <w:szCs w:val="22"/>
          <w:lang w:val="lv-LV"/>
        </w:rPr>
        <w:t>).</w:t>
      </w:r>
    </w:p>
    <w:p w14:paraId="2B5A1083" w14:textId="77777777" w:rsidR="007946E0" w:rsidRPr="006B7DEB" w:rsidRDefault="007946E0" w:rsidP="000E07C1">
      <w:pPr>
        <w:spacing w:line="240" w:lineRule="atLeast"/>
        <w:ind w:right="27"/>
        <w:rPr>
          <w:sz w:val="22"/>
          <w:szCs w:val="22"/>
          <w:lang w:val="lv-LV"/>
        </w:rPr>
      </w:pPr>
    </w:p>
    <w:p w14:paraId="39384343" w14:textId="77777777" w:rsidR="007946E0" w:rsidRPr="006B7DEB" w:rsidRDefault="007946E0" w:rsidP="000E07C1">
      <w:pPr>
        <w:rPr>
          <w:sz w:val="22"/>
          <w:szCs w:val="22"/>
          <w:lang w:val="lv-LV"/>
        </w:rPr>
      </w:pPr>
      <w:r w:rsidRPr="006B7DEB">
        <w:rPr>
          <w:sz w:val="22"/>
          <w:szCs w:val="22"/>
          <w:lang w:val="lv-LV"/>
        </w:rPr>
        <w:t xml:space="preserve">Pilnu </w:t>
      </w:r>
      <w:proofErr w:type="spellStart"/>
      <w:r w:rsidRPr="006B7DEB">
        <w:rPr>
          <w:sz w:val="22"/>
          <w:szCs w:val="22"/>
          <w:lang w:val="lv-LV"/>
        </w:rPr>
        <w:t>palīgvielu</w:t>
      </w:r>
      <w:proofErr w:type="spellEnd"/>
      <w:r w:rsidRPr="006B7DEB">
        <w:rPr>
          <w:sz w:val="22"/>
          <w:szCs w:val="22"/>
          <w:lang w:val="lv-LV"/>
        </w:rPr>
        <w:t xml:space="preserve"> sarakstu skatīt </w:t>
      </w:r>
      <w:r w:rsidR="005077FE" w:rsidRPr="006B7DEB">
        <w:rPr>
          <w:sz w:val="22"/>
          <w:szCs w:val="22"/>
          <w:lang w:val="lv-LV"/>
        </w:rPr>
        <w:t>6.1. </w:t>
      </w:r>
      <w:r w:rsidRPr="006B7DEB">
        <w:rPr>
          <w:sz w:val="22"/>
          <w:szCs w:val="22"/>
          <w:lang w:val="lv-LV"/>
        </w:rPr>
        <w:t>apakšpunktā.</w:t>
      </w:r>
    </w:p>
    <w:p w14:paraId="3E793ABB" w14:textId="77777777" w:rsidR="007946E0" w:rsidRPr="006B7DEB" w:rsidRDefault="007946E0" w:rsidP="000E07C1">
      <w:pPr>
        <w:spacing w:line="240" w:lineRule="atLeast"/>
        <w:ind w:right="27"/>
        <w:rPr>
          <w:sz w:val="22"/>
          <w:szCs w:val="22"/>
          <w:lang w:val="lv-LV"/>
        </w:rPr>
      </w:pPr>
    </w:p>
    <w:p w14:paraId="4BCEE629" w14:textId="77777777" w:rsidR="00EE60C9" w:rsidRPr="006B7DEB" w:rsidRDefault="00EE60C9" w:rsidP="000E07C1">
      <w:pPr>
        <w:spacing w:line="240" w:lineRule="atLeast"/>
        <w:ind w:right="27"/>
        <w:rPr>
          <w:sz w:val="22"/>
          <w:szCs w:val="22"/>
          <w:lang w:val="lv-LV"/>
        </w:rPr>
      </w:pPr>
    </w:p>
    <w:p w14:paraId="5B607EA5" w14:textId="77777777" w:rsidR="007946E0" w:rsidRPr="006B7DEB" w:rsidRDefault="00637070" w:rsidP="000E07C1">
      <w:pPr>
        <w:rPr>
          <w:b/>
          <w:sz w:val="22"/>
          <w:szCs w:val="22"/>
          <w:lang w:val="lv-LV"/>
        </w:rPr>
      </w:pPr>
      <w:r w:rsidRPr="006B7DEB">
        <w:rPr>
          <w:b/>
          <w:sz w:val="22"/>
          <w:szCs w:val="22"/>
          <w:lang w:val="lv-LV"/>
        </w:rPr>
        <w:t>3.</w:t>
      </w:r>
      <w:r w:rsidRPr="006B7DEB">
        <w:rPr>
          <w:b/>
          <w:sz w:val="22"/>
          <w:szCs w:val="22"/>
          <w:lang w:val="lv-LV"/>
        </w:rPr>
        <w:tab/>
      </w:r>
      <w:r w:rsidR="00EE60C9" w:rsidRPr="006B7DEB">
        <w:rPr>
          <w:b/>
          <w:sz w:val="22"/>
          <w:szCs w:val="22"/>
          <w:lang w:val="lv-LV"/>
        </w:rPr>
        <w:t>ZĀĻU FORMA</w:t>
      </w:r>
    </w:p>
    <w:p w14:paraId="1FE77249" w14:textId="77777777" w:rsidR="007946E0" w:rsidRPr="006B7DEB" w:rsidRDefault="007946E0" w:rsidP="000E07C1">
      <w:pPr>
        <w:spacing w:line="240" w:lineRule="atLeast"/>
        <w:ind w:right="27"/>
        <w:rPr>
          <w:sz w:val="22"/>
          <w:szCs w:val="22"/>
          <w:lang w:val="lv-LV"/>
        </w:rPr>
      </w:pPr>
    </w:p>
    <w:p w14:paraId="0D18150B" w14:textId="1F7ACCE4" w:rsidR="007946E0" w:rsidRPr="006B7DEB" w:rsidRDefault="007946E0" w:rsidP="000E07C1">
      <w:pPr>
        <w:rPr>
          <w:sz w:val="22"/>
          <w:szCs w:val="22"/>
          <w:lang w:val="lv-LV"/>
        </w:rPr>
      </w:pPr>
      <w:r w:rsidRPr="006B7DEB">
        <w:rPr>
          <w:sz w:val="22"/>
          <w:szCs w:val="22"/>
          <w:lang w:val="lv-LV"/>
        </w:rPr>
        <w:t>Tablete</w:t>
      </w:r>
      <w:r w:rsidR="0048196B" w:rsidRPr="006B7DEB">
        <w:rPr>
          <w:sz w:val="22"/>
          <w:szCs w:val="22"/>
          <w:lang w:val="lv-LV"/>
        </w:rPr>
        <w:t>s</w:t>
      </w:r>
      <w:r w:rsidRPr="006B7DEB">
        <w:rPr>
          <w:sz w:val="22"/>
          <w:szCs w:val="22"/>
          <w:lang w:val="lv-LV"/>
        </w:rPr>
        <w:t>.</w:t>
      </w:r>
    </w:p>
    <w:p w14:paraId="6FEBF526" w14:textId="77777777" w:rsidR="00EE60C9" w:rsidRPr="006B7DEB" w:rsidRDefault="00EE60C9" w:rsidP="000E07C1">
      <w:pPr>
        <w:rPr>
          <w:sz w:val="22"/>
          <w:szCs w:val="22"/>
          <w:lang w:val="lv-LV"/>
        </w:rPr>
      </w:pPr>
    </w:p>
    <w:p w14:paraId="4A28AED0" w14:textId="77777777" w:rsidR="007946E0" w:rsidRPr="006B7DEB" w:rsidRDefault="007946E0" w:rsidP="000E07C1">
      <w:pPr>
        <w:rPr>
          <w:sz w:val="22"/>
          <w:szCs w:val="22"/>
          <w:lang w:val="lv-LV"/>
        </w:rPr>
      </w:pPr>
      <w:r w:rsidRPr="006B7DEB">
        <w:rPr>
          <w:sz w:val="22"/>
          <w:szCs w:val="22"/>
          <w:lang w:val="lv-LV"/>
        </w:rPr>
        <w:t xml:space="preserve">Baltas </w:t>
      </w:r>
      <w:r w:rsidRPr="006B7DEB">
        <w:rPr>
          <w:iCs/>
          <w:sz w:val="22"/>
          <w:szCs w:val="22"/>
          <w:lang w:val="lv-LV"/>
        </w:rPr>
        <w:t>vai gandrīz baltas</w:t>
      </w:r>
      <w:r w:rsidRPr="006B7DEB">
        <w:rPr>
          <w:sz w:val="22"/>
          <w:szCs w:val="22"/>
          <w:lang w:val="lv-LV"/>
        </w:rPr>
        <w:t xml:space="preserve"> apaļas tabletes ar plakanām gludām virsmām un noslīpinātām šķautnēm, ar dalījuma līniju vienā pusē.</w:t>
      </w:r>
    </w:p>
    <w:p w14:paraId="15C72CB8" w14:textId="77777777" w:rsidR="007946E0" w:rsidRPr="006B7DEB" w:rsidRDefault="007946E0" w:rsidP="000E07C1">
      <w:pPr>
        <w:rPr>
          <w:sz w:val="22"/>
          <w:szCs w:val="22"/>
          <w:lang w:val="lv-LV"/>
        </w:rPr>
      </w:pPr>
    </w:p>
    <w:p w14:paraId="150B4971" w14:textId="77777777" w:rsidR="007946E0" w:rsidRPr="006B7DEB" w:rsidRDefault="007946E0" w:rsidP="000E07C1">
      <w:pPr>
        <w:rPr>
          <w:sz w:val="22"/>
          <w:szCs w:val="22"/>
          <w:lang w:val="lv-LV"/>
        </w:rPr>
      </w:pPr>
      <w:r w:rsidRPr="006B7DEB">
        <w:rPr>
          <w:sz w:val="22"/>
          <w:szCs w:val="22"/>
          <w:lang w:val="lv-LV"/>
        </w:rPr>
        <w:t xml:space="preserve">Tableti var sadalīt vienādās </w:t>
      </w:r>
      <w:r w:rsidR="00594868" w:rsidRPr="006B7DEB">
        <w:rPr>
          <w:sz w:val="22"/>
          <w:szCs w:val="22"/>
          <w:lang w:val="lv-LV"/>
        </w:rPr>
        <w:t>devās</w:t>
      </w:r>
      <w:r w:rsidRPr="006B7DEB">
        <w:rPr>
          <w:sz w:val="22"/>
          <w:szCs w:val="22"/>
          <w:lang w:val="lv-LV"/>
        </w:rPr>
        <w:t>.</w:t>
      </w:r>
    </w:p>
    <w:p w14:paraId="6D0D292C" w14:textId="77777777" w:rsidR="007946E0" w:rsidRPr="006B7DEB" w:rsidRDefault="007946E0" w:rsidP="000E07C1">
      <w:pPr>
        <w:rPr>
          <w:sz w:val="22"/>
          <w:szCs w:val="22"/>
          <w:lang w:val="lv-LV"/>
        </w:rPr>
      </w:pPr>
    </w:p>
    <w:p w14:paraId="2CF174DF" w14:textId="77777777" w:rsidR="00EE60C9" w:rsidRPr="006B7DEB" w:rsidRDefault="00EE60C9" w:rsidP="000E07C1">
      <w:pPr>
        <w:rPr>
          <w:sz w:val="22"/>
          <w:szCs w:val="22"/>
          <w:lang w:val="lv-LV"/>
        </w:rPr>
      </w:pPr>
    </w:p>
    <w:p w14:paraId="461D5A77" w14:textId="77777777" w:rsidR="007946E0" w:rsidRPr="006B7DEB" w:rsidRDefault="00637070" w:rsidP="000E07C1">
      <w:pPr>
        <w:rPr>
          <w:b/>
          <w:sz w:val="22"/>
          <w:szCs w:val="22"/>
          <w:lang w:val="lv-LV"/>
        </w:rPr>
      </w:pPr>
      <w:r w:rsidRPr="006B7DEB">
        <w:rPr>
          <w:b/>
          <w:sz w:val="22"/>
          <w:szCs w:val="22"/>
          <w:lang w:val="lv-LV"/>
        </w:rPr>
        <w:t>4.</w:t>
      </w:r>
      <w:r w:rsidRPr="006B7DEB">
        <w:rPr>
          <w:b/>
          <w:sz w:val="22"/>
          <w:szCs w:val="22"/>
          <w:lang w:val="lv-LV"/>
        </w:rPr>
        <w:tab/>
      </w:r>
      <w:r w:rsidR="007946E0" w:rsidRPr="006B7DEB">
        <w:rPr>
          <w:b/>
          <w:sz w:val="22"/>
          <w:szCs w:val="22"/>
          <w:lang w:val="lv-LV"/>
        </w:rPr>
        <w:t>KLĪNISKĀ INFORMĀCIJA</w:t>
      </w:r>
    </w:p>
    <w:p w14:paraId="6F245DB2" w14:textId="77777777" w:rsidR="007946E0" w:rsidRPr="006B7DEB" w:rsidRDefault="007946E0" w:rsidP="000E07C1">
      <w:pPr>
        <w:rPr>
          <w:sz w:val="22"/>
          <w:szCs w:val="22"/>
          <w:lang w:val="lv-LV"/>
        </w:rPr>
      </w:pPr>
    </w:p>
    <w:p w14:paraId="612B6707" w14:textId="77777777" w:rsidR="007946E0" w:rsidRPr="006B7DEB" w:rsidRDefault="00637070" w:rsidP="000E07C1">
      <w:pPr>
        <w:rPr>
          <w:b/>
          <w:sz w:val="22"/>
          <w:szCs w:val="22"/>
          <w:lang w:val="lv-LV"/>
        </w:rPr>
      </w:pPr>
      <w:r w:rsidRPr="006B7DEB">
        <w:rPr>
          <w:b/>
          <w:sz w:val="22"/>
          <w:szCs w:val="22"/>
          <w:lang w:val="lv-LV"/>
        </w:rPr>
        <w:t>4.1</w:t>
      </w:r>
      <w:r w:rsidR="00682868" w:rsidRPr="006B7DEB">
        <w:rPr>
          <w:b/>
          <w:sz w:val="22"/>
          <w:szCs w:val="22"/>
          <w:lang w:val="lv-LV"/>
        </w:rPr>
        <w:t>.</w:t>
      </w:r>
      <w:r w:rsidRPr="006B7DEB">
        <w:rPr>
          <w:b/>
          <w:sz w:val="22"/>
          <w:szCs w:val="22"/>
          <w:lang w:val="lv-LV"/>
        </w:rPr>
        <w:tab/>
      </w:r>
      <w:r w:rsidR="007946E0" w:rsidRPr="006B7DEB">
        <w:rPr>
          <w:b/>
          <w:sz w:val="22"/>
          <w:szCs w:val="22"/>
          <w:lang w:val="lv-LV"/>
        </w:rPr>
        <w:t>Terapeitiskās indikācijas</w:t>
      </w:r>
    </w:p>
    <w:p w14:paraId="591C7100" w14:textId="77777777" w:rsidR="00637070" w:rsidRPr="006B7DEB" w:rsidRDefault="00637070" w:rsidP="000E07C1">
      <w:pPr>
        <w:rPr>
          <w:sz w:val="22"/>
          <w:szCs w:val="22"/>
          <w:lang w:val="lv-LV"/>
        </w:rPr>
      </w:pPr>
    </w:p>
    <w:p w14:paraId="3327F7B3" w14:textId="77777777" w:rsidR="007946E0" w:rsidRPr="006B7DEB" w:rsidRDefault="007946E0" w:rsidP="000E07C1">
      <w:pPr>
        <w:rPr>
          <w:sz w:val="22"/>
          <w:szCs w:val="22"/>
          <w:lang w:val="lv-LV"/>
        </w:rPr>
      </w:pPr>
      <w:r w:rsidRPr="006B7DEB">
        <w:rPr>
          <w:sz w:val="22"/>
          <w:szCs w:val="22"/>
          <w:lang w:val="lv-LV"/>
        </w:rPr>
        <w:t>Drudzis. Nelielas sāpes.</w:t>
      </w:r>
    </w:p>
    <w:p w14:paraId="1F565AAE" w14:textId="77777777" w:rsidR="007946E0" w:rsidRPr="006B7DEB" w:rsidRDefault="007946E0" w:rsidP="000E07C1">
      <w:pPr>
        <w:rPr>
          <w:sz w:val="22"/>
          <w:szCs w:val="22"/>
          <w:lang w:val="lv-LV"/>
        </w:rPr>
      </w:pPr>
    </w:p>
    <w:p w14:paraId="4EE19815" w14:textId="77777777" w:rsidR="007946E0" w:rsidRPr="006B7DEB" w:rsidRDefault="00637070" w:rsidP="000E07C1">
      <w:pPr>
        <w:rPr>
          <w:b/>
          <w:sz w:val="22"/>
          <w:szCs w:val="22"/>
          <w:lang w:val="lv-LV"/>
        </w:rPr>
      </w:pPr>
      <w:r w:rsidRPr="006B7DEB">
        <w:rPr>
          <w:b/>
          <w:sz w:val="22"/>
          <w:szCs w:val="22"/>
          <w:lang w:val="lv-LV"/>
        </w:rPr>
        <w:t>4.2</w:t>
      </w:r>
      <w:r w:rsidR="00682868" w:rsidRPr="006B7DEB">
        <w:rPr>
          <w:b/>
          <w:sz w:val="22"/>
          <w:szCs w:val="22"/>
          <w:lang w:val="lv-LV"/>
        </w:rPr>
        <w:t>.</w:t>
      </w:r>
      <w:r w:rsidRPr="006B7DEB">
        <w:rPr>
          <w:b/>
          <w:sz w:val="22"/>
          <w:szCs w:val="22"/>
          <w:lang w:val="lv-LV"/>
        </w:rPr>
        <w:tab/>
      </w:r>
      <w:r w:rsidR="007946E0" w:rsidRPr="006B7DEB">
        <w:rPr>
          <w:b/>
          <w:sz w:val="22"/>
          <w:szCs w:val="22"/>
          <w:lang w:val="lv-LV"/>
        </w:rPr>
        <w:t>Devas un lietoš</w:t>
      </w:r>
      <w:r w:rsidR="0042126B" w:rsidRPr="006B7DEB">
        <w:rPr>
          <w:b/>
          <w:sz w:val="22"/>
          <w:szCs w:val="22"/>
          <w:lang w:val="lv-LV"/>
        </w:rPr>
        <w:t>anas veids</w:t>
      </w:r>
    </w:p>
    <w:p w14:paraId="3F94336C" w14:textId="77777777" w:rsidR="00637070" w:rsidRPr="006B7DEB" w:rsidRDefault="00637070" w:rsidP="000E07C1">
      <w:pPr>
        <w:rPr>
          <w:i/>
          <w:sz w:val="22"/>
          <w:szCs w:val="22"/>
          <w:lang w:val="lv-LV"/>
        </w:rPr>
      </w:pPr>
    </w:p>
    <w:p w14:paraId="33858F40" w14:textId="77777777" w:rsidR="0042126B" w:rsidRPr="006B7DEB" w:rsidRDefault="0042126B" w:rsidP="000E07C1">
      <w:pPr>
        <w:rPr>
          <w:iCs/>
          <w:sz w:val="22"/>
          <w:szCs w:val="22"/>
          <w:u w:val="single"/>
          <w:lang w:val="lv-LV"/>
        </w:rPr>
      </w:pPr>
      <w:r w:rsidRPr="006B7DEB">
        <w:rPr>
          <w:iCs/>
          <w:sz w:val="22"/>
          <w:szCs w:val="22"/>
          <w:u w:val="single"/>
          <w:lang w:val="lv-LV"/>
        </w:rPr>
        <w:t>Devas</w:t>
      </w:r>
    </w:p>
    <w:p w14:paraId="25D55C00" w14:textId="77777777" w:rsidR="0042126B" w:rsidRPr="006B7DEB" w:rsidRDefault="0042126B" w:rsidP="000E07C1">
      <w:pPr>
        <w:rPr>
          <w:iCs/>
          <w:sz w:val="22"/>
          <w:szCs w:val="22"/>
          <w:u w:val="single"/>
          <w:lang w:val="lv-LV"/>
        </w:rPr>
      </w:pPr>
    </w:p>
    <w:p w14:paraId="05372600" w14:textId="77777777" w:rsidR="007946E0" w:rsidRPr="006B7DEB" w:rsidRDefault="007946E0" w:rsidP="000E07C1">
      <w:pPr>
        <w:rPr>
          <w:sz w:val="22"/>
          <w:szCs w:val="22"/>
          <w:lang w:val="lv-LV"/>
        </w:rPr>
      </w:pPr>
      <w:r w:rsidRPr="006B7DEB">
        <w:rPr>
          <w:i/>
          <w:sz w:val="22"/>
          <w:szCs w:val="22"/>
          <w:lang w:val="lv-LV"/>
        </w:rPr>
        <w:t>Pieauguš</w:t>
      </w:r>
      <w:r w:rsidR="001C05F4" w:rsidRPr="006B7DEB">
        <w:rPr>
          <w:i/>
          <w:sz w:val="22"/>
          <w:szCs w:val="22"/>
          <w:lang w:val="lv-LV"/>
        </w:rPr>
        <w:t>ie</w:t>
      </w:r>
      <w:r w:rsidRPr="006B7DEB">
        <w:rPr>
          <w:i/>
          <w:sz w:val="22"/>
          <w:szCs w:val="22"/>
          <w:lang w:val="lv-LV"/>
        </w:rPr>
        <w:t xml:space="preserve"> (arī </w:t>
      </w:r>
      <w:r w:rsidR="007F06FB" w:rsidRPr="006B7DEB">
        <w:rPr>
          <w:i/>
          <w:sz w:val="22"/>
          <w:szCs w:val="22"/>
          <w:lang w:val="lv-LV"/>
        </w:rPr>
        <w:t xml:space="preserve">gados </w:t>
      </w:r>
      <w:r w:rsidRPr="006B7DEB">
        <w:rPr>
          <w:i/>
          <w:sz w:val="22"/>
          <w:szCs w:val="22"/>
          <w:lang w:val="lv-LV"/>
        </w:rPr>
        <w:t>vecāk</w:t>
      </w:r>
      <w:r w:rsidR="007F06FB" w:rsidRPr="006B7DEB">
        <w:rPr>
          <w:i/>
          <w:sz w:val="22"/>
          <w:szCs w:val="22"/>
          <w:lang w:val="lv-LV"/>
        </w:rPr>
        <w:t>i</w:t>
      </w:r>
      <w:r w:rsidRPr="006B7DEB">
        <w:rPr>
          <w:i/>
          <w:sz w:val="22"/>
          <w:szCs w:val="22"/>
          <w:lang w:val="lv-LV"/>
        </w:rPr>
        <w:t xml:space="preserve"> cilvēki)</w:t>
      </w:r>
      <w:r w:rsidR="00862441" w:rsidRPr="006B7DEB">
        <w:rPr>
          <w:i/>
          <w:sz w:val="22"/>
          <w:szCs w:val="22"/>
          <w:lang w:val="lv-LV"/>
        </w:rPr>
        <w:t>:</w:t>
      </w:r>
      <w:r w:rsidR="00EE60C9" w:rsidRPr="006B7DEB">
        <w:rPr>
          <w:sz w:val="22"/>
          <w:szCs w:val="22"/>
          <w:lang w:val="lv-LV"/>
        </w:rPr>
        <w:t xml:space="preserve"> 0,5</w:t>
      </w:r>
      <w:r w:rsidR="00EE60C9" w:rsidRPr="006B7DEB">
        <w:rPr>
          <w:sz w:val="22"/>
          <w:szCs w:val="22"/>
          <w:lang w:val="lv-LV"/>
        </w:rPr>
        <w:noBreakHyphen/>
        <w:t xml:space="preserve">1 g </w:t>
      </w:r>
      <w:r w:rsidR="00BF71EC" w:rsidRPr="006B7DEB">
        <w:rPr>
          <w:sz w:val="22"/>
          <w:szCs w:val="22"/>
          <w:lang w:val="lv-LV"/>
        </w:rPr>
        <w:t>(1</w:t>
      </w:r>
      <w:r w:rsidR="00BF71EC" w:rsidRPr="006B7DEB">
        <w:rPr>
          <w:sz w:val="22"/>
          <w:szCs w:val="22"/>
          <w:lang w:val="lv-LV"/>
        </w:rPr>
        <w:noBreakHyphen/>
        <w:t xml:space="preserve">2 tabletes) </w:t>
      </w:r>
      <w:r w:rsidR="00EE60C9" w:rsidRPr="006B7DEB">
        <w:rPr>
          <w:sz w:val="22"/>
          <w:szCs w:val="22"/>
          <w:lang w:val="lv-LV"/>
        </w:rPr>
        <w:t>ik pēc 4</w:t>
      </w:r>
      <w:r w:rsidR="00EE60C9" w:rsidRPr="006B7DEB">
        <w:rPr>
          <w:sz w:val="22"/>
          <w:szCs w:val="22"/>
          <w:lang w:val="lv-LV"/>
        </w:rPr>
        <w:noBreakHyphen/>
        <w:t>6 </w:t>
      </w:r>
      <w:r w:rsidRPr="006B7DEB">
        <w:rPr>
          <w:sz w:val="22"/>
          <w:szCs w:val="22"/>
          <w:lang w:val="lv-LV"/>
        </w:rPr>
        <w:t>stundām</w:t>
      </w:r>
      <w:r w:rsidR="000167FF" w:rsidRPr="006B7DEB">
        <w:rPr>
          <w:sz w:val="22"/>
          <w:szCs w:val="22"/>
          <w:lang w:val="lv-LV"/>
        </w:rPr>
        <w:t>.</w:t>
      </w:r>
      <w:r w:rsidRPr="006B7DEB">
        <w:rPr>
          <w:sz w:val="22"/>
          <w:szCs w:val="22"/>
          <w:lang w:val="lv-LV"/>
        </w:rPr>
        <w:t xml:space="preserve"> </w:t>
      </w:r>
      <w:r w:rsidR="000167FF" w:rsidRPr="006B7DEB">
        <w:rPr>
          <w:sz w:val="22"/>
          <w:szCs w:val="22"/>
          <w:lang w:val="lv-LV"/>
        </w:rPr>
        <w:t>M</w:t>
      </w:r>
      <w:r w:rsidRPr="006B7DEB">
        <w:rPr>
          <w:sz w:val="22"/>
          <w:szCs w:val="22"/>
          <w:lang w:val="lv-LV"/>
        </w:rPr>
        <w:t xml:space="preserve">aksimālā dienas deva </w:t>
      </w:r>
      <w:r w:rsidR="001C05F4" w:rsidRPr="006B7DEB">
        <w:rPr>
          <w:sz w:val="22"/>
          <w:szCs w:val="22"/>
          <w:lang w:val="lv-LV"/>
        </w:rPr>
        <w:t>ir</w:t>
      </w:r>
      <w:r w:rsidRPr="006B7DEB">
        <w:rPr>
          <w:sz w:val="22"/>
          <w:szCs w:val="22"/>
          <w:lang w:val="lv-LV"/>
        </w:rPr>
        <w:t xml:space="preserve"> 4 g</w:t>
      </w:r>
      <w:r w:rsidR="00BF71EC" w:rsidRPr="006B7DEB">
        <w:rPr>
          <w:sz w:val="22"/>
          <w:szCs w:val="22"/>
          <w:lang w:val="lv-LV"/>
        </w:rPr>
        <w:t xml:space="preserve"> (8 tabletes)</w:t>
      </w:r>
      <w:r w:rsidRPr="006B7DEB">
        <w:rPr>
          <w:sz w:val="22"/>
          <w:szCs w:val="22"/>
          <w:lang w:val="lv-LV"/>
        </w:rPr>
        <w:t>.</w:t>
      </w:r>
    </w:p>
    <w:p w14:paraId="2FB971BE" w14:textId="77777777" w:rsidR="00EE60C9" w:rsidRPr="006B7DEB" w:rsidRDefault="00EE60C9" w:rsidP="000E07C1">
      <w:pPr>
        <w:rPr>
          <w:sz w:val="22"/>
          <w:szCs w:val="22"/>
          <w:lang w:val="lv-LV"/>
        </w:rPr>
      </w:pPr>
    </w:p>
    <w:p w14:paraId="784D5226" w14:textId="77777777" w:rsidR="0032119A" w:rsidRPr="006B7DEB" w:rsidRDefault="0032119A" w:rsidP="000E07C1">
      <w:pPr>
        <w:rPr>
          <w:i/>
          <w:iCs/>
          <w:sz w:val="22"/>
          <w:szCs w:val="22"/>
          <w:lang w:val="lv-LV"/>
        </w:rPr>
      </w:pPr>
      <w:r w:rsidRPr="006B7DEB">
        <w:rPr>
          <w:i/>
          <w:iCs/>
          <w:sz w:val="22"/>
          <w:szCs w:val="22"/>
          <w:lang w:val="lv-LV"/>
        </w:rPr>
        <w:t>Pediatriskā populācija</w:t>
      </w:r>
    </w:p>
    <w:p w14:paraId="49556AA0" w14:textId="77777777" w:rsidR="0036071E" w:rsidRPr="006B7DEB" w:rsidRDefault="0032119A" w:rsidP="000E07C1">
      <w:pPr>
        <w:rPr>
          <w:sz w:val="22"/>
          <w:szCs w:val="22"/>
          <w:lang w:val="lv-LV"/>
        </w:rPr>
      </w:pPr>
      <w:r w:rsidRPr="006B7DEB">
        <w:rPr>
          <w:i/>
          <w:sz w:val="22"/>
          <w:szCs w:val="22"/>
          <w:lang w:val="lv-LV"/>
        </w:rPr>
        <w:t>Bērni no 12 gadu vecuma:</w:t>
      </w:r>
      <w:r w:rsidRPr="006B7DEB">
        <w:rPr>
          <w:sz w:val="22"/>
          <w:szCs w:val="22"/>
          <w:lang w:val="lv-LV"/>
        </w:rPr>
        <w:t xml:space="preserve"> </w:t>
      </w:r>
      <w:r w:rsidR="0036071E" w:rsidRPr="006B7DEB">
        <w:rPr>
          <w:sz w:val="22"/>
          <w:szCs w:val="22"/>
          <w:lang w:val="lv-LV"/>
        </w:rPr>
        <w:t>0,5</w:t>
      </w:r>
      <w:r w:rsidR="0036071E" w:rsidRPr="006B7DEB">
        <w:rPr>
          <w:sz w:val="22"/>
          <w:szCs w:val="22"/>
          <w:lang w:val="lv-LV"/>
        </w:rPr>
        <w:noBreakHyphen/>
        <w:t>1 g (1</w:t>
      </w:r>
      <w:r w:rsidR="0036071E" w:rsidRPr="006B7DEB">
        <w:rPr>
          <w:sz w:val="22"/>
          <w:szCs w:val="22"/>
          <w:lang w:val="lv-LV"/>
        </w:rPr>
        <w:noBreakHyphen/>
        <w:t>2 tabletes) ik pēc 4</w:t>
      </w:r>
      <w:r w:rsidR="0036071E" w:rsidRPr="006B7DEB">
        <w:rPr>
          <w:sz w:val="22"/>
          <w:szCs w:val="22"/>
          <w:lang w:val="lv-LV"/>
        </w:rPr>
        <w:noBreakHyphen/>
        <w:t>6 </w:t>
      </w:r>
      <w:r w:rsidR="003E0FE2" w:rsidRPr="006B7DEB">
        <w:rPr>
          <w:sz w:val="22"/>
          <w:szCs w:val="22"/>
          <w:lang w:val="lv-LV"/>
        </w:rPr>
        <w:t>stundām.</w:t>
      </w:r>
      <w:r w:rsidR="0036071E" w:rsidRPr="006B7DEB">
        <w:rPr>
          <w:sz w:val="22"/>
          <w:szCs w:val="22"/>
          <w:lang w:val="lv-LV"/>
        </w:rPr>
        <w:t xml:space="preserve"> </w:t>
      </w:r>
      <w:r w:rsidR="003E0FE2" w:rsidRPr="006B7DEB">
        <w:rPr>
          <w:sz w:val="22"/>
          <w:szCs w:val="22"/>
          <w:lang w:val="lv-LV"/>
        </w:rPr>
        <w:t>M</w:t>
      </w:r>
      <w:r w:rsidR="0036071E" w:rsidRPr="006B7DEB">
        <w:rPr>
          <w:sz w:val="22"/>
          <w:szCs w:val="22"/>
          <w:lang w:val="lv-LV"/>
        </w:rPr>
        <w:t>aksimālā dienas deva ir 4 g</w:t>
      </w:r>
      <w:r w:rsidR="0082756C" w:rsidRPr="006B7DEB">
        <w:rPr>
          <w:sz w:val="22"/>
          <w:szCs w:val="22"/>
          <w:lang w:val="lv-LV"/>
        </w:rPr>
        <w:t xml:space="preserve"> (8 tabletes).</w:t>
      </w:r>
    </w:p>
    <w:p w14:paraId="6CE84879" w14:textId="77777777" w:rsidR="007946E0" w:rsidRPr="006B7DEB" w:rsidRDefault="007946E0" w:rsidP="000E07C1">
      <w:pPr>
        <w:rPr>
          <w:sz w:val="22"/>
          <w:szCs w:val="22"/>
          <w:lang w:val="lv-LV"/>
        </w:rPr>
      </w:pPr>
      <w:r w:rsidRPr="006B7DEB">
        <w:rPr>
          <w:i/>
          <w:sz w:val="22"/>
          <w:szCs w:val="22"/>
          <w:lang w:val="lv-LV"/>
        </w:rPr>
        <w:t>Bērni vecumā no 6</w:t>
      </w:r>
      <w:r w:rsidR="00EE60C9" w:rsidRPr="006B7DEB">
        <w:rPr>
          <w:i/>
          <w:sz w:val="22"/>
          <w:szCs w:val="22"/>
          <w:lang w:val="lv-LV"/>
        </w:rPr>
        <w:noBreakHyphen/>
        <w:t>12 </w:t>
      </w:r>
      <w:r w:rsidRPr="006B7DEB">
        <w:rPr>
          <w:i/>
          <w:sz w:val="22"/>
          <w:szCs w:val="22"/>
          <w:lang w:val="lv-LV"/>
        </w:rPr>
        <w:t>gadiem:</w:t>
      </w:r>
      <w:r w:rsidRPr="006B7DEB">
        <w:rPr>
          <w:sz w:val="22"/>
          <w:szCs w:val="22"/>
          <w:lang w:val="lv-LV"/>
        </w:rPr>
        <w:t xml:space="preserve"> 250</w:t>
      </w:r>
      <w:r w:rsidR="00EE60C9" w:rsidRPr="006B7DEB">
        <w:rPr>
          <w:sz w:val="22"/>
          <w:szCs w:val="22"/>
          <w:lang w:val="lv-LV"/>
        </w:rPr>
        <w:noBreakHyphen/>
      </w:r>
      <w:r w:rsidRPr="006B7DEB">
        <w:rPr>
          <w:sz w:val="22"/>
          <w:szCs w:val="22"/>
          <w:lang w:val="lv-LV"/>
        </w:rPr>
        <w:t xml:space="preserve">500 mg </w:t>
      </w:r>
      <w:r w:rsidR="005C2213" w:rsidRPr="006B7DEB">
        <w:rPr>
          <w:sz w:val="22"/>
          <w:szCs w:val="22"/>
          <w:lang w:val="lv-LV"/>
        </w:rPr>
        <w:t>(½</w:t>
      </w:r>
      <w:r w:rsidR="005C2213" w:rsidRPr="006B7DEB">
        <w:rPr>
          <w:sz w:val="22"/>
          <w:szCs w:val="22"/>
          <w:lang w:val="lv-LV"/>
        </w:rPr>
        <w:noBreakHyphen/>
        <w:t xml:space="preserve">1 tablete) </w:t>
      </w:r>
      <w:r w:rsidR="00C3569B" w:rsidRPr="006B7DEB">
        <w:rPr>
          <w:sz w:val="22"/>
          <w:szCs w:val="22"/>
          <w:lang w:val="lv-LV"/>
        </w:rPr>
        <w:t>ik pēc 4</w:t>
      </w:r>
      <w:r w:rsidR="00C3569B" w:rsidRPr="006B7DEB">
        <w:rPr>
          <w:sz w:val="22"/>
          <w:szCs w:val="22"/>
          <w:lang w:val="lv-LV"/>
        </w:rPr>
        <w:noBreakHyphen/>
        <w:t>6 stundām</w:t>
      </w:r>
      <w:r w:rsidR="005C2213" w:rsidRPr="006B7DEB">
        <w:rPr>
          <w:sz w:val="22"/>
          <w:szCs w:val="22"/>
          <w:lang w:val="lv-LV"/>
        </w:rPr>
        <w:t>.</w:t>
      </w:r>
      <w:r w:rsidR="00EE60C9" w:rsidRPr="006B7DEB">
        <w:rPr>
          <w:sz w:val="22"/>
          <w:szCs w:val="22"/>
          <w:lang w:val="lv-LV"/>
        </w:rPr>
        <w:t xml:space="preserve"> </w:t>
      </w:r>
      <w:r w:rsidR="005C2213" w:rsidRPr="006B7DEB">
        <w:rPr>
          <w:sz w:val="22"/>
          <w:szCs w:val="22"/>
          <w:lang w:val="lv-LV"/>
        </w:rPr>
        <w:t>M</w:t>
      </w:r>
      <w:r w:rsidR="00EE60C9" w:rsidRPr="006B7DEB">
        <w:rPr>
          <w:sz w:val="22"/>
          <w:szCs w:val="22"/>
          <w:lang w:val="lv-LV"/>
        </w:rPr>
        <w:t>aksimālā dienas deva ir 2 </w:t>
      </w:r>
      <w:r w:rsidRPr="006B7DEB">
        <w:rPr>
          <w:sz w:val="22"/>
          <w:szCs w:val="22"/>
          <w:lang w:val="lv-LV"/>
        </w:rPr>
        <w:t>g</w:t>
      </w:r>
      <w:r w:rsidR="00F87B09" w:rsidRPr="006B7DEB">
        <w:rPr>
          <w:sz w:val="22"/>
          <w:szCs w:val="22"/>
          <w:lang w:val="lv-LV"/>
        </w:rPr>
        <w:t xml:space="preserve"> (4 tabletes)</w:t>
      </w:r>
      <w:r w:rsidRPr="006B7DEB">
        <w:rPr>
          <w:sz w:val="22"/>
          <w:szCs w:val="22"/>
          <w:lang w:val="lv-LV"/>
        </w:rPr>
        <w:t>.</w:t>
      </w:r>
    </w:p>
    <w:p w14:paraId="26314DAF" w14:textId="77777777" w:rsidR="00EF10B8" w:rsidRPr="006B7DEB" w:rsidRDefault="00EF10B8" w:rsidP="000E07C1">
      <w:pPr>
        <w:rPr>
          <w:sz w:val="22"/>
          <w:szCs w:val="22"/>
          <w:lang w:val="lv-LV"/>
        </w:rPr>
      </w:pPr>
    </w:p>
    <w:p w14:paraId="4C7DF2A3" w14:textId="77777777" w:rsidR="007946E0" w:rsidRPr="006B7DEB" w:rsidRDefault="007946E0" w:rsidP="000E07C1">
      <w:pPr>
        <w:rPr>
          <w:sz w:val="22"/>
          <w:szCs w:val="22"/>
          <w:lang w:val="lv-LV"/>
        </w:rPr>
      </w:pPr>
      <w:r w:rsidRPr="006B7DEB">
        <w:rPr>
          <w:sz w:val="22"/>
          <w:szCs w:val="22"/>
          <w:lang w:val="lv-LV"/>
        </w:rPr>
        <w:t>Šo zāļu formu ne</w:t>
      </w:r>
      <w:r w:rsidR="003E6787" w:rsidRPr="006B7DEB">
        <w:rPr>
          <w:sz w:val="22"/>
          <w:szCs w:val="22"/>
          <w:lang w:val="lv-LV"/>
        </w:rPr>
        <w:t xml:space="preserve">drīkst </w:t>
      </w:r>
      <w:r w:rsidRPr="006B7DEB">
        <w:rPr>
          <w:sz w:val="22"/>
          <w:szCs w:val="22"/>
          <w:lang w:val="lv-LV"/>
        </w:rPr>
        <w:t>lietot bērniem līdz 6</w:t>
      </w:r>
      <w:r w:rsidR="00F87B09" w:rsidRPr="006B7DEB">
        <w:rPr>
          <w:sz w:val="22"/>
          <w:szCs w:val="22"/>
          <w:lang w:val="lv-LV"/>
        </w:rPr>
        <w:t> </w:t>
      </w:r>
      <w:r w:rsidRPr="006B7DEB">
        <w:rPr>
          <w:sz w:val="22"/>
          <w:szCs w:val="22"/>
          <w:lang w:val="lv-LV"/>
        </w:rPr>
        <w:t>gadu vecumam.</w:t>
      </w:r>
    </w:p>
    <w:p w14:paraId="16D23CAC" w14:textId="77777777" w:rsidR="00AA2F46" w:rsidRPr="006B7DEB" w:rsidRDefault="00AA2F46" w:rsidP="000E07C1">
      <w:pPr>
        <w:rPr>
          <w:sz w:val="22"/>
          <w:szCs w:val="22"/>
          <w:lang w:val="lv-LV"/>
        </w:rPr>
      </w:pPr>
    </w:p>
    <w:p w14:paraId="1A6E43B7" w14:textId="77777777" w:rsidR="0042126B" w:rsidRPr="006B7DEB" w:rsidRDefault="0042126B" w:rsidP="000E07C1">
      <w:pPr>
        <w:rPr>
          <w:sz w:val="22"/>
          <w:szCs w:val="22"/>
          <w:u w:val="single"/>
          <w:lang w:val="lv-LV"/>
        </w:rPr>
      </w:pPr>
      <w:r w:rsidRPr="006B7DEB">
        <w:rPr>
          <w:sz w:val="22"/>
          <w:szCs w:val="22"/>
          <w:u w:val="single"/>
          <w:lang w:val="lv-LV"/>
        </w:rPr>
        <w:t>Lietošanas veids</w:t>
      </w:r>
    </w:p>
    <w:p w14:paraId="132883EC" w14:textId="77777777" w:rsidR="0042126B" w:rsidRPr="006B7DEB" w:rsidRDefault="0042126B" w:rsidP="000E07C1">
      <w:pPr>
        <w:rPr>
          <w:sz w:val="22"/>
          <w:szCs w:val="22"/>
          <w:lang w:val="lv-LV"/>
        </w:rPr>
      </w:pPr>
    </w:p>
    <w:p w14:paraId="1459B04E" w14:textId="77777777" w:rsidR="0042126B" w:rsidRPr="006B7DEB" w:rsidRDefault="0042126B" w:rsidP="000E07C1">
      <w:pPr>
        <w:rPr>
          <w:sz w:val="22"/>
          <w:szCs w:val="22"/>
          <w:lang w:val="lv-LV"/>
        </w:rPr>
      </w:pPr>
      <w:r w:rsidRPr="006B7DEB">
        <w:rPr>
          <w:sz w:val="22"/>
          <w:szCs w:val="22"/>
          <w:lang w:val="lv-LV"/>
        </w:rPr>
        <w:t>Iekšķīgai lietošanai.</w:t>
      </w:r>
    </w:p>
    <w:p w14:paraId="4FCD6352" w14:textId="77777777" w:rsidR="00F83176" w:rsidRPr="006B7DEB" w:rsidRDefault="00F83176" w:rsidP="000E07C1">
      <w:pPr>
        <w:rPr>
          <w:sz w:val="22"/>
          <w:szCs w:val="22"/>
          <w:lang w:val="lv-LV"/>
        </w:rPr>
      </w:pPr>
    </w:p>
    <w:p w14:paraId="15682978" w14:textId="77777777" w:rsidR="007946E0" w:rsidRPr="006B7DEB" w:rsidRDefault="00637070" w:rsidP="000E07C1">
      <w:pPr>
        <w:rPr>
          <w:b/>
          <w:sz w:val="22"/>
          <w:szCs w:val="22"/>
          <w:lang w:val="lv-LV"/>
        </w:rPr>
      </w:pPr>
      <w:r w:rsidRPr="006B7DEB">
        <w:rPr>
          <w:b/>
          <w:sz w:val="22"/>
          <w:szCs w:val="22"/>
          <w:lang w:val="lv-LV"/>
        </w:rPr>
        <w:t>4.3</w:t>
      </w:r>
      <w:r w:rsidR="00682868" w:rsidRPr="006B7DEB">
        <w:rPr>
          <w:b/>
          <w:sz w:val="22"/>
          <w:szCs w:val="22"/>
          <w:lang w:val="lv-LV"/>
        </w:rPr>
        <w:t>.</w:t>
      </w:r>
      <w:r w:rsidRPr="006B7DEB">
        <w:rPr>
          <w:b/>
          <w:sz w:val="22"/>
          <w:szCs w:val="22"/>
          <w:lang w:val="lv-LV"/>
        </w:rPr>
        <w:tab/>
      </w:r>
      <w:r w:rsidR="007946E0" w:rsidRPr="006B7DEB">
        <w:rPr>
          <w:b/>
          <w:sz w:val="22"/>
          <w:szCs w:val="22"/>
          <w:lang w:val="lv-LV"/>
        </w:rPr>
        <w:t>Kontrindikācijas</w:t>
      </w:r>
    </w:p>
    <w:p w14:paraId="580B8A8D" w14:textId="77777777" w:rsidR="00637070" w:rsidRPr="006B7DEB" w:rsidRDefault="00637070" w:rsidP="000E07C1">
      <w:pPr>
        <w:rPr>
          <w:sz w:val="22"/>
          <w:szCs w:val="22"/>
          <w:lang w:val="lv-LV"/>
        </w:rPr>
      </w:pPr>
    </w:p>
    <w:p w14:paraId="4DCF38A3" w14:textId="77777777" w:rsidR="00637070" w:rsidRPr="006B7DEB" w:rsidRDefault="007946E0" w:rsidP="006B7DEB">
      <w:pPr>
        <w:pStyle w:val="ListParagraph"/>
        <w:numPr>
          <w:ilvl w:val="0"/>
          <w:numId w:val="3"/>
        </w:numPr>
        <w:ind w:left="426" w:hanging="426"/>
        <w:rPr>
          <w:sz w:val="22"/>
          <w:szCs w:val="22"/>
          <w:lang w:val="lv-LV"/>
        </w:rPr>
      </w:pPr>
      <w:r w:rsidRPr="006B7DEB">
        <w:rPr>
          <w:sz w:val="22"/>
          <w:szCs w:val="22"/>
          <w:lang w:val="lv-LV"/>
        </w:rPr>
        <w:t xml:space="preserve">Paaugstināta jutība pret </w:t>
      </w:r>
      <w:r w:rsidR="00F31F24" w:rsidRPr="006B7DEB">
        <w:rPr>
          <w:sz w:val="22"/>
          <w:szCs w:val="22"/>
          <w:lang w:val="lv-LV"/>
        </w:rPr>
        <w:t xml:space="preserve">aktīvo vielu </w:t>
      </w:r>
      <w:r w:rsidR="00637070" w:rsidRPr="006B7DEB">
        <w:rPr>
          <w:sz w:val="22"/>
          <w:szCs w:val="22"/>
          <w:lang w:val="lv-LV"/>
        </w:rPr>
        <w:t xml:space="preserve">vai jebkuru no </w:t>
      </w:r>
      <w:r w:rsidR="00F31F24" w:rsidRPr="006B7DEB">
        <w:rPr>
          <w:sz w:val="22"/>
          <w:szCs w:val="22"/>
          <w:lang w:val="lv-LV"/>
        </w:rPr>
        <w:t xml:space="preserve">6.1. apakšpunktā uzskaitītajām </w:t>
      </w:r>
      <w:proofErr w:type="spellStart"/>
      <w:r w:rsidR="00637070" w:rsidRPr="006B7DEB">
        <w:rPr>
          <w:sz w:val="22"/>
          <w:szCs w:val="22"/>
          <w:lang w:val="lv-LV"/>
        </w:rPr>
        <w:t>palīgvielām</w:t>
      </w:r>
      <w:proofErr w:type="spellEnd"/>
      <w:r w:rsidR="00637070" w:rsidRPr="006B7DEB">
        <w:rPr>
          <w:sz w:val="22"/>
          <w:szCs w:val="22"/>
          <w:lang w:val="lv-LV"/>
        </w:rPr>
        <w:t>.</w:t>
      </w:r>
    </w:p>
    <w:p w14:paraId="21BC90E5" w14:textId="77777777" w:rsidR="00D92BCF" w:rsidRPr="006B7DEB" w:rsidRDefault="007946E0" w:rsidP="006B7DEB">
      <w:pPr>
        <w:pStyle w:val="ListParagraph"/>
        <w:numPr>
          <w:ilvl w:val="0"/>
          <w:numId w:val="3"/>
        </w:numPr>
        <w:ind w:left="426" w:hanging="426"/>
        <w:rPr>
          <w:sz w:val="22"/>
          <w:szCs w:val="22"/>
          <w:lang w:val="lv-LV"/>
        </w:rPr>
      </w:pPr>
      <w:r w:rsidRPr="006B7DEB">
        <w:rPr>
          <w:sz w:val="22"/>
          <w:szCs w:val="22"/>
          <w:lang w:val="lv-LV"/>
        </w:rPr>
        <w:t>Smagas aknu slimības.</w:t>
      </w:r>
    </w:p>
    <w:p w14:paraId="5A0F6633" w14:textId="77777777" w:rsidR="00D92BCF" w:rsidRPr="006B7DEB" w:rsidRDefault="00D92BCF">
      <w:pPr>
        <w:jc w:val="left"/>
        <w:rPr>
          <w:sz w:val="22"/>
          <w:szCs w:val="22"/>
          <w:lang w:val="lv-LV"/>
        </w:rPr>
      </w:pPr>
      <w:r w:rsidRPr="006B7DEB">
        <w:rPr>
          <w:sz w:val="22"/>
          <w:szCs w:val="22"/>
          <w:lang w:val="lv-LV"/>
        </w:rPr>
        <w:br w:type="page"/>
      </w:r>
    </w:p>
    <w:p w14:paraId="1BD09789" w14:textId="77777777" w:rsidR="007946E0" w:rsidRPr="006B7DEB" w:rsidRDefault="00637070" w:rsidP="000E07C1">
      <w:pPr>
        <w:rPr>
          <w:b/>
          <w:sz w:val="22"/>
          <w:szCs w:val="22"/>
          <w:lang w:val="lv-LV"/>
        </w:rPr>
      </w:pPr>
      <w:r w:rsidRPr="006B7DEB">
        <w:rPr>
          <w:b/>
          <w:sz w:val="22"/>
          <w:szCs w:val="22"/>
          <w:lang w:val="lv-LV"/>
        </w:rPr>
        <w:lastRenderedPageBreak/>
        <w:t>4.4</w:t>
      </w:r>
      <w:r w:rsidR="00682868" w:rsidRPr="006B7DEB">
        <w:rPr>
          <w:b/>
          <w:sz w:val="22"/>
          <w:szCs w:val="22"/>
          <w:lang w:val="lv-LV"/>
        </w:rPr>
        <w:t>.</w:t>
      </w:r>
      <w:r w:rsidRPr="006B7DEB">
        <w:rPr>
          <w:b/>
          <w:sz w:val="22"/>
          <w:szCs w:val="22"/>
          <w:lang w:val="lv-LV"/>
        </w:rPr>
        <w:tab/>
      </w:r>
      <w:r w:rsidR="007946E0" w:rsidRPr="006B7DEB">
        <w:rPr>
          <w:b/>
          <w:sz w:val="22"/>
          <w:szCs w:val="22"/>
          <w:lang w:val="lv-LV"/>
        </w:rPr>
        <w:t>Īpaši brīdinājumi un piesardzība lietošanā</w:t>
      </w:r>
    </w:p>
    <w:p w14:paraId="2C52108D" w14:textId="77777777" w:rsidR="00637070" w:rsidRPr="006B7DEB" w:rsidRDefault="00637070" w:rsidP="000E07C1">
      <w:pPr>
        <w:rPr>
          <w:sz w:val="22"/>
          <w:szCs w:val="22"/>
          <w:lang w:val="lv-LV"/>
        </w:rPr>
      </w:pPr>
    </w:p>
    <w:p w14:paraId="6351CA63" w14:textId="0937ED8F" w:rsidR="007946E0" w:rsidRPr="006B7DEB" w:rsidRDefault="007946E0" w:rsidP="00441CA9">
      <w:pPr>
        <w:rPr>
          <w:sz w:val="22"/>
          <w:szCs w:val="22"/>
          <w:lang w:val="lv-LV"/>
        </w:rPr>
      </w:pPr>
      <w:proofErr w:type="spellStart"/>
      <w:r w:rsidRPr="006B7DEB">
        <w:rPr>
          <w:sz w:val="22"/>
          <w:szCs w:val="22"/>
          <w:lang w:val="lv-LV"/>
        </w:rPr>
        <w:t>Paracetamols</w:t>
      </w:r>
      <w:proofErr w:type="spellEnd"/>
      <w:r w:rsidRPr="006B7DEB">
        <w:rPr>
          <w:sz w:val="22"/>
          <w:szCs w:val="22"/>
          <w:lang w:val="lv-LV"/>
        </w:rPr>
        <w:t xml:space="preserve"> jālieto piesardzīgi pacientiem ar aknu un/vai nieru funkciju traucējumiem, kā arī alkohola atkarības gadījumā.</w:t>
      </w:r>
    </w:p>
    <w:p w14:paraId="41A1339B" w14:textId="77777777" w:rsidR="00441CA9" w:rsidRPr="006B7DEB" w:rsidRDefault="00441CA9" w:rsidP="00441CA9">
      <w:pPr>
        <w:rPr>
          <w:sz w:val="22"/>
          <w:szCs w:val="22"/>
          <w:lang w:val="lv-LV"/>
        </w:rPr>
      </w:pPr>
    </w:p>
    <w:p w14:paraId="53CE17A6" w14:textId="6045A509" w:rsidR="007946E0" w:rsidRPr="006B7DEB" w:rsidRDefault="007946E0" w:rsidP="00441CA9">
      <w:pPr>
        <w:rPr>
          <w:sz w:val="22"/>
          <w:szCs w:val="22"/>
          <w:lang w:val="lv-LV"/>
        </w:rPr>
      </w:pPr>
      <w:r w:rsidRPr="006B7DEB">
        <w:rPr>
          <w:sz w:val="22"/>
          <w:szCs w:val="22"/>
          <w:lang w:val="lv-LV"/>
        </w:rPr>
        <w:t>Pārdozēšanas risks ir lielāks pacientiem ar alkohola i</w:t>
      </w:r>
      <w:r w:rsidR="00F31F24" w:rsidRPr="006B7DEB">
        <w:rPr>
          <w:sz w:val="22"/>
          <w:szCs w:val="22"/>
          <w:lang w:val="lv-LV"/>
        </w:rPr>
        <w:t xml:space="preserve">zraisītām aknu slimībām, pat ja </w:t>
      </w:r>
      <w:r w:rsidRPr="006B7DEB">
        <w:rPr>
          <w:sz w:val="22"/>
          <w:szCs w:val="22"/>
          <w:lang w:val="lv-LV"/>
        </w:rPr>
        <w:t>nav aknu cirozes parādību.</w:t>
      </w:r>
    </w:p>
    <w:p w14:paraId="6AD94167" w14:textId="77777777" w:rsidR="00441CA9" w:rsidRPr="006B7DEB" w:rsidRDefault="00441CA9" w:rsidP="00441CA9">
      <w:pPr>
        <w:rPr>
          <w:sz w:val="22"/>
          <w:szCs w:val="22"/>
          <w:lang w:val="lv-LV"/>
        </w:rPr>
      </w:pPr>
    </w:p>
    <w:p w14:paraId="246E136C" w14:textId="2BAF0547" w:rsidR="007946E0" w:rsidRPr="006B7DEB" w:rsidRDefault="007946E0" w:rsidP="00441CA9">
      <w:pPr>
        <w:rPr>
          <w:sz w:val="22"/>
          <w:szCs w:val="22"/>
          <w:lang w:val="lv-LV"/>
        </w:rPr>
      </w:pPr>
      <w:r w:rsidRPr="006B7DEB">
        <w:rPr>
          <w:sz w:val="22"/>
          <w:szCs w:val="22"/>
          <w:lang w:val="lv-LV"/>
        </w:rPr>
        <w:t>Nedrīkst pārsniegt norādītās devas.</w:t>
      </w:r>
    </w:p>
    <w:p w14:paraId="746A4E2E" w14:textId="77777777" w:rsidR="00441CA9" w:rsidRPr="006B7DEB" w:rsidRDefault="00441CA9" w:rsidP="00441CA9">
      <w:pPr>
        <w:rPr>
          <w:sz w:val="22"/>
          <w:szCs w:val="22"/>
          <w:lang w:val="lv-LV"/>
        </w:rPr>
      </w:pPr>
    </w:p>
    <w:p w14:paraId="2DEBE117" w14:textId="2D462F4D" w:rsidR="007946E0" w:rsidRPr="006B7DEB" w:rsidRDefault="007946E0" w:rsidP="00441CA9">
      <w:pPr>
        <w:rPr>
          <w:sz w:val="22"/>
          <w:szCs w:val="22"/>
          <w:lang w:val="lv-LV"/>
        </w:rPr>
      </w:pPr>
      <w:r w:rsidRPr="006B7DEB">
        <w:rPr>
          <w:sz w:val="22"/>
          <w:szCs w:val="22"/>
          <w:lang w:val="lv-LV"/>
        </w:rPr>
        <w:t xml:space="preserve">Ja, </w:t>
      </w:r>
      <w:r w:rsidR="00F31F24" w:rsidRPr="006B7DEB">
        <w:rPr>
          <w:sz w:val="22"/>
          <w:szCs w:val="22"/>
          <w:lang w:val="lv-LV"/>
        </w:rPr>
        <w:t>lietojot</w:t>
      </w:r>
      <w:r w:rsidRPr="006B7DEB">
        <w:rPr>
          <w:sz w:val="22"/>
          <w:szCs w:val="22"/>
          <w:lang w:val="lv-LV"/>
        </w:rPr>
        <w:t xml:space="preserve"> </w:t>
      </w:r>
      <w:proofErr w:type="spellStart"/>
      <w:r w:rsidRPr="006B7DEB">
        <w:rPr>
          <w:sz w:val="22"/>
          <w:szCs w:val="22"/>
          <w:lang w:val="lv-LV"/>
        </w:rPr>
        <w:t>paracetamolu</w:t>
      </w:r>
      <w:proofErr w:type="spellEnd"/>
      <w:r w:rsidRPr="006B7DEB">
        <w:rPr>
          <w:sz w:val="22"/>
          <w:szCs w:val="22"/>
          <w:lang w:val="lv-LV"/>
        </w:rPr>
        <w:t>, slimības simptomi neizzūd trī</w:t>
      </w:r>
      <w:r w:rsidR="00682868" w:rsidRPr="006B7DEB">
        <w:rPr>
          <w:sz w:val="22"/>
          <w:szCs w:val="22"/>
          <w:lang w:val="lv-LV"/>
        </w:rPr>
        <w:t xml:space="preserve">s dienu laikā, </w:t>
      </w:r>
      <w:r w:rsidR="00F31F24" w:rsidRPr="006B7DEB">
        <w:rPr>
          <w:sz w:val="22"/>
          <w:szCs w:val="22"/>
          <w:lang w:val="lv-LV"/>
        </w:rPr>
        <w:t xml:space="preserve">pacientam </w:t>
      </w:r>
      <w:r w:rsidR="00682868" w:rsidRPr="006B7DEB">
        <w:rPr>
          <w:sz w:val="22"/>
          <w:szCs w:val="22"/>
          <w:lang w:val="lv-LV"/>
        </w:rPr>
        <w:t>jā</w:t>
      </w:r>
      <w:r w:rsidR="00EB2B25" w:rsidRPr="006B7DEB">
        <w:rPr>
          <w:sz w:val="22"/>
          <w:szCs w:val="22"/>
          <w:lang w:val="lv-LV"/>
        </w:rPr>
        <w:t xml:space="preserve">iesaka </w:t>
      </w:r>
      <w:r w:rsidR="00682868" w:rsidRPr="006B7DEB">
        <w:rPr>
          <w:sz w:val="22"/>
          <w:szCs w:val="22"/>
          <w:lang w:val="lv-LV"/>
        </w:rPr>
        <w:t>konsultē</w:t>
      </w:r>
      <w:r w:rsidR="00EB2B25" w:rsidRPr="006B7DEB">
        <w:rPr>
          <w:sz w:val="22"/>
          <w:szCs w:val="22"/>
          <w:lang w:val="lv-LV"/>
        </w:rPr>
        <w:t>ties</w:t>
      </w:r>
      <w:r w:rsidR="00682868" w:rsidRPr="006B7DEB">
        <w:rPr>
          <w:sz w:val="22"/>
          <w:szCs w:val="22"/>
          <w:lang w:val="lv-LV"/>
        </w:rPr>
        <w:t xml:space="preserve"> ar </w:t>
      </w:r>
      <w:r w:rsidRPr="006B7DEB">
        <w:rPr>
          <w:sz w:val="22"/>
          <w:szCs w:val="22"/>
          <w:lang w:val="lv-LV"/>
        </w:rPr>
        <w:t>ārstu.</w:t>
      </w:r>
    </w:p>
    <w:p w14:paraId="789168B9" w14:textId="77777777" w:rsidR="00441CA9" w:rsidRPr="006B7DEB" w:rsidRDefault="00441CA9" w:rsidP="00441CA9">
      <w:pPr>
        <w:rPr>
          <w:sz w:val="22"/>
          <w:szCs w:val="22"/>
          <w:lang w:val="lv-LV"/>
        </w:rPr>
      </w:pPr>
    </w:p>
    <w:p w14:paraId="4D26F470" w14:textId="7D6B738B" w:rsidR="007946E0" w:rsidRPr="006B7DEB" w:rsidRDefault="00E43204" w:rsidP="00441CA9">
      <w:pPr>
        <w:rPr>
          <w:sz w:val="22"/>
          <w:szCs w:val="22"/>
          <w:lang w:val="lv-LV"/>
        </w:rPr>
      </w:pPr>
      <w:r w:rsidRPr="006B7DEB">
        <w:rPr>
          <w:sz w:val="22"/>
          <w:szCs w:val="22"/>
          <w:lang w:val="lv-LV"/>
        </w:rPr>
        <w:t>Šīs zāles n</w:t>
      </w:r>
      <w:r w:rsidR="007946E0" w:rsidRPr="006B7DEB">
        <w:rPr>
          <w:sz w:val="22"/>
          <w:szCs w:val="22"/>
          <w:lang w:val="lv-LV"/>
        </w:rPr>
        <w:t>e</w:t>
      </w:r>
      <w:r w:rsidRPr="006B7DEB">
        <w:rPr>
          <w:sz w:val="22"/>
          <w:szCs w:val="22"/>
          <w:lang w:val="lv-LV"/>
        </w:rPr>
        <w:t xml:space="preserve">drīkst </w:t>
      </w:r>
      <w:r w:rsidR="007946E0" w:rsidRPr="006B7DEB">
        <w:rPr>
          <w:sz w:val="22"/>
          <w:szCs w:val="22"/>
          <w:lang w:val="lv-LV"/>
        </w:rPr>
        <w:t xml:space="preserve">lietot kopā ar citām </w:t>
      </w:r>
      <w:proofErr w:type="spellStart"/>
      <w:r w:rsidR="007946E0" w:rsidRPr="006B7DEB">
        <w:rPr>
          <w:sz w:val="22"/>
          <w:szCs w:val="22"/>
          <w:lang w:val="lv-LV"/>
        </w:rPr>
        <w:t>paracetamolu</w:t>
      </w:r>
      <w:proofErr w:type="spellEnd"/>
      <w:r w:rsidR="007946E0" w:rsidRPr="006B7DEB">
        <w:rPr>
          <w:sz w:val="22"/>
          <w:szCs w:val="22"/>
          <w:lang w:val="lv-LV"/>
        </w:rPr>
        <w:t xml:space="preserve"> saturošām zālēm.</w:t>
      </w:r>
    </w:p>
    <w:p w14:paraId="1E3CA2E5" w14:textId="77777777" w:rsidR="00441CA9" w:rsidRPr="006B7DEB" w:rsidRDefault="00441CA9" w:rsidP="00441CA9">
      <w:pPr>
        <w:rPr>
          <w:sz w:val="22"/>
          <w:szCs w:val="22"/>
          <w:lang w:val="lv-LV"/>
        </w:rPr>
      </w:pPr>
    </w:p>
    <w:p w14:paraId="53A65CCE" w14:textId="77777777" w:rsidR="002B5FA5" w:rsidRPr="006B7DEB" w:rsidRDefault="002B5FA5" w:rsidP="00441CA9">
      <w:pPr>
        <w:rPr>
          <w:sz w:val="22"/>
          <w:szCs w:val="22"/>
          <w:lang w:val="lv-LV"/>
        </w:rPr>
      </w:pPr>
      <w:r w:rsidRPr="006B7DEB">
        <w:rPr>
          <w:sz w:val="22"/>
          <w:szCs w:val="22"/>
          <w:lang w:val="lv-LV"/>
        </w:rPr>
        <w:t xml:space="preserve">Jāievēro piesardzība, ja </w:t>
      </w:r>
      <w:proofErr w:type="spellStart"/>
      <w:r w:rsidRPr="006B7DEB">
        <w:rPr>
          <w:sz w:val="22"/>
          <w:szCs w:val="22"/>
          <w:lang w:val="lv-LV"/>
        </w:rPr>
        <w:t>paracetamolu</w:t>
      </w:r>
      <w:proofErr w:type="spellEnd"/>
      <w:r w:rsidRPr="006B7DEB">
        <w:rPr>
          <w:sz w:val="22"/>
          <w:szCs w:val="22"/>
          <w:lang w:val="lv-LV"/>
        </w:rPr>
        <w:t xml:space="preserve"> lieto vienlaikus ar </w:t>
      </w:r>
      <w:proofErr w:type="spellStart"/>
      <w:r w:rsidRPr="006B7DEB">
        <w:rPr>
          <w:sz w:val="22"/>
          <w:szCs w:val="22"/>
          <w:lang w:val="lv-LV"/>
        </w:rPr>
        <w:t>flukloksacilīnu</w:t>
      </w:r>
      <w:proofErr w:type="spellEnd"/>
      <w:r w:rsidRPr="006B7DEB">
        <w:rPr>
          <w:sz w:val="22"/>
          <w:szCs w:val="22"/>
          <w:lang w:val="lv-LV"/>
        </w:rPr>
        <w:t xml:space="preserve">, jo ir paaugstināts </w:t>
      </w:r>
      <w:proofErr w:type="spellStart"/>
      <w:r w:rsidRPr="006B7DEB">
        <w:rPr>
          <w:sz w:val="22"/>
          <w:szCs w:val="22"/>
          <w:lang w:val="lv-LV"/>
        </w:rPr>
        <w:t>metabolās</w:t>
      </w:r>
      <w:proofErr w:type="spellEnd"/>
      <w:r w:rsidRPr="006B7DEB">
        <w:rPr>
          <w:sz w:val="22"/>
          <w:szCs w:val="22"/>
          <w:lang w:val="lv-LV"/>
        </w:rPr>
        <w:t xml:space="preserve"> acidozes ar lielu anjonu starpību (</w:t>
      </w:r>
      <w:proofErr w:type="spellStart"/>
      <w:r w:rsidRPr="006B7DEB">
        <w:rPr>
          <w:sz w:val="22"/>
          <w:szCs w:val="22"/>
          <w:lang w:val="lv-LV"/>
        </w:rPr>
        <w:t>High</w:t>
      </w:r>
      <w:proofErr w:type="spellEnd"/>
      <w:r w:rsidRPr="006B7DEB">
        <w:rPr>
          <w:sz w:val="22"/>
          <w:szCs w:val="22"/>
          <w:lang w:val="lv-LV"/>
        </w:rPr>
        <w:t xml:space="preserve"> </w:t>
      </w:r>
      <w:proofErr w:type="spellStart"/>
      <w:r w:rsidRPr="006B7DEB">
        <w:rPr>
          <w:sz w:val="22"/>
          <w:szCs w:val="22"/>
          <w:lang w:val="lv-LV"/>
        </w:rPr>
        <w:t>Anion</w:t>
      </w:r>
      <w:proofErr w:type="spellEnd"/>
      <w:r w:rsidRPr="006B7DEB">
        <w:rPr>
          <w:sz w:val="22"/>
          <w:szCs w:val="22"/>
          <w:lang w:val="lv-LV"/>
        </w:rPr>
        <w:t xml:space="preserve"> </w:t>
      </w:r>
      <w:proofErr w:type="spellStart"/>
      <w:r w:rsidRPr="006B7DEB">
        <w:rPr>
          <w:sz w:val="22"/>
          <w:szCs w:val="22"/>
          <w:lang w:val="lv-LV"/>
        </w:rPr>
        <w:t>Gap</w:t>
      </w:r>
      <w:proofErr w:type="spellEnd"/>
      <w:r w:rsidRPr="006B7DEB">
        <w:rPr>
          <w:sz w:val="22"/>
          <w:szCs w:val="22"/>
          <w:lang w:val="lv-LV"/>
        </w:rPr>
        <w:t xml:space="preserve"> </w:t>
      </w:r>
      <w:proofErr w:type="spellStart"/>
      <w:r w:rsidRPr="006B7DEB">
        <w:rPr>
          <w:sz w:val="22"/>
          <w:szCs w:val="22"/>
          <w:lang w:val="lv-LV"/>
        </w:rPr>
        <w:t>Metabolic</w:t>
      </w:r>
      <w:proofErr w:type="spellEnd"/>
      <w:r w:rsidRPr="006B7DEB">
        <w:rPr>
          <w:sz w:val="22"/>
          <w:szCs w:val="22"/>
          <w:lang w:val="lv-LV"/>
        </w:rPr>
        <w:t xml:space="preserve"> </w:t>
      </w:r>
      <w:proofErr w:type="spellStart"/>
      <w:r w:rsidRPr="006B7DEB">
        <w:rPr>
          <w:sz w:val="22"/>
          <w:szCs w:val="22"/>
          <w:lang w:val="lv-LV"/>
        </w:rPr>
        <w:t>Acidosis</w:t>
      </w:r>
      <w:proofErr w:type="spellEnd"/>
      <w:r w:rsidRPr="006B7DEB">
        <w:rPr>
          <w:sz w:val="22"/>
          <w:szCs w:val="22"/>
          <w:lang w:val="lv-LV"/>
        </w:rPr>
        <w:t xml:space="preserve"> - HAGMA) risks, īpaši pacientiem ar smagiem nieru darbības traucējumiem, sepsi, nepietiekamu uzturu un citiem </w:t>
      </w:r>
      <w:proofErr w:type="spellStart"/>
      <w:r w:rsidRPr="006B7DEB">
        <w:rPr>
          <w:sz w:val="22"/>
          <w:szCs w:val="22"/>
          <w:lang w:val="lv-LV"/>
        </w:rPr>
        <w:t>glutationa</w:t>
      </w:r>
      <w:proofErr w:type="spellEnd"/>
      <w:r w:rsidRPr="006B7DEB">
        <w:rPr>
          <w:sz w:val="22"/>
          <w:szCs w:val="22"/>
          <w:lang w:val="lv-LV"/>
        </w:rPr>
        <w:t xml:space="preserve"> deficīta iemesliem (piemēram, hronisks alkoholisms), kā arī tiem, kuri lieto maksimālās </w:t>
      </w:r>
      <w:proofErr w:type="spellStart"/>
      <w:r w:rsidRPr="006B7DEB">
        <w:rPr>
          <w:sz w:val="22"/>
          <w:szCs w:val="22"/>
          <w:lang w:val="lv-LV"/>
        </w:rPr>
        <w:t>paracetamola</w:t>
      </w:r>
      <w:proofErr w:type="spellEnd"/>
      <w:r w:rsidRPr="006B7DEB">
        <w:rPr>
          <w:sz w:val="22"/>
          <w:szCs w:val="22"/>
          <w:lang w:val="lv-LV"/>
        </w:rPr>
        <w:t xml:space="preserve"> dienas devas. Ieteicama rūpīga uzraudzība, tostarp 5-oksoprolīna noteikšana urīnā.</w:t>
      </w:r>
    </w:p>
    <w:p w14:paraId="6A7C58A8" w14:textId="77777777" w:rsidR="00EB116A" w:rsidRPr="006B7DEB" w:rsidRDefault="00EB116A" w:rsidP="000E07C1">
      <w:pPr>
        <w:rPr>
          <w:sz w:val="22"/>
          <w:szCs w:val="22"/>
          <w:lang w:val="lv-LV"/>
        </w:rPr>
      </w:pPr>
    </w:p>
    <w:p w14:paraId="3F621B6B" w14:textId="77777777" w:rsidR="007946E0" w:rsidRPr="006B7DEB" w:rsidRDefault="00F32227" w:rsidP="000E07C1">
      <w:pPr>
        <w:rPr>
          <w:sz w:val="22"/>
          <w:szCs w:val="22"/>
          <w:lang w:val="lv-LV"/>
        </w:rPr>
      </w:pPr>
      <w:r w:rsidRPr="006B7DEB">
        <w:rPr>
          <w:b/>
          <w:sz w:val="22"/>
          <w:szCs w:val="22"/>
          <w:lang w:val="lv-LV"/>
        </w:rPr>
        <w:t>4.5</w:t>
      </w:r>
      <w:r w:rsidR="00682868" w:rsidRPr="006B7DEB">
        <w:rPr>
          <w:b/>
          <w:sz w:val="22"/>
          <w:szCs w:val="22"/>
          <w:lang w:val="lv-LV"/>
        </w:rPr>
        <w:t>.</w:t>
      </w:r>
      <w:r w:rsidRPr="006B7DEB">
        <w:rPr>
          <w:b/>
          <w:sz w:val="22"/>
          <w:szCs w:val="22"/>
          <w:lang w:val="lv-LV"/>
        </w:rPr>
        <w:tab/>
      </w:r>
      <w:r w:rsidR="007946E0" w:rsidRPr="006B7DEB">
        <w:rPr>
          <w:b/>
          <w:sz w:val="22"/>
          <w:szCs w:val="22"/>
          <w:lang w:val="lv-LV"/>
        </w:rPr>
        <w:t>Mijiedarbība ar citām zālēm un citi mijiedarbības veidi</w:t>
      </w:r>
    </w:p>
    <w:p w14:paraId="31C2B169" w14:textId="77777777" w:rsidR="00F32227" w:rsidRPr="006B7DEB" w:rsidRDefault="00F32227" w:rsidP="000E07C1">
      <w:pPr>
        <w:rPr>
          <w:sz w:val="22"/>
          <w:szCs w:val="22"/>
          <w:lang w:val="lv-LV"/>
        </w:rPr>
      </w:pPr>
    </w:p>
    <w:p w14:paraId="151CE54F" w14:textId="77777777" w:rsidR="007946E0" w:rsidRPr="006B7DEB" w:rsidRDefault="007946E0" w:rsidP="00832CE5">
      <w:pPr>
        <w:rPr>
          <w:sz w:val="22"/>
          <w:szCs w:val="22"/>
          <w:lang w:val="lv-LV"/>
        </w:rPr>
      </w:pPr>
      <w:proofErr w:type="spellStart"/>
      <w:r w:rsidRPr="006B7DEB">
        <w:rPr>
          <w:sz w:val="22"/>
          <w:szCs w:val="22"/>
          <w:lang w:val="lv-LV"/>
        </w:rPr>
        <w:t>Paracetamola</w:t>
      </w:r>
      <w:proofErr w:type="spellEnd"/>
      <w:r w:rsidRPr="006B7DEB">
        <w:rPr>
          <w:sz w:val="22"/>
          <w:szCs w:val="22"/>
          <w:lang w:val="lv-LV"/>
        </w:rPr>
        <w:t xml:space="preserve"> </w:t>
      </w:r>
      <w:proofErr w:type="spellStart"/>
      <w:r w:rsidRPr="006B7DEB">
        <w:rPr>
          <w:sz w:val="22"/>
          <w:szCs w:val="22"/>
          <w:lang w:val="lv-LV"/>
        </w:rPr>
        <w:t>toksicitāte</w:t>
      </w:r>
      <w:proofErr w:type="spellEnd"/>
      <w:r w:rsidRPr="006B7DEB">
        <w:rPr>
          <w:sz w:val="22"/>
          <w:szCs w:val="22"/>
          <w:lang w:val="lv-LV"/>
        </w:rPr>
        <w:t xml:space="preserve"> palielinās pacientiem, </w:t>
      </w:r>
      <w:r w:rsidR="00A8221D" w:rsidRPr="006B7DEB">
        <w:rPr>
          <w:sz w:val="22"/>
          <w:szCs w:val="22"/>
          <w:lang w:val="lv-LV"/>
        </w:rPr>
        <w:t>kuri</w:t>
      </w:r>
      <w:r w:rsidRPr="006B7DEB">
        <w:rPr>
          <w:sz w:val="22"/>
          <w:szCs w:val="22"/>
          <w:lang w:val="lv-LV"/>
        </w:rPr>
        <w:t xml:space="preserve"> lieto citas potenciālas </w:t>
      </w:r>
      <w:proofErr w:type="spellStart"/>
      <w:r w:rsidRPr="006B7DEB">
        <w:rPr>
          <w:sz w:val="22"/>
          <w:szCs w:val="22"/>
          <w:lang w:val="lv-LV"/>
        </w:rPr>
        <w:t>hepatotoksiskas</w:t>
      </w:r>
      <w:proofErr w:type="spellEnd"/>
      <w:r w:rsidRPr="006B7DEB">
        <w:rPr>
          <w:sz w:val="22"/>
          <w:szCs w:val="22"/>
          <w:lang w:val="lv-LV"/>
        </w:rPr>
        <w:t xml:space="preserve"> vai aknu </w:t>
      </w:r>
      <w:proofErr w:type="spellStart"/>
      <w:r w:rsidRPr="006B7DEB">
        <w:rPr>
          <w:sz w:val="22"/>
          <w:szCs w:val="22"/>
          <w:lang w:val="lv-LV"/>
        </w:rPr>
        <w:t>mikrosomālo</w:t>
      </w:r>
      <w:proofErr w:type="spellEnd"/>
      <w:r w:rsidRPr="006B7DEB">
        <w:rPr>
          <w:sz w:val="22"/>
          <w:szCs w:val="22"/>
          <w:lang w:val="lv-LV"/>
        </w:rPr>
        <w:t xml:space="preserve"> enzīmu indukciju izraisošas zāles.</w:t>
      </w:r>
    </w:p>
    <w:p w14:paraId="1095CB36" w14:textId="77777777" w:rsidR="00A8221D" w:rsidRPr="006B7DEB" w:rsidRDefault="00A8221D">
      <w:pPr>
        <w:rPr>
          <w:sz w:val="22"/>
          <w:szCs w:val="22"/>
          <w:lang w:val="lv-LV"/>
        </w:rPr>
      </w:pPr>
    </w:p>
    <w:p w14:paraId="5DA1A358" w14:textId="77777777" w:rsidR="007946E0" w:rsidRPr="006B7DEB" w:rsidRDefault="007946E0">
      <w:pPr>
        <w:rPr>
          <w:sz w:val="22"/>
          <w:szCs w:val="22"/>
          <w:lang w:val="lv-LV"/>
        </w:rPr>
      </w:pPr>
      <w:r w:rsidRPr="006B7DEB">
        <w:rPr>
          <w:sz w:val="22"/>
          <w:szCs w:val="22"/>
          <w:lang w:val="lv-LV"/>
        </w:rPr>
        <w:t>Vienlai</w:t>
      </w:r>
      <w:r w:rsidR="00A8221D" w:rsidRPr="006B7DEB">
        <w:rPr>
          <w:sz w:val="22"/>
          <w:szCs w:val="22"/>
          <w:lang w:val="lv-LV"/>
        </w:rPr>
        <w:t>cīga</w:t>
      </w:r>
      <w:r w:rsidRPr="006B7DEB">
        <w:rPr>
          <w:sz w:val="22"/>
          <w:szCs w:val="22"/>
          <w:lang w:val="lv-LV"/>
        </w:rPr>
        <w:t xml:space="preserve"> lietošana ar </w:t>
      </w:r>
      <w:proofErr w:type="spellStart"/>
      <w:r w:rsidRPr="006B7DEB">
        <w:rPr>
          <w:sz w:val="22"/>
          <w:szCs w:val="22"/>
          <w:lang w:val="lv-LV"/>
        </w:rPr>
        <w:t>probenecīdu</w:t>
      </w:r>
      <w:proofErr w:type="spellEnd"/>
      <w:r w:rsidRPr="006B7DEB">
        <w:rPr>
          <w:sz w:val="22"/>
          <w:szCs w:val="22"/>
          <w:lang w:val="lv-LV"/>
        </w:rPr>
        <w:t xml:space="preserve"> var ietekmēt </w:t>
      </w:r>
      <w:proofErr w:type="spellStart"/>
      <w:r w:rsidRPr="006B7DEB">
        <w:rPr>
          <w:sz w:val="22"/>
          <w:szCs w:val="22"/>
          <w:lang w:val="lv-LV"/>
        </w:rPr>
        <w:t>paracetamola</w:t>
      </w:r>
      <w:proofErr w:type="spellEnd"/>
      <w:r w:rsidRPr="006B7DEB">
        <w:rPr>
          <w:sz w:val="22"/>
          <w:szCs w:val="22"/>
          <w:lang w:val="lv-LV"/>
        </w:rPr>
        <w:t xml:space="preserve"> izvad</w:t>
      </w:r>
      <w:r w:rsidR="00A8221D" w:rsidRPr="006B7DEB">
        <w:rPr>
          <w:sz w:val="22"/>
          <w:szCs w:val="22"/>
          <w:lang w:val="lv-LV"/>
        </w:rPr>
        <w:t>īšanu</w:t>
      </w:r>
      <w:r w:rsidR="00230318" w:rsidRPr="006B7DEB">
        <w:rPr>
          <w:sz w:val="22"/>
          <w:szCs w:val="22"/>
          <w:lang w:val="lv-LV"/>
        </w:rPr>
        <w:t xml:space="preserve"> no organisma</w:t>
      </w:r>
      <w:r w:rsidRPr="006B7DEB">
        <w:rPr>
          <w:sz w:val="22"/>
          <w:szCs w:val="22"/>
          <w:lang w:val="lv-LV"/>
        </w:rPr>
        <w:t xml:space="preserve"> un tā koncentrāciju plazmā.</w:t>
      </w:r>
    </w:p>
    <w:p w14:paraId="1D0440CF" w14:textId="77777777" w:rsidR="00A8221D" w:rsidRPr="006B7DEB" w:rsidRDefault="00A8221D" w:rsidP="00152278">
      <w:pPr>
        <w:rPr>
          <w:sz w:val="22"/>
          <w:szCs w:val="22"/>
        </w:rPr>
      </w:pPr>
    </w:p>
    <w:p w14:paraId="473716DF" w14:textId="77777777" w:rsidR="007946E0" w:rsidRPr="006B7DEB" w:rsidRDefault="007946E0" w:rsidP="00152278">
      <w:pPr>
        <w:rPr>
          <w:sz w:val="22"/>
          <w:szCs w:val="22"/>
        </w:rPr>
      </w:pPr>
      <w:proofErr w:type="spellStart"/>
      <w:r w:rsidRPr="006B7DEB">
        <w:rPr>
          <w:sz w:val="22"/>
          <w:szCs w:val="22"/>
        </w:rPr>
        <w:t>Paracetamola</w:t>
      </w:r>
      <w:proofErr w:type="spellEnd"/>
      <w:r w:rsidRPr="006B7DEB">
        <w:rPr>
          <w:sz w:val="22"/>
          <w:szCs w:val="22"/>
        </w:rPr>
        <w:t xml:space="preserve"> </w:t>
      </w:r>
      <w:proofErr w:type="spellStart"/>
      <w:r w:rsidRPr="006B7DEB">
        <w:rPr>
          <w:sz w:val="22"/>
          <w:szCs w:val="22"/>
        </w:rPr>
        <w:t>ilgstoša</w:t>
      </w:r>
      <w:proofErr w:type="spellEnd"/>
      <w:r w:rsidRPr="006B7DEB">
        <w:rPr>
          <w:sz w:val="22"/>
          <w:szCs w:val="22"/>
        </w:rPr>
        <w:t xml:space="preserve"> </w:t>
      </w:r>
      <w:proofErr w:type="spellStart"/>
      <w:r w:rsidRPr="006B7DEB">
        <w:rPr>
          <w:sz w:val="22"/>
          <w:szCs w:val="22"/>
        </w:rPr>
        <w:t>lietošana</w:t>
      </w:r>
      <w:proofErr w:type="spellEnd"/>
      <w:r w:rsidRPr="006B7DEB">
        <w:rPr>
          <w:sz w:val="22"/>
          <w:szCs w:val="22"/>
        </w:rPr>
        <w:t xml:space="preserve"> </w:t>
      </w:r>
      <w:proofErr w:type="spellStart"/>
      <w:r w:rsidRPr="006B7DEB">
        <w:rPr>
          <w:sz w:val="22"/>
          <w:szCs w:val="22"/>
        </w:rPr>
        <w:t>pastiprina</w:t>
      </w:r>
      <w:proofErr w:type="spellEnd"/>
      <w:r w:rsidRPr="006B7DEB">
        <w:rPr>
          <w:sz w:val="22"/>
          <w:szCs w:val="22"/>
        </w:rPr>
        <w:t xml:space="preserve"> </w:t>
      </w:r>
      <w:proofErr w:type="spellStart"/>
      <w:r w:rsidRPr="006B7DEB">
        <w:rPr>
          <w:sz w:val="22"/>
          <w:szCs w:val="22"/>
        </w:rPr>
        <w:t>varfarīna</w:t>
      </w:r>
      <w:proofErr w:type="spellEnd"/>
      <w:r w:rsidRPr="006B7DEB">
        <w:rPr>
          <w:sz w:val="22"/>
          <w:szCs w:val="22"/>
        </w:rPr>
        <w:t xml:space="preserve"> un </w:t>
      </w:r>
      <w:proofErr w:type="spellStart"/>
      <w:r w:rsidRPr="006B7DEB">
        <w:rPr>
          <w:sz w:val="22"/>
          <w:szCs w:val="22"/>
        </w:rPr>
        <w:t>citu</w:t>
      </w:r>
      <w:proofErr w:type="spellEnd"/>
      <w:r w:rsidRPr="006B7DEB">
        <w:rPr>
          <w:sz w:val="22"/>
          <w:szCs w:val="22"/>
        </w:rPr>
        <w:t xml:space="preserve"> </w:t>
      </w:r>
      <w:proofErr w:type="spellStart"/>
      <w:r w:rsidRPr="006B7DEB">
        <w:rPr>
          <w:sz w:val="22"/>
          <w:szCs w:val="22"/>
        </w:rPr>
        <w:t>kumarīna</w:t>
      </w:r>
      <w:proofErr w:type="spellEnd"/>
      <w:r w:rsidRPr="006B7DEB">
        <w:rPr>
          <w:sz w:val="22"/>
          <w:szCs w:val="22"/>
        </w:rPr>
        <w:t xml:space="preserve"> </w:t>
      </w:r>
      <w:proofErr w:type="spellStart"/>
      <w:r w:rsidRPr="006B7DEB">
        <w:rPr>
          <w:sz w:val="22"/>
          <w:szCs w:val="22"/>
        </w:rPr>
        <w:t>atvasinājumu</w:t>
      </w:r>
      <w:proofErr w:type="spellEnd"/>
      <w:r w:rsidRPr="006B7DEB">
        <w:rPr>
          <w:sz w:val="22"/>
          <w:szCs w:val="22"/>
        </w:rPr>
        <w:t xml:space="preserve"> </w:t>
      </w:r>
      <w:proofErr w:type="spellStart"/>
      <w:r w:rsidRPr="006B7DEB">
        <w:rPr>
          <w:sz w:val="22"/>
          <w:szCs w:val="22"/>
        </w:rPr>
        <w:t>asinsreci</w:t>
      </w:r>
      <w:proofErr w:type="spellEnd"/>
      <w:r w:rsidRPr="006B7DEB">
        <w:rPr>
          <w:sz w:val="22"/>
          <w:szCs w:val="22"/>
        </w:rPr>
        <w:t xml:space="preserve"> </w:t>
      </w:r>
      <w:proofErr w:type="spellStart"/>
      <w:r w:rsidRPr="006B7DEB">
        <w:rPr>
          <w:sz w:val="22"/>
          <w:szCs w:val="22"/>
        </w:rPr>
        <w:t>kavējošo</w:t>
      </w:r>
      <w:proofErr w:type="spellEnd"/>
      <w:r w:rsidRPr="006B7DEB">
        <w:rPr>
          <w:sz w:val="22"/>
          <w:szCs w:val="22"/>
        </w:rPr>
        <w:t xml:space="preserve"> </w:t>
      </w:r>
      <w:proofErr w:type="spellStart"/>
      <w:r w:rsidRPr="006B7DEB">
        <w:rPr>
          <w:sz w:val="22"/>
          <w:szCs w:val="22"/>
        </w:rPr>
        <w:t>darbību</w:t>
      </w:r>
      <w:proofErr w:type="spellEnd"/>
      <w:r w:rsidRPr="006B7DEB">
        <w:rPr>
          <w:sz w:val="22"/>
          <w:szCs w:val="22"/>
        </w:rPr>
        <w:t xml:space="preserve">, </w:t>
      </w:r>
      <w:proofErr w:type="spellStart"/>
      <w:r w:rsidRPr="006B7DEB">
        <w:rPr>
          <w:sz w:val="22"/>
          <w:szCs w:val="22"/>
        </w:rPr>
        <w:t>tā</w:t>
      </w:r>
      <w:proofErr w:type="spellEnd"/>
      <w:r w:rsidRPr="006B7DEB">
        <w:rPr>
          <w:sz w:val="22"/>
          <w:szCs w:val="22"/>
        </w:rPr>
        <w:t xml:space="preserve"> </w:t>
      </w:r>
      <w:proofErr w:type="spellStart"/>
      <w:r w:rsidRPr="006B7DEB">
        <w:rPr>
          <w:sz w:val="22"/>
          <w:szCs w:val="22"/>
        </w:rPr>
        <w:t>palielinot</w:t>
      </w:r>
      <w:proofErr w:type="spellEnd"/>
      <w:r w:rsidRPr="006B7DEB">
        <w:rPr>
          <w:sz w:val="22"/>
          <w:szCs w:val="22"/>
        </w:rPr>
        <w:t xml:space="preserve"> </w:t>
      </w:r>
      <w:proofErr w:type="spellStart"/>
      <w:r w:rsidRPr="006B7DEB">
        <w:rPr>
          <w:sz w:val="22"/>
          <w:szCs w:val="22"/>
        </w:rPr>
        <w:t>asiņošanas</w:t>
      </w:r>
      <w:proofErr w:type="spellEnd"/>
      <w:r w:rsidRPr="006B7DEB">
        <w:rPr>
          <w:sz w:val="22"/>
          <w:szCs w:val="22"/>
        </w:rPr>
        <w:t xml:space="preserve"> </w:t>
      </w:r>
      <w:proofErr w:type="spellStart"/>
      <w:r w:rsidRPr="006B7DEB">
        <w:rPr>
          <w:sz w:val="22"/>
          <w:szCs w:val="22"/>
        </w:rPr>
        <w:t>risku</w:t>
      </w:r>
      <w:proofErr w:type="spellEnd"/>
      <w:r w:rsidRPr="006B7DEB">
        <w:rPr>
          <w:sz w:val="22"/>
          <w:szCs w:val="22"/>
        </w:rPr>
        <w:t xml:space="preserve">; </w:t>
      </w:r>
      <w:proofErr w:type="spellStart"/>
      <w:r w:rsidRPr="006B7DEB">
        <w:rPr>
          <w:sz w:val="22"/>
          <w:szCs w:val="22"/>
        </w:rPr>
        <w:t>lietojot</w:t>
      </w:r>
      <w:proofErr w:type="spellEnd"/>
      <w:r w:rsidRPr="006B7DEB">
        <w:rPr>
          <w:sz w:val="22"/>
          <w:szCs w:val="22"/>
        </w:rPr>
        <w:t xml:space="preserve"> </w:t>
      </w:r>
      <w:proofErr w:type="spellStart"/>
      <w:r w:rsidRPr="006B7DEB">
        <w:rPr>
          <w:sz w:val="22"/>
          <w:szCs w:val="22"/>
        </w:rPr>
        <w:t>paracetamolu</w:t>
      </w:r>
      <w:proofErr w:type="spellEnd"/>
      <w:r w:rsidRPr="006B7DEB">
        <w:rPr>
          <w:sz w:val="22"/>
          <w:szCs w:val="22"/>
        </w:rPr>
        <w:t xml:space="preserve"> </w:t>
      </w:r>
      <w:proofErr w:type="spellStart"/>
      <w:r w:rsidRPr="006B7DEB">
        <w:rPr>
          <w:sz w:val="22"/>
          <w:szCs w:val="22"/>
        </w:rPr>
        <w:t>īslaicīgi</w:t>
      </w:r>
      <w:proofErr w:type="spellEnd"/>
      <w:r w:rsidRPr="006B7DEB">
        <w:rPr>
          <w:sz w:val="22"/>
          <w:szCs w:val="22"/>
        </w:rPr>
        <w:t xml:space="preserve">, </w:t>
      </w:r>
      <w:proofErr w:type="spellStart"/>
      <w:r w:rsidRPr="006B7DEB">
        <w:rPr>
          <w:sz w:val="22"/>
          <w:szCs w:val="22"/>
        </w:rPr>
        <w:t>šāds</w:t>
      </w:r>
      <w:proofErr w:type="spellEnd"/>
      <w:r w:rsidRPr="006B7DEB">
        <w:rPr>
          <w:sz w:val="22"/>
          <w:szCs w:val="22"/>
        </w:rPr>
        <w:t xml:space="preserve"> </w:t>
      </w:r>
      <w:proofErr w:type="spellStart"/>
      <w:r w:rsidRPr="006B7DEB">
        <w:rPr>
          <w:sz w:val="22"/>
          <w:szCs w:val="22"/>
        </w:rPr>
        <w:t>efekts</w:t>
      </w:r>
      <w:proofErr w:type="spellEnd"/>
      <w:r w:rsidRPr="006B7DEB">
        <w:rPr>
          <w:sz w:val="22"/>
          <w:szCs w:val="22"/>
        </w:rPr>
        <w:t xml:space="preserve"> nav </w:t>
      </w:r>
      <w:proofErr w:type="spellStart"/>
      <w:r w:rsidRPr="006B7DEB">
        <w:rPr>
          <w:sz w:val="22"/>
          <w:szCs w:val="22"/>
        </w:rPr>
        <w:t>novērots</w:t>
      </w:r>
      <w:proofErr w:type="spellEnd"/>
      <w:r w:rsidRPr="006B7DEB">
        <w:rPr>
          <w:sz w:val="22"/>
          <w:szCs w:val="22"/>
        </w:rPr>
        <w:t>.</w:t>
      </w:r>
    </w:p>
    <w:p w14:paraId="27754267" w14:textId="77777777" w:rsidR="00532E2D" w:rsidRPr="006B7DEB" w:rsidRDefault="00532E2D">
      <w:pPr>
        <w:rPr>
          <w:sz w:val="22"/>
          <w:szCs w:val="22"/>
          <w:lang w:val="lv-LV"/>
        </w:rPr>
      </w:pPr>
    </w:p>
    <w:p w14:paraId="588137A4" w14:textId="77777777" w:rsidR="007946E0" w:rsidRPr="006B7DEB" w:rsidRDefault="007946E0">
      <w:pPr>
        <w:rPr>
          <w:sz w:val="22"/>
          <w:szCs w:val="22"/>
          <w:lang w:val="lv-LV"/>
        </w:rPr>
      </w:pPr>
      <w:r w:rsidRPr="006B7DEB">
        <w:rPr>
          <w:sz w:val="22"/>
          <w:szCs w:val="22"/>
          <w:lang w:val="lv-LV"/>
        </w:rPr>
        <w:t xml:space="preserve">Metoklopramīds un domperidons var paātrināt </w:t>
      </w:r>
      <w:proofErr w:type="spellStart"/>
      <w:r w:rsidRPr="006B7DEB">
        <w:rPr>
          <w:sz w:val="22"/>
          <w:szCs w:val="22"/>
          <w:lang w:val="lv-LV"/>
        </w:rPr>
        <w:t>paracetamola</w:t>
      </w:r>
      <w:proofErr w:type="spellEnd"/>
      <w:r w:rsidRPr="006B7DEB">
        <w:rPr>
          <w:sz w:val="22"/>
          <w:szCs w:val="22"/>
          <w:lang w:val="lv-LV"/>
        </w:rPr>
        <w:t xml:space="preserve"> uzsūkšanos.</w:t>
      </w:r>
    </w:p>
    <w:p w14:paraId="704080B1" w14:textId="77777777" w:rsidR="00532E2D" w:rsidRPr="006B7DEB" w:rsidRDefault="00532E2D">
      <w:pPr>
        <w:rPr>
          <w:sz w:val="22"/>
          <w:szCs w:val="22"/>
          <w:lang w:val="lv-LV"/>
        </w:rPr>
      </w:pPr>
    </w:p>
    <w:p w14:paraId="7595F8A3" w14:textId="77777777" w:rsidR="007946E0" w:rsidRPr="006B7DEB" w:rsidRDefault="007946E0">
      <w:pPr>
        <w:rPr>
          <w:sz w:val="22"/>
          <w:szCs w:val="22"/>
          <w:lang w:val="lv-LV"/>
        </w:rPr>
      </w:pPr>
      <w:proofErr w:type="spellStart"/>
      <w:r w:rsidRPr="006B7DEB">
        <w:rPr>
          <w:sz w:val="22"/>
          <w:szCs w:val="22"/>
          <w:lang w:val="lv-LV"/>
        </w:rPr>
        <w:t>Holestiramīns</w:t>
      </w:r>
      <w:proofErr w:type="spellEnd"/>
      <w:r w:rsidRPr="006B7DEB">
        <w:rPr>
          <w:sz w:val="22"/>
          <w:szCs w:val="22"/>
          <w:lang w:val="lv-LV"/>
        </w:rPr>
        <w:t xml:space="preserve"> kavē </w:t>
      </w:r>
      <w:proofErr w:type="spellStart"/>
      <w:r w:rsidRPr="006B7DEB">
        <w:rPr>
          <w:sz w:val="22"/>
          <w:szCs w:val="22"/>
          <w:lang w:val="lv-LV"/>
        </w:rPr>
        <w:t>paracetamola</w:t>
      </w:r>
      <w:proofErr w:type="spellEnd"/>
      <w:r w:rsidRPr="006B7DEB">
        <w:rPr>
          <w:sz w:val="22"/>
          <w:szCs w:val="22"/>
          <w:lang w:val="lv-LV"/>
        </w:rPr>
        <w:t xml:space="preserve"> uzsūkš</w:t>
      </w:r>
      <w:r w:rsidR="00682868" w:rsidRPr="006B7DEB">
        <w:rPr>
          <w:sz w:val="22"/>
          <w:szCs w:val="22"/>
          <w:lang w:val="lv-LV"/>
        </w:rPr>
        <w:t xml:space="preserve">anos, ja </w:t>
      </w:r>
      <w:proofErr w:type="spellStart"/>
      <w:r w:rsidR="00682868" w:rsidRPr="006B7DEB">
        <w:rPr>
          <w:sz w:val="22"/>
          <w:szCs w:val="22"/>
          <w:lang w:val="lv-LV"/>
        </w:rPr>
        <w:t>paracetamol</w:t>
      </w:r>
      <w:r w:rsidR="00532E2D" w:rsidRPr="006B7DEB">
        <w:rPr>
          <w:sz w:val="22"/>
          <w:szCs w:val="22"/>
          <w:lang w:val="lv-LV"/>
        </w:rPr>
        <w:t>u</w:t>
      </w:r>
      <w:proofErr w:type="spellEnd"/>
      <w:r w:rsidR="00682868" w:rsidRPr="006B7DEB">
        <w:rPr>
          <w:sz w:val="22"/>
          <w:szCs w:val="22"/>
          <w:lang w:val="lv-LV"/>
        </w:rPr>
        <w:t xml:space="preserve"> lieto </w:t>
      </w:r>
      <w:r w:rsidR="00532E2D" w:rsidRPr="006B7DEB">
        <w:rPr>
          <w:sz w:val="22"/>
          <w:szCs w:val="22"/>
          <w:lang w:val="lv-LV"/>
        </w:rPr>
        <w:t xml:space="preserve">vienu </w:t>
      </w:r>
      <w:r w:rsidRPr="006B7DEB">
        <w:rPr>
          <w:sz w:val="22"/>
          <w:szCs w:val="22"/>
          <w:lang w:val="lv-LV"/>
        </w:rPr>
        <w:t>stundu pirms vai pēc tā lietošanas.</w:t>
      </w:r>
    </w:p>
    <w:p w14:paraId="15708C9D" w14:textId="77777777" w:rsidR="00532E2D" w:rsidRPr="006B7DEB" w:rsidRDefault="00532E2D">
      <w:pPr>
        <w:rPr>
          <w:sz w:val="22"/>
          <w:szCs w:val="22"/>
          <w:lang w:val="lv-LV"/>
        </w:rPr>
      </w:pPr>
    </w:p>
    <w:p w14:paraId="19CF1F35" w14:textId="2F138643" w:rsidR="007946E0" w:rsidRPr="006B7DEB" w:rsidRDefault="007946E0">
      <w:pPr>
        <w:rPr>
          <w:sz w:val="22"/>
          <w:szCs w:val="22"/>
          <w:lang w:val="lv-LV"/>
        </w:rPr>
      </w:pPr>
      <w:proofErr w:type="spellStart"/>
      <w:r w:rsidRPr="006B7DEB">
        <w:rPr>
          <w:sz w:val="22"/>
          <w:szCs w:val="22"/>
          <w:lang w:val="lv-LV"/>
        </w:rPr>
        <w:t>Imatinib</w:t>
      </w:r>
      <w:r w:rsidR="00C3569B" w:rsidRPr="006B7DEB">
        <w:rPr>
          <w:sz w:val="22"/>
          <w:szCs w:val="22"/>
          <w:lang w:val="lv-LV"/>
        </w:rPr>
        <w:t>u</w:t>
      </w:r>
      <w:proofErr w:type="spellEnd"/>
      <w:r w:rsidR="00C3569B" w:rsidRPr="006B7DEB">
        <w:rPr>
          <w:sz w:val="22"/>
          <w:szCs w:val="22"/>
          <w:lang w:val="lv-LV"/>
        </w:rPr>
        <w:t xml:space="preserve"> saturošo zāļu</w:t>
      </w:r>
      <w:r w:rsidRPr="006B7DEB">
        <w:rPr>
          <w:sz w:val="22"/>
          <w:szCs w:val="22"/>
          <w:lang w:val="lv-LV"/>
        </w:rPr>
        <w:t xml:space="preserve"> ražotājs neiesaka lietot šīs zāles vienlai</w:t>
      </w:r>
      <w:r w:rsidR="00FD6CB6" w:rsidRPr="006B7DEB">
        <w:rPr>
          <w:sz w:val="22"/>
          <w:szCs w:val="22"/>
          <w:lang w:val="lv-LV"/>
        </w:rPr>
        <w:t>cīgi</w:t>
      </w:r>
      <w:r w:rsidRPr="006B7DEB">
        <w:rPr>
          <w:sz w:val="22"/>
          <w:szCs w:val="22"/>
          <w:lang w:val="lv-LV"/>
        </w:rPr>
        <w:t xml:space="preserve"> ar </w:t>
      </w:r>
      <w:proofErr w:type="spellStart"/>
      <w:r w:rsidRPr="006B7DEB">
        <w:rPr>
          <w:sz w:val="22"/>
          <w:szCs w:val="22"/>
          <w:lang w:val="lv-LV"/>
        </w:rPr>
        <w:t>paracetamolu</w:t>
      </w:r>
      <w:proofErr w:type="spellEnd"/>
      <w:r w:rsidRPr="006B7DEB">
        <w:rPr>
          <w:sz w:val="22"/>
          <w:szCs w:val="22"/>
          <w:lang w:val="lv-LV"/>
        </w:rPr>
        <w:t>.</w:t>
      </w:r>
    </w:p>
    <w:p w14:paraId="1B12964E" w14:textId="331CF046" w:rsidR="00441CA9" w:rsidRPr="006B7DEB" w:rsidRDefault="00441CA9">
      <w:pPr>
        <w:rPr>
          <w:sz w:val="22"/>
          <w:szCs w:val="22"/>
          <w:lang w:val="lv-LV"/>
        </w:rPr>
      </w:pPr>
    </w:p>
    <w:p w14:paraId="783A8145" w14:textId="545D4091" w:rsidR="00441CA9" w:rsidRPr="006B7DEB" w:rsidRDefault="00441CA9">
      <w:pPr>
        <w:rPr>
          <w:b/>
          <w:sz w:val="22"/>
          <w:szCs w:val="22"/>
          <w:lang w:val="lv-LV"/>
        </w:rPr>
      </w:pPr>
      <w:r w:rsidRPr="006B7DEB">
        <w:rPr>
          <w:sz w:val="22"/>
          <w:szCs w:val="22"/>
          <w:lang w:val="lv-LV"/>
        </w:rPr>
        <w:t xml:space="preserve">Jāievēro piesardzība, lietojot </w:t>
      </w:r>
      <w:proofErr w:type="spellStart"/>
      <w:r w:rsidRPr="006B7DEB">
        <w:rPr>
          <w:sz w:val="22"/>
          <w:szCs w:val="22"/>
          <w:lang w:val="lv-LV"/>
        </w:rPr>
        <w:t>paracetamolu</w:t>
      </w:r>
      <w:proofErr w:type="spellEnd"/>
      <w:r w:rsidRPr="006B7DEB">
        <w:rPr>
          <w:sz w:val="22"/>
          <w:szCs w:val="22"/>
          <w:lang w:val="lv-LV"/>
        </w:rPr>
        <w:t xml:space="preserve"> vienlaicīgi ar </w:t>
      </w:r>
      <w:proofErr w:type="spellStart"/>
      <w:r w:rsidRPr="006B7DEB">
        <w:rPr>
          <w:sz w:val="22"/>
          <w:szCs w:val="22"/>
          <w:lang w:val="lv-LV"/>
        </w:rPr>
        <w:t>flukloksacilīnu</w:t>
      </w:r>
      <w:proofErr w:type="spellEnd"/>
      <w:r w:rsidRPr="006B7DEB">
        <w:rPr>
          <w:sz w:val="22"/>
          <w:szCs w:val="22"/>
          <w:lang w:val="lv-LV"/>
        </w:rPr>
        <w:t xml:space="preserve">, jo vienlaicīga šo zāļu lietošana ir saistīta ar </w:t>
      </w:r>
      <w:proofErr w:type="spellStart"/>
      <w:r w:rsidRPr="006B7DEB">
        <w:rPr>
          <w:sz w:val="22"/>
          <w:szCs w:val="22"/>
          <w:lang w:val="lv-LV"/>
        </w:rPr>
        <w:t>metabolo</w:t>
      </w:r>
      <w:proofErr w:type="spellEnd"/>
      <w:r w:rsidRPr="006B7DEB">
        <w:rPr>
          <w:sz w:val="22"/>
          <w:szCs w:val="22"/>
          <w:lang w:val="lv-LV"/>
        </w:rPr>
        <w:t xml:space="preserve"> acidozi ar lielu anjonu starpību, īpaši pacientiem ar riska faktoriem (skatīt 4.4. apakšpunktu).</w:t>
      </w:r>
    </w:p>
    <w:p w14:paraId="39ECE243" w14:textId="77777777" w:rsidR="007946E0" w:rsidRPr="006B7DEB" w:rsidRDefault="007946E0" w:rsidP="000E07C1">
      <w:pPr>
        <w:rPr>
          <w:sz w:val="22"/>
          <w:szCs w:val="22"/>
          <w:lang w:val="lv-LV"/>
        </w:rPr>
      </w:pPr>
    </w:p>
    <w:p w14:paraId="4FB0EC0C" w14:textId="77777777" w:rsidR="007946E0" w:rsidRPr="006B7DEB" w:rsidRDefault="00F32227" w:rsidP="000E07C1">
      <w:pPr>
        <w:rPr>
          <w:b/>
          <w:sz w:val="22"/>
          <w:szCs w:val="22"/>
          <w:lang w:val="lv-LV"/>
        </w:rPr>
      </w:pPr>
      <w:r w:rsidRPr="006B7DEB">
        <w:rPr>
          <w:b/>
          <w:sz w:val="22"/>
          <w:szCs w:val="22"/>
          <w:lang w:val="lv-LV"/>
        </w:rPr>
        <w:t>4.6</w:t>
      </w:r>
      <w:r w:rsidR="00682868" w:rsidRPr="006B7DEB">
        <w:rPr>
          <w:b/>
          <w:sz w:val="22"/>
          <w:szCs w:val="22"/>
          <w:lang w:val="lv-LV"/>
        </w:rPr>
        <w:t>.</w:t>
      </w:r>
      <w:r w:rsidRPr="006B7DEB">
        <w:rPr>
          <w:b/>
          <w:sz w:val="22"/>
          <w:szCs w:val="22"/>
          <w:lang w:val="lv-LV"/>
        </w:rPr>
        <w:tab/>
      </w:r>
      <w:proofErr w:type="spellStart"/>
      <w:r w:rsidR="00B05125" w:rsidRPr="006B7DEB">
        <w:rPr>
          <w:b/>
          <w:sz w:val="22"/>
          <w:szCs w:val="22"/>
          <w:lang w:val="lv-LV"/>
        </w:rPr>
        <w:t>Fertilitāte</w:t>
      </w:r>
      <w:proofErr w:type="spellEnd"/>
      <w:r w:rsidR="00B05125" w:rsidRPr="006B7DEB">
        <w:rPr>
          <w:b/>
          <w:sz w:val="22"/>
          <w:szCs w:val="22"/>
          <w:lang w:val="lv-LV"/>
        </w:rPr>
        <w:t>, g</w:t>
      </w:r>
      <w:r w:rsidR="007946E0" w:rsidRPr="006B7DEB">
        <w:rPr>
          <w:b/>
          <w:sz w:val="22"/>
          <w:szCs w:val="22"/>
          <w:lang w:val="lv-LV"/>
        </w:rPr>
        <w:t xml:space="preserve">rūtniecība un </w:t>
      </w:r>
      <w:r w:rsidR="00D4586F" w:rsidRPr="006B7DEB">
        <w:rPr>
          <w:b/>
          <w:sz w:val="22"/>
          <w:szCs w:val="22"/>
          <w:lang w:val="lv-LV"/>
        </w:rPr>
        <w:t>barošana ar krūti</w:t>
      </w:r>
    </w:p>
    <w:p w14:paraId="515C5BAE" w14:textId="77777777" w:rsidR="00F32227" w:rsidRPr="006B7DEB" w:rsidRDefault="00F32227" w:rsidP="000E07C1">
      <w:pPr>
        <w:rPr>
          <w:sz w:val="22"/>
          <w:szCs w:val="22"/>
          <w:lang w:val="lv-LV"/>
        </w:rPr>
      </w:pPr>
    </w:p>
    <w:p w14:paraId="5F35FB73" w14:textId="77777777" w:rsidR="00F64587" w:rsidRPr="006B7DEB" w:rsidRDefault="00F64587" w:rsidP="000E07C1">
      <w:pPr>
        <w:rPr>
          <w:sz w:val="22"/>
          <w:szCs w:val="22"/>
          <w:u w:val="single"/>
          <w:lang w:val="lv-LV"/>
        </w:rPr>
      </w:pPr>
      <w:r w:rsidRPr="006B7DEB">
        <w:rPr>
          <w:sz w:val="22"/>
          <w:szCs w:val="22"/>
          <w:u w:val="single"/>
          <w:lang w:val="lv-LV"/>
        </w:rPr>
        <w:t>Grūtniecība</w:t>
      </w:r>
    </w:p>
    <w:p w14:paraId="34FC516E" w14:textId="77777777" w:rsidR="00B96952" w:rsidRPr="006B7DEB" w:rsidRDefault="0074022B" w:rsidP="000E07C1">
      <w:pPr>
        <w:rPr>
          <w:sz w:val="22"/>
          <w:szCs w:val="22"/>
          <w:lang w:val="lv-LV"/>
        </w:rPr>
      </w:pPr>
      <w:r w:rsidRPr="006B7DEB">
        <w:rPr>
          <w:sz w:val="22"/>
          <w:szCs w:val="22"/>
          <w:lang w:val="lv-LV"/>
        </w:rPr>
        <w:t xml:space="preserve">Liels daudzums datu par grūtniecēm neliecina ne par anomālijas izraisošu iedarbību, ne toksisku ietekmi uz augli/jaundzimušo. Epidemioloģisko pētījumu rezultāti par neiroloģisko attīstību bērniem, kuri </w:t>
      </w:r>
      <w:proofErr w:type="spellStart"/>
      <w:r w:rsidRPr="006B7DEB">
        <w:rPr>
          <w:i/>
          <w:sz w:val="22"/>
          <w:szCs w:val="22"/>
          <w:lang w:val="lv-LV"/>
        </w:rPr>
        <w:t>in</w:t>
      </w:r>
      <w:proofErr w:type="spellEnd"/>
      <w:r w:rsidRPr="006B7DEB">
        <w:rPr>
          <w:i/>
          <w:sz w:val="22"/>
          <w:szCs w:val="22"/>
          <w:lang w:val="lv-LV"/>
        </w:rPr>
        <w:t xml:space="preserve"> </w:t>
      </w:r>
      <w:proofErr w:type="spellStart"/>
      <w:r w:rsidRPr="006B7DEB">
        <w:rPr>
          <w:i/>
          <w:sz w:val="22"/>
          <w:szCs w:val="22"/>
          <w:lang w:val="lv-LV"/>
        </w:rPr>
        <w:t>utero</w:t>
      </w:r>
      <w:proofErr w:type="spellEnd"/>
      <w:r w:rsidRPr="006B7DEB">
        <w:rPr>
          <w:sz w:val="22"/>
          <w:szCs w:val="22"/>
          <w:lang w:val="lv-LV"/>
        </w:rPr>
        <w:t xml:space="preserve"> pakļauti </w:t>
      </w:r>
      <w:proofErr w:type="spellStart"/>
      <w:r w:rsidRPr="006B7DEB">
        <w:rPr>
          <w:sz w:val="22"/>
          <w:szCs w:val="22"/>
          <w:lang w:val="lv-LV"/>
        </w:rPr>
        <w:t>paracetamola</w:t>
      </w:r>
      <w:proofErr w:type="spellEnd"/>
      <w:r w:rsidRPr="006B7DEB">
        <w:rPr>
          <w:sz w:val="22"/>
          <w:szCs w:val="22"/>
          <w:lang w:val="lv-LV"/>
        </w:rPr>
        <w:t xml:space="preserve"> iedarbībai, nav viennozīmīgi. Ja klīniski nepieciešams, </w:t>
      </w:r>
      <w:proofErr w:type="spellStart"/>
      <w:r w:rsidRPr="006B7DEB">
        <w:rPr>
          <w:sz w:val="22"/>
          <w:szCs w:val="22"/>
          <w:lang w:val="lv-LV"/>
        </w:rPr>
        <w:t>paracetamolu</w:t>
      </w:r>
      <w:proofErr w:type="spellEnd"/>
      <w:r w:rsidRPr="006B7DEB">
        <w:rPr>
          <w:sz w:val="22"/>
          <w:szCs w:val="22"/>
          <w:lang w:val="lv-LV"/>
        </w:rPr>
        <w:t xml:space="preserve"> var lietot grūtniecības laikā, taču jālieto mazākā efektīvā deva iespējami īsāku</w:t>
      </w:r>
      <w:r w:rsidR="009603A8" w:rsidRPr="006B7DEB">
        <w:rPr>
          <w:sz w:val="22"/>
          <w:szCs w:val="22"/>
          <w:lang w:val="lv-LV"/>
        </w:rPr>
        <w:t xml:space="preserve"> laika periodu</w:t>
      </w:r>
      <w:r w:rsidRPr="006B7DEB">
        <w:rPr>
          <w:sz w:val="22"/>
          <w:szCs w:val="22"/>
          <w:lang w:val="lv-LV"/>
        </w:rPr>
        <w:t xml:space="preserve"> un iespējami retāk</w:t>
      </w:r>
      <w:r w:rsidR="007946E0" w:rsidRPr="006B7DEB">
        <w:rPr>
          <w:sz w:val="22"/>
          <w:szCs w:val="22"/>
          <w:lang w:val="lv-LV"/>
        </w:rPr>
        <w:t>.</w:t>
      </w:r>
    </w:p>
    <w:p w14:paraId="4ECCBCF4" w14:textId="77777777" w:rsidR="00B96952" w:rsidRPr="006B7DEB" w:rsidRDefault="00B96952" w:rsidP="000E07C1">
      <w:pPr>
        <w:rPr>
          <w:sz w:val="22"/>
          <w:szCs w:val="22"/>
          <w:lang w:val="lv-LV"/>
        </w:rPr>
      </w:pPr>
    </w:p>
    <w:p w14:paraId="1F79CE3C" w14:textId="77777777" w:rsidR="00F64587" w:rsidRPr="006B7DEB" w:rsidRDefault="00F64587" w:rsidP="000E07C1">
      <w:pPr>
        <w:rPr>
          <w:sz w:val="22"/>
          <w:szCs w:val="22"/>
          <w:u w:val="single"/>
          <w:lang w:val="lv-LV"/>
        </w:rPr>
      </w:pPr>
      <w:r w:rsidRPr="006B7DEB">
        <w:rPr>
          <w:sz w:val="22"/>
          <w:szCs w:val="22"/>
          <w:u w:val="single"/>
          <w:lang w:val="lv-LV"/>
        </w:rPr>
        <w:t>Barošana ar krūti</w:t>
      </w:r>
    </w:p>
    <w:p w14:paraId="7CB38AAA" w14:textId="7C8AB222" w:rsidR="00784EE2" w:rsidRPr="00784EE2" w:rsidRDefault="007946E0" w:rsidP="00784EE2">
      <w:pPr>
        <w:rPr>
          <w:sz w:val="22"/>
          <w:szCs w:val="22"/>
          <w:lang w:val="lv-LV"/>
        </w:rPr>
      </w:pPr>
      <w:proofErr w:type="spellStart"/>
      <w:r w:rsidRPr="006B7DEB">
        <w:rPr>
          <w:sz w:val="22"/>
          <w:szCs w:val="22"/>
          <w:lang w:val="lv-LV"/>
        </w:rPr>
        <w:t>Paracetamols</w:t>
      </w:r>
      <w:proofErr w:type="spellEnd"/>
      <w:r w:rsidRPr="006B7DEB">
        <w:rPr>
          <w:sz w:val="22"/>
          <w:szCs w:val="22"/>
          <w:lang w:val="lv-LV"/>
        </w:rPr>
        <w:t xml:space="preserve"> izdalās mātes pien</w:t>
      </w:r>
      <w:r w:rsidR="00137584" w:rsidRPr="006B7DEB">
        <w:rPr>
          <w:sz w:val="22"/>
          <w:szCs w:val="22"/>
          <w:lang w:val="lv-LV"/>
        </w:rPr>
        <w:t>ā</w:t>
      </w:r>
      <w:r w:rsidRPr="006B7DEB">
        <w:rPr>
          <w:sz w:val="22"/>
          <w:szCs w:val="22"/>
          <w:lang w:val="lv-LV"/>
        </w:rPr>
        <w:t xml:space="preserve">, </w:t>
      </w:r>
      <w:r w:rsidR="006D02C1" w:rsidRPr="006B7DEB">
        <w:rPr>
          <w:sz w:val="22"/>
          <w:szCs w:val="22"/>
          <w:lang w:val="lv-LV"/>
        </w:rPr>
        <w:t>taču</w:t>
      </w:r>
      <w:r w:rsidRPr="006B7DEB">
        <w:rPr>
          <w:sz w:val="22"/>
          <w:szCs w:val="22"/>
          <w:lang w:val="lv-LV"/>
        </w:rPr>
        <w:t xml:space="preserve"> tā daudzums pienā nav klīniski nozīmīgs. Pamato</w:t>
      </w:r>
      <w:r w:rsidR="00134D98" w:rsidRPr="006B7DEB">
        <w:rPr>
          <w:sz w:val="22"/>
          <w:szCs w:val="22"/>
          <w:lang w:val="lv-LV"/>
        </w:rPr>
        <w:t xml:space="preserve">joties uz esošajiem datiem, šīs </w:t>
      </w:r>
      <w:r w:rsidRPr="006B7DEB">
        <w:rPr>
          <w:sz w:val="22"/>
          <w:szCs w:val="22"/>
          <w:lang w:val="lv-LV"/>
        </w:rPr>
        <w:t xml:space="preserve">zāles nav </w:t>
      </w:r>
      <w:proofErr w:type="spellStart"/>
      <w:r w:rsidRPr="006B7DEB">
        <w:rPr>
          <w:sz w:val="22"/>
          <w:szCs w:val="22"/>
          <w:lang w:val="lv-LV"/>
        </w:rPr>
        <w:t>kontrindicētas</w:t>
      </w:r>
      <w:proofErr w:type="spellEnd"/>
      <w:r w:rsidR="00134D98" w:rsidRPr="006B7DEB">
        <w:rPr>
          <w:sz w:val="22"/>
          <w:szCs w:val="22"/>
          <w:lang w:val="lv-LV"/>
        </w:rPr>
        <w:t xml:space="preserve"> mātēm, kuras baro bērnu ar krūti</w:t>
      </w:r>
      <w:r w:rsidRPr="006B7DEB">
        <w:rPr>
          <w:sz w:val="22"/>
          <w:szCs w:val="22"/>
          <w:lang w:val="lv-LV"/>
        </w:rPr>
        <w:t>.</w:t>
      </w:r>
    </w:p>
    <w:p w14:paraId="4AFE3447" w14:textId="4D883058" w:rsidR="007946E0" w:rsidRPr="006B7DEB" w:rsidRDefault="00F32227" w:rsidP="000E07C1">
      <w:pPr>
        <w:rPr>
          <w:b/>
          <w:sz w:val="22"/>
          <w:szCs w:val="22"/>
          <w:lang w:val="lv-LV"/>
        </w:rPr>
      </w:pPr>
      <w:r w:rsidRPr="006B7DEB">
        <w:rPr>
          <w:b/>
          <w:sz w:val="22"/>
          <w:szCs w:val="22"/>
          <w:lang w:val="lv-LV"/>
        </w:rPr>
        <w:lastRenderedPageBreak/>
        <w:t>4.7</w:t>
      </w:r>
      <w:r w:rsidR="00682868" w:rsidRPr="006B7DEB">
        <w:rPr>
          <w:b/>
          <w:sz w:val="22"/>
          <w:szCs w:val="22"/>
          <w:lang w:val="lv-LV"/>
        </w:rPr>
        <w:t>.</w:t>
      </w:r>
      <w:r w:rsidRPr="006B7DEB">
        <w:rPr>
          <w:b/>
          <w:sz w:val="22"/>
          <w:szCs w:val="22"/>
          <w:lang w:val="lv-LV"/>
        </w:rPr>
        <w:tab/>
      </w:r>
      <w:r w:rsidR="007946E0" w:rsidRPr="006B7DEB">
        <w:rPr>
          <w:b/>
          <w:sz w:val="22"/>
          <w:szCs w:val="22"/>
          <w:lang w:val="lv-LV"/>
        </w:rPr>
        <w:t>Ietekme uz spēju vadīt transportlīdzekļus un apkalpot mehānismus</w:t>
      </w:r>
    </w:p>
    <w:p w14:paraId="15287618" w14:textId="77777777" w:rsidR="00F32227" w:rsidRPr="006B7DEB" w:rsidRDefault="00F32227" w:rsidP="000E07C1">
      <w:pPr>
        <w:rPr>
          <w:sz w:val="22"/>
          <w:szCs w:val="22"/>
          <w:lang w:val="lv-LV"/>
        </w:rPr>
      </w:pPr>
    </w:p>
    <w:p w14:paraId="4C472938" w14:textId="77777777" w:rsidR="007946E0" w:rsidRPr="006B7DEB" w:rsidRDefault="00157643" w:rsidP="000E07C1">
      <w:pPr>
        <w:rPr>
          <w:sz w:val="22"/>
          <w:szCs w:val="22"/>
          <w:lang w:val="lv-LV"/>
        </w:rPr>
      </w:pPr>
      <w:proofErr w:type="spellStart"/>
      <w:r w:rsidRPr="006B7DEB">
        <w:rPr>
          <w:sz w:val="22"/>
          <w:szCs w:val="22"/>
          <w:lang w:val="lv-LV"/>
        </w:rPr>
        <w:t>Paracetamol</w:t>
      </w:r>
      <w:proofErr w:type="spellEnd"/>
      <w:r w:rsidRPr="006B7DEB">
        <w:rPr>
          <w:sz w:val="22"/>
          <w:szCs w:val="22"/>
          <w:lang w:val="lv-LV"/>
        </w:rPr>
        <w:noBreakHyphen/>
      </w:r>
      <w:r w:rsidR="00EB5F07" w:rsidRPr="006B7DEB">
        <w:rPr>
          <w:sz w:val="22"/>
          <w:szCs w:val="22"/>
          <w:lang w:val="lv-LV"/>
        </w:rPr>
        <w:t>Grindeks neietekmē spēju vadīt transportlīdzekļus un apkalpot mehānismus.</w:t>
      </w:r>
    </w:p>
    <w:p w14:paraId="61053384" w14:textId="77777777" w:rsidR="007946E0" w:rsidRPr="006B7DEB" w:rsidRDefault="007946E0" w:rsidP="000E07C1">
      <w:pPr>
        <w:rPr>
          <w:sz w:val="22"/>
          <w:szCs w:val="22"/>
          <w:lang w:val="lv-LV"/>
        </w:rPr>
      </w:pPr>
    </w:p>
    <w:p w14:paraId="1F96378E" w14:textId="77777777" w:rsidR="007946E0" w:rsidRPr="006B7DEB" w:rsidRDefault="00F32227" w:rsidP="000E07C1">
      <w:pPr>
        <w:rPr>
          <w:b/>
          <w:sz w:val="22"/>
          <w:szCs w:val="22"/>
          <w:lang w:val="lv-LV"/>
        </w:rPr>
      </w:pPr>
      <w:r w:rsidRPr="006B7DEB">
        <w:rPr>
          <w:b/>
          <w:sz w:val="22"/>
          <w:szCs w:val="22"/>
          <w:lang w:val="lv-LV"/>
        </w:rPr>
        <w:t>4.8</w:t>
      </w:r>
      <w:r w:rsidR="00682868" w:rsidRPr="006B7DEB">
        <w:rPr>
          <w:b/>
          <w:sz w:val="22"/>
          <w:szCs w:val="22"/>
          <w:lang w:val="lv-LV"/>
        </w:rPr>
        <w:t>.</w:t>
      </w:r>
      <w:r w:rsidRPr="006B7DEB">
        <w:rPr>
          <w:b/>
          <w:sz w:val="22"/>
          <w:szCs w:val="22"/>
          <w:lang w:val="lv-LV"/>
        </w:rPr>
        <w:tab/>
      </w:r>
      <w:r w:rsidR="007946E0" w:rsidRPr="006B7DEB">
        <w:rPr>
          <w:b/>
          <w:sz w:val="22"/>
          <w:szCs w:val="22"/>
          <w:lang w:val="lv-LV"/>
        </w:rPr>
        <w:t>Nevēlamās blakusparādības</w:t>
      </w:r>
    </w:p>
    <w:p w14:paraId="60DE0BF0" w14:textId="77777777" w:rsidR="00F32227" w:rsidRPr="006B7DEB" w:rsidRDefault="00F32227" w:rsidP="000E07C1">
      <w:pPr>
        <w:rPr>
          <w:sz w:val="22"/>
          <w:szCs w:val="22"/>
          <w:lang w:val="lv-LV"/>
        </w:rPr>
      </w:pPr>
    </w:p>
    <w:p w14:paraId="417CEFB9" w14:textId="77777777" w:rsidR="007946E0" w:rsidRPr="006B7DEB" w:rsidRDefault="007946E0" w:rsidP="000E07C1">
      <w:pPr>
        <w:rPr>
          <w:sz w:val="22"/>
          <w:szCs w:val="22"/>
          <w:lang w:val="lv-LV"/>
        </w:rPr>
      </w:pPr>
      <w:r w:rsidRPr="006B7DEB">
        <w:rPr>
          <w:sz w:val="22"/>
          <w:szCs w:val="22"/>
          <w:lang w:val="lv-LV"/>
        </w:rPr>
        <w:t xml:space="preserve">Lietojot </w:t>
      </w:r>
      <w:proofErr w:type="spellStart"/>
      <w:r w:rsidRPr="006B7DEB">
        <w:rPr>
          <w:sz w:val="22"/>
          <w:szCs w:val="22"/>
          <w:lang w:val="lv-LV"/>
        </w:rPr>
        <w:t>paracetamolu</w:t>
      </w:r>
      <w:proofErr w:type="spellEnd"/>
      <w:r w:rsidRPr="006B7DEB">
        <w:rPr>
          <w:sz w:val="22"/>
          <w:szCs w:val="22"/>
          <w:lang w:val="lv-LV"/>
        </w:rPr>
        <w:t xml:space="preserve"> terapeitiskās devās, blakusparādība</w:t>
      </w:r>
      <w:r w:rsidR="00EB116A" w:rsidRPr="006B7DEB">
        <w:rPr>
          <w:sz w:val="22"/>
          <w:szCs w:val="22"/>
          <w:lang w:val="lv-LV"/>
        </w:rPr>
        <w:t>s rodas reti</w:t>
      </w:r>
      <w:r w:rsidR="00EE6657" w:rsidRPr="006B7DEB">
        <w:rPr>
          <w:sz w:val="22"/>
          <w:szCs w:val="22"/>
          <w:lang w:val="lv-LV"/>
        </w:rPr>
        <w:t>,</w:t>
      </w:r>
      <w:r w:rsidR="00EB116A" w:rsidRPr="006B7DEB">
        <w:rPr>
          <w:sz w:val="22"/>
          <w:szCs w:val="22"/>
          <w:lang w:val="lv-LV"/>
        </w:rPr>
        <w:t xml:space="preserve"> un parasti tās nav </w:t>
      </w:r>
      <w:r w:rsidRPr="006B7DEB">
        <w:rPr>
          <w:sz w:val="22"/>
          <w:szCs w:val="22"/>
          <w:lang w:val="lv-LV"/>
        </w:rPr>
        <w:t>smagas.</w:t>
      </w:r>
      <w:r w:rsidR="00F855A2" w:rsidRPr="006B7DEB">
        <w:rPr>
          <w:sz w:val="22"/>
          <w:szCs w:val="22"/>
          <w:lang w:val="lv-LV"/>
        </w:rPr>
        <w:t xml:space="preserve"> </w:t>
      </w:r>
      <w:r w:rsidR="009317DA" w:rsidRPr="006B7DEB">
        <w:rPr>
          <w:sz w:val="22"/>
          <w:szCs w:val="22"/>
          <w:lang w:val="lv-LV"/>
        </w:rPr>
        <w:t>Lielākā daļa</w:t>
      </w:r>
      <w:r w:rsidRPr="006B7DEB">
        <w:rPr>
          <w:sz w:val="22"/>
          <w:szCs w:val="22"/>
          <w:lang w:val="lv-LV"/>
        </w:rPr>
        <w:t xml:space="preserve"> blakusparādību rodas </w:t>
      </w:r>
      <w:proofErr w:type="spellStart"/>
      <w:r w:rsidRPr="006B7DEB">
        <w:rPr>
          <w:sz w:val="22"/>
          <w:szCs w:val="22"/>
          <w:lang w:val="lv-LV"/>
        </w:rPr>
        <w:t>paracetamola</w:t>
      </w:r>
      <w:proofErr w:type="spellEnd"/>
      <w:r w:rsidRPr="006B7DEB">
        <w:rPr>
          <w:sz w:val="22"/>
          <w:szCs w:val="22"/>
          <w:lang w:val="lv-LV"/>
        </w:rPr>
        <w:t xml:space="preserve"> pārdozēšanas gadījumā.</w:t>
      </w:r>
    </w:p>
    <w:p w14:paraId="71055782" w14:textId="77777777" w:rsidR="007946E0" w:rsidRPr="006B7DEB" w:rsidRDefault="007946E0" w:rsidP="000E07C1">
      <w:pPr>
        <w:rPr>
          <w:bCs/>
          <w:sz w:val="22"/>
          <w:szCs w:val="22"/>
          <w:lang w:val="lv-LV"/>
        </w:rPr>
      </w:pPr>
    </w:p>
    <w:p w14:paraId="74FB051E" w14:textId="77777777" w:rsidR="00F855A2" w:rsidRPr="006B7DEB" w:rsidRDefault="00F855A2" w:rsidP="000E07C1">
      <w:pPr>
        <w:rPr>
          <w:sz w:val="22"/>
          <w:szCs w:val="22"/>
          <w:lang w:val="lv-LV"/>
        </w:rPr>
      </w:pPr>
      <w:r w:rsidRPr="006B7DEB">
        <w:rPr>
          <w:sz w:val="22"/>
          <w:szCs w:val="22"/>
          <w:lang w:val="lv-LV"/>
        </w:rPr>
        <w:t xml:space="preserve">Turpmāk minētās blakusparādības ir norādītas atbilstoši </w:t>
      </w:r>
      <w:proofErr w:type="spellStart"/>
      <w:r w:rsidRPr="006B7DEB">
        <w:rPr>
          <w:sz w:val="22"/>
          <w:szCs w:val="22"/>
          <w:lang w:val="lv-LV"/>
        </w:rPr>
        <w:t>MedDRA</w:t>
      </w:r>
      <w:proofErr w:type="spellEnd"/>
      <w:r w:rsidRPr="006B7DEB">
        <w:rPr>
          <w:sz w:val="22"/>
          <w:szCs w:val="22"/>
          <w:lang w:val="lv-LV"/>
        </w:rPr>
        <w:t xml:space="preserve"> orgānu sistēmas grupām; norādot biežumu, izmantota šāda klasifikācija: ļoti bieži (≥1/10), bieži (≥1/100 līdz </w:t>
      </w:r>
      <w:r w:rsidRPr="006B7DEB">
        <w:rPr>
          <w:sz w:val="22"/>
          <w:szCs w:val="22"/>
          <w:lang w:val="lv-LV"/>
        </w:rPr>
        <w:sym w:font="Symbol" w:char="F03C"/>
      </w:r>
      <w:r w:rsidRPr="006B7DEB">
        <w:rPr>
          <w:sz w:val="22"/>
          <w:szCs w:val="22"/>
          <w:lang w:val="lv-LV"/>
        </w:rPr>
        <w:t xml:space="preserve">1/10), retāk (≥1/1000 līdz </w:t>
      </w:r>
      <w:r w:rsidRPr="006B7DEB">
        <w:rPr>
          <w:sz w:val="22"/>
          <w:szCs w:val="22"/>
          <w:lang w:val="lv-LV"/>
        </w:rPr>
        <w:sym w:font="Symbol" w:char="F03C"/>
      </w:r>
      <w:r w:rsidRPr="006B7DEB">
        <w:rPr>
          <w:sz w:val="22"/>
          <w:szCs w:val="22"/>
          <w:lang w:val="lv-LV"/>
        </w:rPr>
        <w:t xml:space="preserve">1/100), reti (≥1/10 000 līdz </w:t>
      </w:r>
      <w:r w:rsidRPr="006B7DEB">
        <w:rPr>
          <w:sz w:val="22"/>
          <w:szCs w:val="22"/>
          <w:lang w:val="lv-LV"/>
        </w:rPr>
        <w:sym w:font="Symbol" w:char="F03C"/>
      </w:r>
      <w:r w:rsidRPr="006B7DEB">
        <w:rPr>
          <w:sz w:val="22"/>
          <w:szCs w:val="22"/>
          <w:lang w:val="lv-LV"/>
        </w:rPr>
        <w:t>1/1000), ļoti reti (</w:t>
      </w:r>
      <w:r w:rsidRPr="006B7DEB">
        <w:rPr>
          <w:sz w:val="22"/>
          <w:szCs w:val="22"/>
          <w:lang w:val="lv-LV"/>
        </w:rPr>
        <w:sym w:font="Symbol" w:char="F03C"/>
      </w:r>
      <w:r w:rsidRPr="006B7DEB">
        <w:rPr>
          <w:sz w:val="22"/>
          <w:szCs w:val="22"/>
          <w:lang w:val="lv-LV"/>
        </w:rPr>
        <w:t>1/10 000), nav zināms (nevar noteikt pēc pieejamajiem datiem).</w:t>
      </w:r>
    </w:p>
    <w:p w14:paraId="5D004981" w14:textId="77777777" w:rsidR="00F855A2" w:rsidRPr="006B7DEB" w:rsidRDefault="00F855A2" w:rsidP="000E07C1">
      <w:pPr>
        <w:rPr>
          <w:bCs/>
          <w:sz w:val="22"/>
          <w:szCs w:val="22"/>
          <w:lang w:val="lv-LV"/>
        </w:rPr>
      </w:pPr>
    </w:p>
    <w:p w14:paraId="6F10D292" w14:textId="77777777" w:rsidR="007946E0" w:rsidRPr="006B7DEB" w:rsidRDefault="007946E0" w:rsidP="00152278">
      <w:pPr>
        <w:rPr>
          <w:sz w:val="22"/>
          <w:szCs w:val="22"/>
          <w:u w:val="single"/>
          <w:lang w:val="lv-LV"/>
        </w:rPr>
      </w:pPr>
      <w:r w:rsidRPr="006B7DEB">
        <w:rPr>
          <w:sz w:val="22"/>
          <w:szCs w:val="22"/>
          <w:u w:val="single"/>
          <w:lang w:val="lv-LV"/>
        </w:rPr>
        <w:t>Asins un limfātiskās sistēmas traucējumi</w:t>
      </w:r>
    </w:p>
    <w:p w14:paraId="736B1CC7" w14:textId="77777777" w:rsidR="007946E0" w:rsidRPr="006B7DEB" w:rsidRDefault="007946E0" w:rsidP="003C6542">
      <w:pPr>
        <w:rPr>
          <w:sz w:val="22"/>
          <w:szCs w:val="22"/>
          <w:lang w:val="lv-LV"/>
        </w:rPr>
      </w:pPr>
      <w:proofErr w:type="spellStart"/>
      <w:r w:rsidRPr="006B7DEB">
        <w:rPr>
          <w:sz w:val="22"/>
          <w:szCs w:val="22"/>
          <w:lang w:val="lv-LV"/>
        </w:rPr>
        <w:t>Hematoloģiskas</w:t>
      </w:r>
      <w:proofErr w:type="spellEnd"/>
      <w:r w:rsidRPr="006B7DEB">
        <w:rPr>
          <w:sz w:val="22"/>
          <w:szCs w:val="22"/>
          <w:lang w:val="lv-LV"/>
        </w:rPr>
        <w:t xml:space="preserve"> reakcijas, piem</w:t>
      </w:r>
      <w:r w:rsidR="0053262F" w:rsidRPr="006B7DEB">
        <w:rPr>
          <w:sz w:val="22"/>
          <w:szCs w:val="22"/>
          <w:lang w:val="lv-LV"/>
        </w:rPr>
        <w:t>ēram</w:t>
      </w:r>
      <w:r w:rsidRPr="006B7DEB">
        <w:rPr>
          <w:sz w:val="22"/>
          <w:szCs w:val="22"/>
          <w:lang w:val="lv-LV"/>
        </w:rPr>
        <w:t xml:space="preserve">, </w:t>
      </w:r>
      <w:proofErr w:type="spellStart"/>
      <w:r w:rsidRPr="006B7DEB">
        <w:rPr>
          <w:sz w:val="22"/>
          <w:szCs w:val="22"/>
          <w:lang w:val="lv-LV"/>
        </w:rPr>
        <w:t>trombocitopēnija</w:t>
      </w:r>
      <w:proofErr w:type="spellEnd"/>
      <w:r w:rsidRPr="006B7DEB">
        <w:rPr>
          <w:sz w:val="22"/>
          <w:szCs w:val="22"/>
          <w:lang w:val="lv-LV"/>
        </w:rPr>
        <w:t>,</w:t>
      </w:r>
      <w:r w:rsidR="0053262F" w:rsidRPr="006B7DEB">
        <w:rPr>
          <w:sz w:val="22"/>
          <w:szCs w:val="22"/>
          <w:lang w:val="lv-LV"/>
        </w:rPr>
        <w:t xml:space="preserve"> purpura, </w:t>
      </w:r>
      <w:proofErr w:type="spellStart"/>
      <w:r w:rsidR="0053262F" w:rsidRPr="006B7DEB">
        <w:rPr>
          <w:sz w:val="22"/>
          <w:szCs w:val="22"/>
          <w:lang w:val="lv-LV"/>
        </w:rPr>
        <w:t>methemoglobinēmija</w:t>
      </w:r>
      <w:proofErr w:type="spellEnd"/>
      <w:r w:rsidR="0053262F" w:rsidRPr="006B7DEB">
        <w:rPr>
          <w:sz w:val="22"/>
          <w:szCs w:val="22"/>
          <w:lang w:val="lv-LV"/>
        </w:rPr>
        <w:t xml:space="preserve"> un </w:t>
      </w:r>
      <w:proofErr w:type="spellStart"/>
      <w:r w:rsidRPr="006B7DEB">
        <w:rPr>
          <w:sz w:val="22"/>
          <w:szCs w:val="22"/>
          <w:lang w:val="lv-LV"/>
        </w:rPr>
        <w:t>agranulocitoze</w:t>
      </w:r>
      <w:proofErr w:type="spellEnd"/>
      <w:r w:rsidRPr="006B7DEB">
        <w:rPr>
          <w:sz w:val="22"/>
          <w:szCs w:val="22"/>
          <w:lang w:val="lv-LV"/>
        </w:rPr>
        <w:t xml:space="preserve">, tomēr nav tiešu pierādījumu, ka tās izraisījis </w:t>
      </w:r>
      <w:proofErr w:type="spellStart"/>
      <w:r w:rsidRPr="006B7DEB">
        <w:rPr>
          <w:sz w:val="22"/>
          <w:szCs w:val="22"/>
          <w:lang w:val="lv-LV"/>
        </w:rPr>
        <w:t>paracetamols</w:t>
      </w:r>
      <w:proofErr w:type="spellEnd"/>
      <w:r w:rsidRPr="006B7DEB">
        <w:rPr>
          <w:sz w:val="22"/>
          <w:szCs w:val="22"/>
          <w:lang w:val="lv-LV"/>
        </w:rPr>
        <w:t>.</w:t>
      </w:r>
    </w:p>
    <w:p w14:paraId="6F3BF44D" w14:textId="77777777" w:rsidR="007946E0" w:rsidRPr="006B7DEB" w:rsidRDefault="007946E0" w:rsidP="00832CE5">
      <w:pPr>
        <w:rPr>
          <w:sz w:val="22"/>
          <w:szCs w:val="22"/>
          <w:lang w:val="lv-LV"/>
        </w:rPr>
      </w:pPr>
    </w:p>
    <w:p w14:paraId="6A183178" w14:textId="77777777" w:rsidR="00960011" w:rsidRPr="006B7DEB" w:rsidRDefault="00960011" w:rsidP="00152278">
      <w:pPr>
        <w:rPr>
          <w:sz w:val="22"/>
          <w:szCs w:val="22"/>
          <w:u w:val="single"/>
        </w:rPr>
      </w:pPr>
      <w:proofErr w:type="spellStart"/>
      <w:r w:rsidRPr="006B7DEB">
        <w:rPr>
          <w:sz w:val="22"/>
          <w:szCs w:val="22"/>
          <w:u w:val="single"/>
        </w:rPr>
        <w:t>Elpošanas</w:t>
      </w:r>
      <w:proofErr w:type="spellEnd"/>
      <w:r w:rsidRPr="006B7DEB">
        <w:rPr>
          <w:sz w:val="22"/>
          <w:szCs w:val="22"/>
          <w:u w:val="single"/>
        </w:rPr>
        <w:t xml:space="preserve"> </w:t>
      </w:r>
      <w:proofErr w:type="spellStart"/>
      <w:r w:rsidRPr="006B7DEB">
        <w:rPr>
          <w:sz w:val="22"/>
          <w:szCs w:val="22"/>
          <w:u w:val="single"/>
        </w:rPr>
        <w:t>sistēmas</w:t>
      </w:r>
      <w:proofErr w:type="spellEnd"/>
      <w:r w:rsidRPr="006B7DEB">
        <w:rPr>
          <w:sz w:val="22"/>
          <w:szCs w:val="22"/>
          <w:u w:val="single"/>
        </w:rPr>
        <w:t xml:space="preserve"> </w:t>
      </w:r>
      <w:proofErr w:type="spellStart"/>
      <w:r w:rsidRPr="006B7DEB">
        <w:rPr>
          <w:sz w:val="22"/>
          <w:szCs w:val="22"/>
          <w:u w:val="single"/>
        </w:rPr>
        <w:t>traucējumi</w:t>
      </w:r>
      <w:proofErr w:type="spellEnd"/>
      <w:r w:rsidRPr="006B7DEB">
        <w:rPr>
          <w:sz w:val="22"/>
          <w:szCs w:val="22"/>
          <w:u w:val="single"/>
        </w:rPr>
        <w:t xml:space="preserve">, </w:t>
      </w:r>
      <w:proofErr w:type="spellStart"/>
      <w:r w:rsidRPr="006B7DEB">
        <w:rPr>
          <w:sz w:val="22"/>
          <w:szCs w:val="22"/>
          <w:u w:val="single"/>
        </w:rPr>
        <w:t>krūšu</w:t>
      </w:r>
      <w:proofErr w:type="spellEnd"/>
      <w:r w:rsidRPr="006B7DEB">
        <w:rPr>
          <w:sz w:val="22"/>
          <w:szCs w:val="22"/>
          <w:u w:val="single"/>
        </w:rPr>
        <w:t xml:space="preserve"> </w:t>
      </w:r>
      <w:proofErr w:type="spellStart"/>
      <w:r w:rsidRPr="006B7DEB">
        <w:rPr>
          <w:sz w:val="22"/>
          <w:szCs w:val="22"/>
          <w:u w:val="single"/>
        </w:rPr>
        <w:t>kurvja</w:t>
      </w:r>
      <w:proofErr w:type="spellEnd"/>
      <w:r w:rsidRPr="006B7DEB">
        <w:rPr>
          <w:sz w:val="22"/>
          <w:szCs w:val="22"/>
          <w:u w:val="single"/>
        </w:rPr>
        <w:t xml:space="preserve"> un </w:t>
      </w:r>
      <w:proofErr w:type="spellStart"/>
      <w:r w:rsidRPr="006B7DEB">
        <w:rPr>
          <w:sz w:val="22"/>
          <w:szCs w:val="22"/>
          <w:u w:val="single"/>
        </w:rPr>
        <w:t>videnes</w:t>
      </w:r>
      <w:proofErr w:type="spellEnd"/>
      <w:r w:rsidRPr="006B7DEB">
        <w:rPr>
          <w:sz w:val="22"/>
          <w:szCs w:val="22"/>
          <w:u w:val="single"/>
        </w:rPr>
        <w:t xml:space="preserve"> </w:t>
      </w:r>
      <w:proofErr w:type="spellStart"/>
      <w:r w:rsidRPr="006B7DEB">
        <w:rPr>
          <w:sz w:val="22"/>
          <w:szCs w:val="22"/>
          <w:u w:val="single"/>
        </w:rPr>
        <w:t>slimības</w:t>
      </w:r>
      <w:proofErr w:type="spellEnd"/>
    </w:p>
    <w:p w14:paraId="3D2EC068" w14:textId="77777777" w:rsidR="00960011" w:rsidRPr="006B7DEB" w:rsidRDefault="00960011" w:rsidP="00152278">
      <w:pPr>
        <w:rPr>
          <w:sz w:val="22"/>
          <w:szCs w:val="22"/>
          <w:lang w:val="lv-LV"/>
        </w:rPr>
      </w:pPr>
      <w:r w:rsidRPr="006B7DEB">
        <w:rPr>
          <w:sz w:val="22"/>
          <w:szCs w:val="22"/>
          <w:lang w:val="lv-LV"/>
        </w:rPr>
        <w:t xml:space="preserve">Ļoti reti: elpas trūkums. Predisponētiem pacientiem </w:t>
      </w:r>
      <w:proofErr w:type="spellStart"/>
      <w:r w:rsidRPr="006B7DEB">
        <w:rPr>
          <w:sz w:val="22"/>
          <w:szCs w:val="22"/>
          <w:lang w:val="lv-LV"/>
        </w:rPr>
        <w:t>paracetamols</w:t>
      </w:r>
      <w:proofErr w:type="spellEnd"/>
      <w:r w:rsidRPr="006B7DEB">
        <w:rPr>
          <w:sz w:val="22"/>
          <w:szCs w:val="22"/>
          <w:lang w:val="lv-LV"/>
        </w:rPr>
        <w:t xml:space="preserve"> atsevišķos gadījumos </w:t>
      </w:r>
      <w:r w:rsidR="008918DB" w:rsidRPr="006B7DEB">
        <w:rPr>
          <w:sz w:val="22"/>
          <w:szCs w:val="22"/>
          <w:lang w:val="lv-LV"/>
        </w:rPr>
        <w:t xml:space="preserve">ir </w:t>
      </w:r>
      <w:r w:rsidRPr="006B7DEB">
        <w:rPr>
          <w:sz w:val="22"/>
          <w:szCs w:val="22"/>
          <w:lang w:val="lv-LV"/>
        </w:rPr>
        <w:t>izraisījis bronhu spazmas (analgētisko līdzekļu izraisīta astma).</w:t>
      </w:r>
    </w:p>
    <w:p w14:paraId="45981A44" w14:textId="77777777" w:rsidR="00960011" w:rsidRPr="006B7DEB" w:rsidRDefault="00960011" w:rsidP="003C6542">
      <w:pPr>
        <w:rPr>
          <w:sz w:val="22"/>
          <w:szCs w:val="22"/>
          <w:lang w:val="lv-LV"/>
        </w:rPr>
      </w:pPr>
    </w:p>
    <w:p w14:paraId="77347D4A" w14:textId="77777777" w:rsidR="007946E0" w:rsidRPr="006B7DEB" w:rsidRDefault="007946E0" w:rsidP="00152278">
      <w:pPr>
        <w:rPr>
          <w:sz w:val="22"/>
          <w:szCs w:val="22"/>
          <w:u w:val="single"/>
        </w:rPr>
      </w:pPr>
      <w:proofErr w:type="spellStart"/>
      <w:r w:rsidRPr="006B7DEB">
        <w:rPr>
          <w:bCs/>
          <w:iCs/>
          <w:sz w:val="22"/>
          <w:szCs w:val="22"/>
          <w:u w:val="single"/>
        </w:rPr>
        <w:t>Ādas</w:t>
      </w:r>
      <w:proofErr w:type="spellEnd"/>
      <w:r w:rsidRPr="006B7DEB">
        <w:rPr>
          <w:bCs/>
          <w:iCs/>
          <w:sz w:val="22"/>
          <w:szCs w:val="22"/>
          <w:u w:val="single"/>
        </w:rPr>
        <w:t xml:space="preserve"> un </w:t>
      </w:r>
      <w:proofErr w:type="spellStart"/>
      <w:r w:rsidRPr="006B7DEB">
        <w:rPr>
          <w:bCs/>
          <w:iCs/>
          <w:sz w:val="22"/>
          <w:szCs w:val="22"/>
          <w:u w:val="single"/>
        </w:rPr>
        <w:t>zemādas</w:t>
      </w:r>
      <w:proofErr w:type="spellEnd"/>
      <w:r w:rsidRPr="006B7DEB">
        <w:rPr>
          <w:bCs/>
          <w:iCs/>
          <w:sz w:val="22"/>
          <w:szCs w:val="22"/>
          <w:u w:val="single"/>
        </w:rPr>
        <w:t xml:space="preserve"> </w:t>
      </w:r>
      <w:proofErr w:type="spellStart"/>
      <w:r w:rsidRPr="006B7DEB">
        <w:rPr>
          <w:bCs/>
          <w:iCs/>
          <w:sz w:val="22"/>
          <w:szCs w:val="22"/>
          <w:u w:val="single"/>
        </w:rPr>
        <w:t>audu</w:t>
      </w:r>
      <w:proofErr w:type="spellEnd"/>
      <w:r w:rsidRPr="006B7DEB">
        <w:rPr>
          <w:bCs/>
          <w:iCs/>
          <w:sz w:val="22"/>
          <w:szCs w:val="22"/>
          <w:u w:val="single"/>
        </w:rPr>
        <w:t xml:space="preserve"> </w:t>
      </w:r>
      <w:proofErr w:type="spellStart"/>
      <w:r w:rsidRPr="006B7DEB">
        <w:rPr>
          <w:bCs/>
          <w:iCs/>
          <w:sz w:val="22"/>
          <w:szCs w:val="22"/>
          <w:u w:val="single"/>
        </w:rPr>
        <w:t>bojājumi</w:t>
      </w:r>
      <w:proofErr w:type="spellEnd"/>
    </w:p>
    <w:p w14:paraId="33B770E0" w14:textId="77777777" w:rsidR="007946E0" w:rsidRPr="006B7DEB" w:rsidRDefault="007946E0" w:rsidP="003C6542">
      <w:pPr>
        <w:rPr>
          <w:bCs/>
          <w:sz w:val="22"/>
          <w:szCs w:val="22"/>
          <w:lang w:val="lv-LV"/>
        </w:rPr>
      </w:pPr>
      <w:r w:rsidRPr="006B7DEB">
        <w:rPr>
          <w:bCs/>
          <w:sz w:val="22"/>
          <w:szCs w:val="22"/>
          <w:lang w:val="lv-LV"/>
        </w:rPr>
        <w:t>Reti: izsitumi uz ādas un citas alerģiskas reakcijas.</w:t>
      </w:r>
    </w:p>
    <w:p w14:paraId="1F7217EB" w14:textId="77777777" w:rsidR="0045118A" w:rsidRPr="006B7DEB" w:rsidRDefault="0045118A" w:rsidP="00152278">
      <w:pPr>
        <w:rPr>
          <w:sz w:val="22"/>
          <w:szCs w:val="22"/>
          <w:lang w:val="lv-LV"/>
        </w:rPr>
      </w:pPr>
      <w:r w:rsidRPr="006B7DEB">
        <w:rPr>
          <w:bCs/>
          <w:sz w:val="22"/>
          <w:szCs w:val="22"/>
          <w:lang w:val="lv-LV"/>
        </w:rPr>
        <w:t>Ļoti reti ir ziņots par smagām ādas reakcijām.</w:t>
      </w:r>
    </w:p>
    <w:p w14:paraId="770C6457" w14:textId="77777777" w:rsidR="007946E0" w:rsidRPr="006B7DEB" w:rsidRDefault="007946E0" w:rsidP="000E07C1">
      <w:pPr>
        <w:rPr>
          <w:sz w:val="22"/>
          <w:szCs w:val="22"/>
          <w:lang w:val="lv-LV"/>
        </w:rPr>
      </w:pPr>
    </w:p>
    <w:p w14:paraId="317252DF" w14:textId="77777777" w:rsidR="008A6E8A" w:rsidRPr="006B7DEB" w:rsidRDefault="008A6E8A" w:rsidP="000E07C1">
      <w:pPr>
        <w:rPr>
          <w:sz w:val="22"/>
          <w:szCs w:val="22"/>
          <w:u w:val="single"/>
          <w:lang w:val="lv-LV"/>
        </w:rPr>
      </w:pPr>
      <w:r w:rsidRPr="006B7DEB">
        <w:rPr>
          <w:sz w:val="22"/>
          <w:szCs w:val="22"/>
          <w:u w:val="single"/>
          <w:lang w:val="lv-LV"/>
        </w:rPr>
        <w:t>Ziņošana par iespējamām nevēlamām blakusparādībām</w:t>
      </w:r>
    </w:p>
    <w:p w14:paraId="09E1F2D5" w14:textId="77777777" w:rsidR="00C43205" w:rsidRPr="006B7DEB" w:rsidRDefault="008A6E8A" w:rsidP="000E07C1">
      <w:pPr>
        <w:rPr>
          <w:rFonts w:eastAsia="Calibri"/>
          <w:sz w:val="22"/>
          <w:szCs w:val="22"/>
          <w:lang w:val="lv-LV" w:eastAsia="zh-CN"/>
        </w:rPr>
      </w:pPr>
      <w:r w:rsidRPr="006B7DEB">
        <w:rPr>
          <w:sz w:val="22"/>
          <w:szCs w:val="22"/>
          <w:lang w:val="lv-LV"/>
        </w:rPr>
        <w:t>Ir svarīgi ziņot par iespējamām nevēlamām blakusparādībām pēc zāļu reģistrācijas. Tādējādi zāļu ieguvum</w:t>
      </w:r>
      <w:r w:rsidR="00C43205" w:rsidRPr="006B7DEB">
        <w:rPr>
          <w:sz w:val="22"/>
          <w:szCs w:val="22"/>
          <w:lang w:val="lv-LV"/>
        </w:rPr>
        <w:t>a</w:t>
      </w:r>
      <w:r w:rsidRPr="006B7DEB">
        <w:rPr>
          <w:sz w:val="22"/>
          <w:szCs w:val="22"/>
          <w:lang w:val="lv-LV"/>
        </w:rPr>
        <w:t xml:space="preserve">/riska attiecība tiek nepārtraukti uzraudzīta. Veselības aprūpes speciālisti tiek lūgti ziņot par jebkādām iespējamām nevēlamām blakusparādībām </w:t>
      </w:r>
      <w:r w:rsidRPr="006B7DEB">
        <w:rPr>
          <w:rFonts w:eastAsia="Calibri"/>
          <w:sz w:val="22"/>
          <w:szCs w:val="22"/>
          <w:lang w:val="lv-LV" w:eastAsia="zh-CN"/>
        </w:rPr>
        <w:t>Zāļu valsts aģentūrai, Jersikas ielā 15, Rīga, LV</w:t>
      </w:r>
      <w:r w:rsidRPr="006B7DEB">
        <w:rPr>
          <w:rFonts w:eastAsia="Calibri"/>
          <w:sz w:val="22"/>
          <w:szCs w:val="22"/>
          <w:lang w:val="lv-LV" w:eastAsia="zh-CN"/>
        </w:rPr>
        <w:noBreakHyphen/>
        <w:t>1003</w:t>
      </w:r>
      <w:r w:rsidR="00C43205" w:rsidRPr="006B7DEB">
        <w:rPr>
          <w:rFonts w:eastAsia="Calibri"/>
          <w:sz w:val="22"/>
          <w:szCs w:val="22"/>
          <w:lang w:val="lv-LV" w:eastAsia="zh-CN"/>
        </w:rPr>
        <w:t>.</w:t>
      </w:r>
    </w:p>
    <w:p w14:paraId="3C2D833C" w14:textId="77777777" w:rsidR="008A6E8A" w:rsidRPr="006B7DEB" w:rsidRDefault="00C43205" w:rsidP="000E07C1">
      <w:pPr>
        <w:rPr>
          <w:rFonts w:eastAsia="Calibri"/>
          <w:sz w:val="22"/>
          <w:szCs w:val="22"/>
          <w:lang w:val="lv-LV" w:eastAsia="zh-CN"/>
        </w:rPr>
      </w:pPr>
      <w:r w:rsidRPr="006B7DEB">
        <w:rPr>
          <w:rFonts w:eastAsia="Calibri"/>
          <w:sz w:val="22"/>
          <w:szCs w:val="22"/>
          <w:lang w:val="lv-LV" w:eastAsia="zh-CN"/>
        </w:rPr>
        <w:t>T</w:t>
      </w:r>
      <w:r w:rsidR="008A6E8A" w:rsidRPr="006B7DEB">
        <w:rPr>
          <w:rFonts w:eastAsia="Calibri"/>
          <w:sz w:val="22"/>
          <w:szCs w:val="22"/>
          <w:lang w:val="lv-LV" w:eastAsia="zh-CN"/>
        </w:rPr>
        <w:t>īmekļa vietne: www.zva.gov.lv</w:t>
      </w:r>
    </w:p>
    <w:p w14:paraId="391074EE" w14:textId="77777777" w:rsidR="008A6E8A" w:rsidRPr="006B7DEB" w:rsidRDefault="008A6E8A" w:rsidP="000E07C1">
      <w:pPr>
        <w:rPr>
          <w:sz w:val="22"/>
          <w:szCs w:val="22"/>
          <w:lang w:val="lv-LV"/>
        </w:rPr>
      </w:pPr>
    </w:p>
    <w:p w14:paraId="4762AA06" w14:textId="77777777" w:rsidR="007946E0" w:rsidRPr="006B7DEB" w:rsidRDefault="007946E0" w:rsidP="000E07C1">
      <w:pPr>
        <w:rPr>
          <w:sz w:val="22"/>
          <w:szCs w:val="22"/>
          <w:lang w:val="lv-LV"/>
        </w:rPr>
      </w:pPr>
      <w:r w:rsidRPr="006B7DEB">
        <w:rPr>
          <w:b/>
          <w:bCs/>
          <w:sz w:val="22"/>
          <w:szCs w:val="22"/>
          <w:lang w:val="lv-LV"/>
        </w:rPr>
        <w:t>4.</w:t>
      </w:r>
      <w:r w:rsidR="00F32227" w:rsidRPr="006B7DEB">
        <w:rPr>
          <w:b/>
          <w:sz w:val="22"/>
          <w:szCs w:val="22"/>
          <w:lang w:val="lv-LV"/>
        </w:rPr>
        <w:t>9</w:t>
      </w:r>
      <w:r w:rsidR="00916021" w:rsidRPr="006B7DEB">
        <w:rPr>
          <w:b/>
          <w:sz w:val="22"/>
          <w:szCs w:val="22"/>
          <w:lang w:val="lv-LV"/>
        </w:rPr>
        <w:t>.</w:t>
      </w:r>
      <w:r w:rsidR="00F32227" w:rsidRPr="006B7DEB">
        <w:rPr>
          <w:b/>
          <w:sz w:val="22"/>
          <w:szCs w:val="22"/>
          <w:lang w:val="lv-LV"/>
        </w:rPr>
        <w:tab/>
      </w:r>
      <w:r w:rsidRPr="006B7DEB">
        <w:rPr>
          <w:b/>
          <w:sz w:val="22"/>
          <w:szCs w:val="22"/>
          <w:lang w:val="lv-LV"/>
        </w:rPr>
        <w:t>Pārdozēšana</w:t>
      </w:r>
    </w:p>
    <w:p w14:paraId="2F2180AC" w14:textId="77777777" w:rsidR="004E4A1E" w:rsidRPr="006B7DEB" w:rsidRDefault="004E4A1E" w:rsidP="000E07C1">
      <w:pPr>
        <w:rPr>
          <w:sz w:val="22"/>
          <w:szCs w:val="22"/>
          <w:lang w:val="lv-LV"/>
        </w:rPr>
      </w:pPr>
    </w:p>
    <w:p w14:paraId="4063DBB2" w14:textId="77777777" w:rsidR="000B65B4" w:rsidRPr="006B7DEB" w:rsidRDefault="000B65B4" w:rsidP="000B65B4">
      <w:pPr>
        <w:rPr>
          <w:i/>
          <w:sz w:val="22"/>
          <w:szCs w:val="22"/>
          <w:lang w:val="lv-LV"/>
        </w:rPr>
      </w:pPr>
      <w:r w:rsidRPr="006B7DEB">
        <w:rPr>
          <w:i/>
          <w:sz w:val="22"/>
          <w:szCs w:val="22"/>
          <w:lang w:val="lv-LV"/>
        </w:rPr>
        <w:t>Simptomi</w:t>
      </w:r>
    </w:p>
    <w:p w14:paraId="33520DD1" w14:textId="77777777" w:rsidR="007946E0" w:rsidRPr="006B7DEB" w:rsidRDefault="00EB116A" w:rsidP="000E07C1">
      <w:pPr>
        <w:rPr>
          <w:sz w:val="22"/>
          <w:szCs w:val="22"/>
          <w:lang w:val="lv-LV"/>
        </w:rPr>
      </w:pPr>
      <w:r w:rsidRPr="006B7DEB">
        <w:rPr>
          <w:sz w:val="22"/>
          <w:szCs w:val="22"/>
          <w:lang w:val="lv-LV"/>
        </w:rPr>
        <w:t>Pārdozējot zāles, 24 </w:t>
      </w:r>
      <w:r w:rsidR="007946E0" w:rsidRPr="006B7DEB">
        <w:rPr>
          <w:sz w:val="22"/>
          <w:szCs w:val="22"/>
          <w:lang w:val="lv-LV"/>
        </w:rPr>
        <w:t xml:space="preserve">stundu laikā vērojams bālums, rodas slikta dūša, vemšana, </w:t>
      </w:r>
      <w:r w:rsidR="002B7C31" w:rsidRPr="006B7DEB">
        <w:rPr>
          <w:sz w:val="22"/>
          <w:szCs w:val="22"/>
          <w:lang w:val="lv-LV"/>
        </w:rPr>
        <w:t>ēstgribas</w:t>
      </w:r>
      <w:r w:rsidR="007946E0" w:rsidRPr="006B7DEB">
        <w:rPr>
          <w:sz w:val="22"/>
          <w:szCs w:val="22"/>
          <w:lang w:val="lv-LV"/>
        </w:rPr>
        <w:t xml:space="preserve"> zudums, sāpes kuņģ</w:t>
      </w:r>
      <w:r w:rsidR="008A6E8A" w:rsidRPr="006B7DEB">
        <w:rPr>
          <w:sz w:val="22"/>
          <w:szCs w:val="22"/>
          <w:lang w:val="lv-LV"/>
        </w:rPr>
        <w:t>ī. Aknu bojājumi var rasties 12</w:t>
      </w:r>
      <w:r w:rsidR="008A6E8A" w:rsidRPr="006B7DEB">
        <w:rPr>
          <w:sz w:val="22"/>
          <w:szCs w:val="22"/>
          <w:lang w:val="lv-LV"/>
        </w:rPr>
        <w:noBreakHyphen/>
      </w:r>
      <w:r w:rsidR="00F97ADB" w:rsidRPr="006B7DEB">
        <w:rPr>
          <w:sz w:val="22"/>
          <w:szCs w:val="22"/>
          <w:lang w:val="lv-LV"/>
        </w:rPr>
        <w:t>48 </w:t>
      </w:r>
      <w:r w:rsidR="007946E0" w:rsidRPr="006B7DEB">
        <w:rPr>
          <w:sz w:val="22"/>
          <w:szCs w:val="22"/>
          <w:lang w:val="lv-LV"/>
        </w:rPr>
        <w:t>stund</w:t>
      </w:r>
      <w:r w:rsidR="00F97ADB" w:rsidRPr="006B7DEB">
        <w:rPr>
          <w:sz w:val="22"/>
          <w:szCs w:val="22"/>
          <w:lang w:val="lv-LV"/>
        </w:rPr>
        <w:t>u laikā</w:t>
      </w:r>
      <w:r w:rsidR="007946E0" w:rsidRPr="006B7DEB">
        <w:rPr>
          <w:sz w:val="22"/>
          <w:szCs w:val="22"/>
          <w:lang w:val="lv-LV"/>
        </w:rPr>
        <w:t>. Iespējami glikozes metabolisma traucējumi un metaboliskā acidoze.</w:t>
      </w:r>
    </w:p>
    <w:p w14:paraId="6DE8E1C4" w14:textId="77777777" w:rsidR="007946E0" w:rsidRPr="006B7DEB" w:rsidRDefault="007946E0" w:rsidP="000E07C1">
      <w:pPr>
        <w:rPr>
          <w:sz w:val="22"/>
          <w:szCs w:val="22"/>
          <w:lang w:val="lv-LV"/>
        </w:rPr>
      </w:pPr>
      <w:r w:rsidRPr="006B7DEB">
        <w:rPr>
          <w:sz w:val="22"/>
          <w:szCs w:val="22"/>
          <w:lang w:val="lv-LV"/>
        </w:rPr>
        <w:t xml:space="preserve">Smagas saindēšanās gadījumā rodas aknu mazspēja, encefalopātija un koma, pēc tam var iestāties nāve. Var būt akūta nieru mazspēja ar akūtu nieru kanāliņu nekrozi vai arī kanāliņu nekroze bez aknu mazspējas parādībām. Novēroti sirds ritma traucējumi un </w:t>
      </w:r>
      <w:proofErr w:type="spellStart"/>
      <w:r w:rsidRPr="006B7DEB">
        <w:rPr>
          <w:sz w:val="22"/>
          <w:szCs w:val="22"/>
          <w:lang w:val="lv-LV"/>
        </w:rPr>
        <w:t>pankreatīts</w:t>
      </w:r>
      <w:proofErr w:type="spellEnd"/>
      <w:r w:rsidRPr="006B7DEB">
        <w:rPr>
          <w:sz w:val="22"/>
          <w:szCs w:val="22"/>
          <w:lang w:val="lv-LV"/>
        </w:rPr>
        <w:t>.</w:t>
      </w:r>
    </w:p>
    <w:p w14:paraId="1A2A0A0D" w14:textId="4E21B44D" w:rsidR="007946E0" w:rsidRPr="006B7DEB" w:rsidRDefault="004478BE" w:rsidP="000E07C1">
      <w:pPr>
        <w:rPr>
          <w:sz w:val="22"/>
          <w:szCs w:val="22"/>
          <w:lang w:val="lv-LV"/>
        </w:rPr>
      </w:pPr>
      <w:r w:rsidRPr="006B7DEB">
        <w:rPr>
          <w:sz w:val="22"/>
          <w:szCs w:val="22"/>
          <w:lang w:val="lv-LV"/>
        </w:rPr>
        <w:t>A</w:t>
      </w:r>
      <w:r w:rsidR="007946E0" w:rsidRPr="006B7DEB">
        <w:rPr>
          <w:sz w:val="22"/>
          <w:szCs w:val="22"/>
          <w:lang w:val="lv-LV"/>
        </w:rPr>
        <w:t>knu bojājumi var rasties pieaugušaj</w:t>
      </w:r>
      <w:r w:rsidR="004E4A1E" w:rsidRPr="006B7DEB">
        <w:rPr>
          <w:sz w:val="22"/>
          <w:szCs w:val="22"/>
          <w:lang w:val="lv-LV"/>
        </w:rPr>
        <w:t xml:space="preserve">iem, </w:t>
      </w:r>
      <w:r w:rsidR="00A1388A" w:rsidRPr="006B7DEB">
        <w:rPr>
          <w:sz w:val="22"/>
          <w:szCs w:val="22"/>
          <w:lang w:val="lv-LV"/>
        </w:rPr>
        <w:t>kuri lietojuši</w:t>
      </w:r>
      <w:r w:rsidR="004E4A1E" w:rsidRPr="006B7DEB">
        <w:rPr>
          <w:sz w:val="22"/>
          <w:szCs w:val="22"/>
          <w:lang w:val="lv-LV"/>
        </w:rPr>
        <w:t xml:space="preserve"> vairāk par 10 </w:t>
      </w:r>
      <w:r w:rsidR="007946E0" w:rsidRPr="006B7DEB">
        <w:rPr>
          <w:sz w:val="22"/>
          <w:szCs w:val="22"/>
          <w:lang w:val="lv-LV"/>
        </w:rPr>
        <w:t xml:space="preserve">g </w:t>
      </w:r>
      <w:proofErr w:type="spellStart"/>
      <w:r w:rsidR="007946E0" w:rsidRPr="006B7DEB">
        <w:rPr>
          <w:sz w:val="22"/>
          <w:szCs w:val="22"/>
          <w:lang w:val="lv-LV"/>
        </w:rPr>
        <w:t>paracetamola</w:t>
      </w:r>
      <w:proofErr w:type="spellEnd"/>
      <w:r w:rsidR="007946E0" w:rsidRPr="006B7DEB">
        <w:rPr>
          <w:sz w:val="22"/>
          <w:szCs w:val="22"/>
          <w:lang w:val="lv-LV"/>
        </w:rPr>
        <w:t xml:space="preserve">, vai bērniem, </w:t>
      </w:r>
      <w:r w:rsidRPr="006B7DEB">
        <w:rPr>
          <w:sz w:val="22"/>
          <w:szCs w:val="22"/>
          <w:lang w:val="lv-LV"/>
        </w:rPr>
        <w:t>kuri lietojuši</w:t>
      </w:r>
      <w:r w:rsidR="007946E0" w:rsidRPr="006B7DEB">
        <w:rPr>
          <w:sz w:val="22"/>
          <w:szCs w:val="22"/>
          <w:lang w:val="lv-LV"/>
        </w:rPr>
        <w:t xml:space="preserve"> vairāk par 150 mg/kg ķermeņa masas </w:t>
      </w:r>
      <w:proofErr w:type="spellStart"/>
      <w:r w:rsidR="00573BBA" w:rsidRPr="006B7DEB">
        <w:rPr>
          <w:sz w:val="22"/>
          <w:szCs w:val="22"/>
          <w:lang w:val="lv-LV"/>
        </w:rPr>
        <w:t>parace</w:t>
      </w:r>
      <w:r w:rsidR="008E7EC1" w:rsidRPr="006B7DEB">
        <w:rPr>
          <w:sz w:val="22"/>
          <w:szCs w:val="22"/>
          <w:lang w:val="lv-LV"/>
        </w:rPr>
        <w:t>tamola</w:t>
      </w:r>
      <w:proofErr w:type="spellEnd"/>
      <w:r w:rsidR="008E7EC1" w:rsidRPr="006B7DEB">
        <w:rPr>
          <w:sz w:val="22"/>
          <w:szCs w:val="22"/>
          <w:lang w:val="lv-LV"/>
        </w:rPr>
        <w:t xml:space="preserve"> </w:t>
      </w:r>
      <w:r w:rsidR="007946E0" w:rsidRPr="006B7DEB">
        <w:rPr>
          <w:sz w:val="22"/>
          <w:szCs w:val="22"/>
          <w:lang w:val="lv-LV"/>
        </w:rPr>
        <w:t xml:space="preserve">(lietojot </w:t>
      </w:r>
      <w:proofErr w:type="spellStart"/>
      <w:r w:rsidR="007946E0" w:rsidRPr="006B7DEB">
        <w:rPr>
          <w:sz w:val="22"/>
          <w:szCs w:val="22"/>
          <w:lang w:val="lv-LV"/>
        </w:rPr>
        <w:t>paracetamolu</w:t>
      </w:r>
      <w:proofErr w:type="spellEnd"/>
      <w:r w:rsidR="007946E0" w:rsidRPr="006B7DEB">
        <w:rPr>
          <w:sz w:val="22"/>
          <w:szCs w:val="22"/>
          <w:lang w:val="lv-LV"/>
        </w:rPr>
        <w:t xml:space="preserve"> parast</w:t>
      </w:r>
      <w:r w:rsidR="008E7EC1" w:rsidRPr="006B7DEB">
        <w:rPr>
          <w:sz w:val="22"/>
          <w:szCs w:val="22"/>
          <w:lang w:val="lv-LV"/>
        </w:rPr>
        <w:t>aj</w:t>
      </w:r>
      <w:r w:rsidR="007946E0" w:rsidRPr="006B7DEB">
        <w:rPr>
          <w:sz w:val="22"/>
          <w:szCs w:val="22"/>
          <w:lang w:val="lv-LV"/>
        </w:rPr>
        <w:t xml:space="preserve">ās devās, metabolītus atindē </w:t>
      </w:r>
      <w:proofErr w:type="spellStart"/>
      <w:r w:rsidR="007946E0" w:rsidRPr="006B7DEB">
        <w:rPr>
          <w:sz w:val="22"/>
          <w:szCs w:val="22"/>
          <w:lang w:val="lv-LV"/>
        </w:rPr>
        <w:t>glutations</w:t>
      </w:r>
      <w:proofErr w:type="spellEnd"/>
      <w:r w:rsidR="007946E0" w:rsidRPr="006B7DEB">
        <w:rPr>
          <w:sz w:val="22"/>
          <w:szCs w:val="22"/>
          <w:lang w:val="lv-LV"/>
        </w:rPr>
        <w:t>; toksiskā metabolīta pārākums izraisa neatgriezenisku aknu audu bojājumu).</w:t>
      </w:r>
    </w:p>
    <w:p w14:paraId="209790C7" w14:textId="77777777" w:rsidR="000B65B4" w:rsidRPr="006B7DEB" w:rsidRDefault="000B65B4" w:rsidP="000E07C1">
      <w:pPr>
        <w:rPr>
          <w:sz w:val="22"/>
          <w:szCs w:val="22"/>
          <w:lang w:val="lv-LV"/>
        </w:rPr>
      </w:pPr>
    </w:p>
    <w:p w14:paraId="2EFDE987" w14:textId="77777777" w:rsidR="000B65B4" w:rsidRPr="006B7DEB" w:rsidRDefault="000B65B4" w:rsidP="000B65B4">
      <w:pPr>
        <w:rPr>
          <w:i/>
          <w:sz w:val="22"/>
          <w:szCs w:val="22"/>
          <w:lang w:val="lv-LV"/>
        </w:rPr>
      </w:pPr>
      <w:r w:rsidRPr="006B7DEB">
        <w:rPr>
          <w:i/>
          <w:sz w:val="22"/>
          <w:szCs w:val="22"/>
          <w:lang w:val="lv-LV"/>
        </w:rPr>
        <w:t>Ārstēšana</w:t>
      </w:r>
    </w:p>
    <w:p w14:paraId="59D05349" w14:textId="77777777" w:rsidR="007946E0" w:rsidRPr="006B7DEB" w:rsidRDefault="007946E0" w:rsidP="000E07C1">
      <w:pPr>
        <w:rPr>
          <w:sz w:val="22"/>
          <w:szCs w:val="22"/>
          <w:lang w:val="lv-LV"/>
        </w:rPr>
      </w:pPr>
      <w:r w:rsidRPr="006B7DEB">
        <w:rPr>
          <w:sz w:val="22"/>
          <w:szCs w:val="22"/>
          <w:lang w:val="lv-LV"/>
        </w:rPr>
        <w:t xml:space="preserve">Pārdozējot šīs zāles vai rodoties aizdomām par to </w:t>
      </w:r>
      <w:r w:rsidR="004E4A1E" w:rsidRPr="006B7DEB">
        <w:rPr>
          <w:sz w:val="22"/>
          <w:szCs w:val="22"/>
          <w:lang w:val="lv-LV"/>
        </w:rPr>
        <w:t>pārdozēšanu, būtiski svarīgi ir</w:t>
      </w:r>
      <w:r w:rsidR="008E7EC1" w:rsidRPr="006B7DEB">
        <w:rPr>
          <w:sz w:val="22"/>
          <w:szCs w:val="22"/>
          <w:lang w:val="lv-LV"/>
        </w:rPr>
        <w:t xml:space="preserve"> </w:t>
      </w:r>
      <w:r w:rsidRPr="006B7DEB">
        <w:rPr>
          <w:sz w:val="22"/>
          <w:szCs w:val="22"/>
          <w:lang w:val="lv-LV"/>
        </w:rPr>
        <w:t>nekavējoties uzsākt ārstēšanu (pat ja nav pārdozēšanas simptomu). Jā</w:t>
      </w:r>
      <w:r w:rsidR="008E7EC1" w:rsidRPr="006B7DEB">
        <w:rPr>
          <w:sz w:val="22"/>
          <w:szCs w:val="22"/>
          <w:lang w:val="lv-LV"/>
        </w:rPr>
        <w:t>piemēro</w:t>
      </w:r>
      <w:r w:rsidRPr="006B7DEB">
        <w:rPr>
          <w:sz w:val="22"/>
          <w:szCs w:val="22"/>
          <w:lang w:val="lv-LV"/>
        </w:rPr>
        <w:t xml:space="preserve"> vispārēja uzturoša terapija.</w:t>
      </w:r>
    </w:p>
    <w:p w14:paraId="0898FDF9" w14:textId="7053F95E" w:rsidR="00482CF9" w:rsidRPr="006B7DEB" w:rsidRDefault="007946E0" w:rsidP="000E07C1">
      <w:pPr>
        <w:rPr>
          <w:sz w:val="22"/>
          <w:szCs w:val="22"/>
          <w:lang w:val="lv-LV"/>
        </w:rPr>
      </w:pPr>
      <w:r w:rsidRPr="006B7DEB">
        <w:rPr>
          <w:sz w:val="22"/>
          <w:szCs w:val="22"/>
          <w:lang w:val="lv-LV"/>
        </w:rPr>
        <w:t>Lai kavētu zāļu uzsūkšanos no gremošanas trakt</w:t>
      </w:r>
      <w:r w:rsidR="00036B5A" w:rsidRPr="006B7DEB">
        <w:rPr>
          <w:sz w:val="22"/>
          <w:szCs w:val="22"/>
          <w:lang w:val="lv-LV"/>
        </w:rPr>
        <w:t xml:space="preserve">a, var lietot aktivēto ogli, ja </w:t>
      </w:r>
      <w:proofErr w:type="spellStart"/>
      <w:r w:rsidRPr="006B7DEB">
        <w:rPr>
          <w:sz w:val="22"/>
          <w:szCs w:val="22"/>
          <w:lang w:val="lv-LV"/>
        </w:rPr>
        <w:t>paracetamola</w:t>
      </w:r>
      <w:proofErr w:type="spellEnd"/>
      <w:r w:rsidRPr="006B7DEB">
        <w:rPr>
          <w:sz w:val="22"/>
          <w:szCs w:val="22"/>
          <w:lang w:val="lv-LV"/>
        </w:rPr>
        <w:t xml:space="preserve"> deva, kas lietota pēdējās stundas laik</w:t>
      </w:r>
      <w:r w:rsidR="004E4A1E" w:rsidRPr="006B7DEB">
        <w:rPr>
          <w:sz w:val="22"/>
          <w:szCs w:val="22"/>
          <w:lang w:val="lv-LV"/>
        </w:rPr>
        <w:t>ā, bijusi virs 150 mg/kg vai 12 </w:t>
      </w:r>
      <w:r w:rsidRPr="006B7DEB">
        <w:rPr>
          <w:sz w:val="22"/>
          <w:szCs w:val="22"/>
          <w:lang w:val="lv-LV"/>
        </w:rPr>
        <w:t xml:space="preserve">g (lai kura no tām arī nebūtu mazāka). Informācija par kuņģa skalošanas efektivitāti </w:t>
      </w:r>
      <w:proofErr w:type="spellStart"/>
      <w:r w:rsidRPr="006B7DEB">
        <w:rPr>
          <w:sz w:val="22"/>
          <w:szCs w:val="22"/>
          <w:lang w:val="lv-LV"/>
        </w:rPr>
        <w:t>paracetamola</w:t>
      </w:r>
      <w:proofErr w:type="spellEnd"/>
      <w:r w:rsidRPr="006B7DEB">
        <w:rPr>
          <w:sz w:val="22"/>
          <w:szCs w:val="22"/>
          <w:lang w:val="lv-LV"/>
        </w:rPr>
        <w:t xml:space="preserve"> pārdozēšanas gadījumā ir nepietiekama. Ja par </w:t>
      </w:r>
      <w:proofErr w:type="spellStart"/>
      <w:r w:rsidRPr="006B7DEB">
        <w:rPr>
          <w:sz w:val="22"/>
          <w:szCs w:val="22"/>
          <w:lang w:val="lv-LV"/>
        </w:rPr>
        <w:t>antidotu</w:t>
      </w:r>
      <w:proofErr w:type="spellEnd"/>
      <w:r w:rsidRPr="006B7DEB">
        <w:rPr>
          <w:sz w:val="22"/>
          <w:szCs w:val="22"/>
          <w:lang w:val="lv-LV"/>
        </w:rPr>
        <w:t xml:space="preserve"> perorāli lieto </w:t>
      </w:r>
      <w:proofErr w:type="spellStart"/>
      <w:r w:rsidRPr="006B7DEB">
        <w:rPr>
          <w:sz w:val="22"/>
          <w:szCs w:val="22"/>
          <w:lang w:val="lv-LV"/>
        </w:rPr>
        <w:t>a</w:t>
      </w:r>
      <w:r w:rsidR="00036B5A" w:rsidRPr="006B7DEB">
        <w:rPr>
          <w:sz w:val="22"/>
          <w:szCs w:val="22"/>
          <w:lang w:val="lv-LV"/>
        </w:rPr>
        <w:t>cetilcisteīnu</w:t>
      </w:r>
      <w:proofErr w:type="spellEnd"/>
      <w:r w:rsidR="00036B5A" w:rsidRPr="006B7DEB">
        <w:rPr>
          <w:sz w:val="22"/>
          <w:szCs w:val="22"/>
          <w:lang w:val="lv-LV"/>
        </w:rPr>
        <w:t xml:space="preserve"> vai metionīnu, no </w:t>
      </w:r>
      <w:r w:rsidRPr="006B7DEB">
        <w:rPr>
          <w:sz w:val="22"/>
          <w:szCs w:val="22"/>
          <w:lang w:val="lv-LV"/>
        </w:rPr>
        <w:t xml:space="preserve">kuņģa jāizvada aktivētā ogle, lai nesamazinātos </w:t>
      </w:r>
      <w:proofErr w:type="spellStart"/>
      <w:r w:rsidRPr="006B7DEB">
        <w:rPr>
          <w:sz w:val="22"/>
          <w:szCs w:val="22"/>
          <w:lang w:val="lv-LV"/>
        </w:rPr>
        <w:t>antidota</w:t>
      </w:r>
      <w:proofErr w:type="spellEnd"/>
      <w:r w:rsidRPr="006B7DEB">
        <w:rPr>
          <w:sz w:val="22"/>
          <w:szCs w:val="22"/>
          <w:lang w:val="lv-LV"/>
        </w:rPr>
        <w:t xml:space="preserve"> uzsūkšanās.</w:t>
      </w:r>
      <w:r w:rsidR="00DC2FC3" w:rsidRPr="006B7DEB">
        <w:rPr>
          <w:sz w:val="22"/>
          <w:szCs w:val="22"/>
          <w:lang w:val="lv-LV"/>
        </w:rPr>
        <w:t xml:space="preserve"> </w:t>
      </w:r>
      <w:r w:rsidRPr="006B7DEB">
        <w:rPr>
          <w:sz w:val="22"/>
          <w:szCs w:val="22"/>
          <w:lang w:val="lv-LV"/>
        </w:rPr>
        <w:t xml:space="preserve">Lai </w:t>
      </w:r>
      <w:proofErr w:type="spellStart"/>
      <w:r w:rsidRPr="006B7DEB">
        <w:rPr>
          <w:sz w:val="22"/>
          <w:szCs w:val="22"/>
          <w:lang w:val="lv-LV"/>
        </w:rPr>
        <w:t>acetilcisteīna</w:t>
      </w:r>
      <w:proofErr w:type="spellEnd"/>
      <w:r w:rsidRPr="006B7DEB">
        <w:rPr>
          <w:sz w:val="22"/>
          <w:szCs w:val="22"/>
          <w:lang w:val="lv-LV"/>
        </w:rPr>
        <w:t xml:space="preserve"> vai metionīna darbība būtu</w:t>
      </w:r>
      <w:r w:rsidR="008A6E8A" w:rsidRPr="006B7DEB">
        <w:rPr>
          <w:sz w:val="22"/>
          <w:szCs w:val="22"/>
          <w:lang w:val="lv-LV"/>
        </w:rPr>
        <w:t xml:space="preserve"> efektīva, tie jālieto pirmo 10</w:t>
      </w:r>
      <w:r w:rsidR="008A6E8A" w:rsidRPr="006B7DEB">
        <w:rPr>
          <w:sz w:val="22"/>
          <w:szCs w:val="22"/>
          <w:lang w:val="lv-LV"/>
        </w:rPr>
        <w:noBreakHyphen/>
        <w:t>12 </w:t>
      </w:r>
      <w:r w:rsidRPr="006B7DEB">
        <w:rPr>
          <w:sz w:val="22"/>
          <w:szCs w:val="22"/>
          <w:lang w:val="lv-LV"/>
        </w:rPr>
        <w:t xml:space="preserve">stundu laikā pēc pārdozēšanas; </w:t>
      </w:r>
      <w:proofErr w:type="spellStart"/>
      <w:r w:rsidRPr="006B7DEB">
        <w:rPr>
          <w:sz w:val="22"/>
          <w:szCs w:val="22"/>
          <w:lang w:val="lv-LV"/>
        </w:rPr>
        <w:t>acetilcist</w:t>
      </w:r>
      <w:r w:rsidR="008A6E8A" w:rsidRPr="006B7DEB">
        <w:rPr>
          <w:sz w:val="22"/>
          <w:szCs w:val="22"/>
          <w:lang w:val="lv-LV"/>
        </w:rPr>
        <w:t>eīna</w:t>
      </w:r>
      <w:proofErr w:type="spellEnd"/>
      <w:r w:rsidR="008A6E8A" w:rsidRPr="006B7DEB">
        <w:rPr>
          <w:sz w:val="22"/>
          <w:szCs w:val="22"/>
          <w:lang w:val="lv-LV"/>
        </w:rPr>
        <w:t xml:space="preserve"> efektivitāte saglabājas 24 </w:t>
      </w:r>
      <w:r w:rsidRPr="006B7DEB">
        <w:rPr>
          <w:sz w:val="22"/>
          <w:szCs w:val="22"/>
          <w:lang w:val="lv-LV"/>
        </w:rPr>
        <w:t>stundas, iespējams arī ilgāk.</w:t>
      </w:r>
    </w:p>
    <w:p w14:paraId="7D4847F1" w14:textId="77777777" w:rsidR="007946E0" w:rsidRPr="006B7DEB" w:rsidRDefault="004E4A1E" w:rsidP="000E07C1">
      <w:pPr>
        <w:rPr>
          <w:b/>
          <w:sz w:val="22"/>
          <w:szCs w:val="22"/>
          <w:lang w:val="lv-LV"/>
        </w:rPr>
      </w:pPr>
      <w:r w:rsidRPr="006B7DEB">
        <w:rPr>
          <w:b/>
          <w:sz w:val="22"/>
          <w:szCs w:val="22"/>
          <w:lang w:val="lv-LV"/>
        </w:rPr>
        <w:lastRenderedPageBreak/>
        <w:t>5.</w:t>
      </w:r>
      <w:r w:rsidRPr="006B7DEB">
        <w:rPr>
          <w:b/>
          <w:sz w:val="22"/>
          <w:szCs w:val="22"/>
          <w:lang w:val="lv-LV"/>
        </w:rPr>
        <w:tab/>
      </w:r>
      <w:r w:rsidR="007946E0" w:rsidRPr="006B7DEB">
        <w:rPr>
          <w:b/>
          <w:sz w:val="22"/>
          <w:szCs w:val="22"/>
          <w:lang w:val="lv-LV"/>
        </w:rPr>
        <w:t>FARMAKOLOĢISKĀS ĪPAŠĪBAS</w:t>
      </w:r>
    </w:p>
    <w:p w14:paraId="58FCEE5F" w14:textId="77777777" w:rsidR="007946E0" w:rsidRPr="006B7DEB" w:rsidRDefault="007946E0" w:rsidP="000E07C1">
      <w:pPr>
        <w:rPr>
          <w:sz w:val="22"/>
          <w:szCs w:val="22"/>
          <w:lang w:val="lv-LV"/>
        </w:rPr>
      </w:pPr>
    </w:p>
    <w:p w14:paraId="7A519C3B" w14:textId="77777777" w:rsidR="007946E0" w:rsidRPr="006B7DEB" w:rsidRDefault="004E4A1E" w:rsidP="000E07C1">
      <w:pPr>
        <w:rPr>
          <w:b/>
          <w:sz w:val="22"/>
          <w:szCs w:val="22"/>
          <w:lang w:val="lv-LV"/>
        </w:rPr>
      </w:pPr>
      <w:r w:rsidRPr="006B7DEB">
        <w:rPr>
          <w:b/>
          <w:sz w:val="22"/>
          <w:szCs w:val="22"/>
          <w:lang w:val="lv-LV"/>
        </w:rPr>
        <w:t>5.1</w:t>
      </w:r>
      <w:r w:rsidR="00F30396" w:rsidRPr="006B7DEB">
        <w:rPr>
          <w:b/>
          <w:sz w:val="22"/>
          <w:szCs w:val="22"/>
          <w:lang w:val="lv-LV"/>
        </w:rPr>
        <w:t>.</w:t>
      </w:r>
      <w:r w:rsidRPr="006B7DEB">
        <w:rPr>
          <w:b/>
          <w:sz w:val="22"/>
          <w:szCs w:val="22"/>
          <w:lang w:val="lv-LV"/>
        </w:rPr>
        <w:tab/>
      </w:r>
      <w:proofErr w:type="spellStart"/>
      <w:r w:rsidR="007946E0" w:rsidRPr="006B7DEB">
        <w:rPr>
          <w:b/>
          <w:sz w:val="22"/>
          <w:szCs w:val="22"/>
          <w:lang w:val="lv-LV"/>
        </w:rPr>
        <w:t>Farmakodinamiskās</w:t>
      </w:r>
      <w:proofErr w:type="spellEnd"/>
      <w:r w:rsidR="007946E0" w:rsidRPr="006B7DEB">
        <w:rPr>
          <w:b/>
          <w:sz w:val="22"/>
          <w:szCs w:val="22"/>
          <w:lang w:val="lv-LV"/>
        </w:rPr>
        <w:t xml:space="preserve"> īpašības</w:t>
      </w:r>
    </w:p>
    <w:p w14:paraId="27E38EF4" w14:textId="77777777" w:rsidR="004E4A1E" w:rsidRPr="006B7DEB" w:rsidRDefault="004E4A1E" w:rsidP="000E07C1">
      <w:pPr>
        <w:rPr>
          <w:sz w:val="22"/>
          <w:szCs w:val="22"/>
          <w:lang w:val="lv-LV"/>
        </w:rPr>
      </w:pPr>
    </w:p>
    <w:p w14:paraId="5FEFE282" w14:textId="77777777" w:rsidR="00EF10B8" w:rsidRPr="006B7DEB" w:rsidRDefault="00E327BB" w:rsidP="000E07C1">
      <w:pPr>
        <w:rPr>
          <w:spacing w:val="-2"/>
          <w:sz w:val="22"/>
          <w:szCs w:val="22"/>
          <w:lang w:val="lv-LV"/>
        </w:rPr>
      </w:pPr>
      <w:proofErr w:type="spellStart"/>
      <w:r w:rsidRPr="006B7DEB">
        <w:rPr>
          <w:spacing w:val="-2"/>
          <w:sz w:val="22"/>
          <w:szCs w:val="22"/>
          <w:lang w:val="lv-LV"/>
        </w:rPr>
        <w:t>Farmakoterapeitiskā</w:t>
      </w:r>
      <w:proofErr w:type="spellEnd"/>
      <w:r w:rsidRPr="006B7DEB">
        <w:rPr>
          <w:spacing w:val="-2"/>
          <w:sz w:val="22"/>
          <w:szCs w:val="22"/>
          <w:lang w:val="lv-LV"/>
        </w:rPr>
        <w:t xml:space="preserve"> grupa: </w:t>
      </w:r>
      <w:r w:rsidR="00F30396" w:rsidRPr="006B7DEB">
        <w:rPr>
          <w:spacing w:val="-2"/>
          <w:sz w:val="22"/>
          <w:szCs w:val="22"/>
          <w:lang w:val="lv-LV"/>
        </w:rPr>
        <w:t>citi pretsāpju</w:t>
      </w:r>
      <w:r w:rsidR="004E4A1E" w:rsidRPr="006B7DEB">
        <w:rPr>
          <w:spacing w:val="-2"/>
          <w:sz w:val="22"/>
          <w:szCs w:val="22"/>
          <w:lang w:val="lv-LV"/>
        </w:rPr>
        <w:t xml:space="preserve"> un pretdrudža līdzek</w:t>
      </w:r>
      <w:r w:rsidR="00F30396" w:rsidRPr="006B7DEB">
        <w:rPr>
          <w:spacing w:val="-2"/>
          <w:sz w:val="22"/>
          <w:szCs w:val="22"/>
          <w:lang w:val="lv-LV"/>
        </w:rPr>
        <w:t>ļi, anilīna atvasinājumi</w:t>
      </w:r>
      <w:r w:rsidR="004E4A1E" w:rsidRPr="006B7DEB">
        <w:rPr>
          <w:spacing w:val="-2"/>
          <w:sz w:val="22"/>
          <w:szCs w:val="22"/>
          <w:lang w:val="lv-LV"/>
        </w:rPr>
        <w:t>,</w:t>
      </w:r>
    </w:p>
    <w:p w14:paraId="10D17417" w14:textId="77777777" w:rsidR="007946E0" w:rsidRPr="006B7DEB" w:rsidRDefault="004E4A1E" w:rsidP="000E07C1">
      <w:pPr>
        <w:rPr>
          <w:sz w:val="22"/>
          <w:szCs w:val="22"/>
          <w:lang w:val="lv-LV"/>
        </w:rPr>
      </w:pPr>
      <w:r w:rsidRPr="006B7DEB">
        <w:rPr>
          <w:sz w:val="22"/>
          <w:szCs w:val="22"/>
          <w:lang w:val="lv-LV"/>
        </w:rPr>
        <w:t>ATĶ</w:t>
      </w:r>
      <w:r w:rsidR="00135F4D" w:rsidRPr="006B7DEB">
        <w:rPr>
          <w:sz w:val="22"/>
          <w:szCs w:val="22"/>
          <w:lang w:val="lv-LV"/>
        </w:rPr>
        <w:t> </w:t>
      </w:r>
      <w:r w:rsidRPr="006B7DEB">
        <w:rPr>
          <w:sz w:val="22"/>
          <w:szCs w:val="22"/>
          <w:lang w:val="lv-LV"/>
        </w:rPr>
        <w:t>kods</w:t>
      </w:r>
      <w:r w:rsidR="00AD5F52" w:rsidRPr="006B7DEB">
        <w:rPr>
          <w:sz w:val="22"/>
          <w:szCs w:val="22"/>
          <w:lang w:val="lv-LV"/>
        </w:rPr>
        <w:t>:</w:t>
      </w:r>
      <w:r w:rsidRPr="006B7DEB">
        <w:rPr>
          <w:sz w:val="22"/>
          <w:szCs w:val="22"/>
          <w:lang w:val="lv-LV"/>
        </w:rPr>
        <w:t xml:space="preserve"> </w:t>
      </w:r>
      <w:r w:rsidR="007946E0" w:rsidRPr="006B7DEB">
        <w:rPr>
          <w:sz w:val="22"/>
          <w:szCs w:val="22"/>
          <w:lang w:val="lv-LV"/>
        </w:rPr>
        <w:t>N02BE01</w:t>
      </w:r>
    </w:p>
    <w:p w14:paraId="4E5F482F" w14:textId="77777777" w:rsidR="004E4A1E" w:rsidRPr="006B7DEB" w:rsidRDefault="004E4A1E" w:rsidP="000E07C1">
      <w:pPr>
        <w:rPr>
          <w:sz w:val="22"/>
          <w:szCs w:val="22"/>
          <w:lang w:val="lv-LV"/>
        </w:rPr>
      </w:pPr>
    </w:p>
    <w:p w14:paraId="386104E6" w14:textId="77777777" w:rsidR="007946E0" w:rsidRPr="006B7DEB" w:rsidRDefault="007946E0" w:rsidP="000E07C1">
      <w:pPr>
        <w:rPr>
          <w:sz w:val="22"/>
          <w:szCs w:val="22"/>
          <w:lang w:val="lv-LV"/>
        </w:rPr>
      </w:pPr>
      <w:proofErr w:type="spellStart"/>
      <w:r w:rsidRPr="006B7DEB">
        <w:rPr>
          <w:sz w:val="22"/>
          <w:szCs w:val="22"/>
          <w:lang w:val="lv-LV"/>
        </w:rPr>
        <w:t>Paracetamola</w:t>
      </w:r>
      <w:proofErr w:type="spellEnd"/>
      <w:r w:rsidRPr="006B7DEB">
        <w:rPr>
          <w:sz w:val="22"/>
          <w:szCs w:val="22"/>
          <w:lang w:val="lv-LV"/>
        </w:rPr>
        <w:t xml:space="preserve"> pretsāpju darbības pamatā ir tā spēja kavēt prostaglandīnu sintēzi.</w:t>
      </w:r>
      <w:r w:rsidR="00D266E4" w:rsidRPr="006B7DEB">
        <w:rPr>
          <w:sz w:val="22"/>
          <w:szCs w:val="22"/>
          <w:lang w:val="lv-LV"/>
        </w:rPr>
        <w:t xml:space="preserve"> </w:t>
      </w:r>
      <w:r w:rsidRPr="006B7DEB">
        <w:rPr>
          <w:sz w:val="22"/>
          <w:szCs w:val="22"/>
          <w:lang w:val="lv-LV"/>
        </w:rPr>
        <w:t>Temperatūru pazeminošā darbība saistīta ar tā ietekmi uz hipotal</w:t>
      </w:r>
      <w:r w:rsidR="007761F0" w:rsidRPr="006B7DEB">
        <w:rPr>
          <w:sz w:val="22"/>
          <w:szCs w:val="22"/>
          <w:lang w:val="lv-LV"/>
        </w:rPr>
        <w:t>āma</w:t>
      </w:r>
      <w:r w:rsidRPr="006B7DEB">
        <w:rPr>
          <w:sz w:val="22"/>
          <w:szCs w:val="22"/>
          <w:lang w:val="lv-LV"/>
        </w:rPr>
        <w:t xml:space="preserve"> termoregulācijas centru, temperatūras pazemināšanos izraisa perifēriskās asins plūsmas pastiprināšanās un pastiprināta svīšana.</w:t>
      </w:r>
    </w:p>
    <w:p w14:paraId="5DB8304C" w14:textId="77777777" w:rsidR="00D92BCF" w:rsidRPr="006B7DEB" w:rsidRDefault="00D92BCF" w:rsidP="000E07C1">
      <w:pPr>
        <w:rPr>
          <w:sz w:val="22"/>
          <w:szCs w:val="22"/>
          <w:lang w:val="lv-LV"/>
        </w:rPr>
      </w:pPr>
    </w:p>
    <w:p w14:paraId="7E21C69F" w14:textId="77777777" w:rsidR="007946E0" w:rsidRPr="006B7DEB" w:rsidRDefault="007946E0" w:rsidP="000E07C1">
      <w:pPr>
        <w:rPr>
          <w:b/>
          <w:sz w:val="22"/>
          <w:szCs w:val="22"/>
          <w:lang w:val="lv-LV"/>
        </w:rPr>
      </w:pPr>
      <w:r w:rsidRPr="006B7DEB">
        <w:rPr>
          <w:b/>
          <w:sz w:val="22"/>
          <w:szCs w:val="22"/>
          <w:lang w:val="lv-LV"/>
        </w:rPr>
        <w:t>5.</w:t>
      </w:r>
      <w:r w:rsidR="004E4A1E" w:rsidRPr="006B7DEB">
        <w:rPr>
          <w:b/>
          <w:sz w:val="22"/>
          <w:szCs w:val="22"/>
          <w:lang w:val="lv-LV"/>
        </w:rPr>
        <w:t>2</w:t>
      </w:r>
      <w:r w:rsidR="00D45FF3" w:rsidRPr="006B7DEB">
        <w:rPr>
          <w:b/>
          <w:sz w:val="22"/>
          <w:szCs w:val="22"/>
          <w:lang w:val="lv-LV"/>
        </w:rPr>
        <w:t>.</w:t>
      </w:r>
      <w:r w:rsidR="004E4A1E" w:rsidRPr="006B7DEB">
        <w:rPr>
          <w:b/>
          <w:sz w:val="22"/>
          <w:szCs w:val="22"/>
          <w:lang w:val="lv-LV"/>
        </w:rPr>
        <w:tab/>
      </w:r>
      <w:proofErr w:type="spellStart"/>
      <w:r w:rsidRPr="006B7DEB">
        <w:rPr>
          <w:b/>
          <w:sz w:val="22"/>
          <w:szCs w:val="22"/>
          <w:lang w:val="lv-LV"/>
        </w:rPr>
        <w:t>Farmakokinētiskās</w:t>
      </w:r>
      <w:proofErr w:type="spellEnd"/>
      <w:r w:rsidRPr="006B7DEB">
        <w:rPr>
          <w:b/>
          <w:sz w:val="22"/>
          <w:szCs w:val="22"/>
          <w:lang w:val="lv-LV"/>
        </w:rPr>
        <w:t xml:space="preserve"> īpašības</w:t>
      </w:r>
    </w:p>
    <w:p w14:paraId="70CDBAFE" w14:textId="77777777" w:rsidR="004E4A1E" w:rsidRPr="006B7DEB" w:rsidRDefault="004E4A1E" w:rsidP="000E07C1">
      <w:pPr>
        <w:rPr>
          <w:sz w:val="22"/>
          <w:szCs w:val="22"/>
          <w:lang w:val="lv-LV"/>
        </w:rPr>
      </w:pPr>
    </w:p>
    <w:p w14:paraId="1F8B9E95" w14:textId="77777777" w:rsidR="007946E0" w:rsidRPr="006B7DEB" w:rsidRDefault="007946E0" w:rsidP="000E07C1">
      <w:pPr>
        <w:rPr>
          <w:sz w:val="22"/>
          <w:szCs w:val="22"/>
          <w:lang w:val="lv-LV"/>
        </w:rPr>
      </w:pPr>
      <w:proofErr w:type="spellStart"/>
      <w:r w:rsidRPr="006B7DEB">
        <w:rPr>
          <w:sz w:val="22"/>
          <w:szCs w:val="22"/>
          <w:lang w:val="lv-LV"/>
        </w:rPr>
        <w:t>Paracetamols</w:t>
      </w:r>
      <w:proofErr w:type="spellEnd"/>
      <w:r w:rsidRPr="006B7DEB">
        <w:rPr>
          <w:sz w:val="22"/>
          <w:szCs w:val="22"/>
          <w:lang w:val="lv-LV"/>
        </w:rPr>
        <w:t xml:space="preserve"> labi uzsūcas no kuņģa un zarnu trakta, maksimālā koncen</w:t>
      </w:r>
      <w:r w:rsidR="00D45FF3" w:rsidRPr="006B7DEB">
        <w:rPr>
          <w:sz w:val="22"/>
          <w:szCs w:val="22"/>
          <w:lang w:val="lv-LV"/>
        </w:rPr>
        <w:t>trācija plazmā tiek sasniegta ½</w:t>
      </w:r>
      <w:r w:rsidR="00D45FF3" w:rsidRPr="006B7DEB">
        <w:rPr>
          <w:sz w:val="22"/>
          <w:szCs w:val="22"/>
          <w:lang w:val="lv-LV"/>
        </w:rPr>
        <w:noBreakHyphen/>
      </w:r>
      <w:r w:rsidRPr="006B7DEB">
        <w:rPr>
          <w:sz w:val="22"/>
          <w:szCs w:val="22"/>
          <w:lang w:val="lv-LV"/>
        </w:rPr>
        <w:t>2</w:t>
      </w:r>
      <w:r w:rsidR="00D45FF3" w:rsidRPr="006B7DEB">
        <w:rPr>
          <w:sz w:val="22"/>
          <w:szCs w:val="22"/>
          <w:lang w:val="lv-LV"/>
        </w:rPr>
        <w:t> </w:t>
      </w:r>
      <w:r w:rsidRPr="006B7DEB">
        <w:rPr>
          <w:sz w:val="22"/>
          <w:szCs w:val="22"/>
          <w:lang w:val="lv-LV"/>
        </w:rPr>
        <w:t>stund</w:t>
      </w:r>
      <w:r w:rsidR="00D552D0" w:rsidRPr="006B7DEB">
        <w:rPr>
          <w:sz w:val="22"/>
          <w:szCs w:val="22"/>
          <w:lang w:val="lv-LV"/>
        </w:rPr>
        <w:t>u laikā</w:t>
      </w:r>
      <w:r w:rsidRPr="006B7DEB">
        <w:rPr>
          <w:sz w:val="22"/>
          <w:szCs w:val="22"/>
          <w:lang w:val="lv-LV"/>
        </w:rPr>
        <w:t xml:space="preserve"> pēc perorālas lietošanas. </w:t>
      </w:r>
      <w:proofErr w:type="spellStart"/>
      <w:r w:rsidRPr="006B7DEB">
        <w:rPr>
          <w:sz w:val="22"/>
          <w:szCs w:val="22"/>
          <w:lang w:val="lv-LV"/>
        </w:rPr>
        <w:t>Paracetamols</w:t>
      </w:r>
      <w:proofErr w:type="spellEnd"/>
      <w:r w:rsidRPr="006B7DEB">
        <w:rPr>
          <w:sz w:val="22"/>
          <w:szCs w:val="22"/>
          <w:lang w:val="lv-LV"/>
        </w:rPr>
        <w:t xml:space="preserve"> nonāk lielākajā daļā audu, šķērso </w:t>
      </w:r>
      <w:proofErr w:type="spellStart"/>
      <w:r w:rsidRPr="006B7DEB">
        <w:rPr>
          <w:sz w:val="22"/>
          <w:szCs w:val="22"/>
          <w:lang w:val="lv-LV"/>
        </w:rPr>
        <w:t>placentāro</w:t>
      </w:r>
      <w:proofErr w:type="spellEnd"/>
      <w:r w:rsidRPr="006B7DEB">
        <w:rPr>
          <w:sz w:val="22"/>
          <w:szCs w:val="22"/>
          <w:lang w:val="lv-LV"/>
        </w:rPr>
        <w:t xml:space="preserve"> barjeru</w:t>
      </w:r>
      <w:r w:rsidR="00E753A5" w:rsidRPr="006B7DEB">
        <w:rPr>
          <w:sz w:val="22"/>
          <w:szCs w:val="22"/>
          <w:lang w:val="lv-LV"/>
        </w:rPr>
        <w:t xml:space="preserve"> un</w:t>
      </w:r>
      <w:r w:rsidRPr="006B7DEB">
        <w:rPr>
          <w:sz w:val="22"/>
          <w:szCs w:val="22"/>
          <w:lang w:val="lv-LV"/>
        </w:rPr>
        <w:t xml:space="preserve"> izdalās </w:t>
      </w:r>
      <w:r w:rsidR="00D7211F" w:rsidRPr="006B7DEB">
        <w:rPr>
          <w:sz w:val="22"/>
          <w:szCs w:val="22"/>
          <w:lang w:val="lv-LV"/>
        </w:rPr>
        <w:t xml:space="preserve">ar </w:t>
      </w:r>
      <w:r w:rsidRPr="006B7DEB">
        <w:rPr>
          <w:sz w:val="22"/>
          <w:szCs w:val="22"/>
          <w:lang w:val="lv-LV"/>
        </w:rPr>
        <w:t>mātes pien</w:t>
      </w:r>
      <w:r w:rsidR="00D7211F" w:rsidRPr="006B7DEB">
        <w:rPr>
          <w:sz w:val="22"/>
          <w:szCs w:val="22"/>
          <w:lang w:val="lv-LV"/>
        </w:rPr>
        <w:t>u</w:t>
      </w:r>
      <w:r w:rsidRPr="006B7DEB">
        <w:rPr>
          <w:sz w:val="22"/>
          <w:szCs w:val="22"/>
          <w:lang w:val="lv-LV"/>
        </w:rPr>
        <w:t xml:space="preserve">. </w:t>
      </w:r>
      <w:proofErr w:type="spellStart"/>
      <w:r w:rsidRPr="006B7DEB">
        <w:rPr>
          <w:sz w:val="22"/>
          <w:szCs w:val="22"/>
          <w:lang w:val="lv-LV"/>
        </w:rPr>
        <w:t>Paracetamols</w:t>
      </w:r>
      <w:proofErr w:type="spellEnd"/>
      <w:r w:rsidRPr="006B7DEB">
        <w:rPr>
          <w:sz w:val="22"/>
          <w:szCs w:val="22"/>
          <w:lang w:val="lv-LV"/>
        </w:rPr>
        <w:t xml:space="preserve"> </w:t>
      </w:r>
      <w:proofErr w:type="spellStart"/>
      <w:r w:rsidRPr="006B7DEB">
        <w:rPr>
          <w:sz w:val="22"/>
          <w:szCs w:val="22"/>
          <w:lang w:val="lv-LV"/>
        </w:rPr>
        <w:t>metabolizējas</w:t>
      </w:r>
      <w:proofErr w:type="spellEnd"/>
      <w:r w:rsidRPr="006B7DEB">
        <w:rPr>
          <w:sz w:val="22"/>
          <w:szCs w:val="22"/>
          <w:lang w:val="lv-LV"/>
        </w:rPr>
        <w:t xml:space="preserve"> aknās un izdalās ar urīnu galvenokārt </w:t>
      </w:r>
      <w:proofErr w:type="spellStart"/>
      <w:r w:rsidRPr="006B7DEB">
        <w:rPr>
          <w:sz w:val="22"/>
          <w:szCs w:val="22"/>
          <w:lang w:val="lv-LV"/>
        </w:rPr>
        <w:t>glikuronīdu</w:t>
      </w:r>
      <w:proofErr w:type="spellEnd"/>
      <w:r w:rsidRPr="006B7DEB">
        <w:rPr>
          <w:sz w:val="22"/>
          <w:szCs w:val="22"/>
          <w:lang w:val="lv-LV"/>
        </w:rPr>
        <w:t xml:space="preserve"> un sulfā</w:t>
      </w:r>
      <w:r w:rsidR="00832188" w:rsidRPr="006B7DEB">
        <w:rPr>
          <w:sz w:val="22"/>
          <w:szCs w:val="22"/>
          <w:lang w:val="lv-LV"/>
        </w:rPr>
        <w:t xml:space="preserve">tu </w:t>
      </w:r>
      <w:proofErr w:type="spellStart"/>
      <w:r w:rsidR="00832188" w:rsidRPr="006B7DEB">
        <w:rPr>
          <w:sz w:val="22"/>
          <w:szCs w:val="22"/>
          <w:lang w:val="lv-LV"/>
        </w:rPr>
        <w:t>konjugātu</w:t>
      </w:r>
      <w:proofErr w:type="spellEnd"/>
      <w:r w:rsidR="00832188" w:rsidRPr="006B7DEB">
        <w:rPr>
          <w:sz w:val="22"/>
          <w:szCs w:val="22"/>
          <w:lang w:val="lv-LV"/>
        </w:rPr>
        <w:t xml:space="preserve"> veidā, aptuveni 10 </w:t>
      </w:r>
      <w:r w:rsidRPr="006B7DEB">
        <w:rPr>
          <w:sz w:val="22"/>
          <w:szCs w:val="22"/>
          <w:lang w:val="lv-LV"/>
        </w:rPr>
        <w:t xml:space="preserve">% – </w:t>
      </w:r>
      <w:proofErr w:type="spellStart"/>
      <w:r w:rsidRPr="006B7DEB">
        <w:rPr>
          <w:sz w:val="22"/>
          <w:szCs w:val="22"/>
          <w:lang w:val="lv-LV"/>
        </w:rPr>
        <w:t>glutationa</w:t>
      </w:r>
      <w:proofErr w:type="spellEnd"/>
      <w:r w:rsidRPr="006B7DEB">
        <w:rPr>
          <w:sz w:val="22"/>
          <w:szCs w:val="22"/>
          <w:lang w:val="lv-LV"/>
        </w:rPr>
        <w:t xml:space="preserve"> </w:t>
      </w:r>
      <w:proofErr w:type="spellStart"/>
      <w:r w:rsidRPr="006B7DEB">
        <w:rPr>
          <w:sz w:val="22"/>
          <w:szCs w:val="22"/>
          <w:lang w:val="lv-LV"/>
        </w:rPr>
        <w:t>konjugātu</w:t>
      </w:r>
      <w:proofErr w:type="spellEnd"/>
      <w:r w:rsidRPr="006B7DEB">
        <w:rPr>
          <w:sz w:val="22"/>
          <w:szCs w:val="22"/>
          <w:lang w:val="lv-LV"/>
        </w:rPr>
        <w:t xml:space="preserve"> veidā. Mazāk par 5 % </w:t>
      </w:r>
      <w:proofErr w:type="spellStart"/>
      <w:r w:rsidRPr="006B7DEB">
        <w:rPr>
          <w:sz w:val="22"/>
          <w:szCs w:val="22"/>
          <w:lang w:val="lv-LV"/>
        </w:rPr>
        <w:t>paracetamola</w:t>
      </w:r>
      <w:proofErr w:type="spellEnd"/>
      <w:r w:rsidRPr="006B7DEB">
        <w:rPr>
          <w:sz w:val="22"/>
          <w:szCs w:val="22"/>
          <w:lang w:val="lv-LV"/>
        </w:rPr>
        <w:t xml:space="preserve"> izdalās neizmainītā veid</w:t>
      </w:r>
      <w:r w:rsidR="00AD5F52" w:rsidRPr="006B7DEB">
        <w:rPr>
          <w:sz w:val="22"/>
          <w:szCs w:val="22"/>
          <w:lang w:val="lv-LV"/>
        </w:rPr>
        <w:t xml:space="preserve">ā. Eliminācijas pusperiods </w:t>
      </w:r>
      <w:r w:rsidR="00D45FF3" w:rsidRPr="006B7DEB">
        <w:rPr>
          <w:sz w:val="22"/>
          <w:szCs w:val="22"/>
          <w:lang w:val="lv-LV"/>
        </w:rPr>
        <w:t>ir 1</w:t>
      </w:r>
      <w:r w:rsidR="00D45FF3" w:rsidRPr="006B7DEB">
        <w:rPr>
          <w:sz w:val="22"/>
          <w:szCs w:val="22"/>
          <w:lang w:val="lv-LV"/>
        </w:rPr>
        <w:noBreakHyphen/>
      </w:r>
      <w:r w:rsidR="00832188" w:rsidRPr="006B7DEB">
        <w:rPr>
          <w:sz w:val="22"/>
          <w:szCs w:val="22"/>
          <w:lang w:val="lv-LV"/>
        </w:rPr>
        <w:t>4 </w:t>
      </w:r>
      <w:r w:rsidRPr="006B7DEB">
        <w:rPr>
          <w:sz w:val="22"/>
          <w:szCs w:val="22"/>
          <w:lang w:val="lv-LV"/>
        </w:rPr>
        <w:t>stundas. Saistības pakā</w:t>
      </w:r>
      <w:r w:rsidR="00E3344A" w:rsidRPr="006B7DEB">
        <w:rPr>
          <w:sz w:val="22"/>
          <w:szCs w:val="22"/>
          <w:lang w:val="lv-LV"/>
        </w:rPr>
        <w:t xml:space="preserve">pe ar plazmas olbaltumvielām ir </w:t>
      </w:r>
      <w:r w:rsidRPr="006B7DEB">
        <w:rPr>
          <w:sz w:val="22"/>
          <w:szCs w:val="22"/>
          <w:lang w:val="lv-LV"/>
        </w:rPr>
        <w:t>atkarīga no devas, lietojot terapeitiskas devas, tā ir neliela.</w:t>
      </w:r>
    </w:p>
    <w:p w14:paraId="4A4F7ACB" w14:textId="77777777" w:rsidR="007946E0" w:rsidRPr="006B7DEB" w:rsidRDefault="007946E0" w:rsidP="000E07C1">
      <w:pPr>
        <w:rPr>
          <w:sz w:val="22"/>
          <w:szCs w:val="22"/>
          <w:lang w:val="lv-LV"/>
        </w:rPr>
      </w:pPr>
    </w:p>
    <w:p w14:paraId="66268E38" w14:textId="77777777" w:rsidR="007946E0" w:rsidRPr="006B7DEB" w:rsidRDefault="00AD5F52" w:rsidP="000E07C1">
      <w:pPr>
        <w:rPr>
          <w:b/>
          <w:sz w:val="22"/>
          <w:szCs w:val="22"/>
          <w:lang w:val="lv-LV"/>
        </w:rPr>
      </w:pPr>
      <w:r w:rsidRPr="006B7DEB">
        <w:rPr>
          <w:b/>
          <w:sz w:val="22"/>
          <w:szCs w:val="22"/>
          <w:lang w:val="lv-LV"/>
        </w:rPr>
        <w:t>5.3</w:t>
      </w:r>
      <w:r w:rsidR="00D45FF3" w:rsidRPr="006B7DEB">
        <w:rPr>
          <w:b/>
          <w:sz w:val="22"/>
          <w:szCs w:val="22"/>
          <w:lang w:val="lv-LV"/>
        </w:rPr>
        <w:t>.</w:t>
      </w:r>
      <w:r w:rsidRPr="006B7DEB">
        <w:rPr>
          <w:b/>
          <w:sz w:val="22"/>
          <w:szCs w:val="22"/>
          <w:lang w:val="lv-LV"/>
        </w:rPr>
        <w:tab/>
      </w:r>
      <w:proofErr w:type="spellStart"/>
      <w:r w:rsidR="007946E0" w:rsidRPr="006B7DEB">
        <w:rPr>
          <w:b/>
          <w:sz w:val="22"/>
          <w:szCs w:val="22"/>
          <w:lang w:val="lv-LV"/>
        </w:rPr>
        <w:t>Preklīniskie</w:t>
      </w:r>
      <w:proofErr w:type="spellEnd"/>
      <w:r w:rsidR="007946E0" w:rsidRPr="006B7DEB">
        <w:rPr>
          <w:b/>
          <w:sz w:val="22"/>
          <w:szCs w:val="22"/>
          <w:lang w:val="lv-LV"/>
        </w:rPr>
        <w:t xml:space="preserve"> dati par droš</w:t>
      </w:r>
      <w:r w:rsidR="00D45FF3" w:rsidRPr="006B7DEB">
        <w:rPr>
          <w:b/>
          <w:sz w:val="22"/>
          <w:szCs w:val="22"/>
          <w:lang w:val="lv-LV"/>
        </w:rPr>
        <w:t>umu</w:t>
      </w:r>
    </w:p>
    <w:p w14:paraId="702AD754" w14:textId="77777777" w:rsidR="00D025D1" w:rsidRPr="006B7DEB" w:rsidRDefault="00D025D1" w:rsidP="000E07C1">
      <w:pPr>
        <w:rPr>
          <w:sz w:val="22"/>
          <w:szCs w:val="22"/>
          <w:lang w:val="lv-LV"/>
        </w:rPr>
      </w:pPr>
    </w:p>
    <w:p w14:paraId="36939B51" w14:textId="77777777" w:rsidR="007946E0" w:rsidRPr="006B7DEB" w:rsidRDefault="00E4341B" w:rsidP="000E07C1">
      <w:pPr>
        <w:rPr>
          <w:sz w:val="22"/>
          <w:szCs w:val="22"/>
          <w:lang w:val="lv-LV"/>
        </w:rPr>
      </w:pPr>
      <w:proofErr w:type="spellStart"/>
      <w:r w:rsidRPr="006B7DEB">
        <w:rPr>
          <w:sz w:val="22"/>
          <w:szCs w:val="22"/>
          <w:lang w:val="lv-LV"/>
        </w:rPr>
        <w:t>Standartpētījumi</w:t>
      </w:r>
      <w:proofErr w:type="spellEnd"/>
      <w:r w:rsidRPr="006B7DEB">
        <w:rPr>
          <w:sz w:val="22"/>
          <w:szCs w:val="22"/>
          <w:lang w:val="lv-LV"/>
        </w:rPr>
        <w:t xml:space="preserve">, izmantojot šobrīd spēkā esošos standartus toksiskas ietekmes uz </w:t>
      </w:r>
      <w:proofErr w:type="spellStart"/>
      <w:r w:rsidRPr="006B7DEB">
        <w:rPr>
          <w:sz w:val="22"/>
          <w:szCs w:val="22"/>
          <w:lang w:val="lv-LV"/>
        </w:rPr>
        <w:t>reproduktivitāti</w:t>
      </w:r>
      <w:proofErr w:type="spellEnd"/>
      <w:r w:rsidRPr="006B7DEB">
        <w:rPr>
          <w:sz w:val="22"/>
          <w:szCs w:val="22"/>
          <w:lang w:val="lv-LV"/>
        </w:rPr>
        <w:t xml:space="preserve"> un attīstību vērtēšanai, nav pieejami</w:t>
      </w:r>
      <w:r w:rsidR="007946E0" w:rsidRPr="006B7DEB">
        <w:rPr>
          <w:sz w:val="22"/>
          <w:szCs w:val="22"/>
          <w:lang w:val="lv-LV"/>
        </w:rPr>
        <w:t>.</w:t>
      </w:r>
    </w:p>
    <w:p w14:paraId="57BA382F" w14:textId="77777777" w:rsidR="00EE60C9" w:rsidRPr="006B7DEB" w:rsidRDefault="00EE60C9" w:rsidP="000E07C1">
      <w:pPr>
        <w:rPr>
          <w:sz w:val="22"/>
          <w:szCs w:val="22"/>
          <w:lang w:val="lv-LV"/>
        </w:rPr>
      </w:pPr>
    </w:p>
    <w:p w14:paraId="1E0A4109" w14:textId="77777777" w:rsidR="00A01041" w:rsidRPr="006B7DEB" w:rsidRDefault="00A01041" w:rsidP="000E07C1">
      <w:pPr>
        <w:rPr>
          <w:sz w:val="22"/>
          <w:szCs w:val="22"/>
          <w:lang w:val="lv-LV"/>
        </w:rPr>
      </w:pPr>
    </w:p>
    <w:p w14:paraId="0A6DC792" w14:textId="77777777" w:rsidR="007946E0" w:rsidRPr="006B7DEB" w:rsidRDefault="00AD5F52" w:rsidP="000E07C1">
      <w:pPr>
        <w:rPr>
          <w:b/>
          <w:sz w:val="22"/>
          <w:szCs w:val="22"/>
          <w:lang w:val="lv-LV"/>
        </w:rPr>
      </w:pPr>
      <w:r w:rsidRPr="006B7DEB">
        <w:rPr>
          <w:b/>
          <w:sz w:val="22"/>
          <w:szCs w:val="22"/>
          <w:lang w:val="lv-LV"/>
        </w:rPr>
        <w:t>6.</w:t>
      </w:r>
      <w:r w:rsidRPr="006B7DEB">
        <w:rPr>
          <w:b/>
          <w:sz w:val="22"/>
          <w:szCs w:val="22"/>
          <w:lang w:val="lv-LV"/>
        </w:rPr>
        <w:tab/>
      </w:r>
      <w:r w:rsidR="007946E0" w:rsidRPr="006B7DEB">
        <w:rPr>
          <w:b/>
          <w:sz w:val="22"/>
          <w:szCs w:val="22"/>
          <w:lang w:val="lv-LV"/>
        </w:rPr>
        <w:t>FARMACEITISKĀ INFORMĀCIJA</w:t>
      </w:r>
    </w:p>
    <w:p w14:paraId="308DE297" w14:textId="77777777" w:rsidR="007946E0" w:rsidRPr="006B7DEB" w:rsidRDefault="007946E0" w:rsidP="000E07C1">
      <w:pPr>
        <w:rPr>
          <w:sz w:val="22"/>
          <w:szCs w:val="22"/>
          <w:lang w:val="lv-LV"/>
        </w:rPr>
      </w:pPr>
    </w:p>
    <w:p w14:paraId="4E3A7752" w14:textId="77777777" w:rsidR="007946E0" w:rsidRPr="006B7DEB" w:rsidRDefault="00AD5F52" w:rsidP="000E07C1">
      <w:pPr>
        <w:rPr>
          <w:b/>
          <w:sz w:val="22"/>
          <w:szCs w:val="22"/>
          <w:lang w:val="lv-LV"/>
        </w:rPr>
      </w:pPr>
      <w:r w:rsidRPr="006B7DEB">
        <w:rPr>
          <w:b/>
          <w:sz w:val="22"/>
          <w:szCs w:val="22"/>
          <w:lang w:val="lv-LV"/>
        </w:rPr>
        <w:t>6.1</w:t>
      </w:r>
      <w:r w:rsidR="00D45FF3" w:rsidRPr="006B7DEB">
        <w:rPr>
          <w:b/>
          <w:sz w:val="22"/>
          <w:szCs w:val="22"/>
          <w:lang w:val="lv-LV"/>
        </w:rPr>
        <w:t>.</w:t>
      </w:r>
      <w:r w:rsidRPr="006B7DEB">
        <w:rPr>
          <w:b/>
          <w:sz w:val="22"/>
          <w:szCs w:val="22"/>
          <w:lang w:val="lv-LV"/>
        </w:rPr>
        <w:tab/>
      </w:r>
      <w:proofErr w:type="spellStart"/>
      <w:r w:rsidR="007946E0" w:rsidRPr="006B7DEB">
        <w:rPr>
          <w:b/>
          <w:sz w:val="22"/>
          <w:szCs w:val="22"/>
          <w:lang w:val="lv-LV"/>
        </w:rPr>
        <w:t>Palīgvielu</w:t>
      </w:r>
      <w:proofErr w:type="spellEnd"/>
      <w:r w:rsidR="007946E0" w:rsidRPr="006B7DEB">
        <w:rPr>
          <w:b/>
          <w:sz w:val="22"/>
          <w:szCs w:val="22"/>
          <w:lang w:val="lv-LV"/>
        </w:rPr>
        <w:t xml:space="preserve"> saraksts</w:t>
      </w:r>
    </w:p>
    <w:p w14:paraId="34007508" w14:textId="77777777" w:rsidR="00AD5F52" w:rsidRPr="006B7DEB" w:rsidRDefault="00AD5F52" w:rsidP="000E07C1">
      <w:pPr>
        <w:rPr>
          <w:sz w:val="22"/>
          <w:szCs w:val="22"/>
          <w:lang w:val="lv-LV"/>
        </w:rPr>
      </w:pPr>
    </w:p>
    <w:p w14:paraId="1096917F" w14:textId="77777777" w:rsidR="007946E0" w:rsidRPr="006B7DEB" w:rsidRDefault="007946E0" w:rsidP="000E07C1">
      <w:pPr>
        <w:rPr>
          <w:sz w:val="22"/>
          <w:szCs w:val="22"/>
          <w:lang w:val="lv-LV"/>
        </w:rPr>
      </w:pPr>
      <w:r w:rsidRPr="006B7DEB">
        <w:rPr>
          <w:sz w:val="22"/>
          <w:szCs w:val="22"/>
          <w:lang w:val="lv-LV"/>
        </w:rPr>
        <w:t>Nātrija ciet</w:t>
      </w:r>
      <w:r w:rsidR="00AD5F52" w:rsidRPr="006B7DEB">
        <w:rPr>
          <w:sz w:val="22"/>
          <w:szCs w:val="22"/>
          <w:lang w:val="lv-LV"/>
        </w:rPr>
        <w:t xml:space="preserve">es </w:t>
      </w:r>
      <w:proofErr w:type="spellStart"/>
      <w:r w:rsidR="00AD5F52" w:rsidRPr="006B7DEB">
        <w:rPr>
          <w:sz w:val="22"/>
          <w:szCs w:val="22"/>
          <w:lang w:val="lv-LV"/>
        </w:rPr>
        <w:t>glikolāts</w:t>
      </w:r>
      <w:proofErr w:type="spellEnd"/>
    </w:p>
    <w:p w14:paraId="7B586397" w14:textId="77777777" w:rsidR="007946E0" w:rsidRPr="006B7DEB" w:rsidRDefault="00AD5F52" w:rsidP="000E07C1">
      <w:pPr>
        <w:rPr>
          <w:sz w:val="22"/>
          <w:szCs w:val="22"/>
          <w:lang w:val="lv-LV"/>
        </w:rPr>
      </w:pPr>
      <w:proofErr w:type="spellStart"/>
      <w:r w:rsidRPr="006B7DEB">
        <w:rPr>
          <w:sz w:val="22"/>
          <w:szCs w:val="22"/>
          <w:lang w:val="lv-LV"/>
        </w:rPr>
        <w:t>Stearīnskābe</w:t>
      </w:r>
      <w:proofErr w:type="spellEnd"/>
    </w:p>
    <w:p w14:paraId="08F18960" w14:textId="77777777" w:rsidR="007946E0" w:rsidRPr="006B7DEB" w:rsidRDefault="00AD5F52" w:rsidP="000E07C1">
      <w:pPr>
        <w:rPr>
          <w:sz w:val="22"/>
          <w:szCs w:val="22"/>
          <w:lang w:val="lv-LV"/>
        </w:rPr>
      </w:pPr>
      <w:r w:rsidRPr="006B7DEB">
        <w:rPr>
          <w:sz w:val="22"/>
          <w:szCs w:val="22"/>
          <w:lang w:val="lv-LV"/>
        </w:rPr>
        <w:t xml:space="preserve">Magnija </w:t>
      </w:r>
      <w:proofErr w:type="spellStart"/>
      <w:r w:rsidRPr="006B7DEB">
        <w:rPr>
          <w:sz w:val="22"/>
          <w:szCs w:val="22"/>
          <w:lang w:val="lv-LV"/>
        </w:rPr>
        <w:t>stearāts</w:t>
      </w:r>
      <w:proofErr w:type="spellEnd"/>
    </w:p>
    <w:p w14:paraId="352FE28B" w14:textId="77777777" w:rsidR="007946E0" w:rsidRPr="006B7DEB" w:rsidRDefault="00AD5F52" w:rsidP="000E07C1">
      <w:pPr>
        <w:rPr>
          <w:bCs/>
          <w:sz w:val="22"/>
          <w:szCs w:val="22"/>
          <w:lang w:val="lv-LV"/>
        </w:rPr>
      </w:pPr>
      <w:proofErr w:type="spellStart"/>
      <w:r w:rsidRPr="006B7DEB">
        <w:rPr>
          <w:bCs/>
          <w:sz w:val="22"/>
          <w:szCs w:val="22"/>
          <w:lang w:val="lv-LV"/>
        </w:rPr>
        <w:t>Povidons</w:t>
      </w:r>
      <w:proofErr w:type="spellEnd"/>
    </w:p>
    <w:p w14:paraId="0912D0F5" w14:textId="77777777" w:rsidR="001B68C3" w:rsidRPr="006B7DEB" w:rsidRDefault="001B68C3" w:rsidP="000E07C1">
      <w:pPr>
        <w:rPr>
          <w:bCs/>
          <w:sz w:val="22"/>
          <w:szCs w:val="22"/>
          <w:lang w:val="lv-LV"/>
        </w:rPr>
      </w:pPr>
    </w:p>
    <w:p w14:paraId="31E6EE0B" w14:textId="77777777" w:rsidR="007946E0" w:rsidRPr="006B7DEB" w:rsidRDefault="00935ED6" w:rsidP="000E07C1">
      <w:pPr>
        <w:rPr>
          <w:b/>
          <w:sz w:val="22"/>
          <w:szCs w:val="22"/>
          <w:lang w:val="lv-LV"/>
        </w:rPr>
      </w:pPr>
      <w:r w:rsidRPr="006B7DEB">
        <w:rPr>
          <w:b/>
          <w:sz w:val="22"/>
          <w:szCs w:val="22"/>
          <w:lang w:val="lv-LV"/>
        </w:rPr>
        <w:t>6.2</w:t>
      </w:r>
      <w:r w:rsidR="00D45FF3" w:rsidRPr="006B7DEB">
        <w:rPr>
          <w:b/>
          <w:sz w:val="22"/>
          <w:szCs w:val="22"/>
          <w:lang w:val="lv-LV"/>
        </w:rPr>
        <w:t>.</w:t>
      </w:r>
      <w:r w:rsidRPr="006B7DEB">
        <w:rPr>
          <w:b/>
          <w:sz w:val="22"/>
          <w:szCs w:val="22"/>
          <w:lang w:val="lv-LV"/>
        </w:rPr>
        <w:tab/>
      </w:r>
      <w:r w:rsidR="007946E0" w:rsidRPr="006B7DEB">
        <w:rPr>
          <w:b/>
          <w:sz w:val="22"/>
          <w:szCs w:val="22"/>
          <w:lang w:val="lv-LV"/>
        </w:rPr>
        <w:t>Nesaderība</w:t>
      </w:r>
    </w:p>
    <w:p w14:paraId="0346E7D4" w14:textId="77777777" w:rsidR="00935ED6" w:rsidRPr="006B7DEB" w:rsidRDefault="00935ED6" w:rsidP="000E07C1">
      <w:pPr>
        <w:rPr>
          <w:sz w:val="22"/>
          <w:szCs w:val="22"/>
          <w:lang w:val="lv-LV"/>
        </w:rPr>
      </w:pPr>
    </w:p>
    <w:p w14:paraId="52385C99" w14:textId="77777777" w:rsidR="007946E0" w:rsidRPr="006B7DEB" w:rsidRDefault="007946E0" w:rsidP="000E07C1">
      <w:pPr>
        <w:rPr>
          <w:sz w:val="22"/>
          <w:szCs w:val="22"/>
          <w:lang w:val="lv-LV"/>
        </w:rPr>
      </w:pPr>
      <w:r w:rsidRPr="006B7DEB">
        <w:rPr>
          <w:sz w:val="22"/>
          <w:szCs w:val="22"/>
          <w:lang w:val="lv-LV"/>
        </w:rPr>
        <w:t xml:space="preserve">Nav </w:t>
      </w:r>
      <w:r w:rsidR="00D45FF3" w:rsidRPr="006B7DEB">
        <w:rPr>
          <w:sz w:val="22"/>
          <w:szCs w:val="22"/>
          <w:lang w:val="lv-LV"/>
        </w:rPr>
        <w:t>piemērojama</w:t>
      </w:r>
      <w:r w:rsidRPr="006B7DEB">
        <w:rPr>
          <w:sz w:val="22"/>
          <w:szCs w:val="22"/>
          <w:lang w:val="lv-LV"/>
        </w:rPr>
        <w:t>.</w:t>
      </w:r>
    </w:p>
    <w:p w14:paraId="57453658" w14:textId="77777777" w:rsidR="007946E0" w:rsidRPr="006B7DEB" w:rsidRDefault="007946E0" w:rsidP="000E07C1">
      <w:pPr>
        <w:rPr>
          <w:sz w:val="22"/>
          <w:szCs w:val="22"/>
          <w:lang w:val="lv-LV"/>
        </w:rPr>
      </w:pPr>
    </w:p>
    <w:p w14:paraId="1542B9DE" w14:textId="77777777" w:rsidR="007946E0" w:rsidRPr="006B7DEB" w:rsidRDefault="00935ED6" w:rsidP="000E07C1">
      <w:pPr>
        <w:rPr>
          <w:sz w:val="22"/>
          <w:szCs w:val="22"/>
          <w:lang w:val="lv-LV"/>
        </w:rPr>
      </w:pPr>
      <w:r w:rsidRPr="006B7DEB">
        <w:rPr>
          <w:b/>
          <w:sz w:val="22"/>
          <w:szCs w:val="22"/>
          <w:lang w:val="lv-LV"/>
        </w:rPr>
        <w:t>6.3</w:t>
      </w:r>
      <w:r w:rsidR="00D45FF3" w:rsidRPr="006B7DEB">
        <w:rPr>
          <w:b/>
          <w:sz w:val="22"/>
          <w:szCs w:val="22"/>
          <w:lang w:val="lv-LV"/>
        </w:rPr>
        <w:t>.</w:t>
      </w:r>
      <w:r w:rsidRPr="006B7DEB">
        <w:rPr>
          <w:b/>
          <w:sz w:val="22"/>
          <w:szCs w:val="22"/>
          <w:lang w:val="lv-LV"/>
        </w:rPr>
        <w:tab/>
      </w:r>
      <w:r w:rsidR="007946E0" w:rsidRPr="006B7DEB">
        <w:rPr>
          <w:b/>
          <w:sz w:val="22"/>
          <w:szCs w:val="22"/>
          <w:lang w:val="lv-LV"/>
        </w:rPr>
        <w:t>Uzglabāšanas laiks</w:t>
      </w:r>
    </w:p>
    <w:p w14:paraId="3BE142B4" w14:textId="77777777" w:rsidR="00935ED6" w:rsidRPr="006B7DEB" w:rsidRDefault="00935ED6" w:rsidP="000E07C1">
      <w:pPr>
        <w:rPr>
          <w:sz w:val="22"/>
          <w:szCs w:val="22"/>
          <w:lang w:val="lv-LV"/>
        </w:rPr>
      </w:pPr>
    </w:p>
    <w:p w14:paraId="4BC8D10D" w14:textId="77777777" w:rsidR="007946E0" w:rsidRPr="006B7DEB" w:rsidRDefault="00935ED6" w:rsidP="000E07C1">
      <w:pPr>
        <w:rPr>
          <w:sz w:val="22"/>
          <w:szCs w:val="22"/>
          <w:lang w:val="lv-LV"/>
        </w:rPr>
      </w:pPr>
      <w:r w:rsidRPr="006B7DEB">
        <w:rPr>
          <w:sz w:val="22"/>
          <w:szCs w:val="22"/>
          <w:lang w:val="lv-LV"/>
        </w:rPr>
        <w:t>5</w:t>
      </w:r>
      <w:r w:rsidR="00D45FF3" w:rsidRPr="006B7DEB">
        <w:rPr>
          <w:sz w:val="22"/>
          <w:szCs w:val="22"/>
          <w:lang w:val="lv-LV"/>
        </w:rPr>
        <w:t> </w:t>
      </w:r>
      <w:r w:rsidR="007946E0" w:rsidRPr="006B7DEB">
        <w:rPr>
          <w:sz w:val="22"/>
          <w:szCs w:val="22"/>
          <w:lang w:val="lv-LV"/>
        </w:rPr>
        <w:t>gadi.</w:t>
      </w:r>
    </w:p>
    <w:p w14:paraId="7208BB82" w14:textId="77777777" w:rsidR="007946E0" w:rsidRPr="006B7DEB" w:rsidRDefault="007946E0" w:rsidP="000E07C1">
      <w:pPr>
        <w:rPr>
          <w:sz w:val="22"/>
          <w:szCs w:val="22"/>
          <w:lang w:val="lv-LV"/>
        </w:rPr>
      </w:pPr>
    </w:p>
    <w:p w14:paraId="540E579F" w14:textId="77777777" w:rsidR="007946E0" w:rsidRPr="006B7DEB" w:rsidRDefault="00935ED6" w:rsidP="000E07C1">
      <w:pPr>
        <w:rPr>
          <w:b/>
          <w:sz w:val="22"/>
          <w:szCs w:val="22"/>
          <w:lang w:val="lv-LV"/>
        </w:rPr>
      </w:pPr>
      <w:r w:rsidRPr="006B7DEB">
        <w:rPr>
          <w:b/>
          <w:sz w:val="22"/>
          <w:szCs w:val="22"/>
          <w:lang w:val="lv-LV"/>
        </w:rPr>
        <w:t>6.4</w:t>
      </w:r>
      <w:r w:rsidR="00AC2FAF" w:rsidRPr="006B7DEB">
        <w:rPr>
          <w:b/>
          <w:sz w:val="22"/>
          <w:szCs w:val="22"/>
          <w:lang w:val="lv-LV"/>
        </w:rPr>
        <w:t>.</w:t>
      </w:r>
      <w:r w:rsidRPr="006B7DEB">
        <w:rPr>
          <w:b/>
          <w:sz w:val="22"/>
          <w:szCs w:val="22"/>
          <w:lang w:val="lv-LV"/>
        </w:rPr>
        <w:tab/>
      </w:r>
      <w:r w:rsidR="007946E0" w:rsidRPr="006B7DEB">
        <w:rPr>
          <w:b/>
          <w:sz w:val="22"/>
          <w:szCs w:val="22"/>
          <w:lang w:val="lv-LV"/>
        </w:rPr>
        <w:t>Īpaši uzglabāšanas nosacījumi</w:t>
      </w:r>
    </w:p>
    <w:p w14:paraId="45445018" w14:textId="77777777" w:rsidR="00935ED6" w:rsidRPr="006B7DEB" w:rsidRDefault="00935ED6" w:rsidP="000E07C1">
      <w:pPr>
        <w:rPr>
          <w:sz w:val="22"/>
          <w:szCs w:val="22"/>
          <w:lang w:val="lv-LV"/>
        </w:rPr>
      </w:pPr>
    </w:p>
    <w:p w14:paraId="68C180AF" w14:textId="77777777" w:rsidR="007946E0" w:rsidRPr="006B7DEB" w:rsidRDefault="007946E0" w:rsidP="000E07C1">
      <w:pPr>
        <w:rPr>
          <w:sz w:val="22"/>
          <w:szCs w:val="22"/>
          <w:lang w:val="lv-LV"/>
        </w:rPr>
      </w:pPr>
      <w:r w:rsidRPr="006B7DEB">
        <w:rPr>
          <w:sz w:val="22"/>
          <w:szCs w:val="22"/>
          <w:lang w:val="lv-LV"/>
        </w:rPr>
        <w:t>Uzglabāt temperatūrā līdz 25</w:t>
      </w:r>
      <w:r w:rsidR="00C43205" w:rsidRPr="006B7DEB">
        <w:rPr>
          <w:sz w:val="22"/>
          <w:szCs w:val="22"/>
          <w:lang w:val="lv-LV"/>
        </w:rPr>
        <w:t> </w:t>
      </w:r>
      <w:r w:rsidRPr="006B7DEB">
        <w:rPr>
          <w:sz w:val="22"/>
          <w:szCs w:val="22"/>
          <w:lang w:val="lv-LV"/>
        </w:rPr>
        <w:t>°C.</w:t>
      </w:r>
    </w:p>
    <w:p w14:paraId="62729CDA" w14:textId="77777777" w:rsidR="007946E0" w:rsidRPr="006B7DEB" w:rsidRDefault="00AC2FAF" w:rsidP="000E07C1">
      <w:pPr>
        <w:rPr>
          <w:sz w:val="22"/>
          <w:szCs w:val="22"/>
          <w:lang w:val="lv-LV"/>
        </w:rPr>
      </w:pPr>
      <w:r w:rsidRPr="006B7DEB">
        <w:rPr>
          <w:sz w:val="22"/>
          <w:szCs w:val="22"/>
          <w:lang w:val="lv-LV"/>
        </w:rPr>
        <w:t xml:space="preserve">Uzglabāt </w:t>
      </w:r>
      <w:r w:rsidR="003B7014" w:rsidRPr="006B7DEB">
        <w:rPr>
          <w:sz w:val="22"/>
          <w:szCs w:val="22"/>
          <w:lang w:val="lv-LV"/>
        </w:rPr>
        <w:t xml:space="preserve">oriģinālā iepakojumā. </w:t>
      </w:r>
      <w:r w:rsidR="007946E0" w:rsidRPr="006B7DEB">
        <w:rPr>
          <w:sz w:val="22"/>
          <w:szCs w:val="22"/>
          <w:lang w:val="lv-LV"/>
        </w:rPr>
        <w:t xml:space="preserve">Sargāt no </w:t>
      </w:r>
      <w:r w:rsidR="0072360F" w:rsidRPr="006B7DEB">
        <w:rPr>
          <w:sz w:val="22"/>
          <w:szCs w:val="22"/>
          <w:lang w:val="lv-LV"/>
        </w:rPr>
        <w:t xml:space="preserve">gaismas un </w:t>
      </w:r>
      <w:r w:rsidR="007946E0" w:rsidRPr="006B7DEB">
        <w:rPr>
          <w:sz w:val="22"/>
          <w:szCs w:val="22"/>
          <w:lang w:val="lv-LV"/>
        </w:rPr>
        <w:t>mitruma.</w:t>
      </w:r>
    </w:p>
    <w:p w14:paraId="61F84AE2" w14:textId="77777777" w:rsidR="00E3344A" w:rsidRPr="006B7DEB" w:rsidRDefault="00E3344A" w:rsidP="000E07C1">
      <w:pPr>
        <w:rPr>
          <w:sz w:val="22"/>
          <w:szCs w:val="22"/>
          <w:lang w:val="lv-LV"/>
        </w:rPr>
      </w:pPr>
    </w:p>
    <w:p w14:paraId="0D5DAB54" w14:textId="77777777" w:rsidR="007946E0" w:rsidRPr="006B7DEB" w:rsidRDefault="00935ED6" w:rsidP="000E07C1">
      <w:pPr>
        <w:rPr>
          <w:b/>
          <w:sz w:val="22"/>
          <w:szCs w:val="22"/>
          <w:lang w:val="lv-LV"/>
        </w:rPr>
      </w:pPr>
      <w:r w:rsidRPr="006B7DEB">
        <w:rPr>
          <w:b/>
          <w:sz w:val="22"/>
          <w:szCs w:val="22"/>
          <w:lang w:val="lv-LV"/>
        </w:rPr>
        <w:t>6.5</w:t>
      </w:r>
      <w:r w:rsidR="003B7014" w:rsidRPr="006B7DEB">
        <w:rPr>
          <w:b/>
          <w:sz w:val="22"/>
          <w:szCs w:val="22"/>
          <w:lang w:val="lv-LV"/>
        </w:rPr>
        <w:t>.</w:t>
      </w:r>
      <w:r w:rsidRPr="006B7DEB">
        <w:rPr>
          <w:b/>
          <w:sz w:val="22"/>
          <w:szCs w:val="22"/>
          <w:lang w:val="lv-LV"/>
        </w:rPr>
        <w:tab/>
      </w:r>
      <w:r w:rsidR="007946E0" w:rsidRPr="006B7DEB">
        <w:rPr>
          <w:b/>
          <w:sz w:val="22"/>
          <w:szCs w:val="22"/>
          <w:lang w:val="lv-LV"/>
        </w:rPr>
        <w:t>Iepakojuma veids un saturs</w:t>
      </w:r>
    </w:p>
    <w:p w14:paraId="5D826638" w14:textId="77777777" w:rsidR="00935ED6" w:rsidRPr="006B7DEB" w:rsidRDefault="00935ED6" w:rsidP="000E07C1">
      <w:pPr>
        <w:rPr>
          <w:sz w:val="22"/>
          <w:szCs w:val="22"/>
          <w:lang w:val="lv-LV"/>
        </w:rPr>
      </w:pPr>
    </w:p>
    <w:p w14:paraId="6E984EBA" w14:textId="77777777" w:rsidR="003616AD" w:rsidRPr="006B7DEB" w:rsidRDefault="003616AD" w:rsidP="003616AD">
      <w:pPr>
        <w:rPr>
          <w:sz w:val="22"/>
          <w:szCs w:val="22"/>
          <w:lang w:val="lv-LV"/>
        </w:rPr>
      </w:pPr>
      <w:r w:rsidRPr="006B7DEB">
        <w:rPr>
          <w:sz w:val="22"/>
          <w:szCs w:val="22"/>
          <w:lang w:val="lv-LV"/>
        </w:rPr>
        <w:t xml:space="preserve">PVH/Al </w:t>
      </w:r>
      <w:proofErr w:type="spellStart"/>
      <w:r w:rsidRPr="006B7DEB">
        <w:rPr>
          <w:sz w:val="22"/>
          <w:szCs w:val="22"/>
          <w:lang w:val="lv-LV"/>
        </w:rPr>
        <w:t>blisteris</w:t>
      </w:r>
      <w:proofErr w:type="spellEnd"/>
      <w:r w:rsidRPr="006B7DEB">
        <w:rPr>
          <w:sz w:val="22"/>
          <w:szCs w:val="22"/>
          <w:lang w:val="lv-LV"/>
        </w:rPr>
        <w:t>, kas ievietots kartona kastītē.</w:t>
      </w:r>
    </w:p>
    <w:p w14:paraId="64113459" w14:textId="77777777" w:rsidR="007946E0" w:rsidRPr="006B7DEB" w:rsidRDefault="00A96160" w:rsidP="000E07C1">
      <w:pPr>
        <w:rPr>
          <w:sz w:val="22"/>
          <w:szCs w:val="22"/>
          <w:lang w:val="lv-LV"/>
        </w:rPr>
      </w:pPr>
      <w:r w:rsidRPr="006B7DEB">
        <w:rPr>
          <w:sz w:val="22"/>
          <w:szCs w:val="22"/>
          <w:lang w:val="lv-LV"/>
        </w:rPr>
        <w:t xml:space="preserve">Pa </w:t>
      </w:r>
      <w:r w:rsidR="003B7014" w:rsidRPr="006B7DEB">
        <w:rPr>
          <w:sz w:val="22"/>
          <w:szCs w:val="22"/>
          <w:lang w:val="lv-LV"/>
        </w:rPr>
        <w:t>10 </w:t>
      </w:r>
      <w:r w:rsidR="007946E0" w:rsidRPr="006B7DEB">
        <w:rPr>
          <w:sz w:val="22"/>
          <w:szCs w:val="22"/>
          <w:lang w:val="lv-LV"/>
        </w:rPr>
        <w:t>table</w:t>
      </w:r>
      <w:r w:rsidRPr="006B7DEB">
        <w:rPr>
          <w:sz w:val="22"/>
          <w:szCs w:val="22"/>
          <w:lang w:val="lv-LV"/>
        </w:rPr>
        <w:t>tēm</w:t>
      </w:r>
      <w:r w:rsidR="007946E0" w:rsidRPr="006B7DEB">
        <w:rPr>
          <w:sz w:val="22"/>
          <w:szCs w:val="22"/>
          <w:lang w:val="lv-LV"/>
        </w:rPr>
        <w:t xml:space="preserve"> </w:t>
      </w:r>
      <w:proofErr w:type="spellStart"/>
      <w:r w:rsidR="007946E0" w:rsidRPr="006B7DEB">
        <w:rPr>
          <w:sz w:val="22"/>
          <w:szCs w:val="22"/>
          <w:lang w:val="lv-LV"/>
        </w:rPr>
        <w:t>blisterī</w:t>
      </w:r>
      <w:proofErr w:type="spellEnd"/>
      <w:r w:rsidR="007946E0" w:rsidRPr="006B7DEB">
        <w:rPr>
          <w:sz w:val="22"/>
          <w:szCs w:val="22"/>
          <w:lang w:val="lv-LV"/>
        </w:rPr>
        <w:t>.</w:t>
      </w:r>
    </w:p>
    <w:p w14:paraId="03122110" w14:textId="77777777" w:rsidR="007946E0" w:rsidRPr="006B7DEB" w:rsidRDefault="00FA607C" w:rsidP="000E07C1">
      <w:pPr>
        <w:rPr>
          <w:sz w:val="22"/>
          <w:szCs w:val="22"/>
          <w:lang w:val="lv-LV"/>
        </w:rPr>
      </w:pPr>
      <w:r w:rsidRPr="006B7DEB">
        <w:rPr>
          <w:sz w:val="22"/>
          <w:szCs w:val="22"/>
          <w:lang w:val="lv-LV"/>
        </w:rPr>
        <w:t xml:space="preserve">Pa </w:t>
      </w:r>
      <w:r w:rsidR="003B7014" w:rsidRPr="006B7DEB">
        <w:rPr>
          <w:sz w:val="22"/>
          <w:szCs w:val="22"/>
          <w:lang w:val="lv-LV"/>
        </w:rPr>
        <w:t>1 vai 2 </w:t>
      </w:r>
      <w:proofErr w:type="spellStart"/>
      <w:r w:rsidR="007946E0" w:rsidRPr="006B7DEB">
        <w:rPr>
          <w:sz w:val="22"/>
          <w:szCs w:val="22"/>
          <w:lang w:val="lv-LV"/>
        </w:rPr>
        <w:t>blisteri</w:t>
      </w:r>
      <w:r w:rsidRPr="006B7DEB">
        <w:rPr>
          <w:sz w:val="22"/>
          <w:szCs w:val="22"/>
          <w:lang w:val="lv-LV"/>
        </w:rPr>
        <w:t>em</w:t>
      </w:r>
      <w:proofErr w:type="spellEnd"/>
      <w:r w:rsidRPr="006B7DEB">
        <w:rPr>
          <w:sz w:val="22"/>
          <w:szCs w:val="22"/>
          <w:lang w:val="lv-LV"/>
        </w:rPr>
        <w:t xml:space="preserve"> (</w:t>
      </w:r>
      <w:r w:rsidR="003D20E5" w:rsidRPr="006B7DEB">
        <w:rPr>
          <w:sz w:val="22"/>
          <w:szCs w:val="22"/>
          <w:lang w:val="lv-LV"/>
        </w:rPr>
        <w:t xml:space="preserve">10 vai </w:t>
      </w:r>
      <w:r w:rsidRPr="006B7DEB">
        <w:rPr>
          <w:sz w:val="22"/>
          <w:szCs w:val="22"/>
          <w:lang w:val="lv-LV"/>
        </w:rPr>
        <w:t>20 </w:t>
      </w:r>
      <w:r w:rsidR="00585A4B" w:rsidRPr="006B7DEB">
        <w:rPr>
          <w:sz w:val="22"/>
          <w:szCs w:val="22"/>
          <w:lang w:val="lv-LV"/>
        </w:rPr>
        <w:t>tabletes</w:t>
      </w:r>
      <w:r w:rsidRPr="006B7DEB">
        <w:rPr>
          <w:sz w:val="22"/>
          <w:szCs w:val="22"/>
          <w:lang w:val="lv-LV"/>
        </w:rPr>
        <w:t>)</w:t>
      </w:r>
      <w:r w:rsidR="007946E0" w:rsidRPr="006B7DEB">
        <w:rPr>
          <w:sz w:val="22"/>
          <w:szCs w:val="22"/>
          <w:lang w:val="lv-LV"/>
        </w:rPr>
        <w:t xml:space="preserve"> kartona </w:t>
      </w:r>
      <w:r w:rsidR="00502F35" w:rsidRPr="006B7DEB">
        <w:rPr>
          <w:sz w:val="22"/>
          <w:szCs w:val="22"/>
          <w:lang w:val="lv-LV"/>
        </w:rPr>
        <w:t>kastītē</w:t>
      </w:r>
      <w:r w:rsidR="007946E0" w:rsidRPr="006B7DEB">
        <w:rPr>
          <w:sz w:val="22"/>
          <w:szCs w:val="22"/>
          <w:lang w:val="lv-LV"/>
        </w:rPr>
        <w:t>.</w:t>
      </w:r>
    </w:p>
    <w:p w14:paraId="698B1769" w14:textId="77777777" w:rsidR="007946E0" w:rsidRPr="006B7DEB" w:rsidRDefault="007946E0" w:rsidP="000E07C1">
      <w:pPr>
        <w:rPr>
          <w:sz w:val="22"/>
          <w:szCs w:val="22"/>
          <w:lang w:val="lv-LV"/>
        </w:rPr>
      </w:pPr>
    </w:p>
    <w:p w14:paraId="180E049F" w14:textId="77777777" w:rsidR="007E0143" w:rsidRPr="006B7DEB" w:rsidRDefault="007E0143" w:rsidP="000E07C1">
      <w:pPr>
        <w:ind w:left="567" w:hanging="567"/>
        <w:rPr>
          <w:sz w:val="22"/>
          <w:szCs w:val="22"/>
          <w:lang w:val="lv-LV"/>
        </w:rPr>
      </w:pPr>
      <w:r w:rsidRPr="006B7DEB">
        <w:rPr>
          <w:sz w:val="22"/>
          <w:szCs w:val="22"/>
          <w:lang w:val="lv-LV"/>
        </w:rPr>
        <w:t>Visi iepakojuma lielumi tirgū var nebūt pieejami.</w:t>
      </w:r>
    </w:p>
    <w:p w14:paraId="6CD3FA56" w14:textId="77777777" w:rsidR="007E0143" w:rsidRPr="006B7DEB" w:rsidRDefault="007E0143" w:rsidP="000E07C1">
      <w:pPr>
        <w:rPr>
          <w:sz w:val="22"/>
          <w:szCs w:val="22"/>
          <w:lang w:val="lv-LV"/>
        </w:rPr>
      </w:pPr>
    </w:p>
    <w:p w14:paraId="1B37A663" w14:textId="77777777" w:rsidR="007946E0" w:rsidRPr="006B7DEB" w:rsidRDefault="00935ED6" w:rsidP="000E07C1">
      <w:pPr>
        <w:rPr>
          <w:sz w:val="22"/>
          <w:szCs w:val="22"/>
          <w:lang w:val="lv-LV"/>
        </w:rPr>
      </w:pPr>
      <w:r w:rsidRPr="006B7DEB">
        <w:rPr>
          <w:b/>
          <w:sz w:val="22"/>
          <w:szCs w:val="22"/>
          <w:lang w:val="lv-LV"/>
        </w:rPr>
        <w:lastRenderedPageBreak/>
        <w:t>6.6</w:t>
      </w:r>
      <w:r w:rsidR="003B7014" w:rsidRPr="006B7DEB">
        <w:rPr>
          <w:b/>
          <w:sz w:val="22"/>
          <w:szCs w:val="22"/>
          <w:lang w:val="lv-LV"/>
        </w:rPr>
        <w:t>.</w:t>
      </w:r>
      <w:r w:rsidRPr="006B7DEB">
        <w:rPr>
          <w:b/>
          <w:sz w:val="22"/>
          <w:szCs w:val="22"/>
          <w:lang w:val="lv-LV"/>
        </w:rPr>
        <w:tab/>
      </w:r>
      <w:r w:rsidR="007946E0" w:rsidRPr="006B7DEB">
        <w:rPr>
          <w:b/>
          <w:sz w:val="22"/>
          <w:szCs w:val="22"/>
          <w:lang w:val="lv-LV"/>
        </w:rPr>
        <w:t xml:space="preserve">Īpaši norādījumi atkritumu likvidēšanai un </w:t>
      </w:r>
      <w:r w:rsidR="00101794" w:rsidRPr="006B7DEB">
        <w:rPr>
          <w:b/>
          <w:sz w:val="22"/>
          <w:szCs w:val="22"/>
          <w:lang w:val="lv-LV"/>
        </w:rPr>
        <w:t xml:space="preserve">citi </w:t>
      </w:r>
      <w:r w:rsidR="007946E0" w:rsidRPr="006B7DEB">
        <w:rPr>
          <w:b/>
          <w:sz w:val="22"/>
          <w:szCs w:val="22"/>
          <w:lang w:val="lv-LV"/>
        </w:rPr>
        <w:t xml:space="preserve">norādījumi par </w:t>
      </w:r>
      <w:r w:rsidR="00101794" w:rsidRPr="006B7DEB">
        <w:rPr>
          <w:b/>
          <w:sz w:val="22"/>
          <w:szCs w:val="22"/>
          <w:lang w:val="lv-LV"/>
        </w:rPr>
        <w:t>rīkošanos</w:t>
      </w:r>
    </w:p>
    <w:p w14:paraId="40F6E23B" w14:textId="77777777" w:rsidR="00935ED6" w:rsidRPr="006B7DEB" w:rsidRDefault="00935ED6" w:rsidP="000E07C1">
      <w:pPr>
        <w:rPr>
          <w:sz w:val="22"/>
          <w:szCs w:val="22"/>
          <w:lang w:val="lv-LV"/>
        </w:rPr>
      </w:pPr>
    </w:p>
    <w:p w14:paraId="5A51C919" w14:textId="77777777" w:rsidR="007946E0" w:rsidRPr="006B7DEB" w:rsidRDefault="007946E0" w:rsidP="000E07C1">
      <w:pPr>
        <w:rPr>
          <w:sz w:val="22"/>
          <w:szCs w:val="22"/>
          <w:lang w:val="lv-LV"/>
        </w:rPr>
      </w:pPr>
      <w:r w:rsidRPr="006B7DEB">
        <w:rPr>
          <w:sz w:val="22"/>
          <w:szCs w:val="22"/>
          <w:lang w:val="lv-LV"/>
        </w:rPr>
        <w:t xml:space="preserve">Lai atvērtu </w:t>
      </w:r>
      <w:proofErr w:type="spellStart"/>
      <w:r w:rsidRPr="006B7DEB">
        <w:rPr>
          <w:sz w:val="22"/>
          <w:szCs w:val="22"/>
          <w:lang w:val="lv-LV"/>
        </w:rPr>
        <w:t>blistera</w:t>
      </w:r>
      <w:proofErr w:type="spellEnd"/>
      <w:r w:rsidRPr="006B7DEB">
        <w:rPr>
          <w:sz w:val="22"/>
          <w:szCs w:val="22"/>
          <w:lang w:val="lv-LV"/>
        </w:rPr>
        <w:t xml:space="preserve"> iepakojumu, viegli jāuzspiež uz tabletes un jāizņem no folijas.</w:t>
      </w:r>
    </w:p>
    <w:p w14:paraId="0E9CB1DB" w14:textId="77777777" w:rsidR="00780522" w:rsidRPr="006B7DEB" w:rsidRDefault="00780522" w:rsidP="000E07C1">
      <w:pPr>
        <w:rPr>
          <w:sz w:val="22"/>
          <w:szCs w:val="22"/>
          <w:lang w:val="lv-LV"/>
        </w:rPr>
      </w:pPr>
    </w:p>
    <w:p w14:paraId="2C5FD602" w14:textId="77777777" w:rsidR="007946E0" w:rsidRPr="006B7DEB" w:rsidRDefault="003616AD" w:rsidP="000E07C1">
      <w:pPr>
        <w:rPr>
          <w:sz w:val="22"/>
          <w:szCs w:val="22"/>
          <w:lang w:val="lv-LV"/>
        </w:rPr>
      </w:pPr>
      <w:r w:rsidRPr="006B7DEB">
        <w:rPr>
          <w:sz w:val="22"/>
          <w:szCs w:val="22"/>
          <w:lang w:val="lv-LV"/>
        </w:rPr>
        <w:t>Neizlietotās zāles vai izlietotie materiāli jāiznīcina atbilstoši vietējām prasībām.</w:t>
      </w:r>
    </w:p>
    <w:p w14:paraId="24554134" w14:textId="77777777" w:rsidR="006B7DEB" w:rsidRPr="006B7DEB" w:rsidRDefault="006B7DEB" w:rsidP="000E07C1">
      <w:pPr>
        <w:rPr>
          <w:b/>
          <w:sz w:val="22"/>
          <w:szCs w:val="22"/>
          <w:lang w:val="lv-LV"/>
        </w:rPr>
      </w:pPr>
    </w:p>
    <w:p w14:paraId="73DD0EEE" w14:textId="77777777" w:rsidR="006B7DEB" w:rsidRPr="006B7DEB" w:rsidRDefault="006B7DEB" w:rsidP="000E07C1">
      <w:pPr>
        <w:rPr>
          <w:b/>
          <w:sz w:val="22"/>
          <w:szCs w:val="22"/>
          <w:lang w:val="lv-LV"/>
        </w:rPr>
      </w:pPr>
    </w:p>
    <w:p w14:paraId="216C0726" w14:textId="75B31FEF" w:rsidR="007946E0" w:rsidRPr="006B7DEB" w:rsidRDefault="00935ED6" w:rsidP="000E07C1">
      <w:pPr>
        <w:rPr>
          <w:b/>
          <w:sz w:val="22"/>
          <w:szCs w:val="22"/>
          <w:lang w:val="lv-LV"/>
        </w:rPr>
      </w:pPr>
      <w:r w:rsidRPr="006B7DEB">
        <w:rPr>
          <w:b/>
          <w:sz w:val="22"/>
          <w:szCs w:val="22"/>
          <w:lang w:val="lv-LV"/>
        </w:rPr>
        <w:t>7.</w:t>
      </w:r>
      <w:r w:rsidRPr="006B7DEB">
        <w:rPr>
          <w:b/>
          <w:sz w:val="22"/>
          <w:szCs w:val="22"/>
          <w:lang w:val="lv-LV"/>
        </w:rPr>
        <w:tab/>
      </w:r>
      <w:r w:rsidR="007946E0" w:rsidRPr="006B7DEB">
        <w:rPr>
          <w:b/>
          <w:sz w:val="22"/>
          <w:szCs w:val="22"/>
          <w:lang w:val="lv-LV"/>
        </w:rPr>
        <w:t>REĢISTRĀCIJAS APLIECĪBAS ĪPAŠNIEKS</w:t>
      </w:r>
    </w:p>
    <w:p w14:paraId="485AF8AC" w14:textId="77777777" w:rsidR="007946E0" w:rsidRPr="006B7DEB" w:rsidRDefault="007946E0" w:rsidP="000E07C1">
      <w:pPr>
        <w:ind w:right="43"/>
        <w:rPr>
          <w:sz w:val="22"/>
          <w:szCs w:val="22"/>
          <w:lang w:val="lv-LV"/>
        </w:rPr>
      </w:pPr>
    </w:p>
    <w:p w14:paraId="6502BD57" w14:textId="77777777" w:rsidR="00101794" w:rsidRPr="006B7DEB" w:rsidRDefault="007946E0" w:rsidP="000E07C1">
      <w:pPr>
        <w:ind w:right="43"/>
        <w:rPr>
          <w:sz w:val="22"/>
          <w:szCs w:val="22"/>
          <w:lang w:val="lv-LV"/>
        </w:rPr>
      </w:pPr>
      <w:r w:rsidRPr="006B7DEB">
        <w:rPr>
          <w:sz w:val="22"/>
          <w:szCs w:val="22"/>
          <w:lang w:val="lv-LV"/>
        </w:rPr>
        <w:t xml:space="preserve">AS </w:t>
      </w:r>
      <w:r w:rsidRPr="006B7DEB">
        <w:rPr>
          <w:iCs/>
          <w:sz w:val="22"/>
          <w:szCs w:val="22"/>
          <w:lang w:val="lv-LV"/>
        </w:rPr>
        <w:t>GRINDEKS.</w:t>
      </w:r>
    </w:p>
    <w:p w14:paraId="7DE3A3EB" w14:textId="77777777" w:rsidR="009E5C04" w:rsidRPr="006B7DEB" w:rsidRDefault="00B05125" w:rsidP="000E07C1">
      <w:pPr>
        <w:ind w:right="43"/>
        <w:rPr>
          <w:sz w:val="22"/>
          <w:szCs w:val="22"/>
          <w:lang w:val="lv-LV"/>
        </w:rPr>
      </w:pPr>
      <w:r w:rsidRPr="006B7DEB">
        <w:rPr>
          <w:sz w:val="22"/>
          <w:szCs w:val="22"/>
          <w:lang w:val="lv-LV"/>
        </w:rPr>
        <w:t xml:space="preserve">Krustpils </w:t>
      </w:r>
      <w:r w:rsidR="007E0143" w:rsidRPr="006B7DEB">
        <w:rPr>
          <w:sz w:val="22"/>
          <w:szCs w:val="22"/>
          <w:lang w:val="lv-LV"/>
        </w:rPr>
        <w:t>iela 53, Rīga, LV</w:t>
      </w:r>
      <w:r w:rsidR="007E0143" w:rsidRPr="006B7DEB">
        <w:rPr>
          <w:sz w:val="22"/>
          <w:szCs w:val="22"/>
          <w:lang w:val="lv-LV"/>
        </w:rPr>
        <w:noBreakHyphen/>
      </w:r>
      <w:r w:rsidR="007946E0" w:rsidRPr="006B7DEB">
        <w:rPr>
          <w:sz w:val="22"/>
          <w:szCs w:val="22"/>
          <w:lang w:val="lv-LV"/>
        </w:rPr>
        <w:t xml:space="preserve">1057, </w:t>
      </w:r>
    </w:p>
    <w:p w14:paraId="3526B129" w14:textId="0344B515" w:rsidR="007946E0" w:rsidRPr="006B7DEB" w:rsidRDefault="007946E0" w:rsidP="000E07C1">
      <w:pPr>
        <w:ind w:right="43"/>
        <w:rPr>
          <w:sz w:val="22"/>
          <w:szCs w:val="22"/>
          <w:lang w:val="lv-LV"/>
        </w:rPr>
      </w:pPr>
      <w:r w:rsidRPr="006B7DEB">
        <w:rPr>
          <w:sz w:val="22"/>
          <w:szCs w:val="22"/>
          <w:lang w:val="lv-LV"/>
        </w:rPr>
        <w:t>Latvija</w:t>
      </w:r>
    </w:p>
    <w:p w14:paraId="286743B8" w14:textId="77777777" w:rsidR="007946E0" w:rsidRPr="006B7DEB" w:rsidRDefault="007946E0" w:rsidP="000E07C1">
      <w:pPr>
        <w:rPr>
          <w:sz w:val="22"/>
          <w:szCs w:val="22"/>
          <w:lang w:val="lv-LV"/>
        </w:rPr>
      </w:pPr>
      <w:r w:rsidRPr="006B7DEB">
        <w:rPr>
          <w:sz w:val="22"/>
          <w:szCs w:val="22"/>
          <w:lang w:val="lv-LV"/>
        </w:rPr>
        <w:t>T</w:t>
      </w:r>
      <w:r w:rsidR="00C43205" w:rsidRPr="006B7DEB">
        <w:rPr>
          <w:sz w:val="22"/>
          <w:szCs w:val="22"/>
          <w:lang w:val="lv-LV"/>
        </w:rPr>
        <w:t>e</w:t>
      </w:r>
      <w:r w:rsidRPr="006B7DEB">
        <w:rPr>
          <w:sz w:val="22"/>
          <w:szCs w:val="22"/>
          <w:lang w:val="lv-LV"/>
        </w:rPr>
        <w:t>l</w:t>
      </w:r>
      <w:r w:rsidR="00C43205" w:rsidRPr="006B7DEB">
        <w:rPr>
          <w:sz w:val="22"/>
          <w:szCs w:val="22"/>
          <w:lang w:val="lv-LV"/>
        </w:rPr>
        <w:t>.</w:t>
      </w:r>
      <w:r w:rsidRPr="006B7DEB">
        <w:rPr>
          <w:sz w:val="22"/>
          <w:szCs w:val="22"/>
          <w:lang w:val="lv-LV"/>
        </w:rPr>
        <w:t xml:space="preserve">: </w:t>
      </w:r>
      <w:r w:rsidR="00C43205" w:rsidRPr="006B7DEB">
        <w:rPr>
          <w:sz w:val="22"/>
          <w:szCs w:val="22"/>
          <w:lang w:val="lv-LV"/>
        </w:rPr>
        <w:t>+371</w:t>
      </w:r>
      <w:r w:rsidR="00C43205" w:rsidRPr="006B7DEB">
        <w:rPr>
          <w:sz w:val="22"/>
          <w:szCs w:val="22"/>
        </w:rPr>
        <w:t> </w:t>
      </w:r>
      <w:r w:rsidRPr="006B7DEB">
        <w:rPr>
          <w:sz w:val="22"/>
          <w:szCs w:val="22"/>
          <w:lang w:val="lv-LV"/>
        </w:rPr>
        <w:t>67083205</w:t>
      </w:r>
    </w:p>
    <w:p w14:paraId="1C9DAACF" w14:textId="77777777" w:rsidR="007946E0" w:rsidRPr="006B7DEB" w:rsidRDefault="007946E0" w:rsidP="000E07C1">
      <w:pPr>
        <w:ind w:right="43"/>
        <w:rPr>
          <w:b/>
          <w:sz w:val="22"/>
          <w:szCs w:val="22"/>
          <w:lang w:val="lv-LV"/>
        </w:rPr>
      </w:pPr>
      <w:r w:rsidRPr="006B7DEB">
        <w:rPr>
          <w:sz w:val="22"/>
          <w:szCs w:val="22"/>
          <w:lang w:val="lv-LV"/>
        </w:rPr>
        <w:t xml:space="preserve">Fakss: </w:t>
      </w:r>
      <w:r w:rsidR="00C43205" w:rsidRPr="006B7DEB">
        <w:rPr>
          <w:sz w:val="22"/>
          <w:szCs w:val="22"/>
        </w:rPr>
        <w:t>+371 </w:t>
      </w:r>
      <w:r w:rsidRPr="006B7DEB">
        <w:rPr>
          <w:sz w:val="22"/>
          <w:szCs w:val="22"/>
          <w:lang w:val="lv-LV"/>
        </w:rPr>
        <w:t>67083505</w:t>
      </w:r>
    </w:p>
    <w:p w14:paraId="67AE8D2E" w14:textId="77777777" w:rsidR="007946E0" w:rsidRPr="006B7DEB" w:rsidRDefault="007E0143" w:rsidP="000E07C1">
      <w:pPr>
        <w:rPr>
          <w:sz w:val="22"/>
          <w:szCs w:val="22"/>
          <w:lang w:val="lv-LV"/>
        </w:rPr>
      </w:pPr>
      <w:r w:rsidRPr="006B7DEB">
        <w:rPr>
          <w:kern w:val="16"/>
          <w:sz w:val="22"/>
          <w:szCs w:val="22"/>
          <w:lang w:val="lv-LV"/>
        </w:rPr>
        <w:t>E</w:t>
      </w:r>
      <w:r w:rsidRPr="006B7DEB">
        <w:rPr>
          <w:kern w:val="16"/>
          <w:sz w:val="22"/>
          <w:szCs w:val="22"/>
          <w:lang w:val="lv-LV"/>
        </w:rPr>
        <w:noBreakHyphen/>
      </w:r>
      <w:r w:rsidR="007946E0" w:rsidRPr="006B7DEB">
        <w:rPr>
          <w:kern w:val="16"/>
          <w:sz w:val="22"/>
          <w:szCs w:val="22"/>
          <w:lang w:val="lv-LV"/>
        </w:rPr>
        <w:t xml:space="preserve">pasts: </w:t>
      </w:r>
      <w:r w:rsidR="007946E0" w:rsidRPr="006B7DEB">
        <w:rPr>
          <w:sz w:val="22"/>
          <w:szCs w:val="22"/>
          <w:lang w:val="lv-LV"/>
        </w:rPr>
        <w:t>grindeks@grindeks.lv</w:t>
      </w:r>
    </w:p>
    <w:p w14:paraId="2E6B1094" w14:textId="77777777" w:rsidR="007946E0" w:rsidRPr="006B7DEB" w:rsidRDefault="007946E0" w:rsidP="000E07C1">
      <w:pPr>
        <w:rPr>
          <w:sz w:val="22"/>
          <w:szCs w:val="22"/>
          <w:lang w:val="lv-LV"/>
        </w:rPr>
      </w:pPr>
    </w:p>
    <w:p w14:paraId="5C67C2B3" w14:textId="77777777" w:rsidR="007E0143" w:rsidRPr="006B7DEB" w:rsidRDefault="007E0143" w:rsidP="000E07C1">
      <w:pPr>
        <w:rPr>
          <w:sz w:val="22"/>
          <w:szCs w:val="22"/>
          <w:lang w:val="lv-LV"/>
        </w:rPr>
      </w:pPr>
    </w:p>
    <w:p w14:paraId="13A52B11" w14:textId="77777777" w:rsidR="007946E0" w:rsidRPr="006B7DEB" w:rsidRDefault="00935ED6" w:rsidP="00152278">
      <w:pPr>
        <w:rPr>
          <w:b/>
          <w:sz w:val="22"/>
          <w:szCs w:val="22"/>
          <w:lang w:val="lv-LV"/>
        </w:rPr>
      </w:pPr>
      <w:r w:rsidRPr="006B7DEB">
        <w:rPr>
          <w:b/>
          <w:sz w:val="22"/>
          <w:szCs w:val="22"/>
          <w:lang w:val="lv-LV"/>
        </w:rPr>
        <w:t>8.</w:t>
      </w:r>
      <w:r w:rsidRPr="006B7DEB">
        <w:rPr>
          <w:b/>
          <w:sz w:val="22"/>
          <w:szCs w:val="22"/>
          <w:lang w:val="lv-LV"/>
        </w:rPr>
        <w:tab/>
      </w:r>
      <w:r w:rsidR="007946E0" w:rsidRPr="006B7DEB">
        <w:rPr>
          <w:b/>
          <w:sz w:val="22"/>
          <w:szCs w:val="22"/>
          <w:lang w:val="lv-LV"/>
        </w:rPr>
        <w:t xml:space="preserve">REĢISTRĀCIJAS </w:t>
      </w:r>
      <w:r w:rsidR="007E0143" w:rsidRPr="006B7DEB">
        <w:rPr>
          <w:b/>
          <w:sz w:val="22"/>
          <w:szCs w:val="22"/>
          <w:lang w:val="lv-LV"/>
        </w:rPr>
        <w:t xml:space="preserve">APLIECĪBAS </w:t>
      </w:r>
      <w:r w:rsidR="007946E0" w:rsidRPr="006B7DEB">
        <w:rPr>
          <w:b/>
          <w:sz w:val="22"/>
          <w:szCs w:val="22"/>
          <w:lang w:val="lv-LV"/>
        </w:rPr>
        <w:t>NUMURS</w:t>
      </w:r>
      <w:r w:rsidR="00B41370" w:rsidRPr="006B7DEB">
        <w:rPr>
          <w:b/>
          <w:sz w:val="22"/>
          <w:szCs w:val="22"/>
          <w:lang w:val="lv-LV"/>
        </w:rPr>
        <w:t>(</w:t>
      </w:r>
      <w:r w:rsidR="007E0143" w:rsidRPr="006B7DEB">
        <w:rPr>
          <w:b/>
          <w:sz w:val="22"/>
          <w:szCs w:val="22"/>
          <w:lang w:val="lv-LV"/>
        </w:rPr>
        <w:t>-</w:t>
      </w:r>
      <w:r w:rsidR="00B41370" w:rsidRPr="006B7DEB">
        <w:rPr>
          <w:b/>
          <w:sz w:val="22"/>
          <w:szCs w:val="22"/>
          <w:lang w:val="lv-LV"/>
        </w:rPr>
        <w:t>I)</w:t>
      </w:r>
    </w:p>
    <w:p w14:paraId="4271DD14" w14:textId="77777777" w:rsidR="007946E0" w:rsidRPr="006B7DEB" w:rsidRDefault="007946E0" w:rsidP="000E07C1">
      <w:pPr>
        <w:pStyle w:val="BodyText1"/>
        <w:ind w:firstLine="0"/>
        <w:rPr>
          <w:rFonts w:ascii="Times New Roman" w:hAnsi="Times New Roman"/>
          <w:bCs/>
          <w:color w:val="auto"/>
          <w:sz w:val="22"/>
          <w:szCs w:val="22"/>
        </w:rPr>
      </w:pPr>
    </w:p>
    <w:p w14:paraId="253B210F" w14:textId="77777777" w:rsidR="007946E0" w:rsidRPr="006B7DEB" w:rsidRDefault="00B72C6A" w:rsidP="000E07C1">
      <w:pPr>
        <w:pStyle w:val="BodyText1"/>
        <w:ind w:firstLine="0"/>
        <w:rPr>
          <w:rFonts w:ascii="Times New Roman" w:hAnsi="Times New Roman"/>
          <w:bCs/>
          <w:color w:val="auto"/>
          <w:sz w:val="22"/>
          <w:szCs w:val="22"/>
        </w:rPr>
      </w:pPr>
      <w:r w:rsidRPr="006B7DEB">
        <w:rPr>
          <w:rFonts w:ascii="Times New Roman" w:hAnsi="Times New Roman"/>
          <w:bCs/>
          <w:color w:val="auto"/>
          <w:sz w:val="22"/>
          <w:szCs w:val="22"/>
        </w:rPr>
        <w:t>98</w:t>
      </w:r>
      <w:r w:rsidRPr="006B7DEB">
        <w:rPr>
          <w:rFonts w:ascii="Times New Roman" w:hAnsi="Times New Roman"/>
          <w:bCs/>
          <w:color w:val="auto"/>
          <w:sz w:val="22"/>
          <w:szCs w:val="22"/>
        </w:rPr>
        <w:noBreakHyphen/>
      </w:r>
      <w:r w:rsidR="007946E0" w:rsidRPr="006B7DEB">
        <w:rPr>
          <w:rFonts w:ascii="Times New Roman" w:hAnsi="Times New Roman"/>
          <w:bCs/>
          <w:color w:val="auto"/>
          <w:sz w:val="22"/>
          <w:szCs w:val="22"/>
        </w:rPr>
        <w:t>0382</w:t>
      </w:r>
    </w:p>
    <w:p w14:paraId="686FF94A" w14:textId="77777777" w:rsidR="007946E0" w:rsidRPr="006B7DEB" w:rsidRDefault="007946E0" w:rsidP="000E07C1">
      <w:pPr>
        <w:pStyle w:val="BodyText1"/>
        <w:ind w:firstLine="0"/>
        <w:rPr>
          <w:rFonts w:ascii="Times New Roman" w:hAnsi="Times New Roman"/>
          <w:color w:val="auto"/>
          <w:sz w:val="22"/>
          <w:szCs w:val="22"/>
        </w:rPr>
      </w:pPr>
    </w:p>
    <w:p w14:paraId="2ABB789B" w14:textId="77777777" w:rsidR="00EE60C9" w:rsidRPr="006B7DEB" w:rsidRDefault="00EE60C9" w:rsidP="000E07C1">
      <w:pPr>
        <w:pStyle w:val="BodyText1"/>
        <w:ind w:firstLine="0"/>
        <w:rPr>
          <w:rFonts w:ascii="Times New Roman" w:hAnsi="Times New Roman"/>
          <w:color w:val="auto"/>
          <w:sz w:val="22"/>
          <w:szCs w:val="22"/>
        </w:rPr>
      </w:pPr>
    </w:p>
    <w:p w14:paraId="750E9B49" w14:textId="77777777" w:rsidR="007946E0" w:rsidRPr="006B7DEB" w:rsidRDefault="00101794" w:rsidP="000E07C1">
      <w:pPr>
        <w:pStyle w:val="BodyText1"/>
        <w:ind w:firstLine="0"/>
        <w:rPr>
          <w:rFonts w:ascii="Times New Roman" w:hAnsi="Times New Roman"/>
          <w:b/>
          <w:color w:val="auto"/>
          <w:sz w:val="22"/>
          <w:szCs w:val="22"/>
        </w:rPr>
      </w:pPr>
      <w:r w:rsidRPr="006B7DEB">
        <w:rPr>
          <w:rFonts w:ascii="Times New Roman" w:hAnsi="Times New Roman"/>
          <w:b/>
          <w:color w:val="auto"/>
          <w:sz w:val="22"/>
          <w:szCs w:val="22"/>
        </w:rPr>
        <w:t>9.</w:t>
      </w:r>
      <w:r w:rsidRPr="006B7DEB">
        <w:rPr>
          <w:rFonts w:ascii="Times New Roman" w:hAnsi="Times New Roman"/>
          <w:b/>
          <w:color w:val="auto"/>
          <w:sz w:val="22"/>
          <w:szCs w:val="22"/>
        </w:rPr>
        <w:tab/>
      </w:r>
      <w:r w:rsidR="00E95477" w:rsidRPr="006B7DEB">
        <w:rPr>
          <w:rFonts w:ascii="Times New Roman" w:hAnsi="Times New Roman"/>
          <w:b/>
          <w:color w:val="auto"/>
          <w:sz w:val="22"/>
          <w:szCs w:val="22"/>
        </w:rPr>
        <w:t xml:space="preserve">PIRMĀS </w:t>
      </w:r>
      <w:r w:rsidR="007946E0" w:rsidRPr="006B7DEB">
        <w:rPr>
          <w:rFonts w:ascii="Times New Roman" w:hAnsi="Times New Roman"/>
          <w:b/>
          <w:color w:val="auto"/>
          <w:sz w:val="22"/>
          <w:szCs w:val="22"/>
        </w:rPr>
        <w:t>REĢISTRĀCIJAS/PĀRREĢISTRĀCIJAS DATUMS</w:t>
      </w:r>
    </w:p>
    <w:p w14:paraId="4C683C93" w14:textId="77777777" w:rsidR="007946E0" w:rsidRPr="006B7DEB" w:rsidRDefault="007946E0" w:rsidP="000E07C1">
      <w:pPr>
        <w:pStyle w:val="BodyText1"/>
        <w:ind w:firstLine="0"/>
        <w:rPr>
          <w:rFonts w:ascii="Times New Roman" w:hAnsi="Times New Roman"/>
          <w:color w:val="auto"/>
          <w:sz w:val="22"/>
          <w:szCs w:val="22"/>
        </w:rPr>
      </w:pPr>
    </w:p>
    <w:p w14:paraId="55E8B362" w14:textId="77777777" w:rsidR="00B72C6A" w:rsidRPr="006B7DEB" w:rsidRDefault="00B72C6A" w:rsidP="000E07C1">
      <w:pPr>
        <w:rPr>
          <w:sz w:val="22"/>
          <w:szCs w:val="22"/>
          <w:lang w:val="lv-LV"/>
        </w:rPr>
      </w:pPr>
      <w:r w:rsidRPr="006B7DEB">
        <w:rPr>
          <w:sz w:val="22"/>
          <w:szCs w:val="22"/>
          <w:lang w:val="lv-LV"/>
        </w:rPr>
        <w:t>Reģistrācijas datums: 1998. gada 21. jūlijs</w:t>
      </w:r>
    </w:p>
    <w:p w14:paraId="5B36AA97" w14:textId="77777777" w:rsidR="00B72C6A" w:rsidRPr="006B7DEB" w:rsidRDefault="00B72C6A" w:rsidP="000E07C1">
      <w:pPr>
        <w:rPr>
          <w:sz w:val="22"/>
          <w:szCs w:val="22"/>
          <w:lang w:val="lv-LV"/>
        </w:rPr>
      </w:pPr>
      <w:r w:rsidRPr="006B7DEB">
        <w:rPr>
          <w:sz w:val="22"/>
          <w:szCs w:val="22"/>
          <w:lang w:val="lv-LV"/>
        </w:rPr>
        <w:t xml:space="preserve">Pēdējās </w:t>
      </w:r>
      <w:proofErr w:type="spellStart"/>
      <w:r w:rsidRPr="006B7DEB">
        <w:rPr>
          <w:sz w:val="22"/>
          <w:szCs w:val="22"/>
          <w:lang w:val="lv-LV"/>
        </w:rPr>
        <w:t>pārreģistrācijas</w:t>
      </w:r>
      <w:proofErr w:type="spellEnd"/>
      <w:r w:rsidRPr="006B7DEB">
        <w:rPr>
          <w:sz w:val="22"/>
          <w:szCs w:val="22"/>
          <w:lang w:val="lv-LV"/>
        </w:rPr>
        <w:t xml:space="preserve"> datums: 2009. gada 28. maijs</w:t>
      </w:r>
    </w:p>
    <w:p w14:paraId="5B3B4396" w14:textId="77777777" w:rsidR="00EE60C9" w:rsidRPr="006B7DEB" w:rsidRDefault="00EE60C9" w:rsidP="000E07C1">
      <w:pPr>
        <w:pStyle w:val="BodyText1"/>
        <w:ind w:firstLine="0"/>
        <w:rPr>
          <w:rFonts w:ascii="Times New Roman" w:hAnsi="Times New Roman"/>
          <w:color w:val="auto"/>
          <w:sz w:val="22"/>
          <w:szCs w:val="22"/>
        </w:rPr>
      </w:pPr>
    </w:p>
    <w:p w14:paraId="0B9CBE71" w14:textId="77777777" w:rsidR="00EE60C9" w:rsidRPr="006B7DEB" w:rsidRDefault="00EE60C9" w:rsidP="000E07C1">
      <w:pPr>
        <w:pStyle w:val="BodyText1"/>
        <w:ind w:firstLine="0"/>
        <w:rPr>
          <w:rFonts w:ascii="Times New Roman" w:hAnsi="Times New Roman"/>
          <w:color w:val="auto"/>
          <w:sz w:val="22"/>
          <w:szCs w:val="22"/>
        </w:rPr>
      </w:pPr>
    </w:p>
    <w:p w14:paraId="1742AC93" w14:textId="77777777" w:rsidR="007946E0" w:rsidRPr="006B7DEB" w:rsidRDefault="00101794" w:rsidP="000E07C1">
      <w:pPr>
        <w:pStyle w:val="BodyText1"/>
        <w:ind w:firstLine="0"/>
        <w:rPr>
          <w:rFonts w:ascii="Times New Roman" w:hAnsi="Times New Roman"/>
          <w:color w:val="auto"/>
          <w:sz w:val="22"/>
          <w:szCs w:val="22"/>
        </w:rPr>
      </w:pPr>
      <w:r w:rsidRPr="006B7DEB">
        <w:rPr>
          <w:rFonts w:ascii="Times New Roman" w:hAnsi="Times New Roman"/>
          <w:b/>
          <w:color w:val="auto"/>
          <w:sz w:val="22"/>
          <w:szCs w:val="22"/>
        </w:rPr>
        <w:t>10.</w:t>
      </w:r>
      <w:r w:rsidRPr="006B7DEB">
        <w:rPr>
          <w:rFonts w:ascii="Times New Roman" w:hAnsi="Times New Roman"/>
          <w:b/>
          <w:color w:val="auto"/>
          <w:sz w:val="22"/>
          <w:szCs w:val="22"/>
        </w:rPr>
        <w:tab/>
      </w:r>
      <w:r w:rsidR="007946E0" w:rsidRPr="006B7DEB">
        <w:rPr>
          <w:rFonts w:ascii="Times New Roman" w:hAnsi="Times New Roman"/>
          <w:b/>
          <w:color w:val="auto"/>
          <w:sz w:val="22"/>
          <w:szCs w:val="22"/>
        </w:rPr>
        <w:t>TEKSTA PĀRSKATĪŠANAS DATUMS</w:t>
      </w:r>
    </w:p>
    <w:p w14:paraId="73E34DBA" w14:textId="77777777" w:rsidR="007946E0" w:rsidRPr="006B7DEB" w:rsidRDefault="007946E0" w:rsidP="000E07C1">
      <w:pPr>
        <w:pStyle w:val="BodyText1"/>
        <w:ind w:firstLine="0"/>
        <w:rPr>
          <w:rFonts w:ascii="Times New Roman" w:hAnsi="Times New Roman"/>
          <w:color w:val="auto"/>
          <w:sz w:val="22"/>
          <w:szCs w:val="22"/>
        </w:rPr>
      </w:pPr>
    </w:p>
    <w:p w14:paraId="7229DFF7" w14:textId="38D64381" w:rsidR="007946E0" w:rsidRPr="006B7DEB" w:rsidRDefault="00430B66" w:rsidP="000E07C1">
      <w:pPr>
        <w:rPr>
          <w:sz w:val="22"/>
          <w:szCs w:val="22"/>
          <w:lang w:val="lv-LV"/>
        </w:rPr>
      </w:pPr>
      <w:r w:rsidRPr="006B7DEB">
        <w:rPr>
          <w:sz w:val="22"/>
          <w:szCs w:val="22"/>
          <w:lang w:val="lv-LV"/>
        </w:rPr>
        <w:t>0</w:t>
      </w:r>
      <w:r w:rsidR="007513FE" w:rsidRPr="006B7DEB">
        <w:rPr>
          <w:sz w:val="22"/>
          <w:szCs w:val="22"/>
          <w:lang w:val="lv-LV"/>
        </w:rPr>
        <w:t>4</w:t>
      </w:r>
      <w:r w:rsidR="00EB116A" w:rsidRPr="006B7DEB">
        <w:rPr>
          <w:sz w:val="22"/>
          <w:szCs w:val="22"/>
          <w:lang w:val="lv-LV"/>
        </w:rPr>
        <w:t>/20</w:t>
      </w:r>
      <w:r w:rsidR="007513FE" w:rsidRPr="006B7DEB">
        <w:rPr>
          <w:sz w:val="22"/>
          <w:szCs w:val="22"/>
          <w:lang w:val="lv-LV"/>
        </w:rPr>
        <w:t>22</w:t>
      </w:r>
    </w:p>
    <w:sectPr w:rsidR="007946E0" w:rsidRPr="006B7DEB" w:rsidSect="000666FC">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567" w:footer="743"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4AE7" w14:textId="77777777" w:rsidR="00756B59" w:rsidRDefault="00756B59">
      <w:r>
        <w:separator/>
      </w:r>
    </w:p>
  </w:endnote>
  <w:endnote w:type="continuationSeparator" w:id="0">
    <w:p w14:paraId="239FEB54" w14:textId="77777777" w:rsidR="00756B59" w:rsidRDefault="0075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897" w14:textId="77777777" w:rsidR="000666FC" w:rsidRDefault="00066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06E" w14:textId="77777777" w:rsidR="000666FC" w:rsidRDefault="00066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6A39" w14:textId="77777777" w:rsidR="000666FC" w:rsidRDefault="0006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E943" w14:textId="77777777" w:rsidR="00756B59" w:rsidRDefault="00756B59">
      <w:r>
        <w:separator/>
      </w:r>
    </w:p>
  </w:footnote>
  <w:footnote w:type="continuationSeparator" w:id="0">
    <w:p w14:paraId="607284B1" w14:textId="77777777" w:rsidR="00756B59" w:rsidRDefault="0075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DB8" w14:textId="77777777" w:rsidR="002248F4" w:rsidRDefault="0022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9B38EA" w14:textId="77777777" w:rsidR="002248F4" w:rsidRDefault="002248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C8E0" w14:textId="77777777" w:rsidR="00651B27" w:rsidRPr="00BA39F1" w:rsidRDefault="00651B27" w:rsidP="00651B27">
    <w:pPr>
      <w:pStyle w:val="Header"/>
      <w:jc w:val="right"/>
      <w:rPr>
        <w:rFonts w:ascii="Times New Roman" w:hAnsi="Times New Roman"/>
        <w:lang w:val="en-US"/>
      </w:rPr>
    </w:pPr>
    <w:r>
      <w:rPr>
        <w:rFonts w:ascii="Times New Roman" w:hAnsi="Times New Roman"/>
        <w:lang w:val="en-US"/>
      </w:rPr>
      <w:t>SASKAŅOTS ZVA 26-05-2022</w:t>
    </w:r>
  </w:p>
  <w:p w14:paraId="684C45EE" w14:textId="77777777" w:rsidR="00651B27" w:rsidRDefault="00651B27" w:rsidP="00651B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6FF1" w14:textId="4630E0E6" w:rsidR="002248F4" w:rsidRPr="00BA39F1" w:rsidRDefault="00BA39F1" w:rsidP="00FC630C">
    <w:pPr>
      <w:pStyle w:val="Header"/>
      <w:jc w:val="right"/>
      <w:rPr>
        <w:rFonts w:ascii="Times New Roman" w:hAnsi="Times New Roman"/>
        <w:lang w:val="en-US"/>
      </w:rPr>
    </w:pPr>
    <w:r>
      <w:rPr>
        <w:rFonts w:ascii="Times New Roman" w:hAnsi="Times New Roman"/>
        <w:lang w:val="en-US"/>
      </w:rPr>
      <w:t>SASKAŅOTS ZVA 26-05-2022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C8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43D656B"/>
    <w:multiLevelType w:val="hybridMultilevel"/>
    <w:tmpl w:val="F0FCA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A4524D"/>
    <w:multiLevelType w:val="hybridMultilevel"/>
    <w:tmpl w:val="2258D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6DF"/>
    <w:rsid w:val="000167FF"/>
    <w:rsid w:val="00036B5A"/>
    <w:rsid w:val="00050E6A"/>
    <w:rsid w:val="000666FC"/>
    <w:rsid w:val="000A1191"/>
    <w:rsid w:val="000B65B4"/>
    <w:rsid w:val="000B7A5B"/>
    <w:rsid w:val="000D7BFC"/>
    <w:rsid w:val="000E033C"/>
    <w:rsid w:val="000E07C1"/>
    <w:rsid w:val="00101794"/>
    <w:rsid w:val="00134D98"/>
    <w:rsid w:val="00135F4D"/>
    <w:rsid w:val="00137584"/>
    <w:rsid w:val="00152278"/>
    <w:rsid w:val="00157643"/>
    <w:rsid w:val="001645F4"/>
    <w:rsid w:val="00177213"/>
    <w:rsid w:val="001A0310"/>
    <w:rsid w:val="001B0BF7"/>
    <w:rsid w:val="001B538D"/>
    <w:rsid w:val="001B68C3"/>
    <w:rsid w:val="001C05F4"/>
    <w:rsid w:val="001C0BBC"/>
    <w:rsid w:val="001C206F"/>
    <w:rsid w:val="001F0860"/>
    <w:rsid w:val="002248F4"/>
    <w:rsid w:val="00230318"/>
    <w:rsid w:val="00235621"/>
    <w:rsid w:val="00244FD1"/>
    <w:rsid w:val="00291E38"/>
    <w:rsid w:val="002A2E3B"/>
    <w:rsid w:val="002B5FA5"/>
    <w:rsid w:val="002B7C31"/>
    <w:rsid w:val="002C537C"/>
    <w:rsid w:val="002D5FA2"/>
    <w:rsid w:val="002E67E6"/>
    <w:rsid w:val="0032119A"/>
    <w:rsid w:val="00333881"/>
    <w:rsid w:val="00337404"/>
    <w:rsid w:val="00337C24"/>
    <w:rsid w:val="0036071E"/>
    <w:rsid w:val="003616AD"/>
    <w:rsid w:val="00362C14"/>
    <w:rsid w:val="00371178"/>
    <w:rsid w:val="0037398D"/>
    <w:rsid w:val="003A1CAE"/>
    <w:rsid w:val="003A35E5"/>
    <w:rsid w:val="003B7014"/>
    <w:rsid w:val="003C6542"/>
    <w:rsid w:val="003D20E5"/>
    <w:rsid w:val="003D3B6E"/>
    <w:rsid w:val="003E0FE2"/>
    <w:rsid w:val="003E6787"/>
    <w:rsid w:val="003F4211"/>
    <w:rsid w:val="0040157E"/>
    <w:rsid w:val="00405354"/>
    <w:rsid w:val="0042126B"/>
    <w:rsid w:val="00430B66"/>
    <w:rsid w:val="00441CA9"/>
    <w:rsid w:val="004478BE"/>
    <w:rsid w:val="0045118A"/>
    <w:rsid w:val="00455544"/>
    <w:rsid w:val="00466386"/>
    <w:rsid w:val="0047516C"/>
    <w:rsid w:val="0048196B"/>
    <w:rsid w:val="00482CF9"/>
    <w:rsid w:val="004A01ED"/>
    <w:rsid w:val="004E4A1E"/>
    <w:rsid w:val="004F7E6F"/>
    <w:rsid w:val="00502F35"/>
    <w:rsid w:val="005077FE"/>
    <w:rsid w:val="005117AE"/>
    <w:rsid w:val="0053262F"/>
    <w:rsid w:val="00532E2D"/>
    <w:rsid w:val="00533D06"/>
    <w:rsid w:val="0053555B"/>
    <w:rsid w:val="00546A83"/>
    <w:rsid w:val="0056613B"/>
    <w:rsid w:val="005722FF"/>
    <w:rsid w:val="00573BBA"/>
    <w:rsid w:val="005742ED"/>
    <w:rsid w:val="0058411B"/>
    <w:rsid w:val="00585A4B"/>
    <w:rsid w:val="00594868"/>
    <w:rsid w:val="00596160"/>
    <w:rsid w:val="005A0D88"/>
    <w:rsid w:val="005B0CA2"/>
    <w:rsid w:val="005C2213"/>
    <w:rsid w:val="0060427F"/>
    <w:rsid w:val="00607D03"/>
    <w:rsid w:val="00631B27"/>
    <w:rsid w:val="00637070"/>
    <w:rsid w:val="00651B27"/>
    <w:rsid w:val="0067422E"/>
    <w:rsid w:val="00682868"/>
    <w:rsid w:val="006B5646"/>
    <w:rsid w:val="006B7DEB"/>
    <w:rsid w:val="006D02C1"/>
    <w:rsid w:val="00703CB0"/>
    <w:rsid w:val="00707445"/>
    <w:rsid w:val="00710742"/>
    <w:rsid w:val="0072360F"/>
    <w:rsid w:val="0072440D"/>
    <w:rsid w:val="0074022B"/>
    <w:rsid w:val="00741D11"/>
    <w:rsid w:val="007513FE"/>
    <w:rsid w:val="00756B59"/>
    <w:rsid w:val="00764819"/>
    <w:rsid w:val="007761F0"/>
    <w:rsid w:val="00780522"/>
    <w:rsid w:val="00784EE2"/>
    <w:rsid w:val="007867E4"/>
    <w:rsid w:val="007946E0"/>
    <w:rsid w:val="007B56B9"/>
    <w:rsid w:val="007B6B1F"/>
    <w:rsid w:val="007E0143"/>
    <w:rsid w:val="007E0CDF"/>
    <w:rsid w:val="007E7A22"/>
    <w:rsid w:val="007F06FB"/>
    <w:rsid w:val="00814390"/>
    <w:rsid w:val="008150A1"/>
    <w:rsid w:val="0082756C"/>
    <w:rsid w:val="00832188"/>
    <w:rsid w:val="00832CE5"/>
    <w:rsid w:val="00862441"/>
    <w:rsid w:val="00881450"/>
    <w:rsid w:val="008837DE"/>
    <w:rsid w:val="00890058"/>
    <w:rsid w:val="008918DB"/>
    <w:rsid w:val="00897FB5"/>
    <w:rsid w:val="008A6E8A"/>
    <w:rsid w:val="008C7E89"/>
    <w:rsid w:val="008E7EC1"/>
    <w:rsid w:val="00916021"/>
    <w:rsid w:val="00922DEA"/>
    <w:rsid w:val="00926DF4"/>
    <w:rsid w:val="009317DA"/>
    <w:rsid w:val="00935ED6"/>
    <w:rsid w:val="00960011"/>
    <w:rsid w:val="009603A8"/>
    <w:rsid w:val="00982203"/>
    <w:rsid w:val="00997F64"/>
    <w:rsid w:val="009A4B47"/>
    <w:rsid w:val="009B68A8"/>
    <w:rsid w:val="009C0A78"/>
    <w:rsid w:val="009C6D48"/>
    <w:rsid w:val="009E4DB4"/>
    <w:rsid w:val="009E5C04"/>
    <w:rsid w:val="00A01041"/>
    <w:rsid w:val="00A1388A"/>
    <w:rsid w:val="00A16443"/>
    <w:rsid w:val="00A329D5"/>
    <w:rsid w:val="00A767C2"/>
    <w:rsid w:val="00A8221D"/>
    <w:rsid w:val="00A96160"/>
    <w:rsid w:val="00AA2F46"/>
    <w:rsid w:val="00AB77DC"/>
    <w:rsid w:val="00AC2FAF"/>
    <w:rsid w:val="00AD59EF"/>
    <w:rsid w:val="00AD5F52"/>
    <w:rsid w:val="00B05125"/>
    <w:rsid w:val="00B41370"/>
    <w:rsid w:val="00B56BA5"/>
    <w:rsid w:val="00B606DF"/>
    <w:rsid w:val="00B72C6A"/>
    <w:rsid w:val="00B94D26"/>
    <w:rsid w:val="00B96952"/>
    <w:rsid w:val="00BA04F0"/>
    <w:rsid w:val="00BA11D1"/>
    <w:rsid w:val="00BA39F1"/>
    <w:rsid w:val="00BF71EC"/>
    <w:rsid w:val="00C02933"/>
    <w:rsid w:val="00C3569B"/>
    <w:rsid w:val="00C43205"/>
    <w:rsid w:val="00C54380"/>
    <w:rsid w:val="00CF4648"/>
    <w:rsid w:val="00D00100"/>
    <w:rsid w:val="00D025D1"/>
    <w:rsid w:val="00D241B7"/>
    <w:rsid w:val="00D248F0"/>
    <w:rsid w:val="00D266E4"/>
    <w:rsid w:val="00D3088A"/>
    <w:rsid w:val="00D4586F"/>
    <w:rsid w:val="00D45BCC"/>
    <w:rsid w:val="00D45FF3"/>
    <w:rsid w:val="00D552D0"/>
    <w:rsid w:val="00D7211F"/>
    <w:rsid w:val="00D92BCF"/>
    <w:rsid w:val="00DC2FC3"/>
    <w:rsid w:val="00E025B0"/>
    <w:rsid w:val="00E05929"/>
    <w:rsid w:val="00E327BB"/>
    <w:rsid w:val="00E3344A"/>
    <w:rsid w:val="00E43204"/>
    <w:rsid w:val="00E4341B"/>
    <w:rsid w:val="00E753A5"/>
    <w:rsid w:val="00E93F1B"/>
    <w:rsid w:val="00E95477"/>
    <w:rsid w:val="00EB116A"/>
    <w:rsid w:val="00EB2B25"/>
    <w:rsid w:val="00EB5F07"/>
    <w:rsid w:val="00EC359F"/>
    <w:rsid w:val="00EE60C9"/>
    <w:rsid w:val="00EE6657"/>
    <w:rsid w:val="00EF10B8"/>
    <w:rsid w:val="00EF7F5E"/>
    <w:rsid w:val="00F11EA5"/>
    <w:rsid w:val="00F15E00"/>
    <w:rsid w:val="00F25FF1"/>
    <w:rsid w:val="00F275AD"/>
    <w:rsid w:val="00F30396"/>
    <w:rsid w:val="00F31F24"/>
    <w:rsid w:val="00F32227"/>
    <w:rsid w:val="00F5008C"/>
    <w:rsid w:val="00F64587"/>
    <w:rsid w:val="00F83176"/>
    <w:rsid w:val="00F855A2"/>
    <w:rsid w:val="00F87B09"/>
    <w:rsid w:val="00F9607F"/>
    <w:rsid w:val="00F97ADB"/>
    <w:rsid w:val="00FA607C"/>
    <w:rsid w:val="00FB234E"/>
    <w:rsid w:val="00FC630C"/>
    <w:rsid w:val="00FD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95C92"/>
  <w15:docId w15:val="{807813F0-4C16-415F-B81A-B129884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E8A"/>
    <w:pPr>
      <w:jc w:val="both"/>
    </w:pPr>
    <w:rPr>
      <w:sz w:val="24"/>
      <w:szCs w:val="24"/>
      <w:lang w:val="en-GB" w:eastAsia="en-US"/>
    </w:rPr>
  </w:style>
  <w:style w:type="paragraph" w:styleId="Heading1">
    <w:name w:val="heading 1"/>
    <w:basedOn w:val="Normal"/>
    <w:next w:val="Normal"/>
    <w:qFormat/>
    <w:pPr>
      <w:keepNext/>
      <w:outlineLvl w:val="0"/>
    </w:pPr>
    <w:rPr>
      <w:rFonts w:ascii="RimTimes" w:hAnsi="RimTimes"/>
      <w:b/>
      <w:i/>
      <w:sz w:val="28"/>
      <w:szCs w:val="20"/>
      <w:lang w:val="lv-LV" w:eastAsia="lv-LV"/>
    </w:rPr>
  </w:style>
  <w:style w:type="paragraph" w:styleId="Heading2">
    <w:name w:val="heading 2"/>
    <w:basedOn w:val="Normal"/>
    <w:next w:val="Normal"/>
    <w:qFormat/>
    <w:pPr>
      <w:keepNext/>
      <w:outlineLvl w:val="1"/>
    </w:pPr>
    <w:rPr>
      <w:rFonts w:ascii="RimTimes" w:hAnsi="RimTimes"/>
      <w:b/>
      <w:sz w:val="28"/>
      <w:szCs w:val="20"/>
      <w:lang w:val="lv-LV" w:eastAsia="lv-LV"/>
    </w:rPr>
  </w:style>
  <w:style w:type="paragraph" w:styleId="Heading3">
    <w:name w:val="heading 3"/>
    <w:basedOn w:val="Normal"/>
    <w:next w:val="Normal"/>
    <w:qFormat/>
    <w:pPr>
      <w:keepNext/>
      <w:jc w:val="center"/>
      <w:outlineLvl w:val="2"/>
    </w:pPr>
    <w:rPr>
      <w:b/>
      <w:bCs/>
      <w:lang w:val="lv-LV"/>
    </w:rPr>
  </w:style>
  <w:style w:type="paragraph" w:styleId="Heading4">
    <w:name w:val="heading 4"/>
    <w:basedOn w:val="Normal"/>
    <w:next w:val="Normal"/>
    <w:qFormat/>
    <w:pPr>
      <w:keepNext/>
      <w:outlineLvl w:val="3"/>
    </w:pPr>
    <w:rPr>
      <w:b/>
      <w:szCs w:val="20"/>
      <w:lang w:eastAsia="lv-LV"/>
    </w:rPr>
  </w:style>
  <w:style w:type="paragraph" w:styleId="Heading5">
    <w:name w:val="heading 5"/>
    <w:basedOn w:val="Normal"/>
    <w:next w:val="Normal"/>
    <w:qFormat/>
    <w:pPr>
      <w:keepNext/>
      <w:ind w:firstLine="567"/>
      <w:outlineLvl w:val="4"/>
    </w:pPr>
    <w:rPr>
      <w:rFonts w:ascii="RimTimes" w:hAnsi="RimTimes"/>
      <w:szCs w:val="20"/>
      <w:lang w:val="lv-LV" w:eastAsia="lv-LV"/>
    </w:rPr>
  </w:style>
  <w:style w:type="paragraph" w:styleId="Heading6">
    <w:name w:val="heading 6"/>
    <w:basedOn w:val="Normal"/>
    <w:next w:val="Normal"/>
    <w:qFormat/>
    <w:pPr>
      <w:keepNext/>
      <w:jc w:val="center"/>
      <w:outlineLvl w:val="5"/>
    </w:pPr>
    <w:rPr>
      <w:rFonts w:ascii="RimTimes" w:hAnsi="RimTimes"/>
      <w:b/>
      <w:sz w:val="36"/>
      <w:szCs w:val="20"/>
      <w:lang w:val="lv-LV" w:eastAsia="lv-LV"/>
    </w:rPr>
  </w:style>
  <w:style w:type="paragraph" w:styleId="Heading7">
    <w:name w:val="heading 7"/>
    <w:basedOn w:val="Normal"/>
    <w:next w:val="Normal"/>
    <w:qFormat/>
    <w:pPr>
      <w:keepNext/>
      <w:autoSpaceDE w:val="0"/>
      <w:autoSpaceDN w:val="0"/>
      <w:adjustRightInd w:val="0"/>
      <w:outlineLvl w:val="6"/>
    </w:pPr>
    <w:rPr>
      <w:b/>
      <w:bCs/>
      <w:i/>
      <w:iCs/>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Dutch TL" w:hAnsi="Dutch TL"/>
      <w:szCs w:val="20"/>
      <w:lang w:eastAsia="lv-LV"/>
    </w:rPr>
  </w:style>
  <w:style w:type="character" w:styleId="PageNumber">
    <w:name w:val="page number"/>
    <w:basedOn w:val="DefaultParagraphFont"/>
  </w:style>
  <w:style w:type="paragraph" w:styleId="BodyTextIndent">
    <w:name w:val="Body Text Indent"/>
    <w:basedOn w:val="Normal"/>
    <w:pPr>
      <w:ind w:firstLine="720"/>
    </w:pPr>
    <w:rPr>
      <w:rFonts w:ascii="Dutch TL" w:hAnsi="Dutch TL"/>
      <w:szCs w:val="20"/>
      <w:lang w:val="lv-LV" w:eastAsia="lv-LV"/>
    </w:rPr>
  </w:style>
  <w:style w:type="paragraph" w:customStyle="1" w:styleId="BodyText1">
    <w:name w:val="Body Text1"/>
    <w:pPr>
      <w:ind w:firstLine="198"/>
      <w:jc w:val="both"/>
    </w:pPr>
    <w:rPr>
      <w:rFonts w:ascii="Dutch TL" w:hAnsi="Dutch TL"/>
      <w:color w:val="000000"/>
      <w:sz w:val="13"/>
      <w:lang w:eastAsia="en-US"/>
    </w:rPr>
  </w:style>
  <w:style w:type="paragraph" w:styleId="BodyText">
    <w:name w:val="Body Text"/>
    <w:basedOn w:val="Normal"/>
    <w:rPr>
      <w:rFonts w:ascii="Dutch TL" w:hAnsi="Dutch TL"/>
      <w:lang w:val="lv-LV"/>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EE60C9"/>
    <w:rPr>
      <w:rFonts w:ascii="Tahoma" w:hAnsi="Tahoma" w:cs="Tahoma"/>
      <w:sz w:val="16"/>
      <w:szCs w:val="16"/>
    </w:rPr>
  </w:style>
  <w:style w:type="character" w:customStyle="1" w:styleId="BalloonTextChar">
    <w:name w:val="Balloon Text Char"/>
    <w:link w:val="BalloonText"/>
    <w:rsid w:val="00EE60C9"/>
    <w:rPr>
      <w:rFonts w:ascii="Tahoma" w:hAnsi="Tahoma" w:cs="Tahoma"/>
      <w:sz w:val="16"/>
      <w:szCs w:val="16"/>
      <w:lang w:val="en-GB" w:eastAsia="en-US"/>
    </w:rPr>
  </w:style>
  <w:style w:type="character" w:styleId="CommentReference">
    <w:name w:val="annotation reference"/>
    <w:uiPriority w:val="99"/>
    <w:rsid w:val="00710742"/>
    <w:rPr>
      <w:sz w:val="16"/>
      <w:szCs w:val="16"/>
    </w:rPr>
  </w:style>
  <w:style w:type="paragraph" w:styleId="CommentText">
    <w:name w:val="annotation text"/>
    <w:basedOn w:val="Normal"/>
    <w:link w:val="CommentTextChar"/>
    <w:uiPriority w:val="99"/>
    <w:rsid w:val="00710742"/>
    <w:rPr>
      <w:sz w:val="20"/>
      <w:szCs w:val="20"/>
    </w:rPr>
  </w:style>
  <w:style w:type="character" w:customStyle="1" w:styleId="CommentTextChar">
    <w:name w:val="Comment Text Char"/>
    <w:link w:val="CommentText"/>
    <w:uiPriority w:val="99"/>
    <w:rsid w:val="00710742"/>
    <w:rPr>
      <w:lang w:val="en-GB" w:eastAsia="en-US"/>
    </w:rPr>
  </w:style>
  <w:style w:type="paragraph" w:styleId="CommentSubject">
    <w:name w:val="annotation subject"/>
    <w:basedOn w:val="CommentText"/>
    <w:next w:val="CommentText"/>
    <w:link w:val="CommentSubjectChar"/>
    <w:rsid w:val="00710742"/>
    <w:rPr>
      <w:b/>
      <w:bCs/>
    </w:rPr>
  </w:style>
  <w:style w:type="character" w:customStyle="1" w:styleId="CommentSubjectChar">
    <w:name w:val="Comment Subject Char"/>
    <w:link w:val="CommentSubject"/>
    <w:rsid w:val="00710742"/>
    <w:rPr>
      <w:b/>
      <w:bCs/>
      <w:lang w:val="en-GB" w:eastAsia="en-US"/>
    </w:rPr>
  </w:style>
  <w:style w:type="character" w:customStyle="1" w:styleId="HeaderChar">
    <w:name w:val="Header Char"/>
    <w:basedOn w:val="DefaultParagraphFont"/>
    <w:link w:val="Header"/>
    <w:uiPriority w:val="99"/>
    <w:rsid w:val="004F7E6F"/>
    <w:rPr>
      <w:rFonts w:ascii="Dutch TL" w:hAnsi="Dutch TL"/>
      <w:sz w:val="24"/>
      <w:lang w:val="en-GB"/>
    </w:rPr>
  </w:style>
  <w:style w:type="paragraph" w:styleId="ListParagraph">
    <w:name w:val="List Paragraph"/>
    <w:basedOn w:val="Normal"/>
    <w:uiPriority w:val="34"/>
    <w:qFormat/>
    <w:rsid w:val="00441CA9"/>
    <w:pPr>
      <w:ind w:left="720"/>
      <w:contextualSpacing/>
    </w:pPr>
  </w:style>
  <w:style w:type="paragraph" w:styleId="Revision">
    <w:name w:val="Revision"/>
    <w:hidden/>
    <w:uiPriority w:val="99"/>
    <w:semiHidden/>
    <w:rsid w:val="007B6B1F"/>
    <w:rPr>
      <w:sz w:val="24"/>
      <w:szCs w:val="24"/>
      <w:lang w:val="en-GB" w:eastAsia="en-US"/>
    </w:rPr>
  </w:style>
  <w:style w:type="paragraph" w:styleId="NormalWeb">
    <w:name w:val="Normal (Web)"/>
    <w:basedOn w:val="Normal"/>
    <w:uiPriority w:val="99"/>
    <w:semiHidden/>
    <w:unhideWhenUsed/>
    <w:rsid w:val="007B6B1F"/>
    <w:pPr>
      <w:spacing w:before="100" w:beforeAutospacing="1" w:after="100" w:afterAutospacing="1"/>
      <w:jc w:val="left"/>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7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6087</Words>
  <Characters>3470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Grindeks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Paberza</dc:creator>
  <cp:lastModifiedBy>Skaidrīte Lapsenīte</cp:lastModifiedBy>
  <cp:revision>24</cp:revision>
  <dcterms:created xsi:type="dcterms:W3CDTF">2019-11-08T11:02:00Z</dcterms:created>
  <dcterms:modified xsi:type="dcterms:W3CDTF">2022-05-24T09:07:00Z</dcterms:modified>
</cp:coreProperties>
</file>