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E3F3C" w14:textId="77777777" w:rsidR="002D336F" w:rsidRPr="002D41D4" w:rsidRDefault="002D336F" w:rsidP="007F2E0A">
      <w:pPr>
        <w:jc w:val="center"/>
        <w:rPr>
          <w:rFonts w:ascii="Times New Roman" w:hAnsi="Times New Roman"/>
          <w:b/>
          <w:sz w:val="22"/>
          <w:szCs w:val="22"/>
          <w:lang w:val="lv-LV"/>
        </w:rPr>
      </w:pPr>
      <w:r w:rsidRPr="002D41D4">
        <w:rPr>
          <w:rFonts w:ascii="Times New Roman" w:hAnsi="Times New Roman"/>
          <w:b/>
          <w:sz w:val="22"/>
          <w:szCs w:val="22"/>
          <w:lang w:val="lv-LV"/>
        </w:rPr>
        <w:t>ZĀĻU APRAKSTS</w:t>
      </w:r>
    </w:p>
    <w:p w14:paraId="7E5CA341" w14:textId="77777777" w:rsidR="002D336F" w:rsidRPr="002D41D4" w:rsidRDefault="002D336F" w:rsidP="007F2E0A">
      <w:pPr>
        <w:rPr>
          <w:rFonts w:ascii="Times New Roman" w:hAnsi="Times New Roman"/>
          <w:b/>
          <w:sz w:val="22"/>
          <w:szCs w:val="22"/>
          <w:lang w:val="lv-LV"/>
        </w:rPr>
      </w:pPr>
    </w:p>
    <w:p w14:paraId="42EFF93D" w14:textId="77777777" w:rsidR="002D336F" w:rsidRPr="002D41D4" w:rsidRDefault="002D336F" w:rsidP="007F2E0A">
      <w:pPr>
        <w:pStyle w:val="ListParagraph"/>
        <w:numPr>
          <w:ilvl w:val="0"/>
          <w:numId w:val="2"/>
        </w:numPr>
        <w:tabs>
          <w:tab w:val="left" w:pos="567"/>
        </w:tabs>
        <w:ind w:left="0" w:firstLine="0"/>
        <w:rPr>
          <w:rFonts w:ascii="Times New Roman" w:hAnsi="Times New Roman"/>
          <w:sz w:val="22"/>
          <w:szCs w:val="22"/>
          <w:lang w:val="lv-LV"/>
        </w:rPr>
      </w:pPr>
      <w:r w:rsidRPr="002D41D4">
        <w:rPr>
          <w:rFonts w:ascii="Times New Roman" w:hAnsi="Times New Roman"/>
          <w:b/>
          <w:sz w:val="22"/>
          <w:szCs w:val="22"/>
          <w:lang w:val="lv-LV"/>
        </w:rPr>
        <w:t>ZĀĻU NOSAUKUMS</w:t>
      </w:r>
    </w:p>
    <w:p w14:paraId="0B39601F" w14:textId="77777777" w:rsidR="002D336F" w:rsidRPr="002D41D4" w:rsidRDefault="002D336F" w:rsidP="007F2E0A">
      <w:pPr>
        <w:rPr>
          <w:rFonts w:ascii="Times New Roman" w:hAnsi="Times New Roman"/>
          <w:sz w:val="22"/>
          <w:szCs w:val="22"/>
          <w:lang w:val="lv-LV"/>
        </w:rPr>
      </w:pPr>
    </w:p>
    <w:p w14:paraId="33293943" w14:textId="77777777" w:rsidR="002D336F" w:rsidRPr="002D41D4" w:rsidRDefault="002D336F" w:rsidP="007F2E0A">
      <w:pPr>
        <w:rPr>
          <w:rFonts w:ascii="Times New Roman" w:hAnsi="Times New Roman"/>
          <w:iCs/>
          <w:sz w:val="22"/>
          <w:szCs w:val="22"/>
          <w:lang w:val="lv-LV"/>
        </w:rPr>
      </w:pPr>
      <w:r w:rsidRPr="002D41D4">
        <w:rPr>
          <w:rFonts w:ascii="Times New Roman" w:hAnsi="Times New Roman"/>
          <w:iCs/>
          <w:sz w:val="22"/>
          <w:szCs w:val="22"/>
          <w:lang w:val="lv-LV"/>
        </w:rPr>
        <w:t xml:space="preserve">Nebilet </w:t>
      </w:r>
      <w:r w:rsidR="00964D4D" w:rsidRPr="002D41D4">
        <w:rPr>
          <w:rFonts w:ascii="Times New Roman" w:hAnsi="Times New Roman"/>
          <w:iCs/>
          <w:sz w:val="22"/>
          <w:szCs w:val="22"/>
          <w:lang w:val="lv-LV"/>
        </w:rPr>
        <w:t>5 mg</w:t>
      </w:r>
      <w:r w:rsidRPr="002D41D4">
        <w:rPr>
          <w:rFonts w:ascii="Times New Roman" w:hAnsi="Times New Roman"/>
          <w:iCs/>
          <w:sz w:val="22"/>
          <w:szCs w:val="22"/>
          <w:lang w:val="lv-LV"/>
        </w:rPr>
        <w:t xml:space="preserve"> tabletes</w:t>
      </w:r>
    </w:p>
    <w:p w14:paraId="4F869B6D" w14:textId="77777777" w:rsidR="002D336F" w:rsidRPr="002D41D4" w:rsidRDefault="002D336F" w:rsidP="007F2E0A">
      <w:pPr>
        <w:rPr>
          <w:rFonts w:ascii="Times New Roman" w:hAnsi="Times New Roman"/>
          <w:sz w:val="22"/>
          <w:szCs w:val="22"/>
          <w:lang w:val="lv-LV"/>
        </w:rPr>
      </w:pPr>
    </w:p>
    <w:p w14:paraId="7A058780" w14:textId="77777777" w:rsidR="002D336F" w:rsidRPr="002D41D4" w:rsidRDefault="002D336F" w:rsidP="007F2E0A">
      <w:pPr>
        <w:rPr>
          <w:rFonts w:ascii="Times New Roman" w:hAnsi="Times New Roman"/>
          <w:sz w:val="22"/>
          <w:szCs w:val="22"/>
          <w:lang w:val="lv-LV"/>
        </w:rPr>
      </w:pPr>
    </w:p>
    <w:p w14:paraId="412C30B6" w14:textId="77777777" w:rsidR="002D336F" w:rsidRPr="002D41D4" w:rsidRDefault="002D336F" w:rsidP="007F2E0A">
      <w:pPr>
        <w:pStyle w:val="ListParagraph"/>
        <w:numPr>
          <w:ilvl w:val="0"/>
          <w:numId w:val="2"/>
        </w:numPr>
        <w:ind w:left="0" w:firstLine="0"/>
        <w:rPr>
          <w:rFonts w:ascii="Times New Roman" w:hAnsi="Times New Roman"/>
          <w:sz w:val="22"/>
          <w:szCs w:val="22"/>
          <w:lang w:val="lv-LV"/>
        </w:rPr>
      </w:pPr>
      <w:r w:rsidRPr="002D41D4">
        <w:rPr>
          <w:rFonts w:ascii="Times New Roman" w:hAnsi="Times New Roman"/>
          <w:b/>
          <w:sz w:val="22"/>
          <w:szCs w:val="22"/>
          <w:lang w:val="lv-LV"/>
        </w:rPr>
        <w:t>KVALITATĪVAIS UN KVANTITATĪVAIS SASTĀVS</w:t>
      </w:r>
    </w:p>
    <w:p w14:paraId="57558FA8" w14:textId="77777777" w:rsidR="002D336F" w:rsidRPr="002D41D4" w:rsidRDefault="002D336F" w:rsidP="007F2E0A">
      <w:pPr>
        <w:rPr>
          <w:rFonts w:ascii="Times New Roman" w:hAnsi="Times New Roman"/>
          <w:sz w:val="22"/>
          <w:szCs w:val="22"/>
          <w:lang w:val="lv-LV"/>
        </w:rPr>
      </w:pPr>
    </w:p>
    <w:p w14:paraId="0874FC32" w14:textId="77777777" w:rsidR="002D336F" w:rsidRPr="002D41D4" w:rsidRDefault="00C852BB" w:rsidP="007F2E0A">
      <w:pPr>
        <w:rPr>
          <w:rFonts w:ascii="Times New Roman" w:hAnsi="Times New Roman"/>
          <w:sz w:val="22"/>
          <w:szCs w:val="22"/>
          <w:lang w:val="lv-LV"/>
        </w:rPr>
      </w:pPr>
      <w:r w:rsidRPr="002D41D4">
        <w:rPr>
          <w:rFonts w:ascii="Times New Roman" w:hAnsi="Times New Roman"/>
          <w:sz w:val="22"/>
          <w:szCs w:val="22"/>
          <w:lang w:val="lv-LV"/>
        </w:rPr>
        <w:t>Nebilet t</w:t>
      </w:r>
      <w:r w:rsidR="002D336F" w:rsidRPr="002D41D4">
        <w:rPr>
          <w:rFonts w:ascii="Times New Roman" w:hAnsi="Times New Roman"/>
          <w:sz w:val="22"/>
          <w:szCs w:val="22"/>
          <w:lang w:val="lv-LV"/>
        </w:rPr>
        <w:t xml:space="preserve">abletē ir </w:t>
      </w:r>
      <w:r w:rsidR="00964D4D" w:rsidRPr="002D41D4">
        <w:rPr>
          <w:rFonts w:ascii="Times New Roman" w:hAnsi="Times New Roman"/>
          <w:sz w:val="22"/>
          <w:szCs w:val="22"/>
          <w:lang w:val="lv-LV"/>
        </w:rPr>
        <w:t>5 mg</w:t>
      </w:r>
      <w:r w:rsidR="002D336F" w:rsidRPr="002D41D4">
        <w:rPr>
          <w:rFonts w:ascii="Times New Roman" w:hAnsi="Times New Roman"/>
          <w:sz w:val="22"/>
          <w:szCs w:val="22"/>
          <w:lang w:val="lv-LV"/>
        </w:rPr>
        <w:t xml:space="preserve"> nebivolola (</w:t>
      </w:r>
      <w:r w:rsidR="002D336F" w:rsidRPr="002D41D4">
        <w:rPr>
          <w:rFonts w:ascii="Times New Roman" w:hAnsi="Times New Roman"/>
          <w:i/>
          <w:sz w:val="22"/>
          <w:szCs w:val="22"/>
          <w:lang w:val="lv-LV"/>
        </w:rPr>
        <w:t>nebivololum</w:t>
      </w:r>
      <w:r w:rsidR="002D336F" w:rsidRPr="002D41D4">
        <w:rPr>
          <w:rFonts w:ascii="Times New Roman" w:hAnsi="Times New Roman"/>
          <w:sz w:val="22"/>
          <w:szCs w:val="22"/>
          <w:lang w:val="lv-LV"/>
        </w:rPr>
        <w:t>) - nebivolola hidrohlorīda veidā</w:t>
      </w:r>
      <w:r w:rsidRPr="002D41D4">
        <w:rPr>
          <w:rFonts w:ascii="Times New Roman" w:hAnsi="Times New Roman"/>
          <w:sz w:val="22"/>
          <w:szCs w:val="22"/>
          <w:lang w:val="lv-LV"/>
        </w:rPr>
        <w:t>: 2,5 mg SRRR-nebivolola (jeb D-nebivolola) un 2,5 mg RSSS-nebivolola (jeb L-nebivolola)</w:t>
      </w:r>
      <w:r w:rsidR="002D336F" w:rsidRPr="002D41D4">
        <w:rPr>
          <w:rFonts w:ascii="Times New Roman" w:hAnsi="Times New Roman"/>
          <w:sz w:val="22"/>
          <w:szCs w:val="22"/>
          <w:lang w:val="lv-LV"/>
        </w:rPr>
        <w:t>.</w:t>
      </w:r>
    </w:p>
    <w:p w14:paraId="0AFBCDAE" w14:textId="77777777" w:rsidR="002D336F" w:rsidRPr="002D41D4" w:rsidRDefault="002D336F" w:rsidP="007F2E0A">
      <w:pPr>
        <w:rPr>
          <w:rFonts w:ascii="Times New Roman" w:hAnsi="Times New Roman"/>
          <w:sz w:val="22"/>
          <w:szCs w:val="22"/>
          <w:lang w:val="lv-LV"/>
        </w:rPr>
      </w:pPr>
      <w:r w:rsidRPr="002D41D4">
        <w:rPr>
          <w:rFonts w:ascii="Times New Roman" w:hAnsi="Times New Roman"/>
          <w:sz w:val="22"/>
          <w:szCs w:val="22"/>
          <w:u w:val="single"/>
          <w:lang w:val="lv-LV"/>
        </w:rPr>
        <w:t>Palīgviela</w:t>
      </w:r>
      <w:r w:rsidR="00C852BB" w:rsidRPr="002D41D4">
        <w:rPr>
          <w:rFonts w:ascii="Times New Roman" w:hAnsi="Times New Roman"/>
          <w:sz w:val="22"/>
          <w:szCs w:val="22"/>
          <w:u w:val="single"/>
          <w:lang w:val="lv-LV"/>
        </w:rPr>
        <w:t xml:space="preserve"> ar zināmu iedarbību</w:t>
      </w:r>
      <w:r w:rsidRPr="002D41D4">
        <w:rPr>
          <w:rFonts w:ascii="Times New Roman" w:hAnsi="Times New Roman"/>
          <w:sz w:val="22"/>
          <w:szCs w:val="22"/>
          <w:lang w:val="lv-LV"/>
        </w:rPr>
        <w:t xml:space="preserve">: </w:t>
      </w:r>
      <w:r w:rsidR="00905837" w:rsidRPr="002D41D4">
        <w:rPr>
          <w:rFonts w:ascii="Times New Roman" w:hAnsi="Times New Roman"/>
          <w:sz w:val="22"/>
          <w:szCs w:val="22"/>
          <w:lang w:val="lv-LV"/>
        </w:rPr>
        <w:t xml:space="preserve">tabletē </w:t>
      </w:r>
      <w:r w:rsidRPr="002D41D4">
        <w:rPr>
          <w:rFonts w:ascii="Times New Roman" w:hAnsi="Times New Roman"/>
          <w:sz w:val="22"/>
          <w:szCs w:val="22"/>
          <w:lang w:val="lv-LV"/>
        </w:rPr>
        <w:t xml:space="preserve">ir </w:t>
      </w:r>
      <w:r w:rsidR="00905837" w:rsidRPr="002D41D4">
        <w:rPr>
          <w:rFonts w:ascii="Times New Roman" w:hAnsi="Times New Roman"/>
          <w:sz w:val="22"/>
          <w:szCs w:val="22"/>
          <w:lang w:val="lv-LV"/>
        </w:rPr>
        <w:t>141,75 mg</w:t>
      </w:r>
      <w:r w:rsidRPr="002D41D4">
        <w:rPr>
          <w:rFonts w:ascii="Times New Roman" w:hAnsi="Times New Roman"/>
          <w:sz w:val="22"/>
          <w:szCs w:val="22"/>
          <w:lang w:val="lv-LV"/>
        </w:rPr>
        <w:t xml:space="preserve"> laktozes monohidrāt</w:t>
      </w:r>
      <w:r w:rsidR="00905837" w:rsidRPr="002D41D4">
        <w:rPr>
          <w:rFonts w:ascii="Times New Roman" w:hAnsi="Times New Roman"/>
          <w:sz w:val="22"/>
          <w:szCs w:val="22"/>
          <w:lang w:val="lv-LV"/>
        </w:rPr>
        <w:t>a</w:t>
      </w:r>
      <w:r w:rsidRPr="002D41D4">
        <w:rPr>
          <w:rFonts w:ascii="Times New Roman" w:hAnsi="Times New Roman"/>
          <w:sz w:val="22"/>
          <w:szCs w:val="22"/>
          <w:lang w:val="lv-LV"/>
        </w:rPr>
        <w:t xml:space="preserve"> (skatīt 4.4</w:t>
      </w:r>
      <w:r w:rsidR="00463125" w:rsidRPr="002D41D4">
        <w:rPr>
          <w:rFonts w:ascii="Times New Roman" w:hAnsi="Times New Roman"/>
          <w:sz w:val="22"/>
          <w:szCs w:val="22"/>
          <w:lang w:val="lv-LV"/>
        </w:rPr>
        <w:t>.</w:t>
      </w:r>
      <w:r w:rsidRPr="002D41D4">
        <w:rPr>
          <w:rFonts w:ascii="Times New Roman" w:hAnsi="Times New Roman"/>
          <w:sz w:val="22"/>
          <w:szCs w:val="22"/>
          <w:lang w:val="lv-LV"/>
        </w:rPr>
        <w:t xml:space="preserve"> un 6.1</w:t>
      </w:r>
      <w:r w:rsidR="00463125" w:rsidRPr="002D41D4">
        <w:rPr>
          <w:rFonts w:ascii="Times New Roman" w:hAnsi="Times New Roman"/>
          <w:sz w:val="22"/>
          <w:szCs w:val="22"/>
          <w:lang w:val="lv-LV"/>
        </w:rPr>
        <w:t>.</w:t>
      </w:r>
      <w:r w:rsidRPr="002D41D4">
        <w:rPr>
          <w:rFonts w:ascii="Times New Roman" w:hAnsi="Times New Roman"/>
          <w:sz w:val="22"/>
          <w:szCs w:val="22"/>
          <w:lang w:val="lv-LV"/>
        </w:rPr>
        <w:t xml:space="preserve"> apakšpunktu).</w:t>
      </w:r>
    </w:p>
    <w:p w14:paraId="790E3292" w14:textId="77777777" w:rsidR="002D336F" w:rsidRPr="002D41D4" w:rsidRDefault="002D336F" w:rsidP="007F2E0A">
      <w:pPr>
        <w:rPr>
          <w:rFonts w:ascii="Times New Roman" w:hAnsi="Times New Roman"/>
          <w:sz w:val="22"/>
          <w:szCs w:val="22"/>
          <w:lang w:val="lv-LV"/>
        </w:rPr>
      </w:pPr>
      <w:r w:rsidRPr="002D41D4">
        <w:rPr>
          <w:rFonts w:ascii="Times New Roman" w:hAnsi="Times New Roman"/>
          <w:sz w:val="22"/>
          <w:szCs w:val="22"/>
          <w:lang w:val="lv-LV"/>
        </w:rPr>
        <w:t>Pilnu palīgvielu sarakstu skatīt 6.1</w:t>
      </w:r>
      <w:r w:rsidR="00463125" w:rsidRPr="002D41D4">
        <w:rPr>
          <w:rFonts w:ascii="Times New Roman" w:hAnsi="Times New Roman"/>
          <w:sz w:val="22"/>
          <w:szCs w:val="22"/>
          <w:lang w:val="lv-LV"/>
        </w:rPr>
        <w:t>.</w:t>
      </w:r>
      <w:r w:rsidRPr="002D41D4">
        <w:rPr>
          <w:rFonts w:ascii="Times New Roman" w:hAnsi="Times New Roman"/>
          <w:sz w:val="22"/>
          <w:szCs w:val="22"/>
          <w:lang w:val="lv-LV"/>
        </w:rPr>
        <w:t xml:space="preserve"> apakšpunktā.</w:t>
      </w:r>
    </w:p>
    <w:p w14:paraId="30B70B3E" w14:textId="77777777" w:rsidR="002D336F" w:rsidRPr="002D41D4" w:rsidRDefault="002D336F" w:rsidP="007F2E0A">
      <w:pPr>
        <w:rPr>
          <w:rFonts w:ascii="Times New Roman" w:hAnsi="Times New Roman"/>
          <w:sz w:val="22"/>
          <w:szCs w:val="22"/>
          <w:lang w:val="lv-LV"/>
        </w:rPr>
      </w:pPr>
    </w:p>
    <w:p w14:paraId="79371B44" w14:textId="77777777" w:rsidR="002D336F" w:rsidRPr="002D41D4" w:rsidRDefault="002D336F" w:rsidP="007F2E0A">
      <w:pPr>
        <w:rPr>
          <w:rFonts w:ascii="Times New Roman" w:hAnsi="Times New Roman"/>
          <w:sz w:val="22"/>
          <w:szCs w:val="22"/>
          <w:lang w:val="lv-LV"/>
        </w:rPr>
      </w:pPr>
    </w:p>
    <w:p w14:paraId="521E066C" w14:textId="77777777" w:rsidR="002D336F" w:rsidRPr="002D41D4" w:rsidRDefault="002D336F" w:rsidP="007F2E0A">
      <w:pPr>
        <w:pStyle w:val="ListParagraph"/>
        <w:numPr>
          <w:ilvl w:val="0"/>
          <w:numId w:val="2"/>
        </w:numPr>
        <w:ind w:left="0" w:firstLine="0"/>
        <w:rPr>
          <w:rFonts w:ascii="Times New Roman" w:hAnsi="Times New Roman"/>
          <w:b/>
          <w:sz w:val="22"/>
          <w:szCs w:val="22"/>
          <w:u w:val="single"/>
          <w:lang w:val="lv-LV"/>
        </w:rPr>
      </w:pPr>
      <w:r w:rsidRPr="002D41D4">
        <w:rPr>
          <w:rFonts w:ascii="Times New Roman" w:hAnsi="Times New Roman"/>
          <w:b/>
          <w:sz w:val="22"/>
          <w:szCs w:val="22"/>
          <w:lang w:val="lv-LV"/>
        </w:rPr>
        <w:t>ZĀĻU FORMA</w:t>
      </w:r>
    </w:p>
    <w:p w14:paraId="64E94DDA" w14:textId="77777777" w:rsidR="002D336F" w:rsidRPr="002D41D4" w:rsidRDefault="002D336F" w:rsidP="007F2E0A">
      <w:pPr>
        <w:rPr>
          <w:rFonts w:ascii="Times New Roman" w:hAnsi="Times New Roman"/>
          <w:sz w:val="22"/>
          <w:szCs w:val="22"/>
          <w:lang w:val="lv-LV"/>
        </w:rPr>
      </w:pPr>
    </w:p>
    <w:p w14:paraId="655C7E42" w14:textId="77777777" w:rsidR="002D336F" w:rsidRPr="002D41D4" w:rsidRDefault="002D336F" w:rsidP="007F2E0A">
      <w:pPr>
        <w:rPr>
          <w:rFonts w:ascii="Times New Roman" w:hAnsi="Times New Roman"/>
          <w:sz w:val="22"/>
          <w:szCs w:val="22"/>
          <w:lang w:val="lv-LV"/>
        </w:rPr>
      </w:pPr>
      <w:r w:rsidRPr="002D41D4">
        <w:rPr>
          <w:rFonts w:ascii="Times New Roman" w:hAnsi="Times New Roman"/>
          <w:sz w:val="22"/>
          <w:szCs w:val="22"/>
          <w:lang w:val="lv-LV"/>
        </w:rPr>
        <w:t>Tablete.</w:t>
      </w:r>
    </w:p>
    <w:p w14:paraId="2864908E" w14:textId="77777777" w:rsidR="002D336F" w:rsidRPr="002D41D4" w:rsidRDefault="002D336F" w:rsidP="007F2E0A">
      <w:pPr>
        <w:rPr>
          <w:rFonts w:ascii="Times New Roman" w:hAnsi="Times New Roman"/>
          <w:sz w:val="22"/>
          <w:szCs w:val="22"/>
          <w:lang w:val="lv-LV"/>
        </w:rPr>
      </w:pPr>
      <w:r w:rsidRPr="002D41D4">
        <w:rPr>
          <w:rFonts w:ascii="Times New Roman" w:hAnsi="Times New Roman"/>
          <w:sz w:val="22"/>
          <w:szCs w:val="22"/>
          <w:lang w:val="lv-LV"/>
        </w:rPr>
        <w:t>Balta, apaļa tablete ar krustenisku dalījuma līniju.</w:t>
      </w:r>
    </w:p>
    <w:p w14:paraId="350A649D" w14:textId="77777777" w:rsidR="002D336F" w:rsidRPr="002D41D4" w:rsidRDefault="002D336F" w:rsidP="007F2E0A">
      <w:pPr>
        <w:rPr>
          <w:rFonts w:ascii="Times New Roman" w:hAnsi="Times New Roman"/>
          <w:sz w:val="22"/>
          <w:szCs w:val="22"/>
          <w:lang w:val="lv-LV"/>
        </w:rPr>
      </w:pPr>
      <w:r w:rsidRPr="002D41D4">
        <w:rPr>
          <w:rFonts w:ascii="Times New Roman" w:hAnsi="Times New Roman"/>
          <w:sz w:val="22"/>
          <w:szCs w:val="22"/>
          <w:lang w:val="lv-LV"/>
        </w:rPr>
        <w:t>Tablet</w:t>
      </w:r>
      <w:r w:rsidR="00905837" w:rsidRPr="002D41D4">
        <w:rPr>
          <w:rFonts w:ascii="Times New Roman" w:hAnsi="Times New Roman"/>
          <w:sz w:val="22"/>
          <w:szCs w:val="22"/>
          <w:lang w:val="lv-LV"/>
        </w:rPr>
        <w:t>i</w:t>
      </w:r>
      <w:r w:rsidRPr="002D41D4">
        <w:rPr>
          <w:rFonts w:ascii="Times New Roman" w:hAnsi="Times New Roman"/>
          <w:sz w:val="22"/>
          <w:szCs w:val="22"/>
          <w:lang w:val="lv-LV"/>
        </w:rPr>
        <w:t xml:space="preserve"> var sadalīt 4 vienādās daļās.</w:t>
      </w:r>
    </w:p>
    <w:p w14:paraId="6AC2AA62" w14:textId="77777777" w:rsidR="002D336F" w:rsidRPr="002D41D4" w:rsidRDefault="002D336F" w:rsidP="007F2E0A">
      <w:pPr>
        <w:rPr>
          <w:rFonts w:ascii="Times New Roman" w:hAnsi="Times New Roman"/>
          <w:b/>
          <w:sz w:val="22"/>
          <w:szCs w:val="22"/>
          <w:lang w:val="lv-LV"/>
        </w:rPr>
      </w:pPr>
    </w:p>
    <w:p w14:paraId="490F5927" w14:textId="77777777" w:rsidR="002D336F" w:rsidRPr="002D41D4" w:rsidRDefault="002D336F" w:rsidP="007F2E0A">
      <w:pPr>
        <w:rPr>
          <w:rFonts w:ascii="Times New Roman" w:hAnsi="Times New Roman"/>
          <w:b/>
          <w:sz w:val="22"/>
          <w:szCs w:val="22"/>
          <w:lang w:val="lv-LV"/>
        </w:rPr>
      </w:pPr>
    </w:p>
    <w:p w14:paraId="6CDC080E" w14:textId="77777777" w:rsidR="002D336F" w:rsidRPr="002D41D4" w:rsidRDefault="002D336F" w:rsidP="007F2E0A">
      <w:pPr>
        <w:pStyle w:val="ListParagraph"/>
        <w:numPr>
          <w:ilvl w:val="0"/>
          <w:numId w:val="2"/>
        </w:numPr>
        <w:ind w:left="0" w:firstLine="0"/>
        <w:rPr>
          <w:rFonts w:ascii="Times New Roman" w:hAnsi="Times New Roman"/>
          <w:b/>
          <w:sz w:val="22"/>
          <w:szCs w:val="22"/>
          <w:u w:val="single"/>
          <w:lang w:val="lv-LV"/>
        </w:rPr>
      </w:pPr>
      <w:r w:rsidRPr="002D41D4">
        <w:rPr>
          <w:rFonts w:ascii="Times New Roman" w:hAnsi="Times New Roman"/>
          <w:b/>
          <w:sz w:val="22"/>
          <w:szCs w:val="22"/>
          <w:lang w:val="lv-LV"/>
        </w:rPr>
        <w:t>KLĪNISKĀ INFORMĀCIJA</w:t>
      </w:r>
    </w:p>
    <w:p w14:paraId="502DE796" w14:textId="77777777" w:rsidR="002D336F" w:rsidRPr="002D41D4" w:rsidRDefault="002D336F" w:rsidP="007F2E0A">
      <w:pPr>
        <w:rPr>
          <w:rFonts w:ascii="Times New Roman" w:hAnsi="Times New Roman"/>
          <w:sz w:val="22"/>
          <w:szCs w:val="22"/>
          <w:lang w:val="lv-LV"/>
        </w:rPr>
      </w:pPr>
    </w:p>
    <w:p w14:paraId="0C1A51EB" w14:textId="77777777" w:rsidR="002D336F" w:rsidRPr="002D41D4" w:rsidRDefault="002D336F" w:rsidP="007F2E0A">
      <w:pPr>
        <w:pStyle w:val="ListParagraph"/>
        <w:numPr>
          <w:ilvl w:val="1"/>
          <w:numId w:val="2"/>
        </w:numPr>
        <w:ind w:left="0" w:firstLine="0"/>
        <w:rPr>
          <w:rFonts w:ascii="Times New Roman" w:hAnsi="Times New Roman"/>
          <w:sz w:val="22"/>
          <w:szCs w:val="22"/>
          <w:lang w:val="lv-LV"/>
        </w:rPr>
      </w:pPr>
      <w:r w:rsidRPr="002D41D4">
        <w:rPr>
          <w:rFonts w:ascii="Times New Roman" w:hAnsi="Times New Roman"/>
          <w:b/>
          <w:sz w:val="22"/>
          <w:szCs w:val="22"/>
          <w:lang w:val="lv-LV"/>
        </w:rPr>
        <w:t>Terapeitiskās indikācijas</w:t>
      </w:r>
    </w:p>
    <w:p w14:paraId="68C5517A" w14:textId="77777777" w:rsidR="002D336F" w:rsidRPr="002D41D4" w:rsidRDefault="002D336F" w:rsidP="007F2E0A">
      <w:pPr>
        <w:rPr>
          <w:rFonts w:ascii="Times New Roman" w:hAnsi="Times New Roman"/>
          <w:sz w:val="22"/>
          <w:szCs w:val="22"/>
          <w:lang w:val="lv-LV"/>
        </w:rPr>
      </w:pPr>
    </w:p>
    <w:p w14:paraId="74D39C7E" w14:textId="77777777" w:rsidR="002D336F" w:rsidRPr="002D41D4" w:rsidRDefault="002D336F" w:rsidP="007F2E0A">
      <w:pPr>
        <w:rPr>
          <w:rFonts w:ascii="Times New Roman" w:hAnsi="Times New Roman"/>
          <w:bCs/>
          <w:iCs/>
          <w:sz w:val="22"/>
          <w:szCs w:val="22"/>
          <w:u w:val="single"/>
          <w:lang w:val="lv-LV"/>
        </w:rPr>
      </w:pPr>
      <w:r w:rsidRPr="002D41D4">
        <w:rPr>
          <w:rFonts w:ascii="Times New Roman" w:hAnsi="Times New Roman"/>
          <w:bCs/>
          <w:iCs/>
          <w:sz w:val="22"/>
          <w:szCs w:val="22"/>
          <w:u w:val="single"/>
          <w:lang w:val="lv-LV"/>
        </w:rPr>
        <w:t>Hipertensija</w:t>
      </w:r>
    </w:p>
    <w:p w14:paraId="7527928B" w14:textId="77777777" w:rsidR="002D336F" w:rsidRPr="002D41D4" w:rsidRDefault="002D336F" w:rsidP="007F2E0A">
      <w:pPr>
        <w:rPr>
          <w:rFonts w:ascii="Times New Roman" w:hAnsi="Times New Roman"/>
          <w:sz w:val="22"/>
          <w:szCs w:val="22"/>
          <w:lang w:val="lv-LV"/>
        </w:rPr>
      </w:pPr>
      <w:r w:rsidRPr="002D41D4">
        <w:rPr>
          <w:rFonts w:ascii="Times New Roman" w:hAnsi="Times New Roman"/>
          <w:sz w:val="22"/>
          <w:szCs w:val="22"/>
          <w:lang w:val="lv-LV"/>
        </w:rPr>
        <w:t>Esenciālās hipertensijas ārstēšana.</w:t>
      </w:r>
    </w:p>
    <w:p w14:paraId="0A2DD99B" w14:textId="77777777" w:rsidR="002D336F" w:rsidRPr="002D41D4" w:rsidRDefault="002D336F" w:rsidP="007F2E0A">
      <w:pPr>
        <w:rPr>
          <w:rFonts w:ascii="Times New Roman" w:hAnsi="Times New Roman"/>
          <w:sz w:val="22"/>
          <w:szCs w:val="22"/>
          <w:lang w:val="lv-LV"/>
        </w:rPr>
      </w:pPr>
    </w:p>
    <w:p w14:paraId="1C01D392" w14:textId="77777777" w:rsidR="002D336F" w:rsidRPr="002D41D4" w:rsidRDefault="002D336F" w:rsidP="007F2E0A">
      <w:pPr>
        <w:rPr>
          <w:rFonts w:ascii="Times New Roman" w:hAnsi="Times New Roman"/>
          <w:bCs/>
          <w:iCs/>
          <w:sz w:val="22"/>
          <w:szCs w:val="22"/>
          <w:u w:val="single"/>
          <w:lang w:val="lv-LV"/>
        </w:rPr>
      </w:pPr>
      <w:r w:rsidRPr="002D41D4">
        <w:rPr>
          <w:rFonts w:ascii="Times New Roman" w:hAnsi="Times New Roman"/>
          <w:bCs/>
          <w:iCs/>
          <w:sz w:val="22"/>
          <w:szCs w:val="22"/>
          <w:u w:val="single"/>
          <w:lang w:val="lv-LV"/>
        </w:rPr>
        <w:t>Hroniska sirds mazspēja (HSM)</w:t>
      </w:r>
    </w:p>
    <w:p w14:paraId="0D1E4DBA" w14:textId="77777777" w:rsidR="002D336F" w:rsidRPr="002D41D4" w:rsidRDefault="002D336F" w:rsidP="007F2E0A">
      <w:pPr>
        <w:rPr>
          <w:rFonts w:ascii="Times New Roman" w:hAnsi="Times New Roman"/>
          <w:sz w:val="22"/>
          <w:szCs w:val="22"/>
          <w:lang w:val="lv-LV"/>
        </w:rPr>
      </w:pPr>
      <w:r w:rsidRPr="002D41D4">
        <w:rPr>
          <w:rFonts w:ascii="Times New Roman" w:hAnsi="Times New Roman"/>
          <w:sz w:val="22"/>
          <w:szCs w:val="22"/>
          <w:lang w:val="lv-LV"/>
        </w:rPr>
        <w:t>Stabilas vieglas un vidēji smagas hroniskas sirds mazspējas ārstēšana kombinācijā ar standarta terapiju gados vecākiem pacientiem no 70 g.</w:t>
      </w:r>
      <w:r w:rsidR="00905837" w:rsidRPr="002D41D4">
        <w:rPr>
          <w:rFonts w:ascii="Times New Roman" w:hAnsi="Times New Roman"/>
          <w:sz w:val="22"/>
          <w:szCs w:val="22"/>
          <w:lang w:val="lv-LV"/>
        </w:rPr>
        <w:t xml:space="preserve"> </w:t>
      </w:r>
      <w:r w:rsidRPr="002D41D4">
        <w:rPr>
          <w:rFonts w:ascii="Times New Roman" w:hAnsi="Times New Roman"/>
          <w:sz w:val="22"/>
          <w:szCs w:val="22"/>
          <w:lang w:val="lv-LV"/>
        </w:rPr>
        <w:t>v.</w:t>
      </w:r>
    </w:p>
    <w:p w14:paraId="5E988932" w14:textId="77777777" w:rsidR="002D336F" w:rsidRPr="002D41D4" w:rsidRDefault="002D336F" w:rsidP="007F2E0A">
      <w:pPr>
        <w:rPr>
          <w:rFonts w:ascii="Times New Roman" w:hAnsi="Times New Roman"/>
          <w:sz w:val="22"/>
          <w:szCs w:val="22"/>
          <w:lang w:val="lv-LV"/>
        </w:rPr>
      </w:pPr>
    </w:p>
    <w:p w14:paraId="1CD43EF3" w14:textId="77777777" w:rsidR="002D336F" w:rsidRPr="002D41D4" w:rsidRDefault="002D336F" w:rsidP="007F2E0A">
      <w:pPr>
        <w:pStyle w:val="ListParagraph"/>
        <w:numPr>
          <w:ilvl w:val="1"/>
          <w:numId w:val="2"/>
        </w:numPr>
        <w:tabs>
          <w:tab w:val="left" w:pos="284"/>
        </w:tabs>
        <w:ind w:left="0" w:firstLine="0"/>
        <w:rPr>
          <w:rFonts w:ascii="Times New Roman" w:hAnsi="Times New Roman"/>
          <w:sz w:val="22"/>
          <w:szCs w:val="22"/>
          <w:lang w:val="lv-LV"/>
        </w:rPr>
      </w:pPr>
      <w:r w:rsidRPr="002D41D4">
        <w:rPr>
          <w:rFonts w:ascii="Times New Roman" w:hAnsi="Times New Roman"/>
          <w:b/>
          <w:sz w:val="22"/>
          <w:szCs w:val="22"/>
          <w:lang w:val="lv-LV"/>
        </w:rPr>
        <w:t>Devas un lietošanas veids</w:t>
      </w:r>
    </w:p>
    <w:p w14:paraId="157FA674" w14:textId="77777777" w:rsidR="002D336F" w:rsidRPr="002D41D4" w:rsidRDefault="002D336F" w:rsidP="007F2E0A">
      <w:pPr>
        <w:rPr>
          <w:rFonts w:ascii="Times New Roman" w:hAnsi="Times New Roman"/>
          <w:i/>
          <w:sz w:val="22"/>
          <w:szCs w:val="22"/>
          <w:lang w:val="lv-LV"/>
        </w:rPr>
      </w:pPr>
    </w:p>
    <w:p w14:paraId="5D217021" w14:textId="77777777" w:rsidR="00F059CC" w:rsidRPr="002D41D4" w:rsidRDefault="00F059CC" w:rsidP="007F2E0A">
      <w:pPr>
        <w:rPr>
          <w:rFonts w:ascii="Times New Roman" w:hAnsi="Times New Roman"/>
          <w:sz w:val="22"/>
          <w:szCs w:val="22"/>
          <w:u w:val="single"/>
          <w:lang w:val="lv-LV"/>
        </w:rPr>
      </w:pPr>
      <w:r w:rsidRPr="002D41D4">
        <w:rPr>
          <w:rFonts w:ascii="Times New Roman" w:hAnsi="Times New Roman"/>
          <w:sz w:val="22"/>
          <w:szCs w:val="22"/>
          <w:u w:val="single"/>
          <w:lang w:val="lv-LV"/>
        </w:rPr>
        <w:t>Devas</w:t>
      </w:r>
    </w:p>
    <w:p w14:paraId="66D78079" w14:textId="77777777" w:rsidR="00F059CC" w:rsidRPr="002D41D4" w:rsidRDefault="00F059CC" w:rsidP="007F2E0A">
      <w:pPr>
        <w:rPr>
          <w:rFonts w:ascii="Times New Roman" w:hAnsi="Times New Roman"/>
          <w:sz w:val="22"/>
          <w:szCs w:val="22"/>
          <w:u w:val="single"/>
          <w:lang w:val="lv-LV"/>
        </w:rPr>
      </w:pPr>
    </w:p>
    <w:p w14:paraId="74687DAB" w14:textId="77777777" w:rsidR="002D336F" w:rsidRPr="002D41D4" w:rsidRDefault="002D336F" w:rsidP="007F2E0A">
      <w:pPr>
        <w:rPr>
          <w:rFonts w:ascii="Times New Roman" w:hAnsi="Times New Roman"/>
          <w:sz w:val="22"/>
          <w:szCs w:val="22"/>
          <w:u w:val="single"/>
          <w:lang w:val="lv-LV"/>
        </w:rPr>
      </w:pPr>
      <w:r w:rsidRPr="002D41D4">
        <w:rPr>
          <w:rFonts w:ascii="Times New Roman" w:hAnsi="Times New Roman"/>
          <w:sz w:val="22"/>
          <w:szCs w:val="22"/>
          <w:u w:val="single"/>
          <w:lang w:val="lv-LV"/>
        </w:rPr>
        <w:t>Hipertensija</w:t>
      </w:r>
    </w:p>
    <w:p w14:paraId="67A9EF8C" w14:textId="77777777" w:rsidR="002D336F" w:rsidRPr="002D41D4" w:rsidRDefault="002D336F" w:rsidP="007F2E0A">
      <w:pPr>
        <w:rPr>
          <w:rFonts w:ascii="Times New Roman" w:hAnsi="Times New Roman"/>
          <w:bCs/>
          <w:sz w:val="22"/>
          <w:szCs w:val="22"/>
          <w:lang w:val="lv-LV"/>
        </w:rPr>
      </w:pPr>
      <w:r w:rsidRPr="002D41D4">
        <w:rPr>
          <w:rFonts w:ascii="Times New Roman" w:hAnsi="Times New Roman"/>
          <w:bCs/>
          <w:i/>
          <w:sz w:val="22"/>
          <w:szCs w:val="22"/>
          <w:lang w:val="lv-LV"/>
        </w:rPr>
        <w:t>Pieaugušajiem</w:t>
      </w:r>
    </w:p>
    <w:p w14:paraId="7D57B362" w14:textId="77777777" w:rsidR="0004789C" w:rsidRPr="002D41D4" w:rsidRDefault="00872EC4" w:rsidP="007F2E0A">
      <w:pPr>
        <w:rPr>
          <w:rFonts w:ascii="Times New Roman" w:hAnsi="Times New Roman"/>
          <w:sz w:val="22"/>
          <w:szCs w:val="22"/>
          <w:lang w:val="lv-LV"/>
        </w:rPr>
      </w:pPr>
      <w:r>
        <w:rPr>
          <w:rFonts w:ascii="Times New Roman" w:hAnsi="Times New Roman"/>
          <w:sz w:val="22"/>
          <w:szCs w:val="22"/>
          <w:lang w:val="lv-LV"/>
        </w:rPr>
        <w:t>Viena</w:t>
      </w:r>
      <w:r w:rsidR="002D336F" w:rsidRPr="002D41D4">
        <w:rPr>
          <w:rFonts w:ascii="Times New Roman" w:hAnsi="Times New Roman"/>
          <w:sz w:val="22"/>
          <w:szCs w:val="22"/>
          <w:lang w:val="lv-LV"/>
        </w:rPr>
        <w:t xml:space="preserve"> tablete (</w:t>
      </w:r>
      <w:r w:rsidR="00964D4D" w:rsidRPr="002D41D4">
        <w:rPr>
          <w:rFonts w:ascii="Times New Roman" w:hAnsi="Times New Roman"/>
          <w:sz w:val="22"/>
          <w:szCs w:val="22"/>
          <w:lang w:val="lv-LV"/>
        </w:rPr>
        <w:t>5 mg</w:t>
      </w:r>
      <w:r w:rsidR="002D336F" w:rsidRPr="002D41D4">
        <w:rPr>
          <w:rFonts w:ascii="Times New Roman" w:hAnsi="Times New Roman"/>
          <w:sz w:val="22"/>
          <w:szCs w:val="22"/>
          <w:lang w:val="lv-LV"/>
        </w:rPr>
        <w:t>) dienā, vēlams vienmēr vienā un tai pašā dienas laikā.</w:t>
      </w:r>
    </w:p>
    <w:p w14:paraId="2889BB87" w14:textId="77777777" w:rsidR="002D336F" w:rsidRPr="002D41D4" w:rsidRDefault="002D336F" w:rsidP="007F2E0A">
      <w:pPr>
        <w:rPr>
          <w:rFonts w:ascii="Times New Roman" w:hAnsi="Times New Roman"/>
          <w:sz w:val="22"/>
          <w:szCs w:val="22"/>
          <w:lang w:val="lv-LV"/>
        </w:rPr>
      </w:pPr>
      <w:r w:rsidRPr="002D41D4">
        <w:rPr>
          <w:rFonts w:ascii="Times New Roman" w:hAnsi="Times New Roman"/>
          <w:sz w:val="22"/>
          <w:szCs w:val="22"/>
          <w:lang w:val="lv-LV"/>
        </w:rPr>
        <w:t>Asinsspiedienu pazeminošā darbība sākas pēc 1 – 2 nedēļu ārstēšanas. Reizēm optimālais efekts tiek sasniegts tikai pēc 4 nedēļām.</w:t>
      </w:r>
    </w:p>
    <w:p w14:paraId="46EBE683" w14:textId="77777777" w:rsidR="002D336F" w:rsidRPr="002D41D4" w:rsidRDefault="002D336F" w:rsidP="007F2E0A">
      <w:pPr>
        <w:rPr>
          <w:rFonts w:ascii="Times New Roman" w:hAnsi="Times New Roman"/>
          <w:sz w:val="22"/>
          <w:szCs w:val="22"/>
          <w:lang w:val="lv-LV"/>
        </w:rPr>
      </w:pPr>
    </w:p>
    <w:p w14:paraId="62F6F978" w14:textId="77777777" w:rsidR="002D336F" w:rsidRPr="002D41D4" w:rsidRDefault="002D336F" w:rsidP="007F2E0A">
      <w:pPr>
        <w:rPr>
          <w:rFonts w:ascii="Times New Roman" w:hAnsi="Times New Roman"/>
          <w:sz w:val="22"/>
          <w:szCs w:val="22"/>
          <w:lang w:val="lv-LV"/>
        </w:rPr>
      </w:pPr>
      <w:r w:rsidRPr="002D41D4">
        <w:rPr>
          <w:rFonts w:ascii="Times New Roman" w:hAnsi="Times New Roman"/>
          <w:i/>
          <w:sz w:val="22"/>
          <w:szCs w:val="22"/>
          <w:lang w:val="lv-LV"/>
        </w:rPr>
        <w:t>Kombinēšana ar citiem antihipertensīvajiem līdzekļiem</w:t>
      </w:r>
    </w:p>
    <w:p w14:paraId="37CD4E2E" w14:textId="77777777" w:rsidR="002D336F" w:rsidRPr="002D41D4" w:rsidRDefault="002D336F" w:rsidP="007F2E0A">
      <w:pPr>
        <w:rPr>
          <w:rFonts w:ascii="Times New Roman" w:hAnsi="Times New Roman"/>
          <w:sz w:val="22"/>
          <w:szCs w:val="22"/>
          <w:lang w:val="lv-LV"/>
        </w:rPr>
      </w:pPr>
      <w:r w:rsidRPr="002D41D4">
        <w:rPr>
          <w:rFonts w:ascii="Times New Roman" w:hAnsi="Times New Roman"/>
          <w:sz w:val="22"/>
          <w:szCs w:val="22"/>
          <w:lang w:val="lv-LV"/>
        </w:rPr>
        <w:t>B</w:t>
      </w:r>
      <w:r w:rsidR="00002D45" w:rsidRPr="002D41D4">
        <w:rPr>
          <w:rFonts w:ascii="Times New Roman" w:hAnsi="Times New Roman"/>
          <w:sz w:val="22"/>
          <w:szCs w:val="22"/>
          <w:lang w:val="lv-LV"/>
        </w:rPr>
        <w:t>ē</w:t>
      </w:r>
      <w:r w:rsidRPr="002D41D4">
        <w:rPr>
          <w:rFonts w:ascii="Times New Roman" w:hAnsi="Times New Roman"/>
          <w:sz w:val="22"/>
          <w:szCs w:val="22"/>
          <w:lang w:val="lv-LV"/>
        </w:rPr>
        <w:t xml:space="preserve">ta blokatorus var lietot monoterapijā vai kombinācijās ar citiem antihipertensīvajiem līdzekļiem. Līdz šim papildu antihipertensīva iedarbība </w:t>
      </w:r>
      <w:r w:rsidR="008D31A3" w:rsidRPr="002D41D4">
        <w:rPr>
          <w:rFonts w:ascii="Times New Roman" w:hAnsi="Times New Roman"/>
          <w:sz w:val="22"/>
          <w:szCs w:val="22"/>
          <w:lang w:val="lv-LV"/>
        </w:rPr>
        <w:t>novērota</w:t>
      </w:r>
      <w:r w:rsidRPr="002D41D4">
        <w:rPr>
          <w:rFonts w:ascii="Times New Roman" w:hAnsi="Times New Roman"/>
          <w:sz w:val="22"/>
          <w:szCs w:val="22"/>
          <w:lang w:val="lv-LV"/>
        </w:rPr>
        <w:t xml:space="preserve"> tikai </w:t>
      </w:r>
      <w:r w:rsidRPr="002D41D4">
        <w:rPr>
          <w:rFonts w:ascii="Times New Roman" w:hAnsi="Times New Roman"/>
          <w:iCs/>
          <w:sz w:val="22"/>
          <w:szCs w:val="22"/>
          <w:lang w:val="lv-LV"/>
        </w:rPr>
        <w:t xml:space="preserve">Nebilet </w:t>
      </w:r>
      <w:r w:rsidRPr="002D41D4">
        <w:rPr>
          <w:rFonts w:ascii="Times New Roman" w:hAnsi="Times New Roman"/>
          <w:sz w:val="22"/>
          <w:szCs w:val="22"/>
          <w:lang w:val="lv-LV"/>
        </w:rPr>
        <w:t>kombinējot ar 12,5 – 2</w:t>
      </w:r>
      <w:r w:rsidR="00964D4D" w:rsidRPr="002D41D4">
        <w:rPr>
          <w:rFonts w:ascii="Times New Roman" w:hAnsi="Times New Roman"/>
          <w:sz w:val="22"/>
          <w:szCs w:val="22"/>
          <w:lang w:val="lv-LV"/>
        </w:rPr>
        <w:t>5 mg</w:t>
      </w:r>
      <w:r w:rsidRPr="002D41D4">
        <w:rPr>
          <w:rFonts w:ascii="Times New Roman" w:hAnsi="Times New Roman"/>
          <w:sz w:val="22"/>
          <w:szCs w:val="22"/>
          <w:lang w:val="lv-LV"/>
        </w:rPr>
        <w:t xml:space="preserve"> hidrohlortiazīda.</w:t>
      </w:r>
    </w:p>
    <w:p w14:paraId="5A3D0F87" w14:textId="77777777" w:rsidR="002D336F" w:rsidRPr="002D41D4" w:rsidRDefault="002D336F" w:rsidP="007F2E0A">
      <w:pPr>
        <w:rPr>
          <w:rFonts w:ascii="Times New Roman" w:hAnsi="Times New Roman"/>
          <w:sz w:val="22"/>
          <w:szCs w:val="22"/>
          <w:lang w:val="lv-LV"/>
        </w:rPr>
      </w:pPr>
    </w:p>
    <w:p w14:paraId="73899F8E" w14:textId="77777777" w:rsidR="002D336F" w:rsidRPr="002D41D4" w:rsidRDefault="002D336F" w:rsidP="007F2E0A">
      <w:pPr>
        <w:rPr>
          <w:rFonts w:ascii="Times New Roman" w:hAnsi="Times New Roman"/>
          <w:sz w:val="22"/>
          <w:szCs w:val="22"/>
          <w:lang w:val="lv-LV"/>
        </w:rPr>
      </w:pPr>
      <w:r w:rsidRPr="002D41D4">
        <w:rPr>
          <w:rFonts w:ascii="Times New Roman" w:hAnsi="Times New Roman"/>
          <w:i/>
          <w:sz w:val="22"/>
          <w:szCs w:val="22"/>
          <w:lang w:val="lv-LV"/>
        </w:rPr>
        <w:t>Pacientiem ar nieru mazspēju</w:t>
      </w:r>
    </w:p>
    <w:p w14:paraId="01BB11E9" w14:textId="77777777" w:rsidR="002D336F" w:rsidRPr="002D41D4" w:rsidRDefault="002D336F" w:rsidP="007F2E0A">
      <w:pPr>
        <w:rPr>
          <w:rFonts w:ascii="Times New Roman" w:hAnsi="Times New Roman"/>
          <w:sz w:val="22"/>
          <w:szCs w:val="22"/>
          <w:lang w:val="lv-LV"/>
        </w:rPr>
      </w:pPr>
      <w:r w:rsidRPr="002D41D4">
        <w:rPr>
          <w:rFonts w:ascii="Times New Roman" w:hAnsi="Times New Roman"/>
          <w:sz w:val="22"/>
          <w:szCs w:val="22"/>
          <w:lang w:val="lv-LV"/>
        </w:rPr>
        <w:t>Pacientiem ar nieru mazspēju ieteicamā sākumdeva ir 2,</w:t>
      </w:r>
      <w:r w:rsidR="00964D4D" w:rsidRPr="002D41D4">
        <w:rPr>
          <w:rFonts w:ascii="Times New Roman" w:hAnsi="Times New Roman"/>
          <w:sz w:val="22"/>
          <w:szCs w:val="22"/>
          <w:lang w:val="lv-LV"/>
        </w:rPr>
        <w:t>5 mg</w:t>
      </w:r>
      <w:r w:rsidRPr="002D41D4">
        <w:rPr>
          <w:rFonts w:ascii="Times New Roman" w:hAnsi="Times New Roman"/>
          <w:sz w:val="22"/>
          <w:szCs w:val="22"/>
          <w:lang w:val="lv-LV"/>
        </w:rPr>
        <w:t xml:space="preserve"> dienā. Nepieciešamības gadījumā dienas devu var palielināt līdz </w:t>
      </w:r>
      <w:r w:rsidR="00964D4D" w:rsidRPr="002D41D4">
        <w:rPr>
          <w:rFonts w:ascii="Times New Roman" w:hAnsi="Times New Roman"/>
          <w:sz w:val="22"/>
          <w:szCs w:val="22"/>
          <w:lang w:val="lv-LV"/>
        </w:rPr>
        <w:t>5 mg</w:t>
      </w:r>
      <w:r w:rsidRPr="002D41D4">
        <w:rPr>
          <w:rFonts w:ascii="Times New Roman" w:hAnsi="Times New Roman"/>
          <w:sz w:val="22"/>
          <w:szCs w:val="22"/>
          <w:lang w:val="lv-LV"/>
        </w:rPr>
        <w:t>.</w:t>
      </w:r>
    </w:p>
    <w:p w14:paraId="00AACCEC" w14:textId="77777777" w:rsidR="002D336F" w:rsidRPr="002D41D4" w:rsidRDefault="002D336F" w:rsidP="007F2E0A">
      <w:pPr>
        <w:rPr>
          <w:rFonts w:ascii="Times New Roman" w:hAnsi="Times New Roman"/>
          <w:sz w:val="22"/>
          <w:szCs w:val="22"/>
          <w:lang w:val="lv-LV"/>
        </w:rPr>
      </w:pPr>
    </w:p>
    <w:p w14:paraId="338432D5" w14:textId="77777777" w:rsidR="002D336F" w:rsidRPr="002D41D4" w:rsidRDefault="002D336F" w:rsidP="007F2E0A">
      <w:pPr>
        <w:rPr>
          <w:rFonts w:ascii="Times New Roman" w:hAnsi="Times New Roman"/>
          <w:sz w:val="22"/>
          <w:szCs w:val="22"/>
          <w:lang w:val="lv-LV"/>
        </w:rPr>
      </w:pPr>
      <w:r w:rsidRPr="002D41D4">
        <w:rPr>
          <w:rFonts w:ascii="Times New Roman" w:hAnsi="Times New Roman"/>
          <w:i/>
          <w:sz w:val="22"/>
          <w:szCs w:val="22"/>
          <w:lang w:val="lv-LV"/>
        </w:rPr>
        <w:t>Pacientiem ar aknu mazspēju</w:t>
      </w:r>
    </w:p>
    <w:p w14:paraId="719EEF96" w14:textId="77777777" w:rsidR="002D336F" w:rsidRPr="002D41D4" w:rsidRDefault="002D336F" w:rsidP="007F2E0A">
      <w:pPr>
        <w:rPr>
          <w:rFonts w:ascii="Times New Roman" w:hAnsi="Times New Roman"/>
          <w:i/>
          <w:sz w:val="22"/>
          <w:szCs w:val="22"/>
          <w:lang w:val="lv-LV"/>
        </w:rPr>
      </w:pPr>
      <w:r w:rsidRPr="002D41D4">
        <w:rPr>
          <w:rFonts w:ascii="Times New Roman" w:hAnsi="Times New Roman"/>
          <w:sz w:val="22"/>
          <w:szCs w:val="22"/>
          <w:lang w:val="lv-LV"/>
        </w:rPr>
        <w:t xml:space="preserve">Dati par lietošanu pacientiem ar aknu mazspēju vai aknu darbības traucējumiem ir nepietiekami. Tāpēc </w:t>
      </w:r>
      <w:r w:rsidRPr="002D41D4">
        <w:rPr>
          <w:rFonts w:ascii="Times New Roman" w:hAnsi="Times New Roman"/>
          <w:iCs/>
          <w:sz w:val="22"/>
          <w:szCs w:val="22"/>
          <w:lang w:val="lv-LV"/>
        </w:rPr>
        <w:t>Nebilet</w:t>
      </w:r>
      <w:r w:rsidRPr="002D41D4">
        <w:rPr>
          <w:rFonts w:ascii="Times New Roman" w:hAnsi="Times New Roman"/>
          <w:iCs/>
          <w:sz w:val="22"/>
          <w:szCs w:val="22"/>
          <w:vertAlign w:val="superscript"/>
          <w:lang w:val="lv-LV"/>
        </w:rPr>
        <w:t xml:space="preserve"> </w:t>
      </w:r>
      <w:r w:rsidRPr="002D41D4">
        <w:rPr>
          <w:rFonts w:ascii="Times New Roman" w:hAnsi="Times New Roman"/>
          <w:sz w:val="22"/>
          <w:szCs w:val="22"/>
          <w:lang w:val="lv-LV"/>
        </w:rPr>
        <w:t>lietošana šiem pacientiem ir kontrindicēta.</w:t>
      </w:r>
    </w:p>
    <w:p w14:paraId="795A2EDC" w14:textId="77777777" w:rsidR="002D336F" w:rsidRPr="002D41D4" w:rsidRDefault="002D336F" w:rsidP="007F2E0A">
      <w:pPr>
        <w:rPr>
          <w:rFonts w:ascii="Times New Roman" w:hAnsi="Times New Roman"/>
          <w:i/>
          <w:sz w:val="22"/>
          <w:szCs w:val="22"/>
          <w:lang w:val="lv-LV"/>
        </w:rPr>
      </w:pPr>
    </w:p>
    <w:p w14:paraId="13C49C98" w14:textId="77777777" w:rsidR="002D336F" w:rsidRPr="002D41D4" w:rsidRDefault="002D336F" w:rsidP="007F2E0A">
      <w:pPr>
        <w:rPr>
          <w:rFonts w:ascii="Times New Roman" w:hAnsi="Times New Roman"/>
          <w:sz w:val="22"/>
          <w:szCs w:val="22"/>
          <w:lang w:val="lv-LV"/>
        </w:rPr>
      </w:pPr>
      <w:r w:rsidRPr="002D41D4">
        <w:rPr>
          <w:rFonts w:ascii="Times New Roman" w:hAnsi="Times New Roman"/>
          <w:i/>
          <w:sz w:val="22"/>
          <w:szCs w:val="22"/>
          <w:lang w:val="lv-LV"/>
        </w:rPr>
        <w:t xml:space="preserve">Gados vecākiem </w:t>
      </w:r>
      <w:r w:rsidR="003762C6" w:rsidRPr="002D41D4">
        <w:rPr>
          <w:rFonts w:ascii="Times New Roman" w:hAnsi="Times New Roman"/>
          <w:i/>
          <w:sz w:val="22"/>
          <w:szCs w:val="22"/>
          <w:lang w:val="lv-LV"/>
        </w:rPr>
        <w:t>cilvēkiem</w:t>
      </w:r>
    </w:p>
    <w:p w14:paraId="78B831A2" w14:textId="77777777" w:rsidR="002D336F" w:rsidRPr="002D41D4" w:rsidRDefault="002D336F" w:rsidP="007F2E0A">
      <w:pPr>
        <w:rPr>
          <w:rFonts w:ascii="Times New Roman" w:hAnsi="Times New Roman"/>
          <w:sz w:val="22"/>
          <w:szCs w:val="22"/>
          <w:lang w:val="lv-LV"/>
        </w:rPr>
      </w:pPr>
      <w:r w:rsidRPr="002D41D4">
        <w:rPr>
          <w:rFonts w:ascii="Times New Roman" w:hAnsi="Times New Roman"/>
          <w:sz w:val="22"/>
          <w:szCs w:val="22"/>
          <w:lang w:val="lv-LV"/>
        </w:rPr>
        <w:t>Par 65 gadiem vecākiem pacientiem ieteicamā sākumdeva ir 2,</w:t>
      </w:r>
      <w:r w:rsidR="00964D4D" w:rsidRPr="002D41D4">
        <w:rPr>
          <w:rFonts w:ascii="Times New Roman" w:hAnsi="Times New Roman"/>
          <w:sz w:val="22"/>
          <w:szCs w:val="22"/>
          <w:lang w:val="lv-LV"/>
        </w:rPr>
        <w:t>5 mg</w:t>
      </w:r>
      <w:r w:rsidRPr="002D41D4">
        <w:rPr>
          <w:rFonts w:ascii="Times New Roman" w:hAnsi="Times New Roman"/>
          <w:sz w:val="22"/>
          <w:szCs w:val="22"/>
          <w:lang w:val="lv-LV"/>
        </w:rPr>
        <w:t xml:space="preserve"> dienā. Nepieciešamības gadījumā dienas devu var palielināt līdz </w:t>
      </w:r>
      <w:r w:rsidR="00964D4D" w:rsidRPr="002D41D4">
        <w:rPr>
          <w:rFonts w:ascii="Times New Roman" w:hAnsi="Times New Roman"/>
          <w:sz w:val="22"/>
          <w:szCs w:val="22"/>
          <w:lang w:val="lv-LV"/>
        </w:rPr>
        <w:t>5 mg</w:t>
      </w:r>
      <w:r w:rsidRPr="002D41D4">
        <w:rPr>
          <w:rFonts w:ascii="Times New Roman" w:hAnsi="Times New Roman"/>
          <w:sz w:val="22"/>
          <w:szCs w:val="22"/>
          <w:lang w:val="lv-LV"/>
        </w:rPr>
        <w:t>. Ņemot vērā nelielo lietošanas pieredzi pacientiem, kas vecāki par 75 gadiem, šādi pacienti jāārstē rūpīgā ārsta uzraudzībā.</w:t>
      </w:r>
    </w:p>
    <w:p w14:paraId="4D54F974" w14:textId="77777777" w:rsidR="002D336F" w:rsidRPr="002D41D4" w:rsidRDefault="002D336F" w:rsidP="007F2E0A">
      <w:pPr>
        <w:rPr>
          <w:rFonts w:ascii="Times New Roman" w:hAnsi="Times New Roman"/>
          <w:sz w:val="22"/>
          <w:szCs w:val="22"/>
          <w:lang w:val="lv-LV"/>
        </w:rPr>
      </w:pPr>
    </w:p>
    <w:p w14:paraId="4FF2BCAB" w14:textId="77777777" w:rsidR="002D336F" w:rsidRPr="002D41D4" w:rsidRDefault="003762C6" w:rsidP="007F2E0A">
      <w:pPr>
        <w:rPr>
          <w:rFonts w:ascii="Times New Roman" w:hAnsi="Times New Roman"/>
          <w:sz w:val="22"/>
          <w:szCs w:val="22"/>
          <w:lang w:val="lv-LV"/>
        </w:rPr>
      </w:pPr>
      <w:r w:rsidRPr="002D41D4">
        <w:rPr>
          <w:rFonts w:ascii="Times New Roman" w:hAnsi="Times New Roman"/>
          <w:i/>
          <w:sz w:val="22"/>
          <w:szCs w:val="22"/>
          <w:lang w:val="lv-LV"/>
        </w:rPr>
        <w:t>Pediatriskā populācija</w:t>
      </w:r>
    </w:p>
    <w:p w14:paraId="2E3CCAAF" w14:textId="77777777" w:rsidR="002D336F" w:rsidRPr="002D41D4" w:rsidRDefault="003762C6" w:rsidP="007F2E0A">
      <w:pPr>
        <w:rPr>
          <w:rFonts w:ascii="Times New Roman" w:hAnsi="Times New Roman"/>
          <w:sz w:val="22"/>
          <w:szCs w:val="22"/>
          <w:lang w:val="lv-LV"/>
        </w:rPr>
      </w:pPr>
      <w:r w:rsidRPr="002D41D4">
        <w:rPr>
          <w:rFonts w:ascii="Times New Roman" w:hAnsi="Times New Roman"/>
          <w:sz w:val="22"/>
          <w:szCs w:val="22"/>
          <w:lang w:val="lv-LV"/>
        </w:rPr>
        <w:t>Nebilet drošums un efektivitāte, lietojot b</w:t>
      </w:r>
      <w:r w:rsidR="002D336F" w:rsidRPr="002D41D4">
        <w:rPr>
          <w:rFonts w:ascii="Times New Roman" w:hAnsi="Times New Roman"/>
          <w:sz w:val="22"/>
          <w:szCs w:val="22"/>
          <w:lang w:val="lv-LV"/>
        </w:rPr>
        <w:t xml:space="preserve">ērniem un pusaudžiem </w:t>
      </w:r>
      <w:r w:rsidRPr="002D41D4">
        <w:rPr>
          <w:rFonts w:ascii="Times New Roman" w:hAnsi="Times New Roman"/>
          <w:sz w:val="22"/>
          <w:szCs w:val="22"/>
          <w:lang w:val="lv-LV"/>
        </w:rPr>
        <w:t>līdz 18 gadu vecumam, nav pierādīta. Dati nav pieejami. T</w:t>
      </w:r>
      <w:r w:rsidR="002D336F" w:rsidRPr="002D41D4">
        <w:rPr>
          <w:rFonts w:ascii="Times New Roman" w:hAnsi="Times New Roman"/>
          <w:sz w:val="22"/>
          <w:szCs w:val="22"/>
          <w:lang w:val="lv-LV"/>
        </w:rPr>
        <w:t>ādēļ š</w:t>
      </w:r>
      <w:r w:rsidRPr="002D41D4">
        <w:rPr>
          <w:rFonts w:ascii="Times New Roman" w:hAnsi="Times New Roman"/>
          <w:sz w:val="22"/>
          <w:szCs w:val="22"/>
          <w:lang w:val="lv-LV"/>
        </w:rPr>
        <w:t>īs</w:t>
      </w:r>
      <w:r w:rsidR="002D336F" w:rsidRPr="002D41D4">
        <w:rPr>
          <w:rFonts w:ascii="Times New Roman" w:hAnsi="Times New Roman"/>
          <w:sz w:val="22"/>
          <w:szCs w:val="22"/>
          <w:lang w:val="lv-LV"/>
        </w:rPr>
        <w:t xml:space="preserve"> </w:t>
      </w:r>
      <w:r w:rsidRPr="002D41D4">
        <w:rPr>
          <w:rFonts w:ascii="Times New Roman" w:hAnsi="Times New Roman"/>
          <w:sz w:val="22"/>
          <w:szCs w:val="22"/>
          <w:lang w:val="lv-LV"/>
        </w:rPr>
        <w:t>zāles</w:t>
      </w:r>
      <w:r w:rsidR="002D336F" w:rsidRPr="002D41D4">
        <w:rPr>
          <w:rFonts w:ascii="Times New Roman" w:hAnsi="Times New Roman"/>
          <w:sz w:val="22"/>
          <w:szCs w:val="22"/>
          <w:lang w:val="lv-LV"/>
        </w:rPr>
        <w:t xml:space="preserve"> bērniem un pusaudžiem nav ieteicams lietot.</w:t>
      </w:r>
    </w:p>
    <w:p w14:paraId="6D3857E4" w14:textId="77777777" w:rsidR="002D336F" w:rsidRPr="002D41D4" w:rsidRDefault="002D336F" w:rsidP="007F2E0A">
      <w:pPr>
        <w:rPr>
          <w:rFonts w:ascii="Times New Roman" w:hAnsi="Times New Roman"/>
          <w:sz w:val="22"/>
          <w:szCs w:val="22"/>
          <w:lang w:val="lv-LV"/>
        </w:rPr>
      </w:pPr>
    </w:p>
    <w:p w14:paraId="2590A823" w14:textId="77777777" w:rsidR="002D336F" w:rsidRPr="002D41D4" w:rsidRDefault="002D336F" w:rsidP="007F2E0A">
      <w:pPr>
        <w:rPr>
          <w:rFonts w:ascii="Times New Roman" w:hAnsi="Times New Roman"/>
          <w:sz w:val="22"/>
          <w:szCs w:val="22"/>
          <w:u w:val="single"/>
          <w:lang w:val="lv-LV"/>
        </w:rPr>
      </w:pPr>
      <w:r w:rsidRPr="002D41D4">
        <w:rPr>
          <w:rFonts w:ascii="Times New Roman" w:hAnsi="Times New Roman"/>
          <w:sz w:val="22"/>
          <w:szCs w:val="22"/>
          <w:u w:val="single"/>
          <w:lang w:val="lv-LV"/>
        </w:rPr>
        <w:t>Hroniska sirds mazspēja (HSM)</w:t>
      </w:r>
    </w:p>
    <w:p w14:paraId="398F062E" w14:textId="77777777" w:rsidR="002D336F" w:rsidRPr="002D41D4" w:rsidRDefault="002D336F" w:rsidP="007F2E0A">
      <w:pPr>
        <w:rPr>
          <w:rFonts w:ascii="Times New Roman" w:hAnsi="Times New Roman"/>
          <w:sz w:val="22"/>
          <w:szCs w:val="22"/>
          <w:lang w:val="lv-LV"/>
        </w:rPr>
      </w:pPr>
      <w:r w:rsidRPr="002D41D4">
        <w:rPr>
          <w:rFonts w:ascii="Times New Roman" w:hAnsi="Times New Roman"/>
          <w:sz w:val="22"/>
          <w:szCs w:val="22"/>
          <w:lang w:val="lv-LV"/>
        </w:rPr>
        <w:t>Stabilas hroniskas sirds mazspējas ārstēšana jāsāk ar pakāpenisku devas palielināšanu, līdz sasniegta optimālā balstdeva, kas ir individuāla katram pacientam.</w:t>
      </w:r>
    </w:p>
    <w:p w14:paraId="3EECE6C8" w14:textId="77777777" w:rsidR="002D336F" w:rsidRPr="002D41D4" w:rsidRDefault="002D336F" w:rsidP="007F2E0A">
      <w:pPr>
        <w:rPr>
          <w:rFonts w:ascii="Times New Roman" w:hAnsi="Times New Roman"/>
          <w:sz w:val="22"/>
          <w:szCs w:val="22"/>
          <w:lang w:val="lv-LV"/>
        </w:rPr>
      </w:pPr>
      <w:r w:rsidRPr="002D41D4">
        <w:rPr>
          <w:rFonts w:ascii="Times New Roman" w:hAnsi="Times New Roman"/>
          <w:sz w:val="22"/>
          <w:szCs w:val="22"/>
          <w:lang w:val="lv-LV"/>
        </w:rPr>
        <w:t>Sešas nedēļas pirms terapijas uzsākšanas pacientiem jābūt stabilai hroniskai sirds mazspējai bez akūtas mazspējas epizodēm. Ārstējošajam ārstam vēlama pieredze hroniskas sirds mazspējas ārstēšanā.</w:t>
      </w:r>
    </w:p>
    <w:p w14:paraId="215E58DB" w14:textId="77777777" w:rsidR="002D336F" w:rsidRPr="002D41D4" w:rsidRDefault="002D336F" w:rsidP="007F2E0A">
      <w:pPr>
        <w:rPr>
          <w:rFonts w:ascii="Times New Roman" w:hAnsi="Times New Roman"/>
          <w:sz w:val="22"/>
          <w:szCs w:val="22"/>
          <w:lang w:val="lv-LV"/>
        </w:rPr>
      </w:pPr>
      <w:r w:rsidRPr="002D41D4">
        <w:rPr>
          <w:rFonts w:ascii="Times New Roman" w:hAnsi="Times New Roman"/>
          <w:sz w:val="22"/>
          <w:szCs w:val="22"/>
          <w:lang w:val="lv-LV"/>
        </w:rPr>
        <w:t>Pacientiem, kuri saņem ārstēšanu ar kardiovaskulārām zālēm, tostarp diurētiskiem līdzekļiem un/vai digoksīnu, un/vai AKE inhibitoriem, un/vai angiotenzīna II antagonistiem, divu nedēļu laikā pirms ārstēšanas sākšanas ar Nebilet jāstabilizē šo zāļu deva.</w:t>
      </w:r>
    </w:p>
    <w:p w14:paraId="3B838700" w14:textId="77777777" w:rsidR="002D336F" w:rsidRPr="002D41D4" w:rsidRDefault="002D336F" w:rsidP="007F2E0A">
      <w:pPr>
        <w:rPr>
          <w:rFonts w:ascii="Times New Roman" w:hAnsi="Times New Roman"/>
          <w:i/>
          <w:iCs/>
          <w:sz w:val="22"/>
          <w:szCs w:val="22"/>
          <w:lang w:val="lv-LV"/>
        </w:rPr>
      </w:pPr>
    </w:p>
    <w:p w14:paraId="3FDEE2BE" w14:textId="77777777" w:rsidR="002D336F" w:rsidRPr="002D41D4" w:rsidRDefault="002D336F" w:rsidP="007F2E0A">
      <w:pPr>
        <w:rPr>
          <w:rFonts w:ascii="Times New Roman" w:hAnsi="Times New Roman"/>
          <w:sz w:val="22"/>
          <w:szCs w:val="22"/>
          <w:lang w:val="lv-LV"/>
        </w:rPr>
      </w:pPr>
      <w:r w:rsidRPr="002D41D4">
        <w:rPr>
          <w:rFonts w:ascii="Times New Roman" w:hAnsi="Times New Roman"/>
          <w:sz w:val="22"/>
          <w:szCs w:val="22"/>
          <w:lang w:val="lv-LV"/>
        </w:rPr>
        <w:t>Uzsākot ārstēšanu, devas palielināšana jāveic ar 1 – 2 nedēļu starplaikiem šādā secībā, ņemot vērā zāļu panesamību pacientam:</w:t>
      </w:r>
    </w:p>
    <w:p w14:paraId="64AD6166" w14:textId="77777777" w:rsidR="002D336F" w:rsidRPr="002D41D4" w:rsidRDefault="002D336F" w:rsidP="007F2E0A">
      <w:pPr>
        <w:rPr>
          <w:rFonts w:ascii="Times New Roman" w:hAnsi="Times New Roman"/>
          <w:sz w:val="22"/>
          <w:szCs w:val="22"/>
          <w:lang w:val="lv-LV"/>
        </w:rPr>
      </w:pPr>
      <w:r w:rsidRPr="002D41D4">
        <w:rPr>
          <w:rFonts w:ascii="Times New Roman" w:hAnsi="Times New Roman"/>
          <w:sz w:val="22"/>
          <w:szCs w:val="22"/>
          <w:lang w:val="lv-LV"/>
        </w:rPr>
        <w:t>1,2</w:t>
      </w:r>
      <w:r w:rsidR="00964D4D" w:rsidRPr="002D41D4">
        <w:rPr>
          <w:rFonts w:ascii="Times New Roman" w:hAnsi="Times New Roman"/>
          <w:sz w:val="22"/>
          <w:szCs w:val="22"/>
          <w:lang w:val="lv-LV"/>
        </w:rPr>
        <w:t>5 mg</w:t>
      </w:r>
      <w:r w:rsidRPr="002D41D4">
        <w:rPr>
          <w:rFonts w:ascii="Times New Roman" w:hAnsi="Times New Roman"/>
          <w:sz w:val="22"/>
          <w:szCs w:val="22"/>
          <w:lang w:val="lv-LV"/>
        </w:rPr>
        <w:t xml:space="preserve"> nebivolola, devu palielinot līdz 2,</w:t>
      </w:r>
      <w:r w:rsidR="00964D4D" w:rsidRPr="002D41D4">
        <w:rPr>
          <w:rFonts w:ascii="Times New Roman" w:hAnsi="Times New Roman"/>
          <w:sz w:val="22"/>
          <w:szCs w:val="22"/>
          <w:lang w:val="lv-LV"/>
        </w:rPr>
        <w:t>5 mg</w:t>
      </w:r>
      <w:r w:rsidRPr="002D41D4">
        <w:rPr>
          <w:rFonts w:ascii="Times New Roman" w:hAnsi="Times New Roman"/>
          <w:sz w:val="22"/>
          <w:szCs w:val="22"/>
          <w:lang w:val="lv-LV"/>
        </w:rPr>
        <w:t xml:space="preserve"> reizi dienā, tad līdz </w:t>
      </w:r>
      <w:r w:rsidR="00964D4D" w:rsidRPr="002D41D4">
        <w:rPr>
          <w:rFonts w:ascii="Times New Roman" w:hAnsi="Times New Roman"/>
          <w:sz w:val="22"/>
          <w:szCs w:val="22"/>
          <w:lang w:val="lv-LV"/>
        </w:rPr>
        <w:t>5 mg</w:t>
      </w:r>
      <w:r w:rsidRPr="002D41D4">
        <w:rPr>
          <w:rFonts w:ascii="Times New Roman" w:hAnsi="Times New Roman"/>
          <w:sz w:val="22"/>
          <w:szCs w:val="22"/>
          <w:lang w:val="lv-LV"/>
        </w:rPr>
        <w:t xml:space="preserve"> reizi dienā, un pēc tam līdz 10 mg reizi dienā.</w:t>
      </w:r>
    </w:p>
    <w:p w14:paraId="6A7E5FBE" w14:textId="77777777" w:rsidR="002D336F" w:rsidRPr="002D41D4" w:rsidRDefault="002D336F" w:rsidP="007F2E0A">
      <w:pPr>
        <w:rPr>
          <w:rFonts w:ascii="Times New Roman" w:hAnsi="Times New Roman"/>
          <w:sz w:val="22"/>
          <w:szCs w:val="22"/>
          <w:lang w:val="lv-LV"/>
        </w:rPr>
      </w:pPr>
      <w:r w:rsidRPr="002D41D4">
        <w:rPr>
          <w:rFonts w:ascii="Times New Roman" w:hAnsi="Times New Roman"/>
          <w:sz w:val="22"/>
          <w:szCs w:val="22"/>
          <w:lang w:val="lv-LV"/>
        </w:rPr>
        <w:t>Maksimālā ieteicamā deva ir 10 mg nebivolola vienu reizi dienā.</w:t>
      </w:r>
    </w:p>
    <w:p w14:paraId="0D2BE620" w14:textId="77777777" w:rsidR="004D44AC" w:rsidRPr="002D41D4" w:rsidRDefault="004D44AC" w:rsidP="007F2E0A">
      <w:pPr>
        <w:rPr>
          <w:rFonts w:ascii="Times New Roman" w:hAnsi="Times New Roman"/>
          <w:sz w:val="22"/>
          <w:szCs w:val="22"/>
          <w:lang w:val="lv-LV"/>
        </w:rPr>
      </w:pPr>
    </w:p>
    <w:p w14:paraId="682814E4" w14:textId="77777777" w:rsidR="002D336F" w:rsidRPr="002D41D4" w:rsidRDefault="002D336F" w:rsidP="007F2E0A">
      <w:pPr>
        <w:rPr>
          <w:rFonts w:ascii="Times New Roman" w:hAnsi="Times New Roman"/>
          <w:sz w:val="22"/>
          <w:szCs w:val="22"/>
          <w:lang w:val="lv-LV"/>
        </w:rPr>
      </w:pPr>
      <w:r w:rsidRPr="002D41D4">
        <w:rPr>
          <w:rFonts w:ascii="Times New Roman" w:hAnsi="Times New Roman"/>
          <w:sz w:val="22"/>
          <w:szCs w:val="22"/>
          <w:lang w:val="lv-LV"/>
        </w:rPr>
        <w:t>Uzsākot ārstēšanu, kā arī katrā devas palielināšanas gadījumā pieredzējušam ārstam pacienti jānovēro vismaz 2 stundas pēc zāļu lietošanas, lai pārliecinātos, ka pacienta vispārējais stāvoklis saglabājas stabils (īpaši attiecībā uz asinsspiedienu, sirdsdarbības frekvenci</w:t>
      </w:r>
      <w:r w:rsidR="005C125A" w:rsidRPr="002D41D4">
        <w:rPr>
          <w:rFonts w:ascii="Times New Roman" w:hAnsi="Times New Roman"/>
          <w:sz w:val="22"/>
          <w:szCs w:val="22"/>
          <w:lang w:val="lv-LV"/>
        </w:rPr>
        <w:t>,</w:t>
      </w:r>
      <w:r w:rsidRPr="002D41D4">
        <w:rPr>
          <w:rFonts w:ascii="Times New Roman" w:hAnsi="Times New Roman"/>
          <w:sz w:val="22"/>
          <w:szCs w:val="22"/>
          <w:lang w:val="lv-LV"/>
        </w:rPr>
        <w:t xml:space="preserve"> sirds vadīšanas traucējumiem, sirds mazspējas pasliktināšanos).</w:t>
      </w:r>
    </w:p>
    <w:p w14:paraId="64B662AA" w14:textId="77777777" w:rsidR="002D336F" w:rsidRPr="002D41D4" w:rsidRDefault="002D336F" w:rsidP="007F2E0A">
      <w:pPr>
        <w:rPr>
          <w:rFonts w:ascii="Times New Roman" w:hAnsi="Times New Roman"/>
          <w:sz w:val="22"/>
          <w:szCs w:val="22"/>
          <w:lang w:val="lv-LV"/>
        </w:rPr>
      </w:pPr>
      <w:r w:rsidRPr="002D41D4">
        <w:rPr>
          <w:rFonts w:ascii="Times New Roman" w:hAnsi="Times New Roman"/>
          <w:sz w:val="22"/>
          <w:szCs w:val="22"/>
          <w:lang w:val="lv-LV"/>
        </w:rPr>
        <w:t>Blakusparādību rašanās var neļaut visus pacientus ārstēt ar maksimālo ieteikto devu. Ja nepieciešams, sasniegto devu var pakāpeniski samazināt un atkal atbilstoši palielināt.</w:t>
      </w:r>
    </w:p>
    <w:p w14:paraId="43F40CEB" w14:textId="77777777" w:rsidR="002D336F" w:rsidRPr="002D41D4" w:rsidRDefault="002D336F" w:rsidP="007F2E0A">
      <w:pPr>
        <w:rPr>
          <w:rFonts w:ascii="Times New Roman" w:hAnsi="Times New Roman"/>
          <w:sz w:val="22"/>
          <w:szCs w:val="22"/>
          <w:lang w:val="lv-LV"/>
        </w:rPr>
      </w:pPr>
      <w:r w:rsidRPr="002D41D4">
        <w:rPr>
          <w:rFonts w:ascii="Times New Roman" w:hAnsi="Times New Roman"/>
          <w:sz w:val="22"/>
          <w:szCs w:val="22"/>
          <w:lang w:val="lv-LV"/>
        </w:rPr>
        <w:t>Titrēšanas fāzē sirds mazspējas pasliktināšanās vai zāļu nepanesamības gadījumā vispirms ieteicams samazināt nebivolola devu vai, ja nepieciešams (smagas hipotensijas, sirds mazspējas pasliktināšanās ar akūtu plaušu tūsku gadījumā, kardiogēna šoka, simptomātiskas bradikardijas vai AV blokādes gadījumā), nekavējoties pārtraukt tā lietošanu.</w:t>
      </w:r>
    </w:p>
    <w:p w14:paraId="04A06233" w14:textId="77777777" w:rsidR="002D336F" w:rsidRPr="002D41D4" w:rsidRDefault="002D336F" w:rsidP="007F2E0A">
      <w:pPr>
        <w:rPr>
          <w:rFonts w:ascii="Times New Roman" w:hAnsi="Times New Roman"/>
          <w:sz w:val="22"/>
          <w:szCs w:val="22"/>
          <w:lang w:val="lv-LV"/>
        </w:rPr>
      </w:pPr>
      <w:r w:rsidRPr="002D41D4">
        <w:rPr>
          <w:rFonts w:ascii="Times New Roman" w:hAnsi="Times New Roman"/>
          <w:sz w:val="22"/>
          <w:szCs w:val="22"/>
          <w:lang w:val="lv-LV"/>
        </w:rPr>
        <w:t>Parasti stabilas hroniskas sirds mazspējas ārstēšana ar nebivololu ir ilgstoša.</w:t>
      </w:r>
    </w:p>
    <w:p w14:paraId="17E3F54D" w14:textId="77777777" w:rsidR="002D336F" w:rsidRPr="002D41D4" w:rsidRDefault="002D336F" w:rsidP="007F2E0A">
      <w:pPr>
        <w:rPr>
          <w:rFonts w:ascii="Times New Roman" w:hAnsi="Times New Roman"/>
          <w:sz w:val="22"/>
          <w:szCs w:val="22"/>
          <w:lang w:val="lv-LV"/>
        </w:rPr>
      </w:pPr>
      <w:r w:rsidRPr="002D41D4">
        <w:rPr>
          <w:rFonts w:ascii="Times New Roman" w:hAnsi="Times New Roman"/>
          <w:sz w:val="22"/>
          <w:szCs w:val="22"/>
          <w:lang w:val="lv-LV"/>
        </w:rPr>
        <w:t>Ārstēšanu ar nebivololu nav ieteicams pārtraukt pēkšņi, jo tas var izraisīt īslaicīgu sirds mazspējas pasliktināšanos. Ja ir nepieciešams pārtraukt zāļu lietošanu, deva ir jāsamazina pakāpeniski – uz pusi katru nedēļu.</w:t>
      </w:r>
    </w:p>
    <w:p w14:paraId="1F465C59" w14:textId="77777777" w:rsidR="002D336F" w:rsidRPr="002D41D4" w:rsidRDefault="002D336F" w:rsidP="007F2E0A">
      <w:pPr>
        <w:rPr>
          <w:rFonts w:ascii="Times New Roman" w:hAnsi="Times New Roman"/>
          <w:sz w:val="22"/>
          <w:szCs w:val="22"/>
          <w:lang w:val="lv-LV"/>
        </w:rPr>
      </w:pPr>
    </w:p>
    <w:p w14:paraId="69517FD9" w14:textId="77777777" w:rsidR="002D336F" w:rsidRPr="002D41D4" w:rsidRDefault="002D336F" w:rsidP="007F2E0A">
      <w:pPr>
        <w:rPr>
          <w:rFonts w:ascii="Times New Roman" w:hAnsi="Times New Roman"/>
          <w:sz w:val="22"/>
          <w:szCs w:val="22"/>
          <w:lang w:val="lv-LV"/>
        </w:rPr>
      </w:pPr>
      <w:r w:rsidRPr="002D41D4">
        <w:rPr>
          <w:rFonts w:ascii="Times New Roman" w:hAnsi="Times New Roman"/>
          <w:i/>
          <w:sz w:val="22"/>
          <w:szCs w:val="22"/>
          <w:lang w:val="lv-LV"/>
        </w:rPr>
        <w:t>Pacientiem ar nieru mazspēju</w:t>
      </w:r>
    </w:p>
    <w:p w14:paraId="76A2868A" w14:textId="77777777" w:rsidR="002D336F" w:rsidRPr="002D41D4" w:rsidRDefault="002D336F" w:rsidP="007F2E0A">
      <w:pPr>
        <w:rPr>
          <w:rFonts w:ascii="Times New Roman" w:hAnsi="Times New Roman"/>
          <w:sz w:val="22"/>
          <w:szCs w:val="22"/>
          <w:lang w:val="lv-LV"/>
        </w:rPr>
      </w:pPr>
      <w:r w:rsidRPr="002D41D4">
        <w:rPr>
          <w:rFonts w:ascii="Times New Roman" w:hAnsi="Times New Roman"/>
          <w:sz w:val="22"/>
          <w:szCs w:val="22"/>
          <w:lang w:val="lv-LV"/>
        </w:rPr>
        <w:t xml:space="preserve">Vieglas vai vidēji smagas nieru mazspējas gadījumā deva nav jāpielāgo, jo devas palielināšanu līdz maksimālajai panesamajai devai veic individuāli. Nav pieredzes pacientiem ar smagiem nieru darbības traucējumiem (seruma kreatinīns </w:t>
      </w:r>
      <w:r w:rsidR="00F131C4" w:rsidRPr="002D41D4">
        <w:rPr>
          <w:rFonts w:ascii="Times New Roman" w:hAnsi="Times New Roman"/>
          <w:sz w:val="22"/>
          <w:szCs w:val="22"/>
          <w:lang w:val="lv-LV"/>
        </w:rPr>
        <w:t>≥</w:t>
      </w:r>
      <w:r w:rsidRPr="002D41D4">
        <w:rPr>
          <w:rFonts w:ascii="Times New Roman" w:hAnsi="Times New Roman"/>
          <w:sz w:val="22"/>
          <w:szCs w:val="22"/>
          <w:lang w:val="lv-LV"/>
        </w:rPr>
        <w:t xml:space="preserve"> 250 </w:t>
      </w:r>
      <w:r w:rsidRPr="002D41D4">
        <w:rPr>
          <w:rFonts w:ascii="Times New Roman" w:hAnsi="Times New Roman"/>
          <w:sz w:val="22"/>
          <w:szCs w:val="22"/>
          <w:lang w:val="lv-LV"/>
        </w:rPr>
        <w:sym w:font="Symbol" w:char="F06D"/>
      </w:r>
      <w:r w:rsidRPr="002D41D4">
        <w:rPr>
          <w:rFonts w:ascii="Times New Roman" w:hAnsi="Times New Roman"/>
          <w:sz w:val="22"/>
          <w:szCs w:val="22"/>
          <w:lang w:val="lv-LV"/>
        </w:rPr>
        <w:t>mol/l). Tāpēc šiem pacientiem nebivolola lietošana nav ieteicama.</w:t>
      </w:r>
    </w:p>
    <w:p w14:paraId="54104CC0" w14:textId="77777777" w:rsidR="002D336F" w:rsidRPr="002D41D4" w:rsidRDefault="002D336F" w:rsidP="007F2E0A">
      <w:pPr>
        <w:rPr>
          <w:rFonts w:ascii="Times New Roman" w:hAnsi="Times New Roman"/>
          <w:sz w:val="22"/>
          <w:szCs w:val="22"/>
          <w:lang w:val="lv-LV"/>
        </w:rPr>
      </w:pPr>
    </w:p>
    <w:p w14:paraId="105D3BE4" w14:textId="77777777" w:rsidR="002D336F" w:rsidRPr="002D41D4" w:rsidRDefault="002D336F" w:rsidP="007F2E0A">
      <w:pPr>
        <w:rPr>
          <w:rFonts w:ascii="Times New Roman" w:hAnsi="Times New Roman"/>
          <w:i/>
          <w:iCs/>
          <w:sz w:val="22"/>
          <w:szCs w:val="22"/>
          <w:lang w:val="lv-LV"/>
        </w:rPr>
      </w:pPr>
      <w:r w:rsidRPr="002D41D4">
        <w:rPr>
          <w:rFonts w:ascii="Times New Roman" w:hAnsi="Times New Roman"/>
          <w:i/>
          <w:iCs/>
          <w:sz w:val="22"/>
          <w:szCs w:val="22"/>
          <w:lang w:val="lv-LV"/>
        </w:rPr>
        <w:t>Pacientiem ar aknu mazspēju</w:t>
      </w:r>
    </w:p>
    <w:p w14:paraId="63CF6102" w14:textId="77777777" w:rsidR="002D336F" w:rsidRPr="002D41D4" w:rsidRDefault="002D336F" w:rsidP="007F2E0A">
      <w:pPr>
        <w:rPr>
          <w:rFonts w:ascii="Times New Roman" w:hAnsi="Times New Roman"/>
          <w:sz w:val="22"/>
          <w:szCs w:val="22"/>
          <w:lang w:val="lv-LV"/>
        </w:rPr>
      </w:pPr>
      <w:r w:rsidRPr="002D41D4">
        <w:rPr>
          <w:rFonts w:ascii="Times New Roman" w:hAnsi="Times New Roman"/>
          <w:sz w:val="22"/>
          <w:szCs w:val="22"/>
          <w:lang w:val="lv-LV"/>
        </w:rPr>
        <w:t>Dati par pacientiem ar aknu mazspēju ir nepietiekami, tāpēc Nebilet lietošana šiem pacientiem ir kontrindicēta.</w:t>
      </w:r>
    </w:p>
    <w:p w14:paraId="25C978FF" w14:textId="77777777" w:rsidR="002D336F" w:rsidRPr="002D41D4" w:rsidRDefault="002D336F" w:rsidP="007F2E0A">
      <w:pPr>
        <w:rPr>
          <w:rFonts w:ascii="Times New Roman" w:hAnsi="Times New Roman"/>
          <w:sz w:val="22"/>
          <w:szCs w:val="22"/>
          <w:lang w:val="lv-LV"/>
        </w:rPr>
      </w:pPr>
    </w:p>
    <w:p w14:paraId="3D339E5C" w14:textId="77777777" w:rsidR="002D336F" w:rsidRPr="002D41D4" w:rsidRDefault="002D336F" w:rsidP="007F2E0A">
      <w:pPr>
        <w:rPr>
          <w:rFonts w:ascii="Times New Roman" w:hAnsi="Times New Roman"/>
          <w:i/>
          <w:iCs/>
          <w:sz w:val="22"/>
          <w:szCs w:val="22"/>
          <w:lang w:val="lv-LV"/>
        </w:rPr>
      </w:pPr>
      <w:r w:rsidRPr="002D41D4">
        <w:rPr>
          <w:rFonts w:ascii="Times New Roman" w:hAnsi="Times New Roman"/>
          <w:i/>
          <w:iCs/>
          <w:sz w:val="22"/>
          <w:szCs w:val="22"/>
          <w:lang w:val="lv-LV"/>
        </w:rPr>
        <w:t xml:space="preserve">Gados vecākiem </w:t>
      </w:r>
      <w:r w:rsidR="00A75A28" w:rsidRPr="002D41D4">
        <w:rPr>
          <w:rFonts w:ascii="Times New Roman" w:hAnsi="Times New Roman"/>
          <w:i/>
          <w:iCs/>
          <w:sz w:val="22"/>
          <w:szCs w:val="22"/>
          <w:lang w:val="lv-LV"/>
        </w:rPr>
        <w:t>cilvēkiem</w:t>
      </w:r>
    </w:p>
    <w:p w14:paraId="004F1375" w14:textId="77777777" w:rsidR="002D336F" w:rsidRPr="002D41D4" w:rsidRDefault="002D336F" w:rsidP="007F2E0A">
      <w:pPr>
        <w:rPr>
          <w:rFonts w:ascii="Times New Roman" w:hAnsi="Times New Roman"/>
          <w:i/>
          <w:iCs/>
          <w:sz w:val="22"/>
          <w:szCs w:val="22"/>
          <w:lang w:val="lv-LV"/>
        </w:rPr>
      </w:pPr>
      <w:r w:rsidRPr="002D41D4">
        <w:rPr>
          <w:rFonts w:ascii="Times New Roman" w:hAnsi="Times New Roman"/>
          <w:sz w:val="22"/>
          <w:szCs w:val="22"/>
          <w:lang w:val="lv-LV"/>
        </w:rPr>
        <w:t>Deva nav jāpielāgo, jo devas palielināšanu līdz maksimālajai panesamajai devai veic individuāli.</w:t>
      </w:r>
    </w:p>
    <w:p w14:paraId="74AA0F6C" w14:textId="77777777" w:rsidR="002D336F" w:rsidRPr="002D41D4" w:rsidRDefault="002D336F" w:rsidP="007F2E0A">
      <w:pPr>
        <w:rPr>
          <w:rFonts w:ascii="Times New Roman" w:hAnsi="Times New Roman"/>
          <w:sz w:val="22"/>
          <w:szCs w:val="22"/>
          <w:lang w:val="lv-LV"/>
        </w:rPr>
      </w:pPr>
    </w:p>
    <w:p w14:paraId="3B1E8A9D" w14:textId="77777777" w:rsidR="002D336F" w:rsidRPr="002D41D4" w:rsidRDefault="00A75A28" w:rsidP="007F2E0A">
      <w:pPr>
        <w:rPr>
          <w:rFonts w:ascii="Times New Roman" w:hAnsi="Times New Roman"/>
          <w:sz w:val="22"/>
          <w:szCs w:val="22"/>
          <w:lang w:val="lv-LV"/>
        </w:rPr>
      </w:pPr>
      <w:r w:rsidRPr="002D41D4">
        <w:rPr>
          <w:rFonts w:ascii="Times New Roman" w:hAnsi="Times New Roman"/>
          <w:i/>
          <w:sz w:val="22"/>
          <w:szCs w:val="22"/>
          <w:lang w:val="lv-LV"/>
        </w:rPr>
        <w:t>Pediatriskā populācija</w:t>
      </w:r>
    </w:p>
    <w:p w14:paraId="1DB86BF3" w14:textId="77777777" w:rsidR="002D336F" w:rsidRPr="002D41D4" w:rsidRDefault="00A75A28" w:rsidP="007F2E0A">
      <w:pPr>
        <w:rPr>
          <w:rFonts w:ascii="Times New Roman" w:hAnsi="Times New Roman"/>
          <w:sz w:val="22"/>
          <w:szCs w:val="22"/>
          <w:lang w:val="lv-LV"/>
        </w:rPr>
      </w:pPr>
      <w:r w:rsidRPr="002D41D4">
        <w:rPr>
          <w:rFonts w:ascii="Times New Roman" w:hAnsi="Times New Roman"/>
          <w:sz w:val="22"/>
          <w:szCs w:val="22"/>
          <w:lang w:val="lv-LV"/>
        </w:rPr>
        <w:t>Nebilet drošums un efektivitāte, lietojot b</w:t>
      </w:r>
      <w:r w:rsidR="002D336F" w:rsidRPr="002D41D4">
        <w:rPr>
          <w:rFonts w:ascii="Times New Roman" w:hAnsi="Times New Roman"/>
          <w:sz w:val="22"/>
          <w:szCs w:val="22"/>
          <w:lang w:val="lv-LV"/>
        </w:rPr>
        <w:t xml:space="preserve">ērniem un pusaudžiem </w:t>
      </w:r>
      <w:r w:rsidRPr="002D41D4">
        <w:rPr>
          <w:rFonts w:ascii="Times New Roman" w:hAnsi="Times New Roman"/>
          <w:sz w:val="22"/>
          <w:szCs w:val="22"/>
          <w:lang w:val="lv-LV"/>
        </w:rPr>
        <w:t xml:space="preserve">līdz 18 gadu vecumam, nav pierādīta. Dati nav pieejami. </w:t>
      </w:r>
      <w:r w:rsidR="002D336F" w:rsidRPr="002D41D4">
        <w:rPr>
          <w:rFonts w:ascii="Times New Roman" w:hAnsi="Times New Roman"/>
          <w:sz w:val="22"/>
          <w:szCs w:val="22"/>
          <w:lang w:val="lv-LV"/>
        </w:rPr>
        <w:t xml:space="preserve">Tādēļ </w:t>
      </w:r>
      <w:r w:rsidRPr="002D41D4">
        <w:rPr>
          <w:rFonts w:ascii="Times New Roman" w:hAnsi="Times New Roman"/>
          <w:sz w:val="22"/>
          <w:szCs w:val="22"/>
          <w:lang w:val="lv-LV"/>
        </w:rPr>
        <w:t>šīs zāles</w:t>
      </w:r>
      <w:r w:rsidR="002D336F" w:rsidRPr="002D41D4">
        <w:rPr>
          <w:rFonts w:ascii="Times New Roman" w:hAnsi="Times New Roman"/>
          <w:sz w:val="22"/>
          <w:szCs w:val="22"/>
          <w:lang w:val="lv-LV"/>
        </w:rPr>
        <w:t xml:space="preserve"> bērniem un pusaudžiem nav ieteicams</w:t>
      </w:r>
      <w:r w:rsidRPr="002D41D4">
        <w:rPr>
          <w:rFonts w:ascii="Times New Roman" w:hAnsi="Times New Roman"/>
          <w:sz w:val="22"/>
          <w:szCs w:val="22"/>
          <w:lang w:val="lv-LV"/>
        </w:rPr>
        <w:t xml:space="preserve"> lietot</w:t>
      </w:r>
      <w:r w:rsidR="002D336F" w:rsidRPr="002D41D4">
        <w:rPr>
          <w:rFonts w:ascii="Times New Roman" w:hAnsi="Times New Roman"/>
          <w:sz w:val="22"/>
          <w:szCs w:val="22"/>
          <w:lang w:val="lv-LV"/>
        </w:rPr>
        <w:t>.</w:t>
      </w:r>
    </w:p>
    <w:p w14:paraId="4712049F" w14:textId="77777777" w:rsidR="00E478DF" w:rsidRPr="002D41D4" w:rsidRDefault="00E478DF" w:rsidP="007F2E0A">
      <w:pPr>
        <w:rPr>
          <w:rFonts w:ascii="Times New Roman" w:hAnsi="Times New Roman"/>
          <w:sz w:val="22"/>
          <w:szCs w:val="22"/>
          <w:u w:val="single"/>
          <w:lang w:val="lv-LV"/>
        </w:rPr>
      </w:pPr>
    </w:p>
    <w:p w14:paraId="19481C35" w14:textId="77777777" w:rsidR="002D336F" w:rsidRPr="002D41D4" w:rsidRDefault="00E478DF" w:rsidP="007F2E0A">
      <w:pPr>
        <w:rPr>
          <w:rFonts w:ascii="Times New Roman" w:hAnsi="Times New Roman"/>
          <w:sz w:val="22"/>
          <w:szCs w:val="22"/>
          <w:u w:val="single"/>
          <w:lang w:val="lv-LV"/>
        </w:rPr>
      </w:pPr>
      <w:r w:rsidRPr="002D41D4">
        <w:rPr>
          <w:rFonts w:ascii="Times New Roman" w:hAnsi="Times New Roman"/>
          <w:sz w:val="22"/>
          <w:szCs w:val="22"/>
          <w:u w:val="single"/>
          <w:lang w:val="lv-LV"/>
        </w:rPr>
        <w:t>Lietošanas veids</w:t>
      </w:r>
    </w:p>
    <w:p w14:paraId="7E6EEBED" w14:textId="77777777" w:rsidR="00E478DF" w:rsidRPr="002D41D4" w:rsidRDefault="00E478DF" w:rsidP="007F2E0A">
      <w:pPr>
        <w:rPr>
          <w:rFonts w:ascii="Times New Roman" w:hAnsi="Times New Roman"/>
          <w:sz w:val="22"/>
          <w:szCs w:val="22"/>
          <w:lang w:val="lv-LV"/>
        </w:rPr>
      </w:pPr>
      <w:r w:rsidRPr="002D41D4">
        <w:rPr>
          <w:rFonts w:ascii="Times New Roman" w:hAnsi="Times New Roman"/>
          <w:sz w:val="22"/>
          <w:szCs w:val="22"/>
          <w:lang w:val="lv-LV"/>
        </w:rPr>
        <w:t>Iekšķīgai lietošanai.</w:t>
      </w:r>
    </w:p>
    <w:p w14:paraId="005DD8AA" w14:textId="77777777" w:rsidR="00E478DF" w:rsidRPr="002D41D4" w:rsidRDefault="00E478DF" w:rsidP="007F2E0A">
      <w:pPr>
        <w:rPr>
          <w:rFonts w:ascii="Times New Roman" w:hAnsi="Times New Roman"/>
          <w:sz w:val="22"/>
          <w:szCs w:val="22"/>
          <w:lang w:val="lv-LV"/>
        </w:rPr>
      </w:pPr>
      <w:r w:rsidRPr="002D41D4">
        <w:rPr>
          <w:rFonts w:ascii="Times New Roman" w:hAnsi="Times New Roman"/>
          <w:sz w:val="22"/>
          <w:szCs w:val="22"/>
          <w:lang w:val="lv-LV"/>
        </w:rPr>
        <w:t>Tabletes var lietot ēšanas laikā.</w:t>
      </w:r>
    </w:p>
    <w:p w14:paraId="2B4DA516" w14:textId="77777777" w:rsidR="00E478DF" w:rsidRPr="002D41D4" w:rsidRDefault="00E478DF" w:rsidP="007F2E0A">
      <w:pPr>
        <w:rPr>
          <w:rFonts w:ascii="Times New Roman" w:hAnsi="Times New Roman"/>
          <w:sz w:val="22"/>
          <w:szCs w:val="22"/>
          <w:lang w:val="lv-LV"/>
        </w:rPr>
      </w:pPr>
    </w:p>
    <w:p w14:paraId="5CC300BA" w14:textId="77777777" w:rsidR="002D336F" w:rsidRPr="002D41D4" w:rsidRDefault="002D336F" w:rsidP="007F2E0A">
      <w:pPr>
        <w:pStyle w:val="ListParagraph"/>
        <w:numPr>
          <w:ilvl w:val="1"/>
          <w:numId w:val="2"/>
        </w:numPr>
        <w:ind w:left="0" w:firstLine="0"/>
        <w:rPr>
          <w:rFonts w:ascii="Times New Roman" w:hAnsi="Times New Roman"/>
          <w:sz w:val="22"/>
          <w:szCs w:val="22"/>
          <w:lang w:val="lv-LV"/>
        </w:rPr>
      </w:pPr>
      <w:r w:rsidRPr="002D41D4">
        <w:rPr>
          <w:rFonts w:ascii="Times New Roman" w:hAnsi="Times New Roman"/>
          <w:b/>
          <w:sz w:val="22"/>
          <w:szCs w:val="22"/>
          <w:lang w:val="lv-LV"/>
        </w:rPr>
        <w:t>Kontrindikācijas</w:t>
      </w:r>
    </w:p>
    <w:p w14:paraId="3FFFCF97" w14:textId="77777777" w:rsidR="002D336F" w:rsidRPr="002D41D4" w:rsidRDefault="002D336F" w:rsidP="007F2E0A">
      <w:pPr>
        <w:rPr>
          <w:rFonts w:ascii="Times New Roman" w:hAnsi="Times New Roman"/>
          <w:sz w:val="22"/>
          <w:szCs w:val="22"/>
          <w:lang w:val="lv-LV"/>
        </w:rPr>
      </w:pPr>
    </w:p>
    <w:p w14:paraId="53CB9C89" w14:textId="77777777" w:rsidR="002D336F" w:rsidRPr="002D41D4" w:rsidRDefault="002D336F" w:rsidP="007F2E0A">
      <w:pPr>
        <w:ind w:left="720" w:hanging="720"/>
        <w:rPr>
          <w:rFonts w:ascii="Times New Roman" w:hAnsi="Times New Roman"/>
          <w:sz w:val="22"/>
          <w:szCs w:val="22"/>
          <w:lang w:val="lv-LV"/>
        </w:rPr>
      </w:pPr>
      <w:r w:rsidRPr="002D41D4">
        <w:rPr>
          <w:rFonts w:ascii="Times New Roman" w:hAnsi="Times New Roman"/>
          <w:sz w:val="22"/>
          <w:szCs w:val="22"/>
          <w:lang w:val="lv-LV"/>
        </w:rPr>
        <w:t>-</w:t>
      </w:r>
      <w:r w:rsidRPr="002D41D4">
        <w:rPr>
          <w:rFonts w:ascii="Times New Roman" w:hAnsi="Times New Roman"/>
          <w:sz w:val="22"/>
          <w:szCs w:val="22"/>
          <w:lang w:val="lv-LV"/>
        </w:rPr>
        <w:tab/>
        <w:t xml:space="preserve">Paaugstināta jutība pret aktīvo vielu vai </w:t>
      </w:r>
      <w:r w:rsidR="00F20EEF" w:rsidRPr="002D41D4">
        <w:rPr>
          <w:rFonts w:ascii="Times New Roman" w:hAnsi="Times New Roman"/>
          <w:sz w:val="22"/>
          <w:szCs w:val="22"/>
          <w:lang w:val="lv-LV"/>
        </w:rPr>
        <w:t>jebkuru</w:t>
      </w:r>
      <w:r w:rsidRPr="002D41D4">
        <w:rPr>
          <w:rFonts w:ascii="Times New Roman" w:hAnsi="Times New Roman"/>
          <w:sz w:val="22"/>
          <w:szCs w:val="22"/>
          <w:lang w:val="lv-LV"/>
        </w:rPr>
        <w:t xml:space="preserve"> no </w:t>
      </w:r>
      <w:r w:rsidR="00F20EEF" w:rsidRPr="002D41D4">
        <w:rPr>
          <w:rFonts w:ascii="Times New Roman" w:hAnsi="Times New Roman"/>
          <w:sz w:val="22"/>
          <w:szCs w:val="22"/>
          <w:lang w:val="lv-LV"/>
        </w:rPr>
        <w:t xml:space="preserve">6.1. apakšpunktā uzskaitītajām </w:t>
      </w:r>
      <w:r w:rsidRPr="002D41D4">
        <w:rPr>
          <w:rFonts w:ascii="Times New Roman" w:hAnsi="Times New Roman"/>
          <w:sz w:val="22"/>
          <w:szCs w:val="22"/>
          <w:lang w:val="lv-LV"/>
        </w:rPr>
        <w:t>palīgvielām.</w:t>
      </w:r>
    </w:p>
    <w:p w14:paraId="454114F4" w14:textId="77777777" w:rsidR="002D336F" w:rsidRPr="002D41D4" w:rsidRDefault="002D336F" w:rsidP="007F2E0A">
      <w:pPr>
        <w:rPr>
          <w:rFonts w:ascii="Times New Roman" w:hAnsi="Times New Roman"/>
          <w:sz w:val="22"/>
          <w:szCs w:val="22"/>
          <w:lang w:val="lv-LV"/>
        </w:rPr>
      </w:pPr>
      <w:r w:rsidRPr="002D41D4">
        <w:rPr>
          <w:rFonts w:ascii="Times New Roman" w:hAnsi="Times New Roman"/>
          <w:sz w:val="22"/>
          <w:szCs w:val="22"/>
          <w:lang w:val="lv-LV"/>
        </w:rPr>
        <w:t>-</w:t>
      </w:r>
      <w:r w:rsidRPr="002D41D4">
        <w:rPr>
          <w:rFonts w:ascii="Times New Roman" w:hAnsi="Times New Roman"/>
          <w:sz w:val="22"/>
          <w:szCs w:val="22"/>
          <w:lang w:val="lv-LV"/>
        </w:rPr>
        <w:tab/>
        <w:t>Aknu mazspēja vai aknu darbības traucējumi.</w:t>
      </w:r>
    </w:p>
    <w:p w14:paraId="6CCD9EAB" w14:textId="77777777" w:rsidR="002D336F" w:rsidRPr="002D41D4" w:rsidRDefault="002D336F" w:rsidP="007F2E0A">
      <w:pPr>
        <w:ind w:left="720" w:hanging="720"/>
        <w:rPr>
          <w:rFonts w:ascii="Times New Roman" w:hAnsi="Times New Roman"/>
          <w:sz w:val="22"/>
          <w:szCs w:val="22"/>
          <w:lang w:val="lv-LV"/>
        </w:rPr>
      </w:pPr>
      <w:r w:rsidRPr="002D41D4">
        <w:rPr>
          <w:rFonts w:ascii="Times New Roman" w:hAnsi="Times New Roman"/>
          <w:sz w:val="22"/>
          <w:szCs w:val="22"/>
          <w:lang w:val="lv-LV"/>
        </w:rPr>
        <w:t>-</w:t>
      </w:r>
      <w:r w:rsidRPr="002D41D4">
        <w:rPr>
          <w:rFonts w:ascii="Times New Roman" w:hAnsi="Times New Roman"/>
          <w:sz w:val="22"/>
          <w:szCs w:val="22"/>
          <w:lang w:val="lv-LV"/>
        </w:rPr>
        <w:tab/>
        <w:t>Akūta sirds mazspēja, kardiogēns šoks vai sirds mazspējas dekompensācijas epizodes, kad bijusi nepieciešama i.v. terapija ar inotropiem līdzekļiem.</w:t>
      </w:r>
    </w:p>
    <w:p w14:paraId="274CF1A5" w14:textId="77777777" w:rsidR="002D336F" w:rsidRPr="002D41D4" w:rsidRDefault="002D336F" w:rsidP="007F2E0A">
      <w:pPr>
        <w:rPr>
          <w:rFonts w:ascii="Times New Roman" w:hAnsi="Times New Roman"/>
          <w:sz w:val="22"/>
          <w:szCs w:val="22"/>
          <w:lang w:val="lv-LV"/>
        </w:rPr>
      </w:pPr>
    </w:p>
    <w:p w14:paraId="4DDF1398" w14:textId="77777777" w:rsidR="002D336F" w:rsidRPr="002D41D4" w:rsidRDefault="002D336F" w:rsidP="007F2E0A">
      <w:pPr>
        <w:rPr>
          <w:rFonts w:ascii="Times New Roman" w:hAnsi="Times New Roman"/>
          <w:sz w:val="22"/>
          <w:szCs w:val="22"/>
          <w:lang w:val="lv-LV"/>
        </w:rPr>
      </w:pPr>
      <w:r w:rsidRPr="002D41D4">
        <w:rPr>
          <w:rFonts w:ascii="Times New Roman" w:hAnsi="Times New Roman"/>
          <w:sz w:val="22"/>
          <w:szCs w:val="22"/>
          <w:lang w:val="lv-LV"/>
        </w:rPr>
        <w:t>Tāpat kā citi b</w:t>
      </w:r>
      <w:r w:rsidR="00725A3D" w:rsidRPr="002D41D4">
        <w:rPr>
          <w:rFonts w:ascii="Times New Roman" w:hAnsi="Times New Roman"/>
          <w:sz w:val="22"/>
          <w:szCs w:val="22"/>
          <w:lang w:val="lv-LV"/>
        </w:rPr>
        <w:t>ē</w:t>
      </w:r>
      <w:r w:rsidRPr="002D41D4">
        <w:rPr>
          <w:rFonts w:ascii="Times New Roman" w:hAnsi="Times New Roman"/>
          <w:sz w:val="22"/>
          <w:szCs w:val="22"/>
          <w:lang w:val="lv-LV"/>
        </w:rPr>
        <w:t>ta blokatori, Nebilet ir kontrindicēts šādos gadījumos:</w:t>
      </w:r>
    </w:p>
    <w:p w14:paraId="01FF8118" w14:textId="77777777" w:rsidR="002D336F" w:rsidRPr="002D41D4" w:rsidRDefault="002D336F" w:rsidP="007F2E0A">
      <w:pPr>
        <w:rPr>
          <w:rFonts w:ascii="Times New Roman" w:hAnsi="Times New Roman"/>
          <w:sz w:val="22"/>
          <w:szCs w:val="22"/>
          <w:lang w:val="lv-LV"/>
        </w:rPr>
      </w:pPr>
      <w:r w:rsidRPr="002D41D4">
        <w:rPr>
          <w:rFonts w:ascii="Times New Roman" w:hAnsi="Times New Roman"/>
          <w:sz w:val="22"/>
          <w:szCs w:val="22"/>
          <w:lang w:val="lv-LV"/>
        </w:rPr>
        <w:t>-</w:t>
      </w:r>
      <w:r w:rsidR="00F20EEF" w:rsidRPr="002D41D4">
        <w:rPr>
          <w:rFonts w:ascii="Times New Roman" w:hAnsi="Times New Roman"/>
          <w:sz w:val="22"/>
          <w:szCs w:val="22"/>
          <w:lang w:val="lv-LV"/>
        </w:rPr>
        <w:tab/>
      </w:r>
      <w:r w:rsidRPr="002D41D4">
        <w:rPr>
          <w:rFonts w:ascii="Times New Roman" w:hAnsi="Times New Roman"/>
          <w:sz w:val="22"/>
          <w:szCs w:val="22"/>
          <w:lang w:val="lv-LV"/>
        </w:rPr>
        <w:t>s</w:t>
      </w:r>
      <w:r w:rsidR="00725A3D" w:rsidRPr="002D41D4">
        <w:rPr>
          <w:rFonts w:ascii="Times New Roman" w:hAnsi="Times New Roman"/>
          <w:sz w:val="22"/>
          <w:szCs w:val="22"/>
          <w:lang w:val="lv-LV"/>
        </w:rPr>
        <w:t>i</w:t>
      </w:r>
      <w:r w:rsidRPr="002D41D4">
        <w:rPr>
          <w:rFonts w:ascii="Times New Roman" w:hAnsi="Times New Roman"/>
          <w:sz w:val="22"/>
          <w:szCs w:val="22"/>
          <w:lang w:val="lv-LV"/>
        </w:rPr>
        <w:t>nusa mezgla vājuma sindroms, arī sinuatriāla blokāde,</w:t>
      </w:r>
    </w:p>
    <w:p w14:paraId="42082526" w14:textId="77777777" w:rsidR="002D336F" w:rsidRPr="002D41D4" w:rsidRDefault="002D336F" w:rsidP="007F2E0A">
      <w:pPr>
        <w:rPr>
          <w:rFonts w:ascii="Times New Roman" w:hAnsi="Times New Roman"/>
          <w:sz w:val="22"/>
          <w:szCs w:val="22"/>
          <w:lang w:val="lv-LV"/>
        </w:rPr>
      </w:pPr>
      <w:r w:rsidRPr="002D41D4">
        <w:rPr>
          <w:rFonts w:ascii="Times New Roman" w:hAnsi="Times New Roman"/>
          <w:sz w:val="22"/>
          <w:szCs w:val="22"/>
          <w:lang w:val="lv-LV"/>
        </w:rPr>
        <w:t>-</w:t>
      </w:r>
      <w:r w:rsidR="00F20EEF" w:rsidRPr="002D41D4">
        <w:rPr>
          <w:rFonts w:ascii="Times New Roman" w:hAnsi="Times New Roman"/>
          <w:sz w:val="22"/>
          <w:szCs w:val="22"/>
          <w:lang w:val="lv-LV"/>
        </w:rPr>
        <w:tab/>
      </w:r>
      <w:r w:rsidRPr="002D41D4">
        <w:rPr>
          <w:rFonts w:ascii="Times New Roman" w:hAnsi="Times New Roman"/>
          <w:sz w:val="22"/>
          <w:szCs w:val="22"/>
          <w:lang w:val="lv-LV"/>
        </w:rPr>
        <w:t>2. un 3. pakāpes AV blokāde (bez kardiostimulatora),</w:t>
      </w:r>
    </w:p>
    <w:p w14:paraId="4D85FBD2" w14:textId="77777777" w:rsidR="002D336F" w:rsidRPr="002D41D4" w:rsidRDefault="002D336F" w:rsidP="007F2E0A">
      <w:pPr>
        <w:rPr>
          <w:rFonts w:ascii="Times New Roman" w:hAnsi="Times New Roman"/>
          <w:sz w:val="22"/>
          <w:szCs w:val="22"/>
          <w:lang w:val="lv-LV"/>
        </w:rPr>
      </w:pPr>
      <w:r w:rsidRPr="002D41D4">
        <w:rPr>
          <w:rFonts w:ascii="Times New Roman" w:hAnsi="Times New Roman"/>
          <w:sz w:val="22"/>
          <w:szCs w:val="22"/>
          <w:lang w:val="lv-LV"/>
        </w:rPr>
        <w:t>-</w:t>
      </w:r>
      <w:r w:rsidR="00F20EEF" w:rsidRPr="002D41D4">
        <w:rPr>
          <w:rFonts w:ascii="Times New Roman" w:hAnsi="Times New Roman"/>
          <w:sz w:val="22"/>
          <w:szCs w:val="22"/>
          <w:lang w:val="lv-LV"/>
        </w:rPr>
        <w:tab/>
      </w:r>
      <w:r w:rsidRPr="002D41D4">
        <w:rPr>
          <w:rFonts w:ascii="Times New Roman" w:hAnsi="Times New Roman"/>
          <w:sz w:val="22"/>
          <w:szCs w:val="22"/>
          <w:lang w:val="lv-LV"/>
        </w:rPr>
        <w:t>bronhu spazmas un bronhiālā astma anamnēzē,</w:t>
      </w:r>
    </w:p>
    <w:p w14:paraId="281A900A" w14:textId="77777777" w:rsidR="002D336F" w:rsidRPr="002D41D4" w:rsidRDefault="002D336F" w:rsidP="007F2E0A">
      <w:pPr>
        <w:rPr>
          <w:rFonts w:ascii="Times New Roman" w:hAnsi="Times New Roman"/>
          <w:sz w:val="22"/>
          <w:szCs w:val="22"/>
          <w:lang w:val="lv-LV"/>
        </w:rPr>
      </w:pPr>
      <w:r w:rsidRPr="002D41D4">
        <w:rPr>
          <w:rFonts w:ascii="Times New Roman" w:hAnsi="Times New Roman"/>
          <w:sz w:val="22"/>
          <w:szCs w:val="22"/>
          <w:lang w:val="lv-LV"/>
        </w:rPr>
        <w:t>-</w:t>
      </w:r>
      <w:r w:rsidR="00F20EEF" w:rsidRPr="002D41D4">
        <w:rPr>
          <w:rFonts w:ascii="Times New Roman" w:hAnsi="Times New Roman"/>
          <w:sz w:val="22"/>
          <w:szCs w:val="22"/>
          <w:lang w:val="lv-LV"/>
        </w:rPr>
        <w:tab/>
      </w:r>
      <w:r w:rsidRPr="002D41D4">
        <w:rPr>
          <w:rFonts w:ascii="Times New Roman" w:hAnsi="Times New Roman"/>
          <w:sz w:val="22"/>
          <w:szCs w:val="22"/>
          <w:lang w:val="lv-LV"/>
        </w:rPr>
        <w:t>neārstēta feohromocitoma,</w:t>
      </w:r>
    </w:p>
    <w:p w14:paraId="1E14A6ED" w14:textId="77777777" w:rsidR="002D336F" w:rsidRPr="002D41D4" w:rsidRDefault="002D336F" w:rsidP="007F2E0A">
      <w:pPr>
        <w:rPr>
          <w:rFonts w:ascii="Times New Roman" w:hAnsi="Times New Roman"/>
          <w:sz w:val="22"/>
          <w:szCs w:val="22"/>
          <w:lang w:val="lv-LV"/>
        </w:rPr>
      </w:pPr>
      <w:r w:rsidRPr="002D41D4">
        <w:rPr>
          <w:rFonts w:ascii="Times New Roman" w:hAnsi="Times New Roman"/>
          <w:sz w:val="22"/>
          <w:szCs w:val="22"/>
          <w:lang w:val="lv-LV"/>
        </w:rPr>
        <w:t>-</w:t>
      </w:r>
      <w:r w:rsidR="00F20EEF" w:rsidRPr="002D41D4">
        <w:rPr>
          <w:rFonts w:ascii="Times New Roman" w:hAnsi="Times New Roman"/>
          <w:sz w:val="22"/>
          <w:szCs w:val="22"/>
          <w:lang w:val="lv-LV"/>
        </w:rPr>
        <w:tab/>
      </w:r>
      <w:r w:rsidRPr="002D41D4">
        <w:rPr>
          <w:rFonts w:ascii="Times New Roman" w:hAnsi="Times New Roman"/>
          <w:sz w:val="22"/>
          <w:szCs w:val="22"/>
          <w:lang w:val="lv-LV"/>
        </w:rPr>
        <w:t>metabola acidoze,</w:t>
      </w:r>
    </w:p>
    <w:p w14:paraId="19549D07" w14:textId="77777777" w:rsidR="002D336F" w:rsidRPr="002D41D4" w:rsidRDefault="002D336F" w:rsidP="007F2E0A">
      <w:pPr>
        <w:rPr>
          <w:rFonts w:ascii="Times New Roman" w:hAnsi="Times New Roman"/>
          <w:sz w:val="22"/>
          <w:szCs w:val="22"/>
          <w:lang w:val="lv-LV"/>
        </w:rPr>
      </w:pPr>
      <w:r w:rsidRPr="002D41D4">
        <w:rPr>
          <w:rFonts w:ascii="Times New Roman" w:hAnsi="Times New Roman"/>
          <w:sz w:val="22"/>
          <w:szCs w:val="22"/>
          <w:lang w:val="lv-LV"/>
        </w:rPr>
        <w:t>-</w:t>
      </w:r>
      <w:r w:rsidR="00F20EEF" w:rsidRPr="002D41D4">
        <w:rPr>
          <w:rFonts w:ascii="Times New Roman" w:hAnsi="Times New Roman"/>
          <w:sz w:val="22"/>
          <w:szCs w:val="22"/>
          <w:lang w:val="lv-LV"/>
        </w:rPr>
        <w:tab/>
      </w:r>
      <w:r w:rsidRPr="002D41D4">
        <w:rPr>
          <w:rFonts w:ascii="Times New Roman" w:hAnsi="Times New Roman"/>
          <w:sz w:val="22"/>
          <w:szCs w:val="22"/>
          <w:lang w:val="lv-LV"/>
        </w:rPr>
        <w:t>bradikardija (pirms ārstēšanas uzsākšanas pulss lēnāks par 60 reizēm/min),</w:t>
      </w:r>
    </w:p>
    <w:p w14:paraId="5E18E198" w14:textId="77777777" w:rsidR="002D336F" w:rsidRPr="002D41D4" w:rsidRDefault="002D336F" w:rsidP="007F2E0A">
      <w:pPr>
        <w:rPr>
          <w:rFonts w:ascii="Times New Roman" w:hAnsi="Times New Roman"/>
          <w:sz w:val="22"/>
          <w:szCs w:val="22"/>
          <w:lang w:val="lv-LV"/>
        </w:rPr>
      </w:pPr>
      <w:r w:rsidRPr="002D41D4">
        <w:rPr>
          <w:rFonts w:ascii="Times New Roman" w:hAnsi="Times New Roman"/>
          <w:sz w:val="22"/>
          <w:szCs w:val="22"/>
          <w:lang w:val="lv-LV"/>
        </w:rPr>
        <w:t>-</w:t>
      </w:r>
      <w:r w:rsidR="00F20EEF" w:rsidRPr="002D41D4">
        <w:rPr>
          <w:rFonts w:ascii="Times New Roman" w:hAnsi="Times New Roman"/>
          <w:sz w:val="22"/>
          <w:szCs w:val="22"/>
          <w:lang w:val="lv-LV"/>
        </w:rPr>
        <w:tab/>
      </w:r>
      <w:r w:rsidRPr="002D41D4">
        <w:rPr>
          <w:rFonts w:ascii="Times New Roman" w:hAnsi="Times New Roman"/>
          <w:sz w:val="22"/>
          <w:szCs w:val="22"/>
          <w:lang w:val="lv-LV"/>
        </w:rPr>
        <w:t>hipotensija (sistoliskais asinsspiediens &lt; 90 mmHg),</w:t>
      </w:r>
    </w:p>
    <w:p w14:paraId="7B936C11" w14:textId="77777777" w:rsidR="002D336F" w:rsidRPr="002D41D4" w:rsidRDefault="002D336F" w:rsidP="007F2E0A">
      <w:pPr>
        <w:rPr>
          <w:rFonts w:ascii="Times New Roman" w:hAnsi="Times New Roman"/>
          <w:sz w:val="22"/>
          <w:szCs w:val="22"/>
          <w:lang w:val="lv-LV"/>
        </w:rPr>
      </w:pPr>
      <w:r w:rsidRPr="002D41D4">
        <w:rPr>
          <w:rFonts w:ascii="Times New Roman" w:hAnsi="Times New Roman"/>
          <w:sz w:val="22"/>
          <w:szCs w:val="22"/>
          <w:lang w:val="lv-LV"/>
        </w:rPr>
        <w:t>-</w:t>
      </w:r>
      <w:r w:rsidR="00F20EEF" w:rsidRPr="002D41D4">
        <w:rPr>
          <w:rFonts w:ascii="Times New Roman" w:hAnsi="Times New Roman"/>
          <w:sz w:val="22"/>
          <w:szCs w:val="22"/>
          <w:lang w:val="lv-LV"/>
        </w:rPr>
        <w:tab/>
      </w:r>
      <w:r w:rsidRPr="002D41D4">
        <w:rPr>
          <w:rFonts w:ascii="Times New Roman" w:hAnsi="Times New Roman"/>
          <w:sz w:val="22"/>
          <w:szCs w:val="22"/>
          <w:lang w:val="lv-LV"/>
        </w:rPr>
        <w:t>smagi perifērās asinsrites traucējumi.</w:t>
      </w:r>
    </w:p>
    <w:p w14:paraId="61A5BEEF" w14:textId="77777777" w:rsidR="002D336F" w:rsidRPr="002D41D4" w:rsidRDefault="002D336F" w:rsidP="007F2E0A">
      <w:pPr>
        <w:rPr>
          <w:rFonts w:ascii="Times New Roman" w:hAnsi="Times New Roman"/>
          <w:sz w:val="22"/>
          <w:szCs w:val="22"/>
          <w:lang w:val="lv-LV"/>
        </w:rPr>
      </w:pPr>
    </w:p>
    <w:p w14:paraId="2E9AD348" w14:textId="77777777" w:rsidR="002D336F" w:rsidRPr="002D41D4" w:rsidRDefault="002D336F" w:rsidP="007F2E0A">
      <w:pPr>
        <w:pStyle w:val="ListParagraph"/>
        <w:numPr>
          <w:ilvl w:val="1"/>
          <w:numId w:val="2"/>
        </w:numPr>
        <w:ind w:left="0" w:firstLine="0"/>
        <w:rPr>
          <w:rFonts w:ascii="Times New Roman" w:hAnsi="Times New Roman"/>
          <w:sz w:val="22"/>
          <w:szCs w:val="22"/>
          <w:lang w:val="lv-LV"/>
        </w:rPr>
      </w:pPr>
      <w:r w:rsidRPr="002D41D4">
        <w:rPr>
          <w:rFonts w:ascii="Times New Roman" w:hAnsi="Times New Roman"/>
          <w:b/>
          <w:sz w:val="22"/>
          <w:szCs w:val="22"/>
          <w:lang w:val="lv-LV"/>
        </w:rPr>
        <w:t>Īpaši brīdinājumi un piesardzība lietošanā</w:t>
      </w:r>
    </w:p>
    <w:p w14:paraId="04A83FAF" w14:textId="77777777" w:rsidR="002D336F" w:rsidRPr="002D41D4" w:rsidRDefault="002D336F" w:rsidP="007F2E0A">
      <w:pPr>
        <w:rPr>
          <w:rFonts w:ascii="Times New Roman" w:hAnsi="Times New Roman"/>
          <w:sz w:val="22"/>
          <w:szCs w:val="22"/>
          <w:lang w:val="lv-LV"/>
        </w:rPr>
      </w:pPr>
    </w:p>
    <w:p w14:paraId="459FDDD6" w14:textId="77777777" w:rsidR="002D336F" w:rsidRPr="002D41D4" w:rsidRDefault="002D336F" w:rsidP="007F2E0A">
      <w:pPr>
        <w:rPr>
          <w:rFonts w:ascii="Times New Roman" w:hAnsi="Times New Roman"/>
          <w:sz w:val="22"/>
          <w:szCs w:val="22"/>
          <w:lang w:val="lv-LV"/>
        </w:rPr>
      </w:pPr>
      <w:r w:rsidRPr="002D41D4">
        <w:rPr>
          <w:rFonts w:ascii="Times New Roman" w:hAnsi="Times New Roman"/>
          <w:sz w:val="22"/>
          <w:szCs w:val="22"/>
          <w:lang w:val="lv-LV"/>
        </w:rPr>
        <w:t>Skatīt arī 4.8</w:t>
      </w:r>
      <w:r w:rsidR="00463125" w:rsidRPr="002D41D4">
        <w:rPr>
          <w:rFonts w:ascii="Times New Roman" w:hAnsi="Times New Roman"/>
          <w:sz w:val="22"/>
          <w:szCs w:val="22"/>
          <w:lang w:val="lv-LV"/>
        </w:rPr>
        <w:t>.</w:t>
      </w:r>
      <w:r w:rsidRPr="002D41D4">
        <w:rPr>
          <w:rFonts w:ascii="Times New Roman" w:hAnsi="Times New Roman"/>
          <w:sz w:val="22"/>
          <w:szCs w:val="22"/>
          <w:lang w:val="lv-LV"/>
        </w:rPr>
        <w:t xml:space="preserve"> apakšpunktu</w:t>
      </w:r>
      <w:r w:rsidR="00B6315C" w:rsidRPr="002D41D4">
        <w:rPr>
          <w:rFonts w:ascii="Times New Roman" w:hAnsi="Times New Roman"/>
          <w:sz w:val="22"/>
          <w:szCs w:val="22"/>
          <w:lang w:val="lv-LV"/>
        </w:rPr>
        <w:t xml:space="preserve"> „Nevēlamās blakusparādības”</w:t>
      </w:r>
      <w:r w:rsidRPr="002D41D4">
        <w:rPr>
          <w:rFonts w:ascii="Times New Roman" w:hAnsi="Times New Roman"/>
          <w:sz w:val="22"/>
          <w:szCs w:val="22"/>
          <w:lang w:val="lv-LV"/>
        </w:rPr>
        <w:t>.</w:t>
      </w:r>
    </w:p>
    <w:p w14:paraId="210E3C9A" w14:textId="77777777" w:rsidR="002D336F" w:rsidRPr="002D41D4" w:rsidRDefault="002D336F" w:rsidP="007F2E0A">
      <w:pPr>
        <w:rPr>
          <w:rFonts w:ascii="Times New Roman" w:hAnsi="Times New Roman"/>
          <w:sz w:val="22"/>
          <w:szCs w:val="22"/>
          <w:lang w:val="lv-LV"/>
        </w:rPr>
      </w:pPr>
    </w:p>
    <w:p w14:paraId="3A379BF7" w14:textId="77777777" w:rsidR="002D336F" w:rsidRPr="002D41D4" w:rsidRDefault="002D336F" w:rsidP="007F2E0A">
      <w:pPr>
        <w:rPr>
          <w:rFonts w:ascii="Times New Roman" w:hAnsi="Times New Roman"/>
          <w:sz w:val="22"/>
          <w:szCs w:val="22"/>
          <w:lang w:val="lv-LV"/>
        </w:rPr>
      </w:pPr>
      <w:r w:rsidRPr="002D41D4">
        <w:rPr>
          <w:rFonts w:ascii="Times New Roman" w:hAnsi="Times New Roman"/>
          <w:sz w:val="22"/>
          <w:szCs w:val="22"/>
          <w:lang w:val="lv-LV"/>
        </w:rPr>
        <w:t>Šie brīdinājumi un norādījumi attiecas uz b</w:t>
      </w:r>
      <w:r w:rsidR="00725A3D" w:rsidRPr="002D41D4">
        <w:rPr>
          <w:rFonts w:ascii="Times New Roman" w:hAnsi="Times New Roman"/>
          <w:sz w:val="22"/>
          <w:szCs w:val="22"/>
          <w:lang w:val="lv-LV"/>
        </w:rPr>
        <w:t>ē</w:t>
      </w:r>
      <w:r w:rsidRPr="002D41D4">
        <w:rPr>
          <w:rFonts w:ascii="Times New Roman" w:hAnsi="Times New Roman"/>
          <w:sz w:val="22"/>
          <w:szCs w:val="22"/>
          <w:lang w:val="lv-LV"/>
        </w:rPr>
        <w:t>ta blokatoriem kopumā.</w:t>
      </w:r>
    </w:p>
    <w:p w14:paraId="0267192B" w14:textId="77777777" w:rsidR="002D336F" w:rsidRPr="002D41D4" w:rsidRDefault="002D336F" w:rsidP="007F2E0A">
      <w:pPr>
        <w:rPr>
          <w:rFonts w:ascii="Times New Roman" w:hAnsi="Times New Roman"/>
          <w:sz w:val="22"/>
          <w:szCs w:val="22"/>
          <w:lang w:val="lv-LV"/>
        </w:rPr>
      </w:pPr>
    </w:p>
    <w:p w14:paraId="483D3035" w14:textId="77777777" w:rsidR="002D336F" w:rsidRPr="002D41D4" w:rsidRDefault="002D336F" w:rsidP="007F2E0A">
      <w:pPr>
        <w:rPr>
          <w:rFonts w:ascii="Times New Roman" w:hAnsi="Times New Roman"/>
          <w:sz w:val="22"/>
          <w:szCs w:val="22"/>
          <w:lang w:val="lv-LV"/>
        </w:rPr>
      </w:pPr>
      <w:r w:rsidRPr="002D41D4">
        <w:rPr>
          <w:rFonts w:ascii="Times New Roman" w:hAnsi="Times New Roman"/>
          <w:i/>
          <w:sz w:val="22"/>
          <w:szCs w:val="22"/>
          <w:lang w:val="lv-LV"/>
        </w:rPr>
        <w:t>Anestēzija</w:t>
      </w:r>
    </w:p>
    <w:p w14:paraId="6E6F33D3" w14:textId="77777777" w:rsidR="002D336F" w:rsidRPr="002D41D4" w:rsidRDefault="002D336F" w:rsidP="007F2E0A">
      <w:pPr>
        <w:rPr>
          <w:rFonts w:ascii="Times New Roman" w:hAnsi="Times New Roman"/>
          <w:sz w:val="22"/>
          <w:szCs w:val="22"/>
          <w:lang w:val="lv-LV"/>
        </w:rPr>
      </w:pPr>
      <w:r w:rsidRPr="002D41D4">
        <w:rPr>
          <w:rFonts w:ascii="Times New Roman" w:hAnsi="Times New Roman"/>
          <w:sz w:val="22"/>
          <w:szCs w:val="22"/>
          <w:lang w:val="lv-LV"/>
        </w:rPr>
        <w:t>B</w:t>
      </w:r>
      <w:r w:rsidR="006C1D01" w:rsidRPr="002D41D4">
        <w:rPr>
          <w:rFonts w:ascii="Times New Roman" w:hAnsi="Times New Roman"/>
          <w:sz w:val="22"/>
          <w:szCs w:val="22"/>
          <w:lang w:val="lv-LV"/>
        </w:rPr>
        <w:t>ē</w:t>
      </w:r>
      <w:r w:rsidRPr="002D41D4">
        <w:rPr>
          <w:rFonts w:ascii="Times New Roman" w:hAnsi="Times New Roman"/>
          <w:sz w:val="22"/>
          <w:szCs w:val="22"/>
          <w:lang w:val="lv-LV"/>
        </w:rPr>
        <w:t>ta adrenoreceptoru blokāde mazina aritmiju risku ievadnarkozes un intubācijas laikā. Ja b</w:t>
      </w:r>
      <w:r w:rsidR="006C1D01" w:rsidRPr="002D41D4">
        <w:rPr>
          <w:rFonts w:ascii="Times New Roman" w:hAnsi="Times New Roman"/>
          <w:sz w:val="22"/>
          <w:szCs w:val="22"/>
          <w:lang w:val="lv-LV"/>
        </w:rPr>
        <w:t>ē</w:t>
      </w:r>
      <w:r w:rsidRPr="002D41D4">
        <w:rPr>
          <w:rFonts w:ascii="Times New Roman" w:hAnsi="Times New Roman"/>
          <w:sz w:val="22"/>
          <w:szCs w:val="22"/>
          <w:lang w:val="lv-LV"/>
        </w:rPr>
        <w:t>ta adrenoreceptoru blokāde tiek pārtraukta gatavojoties ķirurģiskai operācijai, b</w:t>
      </w:r>
      <w:r w:rsidR="006C1D01" w:rsidRPr="002D41D4">
        <w:rPr>
          <w:rFonts w:ascii="Times New Roman" w:hAnsi="Times New Roman"/>
          <w:sz w:val="22"/>
          <w:szCs w:val="22"/>
          <w:lang w:val="lv-LV"/>
        </w:rPr>
        <w:t>ē</w:t>
      </w:r>
      <w:r w:rsidRPr="002D41D4">
        <w:rPr>
          <w:rFonts w:ascii="Times New Roman" w:hAnsi="Times New Roman"/>
          <w:sz w:val="22"/>
          <w:szCs w:val="22"/>
          <w:lang w:val="lv-LV"/>
        </w:rPr>
        <w:t>ta blokatora lietošana jāpārtrauc vismaz 24 stundas pirms tās.</w:t>
      </w:r>
    </w:p>
    <w:p w14:paraId="3B241CF0" w14:textId="77777777" w:rsidR="002D336F" w:rsidRPr="002D41D4" w:rsidRDefault="002D336F" w:rsidP="007F2E0A">
      <w:pPr>
        <w:rPr>
          <w:rFonts w:ascii="Times New Roman" w:hAnsi="Times New Roman"/>
          <w:sz w:val="22"/>
          <w:szCs w:val="22"/>
          <w:lang w:val="lv-LV"/>
        </w:rPr>
      </w:pPr>
      <w:r w:rsidRPr="002D41D4">
        <w:rPr>
          <w:rFonts w:ascii="Times New Roman" w:hAnsi="Times New Roman"/>
          <w:sz w:val="22"/>
          <w:szCs w:val="22"/>
          <w:lang w:val="lv-LV"/>
        </w:rPr>
        <w:t>Jāievēro piesardzība, lietojot dažus narkozes līdzekļus, kas izraisa sirds darbības nomākumu. Pacientu var pasargāt no vagālas reakcijas, intravenozi ievadot atropīnu.</w:t>
      </w:r>
    </w:p>
    <w:p w14:paraId="7377039E" w14:textId="77777777" w:rsidR="002D336F" w:rsidRPr="002D41D4" w:rsidRDefault="002D336F" w:rsidP="007F2E0A">
      <w:pPr>
        <w:rPr>
          <w:rFonts w:ascii="Times New Roman" w:hAnsi="Times New Roman"/>
          <w:sz w:val="22"/>
          <w:szCs w:val="22"/>
          <w:lang w:val="lv-LV"/>
        </w:rPr>
      </w:pPr>
    </w:p>
    <w:p w14:paraId="37D2BBD6" w14:textId="77777777" w:rsidR="002D336F" w:rsidRPr="002D41D4" w:rsidRDefault="002D336F" w:rsidP="007F2E0A">
      <w:pPr>
        <w:rPr>
          <w:rFonts w:ascii="Times New Roman" w:hAnsi="Times New Roman"/>
          <w:sz w:val="22"/>
          <w:szCs w:val="22"/>
          <w:lang w:val="lv-LV"/>
        </w:rPr>
      </w:pPr>
      <w:r w:rsidRPr="002D41D4">
        <w:rPr>
          <w:rFonts w:ascii="Times New Roman" w:hAnsi="Times New Roman"/>
          <w:i/>
          <w:sz w:val="22"/>
          <w:szCs w:val="22"/>
          <w:lang w:val="lv-LV"/>
        </w:rPr>
        <w:t>Sirds un asinsvadu sistēma</w:t>
      </w:r>
    </w:p>
    <w:p w14:paraId="2A7CC8E6" w14:textId="77777777" w:rsidR="002D336F" w:rsidRPr="002D41D4" w:rsidRDefault="002D336F" w:rsidP="007F2E0A">
      <w:pPr>
        <w:rPr>
          <w:rFonts w:ascii="Times New Roman" w:hAnsi="Times New Roman"/>
          <w:sz w:val="22"/>
          <w:szCs w:val="22"/>
          <w:lang w:val="lv-LV"/>
        </w:rPr>
      </w:pPr>
      <w:r w:rsidRPr="002D41D4">
        <w:rPr>
          <w:rFonts w:ascii="Times New Roman" w:hAnsi="Times New Roman"/>
          <w:sz w:val="22"/>
          <w:szCs w:val="22"/>
          <w:lang w:val="lv-LV"/>
        </w:rPr>
        <w:t>Parasti b</w:t>
      </w:r>
      <w:r w:rsidR="006C1D01" w:rsidRPr="002D41D4">
        <w:rPr>
          <w:rFonts w:ascii="Times New Roman" w:hAnsi="Times New Roman"/>
          <w:sz w:val="22"/>
          <w:szCs w:val="22"/>
          <w:lang w:val="lv-LV"/>
        </w:rPr>
        <w:t>ē</w:t>
      </w:r>
      <w:r w:rsidRPr="002D41D4">
        <w:rPr>
          <w:rFonts w:ascii="Times New Roman" w:hAnsi="Times New Roman"/>
          <w:sz w:val="22"/>
          <w:szCs w:val="22"/>
          <w:lang w:val="lv-LV"/>
        </w:rPr>
        <w:t>ta blokatorus nedrīkst lietot pacientiem ar neārstētu sastrēguma sirds mazspēju (SSM), kamēr stāvoklis nav stabilizējies.</w:t>
      </w:r>
    </w:p>
    <w:p w14:paraId="1033F653" w14:textId="77777777" w:rsidR="002D336F" w:rsidRPr="002D41D4" w:rsidRDefault="002D336F" w:rsidP="007F2E0A">
      <w:pPr>
        <w:rPr>
          <w:rFonts w:ascii="Times New Roman" w:hAnsi="Times New Roman"/>
          <w:sz w:val="22"/>
          <w:szCs w:val="22"/>
          <w:lang w:val="lv-LV"/>
        </w:rPr>
      </w:pPr>
      <w:r w:rsidRPr="002D41D4">
        <w:rPr>
          <w:rFonts w:ascii="Times New Roman" w:hAnsi="Times New Roman"/>
          <w:sz w:val="22"/>
          <w:szCs w:val="22"/>
          <w:lang w:val="lv-LV"/>
        </w:rPr>
        <w:t xml:space="preserve">Pacientiem ar sirds išēmisko slimību ārstēšana ar </w:t>
      </w:r>
      <w:r w:rsidR="006C1D01" w:rsidRPr="002D41D4">
        <w:rPr>
          <w:rFonts w:ascii="Times New Roman" w:hAnsi="Times New Roman"/>
          <w:sz w:val="22"/>
          <w:szCs w:val="22"/>
          <w:lang w:val="lv-LV"/>
        </w:rPr>
        <w:t>bēta</w:t>
      </w:r>
      <w:r w:rsidRPr="002D41D4">
        <w:rPr>
          <w:rFonts w:ascii="Times New Roman" w:hAnsi="Times New Roman"/>
          <w:sz w:val="22"/>
          <w:szCs w:val="22"/>
          <w:lang w:val="lv-LV"/>
        </w:rPr>
        <w:t xml:space="preserve"> blokatoriem jāpārtrauc pakāpeniski, t.i., 1 – 2 nedēļu laikā. Nepieciešamības gadījumā vienlaikus jāsāk aizstājterapija, lai novērstu stenokardijas paasinājumu.</w:t>
      </w:r>
    </w:p>
    <w:p w14:paraId="347D8EAB" w14:textId="77777777" w:rsidR="002D336F" w:rsidRPr="002D41D4" w:rsidRDefault="006C1D01" w:rsidP="007F2E0A">
      <w:pPr>
        <w:rPr>
          <w:rFonts w:ascii="Times New Roman" w:hAnsi="Times New Roman"/>
          <w:sz w:val="22"/>
          <w:szCs w:val="22"/>
          <w:lang w:val="lv-LV"/>
        </w:rPr>
      </w:pPr>
      <w:r w:rsidRPr="002D41D4">
        <w:rPr>
          <w:rFonts w:ascii="Times New Roman" w:hAnsi="Times New Roman"/>
          <w:sz w:val="22"/>
          <w:szCs w:val="22"/>
          <w:lang w:val="lv-LV"/>
        </w:rPr>
        <w:t>Bēta</w:t>
      </w:r>
      <w:r w:rsidR="002D336F" w:rsidRPr="002D41D4">
        <w:rPr>
          <w:rFonts w:ascii="Times New Roman" w:hAnsi="Times New Roman"/>
          <w:sz w:val="22"/>
          <w:szCs w:val="22"/>
          <w:lang w:val="lv-LV"/>
        </w:rPr>
        <w:t xml:space="preserve"> blokatori var izraisīt bradikardiju. Ja pulss miera stāvoklī kļūst lēnāks par 50 – 55 sitieniem/min un/vai pacientam ir simptomi, kas liecina par bradikardiju, </w:t>
      </w:r>
      <w:r w:rsidRPr="002D41D4">
        <w:rPr>
          <w:rFonts w:ascii="Times New Roman" w:hAnsi="Times New Roman"/>
          <w:sz w:val="22"/>
          <w:szCs w:val="22"/>
          <w:lang w:val="lv-LV"/>
        </w:rPr>
        <w:t>bēta</w:t>
      </w:r>
      <w:r w:rsidR="002D336F" w:rsidRPr="002D41D4">
        <w:rPr>
          <w:rFonts w:ascii="Times New Roman" w:hAnsi="Times New Roman"/>
          <w:sz w:val="22"/>
          <w:szCs w:val="22"/>
          <w:lang w:val="lv-LV"/>
        </w:rPr>
        <w:t xml:space="preserve"> blokatora deva ir jāsamazina.</w:t>
      </w:r>
    </w:p>
    <w:p w14:paraId="4FD6F8A8" w14:textId="77777777" w:rsidR="002D336F" w:rsidRPr="002D41D4" w:rsidRDefault="006C1D01" w:rsidP="007F2E0A">
      <w:pPr>
        <w:rPr>
          <w:rFonts w:ascii="Times New Roman" w:hAnsi="Times New Roman"/>
          <w:sz w:val="22"/>
          <w:szCs w:val="22"/>
          <w:lang w:val="lv-LV"/>
        </w:rPr>
      </w:pPr>
      <w:r w:rsidRPr="002D41D4">
        <w:rPr>
          <w:rFonts w:ascii="Times New Roman" w:hAnsi="Times New Roman"/>
          <w:sz w:val="22"/>
          <w:szCs w:val="22"/>
          <w:lang w:val="lv-LV"/>
        </w:rPr>
        <w:t>Bēta</w:t>
      </w:r>
      <w:r w:rsidR="002D336F" w:rsidRPr="002D41D4">
        <w:rPr>
          <w:rFonts w:ascii="Times New Roman" w:hAnsi="Times New Roman"/>
          <w:sz w:val="22"/>
          <w:szCs w:val="22"/>
          <w:lang w:val="lv-LV"/>
        </w:rPr>
        <w:t xml:space="preserve"> blokatori jālieto piesardzīgi šādos gadījumos:</w:t>
      </w:r>
    </w:p>
    <w:p w14:paraId="050E2A43" w14:textId="77777777" w:rsidR="002D336F" w:rsidRPr="002D41D4" w:rsidRDefault="002D336F" w:rsidP="007F2E0A">
      <w:pPr>
        <w:rPr>
          <w:rFonts w:ascii="Times New Roman" w:hAnsi="Times New Roman"/>
          <w:sz w:val="22"/>
          <w:szCs w:val="22"/>
          <w:lang w:val="lv-LV"/>
        </w:rPr>
      </w:pPr>
      <w:r w:rsidRPr="002D41D4">
        <w:rPr>
          <w:rFonts w:ascii="Times New Roman" w:hAnsi="Times New Roman"/>
          <w:sz w:val="22"/>
          <w:szCs w:val="22"/>
          <w:lang w:val="lv-LV"/>
        </w:rPr>
        <w:t>-</w:t>
      </w:r>
      <w:r w:rsidR="00B6315C" w:rsidRPr="002D41D4">
        <w:rPr>
          <w:rFonts w:ascii="Times New Roman" w:hAnsi="Times New Roman"/>
          <w:sz w:val="22"/>
          <w:szCs w:val="22"/>
          <w:lang w:val="lv-LV"/>
        </w:rPr>
        <w:tab/>
      </w:r>
      <w:r w:rsidRPr="002D41D4">
        <w:rPr>
          <w:rFonts w:ascii="Times New Roman" w:hAnsi="Times New Roman"/>
          <w:sz w:val="22"/>
          <w:szCs w:val="22"/>
          <w:lang w:val="lv-LV"/>
        </w:rPr>
        <w:t>pacientiem ar perifērās asinsrites traucējumiem (Reino slimību vai sindromu, mijklibošanu), jo šie traucējumi var pastiprināties;</w:t>
      </w:r>
    </w:p>
    <w:p w14:paraId="0B780F08" w14:textId="77777777" w:rsidR="002D336F" w:rsidRPr="002D41D4" w:rsidRDefault="002D336F" w:rsidP="007F2E0A">
      <w:pPr>
        <w:rPr>
          <w:rFonts w:ascii="Times New Roman" w:hAnsi="Times New Roman"/>
          <w:sz w:val="22"/>
          <w:szCs w:val="22"/>
          <w:lang w:val="lv-LV"/>
        </w:rPr>
      </w:pPr>
      <w:r w:rsidRPr="002D41D4">
        <w:rPr>
          <w:rFonts w:ascii="Times New Roman" w:hAnsi="Times New Roman"/>
          <w:sz w:val="22"/>
          <w:szCs w:val="22"/>
          <w:lang w:val="lv-LV"/>
        </w:rPr>
        <w:t>-</w:t>
      </w:r>
      <w:r w:rsidR="00B6315C" w:rsidRPr="002D41D4">
        <w:rPr>
          <w:rFonts w:ascii="Times New Roman" w:hAnsi="Times New Roman"/>
          <w:sz w:val="22"/>
          <w:szCs w:val="22"/>
          <w:lang w:val="lv-LV"/>
        </w:rPr>
        <w:tab/>
      </w:r>
      <w:r w:rsidRPr="002D41D4">
        <w:rPr>
          <w:rFonts w:ascii="Times New Roman" w:hAnsi="Times New Roman"/>
          <w:sz w:val="22"/>
          <w:szCs w:val="22"/>
          <w:lang w:val="lv-LV"/>
        </w:rPr>
        <w:t xml:space="preserve">pacientiem ar 1. pakāpes AV blokādi, jo </w:t>
      </w:r>
      <w:r w:rsidR="006C1D01" w:rsidRPr="002D41D4">
        <w:rPr>
          <w:rFonts w:ascii="Times New Roman" w:hAnsi="Times New Roman"/>
          <w:sz w:val="22"/>
          <w:szCs w:val="22"/>
          <w:lang w:val="lv-LV"/>
        </w:rPr>
        <w:t>bēta</w:t>
      </w:r>
      <w:r w:rsidRPr="002D41D4">
        <w:rPr>
          <w:rFonts w:ascii="Times New Roman" w:hAnsi="Times New Roman"/>
          <w:sz w:val="22"/>
          <w:szCs w:val="22"/>
          <w:lang w:val="lv-LV"/>
        </w:rPr>
        <w:t xml:space="preserve"> blokatori palēnina</w:t>
      </w:r>
      <w:r w:rsidR="00172527" w:rsidRPr="002D41D4">
        <w:rPr>
          <w:rFonts w:ascii="Times New Roman" w:hAnsi="Times New Roman"/>
          <w:sz w:val="22"/>
          <w:szCs w:val="22"/>
          <w:lang w:val="lv-LV"/>
        </w:rPr>
        <w:t xml:space="preserve"> </w:t>
      </w:r>
      <w:r w:rsidRPr="002D41D4">
        <w:rPr>
          <w:rFonts w:ascii="Times New Roman" w:hAnsi="Times New Roman"/>
          <w:sz w:val="22"/>
          <w:szCs w:val="22"/>
          <w:lang w:val="lv-LV"/>
        </w:rPr>
        <w:t>impulsu pārvadi;</w:t>
      </w:r>
    </w:p>
    <w:p w14:paraId="17E54C59" w14:textId="77777777" w:rsidR="002D336F" w:rsidRPr="002D41D4" w:rsidRDefault="002D336F" w:rsidP="007F2E0A">
      <w:pPr>
        <w:rPr>
          <w:rFonts w:ascii="Times New Roman" w:hAnsi="Times New Roman"/>
          <w:sz w:val="22"/>
          <w:szCs w:val="22"/>
          <w:lang w:val="lv-LV"/>
        </w:rPr>
      </w:pPr>
      <w:r w:rsidRPr="002D41D4">
        <w:rPr>
          <w:rFonts w:ascii="Times New Roman" w:hAnsi="Times New Roman"/>
          <w:sz w:val="22"/>
          <w:szCs w:val="22"/>
          <w:lang w:val="lv-LV"/>
        </w:rPr>
        <w:t>-</w:t>
      </w:r>
      <w:r w:rsidR="00B6315C" w:rsidRPr="002D41D4">
        <w:rPr>
          <w:rFonts w:ascii="Times New Roman" w:hAnsi="Times New Roman"/>
          <w:sz w:val="22"/>
          <w:szCs w:val="22"/>
          <w:lang w:val="lv-LV"/>
        </w:rPr>
        <w:tab/>
      </w:r>
      <w:r w:rsidRPr="002D41D4">
        <w:rPr>
          <w:rFonts w:ascii="Times New Roman" w:hAnsi="Times New Roman"/>
          <w:sz w:val="22"/>
          <w:szCs w:val="22"/>
          <w:lang w:val="lv-LV"/>
        </w:rPr>
        <w:t>pacientiem ar Princmet</w:t>
      </w:r>
      <w:r w:rsidR="009B2765" w:rsidRPr="002D41D4">
        <w:rPr>
          <w:rFonts w:ascii="Times New Roman" w:hAnsi="Times New Roman"/>
          <w:sz w:val="22"/>
          <w:szCs w:val="22"/>
          <w:lang w:val="lv-LV"/>
        </w:rPr>
        <w:t>ā</w:t>
      </w:r>
      <w:r w:rsidRPr="002D41D4">
        <w:rPr>
          <w:rFonts w:ascii="Times New Roman" w:hAnsi="Times New Roman"/>
          <w:sz w:val="22"/>
          <w:szCs w:val="22"/>
          <w:lang w:val="lv-LV"/>
        </w:rPr>
        <w:t xml:space="preserve">la stenokardiju nebloķētas alfa receptoru noteiktās koronāro artēriju vazokonstrikcijas dēļ </w:t>
      </w:r>
      <w:r w:rsidR="006C1D01" w:rsidRPr="002D41D4">
        <w:rPr>
          <w:rFonts w:ascii="Times New Roman" w:hAnsi="Times New Roman"/>
          <w:sz w:val="22"/>
          <w:szCs w:val="22"/>
          <w:lang w:val="lv-LV"/>
        </w:rPr>
        <w:t>bēta</w:t>
      </w:r>
      <w:r w:rsidRPr="002D41D4">
        <w:rPr>
          <w:rFonts w:ascii="Times New Roman" w:hAnsi="Times New Roman"/>
          <w:sz w:val="22"/>
          <w:szCs w:val="22"/>
          <w:lang w:val="lv-LV"/>
        </w:rPr>
        <w:t xml:space="preserve"> blokatori var palielināt stenokardijas lēkmju biežumu un ilgumu.</w:t>
      </w:r>
    </w:p>
    <w:p w14:paraId="52AEACC6" w14:textId="77777777" w:rsidR="002D336F" w:rsidRPr="002D41D4" w:rsidRDefault="002D336F" w:rsidP="007F2E0A">
      <w:pPr>
        <w:rPr>
          <w:rFonts w:ascii="Times New Roman" w:hAnsi="Times New Roman"/>
          <w:sz w:val="22"/>
          <w:szCs w:val="22"/>
          <w:lang w:val="lv-LV"/>
        </w:rPr>
      </w:pPr>
      <w:r w:rsidRPr="002D41D4">
        <w:rPr>
          <w:rFonts w:ascii="Times New Roman" w:hAnsi="Times New Roman"/>
          <w:sz w:val="22"/>
          <w:szCs w:val="22"/>
          <w:lang w:val="lv-LV"/>
        </w:rPr>
        <w:t>Nebivolola kombinācija ar verapamila un diltiazema tipa kalcija kanāla antagonistiem, ar 1. grupas antiaritmiskajiem līdzekļiem un ar centrālas darbības antihipertensīvām zālēm parasti nav ieteicama. Vairāk, lūdzu, lasiet 4.5</w:t>
      </w:r>
      <w:r w:rsidR="00463125" w:rsidRPr="002D41D4">
        <w:rPr>
          <w:rFonts w:ascii="Times New Roman" w:hAnsi="Times New Roman"/>
          <w:sz w:val="22"/>
          <w:szCs w:val="22"/>
          <w:lang w:val="lv-LV"/>
        </w:rPr>
        <w:t>.</w:t>
      </w:r>
      <w:r w:rsidRPr="002D41D4">
        <w:rPr>
          <w:rFonts w:ascii="Times New Roman" w:hAnsi="Times New Roman"/>
          <w:sz w:val="22"/>
          <w:szCs w:val="22"/>
          <w:lang w:val="lv-LV"/>
        </w:rPr>
        <w:t xml:space="preserve"> apakšpunktā.</w:t>
      </w:r>
    </w:p>
    <w:p w14:paraId="12271BD9" w14:textId="77777777" w:rsidR="002D336F" w:rsidRPr="002D41D4" w:rsidRDefault="002D336F" w:rsidP="007F2E0A">
      <w:pPr>
        <w:rPr>
          <w:rFonts w:ascii="Times New Roman" w:hAnsi="Times New Roman"/>
          <w:sz w:val="22"/>
          <w:szCs w:val="22"/>
          <w:lang w:val="lv-LV"/>
        </w:rPr>
      </w:pPr>
    </w:p>
    <w:p w14:paraId="0164073D" w14:textId="77777777" w:rsidR="002D336F" w:rsidRPr="002D41D4" w:rsidRDefault="002D336F" w:rsidP="007F2E0A">
      <w:pPr>
        <w:rPr>
          <w:rFonts w:ascii="Times New Roman" w:hAnsi="Times New Roman"/>
          <w:sz w:val="22"/>
          <w:szCs w:val="22"/>
          <w:lang w:val="lv-LV"/>
        </w:rPr>
      </w:pPr>
      <w:r w:rsidRPr="002D41D4">
        <w:rPr>
          <w:rFonts w:ascii="Times New Roman" w:hAnsi="Times New Roman"/>
          <w:i/>
          <w:sz w:val="22"/>
          <w:szCs w:val="22"/>
          <w:lang w:val="lv-LV"/>
        </w:rPr>
        <w:t>Vielmaiņa un endokrīnā sistēma</w:t>
      </w:r>
    </w:p>
    <w:p w14:paraId="7576537F" w14:textId="77777777" w:rsidR="002D336F" w:rsidRPr="002D41D4" w:rsidRDefault="002D336F" w:rsidP="007F2E0A">
      <w:pPr>
        <w:rPr>
          <w:rFonts w:ascii="Times New Roman" w:hAnsi="Times New Roman"/>
          <w:sz w:val="22"/>
          <w:szCs w:val="22"/>
          <w:lang w:val="lv-LV"/>
        </w:rPr>
      </w:pPr>
      <w:r w:rsidRPr="002D41D4">
        <w:rPr>
          <w:rFonts w:ascii="Times New Roman" w:hAnsi="Times New Roman"/>
          <w:iCs/>
          <w:sz w:val="22"/>
          <w:szCs w:val="22"/>
          <w:lang w:val="lv-LV"/>
        </w:rPr>
        <w:lastRenderedPageBreak/>
        <w:t>Nebilet</w:t>
      </w:r>
      <w:r w:rsidRPr="002D41D4">
        <w:rPr>
          <w:rFonts w:ascii="Times New Roman" w:hAnsi="Times New Roman"/>
          <w:sz w:val="22"/>
          <w:szCs w:val="22"/>
          <w:lang w:val="lv-LV"/>
        </w:rPr>
        <w:t xml:space="preserve"> neietekmē glikozes līmeni asinīs cukura diabēta slimniekiem. Cukura diabēta slimniekiem tomēr jāievēro piesardzība, jo nebivolols var maskēt dažas hipoglikēmijas pazīmes (tahikardiju, sirdsklauves).</w:t>
      </w:r>
    </w:p>
    <w:p w14:paraId="576E3303" w14:textId="77777777" w:rsidR="002D336F" w:rsidRPr="002D41D4" w:rsidRDefault="006C1D01" w:rsidP="007F2E0A">
      <w:pPr>
        <w:rPr>
          <w:rFonts w:ascii="Times New Roman" w:hAnsi="Times New Roman"/>
          <w:sz w:val="22"/>
          <w:szCs w:val="22"/>
          <w:lang w:val="lv-LV"/>
        </w:rPr>
      </w:pPr>
      <w:r w:rsidRPr="002D41D4">
        <w:rPr>
          <w:rFonts w:ascii="Times New Roman" w:hAnsi="Times New Roman"/>
          <w:sz w:val="22"/>
          <w:szCs w:val="22"/>
          <w:lang w:val="lv-LV"/>
        </w:rPr>
        <w:t>Bēta</w:t>
      </w:r>
      <w:r w:rsidR="002D336F" w:rsidRPr="002D41D4">
        <w:rPr>
          <w:rFonts w:ascii="Times New Roman" w:hAnsi="Times New Roman"/>
          <w:sz w:val="22"/>
          <w:szCs w:val="22"/>
          <w:lang w:val="lv-LV"/>
        </w:rPr>
        <w:t xml:space="preserve"> blokatori var maskēt tahikardijas simptomu vairogdziedzera hiperfunkcijas gadījumā. Pēkšņa lietošanas pārtraukšana var pastiprināt šo simptomus.</w:t>
      </w:r>
    </w:p>
    <w:p w14:paraId="39A7D37B" w14:textId="77777777" w:rsidR="002D336F" w:rsidRPr="002D41D4" w:rsidRDefault="002D336F" w:rsidP="007F2E0A">
      <w:pPr>
        <w:rPr>
          <w:rFonts w:ascii="Times New Roman" w:hAnsi="Times New Roman"/>
          <w:sz w:val="22"/>
          <w:szCs w:val="22"/>
          <w:lang w:val="lv-LV"/>
        </w:rPr>
      </w:pPr>
    </w:p>
    <w:p w14:paraId="7668E3E8" w14:textId="77777777" w:rsidR="002D336F" w:rsidRPr="002D41D4" w:rsidRDefault="002D336F" w:rsidP="007F2E0A">
      <w:pPr>
        <w:rPr>
          <w:rFonts w:ascii="Times New Roman" w:hAnsi="Times New Roman"/>
          <w:i/>
          <w:sz w:val="22"/>
          <w:szCs w:val="22"/>
          <w:lang w:val="lv-LV"/>
        </w:rPr>
      </w:pPr>
      <w:r w:rsidRPr="002D41D4">
        <w:rPr>
          <w:rFonts w:ascii="Times New Roman" w:hAnsi="Times New Roman"/>
          <w:i/>
          <w:sz w:val="22"/>
          <w:szCs w:val="22"/>
          <w:lang w:val="lv-LV"/>
        </w:rPr>
        <w:t>Elpošanas sistēma</w:t>
      </w:r>
    </w:p>
    <w:p w14:paraId="30FC2D66" w14:textId="77777777" w:rsidR="002D336F" w:rsidRPr="002D41D4" w:rsidRDefault="002D336F" w:rsidP="007F2E0A">
      <w:pPr>
        <w:rPr>
          <w:rFonts w:ascii="Times New Roman" w:hAnsi="Times New Roman"/>
          <w:sz w:val="22"/>
          <w:szCs w:val="22"/>
          <w:lang w:val="lv-LV"/>
        </w:rPr>
      </w:pPr>
      <w:r w:rsidRPr="002D41D4">
        <w:rPr>
          <w:rFonts w:ascii="Times New Roman" w:hAnsi="Times New Roman"/>
          <w:sz w:val="22"/>
          <w:szCs w:val="22"/>
          <w:lang w:val="lv-LV"/>
        </w:rPr>
        <w:t xml:space="preserve">Pacientiem ar hroniskām obstruktīvām plaušu slimībām </w:t>
      </w:r>
      <w:r w:rsidR="006C1D01" w:rsidRPr="002D41D4">
        <w:rPr>
          <w:rFonts w:ascii="Times New Roman" w:hAnsi="Times New Roman"/>
          <w:sz w:val="22"/>
          <w:szCs w:val="22"/>
          <w:lang w:val="lv-LV"/>
        </w:rPr>
        <w:t>bēta</w:t>
      </w:r>
      <w:r w:rsidRPr="002D41D4">
        <w:rPr>
          <w:rFonts w:ascii="Times New Roman" w:hAnsi="Times New Roman"/>
          <w:sz w:val="22"/>
          <w:szCs w:val="22"/>
          <w:lang w:val="lv-LV"/>
        </w:rPr>
        <w:t xml:space="preserve"> blokatori jālieto piesardzīgi, jo var pastiprināties elpceļu sašaurināšanās simptomi.</w:t>
      </w:r>
    </w:p>
    <w:p w14:paraId="55666E1B" w14:textId="77777777" w:rsidR="002D336F" w:rsidRPr="002D41D4" w:rsidRDefault="002D336F" w:rsidP="007F2E0A">
      <w:pPr>
        <w:rPr>
          <w:rFonts w:ascii="Times New Roman" w:hAnsi="Times New Roman"/>
          <w:sz w:val="22"/>
          <w:szCs w:val="22"/>
          <w:lang w:val="lv-LV"/>
        </w:rPr>
      </w:pPr>
    </w:p>
    <w:p w14:paraId="559AE9A9" w14:textId="77777777" w:rsidR="002D336F" w:rsidRPr="002D41D4" w:rsidRDefault="002D336F" w:rsidP="007F2E0A">
      <w:pPr>
        <w:rPr>
          <w:rFonts w:ascii="Times New Roman" w:hAnsi="Times New Roman"/>
          <w:sz w:val="22"/>
          <w:szCs w:val="22"/>
          <w:lang w:val="lv-LV"/>
        </w:rPr>
      </w:pPr>
      <w:r w:rsidRPr="002D41D4">
        <w:rPr>
          <w:rFonts w:ascii="Times New Roman" w:hAnsi="Times New Roman"/>
          <w:i/>
          <w:sz w:val="22"/>
          <w:szCs w:val="22"/>
          <w:lang w:val="lv-LV"/>
        </w:rPr>
        <w:t>Citi brīdinājumi</w:t>
      </w:r>
    </w:p>
    <w:p w14:paraId="3302C8CB" w14:textId="77777777" w:rsidR="002D336F" w:rsidRPr="002D41D4" w:rsidRDefault="002D336F" w:rsidP="007F2E0A">
      <w:pPr>
        <w:rPr>
          <w:rFonts w:ascii="Times New Roman" w:hAnsi="Times New Roman"/>
          <w:sz w:val="22"/>
          <w:szCs w:val="22"/>
          <w:lang w:val="lv-LV"/>
        </w:rPr>
      </w:pPr>
      <w:r w:rsidRPr="002D41D4">
        <w:rPr>
          <w:rFonts w:ascii="Times New Roman" w:hAnsi="Times New Roman"/>
          <w:sz w:val="22"/>
          <w:szCs w:val="22"/>
          <w:lang w:val="lv-LV"/>
        </w:rPr>
        <w:t xml:space="preserve">Pacienti ar psoriāzi anamnēzē </w:t>
      </w:r>
      <w:r w:rsidR="006C1D01" w:rsidRPr="002D41D4">
        <w:rPr>
          <w:rFonts w:ascii="Times New Roman" w:hAnsi="Times New Roman"/>
          <w:sz w:val="22"/>
          <w:szCs w:val="22"/>
          <w:lang w:val="lv-LV"/>
        </w:rPr>
        <w:t>bēta</w:t>
      </w:r>
      <w:r w:rsidRPr="002D41D4">
        <w:rPr>
          <w:rFonts w:ascii="Times New Roman" w:hAnsi="Times New Roman"/>
          <w:sz w:val="22"/>
          <w:szCs w:val="22"/>
          <w:lang w:val="lv-LV"/>
        </w:rPr>
        <w:t xml:space="preserve"> blokatorus drīkst lietot tikai pēc rūpīgas izvērtēšanas.</w:t>
      </w:r>
    </w:p>
    <w:p w14:paraId="0CDDE9C4" w14:textId="77777777" w:rsidR="002D336F" w:rsidRPr="002D41D4" w:rsidRDefault="006C1D01" w:rsidP="007F2E0A">
      <w:pPr>
        <w:rPr>
          <w:rFonts w:ascii="Times New Roman" w:hAnsi="Times New Roman"/>
          <w:sz w:val="22"/>
          <w:szCs w:val="22"/>
          <w:lang w:val="lv-LV"/>
        </w:rPr>
      </w:pPr>
      <w:r w:rsidRPr="002D41D4">
        <w:rPr>
          <w:rFonts w:ascii="Times New Roman" w:hAnsi="Times New Roman"/>
          <w:sz w:val="22"/>
          <w:szCs w:val="22"/>
          <w:lang w:val="lv-LV"/>
        </w:rPr>
        <w:t>Bēta</w:t>
      </w:r>
      <w:r w:rsidR="002D336F" w:rsidRPr="002D41D4">
        <w:rPr>
          <w:rFonts w:ascii="Times New Roman" w:hAnsi="Times New Roman"/>
          <w:sz w:val="22"/>
          <w:szCs w:val="22"/>
          <w:lang w:val="lv-LV"/>
        </w:rPr>
        <w:t xml:space="preserve"> blokatori var palielināt jutību pret alergēniem, kā arī anafilaktisko reakciju smaguma pakāpi.</w:t>
      </w:r>
    </w:p>
    <w:p w14:paraId="385DCBC3" w14:textId="77777777" w:rsidR="002D336F" w:rsidRPr="002D41D4" w:rsidRDefault="002D336F" w:rsidP="007F2E0A">
      <w:pPr>
        <w:rPr>
          <w:rFonts w:ascii="Times New Roman" w:hAnsi="Times New Roman"/>
          <w:sz w:val="22"/>
          <w:szCs w:val="22"/>
          <w:lang w:val="lv-LV"/>
        </w:rPr>
      </w:pPr>
    </w:p>
    <w:p w14:paraId="015EBD3A" w14:textId="77777777" w:rsidR="002D336F" w:rsidRPr="002D41D4" w:rsidRDefault="002D336F" w:rsidP="007F2E0A">
      <w:pPr>
        <w:rPr>
          <w:rFonts w:ascii="Times New Roman" w:hAnsi="Times New Roman"/>
          <w:sz w:val="22"/>
          <w:szCs w:val="22"/>
          <w:lang w:val="lv-LV"/>
        </w:rPr>
      </w:pPr>
      <w:r w:rsidRPr="002D41D4">
        <w:rPr>
          <w:rFonts w:ascii="Times New Roman" w:hAnsi="Times New Roman"/>
          <w:sz w:val="22"/>
          <w:szCs w:val="22"/>
          <w:lang w:val="lv-LV"/>
        </w:rPr>
        <w:t>Hroniskas sirds mazspējas ārstēšanas uzsākšanas gadījumā ar nebivololu nepieciešama regulāra kontrole. Par devām un lietošanas veidu, lūdzu, lasiet 4.2</w:t>
      </w:r>
      <w:r w:rsidR="00463125" w:rsidRPr="002D41D4">
        <w:rPr>
          <w:rFonts w:ascii="Times New Roman" w:hAnsi="Times New Roman"/>
          <w:sz w:val="22"/>
          <w:szCs w:val="22"/>
          <w:lang w:val="lv-LV"/>
        </w:rPr>
        <w:t>.</w:t>
      </w:r>
      <w:r w:rsidRPr="002D41D4">
        <w:rPr>
          <w:rFonts w:ascii="Times New Roman" w:hAnsi="Times New Roman"/>
          <w:sz w:val="22"/>
          <w:szCs w:val="22"/>
          <w:lang w:val="lv-LV"/>
        </w:rPr>
        <w:t xml:space="preserve"> apakšpunktā. Ārstēšanu nedrīkst pārtraukt pēkšņi, ja vien tas nav absolūti indicēts. Vairāk informācijas, lūdzu, lasiet 4.2</w:t>
      </w:r>
      <w:r w:rsidR="00463125" w:rsidRPr="002D41D4">
        <w:rPr>
          <w:rFonts w:ascii="Times New Roman" w:hAnsi="Times New Roman"/>
          <w:sz w:val="22"/>
          <w:szCs w:val="22"/>
          <w:lang w:val="lv-LV"/>
        </w:rPr>
        <w:t>.</w:t>
      </w:r>
      <w:r w:rsidRPr="002D41D4">
        <w:rPr>
          <w:rFonts w:ascii="Times New Roman" w:hAnsi="Times New Roman"/>
          <w:sz w:val="22"/>
          <w:szCs w:val="22"/>
          <w:lang w:val="lv-LV"/>
        </w:rPr>
        <w:t xml:space="preserve"> apakšpunktā.</w:t>
      </w:r>
    </w:p>
    <w:p w14:paraId="2A8E1531" w14:textId="77777777" w:rsidR="002D336F" w:rsidRPr="002D41D4" w:rsidRDefault="002D336F" w:rsidP="007F2E0A">
      <w:pPr>
        <w:rPr>
          <w:rFonts w:ascii="Times New Roman" w:hAnsi="Times New Roman"/>
          <w:sz w:val="22"/>
          <w:szCs w:val="22"/>
          <w:lang w:val="lv-LV"/>
        </w:rPr>
      </w:pPr>
    </w:p>
    <w:p w14:paraId="27CFB858" w14:textId="77777777" w:rsidR="002D336F" w:rsidRPr="002D41D4" w:rsidRDefault="002D336F" w:rsidP="007F2E0A">
      <w:pPr>
        <w:rPr>
          <w:rFonts w:ascii="Times New Roman" w:hAnsi="Times New Roman"/>
          <w:sz w:val="22"/>
          <w:szCs w:val="22"/>
          <w:lang w:val="lv-LV"/>
        </w:rPr>
      </w:pPr>
      <w:r w:rsidRPr="002D41D4">
        <w:rPr>
          <w:rFonts w:ascii="Times New Roman" w:hAnsi="Times New Roman"/>
          <w:sz w:val="22"/>
          <w:szCs w:val="22"/>
          <w:lang w:val="lv-LV"/>
        </w:rPr>
        <w:t>Šīs zāles satur laktozi. Tās nevajadzētu lietot pacientiem ar retu iedzimtu galaktozes nepanesību, ar</w:t>
      </w:r>
      <w:r w:rsidR="00DC7191">
        <w:rPr>
          <w:rFonts w:ascii="Times New Roman" w:hAnsi="Times New Roman"/>
          <w:sz w:val="22"/>
          <w:szCs w:val="22"/>
          <w:lang w:val="lv-LV"/>
        </w:rPr>
        <w:t xml:space="preserve"> pilnīgu</w:t>
      </w:r>
      <w:r w:rsidRPr="002D41D4">
        <w:rPr>
          <w:rFonts w:ascii="Times New Roman" w:hAnsi="Times New Roman"/>
          <w:sz w:val="22"/>
          <w:szCs w:val="22"/>
          <w:lang w:val="lv-LV"/>
        </w:rPr>
        <w:t xml:space="preserve">  laktāzes deficītu vai glikozes-galaktozes malabsorbciju. </w:t>
      </w:r>
    </w:p>
    <w:p w14:paraId="66DFC825" w14:textId="77777777" w:rsidR="002D336F" w:rsidRPr="002D41D4" w:rsidRDefault="002D336F" w:rsidP="007F2E0A">
      <w:pPr>
        <w:rPr>
          <w:rFonts w:ascii="Times New Roman" w:hAnsi="Times New Roman"/>
          <w:sz w:val="22"/>
          <w:szCs w:val="22"/>
          <w:lang w:val="lv-LV"/>
        </w:rPr>
      </w:pPr>
    </w:p>
    <w:p w14:paraId="320E102B" w14:textId="77777777" w:rsidR="002D336F" w:rsidRPr="002D41D4" w:rsidRDefault="002D336F" w:rsidP="007F2E0A">
      <w:pPr>
        <w:pStyle w:val="ListParagraph"/>
        <w:numPr>
          <w:ilvl w:val="1"/>
          <w:numId w:val="2"/>
        </w:numPr>
        <w:ind w:left="0" w:firstLine="0"/>
        <w:rPr>
          <w:rFonts w:ascii="Times New Roman" w:hAnsi="Times New Roman"/>
          <w:sz w:val="22"/>
          <w:szCs w:val="22"/>
          <w:lang w:val="lv-LV"/>
        </w:rPr>
      </w:pPr>
      <w:r w:rsidRPr="002D41D4">
        <w:rPr>
          <w:rFonts w:ascii="Times New Roman" w:hAnsi="Times New Roman"/>
          <w:b/>
          <w:sz w:val="22"/>
          <w:szCs w:val="22"/>
          <w:lang w:val="lv-LV"/>
        </w:rPr>
        <w:t>Mijiedarbība ar citām zālēm un citi mijiedarbības veidi</w:t>
      </w:r>
    </w:p>
    <w:p w14:paraId="608EFFCF" w14:textId="77777777" w:rsidR="002D336F" w:rsidRPr="002D41D4" w:rsidRDefault="002D336F" w:rsidP="007F2E0A">
      <w:pPr>
        <w:rPr>
          <w:rFonts w:ascii="Times New Roman" w:hAnsi="Times New Roman"/>
          <w:sz w:val="22"/>
          <w:szCs w:val="22"/>
          <w:lang w:val="lv-LV"/>
        </w:rPr>
      </w:pPr>
    </w:p>
    <w:p w14:paraId="68F89F42" w14:textId="77777777" w:rsidR="002D336F" w:rsidRPr="002D41D4" w:rsidRDefault="002D336F" w:rsidP="007F2E0A">
      <w:pPr>
        <w:rPr>
          <w:rFonts w:ascii="Times New Roman" w:hAnsi="Times New Roman"/>
          <w:sz w:val="22"/>
          <w:szCs w:val="22"/>
          <w:u w:val="single"/>
          <w:lang w:val="lv-LV"/>
        </w:rPr>
      </w:pPr>
      <w:r w:rsidRPr="002D41D4">
        <w:rPr>
          <w:rFonts w:ascii="Times New Roman" w:hAnsi="Times New Roman"/>
          <w:sz w:val="22"/>
          <w:szCs w:val="22"/>
          <w:u w:val="single"/>
          <w:lang w:val="lv-LV"/>
        </w:rPr>
        <w:t>Farmakodinamiskā mijiedarbība</w:t>
      </w:r>
    </w:p>
    <w:p w14:paraId="250298DF" w14:textId="77777777" w:rsidR="002D336F" w:rsidRPr="002D41D4" w:rsidRDefault="002D336F" w:rsidP="007F2E0A">
      <w:pPr>
        <w:rPr>
          <w:rFonts w:ascii="Times New Roman" w:hAnsi="Times New Roman"/>
          <w:sz w:val="22"/>
          <w:szCs w:val="22"/>
          <w:lang w:val="lv-LV"/>
        </w:rPr>
      </w:pPr>
    </w:p>
    <w:p w14:paraId="6FAF5A15" w14:textId="77777777" w:rsidR="002D336F" w:rsidRPr="002D41D4" w:rsidRDefault="002D336F" w:rsidP="007F2E0A">
      <w:pPr>
        <w:rPr>
          <w:rFonts w:ascii="Times New Roman" w:hAnsi="Times New Roman"/>
          <w:sz w:val="22"/>
          <w:szCs w:val="22"/>
          <w:lang w:val="lv-LV"/>
        </w:rPr>
      </w:pPr>
      <w:r w:rsidRPr="002D41D4">
        <w:rPr>
          <w:rFonts w:ascii="Times New Roman" w:hAnsi="Times New Roman"/>
          <w:sz w:val="22"/>
          <w:szCs w:val="22"/>
          <w:lang w:val="lv-LV"/>
        </w:rPr>
        <w:t xml:space="preserve">Minētā mijiedarbība attiecas uz </w:t>
      </w:r>
      <w:r w:rsidR="006C1D01" w:rsidRPr="002D41D4">
        <w:rPr>
          <w:rFonts w:ascii="Times New Roman" w:hAnsi="Times New Roman"/>
          <w:sz w:val="22"/>
          <w:szCs w:val="22"/>
          <w:lang w:val="lv-LV"/>
        </w:rPr>
        <w:t>bēta</w:t>
      </w:r>
      <w:r w:rsidRPr="002D41D4">
        <w:rPr>
          <w:rFonts w:ascii="Times New Roman" w:hAnsi="Times New Roman"/>
          <w:sz w:val="22"/>
          <w:szCs w:val="22"/>
          <w:lang w:val="lv-LV"/>
        </w:rPr>
        <w:t xml:space="preserve"> blokatoriem kopumā.</w:t>
      </w:r>
    </w:p>
    <w:p w14:paraId="351FC4E0" w14:textId="77777777" w:rsidR="002D336F" w:rsidRPr="002D41D4" w:rsidRDefault="002D336F" w:rsidP="007F2E0A">
      <w:pPr>
        <w:rPr>
          <w:rFonts w:ascii="Times New Roman" w:hAnsi="Times New Roman"/>
          <w:sz w:val="22"/>
          <w:szCs w:val="22"/>
          <w:lang w:val="lv-LV"/>
        </w:rPr>
      </w:pPr>
    </w:p>
    <w:p w14:paraId="1ED098EC" w14:textId="77777777" w:rsidR="002D336F" w:rsidRPr="002D41D4" w:rsidRDefault="00543D4C" w:rsidP="007F2E0A">
      <w:pPr>
        <w:rPr>
          <w:rFonts w:ascii="Times New Roman" w:hAnsi="Times New Roman"/>
          <w:sz w:val="22"/>
          <w:szCs w:val="22"/>
          <w:u w:val="single"/>
          <w:lang w:val="lv-LV"/>
        </w:rPr>
      </w:pPr>
      <w:r w:rsidRPr="002D41D4">
        <w:rPr>
          <w:rFonts w:ascii="Times New Roman" w:hAnsi="Times New Roman"/>
          <w:sz w:val="22"/>
          <w:szCs w:val="22"/>
          <w:u w:val="single"/>
          <w:lang w:val="lv-LV"/>
        </w:rPr>
        <w:t>K</w:t>
      </w:r>
      <w:r w:rsidR="002D336F" w:rsidRPr="002D41D4">
        <w:rPr>
          <w:rFonts w:ascii="Times New Roman" w:hAnsi="Times New Roman"/>
          <w:sz w:val="22"/>
          <w:szCs w:val="22"/>
          <w:u w:val="single"/>
          <w:lang w:val="lv-LV"/>
        </w:rPr>
        <w:t>ombinācijas</w:t>
      </w:r>
      <w:r w:rsidRPr="002D41D4">
        <w:rPr>
          <w:rFonts w:ascii="Times New Roman" w:hAnsi="Times New Roman"/>
          <w:sz w:val="22"/>
          <w:szCs w:val="22"/>
          <w:u w:val="single"/>
          <w:lang w:val="lv-LV"/>
        </w:rPr>
        <w:t>, kas nav ieteicamas</w:t>
      </w:r>
    </w:p>
    <w:p w14:paraId="43875D84" w14:textId="77777777" w:rsidR="002D336F" w:rsidRPr="002D41D4" w:rsidRDefault="002D336F" w:rsidP="007F2E0A">
      <w:pPr>
        <w:rPr>
          <w:rFonts w:ascii="Times New Roman" w:hAnsi="Times New Roman"/>
          <w:iCs/>
          <w:sz w:val="22"/>
          <w:szCs w:val="22"/>
          <w:lang w:val="lv-LV"/>
        </w:rPr>
      </w:pPr>
      <w:r w:rsidRPr="002D41D4">
        <w:rPr>
          <w:rFonts w:ascii="Times New Roman" w:hAnsi="Times New Roman"/>
          <w:i/>
          <w:sz w:val="22"/>
          <w:szCs w:val="22"/>
          <w:lang w:val="lv-LV"/>
        </w:rPr>
        <w:t>I klases antiaritmiskie līdzekļi (hinidīns, hidrohinidīns, cibenzolīns, flekainīds, dizopiramīds, lidokaīns, meksiletīns, propafenons):</w:t>
      </w:r>
      <w:r w:rsidRPr="002D41D4">
        <w:rPr>
          <w:rFonts w:ascii="Times New Roman" w:hAnsi="Times New Roman"/>
          <w:sz w:val="22"/>
          <w:szCs w:val="22"/>
          <w:lang w:val="lv-LV"/>
        </w:rPr>
        <w:t xml:space="preserve"> var pastiprināties to iedarbība uz atrioventrikulārās pārvades laiku, kā arī negatīvā inotropā iedarbība (skatīt </w:t>
      </w:r>
      <w:r w:rsidR="00463125" w:rsidRPr="002D41D4">
        <w:rPr>
          <w:rFonts w:ascii="Times New Roman" w:hAnsi="Times New Roman"/>
          <w:sz w:val="22"/>
          <w:szCs w:val="22"/>
          <w:lang w:val="lv-LV"/>
        </w:rPr>
        <w:t xml:space="preserve">4.4. </w:t>
      </w:r>
      <w:r w:rsidRPr="002D41D4">
        <w:rPr>
          <w:rFonts w:ascii="Times New Roman" w:hAnsi="Times New Roman"/>
          <w:sz w:val="22"/>
          <w:szCs w:val="22"/>
          <w:lang w:val="lv-LV"/>
        </w:rPr>
        <w:t>apakšpunktu).</w:t>
      </w:r>
    </w:p>
    <w:p w14:paraId="3B1B6B3E" w14:textId="77777777" w:rsidR="002D336F" w:rsidRPr="002D41D4" w:rsidRDefault="002D336F" w:rsidP="007F2E0A">
      <w:pPr>
        <w:rPr>
          <w:rFonts w:ascii="Times New Roman" w:hAnsi="Times New Roman"/>
          <w:iCs/>
          <w:sz w:val="22"/>
          <w:szCs w:val="22"/>
          <w:lang w:val="lv-LV"/>
        </w:rPr>
      </w:pPr>
    </w:p>
    <w:p w14:paraId="25EDFEA5" w14:textId="77777777" w:rsidR="002D336F" w:rsidRPr="002D41D4" w:rsidRDefault="002D336F" w:rsidP="007F2E0A">
      <w:pPr>
        <w:rPr>
          <w:rFonts w:ascii="Times New Roman" w:hAnsi="Times New Roman"/>
          <w:sz w:val="22"/>
          <w:szCs w:val="22"/>
          <w:lang w:val="lv-LV"/>
        </w:rPr>
      </w:pPr>
      <w:r w:rsidRPr="002D41D4">
        <w:rPr>
          <w:rFonts w:ascii="Times New Roman" w:hAnsi="Times New Roman"/>
          <w:i/>
          <w:sz w:val="22"/>
          <w:szCs w:val="22"/>
          <w:lang w:val="lv-LV"/>
        </w:rPr>
        <w:t xml:space="preserve">Verapamila/diltiazema tipa kalcija antagonisti: </w:t>
      </w:r>
      <w:r w:rsidRPr="002D41D4">
        <w:rPr>
          <w:rFonts w:ascii="Times New Roman" w:hAnsi="Times New Roman"/>
          <w:sz w:val="22"/>
          <w:szCs w:val="22"/>
          <w:lang w:val="lv-LV"/>
        </w:rPr>
        <w:t xml:space="preserve">negatīva ietekme uz kontraktilitāti un atrioventrikulāro vadīšanu. Intravenoza verapamila ievadīšana pacientiem, kuri tiek ārstēti ar </w:t>
      </w:r>
      <w:r w:rsidR="006C1D01" w:rsidRPr="002D41D4">
        <w:rPr>
          <w:rFonts w:ascii="Times New Roman" w:hAnsi="Times New Roman"/>
          <w:sz w:val="22"/>
          <w:szCs w:val="22"/>
          <w:lang w:val="lv-LV"/>
        </w:rPr>
        <w:t>bēta</w:t>
      </w:r>
      <w:r w:rsidRPr="002D41D4">
        <w:rPr>
          <w:rFonts w:ascii="Times New Roman" w:hAnsi="Times New Roman"/>
          <w:sz w:val="22"/>
          <w:szCs w:val="22"/>
          <w:lang w:val="lv-LV"/>
        </w:rPr>
        <w:t xml:space="preserve"> blokatoriem, var izraisīt nopietnu hipotensiju un atrioventrikulāro blokādi (skatīt </w:t>
      </w:r>
      <w:r w:rsidR="00463125" w:rsidRPr="002D41D4">
        <w:rPr>
          <w:rFonts w:ascii="Times New Roman" w:hAnsi="Times New Roman"/>
          <w:sz w:val="22"/>
          <w:szCs w:val="22"/>
          <w:lang w:val="lv-LV"/>
        </w:rPr>
        <w:t xml:space="preserve">4.4. </w:t>
      </w:r>
      <w:r w:rsidRPr="002D41D4">
        <w:rPr>
          <w:rFonts w:ascii="Times New Roman" w:hAnsi="Times New Roman"/>
          <w:sz w:val="22"/>
          <w:szCs w:val="22"/>
          <w:lang w:val="lv-LV"/>
        </w:rPr>
        <w:t>apakšpunktu).</w:t>
      </w:r>
    </w:p>
    <w:p w14:paraId="364EC09B" w14:textId="77777777" w:rsidR="002D336F" w:rsidRPr="002D41D4" w:rsidRDefault="002D336F" w:rsidP="007F2E0A">
      <w:pPr>
        <w:rPr>
          <w:rFonts w:ascii="Times New Roman" w:hAnsi="Times New Roman"/>
          <w:sz w:val="22"/>
          <w:szCs w:val="22"/>
          <w:lang w:val="lv-LV"/>
        </w:rPr>
      </w:pPr>
    </w:p>
    <w:p w14:paraId="063FCAC9" w14:textId="77777777" w:rsidR="002D336F" w:rsidRPr="002D41D4" w:rsidRDefault="002D336F" w:rsidP="007F2E0A">
      <w:pPr>
        <w:rPr>
          <w:rFonts w:ascii="Times New Roman" w:hAnsi="Times New Roman"/>
          <w:iCs/>
          <w:sz w:val="22"/>
          <w:szCs w:val="22"/>
          <w:lang w:val="lv-LV"/>
        </w:rPr>
      </w:pPr>
      <w:r w:rsidRPr="002D41D4">
        <w:rPr>
          <w:rFonts w:ascii="Times New Roman" w:hAnsi="Times New Roman"/>
          <w:i/>
          <w:iCs/>
          <w:sz w:val="22"/>
          <w:szCs w:val="22"/>
          <w:lang w:val="lv-LV"/>
        </w:rPr>
        <w:t xml:space="preserve">Centrālas darbības antihipertensīvie līdzekļi (klonidīns, guanfacīns, moksonidīns, metildopa, rilmenidīns): </w:t>
      </w:r>
      <w:r w:rsidRPr="002D41D4">
        <w:rPr>
          <w:rFonts w:ascii="Times New Roman" w:hAnsi="Times New Roman"/>
          <w:iCs/>
          <w:sz w:val="22"/>
          <w:szCs w:val="22"/>
          <w:lang w:val="lv-LV"/>
        </w:rPr>
        <w:t xml:space="preserve">vienlaicīga centrālas darbības antihipertensīvo līdzekļu lietošana var pasliktināt sirds mazspēju, samazinoties centrālajam simpātiskajam tonusam (sirdsdarbības palēnināšanās un sirds izsviedes samazināšanās, vazodilatācija) (skatīt </w:t>
      </w:r>
      <w:r w:rsidR="00463125" w:rsidRPr="002D41D4">
        <w:rPr>
          <w:rFonts w:ascii="Times New Roman" w:hAnsi="Times New Roman"/>
          <w:iCs/>
          <w:sz w:val="22"/>
          <w:szCs w:val="22"/>
          <w:lang w:val="lv-LV"/>
        </w:rPr>
        <w:t xml:space="preserve">4.4. </w:t>
      </w:r>
      <w:r w:rsidRPr="002D41D4">
        <w:rPr>
          <w:rFonts w:ascii="Times New Roman" w:hAnsi="Times New Roman"/>
          <w:iCs/>
          <w:sz w:val="22"/>
          <w:szCs w:val="22"/>
          <w:lang w:val="lv-LV"/>
        </w:rPr>
        <w:t xml:space="preserve">apakšpunktu). Pēkšņa centrālas darbības antihipertensīvo līdzekļu lietošanas pārtraukšana, īpaši pirms </w:t>
      </w:r>
      <w:r w:rsidR="006C1D01" w:rsidRPr="002D41D4">
        <w:rPr>
          <w:rFonts w:ascii="Times New Roman" w:hAnsi="Times New Roman"/>
          <w:iCs/>
          <w:sz w:val="22"/>
          <w:szCs w:val="22"/>
          <w:lang w:val="lv-LV"/>
        </w:rPr>
        <w:t>bēta</w:t>
      </w:r>
      <w:r w:rsidRPr="002D41D4">
        <w:rPr>
          <w:rFonts w:ascii="Times New Roman" w:hAnsi="Times New Roman"/>
          <w:iCs/>
          <w:sz w:val="22"/>
          <w:szCs w:val="22"/>
          <w:lang w:val="lv-LV"/>
        </w:rPr>
        <w:t xml:space="preserve"> blokatora lietošanas pārtraukšanas, var palielināt “rikošeta hipertensijas” risku.</w:t>
      </w:r>
    </w:p>
    <w:p w14:paraId="585337A4" w14:textId="77777777" w:rsidR="002D336F" w:rsidRPr="002D41D4" w:rsidRDefault="002D336F" w:rsidP="007F2E0A">
      <w:pPr>
        <w:rPr>
          <w:rFonts w:ascii="Times New Roman" w:hAnsi="Times New Roman"/>
          <w:sz w:val="22"/>
          <w:szCs w:val="22"/>
          <w:lang w:val="lv-LV"/>
        </w:rPr>
      </w:pPr>
    </w:p>
    <w:p w14:paraId="0B8A7861" w14:textId="77777777" w:rsidR="002D336F" w:rsidRPr="002D41D4" w:rsidRDefault="002D336F" w:rsidP="007F2E0A">
      <w:pPr>
        <w:rPr>
          <w:rFonts w:ascii="Times New Roman" w:hAnsi="Times New Roman"/>
          <w:iCs/>
          <w:sz w:val="22"/>
          <w:szCs w:val="22"/>
          <w:u w:val="single"/>
          <w:lang w:val="lv-LV"/>
        </w:rPr>
      </w:pPr>
      <w:r w:rsidRPr="002D41D4">
        <w:rPr>
          <w:rFonts w:ascii="Times New Roman" w:hAnsi="Times New Roman"/>
          <w:iCs/>
          <w:sz w:val="22"/>
          <w:szCs w:val="22"/>
          <w:u w:val="single"/>
          <w:lang w:val="lv-LV"/>
        </w:rPr>
        <w:t>Uzmanīgi lietojamas kombinācijas</w:t>
      </w:r>
    </w:p>
    <w:p w14:paraId="5A38E6FF" w14:textId="77777777" w:rsidR="002D336F" w:rsidRPr="002D41D4" w:rsidRDefault="002D336F" w:rsidP="007F2E0A">
      <w:pPr>
        <w:rPr>
          <w:rFonts w:ascii="Times New Roman" w:hAnsi="Times New Roman"/>
          <w:sz w:val="22"/>
          <w:szCs w:val="22"/>
          <w:lang w:val="lv-LV"/>
        </w:rPr>
      </w:pPr>
      <w:r w:rsidRPr="002D41D4">
        <w:rPr>
          <w:rFonts w:ascii="Times New Roman" w:hAnsi="Times New Roman"/>
          <w:i/>
          <w:sz w:val="22"/>
          <w:szCs w:val="22"/>
          <w:lang w:val="lv-LV"/>
        </w:rPr>
        <w:t>III klases antiaritmiskie līdzekļi (amiodarons):</w:t>
      </w:r>
      <w:r w:rsidRPr="002D41D4">
        <w:rPr>
          <w:rFonts w:ascii="Times New Roman" w:hAnsi="Times New Roman"/>
          <w:sz w:val="22"/>
          <w:szCs w:val="22"/>
          <w:lang w:val="lv-LV"/>
        </w:rPr>
        <w:t xml:space="preserve"> var palielināties ietekme uz atrioventrikulāro vadīšanas laiku.</w:t>
      </w:r>
    </w:p>
    <w:p w14:paraId="5402A299" w14:textId="77777777" w:rsidR="002D336F" w:rsidRPr="002D41D4" w:rsidRDefault="002D336F" w:rsidP="007F2E0A">
      <w:pPr>
        <w:rPr>
          <w:rFonts w:ascii="Times New Roman" w:hAnsi="Times New Roman"/>
          <w:sz w:val="22"/>
          <w:szCs w:val="22"/>
          <w:lang w:val="lv-LV"/>
        </w:rPr>
      </w:pPr>
    </w:p>
    <w:p w14:paraId="042498E2" w14:textId="77777777" w:rsidR="002D336F" w:rsidRPr="002D41D4" w:rsidRDefault="002D336F" w:rsidP="007F2E0A">
      <w:pPr>
        <w:rPr>
          <w:rFonts w:ascii="Times New Roman" w:hAnsi="Times New Roman"/>
          <w:sz w:val="22"/>
          <w:szCs w:val="22"/>
          <w:lang w:val="lv-LV"/>
        </w:rPr>
      </w:pPr>
      <w:r w:rsidRPr="002D41D4">
        <w:rPr>
          <w:rFonts w:ascii="Times New Roman" w:hAnsi="Times New Roman"/>
          <w:i/>
          <w:iCs/>
          <w:sz w:val="22"/>
          <w:szCs w:val="22"/>
          <w:lang w:val="lv-LV"/>
        </w:rPr>
        <w:t xml:space="preserve">Anestēzijas līdzekļi </w:t>
      </w:r>
      <w:r w:rsidRPr="002D41D4">
        <w:rPr>
          <w:rFonts w:ascii="Times New Roman" w:hAnsi="Times New Roman"/>
          <w:i/>
          <w:sz w:val="22"/>
          <w:szCs w:val="22"/>
          <w:lang w:val="lv-LV"/>
        </w:rPr>
        <w:t>– halogenētie ogļūdeņraži:</w:t>
      </w:r>
      <w:r w:rsidRPr="002D41D4">
        <w:rPr>
          <w:rFonts w:ascii="Times New Roman" w:hAnsi="Times New Roman"/>
          <w:sz w:val="22"/>
          <w:szCs w:val="22"/>
          <w:lang w:val="lv-LV"/>
        </w:rPr>
        <w:t xml:space="preserve"> </w:t>
      </w:r>
      <w:r w:rsidR="006C1D01" w:rsidRPr="002D41D4">
        <w:rPr>
          <w:rFonts w:ascii="Times New Roman" w:hAnsi="Times New Roman"/>
          <w:sz w:val="22"/>
          <w:szCs w:val="22"/>
          <w:lang w:val="lv-LV"/>
        </w:rPr>
        <w:t>bēta</w:t>
      </w:r>
      <w:r w:rsidRPr="002D41D4">
        <w:rPr>
          <w:rFonts w:ascii="Times New Roman" w:hAnsi="Times New Roman"/>
          <w:sz w:val="22"/>
          <w:szCs w:val="22"/>
          <w:lang w:val="lv-LV"/>
        </w:rPr>
        <w:t xml:space="preserve"> blokatoru un narkozes līdzekļu vienlaicīga lietošana var nomākt reflektoro tahikardiju un palielināt hipotensijas risku (skatīt </w:t>
      </w:r>
      <w:r w:rsidR="00463125" w:rsidRPr="002D41D4">
        <w:rPr>
          <w:rFonts w:ascii="Times New Roman" w:hAnsi="Times New Roman"/>
          <w:sz w:val="22"/>
          <w:szCs w:val="22"/>
          <w:lang w:val="lv-LV"/>
        </w:rPr>
        <w:t xml:space="preserve">4.4. </w:t>
      </w:r>
      <w:r w:rsidRPr="002D41D4">
        <w:rPr>
          <w:rFonts w:ascii="Times New Roman" w:hAnsi="Times New Roman"/>
          <w:sz w:val="22"/>
          <w:szCs w:val="22"/>
          <w:lang w:val="lv-LV"/>
        </w:rPr>
        <w:t xml:space="preserve">apakšpunktu). Vispārējs ieteikums ir pēkšņi nepārtraukt ārstēšanu ar </w:t>
      </w:r>
      <w:r w:rsidR="006C1D01" w:rsidRPr="002D41D4">
        <w:rPr>
          <w:rFonts w:ascii="Times New Roman" w:hAnsi="Times New Roman"/>
          <w:sz w:val="22"/>
          <w:szCs w:val="22"/>
          <w:lang w:val="lv-LV"/>
        </w:rPr>
        <w:t>bēta</w:t>
      </w:r>
      <w:r w:rsidRPr="002D41D4">
        <w:rPr>
          <w:rFonts w:ascii="Times New Roman" w:hAnsi="Times New Roman"/>
          <w:sz w:val="22"/>
          <w:szCs w:val="22"/>
          <w:lang w:val="lv-LV"/>
        </w:rPr>
        <w:t xml:space="preserve"> blokatoriem. Anesteziologam jāzina, ka pacients lieto Nebilet.</w:t>
      </w:r>
    </w:p>
    <w:p w14:paraId="0B09CCA7" w14:textId="77777777" w:rsidR="002D336F" w:rsidRPr="002D41D4" w:rsidRDefault="002D336F" w:rsidP="007F2E0A">
      <w:pPr>
        <w:rPr>
          <w:rFonts w:ascii="Times New Roman" w:hAnsi="Times New Roman"/>
          <w:sz w:val="22"/>
          <w:szCs w:val="22"/>
          <w:lang w:val="lv-LV"/>
        </w:rPr>
      </w:pPr>
    </w:p>
    <w:p w14:paraId="11FCDF23" w14:textId="77777777" w:rsidR="002D336F" w:rsidRPr="002D41D4" w:rsidRDefault="002D336F" w:rsidP="007F2E0A">
      <w:pPr>
        <w:rPr>
          <w:rFonts w:ascii="Times New Roman" w:hAnsi="Times New Roman"/>
          <w:sz w:val="22"/>
          <w:szCs w:val="22"/>
          <w:lang w:val="lv-LV"/>
        </w:rPr>
      </w:pPr>
      <w:r w:rsidRPr="002D41D4">
        <w:rPr>
          <w:rFonts w:ascii="Times New Roman" w:hAnsi="Times New Roman"/>
          <w:i/>
          <w:iCs/>
          <w:sz w:val="22"/>
          <w:szCs w:val="22"/>
          <w:lang w:val="lv-LV"/>
        </w:rPr>
        <w:t>Insulīns un perorālie pretdiabēta līdzekļi:</w:t>
      </w:r>
      <w:r w:rsidRPr="002D41D4">
        <w:rPr>
          <w:rFonts w:ascii="Times New Roman" w:hAnsi="Times New Roman"/>
          <w:iCs/>
          <w:sz w:val="22"/>
          <w:szCs w:val="22"/>
          <w:lang w:val="lv-LV"/>
        </w:rPr>
        <w:t xml:space="preserve"> </w:t>
      </w:r>
      <w:r w:rsidRPr="002D41D4">
        <w:rPr>
          <w:rFonts w:ascii="Times New Roman" w:hAnsi="Times New Roman"/>
          <w:sz w:val="22"/>
          <w:szCs w:val="22"/>
          <w:lang w:val="lv-LV"/>
        </w:rPr>
        <w:t>lai gan</w:t>
      </w:r>
      <w:r w:rsidRPr="002D41D4">
        <w:rPr>
          <w:rFonts w:ascii="Times New Roman" w:hAnsi="Times New Roman"/>
          <w:iCs/>
          <w:sz w:val="22"/>
          <w:szCs w:val="22"/>
          <w:lang w:val="lv-LV"/>
        </w:rPr>
        <w:t xml:space="preserve"> nebivolols </w:t>
      </w:r>
      <w:r w:rsidRPr="002D41D4">
        <w:rPr>
          <w:rFonts w:ascii="Times New Roman" w:hAnsi="Times New Roman"/>
          <w:sz w:val="22"/>
          <w:szCs w:val="22"/>
          <w:lang w:val="lv-LV"/>
        </w:rPr>
        <w:t>neietekmē glikozes līmeni asinīs, vienlaicīga lietošana var maskēt dažus hipoglikēmijas simptomus (sirdsklauves, tahikardiju).</w:t>
      </w:r>
    </w:p>
    <w:p w14:paraId="2D090B98" w14:textId="77777777" w:rsidR="002D336F" w:rsidRPr="002D41D4" w:rsidRDefault="002D336F" w:rsidP="007F2E0A">
      <w:pPr>
        <w:rPr>
          <w:rFonts w:ascii="Times New Roman" w:hAnsi="Times New Roman"/>
          <w:sz w:val="22"/>
          <w:szCs w:val="22"/>
          <w:lang w:val="lv-LV"/>
        </w:rPr>
      </w:pPr>
    </w:p>
    <w:p w14:paraId="4F0EA3CE" w14:textId="77777777" w:rsidR="00606336" w:rsidRPr="002D41D4" w:rsidRDefault="00606336" w:rsidP="007F2E0A">
      <w:pPr>
        <w:rPr>
          <w:sz w:val="22"/>
          <w:lang w:val="lv-LV"/>
        </w:rPr>
      </w:pPr>
      <w:r w:rsidRPr="002D41D4">
        <w:rPr>
          <w:i/>
          <w:sz w:val="22"/>
          <w:lang w:val="lv-LV"/>
        </w:rPr>
        <w:lastRenderedPageBreak/>
        <w:t xml:space="preserve">Baklofēns (miorelaksants) un amifostīns (papildlīdzeklis, ārstējot ar antineoplastiskiem </w:t>
      </w:r>
      <w:r w:rsidR="00977BA1" w:rsidRPr="002D41D4">
        <w:rPr>
          <w:i/>
          <w:sz w:val="22"/>
          <w:lang w:val="lv-LV"/>
        </w:rPr>
        <w:t>līdzekļiem</w:t>
      </w:r>
      <w:r w:rsidRPr="002D41D4">
        <w:rPr>
          <w:i/>
          <w:sz w:val="22"/>
          <w:lang w:val="lv-LV"/>
        </w:rPr>
        <w:t>)</w:t>
      </w:r>
      <w:r w:rsidRPr="002D41D4">
        <w:rPr>
          <w:sz w:val="22"/>
          <w:lang w:val="lv-LV"/>
        </w:rPr>
        <w:t>: lietojot vienlaikus ar antihipertensīviem līdzekļiem, iespējama pastiprināta asinsspiediena pazemināšanās, tādēļ atbilstoši jāpielāgo antihipertensīvo līdzekļu deva.</w:t>
      </w:r>
    </w:p>
    <w:p w14:paraId="7FAEEAA7" w14:textId="77777777" w:rsidR="0027152F" w:rsidRPr="002D41D4" w:rsidRDefault="0027152F" w:rsidP="007F2E0A">
      <w:pPr>
        <w:rPr>
          <w:rFonts w:ascii="Times New Roman" w:hAnsi="Times New Roman"/>
          <w:sz w:val="22"/>
          <w:szCs w:val="22"/>
          <w:lang w:val="lv-LV"/>
        </w:rPr>
      </w:pPr>
    </w:p>
    <w:p w14:paraId="746CFA2E" w14:textId="77777777" w:rsidR="002D336F" w:rsidRPr="002D41D4" w:rsidRDefault="002D336F" w:rsidP="007F2E0A">
      <w:pPr>
        <w:rPr>
          <w:rFonts w:ascii="Times New Roman" w:hAnsi="Times New Roman"/>
          <w:iCs/>
          <w:sz w:val="22"/>
          <w:szCs w:val="22"/>
          <w:u w:val="single"/>
          <w:lang w:val="lv-LV"/>
        </w:rPr>
      </w:pPr>
      <w:r w:rsidRPr="002D41D4">
        <w:rPr>
          <w:rFonts w:ascii="Times New Roman" w:hAnsi="Times New Roman"/>
          <w:iCs/>
          <w:sz w:val="22"/>
          <w:szCs w:val="22"/>
          <w:u w:val="single"/>
          <w:lang w:val="lv-LV"/>
        </w:rPr>
        <w:t>Piesardzīgi lietojamas kombinācijas</w:t>
      </w:r>
    </w:p>
    <w:p w14:paraId="13C6BE1C" w14:textId="77777777" w:rsidR="002D336F" w:rsidRPr="002D41D4" w:rsidRDefault="002D336F" w:rsidP="007F2E0A">
      <w:pPr>
        <w:rPr>
          <w:rFonts w:ascii="Times New Roman" w:hAnsi="Times New Roman"/>
          <w:sz w:val="22"/>
          <w:szCs w:val="22"/>
          <w:lang w:val="lv-LV"/>
        </w:rPr>
      </w:pPr>
      <w:r w:rsidRPr="002D41D4">
        <w:rPr>
          <w:rFonts w:ascii="Times New Roman" w:hAnsi="Times New Roman"/>
          <w:i/>
          <w:iCs/>
          <w:sz w:val="22"/>
          <w:szCs w:val="22"/>
          <w:lang w:val="lv-LV"/>
        </w:rPr>
        <w:t>Sirds glikozīdi:</w:t>
      </w:r>
      <w:r w:rsidRPr="002D41D4">
        <w:rPr>
          <w:rFonts w:ascii="Times New Roman" w:hAnsi="Times New Roman"/>
          <w:i/>
          <w:sz w:val="22"/>
          <w:szCs w:val="22"/>
          <w:lang w:val="lv-LV"/>
        </w:rPr>
        <w:t xml:space="preserve"> </w:t>
      </w:r>
      <w:r w:rsidRPr="002D41D4">
        <w:rPr>
          <w:rFonts w:ascii="Times New Roman" w:hAnsi="Times New Roman"/>
          <w:sz w:val="22"/>
          <w:szCs w:val="22"/>
          <w:lang w:val="lv-LV"/>
        </w:rPr>
        <w:t>vienlaicīga lietošana var paildzināt atrioventrikulārās pārvades laiku. Nebivolola klīniskajos pētījumos nav konstatētas klīniskas šīs mijiedarbības pazīmes. Nebivolols neietekmē digoksīna farmakokinētiku.</w:t>
      </w:r>
    </w:p>
    <w:p w14:paraId="4A77F457" w14:textId="77777777" w:rsidR="002D336F" w:rsidRPr="002D41D4" w:rsidRDefault="002D336F" w:rsidP="007F2E0A">
      <w:pPr>
        <w:rPr>
          <w:rFonts w:ascii="Times New Roman" w:hAnsi="Times New Roman"/>
          <w:sz w:val="22"/>
          <w:szCs w:val="22"/>
          <w:lang w:val="lv-LV"/>
        </w:rPr>
      </w:pPr>
    </w:p>
    <w:p w14:paraId="76E581F9" w14:textId="77777777" w:rsidR="002D336F" w:rsidRPr="002D41D4" w:rsidRDefault="002D336F" w:rsidP="007F2E0A">
      <w:pPr>
        <w:rPr>
          <w:rFonts w:ascii="Times New Roman" w:hAnsi="Times New Roman"/>
          <w:sz w:val="22"/>
          <w:szCs w:val="22"/>
          <w:lang w:val="lv-LV"/>
        </w:rPr>
      </w:pPr>
      <w:r w:rsidRPr="002D41D4">
        <w:rPr>
          <w:rFonts w:ascii="Times New Roman" w:hAnsi="Times New Roman"/>
          <w:i/>
          <w:sz w:val="22"/>
          <w:szCs w:val="22"/>
          <w:lang w:val="lv-LV"/>
        </w:rPr>
        <w:t>Dihidropiridīna tipa kalcija antagonisti (amlodipīns, felodipīns, lacidipīns, nifedipīns, nikardipīns, nimodipīns, nitrendipīns):</w:t>
      </w:r>
      <w:r w:rsidRPr="002D41D4">
        <w:rPr>
          <w:rFonts w:ascii="Times New Roman" w:hAnsi="Times New Roman"/>
          <w:sz w:val="22"/>
          <w:szCs w:val="22"/>
          <w:lang w:val="lv-LV"/>
        </w:rPr>
        <w:t xml:space="preserve"> vienlaicīga lietošana var palielināt hipotensijas risku, kā arī nevar izslēgt turpmākas miokarda funkcijas pavājināšanos pacientiem ar sirds mazspēju.</w:t>
      </w:r>
    </w:p>
    <w:p w14:paraId="5DB81B86" w14:textId="77777777" w:rsidR="002D336F" w:rsidRPr="002D41D4" w:rsidRDefault="002D336F" w:rsidP="007F2E0A">
      <w:pPr>
        <w:rPr>
          <w:rFonts w:ascii="Times New Roman" w:hAnsi="Times New Roman"/>
          <w:sz w:val="22"/>
          <w:szCs w:val="22"/>
          <w:lang w:val="lv-LV"/>
        </w:rPr>
      </w:pPr>
    </w:p>
    <w:p w14:paraId="7B04DD6F" w14:textId="77777777" w:rsidR="002D336F" w:rsidRPr="002D41D4" w:rsidRDefault="002D336F" w:rsidP="007F2E0A">
      <w:pPr>
        <w:rPr>
          <w:rFonts w:ascii="Times New Roman" w:hAnsi="Times New Roman"/>
          <w:sz w:val="22"/>
          <w:szCs w:val="22"/>
          <w:lang w:val="lv-LV"/>
        </w:rPr>
      </w:pPr>
      <w:r w:rsidRPr="002D41D4">
        <w:rPr>
          <w:rFonts w:ascii="Times New Roman" w:hAnsi="Times New Roman"/>
          <w:i/>
          <w:sz w:val="22"/>
          <w:szCs w:val="22"/>
          <w:lang w:val="lv-LV"/>
        </w:rPr>
        <w:t>Antipsihotiskie līdzekļi, antidepresanti (tricikliskie antidepresanti, barbiturāti un fenotiazīni):</w:t>
      </w:r>
      <w:r w:rsidRPr="002D41D4">
        <w:rPr>
          <w:rFonts w:ascii="Times New Roman" w:hAnsi="Times New Roman"/>
          <w:sz w:val="22"/>
          <w:szCs w:val="22"/>
          <w:lang w:val="lv-LV"/>
        </w:rPr>
        <w:t xml:space="preserve"> vienlaikus lietošana var pastiprināt </w:t>
      </w:r>
      <w:r w:rsidR="006C1D01" w:rsidRPr="002D41D4">
        <w:rPr>
          <w:rFonts w:ascii="Times New Roman" w:hAnsi="Times New Roman"/>
          <w:sz w:val="22"/>
          <w:szCs w:val="22"/>
          <w:lang w:val="lv-LV"/>
        </w:rPr>
        <w:t>bēta</w:t>
      </w:r>
      <w:r w:rsidRPr="002D41D4">
        <w:rPr>
          <w:rFonts w:ascii="Times New Roman" w:hAnsi="Times New Roman"/>
          <w:sz w:val="22"/>
          <w:szCs w:val="22"/>
          <w:lang w:val="lv-LV"/>
        </w:rPr>
        <w:t xml:space="preserve"> blokatoru hipotensīvo efektu (papildinoša iedarbība).</w:t>
      </w:r>
    </w:p>
    <w:p w14:paraId="04AFF1E6" w14:textId="77777777" w:rsidR="002D336F" w:rsidRPr="002D41D4" w:rsidRDefault="002D336F" w:rsidP="007F2E0A">
      <w:pPr>
        <w:rPr>
          <w:rFonts w:ascii="Times New Roman" w:hAnsi="Times New Roman"/>
          <w:sz w:val="22"/>
          <w:szCs w:val="22"/>
          <w:lang w:val="lv-LV"/>
        </w:rPr>
      </w:pPr>
    </w:p>
    <w:p w14:paraId="6CDFC0B8" w14:textId="77777777" w:rsidR="002D336F" w:rsidRPr="002D41D4" w:rsidRDefault="002D336F" w:rsidP="007F2E0A">
      <w:pPr>
        <w:rPr>
          <w:rFonts w:ascii="Times New Roman" w:hAnsi="Times New Roman"/>
          <w:sz w:val="22"/>
          <w:szCs w:val="22"/>
          <w:lang w:val="lv-LV"/>
        </w:rPr>
      </w:pPr>
      <w:r w:rsidRPr="002D41D4">
        <w:rPr>
          <w:rFonts w:ascii="Times New Roman" w:hAnsi="Times New Roman"/>
          <w:i/>
          <w:sz w:val="22"/>
          <w:szCs w:val="22"/>
          <w:lang w:val="lv-LV"/>
        </w:rPr>
        <w:t>Nesteroīdie pretiekaisuma līdzekļi (NPL):</w:t>
      </w:r>
      <w:r w:rsidRPr="002D41D4">
        <w:rPr>
          <w:rFonts w:ascii="Times New Roman" w:hAnsi="Times New Roman"/>
          <w:sz w:val="22"/>
          <w:szCs w:val="22"/>
          <w:lang w:val="lv-LV"/>
        </w:rPr>
        <w:t xml:space="preserve"> nav nekādas ietekmes uz n</w:t>
      </w:r>
      <w:r w:rsidRPr="002D41D4">
        <w:rPr>
          <w:rFonts w:ascii="Times New Roman" w:hAnsi="Times New Roman"/>
          <w:iCs/>
          <w:sz w:val="22"/>
          <w:szCs w:val="22"/>
          <w:lang w:val="lv-LV"/>
        </w:rPr>
        <w:t>ebivolola</w:t>
      </w:r>
      <w:r w:rsidRPr="002D41D4">
        <w:rPr>
          <w:rFonts w:ascii="Times New Roman" w:hAnsi="Times New Roman"/>
          <w:sz w:val="22"/>
          <w:szCs w:val="22"/>
          <w:lang w:val="lv-LV"/>
        </w:rPr>
        <w:t xml:space="preserve"> hipotensīvo darbību.</w:t>
      </w:r>
    </w:p>
    <w:p w14:paraId="5EF14D93" w14:textId="77777777" w:rsidR="002D336F" w:rsidRPr="002D41D4" w:rsidRDefault="002D336F" w:rsidP="007F2E0A">
      <w:pPr>
        <w:rPr>
          <w:rFonts w:ascii="Times New Roman" w:hAnsi="Times New Roman"/>
          <w:sz w:val="22"/>
          <w:szCs w:val="22"/>
          <w:lang w:val="lv-LV"/>
        </w:rPr>
      </w:pPr>
    </w:p>
    <w:p w14:paraId="6A39EE9F" w14:textId="77777777" w:rsidR="002D336F" w:rsidRPr="002D41D4" w:rsidRDefault="002D336F" w:rsidP="007F2E0A">
      <w:pPr>
        <w:rPr>
          <w:rFonts w:ascii="Times New Roman" w:hAnsi="Times New Roman"/>
          <w:sz w:val="22"/>
          <w:szCs w:val="22"/>
          <w:lang w:val="lv-LV"/>
        </w:rPr>
      </w:pPr>
      <w:r w:rsidRPr="002D41D4">
        <w:rPr>
          <w:rFonts w:ascii="Times New Roman" w:hAnsi="Times New Roman"/>
          <w:i/>
          <w:sz w:val="22"/>
          <w:szCs w:val="22"/>
          <w:lang w:val="lv-LV"/>
        </w:rPr>
        <w:t>Simpatomimētiskie līdzekļi</w:t>
      </w:r>
      <w:r w:rsidRPr="002D41D4">
        <w:rPr>
          <w:rFonts w:ascii="Times New Roman" w:hAnsi="Times New Roman"/>
          <w:sz w:val="22"/>
          <w:szCs w:val="22"/>
          <w:lang w:val="lv-LV"/>
        </w:rPr>
        <w:t xml:space="preserve"> vienlaicīgas lietošanas gadījumā var darboties pretēji </w:t>
      </w:r>
      <w:r w:rsidR="006C1D01" w:rsidRPr="002D41D4">
        <w:rPr>
          <w:rFonts w:ascii="Times New Roman" w:hAnsi="Times New Roman"/>
          <w:sz w:val="22"/>
          <w:szCs w:val="22"/>
          <w:lang w:val="lv-LV"/>
        </w:rPr>
        <w:t>bēta</w:t>
      </w:r>
      <w:r w:rsidRPr="002D41D4">
        <w:rPr>
          <w:rFonts w:ascii="Times New Roman" w:hAnsi="Times New Roman"/>
          <w:sz w:val="22"/>
          <w:szCs w:val="22"/>
          <w:lang w:val="lv-LV"/>
        </w:rPr>
        <w:t xml:space="preserve"> blokatoru darbībai. </w:t>
      </w:r>
      <w:r w:rsidR="006C1D01" w:rsidRPr="002D41D4">
        <w:rPr>
          <w:rFonts w:ascii="Times New Roman" w:hAnsi="Times New Roman"/>
          <w:sz w:val="22"/>
          <w:szCs w:val="22"/>
          <w:lang w:val="lv-LV"/>
        </w:rPr>
        <w:t>Bēta</w:t>
      </w:r>
      <w:r w:rsidRPr="002D41D4">
        <w:rPr>
          <w:rFonts w:ascii="Times New Roman" w:hAnsi="Times New Roman"/>
          <w:sz w:val="22"/>
          <w:szCs w:val="22"/>
          <w:lang w:val="lv-LV"/>
        </w:rPr>
        <w:t xml:space="preserve"> </w:t>
      </w:r>
      <w:r w:rsidR="00EB646E" w:rsidRPr="002D41D4">
        <w:rPr>
          <w:rFonts w:ascii="Times New Roman" w:hAnsi="Times New Roman"/>
          <w:sz w:val="22"/>
          <w:szCs w:val="22"/>
          <w:lang w:val="lv-LV"/>
        </w:rPr>
        <w:t>adrenerģiskie līdzekļi</w:t>
      </w:r>
      <w:r w:rsidRPr="002D41D4">
        <w:rPr>
          <w:rFonts w:ascii="Times New Roman" w:hAnsi="Times New Roman"/>
          <w:sz w:val="22"/>
          <w:szCs w:val="22"/>
          <w:lang w:val="lv-LV"/>
        </w:rPr>
        <w:t xml:space="preserve"> var nenoliedzami izraisīt simpatomimētisko līdzekļu alfa adrenerģisko darbību ar abiem - gan alfa, gan </w:t>
      </w:r>
      <w:r w:rsidR="006C1D01" w:rsidRPr="002D41D4">
        <w:rPr>
          <w:rFonts w:ascii="Times New Roman" w:hAnsi="Times New Roman"/>
          <w:sz w:val="22"/>
          <w:szCs w:val="22"/>
          <w:lang w:val="lv-LV"/>
        </w:rPr>
        <w:t>bēta</w:t>
      </w:r>
      <w:r w:rsidRPr="002D41D4">
        <w:rPr>
          <w:rFonts w:ascii="Times New Roman" w:hAnsi="Times New Roman"/>
          <w:sz w:val="22"/>
          <w:szCs w:val="22"/>
          <w:lang w:val="lv-LV"/>
        </w:rPr>
        <w:t xml:space="preserve"> adrenerģiskajiem efektiem (hipertensijas, smagas bradikardijas un sirds blokādes risks).</w:t>
      </w:r>
    </w:p>
    <w:p w14:paraId="4B842B05" w14:textId="77777777" w:rsidR="002D336F" w:rsidRPr="002D41D4" w:rsidRDefault="002D336F" w:rsidP="007F2E0A">
      <w:pPr>
        <w:rPr>
          <w:rFonts w:ascii="Times New Roman" w:hAnsi="Times New Roman"/>
          <w:sz w:val="22"/>
          <w:szCs w:val="22"/>
          <w:lang w:val="lv-LV"/>
        </w:rPr>
      </w:pPr>
    </w:p>
    <w:p w14:paraId="28732FD1" w14:textId="77777777" w:rsidR="002D336F" w:rsidRPr="002D41D4" w:rsidRDefault="002D336F" w:rsidP="007F2E0A">
      <w:pPr>
        <w:rPr>
          <w:rFonts w:ascii="Times New Roman" w:hAnsi="Times New Roman"/>
          <w:sz w:val="22"/>
          <w:szCs w:val="22"/>
          <w:u w:val="single"/>
          <w:lang w:val="lv-LV"/>
        </w:rPr>
      </w:pPr>
      <w:r w:rsidRPr="002D41D4">
        <w:rPr>
          <w:rFonts w:ascii="Times New Roman" w:hAnsi="Times New Roman"/>
          <w:sz w:val="22"/>
          <w:szCs w:val="22"/>
          <w:u w:val="single"/>
          <w:lang w:val="lv-LV"/>
        </w:rPr>
        <w:t>Farmakokinētiska mijiedarbība</w:t>
      </w:r>
    </w:p>
    <w:p w14:paraId="65FE25F6" w14:textId="77777777" w:rsidR="002D336F" w:rsidRPr="002D41D4" w:rsidRDefault="002D336F" w:rsidP="007F2E0A">
      <w:pPr>
        <w:rPr>
          <w:rFonts w:ascii="Times New Roman" w:hAnsi="Times New Roman"/>
          <w:sz w:val="22"/>
          <w:szCs w:val="22"/>
          <w:lang w:val="lv-LV"/>
        </w:rPr>
      </w:pPr>
    </w:p>
    <w:p w14:paraId="620341AE" w14:textId="77777777" w:rsidR="002D336F" w:rsidRPr="002D41D4" w:rsidRDefault="002D336F" w:rsidP="007F2E0A">
      <w:pPr>
        <w:rPr>
          <w:rFonts w:ascii="Times New Roman" w:hAnsi="Times New Roman"/>
          <w:sz w:val="22"/>
          <w:szCs w:val="22"/>
          <w:lang w:val="lv-LV"/>
        </w:rPr>
      </w:pPr>
      <w:r w:rsidRPr="002D41D4">
        <w:rPr>
          <w:rFonts w:ascii="Times New Roman" w:hAnsi="Times New Roman"/>
          <w:sz w:val="22"/>
          <w:szCs w:val="22"/>
          <w:lang w:val="lv-LV"/>
        </w:rPr>
        <w:t>Nebivolola metabolismā piedalās CYP2D6 izoenzīms, tāpēc šā enzīma inhibitoru, īpaši paroksetīna, fluoksetīna, tioridazīna un hinidīna vienlaikus lietošana var paaugstināt nebivolola līmeni plazmā, kas saistās ar palielinātu stipras bradikardijas un blakusparādību risku.</w:t>
      </w:r>
    </w:p>
    <w:p w14:paraId="31FB9EF5" w14:textId="77777777" w:rsidR="002D336F" w:rsidRPr="002D41D4" w:rsidRDefault="002D336F" w:rsidP="007F2E0A">
      <w:pPr>
        <w:rPr>
          <w:rFonts w:ascii="Times New Roman" w:hAnsi="Times New Roman"/>
          <w:sz w:val="22"/>
          <w:szCs w:val="22"/>
          <w:lang w:val="lv-LV"/>
        </w:rPr>
      </w:pPr>
    </w:p>
    <w:p w14:paraId="1D0DE251" w14:textId="77777777" w:rsidR="002D336F" w:rsidRPr="002D41D4" w:rsidRDefault="002D336F" w:rsidP="007F2E0A">
      <w:pPr>
        <w:rPr>
          <w:rFonts w:ascii="Times New Roman" w:hAnsi="Times New Roman"/>
          <w:sz w:val="22"/>
          <w:szCs w:val="22"/>
          <w:lang w:val="lv-LV"/>
        </w:rPr>
      </w:pPr>
      <w:r w:rsidRPr="002D41D4">
        <w:rPr>
          <w:rFonts w:ascii="Times New Roman" w:hAnsi="Times New Roman"/>
          <w:sz w:val="22"/>
          <w:szCs w:val="22"/>
          <w:lang w:val="lv-LV"/>
        </w:rPr>
        <w:t xml:space="preserve">Cimetidīna vienlaikus lietošana paaugstināja nebivolola līmeni plazmā, nemainot tā klīnisko iedarbību. Ranitidīna vienlaikus lietošana neietekmēja nebivolola farmakokinētiku. Ja </w:t>
      </w:r>
      <w:r w:rsidRPr="002D41D4">
        <w:rPr>
          <w:rFonts w:ascii="Times New Roman" w:hAnsi="Times New Roman"/>
          <w:iCs/>
          <w:sz w:val="22"/>
          <w:szCs w:val="22"/>
          <w:lang w:val="lv-LV"/>
        </w:rPr>
        <w:t>Nebilet</w:t>
      </w:r>
      <w:r w:rsidRPr="002D41D4">
        <w:rPr>
          <w:rFonts w:ascii="Times New Roman" w:hAnsi="Times New Roman"/>
          <w:iCs/>
          <w:sz w:val="22"/>
          <w:szCs w:val="22"/>
          <w:vertAlign w:val="superscript"/>
          <w:lang w:val="lv-LV"/>
        </w:rPr>
        <w:t xml:space="preserve"> </w:t>
      </w:r>
      <w:r w:rsidRPr="002D41D4">
        <w:rPr>
          <w:rFonts w:ascii="Times New Roman" w:hAnsi="Times New Roman"/>
          <w:sz w:val="22"/>
          <w:szCs w:val="22"/>
          <w:lang w:val="lv-LV"/>
        </w:rPr>
        <w:t xml:space="preserve">lieto ēšanas laikā un antacīdo līdzekli starp ēdienreizēm, </w:t>
      </w:r>
      <w:r w:rsidR="007C37A3" w:rsidRPr="002D41D4">
        <w:rPr>
          <w:rFonts w:ascii="Times New Roman" w:hAnsi="Times New Roman"/>
          <w:sz w:val="22"/>
          <w:szCs w:val="22"/>
          <w:lang w:val="lv-LV"/>
        </w:rPr>
        <w:t xml:space="preserve">abas zāles </w:t>
      </w:r>
      <w:r w:rsidRPr="002D41D4">
        <w:rPr>
          <w:rFonts w:ascii="Times New Roman" w:hAnsi="Times New Roman"/>
          <w:sz w:val="22"/>
          <w:szCs w:val="22"/>
          <w:lang w:val="lv-LV"/>
        </w:rPr>
        <w:t>var ordinēt vienlaikus.</w:t>
      </w:r>
    </w:p>
    <w:p w14:paraId="38AFF194" w14:textId="77777777" w:rsidR="002D336F" w:rsidRPr="002D41D4" w:rsidRDefault="002D336F" w:rsidP="007F2E0A">
      <w:pPr>
        <w:rPr>
          <w:rFonts w:ascii="Times New Roman" w:hAnsi="Times New Roman"/>
          <w:sz w:val="22"/>
          <w:szCs w:val="22"/>
          <w:lang w:val="lv-LV"/>
        </w:rPr>
      </w:pPr>
    </w:p>
    <w:p w14:paraId="50D37E6D" w14:textId="77777777" w:rsidR="002D336F" w:rsidRPr="002D41D4" w:rsidRDefault="002D336F" w:rsidP="007F2E0A">
      <w:pPr>
        <w:rPr>
          <w:rFonts w:ascii="Times New Roman" w:hAnsi="Times New Roman"/>
          <w:sz w:val="22"/>
          <w:szCs w:val="22"/>
          <w:lang w:val="lv-LV"/>
        </w:rPr>
      </w:pPr>
      <w:r w:rsidRPr="002D41D4">
        <w:rPr>
          <w:rFonts w:ascii="Times New Roman" w:hAnsi="Times New Roman"/>
          <w:sz w:val="22"/>
          <w:szCs w:val="22"/>
          <w:lang w:val="lv-LV"/>
        </w:rPr>
        <w:t>Nebivolola kombinēšana ar nikardipīnu nedaudz palielināja abu zāļu koncentrāciju plazmā, nemainot to klīnisko iedarbību. Alkohola, furosemīda vai hidrohlortiazīda un nebivolola vienlaikus lietošana neietekmēja nebivolola farmakokinētiku. Nebivolols neietekmē varfarīna farmakokinētiku un farmakodinamiku.</w:t>
      </w:r>
    </w:p>
    <w:p w14:paraId="5CA5F642" w14:textId="77777777" w:rsidR="002D336F" w:rsidRPr="002D41D4" w:rsidRDefault="002D336F" w:rsidP="007F2E0A">
      <w:pPr>
        <w:rPr>
          <w:rFonts w:ascii="Times New Roman" w:hAnsi="Times New Roman"/>
          <w:sz w:val="22"/>
          <w:szCs w:val="22"/>
          <w:lang w:val="lv-LV"/>
        </w:rPr>
      </w:pPr>
    </w:p>
    <w:p w14:paraId="65E539EF" w14:textId="77777777" w:rsidR="002D336F" w:rsidRPr="002D41D4" w:rsidRDefault="00605D5B" w:rsidP="007F2E0A">
      <w:pPr>
        <w:pStyle w:val="ListParagraph"/>
        <w:numPr>
          <w:ilvl w:val="1"/>
          <w:numId w:val="2"/>
        </w:numPr>
        <w:ind w:left="0" w:firstLine="0"/>
        <w:rPr>
          <w:rFonts w:ascii="Times New Roman" w:hAnsi="Times New Roman"/>
          <w:b/>
          <w:sz w:val="22"/>
          <w:szCs w:val="22"/>
          <w:lang w:val="lv-LV"/>
        </w:rPr>
      </w:pPr>
      <w:r w:rsidRPr="002D41D4">
        <w:rPr>
          <w:rFonts w:ascii="Times New Roman" w:hAnsi="Times New Roman"/>
          <w:b/>
          <w:sz w:val="22"/>
          <w:szCs w:val="22"/>
          <w:lang w:val="lv-LV"/>
        </w:rPr>
        <w:t>Fertilitāte, g</w:t>
      </w:r>
      <w:r w:rsidR="002D336F" w:rsidRPr="002D41D4">
        <w:rPr>
          <w:rFonts w:ascii="Times New Roman" w:hAnsi="Times New Roman"/>
          <w:b/>
          <w:sz w:val="22"/>
          <w:szCs w:val="22"/>
          <w:lang w:val="lv-LV"/>
        </w:rPr>
        <w:t xml:space="preserve">rūtniecība un </w:t>
      </w:r>
      <w:r w:rsidRPr="002D41D4">
        <w:rPr>
          <w:rFonts w:ascii="Times New Roman" w:hAnsi="Times New Roman"/>
          <w:b/>
          <w:sz w:val="22"/>
          <w:szCs w:val="22"/>
          <w:lang w:val="lv-LV"/>
        </w:rPr>
        <w:t>barošana ar krūti</w:t>
      </w:r>
    </w:p>
    <w:p w14:paraId="25EC7E9C" w14:textId="77777777" w:rsidR="002D336F" w:rsidRPr="002D41D4" w:rsidRDefault="002D336F" w:rsidP="007F2E0A">
      <w:pPr>
        <w:rPr>
          <w:rFonts w:ascii="Times New Roman" w:hAnsi="Times New Roman"/>
          <w:b/>
          <w:sz w:val="22"/>
          <w:szCs w:val="22"/>
          <w:lang w:val="lv-LV"/>
        </w:rPr>
      </w:pPr>
    </w:p>
    <w:p w14:paraId="7CC1F904" w14:textId="77777777" w:rsidR="002D336F" w:rsidRPr="002D41D4" w:rsidRDefault="00605D5B" w:rsidP="007F2E0A">
      <w:pPr>
        <w:rPr>
          <w:rFonts w:ascii="Times New Roman" w:hAnsi="Times New Roman"/>
          <w:bCs/>
          <w:iCs/>
          <w:sz w:val="22"/>
          <w:szCs w:val="22"/>
          <w:u w:val="single"/>
          <w:lang w:val="lv-LV"/>
        </w:rPr>
      </w:pPr>
      <w:r w:rsidRPr="002D41D4">
        <w:rPr>
          <w:rFonts w:ascii="Times New Roman" w:hAnsi="Times New Roman"/>
          <w:bCs/>
          <w:iCs/>
          <w:sz w:val="22"/>
          <w:szCs w:val="22"/>
          <w:u w:val="single"/>
          <w:lang w:val="lv-LV"/>
        </w:rPr>
        <w:t>Grūtniecība</w:t>
      </w:r>
    </w:p>
    <w:p w14:paraId="387B0032" w14:textId="77777777" w:rsidR="002D336F" w:rsidRPr="002D41D4" w:rsidRDefault="002D336F" w:rsidP="007F2E0A">
      <w:pPr>
        <w:rPr>
          <w:rFonts w:ascii="Times New Roman" w:hAnsi="Times New Roman"/>
          <w:sz w:val="22"/>
          <w:szCs w:val="22"/>
          <w:lang w:val="lv-LV"/>
        </w:rPr>
      </w:pPr>
      <w:r w:rsidRPr="002D41D4">
        <w:rPr>
          <w:rFonts w:ascii="Times New Roman" w:hAnsi="Times New Roman"/>
          <w:sz w:val="22"/>
          <w:szCs w:val="22"/>
          <w:lang w:val="lv-LV"/>
        </w:rPr>
        <w:t xml:space="preserve">Nebivolola farmakoloģiskā iedarbība var izraisīt kaitīgu ietekmi uz grūtniecību un/vai augli, vai jaundzimušo. </w:t>
      </w:r>
      <w:r w:rsidR="006C1D01" w:rsidRPr="002D41D4">
        <w:rPr>
          <w:rFonts w:ascii="Times New Roman" w:hAnsi="Times New Roman"/>
          <w:sz w:val="22"/>
          <w:szCs w:val="22"/>
          <w:lang w:val="lv-LV"/>
        </w:rPr>
        <w:t>Bēta</w:t>
      </w:r>
      <w:r w:rsidRPr="002D41D4">
        <w:rPr>
          <w:rFonts w:ascii="Times New Roman" w:hAnsi="Times New Roman"/>
          <w:sz w:val="22"/>
          <w:szCs w:val="22"/>
          <w:lang w:val="lv-LV"/>
        </w:rPr>
        <w:t xml:space="preserve"> adrenoreceptoru blokatori pasliktina placentas apasiņošanu, kas var izraisīt augļa augšanas aizkavēšanos, intrauterīnu augļa bojāeju, spontānu abortu vai priekšlaicīgas dzemdības. Auglim un jaundzimušajam turklāt iespējamas blakusparādības (piemēram, hipoglikēmija un bradikardija). Ja nepieciešama ārstēšana ar </w:t>
      </w:r>
      <w:r w:rsidR="006C1D01" w:rsidRPr="002D41D4">
        <w:rPr>
          <w:rFonts w:ascii="Times New Roman" w:hAnsi="Times New Roman"/>
          <w:sz w:val="22"/>
          <w:szCs w:val="22"/>
          <w:lang w:val="lv-LV"/>
        </w:rPr>
        <w:t>bēta</w:t>
      </w:r>
      <w:r w:rsidRPr="002D41D4">
        <w:rPr>
          <w:rFonts w:ascii="Times New Roman" w:hAnsi="Times New Roman"/>
          <w:sz w:val="22"/>
          <w:szCs w:val="22"/>
          <w:lang w:val="lv-LV"/>
        </w:rPr>
        <w:t xml:space="preserve"> adrenoreceptoru blokatoriem, tad jāizvēlas selektīvie </w:t>
      </w:r>
      <w:r w:rsidR="006C1D01" w:rsidRPr="002D41D4">
        <w:rPr>
          <w:rFonts w:ascii="Times New Roman" w:hAnsi="Times New Roman"/>
          <w:sz w:val="22"/>
          <w:szCs w:val="22"/>
          <w:lang w:val="lv-LV"/>
        </w:rPr>
        <w:t>bēta</w:t>
      </w:r>
      <w:r w:rsidRPr="002D41D4">
        <w:rPr>
          <w:rFonts w:ascii="Times New Roman" w:hAnsi="Times New Roman"/>
          <w:sz w:val="22"/>
          <w:szCs w:val="22"/>
          <w:lang w:val="lv-LV"/>
        </w:rPr>
        <w:t>1 adrenoreceptoru blokatori.</w:t>
      </w:r>
    </w:p>
    <w:p w14:paraId="61C34DD0" w14:textId="77777777" w:rsidR="002D336F" w:rsidRPr="002D41D4" w:rsidRDefault="002D336F" w:rsidP="007F2E0A">
      <w:pPr>
        <w:rPr>
          <w:rFonts w:ascii="Times New Roman" w:hAnsi="Times New Roman"/>
          <w:sz w:val="22"/>
          <w:szCs w:val="22"/>
          <w:lang w:val="lv-LV"/>
        </w:rPr>
      </w:pPr>
      <w:r w:rsidRPr="002D41D4">
        <w:rPr>
          <w:rFonts w:ascii="Times New Roman" w:hAnsi="Times New Roman"/>
          <w:sz w:val="22"/>
          <w:szCs w:val="22"/>
          <w:lang w:val="lv-LV"/>
        </w:rPr>
        <w:t>Nebivololu nevajadzētu lietot grūtniecības laikā, ja vien tas nav absolūti nepieciešams. Ja tomēr vajadzīga ārstēšana ar nebivololu, tās laikā jānovēro uteroplacentārā asins plūsma un augļa augšanas gaita. Jāizvēlas alternatīva ārstēšana, ja rodas kaitīga iedarbība uz grūtniecību vai augli. Jaundzimušais rūpīgi jānovēro</w:t>
      </w:r>
      <w:r w:rsidR="005130E4" w:rsidRPr="002D41D4">
        <w:rPr>
          <w:rFonts w:ascii="Times New Roman" w:hAnsi="Times New Roman"/>
          <w:sz w:val="22"/>
          <w:szCs w:val="22"/>
          <w:lang w:val="lv-LV"/>
        </w:rPr>
        <w:t>. H</w:t>
      </w:r>
      <w:r w:rsidRPr="002D41D4">
        <w:rPr>
          <w:rFonts w:ascii="Times New Roman" w:hAnsi="Times New Roman"/>
          <w:sz w:val="22"/>
          <w:szCs w:val="22"/>
          <w:lang w:val="lv-LV"/>
        </w:rPr>
        <w:t>ipoglikēmijas un bradikardijas simptomus parasti novēro pirmajās 3 dienās.</w:t>
      </w:r>
      <w:r w:rsidR="00172527" w:rsidRPr="002D41D4">
        <w:rPr>
          <w:rFonts w:ascii="Times New Roman" w:hAnsi="Times New Roman"/>
          <w:sz w:val="22"/>
          <w:szCs w:val="22"/>
          <w:lang w:val="lv-LV"/>
        </w:rPr>
        <w:t xml:space="preserve"> </w:t>
      </w:r>
    </w:p>
    <w:p w14:paraId="1C8D01A0" w14:textId="77777777" w:rsidR="002D336F" w:rsidRPr="002D41D4" w:rsidRDefault="002D336F" w:rsidP="007F2E0A">
      <w:pPr>
        <w:rPr>
          <w:rFonts w:ascii="Times New Roman" w:hAnsi="Times New Roman"/>
          <w:sz w:val="22"/>
          <w:szCs w:val="22"/>
          <w:lang w:val="lv-LV"/>
        </w:rPr>
      </w:pPr>
    </w:p>
    <w:p w14:paraId="68842187" w14:textId="77777777" w:rsidR="002D336F" w:rsidRPr="002D41D4" w:rsidRDefault="00605D5B" w:rsidP="007F2E0A">
      <w:pPr>
        <w:rPr>
          <w:rFonts w:ascii="Times New Roman" w:hAnsi="Times New Roman"/>
          <w:bCs/>
          <w:iCs/>
          <w:sz w:val="22"/>
          <w:szCs w:val="22"/>
          <w:u w:val="single"/>
          <w:lang w:val="lv-LV"/>
        </w:rPr>
      </w:pPr>
      <w:r w:rsidRPr="002D41D4">
        <w:rPr>
          <w:rFonts w:ascii="Times New Roman" w:hAnsi="Times New Roman"/>
          <w:bCs/>
          <w:iCs/>
          <w:sz w:val="22"/>
          <w:szCs w:val="22"/>
          <w:u w:val="single"/>
          <w:lang w:val="lv-LV"/>
        </w:rPr>
        <w:t>Barošana ar krūti</w:t>
      </w:r>
    </w:p>
    <w:p w14:paraId="3007200B" w14:textId="77777777" w:rsidR="002D336F" w:rsidRDefault="002D336F" w:rsidP="007F2E0A">
      <w:pPr>
        <w:rPr>
          <w:rFonts w:ascii="Times New Roman" w:hAnsi="Times New Roman"/>
          <w:sz w:val="22"/>
          <w:szCs w:val="22"/>
          <w:lang w:val="lv-LV"/>
        </w:rPr>
      </w:pPr>
      <w:r w:rsidRPr="002D41D4">
        <w:rPr>
          <w:rFonts w:ascii="Times New Roman" w:hAnsi="Times New Roman"/>
          <w:sz w:val="22"/>
          <w:szCs w:val="22"/>
          <w:lang w:val="lv-LV"/>
        </w:rPr>
        <w:t>Pētījumos ar dzīvniekiem novērots, ka nebivolols izdalās pienā. Nav zināms, vai aktīvā viela izdalās mātes pienā</w:t>
      </w:r>
      <w:r w:rsidR="00457F0F" w:rsidRPr="002D41D4">
        <w:rPr>
          <w:rFonts w:ascii="Times New Roman" w:hAnsi="Times New Roman"/>
          <w:sz w:val="22"/>
          <w:szCs w:val="22"/>
          <w:lang w:val="lv-LV"/>
        </w:rPr>
        <w:t xml:space="preserve"> cilvēkam</w:t>
      </w:r>
      <w:r w:rsidRPr="002D41D4">
        <w:rPr>
          <w:rFonts w:ascii="Times New Roman" w:hAnsi="Times New Roman"/>
          <w:sz w:val="22"/>
          <w:szCs w:val="22"/>
          <w:lang w:val="lv-LV"/>
        </w:rPr>
        <w:t xml:space="preserve">. Vairums </w:t>
      </w:r>
      <w:r w:rsidR="006C1D01" w:rsidRPr="002D41D4">
        <w:rPr>
          <w:rFonts w:ascii="Times New Roman" w:hAnsi="Times New Roman"/>
          <w:sz w:val="22"/>
          <w:szCs w:val="22"/>
          <w:lang w:val="lv-LV"/>
        </w:rPr>
        <w:t>bēta</w:t>
      </w:r>
      <w:r w:rsidRPr="002D41D4">
        <w:rPr>
          <w:rFonts w:ascii="Times New Roman" w:hAnsi="Times New Roman"/>
          <w:sz w:val="22"/>
          <w:szCs w:val="22"/>
          <w:lang w:val="lv-LV"/>
        </w:rPr>
        <w:t xml:space="preserve"> blokatoru, it īpaši </w:t>
      </w:r>
      <w:r w:rsidR="00457F0F" w:rsidRPr="002D41D4">
        <w:rPr>
          <w:rFonts w:ascii="Times New Roman" w:hAnsi="Times New Roman"/>
          <w:sz w:val="22"/>
          <w:szCs w:val="22"/>
          <w:lang w:val="lv-LV"/>
        </w:rPr>
        <w:t>zāles</w:t>
      </w:r>
      <w:r w:rsidRPr="002D41D4">
        <w:rPr>
          <w:rFonts w:ascii="Times New Roman" w:hAnsi="Times New Roman"/>
          <w:sz w:val="22"/>
          <w:szCs w:val="22"/>
          <w:lang w:val="lv-LV"/>
        </w:rPr>
        <w:t xml:space="preserve"> ar lipofīlām īpašībām, kā nebivolols un tā </w:t>
      </w:r>
      <w:r w:rsidRPr="002D41D4">
        <w:rPr>
          <w:rFonts w:ascii="Times New Roman" w:hAnsi="Times New Roman"/>
          <w:sz w:val="22"/>
          <w:szCs w:val="22"/>
          <w:lang w:val="lv-LV"/>
        </w:rPr>
        <w:lastRenderedPageBreak/>
        <w:t xml:space="preserve">aktīvie metabolīti, izdalās mātes pienā, kaut gan atšķirīgā daudzumā. </w:t>
      </w:r>
      <w:r w:rsidR="0070411A">
        <w:rPr>
          <w:rFonts w:ascii="Times New Roman" w:hAnsi="Times New Roman"/>
          <w:sz w:val="22"/>
          <w:szCs w:val="22"/>
          <w:lang w:val="lv-LV"/>
        </w:rPr>
        <w:t>Nevar izslēgt risku jaundzimušaj</w:t>
      </w:r>
      <w:r w:rsidR="004334D2">
        <w:rPr>
          <w:rFonts w:ascii="Times New Roman" w:hAnsi="Times New Roman"/>
          <w:sz w:val="22"/>
          <w:szCs w:val="22"/>
          <w:lang w:val="lv-LV"/>
        </w:rPr>
        <w:t>ie</w:t>
      </w:r>
      <w:r w:rsidR="0070411A">
        <w:rPr>
          <w:rFonts w:ascii="Times New Roman" w:hAnsi="Times New Roman"/>
          <w:sz w:val="22"/>
          <w:szCs w:val="22"/>
          <w:lang w:val="lv-LV"/>
        </w:rPr>
        <w:t>m/z</w:t>
      </w:r>
      <w:r w:rsidR="004334D2">
        <w:rPr>
          <w:rFonts w:ascii="Times New Roman" w:hAnsi="Times New Roman"/>
          <w:sz w:val="22"/>
          <w:szCs w:val="22"/>
          <w:lang w:val="lv-LV"/>
        </w:rPr>
        <w:t>īdaiņie</w:t>
      </w:r>
      <w:r w:rsidR="0070411A">
        <w:rPr>
          <w:rFonts w:ascii="Times New Roman" w:hAnsi="Times New Roman"/>
          <w:sz w:val="22"/>
          <w:szCs w:val="22"/>
          <w:lang w:val="lv-LV"/>
        </w:rPr>
        <w:t xml:space="preserve">m. </w:t>
      </w:r>
      <w:r w:rsidRPr="002D41D4">
        <w:rPr>
          <w:rFonts w:ascii="Times New Roman" w:hAnsi="Times New Roman"/>
          <w:sz w:val="22"/>
          <w:szCs w:val="22"/>
          <w:lang w:val="lv-LV"/>
        </w:rPr>
        <w:t>Tādēļ</w:t>
      </w:r>
      <w:r w:rsidR="0070411A">
        <w:rPr>
          <w:rFonts w:ascii="Times New Roman" w:hAnsi="Times New Roman"/>
          <w:sz w:val="22"/>
          <w:szCs w:val="22"/>
          <w:lang w:val="lv-LV"/>
        </w:rPr>
        <w:t xml:space="preserve"> mātes, kas lieto nebivololu, nedrīkst</w:t>
      </w:r>
      <w:r w:rsidRPr="002D41D4">
        <w:rPr>
          <w:rFonts w:ascii="Times New Roman" w:hAnsi="Times New Roman"/>
          <w:sz w:val="22"/>
          <w:szCs w:val="22"/>
          <w:lang w:val="lv-LV"/>
        </w:rPr>
        <w:t xml:space="preserve"> barot bērnu ar krūti.</w:t>
      </w:r>
    </w:p>
    <w:p w14:paraId="1C652455" w14:textId="77777777" w:rsidR="00A53F5E" w:rsidRDefault="00A53F5E" w:rsidP="007F2E0A">
      <w:pPr>
        <w:rPr>
          <w:rFonts w:ascii="Times New Roman" w:hAnsi="Times New Roman"/>
          <w:sz w:val="22"/>
          <w:szCs w:val="22"/>
          <w:lang w:val="lv-LV"/>
        </w:rPr>
      </w:pPr>
    </w:p>
    <w:p w14:paraId="6F2F9EA7" w14:textId="77777777" w:rsidR="00A53F5E" w:rsidRPr="00A53F5E" w:rsidRDefault="00A53F5E" w:rsidP="007F2E0A">
      <w:pPr>
        <w:rPr>
          <w:rFonts w:ascii="Times New Roman" w:hAnsi="Times New Roman"/>
          <w:sz w:val="22"/>
          <w:szCs w:val="22"/>
          <w:u w:val="single"/>
          <w:lang w:val="lv-LV"/>
        </w:rPr>
      </w:pPr>
      <w:r w:rsidRPr="00A53F5E">
        <w:rPr>
          <w:rFonts w:ascii="Times New Roman" w:hAnsi="Times New Roman"/>
          <w:sz w:val="22"/>
          <w:szCs w:val="22"/>
          <w:u w:val="single"/>
          <w:lang w:val="lv-LV"/>
        </w:rPr>
        <w:t>Fertilit</w:t>
      </w:r>
      <w:r w:rsidRPr="00A53F5E">
        <w:rPr>
          <w:rFonts w:ascii="Times New Roman" w:hAnsi="Times New Roman" w:hint="eastAsia"/>
          <w:sz w:val="22"/>
          <w:szCs w:val="22"/>
          <w:u w:val="single"/>
          <w:lang w:val="lv-LV"/>
        </w:rPr>
        <w:t>ā</w:t>
      </w:r>
      <w:r w:rsidRPr="00A53F5E">
        <w:rPr>
          <w:rFonts w:ascii="Times New Roman" w:hAnsi="Times New Roman"/>
          <w:sz w:val="22"/>
          <w:szCs w:val="22"/>
          <w:u w:val="single"/>
          <w:lang w:val="lv-LV"/>
        </w:rPr>
        <w:t>te</w:t>
      </w:r>
    </w:p>
    <w:p w14:paraId="10E65B57" w14:textId="77777777" w:rsidR="00FB56EA" w:rsidRPr="002D41D4" w:rsidRDefault="00C45685" w:rsidP="007F2E0A">
      <w:pPr>
        <w:rPr>
          <w:rFonts w:ascii="Times New Roman" w:hAnsi="Times New Roman"/>
          <w:sz w:val="22"/>
          <w:szCs w:val="22"/>
          <w:lang w:val="lv-LV"/>
        </w:rPr>
      </w:pPr>
      <w:r>
        <w:rPr>
          <w:rFonts w:ascii="Times New Roman" w:hAnsi="Times New Roman"/>
          <w:sz w:val="22"/>
          <w:szCs w:val="22"/>
          <w:lang w:val="lv-LV"/>
        </w:rPr>
        <w:t xml:space="preserve">Nebivolols neietekmēja žurku fertilitāti, izņemot devas, kas </w:t>
      </w:r>
      <w:r w:rsidR="003E3854">
        <w:rPr>
          <w:rFonts w:ascii="Times New Roman" w:hAnsi="Times New Roman"/>
          <w:sz w:val="22"/>
          <w:szCs w:val="22"/>
          <w:lang w:val="lv-LV"/>
        </w:rPr>
        <w:t>vairākas reizes</w:t>
      </w:r>
      <w:r>
        <w:rPr>
          <w:rFonts w:ascii="Times New Roman" w:hAnsi="Times New Roman"/>
          <w:sz w:val="22"/>
          <w:szCs w:val="22"/>
          <w:lang w:val="pt-PT"/>
        </w:rPr>
        <w:t xml:space="preserve"> pārsniedza maksimālo cilvēkam ieteicamo devu, kad tika novērotas nevēlamas blakusparādības žurku un peļu tēviņu un mātīšu reproduktīvajos orgānos. </w:t>
      </w:r>
      <w:r w:rsidR="00FB56EA">
        <w:rPr>
          <w:rFonts w:ascii="Times New Roman" w:hAnsi="Times New Roman"/>
          <w:sz w:val="22"/>
          <w:szCs w:val="22"/>
          <w:lang w:val="lv-LV"/>
        </w:rPr>
        <w:t>Nebivolola ietekme uz cilvēka fertilitāti nav zināma.</w:t>
      </w:r>
    </w:p>
    <w:p w14:paraId="704AD705" w14:textId="77777777" w:rsidR="002D336F" w:rsidRPr="002D41D4" w:rsidRDefault="002D336F" w:rsidP="007F2E0A">
      <w:pPr>
        <w:rPr>
          <w:rFonts w:ascii="Times New Roman" w:hAnsi="Times New Roman"/>
          <w:sz w:val="22"/>
          <w:szCs w:val="22"/>
          <w:lang w:val="lv-LV"/>
        </w:rPr>
      </w:pPr>
    </w:p>
    <w:p w14:paraId="0227C06C" w14:textId="77777777" w:rsidR="002D336F" w:rsidRPr="002D41D4" w:rsidRDefault="002D336F" w:rsidP="007F2E0A">
      <w:pPr>
        <w:pStyle w:val="ListParagraph"/>
        <w:numPr>
          <w:ilvl w:val="1"/>
          <w:numId w:val="2"/>
        </w:numPr>
        <w:ind w:left="0" w:firstLine="0"/>
        <w:rPr>
          <w:rFonts w:ascii="Times New Roman" w:hAnsi="Times New Roman"/>
          <w:sz w:val="22"/>
          <w:szCs w:val="22"/>
          <w:lang w:val="lv-LV"/>
        </w:rPr>
      </w:pPr>
      <w:r w:rsidRPr="002D41D4">
        <w:rPr>
          <w:rFonts w:ascii="Times New Roman" w:hAnsi="Times New Roman"/>
          <w:b/>
          <w:sz w:val="22"/>
          <w:szCs w:val="22"/>
          <w:lang w:val="lv-LV"/>
        </w:rPr>
        <w:t>Ietekme uz spēju vadīt transportlīdzekļus un apkalpot mehānismus</w:t>
      </w:r>
    </w:p>
    <w:p w14:paraId="4A0DAE66" w14:textId="77777777" w:rsidR="002D336F" w:rsidRPr="002D41D4" w:rsidRDefault="002D336F" w:rsidP="007F2E0A">
      <w:pPr>
        <w:rPr>
          <w:rFonts w:ascii="Times New Roman" w:hAnsi="Times New Roman"/>
          <w:sz w:val="22"/>
          <w:szCs w:val="22"/>
          <w:lang w:val="lv-LV"/>
        </w:rPr>
      </w:pPr>
    </w:p>
    <w:p w14:paraId="09E85D9F" w14:textId="77777777" w:rsidR="002D336F" w:rsidRPr="002D41D4" w:rsidRDefault="002D336F" w:rsidP="007F2E0A">
      <w:pPr>
        <w:rPr>
          <w:rFonts w:ascii="Times New Roman" w:hAnsi="Times New Roman"/>
          <w:sz w:val="22"/>
          <w:szCs w:val="22"/>
          <w:lang w:val="lv-LV"/>
        </w:rPr>
      </w:pPr>
      <w:r w:rsidRPr="002D41D4">
        <w:rPr>
          <w:rFonts w:ascii="Times New Roman" w:hAnsi="Times New Roman"/>
          <w:sz w:val="22"/>
          <w:szCs w:val="22"/>
          <w:lang w:val="lv-LV"/>
        </w:rPr>
        <w:t xml:space="preserve">Par </w:t>
      </w:r>
      <w:r w:rsidRPr="002D41D4">
        <w:rPr>
          <w:rFonts w:ascii="Times New Roman" w:hAnsi="Times New Roman"/>
          <w:iCs/>
          <w:sz w:val="22"/>
          <w:szCs w:val="22"/>
          <w:lang w:val="lv-LV"/>
        </w:rPr>
        <w:t xml:space="preserve">Nebilet </w:t>
      </w:r>
      <w:r w:rsidRPr="002D41D4">
        <w:rPr>
          <w:rFonts w:ascii="Times New Roman" w:hAnsi="Times New Roman"/>
          <w:sz w:val="22"/>
          <w:szCs w:val="22"/>
          <w:lang w:val="lv-LV"/>
        </w:rPr>
        <w:t xml:space="preserve">ietekmi uz spēju vadīt transportlīdzekļus un apkalpot mehānismus nav veikti pētījumi. Farmakodinamikas pētījumi liecina, ka </w:t>
      </w:r>
      <w:r w:rsidRPr="002D41D4">
        <w:rPr>
          <w:rFonts w:ascii="Times New Roman" w:hAnsi="Times New Roman"/>
          <w:iCs/>
          <w:sz w:val="22"/>
          <w:szCs w:val="22"/>
          <w:lang w:val="lv-LV"/>
        </w:rPr>
        <w:t xml:space="preserve">Nebilet </w:t>
      </w:r>
      <w:r w:rsidRPr="002D41D4">
        <w:rPr>
          <w:rFonts w:ascii="Times New Roman" w:hAnsi="Times New Roman"/>
          <w:sz w:val="22"/>
          <w:szCs w:val="22"/>
          <w:lang w:val="lv-LV"/>
        </w:rPr>
        <w:t>neietekmē psihomotoro funkciju. Vadot transportlīdzekļus vai apkalpojot mehānismus, jāatceras, ka atsevišķos gadījumos iespējams reibonis un nogurums.</w:t>
      </w:r>
    </w:p>
    <w:p w14:paraId="325C49B8" w14:textId="77777777" w:rsidR="002D336F" w:rsidRPr="002D41D4" w:rsidRDefault="002D336F" w:rsidP="007F2E0A">
      <w:pPr>
        <w:rPr>
          <w:rFonts w:ascii="Times New Roman" w:hAnsi="Times New Roman"/>
          <w:b/>
          <w:sz w:val="22"/>
          <w:szCs w:val="22"/>
          <w:lang w:val="lv-LV"/>
        </w:rPr>
      </w:pPr>
    </w:p>
    <w:p w14:paraId="1984F116" w14:textId="77777777" w:rsidR="002D336F" w:rsidRPr="002D41D4" w:rsidRDefault="002D336F" w:rsidP="007F2E0A">
      <w:pPr>
        <w:pStyle w:val="ListParagraph"/>
        <w:numPr>
          <w:ilvl w:val="1"/>
          <w:numId w:val="2"/>
        </w:numPr>
        <w:ind w:left="0" w:firstLine="0"/>
        <w:rPr>
          <w:rFonts w:ascii="Times New Roman" w:hAnsi="Times New Roman"/>
          <w:sz w:val="22"/>
          <w:szCs w:val="22"/>
          <w:lang w:val="lv-LV"/>
        </w:rPr>
      </w:pPr>
      <w:r w:rsidRPr="002D41D4">
        <w:rPr>
          <w:rFonts w:ascii="Times New Roman" w:hAnsi="Times New Roman"/>
          <w:b/>
          <w:sz w:val="22"/>
          <w:szCs w:val="22"/>
          <w:lang w:val="lv-LV"/>
        </w:rPr>
        <w:t>Nevēlamās blakusparādības</w:t>
      </w:r>
    </w:p>
    <w:p w14:paraId="1C219948" w14:textId="77777777" w:rsidR="002D336F" w:rsidRPr="002D41D4" w:rsidRDefault="002D336F" w:rsidP="007F2E0A">
      <w:pPr>
        <w:rPr>
          <w:rFonts w:ascii="Times New Roman" w:hAnsi="Times New Roman"/>
          <w:sz w:val="22"/>
          <w:szCs w:val="22"/>
          <w:lang w:val="lv-LV"/>
        </w:rPr>
      </w:pPr>
    </w:p>
    <w:p w14:paraId="50023326" w14:textId="77777777" w:rsidR="002D336F" w:rsidRPr="002D41D4" w:rsidRDefault="002D336F" w:rsidP="007F2E0A">
      <w:pPr>
        <w:rPr>
          <w:rFonts w:ascii="Times New Roman" w:hAnsi="Times New Roman"/>
          <w:sz w:val="22"/>
          <w:szCs w:val="22"/>
          <w:lang w:val="lv-LV"/>
        </w:rPr>
      </w:pPr>
      <w:r w:rsidRPr="002D41D4">
        <w:rPr>
          <w:rFonts w:ascii="Times New Roman" w:hAnsi="Times New Roman"/>
          <w:sz w:val="22"/>
          <w:szCs w:val="22"/>
          <w:lang w:val="lv-LV"/>
        </w:rPr>
        <w:t>Ārstējamo slimību atšķirību dēļ blakusparādības hipertensijas un HSM gadījumā norādītas atsevišķi.</w:t>
      </w:r>
    </w:p>
    <w:p w14:paraId="7F712A64" w14:textId="77777777" w:rsidR="002D336F" w:rsidRPr="002D41D4" w:rsidRDefault="002D336F" w:rsidP="007F2E0A">
      <w:pPr>
        <w:rPr>
          <w:rFonts w:ascii="Times New Roman" w:hAnsi="Times New Roman"/>
          <w:sz w:val="22"/>
          <w:szCs w:val="22"/>
          <w:lang w:val="lv-LV"/>
        </w:rPr>
      </w:pPr>
    </w:p>
    <w:p w14:paraId="33744C9E" w14:textId="77777777" w:rsidR="002D336F" w:rsidRPr="002D41D4" w:rsidRDefault="002D336F" w:rsidP="007F2E0A">
      <w:pPr>
        <w:rPr>
          <w:rFonts w:ascii="Times New Roman" w:hAnsi="Times New Roman"/>
          <w:iCs/>
          <w:sz w:val="22"/>
          <w:szCs w:val="22"/>
          <w:u w:val="single"/>
          <w:lang w:val="lv-LV"/>
        </w:rPr>
      </w:pPr>
      <w:r w:rsidRPr="002D41D4">
        <w:rPr>
          <w:rFonts w:ascii="Times New Roman" w:hAnsi="Times New Roman"/>
          <w:iCs/>
          <w:sz w:val="22"/>
          <w:szCs w:val="22"/>
          <w:u w:val="single"/>
          <w:lang w:val="lv-LV"/>
        </w:rPr>
        <w:t>Hipertensija</w:t>
      </w:r>
    </w:p>
    <w:p w14:paraId="0FAC20D8" w14:textId="77777777" w:rsidR="002D336F" w:rsidRPr="002D41D4" w:rsidRDefault="002D336F" w:rsidP="007F2E0A">
      <w:pPr>
        <w:rPr>
          <w:rFonts w:ascii="Times New Roman" w:hAnsi="Times New Roman"/>
          <w:sz w:val="22"/>
          <w:szCs w:val="22"/>
          <w:lang w:val="lv-LV"/>
        </w:rPr>
      </w:pPr>
      <w:r w:rsidRPr="002D41D4">
        <w:rPr>
          <w:rFonts w:ascii="Times New Roman" w:hAnsi="Times New Roman"/>
          <w:sz w:val="22"/>
          <w:szCs w:val="22"/>
          <w:lang w:val="lv-LV"/>
        </w:rPr>
        <w:t>Tabulā norādītas novērotās blakusparādības (vairumā gadījumu vieglas vai vidēji smagas), sadalot tās pa orgānu sistēmām un sastopamības biežuma.</w:t>
      </w:r>
    </w:p>
    <w:p w14:paraId="5974B0F8" w14:textId="77777777" w:rsidR="002D336F" w:rsidRPr="002D41D4" w:rsidRDefault="002D336F" w:rsidP="007F2E0A">
      <w:pPr>
        <w:rPr>
          <w:rFonts w:ascii="Times New Roman" w:hAnsi="Times New Roman"/>
          <w:sz w:val="22"/>
          <w:szCs w:val="22"/>
          <w:lang w:val="lv-LV"/>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842"/>
        <w:gridCol w:w="1702"/>
        <w:gridCol w:w="1701"/>
        <w:gridCol w:w="1842"/>
      </w:tblGrid>
      <w:tr w:rsidR="002D336F" w:rsidRPr="002D41D4" w14:paraId="14FD3240" w14:textId="77777777" w:rsidTr="00002D45">
        <w:tc>
          <w:tcPr>
            <w:tcW w:w="1526" w:type="dxa"/>
            <w:vAlign w:val="center"/>
          </w:tcPr>
          <w:p w14:paraId="6CB60444" w14:textId="77777777" w:rsidR="002D336F" w:rsidRPr="002D41D4" w:rsidRDefault="002D336F" w:rsidP="007F2E0A">
            <w:pPr>
              <w:rPr>
                <w:rFonts w:ascii="Times New Roman" w:hAnsi="Times New Roman"/>
                <w:bCs/>
                <w:szCs w:val="22"/>
                <w:lang w:val="lv-LV"/>
              </w:rPr>
            </w:pPr>
            <w:r w:rsidRPr="002D41D4">
              <w:rPr>
                <w:rFonts w:ascii="Times New Roman" w:hAnsi="Times New Roman"/>
                <w:bCs/>
                <w:sz w:val="22"/>
                <w:szCs w:val="22"/>
                <w:lang w:val="lv-LV"/>
              </w:rPr>
              <w:t>ORGĀNU SISTĒMA</w:t>
            </w:r>
          </w:p>
        </w:tc>
        <w:tc>
          <w:tcPr>
            <w:tcW w:w="1842" w:type="dxa"/>
            <w:vAlign w:val="center"/>
          </w:tcPr>
          <w:p w14:paraId="1DCE8D4E" w14:textId="77777777" w:rsidR="002D336F" w:rsidRPr="002D41D4" w:rsidRDefault="002D336F" w:rsidP="007F2E0A">
            <w:pPr>
              <w:rPr>
                <w:rFonts w:ascii="Times New Roman" w:hAnsi="Times New Roman"/>
                <w:bCs/>
                <w:szCs w:val="22"/>
                <w:lang w:val="lv-LV"/>
              </w:rPr>
            </w:pPr>
            <w:r w:rsidRPr="002D41D4">
              <w:rPr>
                <w:rFonts w:ascii="Times New Roman" w:hAnsi="Times New Roman"/>
                <w:bCs/>
                <w:sz w:val="22"/>
                <w:szCs w:val="22"/>
                <w:lang w:val="lv-LV"/>
              </w:rPr>
              <w:t>Bieži sastopamas blakusparādības</w:t>
            </w:r>
          </w:p>
          <w:p w14:paraId="180FB2B2" w14:textId="77777777" w:rsidR="002D336F" w:rsidRPr="002D41D4" w:rsidRDefault="002D336F" w:rsidP="007F2E0A">
            <w:pPr>
              <w:rPr>
                <w:rFonts w:ascii="Times New Roman" w:hAnsi="Times New Roman"/>
                <w:bCs/>
                <w:szCs w:val="22"/>
                <w:lang w:val="lv-LV"/>
              </w:rPr>
            </w:pPr>
            <w:r w:rsidRPr="002D41D4">
              <w:rPr>
                <w:rFonts w:ascii="Times New Roman" w:hAnsi="Times New Roman"/>
                <w:bCs/>
                <w:sz w:val="22"/>
                <w:szCs w:val="22"/>
                <w:lang w:val="lv-LV"/>
              </w:rPr>
              <w:t>(</w:t>
            </w:r>
            <w:r w:rsidR="00FE6DF2" w:rsidRPr="002D41D4">
              <w:rPr>
                <w:rFonts w:ascii="Times New Roman" w:hAnsi="Times New Roman"/>
                <w:bCs/>
                <w:sz w:val="22"/>
                <w:szCs w:val="22"/>
                <w:lang w:val="lv-LV"/>
              </w:rPr>
              <w:t>≥</w:t>
            </w:r>
            <w:r w:rsidRPr="002D41D4">
              <w:rPr>
                <w:rFonts w:ascii="Times New Roman" w:hAnsi="Times New Roman"/>
                <w:bCs/>
                <w:sz w:val="22"/>
                <w:szCs w:val="22"/>
                <w:lang w:val="lv-LV"/>
              </w:rPr>
              <w:t>1/100 līdz &lt;1/10)</w:t>
            </w:r>
          </w:p>
        </w:tc>
        <w:tc>
          <w:tcPr>
            <w:tcW w:w="1702" w:type="dxa"/>
            <w:vAlign w:val="center"/>
          </w:tcPr>
          <w:p w14:paraId="2D470379" w14:textId="77777777" w:rsidR="002D336F" w:rsidRPr="002D41D4" w:rsidRDefault="002D336F" w:rsidP="007F2E0A">
            <w:pPr>
              <w:rPr>
                <w:rFonts w:ascii="Times New Roman" w:hAnsi="Times New Roman"/>
                <w:bCs/>
                <w:szCs w:val="22"/>
                <w:lang w:val="lv-LV"/>
              </w:rPr>
            </w:pPr>
            <w:r w:rsidRPr="002D41D4">
              <w:rPr>
                <w:rFonts w:ascii="Times New Roman" w:hAnsi="Times New Roman"/>
                <w:bCs/>
                <w:sz w:val="22"/>
                <w:szCs w:val="22"/>
                <w:lang w:val="lv-LV"/>
              </w:rPr>
              <w:t>Retāk sastopamas blakusparādības</w:t>
            </w:r>
          </w:p>
          <w:p w14:paraId="185D0443" w14:textId="77777777" w:rsidR="002D336F" w:rsidRPr="002D41D4" w:rsidRDefault="002D336F" w:rsidP="007F2E0A">
            <w:pPr>
              <w:rPr>
                <w:rFonts w:ascii="Times New Roman" w:hAnsi="Times New Roman"/>
                <w:bCs/>
                <w:szCs w:val="22"/>
                <w:lang w:val="lv-LV"/>
              </w:rPr>
            </w:pPr>
            <w:r w:rsidRPr="002D41D4">
              <w:rPr>
                <w:rFonts w:ascii="Times New Roman" w:hAnsi="Times New Roman"/>
                <w:bCs/>
                <w:sz w:val="22"/>
                <w:szCs w:val="22"/>
                <w:lang w:val="lv-LV"/>
              </w:rPr>
              <w:t>(</w:t>
            </w:r>
            <w:r w:rsidR="00FE6DF2" w:rsidRPr="002D41D4">
              <w:rPr>
                <w:rFonts w:ascii="Times New Roman" w:hAnsi="Times New Roman"/>
                <w:bCs/>
                <w:sz w:val="22"/>
                <w:szCs w:val="22"/>
                <w:lang w:val="lv-LV"/>
              </w:rPr>
              <w:t>≥</w:t>
            </w:r>
            <w:r w:rsidRPr="002D41D4">
              <w:rPr>
                <w:rFonts w:ascii="Times New Roman" w:hAnsi="Times New Roman"/>
                <w:bCs/>
                <w:sz w:val="22"/>
                <w:szCs w:val="22"/>
                <w:lang w:val="lv-LV"/>
              </w:rPr>
              <w:t xml:space="preserve">1/1000 līdz </w:t>
            </w:r>
            <w:r w:rsidRPr="002D41D4">
              <w:rPr>
                <w:rFonts w:ascii="Times New Roman" w:hAnsi="Times New Roman"/>
                <w:bCs/>
                <w:sz w:val="22"/>
                <w:szCs w:val="22"/>
                <w:u w:val="single"/>
                <w:lang w:val="lv-LV"/>
              </w:rPr>
              <w:t>&lt;</w:t>
            </w:r>
            <w:r w:rsidRPr="002D41D4">
              <w:rPr>
                <w:rFonts w:ascii="Times New Roman" w:hAnsi="Times New Roman"/>
                <w:bCs/>
                <w:sz w:val="22"/>
                <w:szCs w:val="22"/>
                <w:lang w:val="lv-LV"/>
              </w:rPr>
              <w:t>1/100)</w:t>
            </w:r>
          </w:p>
        </w:tc>
        <w:tc>
          <w:tcPr>
            <w:tcW w:w="1701" w:type="dxa"/>
            <w:vAlign w:val="center"/>
          </w:tcPr>
          <w:p w14:paraId="437946DF" w14:textId="77777777" w:rsidR="002D336F" w:rsidRPr="002D41D4" w:rsidRDefault="002D336F" w:rsidP="007F2E0A">
            <w:pPr>
              <w:rPr>
                <w:rFonts w:ascii="Times New Roman" w:hAnsi="Times New Roman"/>
                <w:bCs/>
                <w:szCs w:val="22"/>
                <w:lang w:val="lv-LV"/>
              </w:rPr>
            </w:pPr>
            <w:r w:rsidRPr="002D41D4">
              <w:rPr>
                <w:rFonts w:ascii="Times New Roman" w:hAnsi="Times New Roman"/>
                <w:bCs/>
                <w:sz w:val="22"/>
                <w:szCs w:val="22"/>
                <w:lang w:val="lv-LV"/>
              </w:rPr>
              <w:t>Ļoti reti sastopamas blakusparādības (</w:t>
            </w:r>
            <w:r w:rsidR="00FE6DF2" w:rsidRPr="002D41D4">
              <w:rPr>
                <w:rFonts w:ascii="Times New Roman" w:hAnsi="Times New Roman"/>
                <w:bCs/>
                <w:sz w:val="22"/>
                <w:szCs w:val="22"/>
                <w:lang w:val="lv-LV"/>
              </w:rPr>
              <w:t>&lt;</w:t>
            </w:r>
            <w:r w:rsidRPr="002D41D4">
              <w:rPr>
                <w:rFonts w:ascii="Times New Roman" w:hAnsi="Times New Roman"/>
                <w:bCs/>
                <w:sz w:val="22"/>
                <w:szCs w:val="22"/>
                <w:lang w:val="lv-LV"/>
              </w:rPr>
              <w:t>1/10000)</w:t>
            </w:r>
          </w:p>
        </w:tc>
        <w:tc>
          <w:tcPr>
            <w:tcW w:w="1842" w:type="dxa"/>
            <w:vAlign w:val="center"/>
          </w:tcPr>
          <w:p w14:paraId="1EA0AC42" w14:textId="77777777" w:rsidR="002D336F" w:rsidRPr="002D41D4" w:rsidRDefault="002D336F" w:rsidP="007F2E0A">
            <w:pPr>
              <w:rPr>
                <w:rFonts w:ascii="Times New Roman" w:hAnsi="Times New Roman"/>
                <w:bCs/>
                <w:szCs w:val="22"/>
                <w:lang w:val="lv-LV"/>
              </w:rPr>
            </w:pPr>
            <w:r w:rsidRPr="002D41D4">
              <w:rPr>
                <w:rFonts w:ascii="Times New Roman" w:hAnsi="Times New Roman"/>
                <w:bCs/>
                <w:sz w:val="22"/>
                <w:szCs w:val="22"/>
                <w:lang w:val="lv-LV"/>
              </w:rPr>
              <w:t>Biežums nav zināms</w:t>
            </w:r>
          </w:p>
        </w:tc>
      </w:tr>
      <w:tr w:rsidR="002D336F" w:rsidRPr="002D41D4" w14:paraId="6C3317F2" w14:textId="77777777" w:rsidTr="00002D45">
        <w:tc>
          <w:tcPr>
            <w:tcW w:w="1526" w:type="dxa"/>
            <w:vAlign w:val="center"/>
          </w:tcPr>
          <w:p w14:paraId="507D85A9" w14:textId="77777777" w:rsidR="002D336F" w:rsidRPr="002D41D4" w:rsidRDefault="002D336F" w:rsidP="007F2E0A">
            <w:pPr>
              <w:rPr>
                <w:rFonts w:ascii="Times New Roman" w:hAnsi="Times New Roman"/>
                <w:szCs w:val="22"/>
                <w:lang w:val="lv-LV"/>
              </w:rPr>
            </w:pPr>
            <w:r w:rsidRPr="002D41D4">
              <w:rPr>
                <w:rFonts w:ascii="Times New Roman" w:hAnsi="Times New Roman"/>
                <w:sz w:val="22"/>
                <w:szCs w:val="22"/>
                <w:lang w:val="lv-LV"/>
              </w:rPr>
              <w:t>Imūnās sistēmas traucējumi</w:t>
            </w:r>
          </w:p>
        </w:tc>
        <w:tc>
          <w:tcPr>
            <w:tcW w:w="1842" w:type="dxa"/>
            <w:vAlign w:val="center"/>
          </w:tcPr>
          <w:p w14:paraId="7A7D7803" w14:textId="77777777" w:rsidR="002D336F" w:rsidRPr="002D41D4" w:rsidRDefault="002D336F" w:rsidP="007F2E0A">
            <w:pPr>
              <w:rPr>
                <w:rFonts w:ascii="Times New Roman" w:hAnsi="Times New Roman"/>
                <w:szCs w:val="22"/>
                <w:lang w:val="lv-LV"/>
              </w:rPr>
            </w:pPr>
          </w:p>
        </w:tc>
        <w:tc>
          <w:tcPr>
            <w:tcW w:w="1702" w:type="dxa"/>
            <w:vAlign w:val="center"/>
          </w:tcPr>
          <w:p w14:paraId="3A720034" w14:textId="77777777" w:rsidR="002D336F" w:rsidRPr="002D41D4" w:rsidRDefault="002D336F" w:rsidP="007F2E0A">
            <w:pPr>
              <w:rPr>
                <w:rFonts w:ascii="Times New Roman" w:hAnsi="Times New Roman"/>
                <w:szCs w:val="22"/>
                <w:lang w:val="lv-LV"/>
              </w:rPr>
            </w:pPr>
          </w:p>
        </w:tc>
        <w:tc>
          <w:tcPr>
            <w:tcW w:w="1701" w:type="dxa"/>
            <w:vAlign w:val="center"/>
          </w:tcPr>
          <w:p w14:paraId="427EA122" w14:textId="77777777" w:rsidR="002D336F" w:rsidRPr="002D41D4" w:rsidRDefault="002D336F" w:rsidP="007F2E0A">
            <w:pPr>
              <w:rPr>
                <w:rFonts w:ascii="Times New Roman" w:hAnsi="Times New Roman"/>
                <w:szCs w:val="22"/>
                <w:lang w:val="lv-LV"/>
              </w:rPr>
            </w:pPr>
          </w:p>
        </w:tc>
        <w:tc>
          <w:tcPr>
            <w:tcW w:w="1842" w:type="dxa"/>
            <w:vAlign w:val="center"/>
          </w:tcPr>
          <w:p w14:paraId="0EF871D1" w14:textId="77777777" w:rsidR="002D336F" w:rsidRPr="002D41D4" w:rsidRDefault="002D336F" w:rsidP="007F2E0A">
            <w:pPr>
              <w:rPr>
                <w:rFonts w:ascii="Times New Roman" w:hAnsi="Times New Roman"/>
                <w:szCs w:val="22"/>
                <w:lang w:val="lv-LV"/>
              </w:rPr>
            </w:pPr>
            <w:r w:rsidRPr="002D41D4">
              <w:rPr>
                <w:rFonts w:ascii="Times New Roman" w:hAnsi="Times New Roman"/>
                <w:sz w:val="22"/>
                <w:szCs w:val="22"/>
                <w:lang w:val="lv-LV"/>
              </w:rPr>
              <w:t>Angio</w:t>
            </w:r>
            <w:r w:rsidR="00872BC9" w:rsidRPr="002D41D4">
              <w:rPr>
                <w:rFonts w:ascii="Times New Roman" w:hAnsi="Times New Roman"/>
                <w:sz w:val="22"/>
                <w:szCs w:val="22"/>
                <w:lang w:val="lv-LV"/>
              </w:rPr>
              <w:t>edēma</w:t>
            </w:r>
            <w:r w:rsidRPr="002D41D4">
              <w:rPr>
                <w:rFonts w:ascii="Times New Roman" w:hAnsi="Times New Roman"/>
                <w:sz w:val="22"/>
                <w:szCs w:val="22"/>
                <w:lang w:val="lv-LV"/>
              </w:rPr>
              <w:t>, hipersensitivitāte</w:t>
            </w:r>
          </w:p>
        </w:tc>
      </w:tr>
      <w:tr w:rsidR="002D336F" w:rsidRPr="002D41D4" w14:paraId="76925FEF" w14:textId="77777777" w:rsidTr="00002D45">
        <w:tc>
          <w:tcPr>
            <w:tcW w:w="1526" w:type="dxa"/>
            <w:vAlign w:val="center"/>
          </w:tcPr>
          <w:p w14:paraId="7F2A8184" w14:textId="77777777" w:rsidR="002D336F" w:rsidRPr="002D41D4" w:rsidRDefault="002D336F" w:rsidP="007F2E0A">
            <w:pPr>
              <w:rPr>
                <w:rFonts w:ascii="Times New Roman" w:hAnsi="Times New Roman"/>
                <w:szCs w:val="22"/>
                <w:lang w:val="lv-LV"/>
              </w:rPr>
            </w:pPr>
            <w:r w:rsidRPr="002D41D4">
              <w:rPr>
                <w:rFonts w:ascii="Times New Roman" w:hAnsi="Times New Roman"/>
                <w:sz w:val="22"/>
                <w:szCs w:val="22"/>
                <w:lang w:val="lv-LV"/>
              </w:rPr>
              <w:t>Psihiskie traucējumi</w:t>
            </w:r>
          </w:p>
        </w:tc>
        <w:tc>
          <w:tcPr>
            <w:tcW w:w="1842" w:type="dxa"/>
            <w:vAlign w:val="center"/>
          </w:tcPr>
          <w:p w14:paraId="1CB7A6A8" w14:textId="77777777" w:rsidR="002D336F" w:rsidRPr="002D41D4" w:rsidRDefault="002D336F" w:rsidP="007F2E0A">
            <w:pPr>
              <w:rPr>
                <w:rFonts w:ascii="Times New Roman" w:hAnsi="Times New Roman"/>
                <w:szCs w:val="22"/>
                <w:lang w:val="lv-LV"/>
              </w:rPr>
            </w:pPr>
          </w:p>
        </w:tc>
        <w:tc>
          <w:tcPr>
            <w:tcW w:w="1702" w:type="dxa"/>
            <w:vAlign w:val="center"/>
          </w:tcPr>
          <w:p w14:paraId="4C813EB1" w14:textId="77777777" w:rsidR="002D336F" w:rsidRPr="002D41D4" w:rsidRDefault="00857EFA" w:rsidP="007F2E0A">
            <w:pPr>
              <w:rPr>
                <w:rFonts w:ascii="Times New Roman" w:hAnsi="Times New Roman"/>
                <w:szCs w:val="22"/>
                <w:lang w:val="lv-LV"/>
              </w:rPr>
            </w:pPr>
            <w:r w:rsidRPr="002D41D4">
              <w:rPr>
                <w:rFonts w:ascii="Times New Roman" w:hAnsi="Times New Roman"/>
                <w:sz w:val="22"/>
                <w:szCs w:val="22"/>
                <w:lang w:val="lv-LV"/>
              </w:rPr>
              <w:t>Nakts m</w:t>
            </w:r>
            <w:r w:rsidR="002D336F" w:rsidRPr="002D41D4">
              <w:rPr>
                <w:rFonts w:ascii="Times New Roman" w:hAnsi="Times New Roman"/>
                <w:sz w:val="22"/>
                <w:szCs w:val="22"/>
                <w:lang w:val="lv-LV"/>
              </w:rPr>
              <w:t>urgi, depresija</w:t>
            </w:r>
          </w:p>
        </w:tc>
        <w:tc>
          <w:tcPr>
            <w:tcW w:w="1701" w:type="dxa"/>
            <w:vAlign w:val="center"/>
          </w:tcPr>
          <w:p w14:paraId="154EE6F8" w14:textId="77777777" w:rsidR="002D336F" w:rsidRPr="002D41D4" w:rsidRDefault="002D336F" w:rsidP="007F2E0A">
            <w:pPr>
              <w:rPr>
                <w:rFonts w:ascii="Times New Roman" w:hAnsi="Times New Roman"/>
                <w:szCs w:val="22"/>
                <w:lang w:val="lv-LV"/>
              </w:rPr>
            </w:pPr>
          </w:p>
        </w:tc>
        <w:tc>
          <w:tcPr>
            <w:tcW w:w="1842" w:type="dxa"/>
            <w:vAlign w:val="center"/>
          </w:tcPr>
          <w:p w14:paraId="0EFF6355" w14:textId="77777777" w:rsidR="002D336F" w:rsidRPr="002D41D4" w:rsidRDefault="002D336F" w:rsidP="007F2E0A">
            <w:pPr>
              <w:rPr>
                <w:rFonts w:ascii="Times New Roman" w:hAnsi="Times New Roman"/>
                <w:szCs w:val="22"/>
                <w:lang w:val="lv-LV"/>
              </w:rPr>
            </w:pPr>
          </w:p>
        </w:tc>
      </w:tr>
      <w:tr w:rsidR="002D336F" w:rsidRPr="002D41D4" w14:paraId="57FA9835" w14:textId="77777777" w:rsidTr="00002D45">
        <w:tc>
          <w:tcPr>
            <w:tcW w:w="1526" w:type="dxa"/>
            <w:vAlign w:val="center"/>
          </w:tcPr>
          <w:p w14:paraId="68774C88" w14:textId="77777777" w:rsidR="002D336F" w:rsidRPr="002D41D4" w:rsidRDefault="002D336F" w:rsidP="007F2E0A">
            <w:pPr>
              <w:rPr>
                <w:rFonts w:ascii="Times New Roman" w:hAnsi="Times New Roman"/>
                <w:szCs w:val="22"/>
                <w:lang w:val="lv-LV"/>
              </w:rPr>
            </w:pPr>
            <w:r w:rsidRPr="002D41D4">
              <w:rPr>
                <w:rFonts w:ascii="Times New Roman" w:hAnsi="Times New Roman"/>
                <w:sz w:val="22"/>
                <w:szCs w:val="22"/>
                <w:lang w:val="lv-LV"/>
              </w:rPr>
              <w:t>Nervu sistēmas traucējumi</w:t>
            </w:r>
          </w:p>
        </w:tc>
        <w:tc>
          <w:tcPr>
            <w:tcW w:w="1842" w:type="dxa"/>
            <w:vAlign w:val="center"/>
          </w:tcPr>
          <w:p w14:paraId="43BFEF39" w14:textId="77777777" w:rsidR="002D336F" w:rsidRPr="002D41D4" w:rsidRDefault="002D336F" w:rsidP="00F3754E">
            <w:pPr>
              <w:rPr>
                <w:rFonts w:ascii="Times New Roman" w:hAnsi="Times New Roman"/>
                <w:szCs w:val="22"/>
                <w:lang w:val="lv-LV"/>
              </w:rPr>
            </w:pPr>
            <w:r w:rsidRPr="002D41D4">
              <w:rPr>
                <w:rFonts w:ascii="Times New Roman" w:hAnsi="Times New Roman"/>
                <w:sz w:val="22"/>
                <w:szCs w:val="22"/>
                <w:lang w:val="lv-LV"/>
              </w:rPr>
              <w:t>Galvassāpes, reibonis, parestēzija</w:t>
            </w:r>
          </w:p>
        </w:tc>
        <w:tc>
          <w:tcPr>
            <w:tcW w:w="1702" w:type="dxa"/>
            <w:vAlign w:val="center"/>
          </w:tcPr>
          <w:p w14:paraId="3549342D" w14:textId="77777777" w:rsidR="002D336F" w:rsidRPr="002D41D4" w:rsidRDefault="002D336F" w:rsidP="007F2E0A">
            <w:pPr>
              <w:rPr>
                <w:rFonts w:ascii="Times New Roman" w:hAnsi="Times New Roman"/>
                <w:szCs w:val="22"/>
                <w:lang w:val="lv-LV"/>
              </w:rPr>
            </w:pPr>
          </w:p>
        </w:tc>
        <w:tc>
          <w:tcPr>
            <w:tcW w:w="1701" w:type="dxa"/>
            <w:vAlign w:val="center"/>
          </w:tcPr>
          <w:p w14:paraId="54636D5A" w14:textId="77777777" w:rsidR="002D336F" w:rsidRPr="002D41D4" w:rsidRDefault="0076281E">
            <w:pPr>
              <w:rPr>
                <w:rFonts w:ascii="Times New Roman" w:hAnsi="Times New Roman"/>
                <w:szCs w:val="22"/>
                <w:lang w:val="lv-LV"/>
              </w:rPr>
            </w:pPr>
            <w:r w:rsidRPr="002D41D4">
              <w:rPr>
                <w:rFonts w:ascii="Times New Roman" w:hAnsi="Times New Roman"/>
                <w:sz w:val="22"/>
                <w:szCs w:val="22"/>
                <w:lang w:val="lv-LV"/>
              </w:rPr>
              <w:t>Ģībonis</w:t>
            </w:r>
          </w:p>
        </w:tc>
        <w:tc>
          <w:tcPr>
            <w:tcW w:w="1842" w:type="dxa"/>
            <w:vAlign w:val="center"/>
          </w:tcPr>
          <w:p w14:paraId="0566E8B8" w14:textId="77777777" w:rsidR="002D336F" w:rsidRPr="002D41D4" w:rsidRDefault="002D336F" w:rsidP="007F2E0A">
            <w:pPr>
              <w:rPr>
                <w:rFonts w:ascii="Times New Roman" w:hAnsi="Times New Roman"/>
                <w:szCs w:val="22"/>
                <w:lang w:val="lv-LV"/>
              </w:rPr>
            </w:pPr>
          </w:p>
        </w:tc>
      </w:tr>
      <w:tr w:rsidR="002D336F" w:rsidRPr="002D41D4" w14:paraId="163AA2A5" w14:textId="77777777" w:rsidTr="00002D45">
        <w:tc>
          <w:tcPr>
            <w:tcW w:w="1526" w:type="dxa"/>
            <w:vAlign w:val="center"/>
          </w:tcPr>
          <w:p w14:paraId="43AE2064" w14:textId="77777777" w:rsidR="002D336F" w:rsidRPr="002D41D4" w:rsidRDefault="002D336F" w:rsidP="007F2E0A">
            <w:pPr>
              <w:rPr>
                <w:rFonts w:ascii="Times New Roman" w:hAnsi="Times New Roman"/>
                <w:szCs w:val="22"/>
                <w:lang w:val="lv-LV"/>
              </w:rPr>
            </w:pPr>
            <w:r w:rsidRPr="002D41D4">
              <w:rPr>
                <w:rFonts w:ascii="Times New Roman" w:hAnsi="Times New Roman"/>
                <w:sz w:val="22"/>
                <w:szCs w:val="22"/>
                <w:lang w:val="lv-LV"/>
              </w:rPr>
              <w:t xml:space="preserve">Acu </w:t>
            </w:r>
            <w:r w:rsidR="00FE6DF2" w:rsidRPr="002D41D4">
              <w:rPr>
                <w:rFonts w:ascii="Times New Roman" w:hAnsi="Times New Roman"/>
                <w:sz w:val="22"/>
                <w:szCs w:val="22"/>
                <w:lang w:val="lv-LV"/>
              </w:rPr>
              <w:t>bojājumi</w:t>
            </w:r>
          </w:p>
        </w:tc>
        <w:tc>
          <w:tcPr>
            <w:tcW w:w="1842" w:type="dxa"/>
            <w:vAlign w:val="center"/>
          </w:tcPr>
          <w:p w14:paraId="0A1D6ED4" w14:textId="77777777" w:rsidR="002D336F" w:rsidRPr="002D41D4" w:rsidRDefault="002D336F" w:rsidP="007F2E0A">
            <w:pPr>
              <w:rPr>
                <w:rFonts w:ascii="Times New Roman" w:hAnsi="Times New Roman"/>
                <w:szCs w:val="22"/>
                <w:lang w:val="lv-LV"/>
              </w:rPr>
            </w:pPr>
          </w:p>
        </w:tc>
        <w:tc>
          <w:tcPr>
            <w:tcW w:w="1702" w:type="dxa"/>
            <w:vAlign w:val="center"/>
          </w:tcPr>
          <w:p w14:paraId="26316DF8" w14:textId="77777777" w:rsidR="002D336F" w:rsidRPr="002D41D4" w:rsidRDefault="00F3754E" w:rsidP="00F3754E">
            <w:pPr>
              <w:rPr>
                <w:rFonts w:ascii="Times New Roman" w:hAnsi="Times New Roman"/>
                <w:szCs w:val="22"/>
                <w:lang w:val="lv-LV"/>
              </w:rPr>
            </w:pPr>
            <w:r w:rsidRPr="002D41D4">
              <w:rPr>
                <w:rFonts w:ascii="Times New Roman" w:hAnsi="Times New Roman"/>
                <w:sz w:val="22"/>
                <w:szCs w:val="22"/>
                <w:lang w:val="lv-LV"/>
              </w:rPr>
              <w:t>R</w:t>
            </w:r>
            <w:r w:rsidR="002D336F" w:rsidRPr="002D41D4">
              <w:rPr>
                <w:rFonts w:ascii="Times New Roman" w:hAnsi="Times New Roman"/>
                <w:sz w:val="22"/>
                <w:szCs w:val="22"/>
                <w:lang w:val="lv-LV"/>
              </w:rPr>
              <w:t>edze</w:t>
            </w:r>
            <w:r w:rsidRPr="002D41D4">
              <w:rPr>
                <w:rFonts w:ascii="Times New Roman" w:hAnsi="Times New Roman"/>
                <w:sz w:val="22"/>
                <w:szCs w:val="22"/>
                <w:lang w:val="lv-LV"/>
              </w:rPr>
              <w:t>s traucējumi</w:t>
            </w:r>
          </w:p>
        </w:tc>
        <w:tc>
          <w:tcPr>
            <w:tcW w:w="1701" w:type="dxa"/>
            <w:vAlign w:val="center"/>
          </w:tcPr>
          <w:p w14:paraId="51548A5A" w14:textId="77777777" w:rsidR="002D336F" w:rsidRPr="002D41D4" w:rsidRDefault="002D336F" w:rsidP="007F2E0A">
            <w:pPr>
              <w:rPr>
                <w:rFonts w:ascii="Times New Roman" w:hAnsi="Times New Roman"/>
                <w:szCs w:val="22"/>
                <w:lang w:val="lv-LV"/>
              </w:rPr>
            </w:pPr>
          </w:p>
        </w:tc>
        <w:tc>
          <w:tcPr>
            <w:tcW w:w="1842" w:type="dxa"/>
            <w:vAlign w:val="center"/>
          </w:tcPr>
          <w:p w14:paraId="334C6E92" w14:textId="77777777" w:rsidR="002D336F" w:rsidRPr="002D41D4" w:rsidRDefault="002D336F" w:rsidP="007F2E0A">
            <w:pPr>
              <w:rPr>
                <w:rFonts w:ascii="Times New Roman" w:hAnsi="Times New Roman"/>
                <w:szCs w:val="22"/>
                <w:lang w:val="lv-LV"/>
              </w:rPr>
            </w:pPr>
          </w:p>
        </w:tc>
      </w:tr>
      <w:tr w:rsidR="002D336F" w:rsidRPr="003B790E" w14:paraId="5EC397DF" w14:textId="77777777" w:rsidTr="00002D45">
        <w:tc>
          <w:tcPr>
            <w:tcW w:w="1526" w:type="dxa"/>
            <w:vAlign w:val="center"/>
          </w:tcPr>
          <w:p w14:paraId="627E51FB" w14:textId="77777777" w:rsidR="002D336F" w:rsidRPr="002D41D4" w:rsidRDefault="002D336F" w:rsidP="007F2E0A">
            <w:pPr>
              <w:rPr>
                <w:rFonts w:ascii="Times New Roman" w:hAnsi="Times New Roman"/>
                <w:szCs w:val="22"/>
                <w:lang w:val="lv-LV"/>
              </w:rPr>
            </w:pPr>
            <w:r w:rsidRPr="002D41D4">
              <w:rPr>
                <w:rFonts w:ascii="Times New Roman" w:hAnsi="Times New Roman"/>
                <w:sz w:val="22"/>
                <w:szCs w:val="22"/>
                <w:lang w:val="lv-LV"/>
              </w:rPr>
              <w:t>Sirds funkcijas traucējumi</w:t>
            </w:r>
          </w:p>
        </w:tc>
        <w:tc>
          <w:tcPr>
            <w:tcW w:w="1842" w:type="dxa"/>
            <w:vAlign w:val="center"/>
          </w:tcPr>
          <w:p w14:paraId="231BF34F" w14:textId="77777777" w:rsidR="002D336F" w:rsidRPr="002D41D4" w:rsidRDefault="002D336F" w:rsidP="007F2E0A">
            <w:pPr>
              <w:rPr>
                <w:rFonts w:ascii="Times New Roman" w:hAnsi="Times New Roman"/>
                <w:szCs w:val="22"/>
                <w:lang w:val="lv-LV"/>
              </w:rPr>
            </w:pPr>
          </w:p>
        </w:tc>
        <w:tc>
          <w:tcPr>
            <w:tcW w:w="1702" w:type="dxa"/>
            <w:vAlign w:val="center"/>
          </w:tcPr>
          <w:p w14:paraId="0251F179" w14:textId="77777777" w:rsidR="002D336F" w:rsidRPr="002D41D4" w:rsidRDefault="002D336F" w:rsidP="007F2E0A">
            <w:pPr>
              <w:rPr>
                <w:rFonts w:ascii="Times New Roman" w:hAnsi="Times New Roman"/>
                <w:szCs w:val="22"/>
                <w:lang w:val="lv-LV"/>
              </w:rPr>
            </w:pPr>
            <w:r w:rsidRPr="002D41D4">
              <w:rPr>
                <w:rFonts w:ascii="Times New Roman" w:hAnsi="Times New Roman"/>
                <w:sz w:val="22"/>
                <w:szCs w:val="22"/>
                <w:lang w:val="lv-LV"/>
              </w:rPr>
              <w:t>Bradikardija, sirds mazspēja, palēnināta AV vadīšana/AV blokāde</w:t>
            </w:r>
          </w:p>
        </w:tc>
        <w:tc>
          <w:tcPr>
            <w:tcW w:w="1701" w:type="dxa"/>
            <w:vAlign w:val="center"/>
          </w:tcPr>
          <w:p w14:paraId="1CA96548" w14:textId="77777777" w:rsidR="002D336F" w:rsidRPr="002D41D4" w:rsidRDefault="002D336F" w:rsidP="007F2E0A">
            <w:pPr>
              <w:rPr>
                <w:rFonts w:ascii="Times New Roman" w:hAnsi="Times New Roman"/>
                <w:szCs w:val="22"/>
                <w:lang w:val="lv-LV"/>
              </w:rPr>
            </w:pPr>
          </w:p>
        </w:tc>
        <w:tc>
          <w:tcPr>
            <w:tcW w:w="1842" w:type="dxa"/>
            <w:vAlign w:val="center"/>
          </w:tcPr>
          <w:p w14:paraId="299F4916" w14:textId="77777777" w:rsidR="002D336F" w:rsidRPr="002D41D4" w:rsidRDefault="002D336F" w:rsidP="007F2E0A">
            <w:pPr>
              <w:rPr>
                <w:rFonts w:ascii="Times New Roman" w:hAnsi="Times New Roman"/>
                <w:szCs w:val="22"/>
                <w:lang w:val="lv-LV"/>
              </w:rPr>
            </w:pPr>
          </w:p>
        </w:tc>
      </w:tr>
      <w:tr w:rsidR="002D336F" w:rsidRPr="002D41D4" w14:paraId="40E2DFF8" w14:textId="77777777" w:rsidTr="00002D45">
        <w:tc>
          <w:tcPr>
            <w:tcW w:w="1526" w:type="dxa"/>
            <w:vAlign w:val="center"/>
          </w:tcPr>
          <w:p w14:paraId="10A63FC6" w14:textId="77777777" w:rsidR="002D336F" w:rsidRPr="002D41D4" w:rsidRDefault="002D336F" w:rsidP="007F2E0A">
            <w:pPr>
              <w:rPr>
                <w:rFonts w:ascii="Times New Roman" w:hAnsi="Times New Roman"/>
                <w:szCs w:val="22"/>
                <w:lang w:val="lv-LV"/>
              </w:rPr>
            </w:pPr>
            <w:r w:rsidRPr="002D41D4">
              <w:rPr>
                <w:rFonts w:ascii="Times New Roman" w:hAnsi="Times New Roman"/>
                <w:sz w:val="22"/>
                <w:szCs w:val="22"/>
                <w:lang w:val="lv-LV"/>
              </w:rPr>
              <w:t>Asinsvadu sistēmas traucējumi</w:t>
            </w:r>
          </w:p>
        </w:tc>
        <w:tc>
          <w:tcPr>
            <w:tcW w:w="1842" w:type="dxa"/>
            <w:vAlign w:val="center"/>
          </w:tcPr>
          <w:p w14:paraId="54E948C6" w14:textId="77777777" w:rsidR="002D336F" w:rsidRPr="002D41D4" w:rsidRDefault="002D336F" w:rsidP="007F2E0A">
            <w:pPr>
              <w:rPr>
                <w:rFonts w:ascii="Times New Roman" w:hAnsi="Times New Roman"/>
                <w:szCs w:val="22"/>
                <w:lang w:val="lv-LV"/>
              </w:rPr>
            </w:pPr>
          </w:p>
        </w:tc>
        <w:tc>
          <w:tcPr>
            <w:tcW w:w="1702" w:type="dxa"/>
            <w:vAlign w:val="center"/>
          </w:tcPr>
          <w:p w14:paraId="1499B677" w14:textId="77777777" w:rsidR="002D336F" w:rsidRPr="002D41D4" w:rsidRDefault="002D336F" w:rsidP="007F2E0A">
            <w:pPr>
              <w:rPr>
                <w:rFonts w:ascii="Times New Roman" w:hAnsi="Times New Roman"/>
                <w:szCs w:val="22"/>
                <w:lang w:val="lv-LV"/>
              </w:rPr>
            </w:pPr>
            <w:r w:rsidRPr="002D41D4">
              <w:rPr>
                <w:rFonts w:ascii="Times New Roman" w:hAnsi="Times New Roman"/>
                <w:sz w:val="22"/>
                <w:szCs w:val="22"/>
                <w:lang w:val="lv-LV"/>
              </w:rPr>
              <w:t>Hipotensija, mijklibošana (pastiprināta)</w:t>
            </w:r>
          </w:p>
        </w:tc>
        <w:tc>
          <w:tcPr>
            <w:tcW w:w="1701" w:type="dxa"/>
            <w:vAlign w:val="center"/>
          </w:tcPr>
          <w:p w14:paraId="67F9A13C" w14:textId="77777777" w:rsidR="002D336F" w:rsidRPr="002D41D4" w:rsidRDefault="002D336F" w:rsidP="007F2E0A">
            <w:pPr>
              <w:rPr>
                <w:rFonts w:ascii="Times New Roman" w:hAnsi="Times New Roman"/>
                <w:szCs w:val="22"/>
                <w:lang w:val="lv-LV"/>
              </w:rPr>
            </w:pPr>
          </w:p>
        </w:tc>
        <w:tc>
          <w:tcPr>
            <w:tcW w:w="1842" w:type="dxa"/>
            <w:vAlign w:val="center"/>
          </w:tcPr>
          <w:p w14:paraId="6EAB68DD" w14:textId="77777777" w:rsidR="002D336F" w:rsidRPr="002D41D4" w:rsidRDefault="002D336F" w:rsidP="007F2E0A">
            <w:pPr>
              <w:rPr>
                <w:rFonts w:ascii="Times New Roman" w:hAnsi="Times New Roman"/>
                <w:szCs w:val="22"/>
                <w:lang w:val="lv-LV"/>
              </w:rPr>
            </w:pPr>
          </w:p>
        </w:tc>
      </w:tr>
      <w:tr w:rsidR="002D336F" w:rsidRPr="002D41D4" w14:paraId="6424CD03" w14:textId="77777777" w:rsidTr="00002D45">
        <w:tc>
          <w:tcPr>
            <w:tcW w:w="1526" w:type="dxa"/>
            <w:vAlign w:val="center"/>
          </w:tcPr>
          <w:p w14:paraId="5AB70655" w14:textId="77777777" w:rsidR="002D336F" w:rsidRPr="002D41D4" w:rsidRDefault="00FE6DF2" w:rsidP="007F2E0A">
            <w:pPr>
              <w:rPr>
                <w:rFonts w:ascii="Times New Roman" w:hAnsi="Times New Roman"/>
                <w:szCs w:val="22"/>
                <w:lang w:val="lv-LV"/>
              </w:rPr>
            </w:pPr>
            <w:r w:rsidRPr="002D41D4">
              <w:rPr>
                <w:rFonts w:ascii="Times New Roman" w:hAnsi="Times New Roman"/>
                <w:sz w:val="22"/>
                <w:szCs w:val="22"/>
                <w:lang w:val="lv-LV"/>
              </w:rPr>
              <w:t>Elpošanas sistēmas traucējumi</w:t>
            </w:r>
            <w:r w:rsidR="002D336F" w:rsidRPr="002D41D4">
              <w:rPr>
                <w:rFonts w:ascii="Times New Roman" w:hAnsi="Times New Roman"/>
                <w:sz w:val="22"/>
                <w:szCs w:val="22"/>
                <w:lang w:val="lv-LV"/>
              </w:rPr>
              <w:t>, krūšu kurvja un videnes slimības</w:t>
            </w:r>
          </w:p>
        </w:tc>
        <w:tc>
          <w:tcPr>
            <w:tcW w:w="1842" w:type="dxa"/>
            <w:vAlign w:val="center"/>
          </w:tcPr>
          <w:p w14:paraId="3A7AD188" w14:textId="77777777" w:rsidR="002D336F" w:rsidRPr="002D41D4" w:rsidRDefault="002D336F" w:rsidP="007F2E0A">
            <w:pPr>
              <w:rPr>
                <w:rFonts w:ascii="Times New Roman" w:hAnsi="Times New Roman"/>
                <w:szCs w:val="22"/>
                <w:lang w:val="lv-LV"/>
              </w:rPr>
            </w:pPr>
            <w:r w:rsidRPr="002D41D4">
              <w:rPr>
                <w:rFonts w:ascii="Times New Roman" w:hAnsi="Times New Roman"/>
                <w:sz w:val="22"/>
                <w:szCs w:val="22"/>
                <w:lang w:val="lv-LV"/>
              </w:rPr>
              <w:t>Aizdusa</w:t>
            </w:r>
          </w:p>
        </w:tc>
        <w:tc>
          <w:tcPr>
            <w:tcW w:w="1702" w:type="dxa"/>
            <w:vAlign w:val="center"/>
          </w:tcPr>
          <w:p w14:paraId="14C52267" w14:textId="77777777" w:rsidR="002D336F" w:rsidRPr="002D41D4" w:rsidRDefault="002D336F" w:rsidP="007F2E0A">
            <w:pPr>
              <w:rPr>
                <w:rFonts w:ascii="Times New Roman" w:hAnsi="Times New Roman"/>
                <w:szCs w:val="22"/>
                <w:lang w:val="lv-LV"/>
              </w:rPr>
            </w:pPr>
            <w:r w:rsidRPr="002D41D4">
              <w:rPr>
                <w:rFonts w:ascii="Times New Roman" w:hAnsi="Times New Roman"/>
                <w:sz w:val="22"/>
                <w:szCs w:val="22"/>
                <w:lang w:val="lv-LV"/>
              </w:rPr>
              <w:t>Bronhospazmas</w:t>
            </w:r>
          </w:p>
        </w:tc>
        <w:tc>
          <w:tcPr>
            <w:tcW w:w="1701" w:type="dxa"/>
            <w:vAlign w:val="center"/>
          </w:tcPr>
          <w:p w14:paraId="69C594A5" w14:textId="77777777" w:rsidR="002D336F" w:rsidRPr="002D41D4" w:rsidRDefault="002D336F" w:rsidP="007F2E0A">
            <w:pPr>
              <w:rPr>
                <w:rFonts w:ascii="Times New Roman" w:hAnsi="Times New Roman"/>
                <w:szCs w:val="22"/>
                <w:lang w:val="lv-LV"/>
              </w:rPr>
            </w:pPr>
          </w:p>
        </w:tc>
        <w:tc>
          <w:tcPr>
            <w:tcW w:w="1842" w:type="dxa"/>
            <w:vAlign w:val="center"/>
          </w:tcPr>
          <w:p w14:paraId="5BE465DE" w14:textId="77777777" w:rsidR="002D336F" w:rsidRPr="002D41D4" w:rsidRDefault="002D336F" w:rsidP="007F2E0A">
            <w:pPr>
              <w:rPr>
                <w:rFonts w:ascii="Times New Roman" w:hAnsi="Times New Roman"/>
                <w:szCs w:val="22"/>
                <w:lang w:val="lv-LV"/>
              </w:rPr>
            </w:pPr>
          </w:p>
        </w:tc>
      </w:tr>
      <w:tr w:rsidR="002D336F" w:rsidRPr="002D41D4" w14:paraId="664524BD" w14:textId="77777777" w:rsidTr="00002D45">
        <w:tc>
          <w:tcPr>
            <w:tcW w:w="1526" w:type="dxa"/>
            <w:vAlign w:val="center"/>
          </w:tcPr>
          <w:p w14:paraId="72D9E459" w14:textId="77777777" w:rsidR="002D336F" w:rsidRPr="002D41D4" w:rsidRDefault="002D336F" w:rsidP="007F2E0A">
            <w:pPr>
              <w:rPr>
                <w:rFonts w:ascii="Times New Roman" w:hAnsi="Times New Roman"/>
                <w:szCs w:val="22"/>
                <w:lang w:val="lv-LV"/>
              </w:rPr>
            </w:pPr>
            <w:r w:rsidRPr="002D41D4">
              <w:rPr>
                <w:rFonts w:ascii="Times New Roman" w:hAnsi="Times New Roman"/>
                <w:sz w:val="22"/>
                <w:szCs w:val="22"/>
                <w:lang w:val="lv-LV"/>
              </w:rPr>
              <w:t>Kuņģa-zarnu trakta traucējumi</w:t>
            </w:r>
          </w:p>
        </w:tc>
        <w:tc>
          <w:tcPr>
            <w:tcW w:w="1842" w:type="dxa"/>
            <w:vAlign w:val="center"/>
          </w:tcPr>
          <w:p w14:paraId="2C1A18A1" w14:textId="77777777" w:rsidR="002D336F" w:rsidRPr="002D41D4" w:rsidRDefault="002D336F" w:rsidP="007F2E0A">
            <w:pPr>
              <w:rPr>
                <w:rFonts w:ascii="Times New Roman" w:hAnsi="Times New Roman"/>
                <w:szCs w:val="22"/>
                <w:lang w:val="lv-LV"/>
              </w:rPr>
            </w:pPr>
            <w:r w:rsidRPr="002D41D4">
              <w:rPr>
                <w:rFonts w:ascii="Times New Roman" w:hAnsi="Times New Roman"/>
                <w:sz w:val="22"/>
                <w:szCs w:val="22"/>
                <w:lang w:val="lv-LV"/>
              </w:rPr>
              <w:t>Aizcietējums, slikta dūša, caureja</w:t>
            </w:r>
          </w:p>
        </w:tc>
        <w:tc>
          <w:tcPr>
            <w:tcW w:w="1702" w:type="dxa"/>
            <w:vAlign w:val="center"/>
          </w:tcPr>
          <w:p w14:paraId="002F9A5B" w14:textId="77777777" w:rsidR="002D336F" w:rsidRPr="002D41D4" w:rsidRDefault="002D336F" w:rsidP="007F2E0A">
            <w:pPr>
              <w:rPr>
                <w:rFonts w:ascii="Times New Roman" w:hAnsi="Times New Roman"/>
                <w:szCs w:val="22"/>
                <w:lang w:val="lv-LV"/>
              </w:rPr>
            </w:pPr>
            <w:r w:rsidRPr="002D41D4">
              <w:rPr>
                <w:rFonts w:ascii="Times New Roman" w:hAnsi="Times New Roman"/>
                <w:sz w:val="22"/>
                <w:szCs w:val="22"/>
                <w:lang w:val="lv-LV"/>
              </w:rPr>
              <w:t>Dispepsija, meteorisms, vemšana</w:t>
            </w:r>
          </w:p>
        </w:tc>
        <w:tc>
          <w:tcPr>
            <w:tcW w:w="1701" w:type="dxa"/>
            <w:vAlign w:val="center"/>
          </w:tcPr>
          <w:p w14:paraId="3D413B92" w14:textId="77777777" w:rsidR="002D336F" w:rsidRPr="002D41D4" w:rsidRDefault="002D336F" w:rsidP="007F2E0A">
            <w:pPr>
              <w:rPr>
                <w:rFonts w:ascii="Times New Roman" w:hAnsi="Times New Roman"/>
                <w:szCs w:val="22"/>
                <w:lang w:val="lv-LV"/>
              </w:rPr>
            </w:pPr>
          </w:p>
        </w:tc>
        <w:tc>
          <w:tcPr>
            <w:tcW w:w="1842" w:type="dxa"/>
            <w:vAlign w:val="center"/>
          </w:tcPr>
          <w:p w14:paraId="0A9737D2" w14:textId="77777777" w:rsidR="002D336F" w:rsidRPr="002D41D4" w:rsidRDefault="002D336F" w:rsidP="007F2E0A">
            <w:pPr>
              <w:rPr>
                <w:rFonts w:ascii="Times New Roman" w:hAnsi="Times New Roman"/>
                <w:szCs w:val="22"/>
                <w:lang w:val="lv-LV"/>
              </w:rPr>
            </w:pPr>
          </w:p>
        </w:tc>
      </w:tr>
      <w:tr w:rsidR="002D336F" w:rsidRPr="002D41D4" w14:paraId="30B6CD38" w14:textId="77777777" w:rsidTr="00002D45">
        <w:tc>
          <w:tcPr>
            <w:tcW w:w="1526" w:type="dxa"/>
            <w:vAlign w:val="center"/>
          </w:tcPr>
          <w:p w14:paraId="059F625F" w14:textId="77777777" w:rsidR="002D336F" w:rsidRPr="002D41D4" w:rsidRDefault="002D336F" w:rsidP="007F2E0A">
            <w:pPr>
              <w:rPr>
                <w:rFonts w:ascii="Times New Roman" w:hAnsi="Times New Roman"/>
                <w:szCs w:val="22"/>
                <w:lang w:val="lv-LV"/>
              </w:rPr>
            </w:pPr>
            <w:r w:rsidRPr="002D41D4">
              <w:rPr>
                <w:rFonts w:ascii="Times New Roman" w:hAnsi="Times New Roman"/>
                <w:sz w:val="22"/>
                <w:szCs w:val="22"/>
                <w:lang w:val="lv-LV"/>
              </w:rPr>
              <w:t xml:space="preserve">Ādas un </w:t>
            </w:r>
            <w:r w:rsidRPr="002D41D4">
              <w:rPr>
                <w:rFonts w:ascii="Times New Roman" w:hAnsi="Times New Roman"/>
                <w:sz w:val="22"/>
                <w:szCs w:val="22"/>
                <w:lang w:val="lv-LV"/>
              </w:rPr>
              <w:lastRenderedPageBreak/>
              <w:t>zemādas audu bojājumi</w:t>
            </w:r>
          </w:p>
        </w:tc>
        <w:tc>
          <w:tcPr>
            <w:tcW w:w="1842" w:type="dxa"/>
            <w:vAlign w:val="center"/>
          </w:tcPr>
          <w:p w14:paraId="4E8D85B7" w14:textId="77777777" w:rsidR="002D336F" w:rsidRPr="002D41D4" w:rsidRDefault="002D336F" w:rsidP="007F2E0A">
            <w:pPr>
              <w:rPr>
                <w:rFonts w:ascii="Times New Roman" w:hAnsi="Times New Roman"/>
                <w:szCs w:val="22"/>
                <w:lang w:val="lv-LV"/>
              </w:rPr>
            </w:pPr>
          </w:p>
        </w:tc>
        <w:tc>
          <w:tcPr>
            <w:tcW w:w="1702" w:type="dxa"/>
            <w:vAlign w:val="center"/>
          </w:tcPr>
          <w:p w14:paraId="264FA7F5" w14:textId="77777777" w:rsidR="002D336F" w:rsidRPr="002D41D4" w:rsidRDefault="002D336F" w:rsidP="007F2E0A">
            <w:pPr>
              <w:rPr>
                <w:rFonts w:ascii="Times New Roman" w:hAnsi="Times New Roman"/>
                <w:szCs w:val="22"/>
                <w:lang w:val="lv-LV"/>
              </w:rPr>
            </w:pPr>
            <w:r w:rsidRPr="002D41D4">
              <w:rPr>
                <w:rFonts w:ascii="Times New Roman" w:hAnsi="Times New Roman"/>
                <w:sz w:val="22"/>
                <w:szCs w:val="22"/>
                <w:lang w:val="lv-LV"/>
              </w:rPr>
              <w:t xml:space="preserve">Nieze, </w:t>
            </w:r>
            <w:r w:rsidRPr="002D41D4">
              <w:rPr>
                <w:rFonts w:ascii="Times New Roman" w:hAnsi="Times New Roman"/>
                <w:sz w:val="22"/>
                <w:szCs w:val="22"/>
                <w:lang w:val="lv-LV"/>
              </w:rPr>
              <w:lastRenderedPageBreak/>
              <w:t>eritematozi izsitumi</w:t>
            </w:r>
          </w:p>
        </w:tc>
        <w:tc>
          <w:tcPr>
            <w:tcW w:w="1701" w:type="dxa"/>
            <w:vAlign w:val="center"/>
          </w:tcPr>
          <w:p w14:paraId="58EB19C0" w14:textId="77777777" w:rsidR="002D336F" w:rsidRPr="002D41D4" w:rsidRDefault="002D336F" w:rsidP="007F2E0A">
            <w:pPr>
              <w:rPr>
                <w:rFonts w:ascii="Times New Roman" w:hAnsi="Times New Roman"/>
                <w:szCs w:val="22"/>
                <w:lang w:val="lv-LV"/>
              </w:rPr>
            </w:pPr>
            <w:r w:rsidRPr="002D41D4">
              <w:rPr>
                <w:rFonts w:ascii="Times New Roman" w:hAnsi="Times New Roman"/>
                <w:sz w:val="22"/>
                <w:szCs w:val="22"/>
                <w:lang w:val="lv-LV"/>
              </w:rPr>
              <w:lastRenderedPageBreak/>
              <w:t xml:space="preserve">Psoriāzes </w:t>
            </w:r>
            <w:r w:rsidRPr="002D41D4">
              <w:rPr>
                <w:rFonts w:ascii="Times New Roman" w:hAnsi="Times New Roman"/>
                <w:sz w:val="22"/>
                <w:szCs w:val="22"/>
                <w:lang w:val="lv-LV"/>
              </w:rPr>
              <w:lastRenderedPageBreak/>
              <w:t>paasinājums</w:t>
            </w:r>
          </w:p>
        </w:tc>
        <w:tc>
          <w:tcPr>
            <w:tcW w:w="1842" w:type="dxa"/>
            <w:vAlign w:val="center"/>
          </w:tcPr>
          <w:p w14:paraId="4E47B9FC" w14:textId="77777777" w:rsidR="002D336F" w:rsidRPr="002D41D4" w:rsidRDefault="00437821" w:rsidP="007F2E0A">
            <w:pPr>
              <w:rPr>
                <w:rFonts w:ascii="Times New Roman" w:hAnsi="Times New Roman"/>
                <w:szCs w:val="22"/>
                <w:lang w:val="lv-LV"/>
              </w:rPr>
            </w:pPr>
            <w:r w:rsidRPr="002D41D4">
              <w:rPr>
                <w:rFonts w:ascii="Times New Roman" w:hAnsi="Times New Roman"/>
                <w:sz w:val="22"/>
                <w:szCs w:val="22"/>
                <w:lang w:val="lv-LV"/>
              </w:rPr>
              <w:lastRenderedPageBreak/>
              <w:t>Nātrene</w:t>
            </w:r>
          </w:p>
        </w:tc>
      </w:tr>
      <w:tr w:rsidR="002D336F" w:rsidRPr="002D41D4" w14:paraId="7D753954" w14:textId="77777777" w:rsidTr="00002D45">
        <w:tc>
          <w:tcPr>
            <w:tcW w:w="1526" w:type="dxa"/>
            <w:vAlign w:val="center"/>
          </w:tcPr>
          <w:p w14:paraId="6FEB9A8F" w14:textId="77777777" w:rsidR="002D336F" w:rsidRPr="002D41D4" w:rsidRDefault="002D336F" w:rsidP="007F2E0A">
            <w:pPr>
              <w:rPr>
                <w:rFonts w:ascii="Times New Roman" w:hAnsi="Times New Roman"/>
                <w:szCs w:val="22"/>
                <w:lang w:val="lv-LV"/>
              </w:rPr>
            </w:pPr>
            <w:r w:rsidRPr="002D41D4">
              <w:rPr>
                <w:rFonts w:ascii="Times New Roman" w:hAnsi="Times New Roman"/>
                <w:sz w:val="22"/>
                <w:szCs w:val="22"/>
                <w:lang w:val="lv-LV"/>
              </w:rPr>
              <w:t xml:space="preserve">Reproduktīvās sistēmas </w:t>
            </w:r>
            <w:r w:rsidR="001A6927" w:rsidRPr="002D41D4">
              <w:rPr>
                <w:rFonts w:ascii="Times New Roman" w:hAnsi="Times New Roman"/>
                <w:sz w:val="22"/>
                <w:szCs w:val="22"/>
                <w:lang w:val="lv-LV"/>
              </w:rPr>
              <w:t xml:space="preserve">traucējumi </w:t>
            </w:r>
            <w:r w:rsidRPr="002D41D4">
              <w:rPr>
                <w:rFonts w:ascii="Times New Roman" w:hAnsi="Times New Roman"/>
                <w:sz w:val="22"/>
                <w:szCs w:val="22"/>
                <w:lang w:val="lv-LV"/>
              </w:rPr>
              <w:t>un krūts slimības</w:t>
            </w:r>
          </w:p>
        </w:tc>
        <w:tc>
          <w:tcPr>
            <w:tcW w:w="1842" w:type="dxa"/>
            <w:vAlign w:val="center"/>
          </w:tcPr>
          <w:p w14:paraId="3C954926" w14:textId="77777777" w:rsidR="002D336F" w:rsidRPr="002D41D4" w:rsidRDefault="002D336F" w:rsidP="007F2E0A">
            <w:pPr>
              <w:rPr>
                <w:rFonts w:ascii="Times New Roman" w:hAnsi="Times New Roman"/>
                <w:szCs w:val="22"/>
                <w:lang w:val="lv-LV"/>
              </w:rPr>
            </w:pPr>
          </w:p>
        </w:tc>
        <w:tc>
          <w:tcPr>
            <w:tcW w:w="1702" w:type="dxa"/>
            <w:vAlign w:val="center"/>
          </w:tcPr>
          <w:p w14:paraId="4624118B" w14:textId="77777777" w:rsidR="002D336F" w:rsidRPr="002D41D4" w:rsidRDefault="002D336F" w:rsidP="007F2E0A">
            <w:pPr>
              <w:rPr>
                <w:rFonts w:ascii="Times New Roman" w:hAnsi="Times New Roman"/>
                <w:szCs w:val="22"/>
                <w:lang w:val="lv-LV"/>
              </w:rPr>
            </w:pPr>
            <w:r w:rsidRPr="002D41D4">
              <w:rPr>
                <w:rFonts w:ascii="Times New Roman" w:hAnsi="Times New Roman"/>
                <w:sz w:val="22"/>
                <w:szCs w:val="22"/>
                <w:lang w:val="lv-LV"/>
              </w:rPr>
              <w:t>Impotence</w:t>
            </w:r>
          </w:p>
        </w:tc>
        <w:tc>
          <w:tcPr>
            <w:tcW w:w="1701" w:type="dxa"/>
            <w:vAlign w:val="center"/>
          </w:tcPr>
          <w:p w14:paraId="70C1DA0F" w14:textId="77777777" w:rsidR="002D336F" w:rsidRPr="002D41D4" w:rsidRDefault="002D336F" w:rsidP="007F2E0A">
            <w:pPr>
              <w:rPr>
                <w:rFonts w:ascii="Times New Roman" w:hAnsi="Times New Roman"/>
                <w:szCs w:val="22"/>
                <w:lang w:val="lv-LV"/>
              </w:rPr>
            </w:pPr>
          </w:p>
        </w:tc>
        <w:tc>
          <w:tcPr>
            <w:tcW w:w="1842" w:type="dxa"/>
            <w:vAlign w:val="center"/>
          </w:tcPr>
          <w:p w14:paraId="57D7661D" w14:textId="77777777" w:rsidR="002D336F" w:rsidRPr="002D41D4" w:rsidRDefault="002D336F" w:rsidP="007F2E0A">
            <w:pPr>
              <w:rPr>
                <w:rFonts w:ascii="Times New Roman" w:hAnsi="Times New Roman"/>
                <w:szCs w:val="22"/>
                <w:lang w:val="lv-LV"/>
              </w:rPr>
            </w:pPr>
          </w:p>
        </w:tc>
      </w:tr>
      <w:tr w:rsidR="002D336F" w:rsidRPr="002D41D4" w14:paraId="70D5C319" w14:textId="77777777" w:rsidTr="00002D45">
        <w:tc>
          <w:tcPr>
            <w:tcW w:w="1526" w:type="dxa"/>
            <w:vAlign w:val="center"/>
          </w:tcPr>
          <w:p w14:paraId="152540B5" w14:textId="77777777" w:rsidR="002D336F" w:rsidRPr="002D41D4" w:rsidRDefault="002D336F" w:rsidP="007F2E0A">
            <w:pPr>
              <w:rPr>
                <w:rFonts w:ascii="Times New Roman" w:hAnsi="Times New Roman"/>
                <w:szCs w:val="22"/>
                <w:lang w:val="lv-LV"/>
              </w:rPr>
            </w:pPr>
            <w:r w:rsidRPr="002D41D4">
              <w:rPr>
                <w:rFonts w:ascii="Times New Roman" w:hAnsi="Times New Roman"/>
                <w:sz w:val="22"/>
                <w:szCs w:val="22"/>
                <w:lang w:val="lv-LV"/>
              </w:rPr>
              <w:t>Vispārēji traucējumi un reakcijas ievadīšanas vietā</w:t>
            </w:r>
          </w:p>
        </w:tc>
        <w:tc>
          <w:tcPr>
            <w:tcW w:w="1842" w:type="dxa"/>
            <w:vAlign w:val="center"/>
          </w:tcPr>
          <w:p w14:paraId="51301687" w14:textId="77777777" w:rsidR="002D336F" w:rsidRPr="002D41D4" w:rsidRDefault="002D336F" w:rsidP="007F2E0A">
            <w:pPr>
              <w:rPr>
                <w:rFonts w:ascii="Times New Roman" w:hAnsi="Times New Roman"/>
                <w:szCs w:val="22"/>
                <w:lang w:val="lv-LV"/>
              </w:rPr>
            </w:pPr>
            <w:r w:rsidRPr="002D41D4">
              <w:rPr>
                <w:rFonts w:ascii="Times New Roman" w:hAnsi="Times New Roman"/>
                <w:sz w:val="22"/>
                <w:szCs w:val="22"/>
                <w:lang w:val="lv-LV"/>
              </w:rPr>
              <w:t>Nogurums, tūska</w:t>
            </w:r>
          </w:p>
        </w:tc>
        <w:tc>
          <w:tcPr>
            <w:tcW w:w="1702" w:type="dxa"/>
            <w:vAlign w:val="center"/>
          </w:tcPr>
          <w:p w14:paraId="3CDD0A6A" w14:textId="77777777" w:rsidR="002D336F" w:rsidRPr="002D41D4" w:rsidRDefault="002D336F" w:rsidP="007F2E0A">
            <w:pPr>
              <w:rPr>
                <w:rFonts w:ascii="Times New Roman" w:hAnsi="Times New Roman"/>
                <w:szCs w:val="22"/>
                <w:lang w:val="lv-LV"/>
              </w:rPr>
            </w:pPr>
          </w:p>
        </w:tc>
        <w:tc>
          <w:tcPr>
            <w:tcW w:w="1701" w:type="dxa"/>
            <w:vAlign w:val="center"/>
          </w:tcPr>
          <w:p w14:paraId="06E56864" w14:textId="77777777" w:rsidR="002D336F" w:rsidRPr="002D41D4" w:rsidRDefault="002D336F" w:rsidP="007F2E0A">
            <w:pPr>
              <w:rPr>
                <w:rFonts w:ascii="Times New Roman" w:hAnsi="Times New Roman"/>
                <w:szCs w:val="22"/>
                <w:lang w:val="lv-LV"/>
              </w:rPr>
            </w:pPr>
          </w:p>
        </w:tc>
        <w:tc>
          <w:tcPr>
            <w:tcW w:w="1842" w:type="dxa"/>
            <w:vAlign w:val="center"/>
          </w:tcPr>
          <w:p w14:paraId="29E27CAD" w14:textId="77777777" w:rsidR="002D336F" w:rsidRPr="002D41D4" w:rsidRDefault="002D336F" w:rsidP="007F2E0A">
            <w:pPr>
              <w:rPr>
                <w:rFonts w:ascii="Times New Roman" w:hAnsi="Times New Roman"/>
                <w:szCs w:val="22"/>
                <w:lang w:val="lv-LV"/>
              </w:rPr>
            </w:pPr>
          </w:p>
        </w:tc>
      </w:tr>
    </w:tbl>
    <w:p w14:paraId="53AA9682" w14:textId="77777777" w:rsidR="002D336F" w:rsidRPr="002D41D4" w:rsidRDefault="002D336F" w:rsidP="007F2E0A">
      <w:pPr>
        <w:rPr>
          <w:rFonts w:ascii="Times New Roman" w:hAnsi="Times New Roman"/>
          <w:sz w:val="22"/>
          <w:szCs w:val="22"/>
          <w:lang w:val="lv-LV"/>
        </w:rPr>
      </w:pPr>
    </w:p>
    <w:p w14:paraId="525CDFF4" w14:textId="77777777" w:rsidR="002D336F" w:rsidRPr="002D41D4" w:rsidRDefault="002D336F" w:rsidP="007F2E0A">
      <w:pPr>
        <w:rPr>
          <w:rFonts w:ascii="Times New Roman" w:hAnsi="Times New Roman"/>
          <w:sz w:val="22"/>
          <w:szCs w:val="22"/>
          <w:lang w:val="lv-LV"/>
        </w:rPr>
      </w:pPr>
      <w:r w:rsidRPr="002D41D4">
        <w:rPr>
          <w:rFonts w:ascii="Times New Roman" w:hAnsi="Times New Roman"/>
          <w:sz w:val="22"/>
          <w:szCs w:val="22"/>
          <w:lang w:val="lv-LV"/>
        </w:rPr>
        <w:t xml:space="preserve">Lietojot dažus </w:t>
      </w:r>
      <w:r w:rsidR="006C1D01" w:rsidRPr="002D41D4">
        <w:rPr>
          <w:rFonts w:ascii="Times New Roman" w:hAnsi="Times New Roman"/>
          <w:sz w:val="22"/>
          <w:szCs w:val="22"/>
          <w:lang w:val="lv-LV"/>
        </w:rPr>
        <w:t>bēta</w:t>
      </w:r>
      <w:r w:rsidRPr="002D41D4">
        <w:rPr>
          <w:rFonts w:ascii="Times New Roman" w:hAnsi="Times New Roman"/>
          <w:sz w:val="22"/>
          <w:szCs w:val="22"/>
          <w:lang w:val="lv-LV"/>
        </w:rPr>
        <w:t xml:space="preserve"> adrenerģiskus antagonistus, novērotas arī šādas blakusparādības: halucinācijas, psihozes, apjukums, aukstas/cianotiskas ekstremitātes, Reino fenomens, sausas acis un praktolola tipa toksiska ietekme uz acīm, gļotādu, ādu.</w:t>
      </w:r>
    </w:p>
    <w:p w14:paraId="50086E9A" w14:textId="77777777" w:rsidR="002D336F" w:rsidRPr="002D41D4" w:rsidRDefault="002D336F" w:rsidP="007F2E0A">
      <w:pPr>
        <w:rPr>
          <w:rFonts w:ascii="Times New Roman" w:hAnsi="Times New Roman"/>
          <w:sz w:val="22"/>
          <w:szCs w:val="22"/>
          <w:lang w:val="lv-LV"/>
        </w:rPr>
      </w:pPr>
    </w:p>
    <w:p w14:paraId="6E87F76A" w14:textId="77777777" w:rsidR="002D336F" w:rsidRPr="002D41D4" w:rsidRDefault="002D336F" w:rsidP="007F2E0A">
      <w:pPr>
        <w:rPr>
          <w:rFonts w:ascii="Times New Roman" w:hAnsi="Times New Roman"/>
          <w:iCs/>
          <w:sz w:val="22"/>
          <w:szCs w:val="22"/>
          <w:u w:val="single"/>
          <w:lang w:val="lv-LV"/>
        </w:rPr>
      </w:pPr>
      <w:r w:rsidRPr="002D41D4">
        <w:rPr>
          <w:rFonts w:ascii="Times New Roman" w:hAnsi="Times New Roman"/>
          <w:iCs/>
          <w:sz w:val="22"/>
          <w:szCs w:val="22"/>
          <w:u w:val="single"/>
          <w:lang w:val="lv-LV"/>
        </w:rPr>
        <w:t>Hroniska sirds mazspēja</w:t>
      </w:r>
    </w:p>
    <w:p w14:paraId="712B85CE" w14:textId="77777777" w:rsidR="002D336F" w:rsidRPr="002D41D4" w:rsidRDefault="002D336F" w:rsidP="007F2E0A">
      <w:pPr>
        <w:rPr>
          <w:rFonts w:ascii="Times New Roman" w:hAnsi="Times New Roman"/>
          <w:sz w:val="22"/>
          <w:szCs w:val="22"/>
          <w:lang w:val="lv-LV"/>
        </w:rPr>
      </w:pPr>
      <w:r w:rsidRPr="002D41D4">
        <w:rPr>
          <w:rFonts w:ascii="Times New Roman" w:hAnsi="Times New Roman"/>
          <w:sz w:val="22"/>
          <w:szCs w:val="22"/>
          <w:lang w:val="lv-LV"/>
        </w:rPr>
        <w:t>Ir pieejami dati par blakusparādībām pacientiem ar HSM no placebo kontrolēta klīniska pētījuma. Tajā piedalījās 1067 pacienti, kas lietoja nebivololu, un 1061 pacients, kas lietoja placebo. Šajā pētījumā 449 nebivololu lietojušie pacienti (42,1%) ziņoja par, iespējams, cēloniski saistītām blakusparādībām, salīdzinot ar 334 placebo lietojušiem pacientiem (31,5%). Biežāk ziņotās blakusparādības nebivololu lietojušajiem pacientiem bija bradikardija un reibonis, katra aptuveni 11% pacientu. Atbilstošā blakusparādību sastopamība placebo lietojušajiem pacientiem bija attiecīgi aptuveni 2% un 7%.</w:t>
      </w:r>
    </w:p>
    <w:p w14:paraId="2DB92A0C" w14:textId="77777777" w:rsidR="002D336F" w:rsidRPr="002D41D4" w:rsidRDefault="002D336F" w:rsidP="007F2E0A">
      <w:pPr>
        <w:rPr>
          <w:rFonts w:ascii="Times New Roman" w:hAnsi="Times New Roman"/>
          <w:sz w:val="22"/>
          <w:szCs w:val="22"/>
          <w:lang w:val="lv-LV"/>
        </w:rPr>
      </w:pPr>
      <w:r w:rsidRPr="002D41D4">
        <w:rPr>
          <w:rFonts w:ascii="Times New Roman" w:hAnsi="Times New Roman"/>
          <w:sz w:val="22"/>
          <w:szCs w:val="22"/>
          <w:lang w:val="lv-LV"/>
        </w:rPr>
        <w:t>Ziņots par šādu blakusparādību (vismaz iespējami saistītu ar zāļu lietošanu) sastopamību, kas tiek uzskatītas par specifiskām hroniskas sirds mazspējas ārstēšanai:</w:t>
      </w:r>
    </w:p>
    <w:p w14:paraId="338ECBBA" w14:textId="77777777" w:rsidR="002D336F" w:rsidRPr="002D41D4" w:rsidRDefault="002D336F" w:rsidP="007F2E0A">
      <w:pPr>
        <w:numPr>
          <w:ilvl w:val="0"/>
          <w:numId w:val="1"/>
        </w:numPr>
        <w:tabs>
          <w:tab w:val="clear" w:pos="720"/>
        </w:tabs>
        <w:ind w:left="709" w:hanging="709"/>
        <w:rPr>
          <w:rFonts w:ascii="Times New Roman" w:hAnsi="Times New Roman"/>
          <w:sz w:val="22"/>
          <w:szCs w:val="22"/>
          <w:lang w:val="lv-LV"/>
        </w:rPr>
      </w:pPr>
      <w:r w:rsidRPr="002D41D4">
        <w:rPr>
          <w:rFonts w:ascii="Times New Roman" w:hAnsi="Times New Roman"/>
          <w:sz w:val="22"/>
          <w:szCs w:val="22"/>
          <w:lang w:val="lv-LV"/>
        </w:rPr>
        <w:t>sirds mazspējas pasliktināšanos novēroja 5,8% ar nebivololu ārstēto pacientu salīdzinājumā ar 5,2% pacientu, kas lietoja placebo;</w:t>
      </w:r>
    </w:p>
    <w:p w14:paraId="082A6F59" w14:textId="77777777" w:rsidR="002D336F" w:rsidRPr="002D41D4" w:rsidRDefault="002D336F" w:rsidP="007F2E0A">
      <w:pPr>
        <w:numPr>
          <w:ilvl w:val="0"/>
          <w:numId w:val="1"/>
        </w:numPr>
        <w:tabs>
          <w:tab w:val="clear" w:pos="720"/>
        </w:tabs>
        <w:ind w:left="709" w:hanging="709"/>
        <w:rPr>
          <w:rFonts w:ascii="Times New Roman" w:hAnsi="Times New Roman"/>
          <w:sz w:val="22"/>
          <w:szCs w:val="22"/>
          <w:lang w:val="lv-LV"/>
        </w:rPr>
      </w:pPr>
      <w:r w:rsidRPr="002D41D4">
        <w:rPr>
          <w:rFonts w:ascii="Times New Roman" w:hAnsi="Times New Roman"/>
          <w:sz w:val="22"/>
          <w:szCs w:val="22"/>
          <w:lang w:val="lv-LV"/>
        </w:rPr>
        <w:t>par ortost</w:t>
      </w:r>
      <w:r w:rsidR="002601B6" w:rsidRPr="002D41D4">
        <w:rPr>
          <w:rFonts w:ascii="Times New Roman" w:hAnsi="Times New Roman"/>
          <w:sz w:val="22"/>
          <w:szCs w:val="22"/>
          <w:lang w:val="lv-LV"/>
        </w:rPr>
        <w:t>a</w:t>
      </w:r>
      <w:r w:rsidRPr="002D41D4">
        <w:rPr>
          <w:rFonts w:ascii="Times New Roman" w:hAnsi="Times New Roman"/>
          <w:sz w:val="22"/>
          <w:szCs w:val="22"/>
          <w:lang w:val="lv-LV"/>
        </w:rPr>
        <w:t>tisko hipotensiju ziņoja 2,1% ar nebivololu ārstēto pacientu salīdzinājumā ar 1,0% pacientu, kas lietoja placebo;</w:t>
      </w:r>
    </w:p>
    <w:p w14:paraId="5EFE5577" w14:textId="77777777" w:rsidR="002D336F" w:rsidRPr="002D41D4" w:rsidRDefault="002D336F" w:rsidP="007F2E0A">
      <w:pPr>
        <w:numPr>
          <w:ilvl w:val="0"/>
          <w:numId w:val="1"/>
        </w:numPr>
        <w:tabs>
          <w:tab w:val="clear" w:pos="720"/>
        </w:tabs>
        <w:ind w:left="709" w:hanging="709"/>
        <w:rPr>
          <w:rFonts w:ascii="Times New Roman" w:hAnsi="Times New Roman"/>
          <w:sz w:val="22"/>
          <w:szCs w:val="22"/>
          <w:lang w:val="lv-LV"/>
        </w:rPr>
      </w:pPr>
      <w:r w:rsidRPr="002D41D4">
        <w:rPr>
          <w:rFonts w:ascii="Times New Roman" w:hAnsi="Times New Roman"/>
          <w:sz w:val="22"/>
          <w:szCs w:val="22"/>
          <w:lang w:val="lv-LV"/>
        </w:rPr>
        <w:t>zāļu nepanesamība radās 1,6% ar nebivololu ārstēto pacientu salīdzinājumā ar 0,8% pacientu, kas lietoja placebo;</w:t>
      </w:r>
    </w:p>
    <w:p w14:paraId="5E218F8B" w14:textId="77777777" w:rsidR="002D336F" w:rsidRPr="002D41D4" w:rsidRDefault="002D336F" w:rsidP="007F2E0A">
      <w:pPr>
        <w:numPr>
          <w:ilvl w:val="0"/>
          <w:numId w:val="1"/>
        </w:numPr>
        <w:tabs>
          <w:tab w:val="clear" w:pos="720"/>
        </w:tabs>
        <w:ind w:left="709" w:hanging="709"/>
        <w:rPr>
          <w:rFonts w:ascii="Times New Roman" w:hAnsi="Times New Roman"/>
          <w:sz w:val="22"/>
          <w:szCs w:val="22"/>
          <w:lang w:val="lv-LV"/>
        </w:rPr>
      </w:pPr>
      <w:r w:rsidRPr="002D41D4">
        <w:rPr>
          <w:rFonts w:ascii="Times New Roman" w:hAnsi="Times New Roman"/>
          <w:sz w:val="22"/>
          <w:szCs w:val="22"/>
          <w:lang w:val="lv-LV"/>
        </w:rPr>
        <w:t>pirmās pakāpes atrioventrikulārā blokāde radās 1,4% ar nebivololu ārstēto pacientu salīdzinājumā ar 0,9% pacientu, kas lietoja placebo;</w:t>
      </w:r>
    </w:p>
    <w:p w14:paraId="488CB51E" w14:textId="77777777" w:rsidR="002D336F" w:rsidRPr="002D41D4" w:rsidRDefault="002D336F" w:rsidP="007F2E0A">
      <w:pPr>
        <w:numPr>
          <w:ilvl w:val="0"/>
          <w:numId w:val="1"/>
        </w:numPr>
        <w:tabs>
          <w:tab w:val="clear" w:pos="720"/>
        </w:tabs>
        <w:ind w:left="709" w:hanging="709"/>
        <w:rPr>
          <w:rFonts w:ascii="Times New Roman" w:hAnsi="Times New Roman"/>
          <w:sz w:val="22"/>
          <w:szCs w:val="22"/>
          <w:lang w:val="lv-LV"/>
        </w:rPr>
      </w:pPr>
      <w:r w:rsidRPr="002D41D4">
        <w:rPr>
          <w:rFonts w:ascii="Times New Roman" w:hAnsi="Times New Roman"/>
          <w:sz w:val="22"/>
          <w:szCs w:val="22"/>
          <w:lang w:val="lv-LV"/>
        </w:rPr>
        <w:t>par apakšējo ekstremitāšu tūsku ziņots 1,0% ar nebivololu ārstēto pacientu salīdzinājumā ar 0,2% pacientu, kas lietoja placebo.</w:t>
      </w:r>
    </w:p>
    <w:p w14:paraId="590D0FC5" w14:textId="77777777" w:rsidR="002D336F" w:rsidRPr="002D41D4" w:rsidRDefault="002D336F" w:rsidP="007F2E0A">
      <w:pPr>
        <w:rPr>
          <w:rFonts w:ascii="Times New Roman" w:hAnsi="Times New Roman"/>
          <w:sz w:val="22"/>
          <w:szCs w:val="22"/>
          <w:lang w:val="lv-LV"/>
        </w:rPr>
      </w:pPr>
    </w:p>
    <w:p w14:paraId="6522EA88" w14:textId="77777777" w:rsidR="008067EF" w:rsidRPr="002D41D4" w:rsidRDefault="008067EF" w:rsidP="007F2E0A">
      <w:pPr>
        <w:rPr>
          <w:rFonts w:ascii="Times New Roman" w:hAnsi="Times New Roman"/>
          <w:sz w:val="22"/>
          <w:szCs w:val="22"/>
          <w:u w:val="single"/>
          <w:lang w:val="lv-LV"/>
        </w:rPr>
      </w:pPr>
      <w:bookmarkStart w:id="0" w:name="OLE_LINK1"/>
      <w:bookmarkStart w:id="1" w:name="OLE_LINK2"/>
      <w:r w:rsidRPr="002D41D4">
        <w:rPr>
          <w:rFonts w:ascii="Times New Roman" w:hAnsi="Times New Roman"/>
          <w:sz w:val="22"/>
          <w:szCs w:val="22"/>
          <w:u w:val="single"/>
          <w:lang w:val="lv-LV"/>
        </w:rPr>
        <w:t>Ziņošana par iespējamām nevēlamām blakusparādībām</w:t>
      </w:r>
    </w:p>
    <w:p w14:paraId="078C47D0" w14:textId="77777777" w:rsidR="008067EF" w:rsidRPr="002D41D4" w:rsidRDefault="008067EF" w:rsidP="007F2E0A">
      <w:pPr>
        <w:rPr>
          <w:rFonts w:ascii="Times New Roman" w:hAnsi="Times New Roman"/>
          <w:sz w:val="22"/>
          <w:szCs w:val="22"/>
          <w:lang w:val="lv-LV"/>
        </w:rPr>
      </w:pPr>
      <w:r w:rsidRPr="002D41D4">
        <w:rPr>
          <w:rFonts w:ascii="Times New Roman" w:hAnsi="Times New Roman"/>
          <w:sz w:val="22"/>
          <w:szCs w:val="22"/>
          <w:lang w:val="lv-LV"/>
        </w:rPr>
        <w:t>Ir svarīgi ziņot par iespējamām nevēlamām blakusparādībām pēc zāļu reģistrācijas. Tādējādi zāļu ieguvum</w:t>
      </w:r>
      <w:r w:rsidR="00DA31B1" w:rsidRPr="002D41D4">
        <w:rPr>
          <w:rFonts w:ascii="Times New Roman" w:hAnsi="Times New Roman"/>
          <w:sz w:val="22"/>
          <w:szCs w:val="22"/>
          <w:lang w:val="lv-LV"/>
        </w:rPr>
        <w:t>a</w:t>
      </w:r>
      <w:r w:rsidRPr="002D41D4">
        <w:rPr>
          <w:rFonts w:ascii="Times New Roman" w:hAnsi="Times New Roman"/>
          <w:sz w:val="22"/>
          <w:szCs w:val="22"/>
          <w:lang w:val="lv-LV"/>
        </w:rPr>
        <w:t xml:space="preserve">/riska attiecība tiek nepārtraukti uzraudzīta. Veselības aprūpes speciālisti tiek lūgti ziņot par jebkādām iespējamām nevēlamām blakusparādībām Zāļu valsts aģentūrai, </w:t>
      </w:r>
      <w:r w:rsidRPr="002D41D4">
        <w:rPr>
          <w:rFonts w:ascii="Times New Roman" w:hAnsi="Times New Roman"/>
          <w:color w:val="000000"/>
          <w:sz w:val="22"/>
          <w:szCs w:val="22"/>
          <w:lang w:val="lv-LV"/>
        </w:rPr>
        <w:t xml:space="preserve">Jersikas ielā 15, Rīgā, LV 1003. </w:t>
      </w:r>
      <w:r w:rsidRPr="002D41D4">
        <w:rPr>
          <w:rFonts w:ascii="Times New Roman" w:hAnsi="Times New Roman"/>
          <w:color w:val="000000"/>
          <w:sz w:val="22"/>
          <w:szCs w:val="22"/>
          <w:lang w:val="lv-LV"/>
        </w:rPr>
        <w:br/>
        <w:t xml:space="preserve">Tīmekļa vietne: </w:t>
      </w:r>
      <w:hyperlink r:id="rId7" w:history="1">
        <w:r w:rsidRPr="002D41D4">
          <w:rPr>
            <w:rStyle w:val="Hyperlink"/>
            <w:rFonts w:ascii="Times New Roman" w:hAnsi="Times New Roman"/>
            <w:sz w:val="22"/>
            <w:szCs w:val="22"/>
            <w:lang w:val="lv-LV"/>
          </w:rPr>
          <w:t>www.zva.gov.lv</w:t>
        </w:r>
      </w:hyperlink>
      <w:r w:rsidRPr="002D41D4">
        <w:rPr>
          <w:rFonts w:ascii="Times New Roman" w:hAnsi="Times New Roman"/>
          <w:color w:val="000000"/>
          <w:sz w:val="22"/>
          <w:szCs w:val="22"/>
          <w:lang w:val="lv-LV"/>
        </w:rPr>
        <w:t>.</w:t>
      </w:r>
    </w:p>
    <w:bookmarkEnd w:id="0"/>
    <w:bookmarkEnd w:id="1"/>
    <w:p w14:paraId="2BABB953" w14:textId="77777777" w:rsidR="008067EF" w:rsidRPr="002D41D4" w:rsidRDefault="008067EF" w:rsidP="007F2E0A">
      <w:pPr>
        <w:rPr>
          <w:rFonts w:ascii="Times New Roman" w:hAnsi="Times New Roman"/>
          <w:sz w:val="22"/>
          <w:szCs w:val="22"/>
          <w:lang w:val="lv-LV"/>
        </w:rPr>
      </w:pPr>
    </w:p>
    <w:p w14:paraId="75F178EB" w14:textId="77777777" w:rsidR="002D336F" w:rsidRPr="002D41D4" w:rsidRDefault="002D336F" w:rsidP="007F2E0A">
      <w:pPr>
        <w:pStyle w:val="ListParagraph"/>
        <w:numPr>
          <w:ilvl w:val="1"/>
          <w:numId w:val="2"/>
        </w:numPr>
        <w:ind w:left="0" w:firstLine="0"/>
        <w:rPr>
          <w:rFonts w:ascii="Times New Roman" w:hAnsi="Times New Roman"/>
          <w:sz w:val="22"/>
          <w:szCs w:val="22"/>
          <w:lang w:val="lv-LV"/>
        </w:rPr>
      </w:pPr>
      <w:r w:rsidRPr="002D41D4">
        <w:rPr>
          <w:rFonts w:ascii="Times New Roman" w:hAnsi="Times New Roman"/>
          <w:b/>
          <w:sz w:val="22"/>
          <w:szCs w:val="22"/>
          <w:lang w:val="lv-LV"/>
        </w:rPr>
        <w:t>Pārdozēšana</w:t>
      </w:r>
    </w:p>
    <w:p w14:paraId="4BB8D26C" w14:textId="77777777" w:rsidR="002D336F" w:rsidRPr="002D41D4" w:rsidRDefault="002D336F" w:rsidP="007F2E0A">
      <w:pPr>
        <w:rPr>
          <w:rFonts w:ascii="Times New Roman" w:hAnsi="Times New Roman"/>
          <w:sz w:val="22"/>
          <w:szCs w:val="22"/>
          <w:lang w:val="lv-LV"/>
        </w:rPr>
      </w:pPr>
    </w:p>
    <w:p w14:paraId="0C6D473D" w14:textId="77777777" w:rsidR="002D336F" w:rsidRPr="002D41D4" w:rsidRDefault="002D336F" w:rsidP="007F2E0A">
      <w:pPr>
        <w:rPr>
          <w:rFonts w:ascii="Times New Roman" w:hAnsi="Times New Roman"/>
          <w:sz w:val="22"/>
          <w:szCs w:val="22"/>
          <w:lang w:val="lv-LV"/>
        </w:rPr>
      </w:pPr>
      <w:r w:rsidRPr="002D41D4">
        <w:rPr>
          <w:rFonts w:ascii="Times New Roman" w:hAnsi="Times New Roman"/>
          <w:sz w:val="22"/>
          <w:szCs w:val="22"/>
          <w:lang w:val="lv-LV"/>
        </w:rPr>
        <w:t xml:space="preserve">Par </w:t>
      </w:r>
      <w:r w:rsidRPr="002D41D4">
        <w:rPr>
          <w:rFonts w:ascii="Times New Roman" w:hAnsi="Times New Roman"/>
          <w:iCs/>
          <w:sz w:val="22"/>
          <w:szCs w:val="22"/>
          <w:lang w:val="lv-LV"/>
        </w:rPr>
        <w:t xml:space="preserve">Nebilet </w:t>
      </w:r>
      <w:r w:rsidRPr="002D41D4">
        <w:rPr>
          <w:rFonts w:ascii="Times New Roman" w:hAnsi="Times New Roman"/>
          <w:sz w:val="22"/>
          <w:szCs w:val="22"/>
          <w:lang w:val="lv-LV"/>
        </w:rPr>
        <w:t>pārdozēšanu datu nav.</w:t>
      </w:r>
    </w:p>
    <w:p w14:paraId="5752A602" w14:textId="77777777" w:rsidR="002D336F" w:rsidRPr="002D41D4" w:rsidRDefault="002D336F" w:rsidP="007F2E0A">
      <w:pPr>
        <w:rPr>
          <w:rFonts w:ascii="Times New Roman" w:hAnsi="Times New Roman"/>
          <w:sz w:val="22"/>
          <w:szCs w:val="22"/>
          <w:lang w:val="lv-LV"/>
        </w:rPr>
      </w:pPr>
    </w:p>
    <w:p w14:paraId="18B77312" w14:textId="77777777" w:rsidR="002D336F" w:rsidRPr="002D41D4" w:rsidRDefault="002D336F" w:rsidP="007F2E0A">
      <w:pPr>
        <w:rPr>
          <w:rFonts w:ascii="Times New Roman" w:hAnsi="Times New Roman"/>
          <w:sz w:val="22"/>
          <w:szCs w:val="22"/>
          <w:lang w:val="lv-LV"/>
        </w:rPr>
      </w:pPr>
      <w:r w:rsidRPr="002D41D4">
        <w:rPr>
          <w:rFonts w:ascii="Times New Roman" w:hAnsi="Times New Roman"/>
          <w:i/>
          <w:sz w:val="22"/>
          <w:szCs w:val="22"/>
          <w:lang w:val="lv-LV"/>
        </w:rPr>
        <w:t>Simptomi</w:t>
      </w:r>
    </w:p>
    <w:p w14:paraId="50C632EF" w14:textId="77777777" w:rsidR="002D336F" w:rsidRPr="002D41D4" w:rsidRDefault="006C1D01" w:rsidP="007F2E0A">
      <w:pPr>
        <w:rPr>
          <w:rFonts w:ascii="Times New Roman" w:hAnsi="Times New Roman"/>
          <w:sz w:val="22"/>
          <w:szCs w:val="22"/>
          <w:lang w:val="lv-LV"/>
        </w:rPr>
      </w:pPr>
      <w:r w:rsidRPr="002D41D4">
        <w:rPr>
          <w:rFonts w:ascii="Times New Roman" w:hAnsi="Times New Roman"/>
          <w:sz w:val="22"/>
          <w:szCs w:val="22"/>
          <w:lang w:val="lv-LV"/>
        </w:rPr>
        <w:t>Bēta</w:t>
      </w:r>
      <w:r w:rsidR="002D336F" w:rsidRPr="002D41D4">
        <w:rPr>
          <w:rFonts w:ascii="Times New Roman" w:hAnsi="Times New Roman"/>
          <w:sz w:val="22"/>
          <w:szCs w:val="22"/>
          <w:lang w:val="lv-LV"/>
        </w:rPr>
        <w:t xml:space="preserve"> blokatoru pārdozēšanas simptomi ir bradikardija, hipotensija, bronhospazmas un akūta sirds mazspēja.</w:t>
      </w:r>
    </w:p>
    <w:p w14:paraId="5E9CD9E8" w14:textId="77777777" w:rsidR="002D336F" w:rsidRPr="002D41D4" w:rsidRDefault="002D336F" w:rsidP="007F2E0A">
      <w:pPr>
        <w:rPr>
          <w:rFonts w:ascii="Times New Roman" w:hAnsi="Times New Roman"/>
          <w:sz w:val="22"/>
          <w:szCs w:val="22"/>
          <w:lang w:val="lv-LV"/>
        </w:rPr>
      </w:pPr>
    </w:p>
    <w:p w14:paraId="42608661" w14:textId="77777777" w:rsidR="002D336F" w:rsidRPr="002D41D4" w:rsidRDefault="002D336F" w:rsidP="007F2E0A">
      <w:pPr>
        <w:rPr>
          <w:rFonts w:ascii="Times New Roman" w:hAnsi="Times New Roman"/>
          <w:sz w:val="22"/>
          <w:szCs w:val="22"/>
          <w:lang w:val="lv-LV"/>
        </w:rPr>
      </w:pPr>
      <w:r w:rsidRPr="002D41D4">
        <w:rPr>
          <w:rFonts w:ascii="Times New Roman" w:hAnsi="Times New Roman"/>
          <w:i/>
          <w:sz w:val="22"/>
          <w:szCs w:val="22"/>
          <w:lang w:val="lv-LV"/>
        </w:rPr>
        <w:t>Ārstēšana</w:t>
      </w:r>
    </w:p>
    <w:p w14:paraId="0C0FFCB3" w14:textId="77777777" w:rsidR="002D336F" w:rsidRPr="002D41D4" w:rsidRDefault="002D336F" w:rsidP="007F2E0A">
      <w:pPr>
        <w:rPr>
          <w:rFonts w:ascii="Times New Roman" w:hAnsi="Times New Roman"/>
          <w:sz w:val="22"/>
          <w:szCs w:val="22"/>
          <w:lang w:val="lv-LV"/>
        </w:rPr>
      </w:pPr>
      <w:r w:rsidRPr="002D41D4">
        <w:rPr>
          <w:rFonts w:ascii="Times New Roman" w:hAnsi="Times New Roman"/>
          <w:sz w:val="22"/>
          <w:szCs w:val="22"/>
          <w:lang w:val="lv-LV"/>
        </w:rPr>
        <w:t>Pārdozēšanas vai paaugstinātas jutības gadījumā pacients būtu pastāvīgi jānovēro un jāārstē intensīvās terapijas nodaļā. Jākontrolē glikozes līmenis asinīs. Kuņģī un zarnu traktā vēl palikuš</w:t>
      </w:r>
      <w:r w:rsidR="00C70D7B" w:rsidRPr="002D41D4">
        <w:rPr>
          <w:rFonts w:ascii="Times New Roman" w:hAnsi="Times New Roman"/>
          <w:sz w:val="22"/>
          <w:szCs w:val="22"/>
          <w:lang w:val="lv-LV"/>
        </w:rPr>
        <w:t>o</w:t>
      </w:r>
      <w:r w:rsidRPr="002D41D4">
        <w:rPr>
          <w:rFonts w:ascii="Times New Roman" w:hAnsi="Times New Roman"/>
          <w:sz w:val="22"/>
          <w:szCs w:val="22"/>
          <w:lang w:val="lv-LV"/>
        </w:rPr>
        <w:t xml:space="preserve"> </w:t>
      </w:r>
      <w:r w:rsidR="00C70D7B" w:rsidRPr="002D41D4">
        <w:rPr>
          <w:rFonts w:ascii="Times New Roman" w:hAnsi="Times New Roman"/>
          <w:sz w:val="22"/>
          <w:szCs w:val="22"/>
          <w:lang w:val="lv-LV"/>
        </w:rPr>
        <w:t>zāļu</w:t>
      </w:r>
      <w:r w:rsidRPr="002D41D4">
        <w:rPr>
          <w:rFonts w:ascii="Times New Roman" w:hAnsi="Times New Roman"/>
          <w:sz w:val="22"/>
          <w:szCs w:val="22"/>
          <w:lang w:val="lv-LV"/>
        </w:rPr>
        <w:t xml:space="preserve"> uzsūkšanos var novērst ar kuņģa skalošanu un aktivētās ogles </w:t>
      </w:r>
      <w:r w:rsidR="0076281E" w:rsidRPr="002D41D4">
        <w:rPr>
          <w:rFonts w:ascii="Times New Roman" w:hAnsi="Times New Roman"/>
          <w:sz w:val="22"/>
          <w:szCs w:val="22"/>
          <w:lang w:val="lv-LV"/>
        </w:rPr>
        <w:t>un</w:t>
      </w:r>
      <w:r w:rsidRPr="002D41D4">
        <w:rPr>
          <w:rFonts w:ascii="Times New Roman" w:hAnsi="Times New Roman"/>
          <w:sz w:val="22"/>
          <w:szCs w:val="22"/>
          <w:lang w:val="lv-LV"/>
        </w:rPr>
        <w:t xml:space="preserve"> caurejas līdzekļa lietošanu. Varētu būt nepieciešama mākslīgā plaušu ventilācija. Bradikardija vai paaugstināta </w:t>
      </w:r>
      <w:r w:rsidRPr="002D41D4">
        <w:rPr>
          <w:rFonts w:ascii="Times New Roman" w:hAnsi="Times New Roman"/>
          <w:i/>
          <w:sz w:val="22"/>
          <w:szCs w:val="22"/>
          <w:lang w:val="lv-LV"/>
        </w:rPr>
        <w:t>n. vagus</w:t>
      </w:r>
      <w:r w:rsidRPr="002D41D4">
        <w:rPr>
          <w:rFonts w:ascii="Times New Roman" w:hAnsi="Times New Roman"/>
          <w:sz w:val="22"/>
          <w:szCs w:val="22"/>
          <w:lang w:val="lv-LV"/>
        </w:rPr>
        <w:t xml:space="preserve"> tonusa izpausmes </w:t>
      </w:r>
      <w:r w:rsidRPr="002D41D4">
        <w:rPr>
          <w:rFonts w:ascii="Times New Roman" w:hAnsi="Times New Roman"/>
          <w:sz w:val="22"/>
          <w:szCs w:val="22"/>
          <w:lang w:val="lv-LV"/>
        </w:rPr>
        <w:lastRenderedPageBreak/>
        <w:t xml:space="preserve">jāārstē ar atropīnu vai metilatropīnu. Hipotensija un šoks jāārstē ar asins plazmas vai plazmas aizstājēju ievadīšanu un nepieciešamības gadījumā ar kateholamīniem. </w:t>
      </w:r>
      <w:r w:rsidR="006C1D01" w:rsidRPr="002D41D4">
        <w:rPr>
          <w:rFonts w:ascii="Times New Roman" w:hAnsi="Times New Roman"/>
          <w:sz w:val="22"/>
          <w:szCs w:val="22"/>
          <w:lang w:val="lv-LV"/>
        </w:rPr>
        <w:t>Bēta</w:t>
      </w:r>
      <w:r w:rsidRPr="002D41D4">
        <w:rPr>
          <w:rFonts w:ascii="Times New Roman" w:hAnsi="Times New Roman"/>
          <w:sz w:val="22"/>
          <w:szCs w:val="22"/>
          <w:lang w:val="lv-LV"/>
        </w:rPr>
        <w:t xml:space="preserve"> bloķējošo darbību var novērst, lēni intravenozi ievadot izoprenalīna hidrohlorīdu, sākot ar vidēji 5</w:t>
      </w:r>
      <w:r w:rsidR="00DA31B1" w:rsidRPr="002D41D4">
        <w:rPr>
          <w:rFonts w:ascii="Times New Roman" w:hAnsi="Times New Roman"/>
          <w:sz w:val="22"/>
          <w:szCs w:val="22"/>
          <w:lang w:val="lv-LV"/>
        </w:rPr>
        <w:t> </w:t>
      </w:r>
      <w:r w:rsidR="00C70D7B" w:rsidRPr="002D41D4">
        <w:rPr>
          <w:rFonts w:ascii="Times New Roman" w:hAnsi="Times New Roman"/>
          <w:sz w:val="22"/>
          <w:szCs w:val="22"/>
          <w:lang w:val="lv-LV"/>
        </w:rPr>
        <w:t>µg</w:t>
      </w:r>
      <w:r w:rsidRPr="002D41D4">
        <w:rPr>
          <w:rFonts w:ascii="Times New Roman" w:hAnsi="Times New Roman"/>
          <w:sz w:val="22"/>
          <w:szCs w:val="22"/>
          <w:lang w:val="lv-LV"/>
        </w:rPr>
        <w:t>/min, vai dobutamīnu, sākot ar 2,5 </w:t>
      </w:r>
      <w:r w:rsidR="00C70D7B" w:rsidRPr="002D41D4">
        <w:rPr>
          <w:rFonts w:ascii="Times New Roman" w:hAnsi="Times New Roman"/>
          <w:sz w:val="22"/>
          <w:szCs w:val="22"/>
          <w:lang w:val="lv-LV"/>
        </w:rPr>
        <w:t>µg</w:t>
      </w:r>
      <w:r w:rsidRPr="002D41D4">
        <w:rPr>
          <w:rFonts w:ascii="Times New Roman" w:hAnsi="Times New Roman"/>
          <w:sz w:val="22"/>
          <w:szCs w:val="22"/>
          <w:lang w:val="lv-LV"/>
        </w:rPr>
        <w:t>/min, līdz sasniegts vēlamais efekts. Neefektivitātes gadījumos izoprenalīnu var kombinēt ar dopamīnu. Ja arī šādi nevar sasniegt vēlamo efektu, var apsvērt 50 – 100 </w:t>
      </w:r>
      <w:r w:rsidR="00E1684E" w:rsidRPr="002D41D4">
        <w:rPr>
          <w:rFonts w:ascii="Times New Roman" w:hAnsi="Times New Roman"/>
          <w:sz w:val="22"/>
          <w:szCs w:val="22"/>
          <w:lang w:val="lv-LV"/>
        </w:rPr>
        <w:t>µg</w:t>
      </w:r>
      <w:r w:rsidRPr="002D41D4">
        <w:rPr>
          <w:rFonts w:ascii="Times New Roman" w:hAnsi="Times New Roman"/>
          <w:sz w:val="22"/>
          <w:szCs w:val="22"/>
          <w:lang w:val="lv-LV"/>
        </w:rPr>
        <w:t>/kg i.v. glikagona ievadīšanu. Nepieciešamības gadījumā injekcija jāatkārto vienas stundas laikā, ja nepieciešams, i.v. infūzijas veidā ievadot 70 </w:t>
      </w:r>
      <w:r w:rsidR="00E1684E" w:rsidRPr="002D41D4">
        <w:rPr>
          <w:rFonts w:ascii="Times New Roman" w:hAnsi="Times New Roman"/>
          <w:sz w:val="22"/>
          <w:szCs w:val="22"/>
          <w:lang w:val="lv-LV"/>
        </w:rPr>
        <w:t>µg</w:t>
      </w:r>
      <w:r w:rsidRPr="002D41D4">
        <w:rPr>
          <w:rFonts w:ascii="Times New Roman" w:hAnsi="Times New Roman"/>
          <w:sz w:val="22"/>
          <w:szCs w:val="22"/>
          <w:lang w:val="lv-LV"/>
        </w:rPr>
        <w:t>/kg/h glikagona. Ārkārtējos gadījumos, kad bradikardiju nevar novērst ar zālēm, jāizmanto kardiostimulators.</w:t>
      </w:r>
    </w:p>
    <w:p w14:paraId="5C5E211D" w14:textId="77777777" w:rsidR="002D336F" w:rsidRPr="002D41D4" w:rsidRDefault="002D336F" w:rsidP="007F2E0A">
      <w:pPr>
        <w:rPr>
          <w:rFonts w:ascii="Times New Roman" w:hAnsi="Times New Roman"/>
          <w:sz w:val="22"/>
          <w:szCs w:val="22"/>
          <w:lang w:val="lv-LV"/>
        </w:rPr>
      </w:pPr>
    </w:p>
    <w:p w14:paraId="22293752" w14:textId="77777777" w:rsidR="002D336F" w:rsidRPr="002D41D4" w:rsidRDefault="002D336F" w:rsidP="007F2E0A">
      <w:pPr>
        <w:rPr>
          <w:rFonts w:ascii="Times New Roman" w:hAnsi="Times New Roman"/>
          <w:sz w:val="22"/>
          <w:szCs w:val="22"/>
          <w:lang w:val="lv-LV"/>
        </w:rPr>
      </w:pPr>
    </w:p>
    <w:p w14:paraId="223BF9D7" w14:textId="77777777" w:rsidR="002D336F" w:rsidRPr="002D41D4" w:rsidRDefault="002D336F" w:rsidP="007F2E0A">
      <w:pPr>
        <w:pStyle w:val="ListParagraph"/>
        <w:numPr>
          <w:ilvl w:val="0"/>
          <w:numId w:val="2"/>
        </w:numPr>
        <w:ind w:left="0" w:firstLine="0"/>
        <w:rPr>
          <w:rFonts w:ascii="Times New Roman" w:hAnsi="Times New Roman"/>
          <w:b/>
          <w:sz w:val="22"/>
          <w:szCs w:val="22"/>
          <w:lang w:val="lv-LV"/>
        </w:rPr>
      </w:pPr>
      <w:r w:rsidRPr="002D41D4">
        <w:rPr>
          <w:rFonts w:ascii="Times New Roman" w:hAnsi="Times New Roman"/>
          <w:b/>
          <w:sz w:val="22"/>
          <w:szCs w:val="22"/>
          <w:lang w:val="lv-LV"/>
        </w:rPr>
        <w:t>FARMAKOLOĢISKĀS ĪPAŠĪBAS</w:t>
      </w:r>
    </w:p>
    <w:p w14:paraId="71EC77A8" w14:textId="77777777" w:rsidR="002D336F" w:rsidRPr="002D41D4" w:rsidRDefault="002D336F" w:rsidP="007F2E0A">
      <w:pPr>
        <w:rPr>
          <w:rFonts w:ascii="Times New Roman" w:hAnsi="Times New Roman"/>
          <w:b/>
          <w:sz w:val="22"/>
          <w:szCs w:val="22"/>
          <w:lang w:val="lv-LV"/>
        </w:rPr>
      </w:pPr>
    </w:p>
    <w:p w14:paraId="17B75DF9" w14:textId="77777777" w:rsidR="002D336F" w:rsidRPr="002D41D4" w:rsidRDefault="002D336F" w:rsidP="007F2E0A">
      <w:pPr>
        <w:pStyle w:val="ListParagraph"/>
        <w:numPr>
          <w:ilvl w:val="1"/>
          <w:numId w:val="2"/>
        </w:numPr>
        <w:ind w:left="0" w:firstLine="0"/>
        <w:rPr>
          <w:rFonts w:ascii="Times New Roman" w:hAnsi="Times New Roman"/>
          <w:b/>
          <w:sz w:val="22"/>
          <w:szCs w:val="22"/>
          <w:lang w:val="lv-LV"/>
        </w:rPr>
      </w:pPr>
      <w:r w:rsidRPr="002D41D4">
        <w:rPr>
          <w:rFonts w:ascii="Times New Roman" w:hAnsi="Times New Roman"/>
          <w:b/>
          <w:sz w:val="22"/>
          <w:szCs w:val="22"/>
          <w:lang w:val="lv-LV"/>
        </w:rPr>
        <w:t>Farmakodinamiskās īpašības</w:t>
      </w:r>
    </w:p>
    <w:p w14:paraId="709CC955" w14:textId="77777777" w:rsidR="002D336F" w:rsidRPr="002D41D4" w:rsidRDefault="002D336F" w:rsidP="007F2E0A">
      <w:pPr>
        <w:rPr>
          <w:rFonts w:ascii="Times New Roman" w:hAnsi="Times New Roman"/>
          <w:sz w:val="22"/>
          <w:szCs w:val="22"/>
          <w:lang w:val="lv-LV"/>
        </w:rPr>
      </w:pPr>
    </w:p>
    <w:p w14:paraId="49E4C4B4" w14:textId="77777777" w:rsidR="002D336F" w:rsidRPr="002D41D4" w:rsidRDefault="002D336F" w:rsidP="007F2E0A">
      <w:pPr>
        <w:rPr>
          <w:rFonts w:ascii="Times New Roman" w:hAnsi="Times New Roman"/>
          <w:sz w:val="22"/>
          <w:szCs w:val="22"/>
          <w:lang w:val="lv-LV"/>
        </w:rPr>
      </w:pPr>
      <w:r w:rsidRPr="002D41D4">
        <w:rPr>
          <w:rFonts w:ascii="Times New Roman" w:hAnsi="Times New Roman"/>
          <w:sz w:val="22"/>
          <w:szCs w:val="22"/>
          <w:lang w:val="lv-LV"/>
        </w:rPr>
        <w:t xml:space="preserve">Farmakoterapeitiskā grupa: Selektīvs </w:t>
      </w:r>
      <w:r w:rsidR="006C1D01" w:rsidRPr="002D41D4">
        <w:rPr>
          <w:rFonts w:ascii="Times New Roman" w:hAnsi="Times New Roman"/>
          <w:sz w:val="22"/>
          <w:szCs w:val="22"/>
          <w:lang w:val="lv-LV"/>
        </w:rPr>
        <w:t>bēta</w:t>
      </w:r>
      <w:r w:rsidRPr="002D41D4">
        <w:rPr>
          <w:rFonts w:ascii="Times New Roman" w:hAnsi="Times New Roman"/>
          <w:sz w:val="22"/>
          <w:szCs w:val="22"/>
          <w:lang w:val="lv-LV"/>
        </w:rPr>
        <w:t xml:space="preserve"> </w:t>
      </w:r>
      <w:r w:rsidR="00844ECB" w:rsidRPr="002D41D4">
        <w:rPr>
          <w:rFonts w:ascii="Times New Roman" w:hAnsi="Times New Roman"/>
          <w:sz w:val="22"/>
          <w:szCs w:val="22"/>
          <w:lang w:val="lv-LV"/>
        </w:rPr>
        <w:t xml:space="preserve">adrenoreceptoru </w:t>
      </w:r>
      <w:r w:rsidRPr="002D41D4">
        <w:rPr>
          <w:rFonts w:ascii="Times New Roman" w:hAnsi="Times New Roman"/>
          <w:sz w:val="22"/>
          <w:szCs w:val="22"/>
          <w:lang w:val="lv-LV"/>
        </w:rPr>
        <w:t>blokators.</w:t>
      </w:r>
    </w:p>
    <w:p w14:paraId="685B0CEC" w14:textId="77777777" w:rsidR="002D336F" w:rsidRPr="002D41D4" w:rsidRDefault="002D336F" w:rsidP="007F2E0A">
      <w:pPr>
        <w:rPr>
          <w:rFonts w:ascii="Times New Roman" w:hAnsi="Times New Roman"/>
          <w:sz w:val="22"/>
          <w:szCs w:val="22"/>
          <w:lang w:val="lv-LV"/>
        </w:rPr>
      </w:pPr>
      <w:r w:rsidRPr="002D41D4">
        <w:rPr>
          <w:rFonts w:ascii="Times New Roman" w:hAnsi="Times New Roman"/>
          <w:sz w:val="22"/>
          <w:szCs w:val="22"/>
          <w:lang w:val="lv-LV"/>
        </w:rPr>
        <w:t>ATĶ kods: C07AB12</w:t>
      </w:r>
      <w:r w:rsidR="00844ECB" w:rsidRPr="002D41D4">
        <w:rPr>
          <w:rFonts w:ascii="Times New Roman" w:hAnsi="Times New Roman"/>
          <w:sz w:val="22"/>
          <w:szCs w:val="22"/>
          <w:lang w:val="lv-LV"/>
        </w:rPr>
        <w:t>.</w:t>
      </w:r>
    </w:p>
    <w:p w14:paraId="080BAA48" w14:textId="77777777" w:rsidR="008805D2" w:rsidRPr="002D41D4" w:rsidRDefault="008805D2" w:rsidP="007F2E0A">
      <w:pPr>
        <w:rPr>
          <w:rFonts w:ascii="Times New Roman" w:hAnsi="Times New Roman"/>
          <w:sz w:val="22"/>
          <w:szCs w:val="22"/>
          <w:lang w:val="lv-LV"/>
        </w:rPr>
      </w:pPr>
    </w:p>
    <w:p w14:paraId="429038E3" w14:textId="77777777" w:rsidR="002D336F" w:rsidRPr="002D41D4" w:rsidRDefault="002D336F" w:rsidP="007F2E0A">
      <w:pPr>
        <w:rPr>
          <w:rFonts w:ascii="Times New Roman" w:hAnsi="Times New Roman"/>
          <w:sz w:val="22"/>
          <w:szCs w:val="22"/>
          <w:lang w:val="lv-LV"/>
        </w:rPr>
      </w:pPr>
      <w:r w:rsidRPr="002D41D4">
        <w:rPr>
          <w:rFonts w:ascii="Times New Roman" w:hAnsi="Times New Roman"/>
          <w:sz w:val="22"/>
          <w:szCs w:val="22"/>
          <w:lang w:val="lv-LV"/>
        </w:rPr>
        <w:t xml:space="preserve">Nebivolols ir divu enantiomēru – SRRR nebivolola (jeb D–nebivolola) un RSSS–nebivolola (jeb L–nebivolola) – </w:t>
      </w:r>
      <w:r w:rsidR="00E810C4" w:rsidRPr="002D41D4">
        <w:rPr>
          <w:rFonts w:ascii="Times New Roman" w:hAnsi="Times New Roman"/>
          <w:sz w:val="22"/>
          <w:szCs w:val="22"/>
          <w:lang w:val="lv-LV"/>
        </w:rPr>
        <w:t xml:space="preserve">racēmisks </w:t>
      </w:r>
      <w:r w:rsidRPr="002D41D4">
        <w:rPr>
          <w:rFonts w:ascii="Times New Roman" w:hAnsi="Times New Roman"/>
          <w:sz w:val="22"/>
          <w:szCs w:val="22"/>
          <w:lang w:val="lv-LV"/>
        </w:rPr>
        <w:t>maisījums. Tas apvieno divējādu farmakoloģisko darbību:</w:t>
      </w:r>
    </w:p>
    <w:p w14:paraId="31E3472A" w14:textId="77777777" w:rsidR="002D336F" w:rsidRPr="002D41D4" w:rsidRDefault="002D336F" w:rsidP="007F2E0A">
      <w:pPr>
        <w:ind w:left="567" w:hanging="567"/>
        <w:rPr>
          <w:rFonts w:ascii="Times New Roman" w:hAnsi="Times New Roman"/>
          <w:sz w:val="22"/>
          <w:szCs w:val="22"/>
          <w:lang w:val="lv-LV"/>
        </w:rPr>
      </w:pPr>
      <w:r w:rsidRPr="002D41D4">
        <w:rPr>
          <w:rFonts w:ascii="Times New Roman" w:hAnsi="Times New Roman"/>
          <w:sz w:val="22"/>
          <w:szCs w:val="22"/>
          <w:lang w:val="lv-LV"/>
        </w:rPr>
        <w:t>-</w:t>
      </w:r>
      <w:r w:rsidR="00B140C9" w:rsidRPr="002D41D4">
        <w:rPr>
          <w:rFonts w:ascii="Times New Roman" w:hAnsi="Times New Roman"/>
          <w:sz w:val="22"/>
          <w:szCs w:val="22"/>
          <w:lang w:val="lv-LV"/>
        </w:rPr>
        <w:tab/>
      </w:r>
      <w:r w:rsidRPr="002D41D4">
        <w:rPr>
          <w:rFonts w:ascii="Times New Roman" w:hAnsi="Times New Roman"/>
          <w:sz w:val="22"/>
          <w:szCs w:val="22"/>
          <w:lang w:val="lv-LV"/>
        </w:rPr>
        <w:t xml:space="preserve">tas ir konkurējošs un selektīvs </w:t>
      </w:r>
      <w:r w:rsidR="006C1D01" w:rsidRPr="002D41D4">
        <w:rPr>
          <w:rFonts w:ascii="Times New Roman" w:hAnsi="Times New Roman"/>
          <w:sz w:val="22"/>
          <w:szCs w:val="22"/>
          <w:lang w:val="lv-LV"/>
        </w:rPr>
        <w:t>bēta</w:t>
      </w:r>
      <w:r w:rsidRPr="002D41D4">
        <w:rPr>
          <w:rFonts w:ascii="Times New Roman" w:hAnsi="Times New Roman"/>
          <w:sz w:val="22"/>
          <w:szCs w:val="22"/>
          <w:lang w:val="lv-LV"/>
        </w:rPr>
        <w:t xml:space="preserve"> receptoru antagonists: šo iedarbību izraisa SRRR enantiomērs (D–enantiomērs);</w:t>
      </w:r>
    </w:p>
    <w:p w14:paraId="772DE2E8" w14:textId="77777777" w:rsidR="002D336F" w:rsidRPr="002D41D4" w:rsidRDefault="002D336F" w:rsidP="007F2E0A">
      <w:pPr>
        <w:ind w:left="567" w:hanging="567"/>
        <w:rPr>
          <w:rFonts w:ascii="Times New Roman" w:hAnsi="Times New Roman"/>
          <w:sz w:val="22"/>
          <w:szCs w:val="22"/>
          <w:lang w:val="lv-LV"/>
        </w:rPr>
      </w:pPr>
      <w:r w:rsidRPr="002D41D4">
        <w:rPr>
          <w:rFonts w:ascii="Times New Roman" w:hAnsi="Times New Roman"/>
          <w:sz w:val="22"/>
          <w:szCs w:val="22"/>
          <w:lang w:val="lv-LV"/>
        </w:rPr>
        <w:t>-</w:t>
      </w:r>
      <w:r w:rsidR="00B140C9" w:rsidRPr="002D41D4">
        <w:rPr>
          <w:rFonts w:ascii="Times New Roman" w:hAnsi="Times New Roman"/>
          <w:sz w:val="22"/>
          <w:szCs w:val="22"/>
          <w:lang w:val="lv-LV"/>
        </w:rPr>
        <w:tab/>
      </w:r>
      <w:r w:rsidRPr="002D41D4">
        <w:rPr>
          <w:rFonts w:ascii="Times New Roman" w:hAnsi="Times New Roman"/>
          <w:sz w:val="22"/>
          <w:szCs w:val="22"/>
          <w:lang w:val="lv-LV"/>
        </w:rPr>
        <w:t>tam piemīt viegli izteiktas asinsvadus paplašinošas īpašības, kas rodas L–arginīna/slāpekļa oksīda mijiedarbības dēļ.</w:t>
      </w:r>
    </w:p>
    <w:p w14:paraId="3666D784" w14:textId="77777777" w:rsidR="002D336F" w:rsidRPr="002D41D4" w:rsidRDefault="002D336F" w:rsidP="007F2E0A">
      <w:pPr>
        <w:rPr>
          <w:rFonts w:ascii="Times New Roman" w:hAnsi="Times New Roman"/>
          <w:sz w:val="22"/>
          <w:szCs w:val="22"/>
          <w:lang w:val="lv-LV"/>
        </w:rPr>
      </w:pPr>
      <w:r w:rsidRPr="002D41D4">
        <w:rPr>
          <w:rFonts w:ascii="Times New Roman" w:hAnsi="Times New Roman"/>
          <w:sz w:val="22"/>
          <w:szCs w:val="22"/>
          <w:lang w:val="lv-LV"/>
        </w:rPr>
        <w:t>Nebivolola vienreizējas un atkārtotas devas palēnina sirdsdarbību un pazemina asinsspiedienu miera stāvoklī un slodzes laikā gan pacientiem ar normālu, gan ar paaugstinātu asinsspiedienu. Ilgstošas ārstēšanas gadījumā antihipertensīvais efekts saglabājas.</w:t>
      </w:r>
    </w:p>
    <w:p w14:paraId="2266B8E6" w14:textId="77777777" w:rsidR="002D336F" w:rsidRPr="002D41D4" w:rsidRDefault="002D336F" w:rsidP="007F2E0A">
      <w:pPr>
        <w:rPr>
          <w:rFonts w:ascii="Times New Roman" w:hAnsi="Times New Roman"/>
          <w:sz w:val="22"/>
          <w:szCs w:val="22"/>
          <w:lang w:val="lv-LV"/>
        </w:rPr>
      </w:pPr>
      <w:r w:rsidRPr="002D41D4">
        <w:rPr>
          <w:rFonts w:ascii="Times New Roman" w:hAnsi="Times New Roman"/>
          <w:sz w:val="22"/>
          <w:szCs w:val="22"/>
          <w:lang w:val="lv-LV"/>
        </w:rPr>
        <w:t>Nebivolols terapeitiskās devās neizraisa alfa adrenerģisko antagonismu.</w:t>
      </w:r>
    </w:p>
    <w:p w14:paraId="59D01024" w14:textId="77777777" w:rsidR="002D336F" w:rsidRPr="002D41D4" w:rsidRDefault="002D336F" w:rsidP="007F2E0A">
      <w:pPr>
        <w:rPr>
          <w:rFonts w:ascii="Times New Roman" w:hAnsi="Times New Roman"/>
          <w:sz w:val="22"/>
          <w:szCs w:val="22"/>
          <w:lang w:val="lv-LV"/>
        </w:rPr>
      </w:pPr>
      <w:r w:rsidRPr="002D41D4">
        <w:rPr>
          <w:rFonts w:ascii="Times New Roman" w:hAnsi="Times New Roman"/>
          <w:sz w:val="22"/>
          <w:szCs w:val="22"/>
          <w:lang w:val="lv-LV"/>
        </w:rPr>
        <w:t>Īslaicīgas un ilgstošas nebivolola terapijas laikā pacientiem ar paaugstinātu asinsspiedienu pazeminās sistēmiskā asinsvadu pretestība. Neskatoties uz sirdsdarbības palēnināšanos, sirds izsviedes mazināšanās miera stāvoklī un slodzes laikā var nebūt</w:t>
      </w:r>
      <w:r w:rsidR="00172527" w:rsidRPr="002D41D4">
        <w:rPr>
          <w:rFonts w:ascii="Times New Roman" w:hAnsi="Times New Roman"/>
          <w:sz w:val="22"/>
          <w:szCs w:val="22"/>
          <w:lang w:val="lv-LV"/>
        </w:rPr>
        <w:t xml:space="preserve"> </w:t>
      </w:r>
      <w:r w:rsidRPr="002D41D4">
        <w:rPr>
          <w:rFonts w:ascii="Times New Roman" w:hAnsi="Times New Roman"/>
          <w:sz w:val="22"/>
          <w:szCs w:val="22"/>
          <w:lang w:val="lv-LV"/>
        </w:rPr>
        <w:t xml:space="preserve">izteikta palielinātā sirds kontrakcijas spēka dēļ. Šo hemodinamikas atšķirību, salīdzinājumā ar citiem </w:t>
      </w:r>
      <w:r w:rsidR="006C1D01" w:rsidRPr="002D41D4">
        <w:rPr>
          <w:rFonts w:ascii="Times New Roman" w:hAnsi="Times New Roman"/>
          <w:sz w:val="22"/>
          <w:szCs w:val="22"/>
          <w:lang w:val="lv-LV"/>
        </w:rPr>
        <w:t>bēta</w:t>
      </w:r>
      <w:r w:rsidRPr="002D41D4">
        <w:rPr>
          <w:rFonts w:ascii="Times New Roman" w:hAnsi="Times New Roman"/>
          <w:sz w:val="22"/>
          <w:szCs w:val="22"/>
          <w:lang w:val="lv-LV"/>
        </w:rPr>
        <w:t xml:space="preserve"> 1 receptoru antagonistiem, klīniskā nozīme nav pilnībā noskaidrota.</w:t>
      </w:r>
    </w:p>
    <w:p w14:paraId="1E0824F3" w14:textId="77777777" w:rsidR="002D336F" w:rsidRPr="002D41D4" w:rsidRDefault="002D336F" w:rsidP="007F2E0A">
      <w:pPr>
        <w:rPr>
          <w:rFonts w:ascii="Times New Roman" w:hAnsi="Times New Roman"/>
          <w:sz w:val="22"/>
          <w:szCs w:val="22"/>
          <w:lang w:val="lv-LV"/>
        </w:rPr>
      </w:pPr>
      <w:r w:rsidRPr="002D41D4">
        <w:rPr>
          <w:rFonts w:ascii="Times New Roman" w:hAnsi="Times New Roman"/>
          <w:sz w:val="22"/>
          <w:szCs w:val="22"/>
          <w:lang w:val="lv-LV"/>
        </w:rPr>
        <w:t>Pacientiem ar paaugstinātu asinsspiedienu nebivolols pastiprina ar NO saistīto asinsvadu atbildes reakciju pret acetilholīnu (ACh), kas pacientiem ar endotēlija disfunkciju ir pavājināta.</w:t>
      </w:r>
    </w:p>
    <w:p w14:paraId="397E3906" w14:textId="77777777" w:rsidR="002D336F" w:rsidRPr="002D41D4" w:rsidRDefault="002D336F" w:rsidP="007F2E0A">
      <w:pPr>
        <w:rPr>
          <w:rFonts w:ascii="Times New Roman" w:hAnsi="Times New Roman"/>
          <w:sz w:val="22"/>
          <w:szCs w:val="22"/>
          <w:lang w:val="lv-LV"/>
        </w:rPr>
      </w:pPr>
    </w:p>
    <w:p w14:paraId="3A5E5E3E" w14:textId="77777777" w:rsidR="002D336F" w:rsidRPr="002D41D4" w:rsidRDefault="002D336F" w:rsidP="007F2E0A">
      <w:pPr>
        <w:rPr>
          <w:rFonts w:ascii="Times New Roman" w:hAnsi="Times New Roman"/>
          <w:sz w:val="22"/>
          <w:szCs w:val="22"/>
          <w:lang w:val="lv-LV"/>
        </w:rPr>
      </w:pPr>
      <w:r w:rsidRPr="002D41D4">
        <w:rPr>
          <w:rFonts w:ascii="Times New Roman" w:hAnsi="Times New Roman"/>
          <w:sz w:val="22"/>
          <w:szCs w:val="22"/>
          <w:lang w:val="lv-LV"/>
        </w:rPr>
        <w:t>Mirstības-saslimstības placebo kontrolētais pētījums tika veikts 2128 70 g.</w:t>
      </w:r>
      <w:r w:rsidR="0069192B" w:rsidRPr="002D41D4">
        <w:rPr>
          <w:rFonts w:ascii="Times New Roman" w:hAnsi="Times New Roman"/>
          <w:sz w:val="22"/>
          <w:szCs w:val="22"/>
          <w:lang w:val="lv-LV"/>
        </w:rPr>
        <w:t xml:space="preserve"> </w:t>
      </w:r>
      <w:r w:rsidRPr="002D41D4">
        <w:rPr>
          <w:rFonts w:ascii="Times New Roman" w:hAnsi="Times New Roman"/>
          <w:sz w:val="22"/>
          <w:szCs w:val="22"/>
          <w:lang w:val="lv-LV"/>
        </w:rPr>
        <w:t>v. un vecākiem pacientiem (vecum</w:t>
      </w:r>
      <w:r w:rsidR="009777B9" w:rsidRPr="002D41D4">
        <w:rPr>
          <w:rFonts w:ascii="Times New Roman" w:hAnsi="Times New Roman"/>
          <w:sz w:val="22"/>
          <w:szCs w:val="22"/>
          <w:lang w:val="lv-LV"/>
        </w:rPr>
        <w:t>a mediāna</w:t>
      </w:r>
      <w:r w:rsidRPr="002D41D4">
        <w:rPr>
          <w:rFonts w:ascii="Times New Roman" w:hAnsi="Times New Roman"/>
          <w:sz w:val="22"/>
          <w:szCs w:val="22"/>
          <w:lang w:val="lv-LV"/>
        </w:rPr>
        <w:t xml:space="preserve"> 75,2 gadi) ar stabilu hronisku sirds mazspēju un samazinātu kreisā kambara izsviedes frakciju vai bez tās (vidējā KKIF 36 </w:t>
      </w:r>
      <w:r w:rsidRPr="002D41D4">
        <w:rPr>
          <w:rFonts w:ascii="Times New Roman" w:hAnsi="Times New Roman"/>
          <w:sz w:val="22"/>
          <w:szCs w:val="22"/>
          <w:u w:val="single"/>
          <w:lang w:val="lv-LV"/>
        </w:rPr>
        <w:t>+</w:t>
      </w:r>
      <w:r w:rsidRPr="002D41D4">
        <w:rPr>
          <w:rFonts w:ascii="Times New Roman" w:hAnsi="Times New Roman"/>
          <w:sz w:val="22"/>
          <w:szCs w:val="22"/>
          <w:lang w:val="lv-LV"/>
        </w:rPr>
        <w:t xml:space="preserve"> 12,3% ar šādu sadalījumu: 56% pacientu KKIF mazāka nekā 35%, 25% pacientu KKIF no 35% līdz 45% un 19% pacientu KKIF lielāka nekā 45%). Pacienti tika novēroti vidēji 20 mēnešus. Nebivolols papildus standarta terapijai nozīmīgi palielināja laiku līdz nāves iestāšanās vai hospitalizācijas brīdim kardiovaskulāra cēloņa dēļ (primārais vērtētais efektivitātes raksturlielums) ar relatīvā riska samazināšanos par 14% (absolūtā samazināšanās 4,2%). Šī riska samazināšanās sākās pēc 6 ārstēšanas mēnešiem un saglabājās visu ārstēšanas laiku (ilgum</w:t>
      </w:r>
      <w:r w:rsidR="009777B9" w:rsidRPr="002D41D4">
        <w:rPr>
          <w:rFonts w:ascii="Times New Roman" w:hAnsi="Times New Roman"/>
          <w:sz w:val="22"/>
          <w:szCs w:val="22"/>
          <w:lang w:val="lv-LV"/>
        </w:rPr>
        <w:t>a</w:t>
      </w:r>
      <w:r w:rsidRPr="002D41D4">
        <w:rPr>
          <w:rFonts w:ascii="Times New Roman" w:hAnsi="Times New Roman"/>
          <w:sz w:val="22"/>
          <w:szCs w:val="22"/>
          <w:lang w:val="lv-LV"/>
        </w:rPr>
        <w:t xml:space="preserve"> </w:t>
      </w:r>
      <w:r w:rsidR="009777B9" w:rsidRPr="002D41D4">
        <w:rPr>
          <w:rFonts w:ascii="Times New Roman" w:hAnsi="Times New Roman"/>
          <w:sz w:val="22"/>
          <w:szCs w:val="22"/>
          <w:lang w:val="lv-LV"/>
        </w:rPr>
        <w:t xml:space="preserve">mediāna </w:t>
      </w:r>
      <w:r w:rsidRPr="002D41D4">
        <w:rPr>
          <w:rFonts w:ascii="Times New Roman" w:hAnsi="Times New Roman"/>
          <w:sz w:val="22"/>
          <w:szCs w:val="22"/>
          <w:lang w:val="lv-LV"/>
        </w:rPr>
        <w:t>18 mēneši). Nebivolola efektivitāte pētījuma grupā nebija atkarīga no vecuma, dzimuma vai sirds kreisā kambara izsviedes frakcijas. Ietekme uz visu cēloņu izraisīto mirstību nesasniedza statistisku nozīmīgumu salīdzinājumā ar placebo (absolūtā samazināšanās 2,3%).</w:t>
      </w:r>
    </w:p>
    <w:p w14:paraId="515239CD" w14:textId="77777777" w:rsidR="002D336F" w:rsidRPr="002D41D4" w:rsidRDefault="002D336F" w:rsidP="007F2E0A">
      <w:pPr>
        <w:rPr>
          <w:rFonts w:ascii="Times New Roman" w:hAnsi="Times New Roman"/>
          <w:sz w:val="22"/>
          <w:szCs w:val="22"/>
          <w:lang w:val="lv-LV"/>
        </w:rPr>
      </w:pPr>
      <w:r w:rsidRPr="002D41D4">
        <w:rPr>
          <w:rFonts w:ascii="Times New Roman" w:hAnsi="Times New Roman"/>
          <w:sz w:val="22"/>
          <w:szCs w:val="22"/>
          <w:lang w:val="lv-LV"/>
        </w:rPr>
        <w:t>Ar nebivololu ārstētajiem pacientiem novēroja mazāk pēkšņas nāves gadījumu (4,1% pret 6,6%, relatīvā samazināšanās pa 38%).</w:t>
      </w:r>
    </w:p>
    <w:p w14:paraId="5A806009" w14:textId="77777777" w:rsidR="002D336F" w:rsidRPr="002D41D4" w:rsidRDefault="002D336F" w:rsidP="007F2E0A">
      <w:pPr>
        <w:rPr>
          <w:rFonts w:ascii="Times New Roman" w:hAnsi="Times New Roman"/>
          <w:i/>
          <w:sz w:val="22"/>
          <w:szCs w:val="22"/>
          <w:lang w:val="lv-LV"/>
        </w:rPr>
      </w:pPr>
    </w:p>
    <w:p w14:paraId="09F12F0F" w14:textId="77777777" w:rsidR="002D336F" w:rsidRPr="002D41D4" w:rsidRDefault="002D336F" w:rsidP="007F2E0A">
      <w:pPr>
        <w:rPr>
          <w:rFonts w:ascii="Times New Roman" w:hAnsi="Times New Roman"/>
          <w:sz w:val="22"/>
          <w:szCs w:val="22"/>
          <w:lang w:val="lv-LV"/>
        </w:rPr>
      </w:pPr>
      <w:r w:rsidRPr="002D41D4">
        <w:rPr>
          <w:rFonts w:ascii="Times New Roman" w:hAnsi="Times New Roman"/>
          <w:i/>
          <w:sz w:val="22"/>
          <w:szCs w:val="22"/>
          <w:lang w:val="lv-LV"/>
        </w:rPr>
        <w:t>In vitro</w:t>
      </w:r>
      <w:r w:rsidRPr="002D41D4">
        <w:rPr>
          <w:rFonts w:ascii="Times New Roman" w:hAnsi="Times New Roman"/>
          <w:sz w:val="22"/>
          <w:szCs w:val="22"/>
          <w:lang w:val="lv-LV"/>
        </w:rPr>
        <w:t xml:space="preserve"> un </w:t>
      </w:r>
      <w:r w:rsidRPr="002D41D4">
        <w:rPr>
          <w:rFonts w:ascii="Times New Roman" w:hAnsi="Times New Roman"/>
          <w:i/>
          <w:sz w:val="22"/>
          <w:szCs w:val="22"/>
          <w:lang w:val="lv-LV"/>
        </w:rPr>
        <w:t>in vivo</w:t>
      </w:r>
      <w:r w:rsidRPr="002D41D4">
        <w:rPr>
          <w:rFonts w:ascii="Times New Roman" w:hAnsi="Times New Roman"/>
          <w:iCs/>
          <w:sz w:val="22"/>
          <w:szCs w:val="22"/>
          <w:lang w:val="lv-LV"/>
        </w:rPr>
        <w:t xml:space="preserve"> </w:t>
      </w:r>
      <w:r w:rsidRPr="002D41D4">
        <w:rPr>
          <w:rFonts w:ascii="Times New Roman" w:hAnsi="Times New Roman"/>
          <w:sz w:val="22"/>
          <w:szCs w:val="22"/>
          <w:lang w:val="lv-LV"/>
        </w:rPr>
        <w:t>eksperimenti ar dzīvniekiem pierādījuši, ka nebivololam nepiemīt iekšēja simpatomimētiska aktivitāte.</w:t>
      </w:r>
    </w:p>
    <w:p w14:paraId="04A71A9C" w14:textId="77777777" w:rsidR="002D336F" w:rsidRPr="002D41D4" w:rsidRDefault="002D336F" w:rsidP="007F2E0A">
      <w:pPr>
        <w:rPr>
          <w:rFonts w:ascii="Times New Roman" w:hAnsi="Times New Roman"/>
          <w:sz w:val="22"/>
          <w:szCs w:val="22"/>
          <w:lang w:val="lv-LV"/>
        </w:rPr>
      </w:pPr>
      <w:r w:rsidRPr="002D41D4">
        <w:rPr>
          <w:rFonts w:ascii="Times New Roman" w:hAnsi="Times New Roman"/>
          <w:i/>
          <w:sz w:val="22"/>
          <w:szCs w:val="22"/>
          <w:lang w:val="lv-LV"/>
        </w:rPr>
        <w:t>In vitro</w:t>
      </w:r>
      <w:r w:rsidRPr="002D41D4">
        <w:rPr>
          <w:rFonts w:ascii="Times New Roman" w:hAnsi="Times New Roman"/>
          <w:iCs/>
          <w:sz w:val="22"/>
          <w:szCs w:val="22"/>
          <w:lang w:val="lv-LV"/>
        </w:rPr>
        <w:t xml:space="preserve"> </w:t>
      </w:r>
      <w:r w:rsidRPr="002D41D4">
        <w:rPr>
          <w:rFonts w:ascii="Times New Roman" w:hAnsi="Times New Roman"/>
          <w:sz w:val="22"/>
          <w:szCs w:val="22"/>
          <w:lang w:val="lv-LV"/>
        </w:rPr>
        <w:t>un</w:t>
      </w:r>
      <w:r w:rsidRPr="002D41D4">
        <w:rPr>
          <w:rFonts w:ascii="Times New Roman" w:hAnsi="Times New Roman"/>
          <w:iCs/>
          <w:sz w:val="22"/>
          <w:szCs w:val="22"/>
          <w:lang w:val="lv-LV"/>
        </w:rPr>
        <w:t xml:space="preserve"> </w:t>
      </w:r>
      <w:r w:rsidRPr="002D41D4">
        <w:rPr>
          <w:rFonts w:ascii="Times New Roman" w:hAnsi="Times New Roman"/>
          <w:i/>
          <w:sz w:val="22"/>
          <w:szCs w:val="22"/>
          <w:lang w:val="lv-LV"/>
        </w:rPr>
        <w:t>in vivo</w:t>
      </w:r>
      <w:r w:rsidRPr="002D41D4">
        <w:rPr>
          <w:rFonts w:ascii="Times New Roman" w:hAnsi="Times New Roman"/>
          <w:iCs/>
          <w:sz w:val="22"/>
          <w:szCs w:val="22"/>
          <w:lang w:val="lv-LV"/>
        </w:rPr>
        <w:t xml:space="preserve"> </w:t>
      </w:r>
      <w:r w:rsidRPr="002D41D4">
        <w:rPr>
          <w:rFonts w:ascii="Times New Roman" w:hAnsi="Times New Roman"/>
          <w:sz w:val="22"/>
          <w:szCs w:val="22"/>
          <w:lang w:val="lv-LV"/>
        </w:rPr>
        <w:t>eksperimenti ar dzīvniekiem pierādījuši, ka farmakoloģiskās devās nebivololam nepiemīt membrānas stabilizējoša darbība.</w:t>
      </w:r>
    </w:p>
    <w:p w14:paraId="19B48314" w14:textId="77777777" w:rsidR="002D336F" w:rsidRDefault="002D336F" w:rsidP="007F2E0A">
      <w:pPr>
        <w:rPr>
          <w:rFonts w:ascii="Times New Roman" w:hAnsi="Times New Roman"/>
          <w:sz w:val="22"/>
          <w:szCs w:val="22"/>
          <w:lang w:val="lv-LV"/>
        </w:rPr>
      </w:pPr>
      <w:r w:rsidRPr="002D41D4">
        <w:rPr>
          <w:rFonts w:ascii="Times New Roman" w:hAnsi="Times New Roman"/>
          <w:sz w:val="22"/>
          <w:szCs w:val="22"/>
          <w:lang w:val="lv-LV"/>
        </w:rPr>
        <w:t>Veseliem brīvprātīgajiem nebivolols būtiski neietekmē maksimālo slodzes jaudu un izturību.</w:t>
      </w:r>
    </w:p>
    <w:p w14:paraId="3D1556C8" w14:textId="77777777" w:rsidR="00493B16" w:rsidRPr="002D41D4" w:rsidRDefault="00493B16" w:rsidP="007F2E0A">
      <w:pPr>
        <w:rPr>
          <w:rFonts w:ascii="Times New Roman" w:hAnsi="Times New Roman"/>
          <w:sz w:val="22"/>
          <w:szCs w:val="22"/>
          <w:lang w:val="lv-LV"/>
        </w:rPr>
      </w:pPr>
      <w:r>
        <w:rPr>
          <w:rFonts w:ascii="Times New Roman" w:hAnsi="Times New Roman"/>
          <w:sz w:val="22"/>
          <w:szCs w:val="22"/>
          <w:lang w:val="lv-LV"/>
        </w:rPr>
        <w:t>Pieejamie preklīnisko un klīnisko pētījumu rezultāti hipertensijas pacientiem nav uzrādījuši, ka nebivolols negatīvi ietekmē erektīlās funkcijas.</w:t>
      </w:r>
    </w:p>
    <w:p w14:paraId="76AEF931" w14:textId="77777777" w:rsidR="002D336F" w:rsidRPr="002D41D4" w:rsidRDefault="002D336F" w:rsidP="007F2E0A">
      <w:pPr>
        <w:rPr>
          <w:rFonts w:ascii="Times New Roman" w:hAnsi="Times New Roman"/>
          <w:sz w:val="22"/>
          <w:szCs w:val="22"/>
          <w:lang w:val="lv-LV"/>
        </w:rPr>
      </w:pPr>
    </w:p>
    <w:p w14:paraId="319AB208" w14:textId="77777777" w:rsidR="002D336F" w:rsidRPr="002D41D4" w:rsidRDefault="002D336F" w:rsidP="007F2E0A">
      <w:pPr>
        <w:pStyle w:val="ListParagraph"/>
        <w:numPr>
          <w:ilvl w:val="1"/>
          <w:numId w:val="2"/>
        </w:numPr>
        <w:ind w:left="0" w:firstLine="0"/>
        <w:rPr>
          <w:rFonts w:ascii="Times New Roman" w:hAnsi="Times New Roman"/>
          <w:sz w:val="22"/>
          <w:szCs w:val="22"/>
          <w:lang w:val="lv-LV"/>
        </w:rPr>
      </w:pPr>
      <w:r w:rsidRPr="002D41D4">
        <w:rPr>
          <w:rFonts w:ascii="Times New Roman" w:hAnsi="Times New Roman"/>
          <w:b/>
          <w:sz w:val="22"/>
          <w:szCs w:val="22"/>
          <w:lang w:val="lv-LV"/>
        </w:rPr>
        <w:t>Farmakokinētiskās īpašības</w:t>
      </w:r>
    </w:p>
    <w:p w14:paraId="16AC9FAC" w14:textId="77777777" w:rsidR="002D336F" w:rsidRPr="002D41D4" w:rsidRDefault="002D336F" w:rsidP="007F2E0A">
      <w:pPr>
        <w:rPr>
          <w:rFonts w:ascii="Times New Roman" w:hAnsi="Times New Roman"/>
          <w:sz w:val="22"/>
          <w:szCs w:val="22"/>
          <w:lang w:val="lv-LV"/>
        </w:rPr>
      </w:pPr>
    </w:p>
    <w:p w14:paraId="777636E3" w14:textId="77777777" w:rsidR="002D336F" w:rsidRPr="002D41D4" w:rsidRDefault="002D336F" w:rsidP="007F2E0A">
      <w:pPr>
        <w:rPr>
          <w:rFonts w:ascii="Times New Roman" w:hAnsi="Times New Roman"/>
          <w:sz w:val="22"/>
          <w:szCs w:val="22"/>
          <w:lang w:val="lv-LV"/>
        </w:rPr>
      </w:pPr>
      <w:r w:rsidRPr="002D41D4">
        <w:rPr>
          <w:rFonts w:ascii="Times New Roman" w:hAnsi="Times New Roman"/>
          <w:sz w:val="22"/>
          <w:szCs w:val="22"/>
          <w:lang w:val="lv-LV"/>
        </w:rPr>
        <w:t>Pēc iekšķīgas lietošanas abi nebivolola enantiomēri ātri uzsūcas. Nebivolola uzsūkšanos neietekmē uztura uzņemšana; nebivololu var lietot gan ēšanas laikā, gan starp ēdienreizēm.</w:t>
      </w:r>
    </w:p>
    <w:p w14:paraId="0D24A585" w14:textId="77777777" w:rsidR="002D336F" w:rsidRPr="002D41D4" w:rsidRDefault="002D336F" w:rsidP="007F2E0A">
      <w:pPr>
        <w:rPr>
          <w:rFonts w:ascii="Times New Roman" w:hAnsi="Times New Roman"/>
          <w:sz w:val="22"/>
          <w:szCs w:val="22"/>
          <w:lang w:val="lv-LV"/>
        </w:rPr>
      </w:pPr>
      <w:r w:rsidRPr="002D41D4">
        <w:rPr>
          <w:rFonts w:ascii="Times New Roman" w:hAnsi="Times New Roman"/>
          <w:sz w:val="22"/>
          <w:szCs w:val="22"/>
          <w:lang w:val="lv-LV"/>
        </w:rPr>
        <w:t xml:space="preserve">Nebivolols tiek plaši metabolizēts, daļēji par aktīviem hidroksimetabolītiem. Nebivolols tiek metabolizēts alicikliskās un aromātiskās hidroksilēšanās, N–dealkilēšanās un glikuronidēšanās ceļā, veidojas arī hidroksimetabolītu glikuronīdi. Nebivolola metabolizēšanos aromātiskās hidroksilēšanās ceļā ietekmē no CYP2D6 atkarīgs ģenētiski noteikts oksidatīvais polimorfisms. Iekšķīgi ievadīta nebivolola bioloģiskā pieejamība ir vidēji 12% cilvēkiem ar ātru metabolizēšanos un gandrīz pilnīga cilvēkiem ar lēnu metabolizēšanos. Lietojot pastāvīgi un vienādas devas, nemainīta nebivolola maksimālā koncentrācija plazmā lēnajiem metabolizētājiem ir aptuveni 23 reizes lielāka nekā ātrajiem metabolizētājiem. Nosakot nemainītu aktīvo vielu kopā ar aktīvajiem metabolītiem, maksimālā koncentrācija plazmā atšķiras 1,3 – 1,4 reizes. Metabolizēšanās ātruma atšķirību dēļ </w:t>
      </w:r>
      <w:r w:rsidRPr="002D41D4">
        <w:rPr>
          <w:rFonts w:ascii="Times New Roman" w:hAnsi="Times New Roman"/>
          <w:iCs/>
          <w:sz w:val="22"/>
          <w:szCs w:val="22"/>
          <w:lang w:val="lv-LV"/>
        </w:rPr>
        <w:t xml:space="preserve">Nebilet </w:t>
      </w:r>
      <w:r w:rsidRPr="002D41D4">
        <w:rPr>
          <w:rFonts w:ascii="Times New Roman" w:hAnsi="Times New Roman"/>
          <w:sz w:val="22"/>
          <w:szCs w:val="22"/>
          <w:lang w:val="lv-LV"/>
        </w:rPr>
        <w:t>deva vienmēr jāpielāgo pacienta individuālai nepieciešamībai, tādēļ lēnajiem metabolizētājiem varētu būt nepieciešama mazāka deva.</w:t>
      </w:r>
    </w:p>
    <w:p w14:paraId="51EE86F4" w14:textId="77777777" w:rsidR="002D336F" w:rsidRPr="002D41D4" w:rsidRDefault="002D336F" w:rsidP="007F2E0A">
      <w:pPr>
        <w:rPr>
          <w:rFonts w:ascii="Times New Roman" w:hAnsi="Times New Roman"/>
          <w:sz w:val="22"/>
          <w:szCs w:val="22"/>
          <w:lang w:val="lv-LV"/>
        </w:rPr>
      </w:pPr>
      <w:r w:rsidRPr="002D41D4">
        <w:rPr>
          <w:rFonts w:ascii="Times New Roman" w:hAnsi="Times New Roman"/>
          <w:sz w:val="22"/>
          <w:szCs w:val="22"/>
          <w:lang w:val="lv-LV"/>
        </w:rPr>
        <w:t>Ātrajiem metabolizētājiem nebivolola enantiomēru eliminācijas pusperiods vidēji ir 10 stundas. Lēnajiem metabolizētājiem tas ir 3 – 5 reizes ilgāks. Ātrajiem metabolizētājiem RSSS enantiomēra līmenis plazmā ir nedaudz augstāks nekā SRRR enantiomēra līmenis. Lēnajiem metabolizētājiem šī atšķirība ir lielāka. Ātrajiem metabolizētājiem abu enantiomēru hidroksimetabolītu eliminācijas pusperiods vidēji ir 24 stundas, lēnajiem metabolizētājiem – aptuveni divreiz lielāks.</w:t>
      </w:r>
    </w:p>
    <w:p w14:paraId="46BC1BDA" w14:textId="77777777" w:rsidR="002D336F" w:rsidRPr="002D41D4" w:rsidRDefault="002D336F" w:rsidP="007F2E0A">
      <w:pPr>
        <w:rPr>
          <w:rFonts w:ascii="Times New Roman" w:hAnsi="Times New Roman"/>
          <w:sz w:val="22"/>
          <w:szCs w:val="22"/>
          <w:lang w:val="lv-LV"/>
        </w:rPr>
      </w:pPr>
      <w:r w:rsidRPr="002D41D4">
        <w:rPr>
          <w:rFonts w:ascii="Times New Roman" w:hAnsi="Times New Roman"/>
          <w:sz w:val="22"/>
          <w:szCs w:val="22"/>
          <w:lang w:val="lv-LV"/>
        </w:rPr>
        <w:t>Vairumam pacientu (ātrajiem metabolizētājiem) stabils nebivolola līmenis plazmā tiek sasniegts 24 stundās, hidroksimetabolītu līmenis – dažās dienās.</w:t>
      </w:r>
    </w:p>
    <w:p w14:paraId="39855289" w14:textId="77777777" w:rsidR="002D336F" w:rsidRPr="002D41D4" w:rsidRDefault="002D336F" w:rsidP="007F2E0A">
      <w:pPr>
        <w:rPr>
          <w:rFonts w:ascii="Times New Roman" w:hAnsi="Times New Roman"/>
          <w:sz w:val="22"/>
          <w:szCs w:val="22"/>
          <w:lang w:val="lv-LV"/>
        </w:rPr>
      </w:pPr>
      <w:r w:rsidRPr="002D41D4">
        <w:rPr>
          <w:rFonts w:ascii="Times New Roman" w:hAnsi="Times New Roman"/>
          <w:sz w:val="22"/>
          <w:szCs w:val="22"/>
          <w:lang w:val="lv-LV"/>
        </w:rPr>
        <w:t>Koncentrācija plazmā, lietojot no 1 līdz 30 mg, ir atkarīga no devas. Nebivolola farmakokinētiku neietekmē pacienta vecums.</w:t>
      </w:r>
    </w:p>
    <w:p w14:paraId="4ABC3187" w14:textId="77777777" w:rsidR="002D336F" w:rsidRPr="002D41D4" w:rsidRDefault="002D336F" w:rsidP="007F2E0A">
      <w:pPr>
        <w:rPr>
          <w:rFonts w:ascii="Times New Roman" w:hAnsi="Times New Roman"/>
          <w:sz w:val="22"/>
          <w:szCs w:val="22"/>
          <w:lang w:val="lv-LV"/>
        </w:rPr>
      </w:pPr>
      <w:r w:rsidRPr="002D41D4">
        <w:rPr>
          <w:rFonts w:ascii="Times New Roman" w:hAnsi="Times New Roman"/>
          <w:sz w:val="22"/>
          <w:szCs w:val="22"/>
          <w:lang w:val="lv-LV"/>
        </w:rPr>
        <w:t>Plazmā abi nebivolola enantiomēri tiek saistīti pārsvarā ar albumīniem.</w:t>
      </w:r>
    </w:p>
    <w:p w14:paraId="30C4E721" w14:textId="77777777" w:rsidR="002D336F" w:rsidRPr="002D41D4" w:rsidRDefault="002D336F" w:rsidP="007F2E0A">
      <w:pPr>
        <w:rPr>
          <w:rFonts w:ascii="Times New Roman" w:hAnsi="Times New Roman"/>
          <w:sz w:val="22"/>
          <w:szCs w:val="22"/>
          <w:lang w:val="lv-LV"/>
        </w:rPr>
      </w:pPr>
      <w:r w:rsidRPr="002D41D4">
        <w:rPr>
          <w:rFonts w:ascii="Times New Roman" w:hAnsi="Times New Roman"/>
          <w:sz w:val="22"/>
          <w:szCs w:val="22"/>
          <w:lang w:val="lv-LV"/>
        </w:rPr>
        <w:t>98,1% SRRR nebivolola un 97,9% RSSS nebivolola saistās ar plazmas olbaltumiem.</w:t>
      </w:r>
    </w:p>
    <w:p w14:paraId="0CE3A3B9" w14:textId="77777777" w:rsidR="002D336F" w:rsidRPr="002D41D4" w:rsidRDefault="002D336F" w:rsidP="007F2E0A">
      <w:pPr>
        <w:rPr>
          <w:rFonts w:ascii="Times New Roman" w:hAnsi="Times New Roman"/>
          <w:sz w:val="22"/>
          <w:szCs w:val="22"/>
          <w:lang w:val="lv-LV"/>
        </w:rPr>
      </w:pPr>
      <w:r w:rsidRPr="002D41D4">
        <w:rPr>
          <w:rFonts w:ascii="Times New Roman" w:hAnsi="Times New Roman"/>
          <w:sz w:val="22"/>
          <w:szCs w:val="22"/>
          <w:lang w:val="lv-LV"/>
        </w:rPr>
        <w:t>Vienu nedēļu pēc ievadīšanas 38% devas tiek izvadīti ar urīnu un 48% ar izkārnījumiem. Nemainīta nebivolola veidā urīnā izdalās mazāk nekā 0,5% lietotās devas.</w:t>
      </w:r>
    </w:p>
    <w:p w14:paraId="140CB5AB" w14:textId="77777777" w:rsidR="002D336F" w:rsidRPr="002D41D4" w:rsidRDefault="002D336F" w:rsidP="007F2E0A">
      <w:pPr>
        <w:rPr>
          <w:rFonts w:ascii="Times New Roman" w:hAnsi="Times New Roman"/>
          <w:sz w:val="22"/>
          <w:szCs w:val="22"/>
          <w:lang w:val="lv-LV"/>
        </w:rPr>
      </w:pPr>
    </w:p>
    <w:p w14:paraId="46A22335" w14:textId="77777777" w:rsidR="002D336F" w:rsidRPr="002D41D4" w:rsidRDefault="002D336F" w:rsidP="007F2E0A">
      <w:pPr>
        <w:pStyle w:val="ListParagraph"/>
        <w:numPr>
          <w:ilvl w:val="1"/>
          <w:numId w:val="2"/>
        </w:numPr>
        <w:ind w:left="0" w:firstLine="0"/>
        <w:rPr>
          <w:rFonts w:ascii="Times New Roman" w:hAnsi="Times New Roman"/>
          <w:sz w:val="22"/>
          <w:szCs w:val="22"/>
          <w:lang w:val="lv-LV"/>
        </w:rPr>
      </w:pPr>
      <w:r w:rsidRPr="002D41D4">
        <w:rPr>
          <w:rFonts w:ascii="Times New Roman" w:hAnsi="Times New Roman"/>
          <w:b/>
          <w:sz w:val="22"/>
          <w:szCs w:val="22"/>
          <w:lang w:val="lv-LV"/>
        </w:rPr>
        <w:t>Preklīniskie dati par droš</w:t>
      </w:r>
      <w:r w:rsidR="008D544B" w:rsidRPr="002D41D4">
        <w:rPr>
          <w:rFonts w:ascii="Times New Roman" w:hAnsi="Times New Roman"/>
          <w:b/>
          <w:sz w:val="22"/>
          <w:szCs w:val="22"/>
          <w:lang w:val="lv-LV"/>
        </w:rPr>
        <w:t>umu</w:t>
      </w:r>
    </w:p>
    <w:p w14:paraId="552D8A09" w14:textId="77777777" w:rsidR="002D336F" w:rsidRPr="002D41D4" w:rsidRDefault="002D336F" w:rsidP="007F2E0A">
      <w:pPr>
        <w:rPr>
          <w:rFonts w:ascii="Times New Roman" w:hAnsi="Times New Roman"/>
          <w:sz w:val="22"/>
          <w:szCs w:val="22"/>
          <w:lang w:val="lv-LV"/>
        </w:rPr>
      </w:pPr>
    </w:p>
    <w:p w14:paraId="4F1556AE" w14:textId="77777777" w:rsidR="002D336F" w:rsidRPr="002D41D4" w:rsidRDefault="00814BBE" w:rsidP="007F2E0A">
      <w:pPr>
        <w:rPr>
          <w:rFonts w:ascii="Times New Roman" w:hAnsi="Times New Roman"/>
          <w:sz w:val="22"/>
          <w:szCs w:val="22"/>
          <w:lang w:val="lv-LV"/>
        </w:rPr>
      </w:pPr>
      <w:r w:rsidRPr="00EE77F9">
        <w:rPr>
          <w:rFonts w:ascii="Times New Roman" w:hAnsi="Times New Roman"/>
          <w:sz w:val="22"/>
          <w:szCs w:val="22"/>
          <w:lang w:val="lv-LV"/>
        </w:rPr>
        <w:t>Nekl</w:t>
      </w:r>
      <w:r w:rsidRPr="00EE77F9">
        <w:rPr>
          <w:rFonts w:ascii="Times New Roman" w:hAnsi="Times New Roman" w:hint="eastAsia"/>
          <w:sz w:val="22"/>
          <w:szCs w:val="22"/>
          <w:lang w:val="lv-LV"/>
        </w:rPr>
        <w:t>ī</w:t>
      </w:r>
      <w:r w:rsidRPr="00EE77F9">
        <w:rPr>
          <w:rFonts w:ascii="Times New Roman" w:hAnsi="Times New Roman"/>
          <w:sz w:val="22"/>
          <w:szCs w:val="22"/>
          <w:lang w:val="lv-LV"/>
        </w:rPr>
        <w:t>niskajos standartp</w:t>
      </w:r>
      <w:r w:rsidRPr="00EE77F9">
        <w:rPr>
          <w:rFonts w:ascii="Times New Roman" w:hAnsi="Times New Roman" w:hint="eastAsia"/>
          <w:sz w:val="22"/>
          <w:szCs w:val="22"/>
          <w:lang w:val="lv-LV"/>
        </w:rPr>
        <w:t>ē</w:t>
      </w:r>
      <w:r w:rsidRPr="00EE77F9">
        <w:rPr>
          <w:rFonts w:ascii="Times New Roman" w:hAnsi="Times New Roman"/>
          <w:sz w:val="22"/>
          <w:szCs w:val="22"/>
          <w:lang w:val="lv-LV"/>
        </w:rPr>
        <w:t>t</w:t>
      </w:r>
      <w:r w:rsidRPr="00EE77F9">
        <w:rPr>
          <w:rFonts w:ascii="Times New Roman" w:hAnsi="Times New Roman" w:hint="eastAsia"/>
          <w:sz w:val="22"/>
          <w:szCs w:val="22"/>
          <w:lang w:val="lv-LV"/>
        </w:rPr>
        <w:t>ī</w:t>
      </w:r>
      <w:r w:rsidRPr="00EE77F9">
        <w:rPr>
          <w:rFonts w:ascii="Times New Roman" w:hAnsi="Times New Roman"/>
          <w:sz w:val="22"/>
          <w:szCs w:val="22"/>
          <w:lang w:val="lv-LV"/>
        </w:rPr>
        <w:t>jumos ieg</w:t>
      </w:r>
      <w:r w:rsidRPr="00EE77F9">
        <w:rPr>
          <w:rFonts w:ascii="Times New Roman" w:hAnsi="Times New Roman" w:hint="eastAsia"/>
          <w:sz w:val="22"/>
          <w:szCs w:val="22"/>
          <w:lang w:val="lv-LV"/>
        </w:rPr>
        <w:t>ū</w:t>
      </w:r>
      <w:r w:rsidRPr="00EE77F9">
        <w:rPr>
          <w:rFonts w:ascii="Times New Roman" w:hAnsi="Times New Roman"/>
          <w:sz w:val="22"/>
          <w:szCs w:val="22"/>
          <w:lang w:val="lv-LV"/>
        </w:rPr>
        <w:t>tie dati par genotoksicit</w:t>
      </w:r>
      <w:r w:rsidRPr="00EE77F9">
        <w:rPr>
          <w:rFonts w:ascii="Times New Roman" w:hAnsi="Times New Roman" w:hint="eastAsia"/>
          <w:sz w:val="22"/>
          <w:szCs w:val="22"/>
          <w:lang w:val="lv-LV"/>
        </w:rPr>
        <w:t>ā</w:t>
      </w:r>
      <w:r w:rsidRPr="00EE77F9">
        <w:rPr>
          <w:rFonts w:ascii="Times New Roman" w:hAnsi="Times New Roman"/>
          <w:sz w:val="22"/>
          <w:szCs w:val="22"/>
          <w:lang w:val="lv-LV"/>
        </w:rPr>
        <w:t>ti</w:t>
      </w:r>
      <w:r>
        <w:rPr>
          <w:rFonts w:ascii="Times New Roman" w:hAnsi="Times New Roman"/>
          <w:sz w:val="22"/>
          <w:szCs w:val="22"/>
          <w:lang w:val="lv-LV"/>
        </w:rPr>
        <w:t xml:space="preserve">, </w:t>
      </w:r>
      <w:r w:rsidRPr="00EE77F9">
        <w:rPr>
          <w:rFonts w:ascii="Times New Roman" w:hAnsi="Times New Roman"/>
          <w:sz w:val="22"/>
          <w:szCs w:val="22"/>
          <w:lang w:val="lv-LV"/>
        </w:rPr>
        <w:t>toksisku ietekmi uz reproduktivit</w:t>
      </w:r>
      <w:r w:rsidRPr="00EE77F9">
        <w:rPr>
          <w:rFonts w:ascii="Times New Roman" w:hAnsi="Times New Roman" w:hint="eastAsia"/>
          <w:sz w:val="22"/>
          <w:szCs w:val="22"/>
          <w:lang w:val="lv-LV"/>
        </w:rPr>
        <w:t>ā</w:t>
      </w:r>
      <w:r w:rsidRPr="00EE77F9">
        <w:rPr>
          <w:rFonts w:ascii="Times New Roman" w:hAnsi="Times New Roman"/>
          <w:sz w:val="22"/>
          <w:szCs w:val="22"/>
          <w:lang w:val="lv-LV"/>
        </w:rPr>
        <w:t>ti</w:t>
      </w:r>
      <w:r>
        <w:rPr>
          <w:rFonts w:ascii="Times New Roman" w:hAnsi="Times New Roman"/>
          <w:sz w:val="22"/>
          <w:szCs w:val="22"/>
          <w:lang w:val="lv-LV"/>
        </w:rPr>
        <w:t xml:space="preserve"> </w:t>
      </w:r>
      <w:r w:rsidRPr="00EE77F9">
        <w:rPr>
          <w:rFonts w:ascii="Times New Roman" w:hAnsi="Times New Roman"/>
          <w:sz w:val="22"/>
          <w:szCs w:val="22"/>
          <w:lang w:val="lv-LV"/>
        </w:rPr>
        <w:t>un att</w:t>
      </w:r>
      <w:r w:rsidRPr="00EE77F9">
        <w:rPr>
          <w:rFonts w:ascii="Times New Roman" w:hAnsi="Times New Roman" w:hint="eastAsia"/>
          <w:sz w:val="22"/>
          <w:szCs w:val="22"/>
          <w:lang w:val="lv-LV"/>
        </w:rPr>
        <w:t>ī</w:t>
      </w:r>
      <w:r w:rsidRPr="00EE77F9">
        <w:rPr>
          <w:rFonts w:ascii="Times New Roman" w:hAnsi="Times New Roman"/>
          <w:sz w:val="22"/>
          <w:szCs w:val="22"/>
          <w:lang w:val="lv-LV"/>
        </w:rPr>
        <w:t>st</w:t>
      </w:r>
      <w:r w:rsidRPr="00EE77F9">
        <w:rPr>
          <w:rFonts w:ascii="Times New Roman" w:hAnsi="Times New Roman" w:hint="eastAsia"/>
          <w:sz w:val="22"/>
          <w:szCs w:val="22"/>
          <w:lang w:val="lv-LV"/>
        </w:rPr>
        <w:t>ī</w:t>
      </w:r>
      <w:r w:rsidRPr="00EE77F9">
        <w:rPr>
          <w:rFonts w:ascii="Times New Roman" w:hAnsi="Times New Roman"/>
          <w:sz w:val="22"/>
          <w:szCs w:val="22"/>
          <w:lang w:val="lv-LV"/>
        </w:rPr>
        <w:t>bu</w:t>
      </w:r>
      <w:r>
        <w:rPr>
          <w:rFonts w:ascii="Times New Roman" w:hAnsi="Times New Roman"/>
          <w:sz w:val="22"/>
          <w:szCs w:val="22"/>
          <w:lang w:val="lv-LV"/>
        </w:rPr>
        <w:t xml:space="preserve"> un</w:t>
      </w:r>
      <w:r w:rsidRPr="00EE77F9">
        <w:rPr>
          <w:rFonts w:ascii="Times New Roman" w:hAnsi="Times New Roman"/>
          <w:sz w:val="22"/>
          <w:szCs w:val="22"/>
          <w:lang w:val="lv-LV"/>
        </w:rPr>
        <w:t xml:space="preserve"> iesp</w:t>
      </w:r>
      <w:r w:rsidRPr="00EE77F9">
        <w:rPr>
          <w:rFonts w:ascii="Times New Roman" w:hAnsi="Times New Roman" w:hint="eastAsia"/>
          <w:sz w:val="22"/>
          <w:szCs w:val="22"/>
          <w:lang w:val="lv-LV"/>
        </w:rPr>
        <w:t>ē</w:t>
      </w:r>
      <w:r w:rsidRPr="00EE77F9">
        <w:rPr>
          <w:rFonts w:ascii="Times New Roman" w:hAnsi="Times New Roman"/>
          <w:sz w:val="22"/>
          <w:szCs w:val="22"/>
          <w:lang w:val="lv-LV"/>
        </w:rPr>
        <w:t>jamu kancerogenit</w:t>
      </w:r>
      <w:r w:rsidRPr="00EE77F9">
        <w:rPr>
          <w:rFonts w:ascii="Times New Roman" w:hAnsi="Times New Roman" w:hint="eastAsia"/>
          <w:sz w:val="22"/>
          <w:szCs w:val="22"/>
          <w:lang w:val="lv-LV"/>
        </w:rPr>
        <w:t>ā</w:t>
      </w:r>
      <w:r w:rsidRPr="00EE77F9">
        <w:rPr>
          <w:rFonts w:ascii="Times New Roman" w:hAnsi="Times New Roman"/>
          <w:sz w:val="22"/>
          <w:szCs w:val="22"/>
          <w:lang w:val="lv-LV"/>
        </w:rPr>
        <w:t xml:space="preserve">ti neliecina par </w:t>
      </w:r>
      <w:r w:rsidRPr="00EE77F9">
        <w:rPr>
          <w:rFonts w:ascii="Times New Roman" w:hAnsi="Times New Roman" w:hint="eastAsia"/>
          <w:sz w:val="22"/>
          <w:szCs w:val="22"/>
          <w:lang w:val="lv-LV"/>
        </w:rPr>
        <w:t>ī</w:t>
      </w:r>
      <w:r w:rsidRPr="00EE77F9">
        <w:rPr>
          <w:rFonts w:ascii="Times New Roman" w:hAnsi="Times New Roman"/>
          <w:sz w:val="22"/>
          <w:szCs w:val="22"/>
          <w:lang w:val="lv-LV"/>
        </w:rPr>
        <w:t>pašu risku cilv</w:t>
      </w:r>
      <w:r w:rsidRPr="00EE77F9">
        <w:rPr>
          <w:rFonts w:ascii="Times New Roman" w:hAnsi="Times New Roman" w:hint="eastAsia"/>
          <w:sz w:val="22"/>
          <w:szCs w:val="22"/>
          <w:lang w:val="lv-LV"/>
        </w:rPr>
        <w:t>ē</w:t>
      </w:r>
      <w:r w:rsidRPr="00EE77F9">
        <w:rPr>
          <w:rFonts w:ascii="Times New Roman" w:hAnsi="Times New Roman"/>
          <w:sz w:val="22"/>
          <w:szCs w:val="22"/>
          <w:lang w:val="lv-LV"/>
        </w:rPr>
        <w:t>kam.</w:t>
      </w:r>
      <w:r w:rsidR="002D336F" w:rsidRPr="002D41D4">
        <w:rPr>
          <w:rFonts w:ascii="Times New Roman" w:hAnsi="Times New Roman"/>
          <w:sz w:val="22"/>
          <w:szCs w:val="22"/>
          <w:lang w:val="lv-LV"/>
        </w:rPr>
        <w:t xml:space="preserve"> </w:t>
      </w:r>
      <w:r w:rsidR="00441519">
        <w:rPr>
          <w:rFonts w:ascii="Times New Roman" w:hAnsi="Times New Roman"/>
          <w:sz w:val="22"/>
          <w:szCs w:val="22"/>
          <w:lang w:val="lv-LV"/>
        </w:rPr>
        <w:t>Nevēlamā ietekme uz reproduktīvo funkciju tika novērota tikai pēc lielām devām, kas vairākas reizes pārsniedz</w:t>
      </w:r>
      <w:r w:rsidR="00EF5259">
        <w:rPr>
          <w:rFonts w:ascii="Times New Roman" w:hAnsi="Times New Roman"/>
          <w:sz w:val="22"/>
          <w:szCs w:val="22"/>
          <w:lang w:val="lv-LV"/>
        </w:rPr>
        <w:t>a</w:t>
      </w:r>
      <w:r w:rsidR="00441519" w:rsidRPr="00441519">
        <w:rPr>
          <w:rFonts w:ascii="Times New Roman" w:hAnsi="Times New Roman"/>
          <w:sz w:val="22"/>
          <w:szCs w:val="22"/>
          <w:lang w:val="pt-PT"/>
        </w:rPr>
        <w:t xml:space="preserve"> </w:t>
      </w:r>
      <w:r w:rsidR="00441519">
        <w:rPr>
          <w:rFonts w:ascii="Times New Roman" w:hAnsi="Times New Roman"/>
          <w:sz w:val="22"/>
          <w:szCs w:val="22"/>
          <w:lang w:val="pt-PT"/>
        </w:rPr>
        <w:t>maksimālo cilvēkam ieteicamo devu (skatīt 4.6. apakšpunktu).</w:t>
      </w:r>
      <w:r w:rsidR="00441519">
        <w:rPr>
          <w:rFonts w:ascii="Times New Roman" w:hAnsi="Times New Roman"/>
          <w:sz w:val="22"/>
          <w:szCs w:val="22"/>
          <w:lang w:val="lv-LV"/>
        </w:rPr>
        <w:t xml:space="preserve"> </w:t>
      </w:r>
    </w:p>
    <w:p w14:paraId="00AB4222" w14:textId="77777777" w:rsidR="002D336F" w:rsidRPr="002D41D4" w:rsidRDefault="002D336F" w:rsidP="007F2E0A">
      <w:pPr>
        <w:rPr>
          <w:rFonts w:ascii="Times New Roman" w:hAnsi="Times New Roman"/>
          <w:sz w:val="22"/>
          <w:szCs w:val="22"/>
          <w:lang w:val="lv-LV"/>
        </w:rPr>
      </w:pPr>
    </w:p>
    <w:p w14:paraId="4514BB90" w14:textId="77777777" w:rsidR="002D336F" w:rsidRPr="002D41D4" w:rsidRDefault="002D336F" w:rsidP="007F2E0A">
      <w:pPr>
        <w:rPr>
          <w:rFonts w:ascii="Times New Roman" w:hAnsi="Times New Roman"/>
          <w:sz w:val="22"/>
          <w:szCs w:val="22"/>
          <w:lang w:val="lv-LV"/>
        </w:rPr>
      </w:pPr>
    </w:p>
    <w:p w14:paraId="476C5968" w14:textId="77777777" w:rsidR="002D336F" w:rsidRPr="002D41D4" w:rsidRDefault="002D336F" w:rsidP="007F2E0A">
      <w:pPr>
        <w:pStyle w:val="ListParagraph"/>
        <w:numPr>
          <w:ilvl w:val="0"/>
          <w:numId w:val="2"/>
        </w:numPr>
        <w:ind w:left="0" w:firstLine="0"/>
        <w:rPr>
          <w:rFonts w:ascii="Times New Roman" w:hAnsi="Times New Roman"/>
          <w:b/>
          <w:sz w:val="22"/>
          <w:szCs w:val="22"/>
          <w:lang w:val="lv-LV"/>
        </w:rPr>
      </w:pPr>
      <w:r w:rsidRPr="002D41D4">
        <w:rPr>
          <w:rFonts w:ascii="Times New Roman" w:hAnsi="Times New Roman"/>
          <w:b/>
          <w:caps/>
          <w:sz w:val="22"/>
          <w:szCs w:val="22"/>
          <w:lang w:val="lv-LV"/>
        </w:rPr>
        <w:t>FARMACEITISKā INFORMāCIJA</w:t>
      </w:r>
    </w:p>
    <w:p w14:paraId="22AEC4C6" w14:textId="77777777" w:rsidR="002D336F" w:rsidRPr="002D41D4" w:rsidRDefault="002D336F" w:rsidP="007F2E0A">
      <w:pPr>
        <w:rPr>
          <w:rFonts w:ascii="Times New Roman" w:hAnsi="Times New Roman"/>
          <w:b/>
          <w:sz w:val="22"/>
          <w:szCs w:val="22"/>
          <w:lang w:val="lv-LV"/>
        </w:rPr>
      </w:pPr>
    </w:p>
    <w:p w14:paraId="25BF992D" w14:textId="77777777" w:rsidR="002D336F" w:rsidRPr="002D41D4" w:rsidRDefault="002D336F" w:rsidP="007F2E0A">
      <w:pPr>
        <w:pStyle w:val="ListParagraph"/>
        <w:numPr>
          <w:ilvl w:val="1"/>
          <w:numId w:val="2"/>
        </w:numPr>
        <w:ind w:left="0" w:firstLine="0"/>
        <w:rPr>
          <w:rFonts w:ascii="Times New Roman" w:hAnsi="Times New Roman"/>
          <w:b/>
          <w:sz w:val="22"/>
          <w:szCs w:val="22"/>
          <w:lang w:val="lv-LV"/>
        </w:rPr>
      </w:pPr>
      <w:r w:rsidRPr="002D41D4">
        <w:rPr>
          <w:rFonts w:ascii="Times New Roman" w:hAnsi="Times New Roman"/>
          <w:b/>
          <w:sz w:val="22"/>
          <w:szCs w:val="22"/>
          <w:lang w:val="lv-LV"/>
        </w:rPr>
        <w:t>Palīgvielu saraksts</w:t>
      </w:r>
    </w:p>
    <w:p w14:paraId="4264247F" w14:textId="77777777" w:rsidR="002D336F" w:rsidRPr="002D41D4" w:rsidRDefault="002D336F" w:rsidP="007F2E0A">
      <w:pPr>
        <w:rPr>
          <w:rFonts w:ascii="Times New Roman" w:hAnsi="Times New Roman"/>
          <w:sz w:val="22"/>
          <w:szCs w:val="22"/>
          <w:lang w:val="lv-LV"/>
        </w:rPr>
      </w:pPr>
    </w:p>
    <w:p w14:paraId="16D8EB1D" w14:textId="77777777" w:rsidR="008D544B" w:rsidRPr="002D41D4" w:rsidRDefault="002D336F" w:rsidP="007F2E0A">
      <w:pPr>
        <w:rPr>
          <w:rFonts w:ascii="Times New Roman" w:hAnsi="Times New Roman"/>
          <w:sz w:val="22"/>
          <w:szCs w:val="22"/>
          <w:lang w:val="lv-LV"/>
        </w:rPr>
      </w:pPr>
      <w:r w:rsidRPr="002D41D4">
        <w:rPr>
          <w:rFonts w:ascii="Times New Roman" w:hAnsi="Times New Roman"/>
          <w:sz w:val="22"/>
          <w:szCs w:val="22"/>
          <w:lang w:val="lv-LV"/>
        </w:rPr>
        <w:t>Polisorbāts 80</w:t>
      </w:r>
      <w:r w:rsidR="00843C0F" w:rsidRPr="002D41D4">
        <w:rPr>
          <w:rFonts w:ascii="Times New Roman" w:hAnsi="Times New Roman"/>
          <w:sz w:val="22"/>
          <w:szCs w:val="22"/>
          <w:lang w:val="lv-LV"/>
        </w:rPr>
        <w:t xml:space="preserve"> (E433)</w:t>
      </w:r>
      <w:r w:rsidRPr="002D41D4">
        <w:rPr>
          <w:rFonts w:ascii="Times New Roman" w:hAnsi="Times New Roman"/>
          <w:sz w:val="22"/>
          <w:szCs w:val="22"/>
          <w:lang w:val="lv-LV"/>
        </w:rPr>
        <w:t xml:space="preserve"> </w:t>
      </w:r>
    </w:p>
    <w:p w14:paraId="1AC07C3F" w14:textId="77777777" w:rsidR="008D544B" w:rsidRPr="002D41D4" w:rsidRDefault="00843C0F" w:rsidP="007F2E0A">
      <w:pPr>
        <w:rPr>
          <w:rFonts w:ascii="Times New Roman" w:hAnsi="Times New Roman"/>
          <w:sz w:val="22"/>
          <w:szCs w:val="22"/>
          <w:lang w:val="lv-LV"/>
        </w:rPr>
      </w:pPr>
      <w:r w:rsidRPr="002D41D4">
        <w:rPr>
          <w:rFonts w:ascii="Times New Roman" w:hAnsi="Times New Roman"/>
          <w:sz w:val="22"/>
          <w:szCs w:val="22"/>
          <w:lang w:val="lv-LV"/>
        </w:rPr>
        <w:t>H</w:t>
      </w:r>
      <w:r w:rsidR="002D336F" w:rsidRPr="002D41D4">
        <w:rPr>
          <w:rFonts w:ascii="Times New Roman" w:hAnsi="Times New Roman"/>
          <w:sz w:val="22"/>
          <w:szCs w:val="22"/>
          <w:lang w:val="lv-LV"/>
        </w:rPr>
        <w:t>ipromeloze</w:t>
      </w:r>
      <w:r w:rsidRPr="002D41D4">
        <w:rPr>
          <w:rFonts w:ascii="Times New Roman" w:hAnsi="Times New Roman"/>
          <w:sz w:val="22"/>
          <w:szCs w:val="22"/>
          <w:lang w:val="lv-LV"/>
        </w:rPr>
        <w:t xml:space="preserve"> (E464)</w:t>
      </w:r>
      <w:r w:rsidR="002D336F" w:rsidRPr="002D41D4">
        <w:rPr>
          <w:rFonts w:ascii="Times New Roman" w:hAnsi="Times New Roman"/>
          <w:sz w:val="22"/>
          <w:szCs w:val="22"/>
          <w:lang w:val="lv-LV"/>
        </w:rPr>
        <w:t xml:space="preserve"> </w:t>
      </w:r>
    </w:p>
    <w:p w14:paraId="656B4604" w14:textId="77777777" w:rsidR="008D544B" w:rsidRPr="002D41D4" w:rsidRDefault="00843C0F" w:rsidP="007F2E0A">
      <w:pPr>
        <w:rPr>
          <w:rFonts w:ascii="Times New Roman" w:hAnsi="Times New Roman"/>
          <w:sz w:val="22"/>
          <w:szCs w:val="22"/>
          <w:lang w:val="lv-LV"/>
        </w:rPr>
      </w:pPr>
      <w:r w:rsidRPr="002D41D4">
        <w:rPr>
          <w:rFonts w:ascii="Times New Roman" w:hAnsi="Times New Roman"/>
          <w:sz w:val="22"/>
          <w:szCs w:val="22"/>
          <w:lang w:val="lv-LV"/>
        </w:rPr>
        <w:t>L</w:t>
      </w:r>
      <w:r w:rsidR="002D336F" w:rsidRPr="002D41D4">
        <w:rPr>
          <w:rFonts w:ascii="Times New Roman" w:hAnsi="Times New Roman"/>
          <w:sz w:val="22"/>
          <w:szCs w:val="22"/>
          <w:lang w:val="lv-LV"/>
        </w:rPr>
        <w:t xml:space="preserve">aktozes monohidrāts </w:t>
      </w:r>
    </w:p>
    <w:p w14:paraId="5F69EC15" w14:textId="77777777" w:rsidR="008D544B" w:rsidRPr="002D41D4" w:rsidRDefault="00843C0F" w:rsidP="007F2E0A">
      <w:pPr>
        <w:rPr>
          <w:rFonts w:ascii="Times New Roman" w:hAnsi="Times New Roman"/>
          <w:sz w:val="22"/>
          <w:szCs w:val="22"/>
          <w:lang w:val="lv-LV"/>
        </w:rPr>
      </w:pPr>
      <w:r w:rsidRPr="002D41D4">
        <w:rPr>
          <w:rFonts w:ascii="Times New Roman" w:hAnsi="Times New Roman"/>
          <w:sz w:val="22"/>
          <w:szCs w:val="22"/>
          <w:lang w:val="lv-LV"/>
        </w:rPr>
        <w:t>K</w:t>
      </w:r>
      <w:r w:rsidR="002D336F" w:rsidRPr="002D41D4">
        <w:rPr>
          <w:rFonts w:ascii="Times New Roman" w:hAnsi="Times New Roman"/>
          <w:sz w:val="22"/>
          <w:szCs w:val="22"/>
          <w:lang w:val="lv-LV"/>
        </w:rPr>
        <w:t xml:space="preserve">ukurūzas ciete </w:t>
      </w:r>
    </w:p>
    <w:p w14:paraId="7D92B94B" w14:textId="77777777" w:rsidR="008D544B" w:rsidRPr="002D41D4" w:rsidRDefault="00843C0F" w:rsidP="007F2E0A">
      <w:pPr>
        <w:rPr>
          <w:rFonts w:ascii="Times New Roman" w:hAnsi="Times New Roman"/>
          <w:sz w:val="22"/>
          <w:szCs w:val="22"/>
          <w:lang w:val="lv-LV"/>
        </w:rPr>
      </w:pPr>
      <w:r w:rsidRPr="002D41D4">
        <w:rPr>
          <w:rFonts w:ascii="Times New Roman" w:hAnsi="Times New Roman"/>
          <w:sz w:val="22"/>
          <w:szCs w:val="22"/>
          <w:lang w:val="lv-LV"/>
        </w:rPr>
        <w:t>K</w:t>
      </w:r>
      <w:r w:rsidR="002D336F" w:rsidRPr="002D41D4">
        <w:rPr>
          <w:rFonts w:ascii="Times New Roman" w:hAnsi="Times New Roman"/>
          <w:sz w:val="22"/>
          <w:szCs w:val="22"/>
          <w:lang w:val="lv-LV"/>
        </w:rPr>
        <w:t>roskarmelozes nātrija sāls</w:t>
      </w:r>
      <w:r w:rsidRPr="002D41D4">
        <w:rPr>
          <w:rFonts w:ascii="Times New Roman" w:hAnsi="Times New Roman"/>
          <w:sz w:val="22"/>
          <w:szCs w:val="22"/>
          <w:lang w:val="lv-LV"/>
        </w:rPr>
        <w:t xml:space="preserve"> (E468)</w:t>
      </w:r>
      <w:r w:rsidR="002D336F" w:rsidRPr="002D41D4">
        <w:rPr>
          <w:rFonts w:ascii="Times New Roman" w:hAnsi="Times New Roman"/>
          <w:sz w:val="22"/>
          <w:szCs w:val="22"/>
          <w:lang w:val="lv-LV"/>
        </w:rPr>
        <w:t xml:space="preserve"> </w:t>
      </w:r>
    </w:p>
    <w:p w14:paraId="00DB6005" w14:textId="77777777" w:rsidR="008D544B" w:rsidRPr="002D41D4" w:rsidRDefault="00843C0F" w:rsidP="007F2E0A">
      <w:pPr>
        <w:rPr>
          <w:rFonts w:ascii="Times New Roman" w:hAnsi="Times New Roman"/>
          <w:sz w:val="22"/>
          <w:szCs w:val="22"/>
          <w:lang w:val="lv-LV"/>
        </w:rPr>
      </w:pPr>
      <w:r w:rsidRPr="002D41D4">
        <w:rPr>
          <w:rFonts w:ascii="Times New Roman" w:hAnsi="Times New Roman"/>
          <w:sz w:val="22"/>
          <w:szCs w:val="22"/>
          <w:lang w:val="lv-LV"/>
        </w:rPr>
        <w:t>M</w:t>
      </w:r>
      <w:r w:rsidR="002D336F" w:rsidRPr="002D41D4">
        <w:rPr>
          <w:rFonts w:ascii="Times New Roman" w:hAnsi="Times New Roman"/>
          <w:sz w:val="22"/>
          <w:szCs w:val="22"/>
          <w:lang w:val="lv-LV"/>
        </w:rPr>
        <w:t>ikrokristāliska celuloze</w:t>
      </w:r>
      <w:r w:rsidRPr="002D41D4">
        <w:rPr>
          <w:rFonts w:ascii="Times New Roman" w:hAnsi="Times New Roman"/>
          <w:sz w:val="22"/>
          <w:szCs w:val="22"/>
          <w:lang w:val="lv-LV"/>
        </w:rPr>
        <w:t xml:space="preserve"> (E460)</w:t>
      </w:r>
      <w:r w:rsidR="002D336F" w:rsidRPr="002D41D4">
        <w:rPr>
          <w:rFonts w:ascii="Times New Roman" w:hAnsi="Times New Roman"/>
          <w:sz w:val="22"/>
          <w:szCs w:val="22"/>
          <w:lang w:val="lv-LV"/>
        </w:rPr>
        <w:t xml:space="preserve"> </w:t>
      </w:r>
    </w:p>
    <w:p w14:paraId="7AFF5756" w14:textId="77777777" w:rsidR="008D544B" w:rsidRPr="002D41D4" w:rsidRDefault="00843C0F" w:rsidP="007F2E0A">
      <w:pPr>
        <w:rPr>
          <w:rFonts w:ascii="Times New Roman" w:hAnsi="Times New Roman"/>
          <w:sz w:val="22"/>
          <w:szCs w:val="22"/>
          <w:lang w:val="lv-LV"/>
        </w:rPr>
      </w:pPr>
      <w:r w:rsidRPr="002D41D4">
        <w:rPr>
          <w:rFonts w:ascii="Times New Roman" w:hAnsi="Times New Roman"/>
          <w:sz w:val="22"/>
          <w:szCs w:val="22"/>
          <w:lang w:val="lv-LV"/>
        </w:rPr>
        <w:t>K</w:t>
      </w:r>
      <w:r w:rsidR="002D336F" w:rsidRPr="002D41D4">
        <w:rPr>
          <w:rFonts w:ascii="Times New Roman" w:hAnsi="Times New Roman"/>
          <w:sz w:val="22"/>
          <w:szCs w:val="22"/>
          <w:lang w:val="lv-LV"/>
        </w:rPr>
        <w:t>oloidāls bezūdens silīcija dioksīds</w:t>
      </w:r>
      <w:r w:rsidRPr="002D41D4">
        <w:rPr>
          <w:rFonts w:ascii="Times New Roman" w:hAnsi="Times New Roman"/>
          <w:sz w:val="22"/>
          <w:szCs w:val="22"/>
          <w:lang w:val="lv-LV"/>
        </w:rPr>
        <w:t xml:space="preserve"> (E551)</w:t>
      </w:r>
      <w:r w:rsidR="002D336F" w:rsidRPr="002D41D4">
        <w:rPr>
          <w:rFonts w:ascii="Times New Roman" w:hAnsi="Times New Roman"/>
          <w:sz w:val="22"/>
          <w:szCs w:val="22"/>
          <w:lang w:val="lv-LV"/>
        </w:rPr>
        <w:t xml:space="preserve"> </w:t>
      </w:r>
    </w:p>
    <w:p w14:paraId="30C66EF0" w14:textId="77777777" w:rsidR="002D336F" w:rsidRPr="002D41D4" w:rsidRDefault="00843C0F" w:rsidP="007F2E0A">
      <w:pPr>
        <w:rPr>
          <w:rFonts w:ascii="Times New Roman" w:hAnsi="Times New Roman"/>
          <w:sz w:val="22"/>
          <w:szCs w:val="22"/>
          <w:lang w:val="lv-LV"/>
        </w:rPr>
      </w:pPr>
      <w:r w:rsidRPr="002D41D4">
        <w:rPr>
          <w:rFonts w:ascii="Times New Roman" w:hAnsi="Times New Roman"/>
          <w:sz w:val="22"/>
          <w:szCs w:val="22"/>
          <w:lang w:val="lv-LV"/>
        </w:rPr>
        <w:t>M</w:t>
      </w:r>
      <w:r w:rsidR="002D336F" w:rsidRPr="002D41D4">
        <w:rPr>
          <w:rFonts w:ascii="Times New Roman" w:hAnsi="Times New Roman"/>
          <w:sz w:val="22"/>
          <w:szCs w:val="22"/>
          <w:lang w:val="lv-LV"/>
        </w:rPr>
        <w:t>agnija stearāts</w:t>
      </w:r>
      <w:r w:rsidRPr="002D41D4">
        <w:rPr>
          <w:rFonts w:ascii="Times New Roman" w:hAnsi="Times New Roman"/>
          <w:sz w:val="22"/>
          <w:szCs w:val="22"/>
          <w:lang w:val="lv-LV"/>
        </w:rPr>
        <w:t xml:space="preserve"> (E572)</w:t>
      </w:r>
    </w:p>
    <w:p w14:paraId="479AB365" w14:textId="77777777" w:rsidR="002D336F" w:rsidRPr="002D41D4" w:rsidRDefault="002D336F" w:rsidP="007F2E0A">
      <w:pPr>
        <w:rPr>
          <w:rFonts w:ascii="Times New Roman" w:hAnsi="Times New Roman"/>
          <w:sz w:val="22"/>
          <w:szCs w:val="22"/>
          <w:lang w:val="lv-LV"/>
        </w:rPr>
      </w:pPr>
    </w:p>
    <w:p w14:paraId="14E10B1A" w14:textId="77777777" w:rsidR="002D336F" w:rsidRPr="002D41D4" w:rsidRDefault="002D336F" w:rsidP="007F2E0A">
      <w:pPr>
        <w:pStyle w:val="ListParagraph"/>
        <w:numPr>
          <w:ilvl w:val="1"/>
          <w:numId w:val="2"/>
        </w:numPr>
        <w:ind w:left="0" w:firstLine="0"/>
        <w:rPr>
          <w:rFonts w:ascii="Times New Roman" w:hAnsi="Times New Roman"/>
          <w:sz w:val="22"/>
          <w:szCs w:val="22"/>
          <w:lang w:val="lv-LV"/>
        </w:rPr>
      </w:pPr>
      <w:r w:rsidRPr="002D41D4">
        <w:rPr>
          <w:rFonts w:ascii="Times New Roman" w:hAnsi="Times New Roman"/>
          <w:b/>
          <w:sz w:val="22"/>
          <w:szCs w:val="22"/>
          <w:lang w:val="lv-LV"/>
        </w:rPr>
        <w:t>Nesaderība</w:t>
      </w:r>
    </w:p>
    <w:p w14:paraId="18739D05" w14:textId="77777777" w:rsidR="002D336F" w:rsidRPr="002D41D4" w:rsidRDefault="002D336F" w:rsidP="007F2E0A">
      <w:pPr>
        <w:rPr>
          <w:rFonts w:ascii="Times New Roman" w:hAnsi="Times New Roman"/>
          <w:sz w:val="22"/>
          <w:szCs w:val="22"/>
          <w:lang w:val="lv-LV"/>
        </w:rPr>
      </w:pPr>
    </w:p>
    <w:p w14:paraId="265B819D" w14:textId="77777777" w:rsidR="002D336F" w:rsidRPr="002D41D4" w:rsidRDefault="002D336F" w:rsidP="007F2E0A">
      <w:pPr>
        <w:rPr>
          <w:rFonts w:ascii="Times New Roman" w:hAnsi="Times New Roman"/>
          <w:sz w:val="22"/>
          <w:szCs w:val="22"/>
          <w:lang w:val="lv-LV"/>
        </w:rPr>
      </w:pPr>
      <w:r w:rsidRPr="002D41D4">
        <w:rPr>
          <w:rFonts w:ascii="Times New Roman" w:hAnsi="Times New Roman"/>
          <w:sz w:val="22"/>
          <w:szCs w:val="22"/>
          <w:lang w:val="lv-LV"/>
        </w:rPr>
        <w:t>Nav piemērojama.</w:t>
      </w:r>
    </w:p>
    <w:p w14:paraId="1F8831BD" w14:textId="77777777" w:rsidR="002D336F" w:rsidRPr="002D41D4" w:rsidRDefault="002D336F" w:rsidP="007F2E0A">
      <w:pPr>
        <w:rPr>
          <w:rFonts w:ascii="Times New Roman" w:hAnsi="Times New Roman"/>
          <w:sz w:val="22"/>
          <w:szCs w:val="22"/>
          <w:lang w:val="lv-LV"/>
        </w:rPr>
      </w:pPr>
    </w:p>
    <w:p w14:paraId="46E8E0FF" w14:textId="77777777" w:rsidR="002D336F" w:rsidRPr="002D41D4" w:rsidRDefault="002D336F" w:rsidP="007F2E0A">
      <w:pPr>
        <w:pStyle w:val="ListParagraph"/>
        <w:numPr>
          <w:ilvl w:val="1"/>
          <w:numId w:val="2"/>
        </w:numPr>
        <w:ind w:left="0" w:firstLine="0"/>
        <w:rPr>
          <w:rFonts w:ascii="Times New Roman" w:hAnsi="Times New Roman"/>
          <w:sz w:val="22"/>
          <w:szCs w:val="22"/>
          <w:lang w:val="lv-LV"/>
        </w:rPr>
      </w:pPr>
      <w:r w:rsidRPr="002D41D4">
        <w:rPr>
          <w:rFonts w:ascii="Times New Roman" w:hAnsi="Times New Roman"/>
          <w:b/>
          <w:sz w:val="22"/>
          <w:szCs w:val="22"/>
          <w:lang w:val="lv-LV"/>
        </w:rPr>
        <w:t>Uzglabāšanas laiks</w:t>
      </w:r>
    </w:p>
    <w:p w14:paraId="6F0C7F75" w14:textId="77777777" w:rsidR="002D336F" w:rsidRPr="002D41D4" w:rsidRDefault="002D336F" w:rsidP="007F2E0A">
      <w:pPr>
        <w:rPr>
          <w:rFonts w:ascii="Times New Roman" w:hAnsi="Times New Roman"/>
          <w:sz w:val="22"/>
          <w:szCs w:val="22"/>
          <w:lang w:val="lv-LV"/>
        </w:rPr>
      </w:pPr>
    </w:p>
    <w:p w14:paraId="4D82B020" w14:textId="77777777" w:rsidR="002D336F" w:rsidRPr="002D41D4" w:rsidRDefault="002D336F" w:rsidP="007F2E0A">
      <w:pPr>
        <w:rPr>
          <w:rFonts w:ascii="Times New Roman" w:hAnsi="Times New Roman"/>
          <w:sz w:val="22"/>
          <w:szCs w:val="22"/>
          <w:lang w:val="lv-LV"/>
        </w:rPr>
      </w:pPr>
      <w:r w:rsidRPr="002D41D4">
        <w:rPr>
          <w:rFonts w:ascii="Times New Roman" w:hAnsi="Times New Roman"/>
          <w:sz w:val="22"/>
          <w:szCs w:val="22"/>
          <w:lang w:val="lv-LV"/>
        </w:rPr>
        <w:t>3 gadi.</w:t>
      </w:r>
    </w:p>
    <w:p w14:paraId="29ABA8F2" w14:textId="77777777" w:rsidR="002D336F" w:rsidRPr="002D41D4" w:rsidRDefault="002D336F" w:rsidP="007F2E0A">
      <w:pPr>
        <w:rPr>
          <w:rFonts w:ascii="Times New Roman" w:hAnsi="Times New Roman"/>
          <w:sz w:val="22"/>
          <w:szCs w:val="22"/>
          <w:lang w:val="lv-LV"/>
        </w:rPr>
      </w:pPr>
    </w:p>
    <w:p w14:paraId="397D2647" w14:textId="77777777" w:rsidR="002D336F" w:rsidRPr="002D41D4" w:rsidRDefault="002D336F" w:rsidP="007F2E0A">
      <w:pPr>
        <w:pStyle w:val="ListParagraph"/>
        <w:numPr>
          <w:ilvl w:val="1"/>
          <w:numId w:val="2"/>
        </w:numPr>
        <w:ind w:left="0" w:firstLine="0"/>
        <w:rPr>
          <w:rFonts w:ascii="Times New Roman" w:hAnsi="Times New Roman"/>
          <w:sz w:val="22"/>
          <w:szCs w:val="22"/>
          <w:lang w:val="lv-LV"/>
        </w:rPr>
      </w:pPr>
      <w:r w:rsidRPr="002D41D4">
        <w:rPr>
          <w:rFonts w:ascii="Times New Roman" w:hAnsi="Times New Roman"/>
          <w:b/>
          <w:sz w:val="22"/>
          <w:szCs w:val="22"/>
          <w:lang w:val="lv-LV"/>
        </w:rPr>
        <w:t>Īpaši uzglabāšanas nosacījumi</w:t>
      </w:r>
    </w:p>
    <w:p w14:paraId="11324DE2" w14:textId="77777777" w:rsidR="002D336F" w:rsidRPr="002D41D4" w:rsidRDefault="002D336F" w:rsidP="007F2E0A">
      <w:pPr>
        <w:rPr>
          <w:rFonts w:ascii="Times New Roman" w:hAnsi="Times New Roman"/>
          <w:sz w:val="22"/>
          <w:szCs w:val="22"/>
          <w:lang w:val="lv-LV"/>
        </w:rPr>
      </w:pPr>
    </w:p>
    <w:p w14:paraId="51E293A5" w14:textId="77777777" w:rsidR="002D336F" w:rsidRPr="002D41D4" w:rsidRDefault="002D336F" w:rsidP="007F2E0A">
      <w:pPr>
        <w:rPr>
          <w:rFonts w:ascii="Times New Roman" w:hAnsi="Times New Roman"/>
          <w:sz w:val="22"/>
          <w:szCs w:val="22"/>
          <w:lang w:val="lv-LV"/>
        </w:rPr>
      </w:pPr>
      <w:r w:rsidRPr="002D41D4">
        <w:rPr>
          <w:rFonts w:ascii="Times New Roman" w:hAnsi="Times New Roman"/>
          <w:sz w:val="22"/>
          <w:szCs w:val="22"/>
          <w:lang w:val="lv-LV"/>
        </w:rPr>
        <w:t>Zālēm nav nepieciešami īpaši uzglabāšanas apstākļi.</w:t>
      </w:r>
    </w:p>
    <w:p w14:paraId="7C46F1C9" w14:textId="77777777" w:rsidR="002D336F" w:rsidRPr="002D41D4" w:rsidRDefault="002D336F" w:rsidP="007F2E0A">
      <w:pPr>
        <w:rPr>
          <w:rFonts w:ascii="Times New Roman" w:hAnsi="Times New Roman"/>
          <w:b/>
          <w:sz w:val="22"/>
          <w:szCs w:val="22"/>
          <w:lang w:val="lv-LV"/>
        </w:rPr>
      </w:pPr>
    </w:p>
    <w:p w14:paraId="48B6ABD9" w14:textId="77777777" w:rsidR="002D336F" w:rsidRPr="002D41D4" w:rsidRDefault="002D336F" w:rsidP="007F2E0A">
      <w:pPr>
        <w:pStyle w:val="ListParagraph"/>
        <w:numPr>
          <w:ilvl w:val="1"/>
          <w:numId w:val="2"/>
        </w:numPr>
        <w:ind w:left="0" w:firstLine="0"/>
        <w:rPr>
          <w:rFonts w:ascii="Times New Roman" w:hAnsi="Times New Roman"/>
          <w:sz w:val="22"/>
          <w:szCs w:val="22"/>
          <w:lang w:val="lv-LV"/>
        </w:rPr>
      </w:pPr>
      <w:r w:rsidRPr="002D41D4">
        <w:rPr>
          <w:rFonts w:ascii="Times New Roman" w:hAnsi="Times New Roman"/>
          <w:b/>
          <w:sz w:val="22"/>
          <w:szCs w:val="22"/>
          <w:lang w:val="lv-LV"/>
        </w:rPr>
        <w:t>Iepakojuma veids un saturs</w:t>
      </w:r>
    </w:p>
    <w:p w14:paraId="22EB792D" w14:textId="77777777" w:rsidR="002D336F" w:rsidRPr="002D41D4" w:rsidRDefault="002D336F" w:rsidP="007F2E0A">
      <w:pPr>
        <w:rPr>
          <w:rFonts w:ascii="Times New Roman" w:hAnsi="Times New Roman"/>
          <w:sz w:val="22"/>
          <w:szCs w:val="22"/>
          <w:lang w:val="lv-LV"/>
        </w:rPr>
      </w:pPr>
    </w:p>
    <w:p w14:paraId="3E9488EB" w14:textId="77777777" w:rsidR="002D336F" w:rsidRPr="002D41D4" w:rsidRDefault="002D336F" w:rsidP="007F2E0A">
      <w:pPr>
        <w:rPr>
          <w:rFonts w:ascii="Times New Roman" w:hAnsi="Times New Roman"/>
          <w:sz w:val="22"/>
          <w:szCs w:val="22"/>
          <w:lang w:val="lv-LV"/>
        </w:rPr>
      </w:pPr>
      <w:r w:rsidRPr="002D41D4">
        <w:rPr>
          <w:rFonts w:ascii="Times New Roman" w:hAnsi="Times New Roman"/>
          <w:sz w:val="22"/>
          <w:szCs w:val="22"/>
          <w:lang w:val="lv-LV"/>
        </w:rPr>
        <w:t>Tabletes ir iepakotas blisteros (PVH/Al folijas blisteros).</w:t>
      </w:r>
    </w:p>
    <w:p w14:paraId="6355637B" w14:textId="77777777" w:rsidR="002D336F" w:rsidRPr="002D41D4" w:rsidRDefault="002D336F" w:rsidP="007F2E0A">
      <w:pPr>
        <w:rPr>
          <w:rFonts w:ascii="Times New Roman" w:hAnsi="Times New Roman"/>
          <w:sz w:val="22"/>
          <w:szCs w:val="22"/>
          <w:lang w:val="lv-LV"/>
        </w:rPr>
      </w:pPr>
      <w:r w:rsidRPr="002D41D4">
        <w:rPr>
          <w:rFonts w:ascii="Times New Roman" w:hAnsi="Times New Roman"/>
          <w:sz w:val="22"/>
          <w:szCs w:val="22"/>
          <w:lang w:val="lv-LV"/>
        </w:rPr>
        <w:t>Iepakojumā 7, 14, 28, 30, 50, 56, 90 vai 100 tabletes.</w:t>
      </w:r>
    </w:p>
    <w:p w14:paraId="5DD643CB" w14:textId="77777777" w:rsidR="002D336F" w:rsidRPr="002D41D4" w:rsidRDefault="002D336F" w:rsidP="007F2E0A">
      <w:pPr>
        <w:rPr>
          <w:rFonts w:ascii="Times New Roman" w:hAnsi="Times New Roman"/>
          <w:sz w:val="22"/>
          <w:szCs w:val="22"/>
          <w:lang w:val="lv-LV"/>
        </w:rPr>
      </w:pPr>
    </w:p>
    <w:p w14:paraId="7FF3A1FA" w14:textId="77777777" w:rsidR="002D336F" w:rsidRPr="002D41D4" w:rsidRDefault="002D336F" w:rsidP="007F2E0A">
      <w:pPr>
        <w:rPr>
          <w:rFonts w:ascii="Times New Roman" w:hAnsi="Times New Roman"/>
          <w:sz w:val="22"/>
          <w:szCs w:val="22"/>
          <w:lang w:val="lv-LV"/>
        </w:rPr>
      </w:pPr>
      <w:r w:rsidRPr="002D41D4">
        <w:rPr>
          <w:rFonts w:ascii="Times New Roman" w:hAnsi="Times New Roman"/>
          <w:sz w:val="22"/>
          <w:szCs w:val="22"/>
          <w:lang w:val="lv-LV"/>
        </w:rPr>
        <w:t>Visi iepakojuma lielumi tirgū var nebūt pieejami.</w:t>
      </w:r>
    </w:p>
    <w:p w14:paraId="4099EEDA" w14:textId="77777777" w:rsidR="002D336F" w:rsidRPr="002D41D4" w:rsidRDefault="002D336F" w:rsidP="007F2E0A">
      <w:pPr>
        <w:rPr>
          <w:rFonts w:ascii="Times New Roman" w:hAnsi="Times New Roman"/>
          <w:sz w:val="22"/>
          <w:szCs w:val="22"/>
          <w:lang w:val="lv-LV"/>
        </w:rPr>
      </w:pPr>
    </w:p>
    <w:p w14:paraId="6C6D04EC" w14:textId="77777777" w:rsidR="002D336F" w:rsidRPr="002D41D4" w:rsidRDefault="002D336F" w:rsidP="007F2E0A">
      <w:pPr>
        <w:pStyle w:val="ListParagraph"/>
        <w:numPr>
          <w:ilvl w:val="1"/>
          <w:numId w:val="2"/>
        </w:numPr>
        <w:ind w:left="0" w:firstLine="0"/>
        <w:rPr>
          <w:rFonts w:ascii="Times New Roman" w:hAnsi="Times New Roman"/>
          <w:sz w:val="22"/>
          <w:szCs w:val="22"/>
          <w:lang w:val="lv-LV"/>
        </w:rPr>
      </w:pPr>
      <w:r w:rsidRPr="002D41D4">
        <w:rPr>
          <w:rFonts w:ascii="Times New Roman" w:hAnsi="Times New Roman"/>
          <w:b/>
          <w:sz w:val="22"/>
          <w:szCs w:val="22"/>
          <w:lang w:val="lv-LV"/>
        </w:rPr>
        <w:t>Īpaši norādījumi atkritumu likvidēšanai</w:t>
      </w:r>
    </w:p>
    <w:p w14:paraId="2D62C8DF" w14:textId="77777777" w:rsidR="002D336F" w:rsidRPr="002D41D4" w:rsidRDefault="002D336F" w:rsidP="007F2E0A">
      <w:pPr>
        <w:rPr>
          <w:rFonts w:ascii="Times New Roman" w:hAnsi="Times New Roman"/>
          <w:sz w:val="22"/>
          <w:szCs w:val="22"/>
          <w:lang w:val="lv-LV"/>
        </w:rPr>
      </w:pPr>
    </w:p>
    <w:p w14:paraId="41C0E5A8" w14:textId="77777777" w:rsidR="002D336F" w:rsidRPr="002D41D4" w:rsidRDefault="002D336F" w:rsidP="007F2E0A">
      <w:pPr>
        <w:rPr>
          <w:rFonts w:ascii="Times New Roman" w:hAnsi="Times New Roman"/>
          <w:sz w:val="22"/>
          <w:szCs w:val="22"/>
          <w:lang w:val="lv-LV"/>
        </w:rPr>
      </w:pPr>
      <w:r w:rsidRPr="002D41D4">
        <w:rPr>
          <w:rFonts w:ascii="Times New Roman" w:hAnsi="Times New Roman"/>
          <w:sz w:val="22"/>
          <w:szCs w:val="22"/>
          <w:lang w:val="lv-LV"/>
        </w:rPr>
        <w:t>Nav īpašu prasību.</w:t>
      </w:r>
    </w:p>
    <w:p w14:paraId="20374549" w14:textId="77777777" w:rsidR="002D336F" w:rsidRPr="002D41D4" w:rsidRDefault="002D336F" w:rsidP="007F2E0A">
      <w:pPr>
        <w:rPr>
          <w:rFonts w:ascii="Times New Roman" w:hAnsi="Times New Roman"/>
          <w:sz w:val="22"/>
          <w:szCs w:val="22"/>
          <w:lang w:val="lv-LV"/>
        </w:rPr>
      </w:pPr>
    </w:p>
    <w:p w14:paraId="0369C08A" w14:textId="77777777" w:rsidR="002D336F" w:rsidRPr="002D41D4" w:rsidRDefault="002D336F" w:rsidP="007F2E0A">
      <w:pPr>
        <w:rPr>
          <w:rFonts w:ascii="Times New Roman" w:hAnsi="Times New Roman"/>
          <w:sz w:val="22"/>
          <w:szCs w:val="22"/>
          <w:lang w:val="lv-LV"/>
        </w:rPr>
      </w:pPr>
    </w:p>
    <w:p w14:paraId="0B0C1865" w14:textId="77777777" w:rsidR="002D336F" w:rsidRPr="002D41D4" w:rsidRDefault="002D336F" w:rsidP="007F2E0A">
      <w:pPr>
        <w:pStyle w:val="ListParagraph"/>
        <w:numPr>
          <w:ilvl w:val="0"/>
          <w:numId w:val="2"/>
        </w:numPr>
        <w:ind w:left="0" w:firstLine="0"/>
        <w:rPr>
          <w:rFonts w:ascii="Times New Roman" w:hAnsi="Times New Roman"/>
          <w:b/>
          <w:sz w:val="22"/>
          <w:szCs w:val="22"/>
          <w:lang w:val="lv-LV"/>
        </w:rPr>
      </w:pPr>
      <w:r w:rsidRPr="002D41D4">
        <w:rPr>
          <w:rFonts w:ascii="Times New Roman" w:hAnsi="Times New Roman"/>
          <w:b/>
          <w:sz w:val="22"/>
          <w:szCs w:val="22"/>
          <w:lang w:val="lv-LV"/>
        </w:rPr>
        <w:t>REĢISTRĀCIJAS APLIECĪBAS ĪPAŠNIEKS</w:t>
      </w:r>
    </w:p>
    <w:p w14:paraId="6A109F40" w14:textId="77777777" w:rsidR="002D336F" w:rsidRPr="002D41D4" w:rsidRDefault="002D336F" w:rsidP="007F2E0A">
      <w:pPr>
        <w:rPr>
          <w:rFonts w:ascii="Times New Roman" w:hAnsi="Times New Roman"/>
          <w:sz w:val="22"/>
          <w:szCs w:val="22"/>
          <w:lang w:val="lv-LV"/>
        </w:rPr>
      </w:pPr>
    </w:p>
    <w:p w14:paraId="1ABA3BCF" w14:textId="77777777" w:rsidR="002D336F" w:rsidRPr="002D41D4" w:rsidRDefault="002D336F" w:rsidP="007F2E0A">
      <w:pPr>
        <w:rPr>
          <w:rFonts w:ascii="Times New Roman" w:hAnsi="Times New Roman"/>
          <w:iCs/>
          <w:sz w:val="22"/>
          <w:szCs w:val="22"/>
          <w:lang w:val="lv-LV"/>
        </w:rPr>
      </w:pPr>
      <w:r w:rsidRPr="002D41D4">
        <w:rPr>
          <w:rFonts w:ascii="Times New Roman" w:hAnsi="Times New Roman"/>
          <w:iCs/>
          <w:sz w:val="22"/>
          <w:szCs w:val="22"/>
          <w:lang w:val="lv-LV"/>
        </w:rPr>
        <w:t>Menarini International Operations Luxembourg S.A.</w:t>
      </w:r>
    </w:p>
    <w:p w14:paraId="75953AB4" w14:textId="77777777" w:rsidR="002D336F" w:rsidRPr="002D41D4" w:rsidRDefault="002D336F" w:rsidP="007F2E0A">
      <w:pPr>
        <w:rPr>
          <w:rFonts w:ascii="Times New Roman" w:hAnsi="Times New Roman"/>
          <w:iCs/>
          <w:sz w:val="22"/>
          <w:szCs w:val="22"/>
          <w:lang w:val="lv-LV"/>
        </w:rPr>
      </w:pPr>
      <w:r w:rsidRPr="002D41D4">
        <w:rPr>
          <w:rFonts w:ascii="Times New Roman" w:hAnsi="Times New Roman"/>
          <w:iCs/>
          <w:sz w:val="22"/>
          <w:szCs w:val="22"/>
          <w:lang w:val="lv-LV"/>
        </w:rPr>
        <w:t>1, Avenue de la Gare</w:t>
      </w:r>
    </w:p>
    <w:p w14:paraId="78FA08AB" w14:textId="77777777" w:rsidR="002D336F" w:rsidRPr="002D41D4" w:rsidRDefault="002D336F" w:rsidP="007F2E0A">
      <w:pPr>
        <w:rPr>
          <w:rFonts w:ascii="Times New Roman" w:hAnsi="Times New Roman"/>
          <w:iCs/>
          <w:sz w:val="22"/>
          <w:szCs w:val="22"/>
          <w:lang w:val="lv-LV"/>
        </w:rPr>
      </w:pPr>
      <w:r w:rsidRPr="002D41D4">
        <w:rPr>
          <w:rFonts w:ascii="Times New Roman" w:hAnsi="Times New Roman"/>
          <w:iCs/>
          <w:sz w:val="22"/>
          <w:szCs w:val="22"/>
          <w:lang w:val="lv-LV"/>
        </w:rPr>
        <w:t>L-1611 Luxembourg</w:t>
      </w:r>
    </w:p>
    <w:p w14:paraId="2B2B7CF0" w14:textId="77777777" w:rsidR="002D336F" w:rsidRPr="002D41D4" w:rsidRDefault="002D336F" w:rsidP="007F2E0A">
      <w:pPr>
        <w:rPr>
          <w:rFonts w:ascii="Times New Roman" w:hAnsi="Times New Roman"/>
          <w:sz w:val="22"/>
          <w:szCs w:val="22"/>
          <w:lang w:val="lv-LV"/>
        </w:rPr>
      </w:pPr>
      <w:r w:rsidRPr="002D41D4">
        <w:rPr>
          <w:rFonts w:ascii="Times New Roman" w:hAnsi="Times New Roman"/>
          <w:iCs/>
          <w:sz w:val="22"/>
          <w:szCs w:val="22"/>
          <w:lang w:val="lv-LV"/>
        </w:rPr>
        <w:t>Luksemburga</w:t>
      </w:r>
    </w:p>
    <w:p w14:paraId="3E64BD8F" w14:textId="77777777" w:rsidR="002D336F" w:rsidRPr="002D41D4" w:rsidRDefault="002D336F" w:rsidP="007F2E0A">
      <w:pPr>
        <w:rPr>
          <w:rFonts w:ascii="Times New Roman" w:hAnsi="Times New Roman"/>
          <w:sz w:val="22"/>
          <w:szCs w:val="22"/>
          <w:lang w:val="lv-LV"/>
        </w:rPr>
      </w:pPr>
    </w:p>
    <w:p w14:paraId="39C8DD88" w14:textId="77777777" w:rsidR="002D336F" w:rsidRPr="002D41D4" w:rsidRDefault="002D336F" w:rsidP="007F2E0A">
      <w:pPr>
        <w:rPr>
          <w:rFonts w:ascii="Times New Roman" w:hAnsi="Times New Roman"/>
          <w:sz w:val="22"/>
          <w:szCs w:val="22"/>
          <w:lang w:val="lv-LV"/>
        </w:rPr>
      </w:pPr>
    </w:p>
    <w:p w14:paraId="69E7884A" w14:textId="77777777" w:rsidR="002D336F" w:rsidRPr="002D41D4" w:rsidRDefault="002D336F" w:rsidP="007F2E0A">
      <w:pPr>
        <w:pStyle w:val="ListParagraph"/>
        <w:numPr>
          <w:ilvl w:val="0"/>
          <w:numId w:val="2"/>
        </w:numPr>
        <w:ind w:left="0" w:firstLine="0"/>
        <w:rPr>
          <w:rFonts w:ascii="Times New Roman" w:hAnsi="Times New Roman"/>
          <w:b/>
          <w:caps/>
          <w:sz w:val="22"/>
          <w:szCs w:val="22"/>
          <w:lang w:val="lv-LV"/>
        </w:rPr>
      </w:pPr>
      <w:r w:rsidRPr="002D41D4">
        <w:rPr>
          <w:rFonts w:ascii="Times New Roman" w:hAnsi="Times New Roman"/>
          <w:b/>
          <w:caps/>
          <w:sz w:val="22"/>
          <w:szCs w:val="22"/>
          <w:lang w:val="lv-LV"/>
        </w:rPr>
        <w:t xml:space="preserve">reģistrācijas </w:t>
      </w:r>
      <w:r w:rsidR="00A5516B" w:rsidRPr="002D41D4">
        <w:rPr>
          <w:rFonts w:ascii="Times New Roman" w:hAnsi="Times New Roman"/>
          <w:b/>
          <w:caps/>
          <w:sz w:val="22"/>
          <w:szCs w:val="22"/>
          <w:lang w:val="lv-LV"/>
        </w:rPr>
        <w:t xml:space="preserve">APLIECĪBAS </w:t>
      </w:r>
      <w:r w:rsidRPr="002D41D4">
        <w:rPr>
          <w:rFonts w:ascii="Times New Roman" w:hAnsi="Times New Roman"/>
          <w:b/>
          <w:caps/>
          <w:sz w:val="22"/>
          <w:szCs w:val="22"/>
          <w:lang w:val="lv-LV"/>
        </w:rPr>
        <w:t>numurs</w:t>
      </w:r>
      <w:r w:rsidR="00A5516B" w:rsidRPr="002D41D4">
        <w:rPr>
          <w:rFonts w:ascii="Times New Roman" w:hAnsi="Times New Roman"/>
          <w:b/>
          <w:caps/>
          <w:sz w:val="22"/>
          <w:szCs w:val="22"/>
          <w:lang w:val="lv-LV"/>
        </w:rPr>
        <w:t>(-I)</w:t>
      </w:r>
    </w:p>
    <w:p w14:paraId="72646F92" w14:textId="77777777" w:rsidR="002D336F" w:rsidRPr="002D41D4" w:rsidRDefault="002D336F" w:rsidP="007F2E0A">
      <w:pPr>
        <w:rPr>
          <w:rFonts w:ascii="Times New Roman" w:hAnsi="Times New Roman"/>
          <w:sz w:val="22"/>
          <w:szCs w:val="22"/>
          <w:lang w:val="lv-LV"/>
        </w:rPr>
      </w:pPr>
    </w:p>
    <w:p w14:paraId="12193B70" w14:textId="77777777" w:rsidR="002D336F" w:rsidRPr="002D41D4" w:rsidRDefault="002D336F" w:rsidP="007F2E0A">
      <w:pPr>
        <w:rPr>
          <w:rFonts w:ascii="Times New Roman" w:hAnsi="Times New Roman"/>
          <w:b/>
          <w:sz w:val="22"/>
          <w:szCs w:val="22"/>
          <w:lang w:val="lv-LV"/>
        </w:rPr>
      </w:pPr>
      <w:r w:rsidRPr="002D41D4">
        <w:rPr>
          <w:rFonts w:ascii="Times New Roman" w:hAnsi="Times New Roman"/>
          <w:sz w:val="22"/>
          <w:szCs w:val="22"/>
          <w:lang w:val="lv-LV"/>
        </w:rPr>
        <w:t>98-0344</w:t>
      </w:r>
    </w:p>
    <w:p w14:paraId="6D09F3DA" w14:textId="77777777" w:rsidR="002D336F" w:rsidRPr="002D41D4" w:rsidRDefault="002D336F" w:rsidP="007F2E0A">
      <w:pPr>
        <w:rPr>
          <w:rFonts w:ascii="Times New Roman" w:hAnsi="Times New Roman"/>
          <w:b/>
          <w:sz w:val="22"/>
          <w:szCs w:val="22"/>
          <w:lang w:val="lv-LV"/>
        </w:rPr>
      </w:pPr>
    </w:p>
    <w:p w14:paraId="31DCECEE" w14:textId="77777777" w:rsidR="002D336F" w:rsidRPr="002D41D4" w:rsidRDefault="002D336F" w:rsidP="007F2E0A">
      <w:pPr>
        <w:rPr>
          <w:rFonts w:ascii="Times New Roman" w:hAnsi="Times New Roman"/>
          <w:b/>
          <w:caps/>
          <w:sz w:val="22"/>
          <w:szCs w:val="22"/>
          <w:lang w:val="lv-LV"/>
        </w:rPr>
      </w:pPr>
    </w:p>
    <w:p w14:paraId="037A2E52" w14:textId="77777777" w:rsidR="002D336F" w:rsidRPr="002D41D4" w:rsidRDefault="003F4B93" w:rsidP="007F2E0A">
      <w:pPr>
        <w:pStyle w:val="ListParagraph"/>
        <w:numPr>
          <w:ilvl w:val="0"/>
          <w:numId w:val="2"/>
        </w:numPr>
        <w:ind w:left="0" w:firstLine="0"/>
        <w:rPr>
          <w:rFonts w:ascii="Times New Roman" w:hAnsi="Times New Roman"/>
          <w:b/>
          <w:sz w:val="22"/>
          <w:szCs w:val="22"/>
          <w:lang w:val="lv-LV"/>
        </w:rPr>
      </w:pPr>
      <w:r w:rsidRPr="002D41D4">
        <w:rPr>
          <w:rFonts w:ascii="Times New Roman" w:hAnsi="Times New Roman"/>
          <w:b/>
          <w:caps/>
          <w:sz w:val="22"/>
          <w:szCs w:val="22"/>
          <w:lang w:val="lv-LV"/>
        </w:rPr>
        <w:t xml:space="preserve">PIRMĀS </w:t>
      </w:r>
      <w:r w:rsidR="002D336F" w:rsidRPr="002D41D4">
        <w:rPr>
          <w:rFonts w:ascii="Times New Roman" w:hAnsi="Times New Roman"/>
          <w:b/>
          <w:caps/>
          <w:sz w:val="22"/>
          <w:szCs w:val="22"/>
          <w:lang w:val="lv-LV"/>
        </w:rPr>
        <w:t>reģistrācijas/pārreģistrācijas datums</w:t>
      </w:r>
    </w:p>
    <w:p w14:paraId="014FBAB0" w14:textId="77777777" w:rsidR="002D336F" w:rsidRPr="002D41D4" w:rsidRDefault="002D336F" w:rsidP="007F2E0A">
      <w:pPr>
        <w:rPr>
          <w:rFonts w:ascii="Times New Roman" w:hAnsi="Times New Roman"/>
          <w:b/>
          <w:sz w:val="22"/>
          <w:szCs w:val="22"/>
          <w:lang w:val="lv-LV"/>
        </w:rPr>
      </w:pPr>
    </w:p>
    <w:p w14:paraId="6AB99C92" w14:textId="77777777" w:rsidR="00142B30" w:rsidRPr="002D41D4" w:rsidRDefault="00142B30" w:rsidP="007F2E0A">
      <w:pPr>
        <w:rPr>
          <w:rFonts w:ascii="Times New Roman" w:hAnsi="Times New Roman"/>
          <w:sz w:val="22"/>
          <w:szCs w:val="22"/>
          <w:lang w:val="lv-LV"/>
        </w:rPr>
      </w:pPr>
      <w:r w:rsidRPr="002D41D4">
        <w:rPr>
          <w:rFonts w:ascii="Times New Roman" w:hAnsi="Times New Roman"/>
          <w:sz w:val="22"/>
          <w:szCs w:val="22"/>
          <w:lang w:val="lv-LV"/>
        </w:rPr>
        <w:t xml:space="preserve">Reģistrācijas datums: </w:t>
      </w:r>
      <w:r w:rsidR="002D336F" w:rsidRPr="002D41D4">
        <w:rPr>
          <w:rFonts w:ascii="Times New Roman" w:hAnsi="Times New Roman"/>
          <w:sz w:val="22"/>
          <w:szCs w:val="22"/>
          <w:lang w:val="lv-LV"/>
        </w:rPr>
        <w:t>1998.</w:t>
      </w:r>
      <w:r w:rsidRPr="002D41D4">
        <w:rPr>
          <w:rFonts w:ascii="Times New Roman" w:hAnsi="Times New Roman"/>
          <w:sz w:val="22"/>
          <w:szCs w:val="22"/>
          <w:lang w:val="lv-LV"/>
        </w:rPr>
        <w:t xml:space="preserve"> gada 16. jūnijs</w:t>
      </w:r>
    </w:p>
    <w:p w14:paraId="6DB87470" w14:textId="77777777" w:rsidR="002D336F" w:rsidRPr="002D41D4" w:rsidRDefault="00142B30" w:rsidP="007F2E0A">
      <w:pPr>
        <w:rPr>
          <w:rFonts w:ascii="Times New Roman" w:hAnsi="Times New Roman"/>
          <w:sz w:val="22"/>
          <w:szCs w:val="22"/>
          <w:lang w:val="lv-LV"/>
        </w:rPr>
      </w:pPr>
      <w:r w:rsidRPr="002D41D4">
        <w:rPr>
          <w:rFonts w:ascii="Times New Roman" w:hAnsi="Times New Roman"/>
          <w:sz w:val="22"/>
          <w:szCs w:val="22"/>
          <w:lang w:val="lv-LV"/>
        </w:rPr>
        <w:t xml:space="preserve">Pēdējās pārreģistrācijas datums: </w:t>
      </w:r>
      <w:r w:rsidR="002D336F" w:rsidRPr="002D41D4">
        <w:rPr>
          <w:rFonts w:ascii="Times New Roman" w:hAnsi="Times New Roman"/>
          <w:sz w:val="22"/>
          <w:szCs w:val="22"/>
          <w:lang w:val="lv-LV"/>
        </w:rPr>
        <w:t>2008.</w:t>
      </w:r>
      <w:r w:rsidRPr="002D41D4">
        <w:rPr>
          <w:rFonts w:ascii="Times New Roman" w:hAnsi="Times New Roman"/>
          <w:sz w:val="22"/>
          <w:szCs w:val="22"/>
          <w:lang w:val="lv-LV"/>
        </w:rPr>
        <w:t xml:space="preserve"> gada 14. jūlijs</w:t>
      </w:r>
    </w:p>
    <w:p w14:paraId="5857EB77" w14:textId="77777777" w:rsidR="002D336F" w:rsidRPr="002D41D4" w:rsidRDefault="002D336F" w:rsidP="007F2E0A">
      <w:pPr>
        <w:rPr>
          <w:rFonts w:ascii="Times New Roman" w:hAnsi="Times New Roman"/>
          <w:b/>
          <w:sz w:val="22"/>
          <w:szCs w:val="22"/>
          <w:lang w:val="lv-LV"/>
        </w:rPr>
      </w:pPr>
    </w:p>
    <w:p w14:paraId="3FF11AF5" w14:textId="77777777" w:rsidR="002D336F" w:rsidRPr="002D41D4" w:rsidRDefault="002D336F" w:rsidP="007F2E0A">
      <w:pPr>
        <w:rPr>
          <w:rFonts w:ascii="Times New Roman" w:hAnsi="Times New Roman"/>
          <w:b/>
          <w:caps/>
          <w:sz w:val="22"/>
          <w:szCs w:val="22"/>
          <w:lang w:val="lv-LV"/>
        </w:rPr>
      </w:pPr>
    </w:p>
    <w:p w14:paraId="1FA403F8" w14:textId="77777777" w:rsidR="002D336F" w:rsidRPr="002D41D4" w:rsidRDefault="002D336F" w:rsidP="007F2E0A">
      <w:pPr>
        <w:pStyle w:val="ListParagraph"/>
        <w:numPr>
          <w:ilvl w:val="0"/>
          <w:numId w:val="2"/>
        </w:numPr>
        <w:ind w:left="0" w:firstLine="0"/>
        <w:rPr>
          <w:rFonts w:ascii="Times New Roman" w:hAnsi="Times New Roman"/>
          <w:b/>
          <w:sz w:val="22"/>
          <w:szCs w:val="22"/>
          <w:lang w:val="lv-LV"/>
        </w:rPr>
      </w:pPr>
      <w:r w:rsidRPr="002D41D4">
        <w:rPr>
          <w:rFonts w:ascii="Times New Roman" w:hAnsi="Times New Roman"/>
          <w:b/>
          <w:caps/>
          <w:sz w:val="22"/>
          <w:szCs w:val="22"/>
          <w:lang w:val="lv-LV"/>
        </w:rPr>
        <w:t>teksta pārskatīšanas datums</w:t>
      </w:r>
    </w:p>
    <w:p w14:paraId="72390833" w14:textId="77777777" w:rsidR="002D336F" w:rsidRPr="002D41D4" w:rsidRDefault="002D336F" w:rsidP="007F2E0A">
      <w:pPr>
        <w:rPr>
          <w:rFonts w:ascii="Times New Roman" w:hAnsi="Times New Roman"/>
          <w:b/>
          <w:sz w:val="22"/>
          <w:szCs w:val="22"/>
          <w:lang w:val="lv-LV"/>
        </w:rPr>
      </w:pPr>
    </w:p>
    <w:p w14:paraId="10FC74D5" w14:textId="77777777" w:rsidR="004E29EF" w:rsidRPr="002D41D4" w:rsidRDefault="005C5376" w:rsidP="007F2E0A">
      <w:pPr>
        <w:rPr>
          <w:rFonts w:ascii="Times New Roman" w:hAnsi="Times New Roman"/>
          <w:sz w:val="22"/>
          <w:szCs w:val="22"/>
          <w:lang w:val="lv-LV"/>
        </w:rPr>
      </w:pPr>
      <w:r>
        <w:rPr>
          <w:rFonts w:ascii="Times New Roman" w:hAnsi="Times New Roman"/>
          <w:sz w:val="22"/>
          <w:szCs w:val="22"/>
          <w:lang w:val="lv-LV"/>
        </w:rPr>
        <w:t>11</w:t>
      </w:r>
      <w:r w:rsidR="007B19A9">
        <w:rPr>
          <w:rFonts w:ascii="Times New Roman" w:hAnsi="Times New Roman"/>
          <w:sz w:val="22"/>
          <w:szCs w:val="22"/>
          <w:lang w:val="lv-LV"/>
        </w:rPr>
        <w:t>/2021</w:t>
      </w:r>
    </w:p>
    <w:sectPr w:rsidR="004E29EF" w:rsidRPr="002D41D4" w:rsidSect="00AD47D7">
      <w:headerReference w:type="even" r:id="rId8"/>
      <w:headerReference w:type="default" r:id="rId9"/>
      <w:footerReference w:type="even" r:id="rId10"/>
      <w:footerReference w:type="default" r:id="rId11"/>
      <w:headerReference w:type="first" r:id="rId12"/>
      <w:footerReference w:type="first" r:id="rId13"/>
      <w:pgSz w:w="11907" w:h="16839" w:code="9"/>
      <w:pgMar w:top="1134" w:right="1416" w:bottom="1134" w:left="1418" w:header="720" w:footer="29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032F8" w14:textId="77777777" w:rsidR="001D672B" w:rsidRDefault="001D672B" w:rsidP="008E2ADE">
      <w:r>
        <w:separator/>
      </w:r>
    </w:p>
  </w:endnote>
  <w:endnote w:type="continuationSeparator" w:id="0">
    <w:p w14:paraId="760CF36C" w14:textId="77777777" w:rsidR="001D672B" w:rsidRDefault="001D672B" w:rsidP="008E2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imHelvetica">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D1A64" w14:textId="77777777" w:rsidR="00377F3E" w:rsidRDefault="00377F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5426804"/>
      <w:docPartObj>
        <w:docPartGallery w:val="Page Numbers (Bottom of Page)"/>
        <w:docPartUnique/>
      </w:docPartObj>
    </w:sdtPr>
    <w:sdtEndPr>
      <w:rPr>
        <w:rFonts w:ascii="Arial" w:hAnsi="Arial" w:cs="Arial"/>
        <w:noProof/>
        <w:sz w:val="16"/>
        <w:szCs w:val="16"/>
      </w:rPr>
    </w:sdtEndPr>
    <w:sdtContent>
      <w:p w14:paraId="775DC9B0" w14:textId="77777777" w:rsidR="00F2200E" w:rsidRDefault="00F2200E" w:rsidP="008976CE">
        <w:pPr>
          <w:pStyle w:val="Footer"/>
        </w:pPr>
      </w:p>
      <w:p w14:paraId="640F4AEA" w14:textId="77777777" w:rsidR="00F2200E" w:rsidRDefault="00F2200E" w:rsidP="008976CE">
        <w:pPr>
          <w:pStyle w:val="Footer"/>
        </w:pPr>
      </w:p>
      <w:p w14:paraId="39B9D517" w14:textId="77777777" w:rsidR="0041593C" w:rsidRPr="00F9039F" w:rsidRDefault="00FE1861" w:rsidP="008976CE">
        <w:pPr>
          <w:pStyle w:val="Footer"/>
          <w:rPr>
            <w:rFonts w:ascii="Arial" w:hAnsi="Arial" w:cs="Arial"/>
            <w:sz w:val="16"/>
            <w:szCs w:val="16"/>
          </w:rPr>
        </w:pPr>
        <w:r w:rsidRPr="00F9039F">
          <w:rPr>
            <w:rFonts w:ascii="Arial" w:hAnsi="Arial" w:cs="Arial"/>
            <w:sz w:val="16"/>
            <w:szCs w:val="16"/>
          </w:rPr>
          <w:t>98-0344_SmPC_LV_</w:t>
        </w:r>
        <w:r w:rsidR="006440D1" w:rsidRPr="00F9039F">
          <w:rPr>
            <w:rFonts w:ascii="Arial" w:hAnsi="Arial" w:cs="Arial"/>
            <w:sz w:val="16"/>
            <w:szCs w:val="16"/>
          </w:rPr>
          <w:t>WS/530</w:t>
        </w:r>
        <w:r w:rsidRPr="00F9039F">
          <w:rPr>
            <w:rFonts w:ascii="Arial" w:hAnsi="Arial" w:cs="Arial"/>
            <w:sz w:val="16"/>
            <w:szCs w:val="16"/>
          </w:rPr>
          <w:tab/>
        </w:r>
        <w:r w:rsidRPr="00F9039F">
          <w:rPr>
            <w:rFonts w:ascii="Arial" w:hAnsi="Arial" w:cs="Arial"/>
            <w:sz w:val="16"/>
            <w:szCs w:val="16"/>
          </w:rPr>
          <w:tab/>
        </w:r>
        <w:r w:rsidR="00CC521A" w:rsidRPr="00F9039F">
          <w:rPr>
            <w:rFonts w:ascii="Arial" w:hAnsi="Arial" w:cs="Arial"/>
            <w:sz w:val="16"/>
            <w:szCs w:val="16"/>
          </w:rPr>
          <w:fldChar w:fldCharType="begin"/>
        </w:r>
        <w:r w:rsidR="0041593C" w:rsidRPr="00F9039F">
          <w:rPr>
            <w:rFonts w:ascii="Arial" w:hAnsi="Arial" w:cs="Arial"/>
            <w:sz w:val="16"/>
            <w:szCs w:val="16"/>
          </w:rPr>
          <w:instrText xml:space="preserve"> PAGE   \* MERGEFORMAT </w:instrText>
        </w:r>
        <w:r w:rsidR="00CC521A" w:rsidRPr="00F9039F">
          <w:rPr>
            <w:rFonts w:ascii="Arial" w:hAnsi="Arial" w:cs="Arial"/>
            <w:sz w:val="16"/>
            <w:szCs w:val="16"/>
          </w:rPr>
          <w:fldChar w:fldCharType="separate"/>
        </w:r>
        <w:r w:rsidR="00A466DD">
          <w:rPr>
            <w:rFonts w:ascii="Arial" w:hAnsi="Arial" w:cs="Arial"/>
            <w:noProof/>
            <w:sz w:val="16"/>
            <w:szCs w:val="16"/>
          </w:rPr>
          <w:t>10</w:t>
        </w:r>
        <w:r w:rsidR="00CC521A" w:rsidRPr="00F9039F">
          <w:rPr>
            <w:rFonts w:ascii="Arial" w:hAnsi="Arial" w:cs="Arial"/>
            <w:noProof/>
            <w:sz w:val="16"/>
            <w:szCs w:val="16"/>
          </w:rPr>
          <w:fldChar w:fldCharType="end"/>
        </w:r>
      </w:p>
    </w:sdtContent>
  </w:sdt>
  <w:p w14:paraId="2930A448" w14:textId="77777777" w:rsidR="0041593C" w:rsidRDefault="004159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44CCF" w14:textId="77777777" w:rsidR="00377F3E" w:rsidRDefault="00377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ABCDC" w14:textId="77777777" w:rsidR="001D672B" w:rsidRDefault="001D672B" w:rsidP="008E2ADE">
      <w:r>
        <w:separator/>
      </w:r>
    </w:p>
  </w:footnote>
  <w:footnote w:type="continuationSeparator" w:id="0">
    <w:p w14:paraId="1F172293" w14:textId="77777777" w:rsidR="001D672B" w:rsidRDefault="001D672B" w:rsidP="008E2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13FBF" w14:textId="77777777" w:rsidR="00377F3E" w:rsidRDefault="00377F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01C42" w14:textId="3B66F5E5" w:rsidR="0041593C" w:rsidRPr="00377F3E" w:rsidRDefault="00377F3E">
    <w:pPr>
      <w:pStyle w:val="Header"/>
      <w:jc w:val="right"/>
      <w:rPr>
        <w:rFonts w:ascii="Times New Roman" w:hAnsi="Times New Roman"/>
        <w:lang w:val="en-US"/>
      </w:rPr>
    </w:pPr>
    <w:r>
      <w:rPr>
        <w:rFonts w:ascii="Times New Roman" w:hAnsi="Times New Roman"/>
        <w:lang w:val="en-US"/>
      </w:rPr>
      <w:t>SASKAŅOTS ZVA 09-12-2021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A93C2" w14:textId="77777777" w:rsidR="00377F3E" w:rsidRDefault="00377F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63717"/>
    <w:multiLevelType w:val="multilevel"/>
    <w:tmpl w:val="C88A0C7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634A47D3"/>
    <w:multiLevelType w:val="hybridMultilevel"/>
    <w:tmpl w:val="4F26F308"/>
    <w:lvl w:ilvl="0" w:tplc="72D4BF82">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336F"/>
    <w:rsid w:val="00002D45"/>
    <w:rsid w:val="00011FAF"/>
    <w:rsid w:val="000435EB"/>
    <w:rsid w:val="0004789C"/>
    <w:rsid w:val="000720FC"/>
    <w:rsid w:val="000B7165"/>
    <w:rsid w:val="000F1FD1"/>
    <w:rsid w:val="00123E5C"/>
    <w:rsid w:val="00141556"/>
    <w:rsid w:val="00142B30"/>
    <w:rsid w:val="001600B8"/>
    <w:rsid w:val="00172527"/>
    <w:rsid w:val="00195A32"/>
    <w:rsid w:val="00197B5B"/>
    <w:rsid w:val="001A6927"/>
    <w:rsid w:val="001B40F0"/>
    <w:rsid w:val="001B4FF3"/>
    <w:rsid w:val="001B702E"/>
    <w:rsid w:val="001D672B"/>
    <w:rsid w:val="00212767"/>
    <w:rsid w:val="002601B6"/>
    <w:rsid w:val="00260772"/>
    <w:rsid w:val="0027152F"/>
    <w:rsid w:val="002C1094"/>
    <w:rsid w:val="002D336F"/>
    <w:rsid w:val="002D41D4"/>
    <w:rsid w:val="0034182A"/>
    <w:rsid w:val="00356A62"/>
    <w:rsid w:val="003762C6"/>
    <w:rsid w:val="00377F3E"/>
    <w:rsid w:val="003B790E"/>
    <w:rsid w:val="003C4A19"/>
    <w:rsid w:val="003E3854"/>
    <w:rsid w:val="003E4851"/>
    <w:rsid w:val="003F4B93"/>
    <w:rsid w:val="00414275"/>
    <w:rsid w:val="0041593C"/>
    <w:rsid w:val="0042197E"/>
    <w:rsid w:val="004334D2"/>
    <w:rsid w:val="00437821"/>
    <w:rsid w:val="00441519"/>
    <w:rsid w:val="00446EB2"/>
    <w:rsid w:val="004538EC"/>
    <w:rsid w:val="00457F0F"/>
    <w:rsid w:val="00463125"/>
    <w:rsid w:val="00493B16"/>
    <w:rsid w:val="004A39BB"/>
    <w:rsid w:val="004B5E11"/>
    <w:rsid w:val="004B6C40"/>
    <w:rsid w:val="004D44AC"/>
    <w:rsid w:val="004E29EF"/>
    <w:rsid w:val="004E6B81"/>
    <w:rsid w:val="005130E4"/>
    <w:rsid w:val="00543D4C"/>
    <w:rsid w:val="00596524"/>
    <w:rsid w:val="005C125A"/>
    <w:rsid w:val="005C5376"/>
    <w:rsid w:val="00605D5B"/>
    <w:rsid w:val="00606336"/>
    <w:rsid w:val="006440D1"/>
    <w:rsid w:val="006651E5"/>
    <w:rsid w:val="0069192B"/>
    <w:rsid w:val="006B3E82"/>
    <w:rsid w:val="006B7A33"/>
    <w:rsid w:val="006C0538"/>
    <w:rsid w:val="006C1D01"/>
    <w:rsid w:val="006D57C1"/>
    <w:rsid w:val="0070411A"/>
    <w:rsid w:val="00705FA8"/>
    <w:rsid w:val="00725A3D"/>
    <w:rsid w:val="007420CD"/>
    <w:rsid w:val="0076281E"/>
    <w:rsid w:val="007B19A9"/>
    <w:rsid w:val="007C37A3"/>
    <w:rsid w:val="007D2CFE"/>
    <w:rsid w:val="007D3B07"/>
    <w:rsid w:val="007F228D"/>
    <w:rsid w:val="007F2E0A"/>
    <w:rsid w:val="008067EF"/>
    <w:rsid w:val="00814BBE"/>
    <w:rsid w:val="008330DB"/>
    <w:rsid w:val="00843C0F"/>
    <w:rsid w:val="00844ECB"/>
    <w:rsid w:val="00857EFA"/>
    <w:rsid w:val="00866FD4"/>
    <w:rsid w:val="00872BC9"/>
    <w:rsid w:val="00872EC4"/>
    <w:rsid w:val="008805D2"/>
    <w:rsid w:val="008976CE"/>
    <w:rsid w:val="008D31A3"/>
    <w:rsid w:val="008D544B"/>
    <w:rsid w:val="008E2ADE"/>
    <w:rsid w:val="008E6799"/>
    <w:rsid w:val="00905837"/>
    <w:rsid w:val="00952822"/>
    <w:rsid w:val="00964D4D"/>
    <w:rsid w:val="009709DB"/>
    <w:rsid w:val="009777B9"/>
    <w:rsid w:val="00977BA1"/>
    <w:rsid w:val="00983BB6"/>
    <w:rsid w:val="009B2765"/>
    <w:rsid w:val="009D01D2"/>
    <w:rsid w:val="009E6633"/>
    <w:rsid w:val="009F5C32"/>
    <w:rsid w:val="00A466DD"/>
    <w:rsid w:val="00A52D7D"/>
    <w:rsid w:val="00A53F5E"/>
    <w:rsid w:val="00A5516B"/>
    <w:rsid w:val="00A75A28"/>
    <w:rsid w:val="00A865DF"/>
    <w:rsid w:val="00AB40FA"/>
    <w:rsid w:val="00AD47D7"/>
    <w:rsid w:val="00AD507B"/>
    <w:rsid w:val="00AD5320"/>
    <w:rsid w:val="00AF46F2"/>
    <w:rsid w:val="00B06BEF"/>
    <w:rsid w:val="00B140C9"/>
    <w:rsid w:val="00B6315C"/>
    <w:rsid w:val="00BD694C"/>
    <w:rsid w:val="00BE5AB1"/>
    <w:rsid w:val="00C075D5"/>
    <w:rsid w:val="00C45685"/>
    <w:rsid w:val="00C521BF"/>
    <w:rsid w:val="00C70D7B"/>
    <w:rsid w:val="00C852BB"/>
    <w:rsid w:val="00CC521A"/>
    <w:rsid w:val="00D27A4C"/>
    <w:rsid w:val="00DA31B1"/>
    <w:rsid w:val="00DC7191"/>
    <w:rsid w:val="00DD3943"/>
    <w:rsid w:val="00E1684E"/>
    <w:rsid w:val="00E478DF"/>
    <w:rsid w:val="00E810C4"/>
    <w:rsid w:val="00EB646E"/>
    <w:rsid w:val="00EE77F9"/>
    <w:rsid w:val="00EF5259"/>
    <w:rsid w:val="00F0349C"/>
    <w:rsid w:val="00F059CC"/>
    <w:rsid w:val="00F07ED1"/>
    <w:rsid w:val="00F131C4"/>
    <w:rsid w:val="00F20EEF"/>
    <w:rsid w:val="00F2200E"/>
    <w:rsid w:val="00F3754E"/>
    <w:rsid w:val="00F9039F"/>
    <w:rsid w:val="00F95738"/>
    <w:rsid w:val="00FA5F54"/>
    <w:rsid w:val="00FB56EA"/>
    <w:rsid w:val="00FE1861"/>
    <w:rsid w:val="00FE6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3CB59C"/>
  <w15:docId w15:val="{A35A3B87-09C0-4B47-BF14-DCB6F9B3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36F"/>
    <w:pPr>
      <w:overflowPunct w:val="0"/>
      <w:autoSpaceDE w:val="0"/>
      <w:autoSpaceDN w:val="0"/>
      <w:adjustRightInd w:val="0"/>
      <w:spacing w:after="0" w:line="240" w:lineRule="auto"/>
      <w:textAlignment w:val="baseline"/>
    </w:pPr>
    <w:rPr>
      <w:rFonts w:ascii="RimHelvetica" w:eastAsia="Times New Roman" w:hAnsi="RimHelvetica"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D336F"/>
    <w:pPr>
      <w:tabs>
        <w:tab w:val="center" w:pos="4320"/>
        <w:tab w:val="right" w:pos="8640"/>
      </w:tabs>
    </w:pPr>
  </w:style>
  <w:style w:type="character" w:customStyle="1" w:styleId="HeaderChar">
    <w:name w:val="Header Char"/>
    <w:basedOn w:val="DefaultParagraphFont"/>
    <w:link w:val="Header"/>
    <w:uiPriority w:val="99"/>
    <w:rsid w:val="002D336F"/>
    <w:rPr>
      <w:rFonts w:ascii="RimHelvetica" w:eastAsia="Times New Roman" w:hAnsi="RimHelvetica" w:cs="Times New Roman"/>
      <w:sz w:val="24"/>
      <w:szCs w:val="20"/>
      <w:lang w:val="en-GB"/>
    </w:rPr>
  </w:style>
  <w:style w:type="paragraph" w:styleId="Footer">
    <w:name w:val="footer"/>
    <w:basedOn w:val="Normal"/>
    <w:link w:val="FooterChar"/>
    <w:uiPriority w:val="99"/>
    <w:unhideWhenUsed/>
    <w:rsid w:val="008E2ADE"/>
    <w:pPr>
      <w:tabs>
        <w:tab w:val="center" w:pos="4320"/>
        <w:tab w:val="right" w:pos="8640"/>
      </w:tabs>
    </w:pPr>
  </w:style>
  <w:style w:type="character" w:customStyle="1" w:styleId="FooterChar">
    <w:name w:val="Footer Char"/>
    <w:basedOn w:val="DefaultParagraphFont"/>
    <w:link w:val="Footer"/>
    <w:uiPriority w:val="99"/>
    <w:rsid w:val="008E2ADE"/>
    <w:rPr>
      <w:rFonts w:ascii="RimHelvetica" w:eastAsia="Times New Roman" w:hAnsi="RimHelvetica" w:cs="Times New Roman"/>
      <w:sz w:val="24"/>
      <w:szCs w:val="20"/>
      <w:lang w:val="en-GB"/>
    </w:rPr>
  </w:style>
  <w:style w:type="paragraph" w:styleId="ListParagraph">
    <w:name w:val="List Paragraph"/>
    <w:basedOn w:val="Normal"/>
    <w:uiPriority w:val="34"/>
    <w:qFormat/>
    <w:rsid w:val="006C0538"/>
    <w:pPr>
      <w:ind w:left="720"/>
      <w:contextualSpacing/>
    </w:pPr>
  </w:style>
  <w:style w:type="paragraph" w:styleId="BalloonText">
    <w:name w:val="Balloon Text"/>
    <w:basedOn w:val="Normal"/>
    <w:link w:val="BalloonTextChar"/>
    <w:uiPriority w:val="99"/>
    <w:semiHidden/>
    <w:unhideWhenUsed/>
    <w:rsid w:val="00C852BB"/>
    <w:rPr>
      <w:rFonts w:ascii="Tahoma" w:hAnsi="Tahoma" w:cs="Tahoma"/>
      <w:sz w:val="16"/>
      <w:szCs w:val="16"/>
    </w:rPr>
  </w:style>
  <w:style w:type="character" w:customStyle="1" w:styleId="BalloonTextChar">
    <w:name w:val="Balloon Text Char"/>
    <w:basedOn w:val="DefaultParagraphFont"/>
    <w:link w:val="BalloonText"/>
    <w:uiPriority w:val="99"/>
    <w:semiHidden/>
    <w:rsid w:val="00C852BB"/>
    <w:rPr>
      <w:rFonts w:ascii="Tahoma" w:eastAsia="Times New Roman" w:hAnsi="Tahoma" w:cs="Tahoma"/>
      <w:sz w:val="16"/>
      <w:szCs w:val="16"/>
      <w:lang w:val="en-GB"/>
    </w:rPr>
  </w:style>
  <w:style w:type="character" w:styleId="Hyperlink">
    <w:name w:val="Hyperlink"/>
    <w:rsid w:val="008067EF"/>
    <w:rPr>
      <w:color w:val="0000FF"/>
      <w:u w:val="single"/>
    </w:rPr>
  </w:style>
  <w:style w:type="character" w:styleId="CommentReference">
    <w:name w:val="annotation reference"/>
    <w:basedOn w:val="DefaultParagraphFont"/>
    <w:uiPriority w:val="99"/>
    <w:semiHidden/>
    <w:unhideWhenUsed/>
    <w:rsid w:val="0041593C"/>
    <w:rPr>
      <w:sz w:val="16"/>
      <w:szCs w:val="16"/>
    </w:rPr>
  </w:style>
  <w:style w:type="paragraph" w:styleId="CommentText">
    <w:name w:val="annotation text"/>
    <w:basedOn w:val="Normal"/>
    <w:link w:val="CommentTextChar"/>
    <w:uiPriority w:val="99"/>
    <w:semiHidden/>
    <w:unhideWhenUsed/>
    <w:rsid w:val="0041593C"/>
    <w:rPr>
      <w:sz w:val="20"/>
    </w:rPr>
  </w:style>
  <w:style w:type="character" w:customStyle="1" w:styleId="CommentTextChar">
    <w:name w:val="Comment Text Char"/>
    <w:basedOn w:val="DefaultParagraphFont"/>
    <w:link w:val="CommentText"/>
    <w:uiPriority w:val="99"/>
    <w:semiHidden/>
    <w:rsid w:val="0041593C"/>
    <w:rPr>
      <w:rFonts w:ascii="RimHelvetica" w:eastAsia="Times New Roman" w:hAnsi="RimHelvetica"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1593C"/>
    <w:rPr>
      <w:b/>
      <w:bCs/>
    </w:rPr>
  </w:style>
  <w:style w:type="character" w:customStyle="1" w:styleId="CommentSubjectChar">
    <w:name w:val="Comment Subject Char"/>
    <w:basedOn w:val="CommentTextChar"/>
    <w:link w:val="CommentSubject"/>
    <w:uiPriority w:val="99"/>
    <w:semiHidden/>
    <w:rsid w:val="0041593C"/>
    <w:rPr>
      <w:rFonts w:ascii="RimHelvetica" w:eastAsia="Times New Roman" w:hAnsi="RimHelvetica" w:cs="Times New Roman"/>
      <w:b/>
      <w:bCs/>
      <w:sz w:val="20"/>
      <w:szCs w:val="20"/>
      <w:lang w:val="en-GB"/>
    </w:rPr>
  </w:style>
  <w:style w:type="paragraph" w:styleId="Revision">
    <w:name w:val="Revision"/>
    <w:hidden/>
    <w:uiPriority w:val="99"/>
    <w:semiHidden/>
    <w:rsid w:val="001B40F0"/>
    <w:pPr>
      <w:spacing w:after="0" w:line="240" w:lineRule="auto"/>
    </w:pPr>
    <w:rPr>
      <w:rFonts w:ascii="RimHelvetica" w:eastAsia="Times New Roman" w:hAnsi="RimHelvetica"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zva.gov.lv/../?id=613&amp;sa=613&amp;top=3"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17128</Words>
  <Characters>9764</Characters>
  <Application>Microsoft Office Word</Application>
  <DocSecurity>0</DocSecurity>
  <Lines>81</Lines>
  <Paragraphs>53</Paragraphs>
  <ScaleCrop>false</ScaleCrop>
  <HeadingPairs>
    <vt:vector size="2" baseType="variant">
      <vt:variant>
        <vt:lpstr>Title</vt:lpstr>
      </vt:variant>
      <vt:variant>
        <vt:i4>1</vt:i4>
      </vt:variant>
    </vt:vector>
  </HeadingPairs>
  <TitlesOfParts>
    <vt:vector size="1" baseType="lpstr">
      <vt:lpstr/>
    </vt:vector>
  </TitlesOfParts>
  <Company>BCMB</Company>
  <LinksUpToDate>false</LinksUpToDate>
  <CharactersWithSpaces>26839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 Vilka</dc:creator>
  <cp:lastModifiedBy>Skaidrīte Lapsenīte</cp:lastModifiedBy>
  <cp:revision>4</cp:revision>
  <dcterms:created xsi:type="dcterms:W3CDTF">2021-11-29T09:19:00Z</dcterms:created>
  <dcterms:modified xsi:type="dcterms:W3CDTF">2021-12-06T12:12:00Z</dcterms:modified>
</cp:coreProperties>
</file>