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B73F" w14:textId="77777777" w:rsidR="00993DE7" w:rsidRPr="00543FC5" w:rsidRDefault="00993DE7" w:rsidP="00993DE7">
      <w:pPr>
        <w:jc w:val="center"/>
        <w:rPr>
          <w:b/>
        </w:rPr>
      </w:pPr>
      <w:r w:rsidRPr="00543FC5">
        <w:rPr>
          <w:b/>
        </w:rPr>
        <w:t>ZĀĻU APRAKSTS</w:t>
      </w:r>
    </w:p>
    <w:p w14:paraId="444EC307" w14:textId="77777777" w:rsidR="00993DE7" w:rsidRPr="00543FC5" w:rsidRDefault="00993DE7" w:rsidP="00993DE7">
      <w:pPr>
        <w:rPr>
          <w:b/>
        </w:rPr>
      </w:pPr>
    </w:p>
    <w:p w14:paraId="1C9CC6E6" w14:textId="77777777" w:rsidR="00993DE7" w:rsidRPr="00543FC5" w:rsidRDefault="00993DE7" w:rsidP="00993DE7">
      <w:pPr>
        <w:rPr>
          <w:b/>
        </w:rPr>
      </w:pPr>
      <w:r w:rsidRPr="00543FC5">
        <w:rPr>
          <w:b/>
        </w:rPr>
        <w:t>1.</w:t>
      </w:r>
      <w:r w:rsidRPr="00543FC5">
        <w:rPr>
          <w:b/>
        </w:rPr>
        <w:tab/>
        <w:t>ZĀĻU NOSAUKUMS</w:t>
      </w:r>
    </w:p>
    <w:p w14:paraId="458739D9" w14:textId="77777777" w:rsidR="00993DE7" w:rsidRPr="00543FC5" w:rsidRDefault="00993DE7" w:rsidP="00993DE7">
      <w:pPr>
        <w:ind w:left="567" w:hanging="567"/>
      </w:pPr>
    </w:p>
    <w:p w14:paraId="6FC320EE" w14:textId="77777777" w:rsidR="00993DE7" w:rsidRPr="00C57E7F" w:rsidRDefault="00993DE7" w:rsidP="00993DE7">
      <w:pPr>
        <w:pStyle w:val="EMEABodyTextChar"/>
        <w:rPr>
          <w:lang w:val="lv-LV"/>
        </w:rPr>
      </w:pPr>
      <w:r w:rsidRPr="00C57E7F">
        <w:rPr>
          <w:lang w:val="lv-LV"/>
        </w:rPr>
        <w:t>EFFERALGAN C 330</w:t>
      </w:r>
      <w:r w:rsidR="003C135D">
        <w:rPr>
          <w:lang w:val="lv-LV"/>
        </w:rPr>
        <w:t> </w:t>
      </w:r>
      <w:r w:rsidRPr="00C57E7F">
        <w:rPr>
          <w:lang w:val="lv-LV"/>
        </w:rPr>
        <w:t>mg/200</w:t>
      </w:r>
      <w:r w:rsidR="003C135D">
        <w:rPr>
          <w:lang w:val="lv-LV"/>
        </w:rPr>
        <w:t> </w:t>
      </w:r>
      <w:r w:rsidRPr="00C57E7F">
        <w:rPr>
          <w:lang w:val="lv-LV"/>
        </w:rPr>
        <w:t>mg putojošās tabletes</w:t>
      </w:r>
    </w:p>
    <w:p w14:paraId="2BD34844" w14:textId="77777777" w:rsidR="00993DE7" w:rsidRPr="00543FC5" w:rsidRDefault="00993DE7" w:rsidP="00993DE7">
      <w:pPr>
        <w:ind w:left="567" w:hanging="567"/>
      </w:pPr>
    </w:p>
    <w:p w14:paraId="638831A4" w14:textId="77777777" w:rsidR="00993DE7" w:rsidRPr="00543FC5" w:rsidRDefault="00993DE7" w:rsidP="00993DE7">
      <w:pPr>
        <w:ind w:left="567" w:hanging="567"/>
      </w:pPr>
    </w:p>
    <w:p w14:paraId="7AE551B7" w14:textId="77777777" w:rsidR="00993DE7" w:rsidRPr="00543FC5" w:rsidRDefault="00993DE7" w:rsidP="00993DE7">
      <w:pPr>
        <w:ind w:left="567" w:hanging="567"/>
        <w:rPr>
          <w:b/>
        </w:rPr>
      </w:pPr>
      <w:r w:rsidRPr="00543FC5">
        <w:rPr>
          <w:b/>
        </w:rPr>
        <w:t>2.</w:t>
      </w:r>
      <w:r w:rsidRPr="00543FC5">
        <w:rPr>
          <w:b/>
        </w:rPr>
        <w:tab/>
        <w:t>KVALITATĪVAIS UN KVANTITATĪVAIS SASTĀVS</w:t>
      </w:r>
    </w:p>
    <w:p w14:paraId="4A7CE453" w14:textId="77777777" w:rsidR="00993DE7" w:rsidRPr="00543FC5" w:rsidRDefault="00993DE7" w:rsidP="00993DE7">
      <w:pPr>
        <w:ind w:left="567" w:hanging="567"/>
      </w:pPr>
    </w:p>
    <w:p w14:paraId="34500DF5" w14:textId="77777777" w:rsidR="00C75850" w:rsidRDefault="00993DE7" w:rsidP="00C75850">
      <w:pPr>
        <w:tabs>
          <w:tab w:val="clear" w:pos="567"/>
          <w:tab w:val="left" w:pos="0"/>
        </w:tabs>
        <w:ind w:left="567" w:hanging="567"/>
        <w:rPr>
          <w:i/>
        </w:rPr>
      </w:pPr>
      <w:r w:rsidRPr="00543FC5">
        <w:t xml:space="preserve">Katra putojošā tablete satur 330 mg paracetamola </w:t>
      </w:r>
      <w:r w:rsidR="00C75850">
        <w:t>(</w:t>
      </w:r>
      <w:r w:rsidR="00C75850" w:rsidRPr="00543FC5">
        <w:rPr>
          <w:i/>
        </w:rPr>
        <w:t>paracetamolum</w:t>
      </w:r>
      <w:r w:rsidR="00C75850">
        <w:rPr>
          <w:i/>
        </w:rPr>
        <w:t>)</w:t>
      </w:r>
      <w:r w:rsidR="00C75850" w:rsidRPr="00543FC5">
        <w:t xml:space="preserve"> </w:t>
      </w:r>
      <w:r w:rsidRPr="00543FC5">
        <w:t>un 200 mg askorbīnskābes</w:t>
      </w:r>
      <w:r w:rsidR="00C75850">
        <w:rPr>
          <w:i/>
        </w:rPr>
        <w:t xml:space="preserve"> </w:t>
      </w:r>
    </w:p>
    <w:p w14:paraId="7E34469E" w14:textId="77777777" w:rsidR="00993DE7" w:rsidRDefault="00C75850" w:rsidP="00C75850">
      <w:pPr>
        <w:tabs>
          <w:tab w:val="clear" w:pos="567"/>
          <w:tab w:val="left" w:pos="0"/>
        </w:tabs>
        <w:ind w:left="567" w:hanging="567"/>
      </w:pPr>
      <w:r>
        <w:rPr>
          <w:i/>
        </w:rPr>
        <w:t>(</w:t>
      </w:r>
      <w:r w:rsidRPr="00543FC5">
        <w:rPr>
          <w:i/>
        </w:rPr>
        <w:t>acidum ascorbicum</w:t>
      </w:r>
      <w:r>
        <w:rPr>
          <w:i/>
        </w:rPr>
        <w:t>)</w:t>
      </w:r>
      <w:r w:rsidR="00993DE7" w:rsidRPr="00543FC5">
        <w:t>.</w:t>
      </w:r>
    </w:p>
    <w:p w14:paraId="36861AB4" w14:textId="77777777" w:rsidR="00993DE7" w:rsidRPr="00543FC5" w:rsidRDefault="00993DE7" w:rsidP="00993DE7">
      <w:pPr>
        <w:ind w:left="567" w:hanging="567"/>
      </w:pPr>
    </w:p>
    <w:p w14:paraId="51BB363E" w14:textId="77777777" w:rsidR="00993DE7" w:rsidRPr="008F789E" w:rsidRDefault="00993DE7" w:rsidP="0034245E">
      <w:pPr>
        <w:tabs>
          <w:tab w:val="clear" w:pos="567"/>
        </w:tabs>
        <w:spacing w:line="240" w:lineRule="auto"/>
        <w:rPr>
          <w:szCs w:val="22"/>
        </w:rPr>
      </w:pPr>
      <w:r w:rsidRPr="0034245E">
        <w:rPr>
          <w:u w:val="single"/>
        </w:rPr>
        <w:t>Palīgvielas</w:t>
      </w:r>
      <w:r w:rsidR="00476BCB" w:rsidRPr="0034245E">
        <w:rPr>
          <w:u w:val="single"/>
        </w:rPr>
        <w:t xml:space="preserve"> ar zināmu iedarbību</w:t>
      </w:r>
      <w:r w:rsidRPr="0034245E">
        <w:rPr>
          <w:u w:val="single"/>
        </w:rPr>
        <w:t>:</w:t>
      </w:r>
      <w:r w:rsidR="003C135D">
        <w:t xml:space="preserve"> </w:t>
      </w:r>
      <w:r w:rsidR="00217A31" w:rsidRPr="008F789E">
        <w:rPr>
          <w:szCs w:val="22"/>
        </w:rPr>
        <w:t>nātrija benzoāts (E211)</w:t>
      </w:r>
      <w:r w:rsidR="001B2440">
        <w:rPr>
          <w:szCs w:val="22"/>
        </w:rPr>
        <w:t xml:space="preserve"> </w:t>
      </w:r>
      <w:r w:rsidR="00217A31" w:rsidRPr="00494D9D">
        <w:rPr>
          <w:szCs w:val="22"/>
        </w:rPr>
        <w:t>(</w:t>
      </w:r>
      <w:r w:rsidR="00217A31" w:rsidRPr="008F789E">
        <w:rPr>
          <w:szCs w:val="22"/>
        </w:rPr>
        <w:t xml:space="preserve">50 mg tabletē), </w:t>
      </w:r>
      <w:r w:rsidR="003C135D" w:rsidRPr="00494D9D">
        <w:rPr>
          <w:szCs w:val="22"/>
        </w:rPr>
        <w:t>n</w:t>
      </w:r>
      <w:r w:rsidRPr="003E3D80">
        <w:rPr>
          <w:szCs w:val="22"/>
        </w:rPr>
        <w:t>ātrijs</w:t>
      </w:r>
      <w:r w:rsidR="003C135D" w:rsidRPr="003E3D80">
        <w:rPr>
          <w:szCs w:val="22"/>
        </w:rPr>
        <w:t xml:space="preserve"> (</w:t>
      </w:r>
      <w:r w:rsidRPr="003E3D80">
        <w:rPr>
          <w:szCs w:val="22"/>
        </w:rPr>
        <w:t xml:space="preserve">330 mg </w:t>
      </w:r>
      <w:r w:rsidR="003C135D" w:rsidRPr="003E3D80">
        <w:rPr>
          <w:szCs w:val="22"/>
        </w:rPr>
        <w:t xml:space="preserve">tabletē), </w:t>
      </w:r>
      <w:r w:rsidR="003C135D" w:rsidRPr="00F241EC">
        <w:rPr>
          <w:noProof/>
          <w:szCs w:val="22"/>
        </w:rPr>
        <w:t>s</w:t>
      </w:r>
      <w:r w:rsidRPr="00F241EC">
        <w:rPr>
          <w:noProof/>
          <w:szCs w:val="22"/>
        </w:rPr>
        <w:t>orb</w:t>
      </w:r>
      <w:r w:rsidR="00465D2B" w:rsidRPr="00F241EC">
        <w:rPr>
          <w:noProof/>
          <w:szCs w:val="22"/>
        </w:rPr>
        <w:t>īts</w:t>
      </w:r>
      <w:r w:rsidR="005F468E" w:rsidRPr="00F241EC">
        <w:rPr>
          <w:szCs w:val="22"/>
        </w:rPr>
        <w:t xml:space="preserve"> </w:t>
      </w:r>
      <w:r w:rsidR="001B2440">
        <w:rPr>
          <w:szCs w:val="22"/>
        </w:rPr>
        <w:t>(</w:t>
      </w:r>
      <w:r w:rsidR="005F468E" w:rsidRPr="00F241EC">
        <w:rPr>
          <w:szCs w:val="22"/>
        </w:rPr>
        <w:t>E420</w:t>
      </w:r>
      <w:r w:rsidR="001B2440">
        <w:rPr>
          <w:szCs w:val="22"/>
        </w:rPr>
        <w:t>)</w:t>
      </w:r>
      <w:r w:rsidR="005F468E" w:rsidRPr="00F241EC">
        <w:rPr>
          <w:szCs w:val="22"/>
        </w:rPr>
        <w:t xml:space="preserve"> (300 mg</w:t>
      </w:r>
      <w:r w:rsidR="003C135D" w:rsidRPr="00076D86">
        <w:rPr>
          <w:szCs w:val="22"/>
        </w:rPr>
        <w:t xml:space="preserve"> </w:t>
      </w:r>
      <w:r w:rsidR="005F468E" w:rsidRPr="008F789E">
        <w:rPr>
          <w:szCs w:val="22"/>
        </w:rPr>
        <w:t>tabletē)</w:t>
      </w:r>
      <w:r w:rsidRPr="008F789E">
        <w:rPr>
          <w:szCs w:val="22"/>
        </w:rPr>
        <w:t>.</w:t>
      </w:r>
    </w:p>
    <w:p w14:paraId="161CD3F9" w14:textId="77777777" w:rsidR="00993DE7" w:rsidRPr="00543FC5" w:rsidRDefault="00993DE7" w:rsidP="00993DE7">
      <w:pPr>
        <w:ind w:left="360"/>
      </w:pPr>
    </w:p>
    <w:p w14:paraId="6AFCBD10" w14:textId="77777777" w:rsidR="00993DE7" w:rsidRPr="00543FC5" w:rsidRDefault="00993DE7" w:rsidP="00993DE7">
      <w:pPr>
        <w:ind w:left="567" w:hanging="567"/>
      </w:pPr>
      <w:r w:rsidRPr="00543FC5">
        <w:t xml:space="preserve">Pilnu palīgvielu sarakstu skatīt </w:t>
      </w:r>
      <w:r w:rsidR="00FF3E04">
        <w:t>6.1. </w:t>
      </w:r>
      <w:r w:rsidRPr="00543FC5">
        <w:t>apakšpunktā.</w:t>
      </w:r>
    </w:p>
    <w:p w14:paraId="7CEE0532" w14:textId="77777777" w:rsidR="00993DE7" w:rsidRPr="00543FC5" w:rsidRDefault="00993DE7" w:rsidP="00993DE7">
      <w:pPr>
        <w:ind w:left="567" w:hanging="567"/>
      </w:pPr>
    </w:p>
    <w:p w14:paraId="524A4F11" w14:textId="77777777" w:rsidR="00993DE7" w:rsidRPr="00543FC5" w:rsidRDefault="00993DE7" w:rsidP="00993DE7">
      <w:pPr>
        <w:ind w:left="567" w:hanging="567"/>
      </w:pPr>
    </w:p>
    <w:p w14:paraId="07C81B6B" w14:textId="77777777" w:rsidR="00993DE7" w:rsidRPr="00543FC5" w:rsidRDefault="00993DE7" w:rsidP="00993DE7">
      <w:pPr>
        <w:ind w:left="567" w:hanging="567"/>
        <w:rPr>
          <w:b/>
          <w:caps/>
        </w:rPr>
      </w:pPr>
      <w:r w:rsidRPr="00543FC5">
        <w:rPr>
          <w:b/>
        </w:rPr>
        <w:t>3.</w:t>
      </w:r>
      <w:r w:rsidRPr="00543FC5">
        <w:rPr>
          <w:b/>
        </w:rPr>
        <w:tab/>
        <w:t>ZĀĻU FORMA</w:t>
      </w:r>
    </w:p>
    <w:p w14:paraId="22D07BFD" w14:textId="77777777" w:rsidR="00993DE7" w:rsidRPr="00543FC5" w:rsidRDefault="00993DE7" w:rsidP="00993DE7">
      <w:pPr>
        <w:ind w:left="567" w:hanging="567"/>
      </w:pPr>
    </w:p>
    <w:p w14:paraId="33316184" w14:textId="77777777" w:rsidR="00993DE7" w:rsidRPr="00543FC5" w:rsidRDefault="00993DE7" w:rsidP="00993DE7">
      <w:pPr>
        <w:tabs>
          <w:tab w:val="clear" w:pos="567"/>
          <w:tab w:val="left" w:pos="0"/>
        </w:tabs>
      </w:pPr>
      <w:r w:rsidRPr="00543FC5">
        <w:t>Putojošā tablete.</w:t>
      </w:r>
    </w:p>
    <w:p w14:paraId="0876DF2C" w14:textId="77777777" w:rsidR="00993DE7" w:rsidRPr="00543FC5" w:rsidRDefault="00993DE7" w:rsidP="00993DE7">
      <w:pPr>
        <w:ind w:left="567" w:hanging="567"/>
      </w:pPr>
      <w:r w:rsidRPr="00543FC5">
        <w:t xml:space="preserve">Tablete ir </w:t>
      </w:r>
      <w:r w:rsidR="003C135D">
        <w:t xml:space="preserve">balta, </w:t>
      </w:r>
      <w:r w:rsidRPr="00543FC5">
        <w:t>ar dalījuma līniju.</w:t>
      </w:r>
    </w:p>
    <w:p w14:paraId="535C42C5" w14:textId="77777777" w:rsidR="00993DE7" w:rsidRDefault="003C135D" w:rsidP="00543FC5">
      <w:pPr>
        <w:tabs>
          <w:tab w:val="clear" w:pos="567"/>
          <w:tab w:val="left" w:pos="0"/>
        </w:tabs>
      </w:pPr>
      <w:r>
        <w:t>Dalījuma līnija paredzēta tikai tabletes salaušanai, nevis tabletes dalīšanai vienādās devās.</w:t>
      </w:r>
    </w:p>
    <w:p w14:paraId="157A6AB7" w14:textId="77777777" w:rsidR="003C135D" w:rsidRPr="00543FC5" w:rsidRDefault="003C135D" w:rsidP="00993DE7">
      <w:pPr>
        <w:ind w:left="567" w:hanging="567"/>
      </w:pPr>
    </w:p>
    <w:p w14:paraId="145CBE95" w14:textId="77777777" w:rsidR="00993DE7" w:rsidRPr="00543FC5" w:rsidRDefault="00993DE7" w:rsidP="00993DE7">
      <w:pPr>
        <w:ind w:left="567" w:hanging="567"/>
      </w:pPr>
    </w:p>
    <w:p w14:paraId="45081446" w14:textId="77777777" w:rsidR="00993DE7" w:rsidRPr="00543FC5" w:rsidRDefault="00993DE7" w:rsidP="00993DE7">
      <w:pPr>
        <w:tabs>
          <w:tab w:val="clear" w:pos="567"/>
        </w:tabs>
        <w:spacing w:line="240" w:lineRule="auto"/>
        <w:ind w:left="567" w:hanging="567"/>
        <w:rPr>
          <w:b/>
        </w:rPr>
      </w:pPr>
      <w:r w:rsidRPr="00543FC5">
        <w:rPr>
          <w:b/>
          <w:caps/>
        </w:rPr>
        <w:t>4.</w:t>
      </w:r>
      <w:r w:rsidRPr="00543FC5">
        <w:rPr>
          <w:b/>
          <w:caps/>
        </w:rPr>
        <w:tab/>
        <w:t xml:space="preserve">KLĪNISKĀ INFORMĀCIJA </w:t>
      </w:r>
    </w:p>
    <w:p w14:paraId="61FE9978" w14:textId="77777777" w:rsidR="00993DE7" w:rsidRPr="00543FC5" w:rsidRDefault="00993DE7" w:rsidP="00993DE7">
      <w:pPr>
        <w:ind w:left="567" w:hanging="567"/>
      </w:pPr>
    </w:p>
    <w:p w14:paraId="7F527AD7" w14:textId="77777777" w:rsidR="00993DE7" w:rsidRPr="00543FC5" w:rsidRDefault="00993DE7" w:rsidP="00993DE7">
      <w:pPr>
        <w:tabs>
          <w:tab w:val="clear" w:pos="567"/>
        </w:tabs>
        <w:spacing w:line="240" w:lineRule="auto"/>
        <w:ind w:left="567" w:hanging="567"/>
      </w:pPr>
      <w:r w:rsidRPr="00543FC5">
        <w:rPr>
          <w:b/>
        </w:rPr>
        <w:t>4.1</w:t>
      </w:r>
      <w:r w:rsidR="00FF3E04">
        <w:rPr>
          <w:b/>
        </w:rPr>
        <w:t>.</w:t>
      </w:r>
      <w:r w:rsidRPr="00543FC5">
        <w:rPr>
          <w:b/>
        </w:rPr>
        <w:tab/>
        <w:t>Terapeitiskās indikācijas</w:t>
      </w:r>
    </w:p>
    <w:p w14:paraId="1A3F79AD" w14:textId="77777777" w:rsidR="00993DE7" w:rsidRPr="00543FC5" w:rsidRDefault="00993DE7" w:rsidP="00993DE7">
      <w:pPr>
        <w:tabs>
          <w:tab w:val="clear" w:pos="567"/>
        </w:tabs>
        <w:spacing w:line="240" w:lineRule="auto"/>
        <w:ind w:left="567" w:hanging="567"/>
      </w:pPr>
    </w:p>
    <w:p w14:paraId="102BA729" w14:textId="77777777" w:rsidR="00993DE7" w:rsidRPr="00543FC5" w:rsidRDefault="003C135D" w:rsidP="00605264">
      <w:pPr>
        <w:tabs>
          <w:tab w:val="clear" w:pos="567"/>
        </w:tabs>
        <w:spacing w:line="240" w:lineRule="auto"/>
      </w:pPr>
      <w:r>
        <w:t>Vieglu vai vidēji stipru sāpju mazināšana. Drudža īslaicīga mazināšana.</w:t>
      </w:r>
    </w:p>
    <w:p w14:paraId="75B8840B" w14:textId="77777777" w:rsidR="00993DE7" w:rsidRPr="00543FC5" w:rsidRDefault="00993DE7" w:rsidP="00993DE7">
      <w:pPr>
        <w:tabs>
          <w:tab w:val="clear" w:pos="567"/>
        </w:tabs>
        <w:spacing w:line="240" w:lineRule="auto"/>
        <w:ind w:left="567" w:hanging="567"/>
      </w:pPr>
    </w:p>
    <w:p w14:paraId="42AE8405" w14:textId="77777777" w:rsidR="00993DE7" w:rsidRPr="00543FC5" w:rsidRDefault="00993DE7" w:rsidP="00993DE7">
      <w:pPr>
        <w:tabs>
          <w:tab w:val="clear" w:pos="567"/>
        </w:tabs>
        <w:spacing w:line="240" w:lineRule="auto"/>
        <w:ind w:left="567" w:hanging="567"/>
      </w:pPr>
      <w:r w:rsidRPr="00543FC5">
        <w:rPr>
          <w:b/>
        </w:rPr>
        <w:t>4.2</w:t>
      </w:r>
      <w:r w:rsidR="00FF3E04">
        <w:rPr>
          <w:b/>
        </w:rPr>
        <w:t>.</w:t>
      </w:r>
      <w:r w:rsidRPr="00543FC5">
        <w:rPr>
          <w:b/>
        </w:rPr>
        <w:tab/>
        <w:t>Devas un lietošanas veids</w:t>
      </w:r>
    </w:p>
    <w:p w14:paraId="3C0B8E8E" w14:textId="77777777" w:rsidR="00993DE7" w:rsidRPr="00543FC5" w:rsidRDefault="00993DE7" w:rsidP="00993DE7">
      <w:pPr>
        <w:tabs>
          <w:tab w:val="clear" w:pos="567"/>
        </w:tabs>
        <w:spacing w:line="240" w:lineRule="auto"/>
        <w:ind w:left="567" w:hanging="567"/>
      </w:pPr>
    </w:p>
    <w:p w14:paraId="2268B627" w14:textId="77777777" w:rsidR="003C135D" w:rsidRDefault="00993DE7" w:rsidP="00993DE7">
      <w:pPr>
        <w:tabs>
          <w:tab w:val="clear" w:pos="567"/>
        </w:tabs>
        <w:spacing w:line="240" w:lineRule="auto"/>
      </w:pPr>
      <w:r w:rsidRPr="00543FC5">
        <w:t xml:space="preserve">Iekšķīgai lietošanai. </w:t>
      </w:r>
    </w:p>
    <w:p w14:paraId="2620C478" w14:textId="77777777" w:rsidR="00993DE7" w:rsidRPr="00543FC5" w:rsidRDefault="003C135D" w:rsidP="00993DE7">
      <w:pPr>
        <w:tabs>
          <w:tab w:val="clear" w:pos="567"/>
        </w:tabs>
        <w:spacing w:line="240" w:lineRule="auto"/>
      </w:pPr>
      <w:r>
        <w:t>Putojošā t</w:t>
      </w:r>
      <w:r w:rsidR="00993DE7" w:rsidRPr="00543FC5">
        <w:t>ablete pilnīgi jāizšķīdina glāzē ar lielu ūdens daudzumu un tūlīt jāizdzer. Regulāra lietošana novērš sāpju stipruma vai ķermeņa temperatūras svārstības.</w:t>
      </w:r>
      <w:r w:rsidR="002E1D80" w:rsidRPr="002E1D80">
        <w:t xml:space="preserve"> </w:t>
      </w:r>
      <w:r w:rsidR="00E909F3" w:rsidRPr="00E909F3">
        <w:t>Tabletes nedrīkst sakošļāt vai norīt.</w:t>
      </w:r>
    </w:p>
    <w:p w14:paraId="521E0250" w14:textId="77777777" w:rsidR="00993DE7" w:rsidRPr="00543FC5" w:rsidRDefault="00993DE7" w:rsidP="00993DE7">
      <w:pPr>
        <w:tabs>
          <w:tab w:val="clear" w:pos="567"/>
        </w:tabs>
        <w:spacing w:line="240" w:lineRule="auto"/>
      </w:pPr>
    </w:p>
    <w:p w14:paraId="644BA548" w14:textId="77777777" w:rsidR="00993DE7" w:rsidRPr="00543FC5" w:rsidRDefault="00993DE7" w:rsidP="00993DE7">
      <w:pPr>
        <w:tabs>
          <w:tab w:val="clear" w:pos="567"/>
        </w:tabs>
        <w:spacing w:line="240" w:lineRule="auto"/>
      </w:pPr>
      <w:r w:rsidRPr="00543FC5">
        <w:t>Šīs zāles drīkst lietot pieaugušie un bērni, kuru ķermeņa masa ir lielāka par 25 kg (aptuveni 8 gadus veci un vecāki).</w:t>
      </w:r>
    </w:p>
    <w:p w14:paraId="45109C6A" w14:textId="77777777" w:rsidR="00993DE7" w:rsidRPr="00543FC5" w:rsidRDefault="00993DE7" w:rsidP="00993DE7">
      <w:pPr>
        <w:tabs>
          <w:tab w:val="clear" w:pos="567"/>
        </w:tabs>
        <w:spacing w:line="240" w:lineRule="auto"/>
      </w:pPr>
    </w:p>
    <w:p w14:paraId="294D5F82" w14:textId="77777777" w:rsidR="00993DE7" w:rsidRPr="00543FC5" w:rsidRDefault="00993DE7" w:rsidP="00993DE7">
      <w:pPr>
        <w:tabs>
          <w:tab w:val="clear" w:pos="567"/>
        </w:tabs>
        <w:spacing w:line="240" w:lineRule="auto"/>
        <w:rPr>
          <w:u w:val="single"/>
        </w:rPr>
      </w:pPr>
      <w:r w:rsidRPr="00543FC5">
        <w:rPr>
          <w:u w:val="single"/>
        </w:rPr>
        <w:t>Pieaugušie</w:t>
      </w:r>
    </w:p>
    <w:p w14:paraId="1855BF44" w14:textId="77777777" w:rsidR="00993DE7" w:rsidRPr="00543FC5" w:rsidRDefault="00993DE7" w:rsidP="00993DE7">
      <w:pPr>
        <w:tabs>
          <w:tab w:val="clear" w:pos="567"/>
        </w:tabs>
        <w:spacing w:line="240" w:lineRule="auto"/>
      </w:pPr>
      <w:r w:rsidRPr="00543FC5">
        <w:t>Ieteicamā reizes deva pieaugušajiem un bērniem, kuru ķermeņa masa ir 50 kg vai vairāk (aptuveni 15 gadus veci un vecāki), ir 1 vai 2 putojošās tabletes, ko nepieciešamības gadījumā atkārtoti lieto pēc 4 stundām, nepārsniedzot 9 putojošās tabletes (3 g paracetamola)</w:t>
      </w:r>
      <w:r w:rsidR="003C135D" w:rsidRPr="003C135D">
        <w:t xml:space="preserve"> </w:t>
      </w:r>
      <w:r w:rsidR="003C135D">
        <w:t>d</w:t>
      </w:r>
      <w:r w:rsidR="003C135D" w:rsidRPr="00C57E7F">
        <w:t>iennaktī</w:t>
      </w:r>
      <w:r w:rsidR="003C135D">
        <w:t>. Starp lietošanas reizēm vienmēr jābūt 4 stundas ilgam starplaikam.</w:t>
      </w:r>
    </w:p>
    <w:p w14:paraId="2C9760A8" w14:textId="77777777" w:rsidR="00993DE7" w:rsidRPr="00543FC5" w:rsidRDefault="00993DE7" w:rsidP="00993DE7">
      <w:pPr>
        <w:tabs>
          <w:tab w:val="clear" w:pos="567"/>
        </w:tabs>
        <w:spacing w:line="240" w:lineRule="auto"/>
      </w:pPr>
    </w:p>
    <w:p w14:paraId="4663D569" w14:textId="77777777" w:rsidR="00993DE7" w:rsidRPr="00543FC5" w:rsidRDefault="00993DE7" w:rsidP="00993DE7">
      <w:pPr>
        <w:tabs>
          <w:tab w:val="clear" w:pos="567"/>
        </w:tabs>
        <w:spacing w:line="240" w:lineRule="auto"/>
        <w:rPr>
          <w:u w:val="single"/>
        </w:rPr>
      </w:pPr>
      <w:r w:rsidRPr="00543FC5">
        <w:rPr>
          <w:u w:val="single"/>
        </w:rPr>
        <w:t>Bērni</w:t>
      </w:r>
    </w:p>
    <w:p w14:paraId="7EFF08D0" w14:textId="77777777" w:rsidR="00993DE7" w:rsidRPr="00543FC5" w:rsidRDefault="00993DE7" w:rsidP="00993DE7">
      <w:pPr>
        <w:tabs>
          <w:tab w:val="clear" w:pos="567"/>
        </w:tabs>
        <w:spacing w:line="240" w:lineRule="auto"/>
      </w:pPr>
      <w:r w:rsidRPr="00543FC5">
        <w:t xml:space="preserve">Bērniem devas jānosaka, ņemot vērā ķermeņa masu. Aptuvenais bērnu vecums un ķermeņa masa ir tikai orientējoši. </w:t>
      </w:r>
      <w:r w:rsidR="003C135D">
        <w:t>Paracetamola i</w:t>
      </w:r>
      <w:r w:rsidRPr="00543FC5">
        <w:t>eteicamā diennakts deva ir 60 mg/kg, k</w:t>
      </w:r>
      <w:r w:rsidR="003C135D">
        <w:t>as</w:t>
      </w:r>
      <w:r w:rsidRPr="00543FC5">
        <w:t xml:space="preserve"> jāsadala </w:t>
      </w:r>
      <w:r w:rsidRPr="00C57E7F">
        <w:rPr>
          <w:noProof/>
        </w:rPr>
        <w:t xml:space="preserve">4 līdz 6 reizes </w:t>
      </w:r>
      <w:r w:rsidRPr="00543FC5">
        <w:t>devās un jālieto ar regulāriem intervāliem, piemēram, 15 mg/kg ik pēc 6</w:t>
      </w:r>
      <w:r w:rsidR="001537D9">
        <w:t> </w:t>
      </w:r>
      <w:r w:rsidRPr="00543FC5">
        <w:t>stundām vai 10 mg/kg ik pēc 4</w:t>
      </w:r>
      <w:r w:rsidR="001537D9">
        <w:t> </w:t>
      </w:r>
      <w:r w:rsidRPr="00543FC5">
        <w:t xml:space="preserve">stundām. Bērniem </w:t>
      </w:r>
      <w:r w:rsidRPr="00543FC5">
        <w:rPr>
          <w:b/>
        </w:rPr>
        <w:t>gan dienas, gan nakts laikā</w:t>
      </w:r>
      <w:r w:rsidRPr="00543FC5">
        <w:t xml:space="preserve"> intervāliem starp lietošanas reizēm jābūt regulāriem, </w:t>
      </w:r>
      <w:r w:rsidRPr="00543FC5">
        <w:rPr>
          <w:u w:val="single"/>
        </w:rPr>
        <w:t>ieteicamais intervāls ir 6</w:t>
      </w:r>
      <w:r w:rsidR="001537D9">
        <w:rPr>
          <w:u w:val="single"/>
        </w:rPr>
        <w:t> </w:t>
      </w:r>
      <w:r w:rsidRPr="00543FC5">
        <w:rPr>
          <w:u w:val="single"/>
        </w:rPr>
        <w:t>stundas</w:t>
      </w:r>
      <w:r w:rsidRPr="00543FC5">
        <w:t>, un tam jābūt ne mazākam par 4</w:t>
      </w:r>
      <w:r w:rsidR="001537D9">
        <w:t> </w:t>
      </w:r>
      <w:r w:rsidRPr="00543FC5">
        <w:t>stundām.</w:t>
      </w:r>
    </w:p>
    <w:p w14:paraId="19021471" w14:textId="77777777" w:rsidR="001537D9" w:rsidRPr="00DE1D28" w:rsidRDefault="001537D9" w:rsidP="001537D9">
      <w:pPr>
        <w:pStyle w:val="EMEABodyText"/>
        <w:rPr>
          <w:szCs w:val="22"/>
          <w:lang w:val="lv-LV"/>
        </w:rPr>
      </w:pPr>
      <w:r w:rsidRPr="00DE1D28">
        <w:rPr>
          <w:lang w:val="lv-LV"/>
        </w:rPr>
        <w:br w:type="page"/>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1540"/>
        <w:gridCol w:w="1760"/>
        <w:gridCol w:w="1540"/>
      </w:tblGrid>
      <w:tr w:rsidR="001537D9" w:rsidRPr="00834305" w14:paraId="71944EDF" w14:textId="77777777" w:rsidTr="007642BD">
        <w:tc>
          <w:tcPr>
            <w:tcW w:w="4508" w:type="dxa"/>
          </w:tcPr>
          <w:p w14:paraId="7FD6F6B5" w14:textId="77777777" w:rsidR="001537D9" w:rsidRPr="00002CC6" w:rsidRDefault="001537D9" w:rsidP="007642BD">
            <w:pPr>
              <w:pStyle w:val="EMEABodyText"/>
              <w:rPr>
                <w:b/>
                <w:szCs w:val="22"/>
              </w:rPr>
            </w:pPr>
            <w:proofErr w:type="spellStart"/>
            <w:r>
              <w:rPr>
                <w:b/>
                <w:szCs w:val="22"/>
              </w:rPr>
              <w:lastRenderedPageBreak/>
              <w:t>Ķermeņa</w:t>
            </w:r>
            <w:proofErr w:type="spellEnd"/>
            <w:r>
              <w:rPr>
                <w:b/>
                <w:szCs w:val="22"/>
              </w:rPr>
              <w:t xml:space="preserve"> masa</w:t>
            </w:r>
          </w:p>
          <w:p w14:paraId="74C37EC7" w14:textId="77777777" w:rsidR="001537D9" w:rsidRPr="00CC246A" w:rsidRDefault="001537D9" w:rsidP="000A3D9D">
            <w:pPr>
              <w:pStyle w:val="EMEABodyText"/>
              <w:rPr>
                <w:i/>
                <w:szCs w:val="22"/>
              </w:rPr>
            </w:pPr>
            <w:r w:rsidRPr="00CC246A">
              <w:rPr>
                <w:i/>
                <w:szCs w:val="22"/>
              </w:rPr>
              <w:t>(</w:t>
            </w:r>
            <w:proofErr w:type="spellStart"/>
            <w:proofErr w:type="gramStart"/>
            <w:r>
              <w:rPr>
                <w:i/>
                <w:szCs w:val="22"/>
              </w:rPr>
              <w:t>aptuvenais</w:t>
            </w:r>
            <w:proofErr w:type="spellEnd"/>
            <w:proofErr w:type="gramEnd"/>
            <w:r>
              <w:rPr>
                <w:i/>
                <w:szCs w:val="22"/>
              </w:rPr>
              <w:t xml:space="preserve"> </w:t>
            </w:r>
            <w:proofErr w:type="spellStart"/>
            <w:r>
              <w:rPr>
                <w:i/>
                <w:szCs w:val="22"/>
              </w:rPr>
              <w:t>vecums</w:t>
            </w:r>
            <w:proofErr w:type="spellEnd"/>
            <w:r w:rsidRPr="00CC246A">
              <w:rPr>
                <w:i/>
                <w:szCs w:val="22"/>
              </w:rPr>
              <w:t>)</w:t>
            </w:r>
          </w:p>
        </w:tc>
        <w:tc>
          <w:tcPr>
            <w:tcW w:w="1540" w:type="dxa"/>
          </w:tcPr>
          <w:p w14:paraId="0AE39068" w14:textId="77777777" w:rsidR="001537D9" w:rsidRPr="004049D8" w:rsidRDefault="001537D9" w:rsidP="007642BD">
            <w:pPr>
              <w:pStyle w:val="EMEABodyText"/>
              <w:jc w:val="center"/>
              <w:rPr>
                <w:b/>
                <w:szCs w:val="22"/>
              </w:rPr>
            </w:pPr>
            <w:r w:rsidRPr="004049D8">
              <w:rPr>
                <w:b/>
                <w:szCs w:val="22"/>
              </w:rPr>
              <w:t>25-30 kg</w:t>
            </w:r>
          </w:p>
          <w:p w14:paraId="57279FD9" w14:textId="77777777" w:rsidR="001537D9" w:rsidRPr="00956608" w:rsidRDefault="001537D9" w:rsidP="000A3D9D">
            <w:pPr>
              <w:pStyle w:val="EMEABodyText"/>
              <w:jc w:val="center"/>
              <w:rPr>
                <w:i/>
                <w:szCs w:val="22"/>
              </w:rPr>
            </w:pPr>
            <w:r w:rsidRPr="00956608">
              <w:rPr>
                <w:i/>
                <w:szCs w:val="22"/>
              </w:rPr>
              <w:t>(8-10 </w:t>
            </w:r>
            <w:r>
              <w:rPr>
                <w:i/>
                <w:szCs w:val="22"/>
              </w:rPr>
              <w:t>gadi</w:t>
            </w:r>
            <w:r w:rsidRPr="00956608">
              <w:rPr>
                <w:i/>
                <w:szCs w:val="22"/>
              </w:rPr>
              <w:t>)</w:t>
            </w:r>
          </w:p>
        </w:tc>
        <w:tc>
          <w:tcPr>
            <w:tcW w:w="1760" w:type="dxa"/>
          </w:tcPr>
          <w:p w14:paraId="262C3F45" w14:textId="77777777" w:rsidR="001537D9" w:rsidRPr="00CD209B" w:rsidRDefault="001537D9" w:rsidP="007642BD">
            <w:pPr>
              <w:pStyle w:val="EMEABodyText"/>
              <w:jc w:val="center"/>
              <w:rPr>
                <w:b/>
                <w:szCs w:val="22"/>
              </w:rPr>
            </w:pPr>
            <w:r w:rsidRPr="00956608">
              <w:rPr>
                <w:b/>
                <w:szCs w:val="22"/>
                <w:lang w:val="lt-LT"/>
              </w:rPr>
              <w:t>30-35 </w:t>
            </w:r>
            <w:r w:rsidRPr="00CD209B">
              <w:rPr>
                <w:b/>
                <w:szCs w:val="22"/>
              </w:rPr>
              <w:t>kg</w:t>
            </w:r>
          </w:p>
          <w:p w14:paraId="0A840213" w14:textId="77777777" w:rsidR="001537D9" w:rsidRPr="00A6155F" w:rsidRDefault="001537D9" w:rsidP="000A3D9D">
            <w:pPr>
              <w:pStyle w:val="EMEABodyText"/>
              <w:jc w:val="center"/>
              <w:rPr>
                <w:i/>
                <w:szCs w:val="22"/>
              </w:rPr>
            </w:pPr>
            <w:r w:rsidRPr="00CD209B">
              <w:rPr>
                <w:i/>
                <w:szCs w:val="22"/>
              </w:rPr>
              <w:t>(</w:t>
            </w:r>
            <w:r w:rsidRPr="00A6155F">
              <w:rPr>
                <w:i/>
                <w:szCs w:val="22"/>
                <w:lang w:val="lt-LT"/>
              </w:rPr>
              <w:t>10-12</w:t>
            </w:r>
            <w:r>
              <w:rPr>
                <w:i/>
                <w:szCs w:val="22"/>
                <w:lang w:val="lt-LT"/>
              </w:rPr>
              <w:t xml:space="preserve"> gadi</w:t>
            </w:r>
            <w:r w:rsidRPr="00A6155F">
              <w:rPr>
                <w:i/>
                <w:szCs w:val="22"/>
              </w:rPr>
              <w:t>)</w:t>
            </w:r>
          </w:p>
        </w:tc>
        <w:tc>
          <w:tcPr>
            <w:tcW w:w="1540" w:type="dxa"/>
          </w:tcPr>
          <w:p w14:paraId="05505BBD" w14:textId="77777777" w:rsidR="001537D9" w:rsidRPr="0064705A" w:rsidRDefault="001537D9" w:rsidP="007642BD">
            <w:pPr>
              <w:pStyle w:val="EMEABodyText"/>
              <w:jc w:val="center"/>
              <w:rPr>
                <w:b/>
                <w:szCs w:val="22"/>
              </w:rPr>
            </w:pPr>
            <w:r w:rsidRPr="0049510A">
              <w:rPr>
                <w:b/>
                <w:szCs w:val="22"/>
                <w:lang w:val="lt-LT"/>
              </w:rPr>
              <w:t>35-50</w:t>
            </w:r>
            <w:r w:rsidRPr="0064705A">
              <w:rPr>
                <w:b/>
                <w:szCs w:val="22"/>
              </w:rPr>
              <w:t> kg</w:t>
            </w:r>
          </w:p>
          <w:p w14:paraId="76DC040D" w14:textId="77777777" w:rsidR="001537D9" w:rsidRPr="007E3247" w:rsidRDefault="001537D9" w:rsidP="000A3D9D">
            <w:pPr>
              <w:pStyle w:val="EMEABodyText"/>
              <w:jc w:val="center"/>
              <w:rPr>
                <w:i/>
                <w:szCs w:val="22"/>
              </w:rPr>
            </w:pPr>
            <w:r w:rsidRPr="004553C0">
              <w:rPr>
                <w:i/>
                <w:szCs w:val="22"/>
              </w:rPr>
              <w:t>(</w:t>
            </w:r>
            <w:r w:rsidRPr="004553C0">
              <w:rPr>
                <w:i/>
                <w:szCs w:val="22"/>
                <w:lang w:val="lt-LT"/>
              </w:rPr>
              <w:t>12-15</w:t>
            </w:r>
            <w:r w:rsidRPr="007E3247">
              <w:rPr>
                <w:i/>
                <w:szCs w:val="22"/>
              </w:rPr>
              <w:t> </w:t>
            </w:r>
            <w:r>
              <w:rPr>
                <w:i/>
                <w:szCs w:val="22"/>
              </w:rPr>
              <w:t>gadi</w:t>
            </w:r>
            <w:r w:rsidRPr="007E3247">
              <w:rPr>
                <w:i/>
                <w:szCs w:val="22"/>
              </w:rPr>
              <w:t>)</w:t>
            </w:r>
          </w:p>
        </w:tc>
      </w:tr>
      <w:tr w:rsidR="001537D9" w:rsidRPr="00834305" w14:paraId="6E7B10FD" w14:textId="77777777" w:rsidTr="007642BD">
        <w:tc>
          <w:tcPr>
            <w:tcW w:w="4508" w:type="dxa"/>
          </w:tcPr>
          <w:p w14:paraId="61A2AD6E" w14:textId="77777777" w:rsidR="001537D9" w:rsidRPr="00834305" w:rsidRDefault="001537D9" w:rsidP="007642BD">
            <w:pPr>
              <w:pStyle w:val="EMEABodyText"/>
              <w:rPr>
                <w:b/>
                <w:szCs w:val="22"/>
              </w:rPr>
            </w:pPr>
            <w:proofErr w:type="spellStart"/>
            <w:r>
              <w:rPr>
                <w:b/>
                <w:szCs w:val="22"/>
              </w:rPr>
              <w:t>Reizes</w:t>
            </w:r>
            <w:proofErr w:type="spellEnd"/>
            <w:r>
              <w:rPr>
                <w:b/>
                <w:szCs w:val="22"/>
              </w:rPr>
              <w:t xml:space="preserve"> deva</w:t>
            </w:r>
            <w:r w:rsidRPr="00834305">
              <w:rPr>
                <w:b/>
                <w:szCs w:val="22"/>
              </w:rPr>
              <w:t>,</w:t>
            </w:r>
          </w:p>
          <w:p w14:paraId="38E44EDF" w14:textId="77777777" w:rsidR="001537D9" w:rsidRPr="00543FC5" w:rsidRDefault="001537D9" w:rsidP="007642BD">
            <w:pPr>
              <w:pStyle w:val="EMEABodyText"/>
              <w:rPr>
                <w:b/>
                <w:szCs w:val="22"/>
              </w:rPr>
            </w:pPr>
            <w:proofErr w:type="spellStart"/>
            <w:r w:rsidRPr="00543FC5">
              <w:rPr>
                <w:b/>
                <w:szCs w:val="22"/>
              </w:rPr>
              <w:t>putojošo</w:t>
            </w:r>
            <w:proofErr w:type="spellEnd"/>
            <w:r w:rsidRPr="00543FC5">
              <w:rPr>
                <w:b/>
                <w:szCs w:val="22"/>
              </w:rPr>
              <w:t xml:space="preserve"> </w:t>
            </w:r>
            <w:proofErr w:type="spellStart"/>
            <w:r w:rsidRPr="00543FC5">
              <w:rPr>
                <w:b/>
                <w:szCs w:val="22"/>
              </w:rPr>
              <w:t>tablešu</w:t>
            </w:r>
            <w:proofErr w:type="spellEnd"/>
            <w:r w:rsidRPr="00543FC5">
              <w:rPr>
                <w:b/>
                <w:szCs w:val="22"/>
              </w:rPr>
              <w:t xml:space="preserve"> </w:t>
            </w:r>
            <w:proofErr w:type="spellStart"/>
            <w:r w:rsidRPr="00543FC5">
              <w:rPr>
                <w:b/>
                <w:szCs w:val="22"/>
              </w:rPr>
              <w:t>skaits</w:t>
            </w:r>
            <w:proofErr w:type="spellEnd"/>
          </w:p>
        </w:tc>
        <w:tc>
          <w:tcPr>
            <w:tcW w:w="1540" w:type="dxa"/>
            <w:vAlign w:val="center"/>
          </w:tcPr>
          <w:p w14:paraId="29B288CB" w14:textId="77777777" w:rsidR="001537D9" w:rsidRPr="00834305" w:rsidRDefault="001537D9" w:rsidP="007642BD">
            <w:pPr>
              <w:pStyle w:val="EMEABodyText"/>
              <w:jc w:val="center"/>
              <w:rPr>
                <w:b/>
                <w:szCs w:val="22"/>
              </w:rPr>
            </w:pPr>
            <w:r w:rsidRPr="00834305">
              <w:rPr>
                <w:b/>
                <w:szCs w:val="22"/>
              </w:rPr>
              <w:t>1</w:t>
            </w:r>
          </w:p>
        </w:tc>
        <w:tc>
          <w:tcPr>
            <w:tcW w:w="1760" w:type="dxa"/>
            <w:vAlign w:val="center"/>
          </w:tcPr>
          <w:p w14:paraId="4136AE09" w14:textId="77777777" w:rsidR="001537D9" w:rsidRPr="00834305" w:rsidRDefault="001537D9" w:rsidP="007642BD">
            <w:pPr>
              <w:pStyle w:val="EMEABodyText"/>
              <w:jc w:val="center"/>
              <w:rPr>
                <w:b/>
                <w:szCs w:val="22"/>
              </w:rPr>
            </w:pPr>
            <w:r w:rsidRPr="00834305">
              <w:rPr>
                <w:b/>
                <w:szCs w:val="22"/>
              </w:rPr>
              <w:t>1-2</w:t>
            </w:r>
          </w:p>
        </w:tc>
        <w:tc>
          <w:tcPr>
            <w:tcW w:w="1540" w:type="dxa"/>
            <w:vAlign w:val="center"/>
          </w:tcPr>
          <w:p w14:paraId="69BF6463" w14:textId="77777777" w:rsidR="001537D9" w:rsidRPr="00834305" w:rsidRDefault="001537D9" w:rsidP="007642BD">
            <w:pPr>
              <w:pStyle w:val="EMEABodyText"/>
              <w:jc w:val="center"/>
              <w:rPr>
                <w:b/>
                <w:szCs w:val="22"/>
              </w:rPr>
            </w:pPr>
            <w:r w:rsidRPr="00834305">
              <w:rPr>
                <w:b/>
                <w:szCs w:val="22"/>
              </w:rPr>
              <w:t>1-2</w:t>
            </w:r>
          </w:p>
        </w:tc>
      </w:tr>
      <w:tr w:rsidR="001537D9" w:rsidRPr="00834305" w14:paraId="74EA8DCA" w14:textId="77777777" w:rsidTr="007642BD">
        <w:tc>
          <w:tcPr>
            <w:tcW w:w="4508" w:type="dxa"/>
          </w:tcPr>
          <w:p w14:paraId="0247B0C0" w14:textId="77777777" w:rsidR="001537D9" w:rsidRPr="00834305" w:rsidRDefault="001537D9" w:rsidP="007642BD">
            <w:pPr>
              <w:pStyle w:val="EMEABodyText"/>
              <w:rPr>
                <w:szCs w:val="22"/>
              </w:rPr>
            </w:pPr>
            <w:proofErr w:type="spellStart"/>
            <w:r>
              <w:rPr>
                <w:szCs w:val="22"/>
              </w:rPr>
              <w:t>Maksimālā</w:t>
            </w:r>
            <w:proofErr w:type="spellEnd"/>
            <w:r>
              <w:rPr>
                <w:szCs w:val="22"/>
              </w:rPr>
              <w:t xml:space="preserve"> </w:t>
            </w:r>
            <w:proofErr w:type="spellStart"/>
            <w:r>
              <w:rPr>
                <w:szCs w:val="22"/>
              </w:rPr>
              <w:t>dienas</w:t>
            </w:r>
            <w:proofErr w:type="spellEnd"/>
            <w:r>
              <w:rPr>
                <w:szCs w:val="22"/>
              </w:rPr>
              <w:t xml:space="preserve"> deva</w:t>
            </w:r>
            <w:r w:rsidRPr="00834305">
              <w:rPr>
                <w:szCs w:val="22"/>
              </w:rPr>
              <w:t>,</w:t>
            </w:r>
          </w:p>
          <w:p w14:paraId="13546C87" w14:textId="77777777" w:rsidR="001537D9" w:rsidRPr="00834305" w:rsidRDefault="001537D9" w:rsidP="007642BD">
            <w:pPr>
              <w:pStyle w:val="EMEABodyText"/>
              <w:rPr>
                <w:szCs w:val="22"/>
              </w:rPr>
            </w:pPr>
            <w:proofErr w:type="spellStart"/>
            <w:r>
              <w:rPr>
                <w:szCs w:val="22"/>
              </w:rPr>
              <w:t>putojošo</w:t>
            </w:r>
            <w:proofErr w:type="spellEnd"/>
            <w:r>
              <w:rPr>
                <w:szCs w:val="22"/>
              </w:rPr>
              <w:t xml:space="preserve"> </w:t>
            </w:r>
            <w:proofErr w:type="spellStart"/>
            <w:r>
              <w:rPr>
                <w:szCs w:val="22"/>
              </w:rPr>
              <w:t>tablešu</w:t>
            </w:r>
            <w:proofErr w:type="spellEnd"/>
            <w:r>
              <w:rPr>
                <w:szCs w:val="22"/>
              </w:rPr>
              <w:t xml:space="preserve"> </w:t>
            </w:r>
            <w:proofErr w:type="spellStart"/>
            <w:r>
              <w:rPr>
                <w:szCs w:val="22"/>
              </w:rPr>
              <w:t>skaits</w:t>
            </w:r>
            <w:proofErr w:type="spellEnd"/>
          </w:p>
        </w:tc>
        <w:tc>
          <w:tcPr>
            <w:tcW w:w="1540" w:type="dxa"/>
            <w:vAlign w:val="center"/>
          </w:tcPr>
          <w:p w14:paraId="28D4220E" w14:textId="77777777" w:rsidR="001537D9" w:rsidRPr="00834305" w:rsidRDefault="001537D9" w:rsidP="007642BD">
            <w:pPr>
              <w:pStyle w:val="EMEABodyText"/>
              <w:jc w:val="center"/>
              <w:rPr>
                <w:szCs w:val="22"/>
              </w:rPr>
            </w:pPr>
            <w:r w:rsidRPr="00834305">
              <w:rPr>
                <w:szCs w:val="22"/>
              </w:rPr>
              <w:t>4</w:t>
            </w:r>
          </w:p>
        </w:tc>
        <w:tc>
          <w:tcPr>
            <w:tcW w:w="1760" w:type="dxa"/>
            <w:vAlign w:val="center"/>
          </w:tcPr>
          <w:p w14:paraId="6D2B479A" w14:textId="77777777" w:rsidR="001537D9" w:rsidRPr="00834305" w:rsidRDefault="001537D9" w:rsidP="007642BD">
            <w:pPr>
              <w:pStyle w:val="EMEABodyText"/>
              <w:jc w:val="center"/>
              <w:rPr>
                <w:szCs w:val="22"/>
              </w:rPr>
            </w:pPr>
            <w:r w:rsidRPr="00834305">
              <w:rPr>
                <w:szCs w:val="22"/>
              </w:rPr>
              <w:t>5</w:t>
            </w:r>
          </w:p>
        </w:tc>
        <w:tc>
          <w:tcPr>
            <w:tcW w:w="1540" w:type="dxa"/>
            <w:vAlign w:val="center"/>
          </w:tcPr>
          <w:p w14:paraId="3066DAF4" w14:textId="77777777" w:rsidR="001537D9" w:rsidRPr="00834305" w:rsidRDefault="001537D9" w:rsidP="007642BD">
            <w:pPr>
              <w:pStyle w:val="EMEABodyText"/>
              <w:jc w:val="center"/>
              <w:rPr>
                <w:szCs w:val="22"/>
              </w:rPr>
            </w:pPr>
            <w:r w:rsidRPr="00834305">
              <w:rPr>
                <w:szCs w:val="22"/>
              </w:rPr>
              <w:t>6</w:t>
            </w:r>
          </w:p>
        </w:tc>
      </w:tr>
    </w:tbl>
    <w:p w14:paraId="654E85B4" w14:textId="77777777" w:rsidR="00993DE7" w:rsidRPr="00543FC5" w:rsidRDefault="00993DE7" w:rsidP="00993DE7">
      <w:pPr>
        <w:tabs>
          <w:tab w:val="clear" w:pos="567"/>
        </w:tabs>
        <w:spacing w:line="240" w:lineRule="auto"/>
      </w:pPr>
    </w:p>
    <w:p w14:paraId="106C2608" w14:textId="77777777" w:rsidR="00C57E7F" w:rsidRPr="00543FC5" w:rsidRDefault="00C57E7F" w:rsidP="00993DE7">
      <w:pPr>
        <w:tabs>
          <w:tab w:val="clear" w:pos="567"/>
        </w:tabs>
        <w:spacing w:line="240" w:lineRule="auto"/>
      </w:pPr>
      <w:r w:rsidRPr="00543FC5">
        <w:t xml:space="preserve">Gados vecākiem pacientiem deva parasti nav jāpielāgo. </w:t>
      </w:r>
    </w:p>
    <w:p w14:paraId="1FFBBA01" w14:textId="77777777" w:rsidR="00C57E7F" w:rsidRPr="00543FC5" w:rsidRDefault="00C57E7F" w:rsidP="00993DE7">
      <w:pPr>
        <w:tabs>
          <w:tab w:val="clear" w:pos="567"/>
        </w:tabs>
        <w:spacing w:line="240" w:lineRule="auto"/>
      </w:pPr>
    </w:p>
    <w:p w14:paraId="171B7B94" w14:textId="77777777" w:rsidR="00C57E7F" w:rsidRPr="00543FC5" w:rsidRDefault="001537D9" w:rsidP="00993DE7">
      <w:pPr>
        <w:tabs>
          <w:tab w:val="clear" w:pos="567"/>
        </w:tabs>
        <w:spacing w:line="240" w:lineRule="auto"/>
      </w:pPr>
      <w:r>
        <w:t>J</w:t>
      </w:r>
      <w:r w:rsidR="00C57E7F" w:rsidRPr="00543FC5">
        <w:t xml:space="preserve">a simptomi </w:t>
      </w:r>
      <w:r>
        <w:t xml:space="preserve">saglabājas ilgāk nekā trīs dienas vai šajā laikā </w:t>
      </w:r>
      <w:r w:rsidR="00C57E7F" w:rsidRPr="00543FC5">
        <w:t>pastiprinās</w:t>
      </w:r>
      <w:r>
        <w:t>, z</w:t>
      </w:r>
      <w:r w:rsidRPr="00C57E7F">
        <w:t>āļu lietošana jāizvēr</w:t>
      </w:r>
      <w:r>
        <w:t>t</w:t>
      </w:r>
      <w:r w:rsidRPr="00C57E7F">
        <w:t>ē atkārtoti</w:t>
      </w:r>
      <w:r>
        <w:t>.</w:t>
      </w:r>
    </w:p>
    <w:p w14:paraId="14608D9F" w14:textId="77777777" w:rsidR="00C57E7F" w:rsidRPr="00543FC5" w:rsidRDefault="00C57E7F" w:rsidP="00993DE7">
      <w:pPr>
        <w:tabs>
          <w:tab w:val="clear" w:pos="567"/>
        </w:tabs>
        <w:spacing w:line="240" w:lineRule="auto"/>
      </w:pPr>
    </w:p>
    <w:p w14:paraId="5725D0B8" w14:textId="77777777" w:rsidR="00993DE7" w:rsidRPr="00543FC5" w:rsidRDefault="00993DE7" w:rsidP="00993DE7">
      <w:pPr>
        <w:tabs>
          <w:tab w:val="clear" w:pos="567"/>
        </w:tabs>
        <w:spacing w:line="240" w:lineRule="auto"/>
        <w:rPr>
          <w:u w:val="single"/>
        </w:rPr>
      </w:pPr>
      <w:r w:rsidRPr="00543FC5">
        <w:rPr>
          <w:u w:val="single"/>
        </w:rPr>
        <w:t xml:space="preserve">Nieru </w:t>
      </w:r>
      <w:r w:rsidR="00966F7F">
        <w:rPr>
          <w:u w:val="single"/>
        </w:rPr>
        <w:t>darbības traucējumi</w:t>
      </w:r>
    </w:p>
    <w:p w14:paraId="60C51961" w14:textId="77777777" w:rsidR="00C57E7F" w:rsidRPr="00543FC5" w:rsidRDefault="00C57E7F" w:rsidP="00993DE7">
      <w:pPr>
        <w:tabs>
          <w:tab w:val="clear" w:pos="567"/>
        </w:tabs>
        <w:spacing w:line="240" w:lineRule="auto"/>
      </w:pPr>
      <w:r w:rsidRPr="00543FC5">
        <w:t xml:space="preserve">Pacientiem ar nieru darbības traucējumiem mazākais starplaiks starp zāļu lietošanas reizēm jāmaina atbilstoši </w:t>
      </w:r>
      <w:r w:rsidR="00966F7F">
        <w:t xml:space="preserve">turpmāk </w:t>
      </w:r>
      <w:r w:rsidRPr="00543FC5">
        <w:t xml:space="preserve">norādītajai shēmai (skatīt 4.4. un 5.2. apakšpunktu). </w:t>
      </w:r>
    </w:p>
    <w:p w14:paraId="046B85B8" w14:textId="77777777" w:rsidR="00C57E7F" w:rsidRPr="00543FC5" w:rsidRDefault="00C57E7F" w:rsidP="00993DE7">
      <w:pPr>
        <w:tabs>
          <w:tab w:val="clear" w:pos="567"/>
        </w:tabs>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77"/>
      </w:tblGrid>
      <w:tr w:rsidR="00C57E7F" w:rsidRPr="00543FC5" w14:paraId="22D338E5" w14:textId="77777777" w:rsidTr="00543FC5">
        <w:tc>
          <w:tcPr>
            <w:tcW w:w="4535" w:type="dxa"/>
            <w:shd w:val="clear" w:color="auto" w:fill="auto"/>
          </w:tcPr>
          <w:p w14:paraId="2BF59167" w14:textId="77777777" w:rsidR="00C57E7F" w:rsidRPr="00543FC5" w:rsidRDefault="00C57E7F" w:rsidP="00C57E7F">
            <w:pPr>
              <w:tabs>
                <w:tab w:val="clear" w:pos="567"/>
              </w:tabs>
              <w:spacing w:line="240" w:lineRule="auto"/>
              <w:rPr>
                <w:color w:val="000000"/>
                <w:szCs w:val="22"/>
              </w:rPr>
            </w:pPr>
            <w:r w:rsidRPr="00543FC5">
              <w:rPr>
                <w:b/>
                <w:bCs/>
                <w:color w:val="000000"/>
                <w:szCs w:val="22"/>
              </w:rPr>
              <w:t>Kreatinīna klīrenss</w:t>
            </w:r>
          </w:p>
        </w:tc>
        <w:tc>
          <w:tcPr>
            <w:tcW w:w="4537" w:type="dxa"/>
            <w:shd w:val="clear" w:color="auto" w:fill="auto"/>
          </w:tcPr>
          <w:p w14:paraId="06D7E0AE" w14:textId="77777777" w:rsidR="00C57E7F" w:rsidRPr="00543FC5" w:rsidRDefault="00C57E7F" w:rsidP="00C57E7F">
            <w:pPr>
              <w:tabs>
                <w:tab w:val="clear" w:pos="567"/>
              </w:tabs>
              <w:autoSpaceDE w:val="0"/>
              <w:autoSpaceDN w:val="0"/>
              <w:adjustRightInd w:val="0"/>
              <w:spacing w:line="240" w:lineRule="auto"/>
              <w:rPr>
                <w:color w:val="000000"/>
                <w:szCs w:val="22"/>
              </w:rPr>
            </w:pPr>
            <w:r w:rsidRPr="00543FC5">
              <w:rPr>
                <w:b/>
                <w:bCs/>
                <w:color w:val="000000"/>
                <w:szCs w:val="22"/>
              </w:rPr>
              <w:t>Dozēšanas starplaiks</w:t>
            </w:r>
          </w:p>
        </w:tc>
      </w:tr>
      <w:tr w:rsidR="00C57E7F" w:rsidRPr="00543FC5" w14:paraId="3F069E4F" w14:textId="77777777" w:rsidTr="00543FC5">
        <w:tc>
          <w:tcPr>
            <w:tcW w:w="4535" w:type="dxa"/>
            <w:shd w:val="clear" w:color="auto" w:fill="auto"/>
          </w:tcPr>
          <w:p w14:paraId="1C3A8030" w14:textId="77777777" w:rsidR="00C57E7F" w:rsidRPr="00543FC5" w:rsidRDefault="00C57E7F" w:rsidP="00C57E7F">
            <w:pPr>
              <w:tabs>
                <w:tab w:val="clear" w:pos="567"/>
              </w:tabs>
              <w:spacing w:line="240" w:lineRule="auto"/>
              <w:rPr>
                <w:b/>
                <w:bCs/>
                <w:color w:val="000000"/>
                <w:szCs w:val="22"/>
              </w:rPr>
            </w:pPr>
            <w:r w:rsidRPr="00543FC5">
              <w:rPr>
                <w:color w:val="000000"/>
                <w:szCs w:val="22"/>
              </w:rPr>
              <w:t>CrCl ≥50</w:t>
            </w:r>
            <w:r w:rsidR="00966F7F">
              <w:rPr>
                <w:color w:val="000000"/>
                <w:szCs w:val="22"/>
              </w:rPr>
              <w:t> </w:t>
            </w:r>
            <w:r w:rsidRPr="00543FC5">
              <w:rPr>
                <w:color w:val="000000"/>
                <w:szCs w:val="22"/>
              </w:rPr>
              <w:t>ml/min</w:t>
            </w:r>
          </w:p>
        </w:tc>
        <w:tc>
          <w:tcPr>
            <w:tcW w:w="4537" w:type="dxa"/>
            <w:shd w:val="clear" w:color="auto" w:fill="auto"/>
          </w:tcPr>
          <w:p w14:paraId="0B54607F" w14:textId="77777777" w:rsidR="00C57E7F" w:rsidRPr="00543FC5" w:rsidRDefault="00C57E7F" w:rsidP="00C57E7F">
            <w:pPr>
              <w:tabs>
                <w:tab w:val="clear" w:pos="567"/>
              </w:tabs>
              <w:autoSpaceDE w:val="0"/>
              <w:autoSpaceDN w:val="0"/>
              <w:adjustRightInd w:val="0"/>
              <w:spacing w:line="240" w:lineRule="auto"/>
              <w:rPr>
                <w:b/>
                <w:bCs/>
                <w:color w:val="000000"/>
                <w:szCs w:val="22"/>
              </w:rPr>
            </w:pPr>
            <w:r w:rsidRPr="00543FC5">
              <w:rPr>
                <w:color w:val="000000"/>
                <w:szCs w:val="22"/>
              </w:rPr>
              <w:t>4 stundas</w:t>
            </w:r>
          </w:p>
        </w:tc>
      </w:tr>
      <w:tr w:rsidR="00C57E7F" w:rsidRPr="00543FC5" w14:paraId="5003350A" w14:textId="77777777" w:rsidTr="00543FC5">
        <w:tc>
          <w:tcPr>
            <w:tcW w:w="4535" w:type="dxa"/>
            <w:shd w:val="clear" w:color="auto" w:fill="auto"/>
          </w:tcPr>
          <w:p w14:paraId="7BF4230C" w14:textId="77777777" w:rsidR="00C57E7F" w:rsidRPr="00543FC5" w:rsidRDefault="00C57E7F" w:rsidP="00C57E7F">
            <w:pPr>
              <w:tabs>
                <w:tab w:val="clear" w:pos="567"/>
              </w:tabs>
              <w:spacing w:line="240" w:lineRule="auto"/>
              <w:rPr>
                <w:color w:val="000000"/>
                <w:szCs w:val="22"/>
              </w:rPr>
            </w:pPr>
            <w:r w:rsidRPr="00543FC5">
              <w:rPr>
                <w:color w:val="000000"/>
                <w:szCs w:val="22"/>
              </w:rPr>
              <w:t>CrCl 10-50</w:t>
            </w:r>
            <w:r w:rsidR="00966F7F">
              <w:rPr>
                <w:color w:val="000000"/>
                <w:szCs w:val="22"/>
              </w:rPr>
              <w:t> </w:t>
            </w:r>
            <w:r w:rsidRPr="00543FC5">
              <w:rPr>
                <w:color w:val="000000"/>
                <w:szCs w:val="22"/>
              </w:rPr>
              <w:t>ml/min</w:t>
            </w:r>
          </w:p>
        </w:tc>
        <w:tc>
          <w:tcPr>
            <w:tcW w:w="4537" w:type="dxa"/>
            <w:shd w:val="clear" w:color="auto" w:fill="auto"/>
          </w:tcPr>
          <w:p w14:paraId="5FF18835" w14:textId="77777777" w:rsidR="00C57E7F" w:rsidRPr="00543FC5" w:rsidRDefault="00C57E7F" w:rsidP="00C57E7F">
            <w:pPr>
              <w:tabs>
                <w:tab w:val="clear" w:pos="567"/>
              </w:tabs>
              <w:autoSpaceDE w:val="0"/>
              <w:autoSpaceDN w:val="0"/>
              <w:adjustRightInd w:val="0"/>
              <w:spacing w:line="240" w:lineRule="auto"/>
              <w:rPr>
                <w:color w:val="000000"/>
                <w:szCs w:val="22"/>
              </w:rPr>
            </w:pPr>
            <w:r w:rsidRPr="00543FC5">
              <w:rPr>
                <w:color w:val="000000"/>
                <w:szCs w:val="22"/>
              </w:rPr>
              <w:t>6 stundas</w:t>
            </w:r>
          </w:p>
        </w:tc>
      </w:tr>
      <w:tr w:rsidR="00C57E7F" w:rsidRPr="00543FC5" w14:paraId="78B02056" w14:textId="77777777" w:rsidTr="00543FC5">
        <w:tc>
          <w:tcPr>
            <w:tcW w:w="4535" w:type="dxa"/>
            <w:shd w:val="clear" w:color="auto" w:fill="auto"/>
          </w:tcPr>
          <w:p w14:paraId="2616AE08" w14:textId="77777777" w:rsidR="00C57E7F" w:rsidRPr="00543FC5" w:rsidRDefault="00C57E7F" w:rsidP="000A3D9D">
            <w:pPr>
              <w:tabs>
                <w:tab w:val="clear" w:pos="567"/>
              </w:tabs>
              <w:spacing w:line="240" w:lineRule="auto"/>
              <w:rPr>
                <w:color w:val="000000"/>
                <w:szCs w:val="22"/>
              </w:rPr>
            </w:pPr>
            <w:r w:rsidRPr="00543FC5">
              <w:rPr>
                <w:color w:val="000000"/>
                <w:szCs w:val="22"/>
              </w:rPr>
              <w:t>CrCl &lt;10</w:t>
            </w:r>
            <w:r w:rsidR="00966F7F">
              <w:rPr>
                <w:color w:val="000000"/>
                <w:szCs w:val="22"/>
              </w:rPr>
              <w:t> </w:t>
            </w:r>
            <w:r w:rsidRPr="00543FC5">
              <w:rPr>
                <w:color w:val="000000"/>
                <w:szCs w:val="22"/>
              </w:rPr>
              <w:t>ml/min</w:t>
            </w:r>
          </w:p>
        </w:tc>
        <w:tc>
          <w:tcPr>
            <w:tcW w:w="4537" w:type="dxa"/>
            <w:shd w:val="clear" w:color="auto" w:fill="auto"/>
          </w:tcPr>
          <w:p w14:paraId="4F1F23E0" w14:textId="77777777" w:rsidR="00C57E7F" w:rsidRPr="00543FC5" w:rsidRDefault="00C57E7F" w:rsidP="00C57E7F">
            <w:pPr>
              <w:tabs>
                <w:tab w:val="clear" w:pos="567"/>
              </w:tabs>
              <w:autoSpaceDE w:val="0"/>
              <w:autoSpaceDN w:val="0"/>
              <w:adjustRightInd w:val="0"/>
              <w:spacing w:line="240" w:lineRule="auto"/>
              <w:rPr>
                <w:color w:val="000000"/>
                <w:szCs w:val="22"/>
              </w:rPr>
            </w:pPr>
            <w:r w:rsidRPr="00543FC5">
              <w:rPr>
                <w:color w:val="000000"/>
                <w:szCs w:val="22"/>
              </w:rPr>
              <w:t>8 stundas</w:t>
            </w:r>
          </w:p>
        </w:tc>
      </w:tr>
    </w:tbl>
    <w:p w14:paraId="17D58CE3" w14:textId="77777777" w:rsidR="00C57E7F" w:rsidRDefault="00C57E7F" w:rsidP="00993DE7">
      <w:pPr>
        <w:tabs>
          <w:tab w:val="clear" w:pos="567"/>
        </w:tabs>
        <w:spacing w:line="240" w:lineRule="auto"/>
      </w:pPr>
    </w:p>
    <w:p w14:paraId="768AADDD" w14:textId="77777777" w:rsidR="00C57E7F" w:rsidRDefault="00C57E7F" w:rsidP="00993DE7">
      <w:pPr>
        <w:tabs>
          <w:tab w:val="clear" w:pos="567"/>
        </w:tabs>
        <w:spacing w:line="240" w:lineRule="auto"/>
      </w:pPr>
      <w:r>
        <w:rPr>
          <w:u w:val="single"/>
        </w:rPr>
        <w:t>Aknu darbības traucējumi</w:t>
      </w:r>
    </w:p>
    <w:p w14:paraId="413CE97A" w14:textId="77777777" w:rsidR="004A40D1" w:rsidRPr="00656DE7" w:rsidRDefault="004A40D1" w:rsidP="004A40D1">
      <w:pPr>
        <w:pStyle w:val="EMEABodyText"/>
        <w:rPr>
          <w:bCs/>
          <w:lang w:val="lv-LV"/>
        </w:rPr>
      </w:pPr>
      <w:r w:rsidRPr="00656DE7">
        <w:rPr>
          <w:bCs/>
          <w:lang w:val="lv-LV"/>
        </w:rPr>
        <w:t xml:space="preserve">Pacientiem ar aknu </w:t>
      </w:r>
      <w:r w:rsidR="006B529F">
        <w:rPr>
          <w:bCs/>
          <w:lang w:val="lv-LV"/>
        </w:rPr>
        <w:t>darbības</w:t>
      </w:r>
      <w:r w:rsidR="006B529F" w:rsidRPr="00656DE7">
        <w:rPr>
          <w:bCs/>
          <w:lang w:val="lv-LV"/>
        </w:rPr>
        <w:t xml:space="preserve"> </w:t>
      </w:r>
      <w:r w:rsidRPr="00656DE7">
        <w:rPr>
          <w:bCs/>
          <w:lang w:val="lv-LV"/>
        </w:rPr>
        <w:t xml:space="preserve">traucējumiem </w:t>
      </w:r>
      <w:r>
        <w:rPr>
          <w:bCs/>
          <w:lang w:val="lv-LV"/>
        </w:rPr>
        <w:t>jāsamazina deva</w:t>
      </w:r>
      <w:r w:rsidRPr="00656DE7">
        <w:rPr>
          <w:bCs/>
          <w:lang w:val="lv-LV"/>
        </w:rPr>
        <w:t xml:space="preserve"> vai jāpagarina intervāls starp lietošanas reizēm. </w:t>
      </w:r>
      <w:r>
        <w:rPr>
          <w:bCs/>
          <w:lang w:val="lv-LV"/>
        </w:rPr>
        <w:t xml:space="preserve">Maksimālā diennakts deva nedrīkst pārsniegt </w:t>
      </w:r>
      <w:r w:rsidRPr="00656DE7">
        <w:rPr>
          <w:bCs/>
          <w:lang w:val="lv-LV"/>
        </w:rPr>
        <w:t>60 mg/kg/</w:t>
      </w:r>
      <w:r>
        <w:rPr>
          <w:bCs/>
          <w:lang w:val="lv-LV"/>
        </w:rPr>
        <w:t>dienā</w:t>
      </w:r>
      <w:r w:rsidRPr="00656DE7">
        <w:rPr>
          <w:bCs/>
          <w:lang w:val="lv-LV"/>
        </w:rPr>
        <w:t xml:space="preserve"> (</w:t>
      </w:r>
      <w:r>
        <w:rPr>
          <w:bCs/>
          <w:lang w:val="lv-LV"/>
        </w:rPr>
        <w:t>nepārsniedzot 2g/dienā</w:t>
      </w:r>
      <w:r w:rsidRPr="00656DE7">
        <w:rPr>
          <w:bCs/>
          <w:lang w:val="lv-LV"/>
        </w:rPr>
        <w:t xml:space="preserve">) </w:t>
      </w:r>
      <w:r>
        <w:rPr>
          <w:bCs/>
          <w:lang w:val="lv-LV"/>
        </w:rPr>
        <w:t>šādos gadījumos:</w:t>
      </w:r>
    </w:p>
    <w:p w14:paraId="58D5C044" w14:textId="77777777" w:rsidR="004A40D1" w:rsidRDefault="004A40D1" w:rsidP="004A40D1">
      <w:pPr>
        <w:pStyle w:val="EMEABodyText"/>
        <w:rPr>
          <w:bCs/>
          <w:lang w:val="lv-LV"/>
        </w:rPr>
      </w:pPr>
      <w:r w:rsidRPr="00656DE7">
        <w:rPr>
          <w:bCs/>
          <w:lang w:val="lv-LV"/>
        </w:rPr>
        <w:t xml:space="preserve">• </w:t>
      </w:r>
      <w:r>
        <w:rPr>
          <w:bCs/>
          <w:lang w:val="lv-LV"/>
        </w:rPr>
        <w:tab/>
        <w:t xml:space="preserve">pieaugušajiem, kuru </w:t>
      </w:r>
      <w:r w:rsidR="008C1AC7">
        <w:rPr>
          <w:bCs/>
          <w:lang w:val="lv-LV"/>
        </w:rPr>
        <w:t xml:space="preserve">ķermeņa masa </w:t>
      </w:r>
      <w:r>
        <w:rPr>
          <w:bCs/>
          <w:lang w:val="lv-LV"/>
        </w:rPr>
        <w:t>ir mazāk</w:t>
      </w:r>
      <w:r w:rsidR="008C1AC7">
        <w:rPr>
          <w:bCs/>
          <w:lang w:val="lv-LV"/>
        </w:rPr>
        <w:t>a</w:t>
      </w:r>
      <w:r>
        <w:rPr>
          <w:bCs/>
          <w:lang w:val="lv-LV"/>
        </w:rPr>
        <w:t xml:space="preserve"> kā</w:t>
      </w:r>
      <w:r w:rsidRPr="00656DE7">
        <w:rPr>
          <w:bCs/>
          <w:lang w:val="lv-LV"/>
        </w:rPr>
        <w:t xml:space="preserve"> 50 kg</w:t>
      </w:r>
      <w:r>
        <w:rPr>
          <w:bCs/>
          <w:lang w:val="lv-LV"/>
        </w:rPr>
        <w:t>;</w:t>
      </w:r>
    </w:p>
    <w:p w14:paraId="1B3DCD78" w14:textId="77777777" w:rsidR="004A40D1" w:rsidRPr="00656DE7" w:rsidRDefault="004A40D1" w:rsidP="004A40D1">
      <w:pPr>
        <w:pStyle w:val="EMEABodyText"/>
        <w:rPr>
          <w:bCs/>
          <w:lang w:val="lv-LV"/>
        </w:rPr>
      </w:pPr>
      <w:r w:rsidRPr="00656DE7">
        <w:rPr>
          <w:bCs/>
          <w:lang w:val="lv-LV"/>
        </w:rPr>
        <w:t xml:space="preserve">• </w:t>
      </w:r>
      <w:r>
        <w:rPr>
          <w:bCs/>
          <w:lang w:val="lv-LV"/>
        </w:rPr>
        <w:tab/>
        <w:t xml:space="preserve">hronisks alkoholisms; </w:t>
      </w:r>
    </w:p>
    <w:p w14:paraId="2D002320" w14:textId="77777777" w:rsidR="004A40D1" w:rsidRPr="00656DE7" w:rsidRDefault="004A40D1" w:rsidP="004A40D1">
      <w:pPr>
        <w:pStyle w:val="EMEABodyText"/>
        <w:rPr>
          <w:bCs/>
          <w:lang w:val="lv-LV"/>
        </w:rPr>
      </w:pPr>
      <w:r w:rsidRPr="00656DE7">
        <w:rPr>
          <w:bCs/>
          <w:lang w:val="lv-LV"/>
        </w:rPr>
        <w:t xml:space="preserve">• </w:t>
      </w:r>
      <w:r>
        <w:rPr>
          <w:bCs/>
          <w:lang w:val="lv-LV"/>
        </w:rPr>
        <w:tab/>
        <w:t xml:space="preserve">hroniska vai aktīva aknu slimība, jo īpaši viegla vai vidēji smaga hepatocelulāra mazspēja; </w:t>
      </w:r>
    </w:p>
    <w:p w14:paraId="795054BE" w14:textId="77777777" w:rsidR="004A40D1" w:rsidRPr="00656DE7" w:rsidRDefault="004A40D1" w:rsidP="004A40D1">
      <w:pPr>
        <w:pStyle w:val="EMEABodyText"/>
        <w:rPr>
          <w:bCs/>
          <w:lang w:val="lv-LV"/>
        </w:rPr>
      </w:pPr>
      <w:r w:rsidRPr="00656DE7">
        <w:rPr>
          <w:bCs/>
          <w:lang w:val="lv-LV"/>
        </w:rPr>
        <w:t xml:space="preserve">• </w:t>
      </w:r>
      <w:r>
        <w:rPr>
          <w:bCs/>
          <w:lang w:val="lv-LV"/>
        </w:rPr>
        <w:tab/>
        <w:t>Žilbēra sindroms</w:t>
      </w:r>
      <w:r w:rsidRPr="00656DE7">
        <w:rPr>
          <w:bCs/>
          <w:lang w:val="lv-LV"/>
        </w:rPr>
        <w:t xml:space="preserve"> (</w:t>
      </w:r>
      <w:r>
        <w:rPr>
          <w:bCs/>
          <w:lang w:val="lv-LV"/>
        </w:rPr>
        <w:t>iedzimta</w:t>
      </w:r>
      <w:r w:rsidRPr="00656DE7">
        <w:rPr>
          <w:bCs/>
          <w:lang w:val="lv-LV"/>
        </w:rPr>
        <w:t xml:space="preserve"> hiperbilirubinēmij</w:t>
      </w:r>
      <w:r>
        <w:rPr>
          <w:bCs/>
          <w:lang w:val="lv-LV"/>
        </w:rPr>
        <w:t>a</w:t>
      </w:r>
      <w:r w:rsidRPr="00656DE7">
        <w:rPr>
          <w:bCs/>
          <w:lang w:val="lv-LV"/>
        </w:rPr>
        <w:t>)</w:t>
      </w:r>
      <w:r>
        <w:rPr>
          <w:bCs/>
          <w:lang w:val="lv-LV"/>
        </w:rPr>
        <w:t>;</w:t>
      </w:r>
    </w:p>
    <w:p w14:paraId="19D0003A" w14:textId="77777777" w:rsidR="004A40D1" w:rsidRPr="00656DE7" w:rsidRDefault="004A40D1" w:rsidP="004A40D1">
      <w:pPr>
        <w:pStyle w:val="EMEABodyText"/>
        <w:rPr>
          <w:bCs/>
          <w:lang w:val="lv-LV"/>
        </w:rPr>
      </w:pPr>
      <w:r w:rsidRPr="00656DE7">
        <w:rPr>
          <w:bCs/>
          <w:lang w:val="lv-LV"/>
        </w:rPr>
        <w:t xml:space="preserve">• </w:t>
      </w:r>
      <w:r>
        <w:rPr>
          <w:bCs/>
          <w:lang w:val="lv-LV"/>
        </w:rPr>
        <w:tab/>
        <w:t>hroniski uztura uzņemšanas traucējumi</w:t>
      </w:r>
      <w:r w:rsidRPr="00656DE7">
        <w:rPr>
          <w:bCs/>
          <w:lang w:val="lv-LV"/>
        </w:rPr>
        <w:t xml:space="preserve"> (</w:t>
      </w:r>
      <w:r>
        <w:rPr>
          <w:bCs/>
          <w:lang w:val="lv-LV"/>
        </w:rPr>
        <w:t>mazas aknu glutationa rezerves);</w:t>
      </w:r>
    </w:p>
    <w:p w14:paraId="5BA566A5" w14:textId="77777777" w:rsidR="004A40D1" w:rsidRPr="00656DE7" w:rsidRDefault="004A40D1" w:rsidP="004A40D1">
      <w:pPr>
        <w:pStyle w:val="EMEABodyText"/>
        <w:rPr>
          <w:bCs/>
          <w:lang w:val="lv-LV"/>
        </w:rPr>
      </w:pPr>
      <w:r>
        <w:rPr>
          <w:bCs/>
          <w:lang w:val="lv-LV"/>
        </w:rPr>
        <w:t xml:space="preserve">• </w:t>
      </w:r>
      <w:r>
        <w:rPr>
          <w:bCs/>
          <w:lang w:val="lv-LV"/>
        </w:rPr>
        <w:tab/>
        <w:t>dehidratācija</w:t>
      </w:r>
      <w:r w:rsidRPr="00656DE7">
        <w:rPr>
          <w:bCs/>
          <w:lang w:val="lv-LV"/>
        </w:rPr>
        <w:t>.</w:t>
      </w:r>
    </w:p>
    <w:p w14:paraId="735F9CE8" w14:textId="77777777" w:rsidR="00993DE7" w:rsidRPr="00543FC5" w:rsidRDefault="00993DE7" w:rsidP="00993DE7">
      <w:pPr>
        <w:tabs>
          <w:tab w:val="clear" w:pos="567"/>
        </w:tabs>
        <w:spacing w:line="240" w:lineRule="auto"/>
      </w:pPr>
    </w:p>
    <w:p w14:paraId="36136FBC" w14:textId="77777777" w:rsidR="00993DE7" w:rsidRPr="00543FC5" w:rsidRDefault="00993DE7" w:rsidP="00993DE7">
      <w:pPr>
        <w:tabs>
          <w:tab w:val="clear" w:pos="567"/>
        </w:tabs>
        <w:spacing w:line="240" w:lineRule="auto"/>
        <w:ind w:left="567" w:hanging="567"/>
      </w:pPr>
      <w:r w:rsidRPr="00543FC5">
        <w:rPr>
          <w:b/>
        </w:rPr>
        <w:t>4.3</w:t>
      </w:r>
      <w:r w:rsidR="00FF3E04">
        <w:rPr>
          <w:b/>
        </w:rPr>
        <w:t>.</w:t>
      </w:r>
      <w:r w:rsidRPr="00543FC5">
        <w:rPr>
          <w:b/>
        </w:rPr>
        <w:tab/>
        <w:t xml:space="preserve">Kontrindikācijas </w:t>
      </w:r>
    </w:p>
    <w:p w14:paraId="22B25817" w14:textId="77777777" w:rsidR="00993DE7" w:rsidRPr="00543FC5" w:rsidRDefault="00993DE7" w:rsidP="00993DE7">
      <w:pPr>
        <w:tabs>
          <w:tab w:val="clear" w:pos="567"/>
        </w:tabs>
        <w:spacing w:line="240" w:lineRule="auto"/>
        <w:ind w:left="567" w:hanging="567"/>
      </w:pPr>
    </w:p>
    <w:p w14:paraId="2EEA2733" w14:textId="77777777" w:rsidR="00993DE7" w:rsidRDefault="001537D9" w:rsidP="00FF3E04">
      <w:pPr>
        <w:numPr>
          <w:ilvl w:val="0"/>
          <w:numId w:val="1"/>
        </w:numPr>
        <w:tabs>
          <w:tab w:val="clear" w:pos="720"/>
          <w:tab w:val="num" w:pos="567"/>
        </w:tabs>
        <w:spacing w:line="240" w:lineRule="auto"/>
        <w:ind w:left="567" w:hanging="567"/>
      </w:pPr>
      <w:r>
        <w:t>Diagnosticēta p</w:t>
      </w:r>
      <w:r w:rsidR="00993DE7" w:rsidRPr="00543FC5">
        <w:t xml:space="preserve">aaugstināta jutība pret paracetamolu, askorbīnskābi vai </w:t>
      </w:r>
      <w:r w:rsidR="00A71BBA" w:rsidRPr="00D02513">
        <w:rPr>
          <w:noProof/>
        </w:rPr>
        <w:t>jebkuru no</w:t>
      </w:r>
      <w:r w:rsidR="00A71BBA" w:rsidRPr="0035201A">
        <w:rPr>
          <w:noProof/>
        </w:rPr>
        <w:t xml:space="preserve"> </w:t>
      </w:r>
      <w:r w:rsidR="00A71BBA" w:rsidRPr="00DE1D28">
        <w:rPr>
          <w:noProof/>
        </w:rPr>
        <w:t>6.1</w:t>
      </w:r>
      <w:r w:rsidR="004D2F23">
        <w:rPr>
          <w:noProof/>
        </w:rPr>
        <w:t>.</w:t>
      </w:r>
      <w:r w:rsidR="00A71BBA" w:rsidRPr="00DE1D28">
        <w:rPr>
          <w:noProof/>
        </w:rPr>
        <w:t xml:space="preserve"> apakšpunktā uzskaitītajām</w:t>
      </w:r>
      <w:r w:rsidR="00A71BBA" w:rsidRPr="00D02513">
        <w:rPr>
          <w:noProof/>
        </w:rPr>
        <w:t xml:space="preserve"> </w:t>
      </w:r>
      <w:r w:rsidR="00993DE7" w:rsidRPr="00543FC5">
        <w:t>palīgvielām.</w:t>
      </w:r>
    </w:p>
    <w:p w14:paraId="67EE95E2" w14:textId="77777777" w:rsidR="00C57E7F" w:rsidRPr="00543FC5" w:rsidRDefault="00C57E7F" w:rsidP="00993DE7">
      <w:pPr>
        <w:numPr>
          <w:ilvl w:val="0"/>
          <w:numId w:val="1"/>
        </w:numPr>
        <w:tabs>
          <w:tab w:val="clear" w:pos="720"/>
          <w:tab w:val="num" w:pos="567"/>
        </w:tabs>
        <w:spacing w:line="240" w:lineRule="auto"/>
        <w:ind w:left="567" w:hanging="567"/>
      </w:pPr>
      <w:r>
        <w:t xml:space="preserve">Smaga hepatocelulāra mazspēja vai dekompensēta </w:t>
      </w:r>
      <w:r w:rsidR="00966F7F">
        <w:t xml:space="preserve">aktīva </w:t>
      </w:r>
      <w:r>
        <w:t xml:space="preserve">aknu slimība. </w:t>
      </w:r>
    </w:p>
    <w:p w14:paraId="46F8EE72" w14:textId="77777777" w:rsidR="00993DE7" w:rsidRDefault="00993DE7" w:rsidP="00993DE7">
      <w:pPr>
        <w:numPr>
          <w:ilvl w:val="0"/>
          <w:numId w:val="1"/>
        </w:numPr>
        <w:tabs>
          <w:tab w:val="clear" w:pos="720"/>
          <w:tab w:val="num" w:pos="567"/>
        </w:tabs>
        <w:spacing w:line="240" w:lineRule="auto"/>
        <w:ind w:left="567" w:hanging="567"/>
      </w:pPr>
      <w:r w:rsidRPr="00543FC5">
        <w:t>Nefrolitiāze, ja C vitamīna deva pārsniedz 1 g diennaktī.</w:t>
      </w:r>
    </w:p>
    <w:p w14:paraId="56E0621B" w14:textId="77777777" w:rsidR="005F468E" w:rsidRPr="00543FC5" w:rsidRDefault="005F468E" w:rsidP="00993DE7">
      <w:pPr>
        <w:numPr>
          <w:ilvl w:val="0"/>
          <w:numId w:val="1"/>
        </w:numPr>
        <w:tabs>
          <w:tab w:val="clear" w:pos="720"/>
          <w:tab w:val="num" w:pos="567"/>
        </w:tabs>
        <w:spacing w:line="240" w:lineRule="auto"/>
        <w:ind w:left="567" w:hanging="567"/>
      </w:pPr>
      <w:r>
        <w:t>Fruktozes nepanesība.</w:t>
      </w:r>
    </w:p>
    <w:p w14:paraId="792085B7" w14:textId="77777777" w:rsidR="00993DE7" w:rsidRPr="00543FC5" w:rsidRDefault="00993DE7" w:rsidP="00993DE7">
      <w:pPr>
        <w:tabs>
          <w:tab w:val="clear" w:pos="567"/>
        </w:tabs>
        <w:spacing w:line="240" w:lineRule="auto"/>
        <w:ind w:left="567" w:hanging="567"/>
      </w:pPr>
    </w:p>
    <w:p w14:paraId="6FB6AA80" w14:textId="77777777" w:rsidR="00993DE7" w:rsidRPr="00543FC5" w:rsidRDefault="00993DE7" w:rsidP="00993DE7">
      <w:pPr>
        <w:tabs>
          <w:tab w:val="clear" w:pos="567"/>
        </w:tabs>
        <w:spacing w:line="240" w:lineRule="auto"/>
        <w:ind w:left="567" w:hanging="567"/>
      </w:pPr>
      <w:r w:rsidRPr="00543FC5">
        <w:rPr>
          <w:b/>
        </w:rPr>
        <w:t>4.4</w:t>
      </w:r>
      <w:r w:rsidR="00FF3E04">
        <w:rPr>
          <w:b/>
        </w:rPr>
        <w:t>.</w:t>
      </w:r>
      <w:r w:rsidRPr="00543FC5">
        <w:rPr>
          <w:b/>
        </w:rPr>
        <w:tab/>
        <w:t>Īpaši brīdinājumi un piesardzība lietošanā</w:t>
      </w:r>
    </w:p>
    <w:p w14:paraId="4DB7D56E" w14:textId="77777777" w:rsidR="00993DE7" w:rsidRPr="00543FC5" w:rsidRDefault="00993DE7" w:rsidP="00993DE7">
      <w:pPr>
        <w:tabs>
          <w:tab w:val="clear" w:pos="567"/>
        </w:tabs>
        <w:spacing w:line="240" w:lineRule="auto"/>
        <w:ind w:left="567" w:hanging="567"/>
      </w:pPr>
    </w:p>
    <w:p w14:paraId="2083AA37" w14:textId="77777777" w:rsidR="00C57E7F" w:rsidRDefault="001537D9" w:rsidP="00993DE7">
      <w:pPr>
        <w:tabs>
          <w:tab w:val="clear" w:pos="567"/>
        </w:tabs>
        <w:spacing w:line="240" w:lineRule="auto"/>
      </w:pPr>
      <w:r>
        <w:t>J</w:t>
      </w:r>
      <w:r w:rsidR="00C57E7F">
        <w:t>a simptomi</w:t>
      </w:r>
      <w:r>
        <w:t xml:space="preserve"> saglabājas ilgāk nekā trīs dienas, zāļu lietošana jāizvērtē atkārtoti</w:t>
      </w:r>
      <w:r w:rsidR="00C57E7F">
        <w:t xml:space="preserve">. </w:t>
      </w:r>
    </w:p>
    <w:p w14:paraId="7625BDDE" w14:textId="77777777" w:rsidR="00C57E7F" w:rsidRDefault="00C57E7F" w:rsidP="00993DE7">
      <w:pPr>
        <w:tabs>
          <w:tab w:val="clear" w:pos="567"/>
        </w:tabs>
        <w:spacing w:line="240" w:lineRule="auto"/>
      </w:pPr>
    </w:p>
    <w:p w14:paraId="20F1EF34" w14:textId="77777777" w:rsidR="00C57E7F" w:rsidRDefault="00993DE7" w:rsidP="00993DE7">
      <w:pPr>
        <w:tabs>
          <w:tab w:val="clear" w:pos="567"/>
        </w:tabs>
        <w:spacing w:line="240" w:lineRule="auto"/>
      </w:pPr>
      <w:r w:rsidRPr="00543FC5">
        <w:t>Lai izvairītos no pārdozēšanas, jāpārbauda, vai vienlaicīgi netiek lietotas citas zāles, kas satur paracetamolu</w:t>
      </w:r>
      <w:r w:rsidR="002E1D80">
        <w:t>, tostarp gan bezrecepšu, gan recepšu zāles</w:t>
      </w:r>
      <w:r w:rsidRPr="00543FC5">
        <w:t xml:space="preserve">. </w:t>
      </w:r>
    </w:p>
    <w:p w14:paraId="7C72539C" w14:textId="77777777" w:rsidR="00C57E7F" w:rsidRDefault="00C57E7F" w:rsidP="00993DE7">
      <w:pPr>
        <w:tabs>
          <w:tab w:val="clear" w:pos="567"/>
        </w:tabs>
        <w:spacing w:line="240" w:lineRule="auto"/>
      </w:pPr>
    </w:p>
    <w:p w14:paraId="48FE90F1" w14:textId="77777777" w:rsidR="00993DE7" w:rsidRDefault="00993DE7" w:rsidP="00993DE7">
      <w:pPr>
        <w:tabs>
          <w:tab w:val="clear" w:pos="567"/>
        </w:tabs>
        <w:spacing w:line="240" w:lineRule="auto"/>
      </w:pPr>
      <w:r w:rsidRPr="00543FC5">
        <w:t>Vienlaicīga acetilsalicilskābes vai nestero</w:t>
      </w:r>
      <w:r w:rsidR="00C80D2B" w:rsidRPr="00543FC5">
        <w:t>ī</w:t>
      </w:r>
      <w:r w:rsidRPr="00543FC5">
        <w:t xml:space="preserve">do </w:t>
      </w:r>
      <w:r w:rsidR="00557CC6" w:rsidRPr="00543FC5">
        <w:t>pret</w:t>
      </w:r>
      <w:r w:rsidR="00557CC6">
        <w:t>iekaisuma</w:t>
      </w:r>
      <w:r w:rsidR="00557CC6" w:rsidRPr="00543FC5">
        <w:t xml:space="preserve"> </w:t>
      </w:r>
      <w:r w:rsidRPr="00543FC5">
        <w:t>līdzekļu lietošana nav pamatota.</w:t>
      </w:r>
    </w:p>
    <w:p w14:paraId="690B3E65" w14:textId="77777777" w:rsidR="002E1D80" w:rsidRPr="00543FC5" w:rsidRDefault="002E1D80" w:rsidP="00993DE7">
      <w:pPr>
        <w:tabs>
          <w:tab w:val="clear" w:pos="567"/>
        </w:tabs>
        <w:spacing w:line="240" w:lineRule="auto"/>
      </w:pPr>
    </w:p>
    <w:p w14:paraId="6F65A884" w14:textId="77777777" w:rsidR="00597AE4" w:rsidRPr="00543FC5" w:rsidRDefault="00195110" w:rsidP="00993DE7">
      <w:pPr>
        <w:tabs>
          <w:tab w:val="clear" w:pos="567"/>
        </w:tabs>
        <w:spacing w:line="240" w:lineRule="auto"/>
      </w:pPr>
      <w:r>
        <w:t>P</w:t>
      </w:r>
      <w:r w:rsidR="00993DE7" w:rsidRPr="00543FC5">
        <w:t>aracetamol</w:t>
      </w:r>
      <w:r>
        <w:t>s</w:t>
      </w:r>
      <w:r w:rsidR="00993DE7" w:rsidRPr="00543FC5">
        <w:t xml:space="preserve"> </w:t>
      </w:r>
      <w:r>
        <w:t>jālieto ar piesardzību šādos gadījumos</w:t>
      </w:r>
      <w:r w:rsidR="00597AE4" w:rsidRPr="00543FC5">
        <w:t>:</w:t>
      </w:r>
    </w:p>
    <w:p w14:paraId="29FECB83" w14:textId="77777777" w:rsidR="00993DE7" w:rsidRDefault="00993DE7" w:rsidP="00597AE4">
      <w:pPr>
        <w:numPr>
          <w:ilvl w:val="0"/>
          <w:numId w:val="3"/>
        </w:numPr>
        <w:tabs>
          <w:tab w:val="clear" w:pos="567"/>
        </w:tabs>
        <w:spacing w:line="240" w:lineRule="auto"/>
      </w:pPr>
      <w:r w:rsidRPr="00543FC5">
        <w:t>Žilbēra sindromu (iedzimt</w:t>
      </w:r>
      <w:r w:rsidR="00A92723">
        <w:t>u</w:t>
      </w:r>
      <w:r w:rsidRPr="00543FC5">
        <w:t xml:space="preserve"> hiperbilirubinēmiju)</w:t>
      </w:r>
      <w:r w:rsidR="00195110">
        <w:t>;</w:t>
      </w:r>
      <w:r w:rsidRPr="00543FC5">
        <w:t xml:space="preserve"> </w:t>
      </w:r>
    </w:p>
    <w:p w14:paraId="2ED2284C" w14:textId="77777777" w:rsidR="00C57E7F" w:rsidRPr="00543FC5" w:rsidRDefault="00C57E7F" w:rsidP="00597AE4">
      <w:pPr>
        <w:numPr>
          <w:ilvl w:val="0"/>
          <w:numId w:val="3"/>
        </w:numPr>
        <w:tabs>
          <w:tab w:val="clear" w:pos="567"/>
        </w:tabs>
        <w:spacing w:line="240" w:lineRule="auto"/>
      </w:pPr>
      <w:r>
        <w:t>glikozes-6-fosfātdehidrogenāzes (G6</w:t>
      </w:r>
      <w:r w:rsidR="00966F7F">
        <w:t>F</w:t>
      </w:r>
      <w:r>
        <w:t xml:space="preserve">D) deficītu (var izraisīt hemolītisko anēmiju); </w:t>
      </w:r>
    </w:p>
    <w:p w14:paraId="4F60BEEE" w14:textId="77777777" w:rsidR="00597AE4" w:rsidRPr="00543FC5" w:rsidRDefault="00067C6A" w:rsidP="00597AE4">
      <w:pPr>
        <w:numPr>
          <w:ilvl w:val="0"/>
          <w:numId w:val="3"/>
        </w:numPr>
        <w:tabs>
          <w:tab w:val="clear" w:pos="567"/>
        </w:tabs>
        <w:spacing w:line="240" w:lineRule="auto"/>
      </w:pPr>
      <w:r w:rsidRPr="00543FC5">
        <w:t xml:space="preserve">smagu nieru </w:t>
      </w:r>
      <w:r w:rsidR="00C649E2" w:rsidRPr="00543FC5">
        <w:t>mazspēju</w:t>
      </w:r>
      <w:r w:rsidR="00195110">
        <w:t>;</w:t>
      </w:r>
    </w:p>
    <w:p w14:paraId="4D8989B3" w14:textId="77777777" w:rsidR="00FC3167" w:rsidRPr="003A137C" w:rsidRDefault="001103BC" w:rsidP="001103BC">
      <w:pPr>
        <w:numPr>
          <w:ilvl w:val="0"/>
          <w:numId w:val="3"/>
        </w:numPr>
        <w:tabs>
          <w:tab w:val="clear" w:pos="567"/>
        </w:tabs>
        <w:spacing w:line="240" w:lineRule="auto"/>
        <w:rPr>
          <w:sz w:val="24"/>
          <w:szCs w:val="24"/>
          <w:lang w:eastAsia="en-GB"/>
        </w:rPr>
      </w:pPr>
      <w:r w:rsidRPr="003A137C">
        <w:rPr>
          <w:szCs w:val="22"/>
          <w:lang w:eastAsia="en-GB"/>
        </w:rPr>
        <w:t>ārstēšanās laikā nav ieteicams lietot alkoholu</w:t>
      </w:r>
      <w:r w:rsidR="00195110">
        <w:t>;</w:t>
      </w:r>
    </w:p>
    <w:p w14:paraId="30747EAE" w14:textId="77777777" w:rsidR="00C649E2" w:rsidRPr="00543FC5" w:rsidRDefault="00FC3167" w:rsidP="00597AE4">
      <w:pPr>
        <w:numPr>
          <w:ilvl w:val="0"/>
          <w:numId w:val="3"/>
        </w:numPr>
        <w:tabs>
          <w:tab w:val="clear" w:pos="567"/>
        </w:tabs>
        <w:spacing w:line="240" w:lineRule="auto"/>
      </w:pPr>
      <w:r w:rsidRPr="00543FC5">
        <w:t>anoreksij</w:t>
      </w:r>
      <w:r w:rsidR="00465D2B" w:rsidRPr="00543FC5">
        <w:t>u</w:t>
      </w:r>
      <w:r w:rsidRPr="00543FC5">
        <w:t>, bulīmij</w:t>
      </w:r>
      <w:r w:rsidR="00465D2B" w:rsidRPr="00543FC5">
        <w:t>u</w:t>
      </w:r>
      <w:r w:rsidRPr="00543FC5">
        <w:t>, kaheksij</w:t>
      </w:r>
      <w:r w:rsidR="00465D2B" w:rsidRPr="00543FC5">
        <w:t>u</w:t>
      </w:r>
      <w:r w:rsidRPr="00543FC5">
        <w:t xml:space="preserve"> vai </w:t>
      </w:r>
      <w:r w:rsidR="00A92723">
        <w:t xml:space="preserve">hroniskiem uztura uzņemšanas traucējumiem </w:t>
      </w:r>
      <w:r w:rsidRPr="00C57E7F">
        <w:t>(mazas aknu glutationa rezerves)</w:t>
      </w:r>
      <w:r w:rsidR="00195110">
        <w:t>;</w:t>
      </w:r>
    </w:p>
    <w:p w14:paraId="002CAD36" w14:textId="77777777" w:rsidR="00E4628D" w:rsidRDefault="00FC3167" w:rsidP="00597AE4">
      <w:pPr>
        <w:numPr>
          <w:ilvl w:val="0"/>
          <w:numId w:val="3"/>
        </w:numPr>
        <w:tabs>
          <w:tab w:val="clear" w:pos="567"/>
        </w:tabs>
        <w:spacing w:line="240" w:lineRule="auto"/>
      </w:pPr>
      <w:r w:rsidRPr="00543FC5">
        <w:lastRenderedPageBreak/>
        <w:t>dehidratācij</w:t>
      </w:r>
      <w:r w:rsidR="00465D2B" w:rsidRPr="00543FC5">
        <w:t>u</w:t>
      </w:r>
      <w:r w:rsidRPr="00543FC5">
        <w:t>, hipovolēmij</w:t>
      </w:r>
      <w:r w:rsidR="00465D2B" w:rsidRPr="00543FC5">
        <w:t>u</w:t>
      </w:r>
      <w:r w:rsidR="00195110">
        <w:t>.</w:t>
      </w:r>
      <w:r w:rsidR="00E4628D">
        <w:t xml:space="preserve"> </w:t>
      </w:r>
    </w:p>
    <w:p w14:paraId="4CFD957B" w14:textId="77777777" w:rsidR="001103BC" w:rsidRDefault="001103BC" w:rsidP="001103BC">
      <w:pPr>
        <w:tabs>
          <w:tab w:val="clear" w:pos="567"/>
        </w:tabs>
        <w:spacing w:line="240" w:lineRule="auto"/>
        <w:rPr>
          <w:sz w:val="24"/>
          <w:szCs w:val="24"/>
          <w:lang w:eastAsia="en-GB"/>
        </w:rPr>
      </w:pPr>
    </w:p>
    <w:p w14:paraId="375C779D" w14:textId="77777777" w:rsidR="001103BC" w:rsidRPr="003A137C" w:rsidRDefault="001103BC" w:rsidP="003A137C">
      <w:pPr>
        <w:tabs>
          <w:tab w:val="clear" w:pos="567"/>
        </w:tabs>
        <w:spacing w:line="240" w:lineRule="auto"/>
        <w:rPr>
          <w:szCs w:val="22"/>
          <w:lang w:eastAsia="en-GB"/>
        </w:rPr>
      </w:pPr>
      <w:r w:rsidRPr="003A137C">
        <w:rPr>
          <w:szCs w:val="22"/>
          <w:lang w:eastAsia="en-GB"/>
        </w:rPr>
        <w:t>Ja pretsāpju līdzekļus lieto ilgstoši (&gt;3 mēnešus) pacientiem ar hroniskām galvassāpēm, lietojot ik pēc divām dienām vai biežāk, galvassāpes var attīstīties vai pas</w:t>
      </w:r>
      <w:r w:rsidR="00FE5843">
        <w:rPr>
          <w:szCs w:val="22"/>
          <w:lang w:eastAsia="en-GB"/>
        </w:rPr>
        <w:t>tiprināties</w:t>
      </w:r>
      <w:r w:rsidRPr="003A137C">
        <w:rPr>
          <w:szCs w:val="22"/>
          <w:lang w:eastAsia="en-GB"/>
        </w:rPr>
        <w:t xml:space="preserve">. Galvassāpes, ko izraisa pārmērīga pretsāpju līdzekļu lietošana </w:t>
      </w:r>
      <w:r w:rsidRPr="003A137C">
        <w:rPr>
          <w:i/>
          <w:iCs/>
          <w:szCs w:val="22"/>
          <w:lang w:eastAsia="en-GB"/>
        </w:rPr>
        <w:t>(MOH — Medication-Overuse Headache</w:t>
      </w:r>
      <w:r w:rsidRPr="003A137C">
        <w:rPr>
          <w:szCs w:val="22"/>
          <w:lang w:eastAsia="en-GB"/>
        </w:rPr>
        <w:t xml:space="preserve">), nevajadzētu ārstēt, palielinot devu. Šādos gadījumos, konsultējoties ar ārstu, pretsāpju līdzekļu lietošana jāpārtrauc. </w:t>
      </w:r>
    </w:p>
    <w:p w14:paraId="7165816C" w14:textId="77777777" w:rsidR="00993DE7" w:rsidRDefault="00993DE7" w:rsidP="00993DE7">
      <w:pPr>
        <w:tabs>
          <w:tab w:val="clear" w:pos="567"/>
        </w:tabs>
        <w:spacing w:line="240" w:lineRule="auto"/>
      </w:pPr>
    </w:p>
    <w:p w14:paraId="5E22FFB3" w14:textId="77777777" w:rsidR="00E4628D" w:rsidRDefault="00E4628D" w:rsidP="00993DE7">
      <w:pPr>
        <w:tabs>
          <w:tab w:val="clear" w:pos="567"/>
        </w:tabs>
        <w:spacing w:line="240" w:lineRule="auto"/>
      </w:pPr>
      <w:r>
        <w:t xml:space="preserve">Ja rodas akūts hepatīts, šo zāļu lietošana ir jāpārtrauc. </w:t>
      </w:r>
      <w:r w:rsidR="00BC6B64">
        <w:t xml:space="preserve">Netīša pārdozēšana var izraisīt smagus aknu bojājumus </w:t>
      </w:r>
      <w:r w:rsidR="00DA0CD7">
        <w:t>un nāvi.</w:t>
      </w:r>
    </w:p>
    <w:p w14:paraId="7FB84C6B" w14:textId="77777777" w:rsidR="00E4628D" w:rsidRPr="00543FC5" w:rsidRDefault="00E4628D" w:rsidP="00993DE7">
      <w:pPr>
        <w:tabs>
          <w:tab w:val="clear" w:pos="567"/>
        </w:tabs>
        <w:spacing w:line="240" w:lineRule="auto"/>
      </w:pPr>
    </w:p>
    <w:p w14:paraId="5C588F45" w14:textId="77777777" w:rsidR="004B069E" w:rsidRDefault="004B069E" w:rsidP="00993DE7">
      <w:pPr>
        <w:tabs>
          <w:tab w:val="clear" w:pos="567"/>
        </w:tabs>
        <w:spacing w:line="240" w:lineRule="auto"/>
      </w:pPr>
      <w:r w:rsidRPr="00543FC5">
        <w:t>Nepārsniegt ieteicamo devu.</w:t>
      </w:r>
      <w:r w:rsidR="00E4628D">
        <w:t xml:space="preserve"> Paracetamola lietošana</w:t>
      </w:r>
      <w:r w:rsidR="001B7935">
        <w:t>, pārsniedzot</w:t>
      </w:r>
      <w:r w:rsidR="00E4628D">
        <w:t xml:space="preserve"> ieteikto</w:t>
      </w:r>
      <w:r w:rsidR="001B7935">
        <w:t xml:space="preserve"> devu</w:t>
      </w:r>
      <w:r w:rsidR="00E4628D">
        <w:t xml:space="preserve">, rada ļoti nopietna aknu bojājuma risku. Aknu bojājuma klīniskās izpausmes parasti </w:t>
      </w:r>
      <w:r w:rsidR="001B7935">
        <w:t>rodas</w:t>
      </w:r>
      <w:r w:rsidR="00E4628D">
        <w:t xml:space="preserve"> 1 </w:t>
      </w:r>
      <w:r w:rsidR="001A4E11">
        <w:t xml:space="preserve">- </w:t>
      </w:r>
      <w:r w:rsidR="00E4628D">
        <w:t xml:space="preserve">2 dienas pēc paracetamola pārdozēšanas. </w:t>
      </w:r>
      <w:r w:rsidR="00966F7F">
        <w:t xml:space="preserve">Izteiktākie </w:t>
      </w:r>
      <w:r w:rsidR="00E4628D">
        <w:t>aknu bojājuma simptomi parasti novērojami pēc 3 </w:t>
      </w:r>
      <w:r w:rsidR="001A4E11">
        <w:t>-</w:t>
      </w:r>
      <w:r w:rsidR="00E4628D">
        <w:t xml:space="preserve"> 4 dienām. Cik ātri vien iespējams, jāsāk terapija ar antidotu. </w:t>
      </w:r>
    </w:p>
    <w:p w14:paraId="4C7D2135" w14:textId="77777777" w:rsidR="00E4628D" w:rsidRDefault="00E4628D" w:rsidP="00993DE7">
      <w:pPr>
        <w:tabs>
          <w:tab w:val="clear" w:pos="567"/>
        </w:tabs>
        <w:spacing w:line="240" w:lineRule="auto"/>
      </w:pPr>
      <w:r w:rsidRPr="00C57E7F">
        <w:t>EFFERALGAN</w:t>
      </w:r>
      <w:r w:rsidR="001B7935">
        <w:t> </w:t>
      </w:r>
      <w:r w:rsidRPr="00C57E7F">
        <w:t>C</w:t>
      </w:r>
      <w:r>
        <w:t xml:space="preserve"> piesardzīgi jālieto pacientiem ar dzelzs metabolisma traucējumiem, noslieci uz nierakmeņu veidošanos vai glikozes-6-fosfātdehidrogenāzes deficītu. </w:t>
      </w:r>
    </w:p>
    <w:p w14:paraId="776FD19B" w14:textId="77777777" w:rsidR="00E364E2" w:rsidRDefault="00E364E2" w:rsidP="00993DE7">
      <w:pPr>
        <w:tabs>
          <w:tab w:val="clear" w:pos="567"/>
        </w:tabs>
        <w:spacing w:line="240" w:lineRule="auto"/>
      </w:pPr>
    </w:p>
    <w:p w14:paraId="17C921F8" w14:textId="77777777" w:rsidR="00E4628D" w:rsidRDefault="00E364E2" w:rsidP="00E364E2">
      <w:pPr>
        <w:numPr>
          <w:ilvl w:val="12"/>
          <w:numId w:val="0"/>
        </w:numPr>
        <w:tabs>
          <w:tab w:val="clear" w:pos="567"/>
        </w:tabs>
        <w:spacing w:line="240" w:lineRule="auto"/>
        <w:rPr>
          <w:noProof/>
          <w:szCs w:val="22"/>
        </w:rPr>
      </w:pPr>
      <w:r w:rsidRPr="00696C8E">
        <w:rPr>
          <w:szCs w:val="22"/>
          <w:lang w:eastAsia="en-GB"/>
        </w:rPr>
        <w:t xml:space="preserve">Šīs zāles satur </w:t>
      </w:r>
      <w:r>
        <w:rPr>
          <w:szCs w:val="22"/>
          <w:lang w:eastAsia="en-GB"/>
        </w:rPr>
        <w:t>50</w:t>
      </w:r>
      <w:r w:rsidRPr="00696C8E">
        <w:rPr>
          <w:szCs w:val="22"/>
          <w:lang w:eastAsia="en-GB"/>
        </w:rPr>
        <w:t xml:space="preserve"> mg </w:t>
      </w:r>
      <w:r w:rsidRPr="008F789E">
        <w:rPr>
          <w:szCs w:val="22"/>
        </w:rPr>
        <w:t>nātrija benzoāt</w:t>
      </w:r>
      <w:r>
        <w:rPr>
          <w:szCs w:val="22"/>
        </w:rPr>
        <w:t>a</w:t>
      </w:r>
      <w:r w:rsidRPr="008F789E">
        <w:rPr>
          <w:szCs w:val="22"/>
        </w:rPr>
        <w:t xml:space="preserve"> </w:t>
      </w:r>
      <w:r w:rsidRPr="00696C8E">
        <w:rPr>
          <w:szCs w:val="22"/>
          <w:lang w:eastAsia="en-GB"/>
        </w:rPr>
        <w:t xml:space="preserve">katrā </w:t>
      </w:r>
      <w:r w:rsidR="00CE1E03">
        <w:t>putojošajā</w:t>
      </w:r>
      <w:r w:rsidR="00CE1E03">
        <w:rPr>
          <w:szCs w:val="22"/>
          <w:lang w:eastAsia="en-GB"/>
        </w:rPr>
        <w:t xml:space="preserve"> </w:t>
      </w:r>
      <w:r>
        <w:rPr>
          <w:szCs w:val="22"/>
          <w:lang w:eastAsia="en-GB"/>
        </w:rPr>
        <w:t>tabletē</w:t>
      </w:r>
      <w:r w:rsidRPr="00696C8E">
        <w:rPr>
          <w:szCs w:val="22"/>
          <w:lang w:eastAsia="en-GB"/>
        </w:rPr>
        <w:t>.</w:t>
      </w:r>
    </w:p>
    <w:p w14:paraId="1A28E7E9" w14:textId="77777777" w:rsidR="00E364E2" w:rsidRPr="0034245E" w:rsidRDefault="00E364E2" w:rsidP="0034245E">
      <w:pPr>
        <w:numPr>
          <w:ilvl w:val="12"/>
          <w:numId w:val="0"/>
        </w:numPr>
        <w:tabs>
          <w:tab w:val="clear" w:pos="567"/>
        </w:tabs>
        <w:spacing w:line="240" w:lineRule="auto"/>
        <w:rPr>
          <w:noProof/>
          <w:szCs w:val="22"/>
        </w:rPr>
      </w:pPr>
    </w:p>
    <w:p w14:paraId="2E558DB1" w14:textId="77777777" w:rsidR="00993DE7" w:rsidRPr="00543FC5" w:rsidRDefault="004A6DF9" w:rsidP="00993DE7">
      <w:pPr>
        <w:tabs>
          <w:tab w:val="clear" w:pos="567"/>
        </w:tabs>
        <w:spacing w:line="240" w:lineRule="auto"/>
      </w:pPr>
      <w:r w:rsidRPr="004A6DF9">
        <w:t xml:space="preserve">Šīs zāles satur </w:t>
      </w:r>
      <w:r>
        <w:t>330</w:t>
      </w:r>
      <w:r w:rsidRPr="004A6DF9">
        <w:t xml:space="preserve"> mg </w:t>
      </w:r>
      <w:r w:rsidR="00DE4EE8">
        <w:t xml:space="preserve">(14,3 mmol) </w:t>
      </w:r>
      <w:r w:rsidRPr="004A6DF9">
        <w:t xml:space="preserve">nātrija </w:t>
      </w:r>
      <w:r w:rsidR="00DE4EE8">
        <w:t>vienā putojošajā tabletē</w:t>
      </w:r>
      <w:r w:rsidRPr="004A6DF9">
        <w:t xml:space="preserve">, kas ir līdzvērtīgi </w:t>
      </w:r>
      <w:r>
        <w:t>16,5</w:t>
      </w:r>
      <w:r w:rsidRPr="004A6DF9">
        <w:t>% no PVO ieteiktās maksimālās 2 g nātrija devas pieaugušajiem</w:t>
      </w:r>
      <w:r>
        <w:t>.</w:t>
      </w:r>
    </w:p>
    <w:p w14:paraId="2329940C" w14:textId="77777777" w:rsidR="002E7E24" w:rsidRPr="002E7E24" w:rsidRDefault="002E7E24" w:rsidP="002E7E24">
      <w:pPr>
        <w:tabs>
          <w:tab w:val="clear" w:pos="567"/>
        </w:tabs>
        <w:spacing w:line="240" w:lineRule="auto"/>
        <w:rPr>
          <w:color w:val="000000"/>
          <w:szCs w:val="22"/>
          <w:lang w:val="sv-SE"/>
        </w:rPr>
      </w:pPr>
      <w:r w:rsidRPr="008F13FD">
        <w:rPr>
          <w:color w:val="000000"/>
          <w:szCs w:val="22"/>
          <w:lang w:val="sv-SE"/>
        </w:rPr>
        <w:t>Maksimāl</w:t>
      </w:r>
      <w:r w:rsidR="001C13C1" w:rsidRPr="008F13FD">
        <w:rPr>
          <w:color w:val="000000"/>
          <w:szCs w:val="22"/>
          <w:lang w:val="sv-SE"/>
        </w:rPr>
        <w:t>aj</w:t>
      </w:r>
      <w:r w:rsidRPr="008F13FD">
        <w:rPr>
          <w:color w:val="000000"/>
          <w:szCs w:val="22"/>
          <w:lang w:val="sv-SE"/>
        </w:rPr>
        <w:t>ā dienas dev</w:t>
      </w:r>
      <w:r w:rsidR="001C13C1" w:rsidRPr="006558A2">
        <w:rPr>
          <w:color w:val="000000"/>
          <w:szCs w:val="22"/>
          <w:lang w:val="sv-SE"/>
        </w:rPr>
        <w:t>ā</w:t>
      </w:r>
      <w:r w:rsidRPr="006558A2">
        <w:rPr>
          <w:color w:val="000000"/>
          <w:szCs w:val="22"/>
          <w:lang w:val="sv-SE"/>
        </w:rPr>
        <w:t xml:space="preserve"> </w:t>
      </w:r>
      <w:r w:rsidR="008D5416" w:rsidRPr="006558A2">
        <w:rPr>
          <w:color w:val="000000"/>
          <w:szCs w:val="22"/>
          <w:lang w:val="sv-SE"/>
        </w:rPr>
        <w:t>(</w:t>
      </w:r>
      <w:r w:rsidR="001C13C1" w:rsidRPr="006558A2">
        <w:rPr>
          <w:color w:val="000000"/>
          <w:szCs w:val="22"/>
          <w:lang w:val="sv-SE"/>
        </w:rPr>
        <w:t xml:space="preserve">9 </w:t>
      </w:r>
      <w:r w:rsidR="00836076" w:rsidRPr="00571F85">
        <w:rPr>
          <w:color w:val="000000"/>
          <w:szCs w:val="22"/>
          <w:lang w:val="sv-SE"/>
        </w:rPr>
        <w:t xml:space="preserve">putojošajās </w:t>
      </w:r>
      <w:r w:rsidR="001C13C1" w:rsidRPr="00571F85">
        <w:rPr>
          <w:color w:val="000000"/>
          <w:szCs w:val="22"/>
          <w:lang w:val="sv-SE"/>
        </w:rPr>
        <w:t>tabletēs</w:t>
      </w:r>
      <w:r w:rsidR="008D5416" w:rsidRPr="00571F85">
        <w:rPr>
          <w:color w:val="000000"/>
          <w:szCs w:val="22"/>
          <w:lang w:val="sv-SE"/>
        </w:rPr>
        <w:t>)</w:t>
      </w:r>
      <w:r w:rsidR="001C13C1" w:rsidRPr="00814626">
        <w:rPr>
          <w:color w:val="000000"/>
          <w:szCs w:val="22"/>
          <w:lang w:val="sv-SE"/>
        </w:rPr>
        <w:t xml:space="preserve"> </w:t>
      </w:r>
      <w:r w:rsidRPr="00814626">
        <w:rPr>
          <w:color w:val="000000"/>
          <w:szCs w:val="22"/>
          <w:lang w:val="sv-SE"/>
        </w:rPr>
        <w:t xml:space="preserve">ir aptuveni </w:t>
      </w:r>
      <w:r w:rsidR="00B10973" w:rsidRPr="00814626">
        <w:rPr>
          <w:color w:val="000000"/>
          <w:szCs w:val="22"/>
          <w:lang w:val="sv-SE"/>
        </w:rPr>
        <w:t>149</w:t>
      </w:r>
      <w:r w:rsidRPr="008F13FD">
        <w:rPr>
          <w:color w:val="000000"/>
          <w:szCs w:val="22"/>
          <w:lang w:val="sv-SE"/>
        </w:rPr>
        <w:t xml:space="preserve">% no PVO ieteiktās </w:t>
      </w:r>
      <w:r w:rsidR="00F05029" w:rsidRPr="008F13FD">
        <w:rPr>
          <w:color w:val="000000"/>
          <w:szCs w:val="22"/>
          <w:lang w:val="sv-SE"/>
        </w:rPr>
        <w:t xml:space="preserve">maksimālās 2 g nātrija devas </w:t>
      </w:r>
      <w:r w:rsidRPr="008F13FD">
        <w:rPr>
          <w:color w:val="000000"/>
          <w:szCs w:val="22"/>
          <w:lang w:val="sv-SE"/>
        </w:rPr>
        <w:t>pieaugušajiem un ir uzskatām</w:t>
      </w:r>
      <w:r w:rsidRPr="006558A2">
        <w:rPr>
          <w:color w:val="000000"/>
          <w:szCs w:val="22"/>
          <w:lang w:val="sv-SE"/>
        </w:rPr>
        <w:t>s, ka šīs zāles ir ar “lielu” nātrija daudzumu.</w:t>
      </w:r>
      <w:r w:rsidRPr="006558A2">
        <w:rPr>
          <w:noProof/>
          <w:szCs w:val="22"/>
          <w:lang w:val="sv-SE"/>
        </w:rPr>
        <w:t xml:space="preserve"> Tas jāņem vērā pacientiem ar kontrolētu nātrija diētu</w:t>
      </w:r>
      <w:r w:rsidRPr="008F13FD">
        <w:rPr>
          <w:color w:val="000000"/>
          <w:szCs w:val="22"/>
          <w:lang w:val="sv-SE"/>
        </w:rPr>
        <w:t>.</w:t>
      </w:r>
    </w:p>
    <w:p w14:paraId="0D21548C" w14:textId="77777777" w:rsidR="00993DE7" w:rsidRPr="00543FC5" w:rsidRDefault="00993DE7" w:rsidP="00993DE7">
      <w:pPr>
        <w:tabs>
          <w:tab w:val="clear" w:pos="567"/>
        </w:tabs>
        <w:spacing w:line="240" w:lineRule="auto"/>
      </w:pPr>
    </w:p>
    <w:p w14:paraId="52B53D93" w14:textId="77777777" w:rsidR="0072029B" w:rsidRDefault="00993DE7" w:rsidP="00151CEF">
      <w:pPr>
        <w:tabs>
          <w:tab w:val="clear" w:pos="567"/>
        </w:tabs>
        <w:autoSpaceDE w:val="0"/>
        <w:autoSpaceDN w:val="0"/>
        <w:adjustRightInd w:val="0"/>
        <w:spacing w:line="240" w:lineRule="auto"/>
        <w:jc w:val="both"/>
        <w:rPr>
          <w:szCs w:val="22"/>
          <w:lang w:eastAsia="en-GB"/>
        </w:rPr>
      </w:pPr>
      <w:r w:rsidRPr="00543FC5">
        <w:t>Šīs zāles satur</w:t>
      </w:r>
      <w:r w:rsidR="00151CEF" w:rsidRPr="00696C8E">
        <w:rPr>
          <w:szCs w:val="22"/>
          <w:lang w:eastAsia="en-GB"/>
        </w:rPr>
        <w:t xml:space="preserve"> </w:t>
      </w:r>
      <w:r w:rsidR="00151CEF">
        <w:rPr>
          <w:szCs w:val="22"/>
          <w:lang w:eastAsia="en-GB"/>
        </w:rPr>
        <w:t>300</w:t>
      </w:r>
      <w:r w:rsidR="00151CEF" w:rsidRPr="00696C8E">
        <w:rPr>
          <w:szCs w:val="22"/>
          <w:lang w:eastAsia="en-GB"/>
        </w:rPr>
        <w:t xml:space="preserve"> mg </w:t>
      </w:r>
      <w:r w:rsidR="00465D2B" w:rsidRPr="00543FC5">
        <w:t>sorbīt</w:t>
      </w:r>
      <w:r w:rsidR="00151CEF">
        <w:t>a</w:t>
      </w:r>
      <w:r w:rsidR="001B7935">
        <w:t xml:space="preserve"> (E420)</w:t>
      </w:r>
      <w:r w:rsidR="00151CEF">
        <w:t xml:space="preserve"> </w:t>
      </w:r>
      <w:r w:rsidR="00151CEF" w:rsidRPr="00696C8E">
        <w:rPr>
          <w:szCs w:val="22"/>
          <w:lang w:eastAsia="en-GB"/>
        </w:rPr>
        <w:t>katrā</w:t>
      </w:r>
      <w:r w:rsidR="00151CEF">
        <w:rPr>
          <w:szCs w:val="22"/>
          <w:lang w:eastAsia="en-GB"/>
        </w:rPr>
        <w:t xml:space="preserve"> </w:t>
      </w:r>
      <w:r w:rsidR="00151CEF">
        <w:t>putojošajā</w:t>
      </w:r>
      <w:r w:rsidR="00151CEF" w:rsidRPr="00696C8E">
        <w:rPr>
          <w:szCs w:val="22"/>
          <w:lang w:eastAsia="en-GB"/>
        </w:rPr>
        <w:t xml:space="preserve"> </w:t>
      </w:r>
      <w:r w:rsidR="00151CEF">
        <w:rPr>
          <w:szCs w:val="22"/>
          <w:lang w:eastAsia="en-GB"/>
        </w:rPr>
        <w:t>tabletē</w:t>
      </w:r>
      <w:r w:rsidRPr="00543FC5">
        <w:t xml:space="preserve">. </w:t>
      </w:r>
      <w:r w:rsidR="00151CEF" w:rsidRPr="0034245E">
        <w:rPr>
          <w:szCs w:val="22"/>
          <w:lang w:eastAsia="en-GB"/>
        </w:rPr>
        <w:t>Jāņem vērā papildu ietekme no vienlaicīgi lietotiem</w:t>
      </w:r>
      <w:r w:rsidR="00151CEF">
        <w:rPr>
          <w:szCs w:val="22"/>
          <w:lang w:eastAsia="en-GB"/>
        </w:rPr>
        <w:t xml:space="preserve"> </w:t>
      </w:r>
      <w:r w:rsidR="00151CEF" w:rsidRPr="0034245E">
        <w:rPr>
          <w:szCs w:val="22"/>
          <w:lang w:eastAsia="en-GB"/>
        </w:rPr>
        <w:t>sorbītu (vai fruktozi) saturošiem produktiem un sorbīta</w:t>
      </w:r>
      <w:r w:rsidR="00151CEF">
        <w:rPr>
          <w:szCs w:val="22"/>
          <w:lang w:eastAsia="en-GB"/>
        </w:rPr>
        <w:t xml:space="preserve"> </w:t>
      </w:r>
      <w:r w:rsidR="00151CEF" w:rsidRPr="0034245E">
        <w:rPr>
          <w:szCs w:val="22"/>
          <w:lang w:eastAsia="en-GB"/>
        </w:rPr>
        <w:t>(vai fruktozes) uzņemšanas ar uzturu.</w:t>
      </w:r>
      <w:r w:rsidR="00151CEF">
        <w:rPr>
          <w:szCs w:val="22"/>
          <w:lang w:eastAsia="en-GB"/>
        </w:rPr>
        <w:t xml:space="preserve"> </w:t>
      </w:r>
      <w:r w:rsidR="00151CEF" w:rsidRPr="0034245E">
        <w:rPr>
          <w:szCs w:val="22"/>
          <w:lang w:eastAsia="en-GB"/>
        </w:rPr>
        <w:t>Sorbīta daudzums iekšķīgi lietojamās zālēs var ietekmēt</w:t>
      </w:r>
      <w:r w:rsidR="00151CEF">
        <w:rPr>
          <w:szCs w:val="22"/>
          <w:lang w:eastAsia="en-GB"/>
        </w:rPr>
        <w:t xml:space="preserve"> </w:t>
      </w:r>
      <w:r w:rsidR="00151CEF" w:rsidRPr="0034245E">
        <w:rPr>
          <w:szCs w:val="22"/>
          <w:lang w:eastAsia="en-GB"/>
        </w:rPr>
        <w:t>citu vienlaicīgi iekšķīgi lietotu zāļu biopieejamību.</w:t>
      </w:r>
    </w:p>
    <w:p w14:paraId="0E080B85" w14:textId="77777777" w:rsidR="00F36713" w:rsidRDefault="00E364E2" w:rsidP="0034245E">
      <w:pPr>
        <w:tabs>
          <w:tab w:val="clear" w:pos="567"/>
        </w:tabs>
        <w:autoSpaceDE w:val="0"/>
        <w:autoSpaceDN w:val="0"/>
        <w:adjustRightInd w:val="0"/>
        <w:spacing w:line="240" w:lineRule="auto"/>
        <w:jc w:val="both"/>
      </w:pPr>
      <w:r>
        <w:t xml:space="preserve"> </w:t>
      </w:r>
      <w:r w:rsidR="00F36713" w:rsidRPr="00F36713">
        <w:t>Pacienti ar iedzimtu fruktozes nepanesību nedrīkst lietot/saņemt šīs zāles.</w:t>
      </w:r>
    </w:p>
    <w:p w14:paraId="65AE9BFF" w14:textId="77777777" w:rsidR="007A2BA1" w:rsidRPr="00543FC5" w:rsidRDefault="007A2BA1" w:rsidP="00993DE7">
      <w:pPr>
        <w:tabs>
          <w:tab w:val="clear" w:pos="567"/>
        </w:tabs>
        <w:spacing w:line="240" w:lineRule="auto"/>
        <w:ind w:left="567" w:hanging="567"/>
      </w:pPr>
    </w:p>
    <w:p w14:paraId="76A365B1" w14:textId="77777777" w:rsidR="00993DE7" w:rsidRPr="00543FC5" w:rsidRDefault="00993DE7" w:rsidP="00993DE7">
      <w:pPr>
        <w:tabs>
          <w:tab w:val="clear" w:pos="567"/>
        </w:tabs>
        <w:spacing w:line="240" w:lineRule="auto"/>
        <w:ind w:left="567" w:hanging="567"/>
      </w:pPr>
      <w:r w:rsidRPr="00543FC5">
        <w:rPr>
          <w:b/>
        </w:rPr>
        <w:t>4.5</w:t>
      </w:r>
      <w:r w:rsidR="00FF3E04">
        <w:rPr>
          <w:b/>
        </w:rPr>
        <w:t>.</w:t>
      </w:r>
      <w:r w:rsidRPr="00543FC5">
        <w:rPr>
          <w:b/>
        </w:rPr>
        <w:tab/>
        <w:t>Mijiedarbība ar citām zālēm un citi mijiedarbības veidi</w:t>
      </w:r>
    </w:p>
    <w:p w14:paraId="75813241" w14:textId="77777777" w:rsidR="00993DE7" w:rsidRPr="00543FC5" w:rsidRDefault="00993DE7" w:rsidP="00993DE7">
      <w:pPr>
        <w:tabs>
          <w:tab w:val="clear" w:pos="567"/>
        </w:tabs>
        <w:spacing w:line="240" w:lineRule="auto"/>
        <w:ind w:left="567" w:hanging="567"/>
      </w:pPr>
    </w:p>
    <w:p w14:paraId="7871EAA9" w14:textId="77777777" w:rsidR="00E4628D" w:rsidRDefault="00E4628D" w:rsidP="00993DE7">
      <w:pPr>
        <w:tabs>
          <w:tab w:val="clear" w:pos="567"/>
        </w:tabs>
        <w:spacing w:line="240" w:lineRule="auto"/>
      </w:pPr>
      <w:r>
        <w:t xml:space="preserve">Lietošana vienlaikus ar fenitoīnu var samazināt paracetamola efektivitāti un palielināt hepatotoksicitātes risku. Pacientiem, </w:t>
      </w:r>
      <w:r w:rsidR="001A4E11">
        <w:t xml:space="preserve">kuri </w:t>
      </w:r>
      <w:r>
        <w:t>lieto fenitoīnu, jāizvairās no lielām paracetamola devām</w:t>
      </w:r>
      <w:r w:rsidR="001A4E11">
        <w:t xml:space="preserve"> un/vai ilgstošas tā lietošanas</w:t>
      </w:r>
      <w:r>
        <w:t xml:space="preserve">. Jānovēro, vai pacientiem nerodas hepatotoksicitātes izpausmes. </w:t>
      </w:r>
    </w:p>
    <w:p w14:paraId="454449C2" w14:textId="77777777" w:rsidR="00E4628D" w:rsidRDefault="00E4628D" w:rsidP="00993DE7">
      <w:pPr>
        <w:tabs>
          <w:tab w:val="clear" w:pos="567"/>
        </w:tabs>
        <w:spacing w:line="240" w:lineRule="auto"/>
      </w:pPr>
    </w:p>
    <w:p w14:paraId="67CE74C3" w14:textId="77777777" w:rsidR="00993DE7" w:rsidRDefault="001B7935" w:rsidP="001B7935">
      <w:pPr>
        <w:tabs>
          <w:tab w:val="clear" w:pos="567"/>
        </w:tabs>
        <w:spacing w:line="240" w:lineRule="auto"/>
      </w:pPr>
      <w:r>
        <w:rPr>
          <w:i/>
        </w:rPr>
        <w:t>Enzīmus inducējoši savienojumi</w:t>
      </w:r>
      <w:r>
        <w:t>: paracetamolu lietojot vienlaikus ar enzīmus inducējošiem savienojumiem, jāievēro piesardzība. Šādu savienojumu piemēri ir barbiturāti, izoniazīds, karbamazepīns, rifampīns un et</w:t>
      </w:r>
      <w:r w:rsidR="00557CC6">
        <w:t>ilspirts</w:t>
      </w:r>
      <w:r>
        <w:t xml:space="preserve">. </w:t>
      </w:r>
    </w:p>
    <w:p w14:paraId="76623C25" w14:textId="77777777" w:rsidR="0059094A" w:rsidRDefault="0059094A" w:rsidP="001B7935">
      <w:pPr>
        <w:tabs>
          <w:tab w:val="clear" w:pos="567"/>
        </w:tabs>
        <w:spacing w:line="240" w:lineRule="auto"/>
      </w:pPr>
    </w:p>
    <w:p w14:paraId="31AA5971" w14:textId="77777777" w:rsidR="0059094A" w:rsidRPr="00336D08" w:rsidRDefault="00DA0CD7" w:rsidP="001B7935">
      <w:pPr>
        <w:tabs>
          <w:tab w:val="clear" w:pos="567"/>
        </w:tabs>
        <w:spacing w:line="240" w:lineRule="auto"/>
      </w:pPr>
      <w:r w:rsidRPr="00336D08">
        <w:t xml:space="preserve">Antikoagulanti: vienlaicīga paracetamola lietošana ar kumarīniem, tostarp varfarīnu, var nedaudz izmainīt INR rādītājus. </w:t>
      </w:r>
      <w:r w:rsidR="007B5075" w:rsidRPr="00336D08">
        <w:t>Ilgstoši un regulāri lietojot paracetamolu vienlaicīgi ar perorāliem antikoagulantiem, var palielināties asiņošanas risks.</w:t>
      </w:r>
      <w:r w:rsidR="00910F95">
        <w:t xml:space="preserve"> </w:t>
      </w:r>
      <w:r w:rsidRPr="00336D08">
        <w:t>Šādā gadījumā jāveic INR rādītāju pastiprināta kontrole periodā, kad zāles tiek lietotas kopā un nedēļu pēc paracetamola terapijas pārtraukšanas.</w:t>
      </w:r>
    </w:p>
    <w:p w14:paraId="6F362395" w14:textId="77777777" w:rsidR="00993DE7" w:rsidRPr="00336D08" w:rsidRDefault="00993DE7" w:rsidP="00993DE7">
      <w:pPr>
        <w:tabs>
          <w:tab w:val="clear" w:pos="567"/>
        </w:tabs>
        <w:spacing w:line="240" w:lineRule="auto"/>
      </w:pPr>
    </w:p>
    <w:p w14:paraId="0AFFFBAD" w14:textId="77777777" w:rsidR="00993DE7" w:rsidRPr="00543FC5" w:rsidRDefault="00C649E2" w:rsidP="00993DE7">
      <w:pPr>
        <w:tabs>
          <w:tab w:val="clear" w:pos="567"/>
        </w:tabs>
        <w:spacing w:line="240" w:lineRule="auto"/>
      </w:pPr>
      <w:r w:rsidRPr="00336D08">
        <w:t>Paracetamols var n</w:t>
      </w:r>
      <w:r w:rsidR="00993DE7" w:rsidRPr="00336D08">
        <w:t xml:space="preserve">ozīmīgi </w:t>
      </w:r>
      <w:r w:rsidR="001B7935" w:rsidRPr="00336D08">
        <w:t xml:space="preserve">palielināt </w:t>
      </w:r>
      <w:r w:rsidR="00993DE7" w:rsidRPr="00336D08">
        <w:t>hloramfenikola eliminācijas laik</w:t>
      </w:r>
      <w:r w:rsidRPr="00336D08">
        <w:t>u</w:t>
      </w:r>
      <w:r w:rsidR="00993DE7" w:rsidRPr="00336D08">
        <w:t xml:space="preserve"> un palielin</w:t>
      </w:r>
      <w:r w:rsidRPr="00336D08">
        <w:t>āt</w:t>
      </w:r>
      <w:r w:rsidR="00993DE7" w:rsidRPr="00336D08">
        <w:t xml:space="preserve"> toksicitāti, ja </w:t>
      </w:r>
      <w:r w:rsidRPr="00336D08">
        <w:t>to</w:t>
      </w:r>
      <w:r w:rsidRPr="00543FC5">
        <w:t xml:space="preserve"> </w:t>
      </w:r>
      <w:r w:rsidR="00993DE7" w:rsidRPr="00543FC5">
        <w:t>lieto kopā ar</w:t>
      </w:r>
      <w:r w:rsidRPr="00543FC5">
        <w:t xml:space="preserve"> hloramfenikolu</w:t>
      </w:r>
      <w:r w:rsidR="00993DE7" w:rsidRPr="00543FC5">
        <w:t>.</w:t>
      </w:r>
    </w:p>
    <w:p w14:paraId="1966C8BB" w14:textId="77777777" w:rsidR="00993DE7" w:rsidRPr="00543FC5" w:rsidRDefault="00993DE7" w:rsidP="00993DE7">
      <w:pPr>
        <w:tabs>
          <w:tab w:val="clear" w:pos="567"/>
        </w:tabs>
        <w:spacing w:line="240" w:lineRule="auto"/>
      </w:pPr>
    </w:p>
    <w:p w14:paraId="172F8035" w14:textId="77777777" w:rsidR="00C649E2" w:rsidRPr="00543FC5" w:rsidRDefault="00993DE7" w:rsidP="00336D08">
      <w:pPr>
        <w:tabs>
          <w:tab w:val="clear" w:pos="567"/>
        </w:tabs>
        <w:spacing w:line="240" w:lineRule="auto"/>
      </w:pPr>
      <w:r w:rsidRPr="00543FC5">
        <w:t xml:space="preserve">Var </w:t>
      </w:r>
      <w:r w:rsidR="0087609C">
        <w:t xml:space="preserve">palielināties </w:t>
      </w:r>
      <w:r w:rsidRPr="00543FC5">
        <w:t>neitropēnijas risks, ja paracetamolu un zidovudīnu (AZT) lieto vienlaikus. Tāpēc paracetamolu kopā ar zidovudīnu drīkst lietot tikai gadījumā, ja tā ordinējis ārsts.</w:t>
      </w:r>
    </w:p>
    <w:p w14:paraId="145635AB" w14:textId="77777777" w:rsidR="00C649E2" w:rsidRPr="00543FC5" w:rsidRDefault="00C649E2" w:rsidP="00C649E2">
      <w:pPr>
        <w:numPr>
          <w:ilvl w:val="12"/>
          <w:numId w:val="0"/>
        </w:numPr>
        <w:tabs>
          <w:tab w:val="clear" w:pos="567"/>
        </w:tabs>
        <w:spacing w:line="240" w:lineRule="auto"/>
      </w:pPr>
    </w:p>
    <w:p w14:paraId="4A558E61" w14:textId="77777777" w:rsidR="00E4628D" w:rsidRDefault="00E4628D" w:rsidP="00C649E2">
      <w:pPr>
        <w:tabs>
          <w:tab w:val="clear" w:pos="567"/>
        </w:tabs>
        <w:spacing w:line="240" w:lineRule="auto"/>
      </w:pPr>
      <w:r>
        <w:t>Probenecīds samazina paracetamola klīrensu gandrīz divas reizes, nomācot tā ko</w:t>
      </w:r>
      <w:r w:rsidR="001B7935">
        <w:t>n</w:t>
      </w:r>
      <w:r>
        <w:t>jug</w:t>
      </w:r>
      <w:r w:rsidR="001B7935">
        <w:t>āciju</w:t>
      </w:r>
      <w:r>
        <w:t xml:space="preserve"> ar glikuronskābi. </w:t>
      </w:r>
      <w:r w:rsidR="00752D7D">
        <w:t>Lietojot vienlaikus ar probenecīdu, jāapsver paracetamola deva</w:t>
      </w:r>
      <w:r w:rsidR="001A4E11">
        <w:t>s</w:t>
      </w:r>
      <w:r w:rsidR="00752D7D">
        <w:t xml:space="preserve"> samazināšana. </w:t>
      </w:r>
    </w:p>
    <w:p w14:paraId="4F43EDFD" w14:textId="77777777" w:rsidR="00752D7D" w:rsidRDefault="00752D7D" w:rsidP="00C649E2">
      <w:pPr>
        <w:tabs>
          <w:tab w:val="clear" w:pos="567"/>
        </w:tabs>
        <w:spacing w:line="240" w:lineRule="auto"/>
      </w:pPr>
    </w:p>
    <w:p w14:paraId="7C0DD913" w14:textId="77777777" w:rsidR="00752D7D" w:rsidRDefault="00752D7D" w:rsidP="00C649E2">
      <w:pPr>
        <w:tabs>
          <w:tab w:val="clear" w:pos="567"/>
        </w:tabs>
        <w:spacing w:line="240" w:lineRule="auto"/>
      </w:pPr>
      <w:r>
        <w:t>Salicilamīds var pa</w:t>
      </w:r>
      <w:r w:rsidR="001B7935">
        <w:t>lielināt</w:t>
      </w:r>
      <w:r>
        <w:t xml:space="preserve"> </w:t>
      </w:r>
      <w:r w:rsidR="001A4E11" w:rsidRPr="00255DCD">
        <w:t>paracetamola</w:t>
      </w:r>
      <w:r w:rsidR="001A4E11">
        <w:t xml:space="preserve"> eliminācijas pusperiodu</w:t>
      </w:r>
      <w:r>
        <w:t xml:space="preserve">. </w:t>
      </w:r>
    </w:p>
    <w:p w14:paraId="3A4DA9C2" w14:textId="77777777" w:rsidR="00E4628D" w:rsidRDefault="00E4628D" w:rsidP="00C649E2">
      <w:pPr>
        <w:tabs>
          <w:tab w:val="clear" w:pos="567"/>
        </w:tabs>
        <w:spacing w:line="240" w:lineRule="auto"/>
      </w:pPr>
    </w:p>
    <w:p w14:paraId="50765B0E" w14:textId="77777777" w:rsidR="00C649E2" w:rsidRPr="00543FC5" w:rsidRDefault="00C649E2" w:rsidP="00C649E2">
      <w:pPr>
        <w:tabs>
          <w:tab w:val="clear" w:pos="567"/>
        </w:tabs>
        <w:spacing w:line="240" w:lineRule="auto"/>
      </w:pPr>
      <w:r w:rsidRPr="00543FC5">
        <w:lastRenderedPageBreak/>
        <w:t xml:space="preserve">Paracetamola absorbciju </w:t>
      </w:r>
      <w:r w:rsidR="0087609C">
        <w:t xml:space="preserve">veicina </w:t>
      </w:r>
      <w:r w:rsidRPr="00543FC5">
        <w:t>metoklopramīds un domperidons.</w:t>
      </w:r>
    </w:p>
    <w:p w14:paraId="67901148" w14:textId="77777777" w:rsidR="00C649E2" w:rsidRPr="00543FC5" w:rsidRDefault="00C649E2" w:rsidP="00C649E2">
      <w:pPr>
        <w:tabs>
          <w:tab w:val="clear" w:pos="567"/>
        </w:tabs>
        <w:spacing w:line="240" w:lineRule="auto"/>
      </w:pPr>
    </w:p>
    <w:p w14:paraId="1CF3F843" w14:textId="77777777" w:rsidR="00993DE7" w:rsidRDefault="00C649E2" w:rsidP="00C649E2">
      <w:pPr>
        <w:tabs>
          <w:tab w:val="clear" w:pos="567"/>
        </w:tabs>
        <w:spacing w:line="240" w:lineRule="auto"/>
      </w:pPr>
      <w:r w:rsidRPr="00543FC5">
        <w:t>Paracetamola absorbciju palē</w:t>
      </w:r>
      <w:r w:rsidR="00752D7D">
        <w:t>n</w:t>
      </w:r>
      <w:r w:rsidRPr="00543FC5">
        <w:t xml:space="preserve">ina </w:t>
      </w:r>
      <w:r w:rsidR="000D02A5" w:rsidRPr="0035201A">
        <w:t>holestiramīns</w:t>
      </w:r>
      <w:r w:rsidR="000C6AF9" w:rsidRPr="00DE1D28">
        <w:t>.</w:t>
      </w:r>
    </w:p>
    <w:p w14:paraId="5687D48A" w14:textId="77777777" w:rsidR="00C05A42" w:rsidRDefault="00C05A42" w:rsidP="00C649E2">
      <w:pPr>
        <w:tabs>
          <w:tab w:val="clear" w:pos="567"/>
        </w:tabs>
        <w:spacing w:line="240" w:lineRule="auto"/>
      </w:pPr>
    </w:p>
    <w:p w14:paraId="33F1A6CC" w14:textId="77777777" w:rsidR="00C05A42" w:rsidRPr="00543FC5" w:rsidRDefault="00C05A42" w:rsidP="00C649E2">
      <w:pPr>
        <w:tabs>
          <w:tab w:val="clear" w:pos="567"/>
        </w:tabs>
        <w:spacing w:line="240" w:lineRule="auto"/>
      </w:pPr>
      <w:r>
        <w:rPr>
          <w:noProof/>
          <w:szCs w:val="22"/>
        </w:rPr>
        <w:t>Flukloksacilīns:</w:t>
      </w:r>
      <w:r>
        <w:t xml:space="preserve"> </w:t>
      </w:r>
      <w:r>
        <w:rPr>
          <w:noProof/>
          <w:szCs w:val="22"/>
        </w:rPr>
        <w:t xml:space="preserve">jāievēro piesardzība, </w:t>
      </w:r>
      <w:r w:rsidR="00C14B77">
        <w:rPr>
          <w:noProof/>
          <w:szCs w:val="22"/>
        </w:rPr>
        <w:t xml:space="preserve">nozīmējot </w:t>
      </w:r>
      <w:r>
        <w:rPr>
          <w:noProof/>
          <w:szCs w:val="22"/>
        </w:rPr>
        <w:t>flukloksacilīnu vienlaicīgi ar paracetamolu paaugstinātā metabolās acidozes ar lielu anjonu starpību (</w:t>
      </w:r>
      <w:r>
        <w:rPr>
          <w:i/>
          <w:noProof/>
          <w:szCs w:val="22"/>
        </w:rPr>
        <w:t>high anion gap metabolic acidosis</w:t>
      </w:r>
      <w:r>
        <w:rPr>
          <w:noProof/>
          <w:szCs w:val="22"/>
        </w:rPr>
        <w:t xml:space="preserve">, </w:t>
      </w:r>
      <w:r>
        <w:rPr>
          <w:i/>
          <w:noProof/>
          <w:szCs w:val="22"/>
        </w:rPr>
        <w:t>HAGMA</w:t>
      </w:r>
      <w:r>
        <w:rPr>
          <w:noProof/>
          <w:szCs w:val="22"/>
        </w:rPr>
        <w:t xml:space="preserve">) riska dēļ, jo īpaši pacientiem ar paaugstinātu glutationa deficīta riska faktoru, tādiem kā pacientiem ar smagiem nieru darbības traucējumiem, sepsi, nepietiekamu uzturu vai hronisku alkoholismu. Ieteicama rūpīga pacientu novērošana, lai atklātu skābju-bāzu līdzsvara traucējumu parādīšanos, proti, </w:t>
      </w:r>
      <w:r>
        <w:rPr>
          <w:i/>
          <w:noProof/>
          <w:szCs w:val="22"/>
        </w:rPr>
        <w:t>HAGMA</w:t>
      </w:r>
      <w:r>
        <w:rPr>
          <w:noProof/>
          <w:szCs w:val="22"/>
        </w:rPr>
        <w:t>, tostarp noteiktu 5-oksoprolīnu urīnā.</w:t>
      </w:r>
    </w:p>
    <w:p w14:paraId="5898B2D4" w14:textId="77777777" w:rsidR="00993DE7" w:rsidRPr="00543FC5" w:rsidRDefault="00993DE7" w:rsidP="00993DE7">
      <w:pPr>
        <w:tabs>
          <w:tab w:val="clear" w:pos="567"/>
        </w:tabs>
        <w:spacing w:line="240" w:lineRule="auto"/>
      </w:pPr>
    </w:p>
    <w:p w14:paraId="75115D3B" w14:textId="77777777" w:rsidR="0087609C" w:rsidRDefault="00993DE7" w:rsidP="00993DE7">
      <w:pPr>
        <w:tabs>
          <w:tab w:val="clear" w:pos="567"/>
        </w:tabs>
        <w:spacing w:line="240" w:lineRule="auto"/>
        <w:rPr>
          <w:b/>
          <w:i/>
        </w:rPr>
      </w:pPr>
      <w:r w:rsidRPr="00543FC5">
        <w:rPr>
          <w:i/>
        </w:rPr>
        <w:t>Ietekme uz laboratorisko izmeklējumu rezultātiem</w:t>
      </w:r>
    </w:p>
    <w:p w14:paraId="3632A80E" w14:textId="77777777" w:rsidR="00993DE7" w:rsidRPr="00543FC5" w:rsidRDefault="0087609C" w:rsidP="00993DE7">
      <w:pPr>
        <w:tabs>
          <w:tab w:val="clear" w:pos="567"/>
        </w:tabs>
        <w:spacing w:line="240" w:lineRule="auto"/>
      </w:pPr>
      <w:r>
        <w:t>P</w:t>
      </w:r>
      <w:r w:rsidR="00993DE7" w:rsidRPr="00543FC5">
        <w:t xml:space="preserve">aracetamola lietošana var traucēt urīnskābes noteikšanu asinīs ar </w:t>
      </w:r>
      <w:r w:rsidR="00B565B7" w:rsidRPr="009D32A9">
        <w:t>fosfovolframskābes</w:t>
      </w:r>
      <w:r w:rsidR="00993DE7" w:rsidRPr="00543FC5">
        <w:t xml:space="preserve"> metodi un glikozes noteikšanu asinīs ar glikozes oksidāzes-peroksidāzes metodi.</w:t>
      </w:r>
    </w:p>
    <w:p w14:paraId="5065F23C" w14:textId="77777777" w:rsidR="00993DE7" w:rsidRDefault="00993DE7" w:rsidP="00993DE7">
      <w:pPr>
        <w:tabs>
          <w:tab w:val="clear" w:pos="567"/>
        </w:tabs>
        <w:spacing w:line="240" w:lineRule="auto"/>
        <w:ind w:left="567" w:hanging="567"/>
      </w:pPr>
    </w:p>
    <w:p w14:paraId="720AB6C5" w14:textId="77777777" w:rsidR="00752D7D" w:rsidRDefault="00752D7D" w:rsidP="00543FC5">
      <w:pPr>
        <w:tabs>
          <w:tab w:val="clear" w:pos="567"/>
        </w:tabs>
        <w:spacing w:line="240" w:lineRule="auto"/>
      </w:pPr>
      <w:r w:rsidRPr="00543FC5">
        <w:rPr>
          <w:i/>
        </w:rPr>
        <w:t>Deferoksamīns</w:t>
      </w:r>
      <w:r>
        <w:t>: lielas C</w:t>
      </w:r>
      <w:r w:rsidR="001B7935">
        <w:t> </w:t>
      </w:r>
      <w:r>
        <w:t xml:space="preserve">vitamīna devas lietošana vienlaikus ar kompleksveidojošo līdzekli deferoksamīnu dzelzs daudzumu </w:t>
      </w:r>
      <w:r w:rsidR="001A4E11">
        <w:t xml:space="preserve">audos var palielināt </w:t>
      </w:r>
      <w:r>
        <w:t xml:space="preserve">līdz toksiskam līmenim un izraisīt sirds mazspēju. </w:t>
      </w:r>
    </w:p>
    <w:p w14:paraId="20128EA4" w14:textId="77777777" w:rsidR="00752D7D" w:rsidRPr="00543FC5" w:rsidRDefault="00752D7D" w:rsidP="00993DE7">
      <w:pPr>
        <w:tabs>
          <w:tab w:val="clear" w:pos="567"/>
        </w:tabs>
        <w:spacing w:line="240" w:lineRule="auto"/>
        <w:ind w:left="567" w:hanging="567"/>
      </w:pPr>
    </w:p>
    <w:p w14:paraId="02F6F2CA" w14:textId="77777777" w:rsidR="00993DE7" w:rsidRPr="00543FC5" w:rsidRDefault="00993DE7" w:rsidP="00993DE7">
      <w:pPr>
        <w:tabs>
          <w:tab w:val="clear" w:pos="567"/>
        </w:tabs>
        <w:spacing w:line="240" w:lineRule="auto"/>
        <w:ind w:left="567" w:hanging="567"/>
      </w:pPr>
      <w:r w:rsidRPr="00543FC5">
        <w:rPr>
          <w:b/>
        </w:rPr>
        <w:t>4.6</w:t>
      </w:r>
      <w:r w:rsidR="00FF3E04">
        <w:rPr>
          <w:b/>
        </w:rPr>
        <w:t>.</w:t>
      </w:r>
      <w:r w:rsidRPr="00543FC5">
        <w:rPr>
          <w:b/>
        </w:rPr>
        <w:tab/>
      </w:r>
      <w:r w:rsidR="00FF3E04">
        <w:rPr>
          <w:b/>
        </w:rPr>
        <w:t>Fertilitāte, g</w:t>
      </w:r>
      <w:r w:rsidRPr="00543FC5">
        <w:rPr>
          <w:b/>
        </w:rPr>
        <w:t xml:space="preserve">rūtniecība un </w:t>
      </w:r>
      <w:r w:rsidR="00FF3E04">
        <w:rPr>
          <w:b/>
        </w:rPr>
        <w:t>barošana ar krūti</w:t>
      </w:r>
    </w:p>
    <w:p w14:paraId="56CCCE41" w14:textId="77777777" w:rsidR="00217A31" w:rsidRPr="00543FC5" w:rsidRDefault="00217A31" w:rsidP="00993DE7">
      <w:pPr>
        <w:tabs>
          <w:tab w:val="clear" w:pos="567"/>
        </w:tabs>
        <w:spacing w:line="240" w:lineRule="auto"/>
        <w:ind w:left="567" w:hanging="567"/>
      </w:pPr>
    </w:p>
    <w:p w14:paraId="0A11672A" w14:textId="77777777" w:rsidR="00993DE7" w:rsidRPr="00543FC5" w:rsidRDefault="00993DE7" w:rsidP="00993DE7">
      <w:pPr>
        <w:tabs>
          <w:tab w:val="clear" w:pos="567"/>
        </w:tabs>
        <w:spacing w:line="240" w:lineRule="auto"/>
        <w:ind w:left="567" w:hanging="567"/>
        <w:rPr>
          <w:u w:val="single"/>
        </w:rPr>
      </w:pPr>
      <w:r w:rsidRPr="00543FC5">
        <w:rPr>
          <w:u w:val="single"/>
        </w:rPr>
        <w:t>Grūtniecība</w:t>
      </w:r>
    </w:p>
    <w:p w14:paraId="58AF6EAD" w14:textId="77777777" w:rsidR="002008D9" w:rsidRDefault="009B36AC" w:rsidP="00543FC5">
      <w:pPr>
        <w:tabs>
          <w:tab w:val="clear" w:pos="567"/>
        </w:tabs>
        <w:spacing w:line="240" w:lineRule="auto"/>
        <w:rPr>
          <w:szCs w:val="22"/>
        </w:rPr>
      </w:pPr>
      <w:r w:rsidRPr="009B36AC">
        <w:rPr>
          <w:szCs w:val="22"/>
        </w:rPr>
        <w:t xml:space="preserve">Liels daudzums datu par grūtniecēm neliecina ne par anomālijas izraisošu iedarbību, ne toksisku ietekmi uz augli/jaundzimušo. Epidemioloģisko pētījumu rezultāti par neiroloģisko attīstību bērniem, kuri </w:t>
      </w:r>
      <w:r w:rsidRPr="009B36AC">
        <w:rPr>
          <w:i/>
          <w:iCs/>
          <w:szCs w:val="22"/>
        </w:rPr>
        <w:t xml:space="preserve">in utero </w:t>
      </w:r>
      <w:r w:rsidRPr="009B36AC">
        <w:rPr>
          <w:szCs w:val="22"/>
        </w:rPr>
        <w:t xml:space="preserve">pakļauti paracetamola iedarbībai, nav viennozīmīgi. </w:t>
      </w:r>
    </w:p>
    <w:p w14:paraId="5D35DA6F" w14:textId="77777777" w:rsidR="009B36AC" w:rsidRPr="009B36AC" w:rsidRDefault="009B36AC" w:rsidP="00543FC5">
      <w:pPr>
        <w:tabs>
          <w:tab w:val="clear" w:pos="567"/>
        </w:tabs>
        <w:spacing w:line="240" w:lineRule="auto"/>
        <w:rPr>
          <w:szCs w:val="22"/>
        </w:rPr>
      </w:pPr>
      <w:r w:rsidRPr="009B36AC">
        <w:rPr>
          <w:szCs w:val="22"/>
        </w:rPr>
        <w:t>Ja klīniski nepieciešams, paracetamolu var lietot grūtniecības laikā, taču tas jālieto mazākajā efektīvajā devā iespējami īsāko laiku un iespējami retāk.</w:t>
      </w:r>
    </w:p>
    <w:p w14:paraId="7609AA44" w14:textId="77777777" w:rsidR="00993DE7" w:rsidRPr="00543FC5" w:rsidRDefault="00993DE7" w:rsidP="00993DE7">
      <w:pPr>
        <w:tabs>
          <w:tab w:val="clear" w:pos="567"/>
        </w:tabs>
        <w:spacing w:line="240" w:lineRule="auto"/>
      </w:pPr>
    </w:p>
    <w:p w14:paraId="6BD5D9A7" w14:textId="77777777" w:rsidR="00993DE7" w:rsidRPr="00543FC5" w:rsidRDefault="00FF3E04" w:rsidP="00993DE7">
      <w:pPr>
        <w:tabs>
          <w:tab w:val="clear" w:pos="567"/>
        </w:tabs>
        <w:spacing w:line="240" w:lineRule="auto"/>
        <w:rPr>
          <w:u w:val="single"/>
        </w:rPr>
      </w:pPr>
      <w:r>
        <w:rPr>
          <w:u w:val="single"/>
        </w:rPr>
        <w:t>Barošana ar krūti</w:t>
      </w:r>
    </w:p>
    <w:p w14:paraId="060BCBB1" w14:textId="77777777" w:rsidR="00752D7D" w:rsidRDefault="00752D7D" w:rsidP="00993DE7">
      <w:pPr>
        <w:tabs>
          <w:tab w:val="clear" w:pos="567"/>
        </w:tabs>
        <w:spacing w:line="240" w:lineRule="auto"/>
      </w:pPr>
      <w:r>
        <w:t xml:space="preserve">Pēc iekšķīgas lietošanas paracetamols nelielā daudzumā izdalās ar mātes pienu. Saņemti ziņojumi par izsitumu rašanos zīdaiņiem. </w:t>
      </w:r>
      <w:r w:rsidR="00DD63DA">
        <w:t xml:space="preserve">Tomēr </w:t>
      </w:r>
      <w:r>
        <w:t xml:space="preserve">paracetamolu drīkst lietot </w:t>
      </w:r>
      <w:r w:rsidR="00CC082D">
        <w:t xml:space="preserve">barošanas ar krūti </w:t>
      </w:r>
      <w:r>
        <w:t xml:space="preserve">periodā. </w:t>
      </w:r>
      <w:r w:rsidR="001B7935">
        <w:t>S</w:t>
      </w:r>
      <w:r>
        <w:t xml:space="preserve">ievietēm, kas baro bērnu ar krūti, lietojot Efferalgan C, jāievēro piesardzība. </w:t>
      </w:r>
    </w:p>
    <w:p w14:paraId="0D91E7B2" w14:textId="77777777" w:rsidR="00752D7D" w:rsidRDefault="00E55672" w:rsidP="00993DE7">
      <w:pPr>
        <w:tabs>
          <w:tab w:val="clear" w:pos="567"/>
        </w:tabs>
        <w:spacing w:line="240" w:lineRule="auto"/>
      </w:pPr>
      <w:r>
        <w:t xml:space="preserve">C vitamīns no mātes augļa asinīs nonāk ar aktīva transportmehānisma palīdzību. C vitamīns tiek izvadīts ar cilvēka pienu. </w:t>
      </w:r>
    </w:p>
    <w:p w14:paraId="31725974" w14:textId="77777777" w:rsidR="00E55672" w:rsidRDefault="00E55672" w:rsidP="00993DE7">
      <w:pPr>
        <w:tabs>
          <w:tab w:val="clear" w:pos="567"/>
        </w:tabs>
        <w:spacing w:line="240" w:lineRule="auto"/>
      </w:pPr>
    </w:p>
    <w:p w14:paraId="0ADE7D0D" w14:textId="77777777" w:rsidR="00993DE7" w:rsidRPr="00543FC5" w:rsidRDefault="00993DE7" w:rsidP="00993DE7">
      <w:pPr>
        <w:tabs>
          <w:tab w:val="clear" w:pos="567"/>
        </w:tabs>
        <w:spacing w:line="240" w:lineRule="auto"/>
        <w:ind w:left="567" w:hanging="567"/>
      </w:pPr>
    </w:p>
    <w:p w14:paraId="14702142" w14:textId="77777777" w:rsidR="00993DE7" w:rsidRPr="00543FC5" w:rsidRDefault="00993DE7" w:rsidP="00993DE7">
      <w:pPr>
        <w:tabs>
          <w:tab w:val="clear" w:pos="567"/>
        </w:tabs>
        <w:spacing w:line="240" w:lineRule="auto"/>
        <w:ind w:left="567" w:hanging="567"/>
      </w:pPr>
      <w:r w:rsidRPr="00543FC5">
        <w:rPr>
          <w:b/>
        </w:rPr>
        <w:t>4.7</w:t>
      </w:r>
      <w:r w:rsidR="00FF3E04">
        <w:rPr>
          <w:b/>
        </w:rPr>
        <w:t>.</w:t>
      </w:r>
      <w:r w:rsidRPr="00543FC5">
        <w:rPr>
          <w:b/>
        </w:rPr>
        <w:tab/>
        <w:t>Ietekme uz spēju vadīt transportlīdzekļus un apkalpot mehānismus</w:t>
      </w:r>
    </w:p>
    <w:p w14:paraId="2CB8AA08" w14:textId="77777777" w:rsidR="00993DE7" w:rsidRPr="00543FC5" w:rsidRDefault="00993DE7" w:rsidP="00993DE7">
      <w:pPr>
        <w:tabs>
          <w:tab w:val="clear" w:pos="567"/>
        </w:tabs>
        <w:spacing w:line="240" w:lineRule="auto"/>
        <w:ind w:left="567" w:hanging="567"/>
      </w:pPr>
    </w:p>
    <w:p w14:paraId="435FD291" w14:textId="77777777" w:rsidR="00993DE7" w:rsidRPr="00543FC5" w:rsidRDefault="00D02513" w:rsidP="00993DE7">
      <w:pPr>
        <w:tabs>
          <w:tab w:val="clear" w:pos="567"/>
        </w:tabs>
        <w:spacing w:line="240" w:lineRule="auto"/>
        <w:ind w:left="567" w:hanging="567"/>
      </w:pPr>
      <w:r w:rsidRPr="00D02513">
        <w:t>Ietekme uz spēju vadīt transportlīdzekļus un apkalpot mehānismus nav novērota</w:t>
      </w:r>
      <w:r>
        <w:t>.</w:t>
      </w:r>
    </w:p>
    <w:p w14:paraId="4E1DE076" w14:textId="77777777" w:rsidR="00993DE7" w:rsidRPr="00543FC5" w:rsidRDefault="00993DE7" w:rsidP="00993DE7">
      <w:pPr>
        <w:tabs>
          <w:tab w:val="clear" w:pos="567"/>
        </w:tabs>
        <w:spacing w:line="240" w:lineRule="auto"/>
        <w:ind w:left="567" w:hanging="567"/>
      </w:pPr>
    </w:p>
    <w:p w14:paraId="6B38FC43" w14:textId="77777777" w:rsidR="00993DE7" w:rsidRPr="00543FC5" w:rsidRDefault="00993DE7" w:rsidP="00993DE7">
      <w:pPr>
        <w:tabs>
          <w:tab w:val="clear" w:pos="567"/>
        </w:tabs>
        <w:spacing w:line="240" w:lineRule="auto"/>
        <w:ind w:left="567" w:hanging="567"/>
        <w:rPr>
          <w:b/>
        </w:rPr>
      </w:pPr>
      <w:r w:rsidRPr="00543FC5">
        <w:rPr>
          <w:b/>
        </w:rPr>
        <w:t>4.8</w:t>
      </w:r>
      <w:r w:rsidR="00FF3E04">
        <w:rPr>
          <w:b/>
        </w:rPr>
        <w:t>.</w:t>
      </w:r>
      <w:r w:rsidRPr="00543FC5">
        <w:rPr>
          <w:b/>
        </w:rPr>
        <w:tab/>
        <w:t>Nevēlamās blakusparādības</w:t>
      </w:r>
    </w:p>
    <w:p w14:paraId="043277AD" w14:textId="77777777" w:rsidR="00993DE7" w:rsidRPr="00543FC5" w:rsidRDefault="00993DE7" w:rsidP="00993DE7">
      <w:pPr>
        <w:tabs>
          <w:tab w:val="clear" w:pos="567"/>
        </w:tabs>
        <w:spacing w:line="240" w:lineRule="auto"/>
        <w:ind w:left="567" w:hanging="567"/>
      </w:pPr>
    </w:p>
    <w:p w14:paraId="1F25D987" w14:textId="77777777" w:rsidR="00993DE7" w:rsidRPr="00543FC5" w:rsidRDefault="00993DE7" w:rsidP="00993DE7">
      <w:pPr>
        <w:tabs>
          <w:tab w:val="clear" w:pos="567"/>
        </w:tabs>
        <w:spacing w:line="240" w:lineRule="auto"/>
        <w:ind w:left="567" w:hanging="567"/>
        <w:rPr>
          <w:b/>
        </w:rPr>
      </w:pPr>
      <w:r w:rsidRPr="00543FC5">
        <w:rPr>
          <w:b/>
        </w:rPr>
        <w:t>Paracetamols</w:t>
      </w:r>
    </w:p>
    <w:p w14:paraId="0A16D3EE" w14:textId="77777777" w:rsidR="00E55672" w:rsidRDefault="00E55672" w:rsidP="00543FC5">
      <w:pPr>
        <w:tabs>
          <w:tab w:val="clear" w:pos="567"/>
        </w:tabs>
        <w:spacing w:line="240" w:lineRule="auto"/>
      </w:pPr>
      <w:r>
        <w:t xml:space="preserve">Pēcreģistrācijas uzraudzības laikā atsevišķos gadījumos ziņots par </w:t>
      </w:r>
      <w:r w:rsidR="000F6548">
        <w:t xml:space="preserve">turpmāk </w:t>
      </w:r>
      <w:r>
        <w:t xml:space="preserve">norādītajām paracetamola nevēlamajām blakusparādībām, kas grupētas atbilstoši orgānu sistēmu klasifikācijai, tādēļ to </w:t>
      </w:r>
      <w:r w:rsidR="000F6548">
        <w:t>sastopamība (</w:t>
      </w:r>
      <w:r>
        <w:t>biežums</w:t>
      </w:r>
      <w:r w:rsidR="000F6548">
        <w:t>)</w:t>
      </w:r>
      <w:r>
        <w:t xml:space="preserve"> nav zinām</w:t>
      </w:r>
      <w:r w:rsidR="000F6548">
        <w:t>a</w:t>
      </w:r>
      <w:r>
        <w:t xml:space="preserve">. </w:t>
      </w:r>
    </w:p>
    <w:p w14:paraId="28CD1AAB" w14:textId="77777777" w:rsidR="00E55672" w:rsidRDefault="00E55672" w:rsidP="00993DE7">
      <w:pPr>
        <w:tabs>
          <w:tab w:val="clear" w:pos="567"/>
        </w:tabs>
        <w:spacing w:line="240" w:lineRule="auto"/>
        <w:ind w:left="567" w:hanging="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1277"/>
        <w:gridCol w:w="4112"/>
      </w:tblGrid>
      <w:tr w:rsidR="00E55672" w:rsidRPr="00E55672" w14:paraId="04E5DFA6" w14:textId="77777777" w:rsidTr="003A137C">
        <w:tc>
          <w:tcPr>
            <w:tcW w:w="3407" w:type="dxa"/>
            <w:vAlign w:val="center"/>
          </w:tcPr>
          <w:p w14:paraId="5F84D75A" w14:textId="77777777" w:rsidR="00E55672" w:rsidRPr="00C51971" w:rsidRDefault="00E55672" w:rsidP="00493573">
            <w:pPr>
              <w:pStyle w:val="EMEABodyText"/>
              <w:rPr>
                <w:b/>
                <w:lang w:val="lv-LV"/>
              </w:rPr>
            </w:pPr>
            <w:r w:rsidRPr="00C51971">
              <w:rPr>
                <w:b/>
                <w:lang w:val="lv-LV"/>
              </w:rPr>
              <w:t>Orgānu sistēmu klasifikācija</w:t>
            </w:r>
          </w:p>
        </w:tc>
        <w:tc>
          <w:tcPr>
            <w:tcW w:w="1277" w:type="dxa"/>
          </w:tcPr>
          <w:p w14:paraId="0646919C" w14:textId="77777777" w:rsidR="00E55672" w:rsidRPr="00C51971" w:rsidRDefault="00E55672" w:rsidP="00493573">
            <w:pPr>
              <w:pStyle w:val="EMEABodyText"/>
              <w:rPr>
                <w:b/>
                <w:lang w:val="lv-LV"/>
              </w:rPr>
            </w:pPr>
            <w:r w:rsidRPr="00C51971">
              <w:rPr>
                <w:b/>
                <w:lang w:val="lv-LV"/>
              </w:rPr>
              <w:t>Biežums</w:t>
            </w:r>
          </w:p>
        </w:tc>
        <w:tc>
          <w:tcPr>
            <w:tcW w:w="4112" w:type="dxa"/>
            <w:vAlign w:val="center"/>
          </w:tcPr>
          <w:p w14:paraId="5C4CAF17" w14:textId="77777777" w:rsidR="00E55672" w:rsidRPr="00C51971" w:rsidRDefault="00E55672" w:rsidP="00493573">
            <w:pPr>
              <w:pStyle w:val="EMEABodyText"/>
              <w:rPr>
                <w:b/>
                <w:lang w:val="lv-LV"/>
              </w:rPr>
            </w:pPr>
            <w:r w:rsidRPr="00C51971">
              <w:rPr>
                <w:b/>
                <w:lang w:val="lv-LV"/>
              </w:rPr>
              <w:t>Nevēlamā blakusparādība</w:t>
            </w:r>
          </w:p>
        </w:tc>
      </w:tr>
      <w:tr w:rsidR="00E55672" w:rsidRPr="00E55672" w14:paraId="73D1C7CF" w14:textId="77777777" w:rsidTr="003A137C">
        <w:tc>
          <w:tcPr>
            <w:tcW w:w="3407" w:type="dxa"/>
            <w:vAlign w:val="center"/>
          </w:tcPr>
          <w:p w14:paraId="01C19210" w14:textId="77777777" w:rsidR="00E55672" w:rsidRPr="00C51971" w:rsidRDefault="00E55672" w:rsidP="00493573">
            <w:pPr>
              <w:pStyle w:val="EMEABodyText"/>
              <w:rPr>
                <w:bCs/>
                <w:lang w:val="lv-LV"/>
              </w:rPr>
            </w:pPr>
            <w:r w:rsidRPr="00C51971">
              <w:rPr>
                <w:bCs/>
                <w:lang w:val="lv-LV"/>
              </w:rPr>
              <w:t>Asins un limf</w:t>
            </w:r>
            <w:r w:rsidR="009751B6">
              <w:rPr>
                <w:bCs/>
                <w:lang w:val="lv-LV"/>
              </w:rPr>
              <w:t>ā</w:t>
            </w:r>
            <w:r w:rsidRPr="00C51971">
              <w:rPr>
                <w:bCs/>
                <w:lang w:val="lv-LV"/>
              </w:rPr>
              <w:t>tiskās sistēmas traucējumi</w:t>
            </w:r>
          </w:p>
        </w:tc>
        <w:tc>
          <w:tcPr>
            <w:tcW w:w="1277" w:type="dxa"/>
          </w:tcPr>
          <w:p w14:paraId="7A0D3079" w14:textId="77777777" w:rsidR="00E55672" w:rsidRPr="00C51971" w:rsidRDefault="00E55672" w:rsidP="00493573">
            <w:pPr>
              <w:pStyle w:val="EMEABodyText"/>
              <w:rPr>
                <w:bCs/>
                <w:lang w:val="lv-LV"/>
              </w:rPr>
            </w:pPr>
            <w:r w:rsidRPr="00C51971">
              <w:rPr>
                <w:bCs/>
                <w:lang w:val="lv-LV"/>
              </w:rPr>
              <w:t>Nav zināmi</w:t>
            </w:r>
          </w:p>
        </w:tc>
        <w:tc>
          <w:tcPr>
            <w:tcW w:w="4112" w:type="dxa"/>
            <w:vAlign w:val="center"/>
          </w:tcPr>
          <w:p w14:paraId="670988CB" w14:textId="77777777" w:rsidR="00E55672" w:rsidRPr="00C51971" w:rsidRDefault="00E55672" w:rsidP="00E55672">
            <w:pPr>
              <w:pStyle w:val="EMEABodyText"/>
              <w:rPr>
                <w:bCs/>
                <w:lang w:val="lv-LV"/>
              </w:rPr>
            </w:pPr>
            <w:r w:rsidRPr="00C51971">
              <w:rPr>
                <w:bCs/>
                <w:lang w:val="lv-LV"/>
              </w:rPr>
              <w:t>trombocitopēnija, leikopēnija, neitropēnija</w:t>
            </w:r>
          </w:p>
        </w:tc>
      </w:tr>
      <w:tr w:rsidR="00E55672" w:rsidRPr="00E55672" w14:paraId="2900D34F" w14:textId="77777777" w:rsidTr="003A137C">
        <w:tc>
          <w:tcPr>
            <w:tcW w:w="3407" w:type="dxa"/>
            <w:vAlign w:val="center"/>
          </w:tcPr>
          <w:p w14:paraId="51EB37E6" w14:textId="77777777" w:rsidR="00E55672" w:rsidRPr="00C51971" w:rsidRDefault="00E55672" w:rsidP="00493573">
            <w:pPr>
              <w:pStyle w:val="EMEABodyText"/>
              <w:rPr>
                <w:bCs/>
                <w:lang w:val="lv-LV"/>
              </w:rPr>
            </w:pPr>
            <w:r w:rsidRPr="00C51971">
              <w:rPr>
                <w:bCs/>
                <w:lang w:val="lv-LV"/>
              </w:rPr>
              <w:t>Kuņģa-zarnu trakta traucējumi</w:t>
            </w:r>
          </w:p>
        </w:tc>
        <w:tc>
          <w:tcPr>
            <w:tcW w:w="1277" w:type="dxa"/>
          </w:tcPr>
          <w:p w14:paraId="47CC5B61" w14:textId="77777777" w:rsidR="00E55672" w:rsidRPr="00C51971" w:rsidRDefault="00E55672" w:rsidP="00493573">
            <w:pPr>
              <w:pStyle w:val="EMEABodyText"/>
              <w:rPr>
                <w:bCs/>
                <w:lang w:val="lv-LV"/>
              </w:rPr>
            </w:pPr>
            <w:r w:rsidRPr="00C51971">
              <w:rPr>
                <w:bCs/>
                <w:lang w:val="lv-LV"/>
              </w:rPr>
              <w:t>Nav zināmi</w:t>
            </w:r>
          </w:p>
        </w:tc>
        <w:tc>
          <w:tcPr>
            <w:tcW w:w="4112" w:type="dxa"/>
            <w:vAlign w:val="center"/>
          </w:tcPr>
          <w:p w14:paraId="05DA7680" w14:textId="77777777" w:rsidR="00E55672" w:rsidRPr="00C51971" w:rsidRDefault="00E55672" w:rsidP="00E55672">
            <w:pPr>
              <w:pStyle w:val="EMEABodyText"/>
              <w:rPr>
                <w:bCs/>
                <w:lang w:val="lv-LV"/>
              </w:rPr>
            </w:pPr>
            <w:r w:rsidRPr="00C51971">
              <w:rPr>
                <w:bCs/>
                <w:lang w:val="lv-LV"/>
              </w:rPr>
              <w:t>caureja, vēdersāpes</w:t>
            </w:r>
          </w:p>
        </w:tc>
      </w:tr>
      <w:tr w:rsidR="00E55672" w:rsidRPr="00E55672" w14:paraId="0187AD01" w14:textId="77777777" w:rsidTr="003A137C">
        <w:tc>
          <w:tcPr>
            <w:tcW w:w="3407" w:type="dxa"/>
            <w:vAlign w:val="center"/>
          </w:tcPr>
          <w:p w14:paraId="1FB74A21" w14:textId="77777777" w:rsidR="00E55672" w:rsidRPr="00C51971" w:rsidRDefault="00E55672" w:rsidP="00493573">
            <w:pPr>
              <w:pStyle w:val="EMEABodyText"/>
              <w:rPr>
                <w:bCs/>
                <w:lang w:val="lv-LV"/>
              </w:rPr>
            </w:pPr>
            <w:r w:rsidRPr="00C51971">
              <w:rPr>
                <w:bCs/>
                <w:lang w:val="lv-LV"/>
              </w:rPr>
              <w:t>Aknu un/vai žults izvades sistēmas traucējumi</w:t>
            </w:r>
          </w:p>
        </w:tc>
        <w:tc>
          <w:tcPr>
            <w:tcW w:w="1277" w:type="dxa"/>
          </w:tcPr>
          <w:p w14:paraId="55A391F4" w14:textId="77777777" w:rsidR="00E55672" w:rsidRPr="00C51971" w:rsidRDefault="00E55672" w:rsidP="00493573">
            <w:pPr>
              <w:pStyle w:val="EMEABodyText"/>
              <w:rPr>
                <w:bCs/>
                <w:lang w:val="lv-LV"/>
              </w:rPr>
            </w:pPr>
            <w:r w:rsidRPr="00C51971">
              <w:rPr>
                <w:bCs/>
                <w:lang w:val="lv-LV"/>
              </w:rPr>
              <w:t>Nav zināmi</w:t>
            </w:r>
          </w:p>
        </w:tc>
        <w:tc>
          <w:tcPr>
            <w:tcW w:w="4112" w:type="dxa"/>
            <w:vAlign w:val="center"/>
          </w:tcPr>
          <w:p w14:paraId="7F231FCB" w14:textId="77777777" w:rsidR="00E55672" w:rsidRPr="00C51971" w:rsidRDefault="005C71E4" w:rsidP="00E55672">
            <w:pPr>
              <w:pStyle w:val="EMEABodyText"/>
              <w:rPr>
                <w:bCs/>
                <w:lang w:val="lv-LV"/>
              </w:rPr>
            </w:pPr>
            <w:r w:rsidRPr="005C71E4">
              <w:rPr>
                <w:bCs/>
                <w:lang w:val="lv-LV"/>
              </w:rPr>
              <w:t>paaugstināts aknu enzīmu līmenis,</w:t>
            </w:r>
            <w:r>
              <w:rPr>
                <w:bCs/>
                <w:lang w:val="lv-LV"/>
              </w:rPr>
              <w:t xml:space="preserve"> </w:t>
            </w:r>
            <w:r w:rsidR="00E55672" w:rsidRPr="00C51971">
              <w:rPr>
                <w:bCs/>
                <w:lang w:val="lv-LV"/>
              </w:rPr>
              <w:t>aknu mazspēja, aknu nekroze, hepatīts</w:t>
            </w:r>
          </w:p>
        </w:tc>
      </w:tr>
      <w:tr w:rsidR="00E55672" w:rsidRPr="00E55672" w14:paraId="700C24E7" w14:textId="77777777" w:rsidTr="003A137C">
        <w:tc>
          <w:tcPr>
            <w:tcW w:w="3407" w:type="dxa"/>
            <w:vAlign w:val="center"/>
          </w:tcPr>
          <w:p w14:paraId="4D04B563" w14:textId="77777777" w:rsidR="00E55672" w:rsidRPr="00C51971" w:rsidRDefault="00E55672" w:rsidP="00493573">
            <w:pPr>
              <w:pStyle w:val="EMEABodyText"/>
              <w:rPr>
                <w:lang w:val="lv-LV"/>
              </w:rPr>
            </w:pPr>
            <w:r w:rsidRPr="00C51971">
              <w:rPr>
                <w:lang w:val="lv-LV"/>
              </w:rPr>
              <w:t>Imūnās sistēmas traucējumi</w:t>
            </w:r>
          </w:p>
        </w:tc>
        <w:tc>
          <w:tcPr>
            <w:tcW w:w="1277" w:type="dxa"/>
          </w:tcPr>
          <w:p w14:paraId="48AF6F62" w14:textId="77777777" w:rsidR="00E55672" w:rsidRPr="00C51971" w:rsidRDefault="00E55672" w:rsidP="00493573">
            <w:pPr>
              <w:pStyle w:val="EMEABodyText"/>
              <w:rPr>
                <w:bCs/>
                <w:lang w:val="lv-LV"/>
              </w:rPr>
            </w:pPr>
            <w:r w:rsidRPr="00C51971">
              <w:rPr>
                <w:bCs/>
                <w:lang w:val="lv-LV"/>
              </w:rPr>
              <w:t>Nav zināmi</w:t>
            </w:r>
          </w:p>
        </w:tc>
        <w:tc>
          <w:tcPr>
            <w:tcW w:w="4112" w:type="dxa"/>
            <w:vAlign w:val="center"/>
          </w:tcPr>
          <w:p w14:paraId="0D50CE6F" w14:textId="77777777" w:rsidR="00E55672" w:rsidRPr="003A137C" w:rsidRDefault="00DE59E9" w:rsidP="003A137C">
            <w:pPr>
              <w:tabs>
                <w:tab w:val="clear" w:pos="567"/>
              </w:tabs>
              <w:spacing w:line="240" w:lineRule="auto"/>
              <w:rPr>
                <w:sz w:val="24"/>
                <w:lang w:eastAsia="en-GB"/>
              </w:rPr>
            </w:pPr>
            <w:r>
              <w:rPr>
                <w:rStyle w:val="jlqj4b"/>
                <w:szCs w:val="22"/>
              </w:rPr>
              <w:t>a</w:t>
            </w:r>
            <w:r w:rsidR="001103BC" w:rsidRPr="00525DDC">
              <w:rPr>
                <w:rStyle w:val="jlqj4b"/>
                <w:szCs w:val="22"/>
              </w:rPr>
              <w:t>nafilaktiska reakcija (ieskaitot hipotensiju),</w:t>
            </w:r>
            <w:r w:rsidR="001103BC">
              <w:rPr>
                <w:rStyle w:val="jlqj4b"/>
              </w:rPr>
              <w:t xml:space="preserve"> </w:t>
            </w:r>
            <w:r w:rsidR="00E55672" w:rsidRPr="00C51971">
              <w:rPr>
                <w:bCs/>
              </w:rPr>
              <w:t>anafilaktiskais šoks, paaugstinātas jutības reakcijas</w:t>
            </w:r>
            <w:r w:rsidR="001103BC">
              <w:rPr>
                <w:bCs/>
              </w:rPr>
              <w:t>, angioedēma</w:t>
            </w:r>
          </w:p>
        </w:tc>
      </w:tr>
      <w:tr w:rsidR="00E55672" w:rsidRPr="00E55672" w14:paraId="12C2F9E6" w14:textId="77777777" w:rsidTr="003A137C">
        <w:tc>
          <w:tcPr>
            <w:tcW w:w="3407" w:type="dxa"/>
            <w:vAlign w:val="center"/>
          </w:tcPr>
          <w:p w14:paraId="1CF0B50C" w14:textId="77777777" w:rsidR="00E55672" w:rsidRPr="00C51971" w:rsidRDefault="00E55672" w:rsidP="00493573">
            <w:pPr>
              <w:pStyle w:val="EMEABodyText"/>
              <w:rPr>
                <w:lang w:val="lv-LV"/>
              </w:rPr>
            </w:pPr>
            <w:r w:rsidRPr="00C51971">
              <w:rPr>
                <w:lang w:val="lv-LV"/>
              </w:rPr>
              <w:lastRenderedPageBreak/>
              <w:t>Ādas un zemādas audu bojājumi</w:t>
            </w:r>
          </w:p>
        </w:tc>
        <w:tc>
          <w:tcPr>
            <w:tcW w:w="1277" w:type="dxa"/>
          </w:tcPr>
          <w:p w14:paraId="595E3C0A" w14:textId="77777777" w:rsidR="00E55672" w:rsidRPr="00C51971" w:rsidRDefault="00E55672" w:rsidP="00493573">
            <w:pPr>
              <w:pStyle w:val="EMEABodyText"/>
              <w:rPr>
                <w:bCs/>
                <w:lang w:val="lv-LV"/>
              </w:rPr>
            </w:pPr>
            <w:r w:rsidRPr="00C51971">
              <w:rPr>
                <w:bCs/>
                <w:lang w:val="lv-LV"/>
              </w:rPr>
              <w:t>Nav zināmi</w:t>
            </w:r>
          </w:p>
        </w:tc>
        <w:tc>
          <w:tcPr>
            <w:tcW w:w="4112" w:type="dxa"/>
            <w:vAlign w:val="center"/>
          </w:tcPr>
          <w:p w14:paraId="0F322BB2" w14:textId="77777777" w:rsidR="00E55672" w:rsidRPr="00C51971" w:rsidRDefault="00E55672" w:rsidP="0014097F">
            <w:pPr>
              <w:pStyle w:val="EMEABodyText"/>
              <w:rPr>
                <w:bCs/>
                <w:lang w:val="lv-LV"/>
              </w:rPr>
            </w:pPr>
            <w:r w:rsidRPr="004D0995">
              <w:rPr>
                <w:bCs/>
                <w:lang w:val="lv-LV"/>
              </w:rPr>
              <w:t xml:space="preserve">nātrene, eritēma, izsitumi, </w:t>
            </w:r>
            <w:r w:rsidR="008D5574">
              <w:rPr>
                <w:bCs/>
                <w:lang w:val="lv-LV"/>
              </w:rPr>
              <w:t>purpura,</w:t>
            </w:r>
            <w:r w:rsidR="005C71E4" w:rsidRPr="004D0995">
              <w:rPr>
                <w:bCs/>
                <w:lang w:val="lv-LV"/>
              </w:rPr>
              <w:t xml:space="preserve"> </w:t>
            </w:r>
            <w:r w:rsidR="00804FEA" w:rsidRPr="006F793D">
              <w:rPr>
                <w:bCs/>
                <w:lang w:val="lv-LV"/>
              </w:rPr>
              <w:t xml:space="preserve">akūta ģeneralizēta eksantematoza pustuloze, toksiskā </w:t>
            </w:r>
            <w:r w:rsidR="0014097F" w:rsidRPr="006F793D">
              <w:rPr>
                <w:bCs/>
                <w:lang w:val="lv-LV"/>
              </w:rPr>
              <w:t xml:space="preserve">epidermas </w:t>
            </w:r>
            <w:r w:rsidR="00804FEA" w:rsidRPr="006F793D">
              <w:rPr>
                <w:bCs/>
                <w:lang w:val="lv-LV"/>
              </w:rPr>
              <w:t>nekrolīze, Stīven</w:t>
            </w:r>
            <w:r w:rsidR="004F1DB6">
              <w:rPr>
                <w:bCs/>
                <w:lang w:val="lv-LV"/>
              </w:rPr>
              <w:t>s</w:t>
            </w:r>
            <w:r w:rsidR="00804FEA" w:rsidRPr="006F793D">
              <w:rPr>
                <w:bCs/>
                <w:lang w:val="lv-LV"/>
              </w:rPr>
              <w:t>a-Džonsona sindroms</w:t>
            </w:r>
          </w:p>
        </w:tc>
      </w:tr>
    </w:tbl>
    <w:p w14:paraId="5CF9A2CD" w14:textId="77777777" w:rsidR="00E55672" w:rsidRPr="00543FC5" w:rsidRDefault="00E55672" w:rsidP="00993DE7">
      <w:pPr>
        <w:tabs>
          <w:tab w:val="clear" w:pos="567"/>
        </w:tabs>
        <w:spacing w:line="240" w:lineRule="auto"/>
        <w:ind w:left="567" w:hanging="567"/>
      </w:pPr>
    </w:p>
    <w:p w14:paraId="6FE77FCA" w14:textId="77777777" w:rsidR="00FC4B75" w:rsidRPr="00543FC5" w:rsidRDefault="00FC4B75" w:rsidP="00FC4B75">
      <w:pPr>
        <w:tabs>
          <w:tab w:val="clear" w:pos="567"/>
        </w:tabs>
        <w:spacing w:line="240" w:lineRule="auto"/>
        <w:rPr>
          <w:highlight w:val="yellow"/>
          <w:u w:val="single"/>
        </w:rPr>
      </w:pPr>
      <w:r w:rsidRPr="00543FC5">
        <w:rPr>
          <w:rFonts w:ascii="TimesNewRoman,Italic" w:hAnsi="TimesNewRoman,Italic" w:cs="TimesNewRoman,Italic"/>
          <w:szCs w:val="22"/>
          <w:u w:val="single"/>
          <w:lang w:bidi="he-IL"/>
        </w:rPr>
        <w:t xml:space="preserve">Nieru </w:t>
      </w:r>
      <w:r w:rsidR="000F6548">
        <w:rPr>
          <w:rFonts w:ascii="TimesNewRoman,Italic" w:hAnsi="TimesNewRoman,Italic" w:cs="TimesNewRoman,Italic"/>
          <w:szCs w:val="22"/>
          <w:u w:val="single"/>
          <w:lang w:bidi="he-IL"/>
        </w:rPr>
        <w:t xml:space="preserve">un urīnizvades sistēmas </w:t>
      </w:r>
      <w:r w:rsidRPr="00543FC5">
        <w:rPr>
          <w:rFonts w:ascii="TimesNewRoman,Italic" w:hAnsi="TimesNewRoman,Italic" w:cs="TimesNewRoman,Italic"/>
          <w:szCs w:val="22"/>
          <w:u w:val="single"/>
          <w:lang w:bidi="he-IL"/>
        </w:rPr>
        <w:t>traucējumi</w:t>
      </w:r>
    </w:p>
    <w:p w14:paraId="1F1E691D" w14:textId="77777777" w:rsidR="00F050D6" w:rsidRPr="00543FC5" w:rsidRDefault="00F050D6" w:rsidP="00FC4B75">
      <w:pPr>
        <w:tabs>
          <w:tab w:val="clear" w:pos="567"/>
        </w:tabs>
        <w:spacing w:line="240" w:lineRule="auto"/>
        <w:rPr>
          <w:bCs/>
        </w:rPr>
      </w:pPr>
      <w:r w:rsidRPr="00543FC5">
        <w:rPr>
          <w:bCs/>
          <w:i/>
        </w:rPr>
        <w:t>Ļoti reti</w:t>
      </w:r>
      <w:r w:rsidR="00FC4B75" w:rsidRPr="00543FC5">
        <w:rPr>
          <w:bCs/>
        </w:rPr>
        <w:t xml:space="preserve">: </w:t>
      </w:r>
      <w:r w:rsidR="000F6548">
        <w:rPr>
          <w:bCs/>
        </w:rPr>
        <w:t>s</w:t>
      </w:r>
      <w:r w:rsidRPr="00543FC5">
        <w:rPr>
          <w:bCs/>
        </w:rPr>
        <w:t xml:space="preserve">askaņā ar datiem, kas iegūti klīniskajos un epidemioloģiskajos pētījumos, pretsāpju līdzekļu ilgtermiņa lietošanas rezultātā var rasties nefropātija, tajā skaitā </w:t>
      </w:r>
      <w:r w:rsidR="000F6548">
        <w:rPr>
          <w:bCs/>
        </w:rPr>
        <w:t xml:space="preserve">nieru papilāra </w:t>
      </w:r>
      <w:r w:rsidRPr="00543FC5">
        <w:rPr>
          <w:bCs/>
        </w:rPr>
        <w:t xml:space="preserve">nekroze, intersticiāls nefrīts un sekundārs pielonefrīts. </w:t>
      </w:r>
    </w:p>
    <w:p w14:paraId="6CB33368" w14:textId="77777777" w:rsidR="00F050D6" w:rsidRPr="00543FC5" w:rsidRDefault="00F050D6" w:rsidP="00FC4B75">
      <w:pPr>
        <w:tabs>
          <w:tab w:val="clear" w:pos="567"/>
        </w:tabs>
        <w:spacing w:line="240" w:lineRule="auto"/>
        <w:rPr>
          <w:bCs/>
        </w:rPr>
      </w:pPr>
    </w:p>
    <w:p w14:paraId="31C80DA0" w14:textId="77777777" w:rsidR="00993DE7" w:rsidRDefault="00993DE7" w:rsidP="00FC4B75">
      <w:pPr>
        <w:tabs>
          <w:tab w:val="clear" w:pos="567"/>
        </w:tabs>
        <w:spacing w:line="240" w:lineRule="auto"/>
      </w:pPr>
      <w:r w:rsidRPr="00543FC5">
        <w:t xml:space="preserve">Ļoti retos gadījumos ziņots par </w:t>
      </w:r>
      <w:r w:rsidR="000F6548">
        <w:t>paaugstinātas jutības reakcijām (</w:t>
      </w:r>
      <w:r w:rsidRPr="00543FC5">
        <w:t>vienkāršiem ādas izsitumiem, eritēmu vai nātreni</w:t>
      </w:r>
      <w:r w:rsidR="000F6548">
        <w:t xml:space="preserve">, kā arī angioedēmu un </w:t>
      </w:r>
      <w:r w:rsidRPr="00543FC5">
        <w:t>anafilaktisko šoku</w:t>
      </w:r>
      <w:r w:rsidR="000F6548">
        <w:t>). Ja rodas paaugstinātas jutības reakcija, šo zāļu lietošana ir jāpārtrauc</w:t>
      </w:r>
      <w:r w:rsidRPr="00543FC5">
        <w:t>.</w:t>
      </w:r>
    </w:p>
    <w:p w14:paraId="62BF7BE1" w14:textId="77777777" w:rsidR="002E1D80" w:rsidRDefault="002E1D80" w:rsidP="00FC4B75">
      <w:pPr>
        <w:tabs>
          <w:tab w:val="clear" w:pos="567"/>
        </w:tabs>
        <w:spacing w:line="240" w:lineRule="auto"/>
      </w:pPr>
    </w:p>
    <w:p w14:paraId="67004EE3" w14:textId="77777777" w:rsidR="002E1D80" w:rsidRPr="00543FC5" w:rsidRDefault="00085E00" w:rsidP="00FC4B75">
      <w:pPr>
        <w:tabs>
          <w:tab w:val="clear" w:pos="567"/>
        </w:tabs>
        <w:spacing w:line="240" w:lineRule="auto"/>
      </w:pPr>
      <w:r w:rsidRPr="004D0995">
        <w:t>Paracetamols var izraisīt smagas ādas reakcijas, tādas kā akūta ģeneralizēta eksantematoza pustuloze (AGEP), Stīven</w:t>
      </w:r>
      <w:r w:rsidR="00E836A4">
        <w:t>s</w:t>
      </w:r>
      <w:r w:rsidRPr="004D0995">
        <w:t xml:space="preserve">a-Džonsona sindroms un toksiskā </w:t>
      </w:r>
      <w:r w:rsidR="00FD5AE2" w:rsidRPr="004D0995">
        <w:t>epiderm</w:t>
      </w:r>
      <w:r w:rsidR="00FD5AE2" w:rsidRPr="006F793D">
        <w:t xml:space="preserve">as </w:t>
      </w:r>
      <w:r w:rsidRPr="006F793D">
        <w:t>nekrolīze (TEN), kas</w:t>
      </w:r>
      <w:r w:rsidRPr="006B529F">
        <w:t xml:space="preserve"> var izraisīt nāvi. Pacienti ir jāinformē par smagu ādas reakciju pazīmēm un zāļu lietošana ir jāpārtrauc pēc pirmo ādas izsitumu vai citu paaugstinātas jūtības pazīmju parādīšanās.</w:t>
      </w:r>
    </w:p>
    <w:p w14:paraId="11DF46BD" w14:textId="77777777" w:rsidR="00993DE7" w:rsidRPr="00543FC5" w:rsidRDefault="00993DE7" w:rsidP="00993DE7">
      <w:pPr>
        <w:tabs>
          <w:tab w:val="clear" w:pos="567"/>
        </w:tabs>
        <w:spacing w:line="240" w:lineRule="auto"/>
      </w:pPr>
    </w:p>
    <w:p w14:paraId="3DA98632" w14:textId="77777777" w:rsidR="00993DE7" w:rsidRPr="00543FC5" w:rsidRDefault="00993DE7" w:rsidP="00993DE7">
      <w:pPr>
        <w:tabs>
          <w:tab w:val="clear" w:pos="567"/>
        </w:tabs>
        <w:spacing w:line="240" w:lineRule="auto"/>
        <w:rPr>
          <w:b/>
        </w:rPr>
      </w:pPr>
      <w:r w:rsidRPr="00543FC5">
        <w:rPr>
          <w:b/>
        </w:rPr>
        <w:t>C vitamīns</w:t>
      </w:r>
    </w:p>
    <w:p w14:paraId="2B8DF539" w14:textId="77777777" w:rsidR="00993DE7" w:rsidRDefault="00993DE7" w:rsidP="00993DE7">
      <w:pPr>
        <w:tabs>
          <w:tab w:val="clear" w:pos="567"/>
        </w:tabs>
        <w:spacing w:line="240" w:lineRule="auto"/>
      </w:pPr>
      <w:r w:rsidRPr="00543FC5">
        <w:t xml:space="preserve">Dažiem pacientiem lielas C vitamīna devas (vairāk par 1 g) var veicināt skābeņskābes vai urīnskābes </w:t>
      </w:r>
      <w:r w:rsidR="009751B6">
        <w:t xml:space="preserve">sāļu nierakmeņu veidošanos </w:t>
      </w:r>
      <w:r w:rsidRPr="00543FC5">
        <w:t xml:space="preserve">un </w:t>
      </w:r>
      <w:r w:rsidR="009751B6">
        <w:t xml:space="preserve">pastiprināt </w:t>
      </w:r>
      <w:r w:rsidRPr="00543FC5">
        <w:t>hemolīzi pacientiem ar G6</w:t>
      </w:r>
      <w:r w:rsidR="009751B6">
        <w:t>F</w:t>
      </w:r>
      <w:r w:rsidRPr="00543FC5">
        <w:t xml:space="preserve">D deficīta hroniskās hemolīzes formu. </w:t>
      </w:r>
    </w:p>
    <w:p w14:paraId="00054302" w14:textId="77777777" w:rsidR="00A72040" w:rsidRDefault="00A72040" w:rsidP="00993DE7">
      <w:pPr>
        <w:tabs>
          <w:tab w:val="clear" w:pos="567"/>
        </w:tabs>
        <w:spacing w:line="240" w:lineRule="auto"/>
      </w:pPr>
    </w:p>
    <w:p w14:paraId="64E85926" w14:textId="77777777" w:rsidR="00A72040" w:rsidRDefault="00A72040" w:rsidP="00993DE7">
      <w:pPr>
        <w:tabs>
          <w:tab w:val="clear" w:pos="567"/>
        </w:tabs>
        <w:spacing w:line="240" w:lineRule="auto"/>
      </w:pPr>
      <w:r>
        <w:t xml:space="preserve">C vitamīna pēcreģistrācijas uzraudzības laikā ziņots par </w:t>
      </w:r>
      <w:r w:rsidR="009751B6">
        <w:t xml:space="preserve">turpmāk </w:t>
      </w:r>
      <w:r>
        <w:t xml:space="preserve">norādītajām nevēlajām blakusparādībām.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4111"/>
      </w:tblGrid>
      <w:tr w:rsidR="00A72040" w:rsidRPr="00E55672" w14:paraId="3AD1D185" w14:textId="77777777" w:rsidTr="00543FC5">
        <w:tc>
          <w:tcPr>
            <w:tcW w:w="3402" w:type="dxa"/>
            <w:vAlign w:val="center"/>
          </w:tcPr>
          <w:p w14:paraId="40B0F434" w14:textId="77777777" w:rsidR="00A72040" w:rsidRPr="00906F83" w:rsidRDefault="00A72040" w:rsidP="00493573">
            <w:pPr>
              <w:pStyle w:val="EMEABodyText"/>
              <w:rPr>
                <w:b/>
                <w:lang w:val="lv-LV"/>
              </w:rPr>
            </w:pPr>
            <w:r w:rsidRPr="00906F83">
              <w:rPr>
                <w:b/>
                <w:lang w:val="lv-LV"/>
              </w:rPr>
              <w:t>Orgānu sistēmu klasifikācija</w:t>
            </w:r>
          </w:p>
        </w:tc>
        <w:tc>
          <w:tcPr>
            <w:tcW w:w="1276" w:type="dxa"/>
          </w:tcPr>
          <w:p w14:paraId="5F9537B8" w14:textId="77777777" w:rsidR="00A72040" w:rsidRPr="00906F83" w:rsidRDefault="00A72040" w:rsidP="00493573">
            <w:pPr>
              <w:pStyle w:val="EMEABodyText"/>
              <w:rPr>
                <w:b/>
                <w:lang w:val="lv-LV"/>
              </w:rPr>
            </w:pPr>
            <w:r w:rsidRPr="00906F83">
              <w:rPr>
                <w:b/>
                <w:lang w:val="lv-LV"/>
              </w:rPr>
              <w:t>Biežums</w:t>
            </w:r>
          </w:p>
        </w:tc>
        <w:tc>
          <w:tcPr>
            <w:tcW w:w="4111" w:type="dxa"/>
            <w:vAlign w:val="center"/>
          </w:tcPr>
          <w:p w14:paraId="7A877CF6" w14:textId="77777777" w:rsidR="00A72040" w:rsidRPr="00906F83" w:rsidRDefault="00A72040" w:rsidP="00493573">
            <w:pPr>
              <w:pStyle w:val="EMEABodyText"/>
              <w:rPr>
                <w:b/>
                <w:lang w:val="lv-LV"/>
              </w:rPr>
            </w:pPr>
            <w:r>
              <w:rPr>
                <w:b/>
                <w:lang w:val="lv-LV"/>
              </w:rPr>
              <w:t>MedDRA termins</w:t>
            </w:r>
          </w:p>
        </w:tc>
      </w:tr>
      <w:tr w:rsidR="00A72040" w:rsidRPr="00E55672" w14:paraId="7CD84FD9" w14:textId="77777777" w:rsidTr="00543FC5">
        <w:tc>
          <w:tcPr>
            <w:tcW w:w="3402" w:type="dxa"/>
            <w:vAlign w:val="center"/>
          </w:tcPr>
          <w:p w14:paraId="1E5FA160" w14:textId="77777777" w:rsidR="00A72040" w:rsidRPr="00543FC5" w:rsidRDefault="00A72040" w:rsidP="00493573">
            <w:pPr>
              <w:pStyle w:val="EMEABodyText"/>
              <w:rPr>
                <w:bCs/>
                <w:i/>
                <w:lang w:val="lv-LV"/>
              </w:rPr>
            </w:pPr>
            <w:r w:rsidRPr="00543FC5">
              <w:rPr>
                <w:bCs/>
                <w:i/>
                <w:lang w:val="lv-LV"/>
              </w:rPr>
              <w:t>Kuņģa-zarnu trakta traucējumi</w:t>
            </w:r>
          </w:p>
        </w:tc>
        <w:tc>
          <w:tcPr>
            <w:tcW w:w="1276" w:type="dxa"/>
          </w:tcPr>
          <w:p w14:paraId="55BEB358"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0FF31E26" w14:textId="77777777" w:rsidR="00A72040" w:rsidRPr="00906F83" w:rsidRDefault="0043505C" w:rsidP="00493573">
            <w:pPr>
              <w:pStyle w:val="EMEABodyText"/>
              <w:rPr>
                <w:bCs/>
                <w:lang w:val="lv-LV"/>
              </w:rPr>
            </w:pPr>
            <w:r>
              <w:rPr>
                <w:bCs/>
                <w:lang w:val="lv-LV"/>
              </w:rPr>
              <w:t>vēdersāpes</w:t>
            </w:r>
            <w:r w:rsidR="00A72040">
              <w:rPr>
                <w:bCs/>
                <w:lang w:val="lv-LV"/>
              </w:rPr>
              <w:t>, caureja</w:t>
            </w:r>
          </w:p>
        </w:tc>
      </w:tr>
      <w:tr w:rsidR="00A72040" w:rsidRPr="00E55672" w14:paraId="62CD77E0" w14:textId="77777777" w:rsidTr="00543FC5">
        <w:tc>
          <w:tcPr>
            <w:tcW w:w="3402" w:type="dxa"/>
            <w:vAlign w:val="center"/>
          </w:tcPr>
          <w:p w14:paraId="117C32F1" w14:textId="77777777" w:rsidR="00A72040" w:rsidRPr="00543FC5" w:rsidRDefault="00A72040" w:rsidP="00493573">
            <w:pPr>
              <w:pStyle w:val="EMEABodyText"/>
              <w:rPr>
                <w:bCs/>
                <w:i/>
                <w:lang w:val="lv-LV"/>
              </w:rPr>
            </w:pPr>
            <w:r w:rsidRPr="00543FC5">
              <w:rPr>
                <w:bCs/>
                <w:i/>
                <w:lang w:val="lv-LV"/>
              </w:rPr>
              <w:t>Nervu sistēmas traucējumi</w:t>
            </w:r>
          </w:p>
        </w:tc>
        <w:tc>
          <w:tcPr>
            <w:tcW w:w="1276" w:type="dxa"/>
          </w:tcPr>
          <w:p w14:paraId="64BB0BCF"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76C0F03E" w14:textId="77777777" w:rsidR="00A72040" w:rsidRPr="00906F83" w:rsidRDefault="0043505C" w:rsidP="00493573">
            <w:pPr>
              <w:pStyle w:val="EMEABodyText"/>
              <w:rPr>
                <w:bCs/>
                <w:lang w:val="lv-LV"/>
              </w:rPr>
            </w:pPr>
            <w:r>
              <w:rPr>
                <w:bCs/>
                <w:lang w:val="lv-LV"/>
              </w:rPr>
              <w:t>reibonis</w:t>
            </w:r>
          </w:p>
        </w:tc>
      </w:tr>
      <w:tr w:rsidR="00A72040" w:rsidRPr="00E55672" w14:paraId="2222AECF" w14:textId="77777777" w:rsidTr="00543FC5">
        <w:tc>
          <w:tcPr>
            <w:tcW w:w="3402" w:type="dxa"/>
            <w:vAlign w:val="center"/>
          </w:tcPr>
          <w:p w14:paraId="7F7CC83A" w14:textId="77777777" w:rsidR="00A72040" w:rsidRPr="00543FC5" w:rsidRDefault="00A72040" w:rsidP="00493573">
            <w:pPr>
              <w:pStyle w:val="EMEABodyText"/>
              <w:rPr>
                <w:i/>
                <w:lang w:val="lv-LV"/>
              </w:rPr>
            </w:pPr>
            <w:r w:rsidRPr="00543FC5">
              <w:rPr>
                <w:i/>
                <w:lang w:val="lv-LV"/>
              </w:rPr>
              <w:t>Nieru un urīnizvades sistēmas traucējumi</w:t>
            </w:r>
          </w:p>
        </w:tc>
        <w:tc>
          <w:tcPr>
            <w:tcW w:w="1276" w:type="dxa"/>
          </w:tcPr>
          <w:p w14:paraId="711A62F0"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1C52736C" w14:textId="77777777" w:rsidR="00A72040" w:rsidRPr="00906F83" w:rsidRDefault="0043505C" w:rsidP="00493573">
            <w:pPr>
              <w:pStyle w:val="EMEABodyText"/>
              <w:rPr>
                <w:lang w:val="lv-LV"/>
              </w:rPr>
            </w:pPr>
            <w:r>
              <w:rPr>
                <w:bCs/>
                <w:lang w:val="lv-LV"/>
              </w:rPr>
              <w:t>hiperoksalūrija</w:t>
            </w:r>
            <w:r w:rsidR="00A72040">
              <w:rPr>
                <w:bCs/>
                <w:lang w:val="lv-LV"/>
              </w:rPr>
              <w:t>, hromatūrija</w:t>
            </w:r>
          </w:p>
        </w:tc>
      </w:tr>
      <w:tr w:rsidR="00A72040" w:rsidRPr="00E55672" w14:paraId="55624B60" w14:textId="77777777" w:rsidTr="00543FC5">
        <w:tc>
          <w:tcPr>
            <w:tcW w:w="3402" w:type="dxa"/>
            <w:vAlign w:val="center"/>
          </w:tcPr>
          <w:p w14:paraId="2798F3FF" w14:textId="77777777" w:rsidR="00A72040" w:rsidRPr="00543FC5" w:rsidRDefault="00A72040" w:rsidP="00493573">
            <w:pPr>
              <w:pStyle w:val="EMEABodyText"/>
              <w:rPr>
                <w:i/>
                <w:lang w:val="lv-LV"/>
              </w:rPr>
            </w:pPr>
            <w:r w:rsidRPr="00543FC5">
              <w:rPr>
                <w:i/>
                <w:lang w:val="lv-LV"/>
              </w:rPr>
              <w:t>Ādas un zemādas audu bojājumi</w:t>
            </w:r>
          </w:p>
        </w:tc>
        <w:tc>
          <w:tcPr>
            <w:tcW w:w="1276" w:type="dxa"/>
          </w:tcPr>
          <w:p w14:paraId="31D54B57"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5EB809F1" w14:textId="77777777" w:rsidR="00A72040" w:rsidRPr="00906F83" w:rsidRDefault="0043505C" w:rsidP="00493573">
            <w:pPr>
              <w:pStyle w:val="EMEABodyText"/>
              <w:rPr>
                <w:bCs/>
                <w:lang w:val="lv-LV"/>
              </w:rPr>
            </w:pPr>
            <w:r>
              <w:rPr>
                <w:bCs/>
                <w:lang w:val="lv-LV"/>
              </w:rPr>
              <w:t>nātrene</w:t>
            </w:r>
            <w:r w:rsidR="00A72040">
              <w:rPr>
                <w:bCs/>
                <w:lang w:val="lv-LV"/>
              </w:rPr>
              <w:t>, izsitumi</w:t>
            </w:r>
          </w:p>
        </w:tc>
      </w:tr>
    </w:tbl>
    <w:p w14:paraId="36F28023" w14:textId="77777777" w:rsidR="00A72040" w:rsidRDefault="00A72040" w:rsidP="00993DE7">
      <w:pPr>
        <w:tabs>
          <w:tab w:val="clear" w:pos="567"/>
        </w:tabs>
        <w:spacing w:line="240" w:lineRule="auto"/>
      </w:pPr>
    </w:p>
    <w:p w14:paraId="102A8586" w14:textId="77777777" w:rsidR="00A72040" w:rsidRDefault="00A72040" w:rsidP="00993DE7">
      <w:pPr>
        <w:tabs>
          <w:tab w:val="clear" w:pos="567"/>
        </w:tabs>
        <w:spacing w:line="240" w:lineRule="auto"/>
      </w:pPr>
      <w:r>
        <w:t>Ar pa</w:t>
      </w:r>
      <w:r w:rsidR="00CD2596">
        <w:t>racetamolu/C </w:t>
      </w:r>
      <w:r>
        <w:t>vitamīnu saistīt</w:t>
      </w:r>
      <w:r w:rsidR="00CD2596">
        <w:t>ā</w:t>
      </w:r>
      <w:r>
        <w:t xml:space="preserve">s </w:t>
      </w:r>
      <w:r w:rsidR="009751B6">
        <w:t xml:space="preserve">nevēlamās </w:t>
      </w:r>
      <w:r>
        <w:t>blakusparādības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4111"/>
      </w:tblGrid>
      <w:tr w:rsidR="00A72040" w:rsidRPr="00E55672" w14:paraId="0BA64CE8" w14:textId="77777777" w:rsidTr="00543FC5">
        <w:tc>
          <w:tcPr>
            <w:tcW w:w="3402" w:type="dxa"/>
            <w:vAlign w:val="center"/>
          </w:tcPr>
          <w:p w14:paraId="4A51321B" w14:textId="77777777" w:rsidR="00A72040" w:rsidRPr="00906F83" w:rsidRDefault="00A72040" w:rsidP="00493573">
            <w:pPr>
              <w:pStyle w:val="EMEABodyText"/>
              <w:rPr>
                <w:b/>
                <w:lang w:val="lv-LV"/>
              </w:rPr>
            </w:pPr>
            <w:r w:rsidRPr="00906F83">
              <w:rPr>
                <w:b/>
                <w:lang w:val="lv-LV"/>
              </w:rPr>
              <w:t>Orgānu sistēmu klasifikācija</w:t>
            </w:r>
          </w:p>
        </w:tc>
        <w:tc>
          <w:tcPr>
            <w:tcW w:w="1276" w:type="dxa"/>
          </w:tcPr>
          <w:p w14:paraId="27FC1A24" w14:textId="77777777" w:rsidR="00A72040" w:rsidRPr="00906F83" w:rsidRDefault="00A72040" w:rsidP="00493573">
            <w:pPr>
              <w:pStyle w:val="EMEABodyText"/>
              <w:rPr>
                <w:b/>
                <w:lang w:val="lv-LV"/>
              </w:rPr>
            </w:pPr>
            <w:r w:rsidRPr="00906F83">
              <w:rPr>
                <w:b/>
                <w:lang w:val="lv-LV"/>
              </w:rPr>
              <w:t>Biežums</w:t>
            </w:r>
          </w:p>
        </w:tc>
        <w:tc>
          <w:tcPr>
            <w:tcW w:w="4111" w:type="dxa"/>
            <w:vAlign w:val="center"/>
          </w:tcPr>
          <w:p w14:paraId="0D8392E0" w14:textId="77777777" w:rsidR="00A72040" w:rsidRPr="00906F83" w:rsidRDefault="00A72040" w:rsidP="00493573">
            <w:pPr>
              <w:pStyle w:val="EMEABodyText"/>
              <w:rPr>
                <w:b/>
                <w:lang w:val="lv-LV"/>
              </w:rPr>
            </w:pPr>
            <w:r>
              <w:rPr>
                <w:b/>
                <w:lang w:val="lv-LV"/>
              </w:rPr>
              <w:t>MedDRA termins</w:t>
            </w:r>
          </w:p>
        </w:tc>
      </w:tr>
      <w:tr w:rsidR="00A72040" w:rsidRPr="00E55672" w14:paraId="18BE8515" w14:textId="77777777" w:rsidTr="00543FC5">
        <w:tc>
          <w:tcPr>
            <w:tcW w:w="3402" w:type="dxa"/>
            <w:vAlign w:val="center"/>
          </w:tcPr>
          <w:p w14:paraId="05E1163C" w14:textId="77777777" w:rsidR="00A72040" w:rsidRPr="00543FC5" w:rsidRDefault="00A72040" w:rsidP="00493573">
            <w:pPr>
              <w:pStyle w:val="EMEABodyText"/>
              <w:rPr>
                <w:bCs/>
                <w:i/>
                <w:lang w:val="lv-LV"/>
              </w:rPr>
            </w:pPr>
            <w:r w:rsidRPr="00543FC5">
              <w:rPr>
                <w:bCs/>
                <w:i/>
                <w:lang w:val="lv-LV"/>
              </w:rPr>
              <w:t>Asins un limf</w:t>
            </w:r>
            <w:r w:rsidR="009751B6" w:rsidRPr="00543FC5">
              <w:rPr>
                <w:bCs/>
                <w:i/>
                <w:lang w:val="lv-LV"/>
              </w:rPr>
              <w:t>ā</w:t>
            </w:r>
            <w:r w:rsidRPr="00543FC5">
              <w:rPr>
                <w:bCs/>
                <w:i/>
                <w:lang w:val="lv-LV"/>
              </w:rPr>
              <w:t>tiskās sistēmas traucējumi</w:t>
            </w:r>
          </w:p>
        </w:tc>
        <w:tc>
          <w:tcPr>
            <w:tcW w:w="1276" w:type="dxa"/>
          </w:tcPr>
          <w:p w14:paraId="271EA6E2"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5DF4F096" w14:textId="77777777" w:rsidR="00A72040" w:rsidRPr="00906F83" w:rsidRDefault="0043505C" w:rsidP="00493573">
            <w:pPr>
              <w:pStyle w:val="EMEABodyText"/>
              <w:rPr>
                <w:bCs/>
                <w:lang w:val="lv-LV"/>
              </w:rPr>
            </w:pPr>
            <w:r>
              <w:rPr>
                <w:bCs/>
                <w:lang w:val="lv-LV"/>
              </w:rPr>
              <w:t>agranulocitoze</w:t>
            </w:r>
          </w:p>
        </w:tc>
      </w:tr>
      <w:tr w:rsidR="00A72040" w:rsidRPr="00E55672" w14:paraId="6A84F4C8" w14:textId="77777777" w:rsidTr="00543FC5">
        <w:tc>
          <w:tcPr>
            <w:tcW w:w="3402" w:type="dxa"/>
            <w:vAlign w:val="center"/>
          </w:tcPr>
          <w:p w14:paraId="60044141" w14:textId="77777777" w:rsidR="00A72040" w:rsidRPr="00543FC5" w:rsidRDefault="00A72040" w:rsidP="00493573">
            <w:pPr>
              <w:pStyle w:val="EMEABodyText"/>
              <w:rPr>
                <w:bCs/>
                <w:i/>
                <w:lang w:val="lv-LV"/>
              </w:rPr>
            </w:pPr>
            <w:r w:rsidRPr="00543FC5">
              <w:rPr>
                <w:bCs/>
                <w:i/>
                <w:lang w:val="lv-LV"/>
              </w:rPr>
              <w:t>Kuņģa-zarnu trakta traucējumi</w:t>
            </w:r>
          </w:p>
        </w:tc>
        <w:tc>
          <w:tcPr>
            <w:tcW w:w="1276" w:type="dxa"/>
          </w:tcPr>
          <w:p w14:paraId="1E485785"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58525B49" w14:textId="77777777" w:rsidR="00A72040" w:rsidRPr="00906F83" w:rsidRDefault="0043505C" w:rsidP="00493573">
            <w:pPr>
              <w:pStyle w:val="EMEABodyText"/>
              <w:rPr>
                <w:bCs/>
                <w:lang w:val="lv-LV"/>
              </w:rPr>
            </w:pPr>
            <w:r>
              <w:rPr>
                <w:bCs/>
                <w:lang w:val="lv-LV"/>
              </w:rPr>
              <w:t>vēdersāpes</w:t>
            </w:r>
          </w:p>
        </w:tc>
      </w:tr>
      <w:tr w:rsidR="00A72040" w:rsidRPr="00E55672" w14:paraId="7DB1AFDB" w14:textId="77777777" w:rsidTr="00543FC5">
        <w:tc>
          <w:tcPr>
            <w:tcW w:w="3402" w:type="dxa"/>
            <w:vAlign w:val="center"/>
          </w:tcPr>
          <w:p w14:paraId="09AF80C4" w14:textId="77777777" w:rsidR="00A72040" w:rsidRPr="00543FC5" w:rsidRDefault="00A72040" w:rsidP="00493573">
            <w:pPr>
              <w:pStyle w:val="EMEABodyText"/>
              <w:rPr>
                <w:bCs/>
                <w:i/>
                <w:lang w:val="lv-LV"/>
              </w:rPr>
            </w:pPr>
            <w:r w:rsidRPr="00543FC5">
              <w:rPr>
                <w:bCs/>
                <w:i/>
                <w:lang w:val="lv-LV"/>
              </w:rPr>
              <w:t>Aknu un/vai žults izvades sistēmas traucējumi</w:t>
            </w:r>
          </w:p>
        </w:tc>
        <w:tc>
          <w:tcPr>
            <w:tcW w:w="1276" w:type="dxa"/>
          </w:tcPr>
          <w:p w14:paraId="2CEB8618"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6284049C" w14:textId="77777777" w:rsidR="00A72040" w:rsidRPr="00906F83" w:rsidRDefault="0043505C" w:rsidP="00493573">
            <w:pPr>
              <w:pStyle w:val="EMEABodyText"/>
              <w:rPr>
                <w:bCs/>
                <w:lang w:val="lv-LV"/>
              </w:rPr>
            </w:pPr>
            <w:r>
              <w:rPr>
                <w:bCs/>
                <w:lang w:val="lv-LV"/>
              </w:rPr>
              <w:t>hepatīts</w:t>
            </w:r>
          </w:p>
        </w:tc>
      </w:tr>
      <w:tr w:rsidR="00A72040" w:rsidRPr="00E55672" w14:paraId="0CC9A14B" w14:textId="77777777" w:rsidTr="00543FC5">
        <w:tc>
          <w:tcPr>
            <w:tcW w:w="3402" w:type="dxa"/>
            <w:vAlign w:val="center"/>
          </w:tcPr>
          <w:p w14:paraId="24B466F0" w14:textId="77777777" w:rsidR="00A72040" w:rsidRPr="00543FC5" w:rsidRDefault="00A72040" w:rsidP="00493573">
            <w:pPr>
              <w:pStyle w:val="EMEABodyText"/>
              <w:rPr>
                <w:i/>
                <w:lang w:val="lv-LV"/>
              </w:rPr>
            </w:pPr>
            <w:r w:rsidRPr="00543FC5">
              <w:rPr>
                <w:i/>
                <w:lang w:val="lv-LV"/>
              </w:rPr>
              <w:t>Imūnās sistēmas traucējumi</w:t>
            </w:r>
          </w:p>
        </w:tc>
        <w:tc>
          <w:tcPr>
            <w:tcW w:w="1276" w:type="dxa"/>
          </w:tcPr>
          <w:p w14:paraId="37DDBAC3"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50529FCF" w14:textId="77777777" w:rsidR="00A72040" w:rsidRPr="00906F83" w:rsidRDefault="0043505C" w:rsidP="000A3D9D">
            <w:pPr>
              <w:pStyle w:val="EMEABodyText"/>
              <w:rPr>
                <w:lang w:val="lv-LV"/>
              </w:rPr>
            </w:pPr>
            <w:r>
              <w:rPr>
                <w:bCs/>
                <w:lang w:val="lv-LV"/>
              </w:rPr>
              <w:t xml:space="preserve">anafilaktiska </w:t>
            </w:r>
            <w:r w:rsidR="00A72040">
              <w:rPr>
                <w:bCs/>
                <w:lang w:val="lv-LV"/>
              </w:rPr>
              <w:t>reakcija, paaugstināta jutība</w:t>
            </w:r>
          </w:p>
        </w:tc>
      </w:tr>
      <w:tr w:rsidR="00A72040" w:rsidRPr="00E55672" w14:paraId="251B352D" w14:textId="77777777" w:rsidTr="00543FC5">
        <w:tc>
          <w:tcPr>
            <w:tcW w:w="3402" w:type="dxa"/>
            <w:vAlign w:val="center"/>
          </w:tcPr>
          <w:p w14:paraId="2E3D6C99" w14:textId="77777777" w:rsidR="00A72040" w:rsidRPr="00543FC5" w:rsidRDefault="00A72040" w:rsidP="00493573">
            <w:pPr>
              <w:pStyle w:val="EMEABodyText"/>
              <w:rPr>
                <w:i/>
                <w:lang w:val="lv-LV"/>
              </w:rPr>
            </w:pPr>
            <w:r w:rsidRPr="00543FC5">
              <w:rPr>
                <w:i/>
                <w:lang w:val="lv-LV"/>
              </w:rPr>
              <w:t>Ādas un zemādas audu bojājumi</w:t>
            </w:r>
          </w:p>
        </w:tc>
        <w:tc>
          <w:tcPr>
            <w:tcW w:w="1276" w:type="dxa"/>
          </w:tcPr>
          <w:p w14:paraId="057C05D3" w14:textId="77777777" w:rsidR="00A72040" w:rsidRPr="00906F83" w:rsidRDefault="00A72040" w:rsidP="00493573">
            <w:pPr>
              <w:pStyle w:val="EMEABodyText"/>
              <w:rPr>
                <w:bCs/>
                <w:lang w:val="lv-LV"/>
              </w:rPr>
            </w:pPr>
            <w:r w:rsidRPr="00906F83">
              <w:rPr>
                <w:bCs/>
                <w:lang w:val="lv-LV"/>
              </w:rPr>
              <w:t>Nav zināmi</w:t>
            </w:r>
          </w:p>
        </w:tc>
        <w:tc>
          <w:tcPr>
            <w:tcW w:w="4111" w:type="dxa"/>
            <w:vAlign w:val="center"/>
          </w:tcPr>
          <w:p w14:paraId="01F813C6" w14:textId="77777777" w:rsidR="00A72040" w:rsidRPr="00906F83" w:rsidRDefault="0043505C" w:rsidP="00493573">
            <w:pPr>
              <w:pStyle w:val="EMEABodyText"/>
              <w:rPr>
                <w:bCs/>
                <w:lang w:val="lv-LV"/>
              </w:rPr>
            </w:pPr>
            <w:r>
              <w:rPr>
                <w:bCs/>
                <w:lang w:val="lv-LV"/>
              </w:rPr>
              <w:t>angioedēma</w:t>
            </w:r>
            <w:r w:rsidR="00A72040">
              <w:rPr>
                <w:bCs/>
                <w:lang w:val="lv-LV"/>
              </w:rPr>
              <w:t>, dermatīts, nieze, izsitumi, nātrene</w:t>
            </w:r>
          </w:p>
        </w:tc>
      </w:tr>
    </w:tbl>
    <w:p w14:paraId="1FD3B334" w14:textId="77777777" w:rsidR="00A72040" w:rsidRDefault="00A72040" w:rsidP="00993DE7">
      <w:pPr>
        <w:tabs>
          <w:tab w:val="clear" w:pos="567"/>
        </w:tabs>
        <w:spacing w:line="240" w:lineRule="auto"/>
      </w:pPr>
    </w:p>
    <w:p w14:paraId="178E90AF" w14:textId="77777777" w:rsidR="00A72040" w:rsidRPr="008D1D16" w:rsidRDefault="00A72040" w:rsidP="00543FC5">
      <w:pPr>
        <w:autoSpaceDE w:val="0"/>
        <w:autoSpaceDN w:val="0"/>
        <w:adjustRightInd w:val="0"/>
        <w:spacing w:line="240" w:lineRule="auto"/>
        <w:rPr>
          <w:szCs w:val="22"/>
          <w:u w:val="single"/>
        </w:rPr>
      </w:pPr>
      <w:r w:rsidRPr="008D1D16">
        <w:rPr>
          <w:szCs w:val="22"/>
          <w:u w:val="single"/>
        </w:rPr>
        <w:t>Ziņošana par iespējamām nevēlamām blakusparādībām</w:t>
      </w:r>
    </w:p>
    <w:p w14:paraId="5351454B" w14:textId="77777777" w:rsidR="00A72040" w:rsidRPr="00543FC5" w:rsidRDefault="00A72040" w:rsidP="00543FC5">
      <w:pPr>
        <w:autoSpaceDE w:val="0"/>
        <w:autoSpaceDN w:val="0"/>
        <w:adjustRightInd w:val="0"/>
        <w:spacing w:line="240" w:lineRule="auto"/>
      </w:pPr>
      <w:r w:rsidRPr="008D1D16">
        <w:rPr>
          <w:szCs w:val="22"/>
        </w:rPr>
        <w:t>Ir svarīgi ziņot par iespējamām nevēlamām blakusparādībām pēc zāļu reģistrācijas.</w:t>
      </w:r>
      <w:r>
        <w:rPr>
          <w:szCs w:val="22"/>
        </w:rPr>
        <w:t xml:space="preserve"> </w:t>
      </w:r>
      <w:r w:rsidRPr="008D1D16">
        <w:rPr>
          <w:szCs w:val="22"/>
        </w:rPr>
        <w:t>Tādējādi zāļu ieguvumu/riska attiecība tiek nepārtraukti uzraudzīta</w:t>
      </w:r>
      <w:r w:rsidRPr="0071252F">
        <w:rPr>
          <w:szCs w:val="22"/>
        </w:rPr>
        <w:t>. Veselības aprūpes speciālisti tiek lūgti ziņot par jebkādām iespējamām nevēlamām blakusparādībām</w:t>
      </w:r>
      <w:r w:rsidR="0043505C" w:rsidRPr="00DE1D28">
        <w:rPr>
          <w:rFonts w:eastAsia="Calibri"/>
          <w:color w:val="000000"/>
          <w:szCs w:val="22"/>
        </w:rPr>
        <w:t xml:space="preserve"> Zāļu valsts aģentūrai, Jersikas ielā 15, Rīgā, LV 1003.  Tīmekļa vietne: </w:t>
      </w:r>
      <w:hyperlink r:id="rId8" w:history="1">
        <w:r w:rsidR="0043505C" w:rsidRPr="00DE1D28">
          <w:rPr>
            <w:rFonts w:eastAsia="Calibri"/>
            <w:color w:val="0000FF"/>
            <w:szCs w:val="22"/>
            <w:u w:val="single"/>
          </w:rPr>
          <w:t>www.zva.gov.lv</w:t>
        </w:r>
      </w:hyperlink>
      <w:r w:rsidRPr="0071252F">
        <w:rPr>
          <w:szCs w:val="22"/>
        </w:rPr>
        <w:t xml:space="preserve"> </w:t>
      </w:r>
    </w:p>
    <w:p w14:paraId="6FDC1F2B" w14:textId="77777777" w:rsidR="00993DE7" w:rsidRPr="00543FC5" w:rsidRDefault="00993DE7" w:rsidP="00993DE7">
      <w:pPr>
        <w:tabs>
          <w:tab w:val="clear" w:pos="567"/>
        </w:tabs>
        <w:spacing w:line="240" w:lineRule="auto"/>
        <w:ind w:left="567" w:hanging="567"/>
      </w:pPr>
    </w:p>
    <w:p w14:paraId="6AA4950D" w14:textId="77777777" w:rsidR="00993DE7" w:rsidRPr="00543FC5" w:rsidRDefault="00993DE7" w:rsidP="00993DE7">
      <w:pPr>
        <w:tabs>
          <w:tab w:val="clear" w:pos="567"/>
        </w:tabs>
        <w:spacing w:line="240" w:lineRule="auto"/>
        <w:ind w:left="567" w:hanging="567"/>
      </w:pPr>
      <w:r w:rsidRPr="00543FC5">
        <w:rPr>
          <w:b/>
        </w:rPr>
        <w:t>4.9</w:t>
      </w:r>
      <w:r w:rsidR="009751B6">
        <w:rPr>
          <w:b/>
        </w:rPr>
        <w:t>.</w:t>
      </w:r>
      <w:r w:rsidRPr="00543FC5">
        <w:rPr>
          <w:b/>
        </w:rPr>
        <w:tab/>
        <w:t>Pārdozēšana</w:t>
      </w:r>
    </w:p>
    <w:p w14:paraId="46F70B3C" w14:textId="77777777" w:rsidR="00993DE7" w:rsidRPr="00543FC5" w:rsidRDefault="00993DE7" w:rsidP="00993DE7">
      <w:pPr>
        <w:tabs>
          <w:tab w:val="clear" w:pos="567"/>
        </w:tabs>
        <w:spacing w:line="240" w:lineRule="auto"/>
        <w:ind w:left="567" w:hanging="567"/>
      </w:pPr>
    </w:p>
    <w:p w14:paraId="0E76CBC6" w14:textId="77777777" w:rsidR="00993DE7" w:rsidRPr="00543FC5" w:rsidRDefault="00993DE7" w:rsidP="00993DE7">
      <w:pPr>
        <w:tabs>
          <w:tab w:val="clear" w:pos="567"/>
        </w:tabs>
        <w:spacing w:line="240" w:lineRule="auto"/>
        <w:ind w:left="567" w:hanging="567"/>
        <w:rPr>
          <w:b/>
        </w:rPr>
      </w:pPr>
      <w:r w:rsidRPr="00543FC5">
        <w:rPr>
          <w:b/>
        </w:rPr>
        <w:t>Paracetamols</w:t>
      </w:r>
    </w:p>
    <w:p w14:paraId="7E742FA3" w14:textId="77777777" w:rsidR="00993DE7" w:rsidRDefault="00A72040" w:rsidP="00993DE7">
      <w:pPr>
        <w:tabs>
          <w:tab w:val="clear" w:pos="567"/>
        </w:tabs>
        <w:spacing w:line="240" w:lineRule="auto"/>
      </w:pPr>
      <w:r>
        <w:t xml:space="preserve">Pacientiem ar aknu slimību, </w:t>
      </w:r>
      <w:r w:rsidR="009751B6">
        <w:t>hroniskiem uztura uzņemšanas traucējumiem</w:t>
      </w:r>
      <w:r>
        <w:t xml:space="preserve">, hronisku alkoholismu un pacientiem, </w:t>
      </w:r>
      <w:r w:rsidR="009751B6">
        <w:t xml:space="preserve">kuri </w:t>
      </w:r>
      <w:r>
        <w:t>lieto aknu enzīmu inducētājus, kā arī g</w:t>
      </w:r>
      <w:r w:rsidR="00993DE7" w:rsidRPr="00543FC5">
        <w:t xml:space="preserve">ados vecākiem pacientiem un </w:t>
      </w:r>
      <w:r w:rsidR="00993DE7" w:rsidRPr="00543FC5">
        <w:rPr>
          <w:u w:val="single"/>
        </w:rPr>
        <w:t>it īpaši maziem bērniem</w:t>
      </w:r>
      <w:r w:rsidR="00993DE7" w:rsidRPr="00543FC5">
        <w:t xml:space="preserve"> </w:t>
      </w:r>
      <w:r>
        <w:t>ir lielāks</w:t>
      </w:r>
      <w:r w:rsidRPr="00543FC5">
        <w:t xml:space="preserve"> </w:t>
      </w:r>
      <w:r w:rsidR="00993DE7" w:rsidRPr="00543FC5">
        <w:t xml:space="preserve">saindēšanās risks (bieža ir gan pārdozēšana, </w:t>
      </w:r>
      <w:r w:rsidR="009751B6">
        <w:t xml:space="preserve">lietojot terapeitiskā nolūkā </w:t>
      </w:r>
      <w:r w:rsidR="00993DE7" w:rsidRPr="00543FC5">
        <w:t>gan nejauša saindēšanās); tā var izraisīt nāvi</w:t>
      </w:r>
      <w:r>
        <w:t xml:space="preserve"> (skatīt 4.4. apakšpunktu)</w:t>
      </w:r>
      <w:r w:rsidR="00993DE7" w:rsidRPr="00543FC5">
        <w:t xml:space="preserve">. </w:t>
      </w:r>
    </w:p>
    <w:p w14:paraId="4A546FB5" w14:textId="77777777" w:rsidR="00993DE7" w:rsidRPr="00543FC5" w:rsidRDefault="00993DE7" w:rsidP="00993DE7">
      <w:pPr>
        <w:tabs>
          <w:tab w:val="clear" w:pos="567"/>
        </w:tabs>
        <w:spacing w:line="240" w:lineRule="auto"/>
      </w:pPr>
    </w:p>
    <w:p w14:paraId="244E5762" w14:textId="77777777" w:rsidR="00993DE7" w:rsidRPr="00543FC5" w:rsidRDefault="00993DE7" w:rsidP="00993DE7">
      <w:pPr>
        <w:tabs>
          <w:tab w:val="clear" w:pos="567"/>
        </w:tabs>
        <w:spacing w:line="240" w:lineRule="auto"/>
      </w:pPr>
      <w:r w:rsidRPr="00543FC5">
        <w:rPr>
          <w:u w:val="single"/>
        </w:rPr>
        <w:t>Simptomi:</w:t>
      </w:r>
      <w:r w:rsidRPr="00543FC5">
        <w:t xml:space="preserve"> parasti pirmo 24 stundu laikā rodas slikta dūša, vemšana, ēstgribas trūkums, </w:t>
      </w:r>
      <w:r w:rsidR="00A72040">
        <w:t xml:space="preserve">svīšana, </w:t>
      </w:r>
      <w:r w:rsidRPr="00543FC5">
        <w:t>bālums</w:t>
      </w:r>
      <w:r w:rsidR="00C452B1">
        <w:t xml:space="preserve">, </w:t>
      </w:r>
      <w:r w:rsidR="00A72040">
        <w:t>savārgums</w:t>
      </w:r>
      <w:r w:rsidR="00C452B1">
        <w:t xml:space="preserve"> un diaforēze</w:t>
      </w:r>
      <w:r w:rsidRPr="00543FC5">
        <w:t>.</w:t>
      </w:r>
    </w:p>
    <w:p w14:paraId="6C7B2244" w14:textId="77777777" w:rsidR="00993DE7" w:rsidRPr="00543FC5" w:rsidRDefault="00993DE7" w:rsidP="00993DE7">
      <w:pPr>
        <w:tabs>
          <w:tab w:val="clear" w:pos="567"/>
        </w:tabs>
        <w:spacing w:line="240" w:lineRule="auto"/>
        <w:ind w:left="567" w:hanging="567"/>
      </w:pPr>
    </w:p>
    <w:p w14:paraId="4ADE7879" w14:textId="77777777" w:rsidR="00993DE7" w:rsidRDefault="00993DE7" w:rsidP="00993DE7">
      <w:pPr>
        <w:tabs>
          <w:tab w:val="clear" w:pos="567"/>
        </w:tabs>
        <w:spacing w:line="240" w:lineRule="auto"/>
      </w:pPr>
      <w:r w:rsidRPr="00543FC5">
        <w:t xml:space="preserve">Paracetamola pārdozēšana, ja pieaugušie </w:t>
      </w:r>
      <w:r w:rsidR="00A72040">
        <w:t xml:space="preserve">vienā devā </w:t>
      </w:r>
      <w:r w:rsidRPr="00543FC5">
        <w:t xml:space="preserve">lietojuši vairāk par </w:t>
      </w:r>
      <w:r w:rsidR="00A72040">
        <w:t>7,5</w:t>
      </w:r>
      <w:r w:rsidR="00A72040" w:rsidRPr="00543FC5">
        <w:t> </w:t>
      </w:r>
      <w:r w:rsidRPr="00543FC5">
        <w:t xml:space="preserve">g un bērni </w:t>
      </w:r>
      <w:r w:rsidR="00A72040">
        <w:t xml:space="preserve">vienā devā </w:t>
      </w:r>
      <w:r w:rsidRPr="00543FC5">
        <w:t xml:space="preserve">lietojuši vairāk par </w:t>
      </w:r>
      <w:r w:rsidR="00A72040">
        <w:t>140</w:t>
      </w:r>
      <w:r w:rsidR="00A72040" w:rsidRPr="00543FC5">
        <w:t> </w:t>
      </w:r>
      <w:r w:rsidRPr="00543FC5">
        <w:t>mg/kg ķermeņa masas, var izraisīt aknu citolīzi, kas var inducēt pilnīgu un neatgriezenisku nekrozi, pēc kuras rodas hepatocelulār</w:t>
      </w:r>
      <w:r w:rsidR="009751B6">
        <w:t xml:space="preserve">a </w:t>
      </w:r>
      <w:r w:rsidRPr="00543FC5">
        <w:t>mazspēja, metaboliska acidoze</w:t>
      </w:r>
      <w:r w:rsidR="009751B6">
        <w:t xml:space="preserve"> un</w:t>
      </w:r>
      <w:r w:rsidRPr="00543FC5">
        <w:t xml:space="preserve"> encefalopātija, kas var izraisīt komu un nāvi.</w:t>
      </w:r>
    </w:p>
    <w:p w14:paraId="53C097D7" w14:textId="77777777" w:rsidR="002E1D80" w:rsidRDefault="002E1D80" w:rsidP="00993DE7">
      <w:pPr>
        <w:tabs>
          <w:tab w:val="clear" w:pos="567"/>
        </w:tabs>
        <w:spacing w:line="240" w:lineRule="auto"/>
      </w:pPr>
    </w:p>
    <w:p w14:paraId="1E8E03CD" w14:textId="77777777" w:rsidR="00993DE7" w:rsidRPr="00543FC5" w:rsidRDefault="00993DE7" w:rsidP="00993DE7">
      <w:pPr>
        <w:tabs>
          <w:tab w:val="clear" w:pos="567"/>
        </w:tabs>
        <w:spacing w:line="240" w:lineRule="auto"/>
      </w:pPr>
      <w:r w:rsidRPr="00543FC5">
        <w:t xml:space="preserve">Vienlaikus novēro palielinātu aknu transamināžu, laktātdehidrogenāzes un bilirubīna līmeni un samazinātu protrombīna līmeni, kas var rasties 12 līdz 48 stundas pēc zāļu lietošanas. </w:t>
      </w:r>
      <w:r w:rsidR="00A72040">
        <w:t xml:space="preserve">Aknu bojājuma klīniskie simptomi parasti izpaužas pēc 1 līdz 2 dienām, bet sasniedz maksimumu pēc 3 līdz 4 dienām. </w:t>
      </w:r>
    </w:p>
    <w:p w14:paraId="49348A24" w14:textId="77777777" w:rsidR="00250A7A" w:rsidRPr="003A137C" w:rsidRDefault="00250A7A" w:rsidP="00250A7A">
      <w:pPr>
        <w:tabs>
          <w:tab w:val="clear" w:pos="567"/>
        </w:tabs>
        <w:spacing w:line="240" w:lineRule="auto"/>
        <w:rPr>
          <w:szCs w:val="22"/>
          <w:lang w:eastAsia="en-GB"/>
        </w:rPr>
      </w:pPr>
      <w:r w:rsidRPr="003A137C">
        <w:rPr>
          <w:szCs w:val="22"/>
          <w:lang w:eastAsia="en-GB"/>
        </w:rPr>
        <w:t xml:space="preserve">Ir novēroti reti akūta pankreatīta gadījumi. </w:t>
      </w:r>
    </w:p>
    <w:p w14:paraId="7FA46988" w14:textId="77777777" w:rsidR="00993DE7" w:rsidRPr="003A137C" w:rsidRDefault="00993DE7" w:rsidP="00993DE7">
      <w:pPr>
        <w:tabs>
          <w:tab w:val="clear" w:pos="567"/>
        </w:tabs>
        <w:spacing w:line="240" w:lineRule="auto"/>
      </w:pPr>
    </w:p>
    <w:p w14:paraId="61717A2B" w14:textId="77777777" w:rsidR="00993DE7" w:rsidRPr="00543FC5" w:rsidRDefault="00993DE7" w:rsidP="00993DE7">
      <w:pPr>
        <w:tabs>
          <w:tab w:val="clear" w:pos="567"/>
        </w:tabs>
        <w:spacing w:line="240" w:lineRule="auto"/>
        <w:rPr>
          <w:u w:val="single"/>
        </w:rPr>
      </w:pPr>
      <w:r w:rsidRPr="00543FC5">
        <w:rPr>
          <w:u w:val="single"/>
        </w:rPr>
        <w:t>Neatliekamās palīdzības pasākumi</w:t>
      </w:r>
    </w:p>
    <w:p w14:paraId="5968B5E3" w14:textId="77777777" w:rsidR="00993DE7" w:rsidRPr="00543FC5" w:rsidRDefault="00993DE7" w:rsidP="00993DE7">
      <w:pPr>
        <w:numPr>
          <w:ilvl w:val="0"/>
          <w:numId w:val="1"/>
        </w:numPr>
        <w:tabs>
          <w:tab w:val="clear" w:pos="720"/>
          <w:tab w:val="num" w:pos="567"/>
        </w:tabs>
        <w:spacing w:line="240" w:lineRule="auto"/>
        <w:ind w:left="567" w:hanging="567"/>
      </w:pPr>
      <w:r w:rsidRPr="00543FC5">
        <w:t>Tūlītēja stacionēšana.</w:t>
      </w:r>
    </w:p>
    <w:p w14:paraId="21169F62" w14:textId="77777777" w:rsidR="00993DE7" w:rsidRPr="00543FC5" w:rsidRDefault="00993DE7" w:rsidP="00993DE7">
      <w:pPr>
        <w:numPr>
          <w:ilvl w:val="0"/>
          <w:numId w:val="1"/>
        </w:numPr>
        <w:tabs>
          <w:tab w:val="clear" w:pos="720"/>
          <w:tab w:val="num" w:pos="567"/>
        </w:tabs>
        <w:spacing w:line="240" w:lineRule="auto"/>
        <w:ind w:left="567" w:hanging="567"/>
      </w:pPr>
      <w:r w:rsidRPr="00543FC5">
        <w:t>Zāles ātri jāizvada, veicot kuņģa skalošanu.</w:t>
      </w:r>
    </w:p>
    <w:p w14:paraId="7BED24E0" w14:textId="77777777" w:rsidR="00993DE7" w:rsidRPr="00543FC5" w:rsidRDefault="00993DE7" w:rsidP="00993DE7">
      <w:pPr>
        <w:numPr>
          <w:ilvl w:val="0"/>
          <w:numId w:val="1"/>
        </w:numPr>
        <w:tabs>
          <w:tab w:val="clear" w:pos="720"/>
          <w:tab w:val="num" w:pos="567"/>
        </w:tabs>
        <w:spacing w:line="240" w:lineRule="auto"/>
        <w:ind w:left="567" w:hanging="567"/>
      </w:pPr>
      <w:r w:rsidRPr="00543FC5">
        <w:t>Pirms ārstēšanas uzsākšanas jāpaņem asins analīze, lai noteiktu paracetamola koncentrāciju plazmā</w:t>
      </w:r>
      <w:r w:rsidR="00A72040">
        <w:t>; tas jāveic, cik ātri vien iespējams, bet ne ātrāk par 4 stundām pēc paracetamola norīšanas</w:t>
      </w:r>
      <w:r w:rsidRPr="00543FC5">
        <w:t>.</w:t>
      </w:r>
    </w:p>
    <w:p w14:paraId="53ACA101" w14:textId="77777777" w:rsidR="00A72040" w:rsidRDefault="00993DE7" w:rsidP="00A72040">
      <w:pPr>
        <w:numPr>
          <w:ilvl w:val="0"/>
          <w:numId w:val="1"/>
        </w:numPr>
        <w:tabs>
          <w:tab w:val="clear" w:pos="720"/>
          <w:tab w:val="num" w:pos="567"/>
        </w:tabs>
        <w:spacing w:line="240" w:lineRule="auto"/>
        <w:ind w:left="567" w:hanging="567"/>
      </w:pPr>
      <w:r w:rsidRPr="00543FC5">
        <w:t xml:space="preserve">Pārdozēšanas gadījumā parasti pēc iespējas ātri, ja iespējams </w:t>
      </w:r>
      <w:r w:rsidRPr="00543FC5">
        <w:rPr>
          <w:u w:val="single"/>
        </w:rPr>
        <w:t>10 stundu laikā pēc lietošanas</w:t>
      </w:r>
      <w:r w:rsidRPr="00543FC5">
        <w:t xml:space="preserve">, </w:t>
      </w:r>
      <w:r w:rsidR="007D5C76">
        <w:rPr>
          <w:lang w:val="sv-SE"/>
        </w:rPr>
        <w:t xml:space="preserve">iekšķīgi vai </w:t>
      </w:r>
      <w:r w:rsidRPr="00543FC5">
        <w:t>intravenozi ievada antidotu N-acetilcisteīnu.</w:t>
      </w:r>
      <w:r w:rsidR="00A72040">
        <w:t xml:space="preserve"> N-acetilcisteīns var nodrošināt </w:t>
      </w:r>
      <w:r w:rsidR="00505E18">
        <w:t xml:space="preserve">zināmu </w:t>
      </w:r>
      <w:r w:rsidR="00A72040">
        <w:t>aizsardzīb</w:t>
      </w:r>
      <w:r w:rsidR="00505E18">
        <w:t>u</w:t>
      </w:r>
      <w:r w:rsidR="00A72040">
        <w:t xml:space="preserve"> pa</w:t>
      </w:r>
      <w:r w:rsidR="00CD2596">
        <w:t>t</w:t>
      </w:r>
      <w:r w:rsidR="00A72040">
        <w:t xml:space="preserve"> pēc 16 stundām. </w:t>
      </w:r>
    </w:p>
    <w:p w14:paraId="20A9987A" w14:textId="77777777" w:rsidR="00993DE7" w:rsidRDefault="00993DE7" w:rsidP="00993DE7">
      <w:pPr>
        <w:numPr>
          <w:ilvl w:val="0"/>
          <w:numId w:val="1"/>
        </w:numPr>
        <w:tabs>
          <w:tab w:val="clear" w:pos="720"/>
          <w:tab w:val="num" w:pos="567"/>
        </w:tabs>
        <w:spacing w:line="240" w:lineRule="auto"/>
        <w:ind w:left="567" w:hanging="567"/>
      </w:pPr>
      <w:r w:rsidRPr="00543FC5">
        <w:t>Simptomātiska terapija.</w:t>
      </w:r>
    </w:p>
    <w:p w14:paraId="254B567D" w14:textId="77777777" w:rsidR="00A72040" w:rsidRPr="00543FC5" w:rsidRDefault="0055145C" w:rsidP="00993DE7">
      <w:pPr>
        <w:numPr>
          <w:ilvl w:val="0"/>
          <w:numId w:val="1"/>
        </w:numPr>
        <w:tabs>
          <w:tab w:val="clear" w:pos="720"/>
          <w:tab w:val="num" w:pos="567"/>
        </w:tabs>
        <w:spacing w:line="240" w:lineRule="auto"/>
        <w:ind w:left="567" w:hanging="567"/>
      </w:pPr>
      <w:r>
        <w:t xml:space="preserve">Terapijas sākumā un ik pēc 24 stundām jāveic aknu funkciju testi. Vairumā gadījumu aknu transamināžu līmenis normalizējas 1 līdz 2 nedēļu laikā pēc pilnīgas aknu funkciju atjaunošanās. Taču ļoti smagos gadījumos var būt nepieciešama aknu transplantācija. </w:t>
      </w:r>
    </w:p>
    <w:p w14:paraId="5641CEE7" w14:textId="77777777" w:rsidR="004E67C3" w:rsidRDefault="004E67C3" w:rsidP="004E67C3">
      <w:pPr>
        <w:tabs>
          <w:tab w:val="clear" w:pos="567"/>
        </w:tabs>
        <w:spacing w:line="240" w:lineRule="auto"/>
        <w:rPr>
          <w:sz w:val="24"/>
          <w:szCs w:val="24"/>
          <w:lang w:eastAsia="en-GB"/>
        </w:rPr>
      </w:pPr>
    </w:p>
    <w:p w14:paraId="35AB576C" w14:textId="77777777" w:rsidR="00993DE7" w:rsidRPr="00543FC5" w:rsidRDefault="00993DE7" w:rsidP="00993DE7">
      <w:pPr>
        <w:tabs>
          <w:tab w:val="clear" w:pos="567"/>
        </w:tabs>
        <w:spacing w:line="240" w:lineRule="auto"/>
        <w:rPr>
          <w:b/>
        </w:rPr>
      </w:pPr>
      <w:r w:rsidRPr="00543FC5">
        <w:rPr>
          <w:b/>
        </w:rPr>
        <w:t>C vitamīns</w:t>
      </w:r>
    </w:p>
    <w:p w14:paraId="0945AC78" w14:textId="77777777" w:rsidR="00505E18" w:rsidRDefault="00993DE7" w:rsidP="00993DE7">
      <w:pPr>
        <w:tabs>
          <w:tab w:val="clear" w:pos="567"/>
        </w:tabs>
        <w:spacing w:line="240" w:lineRule="auto"/>
      </w:pPr>
      <w:r w:rsidRPr="00543FC5">
        <w:t xml:space="preserve">Askorbīnskābes daudzums, kas pārsniedz organismam nepieciešamo, neizmainītā veidā ātri izdalās urīnā. Askorbīnskābi var izdalīt ar hemodialīzi. </w:t>
      </w:r>
    </w:p>
    <w:p w14:paraId="50F63017" w14:textId="77777777" w:rsidR="00993DE7" w:rsidRPr="00543FC5" w:rsidRDefault="00993DE7" w:rsidP="00993DE7">
      <w:pPr>
        <w:tabs>
          <w:tab w:val="clear" w:pos="567"/>
        </w:tabs>
        <w:spacing w:line="240" w:lineRule="auto"/>
      </w:pPr>
      <w:r w:rsidRPr="00543FC5">
        <w:t>Pacientiem ar G6</w:t>
      </w:r>
      <w:r w:rsidR="00505E18">
        <w:t>F</w:t>
      </w:r>
      <w:r w:rsidRPr="00543FC5">
        <w:t>D deficītu lielas askorbīnskābes devas var izraisīt hemolīzi.</w:t>
      </w:r>
    </w:p>
    <w:p w14:paraId="0F9FBA8D" w14:textId="77777777" w:rsidR="00993DE7" w:rsidRPr="00543FC5" w:rsidRDefault="00993DE7" w:rsidP="00993DE7">
      <w:pPr>
        <w:tabs>
          <w:tab w:val="clear" w:pos="567"/>
        </w:tabs>
        <w:spacing w:line="240" w:lineRule="auto"/>
      </w:pPr>
    </w:p>
    <w:p w14:paraId="7DC45EAD" w14:textId="77777777" w:rsidR="00993DE7" w:rsidRPr="00543FC5" w:rsidRDefault="00993DE7" w:rsidP="00993DE7">
      <w:pPr>
        <w:tabs>
          <w:tab w:val="clear" w:pos="567"/>
        </w:tabs>
        <w:spacing w:line="240" w:lineRule="auto"/>
        <w:ind w:left="567" w:hanging="567"/>
      </w:pPr>
    </w:p>
    <w:p w14:paraId="71712089" w14:textId="77777777" w:rsidR="00993DE7" w:rsidRPr="00543FC5" w:rsidRDefault="00993DE7" w:rsidP="00993DE7">
      <w:pPr>
        <w:tabs>
          <w:tab w:val="clear" w:pos="567"/>
        </w:tabs>
        <w:spacing w:line="240" w:lineRule="auto"/>
        <w:ind w:left="567" w:hanging="567"/>
        <w:rPr>
          <w:b/>
        </w:rPr>
      </w:pPr>
      <w:r w:rsidRPr="00543FC5">
        <w:rPr>
          <w:b/>
        </w:rPr>
        <w:t>5.</w:t>
      </w:r>
      <w:r w:rsidRPr="00543FC5">
        <w:rPr>
          <w:b/>
        </w:rPr>
        <w:tab/>
        <w:t xml:space="preserve">FARMAKOLOĢISKĀS ĪPAŠĪBAS </w:t>
      </w:r>
    </w:p>
    <w:p w14:paraId="1BFA1431" w14:textId="77777777" w:rsidR="00993DE7" w:rsidRPr="00543FC5" w:rsidRDefault="00993DE7" w:rsidP="00993DE7">
      <w:pPr>
        <w:tabs>
          <w:tab w:val="clear" w:pos="567"/>
        </w:tabs>
        <w:spacing w:line="240" w:lineRule="auto"/>
        <w:ind w:left="567" w:hanging="567"/>
      </w:pPr>
    </w:p>
    <w:p w14:paraId="63E56F58" w14:textId="77777777" w:rsidR="00993DE7" w:rsidRPr="00543FC5" w:rsidRDefault="00993DE7" w:rsidP="00993DE7">
      <w:pPr>
        <w:tabs>
          <w:tab w:val="clear" w:pos="567"/>
        </w:tabs>
        <w:spacing w:line="240" w:lineRule="auto"/>
        <w:ind w:left="567" w:hanging="567"/>
      </w:pPr>
      <w:r w:rsidRPr="00543FC5">
        <w:rPr>
          <w:b/>
        </w:rPr>
        <w:t>5.1</w:t>
      </w:r>
      <w:r w:rsidR="00FF3E04">
        <w:rPr>
          <w:b/>
        </w:rPr>
        <w:t>.</w:t>
      </w:r>
      <w:r w:rsidRPr="00543FC5">
        <w:rPr>
          <w:b/>
        </w:rPr>
        <w:tab/>
        <w:t>Farmakodinamiskās īpašības</w:t>
      </w:r>
    </w:p>
    <w:p w14:paraId="73ED711C" w14:textId="77777777" w:rsidR="00993DE7" w:rsidRPr="00543FC5" w:rsidRDefault="00993DE7" w:rsidP="00993DE7">
      <w:pPr>
        <w:ind w:left="567" w:hanging="567"/>
      </w:pPr>
    </w:p>
    <w:p w14:paraId="77193FD2" w14:textId="77777777" w:rsidR="00993DE7" w:rsidRPr="00543FC5" w:rsidRDefault="00993DE7" w:rsidP="00993DE7">
      <w:pPr>
        <w:tabs>
          <w:tab w:val="clear" w:pos="567"/>
        </w:tabs>
        <w:spacing w:line="240" w:lineRule="auto"/>
        <w:ind w:left="567" w:hanging="567"/>
      </w:pPr>
      <w:r w:rsidRPr="00543FC5">
        <w:t>Farmakoterapeitiskā grupa: citi pretsāpju un pretdrudža līdzekļi</w:t>
      </w:r>
      <w:r w:rsidR="00C14B77">
        <w:t>, anilīna atvasinājumi</w:t>
      </w:r>
      <w:r w:rsidRPr="00543FC5">
        <w:t xml:space="preserve">. </w:t>
      </w:r>
    </w:p>
    <w:p w14:paraId="1EB256D9" w14:textId="77777777" w:rsidR="00993DE7" w:rsidRPr="00543FC5" w:rsidRDefault="00993DE7" w:rsidP="00993DE7">
      <w:pPr>
        <w:tabs>
          <w:tab w:val="clear" w:pos="567"/>
        </w:tabs>
        <w:spacing w:line="240" w:lineRule="auto"/>
        <w:ind w:left="567" w:hanging="567"/>
      </w:pPr>
      <w:r w:rsidRPr="00543FC5">
        <w:t>ATĶ kods: N02BE</w:t>
      </w:r>
      <w:r w:rsidR="00505E18">
        <w:t>5</w:t>
      </w:r>
      <w:r w:rsidRPr="00543FC5">
        <w:t>1.</w:t>
      </w:r>
    </w:p>
    <w:p w14:paraId="3ABA8A8A" w14:textId="77777777" w:rsidR="00993DE7" w:rsidRPr="00543FC5" w:rsidRDefault="00993DE7" w:rsidP="00993DE7">
      <w:pPr>
        <w:tabs>
          <w:tab w:val="clear" w:pos="567"/>
        </w:tabs>
        <w:spacing w:line="240" w:lineRule="auto"/>
        <w:ind w:left="567" w:hanging="567"/>
      </w:pPr>
    </w:p>
    <w:p w14:paraId="2161A375" w14:textId="77777777" w:rsidR="00993DE7" w:rsidRDefault="00993DE7" w:rsidP="00D23576">
      <w:pPr>
        <w:tabs>
          <w:tab w:val="clear" w:pos="567"/>
        </w:tabs>
        <w:spacing w:line="240" w:lineRule="auto"/>
      </w:pPr>
      <w:r w:rsidRPr="00543FC5">
        <w:t xml:space="preserve">Paracetamolam ir pretsāpju, pretdrudža un </w:t>
      </w:r>
      <w:r w:rsidR="00505E18">
        <w:t xml:space="preserve">ļoti </w:t>
      </w:r>
      <w:r w:rsidRPr="00543FC5">
        <w:t>neliela pretiekaisuma iedarbība.</w:t>
      </w:r>
      <w:r w:rsidR="00D23576" w:rsidRPr="00543FC5">
        <w:t xml:space="preserve"> Precīz</w:t>
      </w:r>
      <w:r w:rsidR="00BF133C">
        <w:t>s</w:t>
      </w:r>
      <w:r w:rsidR="00D23576" w:rsidRPr="00543FC5">
        <w:t xml:space="preserve"> paracetamola pretsāpju un pretdrudža darbības mehānism</w:t>
      </w:r>
      <w:r w:rsidR="00BF133C">
        <w:t>s</w:t>
      </w:r>
      <w:r w:rsidR="00D23576" w:rsidRPr="00543FC5">
        <w:t xml:space="preserve"> vēl ir jāpierāda</w:t>
      </w:r>
      <w:r w:rsidR="00A940CF" w:rsidRPr="00543FC5">
        <w:t xml:space="preserve">. Iespējams, </w:t>
      </w:r>
      <w:r w:rsidR="00505E18">
        <w:t xml:space="preserve">ka </w:t>
      </w:r>
      <w:r w:rsidR="00A940CF" w:rsidRPr="00543FC5">
        <w:t xml:space="preserve">tas </w:t>
      </w:r>
      <w:r w:rsidR="00505E18">
        <w:t>darbojas centrāli un perifēri</w:t>
      </w:r>
      <w:r w:rsidR="00A940CF" w:rsidRPr="00543FC5">
        <w:t xml:space="preserve">, </w:t>
      </w:r>
      <w:r w:rsidR="00724C85" w:rsidRPr="00543FC5">
        <w:t>kavējot prostaglandīna sintēzi.</w:t>
      </w:r>
    </w:p>
    <w:p w14:paraId="39C87262" w14:textId="77777777" w:rsidR="0055145C" w:rsidRPr="00543FC5" w:rsidRDefault="0055145C" w:rsidP="00D23576">
      <w:pPr>
        <w:tabs>
          <w:tab w:val="clear" w:pos="567"/>
        </w:tabs>
        <w:spacing w:line="240" w:lineRule="auto"/>
      </w:pPr>
      <w:r>
        <w:t xml:space="preserve">C vitamīns cilvēkiem ir neaizstājams ūdenī šķīstošais vitamīns, jo organismā nav enzīma gulonolaktona oksidāzes, kas nepieciešams tā sintēzei. </w:t>
      </w:r>
    </w:p>
    <w:p w14:paraId="59D8D9E4" w14:textId="77777777" w:rsidR="00993DE7" w:rsidRPr="00543FC5" w:rsidRDefault="00993DE7" w:rsidP="00993DE7">
      <w:pPr>
        <w:tabs>
          <w:tab w:val="clear" w:pos="567"/>
        </w:tabs>
        <w:spacing w:line="240" w:lineRule="auto"/>
        <w:ind w:left="567" w:hanging="567"/>
      </w:pPr>
    </w:p>
    <w:p w14:paraId="6F2BD3D2" w14:textId="77777777" w:rsidR="00993DE7" w:rsidRPr="00543FC5" w:rsidRDefault="00993DE7" w:rsidP="00993DE7">
      <w:pPr>
        <w:tabs>
          <w:tab w:val="clear" w:pos="567"/>
        </w:tabs>
        <w:spacing w:line="240" w:lineRule="auto"/>
        <w:ind w:left="567" w:hanging="567"/>
      </w:pPr>
      <w:r w:rsidRPr="00543FC5">
        <w:rPr>
          <w:b/>
        </w:rPr>
        <w:t>5.2</w:t>
      </w:r>
      <w:r w:rsidR="00C51971">
        <w:rPr>
          <w:b/>
        </w:rPr>
        <w:t>.</w:t>
      </w:r>
      <w:r w:rsidRPr="00543FC5">
        <w:rPr>
          <w:b/>
        </w:rPr>
        <w:tab/>
        <w:t>Farmakokinētiskās īpašības</w:t>
      </w:r>
    </w:p>
    <w:p w14:paraId="7F6A10E0" w14:textId="77777777" w:rsidR="00993DE7" w:rsidRPr="00543FC5" w:rsidRDefault="00993DE7" w:rsidP="00993DE7">
      <w:pPr>
        <w:ind w:left="567" w:hanging="567"/>
      </w:pPr>
    </w:p>
    <w:p w14:paraId="23166FAA" w14:textId="77777777" w:rsidR="00993DE7" w:rsidRPr="00543FC5" w:rsidRDefault="00993DE7" w:rsidP="00993DE7">
      <w:pPr>
        <w:ind w:left="567" w:hanging="567"/>
        <w:rPr>
          <w:b/>
        </w:rPr>
      </w:pPr>
      <w:r w:rsidRPr="00543FC5">
        <w:rPr>
          <w:b/>
        </w:rPr>
        <w:t>Paracetamols</w:t>
      </w:r>
    </w:p>
    <w:p w14:paraId="2EC6A433" w14:textId="77777777" w:rsidR="00505E18" w:rsidRDefault="00505E18" w:rsidP="00993DE7">
      <w:pPr>
        <w:ind w:left="567" w:hanging="567"/>
        <w:rPr>
          <w:u w:val="single"/>
        </w:rPr>
      </w:pPr>
    </w:p>
    <w:p w14:paraId="15961165" w14:textId="77777777" w:rsidR="00993DE7" w:rsidRPr="00543FC5" w:rsidRDefault="00993DE7" w:rsidP="00993DE7">
      <w:pPr>
        <w:ind w:left="567" w:hanging="567"/>
        <w:rPr>
          <w:u w:val="single"/>
        </w:rPr>
      </w:pPr>
      <w:r w:rsidRPr="00543FC5">
        <w:rPr>
          <w:u w:val="single"/>
        </w:rPr>
        <w:t>Uzsūkšanās</w:t>
      </w:r>
    </w:p>
    <w:p w14:paraId="39261381" w14:textId="77777777" w:rsidR="00993DE7" w:rsidRPr="00543FC5" w:rsidRDefault="00505E18" w:rsidP="00993DE7">
      <w:pPr>
        <w:tabs>
          <w:tab w:val="clear" w:pos="567"/>
          <w:tab w:val="left" w:pos="0"/>
        </w:tabs>
      </w:pPr>
      <w:r>
        <w:t>L</w:t>
      </w:r>
      <w:r w:rsidR="00993DE7" w:rsidRPr="00543FC5">
        <w:t xml:space="preserve">ietojot paracetamolu </w:t>
      </w:r>
      <w:r>
        <w:t>i</w:t>
      </w:r>
      <w:r w:rsidRPr="00C57E7F">
        <w:t>ekšķīgi</w:t>
      </w:r>
      <w:r>
        <w:t>,</w:t>
      </w:r>
      <w:r w:rsidRPr="00C57E7F">
        <w:t xml:space="preserve"> </w:t>
      </w:r>
      <w:r w:rsidR="00993DE7" w:rsidRPr="00543FC5">
        <w:t xml:space="preserve">uzsūkšanās notiek ātri un pilnīgi. Maksimālā koncentrācija plazmā tiek sasniegta </w:t>
      </w:r>
      <w:r w:rsidR="0055145C">
        <w:t>10</w:t>
      </w:r>
      <w:r w:rsidR="0055145C" w:rsidRPr="00543FC5">
        <w:t xml:space="preserve"> </w:t>
      </w:r>
      <w:r w:rsidR="00993DE7" w:rsidRPr="00543FC5">
        <w:t xml:space="preserve">līdz </w:t>
      </w:r>
      <w:r w:rsidR="0055145C">
        <w:t>60</w:t>
      </w:r>
      <w:r w:rsidR="0055145C" w:rsidRPr="00543FC5">
        <w:t xml:space="preserve"> </w:t>
      </w:r>
      <w:r w:rsidR="00993DE7" w:rsidRPr="00543FC5">
        <w:t>minūtes pēc zāļu lietošanas.</w:t>
      </w:r>
    </w:p>
    <w:p w14:paraId="04C6FE1B" w14:textId="77777777" w:rsidR="00993DE7" w:rsidRPr="00543FC5" w:rsidRDefault="00993DE7" w:rsidP="00993DE7">
      <w:pPr>
        <w:tabs>
          <w:tab w:val="clear" w:pos="567"/>
          <w:tab w:val="left" w:pos="0"/>
        </w:tabs>
      </w:pPr>
    </w:p>
    <w:p w14:paraId="610EF4CC" w14:textId="77777777" w:rsidR="00993DE7" w:rsidRPr="00543FC5" w:rsidRDefault="00AE49F8" w:rsidP="00993DE7">
      <w:pPr>
        <w:tabs>
          <w:tab w:val="clear" w:pos="567"/>
          <w:tab w:val="left" w:pos="0"/>
        </w:tabs>
        <w:rPr>
          <w:u w:val="single"/>
        </w:rPr>
      </w:pPr>
      <w:r>
        <w:rPr>
          <w:u w:val="single"/>
        </w:rPr>
        <w:t>Izkliede</w:t>
      </w:r>
    </w:p>
    <w:p w14:paraId="15D22FA5" w14:textId="77777777" w:rsidR="00993DE7" w:rsidRPr="00543FC5" w:rsidRDefault="00993DE7" w:rsidP="00993DE7">
      <w:pPr>
        <w:tabs>
          <w:tab w:val="clear" w:pos="567"/>
          <w:tab w:val="left" w:pos="0"/>
        </w:tabs>
      </w:pPr>
      <w:r w:rsidRPr="00543FC5">
        <w:lastRenderedPageBreak/>
        <w:t xml:space="preserve">Paracetamols ātri izplatās </w:t>
      </w:r>
      <w:r w:rsidR="00493573">
        <w:t>vairumā</w:t>
      </w:r>
      <w:r w:rsidR="00493573" w:rsidRPr="00543FC5">
        <w:t xml:space="preserve"> aud</w:t>
      </w:r>
      <w:r w:rsidR="00493573">
        <w:t>u</w:t>
      </w:r>
      <w:r w:rsidRPr="00543FC5">
        <w:t xml:space="preserve">. </w:t>
      </w:r>
      <w:r w:rsidR="00493573">
        <w:t>Pieaugušajiem paracetamola izkliedes tilpums ir aptuveni 1</w:t>
      </w:r>
      <w:r w:rsidR="00493573">
        <w:noBreakHyphen/>
        <w:t xml:space="preserve">2 l/kg, bet bērniem tas ir robežās no 0,7 līdz 1,0 l/kg. </w:t>
      </w:r>
      <w:r w:rsidRPr="00543FC5">
        <w:t>Maz saistās ar plazmas olbaltumvielām.</w:t>
      </w:r>
    </w:p>
    <w:p w14:paraId="3B7A983F" w14:textId="77777777" w:rsidR="00993DE7" w:rsidRPr="00543FC5" w:rsidRDefault="00993DE7" w:rsidP="00993DE7">
      <w:pPr>
        <w:tabs>
          <w:tab w:val="clear" w:pos="567"/>
          <w:tab w:val="left" w:pos="0"/>
        </w:tabs>
      </w:pPr>
    </w:p>
    <w:p w14:paraId="692F716A" w14:textId="77777777" w:rsidR="00993DE7" w:rsidRPr="00543FC5" w:rsidRDefault="00FF3E04" w:rsidP="00993DE7">
      <w:pPr>
        <w:tabs>
          <w:tab w:val="clear" w:pos="567"/>
          <w:tab w:val="left" w:pos="0"/>
        </w:tabs>
        <w:rPr>
          <w:u w:val="single"/>
        </w:rPr>
      </w:pPr>
      <w:r>
        <w:rPr>
          <w:u w:val="single"/>
        </w:rPr>
        <w:t>Biotransformācija</w:t>
      </w:r>
    </w:p>
    <w:p w14:paraId="5C1EE91D" w14:textId="77777777" w:rsidR="00993DE7" w:rsidRPr="00543FC5" w:rsidRDefault="00993DE7" w:rsidP="00993DE7">
      <w:pPr>
        <w:tabs>
          <w:tab w:val="clear" w:pos="567"/>
          <w:tab w:val="left" w:pos="0"/>
        </w:tabs>
      </w:pPr>
      <w:r w:rsidRPr="00543FC5">
        <w:t>Paracetamols metabolizējas galvenokārt aknās. Divi galvenie metabolisma ceļi ir konjugēšanās, veidojot glikuronīdus un sulfātus. Devai pārsniedzot terapeitiskās robežas, otrais metabolisma ceļš ātri piesātinās. Mazāk</w:t>
      </w:r>
      <w:r w:rsidR="00505E18">
        <w:t xml:space="preserve"> nozīmīgā</w:t>
      </w:r>
      <w:r w:rsidR="00493573">
        <w:t xml:space="preserve"> (mazāk par 4%)</w:t>
      </w:r>
      <w:r w:rsidRPr="00543FC5">
        <w:t xml:space="preserve"> metabolisma ceļā, ko katalizē citohroms P 450, veidojas aktīvais starpmetabolīts (N-acetilbenzohinona imīns), kas normālu devu lietošanas gadījumā tiek ātri atindēts ar reducētu glutationu un izvadīts urīnā pēc saistīšanās ar cisteīnu un merkaptopurīnskābi. Izteiktas pārdozēšanas gadījumā šī toksiskā metabolīta koncentrācija ir palielināta. </w:t>
      </w:r>
    </w:p>
    <w:p w14:paraId="28E1F62C" w14:textId="77777777" w:rsidR="00993DE7" w:rsidRPr="00543FC5" w:rsidRDefault="00993DE7" w:rsidP="00993DE7">
      <w:pPr>
        <w:tabs>
          <w:tab w:val="clear" w:pos="567"/>
          <w:tab w:val="left" w:pos="0"/>
        </w:tabs>
      </w:pPr>
    </w:p>
    <w:p w14:paraId="7FADBA64" w14:textId="77777777" w:rsidR="00993DE7" w:rsidRPr="00543FC5" w:rsidRDefault="00993DE7" w:rsidP="00993DE7">
      <w:pPr>
        <w:tabs>
          <w:tab w:val="clear" w:pos="567"/>
          <w:tab w:val="left" w:pos="0"/>
        </w:tabs>
        <w:rPr>
          <w:u w:val="single"/>
        </w:rPr>
      </w:pPr>
      <w:r w:rsidRPr="00543FC5">
        <w:rPr>
          <w:u w:val="single"/>
        </w:rPr>
        <w:t>Eliminācija</w:t>
      </w:r>
    </w:p>
    <w:p w14:paraId="46D48850" w14:textId="77777777" w:rsidR="00993DE7" w:rsidRPr="00543FC5" w:rsidRDefault="00505E18" w:rsidP="00993DE7">
      <w:pPr>
        <w:tabs>
          <w:tab w:val="clear" w:pos="567"/>
          <w:tab w:val="left" w:pos="0"/>
        </w:tabs>
      </w:pPr>
      <w:r>
        <w:t xml:space="preserve">Eliminācija </w:t>
      </w:r>
      <w:r w:rsidR="00993DE7" w:rsidRPr="00543FC5">
        <w:t xml:space="preserve">notiek galvenokārt ar urīnu. 90% </w:t>
      </w:r>
      <w:r>
        <w:t xml:space="preserve">lietotās </w:t>
      </w:r>
      <w:r w:rsidR="00993DE7" w:rsidRPr="00543FC5">
        <w:t>devas tiek izvadīti caur nierēm 24 stundās, galvenokārt glikuronīdu konjugātu (</w:t>
      </w:r>
      <w:r w:rsidR="00493573">
        <w:t xml:space="preserve">aptuveni </w:t>
      </w:r>
      <w:r w:rsidR="00993DE7" w:rsidRPr="00543FC5">
        <w:t>60%) un sulfātu konjugātu (</w:t>
      </w:r>
      <w:r w:rsidR="00493573">
        <w:t xml:space="preserve">aptuveni </w:t>
      </w:r>
      <w:r w:rsidR="00993DE7" w:rsidRPr="00543FC5">
        <w:t xml:space="preserve">30%) veidā. </w:t>
      </w:r>
      <w:r>
        <w:t xml:space="preserve">Mazāk nekā 5% paracetamola izdalās nemainītā veidā. </w:t>
      </w:r>
      <w:r w:rsidR="00993DE7" w:rsidRPr="00543FC5">
        <w:t xml:space="preserve">Pēc </w:t>
      </w:r>
      <w:r w:rsidR="007D5C76">
        <w:t>iekšķīgas</w:t>
      </w:r>
      <w:r w:rsidR="007D5C76" w:rsidRPr="00543FC5">
        <w:t xml:space="preserve"> </w:t>
      </w:r>
      <w:r w:rsidR="00993DE7" w:rsidRPr="00543FC5">
        <w:t>lietošanas eliminācijas pusperiods</w:t>
      </w:r>
      <w:r w:rsidR="00493573">
        <w:t xml:space="preserve"> plazmā</w:t>
      </w:r>
      <w:r w:rsidR="00993DE7" w:rsidRPr="00543FC5">
        <w:t xml:space="preserve"> ir aptuveni 2</w:t>
      </w:r>
      <w:r>
        <w:t> </w:t>
      </w:r>
      <w:r w:rsidR="00993DE7" w:rsidRPr="00543FC5">
        <w:t xml:space="preserve">stundas. </w:t>
      </w:r>
    </w:p>
    <w:p w14:paraId="627E33CF" w14:textId="77777777" w:rsidR="00993DE7" w:rsidRPr="00543FC5" w:rsidRDefault="00993DE7" w:rsidP="00993DE7">
      <w:pPr>
        <w:tabs>
          <w:tab w:val="clear" w:pos="567"/>
          <w:tab w:val="left" w:pos="0"/>
        </w:tabs>
      </w:pPr>
    </w:p>
    <w:p w14:paraId="1E9688BB" w14:textId="77777777" w:rsidR="00993DE7" w:rsidRPr="00543FC5" w:rsidRDefault="00993DE7" w:rsidP="00993DE7">
      <w:pPr>
        <w:tabs>
          <w:tab w:val="clear" w:pos="567"/>
          <w:tab w:val="left" w:pos="0"/>
        </w:tabs>
        <w:rPr>
          <w:u w:val="single"/>
        </w:rPr>
      </w:pPr>
      <w:r w:rsidRPr="00543FC5">
        <w:rPr>
          <w:u w:val="single"/>
        </w:rPr>
        <w:t>Īpašas pacientu grupas</w:t>
      </w:r>
    </w:p>
    <w:p w14:paraId="1008436E" w14:textId="77777777" w:rsidR="00505E18" w:rsidRDefault="00505E18" w:rsidP="00724C85">
      <w:pPr>
        <w:tabs>
          <w:tab w:val="clear" w:pos="567"/>
        </w:tabs>
        <w:spacing w:line="240" w:lineRule="auto"/>
      </w:pPr>
    </w:p>
    <w:p w14:paraId="280F901B" w14:textId="77777777" w:rsidR="00493573" w:rsidRDefault="00724C85" w:rsidP="00724C85">
      <w:pPr>
        <w:tabs>
          <w:tab w:val="clear" w:pos="567"/>
        </w:tabs>
        <w:spacing w:line="240" w:lineRule="auto"/>
      </w:pPr>
      <w:r w:rsidRPr="00543FC5">
        <w:rPr>
          <w:i/>
        </w:rPr>
        <w:t>Smag</w:t>
      </w:r>
      <w:r w:rsidR="00505E18" w:rsidRPr="00543FC5">
        <w:rPr>
          <w:i/>
        </w:rPr>
        <w:t>i</w:t>
      </w:r>
      <w:r w:rsidRPr="00543FC5">
        <w:rPr>
          <w:i/>
        </w:rPr>
        <w:t xml:space="preserve"> nieru </w:t>
      </w:r>
      <w:r w:rsidR="00505E18" w:rsidRPr="00543FC5">
        <w:rPr>
          <w:i/>
        </w:rPr>
        <w:t xml:space="preserve">darbības traucējumi </w:t>
      </w:r>
      <w:r w:rsidRPr="00543FC5">
        <w:rPr>
          <w:i/>
        </w:rPr>
        <w:t xml:space="preserve">(kreatinīna klīrenss </w:t>
      </w:r>
      <w:r w:rsidR="00493573" w:rsidRPr="00543FC5">
        <w:rPr>
          <w:i/>
        </w:rPr>
        <w:t>10 </w:t>
      </w:r>
      <w:r w:rsidR="00493573" w:rsidRPr="00543FC5">
        <w:rPr>
          <w:i/>
        </w:rPr>
        <w:noBreakHyphen/>
        <w:t> </w:t>
      </w:r>
      <w:r w:rsidR="00FC4B75" w:rsidRPr="00543FC5">
        <w:rPr>
          <w:i/>
        </w:rPr>
        <w:t>30 </w:t>
      </w:r>
      <w:r w:rsidRPr="00543FC5">
        <w:rPr>
          <w:i/>
        </w:rPr>
        <w:t>ml/min)</w:t>
      </w:r>
      <w:r w:rsidRPr="00C57E7F">
        <w:t xml:space="preserve">: paracetamola izvadīšana ir </w:t>
      </w:r>
      <w:r w:rsidR="00493573">
        <w:t xml:space="preserve">nedaudz </w:t>
      </w:r>
      <w:r w:rsidRPr="00C57E7F">
        <w:t xml:space="preserve">kavēta. </w:t>
      </w:r>
      <w:r w:rsidR="00493573">
        <w:t>Pacientiem ar nieru darbības traucējumiem arī glikuronīda un sulfāta konjugātu izvadīšana ir lēnāka nekā veseliem cilvēkiem. Tādēļ pacientiem ar smagiem nieru darbības traucējumiem (kreatinīna klīrenss ≤ 30 ml/min) intervālu starp paracetamola devām ieteicams palielināt līdz 6 </w:t>
      </w:r>
      <w:r w:rsidR="00505E18">
        <w:t>vai</w:t>
      </w:r>
      <w:r w:rsidR="00493573">
        <w:t xml:space="preserve"> 8 stundām (skatīt 4.2. un 4.4. apakšpunktu). </w:t>
      </w:r>
    </w:p>
    <w:p w14:paraId="781817AC" w14:textId="77777777" w:rsidR="00493573" w:rsidRDefault="00493573" w:rsidP="00993DE7">
      <w:pPr>
        <w:tabs>
          <w:tab w:val="clear" w:pos="567"/>
          <w:tab w:val="left" w:pos="0"/>
        </w:tabs>
      </w:pPr>
    </w:p>
    <w:p w14:paraId="4F5126B5" w14:textId="77777777" w:rsidR="00493573" w:rsidRPr="00543FC5" w:rsidRDefault="00993DE7" w:rsidP="00993DE7">
      <w:pPr>
        <w:tabs>
          <w:tab w:val="clear" w:pos="567"/>
          <w:tab w:val="left" w:pos="0"/>
        </w:tabs>
      </w:pPr>
      <w:r w:rsidRPr="00543FC5">
        <w:rPr>
          <w:i/>
        </w:rPr>
        <w:t xml:space="preserve">Aknu </w:t>
      </w:r>
      <w:r w:rsidR="00685541">
        <w:rPr>
          <w:i/>
        </w:rPr>
        <w:t>darbības traucējumi</w:t>
      </w:r>
      <w:r w:rsidRPr="00543FC5">
        <w:t xml:space="preserve">: </w:t>
      </w:r>
      <w:r w:rsidR="00493573">
        <w:t xml:space="preserve">dažos klīniskos pētījumos konstatēts, ka pacientiem ar hroniskiem aknu </w:t>
      </w:r>
      <w:r w:rsidR="00505E18">
        <w:t xml:space="preserve">darbības </w:t>
      </w:r>
      <w:r w:rsidR="00493573">
        <w:t>traucējumiem, tai skait</w:t>
      </w:r>
      <w:r w:rsidR="00A40C08">
        <w:t>ā</w:t>
      </w:r>
      <w:r w:rsidR="00493573">
        <w:t xml:space="preserve"> alkoholisma izraisītas cirozes gadījumā, ir mēreni paracetamola metabolisma traucējumi, par ko liecina </w:t>
      </w:r>
      <w:r w:rsidR="00A40C08">
        <w:t xml:space="preserve">paaugstināta </w:t>
      </w:r>
      <w:r w:rsidR="00493573">
        <w:t xml:space="preserve">paracetamola koncentrācija plazmā un </w:t>
      </w:r>
      <w:r w:rsidR="00A40C08">
        <w:t>ilgāks eliminācijas pus</w:t>
      </w:r>
      <w:r w:rsidR="00493573">
        <w:t xml:space="preserve">periods. Šajos ziņojumos paracetamola </w:t>
      </w:r>
      <w:r w:rsidR="00A40C08">
        <w:t>eliminācijas pus</w:t>
      </w:r>
      <w:r w:rsidR="00493573">
        <w:t xml:space="preserve">perioda palielināšanās plazmā tika saistīta ar nomāktu aknu sintēzes spēju. Tādēļ paracetamols piesardzīgi jālieto pacientiem ar aknu </w:t>
      </w:r>
      <w:r w:rsidR="00A40C08">
        <w:t xml:space="preserve">darbības </w:t>
      </w:r>
      <w:r w:rsidR="00493573">
        <w:t xml:space="preserve">traucējumiem, bet tā lietošana kontrindicēta tad, ja pacientam ir dekompensēta </w:t>
      </w:r>
      <w:r w:rsidR="00A40C08">
        <w:t xml:space="preserve">aktīva </w:t>
      </w:r>
      <w:r w:rsidR="00493573">
        <w:t xml:space="preserve">aknu slimība, </w:t>
      </w:r>
      <w:r w:rsidR="00A40C08">
        <w:t xml:space="preserve">īpaši </w:t>
      </w:r>
      <w:r w:rsidR="00493573">
        <w:t xml:space="preserve">alkoholisma izraisīts hepatīts, </w:t>
      </w:r>
      <w:r w:rsidR="005F468E">
        <w:t xml:space="preserve">jo ir inducēts </w:t>
      </w:r>
      <w:r w:rsidR="005F468E" w:rsidRPr="00D02513">
        <w:t>CYP </w:t>
      </w:r>
      <w:r w:rsidR="00EB0E29" w:rsidRPr="00DE1D28">
        <w:t>2E1</w:t>
      </w:r>
      <w:r w:rsidR="00EB0E29">
        <w:t xml:space="preserve"> </w:t>
      </w:r>
      <w:r w:rsidR="005F468E">
        <w:t xml:space="preserve">un tādēļ pastiprināti veidojas paracetamola hepatotoksiskais metabolīts. </w:t>
      </w:r>
    </w:p>
    <w:p w14:paraId="7746C617" w14:textId="77777777" w:rsidR="00993DE7" w:rsidRDefault="00993DE7" w:rsidP="00993DE7">
      <w:pPr>
        <w:tabs>
          <w:tab w:val="clear" w:pos="567"/>
          <w:tab w:val="left" w:pos="0"/>
        </w:tabs>
      </w:pPr>
    </w:p>
    <w:p w14:paraId="712A6679" w14:textId="77777777" w:rsidR="00493573" w:rsidRDefault="00493573" w:rsidP="00993DE7">
      <w:pPr>
        <w:tabs>
          <w:tab w:val="clear" w:pos="567"/>
          <w:tab w:val="left" w:pos="0"/>
        </w:tabs>
      </w:pPr>
      <w:r w:rsidRPr="00543FC5">
        <w:rPr>
          <w:i/>
        </w:rPr>
        <w:t>Gados vecāki</w:t>
      </w:r>
      <w:r w:rsidR="00A40C08">
        <w:rPr>
          <w:i/>
        </w:rPr>
        <w:t xml:space="preserve"> cilvēki</w:t>
      </w:r>
      <w:r w:rsidRPr="00906F83">
        <w:t xml:space="preserve">: </w:t>
      </w:r>
      <w:r w:rsidR="005F468E">
        <w:t xml:space="preserve">var būt nedaudz mainīta paracetamola farmakokinētika un metabolisms. Šai pacientu grupā deva parasti nav jāpielāgo. </w:t>
      </w:r>
    </w:p>
    <w:p w14:paraId="02AA358F" w14:textId="77777777" w:rsidR="005F468E" w:rsidRDefault="005F468E" w:rsidP="00993DE7">
      <w:pPr>
        <w:tabs>
          <w:tab w:val="clear" w:pos="567"/>
          <w:tab w:val="left" w:pos="0"/>
        </w:tabs>
      </w:pPr>
    </w:p>
    <w:p w14:paraId="56D55D54" w14:textId="77777777" w:rsidR="005F468E" w:rsidRDefault="005F468E" w:rsidP="00993DE7">
      <w:pPr>
        <w:tabs>
          <w:tab w:val="clear" w:pos="567"/>
          <w:tab w:val="left" w:pos="0"/>
        </w:tabs>
      </w:pPr>
      <w:r w:rsidRPr="00543FC5">
        <w:rPr>
          <w:i/>
        </w:rPr>
        <w:t>Jaundzimušie, zīdaiņi un bērni</w:t>
      </w:r>
      <w:r>
        <w:t>: zīdaiņiem un bērniem novēroti</w:t>
      </w:r>
      <w:r w:rsidR="00CD2596">
        <w:t>e</w:t>
      </w:r>
      <w:r>
        <w:t xml:space="preserve"> paracetamola farmakokinētiskie raksturlielumi ir līdzīgi tiem, kas novēroti pieaugušajiem; izņēmums ir </w:t>
      </w:r>
      <w:r w:rsidR="00A40C08">
        <w:t>eliminācijas pus</w:t>
      </w:r>
      <w:r>
        <w:t xml:space="preserve">periods plazmā, kas ir nedaudz īsāks (aptuveni 2 stundas) nekā pieaugušajiem. Jaundzimušajiem </w:t>
      </w:r>
      <w:r w:rsidR="00A40C08">
        <w:t>eliminācijas pus</w:t>
      </w:r>
      <w:r>
        <w:t xml:space="preserve">periods plazmā ir ilgāks nekā zīdaiņiem (aptuveni 3,5 stundas). Jaundzimušie, zīdaiņi un bērni līdz 10 gadu vecumam izvada nozīmīgi mazāk glikuronīda konjugātu un vairāk sulfāta konjugātu nekā pieaugušie. Kopējā paracetamola un tā metabolisma produktu izvadīšana nemainās atkarībā no vecuma. </w:t>
      </w:r>
    </w:p>
    <w:p w14:paraId="526A4A11" w14:textId="77777777" w:rsidR="00493573" w:rsidRPr="00543FC5" w:rsidRDefault="00493573" w:rsidP="00993DE7">
      <w:pPr>
        <w:tabs>
          <w:tab w:val="clear" w:pos="567"/>
          <w:tab w:val="left" w:pos="0"/>
        </w:tabs>
      </w:pPr>
    </w:p>
    <w:p w14:paraId="52A843E5" w14:textId="77777777" w:rsidR="00993DE7" w:rsidRPr="00543FC5" w:rsidRDefault="00993DE7" w:rsidP="00993DE7">
      <w:pPr>
        <w:tabs>
          <w:tab w:val="clear" w:pos="567"/>
          <w:tab w:val="left" w:pos="0"/>
        </w:tabs>
        <w:rPr>
          <w:b/>
        </w:rPr>
      </w:pPr>
      <w:r w:rsidRPr="00543FC5">
        <w:rPr>
          <w:b/>
        </w:rPr>
        <w:t>C vitamīns</w:t>
      </w:r>
    </w:p>
    <w:p w14:paraId="1C417A3E" w14:textId="77777777" w:rsidR="00A40C08" w:rsidRDefault="00A40C08" w:rsidP="00993DE7">
      <w:pPr>
        <w:tabs>
          <w:tab w:val="clear" w:pos="567"/>
          <w:tab w:val="left" w:pos="0"/>
        </w:tabs>
      </w:pPr>
    </w:p>
    <w:p w14:paraId="16FB4C08" w14:textId="77777777" w:rsidR="00993DE7" w:rsidRPr="00543FC5" w:rsidRDefault="00993DE7" w:rsidP="00993DE7">
      <w:pPr>
        <w:tabs>
          <w:tab w:val="clear" w:pos="567"/>
          <w:tab w:val="left" w:pos="0"/>
        </w:tabs>
      </w:pPr>
      <w:r w:rsidRPr="00543FC5">
        <w:t xml:space="preserve">Askorbīnskābe </w:t>
      </w:r>
      <w:r w:rsidR="00A40C08">
        <w:t xml:space="preserve">viegli </w:t>
      </w:r>
      <w:r w:rsidRPr="00543FC5">
        <w:t xml:space="preserve">uzsūcas no kuņģa un zarnu trakta un plaši izplatās organisma audos. Askorbīnskābe atgriezeniski oksidējas par dehidroaskorbīnskābi; neliela daļa metabolizējas par askorbāt-2-sulfātu, kas nav aktīvs, un skābeņskābi, kas tiek izdalīta urīnā. Ja tiek uzņemts vairāk kā nepieciešams, pārpalikums izdalās urīnā. </w:t>
      </w:r>
    </w:p>
    <w:p w14:paraId="41A08887" w14:textId="77777777" w:rsidR="00993DE7" w:rsidRPr="00543FC5" w:rsidRDefault="00993DE7" w:rsidP="00993DE7">
      <w:pPr>
        <w:ind w:left="567" w:hanging="567"/>
        <w:rPr>
          <w:u w:val="single"/>
        </w:rPr>
      </w:pPr>
    </w:p>
    <w:p w14:paraId="46A270AB" w14:textId="77777777" w:rsidR="00993DE7" w:rsidRPr="00543FC5" w:rsidRDefault="00993DE7" w:rsidP="00543FC5">
      <w:pPr>
        <w:keepNext/>
        <w:tabs>
          <w:tab w:val="clear" w:pos="567"/>
        </w:tabs>
        <w:spacing w:line="240" w:lineRule="auto"/>
      </w:pPr>
      <w:r w:rsidRPr="00543FC5">
        <w:rPr>
          <w:b/>
        </w:rPr>
        <w:t>5.3</w:t>
      </w:r>
      <w:r w:rsidR="00FF3E04">
        <w:rPr>
          <w:b/>
        </w:rPr>
        <w:t>.</w:t>
      </w:r>
      <w:r w:rsidRPr="00543FC5">
        <w:rPr>
          <w:b/>
        </w:rPr>
        <w:tab/>
        <w:t>Preklīniskie dati par droš</w:t>
      </w:r>
      <w:r w:rsidR="00FF3E04">
        <w:rPr>
          <w:b/>
        </w:rPr>
        <w:t>umu</w:t>
      </w:r>
    </w:p>
    <w:p w14:paraId="60C930DA" w14:textId="77777777" w:rsidR="00993DE7" w:rsidRPr="00543FC5" w:rsidRDefault="00993DE7" w:rsidP="00543FC5">
      <w:pPr>
        <w:keepNext/>
        <w:tabs>
          <w:tab w:val="clear" w:pos="567"/>
        </w:tabs>
        <w:ind w:left="567" w:hanging="567"/>
      </w:pPr>
    </w:p>
    <w:p w14:paraId="21640825" w14:textId="77777777" w:rsidR="00D56E25" w:rsidRPr="00D56E25" w:rsidRDefault="00D56E25" w:rsidP="00D56E25">
      <w:pPr>
        <w:tabs>
          <w:tab w:val="clear" w:pos="567"/>
        </w:tabs>
        <w:autoSpaceDE w:val="0"/>
        <w:autoSpaceDN w:val="0"/>
        <w:adjustRightInd w:val="0"/>
        <w:spacing w:line="240" w:lineRule="auto"/>
        <w:rPr>
          <w:color w:val="000000"/>
          <w:szCs w:val="22"/>
        </w:rPr>
      </w:pPr>
      <w:r w:rsidRPr="00D56E25">
        <w:rPr>
          <w:color w:val="000000"/>
          <w:szCs w:val="22"/>
        </w:rPr>
        <w:t>Standartpētījumi, izmantojot šobrīd spēkā esošos standartus toksiskas ietekmes uz reproduktivitāti un</w:t>
      </w:r>
    </w:p>
    <w:p w14:paraId="15992AF7" w14:textId="77777777" w:rsidR="00D56E25" w:rsidRDefault="00D56E25" w:rsidP="00D56E25">
      <w:pPr>
        <w:tabs>
          <w:tab w:val="clear" w:pos="567"/>
        </w:tabs>
        <w:autoSpaceDE w:val="0"/>
        <w:autoSpaceDN w:val="0"/>
        <w:adjustRightInd w:val="0"/>
        <w:spacing w:line="240" w:lineRule="auto"/>
        <w:rPr>
          <w:color w:val="000000"/>
          <w:szCs w:val="22"/>
        </w:rPr>
      </w:pPr>
      <w:r w:rsidRPr="00D56E25">
        <w:rPr>
          <w:color w:val="000000"/>
          <w:szCs w:val="22"/>
        </w:rPr>
        <w:t>attīstību vērtēšanai, nav pieejami.</w:t>
      </w:r>
    </w:p>
    <w:p w14:paraId="30121010" w14:textId="77777777" w:rsidR="00D56E25" w:rsidRDefault="00D56E25" w:rsidP="001C6C60">
      <w:pPr>
        <w:tabs>
          <w:tab w:val="clear" w:pos="567"/>
        </w:tabs>
        <w:autoSpaceDE w:val="0"/>
        <w:autoSpaceDN w:val="0"/>
        <w:adjustRightInd w:val="0"/>
        <w:spacing w:line="240" w:lineRule="auto"/>
        <w:rPr>
          <w:color w:val="000000"/>
          <w:szCs w:val="22"/>
        </w:rPr>
      </w:pPr>
    </w:p>
    <w:p w14:paraId="3FFEF07B" w14:textId="77777777" w:rsidR="001C6C60" w:rsidRPr="001C6C60" w:rsidRDefault="001C6C60" w:rsidP="001C6C60">
      <w:pPr>
        <w:tabs>
          <w:tab w:val="clear" w:pos="567"/>
        </w:tabs>
        <w:autoSpaceDE w:val="0"/>
        <w:autoSpaceDN w:val="0"/>
        <w:adjustRightInd w:val="0"/>
        <w:spacing w:line="240" w:lineRule="auto"/>
        <w:rPr>
          <w:color w:val="000000"/>
          <w:szCs w:val="22"/>
        </w:rPr>
      </w:pPr>
      <w:r w:rsidRPr="001C6C60">
        <w:rPr>
          <w:color w:val="000000"/>
          <w:szCs w:val="22"/>
        </w:rPr>
        <w:t xml:space="preserve">Paracetamola ietekmi, lietojot kopā ar uzturu žurkām un pelēm, vērtēja 0, 600, 3000 un 6000 PPM līmenī divus gadus. Paracetamola kancerogēnu ietekmi žurku tēviņiem, kā arī peļu tēviņiem un mātītēm nekonstatēja. Pretrunīgi vērtējamu kancerogēnu aktivitāti konstatēja žurku mātītēm, jo bija palielināts mononukleāro šūnu leikozes biežums. </w:t>
      </w:r>
    </w:p>
    <w:p w14:paraId="325C8124" w14:textId="77777777" w:rsidR="001C6C60" w:rsidRPr="001C6C60" w:rsidRDefault="001C6C60" w:rsidP="001C6C60">
      <w:pPr>
        <w:tabs>
          <w:tab w:val="clear" w:pos="567"/>
        </w:tabs>
        <w:autoSpaceDE w:val="0"/>
        <w:autoSpaceDN w:val="0"/>
        <w:adjustRightInd w:val="0"/>
        <w:spacing w:line="240" w:lineRule="auto"/>
        <w:rPr>
          <w:color w:val="000000"/>
          <w:szCs w:val="22"/>
        </w:rPr>
      </w:pPr>
    </w:p>
    <w:p w14:paraId="21D30F7B" w14:textId="77777777" w:rsidR="001C6C60" w:rsidRPr="000257B9" w:rsidRDefault="001C6C60" w:rsidP="001C6C60">
      <w:pPr>
        <w:tabs>
          <w:tab w:val="clear" w:pos="567"/>
        </w:tabs>
        <w:spacing w:line="240" w:lineRule="auto"/>
      </w:pPr>
      <w:r w:rsidRPr="001C6C60">
        <w:rPr>
          <w:color w:val="000000"/>
          <w:szCs w:val="22"/>
        </w:rPr>
        <w:t xml:space="preserve">Salīdzinošs literatūras pārskats par paracetamola genotoksicitāti un kancerogenitāti liecināja, ka acetaminofēna genotoksiskā darbība rodas, tikai lietojot devas, kas lielākas par ieteiktām un kas rada smagu toksisku ietekmi, arī izteiktu aknu un kaulu smadzeņu toksicitāti. </w:t>
      </w:r>
      <w:r w:rsidRPr="000257B9">
        <w:rPr>
          <w:color w:val="000000"/>
          <w:szCs w:val="22"/>
          <w:lang w:val="en-US"/>
        </w:rPr>
        <w:t xml:space="preserve">Lietojot terapeitiskas paracetamola devas, </w:t>
      </w:r>
      <w:proofErr w:type="spellStart"/>
      <w:r w:rsidRPr="000257B9">
        <w:rPr>
          <w:color w:val="000000"/>
          <w:szCs w:val="22"/>
          <w:lang w:val="en-US"/>
        </w:rPr>
        <w:t>līmenis</w:t>
      </w:r>
      <w:proofErr w:type="spellEnd"/>
      <w:r w:rsidRPr="000257B9">
        <w:rPr>
          <w:color w:val="000000"/>
          <w:szCs w:val="22"/>
          <w:lang w:val="en-US"/>
        </w:rPr>
        <w:t xml:space="preserve">, kas </w:t>
      </w:r>
      <w:proofErr w:type="spellStart"/>
      <w:r w:rsidRPr="000257B9">
        <w:rPr>
          <w:color w:val="000000"/>
          <w:szCs w:val="22"/>
          <w:lang w:val="en-US"/>
        </w:rPr>
        <w:t>rada</w:t>
      </w:r>
      <w:proofErr w:type="spellEnd"/>
      <w:r w:rsidRPr="000257B9">
        <w:rPr>
          <w:color w:val="000000"/>
          <w:szCs w:val="22"/>
          <w:lang w:val="en-US"/>
        </w:rPr>
        <w:t xml:space="preserve"> </w:t>
      </w:r>
      <w:proofErr w:type="spellStart"/>
      <w:r w:rsidRPr="000257B9">
        <w:rPr>
          <w:color w:val="000000"/>
          <w:szCs w:val="22"/>
          <w:lang w:val="en-US"/>
        </w:rPr>
        <w:t>genotoksiku</w:t>
      </w:r>
      <w:proofErr w:type="spellEnd"/>
      <w:r w:rsidRPr="000257B9">
        <w:rPr>
          <w:color w:val="000000"/>
          <w:szCs w:val="22"/>
          <w:lang w:val="en-US"/>
        </w:rPr>
        <w:t xml:space="preserve"> </w:t>
      </w:r>
      <w:proofErr w:type="spellStart"/>
      <w:r w:rsidRPr="000257B9">
        <w:rPr>
          <w:color w:val="000000"/>
          <w:szCs w:val="22"/>
          <w:lang w:val="en-US"/>
        </w:rPr>
        <w:t>ietekmi</w:t>
      </w:r>
      <w:proofErr w:type="spellEnd"/>
      <w:r w:rsidRPr="000257B9">
        <w:rPr>
          <w:color w:val="000000"/>
          <w:szCs w:val="22"/>
          <w:lang w:val="en-US"/>
        </w:rPr>
        <w:t xml:space="preserve">, </w:t>
      </w:r>
      <w:proofErr w:type="spellStart"/>
      <w:r w:rsidRPr="000257B9">
        <w:rPr>
          <w:color w:val="000000"/>
          <w:szCs w:val="22"/>
          <w:lang w:val="en-US"/>
        </w:rPr>
        <w:t>netiek</w:t>
      </w:r>
      <w:proofErr w:type="spellEnd"/>
      <w:r w:rsidRPr="000257B9">
        <w:rPr>
          <w:color w:val="000000"/>
          <w:szCs w:val="22"/>
          <w:lang w:val="en-US"/>
        </w:rPr>
        <w:t xml:space="preserve"> </w:t>
      </w:r>
      <w:proofErr w:type="spellStart"/>
      <w:r w:rsidRPr="000257B9">
        <w:rPr>
          <w:color w:val="000000"/>
          <w:szCs w:val="22"/>
          <w:lang w:val="en-US"/>
        </w:rPr>
        <w:t>sasniegts</w:t>
      </w:r>
      <w:proofErr w:type="spellEnd"/>
      <w:r w:rsidRPr="000257B9">
        <w:rPr>
          <w:color w:val="000000"/>
          <w:szCs w:val="22"/>
          <w:lang w:val="en-US"/>
        </w:rPr>
        <w:t xml:space="preserve">. Pētījumi ar dzīvniekiem neliecina par kancerogēnu ietekmi, lietojot devas, kas nav </w:t>
      </w:r>
      <w:proofErr w:type="spellStart"/>
      <w:r w:rsidRPr="000257B9">
        <w:rPr>
          <w:color w:val="000000"/>
          <w:szCs w:val="22"/>
          <w:lang w:val="en-US"/>
        </w:rPr>
        <w:t>hepatotoksiskas</w:t>
      </w:r>
      <w:proofErr w:type="spellEnd"/>
      <w:r w:rsidRPr="000257B9">
        <w:rPr>
          <w:color w:val="000000"/>
          <w:szCs w:val="22"/>
          <w:lang w:val="en-US"/>
        </w:rPr>
        <w:t xml:space="preserve">. Paracetamola audzējus izraisošu ietekmi novēroja agrāk veiktos pētījumos, lietojot </w:t>
      </w:r>
      <w:proofErr w:type="spellStart"/>
      <w:r w:rsidRPr="000257B9">
        <w:rPr>
          <w:color w:val="000000"/>
          <w:szCs w:val="22"/>
          <w:lang w:val="en-US"/>
        </w:rPr>
        <w:t>tikai</w:t>
      </w:r>
      <w:proofErr w:type="spellEnd"/>
      <w:r w:rsidRPr="000257B9">
        <w:rPr>
          <w:color w:val="000000"/>
          <w:szCs w:val="22"/>
          <w:lang w:val="en-US"/>
        </w:rPr>
        <w:t xml:space="preserve"> </w:t>
      </w:r>
      <w:proofErr w:type="spellStart"/>
      <w:r w:rsidRPr="000257B9">
        <w:rPr>
          <w:color w:val="000000"/>
          <w:szCs w:val="22"/>
          <w:lang w:val="en-US"/>
        </w:rPr>
        <w:t>ļoti</w:t>
      </w:r>
      <w:proofErr w:type="spellEnd"/>
      <w:r w:rsidRPr="000257B9">
        <w:rPr>
          <w:color w:val="000000"/>
          <w:szCs w:val="22"/>
          <w:lang w:val="en-US"/>
        </w:rPr>
        <w:t xml:space="preserve"> </w:t>
      </w:r>
      <w:proofErr w:type="spellStart"/>
      <w:r w:rsidRPr="000257B9">
        <w:rPr>
          <w:color w:val="000000"/>
          <w:szCs w:val="22"/>
          <w:lang w:val="en-US"/>
        </w:rPr>
        <w:t>lielas</w:t>
      </w:r>
      <w:proofErr w:type="spellEnd"/>
      <w:r w:rsidRPr="000257B9">
        <w:rPr>
          <w:color w:val="000000"/>
          <w:szCs w:val="22"/>
          <w:lang w:val="en-US"/>
        </w:rPr>
        <w:t xml:space="preserve">, </w:t>
      </w:r>
      <w:proofErr w:type="spellStart"/>
      <w:r w:rsidRPr="000257B9">
        <w:rPr>
          <w:color w:val="000000"/>
          <w:szCs w:val="22"/>
          <w:lang w:val="en-US"/>
        </w:rPr>
        <w:t>citotoksiskas</w:t>
      </w:r>
      <w:proofErr w:type="spellEnd"/>
      <w:r w:rsidRPr="000257B9">
        <w:rPr>
          <w:color w:val="000000"/>
          <w:szCs w:val="22"/>
          <w:lang w:val="en-US"/>
        </w:rPr>
        <w:t xml:space="preserve"> devas.</w:t>
      </w:r>
    </w:p>
    <w:p w14:paraId="3905AD83" w14:textId="77777777" w:rsidR="007B5075" w:rsidRPr="007B5075" w:rsidRDefault="007B5075" w:rsidP="007B5075">
      <w:pPr>
        <w:tabs>
          <w:tab w:val="clear" w:pos="567"/>
        </w:tabs>
        <w:spacing w:line="240" w:lineRule="auto"/>
        <w:rPr>
          <w:rFonts w:ascii="Times" w:hAnsi="Times" w:cs="Times"/>
          <w:szCs w:val="22"/>
          <w:lang w:eastAsia="lv-LV"/>
        </w:rPr>
      </w:pPr>
    </w:p>
    <w:p w14:paraId="29DE4D8A" w14:textId="77777777" w:rsidR="007B5075" w:rsidRDefault="007B5075" w:rsidP="007B5075">
      <w:pPr>
        <w:tabs>
          <w:tab w:val="clear" w:pos="567"/>
        </w:tabs>
        <w:spacing w:line="240" w:lineRule="auto"/>
        <w:rPr>
          <w:rFonts w:ascii="Times" w:hAnsi="Times" w:cs="Times"/>
          <w:szCs w:val="22"/>
          <w:lang w:eastAsia="lv-LV"/>
        </w:rPr>
      </w:pPr>
      <w:r>
        <w:rPr>
          <w:rFonts w:ascii="Times" w:hAnsi="Times" w:cs="Times"/>
          <w:szCs w:val="22"/>
          <w:lang w:eastAsia="lv-LV"/>
        </w:rPr>
        <w:t xml:space="preserve">Nav drošu liecību par </w:t>
      </w:r>
      <w:r w:rsidR="00A23D7E" w:rsidRPr="00A23D7E">
        <w:rPr>
          <w:rFonts w:ascii="Times" w:hAnsi="Times" w:cs="Times"/>
          <w:szCs w:val="22"/>
          <w:lang w:eastAsia="lv-LV"/>
        </w:rPr>
        <w:t>iespējamo kancerogenitāti</w:t>
      </w:r>
      <w:r w:rsidR="00A23D7E">
        <w:rPr>
          <w:rFonts w:ascii="Times" w:hAnsi="Times" w:cs="Times"/>
          <w:szCs w:val="22"/>
          <w:lang w:eastAsia="lv-LV"/>
        </w:rPr>
        <w:t>,</w:t>
      </w:r>
      <w:r w:rsidR="00A23D7E" w:rsidRPr="00A23D7E">
        <w:rPr>
          <w:rFonts w:ascii="Times" w:hAnsi="Times" w:cs="Times"/>
          <w:szCs w:val="22"/>
          <w:lang w:eastAsia="lv-LV"/>
        </w:rPr>
        <w:t xml:space="preserve"> </w:t>
      </w:r>
      <w:r w:rsidR="00A23D7E">
        <w:rPr>
          <w:rFonts w:ascii="Times" w:hAnsi="Times" w:cs="Times"/>
          <w:szCs w:val="22"/>
          <w:lang w:eastAsia="lv-LV"/>
        </w:rPr>
        <w:t>mutaģenēzi</w:t>
      </w:r>
      <w:r w:rsidR="00A23D7E" w:rsidRPr="00A23D7E">
        <w:rPr>
          <w:rFonts w:ascii="Times" w:hAnsi="Times" w:cs="Times"/>
          <w:szCs w:val="22"/>
          <w:lang w:eastAsia="lv-LV"/>
        </w:rPr>
        <w:t xml:space="preserve"> </w:t>
      </w:r>
      <w:r w:rsidR="00A23D7E">
        <w:rPr>
          <w:rFonts w:ascii="Times" w:hAnsi="Times" w:cs="Times"/>
          <w:szCs w:val="22"/>
          <w:lang w:eastAsia="lv-LV"/>
        </w:rPr>
        <w:t>vai</w:t>
      </w:r>
      <w:r w:rsidR="00A23D7E" w:rsidRPr="00A23D7E">
        <w:rPr>
          <w:rFonts w:ascii="Times" w:hAnsi="Times" w:cs="Times"/>
          <w:szCs w:val="22"/>
          <w:lang w:eastAsia="lv-LV"/>
        </w:rPr>
        <w:t xml:space="preserve"> reprodukt</w:t>
      </w:r>
      <w:r w:rsidR="00A23D7E">
        <w:rPr>
          <w:rFonts w:ascii="Times" w:hAnsi="Times" w:cs="Times"/>
          <w:szCs w:val="22"/>
          <w:lang w:eastAsia="lv-LV"/>
        </w:rPr>
        <w:t xml:space="preserve">īvās sistēmas traucējumu </w:t>
      </w:r>
      <w:r>
        <w:rPr>
          <w:rFonts w:ascii="Times" w:hAnsi="Times" w:cs="Times"/>
          <w:szCs w:val="22"/>
          <w:lang w:eastAsia="lv-LV"/>
        </w:rPr>
        <w:t>saistību ar C vitamīna lietošanu.</w:t>
      </w:r>
    </w:p>
    <w:p w14:paraId="50515D88" w14:textId="77777777" w:rsidR="00D31C30" w:rsidRPr="00C57E7F" w:rsidRDefault="00D31C30" w:rsidP="007B5075">
      <w:pPr>
        <w:tabs>
          <w:tab w:val="clear" w:pos="567"/>
        </w:tabs>
        <w:spacing w:line="240" w:lineRule="auto"/>
        <w:rPr>
          <w:rFonts w:ascii="Times" w:hAnsi="Times" w:cs="Times"/>
          <w:szCs w:val="22"/>
          <w:lang w:eastAsia="lv-LV"/>
        </w:rPr>
      </w:pPr>
    </w:p>
    <w:p w14:paraId="5C7DFF4C" w14:textId="77777777" w:rsidR="00D31C30" w:rsidRPr="00C57E7F" w:rsidRDefault="00D31C30" w:rsidP="00167313">
      <w:pPr>
        <w:tabs>
          <w:tab w:val="clear" w:pos="567"/>
        </w:tabs>
        <w:spacing w:line="240" w:lineRule="auto"/>
        <w:rPr>
          <w:rFonts w:ascii="Times" w:hAnsi="Times" w:cs="Times"/>
          <w:szCs w:val="22"/>
          <w:lang w:eastAsia="lv-LV"/>
        </w:rPr>
      </w:pPr>
    </w:p>
    <w:p w14:paraId="68B7FF18" w14:textId="77777777" w:rsidR="00993DE7" w:rsidRPr="00543FC5" w:rsidRDefault="00993DE7" w:rsidP="00993DE7">
      <w:pPr>
        <w:tabs>
          <w:tab w:val="clear" w:pos="567"/>
        </w:tabs>
        <w:ind w:left="567" w:hanging="567"/>
      </w:pPr>
    </w:p>
    <w:p w14:paraId="75C2188D" w14:textId="77777777" w:rsidR="00993DE7" w:rsidRPr="00543FC5" w:rsidRDefault="00993DE7" w:rsidP="00543FC5">
      <w:pPr>
        <w:keepNext/>
        <w:tabs>
          <w:tab w:val="clear" w:pos="567"/>
        </w:tabs>
        <w:spacing w:line="240" w:lineRule="auto"/>
        <w:ind w:left="567" w:hanging="567"/>
        <w:rPr>
          <w:b/>
        </w:rPr>
      </w:pPr>
      <w:r w:rsidRPr="00543FC5">
        <w:rPr>
          <w:b/>
        </w:rPr>
        <w:t>6.</w:t>
      </w:r>
      <w:r w:rsidRPr="00543FC5">
        <w:rPr>
          <w:b/>
        </w:rPr>
        <w:tab/>
        <w:t>FARMACEITISKĀ INFORMĀCIJA</w:t>
      </w:r>
    </w:p>
    <w:p w14:paraId="3234DB73" w14:textId="77777777" w:rsidR="00993DE7" w:rsidRPr="00543FC5" w:rsidRDefault="00993DE7" w:rsidP="00543FC5">
      <w:pPr>
        <w:keepNext/>
        <w:tabs>
          <w:tab w:val="clear" w:pos="567"/>
        </w:tabs>
        <w:ind w:left="567" w:hanging="567"/>
      </w:pPr>
    </w:p>
    <w:p w14:paraId="30D398EE" w14:textId="77777777" w:rsidR="00993DE7" w:rsidRPr="00543FC5" w:rsidRDefault="00993DE7" w:rsidP="00543FC5">
      <w:pPr>
        <w:keepNext/>
        <w:tabs>
          <w:tab w:val="clear" w:pos="567"/>
        </w:tabs>
        <w:spacing w:line="240" w:lineRule="auto"/>
        <w:ind w:left="567" w:hanging="567"/>
      </w:pPr>
      <w:r w:rsidRPr="00543FC5">
        <w:rPr>
          <w:b/>
        </w:rPr>
        <w:t>6.1</w:t>
      </w:r>
      <w:r w:rsidR="00FF3E04">
        <w:rPr>
          <w:b/>
        </w:rPr>
        <w:t>.</w:t>
      </w:r>
      <w:r w:rsidRPr="00543FC5">
        <w:rPr>
          <w:b/>
        </w:rPr>
        <w:tab/>
        <w:t>Palīgvielu saraksts</w:t>
      </w:r>
    </w:p>
    <w:p w14:paraId="409EA73F" w14:textId="77777777" w:rsidR="00993DE7" w:rsidRPr="00543FC5" w:rsidRDefault="00993DE7" w:rsidP="00543FC5">
      <w:pPr>
        <w:keepNext/>
        <w:tabs>
          <w:tab w:val="clear" w:pos="567"/>
        </w:tabs>
        <w:spacing w:line="240" w:lineRule="auto"/>
        <w:ind w:left="567" w:hanging="567"/>
      </w:pPr>
    </w:p>
    <w:p w14:paraId="2182EBFD" w14:textId="77777777" w:rsidR="00993DE7" w:rsidRPr="00543FC5" w:rsidRDefault="00993DE7" w:rsidP="00993DE7">
      <w:pPr>
        <w:tabs>
          <w:tab w:val="clear" w:pos="567"/>
        </w:tabs>
        <w:spacing w:line="240" w:lineRule="auto"/>
      </w:pPr>
      <w:r w:rsidRPr="00543FC5">
        <w:t xml:space="preserve">Kālija </w:t>
      </w:r>
      <w:r w:rsidR="00362238" w:rsidRPr="00543FC5">
        <w:t>hidrogēn</w:t>
      </w:r>
      <w:r w:rsidRPr="00543FC5">
        <w:t xml:space="preserve">karbonāts, </w:t>
      </w:r>
    </w:p>
    <w:p w14:paraId="36A4030E" w14:textId="77777777" w:rsidR="00993DE7" w:rsidRPr="00543FC5" w:rsidRDefault="00993DE7" w:rsidP="00993DE7">
      <w:pPr>
        <w:tabs>
          <w:tab w:val="clear" w:pos="567"/>
        </w:tabs>
        <w:spacing w:line="240" w:lineRule="auto"/>
      </w:pPr>
      <w:r w:rsidRPr="00543FC5">
        <w:t xml:space="preserve">bezūdens citronskābe, </w:t>
      </w:r>
    </w:p>
    <w:p w14:paraId="4D160820" w14:textId="77777777" w:rsidR="00993DE7" w:rsidRPr="00543FC5" w:rsidRDefault="00993DE7" w:rsidP="00993DE7">
      <w:pPr>
        <w:tabs>
          <w:tab w:val="clear" w:pos="567"/>
        </w:tabs>
        <w:spacing w:line="240" w:lineRule="auto"/>
      </w:pPr>
      <w:r w:rsidRPr="00543FC5">
        <w:t xml:space="preserve">nātrija </w:t>
      </w:r>
      <w:r w:rsidR="00362238" w:rsidRPr="00543FC5">
        <w:t>hidrogēn</w:t>
      </w:r>
      <w:r w:rsidRPr="00543FC5">
        <w:t xml:space="preserve">karbonāts, </w:t>
      </w:r>
    </w:p>
    <w:p w14:paraId="61429DDF" w14:textId="77777777" w:rsidR="00993DE7" w:rsidRPr="00543FC5" w:rsidRDefault="00993DE7" w:rsidP="00993DE7">
      <w:pPr>
        <w:tabs>
          <w:tab w:val="clear" w:pos="567"/>
        </w:tabs>
        <w:spacing w:line="240" w:lineRule="auto"/>
      </w:pPr>
      <w:r w:rsidRPr="001B7935">
        <w:rPr>
          <w:noProof/>
        </w:rPr>
        <w:t>sorb</w:t>
      </w:r>
      <w:r w:rsidR="00FC4B75" w:rsidRPr="001B7935">
        <w:rPr>
          <w:noProof/>
        </w:rPr>
        <w:t>īts</w:t>
      </w:r>
      <w:r w:rsidR="00CD2596">
        <w:rPr>
          <w:noProof/>
        </w:rPr>
        <w:t xml:space="preserve"> </w:t>
      </w:r>
      <w:r w:rsidR="005F468E">
        <w:t>(E420)</w:t>
      </w:r>
      <w:r w:rsidRPr="00543FC5">
        <w:t xml:space="preserve">, </w:t>
      </w:r>
    </w:p>
    <w:p w14:paraId="53AF6394" w14:textId="77777777" w:rsidR="00993DE7" w:rsidRPr="00543FC5" w:rsidRDefault="00993DE7" w:rsidP="00993DE7">
      <w:pPr>
        <w:tabs>
          <w:tab w:val="clear" w:pos="567"/>
        </w:tabs>
        <w:spacing w:line="240" w:lineRule="auto"/>
      </w:pPr>
      <w:r w:rsidRPr="00543FC5">
        <w:t xml:space="preserve">nātrija dokuzāts, </w:t>
      </w:r>
    </w:p>
    <w:p w14:paraId="0A8C105E" w14:textId="77777777" w:rsidR="00993DE7" w:rsidRPr="00543FC5" w:rsidRDefault="00993DE7" w:rsidP="00993DE7">
      <w:pPr>
        <w:tabs>
          <w:tab w:val="clear" w:pos="567"/>
        </w:tabs>
        <w:spacing w:line="240" w:lineRule="auto"/>
      </w:pPr>
      <w:r w:rsidRPr="00543FC5">
        <w:t xml:space="preserve">povidons, </w:t>
      </w:r>
    </w:p>
    <w:p w14:paraId="3A5C9355" w14:textId="77777777" w:rsidR="00993DE7" w:rsidRPr="00543FC5" w:rsidRDefault="00993DE7" w:rsidP="00993DE7">
      <w:pPr>
        <w:tabs>
          <w:tab w:val="clear" w:pos="567"/>
        </w:tabs>
        <w:spacing w:line="240" w:lineRule="auto"/>
      </w:pPr>
      <w:r w:rsidRPr="00543FC5">
        <w:t>nātrija benzoāts</w:t>
      </w:r>
      <w:r w:rsidR="00F241EC">
        <w:t xml:space="preserve"> (E211)</w:t>
      </w:r>
      <w:r w:rsidRPr="00543FC5">
        <w:t>.</w:t>
      </w:r>
    </w:p>
    <w:p w14:paraId="0C8CEBAA" w14:textId="77777777" w:rsidR="00993DE7" w:rsidRPr="00543FC5" w:rsidRDefault="00993DE7" w:rsidP="00993DE7">
      <w:pPr>
        <w:tabs>
          <w:tab w:val="clear" w:pos="567"/>
        </w:tabs>
        <w:spacing w:line="240" w:lineRule="auto"/>
        <w:ind w:left="567" w:hanging="567"/>
      </w:pPr>
    </w:p>
    <w:p w14:paraId="15398CB0" w14:textId="77777777" w:rsidR="00993DE7" w:rsidRPr="00543FC5" w:rsidRDefault="00993DE7" w:rsidP="00543FC5">
      <w:pPr>
        <w:keepNext/>
        <w:tabs>
          <w:tab w:val="clear" w:pos="567"/>
        </w:tabs>
        <w:spacing w:line="240" w:lineRule="auto"/>
        <w:ind w:left="567" w:hanging="567"/>
      </w:pPr>
      <w:r w:rsidRPr="00543FC5">
        <w:rPr>
          <w:b/>
        </w:rPr>
        <w:t>6.2</w:t>
      </w:r>
      <w:r w:rsidR="00FF3E04">
        <w:rPr>
          <w:b/>
        </w:rPr>
        <w:t>.</w:t>
      </w:r>
      <w:r w:rsidRPr="00543FC5">
        <w:rPr>
          <w:b/>
        </w:rPr>
        <w:tab/>
        <w:t>Nesaderība</w:t>
      </w:r>
    </w:p>
    <w:p w14:paraId="5BD6EAB1" w14:textId="77777777" w:rsidR="00993DE7" w:rsidRPr="00543FC5" w:rsidRDefault="00993DE7" w:rsidP="00543FC5">
      <w:pPr>
        <w:keepNext/>
        <w:tabs>
          <w:tab w:val="clear" w:pos="567"/>
        </w:tabs>
        <w:spacing w:line="240" w:lineRule="auto"/>
        <w:ind w:left="567" w:hanging="567"/>
      </w:pPr>
    </w:p>
    <w:p w14:paraId="5EF66F53" w14:textId="77777777" w:rsidR="00993DE7" w:rsidRPr="00543FC5" w:rsidRDefault="00993DE7" w:rsidP="00993DE7">
      <w:pPr>
        <w:tabs>
          <w:tab w:val="clear" w:pos="567"/>
        </w:tabs>
        <w:spacing w:line="240" w:lineRule="auto"/>
        <w:ind w:left="567" w:hanging="567"/>
      </w:pPr>
      <w:r w:rsidRPr="00543FC5">
        <w:t>Nav piemērojama.</w:t>
      </w:r>
    </w:p>
    <w:p w14:paraId="2F19B9FD" w14:textId="77777777" w:rsidR="00993DE7" w:rsidRPr="00543FC5" w:rsidRDefault="00993DE7" w:rsidP="00993DE7">
      <w:pPr>
        <w:tabs>
          <w:tab w:val="clear" w:pos="567"/>
        </w:tabs>
        <w:spacing w:line="240" w:lineRule="auto"/>
        <w:ind w:left="567" w:hanging="567"/>
      </w:pPr>
    </w:p>
    <w:p w14:paraId="0900FBE6" w14:textId="77777777" w:rsidR="00993DE7" w:rsidRPr="00543FC5" w:rsidRDefault="00993DE7" w:rsidP="00543FC5">
      <w:pPr>
        <w:keepNext/>
        <w:tabs>
          <w:tab w:val="clear" w:pos="567"/>
        </w:tabs>
        <w:spacing w:line="240" w:lineRule="auto"/>
        <w:ind w:left="567" w:hanging="567"/>
      </w:pPr>
      <w:r w:rsidRPr="00543FC5">
        <w:rPr>
          <w:b/>
        </w:rPr>
        <w:t>6.3</w:t>
      </w:r>
      <w:r w:rsidR="00FF3E04">
        <w:rPr>
          <w:b/>
        </w:rPr>
        <w:t>.</w:t>
      </w:r>
      <w:r w:rsidRPr="00543FC5">
        <w:rPr>
          <w:b/>
        </w:rPr>
        <w:tab/>
        <w:t>Uzglabāšanas laiks</w:t>
      </w:r>
    </w:p>
    <w:p w14:paraId="05CC69FE" w14:textId="77777777" w:rsidR="00993DE7" w:rsidRPr="00543FC5" w:rsidRDefault="00993DE7" w:rsidP="00543FC5">
      <w:pPr>
        <w:keepNext/>
        <w:tabs>
          <w:tab w:val="clear" w:pos="567"/>
        </w:tabs>
        <w:spacing w:line="240" w:lineRule="auto"/>
        <w:ind w:left="567" w:hanging="567"/>
      </w:pPr>
    </w:p>
    <w:p w14:paraId="0E0AFB09" w14:textId="77777777" w:rsidR="00993DE7" w:rsidRPr="00543FC5" w:rsidRDefault="00993DE7" w:rsidP="00993DE7">
      <w:pPr>
        <w:tabs>
          <w:tab w:val="clear" w:pos="567"/>
        </w:tabs>
        <w:spacing w:line="240" w:lineRule="auto"/>
        <w:ind w:left="567" w:hanging="567"/>
      </w:pPr>
      <w:r w:rsidRPr="00543FC5">
        <w:t>3 gadi.</w:t>
      </w:r>
    </w:p>
    <w:p w14:paraId="564D3FDE" w14:textId="77777777" w:rsidR="00993DE7" w:rsidRPr="00543FC5" w:rsidRDefault="00993DE7" w:rsidP="00993DE7">
      <w:pPr>
        <w:tabs>
          <w:tab w:val="clear" w:pos="567"/>
        </w:tabs>
        <w:spacing w:line="240" w:lineRule="auto"/>
        <w:ind w:left="567" w:hanging="567"/>
      </w:pPr>
    </w:p>
    <w:p w14:paraId="6C97F8F1" w14:textId="77777777" w:rsidR="00993DE7" w:rsidRPr="00543FC5" w:rsidRDefault="00993DE7" w:rsidP="00543FC5">
      <w:pPr>
        <w:keepNext/>
        <w:tabs>
          <w:tab w:val="clear" w:pos="567"/>
        </w:tabs>
        <w:spacing w:line="240" w:lineRule="auto"/>
        <w:ind w:left="567" w:hanging="567"/>
      </w:pPr>
      <w:r w:rsidRPr="00543FC5">
        <w:rPr>
          <w:b/>
        </w:rPr>
        <w:t>6.4</w:t>
      </w:r>
      <w:r w:rsidR="00FF3E04">
        <w:rPr>
          <w:b/>
        </w:rPr>
        <w:t>.</w:t>
      </w:r>
      <w:r w:rsidRPr="00543FC5">
        <w:rPr>
          <w:b/>
        </w:rPr>
        <w:tab/>
        <w:t>Īpaši uzglabāšanas nosacījumi</w:t>
      </w:r>
    </w:p>
    <w:p w14:paraId="1D3638D4" w14:textId="77777777" w:rsidR="00993DE7" w:rsidRPr="00543FC5" w:rsidRDefault="00993DE7" w:rsidP="00543FC5">
      <w:pPr>
        <w:keepNext/>
        <w:tabs>
          <w:tab w:val="clear" w:pos="567"/>
        </w:tabs>
        <w:spacing w:line="240" w:lineRule="auto"/>
        <w:ind w:left="567" w:hanging="567"/>
      </w:pPr>
    </w:p>
    <w:p w14:paraId="442ED97C" w14:textId="77777777" w:rsidR="005C71E4" w:rsidRDefault="00993DE7" w:rsidP="00993DE7">
      <w:pPr>
        <w:tabs>
          <w:tab w:val="clear" w:pos="567"/>
        </w:tabs>
        <w:spacing w:line="240" w:lineRule="auto"/>
        <w:ind w:left="567" w:hanging="567"/>
      </w:pPr>
      <w:r w:rsidRPr="00543FC5">
        <w:t>Uzglabāt temperatūrā līdz 25°C.</w:t>
      </w:r>
      <w:r w:rsidR="005C71E4" w:rsidRPr="005C71E4">
        <w:t xml:space="preserve"> </w:t>
      </w:r>
    </w:p>
    <w:p w14:paraId="545A33ED" w14:textId="77777777" w:rsidR="00993DE7" w:rsidRPr="00543FC5" w:rsidRDefault="005C71E4" w:rsidP="00993DE7">
      <w:pPr>
        <w:tabs>
          <w:tab w:val="clear" w:pos="567"/>
        </w:tabs>
        <w:spacing w:line="240" w:lineRule="auto"/>
        <w:ind w:left="567" w:hanging="567"/>
      </w:pPr>
      <w:r w:rsidRPr="00543FC5">
        <w:t>Uzglabāt cieši noslēgtā tūbiņā</w:t>
      </w:r>
      <w:r w:rsidR="00277EF5">
        <w:t>, lai pasargātu no mitruma</w:t>
      </w:r>
      <w:r>
        <w:t>.</w:t>
      </w:r>
    </w:p>
    <w:p w14:paraId="2386E8AF" w14:textId="77777777" w:rsidR="00993DE7" w:rsidRPr="00543FC5" w:rsidRDefault="00993DE7" w:rsidP="00993DE7">
      <w:pPr>
        <w:tabs>
          <w:tab w:val="clear" w:pos="567"/>
        </w:tabs>
        <w:spacing w:line="240" w:lineRule="auto"/>
        <w:ind w:left="567" w:hanging="567"/>
      </w:pPr>
    </w:p>
    <w:p w14:paraId="09995666" w14:textId="77777777" w:rsidR="00993DE7" w:rsidRPr="00543FC5" w:rsidRDefault="00993DE7" w:rsidP="00543FC5">
      <w:pPr>
        <w:keepNext/>
        <w:tabs>
          <w:tab w:val="clear" w:pos="567"/>
        </w:tabs>
        <w:spacing w:line="240" w:lineRule="auto"/>
        <w:ind w:left="567" w:hanging="567"/>
      </w:pPr>
      <w:r w:rsidRPr="00543FC5">
        <w:rPr>
          <w:b/>
        </w:rPr>
        <w:t>6.5</w:t>
      </w:r>
      <w:r w:rsidR="00FF3E04">
        <w:rPr>
          <w:b/>
        </w:rPr>
        <w:t>.</w:t>
      </w:r>
      <w:r w:rsidRPr="00543FC5">
        <w:rPr>
          <w:b/>
        </w:rPr>
        <w:tab/>
        <w:t>Iepakojuma veids un saturs</w:t>
      </w:r>
    </w:p>
    <w:p w14:paraId="5A942BD8" w14:textId="77777777" w:rsidR="00993DE7" w:rsidRPr="00543FC5" w:rsidRDefault="00993DE7" w:rsidP="00543FC5">
      <w:pPr>
        <w:keepNext/>
        <w:tabs>
          <w:tab w:val="clear" w:pos="567"/>
        </w:tabs>
        <w:spacing w:line="240" w:lineRule="auto"/>
        <w:ind w:left="567" w:hanging="567"/>
      </w:pPr>
    </w:p>
    <w:p w14:paraId="0162DE6E" w14:textId="77777777" w:rsidR="00993DE7" w:rsidRPr="00543FC5" w:rsidRDefault="005D3E83" w:rsidP="00543FC5">
      <w:pPr>
        <w:tabs>
          <w:tab w:val="clear" w:pos="567"/>
        </w:tabs>
        <w:spacing w:line="240" w:lineRule="auto"/>
      </w:pPr>
      <w:r>
        <w:t>Vienā p</w:t>
      </w:r>
      <w:r w:rsidR="00993DE7" w:rsidRPr="00543FC5">
        <w:t>olipropilēna tūb</w:t>
      </w:r>
      <w:r w:rsidR="002830E2" w:rsidRPr="00543FC5">
        <w:t>iņ</w:t>
      </w:r>
      <w:r>
        <w:t xml:space="preserve">ā ir 10 putojošās tabletes. Tūbiņa ir </w:t>
      </w:r>
      <w:r w:rsidR="00993DE7" w:rsidRPr="00543FC5">
        <w:t>aizvākota ar polietilēna aizbāzni, kas satur mitrumu uzsūcošu vielu.</w:t>
      </w:r>
    </w:p>
    <w:p w14:paraId="48FBD716" w14:textId="77777777" w:rsidR="00B53464" w:rsidRPr="00543FC5" w:rsidRDefault="005D3E83" w:rsidP="00B53464">
      <w:pPr>
        <w:tabs>
          <w:tab w:val="clear" w:pos="567"/>
        </w:tabs>
        <w:spacing w:line="240" w:lineRule="auto"/>
      </w:pPr>
      <w:r>
        <w:t xml:space="preserve">Vienā kastītē ir 1 vai 2 tūbiņas (pa </w:t>
      </w:r>
      <w:r w:rsidR="00B53464" w:rsidRPr="00543FC5">
        <w:t>10 vai 20 putojošā</w:t>
      </w:r>
      <w:r>
        <w:t>m</w:t>
      </w:r>
      <w:r w:rsidR="00B53464" w:rsidRPr="00543FC5">
        <w:t xml:space="preserve"> tablet</w:t>
      </w:r>
      <w:r>
        <w:t>ēm katrā</w:t>
      </w:r>
      <w:r w:rsidR="00B53464" w:rsidRPr="00543FC5">
        <w:t xml:space="preserve"> iepakojumā</w:t>
      </w:r>
      <w:r>
        <w:t>)</w:t>
      </w:r>
      <w:r w:rsidR="00B53464" w:rsidRPr="00543FC5">
        <w:t>.</w:t>
      </w:r>
    </w:p>
    <w:p w14:paraId="00773885" w14:textId="77777777" w:rsidR="00993DE7" w:rsidRDefault="00993DE7" w:rsidP="00993DE7">
      <w:pPr>
        <w:tabs>
          <w:tab w:val="clear" w:pos="567"/>
        </w:tabs>
        <w:spacing w:line="240" w:lineRule="auto"/>
        <w:ind w:left="567" w:hanging="567"/>
      </w:pPr>
    </w:p>
    <w:p w14:paraId="78BFF6DE" w14:textId="77777777" w:rsidR="005D3E83" w:rsidRDefault="005D3E83" w:rsidP="00993DE7">
      <w:pPr>
        <w:tabs>
          <w:tab w:val="clear" w:pos="567"/>
        </w:tabs>
        <w:spacing w:line="240" w:lineRule="auto"/>
        <w:ind w:left="567" w:hanging="567"/>
      </w:pPr>
      <w:r>
        <w:t>Visi iepakojuma lielumi tirgū var nebūt pieejami.</w:t>
      </w:r>
    </w:p>
    <w:p w14:paraId="776E9776" w14:textId="77777777" w:rsidR="005D3E83" w:rsidRPr="00543FC5" w:rsidRDefault="005D3E83" w:rsidP="00993DE7">
      <w:pPr>
        <w:tabs>
          <w:tab w:val="clear" w:pos="567"/>
        </w:tabs>
        <w:spacing w:line="240" w:lineRule="auto"/>
        <w:ind w:left="567" w:hanging="567"/>
      </w:pPr>
    </w:p>
    <w:p w14:paraId="68B57623" w14:textId="77777777" w:rsidR="00993DE7" w:rsidRPr="00543FC5" w:rsidRDefault="00993DE7" w:rsidP="00543FC5">
      <w:pPr>
        <w:keepNext/>
        <w:tabs>
          <w:tab w:val="clear" w:pos="567"/>
        </w:tabs>
        <w:spacing w:line="240" w:lineRule="auto"/>
        <w:ind w:left="567" w:hanging="567"/>
      </w:pPr>
      <w:r w:rsidRPr="00543FC5">
        <w:rPr>
          <w:b/>
        </w:rPr>
        <w:t>6.6</w:t>
      </w:r>
      <w:r w:rsidR="005D3E83">
        <w:rPr>
          <w:b/>
        </w:rPr>
        <w:t>.</w:t>
      </w:r>
      <w:r w:rsidRPr="00543FC5">
        <w:rPr>
          <w:b/>
        </w:rPr>
        <w:tab/>
      </w:r>
      <w:r w:rsidRPr="00543FC5">
        <w:rPr>
          <w:b/>
          <w:color w:val="000000"/>
        </w:rPr>
        <w:t xml:space="preserve">Īpaši norādījumi atkritumu likvidēšanai </w:t>
      </w:r>
    </w:p>
    <w:p w14:paraId="148208B1" w14:textId="77777777" w:rsidR="00993DE7" w:rsidRPr="00543FC5" w:rsidRDefault="00993DE7" w:rsidP="00543FC5">
      <w:pPr>
        <w:keepNext/>
        <w:tabs>
          <w:tab w:val="clear" w:pos="567"/>
        </w:tabs>
        <w:spacing w:line="240" w:lineRule="auto"/>
        <w:ind w:left="567" w:hanging="567"/>
      </w:pPr>
    </w:p>
    <w:p w14:paraId="5B9417F6" w14:textId="77777777" w:rsidR="00993DE7" w:rsidRPr="00543FC5" w:rsidRDefault="00993DE7" w:rsidP="00993DE7">
      <w:pPr>
        <w:tabs>
          <w:tab w:val="clear" w:pos="567"/>
        </w:tabs>
        <w:spacing w:line="240" w:lineRule="auto"/>
        <w:ind w:left="567" w:hanging="567"/>
      </w:pPr>
      <w:r w:rsidRPr="00543FC5">
        <w:t>Nav īpašu prasību.</w:t>
      </w:r>
    </w:p>
    <w:p w14:paraId="5B6811E8" w14:textId="77777777" w:rsidR="00FF3E04" w:rsidRPr="00657D6A" w:rsidRDefault="00FF3E04" w:rsidP="00FF3E04">
      <w:pPr>
        <w:tabs>
          <w:tab w:val="clear" w:pos="567"/>
        </w:tabs>
        <w:spacing w:line="240" w:lineRule="auto"/>
        <w:ind w:left="567" w:hanging="567"/>
      </w:pPr>
      <w:r w:rsidRPr="00657D6A">
        <w:t>Neizlietotās zāles vai izlietotie materiāli jāiznīcin</w:t>
      </w:r>
      <w:r>
        <w:t>a atbilstoši vietējām prasībām.</w:t>
      </w:r>
    </w:p>
    <w:p w14:paraId="4283CD71" w14:textId="77777777" w:rsidR="00993DE7" w:rsidRPr="00543FC5" w:rsidRDefault="00993DE7" w:rsidP="00993DE7">
      <w:pPr>
        <w:tabs>
          <w:tab w:val="clear" w:pos="567"/>
        </w:tabs>
        <w:spacing w:line="240" w:lineRule="auto"/>
        <w:ind w:left="567" w:hanging="567"/>
      </w:pPr>
    </w:p>
    <w:p w14:paraId="556D51EC" w14:textId="77777777" w:rsidR="00993DE7" w:rsidRPr="00543FC5" w:rsidRDefault="00993DE7" w:rsidP="00993DE7">
      <w:pPr>
        <w:tabs>
          <w:tab w:val="clear" w:pos="567"/>
        </w:tabs>
        <w:spacing w:line="240" w:lineRule="auto"/>
        <w:ind w:left="567" w:hanging="567"/>
      </w:pPr>
    </w:p>
    <w:p w14:paraId="5DECBDD3" w14:textId="77777777" w:rsidR="00993DE7" w:rsidRPr="00543FC5" w:rsidRDefault="00993DE7" w:rsidP="00543FC5">
      <w:pPr>
        <w:keepNext/>
        <w:tabs>
          <w:tab w:val="clear" w:pos="567"/>
        </w:tabs>
        <w:spacing w:line="240" w:lineRule="auto"/>
        <w:ind w:left="567" w:hanging="567"/>
      </w:pPr>
      <w:r w:rsidRPr="00543FC5">
        <w:rPr>
          <w:b/>
        </w:rPr>
        <w:lastRenderedPageBreak/>
        <w:t>7.</w:t>
      </w:r>
      <w:r w:rsidRPr="00543FC5">
        <w:rPr>
          <w:b/>
        </w:rPr>
        <w:tab/>
        <w:t>REĢISTRĀCIJAS APLIECĪBAS ĪPAŠNIEKS</w:t>
      </w:r>
    </w:p>
    <w:p w14:paraId="5E3B217D" w14:textId="77777777" w:rsidR="00993DE7" w:rsidRPr="00543FC5" w:rsidRDefault="00993DE7" w:rsidP="00543FC5">
      <w:pPr>
        <w:keepNext/>
        <w:tabs>
          <w:tab w:val="clear" w:pos="567"/>
        </w:tabs>
        <w:spacing w:line="240" w:lineRule="auto"/>
        <w:ind w:left="567" w:hanging="567"/>
      </w:pPr>
    </w:p>
    <w:p w14:paraId="1D80B073" w14:textId="77777777" w:rsidR="00C64294" w:rsidRPr="00F47F23" w:rsidRDefault="00C64294" w:rsidP="00C64294">
      <w:pPr>
        <w:pStyle w:val="EMEABodyTextChar"/>
        <w:rPr>
          <w:lang w:val="lv-LV"/>
        </w:rPr>
      </w:pPr>
      <w:r w:rsidRPr="00F47F23">
        <w:rPr>
          <w:lang w:val="lv-LV"/>
        </w:rPr>
        <w:t>UPSA SAS</w:t>
      </w:r>
    </w:p>
    <w:p w14:paraId="6CFDDECD" w14:textId="77777777" w:rsidR="00C64294" w:rsidRPr="00F47F23" w:rsidRDefault="00C64294" w:rsidP="00C64294">
      <w:pPr>
        <w:pStyle w:val="EMEABodyTextChar"/>
        <w:rPr>
          <w:lang w:val="lv-LV"/>
        </w:rPr>
      </w:pPr>
      <w:r w:rsidRPr="00F47F23">
        <w:rPr>
          <w:lang w:val="lv-LV"/>
        </w:rPr>
        <w:t>3, rue Joseph Monier</w:t>
      </w:r>
    </w:p>
    <w:p w14:paraId="6259530F" w14:textId="77777777" w:rsidR="00C64294" w:rsidRPr="00F47F23" w:rsidRDefault="00C64294" w:rsidP="00C64294">
      <w:pPr>
        <w:pStyle w:val="EMEABodyTextChar"/>
        <w:rPr>
          <w:lang w:val="lv-LV"/>
        </w:rPr>
      </w:pPr>
      <w:r w:rsidRPr="00F47F23">
        <w:rPr>
          <w:lang w:val="lv-LV"/>
        </w:rPr>
        <w:t>92500 Rueil-Malmaison</w:t>
      </w:r>
    </w:p>
    <w:p w14:paraId="17D45891" w14:textId="77777777" w:rsidR="00C64294" w:rsidRPr="00C57E7F" w:rsidRDefault="00C64294" w:rsidP="00C64294">
      <w:pPr>
        <w:pStyle w:val="EMEABodyTextChar"/>
        <w:rPr>
          <w:lang w:val="lv-LV"/>
        </w:rPr>
      </w:pPr>
      <w:r w:rsidRPr="00F47F23">
        <w:rPr>
          <w:lang w:val="lv-LV"/>
        </w:rPr>
        <w:t>Francija</w:t>
      </w:r>
    </w:p>
    <w:p w14:paraId="48567EA7" w14:textId="77777777" w:rsidR="00993DE7" w:rsidRPr="00543FC5" w:rsidRDefault="00993DE7" w:rsidP="00B53464">
      <w:pPr>
        <w:tabs>
          <w:tab w:val="clear" w:pos="567"/>
        </w:tabs>
        <w:spacing w:line="240" w:lineRule="auto"/>
      </w:pPr>
    </w:p>
    <w:p w14:paraId="3945AD8D" w14:textId="77777777" w:rsidR="00993DE7" w:rsidRPr="00543FC5" w:rsidRDefault="00993DE7" w:rsidP="00993DE7">
      <w:pPr>
        <w:tabs>
          <w:tab w:val="clear" w:pos="567"/>
        </w:tabs>
        <w:spacing w:line="240" w:lineRule="auto"/>
        <w:ind w:left="567" w:hanging="567"/>
      </w:pPr>
    </w:p>
    <w:p w14:paraId="411FCEBE" w14:textId="77777777" w:rsidR="00993DE7" w:rsidRPr="00543FC5" w:rsidRDefault="00993DE7" w:rsidP="00543FC5">
      <w:pPr>
        <w:keepNext/>
        <w:tabs>
          <w:tab w:val="clear" w:pos="567"/>
        </w:tabs>
        <w:spacing w:line="240" w:lineRule="auto"/>
        <w:rPr>
          <w:b/>
        </w:rPr>
      </w:pPr>
      <w:r w:rsidRPr="00543FC5">
        <w:rPr>
          <w:b/>
        </w:rPr>
        <w:t>8.</w:t>
      </w:r>
      <w:r w:rsidRPr="00543FC5">
        <w:rPr>
          <w:b/>
        </w:rPr>
        <w:tab/>
        <w:t xml:space="preserve">REĢISTRĀCIJAS </w:t>
      </w:r>
      <w:r w:rsidR="005D3E83">
        <w:rPr>
          <w:b/>
        </w:rPr>
        <w:t xml:space="preserve">APLIECĪBAS </w:t>
      </w:r>
      <w:r w:rsidRPr="00543FC5">
        <w:rPr>
          <w:b/>
        </w:rPr>
        <w:t xml:space="preserve">NUMURS </w:t>
      </w:r>
    </w:p>
    <w:p w14:paraId="7C4B24AA" w14:textId="77777777" w:rsidR="00993DE7" w:rsidRPr="00543FC5" w:rsidRDefault="00993DE7" w:rsidP="00543FC5">
      <w:pPr>
        <w:keepNext/>
        <w:tabs>
          <w:tab w:val="clear" w:pos="567"/>
        </w:tabs>
        <w:spacing w:line="240" w:lineRule="auto"/>
        <w:ind w:left="567" w:hanging="567"/>
      </w:pPr>
    </w:p>
    <w:p w14:paraId="69CA7F32" w14:textId="77777777" w:rsidR="00993DE7" w:rsidRPr="00543FC5" w:rsidRDefault="00993DE7" w:rsidP="00993DE7">
      <w:pPr>
        <w:tabs>
          <w:tab w:val="clear" w:pos="567"/>
        </w:tabs>
        <w:spacing w:line="240" w:lineRule="auto"/>
        <w:ind w:left="567" w:hanging="567"/>
      </w:pPr>
      <w:r w:rsidRPr="00543FC5">
        <w:t>97-0237</w:t>
      </w:r>
    </w:p>
    <w:p w14:paraId="187EA1AB" w14:textId="77777777" w:rsidR="00993DE7" w:rsidRPr="00543FC5" w:rsidRDefault="00993DE7" w:rsidP="00993DE7">
      <w:pPr>
        <w:tabs>
          <w:tab w:val="clear" w:pos="567"/>
        </w:tabs>
        <w:spacing w:line="240" w:lineRule="auto"/>
        <w:ind w:left="567" w:hanging="567"/>
      </w:pPr>
    </w:p>
    <w:p w14:paraId="4D0CE44D" w14:textId="77777777" w:rsidR="00993DE7" w:rsidRPr="00543FC5" w:rsidRDefault="00993DE7" w:rsidP="00993DE7">
      <w:pPr>
        <w:tabs>
          <w:tab w:val="clear" w:pos="567"/>
        </w:tabs>
        <w:spacing w:line="240" w:lineRule="auto"/>
        <w:ind w:left="567" w:hanging="567"/>
      </w:pPr>
    </w:p>
    <w:p w14:paraId="029F4D3F" w14:textId="77777777" w:rsidR="00993DE7" w:rsidRPr="00543FC5" w:rsidRDefault="00993DE7" w:rsidP="00543FC5">
      <w:pPr>
        <w:keepNext/>
        <w:tabs>
          <w:tab w:val="clear" w:pos="567"/>
        </w:tabs>
        <w:spacing w:line="240" w:lineRule="auto"/>
        <w:ind w:left="567" w:hanging="567"/>
      </w:pPr>
      <w:r w:rsidRPr="00543FC5">
        <w:rPr>
          <w:b/>
        </w:rPr>
        <w:t>9.</w:t>
      </w:r>
      <w:r w:rsidRPr="00543FC5">
        <w:rPr>
          <w:b/>
        </w:rPr>
        <w:tab/>
      </w:r>
      <w:r w:rsidR="005D3E83">
        <w:rPr>
          <w:b/>
        </w:rPr>
        <w:t xml:space="preserve">PIRMĀS </w:t>
      </w:r>
      <w:r w:rsidRPr="00543FC5">
        <w:rPr>
          <w:b/>
        </w:rPr>
        <w:t>REĢISTRĀCIJAS/PĀRREĢISTRĀCIJAS DATUMS</w:t>
      </w:r>
    </w:p>
    <w:p w14:paraId="34631340" w14:textId="77777777" w:rsidR="00993DE7" w:rsidRPr="00543FC5" w:rsidRDefault="00993DE7" w:rsidP="00543FC5">
      <w:pPr>
        <w:keepNext/>
        <w:tabs>
          <w:tab w:val="clear" w:pos="567"/>
        </w:tabs>
        <w:spacing w:line="240" w:lineRule="auto"/>
        <w:ind w:left="567" w:hanging="567"/>
      </w:pPr>
    </w:p>
    <w:p w14:paraId="57E63BEB" w14:textId="77777777" w:rsidR="00993DE7" w:rsidRPr="00543FC5" w:rsidRDefault="00993DE7" w:rsidP="00993DE7">
      <w:pPr>
        <w:tabs>
          <w:tab w:val="clear" w:pos="567"/>
        </w:tabs>
        <w:spacing w:line="240" w:lineRule="auto"/>
        <w:ind w:left="567" w:hanging="567"/>
      </w:pPr>
    </w:p>
    <w:p w14:paraId="369583A8" w14:textId="77777777" w:rsidR="00993DE7" w:rsidRDefault="00CA5EB8" w:rsidP="00993DE7">
      <w:pPr>
        <w:tabs>
          <w:tab w:val="clear" w:pos="567"/>
        </w:tabs>
        <w:spacing w:line="240" w:lineRule="auto"/>
        <w:ind w:left="567" w:hanging="567"/>
      </w:pPr>
      <w:r>
        <w:t>Reģistrācijas datums: 1997. gada 4. jūnijs</w:t>
      </w:r>
    </w:p>
    <w:p w14:paraId="20E8A358" w14:textId="77777777" w:rsidR="00CA5EB8" w:rsidRPr="00543FC5" w:rsidRDefault="00636E7C" w:rsidP="00993DE7">
      <w:pPr>
        <w:tabs>
          <w:tab w:val="clear" w:pos="567"/>
        </w:tabs>
        <w:spacing w:line="240" w:lineRule="auto"/>
        <w:ind w:left="567" w:hanging="567"/>
      </w:pPr>
      <w:r>
        <w:t>Pēdējās pārreģistrācijas datums: 2007. gada 25. septembris</w:t>
      </w:r>
    </w:p>
    <w:p w14:paraId="17CF1C3F" w14:textId="77777777" w:rsidR="00993DE7" w:rsidRPr="00543FC5" w:rsidRDefault="00993DE7" w:rsidP="00993DE7">
      <w:pPr>
        <w:tabs>
          <w:tab w:val="clear" w:pos="567"/>
        </w:tabs>
        <w:spacing w:line="240" w:lineRule="auto"/>
        <w:ind w:left="567" w:hanging="567"/>
      </w:pPr>
    </w:p>
    <w:p w14:paraId="7F7B55FB" w14:textId="77777777" w:rsidR="00993DE7" w:rsidRPr="00543FC5" w:rsidRDefault="00993DE7" w:rsidP="00543FC5">
      <w:pPr>
        <w:keepNext/>
        <w:tabs>
          <w:tab w:val="clear" w:pos="567"/>
        </w:tabs>
        <w:spacing w:line="240" w:lineRule="auto"/>
        <w:ind w:left="567" w:hanging="567"/>
        <w:rPr>
          <w:b/>
        </w:rPr>
      </w:pPr>
      <w:r w:rsidRPr="00543FC5">
        <w:rPr>
          <w:b/>
        </w:rPr>
        <w:t>10.</w:t>
      </w:r>
      <w:r w:rsidRPr="00543FC5">
        <w:rPr>
          <w:b/>
        </w:rPr>
        <w:tab/>
        <w:t>TEKSTA PĀRSKATĪŠANAS DATUMS</w:t>
      </w:r>
    </w:p>
    <w:p w14:paraId="399E67C2" w14:textId="77777777" w:rsidR="00993DE7" w:rsidRPr="00543FC5" w:rsidRDefault="00993DE7" w:rsidP="00543FC5">
      <w:pPr>
        <w:keepNext/>
        <w:tabs>
          <w:tab w:val="clear" w:pos="567"/>
        </w:tabs>
        <w:spacing w:line="240" w:lineRule="auto"/>
        <w:ind w:left="567" w:hanging="567"/>
      </w:pPr>
    </w:p>
    <w:p w14:paraId="0CFF54C5" w14:textId="77777777" w:rsidR="00993DE7" w:rsidRPr="00543FC5" w:rsidRDefault="00DB4B1C" w:rsidP="00993DE7">
      <w:pPr>
        <w:tabs>
          <w:tab w:val="clear" w:pos="567"/>
        </w:tabs>
        <w:spacing w:line="240" w:lineRule="auto"/>
        <w:ind w:left="567" w:hanging="567"/>
      </w:pPr>
      <w:r>
        <w:t>04</w:t>
      </w:r>
      <w:r w:rsidR="005F468E">
        <w:t>/</w:t>
      </w:r>
      <w:r>
        <w:t>2022</w:t>
      </w:r>
      <w:r w:rsidRPr="00543FC5">
        <w:t xml:space="preserve"> </w:t>
      </w:r>
    </w:p>
    <w:p w14:paraId="3A63D47F" w14:textId="77777777" w:rsidR="00993DE7" w:rsidRPr="00543FC5" w:rsidRDefault="00993DE7" w:rsidP="00993DE7">
      <w:pPr>
        <w:tabs>
          <w:tab w:val="clear" w:pos="567"/>
        </w:tabs>
        <w:spacing w:line="240" w:lineRule="auto"/>
        <w:ind w:left="567" w:hanging="567"/>
      </w:pPr>
    </w:p>
    <w:p w14:paraId="22DBD831" w14:textId="77777777" w:rsidR="00251923" w:rsidRPr="00C57E7F" w:rsidRDefault="00251923"/>
    <w:sectPr w:rsidR="00251923" w:rsidRPr="00C57E7F" w:rsidSect="00136F89">
      <w:headerReference w:type="default" r:id="rId9"/>
      <w:footerReference w:type="default" r:id="rId10"/>
      <w:headerReference w:type="first" r:id="rId11"/>
      <w:footerReference w:type="first" r:id="rId12"/>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5EAA" w14:textId="77777777" w:rsidR="003F400A" w:rsidRDefault="003F400A">
      <w:r>
        <w:separator/>
      </w:r>
    </w:p>
  </w:endnote>
  <w:endnote w:type="continuationSeparator" w:id="0">
    <w:p w14:paraId="25B3A6CE" w14:textId="77777777" w:rsidR="003F400A" w:rsidRDefault="003F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7210" w14:textId="77777777" w:rsidR="00F525FE" w:rsidRDefault="00F525FE">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sidR="004F23E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761" w14:textId="77777777" w:rsidR="00F525FE" w:rsidRDefault="00F525FE">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sidR="004F23E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9149" w14:textId="77777777" w:rsidR="003F400A" w:rsidRDefault="003F400A">
      <w:r>
        <w:separator/>
      </w:r>
    </w:p>
  </w:footnote>
  <w:footnote w:type="continuationSeparator" w:id="0">
    <w:p w14:paraId="3658642D" w14:textId="77777777" w:rsidR="003F400A" w:rsidRDefault="003F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786C" w14:textId="4C802253" w:rsidR="00E25912" w:rsidRPr="00E25912" w:rsidRDefault="00D50C7C" w:rsidP="00E25912">
    <w:pPr>
      <w:pStyle w:val="Header"/>
      <w:jc w:val="right"/>
      <w:rPr>
        <w:sz w:val="24"/>
        <w:szCs w:val="24"/>
        <w:lang w:val="en-US"/>
      </w:rPr>
    </w:pPr>
    <w:bookmarkStart w:id="0" w:name="_Hlk101865790"/>
    <w:r w:rsidRPr="0095170E">
      <w:rPr>
        <w:sz w:val="24"/>
      </w:rPr>
      <w:t>SASKAŅOTS ZVA 28-04-2022</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440" w14:textId="77777777" w:rsidR="007D1BF1" w:rsidRPr="000036FA" w:rsidRDefault="000036FA" w:rsidP="007D1BF1">
    <w:pPr>
      <w:pStyle w:val="Header"/>
      <w:jc w:val="right"/>
      <w:rPr>
        <w:sz w:val="24"/>
        <w:lang w:val="en-US"/>
      </w:rPr>
    </w:pPr>
    <w:r>
      <w:rPr>
        <w:sz w:val="24"/>
        <w:lang w:val="en-US"/>
      </w:rPr>
      <w:t>SASKAŅOTS ZVA 10-11-2020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2F0"/>
    <w:multiLevelType w:val="hybridMultilevel"/>
    <w:tmpl w:val="9DC62A68"/>
    <w:lvl w:ilvl="0" w:tplc="3F24923C">
      <w:numFmt w:val="bullet"/>
      <w:lvlText w:val=""/>
      <w:lvlJc w:val="left"/>
      <w:pPr>
        <w:tabs>
          <w:tab w:val="num" w:pos="930"/>
        </w:tabs>
        <w:ind w:left="930" w:hanging="57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152C8"/>
    <w:multiLevelType w:val="hybridMultilevel"/>
    <w:tmpl w:val="2072103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FE76A12"/>
    <w:multiLevelType w:val="hybridMultilevel"/>
    <w:tmpl w:val="186AED72"/>
    <w:lvl w:ilvl="0" w:tplc="04260001">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E7"/>
    <w:rsid w:val="00001485"/>
    <w:rsid w:val="000015DA"/>
    <w:rsid w:val="000036FA"/>
    <w:rsid w:val="00004BA1"/>
    <w:rsid w:val="00005AA8"/>
    <w:rsid w:val="00005F61"/>
    <w:rsid w:val="00007883"/>
    <w:rsid w:val="000122AA"/>
    <w:rsid w:val="000155C1"/>
    <w:rsid w:val="00017183"/>
    <w:rsid w:val="000253E7"/>
    <w:rsid w:val="000257B9"/>
    <w:rsid w:val="000264AE"/>
    <w:rsid w:val="000310EF"/>
    <w:rsid w:val="00031219"/>
    <w:rsid w:val="00035E54"/>
    <w:rsid w:val="00036DA6"/>
    <w:rsid w:val="00040A12"/>
    <w:rsid w:val="000439D3"/>
    <w:rsid w:val="00047907"/>
    <w:rsid w:val="00054DA2"/>
    <w:rsid w:val="00056224"/>
    <w:rsid w:val="00062CD4"/>
    <w:rsid w:val="0006385C"/>
    <w:rsid w:val="00067B82"/>
    <w:rsid w:val="00067C6A"/>
    <w:rsid w:val="00076D86"/>
    <w:rsid w:val="0008068B"/>
    <w:rsid w:val="0008144B"/>
    <w:rsid w:val="00081A90"/>
    <w:rsid w:val="000827AC"/>
    <w:rsid w:val="00084837"/>
    <w:rsid w:val="00085E00"/>
    <w:rsid w:val="00086FB2"/>
    <w:rsid w:val="000873D4"/>
    <w:rsid w:val="00090DE3"/>
    <w:rsid w:val="0009666A"/>
    <w:rsid w:val="000A3D9D"/>
    <w:rsid w:val="000B0F38"/>
    <w:rsid w:val="000C15FF"/>
    <w:rsid w:val="000C62B2"/>
    <w:rsid w:val="000C6AF9"/>
    <w:rsid w:val="000D02A5"/>
    <w:rsid w:val="000D2977"/>
    <w:rsid w:val="000D311B"/>
    <w:rsid w:val="000D428E"/>
    <w:rsid w:val="000D5A57"/>
    <w:rsid w:val="000E26DF"/>
    <w:rsid w:val="000E7A0E"/>
    <w:rsid w:val="000F2D25"/>
    <w:rsid w:val="000F6548"/>
    <w:rsid w:val="0010013F"/>
    <w:rsid w:val="001020BD"/>
    <w:rsid w:val="0010231B"/>
    <w:rsid w:val="001031FD"/>
    <w:rsid w:val="001103BC"/>
    <w:rsid w:val="00112478"/>
    <w:rsid w:val="0011662A"/>
    <w:rsid w:val="00116FD2"/>
    <w:rsid w:val="00123119"/>
    <w:rsid w:val="00131706"/>
    <w:rsid w:val="001363C3"/>
    <w:rsid w:val="00136F89"/>
    <w:rsid w:val="0014097F"/>
    <w:rsid w:val="0014458A"/>
    <w:rsid w:val="00144678"/>
    <w:rsid w:val="00144E94"/>
    <w:rsid w:val="00145360"/>
    <w:rsid w:val="00150E11"/>
    <w:rsid w:val="00151CDD"/>
    <w:rsid w:val="00151CEF"/>
    <w:rsid w:val="001534A7"/>
    <w:rsid w:val="001537D9"/>
    <w:rsid w:val="001630D8"/>
    <w:rsid w:val="00164DEE"/>
    <w:rsid w:val="00166D94"/>
    <w:rsid w:val="00167313"/>
    <w:rsid w:val="001703CF"/>
    <w:rsid w:val="0017313F"/>
    <w:rsid w:val="001778E2"/>
    <w:rsid w:val="00183411"/>
    <w:rsid w:val="00186347"/>
    <w:rsid w:val="00186D57"/>
    <w:rsid w:val="001931B5"/>
    <w:rsid w:val="00195110"/>
    <w:rsid w:val="001A4E11"/>
    <w:rsid w:val="001A6286"/>
    <w:rsid w:val="001A7331"/>
    <w:rsid w:val="001B2440"/>
    <w:rsid w:val="001B5B00"/>
    <w:rsid w:val="001B7935"/>
    <w:rsid w:val="001C13C1"/>
    <w:rsid w:val="001C19B4"/>
    <w:rsid w:val="001C3F18"/>
    <w:rsid w:val="001C6247"/>
    <w:rsid w:val="001C6C60"/>
    <w:rsid w:val="001C7C5C"/>
    <w:rsid w:val="001C7E69"/>
    <w:rsid w:val="001D0806"/>
    <w:rsid w:val="001D4875"/>
    <w:rsid w:val="001D5593"/>
    <w:rsid w:val="001E0546"/>
    <w:rsid w:val="001F0D2E"/>
    <w:rsid w:val="001F61DA"/>
    <w:rsid w:val="001F73A1"/>
    <w:rsid w:val="001F78FE"/>
    <w:rsid w:val="002008D9"/>
    <w:rsid w:val="0020227B"/>
    <w:rsid w:val="00203E35"/>
    <w:rsid w:val="00212022"/>
    <w:rsid w:val="0021588F"/>
    <w:rsid w:val="00217A31"/>
    <w:rsid w:val="002201A6"/>
    <w:rsid w:val="00223963"/>
    <w:rsid w:val="00224F2B"/>
    <w:rsid w:val="00225CF3"/>
    <w:rsid w:val="00226CDF"/>
    <w:rsid w:val="0023743C"/>
    <w:rsid w:val="00250A7A"/>
    <w:rsid w:val="00250B2A"/>
    <w:rsid w:val="00251923"/>
    <w:rsid w:val="002535E5"/>
    <w:rsid w:val="00254FC3"/>
    <w:rsid w:val="00255DCD"/>
    <w:rsid w:val="002568F1"/>
    <w:rsid w:val="002571A0"/>
    <w:rsid w:val="00265D00"/>
    <w:rsid w:val="00270FFC"/>
    <w:rsid w:val="00273C79"/>
    <w:rsid w:val="002741CB"/>
    <w:rsid w:val="00276499"/>
    <w:rsid w:val="00277EF5"/>
    <w:rsid w:val="002830E2"/>
    <w:rsid w:val="00287900"/>
    <w:rsid w:val="00290062"/>
    <w:rsid w:val="00291D31"/>
    <w:rsid w:val="00294479"/>
    <w:rsid w:val="002951EB"/>
    <w:rsid w:val="00297EDB"/>
    <w:rsid w:val="002A7908"/>
    <w:rsid w:val="002B124A"/>
    <w:rsid w:val="002B2C16"/>
    <w:rsid w:val="002D3E18"/>
    <w:rsid w:val="002D4F2B"/>
    <w:rsid w:val="002D5051"/>
    <w:rsid w:val="002D5C70"/>
    <w:rsid w:val="002D77D7"/>
    <w:rsid w:val="002E1D80"/>
    <w:rsid w:val="002E1ED1"/>
    <w:rsid w:val="002E38D8"/>
    <w:rsid w:val="002E68BE"/>
    <w:rsid w:val="002E7E24"/>
    <w:rsid w:val="002E7F00"/>
    <w:rsid w:val="002E7FCE"/>
    <w:rsid w:val="002F10C5"/>
    <w:rsid w:val="00303928"/>
    <w:rsid w:val="003042CB"/>
    <w:rsid w:val="003057FE"/>
    <w:rsid w:val="003061A4"/>
    <w:rsid w:val="0031181A"/>
    <w:rsid w:val="00313A26"/>
    <w:rsid w:val="00333C2E"/>
    <w:rsid w:val="00334BE4"/>
    <w:rsid w:val="00336697"/>
    <w:rsid w:val="00336D08"/>
    <w:rsid w:val="0034245E"/>
    <w:rsid w:val="00345D22"/>
    <w:rsid w:val="0035071D"/>
    <w:rsid w:val="0035201A"/>
    <w:rsid w:val="00353F6B"/>
    <w:rsid w:val="00354721"/>
    <w:rsid w:val="00356070"/>
    <w:rsid w:val="00357801"/>
    <w:rsid w:val="00361781"/>
    <w:rsid w:val="00362238"/>
    <w:rsid w:val="00364326"/>
    <w:rsid w:val="003656E7"/>
    <w:rsid w:val="003707D5"/>
    <w:rsid w:val="00376DBC"/>
    <w:rsid w:val="0038298F"/>
    <w:rsid w:val="00387997"/>
    <w:rsid w:val="00394593"/>
    <w:rsid w:val="00395E02"/>
    <w:rsid w:val="00396C27"/>
    <w:rsid w:val="003A0015"/>
    <w:rsid w:val="003A0802"/>
    <w:rsid w:val="003A137C"/>
    <w:rsid w:val="003A36F1"/>
    <w:rsid w:val="003A37F9"/>
    <w:rsid w:val="003A7829"/>
    <w:rsid w:val="003B45D4"/>
    <w:rsid w:val="003C05DD"/>
    <w:rsid w:val="003C135D"/>
    <w:rsid w:val="003C4F25"/>
    <w:rsid w:val="003C551F"/>
    <w:rsid w:val="003D40EE"/>
    <w:rsid w:val="003D7291"/>
    <w:rsid w:val="003E1437"/>
    <w:rsid w:val="003E28B5"/>
    <w:rsid w:val="003E3D80"/>
    <w:rsid w:val="003E4DC4"/>
    <w:rsid w:val="003F066F"/>
    <w:rsid w:val="003F0BB2"/>
    <w:rsid w:val="003F400A"/>
    <w:rsid w:val="003F4F83"/>
    <w:rsid w:val="003F60FD"/>
    <w:rsid w:val="003F7635"/>
    <w:rsid w:val="004038EF"/>
    <w:rsid w:val="004138E3"/>
    <w:rsid w:val="004217CC"/>
    <w:rsid w:val="004254A7"/>
    <w:rsid w:val="0043505C"/>
    <w:rsid w:val="00435B2D"/>
    <w:rsid w:val="00437CAF"/>
    <w:rsid w:val="0044426E"/>
    <w:rsid w:val="0044504D"/>
    <w:rsid w:val="004477F9"/>
    <w:rsid w:val="00450F89"/>
    <w:rsid w:val="00454580"/>
    <w:rsid w:val="004625B1"/>
    <w:rsid w:val="00465D2B"/>
    <w:rsid w:val="00476BCB"/>
    <w:rsid w:val="004823F1"/>
    <w:rsid w:val="0048594C"/>
    <w:rsid w:val="00487376"/>
    <w:rsid w:val="00493573"/>
    <w:rsid w:val="00494C44"/>
    <w:rsid w:val="00494D9D"/>
    <w:rsid w:val="0049529C"/>
    <w:rsid w:val="004A3EA3"/>
    <w:rsid w:val="004A40D1"/>
    <w:rsid w:val="004A5F08"/>
    <w:rsid w:val="004A6DF9"/>
    <w:rsid w:val="004B069E"/>
    <w:rsid w:val="004B181F"/>
    <w:rsid w:val="004B6C68"/>
    <w:rsid w:val="004B7D29"/>
    <w:rsid w:val="004C5E69"/>
    <w:rsid w:val="004C6972"/>
    <w:rsid w:val="004C7137"/>
    <w:rsid w:val="004C7BE4"/>
    <w:rsid w:val="004D0995"/>
    <w:rsid w:val="004D0D5F"/>
    <w:rsid w:val="004D2F23"/>
    <w:rsid w:val="004D78D2"/>
    <w:rsid w:val="004E1962"/>
    <w:rsid w:val="004E4CAC"/>
    <w:rsid w:val="004E67C3"/>
    <w:rsid w:val="004F1DB6"/>
    <w:rsid w:val="004F23EF"/>
    <w:rsid w:val="004F6B72"/>
    <w:rsid w:val="004F6DB1"/>
    <w:rsid w:val="005029EC"/>
    <w:rsid w:val="005036ED"/>
    <w:rsid w:val="00505E18"/>
    <w:rsid w:val="00507BFB"/>
    <w:rsid w:val="005106B3"/>
    <w:rsid w:val="00510A8D"/>
    <w:rsid w:val="00511F35"/>
    <w:rsid w:val="00517C4D"/>
    <w:rsid w:val="00525553"/>
    <w:rsid w:val="00525DDC"/>
    <w:rsid w:val="0053197A"/>
    <w:rsid w:val="00532B5A"/>
    <w:rsid w:val="00534DB8"/>
    <w:rsid w:val="00535962"/>
    <w:rsid w:val="00536CB6"/>
    <w:rsid w:val="005422AD"/>
    <w:rsid w:val="0054355A"/>
    <w:rsid w:val="00543FC5"/>
    <w:rsid w:val="005469AB"/>
    <w:rsid w:val="0055145C"/>
    <w:rsid w:val="005539A3"/>
    <w:rsid w:val="00556128"/>
    <w:rsid w:val="005572C8"/>
    <w:rsid w:val="00557CC6"/>
    <w:rsid w:val="0056026B"/>
    <w:rsid w:val="0056121C"/>
    <w:rsid w:val="00566C41"/>
    <w:rsid w:val="00571F85"/>
    <w:rsid w:val="00572069"/>
    <w:rsid w:val="00572E5B"/>
    <w:rsid w:val="00573A6A"/>
    <w:rsid w:val="0057659D"/>
    <w:rsid w:val="0057684A"/>
    <w:rsid w:val="00580606"/>
    <w:rsid w:val="00581BFD"/>
    <w:rsid w:val="0058262B"/>
    <w:rsid w:val="005846CC"/>
    <w:rsid w:val="00586333"/>
    <w:rsid w:val="005868BF"/>
    <w:rsid w:val="0059094A"/>
    <w:rsid w:val="00592B72"/>
    <w:rsid w:val="005930BA"/>
    <w:rsid w:val="00597AE4"/>
    <w:rsid w:val="005A0FAD"/>
    <w:rsid w:val="005A2A82"/>
    <w:rsid w:val="005A4057"/>
    <w:rsid w:val="005B1DA2"/>
    <w:rsid w:val="005B363D"/>
    <w:rsid w:val="005C04EC"/>
    <w:rsid w:val="005C4B32"/>
    <w:rsid w:val="005C6BCA"/>
    <w:rsid w:val="005C71E4"/>
    <w:rsid w:val="005D3E83"/>
    <w:rsid w:val="005D53F3"/>
    <w:rsid w:val="005D6DF6"/>
    <w:rsid w:val="005E1194"/>
    <w:rsid w:val="005E3733"/>
    <w:rsid w:val="005E4B34"/>
    <w:rsid w:val="005E5F93"/>
    <w:rsid w:val="005F0358"/>
    <w:rsid w:val="005F0898"/>
    <w:rsid w:val="005F0CD4"/>
    <w:rsid w:val="005F232D"/>
    <w:rsid w:val="005F309F"/>
    <w:rsid w:val="005F468E"/>
    <w:rsid w:val="005F6BB6"/>
    <w:rsid w:val="006001E0"/>
    <w:rsid w:val="00605264"/>
    <w:rsid w:val="006058CD"/>
    <w:rsid w:val="0060763C"/>
    <w:rsid w:val="00612870"/>
    <w:rsid w:val="00616928"/>
    <w:rsid w:val="00623A53"/>
    <w:rsid w:val="00634A5A"/>
    <w:rsid w:val="00634EF7"/>
    <w:rsid w:val="00635E29"/>
    <w:rsid w:val="006362AC"/>
    <w:rsid w:val="006363C8"/>
    <w:rsid w:val="00636E7C"/>
    <w:rsid w:val="006379FF"/>
    <w:rsid w:val="006477BB"/>
    <w:rsid w:val="00647D14"/>
    <w:rsid w:val="00651242"/>
    <w:rsid w:val="006555E9"/>
    <w:rsid w:val="006558A2"/>
    <w:rsid w:val="00665FD4"/>
    <w:rsid w:val="006665F6"/>
    <w:rsid w:val="00667ADD"/>
    <w:rsid w:val="00671B94"/>
    <w:rsid w:val="00671D17"/>
    <w:rsid w:val="006773CA"/>
    <w:rsid w:val="00682667"/>
    <w:rsid w:val="006839EB"/>
    <w:rsid w:val="00683F70"/>
    <w:rsid w:val="00685541"/>
    <w:rsid w:val="00686C6A"/>
    <w:rsid w:val="00687160"/>
    <w:rsid w:val="00687726"/>
    <w:rsid w:val="00694EAC"/>
    <w:rsid w:val="0069632C"/>
    <w:rsid w:val="006B0A3B"/>
    <w:rsid w:val="006B1162"/>
    <w:rsid w:val="006B529F"/>
    <w:rsid w:val="006B5872"/>
    <w:rsid w:val="006B7197"/>
    <w:rsid w:val="006C3407"/>
    <w:rsid w:val="006D1C8F"/>
    <w:rsid w:val="006D5BCF"/>
    <w:rsid w:val="006D6717"/>
    <w:rsid w:val="006D795C"/>
    <w:rsid w:val="006E1C80"/>
    <w:rsid w:val="006F3219"/>
    <w:rsid w:val="006F3708"/>
    <w:rsid w:val="006F59C6"/>
    <w:rsid w:val="006F793D"/>
    <w:rsid w:val="007011D8"/>
    <w:rsid w:val="00704F58"/>
    <w:rsid w:val="00713125"/>
    <w:rsid w:val="00713CFF"/>
    <w:rsid w:val="00716D4D"/>
    <w:rsid w:val="0072029B"/>
    <w:rsid w:val="0072103A"/>
    <w:rsid w:val="00723EC9"/>
    <w:rsid w:val="00724C85"/>
    <w:rsid w:val="00743289"/>
    <w:rsid w:val="00743751"/>
    <w:rsid w:val="00752D7D"/>
    <w:rsid w:val="00752E7B"/>
    <w:rsid w:val="0075667A"/>
    <w:rsid w:val="00757822"/>
    <w:rsid w:val="007642BD"/>
    <w:rsid w:val="007673CA"/>
    <w:rsid w:val="007755DB"/>
    <w:rsid w:val="007807B2"/>
    <w:rsid w:val="00782741"/>
    <w:rsid w:val="007846B8"/>
    <w:rsid w:val="00786A7A"/>
    <w:rsid w:val="00790BBB"/>
    <w:rsid w:val="007979BB"/>
    <w:rsid w:val="007A073B"/>
    <w:rsid w:val="007A0DF7"/>
    <w:rsid w:val="007A1DE5"/>
    <w:rsid w:val="007A2BA1"/>
    <w:rsid w:val="007A471E"/>
    <w:rsid w:val="007B08E0"/>
    <w:rsid w:val="007B1939"/>
    <w:rsid w:val="007B29B3"/>
    <w:rsid w:val="007B5075"/>
    <w:rsid w:val="007D1BF1"/>
    <w:rsid w:val="007D35A2"/>
    <w:rsid w:val="007D3907"/>
    <w:rsid w:val="007D5C76"/>
    <w:rsid w:val="007D7C70"/>
    <w:rsid w:val="007E3473"/>
    <w:rsid w:val="007F4851"/>
    <w:rsid w:val="007F4996"/>
    <w:rsid w:val="008033D8"/>
    <w:rsid w:val="00804FEA"/>
    <w:rsid w:val="00814626"/>
    <w:rsid w:val="0081653F"/>
    <w:rsid w:val="00816FC0"/>
    <w:rsid w:val="00823B70"/>
    <w:rsid w:val="00823DC2"/>
    <w:rsid w:val="00824CD3"/>
    <w:rsid w:val="00825745"/>
    <w:rsid w:val="00831024"/>
    <w:rsid w:val="00833F1A"/>
    <w:rsid w:val="00836076"/>
    <w:rsid w:val="008400A0"/>
    <w:rsid w:val="00844612"/>
    <w:rsid w:val="00847C91"/>
    <w:rsid w:val="0085079D"/>
    <w:rsid w:val="008522D7"/>
    <w:rsid w:val="00852E1F"/>
    <w:rsid w:val="00854293"/>
    <w:rsid w:val="00855A99"/>
    <w:rsid w:val="008561E4"/>
    <w:rsid w:val="00857558"/>
    <w:rsid w:val="0086071F"/>
    <w:rsid w:val="00867FB1"/>
    <w:rsid w:val="008746E4"/>
    <w:rsid w:val="00874749"/>
    <w:rsid w:val="0087609C"/>
    <w:rsid w:val="008773FE"/>
    <w:rsid w:val="008811A5"/>
    <w:rsid w:val="008910B3"/>
    <w:rsid w:val="008914B3"/>
    <w:rsid w:val="00893D8D"/>
    <w:rsid w:val="008A304B"/>
    <w:rsid w:val="008A349C"/>
    <w:rsid w:val="008A4FD2"/>
    <w:rsid w:val="008B66A6"/>
    <w:rsid w:val="008C01E1"/>
    <w:rsid w:val="008C1AC7"/>
    <w:rsid w:val="008C3735"/>
    <w:rsid w:val="008C4E02"/>
    <w:rsid w:val="008C6DE9"/>
    <w:rsid w:val="008D1F1A"/>
    <w:rsid w:val="008D2721"/>
    <w:rsid w:val="008D5416"/>
    <w:rsid w:val="008D5574"/>
    <w:rsid w:val="008D665D"/>
    <w:rsid w:val="008E024F"/>
    <w:rsid w:val="008E173C"/>
    <w:rsid w:val="008E3C6C"/>
    <w:rsid w:val="008E5CE2"/>
    <w:rsid w:val="008E77DF"/>
    <w:rsid w:val="008F0E83"/>
    <w:rsid w:val="008F13FD"/>
    <w:rsid w:val="008F789E"/>
    <w:rsid w:val="0090449E"/>
    <w:rsid w:val="009053DC"/>
    <w:rsid w:val="00910F09"/>
    <w:rsid w:val="00910F95"/>
    <w:rsid w:val="009112F8"/>
    <w:rsid w:val="00917914"/>
    <w:rsid w:val="00917A13"/>
    <w:rsid w:val="00930993"/>
    <w:rsid w:val="00930BC2"/>
    <w:rsid w:val="00931469"/>
    <w:rsid w:val="009349DB"/>
    <w:rsid w:val="00937604"/>
    <w:rsid w:val="0094103A"/>
    <w:rsid w:val="00941AD2"/>
    <w:rsid w:val="009433B2"/>
    <w:rsid w:val="00944324"/>
    <w:rsid w:val="009505E7"/>
    <w:rsid w:val="00954976"/>
    <w:rsid w:val="0096044E"/>
    <w:rsid w:val="00960A14"/>
    <w:rsid w:val="00961C6F"/>
    <w:rsid w:val="00962301"/>
    <w:rsid w:val="00966F7F"/>
    <w:rsid w:val="00971655"/>
    <w:rsid w:val="009751B6"/>
    <w:rsid w:val="00975CB6"/>
    <w:rsid w:val="00982265"/>
    <w:rsid w:val="00982CAB"/>
    <w:rsid w:val="00984619"/>
    <w:rsid w:val="00992FFF"/>
    <w:rsid w:val="00993DE7"/>
    <w:rsid w:val="00995CFE"/>
    <w:rsid w:val="009B36AC"/>
    <w:rsid w:val="009C163D"/>
    <w:rsid w:val="009C1897"/>
    <w:rsid w:val="009C4C6C"/>
    <w:rsid w:val="009C6D95"/>
    <w:rsid w:val="009D24A5"/>
    <w:rsid w:val="009D3063"/>
    <w:rsid w:val="009E54C0"/>
    <w:rsid w:val="009E6016"/>
    <w:rsid w:val="009F772A"/>
    <w:rsid w:val="00A176AF"/>
    <w:rsid w:val="00A21C8E"/>
    <w:rsid w:val="00A22B2F"/>
    <w:rsid w:val="00A23D7E"/>
    <w:rsid w:val="00A30461"/>
    <w:rsid w:val="00A30753"/>
    <w:rsid w:val="00A349DC"/>
    <w:rsid w:val="00A35E44"/>
    <w:rsid w:val="00A40C08"/>
    <w:rsid w:val="00A43468"/>
    <w:rsid w:val="00A43D90"/>
    <w:rsid w:val="00A46EEA"/>
    <w:rsid w:val="00A617D3"/>
    <w:rsid w:val="00A678B8"/>
    <w:rsid w:val="00A7061C"/>
    <w:rsid w:val="00A716DA"/>
    <w:rsid w:val="00A71BBA"/>
    <w:rsid w:val="00A72040"/>
    <w:rsid w:val="00A74EDC"/>
    <w:rsid w:val="00A76BAC"/>
    <w:rsid w:val="00A77C53"/>
    <w:rsid w:val="00A80E76"/>
    <w:rsid w:val="00A90CEE"/>
    <w:rsid w:val="00A91270"/>
    <w:rsid w:val="00A92723"/>
    <w:rsid w:val="00A940CF"/>
    <w:rsid w:val="00AA14EF"/>
    <w:rsid w:val="00AA170F"/>
    <w:rsid w:val="00AA2539"/>
    <w:rsid w:val="00AA3BAF"/>
    <w:rsid w:val="00AA46F4"/>
    <w:rsid w:val="00AA4EA0"/>
    <w:rsid w:val="00AA608A"/>
    <w:rsid w:val="00AB05D1"/>
    <w:rsid w:val="00AB51A3"/>
    <w:rsid w:val="00AB5216"/>
    <w:rsid w:val="00AB6B61"/>
    <w:rsid w:val="00AC0499"/>
    <w:rsid w:val="00AC0D82"/>
    <w:rsid w:val="00AC6BA4"/>
    <w:rsid w:val="00AC7442"/>
    <w:rsid w:val="00AD3FDE"/>
    <w:rsid w:val="00AD6511"/>
    <w:rsid w:val="00AE1D53"/>
    <w:rsid w:val="00AE49F8"/>
    <w:rsid w:val="00AE5642"/>
    <w:rsid w:val="00AE71BE"/>
    <w:rsid w:val="00AF19F8"/>
    <w:rsid w:val="00AF238A"/>
    <w:rsid w:val="00AF3A32"/>
    <w:rsid w:val="00AF552C"/>
    <w:rsid w:val="00B01CBB"/>
    <w:rsid w:val="00B02566"/>
    <w:rsid w:val="00B033D8"/>
    <w:rsid w:val="00B10973"/>
    <w:rsid w:val="00B1101A"/>
    <w:rsid w:val="00B117E3"/>
    <w:rsid w:val="00B17CFF"/>
    <w:rsid w:val="00B23093"/>
    <w:rsid w:val="00B243FD"/>
    <w:rsid w:val="00B34DBC"/>
    <w:rsid w:val="00B37829"/>
    <w:rsid w:val="00B40D6F"/>
    <w:rsid w:val="00B43C8F"/>
    <w:rsid w:val="00B454F1"/>
    <w:rsid w:val="00B513D3"/>
    <w:rsid w:val="00B53464"/>
    <w:rsid w:val="00B565B7"/>
    <w:rsid w:val="00B57453"/>
    <w:rsid w:val="00B62C40"/>
    <w:rsid w:val="00B62C93"/>
    <w:rsid w:val="00B6340C"/>
    <w:rsid w:val="00B70457"/>
    <w:rsid w:val="00B70E44"/>
    <w:rsid w:val="00B70F93"/>
    <w:rsid w:val="00B75424"/>
    <w:rsid w:val="00B8031A"/>
    <w:rsid w:val="00B83604"/>
    <w:rsid w:val="00B87D97"/>
    <w:rsid w:val="00B87E7B"/>
    <w:rsid w:val="00B9203A"/>
    <w:rsid w:val="00B95221"/>
    <w:rsid w:val="00B95B19"/>
    <w:rsid w:val="00BA2696"/>
    <w:rsid w:val="00BA2970"/>
    <w:rsid w:val="00BB29F6"/>
    <w:rsid w:val="00BB6AB6"/>
    <w:rsid w:val="00BC506E"/>
    <w:rsid w:val="00BC6B64"/>
    <w:rsid w:val="00BC70FA"/>
    <w:rsid w:val="00BD51AE"/>
    <w:rsid w:val="00BD527A"/>
    <w:rsid w:val="00BD778C"/>
    <w:rsid w:val="00BD77A5"/>
    <w:rsid w:val="00BD7B21"/>
    <w:rsid w:val="00BE29FA"/>
    <w:rsid w:val="00BE4B73"/>
    <w:rsid w:val="00BE6278"/>
    <w:rsid w:val="00BF133C"/>
    <w:rsid w:val="00BF2294"/>
    <w:rsid w:val="00BF2CAA"/>
    <w:rsid w:val="00BF576F"/>
    <w:rsid w:val="00BF6020"/>
    <w:rsid w:val="00BF629D"/>
    <w:rsid w:val="00BF6329"/>
    <w:rsid w:val="00C020FD"/>
    <w:rsid w:val="00C0390D"/>
    <w:rsid w:val="00C0441C"/>
    <w:rsid w:val="00C05A42"/>
    <w:rsid w:val="00C07DD8"/>
    <w:rsid w:val="00C11923"/>
    <w:rsid w:val="00C11B2A"/>
    <w:rsid w:val="00C14B77"/>
    <w:rsid w:val="00C14C13"/>
    <w:rsid w:val="00C16E4D"/>
    <w:rsid w:val="00C20FA4"/>
    <w:rsid w:val="00C23380"/>
    <w:rsid w:val="00C2760F"/>
    <w:rsid w:val="00C323FB"/>
    <w:rsid w:val="00C331C6"/>
    <w:rsid w:val="00C35E94"/>
    <w:rsid w:val="00C41008"/>
    <w:rsid w:val="00C41BBE"/>
    <w:rsid w:val="00C449B3"/>
    <w:rsid w:val="00C452B1"/>
    <w:rsid w:val="00C51971"/>
    <w:rsid w:val="00C53443"/>
    <w:rsid w:val="00C53B28"/>
    <w:rsid w:val="00C54FC1"/>
    <w:rsid w:val="00C562E9"/>
    <w:rsid w:val="00C573CB"/>
    <w:rsid w:val="00C57E7F"/>
    <w:rsid w:val="00C63C36"/>
    <w:rsid w:val="00C64294"/>
    <w:rsid w:val="00C649E2"/>
    <w:rsid w:val="00C65173"/>
    <w:rsid w:val="00C7212A"/>
    <w:rsid w:val="00C75850"/>
    <w:rsid w:val="00C77C53"/>
    <w:rsid w:val="00C80D2B"/>
    <w:rsid w:val="00C82E79"/>
    <w:rsid w:val="00C8650E"/>
    <w:rsid w:val="00C8696A"/>
    <w:rsid w:val="00C92AB8"/>
    <w:rsid w:val="00C93348"/>
    <w:rsid w:val="00C93B39"/>
    <w:rsid w:val="00C9421C"/>
    <w:rsid w:val="00C94E59"/>
    <w:rsid w:val="00C955D8"/>
    <w:rsid w:val="00CA2B4E"/>
    <w:rsid w:val="00CA4290"/>
    <w:rsid w:val="00CA5EB8"/>
    <w:rsid w:val="00CB05C4"/>
    <w:rsid w:val="00CB189E"/>
    <w:rsid w:val="00CB1D09"/>
    <w:rsid w:val="00CB277F"/>
    <w:rsid w:val="00CB52F6"/>
    <w:rsid w:val="00CB71A6"/>
    <w:rsid w:val="00CC082D"/>
    <w:rsid w:val="00CC2177"/>
    <w:rsid w:val="00CC6EA1"/>
    <w:rsid w:val="00CC6FD6"/>
    <w:rsid w:val="00CD183F"/>
    <w:rsid w:val="00CD2596"/>
    <w:rsid w:val="00CD48C9"/>
    <w:rsid w:val="00CD4F12"/>
    <w:rsid w:val="00CD7D82"/>
    <w:rsid w:val="00CE14B3"/>
    <w:rsid w:val="00CE1E03"/>
    <w:rsid w:val="00CE6CD5"/>
    <w:rsid w:val="00CE79E8"/>
    <w:rsid w:val="00CE7FAB"/>
    <w:rsid w:val="00D003F1"/>
    <w:rsid w:val="00D011AB"/>
    <w:rsid w:val="00D020B0"/>
    <w:rsid w:val="00D02513"/>
    <w:rsid w:val="00D02A48"/>
    <w:rsid w:val="00D06BDE"/>
    <w:rsid w:val="00D13D30"/>
    <w:rsid w:val="00D1449D"/>
    <w:rsid w:val="00D16731"/>
    <w:rsid w:val="00D20831"/>
    <w:rsid w:val="00D22168"/>
    <w:rsid w:val="00D23576"/>
    <w:rsid w:val="00D31BEE"/>
    <w:rsid w:val="00D31C30"/>
    <w:rsid w:val="00D364EA"/>
    <w:rsid w:val="00D36559"/>
    <w:rsid w:val="00D45F66"/>
    <w:rsid w:val="00D50698"/>
    <w:rsid w:val="00D50C7C"/>
    <w:rsid w:val="00D56E25"/>
    <w:rsid w:val="00D57F72"/>
    <w:rsid w:val="00D61A44"/>
    <w:rsid w:val="00D63653"/>
    <w:rsid w:val="00D65784"/>
    <w:rsid w:val="00D714B1"/>
    <w:rsid w:val="00D8314A"/>
    <w:rsid w:val="00D844E4"/>
    <w:rsid w:val="00D8563B"/>
    <w:rsid w:val="00D85FA3"/>
    <w:rsid w:val="00D9066C"/>
    <w:rsid w:val="00D91F89"/>
    <w:rsid w:val="00D93856"/>
    <w:rsid w:val="00D93DE0"/>
    <w:rsid w:val="00D9460A"/>
    <w:rsid w:val="00D97391"/>
    <w:rsid w:val="00DA0CD7"/>
    <w:rsid w:val="00DA4923"/>
    <w:rsid w:val="00DA672E"/>
    <w:rsid w:val="00DA69B5"/>
    <w:rsid w:val="00DB3523"/>
    <w:rsid w:val="00DB4B1C"/>
    <w:rsid w:val="00DB5569"/>
    <w:rsid w:val="00DB5FC9"/>
    <w:rsid w:val="00DC1256"/>
    <w:rsid w:val="00DD0403"/>
    <w:rsid w:val="00DD23CE"/>
    <w:rsid w:val="00DD63DA"/>
    <w:rsid w:val="00DE1D28"/>
    <w:rsid w:val="00DE4EE8"/>
    <w:rsid w:val="00DE4FC4"/>
    <w:rsid w:val="00DE59E9"/>
    <w:rsid w:val="00DF18B0"/>
    <w:rsid w:val="00E01EFA"/>
    <w:rsid w:val="00E03532"/>
    <w:rsid w:val="00E2404A"/>
    <w:rsid w:val="00E25912"/>
    <w:rsid w:val="00E300B6"/>
    <w:rsid w:val="00E312BD"/>
    <w:rsid w:val="00E33E70"/>
    <w:rsid w:val="00E364A3"/>
    <w:rsid w:val="00E364E2"/>
    <w:rsid w:val="00E44B24"/>
    <w:rsid w:val="00E4628D"/>
    <w:rsid w:val="00E51B9A"/>
    <w:rsid w:val="00E55672"/>
    <w:rsid w:val="00E60745"/>
    <w:rsid w:val="00E614EA"/>
    <w:rsid w:val="00E67339"/>
    <w:rsid w:val="00E67EEA"/>
    <w:rsid w:val="00E74648"/>
    <w:rsid w:val="00E76173"/>
    <w:rsid w:val="00E77611"/>
    <w:rsid w:val="00E829F8"/>
    <w:rsid w:val="00E836A4"/>
    <w:rsid w:val="00E840ED"/>
    <w:rsid w:val="00E849BD"/>
    <w:rsid w:val="00E84A3B"/>
    <w:rsid w:val="00E8586D"/>
    <w:rsid w:val="00E909F3"/>
    <w:rsid w:val="00E937A5"/>
    <w:rsid w:val="00E94E0F"/>
    <w:rsid w:val="00E95C0A"/>
    <w:rsid w:val="00E963C8"/>
    <w:rsid w:val="00EB0E29"/>
    <w:rsid w:val="00EC0B41"/>
    <w:rsid w:val="00EC3ED8"/>
    <w:rsid w:val="00EC5E59"/>
    <w:rsid w:val="00ED1320"/>
    <w:rsid w:val="00EE653D"/>
    <w:rsid w:val="00EF52A9"/>
    <w:rsid w:val="00F019C6"/>
    <w:rsid w:val="00F05029"/>
    <w:rsid w:val="00F050D6"/>
    <w:rsid w:val="00F101C1"/>
    <w:rsid w:val="00F157AA"/>
    <w:rsid w:val="00F16E71"/>
    <w:rsid w:val="00F20DF7"/>
    <w:rsid w:val="00F231DD"/>
    <w:rsid w:val="00F241EC"/>
    <w:rsid w:val="00F27665"/>
    <w:rsid w:val="00F35742"/>
    <w:rsid w:val="00F36713"/>
    <w:rsid w:val="00F41044"/>
    <w:rsid w:val="00F41177"/>
    <w:rsid w:val="00F44107"/>
    <w:rsid w:val="00F460DC"/>
    <w:rsid w:val="00F525FE"/>
    <w:rsid w:val="00F52DEE"/>
    <w:rsid w:val="00F550D6"/>
    <w:rsid w:val="00F5702D"/>
    <w:rsid w:val="00F57AF7"/>
    <w:rsid w:val="00F63A13"/>
    <w:rsid w:val="00F64AA8"/>
    <w:rsid w:val="00F71308"/>
    <w:rsid w:val="00F80DFC"/>
    <w:rsid w:val="00F82ABA"/>
    <w:rsid w:val="00F84F9E"/>
    <w:rsid w:val="00F86356"/>
    <w:rsid w:val="00F913A4"/>
    <w:rsid w:val="00F919D1"/>
    <w:rsid w:val="00F93829"/>
    <w:rsid w:val="00F958DA"/>
    <w:rsid w:val="00F95BB5"/>
    <w:rsid w:val="00FA434D"/>
    <w:rsid w:val="00FA6A70"/>
    <w:rsid w:val="00FB41DF"/>
    <w:rsid w:val="00FB6A9D"/>
    <w:rsid w:val="00FB6CFF"/>
    <w:rsid w:val="00FC0600"/>
    <w:rsid w:val="00FC3167"/>
    <w:rsid w:val="00FC4B75"/>
    <w:rsid w:val="00FC4CDB"/>
    <w:rsid w:val="00FD5AE2"/>
    <w:rsid w:val="00FE24E4"/>
    <w:rsid w:val="00FE3375"/>
    <w:rsid w:val="00FE3488"/>
    <w:rsid w:val="00FE3795"/>
    <w:rsid w:val="00FE392E"/>
    <w:rsid w:val="00FE5843"/>
    <w:rsid w:val="00FF069B"/>
    <w:rsid w:val="00FF2338"/>
    <w:rsid w:val="00FF3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BF4C"/>
  <w15:chartTrackingRefBased/>
  <w15:docId w15:val="{DDC02DB7-8BD7-481C-939B-DA26CE76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DE7"/>
    <w:pPr>
      <w:tabs>
        <w:tab w:val="left" w:pos="567"/>
      </w:tabs>
      <w:spacing w:line="260" w:lineRule="exac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3DE7"/>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993DE7"/>
  </w:style>
  <w:style w:type="paragraph" w:customStyle="1" w:styleId="EMEABodyTextChar">
    <w:name w:val="EMEA Body Text Char"/>
    <w:basedOn w:val="Normal"/>
    <w:link w:val="EMEABodyTextCharChar"/>
    <w:rsid w:val="00993DE7"/>
    <w:pPr>
      <w:tabs>
        <w:tab w:val="clear" w:pos="567"/>
      </w:tabs>
      <w:spacing w:line="240" w:lineRule="auto"/>
    </w:pPr>
    <w:rPr>
      <w:lang w:val="en-GB"/>
    </w:rPr>
  </w:style>
  <w:style w:type="character" w:customStyle="1" w:styleId="EMEABodyTextCharChar">
    <w:name w:val="EMEA Body Text Char Char"/>
    <w:link w:val="EMEABodyTextChar"/>
    <w:rsid w:val="00993DE7"/>
    <w:rPr>
      <w:sz w:val="22"/>
      <w:lang w:val="en-GB" w:eastAsia="en-US" w:bidi="ar-SA"/>
    </w:rPr>
  </w:style>
  <w:style w:type="table" w:styleId="TableGrid">
    <w:name w:val="Table Grid"/>
    <w:basedOn w:val="TableNormal"/>
    <w:rsid w:val="00993DE7"/>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7D29"/>
    <w:rPr>
      <w:rFonts w:ascii="Tahoma" w:hAnsi="Tahoma" w:cs="Tahoma"/>
      <w:sz w:val="16"/>
      <w:szCs w:val="16"/>
    </w:rPr>
  </w:style>
  <w:style w:type="character" w:styleId="CommentReference">
    <w:name w:val="annotation reference"/>
    <w:semiHidden/>
    <w:rsid w:val="00362238"/>
    <w:rPr>
      <w:sz w:val="16"/>
      <w:szCs w:val="16"/>
    </w:rPr>
  </w:style>
  <w:style w:type="paragraph" w:styleId="CommentText">
    <w:name w:val="annotation text"/>
    <w:basedOn w:val="Normal"/>
    <w:link w:val="CommentTextChar"/>
    <w:semiHidden/>
    <w:rsid w:val="00362238"/>
    <w:rPr>
      <w:sz w:val="20"/>
      <w:lang w:eastAsia="x-none"/>
    </w:rPr>
  </w:style>
  <w:style w:type="paragraph" w:styleId="Revision">
    <w:name w:val="Revision"/>
    <w:hidden/>
    <w:uiPriority w:val="99"/>
    <w:semiHidden/>
    <w:rsid w:val="00C57E7F"/>
    <w:rPr>
      <w:sz w:val="22"/>
      <w:lang w:eastAsia="en-US"/>
    </w:rPr>
  </w:style>
  <w:style w:type="paragraph" w:customStyle="1" w:styleId="EMEABodyText">
    <w:name w:val="EMEA Body Text"/>
    <w:basedOn w:val="Normal"/>
    <w:rsid w:val="00E55672"/>
    <w:pPr>
      <w:tabs>
        <w:tab w:val="clear" w:pos="567"/>
      </w:tabs>
      <w:spacing w:line="240" w:lineRule="auto"/>
    </w:pPr>
    <w:rPr>
      <w:lang w:val="en-GB"/>
    </w:rPr>
  </w:style>
  <w:style w:type="character" w:styleId="Hyperlink">
    <w:name w:val="Hyperlink"/>
    <w:uiPriority w:val="99"/>
    <w:rsid w:val="00A72040"/>
    <w:rPr>
      <w:color w:val="0000FF"/>
      <w:u w:val="single"/>
    </w:rPr>
  </w:style>
  <w:style w:type="paragraph" w:styleId="CommentSubject">
    <w:name w:val="annotation subject"/>
    <w:basedOn w:val="CommentText"/>
    <w:next w:val="CommentText"/>
    <w:link w:val="CommentSubjectChar"/>
    <w:rsid w:val="00F82ABA"/>
    <w:rPr>
      <w:b/>
      <w:bCs/>
    </w:rPr>
  </w:style>
  <w:style w:type="character" w:customStyle="1" w:styleId="CommentTextChar">
    <w:name w:val="Comment Text Char"/>
    <w:link w:val="CommentText"/>
    <w:semiHidden/>
    <w:rsid w:val="00F82ABA"/>
    <w:rPr>
      <w:lang w:val="lv-LV"/>
    </w:rPr>
  </w:style>
  <w:style w:type="character" w:customStyle="1" w:styleId="CommentSubjectChar">
    <w:name w:val="Comment Subject Char"/>
    <w:basedOn w:val="CommentTextChar"/>
    <w:link w:val="CommentSubject"/>
    <w:rsid w:val="00F82ABA"/>
    <w:rPr>
      <w:lang w:val="lv-LV"/>
    </w:rPr>
  </w:style>
  <w:style w:type="paragraph" w:styleId="Header">
    <w:name w:val="header"/>
    <w:basedOn w:val="Normal"/>
    <w:link w:val="HeaderChar"/>
    <w:uiPriority w:val="99"/>
    <w:rsid w:val="007D1BF1"/>
    <w:pPr>
      <w:tabs>
        <w:tab w:val="clear" w:pos="567"/>
        <w:tab w:val="center" w:pos="4153"/>
        <w:tab w:val="right" w:pos="8306"/>
      </w:tabs>
    </w:pPr>
  </w:style>
  <w:style w:type="character" w:customStyle="1" w:styleId="HeaderChar">
    <w:name w:val="Header Char"/>
    <w:link w:val="Header"/>
    <w:uiPriority w:val="99"/>
    <w:rsid w:val="007D1BF1"/>
    <w:rPr>
      <w:sz w:val="22"/>
      <w:lang w:eastAsia="en-US"/>
    </w:rPr>
  </w:style>
  <w:style w:type="paragraph" w:customStyle="1" w:styleId="EMEAHeading1">
    <w:name w:val="EMEA Heading 1"/>
    <w:basedOn w:val="EMEABodyText"/>
    <w:next w:val="EMEABodyText"/>
    <w:rsid w:val="008D665D"/>
    <w:pPr>
      <w:keepNext/>
      <w:keepLines/>
      <w:ind w:left="567" w:hanging="567"/>
      <w:outlineLvl w:val="0"/>
    </w:pPr>
    <w:rPr>
      <w:b/>
      <w:caps/>
    </w:rPr>
  </w:style>
  <w:style w:type="character" w:customStyle="1" w:styleId="jlqj4b">
    <w:name w:val="jlqj4b"/>
    <w:basedOn w:val="DefaultParagraphFont"/>
    <w:rsid w:val="00217A31"/>
  </w:style>
  <w:style w:type="character" w:customStyle="1" w:styleId="viiyi">
    <w:name w:val="viiyi"/>
    <w:basedOn w:val="DefaultParagraphFont"/>
    <w:rsid w:val="0011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5">
      <w:bodyDiv w:val="1"/>
      <w:marLeft w:val="0"/>
      <w:marRight w:val="0"/>
      <w:marTop w:val="0"/>
      <w:marBottom w:val="0"/>
      <w:divBdr>
        <w:top w:val="none" w:sz="0" w:space="0" w:color="auto"/>
        <w:left w:val="none" w:sz="0" w:space="0" w:color="auto"/>
        <w:bottom w:val="none" w:sz="0" w:space="0" w:color="auto"/>
        <w:right w:val="none" w:sz="0" w:space="0" w:color="auto"/>
      </w:divBdr>
    </w:div>
    <w:div w:id="53045785">
      <w:bodyDiv w:val="1"/>
      <w:marLeft w:val="0"/>
      <w:marRight w:val="0"/>
      <w:marTop w:val="0"/>
      <w:marBottom w:val="0"/>
      <w:divBdr>
        <w:top w:val="none" w:sz="0" w:space="0" w:color="auto"/>
        <w:left w:val="none" w:sz="0" w:space="0" w:color="auto"/>
        <w:bottom w:val="none" w:sz="0" w:space="0" w:color="auto"/>
        <w:right w:val="none" w:sz="0" w:space="0" w:color="auto"/>
      </w:divBdr>
    </w:div>
    <w:div w:id="278418517">
      <w:bodyDiv w:val="1"/>
      <w:marLeft w:val="0"/>
      <w:marRight w:val="0"/>
      <w:marTop w:val="0"/>
      <w:marBottom w:val="0"/>
      <w:divBdr>
        <w:top w:val="none" w:sz="0" w:space="0" w:color="auto"/>
        <w:left w:val="none" w:sz="0" w:space="0" w:color="auto"/>
        <w:bottom w:val="none" w:sz="0" w:space="0" w:color="auto"/>
        <w:right w:val="none" w:sz="0" w:space="0" w:color="auto"/>
      </w:divBdr>
    </w:div>
    <w:div w:id="289284560">
      <w:bodyDiv w:val="1"/>
      <w:marLeft w:val="0"/>
      <w:marRight w:val="0"/>
      <w:marTop w:val="0"/>
      <w:marBottom w:val="0"/>
      <w:divBdr>
        <w:top w:val="none" w:sz="0" w:space="0" w:color="auto"/>
        <w:left w:val="none" w:sz="0" w:space="0" w:color="auto"/>
        <w:bottom w:val="none" w:sz="0" w:space="0" w:color="auto"/>
        <w:right w:val="none" w:sz="0" w:space="0" w:color="auto"/>
      </w:divBdr>
    </w:div>
    <w:div w:id="740443293">
      <w:bodyDiv w:val="1"/>
      <w:marLeft w:val="0"/>
      <w:marRight w:val="0"/>
      <w:marTop w:val="0"/>
      <w:marBottom w:val="0"/>
      <w:divBdr>
        <w:top w:val="none" w:sz="0" w:space="0" w:color="auto"/>
        <w:left w:val="none" w:sz="0" w:space="0" w:color="auto"/>
        <w:bottom w:val="none" w:sz="0" w:space="0" w:color="auto"/>
        <w:right w:val="none" w:sz="0" w:space="0" w:color="auto"/>
      </w:divBdr>
    </w:div>
    <w:div w:id="894240869">
      <w:bodyDiv w:val="1"/>
      <w:marLeft w:val="0"/>
      <w:marRight w:val="0"/>
      <w:marTop w:val="0"/>
      <w:marBottom w:val="0"/>
      <w:divBdr>
        <w:top w:val="none" w:sz="0" w:space="0" w:color="auto"/>
        <w:left w:val="none" w:sz="0" w:space="0" w:color="auto"/>
        <w:bottom w:val="none" w:sz="0" w:space="0" w:color="auto"/>
        <w:right w:val="none" w:sz="0" w:space="0" w:color="auto"/>
      </w:divBdr>
      <w:divsChild>
        <w:div w:id="285550833">
          <w:marLeft w:val="0"/>
          <w:marRight w:val="0"/>
          <w:marTop w:val="0"/>
          <w:marBottom w:val="0"/>
          <w:divBdr>
            <w:top w:val="none" w:sz="0" w:space="0" w:color="auto"/>
            <w:left w:val="none" w:sz="0" w:space="0" w:color="auto"/>
            <w:bottom w:val="none" w:sz="0" w:space="0" w:color="auto"/>
            <w:right w:val="none" w:sz="0" w:space="0" w:color="auto"/>
          </w:divBdr>
        </w:div>
        <w:div w:id="703141400">
          <w:marLeft w:val="0"/>
          <w:marRight w:val="0"/>
          <w:marTop w:val="0"/>
          <w:marBottom w:val="0"/>
          <w:divBdr>
            <w:top w:val="none" w:sz="0" w:space="0" w:color="auto"/>
            <w:left w:val="none" w:sz="0" w:space="0" w:color="auto"/>
            <w:bottom w:val="none" w:sz="0" w:space="0" w:color="auto"/>
            <w:right w:val="none" w:sz="0" w:space="0" w:color="auto"/>
          </w:divBdr>
        </w:div>
        <w:div w:id="1754544509">
          <w:marLeft w:val="0"/>
          <w:marRight w:val="0"/>
          <w:marTop w:val="0"/>
          <w:marBottom w:val="0"/>
          <w:divBdr>
            <w:top w:val="none" w:sz="0" w:space="0" w:color="auto"/>
            <w:left w:val="none" w:sz="0" w:space="0" w:color="auto"/>
            <w:bottom w:val="none" w:sz="0" w:space="0" w:color="auto"/>
            <w:right w:val="none" w:sz="0" w:space="0" w:color="auto"/>
          </w:divBdr>
        </w:div>
      </w:divsChild>
    </w:div>
    <w:div w:id="1374498142">
      <w:bodyDiv w:val="1"/>
      <w:marLeft w:val="0"/>
      <w:marRight w:val="0"/>
      <w:marTop w:val="0"/>
      <w:marBottom w:val="0"/>
      <w:divBdr>
        <w:top w:val="none" w:sz="0" w:space="0" w:color="auto"/>
        <w:left w:val="none" w:sz="0" w:space="0" w:color="auto"/>
        <w:bottom w:val="none" w:sz="0" w:space="0" w:color="auto"/>
        <w:right w:val="none" w:sz="0" w:space="0" w:color="auto"/>
      </w:divBdr>
    </w:div>
    <w:div w:id="1558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6717-56CF-4298-9926-C2AE98CB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2730</Words>
  <Characters>19326</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ZĀĻU APRAKSTS</vt:lpstr>
    </vt:vector>
  </TitlesOfParts>
  <Company>Pharmaswiss</Company>
  <LinksUpToDate>false</LinksUpToDate>
  <CharactersWithSpaces>22012</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subject/>
  <dc:creator>Pauls Brieža</dc:creator>
  <cp:keywords/>
  <cp:lastModifiedBy>Gita Rasuma</cp:lastModifiedBy>
  <cp:revision>3</cp:revision>
  <cp:lastPrinted>2013-08-22T07:42:00Z</cp:lastPrinted>
  <dcterms:created xsi:type="dcterms:W3CDTF">2022-04-26T08:32:00Z</dcterms:created>
  <dcterms:modified xsi:type="dcterms:W3CDTF">2022-04-26T08:46:00Z</dcterms:modified>
</cp:coreProperties>
</file>