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63D72" w14:textId="77777777" w:rsidR="00C17A3A" w:rsidRPr="006A3267" w:rsidRDefault="00C17A3A" w:rsidP="00C17A3A">
      <w:pPr>
        <w:pStyle w:val="Nosaukums"/>
        <w:jc w:val="center"/>
        <w:rPr>
          <w:color w:val="000000"/>
          <w:sz w:val="22"/>
          <w:szCs w:val="22"/>
        </w:rPr>
      </w:pPr>
      <w:r w:rsidRPr="006A3267">
        <w:rPr>
          <w:b/>
          <w:bCs/>
          <w:color w:val="000000"/>
          <w:sz w:val="22"/>
          <w:szCs w:val="22"/>
        </w:rPr>
        <w:t>ZĀĻU APRAKSTS</w:t>
      </w:r>
    </w:p>
    <w:p w14:paraId="330FFC4E" w14:textId="77777777" w:rsidR="00C17A3A" w:rsidRPr="006A3267" w:rsidRDefault="00C17A3A" w:rsidP="00C17A3A">
      <w:pPr>
        <w:pStyle w:val="Parastais"/>
        <w:rPr>
          <w:b/>
          <w:color w:val="000000"/>
          <w:sz w:val="22"/>
          <w:szCs w:val="22"/>
        </w:rPr>
      </w:pPr>
    </w:p>
    <w:p w14:paraId="074F1787" w14:textId="77777777" w:rsidR="00C17A3A" w:rsidRPr="006A3267" w:rsidRDefault="00C17A3A" w:rsidP="00C17A3A">
      <w:pPr>
        <w:pStyle w:val="Default"/>
        <w:rPr>
          <w:sz w:val="22"/>
          <w:szCs w:val="22"/>
        </w:rPr>
      </w:pPr>
    </w:p>
    <w:p w14:paraId="00465733" w14:textId="77777777" w:rsidR="00C17A3A" w:rsidRPr="006A3267" w:rsidRDefault="00C17A3A" w:rsidP="00C17A3A">
      <w:pPr>
        <w:pStyle w:val="Parastais"/>
        <w:numPr>
          <w:ilvl w:val="0"/>
          <w:numId w:val="1"/>
        </w:numPr>
        <w:ind w:left="360" w:hanging="360"/>
        <w:rPr>
          <w:sz w:val="22"/>
          <w:szCs w:val="22"/>
        </w:rPr>
      </w:pPr>
      <w:r w:rsidRPr="006A3267">
        <w:rPr>
          <w:b/>
          <w:color w:val="000000"/>
          <w:sz w:val="22"/>
          <w:szCs w:val="22"/>
        </w:rPr>
        <w:t>1.</w:t>
      </w:r>
      <w:r w:rsidRPr="006A3267">
        <w:rPr>
          <w:b/>
          <w:color w:val="000000"/>
          <w:sz w:val="22"/>
          <w:szCs w:val="22"/>
        </w:rPr>
        <w:tab/>
      </w:r>
      <w:r w:rsidRPr="006A3267">
        <w:rPr>
          <w:b/>
          <w:color w:val="000000"/>
          <w:sz w:val="22"/>
          <w:szCs w:val="22"/>
        </w:rPr>
        <w:tab/>
      </w:r>
      <w:r w:rsidRPr="006A3267">
        <w:rPr>
          <w:b/>
          <w:bCs/>
          <w:color w:val="000000"/>
          <w:sz w:val="22"/>
          <w:szCs w:val="22"/>
        </w:rPr>
        <w:t>ZĀĻU NOSAUKUMS</w:t>
      </w:r>
    </w:p>
    <w:p w14:paraId="258BDD63" w14:textId="77777777" w:rsidR="00C17A3A" w:rsidRPr="006A3267" w:rsidRDefault="00C17A3A" w:rsidP="00C17A3A">
      <w:pPr>
        <w:pStyle w:val="Virsraksts2"/>
        <w:ind w:right="-993"/>
        <w:rPr>
          <w:color w:val="000000"/>
          <w:sz w:val="22"/>
          <w:szCs w:val="22"/>
        </w:rPr>
      </w:pPr>
    </w:p>
    <w:p w14:paraId="01B8F45A" w14:textId="77777777" w:rsidR="00C17A3A" w:rsidRPr="006A3267" w:rsidRDefault="00C17A3A" w:rsidP="00C17A3A">
      <w:pPr>
        <w:pStyle w:val="Virsraksts2"/>
        <w:ind w:right="-993"/>
        <w:rPr>
          <w:color w:val="000000"/>
          <w:sz w:val="22"/>
          <w:szCs w:val="22"/>
        </w:rPr>
      </w:pPr>
      <w:r w:rsidRPr="006A3267">
        <w:rPr>
          <w:color w:val="000000"/>
          <w:sz w:val="22"/>
          <w:szCs w:val="22"/>
        </w:rPr>
        <w:t>ENTEROL 250 mg cietās kapsulas</w:t>
      </w:r>
    </w:p>
    <w:p w14:paraId="2F82CE97" w14:textId="77777777" w:rsidR="00C17A3A" w:rsidRPr="006A3267" w:rsidRDefault="00C17A3A" w:rsidP="00C17A3A">
      <w:pPr>
        <w:pStyle w:val="Virsraksts2"/>
        <w:numPr>
          <w:ilvl w:val="0"/>
          <w:numId w:val="2"/>
        </w:numPr>
        <w:ind w:left="360" w:right="-993" w:hanging="360"/>
        <w:rPr>
          <w:color w:val="000000"/>
          <w:sz w:val="22"/>
          <w:szCs w:val="22"/>
        </w:rPr>
      </w:pPr>
    </w:p>
    <w:p w14:paraId="483C474B" w14:textId="77777777" w:rsidR="00C17A3A" w:rsidRPr="006A3267" w:rsidRDefault="00C17A3A" w:rsidP="00C17A3A">
      <w:pPr>
        <w:pStyle w:val="Virsraksts2"/>
        <w:numPr>
          <w:ilvl w:val="0"/>
          <w:numId w:val="2"/>
        </w:numPr>
        <w:ind w:left="360" w:right="-993" w:hanging="360"/>
        <w:rPr>
          <w:color w:val="000000"/>
          <w:sz w:val="22"/>
          <w:szCs w:val="22"/>
        </w:rPr>
      </w:pPr>
    </w:p>
    <w:p w14:paraId="4B87E592" w14:textId="77777777" w:rsidR="00C17A3A" w:rsidRPr="006A3267" w:rsidRDefault="00C17A3A" w:rsidP="00C17A3A">
      <w:pPr>
        <w:pStyle w:val="Default"/>
        <w:rPr>
          <w:sz w:val="22"/>
          <w:szCs w:val="22"/>
        </w:rPr>
      </w:pPr>
      <w:r w:rsidRPr="006A3267">
        <w:rPr>
          <w:b/>
          <w:bCs/>
          <w:sz w:val="22"/>
          <w:szCs w:val="22"/>
        </w:rPr>
        <w:t>2.</w:t>
      </w:r>
      <w:r w:rsidRPr="006A3267">
        <w:rPr>
          <w:b/>
          <w:bCs/>
          <w:sz w:val="22"/>
          <w:szCs w:val="22"/>
        </w:rPr>
        <w:tab/>
        <w:t>KVALITATĪVAIS UN KVANTITATĪVAIS SASTĀVS</w:t>
      </w:r>
    </w:p>
    <w:p w14:paraId="377EE19D" w14:textId="77777777" w:rsidR="00C17A3A" w:rsidRPr="006A3267" w:rsidRDefault="00C17A3A" w:rsidP="00C17A3A">
      <w:pPr>
        <w:pStyle w:val="Parastais"/>
        <w:ind w:left="426" w:hanging="426"/>
        <w:jc w:val="both"/>
        <w:rPr>
          <w:iCs/>
          <w:color w:val="000000"/>
          <w:sz w:val="22"/>
          <w:szCs w:val="22"/>
        </w:rPr>
      </w:pPr>
    </w:p>
    <w:p w14:paraId="19A21A21" w14:textId="77777777" w:rsidR="00C17A3A" w:rsidRPr="006A3267" w:rsidRDefault="00C17A3A" w:rsidP="00C17A3A">
      <w:pPr>
        <w:pStyle w:val="Parastais"/>
        <w:ind w:left="426" w:hanging="426"/>
        <w:jc w:val="both"/>
        <w:rPr>
          <w:iCs/>
          <w:color w:val="000000"/>
          <w:sz w:val="22"/>
          <w:szCs w:val="22"/>
        </w:rPr>
      </w:pPr>
      <w:r>
        <w:rPr>
          <w:iCs/>
          <w:color w:val="000000"/>
          <w:sz w:val="22"/>
          <w:szCs w:val="22"/>
        </w:rPr>
        <w:t>Katra</w:t>
      </w:r>
      <w:r w:rsidRPr="006A3267">
        <w:rPr>
          <w:iCs/>
          <w:color w:val="000000"/>
          <w:sz w:val="22"/>
          <w:szCs w:val="22"/>
        </w:rPr>
        <w:t xml:space="preserve"> cietā kapsula satur 250 mg </w:t>
      </w:r>
      <w:r w:rsidRPr="006A3267">
        <w:rPr>
          <w:i/>
          <w:iCs/>
          <w:color w:val="000000"/>
          <w:sz w:val="22"/>
          <w:szCs w:val="22"/>
        </w:rPr>
        <w:t>Saccharomyces boulardii</w:t>
      </w:r>
      <w:r w:rsidRPr="006A3267">
        <w:rPr>
          <w:iCs/>
          <w:color w:val="000000"/>
          <w:sz w:val="22"/>
          <w:szCs w:val="22"/>
        </w:rPr>
        <w:t xml:space="preserve"> CNCM I-745 (liofilizētas </w:t>
      </w:r>
    </w:p>
    <w:p w14:paraId="7AD13283" w14:textId="77777777" w:rsidR="00C17A3A" w:rsidRPr="006A3267" w:rsidRDefault="00C17A3A" w:rsidP="00C17A3A">
      <w:pPr>
        <w:pStyle w:val="Parastais"/>
        <w:ind w:left="426" w:hanging="426"/>
        <w:jc w:val="both"/>
        <w:rPr>
          <w:color w:val="000000"/>
          <w:sz w:val="22"/>
          <w:szCs w:val="22"/>
        </w:rPr>
      </w:pPr>
      <w:r w:rsidRPr="006A3267">
        <w:rPr>
          <w:i/>
          <w:iCs/>
          <w:color w:val="000000"/>
          <w:sz w:val="22"/>
          <w:szCs w:val="22"/>
        </w:rPr>
        <w:t>Saccharomyces boulardii</w:t>
      </w:r>
      <w:r w:rsidRPr="006A3267">
        <w:rPr>
          <w:iCs/>
          <w:color w:val="000000"/>
          <w:sz w:val="22"/>
          <w:szCs w:val="22"/>
        </w:rPr>
        <w:t xml:space="preserve"> CNCM I-745 rauga šūnas).</w:t>
      </w:r>
    </w:p>
    <w:p w14:paraId="468BB337" w14:textId="77777777" w:rsidR="00C17A3A" w:rsidRPr="006A3267" w:rsidRDefault="00C17A3A" w:rsidP="00C17A3A">
      <w:pPr>
        <w:pStyle w:val="Default"/>
        <w:rPr>
          <w:sz w:val="22"/>
          <w:szCs w:val="22"/>
          <w:u w:val="single"/>
        </w:rPr>
      </w:pPr>
    </w:p>
    <w:p w14:paraId="786726E9" w14:textId="77777777" w:rsidR="00C17A3A" w:rsidRPr="006A3267" w:rsidRDefault="00C17A3A" w:rsidP="00C17A3A">
      <w:pPr>
        <w:pStyle w:val="Default"/>
        <w:rPr>
          <w:sz w:val="22"/>
          <w:szCs w:val="22"/>
          <w:u w:val="single"/>
        </w:rPr>
      </w:pPr>
      <w:r w:rsidRPr="006A3267">
        <w:rPr>
          <w:sz w:val="22"/>
          <w:szCs w:val="22"/>
          <w:u w:val="single"/>
        </w:rPr>
        <w:t>Palīgviela ar zināmu iedarbību</w:t>
      </w:r>
    </w:p>
    <w:p w14:paraId="284CA1FF" w14:textId="77777777" w:rsidR="00C17A3A" w:rsidRPr="006A3267" w:rsidRDefault="00C17A3A" w:rsidP="00C17A3A">
      <w:pPr>
        <w:pStyle w:val="Parastais"/>
        <w:ind w:left="426" w:hanging="426"/>
        <w:jc w:val="both"/>
        <w:rPr>
          <w:color w:val="000000"/>
          <w:sz w:val="22"/>
          <w:szCs w:val="22"/>
        </w:rPr>
      </w:pPr>
      <w:r>
        <w:rPr>
          <w:iCs/>
          <w:color w:val="000000"/>
          <w:sz w:val="22"/>
          <w:szCs w:val="22"/>
        </w:rPr>
        <w:t>Katra</w:t>
      </w:r>
      <w:r w:rsidRPr="006A3267">
        <w:rPr>
          <w:iCs/>
          <w:color w:val="000000"/>
          <w:sz w:val="22"/>
          <w:szCs w:val="22"/>
        </w:rPr>
        <w:t xml:space="preserve"> </w:t>
      </w:r>
      <w:r w:rsidRPr="006A3267">
        <w:rPr>
          <w:color w:val="000000"/>
          <w:sz w:val="22"/>
          <w:szCs w:val="22"/>
        </w:rPr>
        <w:t>cietā kapsula</w:t>
      </w:r>
      <w:r w:rsidRPr="006A3267">
        <w:rPr>
          <w:sz w:val="22"/>
          <w:szCs w:val="22"/>
        </w:rPr>
        <w:t xml:space="preserve"> satur 32,50 mg laktozes monohidrāta.</w:t>
      </w:r>
    </w:p>
    <w:p w14:paraId="1EEF761A" w14:textId="77777777" w:rsidR="00C17A3A" w:rsidRPr="006A3267" w:rsidRDefault="00C17A3A" w:rsidP="00C17A3A">
      <w:pPr>
        <w:pStyle w:val="Parastais"/>
        <w:ind w:left="426" w:hanging="426"/>
        <w:jc w:val="both"/>
        <w:rPr>
          <w:color w:val="000000"/>
          <w:sz w:val="22"/>
          <w:szCs w:val="22"/>
        </w:rPr>
      </w:pPr>
    </w:p>
    <w:p w14:paraId="63927B57" w14:textId="77777777" w:rsidR="00C17A3A" w:rsidRPr="006A3267" w:rsidRDefault="00C17A3A" w:rsidP="00C17A3A">
      <w:pPr>
        <w:pStyle w:val="Parastais"/>
        <w:ind w:left="426" w:hanging="426"/>
        <w:jc w:val="both"/>
        <w:rPr>
          <w:color w:val="000000"/>
          <w:sz w:val="22"/>
          <w:szCs w:val="22"/>
        </w:rPr>
      </w:pPr>
      <w:r w:rsidRPr="006A3267">
        <w:rPr>
          <w:color w:val="000000"/>
          <w:sz w:val="22"/>
          <w:szCs w:val="22"/>
        </w:rPr>
        <w:t xml:space="preserve">Pilnu palīgvielu sarakstu skatīt 6.1. apakšpunktā. </w:t>
      </w:r>
    </w:p>
    <w:p w14:paraId="0592A5C8" w14:textId="77777777" w:rsidR="00C17A3A" w:rsidRPr="006A3267" w:rsidRDefault="00C17A3A" w:rsidP="00C17A3A">
      <w:pPr>
        <w:pStyle w:val="Parastais"/>
        <w:ind w:right="-993"/>
        <w:rPr>
          <w:color w:val="000000"/>
          <w:sz w:val="22"/>
          <w:szCs w:val="22"/>
        </w:rPr>
      </w:pPr>
    </w:p>
    <w:p w14:paraId="65EE8FB8" w14:textId="77777777" w:rsidR="00C17A3A" w:rsidRPr="006A3267" w:rsidRDefault="00C17A3A" w:rsidP="00C17A3A">
      <w:pPr>
        <w:pStyle w:val="Default"/>
        <w:rPr>
          <w:sz w:val="22"/>
          <w:szCs w:val="22"/>
        </w:rPr>
      </w:pPr>
    </w:p>
    <w:p w14:paraId="0C0C6A2D" w14:textId="77777777" w:rsidR="00C17A3A" w:rsidRPr="006A3267" w:rsidRDefault="00C17A3A" w:rsidP="00C17A3A">
      <w:pPr>
        <w:pStyle w:val="Parastais"/>
        <w:ind w:right="-993"/>
        <w:rPr>
          <w:sz w:val="22"/>
          <w:szCs w:val="22"/>
        </w:rPr>
      </w:pPr>
      <w:r w:rsidRPr="006A3267">
        <w:rPr>
          <w:b/>
          <w:bCs/>
          <w:color w:val="000000"/>
          <w:sz w:val="22"/>
          <w:szCs w:val="22"/>
        </w:rPr>
        <w:t>3.</w:t>
      </w:r>
      <w:r w:rsidRPr="006A3267">
        <w:rPr>
          <w:b/>
          <w:bCs/>
          <w:color w:val="000000"/>
          <w:sz w:val="22"/>
          <w:szCs w:val="22"/>
        </w:rPr>
        <w:tab/>
        <w:t>ZĀĻU FORMA</w:t>
      </w:r>
    </w:p>
    <w:p w14:paraId="5351FC24" w14:textId="77777777" w:rsidR="00C17A3A" w:rsidRPr="006A3267" w:rsidRDefault="00C17A3A" w:rsidP="00C17A3A">
      <w:pPr>
        <w:pStyle w:val="Parastais"/>
        <w:ind w:right="-993"/>
        <w:rPr>
          <w:color w:val="000000"/>
          <w:sz w:val="22"/>
          <w:szCs w:val="22"/>
        </w:rPr>
      </w:pPr>
    </w:p>
    <w:p w14:paraId="0B42C8F9" w14:textId="77777777" w:rsidR="00C17A3A" w:rsidRPr="006A3267" w:rsidRDefault="00C17A3A" w:rsidP="00C17A3A">
      <w:pPr>
        <w:pStyle w:val="Parastais"/>
        <w:ind w:right="-993"/>
        <w:rPr>
          <w:color w:val="000000"/>
          <w:sz w:val="22"/>
          <w:szCs w:val="22"/>
        </w:rPr>
      </w:pPr>
      <w:r w:rsidRPr="006A3267">
        <w:rPr>
          <w:color w:val="000000"/>
          <w:sz w:val="22"/>
          <w:szCs w:val="22"/>
        </w:rPr>
        <w:t>Cietā kapsula</w:t>
      </w:r>
    </w:p>
    <w:p w14:paraId="1C24AE68" w14:textId="77777777" w:rsidR="00C17A3A" w:rsidRPr="006A3267" w:rsidRDefault="00C17A3A" w:rsidP="00C17A3A">
      <w:pPr>
        <w:pStyle w:val="Parastais"/>
        <w:ind w:right="-993"/>
        <w:rPr>
          <w:color w:val="000000"/>
          <w:sz w:val="22"/>
          <w:szCs w:val="22"/>
        </w:rPr>
      </w:pPr>
      <w:r>
        <w:rPr>
          <w:color w:val="000000"/>
          <w:sz w:val="22"/>
          <w:szCs w:val="22"/>
        </w:rPr>
        <w:t>B</w:t>
      </w:r>
      <w:r w:rsidRPr="006A3267">
        <w:rPr>
          <w:color w:val="000000"/>
          <w:sz w:val="22"/>
          <w:szCs w:val="22"/>
        </w:rPr>
        <w:t>altas cietās kapsulas.</w:t>
      </w:r>
    </w:p>
    <w:p w14:paraId="46439D3A" w14:textId="77777777" w:rsidR="00C17A3A" w:rsidRPr="006A3267" w:rsidRDefault="00C17A3A" w:rsidP="00C17A3A">
      <w:pPr>
        <w:pStyle w:val="Default"/>
        <w:rPr>
          <w:sz w:val="22"/>
          <w:szCs w:val="22"/>
        </w:rPr>
      </w:pPr>
    </w:p>
    <w:p w14:paraId="2AF3A4EB" w14:textId="77777777" w:rsidR="00C17A3A" w:rsidRPr="006A3267" w:rsidRDefault="00C17A3A" w:rsidP="00C17A3A">
      <w:pPr>
        <w:pStyle w:val="Default"/>
        <w:rPr>
          <w:sz w:val="22"/>
          <w:szCs w:val="22"/>
        </w:rPr>
      </w:pPr>
    </w:p>
    <w:p w14:paraId="600AA5F5" w14:textId="77777777" w:rsidR="00C17A3A" w:rsidRPr="006A3267" w:rsidRDefault="00C17A3A" w:rsidP="00C17A3A">
      <w:pPr>
        <w:pStyle w:val="Parastais"/>
        <w:numPr>
          <w:ilvl w:val="0"/>
          <w:numId w:val="3"/>
        </w:numPr>
        <w:ind w:left="360" w:right="-993" w:hanging="360"/>
        <w:rPr>
          <w:color w:val="000000"/>
          <w:sz w:val="22"/>
          <w:szCs w:val="22"/>
        </w:rPr>
      </w:pPr>
      <w:r w:rsidRPr="006A3267">
        <w:rPr>
          <w:b/>
          <w:color w:val="000000"/>
          <w:sz w:val="22"/>
          <w:szCs w:val="22"/>
        </w:rPr>
        <w:t>4.</w:t>
      </w:r>
      <w:r w:rsidRPr="006A3267">
        <w:rPr>
          <w:b/>
          <w:color w:val="000000"/>
          <w:sz w:val="22"/>
          <w:szCs w:val="22"/>
        </w:rPr>
        <w:tab/>
      </w:r>
      <w:r w:rsidRPr="006A3267">
        <w:rPr>
          <w:b/>
          <w:color w:val="000000"/>
          <w:sz w:val="22"/>
          <w:szCs w:val="22"/>
        </w:rPr>
        <w:tab/>
      </w:r>
      <w:r w:rsidRPr="006A3267">
        <w:rPr>
          <w:b/>
          <w:bCs/>
          <w:color w:val="000000"/>
          <w:sz w:val="22"/>
          <w:szCs w:val="22"/>
        </w:rPr>
        <w:t>KLĪNISKĀ INFORMĀCIJA</w:t>
      </w:r>
    </w:p>
    <w:p w14:paraId="138D9900" w14:textId="77777777" w:rsidR="00C17A3A" w:rsidRPr="006A3267" w:rsidRDefault="00C17A3A" w:rsidP="00C17A3A">
      <w:pPr>
        <w:pStyle w:val="Parastais"/>
        <w:ind w:right="-993"/>
        <w:rPr>
          <w:b/>
          <w:bCs/>
          <w:color w:val="000000"/>
          <w:sz w:val="22"/>
          <w:szCs w:val="22"/>
        </w:rPr>
      </w:pPr>
    </w:p>
    <w:p w14:paraId="3A33452E" w14:textId="77777777" w:rsidR="00C17A3A" w:rsidRPr="006A3267" w:rsidRDefault="00C17A3A" w:rsidP="00C17A3A">
      <w:pPr>
        <w:pStyle w:val="Parastais"/>
        <w:numPr>
          <w:ilvl w:val="0"/>
          <w:numId w:val="3"/>
        </w:numPr>
        <w:ind w:left="360" w:right="-993" w:hanging="360"/>
        <w:rPr>
          <w:b/>
          <w:bCs/>
          <w:color w:val="000000"/>
          <w:sz w:val="22"/>
          <w:szCs w:val="22"/>
        </w:rPr>
      </w:pPr>
      <w:r w:rsidRPr="006A3267">
        <w:rPr>
          <w:b/>
          <w:bCs/>
          <w:color w:val="000000"/>
          <w:sz w:val="22"/>
          <w:szCs w:val="22"/>
        </w:rPr>
        <w:t>4.1.</w:t>
      </w:r>
      <w:r w:rsidRPr="006A3267">
        <w:rPr>
          <w:b/>
          <w:bCs/>
          <w:color w:val="000000"/>
          <w:sz w:val="22"/>
          <w:szCs w:val="22"/>
        </w:rPr>
        <w:tab/>
      </w:r>
      <w:r w:rsidRPr="006A3267">
        <w:rPr>
          <w:b/>
          <w:bCs/>
          <w:color w:val="000000"/>
          <w:sz w:val="22"/>
          <w:szCs w:val="22"/>
        </w:rPr>
        <w:tab/>
        <w:t xml:space="preserve">Terapeitiskās indikācijas </w:t>
      </w:r>
    </w:p>
    <w:p w14:paraId="5BF1C7AE" w14:textId="77777777" w:rsidR="00C17A3A" w:rsidRPr="006A3267" w:rsidRDefault="00C17A3A" w:rsidP="00C17A3A">
      <w:pPr>
        <w:pStyle w:val="Default"/>
        <w:rPr>
          <w:sz w:val="22"/>
          <w:szCs w:val="22"/>
        </w:rPr>
      </w:pPr>
    </w:p>
    <w:p w14:paraId="65865379" w14:textId="77777777" w:rsidR="00C17A3A" w:rsidRPr="006A3267" w:rsidRDefault="00C17A3A" w:rsidP="00C17A3A">
      <w:pPr>
        <w:pStyle w:val="Parastais"/>
        <w:numPr>
          <w:ilvl w:val="0"/>
          <w:numId w:val="4"/>
        </w:numPr>
        <w:ind w:right="-993"/>
        <w:rPr>
          <w:color w:val="000000"/>
          <w:sz w:val="22"/>
          <w:szCs w:val="22"/>
        </w:rPr>
      </w:pPr>
      <w:r w:rsidRPr="006A3267">
        <w:rPr>
          <w:color w:val="000000"/>
          <w:sz w:val="22"/>
          <w:szCs w:val="22"/>
        </w:rPr>
        <w:t>ENTEROL 250 mg cietās kapsulas ir indicētas, lai novērstu vai īslaicīgi ārstētu dažādas etioloģijas akūtu caureju pieaugušajiem un bērniem no 6 gadu vecuma, tādu kā:</w:t>
      </w:r>
    </w:p>
    <w:p w14:paraId="6D3D2D0F" w14:textId="77777777" w:rsidR="00C17A3A" w:rsidRPr="006A3267" w:rsidRDefault="00C17A3A" w:rsidP="00C17A3A">
      <w:pPr>
        <w:pStyle w:val="Parastais"/>
        <w:numPr>
          <w:ilvl w:val="0"/>
          <w:numId w:val="4"/>
        </w:numPr>
        <w:ind w:right="-993"/>
        <w:rPr>
          <w:color w:val="000000"/>
          <w:sz w:val="22"/>
          <w:szCs w:val="22"/>
        </w:rPr>
      </w:pPr>
      <w:r w:rsidRPr="006A3267">
        <w:rPr>
          <w:color w:val="000000"/>
          <w:sz w:val="22"/>
          <w:szCs w:val="22"/>
        </w:rPr>
        <w:t>-</w:t>
      </w:r>
      <w:r w:rsidRPr="006A3267">
        <w:rPr>
          <w:color w:val="000000"/>
          <w:sz w:val="22"/>
          <w:szCs w:val="22"/>
        </w:rPr>
        <w:tab/>
        <w:t>akūta infekcioza baktēriju vai vīrusu izraisīta caureja;</w:t>
      </w:r>
    </w:p>
    <w:p w14:paraId="5EF68C10" w14:textId="77777777" w:rsidR="00C17A3A" w:rsidRPr="006A3267" w:rsidRDefault="00C17A3A" w:rsidP="00C17A3A">
      <w:pPr>
        <w:pStyle w:val="Parastais"/>
        <w:numPr>
          <w:ilvl w:val="0"/>
          <w:numId w:val="4"/>
        </w:numPr>
        <w:ind w:right="-993"/>
        <w:rPr>
          <w:color w:val="000000"/>
          <w:sz w:val="22"/>
          <w:szCs w:val="22"/>
        </w:rPr>
      </w:pPr>
      <w:r w:rsidRPr="006A3267">
        <w:rPr>
          <w:color w:val="000000"/>
          <w:sz w:val="22"/>
          <w:szCs w:val="22"/>
        </w:rPr>
        <w:t>-</w:t>
      </w:r>
      <w:r w:rsidRPr="006A3267">
        <w:rPr>
          <w:color w:val="000000"/>
          <w:sz w:val="22"/>
          <w:szCs w:val="22"/>
        </w:rPr>
        <w:tab/>
        <w:t>antibiotiku terapijas izraisīta caureja un kolīts;</w:t>
      </w:r>
    </w:p>
    <w:p w14:paraId="33682624" w14:textId="77777777" w:rsidR="00C17A3A" w:rsidRPr="006A3267" w:rsidRDefault="00C17A3A" w:rsidP="00C17A3A">
      <w:pPr>
        <w:pStyle w:val="Parastais"/>
        <w:ind w:right="-993"/>
        <w:rPr>
          <w:color w:val="000000"/>
          <w:sz w:val="22"/>
          <w:szCs w:val="22"/>
        </w:rPr>
      </w:pPr>
      <w:r w:rsidRPr="006A3267">
        <w:rPr>
          <w:color w:val="000000"/>
          <w:sz w:val="22"/>
          <w:szCs w:val="22"/>
        </w:rPr>
        <w:t>-</w:t>
      </w:r>
      <w:r w:rsidRPr="006A3267">
        <w:rPr>
          <w:color w:val="000000"/>
          <w:sz w:val="22"/>
          <w:szCs w:val="22"/>
        </w:rPr>
        <w:tab/>
        <w:t xml:space="preserve">papildus vankomicīna/metronidazola terapijai, lai novērstu </w:t>
      </w:r>
      <w:r w:rsidRPr="006A3267">
        <w:rPr>
          <w:i/>
          <w:color w:val="000000"/>
          <w:sz w:val="22"/>
          <w:szCs w:val="22"/>
        </w:rPr>
        <w:t>Clostridium difficile</w:t>
      </w:r>
      <w:r w:rsidRPr="006A3267">
        <w:rPr>
          <w:color w:val="000000"/>
          <w:sz w:val="22"/>
          <w:szCs w:val="22"/>
        </w:rPr>
        <w:t xml:space="preserve"> izraisītas slimības </w:t>
      </w:r>
    </w:p>
    <w:p w14:paraId="3D8C153C" w14:textId="77777777" w:rsidR="00C17A3A" w:rsidRPr="006A3267" w:rsidRDefault="00C17A3A" w:rsidP="00C17A3A">
      <w:pPr>
        <w:pStyle w:val="Parastais"/>
        <w:ind w:right="-993" w:firstLine="720"/>
        <w:rPr>
          <w:color w:val="000000"/>
          <w:sz w:val="22"/>
          <w:szCs w:val="22"/>
        </w:rPr>
      </w:pPr>
      <w:r w:rsidRPr="006A3267">
        <w:rPr>
          <w:color w:val="000000"/>
          <w:sz w:val="22"/>
          <w:szCs w:val="22"/>
        </w:rPr>
        <w:t>recidīvu;</w:t>
      </w:r>
    </w:p>
    <w:p w14:paraId="421776B0" w14:textId="77777777" w:rsidR="00C17A3A" w:rsidRPr="006A3267" w:rsidRDefault="00C17A3A" w:rsidP="00C17A3A">
      <w:pPr>
        <w:pStyle w:val="Parastais"/>
        <w:numPr>
          <w:ilvl w:val="0"/>
          <w:numId w:val="4"/>
        </w:numPr>
        <w:ind w:right="-993"/>
        <w:rPr>
          <w:color w:val="000000"/>
          <w:sz w:val="22"/>
          <w:szCs w:val="22"/>
        </w:rPr>
      </w:pPr>
      <w:r w:rsidRPr="006A3267">
        <w:rPr>
          <w:color w:val="000000"/>
          <w:sz w:val="22"/>
          <w:szCs w:val="22"/>
        </w:rPr>
        <w:t>-</w:t>
      </w:r>
      <w:r w:rsidRPr="006A3267">
        <w:rPr>
          <w:color w:val="000000"/>
          <w:sz w:val="22"/>
          <w:szCs w:val="22"/>
        </w:rPr>
        <w:tab/>
        <w:t>kairinātu zarnu sindroms.</w:t>
      </w:r>
    </w:p>
    <w:p w14:paraId="19311A40" w14:textId="77777777" w:rsidR="00C17A3A" w:rsidRPr="006A3267" w:rsidRDefault="00C17A3A" w:rsidP="00C17A3A">
      <w:pPr>
        <w:pStyle w:val="Parastais"/>
        <w:numPr>
          <w:ilvl w:val="0"/>
          <w:numId w:val="4"/>
        </w:numPr>
        <w:ind w:right="-993"/>
        <w:rPr>
          <w:color w:val="000000"/>
          <w:sz w:val="22"/>
          <w:szCs w:val="22"/>
        </w:rPr>
      </w:pPr>
      <w:r w:rsidRPr="006A3267">
        <w:rPr>
          <w:color w:val="000000"/>
          <w:sz w:val="22"/>
          <w:szCs w:val="22"/>
        </w:rPr>
        <w:tab/>
        <w:t xml:space="preserve"> </w:t>
      </w:r>
    </w:p>
    <w:p w14:paraId="0BC8DAB3" w14:textId="77777777" w:rsidR="00C17A3A" w:rsidRPr="006A3267" w:rsidRDefault="00C17A3A" w:rsidP="00C17A3A">
      <w:pPr>
        <w:pStyle w:val="Default"/>
        <w:rPr>
          <w:sz w:val="22"/>
          <w:szCs w:val="22"/>
        </w:rPr>
      </w:pPr>
      <w:r w:rsidRPr="006A3267">
        <w:rPr>
          <w:b/>
          <w:bCs/>
          <w:sz w:val="22"/>
          <w:szCs w:val="22"/>
        </w:rPr>
        <w:t>4.2.</w:t>
      </w:r>
      <w:r w:rsidRPr="006A3267">
        <w:rPr>
          <w:b/>
          <w:bCs/>
          <w:sz w:val="22"/>
          <w:szCs w:val="22"/>
        </w:rPr>
        <w:tab/>
        <w:t xml:space="preserve">Devas un lietošanas veids </w:t>
      </w:r>
    </w:p>
    <w:p w14:paraId="337AC983" w14:textId="77777777" w:rsidR="00C17A3A" w:rsidRPr="006A3267" w:rsidRDefault="00C17A3A" w:rsidP="00C17A3A">
      <w:pPr>
        <w:pStyle w:val="Parastais"/>
        <w:jc w:val="both"/>
        <w:rPr>
          <w:color w:val="000000"/>
          <w:sz w:val="22"/>
          <w:szCs w:val="22"/>
        </w:rPr>
      </w:pPr>
    </w:p>
    <w:p w14:paraId="0891812F" w14:textId="77777777" w:rsidR="00C17A3A" w:rsidRPr="006A3267" w:rsidRDefault="00C17A3A" w:rsidP="00C17A3A">
      <w:pPr>
        <w:pStyle w:val="Default"/>
        <w:rPr>
          <w:sz w:val="22"/>
          <w:szCs w:val="22"/>
          <w:u w:val="single"/>
        </w:rPr>
      </w:pPr>
      <w:r w:rsidRPr="006A3267">
        <w:rPr>
          <w:sz w:val="22"/>
          <w:szCs w:val="22"/>
          <w:u w:val="single"/>
        </w:rPr>
        <w:t>Devas</w:t>
      </w:r>
    </w:p>
    <w:p w14:paraId="51158C57" w14:textId="77777777" w:rsidR="00C17A3A" w:rsidRPr="006A3267" w:rsidRDefault="00C17A3A" w:rsidP="00C17A3A">
      <w:pPr>
        <w:pStyle w:val="Default"/>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5"/>
        <w:gridCol w:w="1379"/>
        <w:gridCol w:w="1379"/>
        <w:gridCol w:w="1379"/>
        <w:gridCol w:w="1532"/>
      </w:tblGrid>
      <w:tr w:rsidR="00C17A3A" w:rsidRPr="006A3267" w14:paraId="6A577488" w14:textId="77777777" w:rsidTr="00FD3624">
        <w:trPr>
          <w:trHeight w:val="251"/>
        </w:trPr>
        <w:tc>
          <w:tcPr>
            <w:tcW w:w="3265" w:type="dxa"/>
            <w:shd w:val="clear" w:color="auto" w:fill="auto"/>
          </w:tcPr>
          <w:p w14:paraId="42B5BC26" w14:textId="77777777" w:rsidR="00C17A3A" w:rsidRPr="006A3267" w:rsidRDefault="00C17A3A" w:rsidP="00FD3624">
            <w:pPr>
              <w:pStyle w:val="Default"/>
              <w:rPr>
                <w:b/>
                <w:sz w:val="22"/>
                <w:szCs w:val="22"/>
              </w:rPr>
            </w:pPr>
          </w:p>
          <w:p w14:paraId="50FFCFC7" w14:textId="77777777" w:rsidR="00C17A3A" w:rsidRPr="006A3267" w:rsidRDefault="00C17A3A" w:rsidP="00FD3624">
            <w:pPr>
              <w:pStyle w:val="Default"/>
              <w:rPr>
                <w:b/>
                <w:sz w:val="22"/>
                <w:szCs w:val="22"/>
              </w:rPr>
            </w:pPr>
            <w:r w:rsidRPr="006A3267">
              <w:rPr>
                <w:b/>
                <w:sz w:val="22"/>
                <w:szCs w:val="22"/>
              </w:rPr>
              <w:t>Indikācija</w:t>
            </w:r>
          </w:p>
        </w:tc>
        <w:tc>
          <w:tcPr>
            <w:tcW w:w="2374" w:type="dxa"/>
            <w:gridSpan w:val="2"/>
            <w:shd w:val="clear" w:color="auto" w:fill="auto"/>
          </w:tcPr>
          <w:p w14:paraId="00D2D432" w14:textId="77777777" w:rsidR="00C17A3A" w:rsidRPr="006A3267" w:rsidRDefault="00C17A3A" w:rsidP="00FD3624">
            <w:pPr>
              <w:pStyle w:val="Default"/>
              <w:jc w:val="center"/>
              <w:rPr>
                <w:b/>
                <w:sz w:val="22"/>
                <w:szCs w:val="22"/>
              </w:rPr>
            </w:pPr>
            <w:r w:rsidRPr="006A3267">
              <w:rPr>
                <w:b/>
                <w:sz w:val="22"/>
                <w:szCs w:val="22"/>
              </w:rPr>
              <w:t>Ieteicamā dienas deva pieaugušajiem</w:t>
            </w:r>
          </w:p>
        </w:tc>
        <w:tc>
          <w:tcPr>
            <w:tcW w:w="2505" w:type="dxa"/>
            <w:gridSpan w:val="2"/>
            <w:shd w:val="clear" w:color="auto" w:fill="auto"/>
          </w:tcPr>
          <w:p w14:paraId="33233FE8" w14:textId="77777777" w:rsidR="00C17A3A" w:rsidRPr="006A3267" w:rsidRDefault="00C17A3A" w:rsidP="00FD3624">
            <w:pPr>
              <w:pStyle w:val="Default"/>
              <w:jc w:val="center"/>
              <w:rPr>
                <w:b/>
                <w:sz w:val="22"/>
                <w:szCs w:val="22"/>
              </w:rPr>
            </w:pPr>
            <w:r w:rsidRPr="006A3267">
              <w:rPr>
                <w:b/>
                <w:sz w:val="22"/>
                <w:szCs w:val="22"/>
              </w:rPr>
              <w:t xml:space="preserve">Ieteicamā dienas deva bērniem no 6 gadu vecuma </w:t>
            </w:r>
          </w:p>
        </w:tc>
      </w:tr>
      <w:tr w:rsidR="00C17A3A" w:rsidRPr="006A3267" w14:paraId="10C56CDB" w14:textId="77777777" w:rsidTr="00FD3624">
        <w:trPr>
          <w:trHeight w:val="502"/>
        </w:trPr>
        <w:tc>
          <w:tcPr>
            <w:tcW w:w="3265" w:type="dxa"/>
            <w:shd w:val="clear" w:color="auto" w:fill="auto"/>
          </w:tcPr>
          <w:p w14:paraId="381E752A" w14:textId="77777777" w:rsidR="00C17A3A" w:rsidRPr="006A3267" w:rsidRDefault="00C17A3A" w:rsidP="00FD3624">
            <w:pPr>
              <w:pStyle w:val="Default"/>
              <w:rPr>
                <w:b/>
                <w:sz w:val="22"/>
                <w:szCs w:val="22"/>
              </w:rPr>
            </w:pPr>
          </w:p>
        </w:tc>
        <w:tc>
          <w:tcPr>
            <w:tcW w:w="1187" w:type="dxa"/>
            <w:shd w:val="clear" w:color="auto" w:fill="auto"/>
          </w:tcPr>
          <w:p w14:paraId="03818FB3" w14:textId="77777777" w:rsidR="00C17A3A" w:rsidRPr="006A3267" w:rsidRDefault="00C17A3A" w:rsidP="00FD3624">
            <w:pPr>
              <w:pStyle w:val="Default"/>
              <w:jc w:val="center"/>
              <w:rPr>
                <w:sz w:val="22"/>
                <w:szCs w:val="22"/>
              </w:rPr>
            </w:pPr>
            <w:r w:rsidRPr="006A3267">
              <w:rPr>
                <w:sz w:val="22"/>
                <w:szCs w:val="22"/>
              </w:rPr>
              <w:t>minimālā</w:t>
            </w:r>
          </w:p>
        </w:tc>
        <w:tc>
          <w:tcPr>
            <w:tcW w:w="1187" w:type="dxa"/>
            <w:shd w:val="clear" w:color="auto" w:fill="auto"/>
          </w:tcPr>
          <w:p w14:paraId="1C72656D" w14:textId="77777777" w:rsidR="00C17A3A" w:rsidRPr="006A3267" w:rsidRDefault="00C17A3A" w:rsidP="00FD3624">
            <w:pPr>
              <w:pStyle w:val="Default"/>
              <w:jc w:val="center"/>
              <w:rPr>
                <w:sz w:val="22"/>
                <w:szCs w:val="22"/>
              </w:rPr>
            </w:pPr>
            <w:r w:rsidRPr="006A3267">
              <w:rPr>
                <w:sz w:val="22"/>
                <w:szCs w:val="22"/>
              </w:rPr>
              <w:t>maksimālā</w:t>
            </w:r>
          </w:p>
        </w:tc>
        <w:tc>
          <w:tcPr>
            <w:tcW w:w="1187" w:type="dxa"/>
            <w:shd w:val="clear" w:color="auto" w:fill="auto"/>
          </w:tcPr>
          <w:p w14:paraId="6BA9BE31" w14:textId="77777777" w:rsidR="00C17A3A" w:rsidRPr="006A3267" w:rsidRDefault="00C17A3A" w:rsidP="00FD3624">
            <w:pPr>
              <w:pStyle w:val="Default"/>
              <w:jc w:val="center"/>
              <w:rPr>
                <w:sz w:val="22"/>
                <w:szCs w:val="22"/>
              </w:rPr>
            </w:pPr>
            <w:r w:rsidRPr="006A3267">
              <w:rPr>
                <w:sz w:val="22"/>
                <w:szCs w:val="22"/>
              </w:rPr>
              <w:t>minimālā</w:t>
            </w:r>
          </w:p>
        </w:tc>
        <w:tc>
          <w:tcPr>
            <w:tcW w:w="1318" w:type="dxa"/>
            <w:shd w:val="clear" w:color="auto" w:fill="auto"/>
          </w:tcPr>
          <w:p w14:paraId="69F25576" w14:textId="77777777" w:rsidR="00C17A3A" w:rsidRPr="006A3267" w:rsidRDefault="00C17A3A" w:rsidP="00FD3624">
            <w:pPr>
              <w:pStyle w:val="Default"/>
              <w:jc w:val="center"/>
              <w:rPr>
                <w:sz w:val="22"/>
                <w:szCs w:val="22"/>
              </w:rPr>
            </w:pPr>
            <w:r w:rsidRPr="006A3267">
              <w:rPr>
                <w:sz w:val="22"/>
                <w:szCs w:val="22"/>
              </w:rPr>
              <w:t>maksimālā</w:t>
            </w:r>
          </w:p>
        </w:tc>
      </w:tr>
      <w:tr w:rsidR="00C17A3A" w:rsidRPr="006A3267" w14:paraId="75833AAD" w14:textId="77777777" w:rsidTr="00FD3624">
        <w:trPr>
          <w:trHeight w:val="502"/>
        </w:trPr>
        <w:tc>
          <w:tcPr>
            <w:tcW w:w="3265" w:type="dxa"/>
            <w:shd w:val="clear" w:color="auto" w:fill="auto"/>
          </w:tcPr>
          <w:p w14:paraId="00EDD100" w14:textId="77777777" w:rsidR="00C17A3A" w:rsidRPr="006A3267" w:rsidRDefault="00C17A3A" w:rsidP="00FD3624">
            <w:pPr>
              <w:pStyle w:val="Default"/>
              <w:rPr>
                <w:b/>
                <w:sz w:val="22"/>
                <w:szCs w:val="22"/>
              </w:rPr>
            </w:pPr>
            <w:r w:rsidRPr="006A3267">
              <w:rPr>
                <w:b/>
                <w:sz w:val="22"/>
                <w:szCs w:val="22"/>
              </w:rPr>
              <w:t>Akūta infekcioza caureja</w:t>
            </w:r>
          </w:p>
        </w:tc>
        <w:tc>
          <w:tcPr>
            <w:tcW w:w="1187" w:type="dxa"/>
            <w:shd w:val="clear" w:color="auto" w:fill="auto"/>
          </w:tcPr>
          <w:p w14:paraId="3E778C65" w14:textId="77777777" w:rsidR="00C17A3A" w:rsidRPr="006A3267" w:rsidRDefault="00C17A3A" w:rsidP="00FD3624">
            <w:pPr>
              <w:pStyle w:val="Default"/>
              <w:jc w:val="center"/>
              <w:rPr>
                <w:sz w:val="22"/>
                <w:szCs w:val="22"/>
              </w:rPr>
            </w:pPr>
            <w:r w:rsidRPr="006A3267">
              <w:rPr>
                <w:sz w:val="22"/>
                <w:szCs w:val="22"/>
              </w:rPr>
              <w:t>250 mg 2 reizes dienā</w:t>
            </w:r>
          </w:p>
        </w:tc>
        <w:tc>
          <w:tcPr>
            <w:tcW w:w="1187" w:type="dxa"/>
            <w:shd w:val="clear" w:color="auto" w:fill="auto"/>
          </w:tcPr>
          <w:p w14:paraId="0B51DCA8" w14:textId="77777777" w:rsidR="00C17A3A" w:rsidRPr="006A3267" w:rsidRDefault="00C17A3A" w:rsidP="00FD3624">
            <w:pPr>
              <w:pStyle w:val="Default"/>
              <w:jc w:val="center"/>
              <w:rPr>
                <w:sz w:val="22"/>
                <w:szCs w:val="22"/>
              </w:rPr>
            </w:pPr>
            <w:r w:rsidRPr="006A3267">
              <w:rPr>
                <w:sz w:val="22"/>
                <w:szCs w:val="22"/>
              </w:rPr>
              <w:t>500 mg 2 reizes dienā</w:t>
            </w:r>
          </w:p>
        </w:tc>
        <w:tc>
          <w:tcPr>
            <w:tcW w:w="1187" w:type="dxa"/>
            <w:shd w:val="clear" w:color="auto" w:fill="auto"/>
          </w:tcPr>
          <w:p w14:paraId="5E8ACF6D" w14:textId="77777777" w:rsidR="00C17A3A" w:rsidRPr="006A3267" w:rsidRDefault="00C17A3A" w:rsidP="00FD3624">
            <w:pPr>
              <w:pStyle w:val="Default"/>
              <w:jc w:val="center"/>
              <w:rPr>
                <w:sz w:val="22"/>
                <w:szCs w:val="22"/>
              </w:rPr>
            </w:pPr>
            <w:r w:rsidRPr="006A3267">
              <w:rPr>
                <w:sz w:val="22"/>
                <w:szCs w:val="22"/>
              </w:rPr>
              <w:t>250 mg 2 reizes dienā</w:t>
            </w:r>
          </w:p>
        </w:tc>
        <w:tc>
          <w:tcPr>
            <w:tcW w:w="1318" w:type="dxa"/>
            <w:shd w:val="clear" w:color="auto" w:fill="auto"/>
          </w:tcPr>
          <w:p w14:paraId="0E4483DC" w14:textId="77777777" w:rsidR="00C17A3A" w:rsidRPr="006A3267" w:rsidRDefault="00C17A3A" w:rsidP="00FD3624">
            <w:pPr>
              <w:pStyle w:val="Default"/>
              <w:jc w:val="center"/>
              <w:rPr>
                <w:sz w:val="22"/>
                <w:szCs w:val="22"/>
              </w:rPr>
            </w:pPr>
            <w:r w:rsidRPr="006A3267">
              <w:rPr>
                <w:sz w:val="22"/>
                <w:szCs w:val="22"/>
              </w:rPr>
              <w:t>250 mg 3 reizes dienā</w:t>
            </w:r>
          </w:p>
        </w:tc>
      </w:tr>
      <w:tr w:rsidR="00C17A3A" w:rsidRPr="006A3267" w14:paraId="13DCEBAB" w14:textId="77777777" w:rsidTr="00FD3624">
        <w:trPr>
          <w:trHeight w:val="512"/>
        </w:trPr>
        <w:tc>
          <w:tcPr>
            <w:tcW w:w="3265" w:type="dxa"/>
            <w:shd w:val="clear" w:color="auto" w:fill="auto"/>
          </w:tcPr>
          <w:p w14:paraId="466F020C" w14:textId="77777777" w:rsidR="00C17A3A" w:rsidRPr="006A3267" w:rsidRDefault="00C17A3A" w:rsidP="00FD3624">
            <w:pPr>
              <w:pStyle w:val="Default"/>
              <w:rPr>
                <w:b/>
                <w:sz w:val="22"/>
                <w:szCs w:val="22"/>
              </w:rPr>
            </w:pPr>
            <w:r w:rsidRPr="006A3267">
              <w:rPr>
                <w:b/>
                <w:sz w:val="22"/>
                <w:szCs w:val="22"/>
              </w:rPr>
              <w:t>Antibiotiku terapijas izraisīta caureja un kolīts</w:t>
            </w:r>
          </w:p>
        </w:tc>
        <w:tc>
          <w:tcPr>
            <w:tcW w:w="1187" w:type="dxa"/>
            <w:shd w:val="clear" w:color="auto" w:fill="auto"/>
          </w:tcPr>
          <w:p w14:paraId="2BAE624C" w14:textId="77777777" w:rsidR="00C17A3A" w:rsidRPr="006A3267" w:rsidRDefault="00C17A3A" w:rsidP="00FD3624">
            <w:pPr>
              <w:pStyle w:val="Default"/>
              <w:jc w:val="center"/>
              <w:rPr>
                <w:sz w:val="22"/>
                <w:szCs w:val="22"/>
              </w:rPr>
            </w:pPr>
            <w:r w:rsidRPr="006A3267">
              <w:rPr>
                <w:sz w:val="22"/>
                <w:szCs w:val="22"/>
              </w:rPr>
              <w:t>250 mg 2 reizes dienā</w:t>
            </w:r>
          </w:p>
        </w:tc>
        <w:tc>
          <w:tcPr>
            <w:tcW w:w="1187" w:type="dxa"/>
            <w:shd w:val="clear" w:color="auto" w:fill="auto"/>
          </w:tcPr>
          <w:p w14:paraId="5BFDD294" w14:textId="77777777" w:rsidR="00C17A3A" w:rsidRPr="006A3267" w:rsidRDefault="00C17A3A" w:rsidP="00FD3624">
            <w:pPr>
              <w:pStyle w:val="Default"/>
              <w:jc w:val="center"/>
              <w:rPr>
                <w:sz w:val="22"/>
                <w:szCs w:val="22"/>
              </w:rPr>
            </w:pPr>
            <w:r w:rsidRPr="006A3267">
              <w:rPr>
                <w:sz w:val="22"/>
                <w:szCs w:val="22"/>
              </w:rPr>
              <w:t>500 mg 2 reizes dienā</w:t>
            </w:r>
          </w:p>
        </w:tc>
        <w:tc>
          <w:tcPr>
            <w:tcW w:w="1187" w:type="dxa"/>
            <w:shd w:val="clear" w:color="auto" w:fill="auto"/>
          </w:tcPr>
          <w:p w14:paraId="338450DB" w14:textId="77777777" w:rsidR="00C17A3A" w:rsidRPr="006A3267" w:rsidRDefault="00C17A3A" w:rsidP="00FD3624">
            <w:pPr>
              <w:pStyle w:val="Default"/>
              <w:jc w:val="center"/>
              <w:rPr>
                <w:sz w:val="22"/>
                <w:szCs w:val="22"/>
              </w:rPr>
            </w:pPr>
            <w:r w:rsidRPr="006A3267">
              <w:rPr>
                <w:sz w:val="22"/>
                <w:szCs w:val="22"/>
              </w:rPr>
              <w:t>250 mg 2 reizes dienā</w:t>
            </w:r>
          </w:p>
        </w:tc>
        <w:tc>
          <w:tcPr>
            <w:tcW w:w="1318" w:type="dxa"/>
            <w:shd w:val="clear" w:color="auto" w:fill="auto"/>
          </w:tcPr>
          <w:p w14:paraId="761EBA45" w14:textId="77777777" w:rsidR="00C17A3A" w:rsidRPr="006A3267" w:rsidRDefault="00C17A3A" w:rsidP="00FD3624">
            <w:pPr>
              <w:pStyle w:val="Default"/>
              <w:jc w:val="center"/>
              <w:rPr>
                <w:sz w:val="22"/>
                <w:szCs w:val="22"/>
              </w:rPr>
            </w:pPr>
            <w:r w:rsidRPr="006A3267">
              <w:rPr>
                <w:sz w:val="22"/>
                <w:szCs w:val="22"/>
              </w:rPr>
              <w:t>250 mg 3 reizes dienā</w:t>
            </w:r>
          </w:p>
        </w:tc>
      </w:tr>
      <w:tr w:rsidR="00C17A3A" w:rsidRPr="006A3267" w14:paraId="71C527D5" w14:textId="77777777" w:rsidTr="00FD3624">
        <w:trPr>
          <w:trHeight w:val="512"/>
        </w:trPr>
        <w:tc>
          <w:tcPr>
            <w:tcW w:w="3265" w:type="dxa"/>
            <w:shd w:val="clear" w:color="auto" w:fill="auto"/>
          </w:tcPr>
          <w:p w14:paraId="1D49C9AD" w14:textId="77777777" w:rsidR="00C17A3A" w:rsidRPr="006A3267" w:rsidRDefault="00C17A3A" w:rsidP="00FD3624">
            <w:pPr>
              <w:pStyle w:val="Default"/>
              <w:rPr>
                <w:b/>
                <w:sz w:val="22"/>
                <w:szCs w:val="22"/>
              </w:rPr>
            </w:pPr>
            <w:r w:rsidRPr="006A3267">
              <w:rPr>
                <w:b/>
                <w:i/>
                <w:sz w:val="22"/>
                <w:szCs w:val="22"/>
              </w:rPr>
              <w:lastRenderedPageBreak/>
              <w:t>Clostridium difficile</w:t>
            </w:r>
            <w:r w:rsidRPr="006A3267">
              <w:rPr>
                <w:b/>
                <w:sz w:val="22"/>
                <w:szCs w:val="22"/>
              </w:rPr>
              <w:t xml:space="preserve"> izraisīta caureja</w:t>
            </w:r>
          </w:p>
        </w:tc>
        <w:tc>
          <w:tcPr>
            <w:tcW w:w="1187" w:type="dxa"/>
            <w:shd w:val="clear" w:color="auto" w:fill="auto"/>
          </w:tcPr>
          <w:p w14:paraId="32CAC16C" w14:textId="77777777" w:rsidR="00C17A3A" w:rsidRPr="006A3267" w:rsidRDefault="00C17A3A" w:rsidP="00FD3624">
            <w:pPr>
              <w:pStyle w:val="Default"/>
              <w:jc w:val="center"/>
              <w:rPr>
                <w:sz w:val="22"/>
                <w:szCs w:val="22"/>
              </w:rPr>
            </w:pPr>
            <w:r w:rsidRPr="006A3267">
              <w:rPr>
                <w:sz w:val="22"/>
                <w:szCs w:val="22"/>
              </w:rPr>
              <w:t>250 mg 2 reizes dienā</w:t>
            </w:r>
          </w:p>
        </w:tc>
        <w:tc>
          <w:tcPr>
            <w:tcW w:w="1187" w:type="dxa"/>
            <w:shd w:val="clear" w:color="auto" w:fill="auto"/>
          </w:tcPr>
          <w:p w14:paraId="276B2254" w14:textId="77777777" w:rsidR="00C17A3A" w:rsidRPr="006A3267" w:rsidRDefault="00C17A3A" w:rsidP="00FD3624">
            <w:pPr>
              <w:pStyle w:val="Default"/>
              <w:jc w:val="center"/>
              <w:rPr>
                <w:sz w:val="22"/>
                <w:szCs w:val="22"/>
              </w:rPr>
            </w:pPr>
            <w:r w:rsidRPr="006A3267">
              <w:rPr>
                <w:sz w:val="22"/>
                <w:szCs w:val="22"/>
              </w:rPr>
              <w:t>500 mg 2 reizes dienā</w:t>
            </w:r>
          </w:p>
        </w:tc>
        <w:tc>
          <w:tcPr>
            <w:tcW w:w="1187" w:type="dxa"/>
            <w:shd w:val="clear" w:color="auto" w:fill="auto"/>
          </w:tcPr>
          <w:p w14:paraId="5410BF0A" w14:textId="77777777" w:rsidR="00C17A3A" w:rsidRPr="006A3267" w:rsidRDefault="00C17A3A" w:rsidP="00FD3624">
            <w:pPr>
              <w:pStyle w:val="Default"/>
              <w:jc w:val="center"/>
              <w:rPr>
                <w:sz w:val="22"/>
                <w:szCs w:val="22"/>
              </w:rPr>
            </w:pPr>
            <w:r w:rsidRPr="006A3267">
              <w:rPr>
                <w:sz w:val="22"/>
                <w:szCs w:val="22"/>
              </w:rPr>
              <w:t>250 mg 2 reizes dienā</w:t>
            </w:r>
          </w:p>
        </w:tc>
        <w:tc>
          <w:tcPr>
            <w:tcW w:w="1318" w:type="dxa"/>
            <w:shd w:val="clear" w:color="auto" w:fill="auto"/>
          </w:tcPr>
          <w:p w14:paraId="217DCA43" w14:textId="77777777" w:rsidR="00C17A3A" w:rsidRPr="006A3267" w:rsidRDefault="00C17A3A" w:rsidP="00FD3624">
            <w:pPr>
              <w:pStyle w:val="Default"/>
              <w:jc w:val="center"/>
              <w:rPr>
                <w:sz w:val="22"/>
                <w:szCs w:val="22"/>
              </w:rPr>
            </w:pPr>
            <w:r w:rsidRPr="006A3267">
              <w:rPr>
                <w:sz w:val="22"/>
                <w:szCs w:val="22"/>
              </w:rPr>
              <w:t>250 mg 3 reizes dienā</w:t>
            </w:r>
          </w:p>
        </w:tc>
      </w:tr>
      <w:tr w:rsidR="00C17A3A" w:rsidRPr="006A3267" w14:paraId="7DD1FB6C" w14:textId="77777777" w:rsidTr="00FD3624">
        <w:trPr>
          <w:trHeight w:val="502"/>
        </w:trPr>
        <w:tc>
          <w:tcPr>
            <w:tcW w:w="3265" w:type="dxa"/>
            <w:shd w:val="clear" w:color="auto" w:fill="auto"/>
          </w:tcPr>
          <w:p w14:paraId="3395F8C3" w14:textId="77777777" w:rsidR="00C17A3A" w:rsidRPr="006A3267" w:rsidRDefault="00C17A3A" w:rsidP="00FD3624">
            <w:pPr>
              <w:pStyle w:val="Default"/>
              <w:rPr>
                <w:b/>
                <w:sz w:val="22"/>
                <w:szCs w:val="22"/>
              </w:rPr>
            </w:pPr>
            <w:r w:rsidRPr="006A3267">
              <w:rPr>
                <w:b/>
                <w:sz w:val="22"/>
                <w:szCs w:val="22"/>
              </w:rPr>
              <w:t>Kairinātu zarnu sindroma caureja</w:t>
            </w:r>
          </w:p>
        </w:tc>
        <w:tc>
          <w:tcPr>
            <w:tcW w:w="1187" w:type="dxa"/>
            <w:shd w:val="clear" w:color="auto" w:fill="auto"/>
          </w:tcPr>
          <w:p w14:paraId="1B75175A" w14:textId="77777777" w:rsidR="00C17A3A" w:rsidRPr="006A3267" w:rsidRDefault="00C17A3A" w:rsidP="00FD3624">
            <w:pPr>
              <w:pStyle w:val="Default"/>
              <w:jc w:val="center"/>
              <w:rPr>
                <w:sz w:val="22"/>
                <w:szCs w:val="22"/>
              </w:rPr>
            </w:pPr>
            <w:r w:rsidRPr="006A3267">
              <w:rPr>
                <w:sz w:val="22"/>
                <w:szCs w:val="22"/>
              </w:rPr>
              <w:t>250 mg 2 reizes dienā</w:t>
            </w:r>
          </w:p>
        </w:tc>
        <w:tc>
          <w:tcPr>
            <w:tcW w:w="1187" w:type="dxa"/>
            <w:shd w:val="clear" w:color="auto" w:fill="auto"/>
          </w:tcPr>
          <w:p w14:paraId="760D883F" w14:textId="77777777" w:rsidR="00C17A3A" w:rsidRPr="006A3267" w:rsidRDefault="00C17A3A" w:rsidP="00FD3624">
            <w:pPr>
              <w:pStyle w:val="Default"/>
              <w:jc w:val="center"/>
              <w:rPr>
                <w:sz w:val="22"/>
                <w:szCs w:val="22"/>
              </w:rPr>
            </w:pPr>
            <w:r w:rsidRPr="006A3267">
              <w:rPr>
                <w:sz w:val="22"/>
                <w:szCs w:val="22"/>
              </w:rPr>
              <w:t>500 mg 2 reizes dienā</w:t>
            </w:r>
          </w:p>
        </w:tc>
        <w:tc>
          <w:tcPr>
            <w:tcW w:w="1187" w:type="dxa"/>
            <w:shd w:val="clear" w:color="auto" w:fill="auto"/>
          </w:tcPr>
          <w:p w14:paraId="0030CDB4" w14:textId="77777777" w:rsidR="00C17A3A" w:rsidRPr="006A3267" w:rsidRDefault="00C17A3A" w:rsidP="00FD3624">
            <w:pPr>
              <w:pStyle w:val="Default"/>
              <w:jc w:val="center"/>
              <w:rPr>
                <w:sz w:val="22"/>
                <w:szCs w:val="22"/>
              </w:rPr>
            </w:pPr>
            <w:r w:rsidRPr="006A3267">
              <w:rPr>
                <w:sz w:val="22"/>
                <w:szCs w:val="22"/>
              </w:rPr>
              <w:t>250 mg 2 reizes dienā</w:t>
            </w:r>
          </w:p>
        </w:tc>
        <w:tc>
          <w:tcPr>
            <w:tcW w:w="1318" w:type="dxa"/>
            <w:shd w:val="clear" w:color="auto" w:fill="auto"/>
          </w:tcPr>
          <w:p w14:paraId="6B502CC2" w14:textId="77777777" w:rsidR="00C17A3A" w:rsidRPr="006A3267" w:rsidRDefault="00C17A3A" w:rsidP="00FD3624">
            <w:pPr>
              <w:pStyle w:val="Default"/>
              <w:jc w:val="center"/>
              <w:rPr>
                <w:sz w:val="22"/>
                <w:szCs w:val="22"/>
              </w:rPr>
            </w:pPr>
            <w:r w:rsidRPr="006A3267">
              <w:rPr>
                <w:sz w:val="22"/>
                <w:szCs w:val="22"/>
              </w:rPr>
              <w:t>250 mg 3 reizes dienā</w:t>
            </w:r>
          </w:p>
        </w:tc>
      </w:tr>
    </w:tbl>
    <w:p w14:paraId="7BA74A81" w14:textId="77777777" w:rsidR="00C17A3A" w:rsidRPr="006A3267" w:rsidRDefault="00C17A3A" w:rsidP="00C17A3A">
      <w:pPr>
        <w:pStyle w:val="Default"/>
        <w:rPr>
          <w:sz w:val="22"/>
          <w:szCs w:val="22"/>
        </w:rPr>
      </w:pPr>
    </w:p>
    <w:p w14:paraId="5BE222D5" w14:textId="77777777" w:rsidR="00C17A3A" w:rsidRPr="006A3267" w:rsidRDefault="00C17A3A" w:rsidP="00C17A3A">
      <w:pPr>
        <w:pStyle w:val="Default"/>
        <w:rPr>
          <w:i/>
          <w:sz w:val="22"/>
          <w:szCs w:val="22"/>
        </w:rPr>
      </w:pPr>
      <w:r w:rsidRPr="006A3267">
        <w:rPr>
          <w:i/>
          <w:sz w:val="22"/>
          <w:szCs w:val="22"/>
        </w:rPr>
        <w:t xml:space="preserve">Bērniem vecumā līdz 6 gadiem </w:t>
      </w:r>
    </w:p>
    <w:p w14:paraId="0D5F3BD8" w14:textId="77777777" w:rsidR="00C17A3A" w:rsidRPr="006A3267" w:rsidRDefault="00C17A3A" w:rsidP="00C17A3A">
      <w:pPr>
        <w:pStyle w:val="Default"/>
        <w:rPr>
          <w:sz w:val="22"/>
          <w:szCs w:val="22"/>
        </w:rPr>
      </w:pPr>
      <w:r w:rsidRPr="006A3267">
        <w:rPr>
          <w:sz w:val="22"/>
          <w:szCs w:val="22"/>
        </w:rPr>
        <w:t>Sakarā ar iespējamo aizrīšanās risku, bērniem līdz 6 gadu vecumam kapsulu vietā ieteicams lietot Enterol 250 mg pulveri iekšķīgi lietojamas suspensijas pagatavošanai.</w:t>
      </w:r>
    </w:p>
    <w:p w14:paraId="1987879E" w14:textId="77777777" w:rsidR="00C17A3A" w:rsidRPr="006A3267" w:rsidRDefault="00C17A3A" w:rsidP="00C17A3A">
      <w:pPr>
        <w:pStyle w:val="Default"/>
        <w:rPr>
          <w:sz w:val="22"/>
          <w:szCs w:val="22"/>
        </w:rPr>
      </w:pPr>
    </w:p>
    <w:p w14:paraId="7F6A6A13" w14:textId="77777777" w:rsidR="00C17A3A" w:rsidRPr="006A3267" w:rsidRDefault="00C17A3A" w:rsidP="00C17A3A">
      <w:pPr>
        <w:pStyle w:val="Parastais"/>
        <w:jc w:val="both"/>
        <w:rPr>
          <w:color w:val="000000"/>
          <w:sz w:val="22"/>
          <w:szCs w:val="22"/>
          <w:u w:val="single"/>
        </w:rPr>
      </w:pPr>
      <w:r w:rsidRPr="006A3267">
        <w:rPr>
          <w:color w:val="000000"/>
          <w:sz w:val="22"/>
          <w:szCs w:val="22"/>
          <w:u w:val="single"/>
        </w:rPr>
        <w:t>Lietošanas veids</w:t>
      </w:r>
    </w:p>
    <w:p w14:paraId="30744527" w14:textId="77777777" w:rsidR="00C17A3A" w:rsidRPr="006A3267" w:rsidRDefault="00C17A3A" w:rsidP="00C17A3A">
      <w:pPr>
        <w:pStyle w:val="Parastais"/>
        <w:jc w:val="both"/>
        <w:rPr>
          <w:color w:val="000000"/>
          <w:sz w:val="22"/>
          <w:szCs w:val="22"/>
        </w:rPr>
      </w:pPr>
      <w:r w:rsidRPr="006A3267">
        <w:rPr>
          <w:color w:val="000000"/>
          <w:sz w:val="22"/>
          <w:szCs w:val="22"/>
        </w:rPr>
        <w:t>Kapsulas jānorij, uzdzerot glāzi ūdens.</w:t>
      </w:r>
    </w:p>
    <w:p w14:paraId="778DB285" w14:textId="77777777" w:rsidR="00C17A3A" w:rsidRPr="006A3267" w:rsidRDefault="00C17A3A" w:rsidP="00C17A3A">
      <w:pPr>
        <w:pStyle w:val="Parastais"/>
        <w:jc w:val="both"/>
        <w:rPr>
          <w:color w:val="000000"/>
          <w:sz w:val="22"/>
          <w:szCs w:val="22"/>
        </w:rPr>
      </w:pPr>
    </w:p>
    <w:p w14:paraId="120691DA" w14:textId="77777777" w:rsidR="00C17A3A" w:rsidRPr="006A3267" w:rsidRDefault="00C17A3A" w:rsidP="00C17A3A">
      <w:pPr>
        <w:pStyle w:val="Parastais"/>
        <w:jc w:val="both"/>
        <w:rPr>
          <w:color w:val="000000"/>
          <w:sz w:val="22"/>
          <w:szCs w:val="22"/>
        </w:rPr>
      </w:pPr>
      <w:r w:rsidRPr="006A3267">
        <w:rPr>
          <w:color w:val="000000"/>
          <w:sz w:val="22"/>
          <w:szCs w:val="22"/>
        </w:rPr>
        <w:t>Gaisa piesārņojuma riska dēļ paciņas vai kapsulas nedrīkst atvērt pacientu palātās. Sagatavojot probiotiskos līdzekļus lietošanai, veselības aprūpes speciālistiem jālieto cimdi, pēc tam tie nekavējoties jāizmet un jānomazgā rokas (skatīt 4.4. apakšpunktu).</w:t>
      </w:r>
    </w:p>
    <w:p w14:paraId="211623A6" w14:textId="77777777" w:rsidR="00C17A3A" w:rsidRPr="006A3267" w:rsidRDefault="00C17A3A" w:rsidP="00C17A3A">
      <w:pPr>
        <w:pStyle w:val="Default"/>
        <w:rPr>
          <w:b/>
          <w:sz w:val="22"/>
          <w:szCs w:val="22"/>
        </w:rPr>
      </w:pPr>
    </w:p>
    <w:p w14:paraId="69626DC5" w14:textId="77777777" w:rsidR="00C17A3A" w:rsidRPr="006A3267" w:rsidRDefault="00C17A3A" w:rsidP="00C17A3A">
      <w:pPr>
        <w:pStyle w:val="Default"/>
        <w:rPr>
          <w:b/>
          <w:bCs/>
          <w:sz w:val="22"/>
          <w:szCs w:val="22"/>
        </w:rPr>
      </w:pPr>
      <w:r w:rsidRPr="006A3267">
        <w:rPr>
          <w:b/>
          <w:sz w:val="22"/>
          <w:szCs w:val="22"/>
        </w:rPr>
        <w:t>4.3.</w:t>
      </w:r>
      <w:r w:rsidRPr="006A3267">
        <w:rPr>
          <w:b/>
          <w:sz w:val="22"/>
          <w:szCs w:val="22"/>
        </w:rPr>
        <w:tab/>
      </w:r>
      <w:r w:rsidRPr="006A3267">
        <w:rPr>
          <w:b/>
          <w:bCs/>
          <w:sz w:val="22"/>
          <w:szCs w:val="22"/>
        </w:rPr>
        <w:t>Kontrindikācijas</w:t>
      </w:r>
    </w:p>
    <w:p w14:paraId="001A0FF0" w14:textId="77777777" w:rsidR="00C17A3A" w:rsidRPr="006A3267" w:rsidRDefault="00C17A3A" w:rsidP="00C17A3A">
      <w:pPr>
        <w:pStyle w:val="Default"/>
        <w:rPr>
          <w:sz w:val="22"/>
          <w:szCs w:val="22"/>
        </w:rPr>
      </w:pPr>
    </w:p>
    <w:p w14:paraId="02E216D9" w14:textId="77777777" w:rsidR="00C17A3A" w:rsidRPr="006A3267" w:rsidRDefault="00C17A3A" w:rsidP="00C17A3A">
      <w:pPr>
        <w:pStyle w:val="Default"/>
        <w:numPr>
          <w:ilvl w:val="0"/>
          <w:numId w:val="8"/>
        </w:numPr>
        <w:rPr>
          <w:sz w:val="22"/>
          <w:szCs w:val="22"/>
        </w:rPr>
      </w:pPr>
      <w:r w:rsidRPr="006A3267">
        <w:rPr>
          <w:sz w:val="22"/>
          <w:szCs w:val="22"/>
        </w:rPr>
        <w:t xml:space="preserve">Paaugstināta jutība pret rauga sēnītēm, jo īpaši pret </w:t>
      </w:r>
      <w:r w:rsidRPr="006A3267">
        <w:rPr>
          <w:i/>
          <w:sz w:val="22"/>
          <w:szCs w:val="22"/>
        </w:rPr>
        <w:t>Saccharomyces boulardii</w:t>
      </w:r>
      <w:r w:rsidRPr="006A3267">
        <w:rPr>
          <w:sz w:val="22"/>
          <w:szCs w:val="22"/>
        </w:rPr>
        <w:t>, vai jebkuru no 6.1. apakšpunktā uzskaitītajām palīgvielām;</w:t>
      </w:r>
    </w:p>
    <w:p w14:paraId="36934033" w14:textId="77777777" w:rsidR="00C17A3A" w:rsidRPr="006A3267" w:rsidRDefault="00C17A3A" w:rsidP="00C17A3A">
      <w:pPr>
        <w:pStyle w:val="Default"/>
        <w:numPr>
          <w:ilvl w:val="0"/>
          <w:numId w:val="8"/>
        </w:numPr>
        <w:rPr>
          <w:b/>
          <w:sz w:val="22"/>
          <w:szCs w:val="22"/>
          <w:u w:val="single"/>
        </w:rPr>
      </w:pPr>
      <w:r w:rsidRPr="006A3267">
        <w:rPr>
          <w:sz w:val="22"/>
          <w:szCs w:val="22"/>
        </w:rPr>
        <w:t>pacienti ar centrālās vēnas katetru;</w:t>
      </w:r>
    </w:p>
    <w:p w14:paraId="4A12C3AD" w14:textId="77777777" w:rsidR="00C17A3A" w:rsidRPr="006A3267" w:rsidRDefault="00C17A3A" w:rsidP="00C17A3A">
      <w:pPr>
        <w:pStyle w:val="Default"/>
        <w:numPr>
          <w:ilvl w:val="0"/>
          <w:numId w:val="8"/>
        </w:numPr>
        <w:rPr>
          <w:sz w:val="22"/>
          <w:szCs w:val="22"/>
        </w:rPr>
      </w:pPr>
      <w:r w:rsidRPr="006A3267">
        <w:rPr>
          <w:sz w:val="22"/>
          <w:szCs w:val="22"/>
        </w:rPr>
        <w:t>kritiski slimi pacienti vai pacienti ar imūnās sistēmas traucējumiem fungēmijas riska dēļ (skatīt 4.4. apakšpunktu).</w:t>
      </w:r>
    </w:p>
    <w:p w14:paraId="4CE9919F" w14:textId="77777777" w:rsidR="00C17A3A" w:rsidRPr="006A3267" w:rsidRDefault="00C17A3A" w:rsidP="00C17A3A">
      <w:pPr>
        <w:pStyle w:val="Default"/>
        <w:rPr>
          <w:b/>
          <w:bCs/>
          <w:sz w:val="22"/>
          <w:szCs w:val="22"/>
        </w:rPr>
      </w:pPr>
    </w:p>
    <w:p w14:paraId="37846F6F" w14:textId="77777777" w:rsidR="00C17A3A" w:rsidRPr="006A3267" w:rsidRDefault="00C17A3A" w:rsidP="00C17A3A">
      <w:pPr>
        <w:pStyle w:val="Parastais"/>
        <w:rPr>
          <w:b/>
          <w:bCs/>
          <w:sz w:val="22"/>
          <w:szCs w:val="22"/>
        </w:rPr>
      </w:pPr>
    </w:p>
    <w:p w14:paraId="6EB3B3A9" w14:textId="77777777" w:rsidR="00C17A3A" w:rsidRPr="006A3267" w:rsidRDefault="00C17A3A" w:rsidP="00C17A3A">
      <w:pPr>
        <w:pStyle w:val="Parastais"/>
        <w:rPr>
          <w:color w:val="000000"/>
          <w:sz w:val="22"/>
          <w:szCs w:val="22"/>
        </w:rPr>
      </w:pPr>
      <w:r w:rsidRPr="006A3267">
        <w:rPr>
          <w:b/>
          <w:bCs/>
          <w:sz w:val="22"/>
          <w:szCs w:val="22"/>
        </w:rPr>
        <w:t>4.4.</w:t>
      </w:r>
      <w:r w:rsidRPr="006A3267">
        <w:rPr>
          <w:b/>
          <w:bCs/>
          <w:sz w:val="22"/>
          <w:szCs w:val="22"/>
        </w:rPr>
        <w:tab/>
      </w:r>
      <w:r w:rsidRPr="006A3267">
        <w:rPr>
          <w:b/>
          <w:bCs/>
          <w:color w:val="000000"/>
          <w:sz w:val="22"/>
          <w:szCs w:val="22"/>
        </w:rPr>
        <w:t>Īpaši brīdinājumi un piesardzība lietošanā</w:t>
      </w:r>
    </w:p>
    <w:p w14:paraId="7F005F64" w14:textId="77777777" w:rsidR="00C17A3A" w:rsidRPr="006A3267" w:rsidRDefault="00C17A3A" w:rsidP="00C17A3A">
      <w:pPr>
        <w:pStyle w:val="Default"/>
        <w:rPr>
          <w:sz w:val="22"/>
          <w:szCs w:val="22"/>
        </w:rPr>
      </w:pPr>
    </w:p>
    <w:p w14:paraId="4C58690D" w14:textId="77777777" w:rsidR="00C17A3A" w:rsidRPr="006A3267" w:rsidRDefault="00C17A3A" w:rsidP="00C17A3A">
      <w:pPr>
        <w:pStyle w:val="Tekstabloks"/>
        <w:jc w:val="both"/>
        <w:rPr>
          <w:color w:val="000000"/>
          <w:sz w:val="22"/>
          <w:szCs w:val="22"/>
        </w:rPr>
      </w:pPr>
      <w:r w:rsidRPr="006A3267">
        <w:rPr>
          <w:color w:val="000000"/>
          <w:sz w:val="22"/>
          <w:szCs w:val="22"/>
        </w:rPr>
        <w:t xml:space="preserve">ENTEROL 250 mg satur dzīvas </w:t>
      </w:r>
      <w:r w:rsidRPr="006A3267">
        <w:rPr>
          <w:i/>
          <w:color w:val="000000"/>
          <w:sz w:val="22"/>
          <w:szCs w:val="22"/>
        </w:rPr>
        <w:t>Saccharomyces boulardii</w:t>
      </w:r>
      <w:r w:rsidRPr="006A3267">
        <w:rPr>
          <w:color w:val="000000"/>
          <w:sz w:val="22"/>
          <w:szCs w:val="22"/>
        </w:rPr>
        <w:t xml:space="preserve"> </w:t>
      </w:r>
      <w:r w:rsidRPr="006A3267">
        <w:rPr>
          <w:iCs/>
          <w:color w:val="000000"/>
          <w:sz w:val="22"/>
          <w:szCs w:val="22"/>
        </w:rPr>
        <w:t xml:space="preserve">CNCM I-745 </w:t>
      </w:r>
      <w:r w:rsidRPr="006A3267">
        <w:rPr>
          <w:color w:val="000000"/>
          <w:sz w:val="22"/>
          <w:szCs w:val="22"/>
        </w:rPr>
        <w:t>rauga sēnītes, tāpēc zāles nedrīkst lietot kopā ar ļoti karstu (karstāku par 50°C) vai ledainu dzērienu un ēdienu, vai alkoholisku dzērienu.</w:t>
      </w:r>
    </w:p>
    <w:p w14:paraId="76C2FCF3" w14:textId="77777777" w:rsidR="00C17A3A" w:rsidRPr="006A3267" w:rsidRDefault="00C17A3A" w:rsidP="00C17A3A">
      <w:pPr>
        <w:pStyle w:val="Default"/>
        <w:rPr>
          <w:sz w:val="22"/>
          <w:szCs w:val="22"/>
        </w:rPr>
        <w:sectPr w:rsidR="00C17A3A" w:rsidRPr="006A326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noEndnote/>
        </w:sectPr>
      </w:pPr>
    </w:p>
    <w:p w14:paraId="316EDF54" w14:textId="77777777" w:rsidR="00C17A3A" w:rsidRPr="006A3267" w:rsidRDefault="00C17A3A" w:rsidP="00C17A3A">
      <w:pPr>
        <w:pStyle w:val="Default"/>
        <w:rPr>
          <w:sz w:val="22"/>
          <w:szCs w:val="22"/>
          <w:u w:val="single"/>
        </w:rPr>
      </w:pPr>
    </w:p>
    <w:p w14:paraId="057A6679" w14:textId="77777777" w:rsidR="00C17A3A" w:rsidRPr="006A3267" w:rsidRDefault="00C17A3A" w:rsidP="00C17A3A">
      <w:pPr>
        <w:autoSpaceDE w:val="0"/>
        <w:autoSpaceDN w:val="0"/>
        <w:adjustRightInd w:val="0"/>
        <w:rPr>
          <w:sz w:val="22"/>
          <w:szCs w:val="22"/>
          <w:lang w:val="lv-LV"/>
        </w:rPr>
      </w:pPr>
      <w:r w:rsidRPr="006A3267">
        <w:rPr>
          <w:sz w:val="22"/>
          <w:szCs w:val="22"/>
          <w:lang w:val="lv-LV"/>
        </w:rPr>
        <w:t xml:space="preserve">Ja pēc 2 dienas ilgas ENTEROL 250 mg lietošanas caureja nemazinās, </w:t>
      </w:r>
      <w:r w:rsidRPr="006A3267">
        <w:rPr>
          <w:color w:val="000000"/>
          <w:sz w:val="22"/>
          <w:szCs w:val="22"/>
          <w:lang w:val="lv-LV"/>
        </w:rPr>
        <w:t>vai izkārnījumos parādās asinis vai gļotas, vai pastāv drudzis,</w:t>
      </w:r>
      <w:r w:rsidRPr="006A3267">
        <w:rPr>
          <w:sz w:val="22"/>
          <w:szCs w:val="22"/>
          <w:lang w:val="lv-LV"/>
        </w:rPr>
        <w:t xml:space="preserve"> ir jāpārvērtē terapeitiskā pieeja un jāapsver nepieciešamība uzsākt rehidratāciju ar iekšķīgi vai intravenozi lietojamiem šķidrumiem. </w:t>
      </w:r>
    </w:p>
    <w:p w14:paraId="43B9D1F9" w14:textId="77777777" w:rsidR="00C17A3A" w:rsidRPr="006A3267" w:rsidRDefault="00C17A3A" w:rsidP="00C17A3A">
      <w:pPr>
        <w:autoSpaceDE w:val="0"/>
        <w:autoSpaceDN w:val="0"/>
        <w:adjustRightInd w:val="0"/>
        <w:rPr>
          <w:sz w:val="22"/>
          <w:szCs w:val="22"/>
          <w:lang w:val="lv-LV"/>
        </w:rPr>
      </w:pPr>
    </w:p>
    <w:p w14:paraId="4AB92921" w14:textId="77777777" w:rsidR="00C17A3A" w:rsidRPr="006A3267" w:rsidRDefault="00C17A3A" w:rsidP="00C17A3A">
      <w:pPr>
        <w:autoSpaceDE w:val="0"/>
        <w:autoSpaceDN w:val="0"/>
        <w:adjustRightInd w:val="0"/>
        <w:rPr>
          <w:sz w:val="22"/>
          <w:szCs w:val="22"/>
          <w:lang w:val="lv-LV"/>
        </w:rPr>
      </w:pPr>
      <w:r w:rsidRPr="006A3267">
        <w:rPr>
          <w:sz w:val="22"/>
          <w:szCs w:val="22"/>
          <w:lang w:val="lv-LV"/>
        </w:rPr>
        <w:t xml:space="preserve">Pacients jāinformē par absolūtu nepieciešamību lietot daudz vairāk dzērienu nekā parasti, lai aizstātu zaudēto šķidruma un elektrolītus. </w:t>
      </w:r>
    </w:p>
    <w:p w14:paraId="3C6BB181" w14:textId="77777777" w:rsidR="00C17A3A" w:rsidRPr="006A3267" w:rsidRDefault="00C17A3A" w:rsidP="00C17A3A">
      <w:pPr>
        <w:autoSpaceDE w:val="0"/>
        <w:autoSpaceDN w:val="0"/>
        <w:adjustRightInd w:val="0"/>
        <w:rPr>
          <w:sz w:val="22"/>
          <w:szCs w:val="22"/>
          <w:lang w:val="lv-LV"/>
        </w:rPr>
      </w:pPr>
    </w:p>
    <w:p w14:paraId="0A856587" w14:textId="77777777" w:rsidR="00C17A3A" w:rsidRPr="006A3267" w:rsidRDefault="00C17A3A" w:rsidP="00C17A3A">
      <w:pPr>
        <w:autoSpaceDE w:val="0"/>
        <w:autoSpaceDN w:val="0"/>
        <w:adjustRightInd w:val="0"/>
        <w:rPr>
          <w:sz w:val="22"/>
          <w:szCs w:val="22"/>
          <w:lang w:val="lv-LV"/>
        </w:rPr>
      </w:pPr>
      <w:r w:rsidRPr="006A3267">
        <w:rPr>
          <w:sz w:val="22"/>
          <w:szCs w:val="22"/>
          <w:lang w:val="lv-LV"/>
        </w:rPr>
        <w:t xml:space="preserve">Zāļu lietošana neaizstāj rehidratāciju. Rehidratācijas šķidruma deva un lietošanas veids (iekšķīgi vai intravenozi) jāpielāgo caurejas smaguma pakāpei, pacienta vecumam un veselības stāvoklim. </w:t>
      </w:r>
    </w:p>
    <w:p w14:paraId="3A94A058" w14:textId="77777777" w:rsidR="00C17A3A" w:rsidRPr="006A3267" w:rsidRDefault="00C17A3A" w:rsidP="00C17A3A">
      <w:pPr>
        <w:pStyle w:val="Parastais"/>
        <w:jc w:val="both"/>
        <w:rPr>
          <w:sz w:val="22"/>
          <w:szCs w:val="22"/>
        </w:rPr>
      </w:pPr>
    </w:p>
    <w:p w14:paraId="72D82190" w14:textId="77777777" w:rsidR="00C17A3A" w:rsidRPr="006A3267" w:rsidRDefault="00C17A3A" w:rsidP="00C17A3A">
      <w:pPr>
        <w:pStyle w:val="Parastais"/>
        <w:jc w:val="both"/>
        <w:rPr>
          <w:sz w:val="22"/>
          <w:szCs w:val="22"/>
        </w:rPr>
      </w:pPr>
      <w:r w:rsidRPr="006A3267">
        <w:rPr>
          <w:sz w:val="22"/>
          <w:szCs w:val="22"/>
        </w:rPr>
        <w:t xml:space="preserve">Ļoti reti tika ziņots par fungēmiju (un asins kultūrām, kas pozitīvas attiecībā uz </w:t>
      </w:r>
      <w:r w:rsidRPr="006A3267">
        <w:rPr>
          <w:i/>
          <w:sz w:val="22"/>
          <w:szCs w:val="22"/>
        </w:rPr>
        <w:t>Saccharomyces</w:t>
      </w:r>
      <w:r w:rsidRPr="006A3267">
        <w:rPr>
          <w:sz w:val="22"/>
          <w:szCs w:val="22"/>
        </w:rPr>
        <w:t xml:space="preserve"> celmiem)</w:t>
      </w:r>
      <w:r>
        <w:rPr>
          <w:sz w:val="22"/>
          <w:szCs w:val="22"/>
        </w:rPr>
        <w:t xml:space="preserve"> un sepsi</w:t>
      </w:r>
      <w:r w:rsidRPr="006A3267">
        <w:rPr>
          <w:sz w:val="22"/>
          <w:szCs w:val="22"/>
        </w:rPr>
        <w:t xml:space="preserve">, pārsvarā pacientiem ar centrālās vēnas katetru, kritiski slimiem pacientiem vai pacientiem ar imūnās sistēmas traucējumiem, kas visbiežāk izraisa drudzi. Lielākajā daļā gadījumu pēc ārstēšanas ar </w:t>
      </w:r>
      <w:r w:rsidRPr="006A3267">
        <w:rPr>
          <w:i/>
          <w:sz w:val="22"/>
          <w:szCs w:val="22"/>
        </w:rPr>
        <w:t xml:space="preserve">Saccharomyces boulardii </w:t>
      </w:r>
      <w:r w:rsidRPr="006A3267">
        <w:rPr>
          <w:sz w:val="22"/>
          <w:szCs w:val="22"/>
        </w:rPr>
        <w:t>pārtraukšanas, pretsēnīšu terapijas lietošanas un, nepieciešamības gadījumā, katetra izņemšanas iznākums bija apmierinošs. Tomēr dažiem kritiski slimiem pacientiem iznākums bija letāls (skatīt 4.3. un 4.8. apakšpunktu).</w:t>
      </w:r>
    </w:p>
    <w:p w14:paraId="688C8A18" w14:textId="77777777" w:rsidR="00C17A3A" w:rsidRPr="006A3267" w:rsidRDefault="00C17A3A" w:rsidP="00C17A3A">
      <w:pPr>
        <w:pStyle w:val="Parastais"/>
        <w:jc w:val="both"/>
        <w:rPr>
          <w:sz w:val="22"/>
          <w:szCs w:val="22"/>
        </w:rPr>
      </w:pPr>
    </w:p>
    <w:p w14:paraId="729AB36D" w14:textId="77777777" w:rsidR="00C17A3A" w:rsidRPr="006A3267" w:rsidRDefault="00C17A3A" w:rsidP="00C17A3A">
      <w:pPr>
        <w:pStyle w:val="Parastais"/>
        <w:jc w:val="both"/>
        <w:rPr>
          <w:sz w:val="22"/>
          <w:szCs w:val="22"/>
        </w:rPr>
      </w:pPr>
      <w:r w:rsidRPr="006A3267">
        <w:rPr>
          <w:sz w:val="22"/>
          <w:szCs w:val="22"/>
        </w:rPr>
        <w:t xml:space="preserve">Kā jebkuru zāļu, kas izgatavotas no dzīviem mikroorganismiem, gadījumā, īpaša uzmanība jāpievērš rīcībai ar zālēm atrodoties pacientu ar centrālās vēnas katetru, kā arī pacientu ar perifērās </w:t>
      </w:r>
      <w:r w:rsidRPr="006A3267">
        <w:rPr>
          <w:sz w:val="22"/>
          <w:szCs w:val="22"/>
        </w:rPr>
        <w:lastRenderedPageBreak/>
        <w:t xml:space="preserve">vēnas katetru klātbūtnē, pat tad, ja tie netiek ārstēti ar </w:t>
      </w:r>
      <w:r w:rsidRPr="006A3267">
        <w:rPr>
          <w:i/>
          <w:sz w:val="22"/>
          <w:szCs w:val="22"/>
        </w:rPr>
        <w:t>Saccharomyces boulardii</w:t>
      </w:r>
      <w:r w:rsidRPr="006A3267">
        <w:rPr>
          <w:sz w:val="22"/>
          <w:szCs w:val="22"/>
        </w:rPr>
        <w:t>, lai nepieļautu kontamināciju ar rokām un/vai mikroorganismu izplatīšanos pa gaisu (skatīt 4.2. apakšpunktu).</w:t>
      </w:r>
    </w:p>
    <w:p w14:paraId="33E24E57" w14:textId="77777777" w:rsidR="00C17A3A" w:rsidRPr="006A3267" w:rsidRDefault="00C17A3A" w:rsidP="00C17A3A">
      <w:pPr>
        <w:pStyle w:val="Parastais"/>
        <w:jc w:val="both"/>
        <w:rPr>
          <w:sz w:val="22"/>
          <w:szCs w:val="22"/>
        </w:rPr>
      </w:pPr>
      <w:r w:rsidRPr="006A3267">
        <w:rPr>
          <w:sz w:val="22"/>
          <w:szCs w:val="22"/>
        </w:rPr>
        <w:t xml:space="preserve"> </w:t>
      </w:r>
    </w:p>
    <w:p w14:paraId="0BE42F42" w14:textId="77777777" w:rsidR="00C17A3A" w:rsidRPr="001D425D" w:rsidRDefault="00C17A3A" w:rsidP="00C17A3A">
      <w:pPr>
        <w:pStyle w:val="Parastais"/>
        <w:rPr>
          <w:b/>
          <w:bCs/>
          <w:sz w:val="22"/>
          <w:szCs w:val="22"/>
        </w:rPr>
      </w:pPr>
      <w:r>
        <w:rPr>
          <w:b/>
          <w:bCs/>
          <w:sz w:val="22"/>
          <w:szCs w:val="22"/>
        </w:rPr>
        <w:t>ENTEROL 250 mg cietās kapsulas satur laktozes monohidrātu</w:t>
      </w:r>
    </w:p>
    <w:p w14:paraId="4BF5ADAC" w14:textId="77777777" w:rsidR="00C17A3A" w:rsidRPr="006A3267" w:rsidRDefault="00C17A3A" w:rsidP="00C17A3A">
      <w:pPr>
        <w:pStyle w:val="Parastais"/>
        <w:rPr>
          <w:sz w:val="22"/>
          <w:szCs w:val="22"/>
        </w:rPr>
      </w:pPr>
      <w:r w:rsidRPr="006A3267">
        <w:rPr>
          <w:sz w:val="22"/>
          <w:szCs w:val="22"/>
        </w:rPr>
        <w:t xml:space="preserve">Šīs zāles nevajadzētu lietot pacientiem ar retu iedzimtu galaktozes nepanesību, </w:t>
      </w:r>
      <w:r>
        <w:rPr>
          <w:iCs/>
          <w:sz w:val="22"/>
          <w:szCs w:val="22"/>
        </w:rPr>
        <w:t>ar pilnīgu</w:t>
      </w:r>
      <w:r w:rsidRPr="006A3267">
        <w:rPr>
          <w:sz w:val="22"/>
          <w:szCs w:val="22"/>
        </w:rPr>
        <w:t xml:space="preserve"> laktāzes deficītu vai glikozes–galaktozes malabsorbciju.</w:t>
      </w:r>
    </w:p>
    <w:p w14:paraId="2B149041" w14:textId="77777777" w:rsidR="00C17A3A" w:rsidRPr="006A3267" w:rsidRDefault="00C17A3A" w:rsidP="00C17A3A">
      <w:pPr>
        <w:pStyle w:val="Default"/>
        <w:rPr>
          <w:b/>
          <w:sz w:val="22"/>
          <w:szCs w:val="22"/>
        </w:rPr>
      </w:pPr>
    </w:p>
    <w:p w14:paraId="4EEECF40" w14:textId="77777777" w:rsidR="00C17A3A" w:rsidRPr="006A3267" w:rsidRDefault="00C17A3A" w:rsidP="00C17A3A">
      <w:pPr>
        <w:pStyle w:val="Default"/>
        <w:rPr>
          <w:b/>
          <w:sz w:val="22"/>
          <w:szCs w:val="22"/>
        </w:rPr>
      </w:pPr>
      <w:r w:rsidRPr="006A3267">
        <w:rPr>
          <w:b/>
          <w:sz w:val="22"/>
          <w:szCs w:val="22"/>
        </w:rPr>
        <w:t>4.5.</w:t>
      </w:r>
      <w:r w:rsidRPr="006A3267">
        <w:rPr>
          <w:b/>
          <w:sz w:val="22"/>
          <w:szCs w:val="22"/>
        </w:rPr>
        <w:tab/>
        <w:t xml:space="preserve">Mijiedarbība ar citām zālēm un citi mijiedarbības veidi </w:t>
      </w:r>
    </w:p>
    <w:p w14:paraId="3A91A896" w14:textId="77777777" w:rsidR="00C17A3A" w:rsidRPr="006A3267" w:rsidRDefault="00C17A3A" w:rsidP="00C17A3A">
      <w:pPr>
        <w:pStyle w:val="Parastais"/>
        <w:jc w:val="both"/>
        <w:rPr>
          <w:sz w:val="22"/>
          <w:szCs w:val="22"/>
        </w:rPr>
      </w:pPr>
    </w:p>
    <w:p w14:paraId="00FD5046" w14:textId="77777777" w:rsidR="00C17A3A" w:rsidRPr="006A3267" w:rsidRDefault="00C17A3A" w:rsidP="00C17A3A">
      <w:pPr>
        <w:pStyle w:val="Parastais"/>
        <w:jc w:val="both"/>
        <w:rPr>
          <w:sz w:val="22"/>
          <w:szCs w:val="22"/>
        </w:rPr>
      </w:pPr>
      <w:r w:rsidRPr="006A3267">
        <w:rPr>
          <w:sz w:val="22"/>
          <w:szCs w:val="22"/>
        </w:rPr>
        <w:t xml:space="preserve">Tā kā zāles ENTEROL 250 mg saturs dzīvas rauga sēnītes, to nedrīkst lietot kopā ar sistēmiskiem vai perorāliem pretsēnīšu līdzekļiem. </w:t>
      </w:r>
    </w:p>
    <w:p w14:paraId="10FD2F60" w14:textId="77777777" w:rsidR="00C17A3A" w:rsidRPr="006A3267" w:rsidRDefault="00C17A3A" w:rsidP="00C17A3A">
      <w:pPr>
        <w:pStyle w:val="Default"/>
        <w:rPr>
          <w:b/>
          <w:sz w:val="22"/>
          <w:szCs w:val="22"/>
        </w:rPr>
      </w:pPr>
    </w:p>
    <w:p w14:paraId="5C0F3437" w14:textId="77777777" w:rsidR="00C17A3A" w:rsidRPr="006A3267" w:rsidRDefault="00C17A3A" w:rsidP="00C17A3A">
      <w:pPr>
        <w:pStyle w:val="Default"/>
        <w:rPr>
          <w:b/>
          <w:sz w:val="22"/>
          <w:szCs w:val="22"/>
        </w:rPr>
      </w:pPr>
      <w:r w:rsidRPr="006A3267">
        <w:rPr>
          <w:b/>
          <w:sz w:val="22"/>
          <w:szCs w:val="22"/>
        </w:rPr>
        <w:t>4.6.</w:t>
      </w:r>
      <w:r w:rsidRPr="006A3267">
        <w:rPr>
          <w:b/>
          <w:sz w:val="22"/>
          <w:szCs w:val="22"/>
        </w:rPr>
        <w:tab/>
        <w:t xml:space="preserve">Fertilitāte, grūtniecība un barošana ar krūti </w:t>
      </w:r>
    </w:p>
    <w:p w14:paraId="4E530C1E" w14:textId="77777777" w:rsidR="00C17A3A" w:rsidRPr="006A3267" w:rsidRDefault="00C17A3A" w:rsidP="00C17A3A">
      <w:pPr>
        <w:pStyle w:val="Parastais"/>
        <w:jc w:val="both"/>
        <w:rPr>
          <w:sz w:val="22"/>
          <w:szCs w:val="22"/>
        </w:rPr>
      </w:pPr>
    </w:p>
    <w:p w14:paraId="6304ACDE" w14:textId="77777777" w:rsidR="00C17A3A" w:rsidRPr="006A3267" w:rsidRDefault="00C17A3A" w:rsidP="00C17A3A">
      <w:pPr>
        <w:pStyle w:val="Parastais"/>
        <w:jc w:val="both"/>
        <w:rPr>
          <w:sz w:val="22"/>
          <w:szCs w:val="22"/>
          <w:u w:val="single"/>
        </w:rPr>
      </w:pPr>
      <w:r w:rsidRPr="006A3267">
        <w:rPr>
          <w:sz w:val="22"/>
          <w:szCs w:val="22"/>
          <w:u w:val="single"/>
        </w:rPr>
        <w:t>Grūtniecība</w:t>
      </w:r>
    </w:p>
    <w:p w14:paraId="4568B5E9" w14:textId="77777777" w:rsidR="00C17A3A" w:rsidRPr="006A3267" w:rsidRDefault="00C17A3A" w:rsidP="00C17A3A">
      <w:pPr>
        <w:pStyle w:val="Parastais"/>
        <w:jc w:val="both"/>
        <w:rPr>
          <w:sz w:val="22"/>
          <w:szCs w:val="22"/>
        </w:rPr>
      </w:pPr>
      <w:r w:rsidRPr="006A3267">
        <w:rPr>
          <w:sz w:val="22"/>
          <w:szCs w:val="22"/>
        </w:rPr>
        <w:t xml:space="preserve">Līdz šim klīniskos pētījumos nav konstatētas iedzimtas malformācijas vai fetotoksiskas īpašības.  Dati par </w:t>
      </w:r>
      <w:r w:rsidRPr="006A3267">
        <w:rPr>
          <w:i/>
          <w:sz w:val="22"/>
          <w:szCs w:val="22"/>
        </w:rPr>
        <w:t xml:space="preserve">Saccharomyces boulardii </w:t>
      </w:r>
      <w:r w:rsidRPr="006A3267">
        <w:rPr>
          <w:sz w:val="22"/>
          <w:szCs w:val="22"/>
        </w:rPr>
        <w:t>lietošanu sievietēm grūtniecības laikā ir ierobežoti. Nevar izslēgt risku cilvēkam. Piesardzības nolūkos nav ieteicams lietot ENTEROL 250 mg grūtniecības laikā.</w:t>
      </w:r>
    </w:p>
    <w:p w14:paraId="5D178FBF" w14:textId="77777777" w:rsidR="00C17A3A" w:rsidRPr="006A3267" w:rsidRDefault="00C17A3A" w:rsidP="00C17A3A">
      <w:pPr>
        <w:pStyle w:val="Parastais"/>
        <w:rPr>
          <w:sz w:val="22"/>
          <w:szCs w:val="22"/>
          <w:u w:val="single"/>
        </w:rPr>
      </w:pPr>
    </w:p>
    <w:p w14:paraId="6BF28600" w14:textId="77777777" w:rsidR="00C17A3A" w:rsidRPr="006A3267" w:rsidRDefault="00C17A3A" w:rsidP="00C17A3A">
      <w:pPr>
        <w:pStyle w:val="Parastais"/>
        <w:rPr>
          <w:sz w:val="22"/>
          <w:szCs w:val="22"/>
          <w:u w:val="single"/>
        </w:rPr>
      </w:pPr>
      <w:r w:rsidRPr="006A3267">
        <w:rPr>
          <w:sz w:val="22"/>
          <w:szCs w:val="22"/>
          <w:u w:val="single"/>
        </w:rPr>
        <w:t>Barošana ar krūti</w:t>
      </w:r>
    </w:p>
    <w:p w14:paraId="520B9241" w14:textId="77777777" w:rsidR="00C17A3A" w:rsidRPr="006A3267" w:rsidRDefault="00C17A3A" w:rsidP="00C17A3A">
      <w:pPr>
        <w:pStyle w:val="Parastais"/>
        <w:rPr>
          <w:sz w:val="22"/>
          <w:szCs w:val="22"/>
        </w:rPr>
      </w:pPr>
      <w:r w:rsidRPr="006A3267">
        <w:rPr>
          <w:sz w:val="22"/>
          <w:szCs w:val="22"/>
        </w:rPr>
        <w:t xml:space="preserve">Nav zināms vai </w:t>
      </w:r>
      <w:r w:rsidRPr="006A3267">
        <w:rPr>
          <w:i/>
          <w:sz w:val="22"/>
          <w:szCs w:val="22"/>
        </w:rPr>
        <w:t xml:space="preserve">Saccharomyces boulardii </w:t>
      </w:r>
      <w:r w:rsidRPr="006A3267">
        <w:rPr>
          <w:iCs/>
          <w:color w:val="000000"/>
          <w:sz w:val="22"/>
          <w:szCs w:val="22"/>
        </w:rPr>
        <w:t>CNCM I-745</w:t>
      </w:r>
      <w:r w:rsidRPr="006A3267">
        <w:rPr>
          <w:i/>
          <w:sz w:val="22"/>
          <w:szCs w:val="22"/>
        </w:rPr>
        <w:t xml:space="preserve"> </w:t>
      </w:r>
      <w:r w:rsidRPr="006A3267">
        <w:rPr>
          <w:sz w:val="22"/>
          <w:szCs w:val="22"/>
        </w:rPr>
        <w:t>izdalās cilvēka pienā. Informācijas trūkuma dēļ nav ieteicama šo zāļu lietošana barošanas ar krūti laikā.</w:t>
      </w:r>
    </w:p>
    <w:p w14:paraId="20F6A2F4" w14:textId="77777777" w:rsidR="00C17A3A" w:rsidRPr="006A3267" w:rsidRDefault="00C17A3A" w:rsidP="00C17A3A">
      <w:pPr>
        <w:pStyle w:val="Default"/>
      </w:pPr>
    </w:p>
    <w:p w14:paraId="30D62E3A" w14:textId="77777777" w:rsidR="00C17A3A" w:rsidRPr="006A3267" w:rsidRDefault="00C17A3A" w:rsidP="00C17A3A">
      <w:pPr>
        <w:pStyle w:val="Default"/>
        <w:rPr>
          <w:sz w:val="22"/>
          <w:szCs w:val="22"/>
          <w:u w:val="single"/>
        </w:rPr>
      </w:pPr>
      <w:r w:rsidRPr="006A3267">
        <w:rPr>
          <w:sz w:val="22"/>
          <w:szCs w:val="22"/>
          <w:u w:val="single"/>
        </w:rPr>
        <w:t>Fertilitāte</w:t>
      </w:r>
    </w:p>
    <w:p w14:paraId="23B83AC4" w14:textId="77777777" w:rsidR="00C17A3A" w:rsidRPr="006A3267" w:rsidRDefault="00C17A3A" w:rsidP="00C17A3A">
      <w:pPr>
        <w:pStyle w:val="Default"/>
        <w:rPr>
          <w:sz w:val="22"/>
          <w:szCs w:val="22"/>
        </w:rPr>
      </w:pPr>
      <w:r w:rsidRPr="006A3267">
        <w:rPr>
          <w:sz w:val="22"/>
          <w:szCs w:val="22"/>
        </w:rPr>
        <w:t>Pētījumi ar dzīvniekiem, kas pierāda reproduktīvo toksicitāti, nav pieejami.</w:t>
      </w:r>
    </w:p>
    <w:p w14:paraId="6DB346EB" w14:textId="77777777" w:rsidR="00C17A3A" w:rsidRPr="006A3267" w:rsidRDefault="00C17A3A" w:rsidP="00C17A3A">
      <w:pPr>
        <w:pStyle w:val="Default"/>
        <w:rPr>
          <w:b/>
          <w:sz w:val="22"/>
          <w:szCs w:val="22"/>
        </w:rPr>
      </w:pPr>
    </w:p>
    <w:p w14:paraId="11B49DC9" w14:textId="77777777" w:rsidR="00C17A3A" w:rsidRPr="006A3267" w:rsidRDefault="00C17A3A" w:rsidP="00C17A3A">
      <w:pPr>
        <w:pStyle w:val="Default"/>
        <w:rPr>
          <w:b/>
          <w:sz w:val="22"/>
          <w:szCs w:val="22"/>
        </w:rPr>
      </w:pPr>
      <w:r w:rsidRPr="006A3267">
        <w:rPr>
          <w:b/>
          <w:sz w:val="22"/>
          <w:szCs w:val="22"/>
        </w:rPr>
        <w:t>4.7.</w:t>
      </w:r>
      <w:r w:rsidRPr="006A3267">
        <w:rPr>
          <w:b/>
          <w:sz w:val="22"/>
          <w:szCs w:val="22"/>
        </w:rPr>
        <w:tab/>
        <w:t>Ietekme uz spēju vadīt transportlīdzekļus un apkalpot mehānismus</w:t>
      </w:r>
    </w:p>
    <w:p w14:paraId="5915D799" w14:textId="77777777" w:rsidR="00C17A3A" w:rsidRPr="006A3267" w:rsidRDefault="00C17A3A" w:rsidP="00C17A3A">
      <w:pPr>
        <w:pStyle w:val="Parastais"/>
        <w:ind w:left="567" w:hanging="567"/>
        <w:rPr>
          <w:sz w:val="22"/>
          <w:szCs w:val="22"/>
        </w:rPr>
      </w:pPr>
    </w:p>
    <w:p w14:paraId="35FCEF89" w14:textId="77777777" w:rsidR="00C17A3A" w:rsidRPr="006A3267" w:rsidRDefault="00C17A3A" w:rsidP="00C17A3A">
      <w:pPr>
        <w:pStyle w:val="Parastais"/>
        <w:ind w:left="567" w:hanging="567"/>
        <w:rPr>
          <w:sz w:val="22"/>
          <w:szCs w:val="22"/>
        </w:rPr>
      </w:pPr>
      <w:r w:rsidRPr="006A3267">
        <w:rPr>
          <w:sz w:val="22"/>
          <w:szCs w:val="22"/>
        </w:rPr>
        <w:t>ENTEROL 250 mg neietekmē spēju vadīt transportlīdzekļus un apkalpot mehānismus.</w:t>
      </w:r>
    </w:p>
    <w:p w14:paraId="437E2446" w14:textId="77777777" w:rsidR="00C17A3A" w:rsidRPr="006A3267" w:rsidRDefault="00C17A3A" w:rsidP="00C17A3A">
      <w:pPr>
        <w:pStyle w:val="Parastais"/>
        <w:rPr>
          <w:b/>
          <w:sz w:val="22"/>
          <w:szCs w:val="22"/>
        </w:rPr>
      </w:pPr>
    </w:p>
    <w:p w14:paraId="59427289" w14:textId="77777777" w:rsidR="00C17A3A" w:rsidRPr="006A3267" w:rsidRDefault="00C17A3A" w:rsidP="00C17A3A">
      <w:pPr>
        <w:pStyle w:val="Parastais"/>
        <w:rPr>
          <w:b/>
          <w:sz w:val="22"/>
          <w:szCs w:val="22"/>
        </w:rPr>
      </w:pPr>
      <w:r w:rsidRPr="006A3267">
        <w:rPr>
          <w:b/>
          <w:sz w:val="22"/>
          <w:szCs w:val="22"/>
        </w:rPr>
        <w:t>4.8.</w:t>
      </w:r>
      <w:r w:rsidRPr="006A3267">
        <w:rPr>
          <w:b/>
          <w:sz w:val="22"/>
          <w:szCs w:val="22"/>
        </w:rPr>
        <w:tab/>
        <w:t xml:space="preserve">Nevēlamās blakusparādības </w:t>
      </w:r>
    </w:p>
    <w:p w14:paraId="6530DB31" w14:textId="77777777" w:rsidR="00C17A3A" w:rsidRPr="006A3267" w:rsidRDefault="00C17A3A" w:rsidP="00C17A3A">
      <w:pPr>
        <w:pStyle w:val="Parastais"/>
        <w:rPr>
          <w:sz w:val="22"/>
          <w:szCs w:val="22"/>
        </w:rPr>
      </w:pPr>
    </w:p>
    <w:p w14:paraId="1E55D672" w14:textId="77777777" w:rsidR="00C17A3A" w:rsidRPr="006A3267" w:rsidRDefault="00C17A3A" w:rsidP="00C17A3A">
      <w:pPr>
        <w:pStyle w:val="Parastais"/>
        <w:rPr>
          <w:sz w:val="22"/>
          <w:szCs w:val="22"/>
        </w:rPr>
      </w:pPr>
      <w:r w:rsidRPr="006A3267">
        <w:rPr>
          <w:sz w:val="22"/>
          <w:szCs w:val="22"/>
        </w:rPr>
        <w:t>Tālāk norādītās nevēlamās blakusparādības ir sagrupētas pēc MedDRA orgānu sistēmu klasifikācijas, un novērošanas biežumam izmantoti sekojoši apzīmējumi:</w:t>
      </w:r>
    </w:p>
    <w:p w14:paraId="5E109F9D" w14:textId="77777777" w:rsidR="00C17A3A" w:rsidRPr="006A3267" w:rsidRDefault="00C17A3A" w:rsidP="00C17A3A">
      <w:pPr>
        <w:pStyle w:val="Default"/>
        <w:rPr>
          <w:sz w:val="22"/>
          <w:szCs w:val="22"/>
        </w:rPr>
      </w:pPr>
      <w:r w:rsidRPr="006A3267">
        <w:rPr>
          <w:sz w:val="22"/>
          <w:szCs w:val="22"/>
        </w:rPr>
        <w:t>Ļoti bieži (≥1/10)</w:t>
      </w:r>
    </w:p>
    <w:p w14:paraId="3EC83FD3" w14:textId="77777777" w:rsidR="00C17A3A" w:rsidRPr="006A3267" w:rsidRDefault="00C17A3A" w:rsidP="00C17A3A">
      <w:pPr>
        <w:pStyle w:val="Default"/>
        <w:rPr>
          <w:sz w:val="22"/>
          <w:szCs w:val="22"/>
        </w:rPr>
      </w:pPr>
      <w:r w:rsidRPr="006A3267">
        <w:rPr>
          <w:sz w:val="22"/>
          <w:szCs w:val="22"/>
        </w:rPr>
        <w:t>Bieži (≥1/100 līdz &lt;1/10)</w:t>
      </w:r>
    </w:p>
    <w:p w14:paraId="234549CF" w14:textId="77777777" w:rsidR="00C17A3A" w:rsidRPr="006A3267" w:rsidRDefault="00C17A3A" w:rsidP="00C17A3A">
      <w:pPr>
        <w:pStyle w:val="Default"/>
        <w:rPr>
          <w:sz w:val="22"/>
          <w:szCs w:val="22"/>
        </w:rPr>
      </w:pPr>
      <w:r w:rsidRPr="006A3267">
        <w:rPr>
          <w:sz w:val="22"/>
          <w:szCs w:val="22"/>
        </w:rPr>
        <w:t>Retāk (≥1/1 000 līdz &lt;1/100)</w:t>
      </w:r>
    </w:p>
    <w:p w14:paraId="342D60F8" w14:textId="77777777" w:rsidR="00C17A3A" w:rsidRPr="006A3267" w:rsidRDefault="00C17A3A" w:rsidP="00C17A3A">
      <w:pPr>
        <w:pStyle w:val="Default"/>
        <w:rPr>
          <w:sz w:val="22"/>
          <w:szCs w:val="22"/>
        </w:rPr>
      </w:pPr>
      <w:r w:rsidRPr="006A3267">
        <w:rPr>
          <w:sz w:val="22"/>
          <w:szCs w:val="22"/>
        </w:rPr>
        <w:t>Reti (≥1/10 000 līdz &lt;1/1 000)</w:t>
      </w:r>
    </w:p>
    <w:p w14:paraId="4BEDCA9B" w14:textId="77777777" w:rsidR="00C17A3A" w:rsidRPr="006A3267" w:rsidRDefault="00C17A3A" w:rsidP="00C17A3A">
      <w:pPr>
        <w:pStyle w:val="Default"/>
        <w:rPr>
          <w:sz w:val="22"/>
          <w:szCs w:val="22"/>
        </w:rPr>
      </w:pPr>
      <w:r w:rsidRPr="006A3267">
        <w:rPr>
          <w:sz w:val="22"/>
          <w:szCs w:val="22"/>
        </w:rPr>
        <w:t>Ļoti reti (&lt;1/10 000)</w:t>
      </w:r>
    </w:p>
    <w:p w14:paraId="7C828534" w14:textId="77777777" w:rsidR="00C17A3A" w:rsidRPr="006A3267" w:rsidRDefault="00C17A3A" w:rsidP="00C17A3A">
      <w:pPr>
        <w:pStyle w:val="Default"/>
        <w:rPr>
          <w:sz w:val="22"/>
          <w:szCs w:val="22"/>
        </w:rPr>
      </w:pPr>
      <w:r w:rsidRPr="006A3267">
        <w:rPr>
          <w:sz w:val="22"/>
          <w:szCs w:val="22"/>
        </w:rPr>
        <w:t>Nav zināmi (nevar noteikt pēc pieejamiem datiem).</w:t>
      </w:r>
    </w:p>
    <w:p w14:paraId="363D277C" w14:textId="77777777" w:rsidR="00C17A3A" w:rsidRPr="006A3267" w:rsidRDefault="00C17A3A" w:rsidP="00C17A3A">
      <w:pPr>
        <w:pStyle w:val="Default"/>
        <w:rPr>
          <w:sz w:val="22"/>
          <w:szCs w:val="22"/>
        </w:rPr>
      </w:pPr>
    </w:p>
    <w:p w14:paraId="632082CE" w14:textId="77777777" w:rsidR="00C17A3A" w:rsidRPr="006A3267" w:rsidRDefault="00C17A3A" w:rsidP="00C17A3A">
      <w:pPr>
        <w:pStyle w:val="Default"/>
        <w:rPr>
          <w:i/>
          <w:sz w:val="22"/>
          <w:szCs w:val="22"/>
        </w:rPr>
      </w:pPr>
      <w:r w:rsidRPr="006A3267">
        <w:rPr>
          <w:i/>
          <w:sz w:val="22"/>
          <w:szCs w:val="22"/>
        </w:rPr>
        <w:t>Infekcijas un infestācijas</w:t>
      </w:r>
    </w:p>
    <w:p w14:paraId="714712F7" w14:textId="77777777" w:rsidR="00C17A3A" w:rsidRDefault="00C17A3A" w:rsidP="00C17A3A">
      <w:pPr>
        <w:pStyle w:val="Default"/>
        <w:rPr>
          <w:sz w:val="22"/>
          <w:szCs w:val="22"/>
        </w:rPr>
      </w:pPr>
      <w:r w:rsidRPr="006A3267">
        <w:rPr>
          <w:sz w:val="22"/>
          <w:szCs w:val="22"/>
        </w:rPr>
        <w:t>Ļoti reti: fungēmija pacientiem ar centrālās vēnas katetru un kritiski slimiem pacientiem vai pacientiem ar imūnās sistēmas traucējumiem (skatīt 4.4. apakšpunktu)</w:t>
      </w:r>
      <w:r>
        <w:rPr>
          <w:sz w:val="22"/>
          <w:szCs w:val="22"/>
        </w:rPr>
        <w:t>;</w:t>
      </w:r>
    </w:p>
    <w:p w14:paraId="4EAF90C8" w14:textId="77777777" w:rsidR="00C17A3A" w:rsidRPr="006A3267" w:rsidRDefault="00C17A3A" w:rsidP="00C17A3A">
      <w:pPr>
        <w:pStyle w:val="Default"/>
        <w:rPr>
          <w:b/>
          <w:sz w:val="22"/>
          <w:szCs w:val="22"/>
          <w:u w:val="single"/>
        </w:rPr>
      </w:pPr>
      <w:bookmarkStart w:id="0" w:name="_Hlk59201906"/>
      <w:r>
        <w:rPr>
          <w:sz w:val="22"/>
          <w:szCs w:val="22"/>
        </w:rPr>
        <w:t>Nav zināmi: sepse kritiski slimiem pacientiem vai pacientiem ar imūnās sistēmas traucējumiem (skatīt 4.4. apakšpunktu).</w:t>
      </w:r>
      <w:r w:rsidRPr="006A3267">
        <w:rPr>
          <w:b/>
          <w:sz w:val="22"/>
          <w:szCs w:val="22"/>
          <w:u w:val="single"/>
        </w:rPr>
        <w:t xml:space="preserve"> </w:t>
      </w:r>
    </w:p>
    <w:bookmarkEnd w:id="0"/>
    <w:p w14:paraId="405216A8" w14:textId="77777777" w:rsidR="00C17A3A" w:rsidRPr="006A3267" w:rsidRDefault="00C17A3A" w:rsidP="00C17A3A">
      <w:pPr>
        <w:pStyle w:val="Parastais"/>
        <w:rPr>
          <w:i/>
          <w:sz w:val="22"/>
          <w:szCs w:val="22"/>
        </w:rPr>
      </w:pPr>
    </w:p>
    <w:p w14:paraId="283C083E" w14:textId="77777777" w:rsidR="00C17A3A" w:rsidRPr="006A3267" w:rsidRDefault="00C17A3A" w:rsidP="00C17A3A">
      <w:pPr>
        <w:pStyle w:val="Parastais"/>
        <w:rPr>
          <w:sz w:val="22"/>
          <w:szCs w:val="22"/>
        </w:rPr>
      </w:pPr>
      <w:r w:rsidRPr="006A3267">
        <w:rPr>
          <w:i/>
          <w:sz w:val="22"/>
          <w:szCs w:val="22"/>
        </w:rPr>
        <w:t>Kuņģa-zarnu trakta traucējumi</w:t>
      </w:r>
    </w:p>
    <w:p w14:paraId="22150ADE" w14:textId="77777777" w:rsidR="00C17A3A" w:rsidRPr="006A3267" w:rsidRDefault="00C17A3A" w:rsidP="00C17A3A">
      <w:pPr>
        <w:pStyle w:val="Parastais"/>
        <w:rPr>
          <w:sz w:val="22"/>
          <w:szCs w:val="22"/>
        </w:rPr>
      </w:pPr>
      <w:r w:rsidRPr="006A3267">
        <w:rPr>
          <w:sz w:val="22"/>
          <w:szCs w:val="22"/>
        </w:rPr>
        <w:t>Reti: diskomforts, aizcietējums, meteorisms.</w:t>
      </w:r>
    </w:p>
    <w:p w14:paraId="1C4EA00C" w14:textId="77777777" w:rsidR="00C17A3A" w:rsidRPr="006A3267" w:rsidRDefault="00C17A3A" w:rsidP="00C17A3A">
      <w:pPr>
        <w:pStyle w:val="Parastais"/>
        <w:rPr>
          <w:sz w:val="22"/>
          <w:szCs w:val="22"/>
        </w:rPr>
      </w:pPr>
    </w:p>
    <w:p w14:paraId="0F5EA515" w14:textId="77777777" w:rsidR="00C17A3A" w:rsidRPr="006A3267" w:rsidRDefault="00C17A3A" w:rsidP="00C17A3A">
      <w:pPr>
        <w:pStyle w:val="Parastais"/>
        <w:rPr>
          <w:i/>
          <w:sz w:val="22"/>
          <w:szCs w:val="22"/>
        </w:rPr>
      </w:pPr>
      <w:r w:rsidRPr="006A3267">
        <w:rPr>
          <w:i/>
          <w:sz w:val="22"/>
          <w:szCs w:val="22"/>
        </w:rPr>
        <w:t>Ādas un zemādas audu bojājumi</w:t>
      </w:r>
    </w:p>
    <w:p w14:paraId="3CEFDD5D" w14:textId="77777777" w:rsidR="00C17A3A" w:rsidRPr="006A3267" w:rsidRDefault="00C17A3A" w:rsidP="00C17A3A">
      <w:pPr>
        <w:pStyle w:val="Parastais"/>
        <w:rPr>
          <w:sz w:val="22"/>
          <w:szCs w:val="22"/>
        </w:rPr>
      </w:pPr>
      <w:r w:rsidRPr="006A3267">
        <w:rPr>
          <w:sz w:val="22"/>
          <w:szCs w:val="22"/>
        </w:rPr>
        <w:lastRenderedPageBreak/>
        <w:t xml:space="preserve">Ļoti reti: nieze, čulgu veidošanās, nātrene, izsitumi uz ādas, lokāla vai ģeneralizēta eksantēma, kas skar visu ķermeni vai tā atsevišķas daļas, kā arī sejas saistaudu tūska (angioedēma). Ļoti retos gadījumos ziņots par anafilaktisku reakciju un šoku. </w:t>
      </w:r>
    </w:p>
    <w:p w14:paraId="590BFE3E" w14:textId="77777777" w:rsidR="00C17A3A" w:rsidRPr="006A3267" w:rsidRDefault="00C17A3A" w:rsidP="00C17A3A">
      <w:pPr>
        <w:autoSpaceDE w:val="0"/>
        <w:autoSpaceDN w:val="0"/>
        <w:adjustRightInd w:val="0"/>
        <w:jc w:val="both"/>
        <w:rPr>
          <w:sz w:val="22"/>
          <w:szCs w:val="22"/>
          <w:u w:val="single"/>
          <w:lang w:val="lv-LV"/>
        </w:rPr>
      </w:pPr>
    </w:p>
    <w:p w14:paraId="3C2578F9" w14:textId="77777777" w:rsidR="00C17A3A" w:rsidRPr="006A3267" w:rsidRDefault="00C17A3A" w:rsidP="00C17A3A">
      <w:pPr>
        <w:autoSpaceDE w:val="0"/>
        <w:autoSpaceDN w:val="0"/>
        <w:adjustRightInd w:val="0"/>
        <w:jc w:val="both"/>
        <w:rPr>
          <w:sz w:val="22"/>
          <w:szCs w:val="22"/>
          <w:u w:val="single"/>
          <w:lang w:val="lv-LV"/>
        </w:rPr>
      </w:pPr>
      <w:r w:rsidRPr="006A3267">
        <w:rPr>
          <w:sz w:val="22"/>
          <w:szCs w:val="22"/>
          <w:u w:val="single"/>
          <w:lang w:val="lv-LV"/>
        </w:rPr>
        <w:t>Ziņošana par iespējamām nevēlamām blakusparādībām</w:t>
      </w:r>
    </w:p>
    <w:p w14:paraId="049ECA3E" w14:textId="77777777" w:rsidR="00C17A3A" w:rsidRPr="006A3267" w:rsidRDefault="00C17A3A" w:rsidP="00C17A3A">
      <w:pPr>
        <w:pStyle w:val="Default"/>
        <w:rPr>
          <w:sz w:val="22"/>
          <w:szCs w:val="22"/>
        </w:rPr>
      </w:pPr>
      <w:r w:rsidRPr="006A3267">
        <w:rPr>
          <w:sz w:val="22"/>
          <w:szCs w:val="22"/>
        </w:rPr>
        <w:t>Ir svarīgi ziņot par iespējamām nevēlamām blakusparādībām pēc zāļu reģistrācijas. Tādējādi zāļu ieguvum</w:t>
      </w:r>
      <w:r>
        <w:rPr>
          <w:sz w:val="22"/>
          <w:szCs w:val="22"/>
        </w:rPr>
        <w:t>a</w:t>
      </w:r>
      <w:r w:rsidRPr="006A3267">
        <w:rPr>
          <w:sz w:val="22"/>
          <w:szCs w:val="22"/>
        </w:rPr>
        <w:t xml:space="preserve">/riska attiecība tiek nepārtraukti uzraudzīta. Veselības aprūpes speciālisti tiek lūgti ziņot par jebkādām iespējamām nevēlamām blakusparādībām Zāļu valsts aģentūrai, </w:t>
      </w:r>
      <w:r w:rsidRPr="006A3267">
        <w:rPr>
          <w:rFonts w:eastAsia="Calibri"/>
          <w:sz w:val="22"/>
          <w:szCs w:val="22"/>
          <w:lang w:eastAsia="zh-CN"/>
        </w:rPr>
        <w:t xml:space="preserve">Jersikas iela 15, Rīga, LV 1003. Tīmekļa vietne: </w:t>
      </w:r>
      <w:hyperlink r:id="rId13" w:history="1">
        <w:r w:rsidRPr="006A3267">
          <w:rPr>
            <w:rFonts w:eastAsia="Calibri"/>
            <w:color w:val="0000FF"/>
            <w:sz w:val="22"/>
            <w:szCs w:val="22"/>
            <w:u w:val="single"/>
            <w:lang w:eastAsia="zh-CN"/>
          </w:rPr>
          <w:t>www.zva.gov.lv</w:t>
        </w:r>
      </w:hyperlink>
      <w:r w:rsidRPr="006A3267">
        <w:rPr>
          <w:sz w:val="22"/>
          <w:szCs w:val="22"/>
        </w:rPr>
        <w:t>.</w:t>
      </w:r>
    </w:p>
    <w:p w14:paraId="5AC16192" w14:textId="77777777" w:rsidR="00C17A3A" w:rsidRPr="006A3267" w:rsidRDefault="00C17A3A" w:rsidP="00C17A3A">
      <w:pPr>
        <w:pStyle w:val="Default"/>
        <w:rPr>
          <w:sz w:val="22"/>
          <w:szCs w:val="22"/>
        </w:rPr>
      </w:pPr>
    </w:p>
    <w:p w14:paraId="47C90EF5" w14:textId="77777777" w:rsidR="00C17A3A" w:rsidRPr="006A3267" w:rsidRDefault="00C17A3A" w:rsidP="00C17A3A">
      <w:pPr>
        <w:pStyle w:val="Default"/>
        <w:rPr>
          <w:b/>
          <w:sz w:val="22"/>
          <w:szCs w:val="22"/>
        </w:rPr>
      </w:pPr>
      <w:r w:rsidRPr="006A3267">
        <w:rPr>
          <w:b/>
          <w:sz w:val="22"/>
          <w:szCs w:val="22"/>
        </w:rPr>
        <w:t>4.9.</w:t>
      </w:r>
      <w:r w:rsidRPr="006A3267">
        <w:rPr>
          <w:b/>
          <w:sz w:val="22"/>
          <w:szCs w:val="22"/>
        </w:rPr>
        <w:tab/>
        <w:t>Pārdozēšana</w:t>
      </w:r>
    </w:p>
    <w:p w14:paraId="074F9C95" w14:textId="77777777" w:rsidR="00C17A3A" w:rsidRPr="006A3267" w:rsidRDefault="00C17A3A" w:rsidP="00C17A3A">
      <w:pPr>
        <w:pStyle w:val="Parastais"/>
        <w:rPr>
          <w:sz w:val="22"/>
          <w:szCs w:val="22"/>
        </w:rPr>
      </w:pPr>
    </w:p>
    <w:p w14:paraId="1436AFDC" w14:textId="77777777" w:rsidR="00C17A3A" w:rsidRPr="006A3267" w:rsidRDefault="00C17A3A" w:rsidP="00C17A3A">
      <w:pPr>
        <w:pStyle w:val="Parastais"/>
        <w:rPr>
          <w:sz w:val="22"/>
          <w:szCs w:val="22"/>
        </w:rPr>
      </w:pPr>
      <w:r w:rsidRPr="006A3267">
        <w:rPr>
          <w:i/>
          <w:sz w:val="22"/>
          <w:szCs w:val="22"/>
        </w:rPr>
        <w:t>Saccharomyces boulardii</w:t>
      </w:r>
      <w:r w:rsidRPr="006A3267">
        <w:rPr>
          <w:iCs/>
          <w:color w:val="000000"/>
          <w:sz w:val="22"/>
          <w:szCs w:val="22"/>
        </w:rPr>
        <w:t xml:space="preserve"> CNCM I-745</w:t>
      </w:r>
      <w:r w:rsidRPr="006A3267">
        <w:rPr>
          <w:i/>
          <w:sz w:val="22"/>
          <w:szCs w:val="22"/>
        </w:rPr>
        <w:t xml:space="preserve"> </w:t>
      </w:r>
      <w:r w:rsidRPr="006A3267">
        <w:rPr>
          <w:sz w:val="22"/>
          <w:szCs w:val="22"/>
        </w:rPr>
        <w:t xml:space="preserve">neuzsūcas zarnu traktā. Līdz ar to blakusparādības ir maz ticamas. Pārdozēšanas gadījumā jāuzsāk simptomātiska ārstēšana. </w:t>
      </w:r>
    </w:p>
    <w:p w14:paraId="11055973" w14:textId="77777777" w:rsidR="00C17A3A" w:rsidRPr="006A3267" w:rsidRDefault="00C17A3A" w:rsidP="00C17A3A">
      <w:pPr>
        <w:pStyle w:val="Parastais"/>
        <w:rPr>
          <w:sz w:val="22"/>
          <w:szCs w:val="22"/>
        </w:rPr>
      </w:pPr>
    </w:p>
    <w:p w14:paraId="1545520B" w14:textId="77777777" w:rsidR="00C17A3A" w:rsidRPr="006A3267" w:rsidRDefault="00C17A3A" w:rsidP="00C17A3A">
      <w:pPr>
        <w:pStyle w:val="Default"/>
        <w:rPr>
          <w:sz w:val="22"/>
          <w:szCs w:val="22"/>
        </w:rPr>
      </w:pPr>
    </w:p>
    <w:p w14:paraId="1F692B7E" w14:textId="77777777" w:rsidR="00C17A3A" w:rsidRPr="006A3267" w:rsidRDefault="00C17A3A" w:rsidP="00C17A3A">
      <w:pPr>
        <w:pStyle w:val="Default"/>
        <w:rPr>
          <w:b/>
          <w:sz w:val="22"/>
          <w:szCs w:val="22"/>
        </w:rPr>
      </w:pPr>
      <w:r w:rsidRPr="006A3267">
        <w:rPr>
          <w:b/>
          <w:sz w:val="22"/>
          <w:szCs w:val="22"/>
        </w:rPr>
        <w:t>5.</w:t>
      </w:r>
      <w:r w:rsidRPr="006A3267">
        <w:rPr>
          <w:b/>
          <w:sz w:val="22"/>
          <w:szCs w:val="22"/>
        </w:rPr>
        <w:tab/>
        <w:t>FARMAKOLOĢISKĀS ĪPAŠĪBAS</w:t>
      </w:r>
    </w:p>
    <w:p w14:paraId="20B63CCB" w14:textId="77777777" w:rsidR="00C17A3A" w:rsidRPr="006A3267" w:rsidRDefault="00C17A3A" w:rsidP="00C17A3A">
      <w:pPr>
        <w:pStyle w:val="Default"/>
        <w:rPr>
          <w:b/>
          <w:color w:val="auto"/>
          <w:sz w:val="22"/>
          <w:szCs w:val="22"/>
        </w:rPr>
      </w:pPr>
    </w:p>
    <w:p w14:paraId="0A46FE2F" w14:textId="77777777" w:rsidR="00C17A3A" w:rsidRPr="006A3267" w:rsidRDefault="00C17A3A" w:rsidP="00C17A3A">
      <w:pPr>
        <w:pStyle w:val="Default"/>
        <w:rPr>
          <w:b/>
          <w:sz w:val="22"/>
          <w:szCs w:val="22"/>
        </w:rPr>
      </w:pPr>
      <w:r w:rsidRPr="006A3267">
        <w:rPr>
          <w:b/>
          <w:color w:val="auto"/>
          <w:sz w:val="22"/>
          <w:szCs w:val="22"/>
        </w:rPr>
        <w:t>5.1.</w:t>
      </w:r>
      <w:r w:rsidRPr="006A3267">
        <w:rPr>
          <w:b/>
          <w:color w:val="auto"/>
          <w:sz w:val="22"/>
          <w:szCs w:val="22"/>
        </w:rPr>
        <w:tab/>
      </w:r>
      <w:r w:rsidRPr="006A3267">
        <w:rPr>
          <w:b/>
          <w:sz w:val="22"/>
          <w:szCs w:val="22"/>
        </w:rPr>
        <w:t xml:space="preserve">Farmakodinamiskās īpašības </w:t>
      </w:r>
    </w:p>
    <w:p w14:paraId="6091FAA8" w14:textId="77777777" w:rsidR="00C17A3A" w:rsidRPr="006A3267" w:rsidRDefault="00C17A3A" w:rsidP="00C17A3A">
      <w:pPr>
        <w:pStyle w:val="Parastais"/>
        <w:rPr>
          <w:sz w:val="22"/>
          <w:szCs w:val="22"/>
        </w:rPr>
      </w:pPr>
    </w:p>
    <w:p w14:paraId="5B49F7F7" w14:textId="77777777" w:rsidR="00C17A3A" w:rsidRPr="006A3267" w:rsidRDefault="00C17A3A" w:rsidP="00C17A3A">
      <w:pPr>
        <w:pStyle w:val="Parastais"/>
        <w:rPr>
          <w:sz w:val="22"/>
          <w:szCs w:val="22"/>
        </w:rPr>
      </w:pPr>
      <w:r w:rsidRPr="006A3267">
        <w:rPr>
          <w:sz w:val="22"/>
          <w:szCs w:val="22"/>
        </w:rPr>
        <w:t xml:space="preserve">Farmakoterapeitiskā grupa: līdzekļi zarnu infekcijas ārstēšanai, mikroorganismu līdzekļi pret caureju. ATĶ kods: A07FA02 </w:t>
      </w:r>
    </w:p>
    <w:p w14:paraId="3FBA9F03" w14:textId="77777777" w:rsidR="00C17A3A" w:rsidRPr="006A3267" w:rsidRDefault="00C17A3A" w:rsidP="00C17A3A">
      <w:pPr>
        <w:pStyle w:val="Parastais"/>
        <w:rPr>
          <w:sz w:val="22"/>
          <w:szCs w:val="22"/>
        </w:rPr>
      </w:pPr>
    </w:p>
    <w:p w14:paraId="75731F96" w14:textId="77777777" w:rsidR="00C17A3A" w:rsidRPr="006A3267" w:rsidRDefault="00C17A3A" w:rsidP="00C17A3A">
      <w:pPr>
        <w:pStyle w:val="Parastais"/>
        <w:rPr>
          <w:sz w:val="22"/>
          <w:szCs w:val="22"/>
          <w:u w:val="single"/>
        </w:rPr>
      </w:pPr>
      <w:r w:rsidRPr="006A3267">
        <w:rPr>
          <w:sz w:val="22"/>
          <w:szCs w:val="22"/>
          <w:u w:val="single"/>
        </w:rPr>
        <w:t>Darbības mehānisms</w:t>
      </w:r>
    </w:p>
    <w:p w14:paraId="5C8FB41A" w14:textId="77777777" w:rsidR="00C17A3A" w:rsidRPr="006A3267" w:rsidRDefault="00C17A3A" w:rsidP="00C17A3A">
      <w:pPr>
        <w:pStyle w:val="Parastais"/>
        <w:rPr>
          <w:sz w:val="22"/>
          <w:szCs w:val="22"/>
        </w:rPr>
      </w:pPr>
      <w:r w:rsidRPr="006A3267">
        <w:rPr>
          <w:sz w:val="22"/>
          <w:szCs w:val="22"/>
        </w:rPr>
        <w:t xml:space="preserve">Tā kā </w:t>
      </w:r>
      <w:r w:rsidRPr="006A3267">
        <w:rPr>
          <w:i/>
          <w:sz w:val="22"/>
          <w:szCs w:val="22"/>
        </w:rPr>
        <w:t>Saccharomyces boulardii</w:t>
      </w:r>
      <w:r w:rsidRPr="006A3267">
        <w:rPr>
          <w:sz w:val="22"/>
          <w:szCs w:val="22"/>
        </w:rPr>
        <w:t xml:space="preserve"> </w:t>
      </w:r>
      <w:r w:rsidRPr="006A3267">
        <w:rPr>
          <w:iCs/>
          <w:color w:val="000000"/>
          <w:sz w:val="22"/>
          <w:szCs w:val="22"/>
        </w:rPr>
        <w:t xml:space="preserve">CNCM I-745 </w:t>
      </w:r>
      <w:r w:rsidRPr="006A3267">
        <w:rPr>
          <w:sz w:val="22"/>
          <w:szCs w:val="22"/>
        </w:rPr>
        <w:t xml:space="preserve">ir dzīvas rauga sēnītes, to bioloģiskā iedarbība gremošanas traktā ir līdzīga dabīgās zarnu mikrofloras aizsargīpašībām. </w:t>
      </w:r>
    </w:p>
    <w:p w14:paraId="0FFD37F8" w14:textId="77777777" w:rsidR="00C17A3A" w:rsidRPr="006A3267" w:rsidRDefault="00C17A3A" w:rsidP="00C17A3A">
      <w:pPr>
        <w:pStyle w:val="Parastais"/>
        <w:rPr>
          <w:i/>
          <w:sz w:val="22"/>
          <w:szCs w:val="22"/>
        </w:rPr>
      </w:pPr>
    </w:p>
    <w:p w14:paraId="0058D580" w14:textId="77777777" w:rsidR="00C17A3A" w:rsidRPr="006A3267" w:rsidRDefault="00C17A3A" w:rsidP="00C17A3A">
      <w:pPr>
        <w:pStyle w:val="Parastais"/>
        <w:rPr>
          <w:sz w:val="22"/>
          <w:szCs w:val="22"/>
        </w:rPr>
      </w:pPr>
      <w:r w:rsidRPr="006A3267">
        <w:rPr>
          <w:i/>
          <w:sz w:val="22"/>
          <w:szCs w:val="22"/>
        </w:rPr>
        <w:t>Saccharomyces boulardii</w:t>
      </w:r>
      <w:r w:rsidRPr="006A3267">
        <w:rPr>
          <w:iCs/>
          <w:color w:val="000000"/>
          <w:sz w:val="22"/>
          <w:szCs w:val="22"/>
        </w:rPr>
        <w:t xml:space="preserve"> CNCM I-745</w:t>
      </w:r>
      <w:r w:rsidRPr="006A3267">
        <w:rPr>
          <w:sz w:val="22"/>
          <w:szCs w:val="22"/>
        </w:rPr>
        <w:t xml:space="preserve"> ir zarnu aizstājējflora, kas darbojas gremošanas traktā, kā pretcaurejas mikroorganismi.</w:t>
      </w:r>
    </w:p>
    <w:p w14:paraId="6B035003" w14:textId="77777777" w:rsidR="00C17A3A" w:rsidRPr="006A3267" w:rsidRDefault="00C17A3A" w:rsidP="00C17A3A">
      <w:pPr>
        <w:pStyle w:val="Default"/>
        <w:rPr>
          <w:i/>
          <w:sz w:val="22"/>
          <w:szCs w:val="22"/>
        </w:rPr>
      </w:pPr>
    </w:p>
    <w:p w14:paraId="79216BFD" w14:textId="77777777" w:rsidR="00C17A3A" w:rsidRPr="006A3267" w:rsidRDefault="00C17A3A" w:rsidP="00C17A3A">
      <w:pPr>
        <w:pStyle w:val="Default"/>
        <w:rPr>
          <w:sz w:val="22"/>
          <w:szCs w:val="22"/>
        </w:rPr>
      </w:pPr>
      <w:r w:rsidRPr="006A3267">
        <w:rPr>
          <w:i/>
          <w:sz w:val="22"/>
          <w:szCs w:val="22"/>
        </w:rPr>
        <w:t>Saccharomyces boulardii</w:t>
      </w:r>
      <w:r w:rsidRPr="006A3267">
        <w:rPr>
          <w:iCs/>
          <w:sz w:val="22"/>
          <w:szCs w:val="22"/>
        </w:rPr>
        <w:t xml:space="preserve"> CNCM I-745</w:t>
      </w:r>
      <w:r w:rsidRPr="006A3267">
        <w:rPr>
          <w:sz w:val="22"/>
          <w:szCs w:val="22"/>
        </w:rPr>
        <w:t xml:space="preserve"> dzīvo raugu sēnīšu farmakodinamika ir pētīta daudzos </w:t>
      </w:r>
      <w:r w:rsidRPr="006A3267">
        <w:rPr>
          <w:i/>
          <w:sz w:val="22"/>
          <w:szCs w:val="22"/>
        </w:rPr>
        <w:t>in vitro</w:t>
      </w:r>
      <w:r w:rsidRPr="006A3267">
        <w:rPr>
          <w:sz w:val="22"/>
          <w:szCs w:val="22"/>
        </w:rPr>
        <w:t xml:space="preserve"> un </w:t>
      </w:r>
      <w:r w:rsidRPr="006A3267">
        <w:rPr>
          <w:i/>
          <w:sz w:val="22"/>
          <w:szCs w:val="22"/>
        </w:rPr>
        <w:t xml:space="preserve">in vivo </w:t>
      </w:r>
      <w:r w:rsidRPr="006A3267">
        <w:rPr>
          <w:sz w:val="22"/>
          <w:szCs w:val="22"/>
        </w:rPr>
        <w:t>modeļos, dzīvnieku un cilvēku pētījumos, kuri pierādīja, ka tām piemīt:</w:t>
      </w:r>
    </w:p>
    <w:p w14:paraId="1238BC87" w14:textId="77777777" w:rsidR="00C17A3A" w:rsidRPr="006A3267" w:rsidRDefault="00C17A3A" w:rsidP="00C17A3A">
      <w:pPr>
        <w:pStyle w:val="Default"/>
        <w:numPr>
          <w:ilvl w:val="0"/>
          <w:numId w:val="7"/>
        </w:numPr>
        <w:rPr>
          <w:sz w:val="22"/>
          <w:szCs w:val="22"/>
        </w:rPr>
      </w:pPr>
      <w:r w:rsidRPr="006A3267">
        <w:rPr>
          <w:sz w:val="22"/>
          <w:szCs w:val="22"/>
        </w:rPr>
        <w:t xml:space="preserve">pretiekaisuma iedarbība (enterohemorāģiskā </w:t>
      </w:r>
      <w:r w:rsidRPr="006A3267">
        <w:rPr>
          <w:i/>
          <w:sz w:val="22"/>
          <w:szCs w:val="22"/>
        </w:rPr>
        <w:t>E. coli</w:t>
      </w:r>
      <w:r w:rsidRPr="006A3267">
        <w:rPr>
          <w:sz w:val="22"/>
          <w:szCs w:val="22"/>
        </w:rPr>
        <w:t>),</w:t>
      </w:r>
    </w:p>
    <w:p w14:paraId="25A54503" w14:textId="77777777" w:rsidR="00C17A3A" w:rsidRPr="006A3267" w:rsidRDefault="00C17A3A" w:rsidP="00C17A3A">
      <w:pPr>
        <w:pStyle w:val="Default"/>
        <w:numPr>
          <w:ilvl w:val="0"/>
          <w:numId w:val="7"/>
        </w:numPr>
        <w:rPr>
          <w:sz w:val="22"/>
          <w:szCs w:val="22"/>
        </w:rPr>
      </w:pPr>
      <w:r w:rsidRPr="006A3267">
        <w:rPr>
          <w:sz w:val="22"/>
          <w:szCs w:val="22"/>
        </w:rPr>
        <w:t xml:space="preserve">pretmikrobu iedarbība (enterohemorāģiskā </w:t>
      </w:r>
      <w:r w:rsidRPr="006A3267">
        <w:rPr>
          <w:i/>
          <w:sz w:val="22"/>
          <w:szCs w:val="22"/>
        </w:rPr>
        <w:t>E. coli, C. difficile, S. typhimurium, Yersinia enterocolitica, C. albicans, C. krusei, C. pseudotropicalis</w:t>
      </w:r>
      <w:r w:rsidRPr="006A3267">
        <w:rPr>
          <w:sz w:val="22"/>
          <w:szCs w:val="22"/>
        </w:rPr>
        <w:t>),</w:t>
      </w:r>
    </w:p>
    <w:p w14:paraId="50553FE2" w14:textId="77777777" w:rsidR="00C17A3A" w:rsidRPr="006A3267" w:rsidRDefault="00C17A3A" w:rsidP="00C17A3A">
      <w:pPr>
        <w:pStyle w:val="Default"/>
        <w:numPr>
          <w:ilvl w:val="0"/>
          <w:numId w:val="7"/>
        </w:numPr>
        <w:rPr>
          <w:sz w:val="22"/>
          <w:szCs w:val="22"/>
        </w:rPr>
      </w:pPr>
      <w:r w:rsidRPr="006A3267">
        <w:rPr>
          <w:sz w:val="22"/>
          <w:szCs w:val="22"/>
        </w:rPr>
        <w:t>fermentatīva iedarbība (disaharidāzes, leicīna aminopeptidāze, spermīns, spermidīns),</w:t>
      </w:r>
    </w:p>
    <w:p w14:paraId="718098FD" w14:textId="77777777" w:rsidR="00C17A3A" w:rsidRPr="006A3267" w:rsidRDefault="00C17A3A" w:rsidP="00C17A3A">
      <w:pPr>
        <w:pStyle w:val="Default"/>
        <w:numPr>
          <w:ilvl w:val="0"/>
          <w:numId w:val="7"/>
        </w:numPr>
        <w:rPr>
          <w:sz w:val="22"/>
          <w:szCs w:val="22"/>
        </w:rPr>
      </w:pPr>
      <w:r w:rsidRPr="006A3267">
        <w:rPr>
          <w:sz w:val="22"/>
          <w:szCs w:val="22"/>
        </w:rPr>
        <w:t>metaboliska iedarbība,</w:t>
      </w:r>
    </w:p>
    <w:p w14:paraId="6D7A2495" w14:textId="77777777" w:rsidR="00C17A3A" w:rsidRPr="006A3267" w:rsidRDefault="00C17A3A" w:rsidP="00C17A3A">
      <w:pPr>
        <w:pStyle w:val="Default"/>
        <w:numPr>
          <w:ilvl w:val="0"/>
          <w:numId w:val="7"/>
        </w:numPr>
        <w:rPr>
          <w:sz w:val="22"/>
          <w:szCs w:val="22"/>
        </w:rPr>
      </w:pPr>
      <w:r w:rsidRPr="006A3267">
        <w:rPr>
          <w:sz w:val="22"/>
          <w:szCs w:val="22"/>
        </w:rPr>
        <w:t xml:space="preserve">antitoksiskā iedarbība (noteiktu mikroorganismu un to toksīnu patogēnās iedarbības inhibēšana - </w:t>
      </w:r>
      <w:r w:rsidRPr="006A3267">
        <w:rPr>
          <w:i/>
          <w:sz w:val="22"/>
          <w:szCs w:val="22"/>
        </w:rPr>
        <w:t xml:space="preserve">Clostridium difficile </w:t>
      </w:r>
      <w:r w:rsidRPr="006A3267">
        <w:rPr>
          <w:sz w:val="22"/>
          <w:szCs w:val="22"/>
        </w:rPr>
        <w:t xml:space="preserve">toksīns A, </w:t>
      </w:r>
      <w:r w:rsidRPr="006A3267">
        <w:rPr>
          <w:i/>
          <w:sz w:val="22"/>
          <w:szCs w:val="22"/>
        </w:rPr>
        <w:t>Vibrio cholerae</w:t>
      </w:r>
      <w:r w:rsidRPr="006A3267">
        <w:rPr>
          <w:sz w:val="22"/>
          <w:szCs w:val="22"/>
        </w:rPr>
        <w:t xml:space="preserve"> toksīni),</w:t>
      </w:r>
    </w:p>
    <w:p w14:paraId="01DA5FF2" w14:textId="77777777" w:rsidR="00C17A3A" w:rsidRPr="006A3267" w:rsidRDefault="00C17A3A" w:rsidP="00C17A3A">
      <w:pPr>
        <w:pStyle w:val="Parastais"/>
        <w:numPr>
          <w:ilvl w:val="0"/>
          <w:numId w:val="7"/>
        </w:numPr>
        <w:rPr>
          <w:sz w:val="22"/>
          <w:szCs w:val="22"/>
        </w:rPr>
      </w:pPr>
      <w:r w:rsidRPr="006A3267">
        <w:rPr>
          <w:sz w:val="22"/>
          <w:szCs w:val="22"/>
        </w:rPr>
        <w:t xml:space="preserve">imūnstimulējošā (sekretorais IgA un imūnglobulīni) iedarbība, kas ir īpaši labvēlīga, </w:t>
      </w:r>
      <w:r w:rsidRPr="006A3267">
        <w:rPr>
          <w:i/>
          <w:sz w:val="22"/>
          <w:szCs w:val="22"/>
        </w:rPr>
        <w:t>Saccharomyces boulardii</w:t>
      </w:r>
      <w:r w:rsidRPr="006A3267">
        <w:rPr>
          <w:iCs/>
          <w:color w:val="000000"/>
          <w:sz w:val="22"/>
          <w:szCs w:val="22"/>
        </w:rPr>
        <w:t xml:space="preserve"> CNCM I-745</w:t>
      </w:r>
      <w:r w:rsidRPr="006A3267">
        <w:rPr>
          <w:i/>
          <w:sz w:val="22"/>
          <w:szCs w:val="22"/>
        </w:rPr>
        <w:t xml:space="preserve"> </w:t>
      </w:r>
      <w:r w:rsidRPr="006A3267">
        <w:rPr>
          <w:sz w:val="22"/>
          <w:szCs w:val="22"/>
        </w:rPr>
        <w:t>lietojot dažādas etioloģijas caurejas (</w:t>
      </w:r>
      <w:r w:rsidRPr="006A3267">
        <w:rPr>
          <w:color w:val="000000"/>
          <w:sz w:val="22"/>
          <w:szCs w:val="22"/>
        </w:rPr>
        <w:t>infekciozas vīrusu izraisītas caurejas, kā arī bakteriālas vai nebakteriālas caurejas</w:t>
      </w:r>
      <w:r w:rsidRPr="006A3267">
        <w:rPr>
          <w:sz w:val="22"/>
          <w:szCs w:val="22"/>
        </w:rPr>
        <w:t xml:space="preserve">) ārstēšanai cilvēkiem. </w:t>
      </w:r>
    </w:p>
    <w:p w14:paraId="319F651D" w14:textId="77777777" w:rsidR="00C17A3A" w:rsidRPr="006A3267" w:rsidRDefault="00C17A3A" w:rsidP="00C17A3A">
      <w:pPr>
        <w:pStyle w:val="Default"/>
        <w:rPr>
          <w:b/>
          <w:color w:val="auto"/>
          <w:sz w:val="22"/>
          <w:szCs w:val="22"/>
        </w:rPr>
      </w:pPr>
    </w:p>
    <w:p w14:paraId="4AF6C4BB" w14:textId="77777777" w:rsidR="00C17A3A" w:rsidRPr="006A3267" w:rsidRDefault="00C17A3A" w:rsidP="00C17A3A">
      <w:pPr>
        <w:pStyle w:val="Default"/>
        <w:rPr>
          <w:b/>
          <w:sz w:val="22"/>
          <w:szCs w:val="22"/>
        </w:rPr>
      </w:pPr>
      <w:r w:rsidRPr="006A3267">
        <w:rPr>
          <w:b/>
          <w:color w:val="auto"/>
          <w:sz w:val="22"/>
          <w:szCs w:val="22"/>
        </w:rPr>
        <w:t>5.2.</w:t>
      </w:r>
      <w:r w:rsidRPr="006A3267">
        <w:rPr>
          <w:b/>
          <w:color w:val="auto"/>
          <w:sz w:val="22"/>
          <w:szCs w:val="22"/>
        </w:rPr>
        <w:tab/>
      </w:r>
      <w:r w:rsidRPr="006A3267">
        <w:rPr>
          <w:b/>
          <w:sz w:val="22"/>
          <w:szCs w:val="22"/>
        </w:rPr>
        <w:t xml:space="preserve">Farmakokinētiskās īpašības </w:t>
      </w:r>
    </w:p>
    <w:p w14:paraId="77E61771" w14:textId="77777777" w:rsidR="00C17A3A" w:rsidRPr="006A3267" w:rsidRDefault="00C17A3A" w:rsidP="00C17A3A">
      <w:pPr>
        <w:pStyle w:val="Parastais"/>
        <w:jc w:val="both"/>
        <w:rPr>
          <w:sz w:val="22"/>
          <w:szCs w:val="22"/>
        </w:rPr>
      </w:pPr>
    </w:p>
    <w:p w14:paraId="511E3E44" w14:textId="77777777" w:rsidR="00C17A3A" w:rsidRPr="006A3267" w:rsidRDefault="00C17A3A" w:rsidP="00C17A3A">
      <w:pPr>
        <w:pStyle w:val="Parastais"/>
        <w:jc w:val="both"/>
        <w:rPr>
          <w:sz w:val="22"/>
          <w:szCs w:val="22"/>
        </w:rPr>
      </w:pPr>
      <w:r w:rsidRPr="006A3267">
        <w:rPr>
          <w:i/>
          <w:sz w:val="22"/>
          <w:szCs w:val="22"/>
        </w:rPr>
        <w:t>Saccharomyces boulardii</w:t>
      </w:r>
      <w:r w:rsidRPr="006A3267">
        <w:rPr>
          <w:iCs/>
          <w:color w:val="000000"/>
          <w:sz w:val="22"/>
          <w:szCs w:val="22"/>
        </w:rPr>
        <w:t xml:space="preserve"> CNCM I-745</w:t>
      </w:r>
      <w:r w:rsidRPr="006A3267">
        <w:rPr>
          <w:i/>
          <w:sz w:val="22"/>
          <w:szCs w:val="22"/>
        </w:rPr>
        <w:t xml:space="preserve"> </w:t>
      </w:r>
      <w:r w:rsidRPr="006A3267">
        <w:rPr>
          <w:sz w:val="22"/>
          <w:szCs w:val="22"/>
        </w:rPr>
        <w:t xml:space="preserve">neuzsūcas zarnu traktā. Pēc atkārtotas iekšķīgu devu lietošanas </w:t>
      </w:r>
      <w:r w:rsidRPr="006A3267">
        <w:rPr>
          <w:i/>
          <w:sz w:val="22"/>
          <w:szCs w:val="22"/>
        </w:rPr>
        <w:t>Saccharomyces boulardii</w:t>
      </w:r>
      <w:r w:rsidRPr="006A3267">
        <w:rPr>
          <w:iCs/>
          <w:color w:val="000000"/>
          <w:sz w:val="22"/>
          <w:szCs w:val="22"/>
        </w:rPr>
        <w:t xml:space="preserve"> CNCM I-745</w:t>
      </w:r>
      <w:r w:rsidRPr="006A3267">
        <w:rPr>
          <w:sz w:val="22"/>
          <w:szCs w:val="22"/>
        </w:rPr>
        <w:t xml:space="preserve"> transports gremošanas traktā notiek bez kolonizācijas. Tās ātri sasniedz zarnās nepieciešamu koncentrāciju, kas saglabājas nemainīgā līmenī visā ārstēšanas periodā.</w:t>
      </w:r>
    </w:p>
    <w:p w14:paraId="1047860E" w14:textId="77777777" w:rsidR="00C17A3A" w:rsidRPr="006A3267" w:rsidRDefault="00C17A3A" w:rsidP="00C17A3A">
      <w:pPr>
        <w:pStyle w:val="Parastais"/>
        <w:jc w:val="both"/>
        <w:rPr>
          <w:sz w:val="22"/>
          <w:szCs w:val="22"/>
        </w:rPr>
      </w:pPr>
      <w:r w:rsidRPr="006A3267">
        <w:rPr>
          <w:i/>
          <w:sz w:val="22"/>
          <w:szCs w:val="22"/>
        </w:rPr>
        <w:lastRenderedPageBreak/>
        <w:t>Saccharomyces boulardii</w:t>
      </w:r>
      <w:r w:rsidRPr="006A3267">
        <w:rPr>
          <w:iCs/>
          <w:color w:val="000000"/>
          <w:sz w:val="22"/>
          <w:szCs w:val="22"/>
        </w:rPr>
        <w:t xml:space="preserve"> CNCM I-745</w:t>
      </w:r>
      <w:r w:rsidRPr="006A3267">
        <w:rPr>
          <w:sz w:val="22"/>
          <w:szCs w:val="22"/>
        </w:rPr>
        <w:t xml:space="preserve"> fēcēs var konstatēt ne ilgāk kā 2 līdz 5 dienas pēc ārstēšanas beigām. </w:t>
      </w:r>
    </w:p>
    <w:p w14:paraId="22EE8847" w14:textId="77777777" w:rsidR="00C17A3A" w:rsidRPr="006A3267" w:rsidRDefault="00C17A3A" w:rsidP="00C17A3A">
      <w:pPr>
        <w:pStyle w:val="Default"/>
        <w:rPr>
          <w:b/>
          <w:sz w:val="22"/>
          <w:szCs w:val="22"/>
        </w:rPr>
      </w:pPr>
    </w:p>
    <w:p w14:paraId="33EEC052" w14:textId="77777777" w:rsidR="00C17A3A" w:rsidRPr="006A3267" w:rsidRDefault="00C17A3A" w:rsidP="00C17A3A">
      <w:pPr>
        <w:pStyle w:val="Default"/>
        <w:rPr>
          <w:b/>
          <w:sz w:val="22"/>
          <w:szCs w:val="22"/>
        </w:rPr>
      </w:pPr>
      <w:r w:rsidRPr="006A3267">
        <w:rPr>
          <w:b/>
          <w:sz w:val="22"/>
          <w:szCs w:val="22"/>
        </w:rPr>
        <w:t>5.3.</w:t>
      </w:r>
      <w:r w:rsidRPr="006A3267">
        <w:rPr>
          <w:b/>
          <w:sz w:val="22"/>
          <w:szCs w:val="22"/>
        </w:rPr>
        <w:tab/>
        <w:t xml:space="preserve">Preklīniskie dati par drošumu </w:t>
      </w:r>
    </w:p>
    <w:p w14:paraId="6954C9ED" w14:textId="77777777" w:rsidR="00C17A3A" w:rsidRPr="006A3267" w:rsidRDefault="00C17A3A" w:rsidP="00C17A3A">
      <w:pPr>
        <w:pStyle w:val="Parastais"/>
        <w:rPr>
          <w:sz w:val="22"/>
          <w:szCs w:val="22"/>
        </w:rPr>
      </w:pPr>
    </w:p>
    <w:p w14:paraId="74D37584" w14:textId="77777777" w:rsidR="00C17A3A" w:rsidRPr="006A3267" w:rsidRDefault="00C17A3A" w:rsidP="00C17A3A">
      <w:pPr>
        <w:rPr>
          <w:sz w:val="22"/>
          <w:szCs w:val="22"/>
          <w:lang w:val="lv-LV"/>
        </w:rPr>
      </w:pPr>
      <w:r w:rsidRPr="006A3267">
        <w:rPr>
          <w:sz w:val="22"/>
          <w:szCs w:val="22"/>
          <w:lang w:val="lv-LV"/>
        </w:rPr>
        <w:t xml:space="preserve">Neklīniskajos standartpētījumos iegūtie dati par toksicitāti dzīvniekiem neliecina. </w:t>
      </w:r>
    </w:p>
    <w:p w14:paraId="6F5042C9" w14:textId="77777777" w:rsidR="00C17A3A" w:rsidRPr="006A3267" w:rsidRDefault="00C17A3A" w:rsidP="00C17A3A">
      <w:pPr>
        <w:pStyle w:val="Parastais"/>
        <w:ind w:right="-993"/>
        <w:rPr>
          <w:sz w:val="22"/>
          <w:szCs w:val="22"/>
        </w:rPr>
      </w:pPr>
    </w:p>
    <w:p w14:paraId="751F0058" w14:textId="77777777" w:rsidR="00C17A3A" w:rsidRPr="006A3267" w:rsidRDefault="00C17A3A" w:rsidP="00C17A3A">
      <w:pPr>
        <w:pStyle w:val="Default"/>
        <w:rPr>
          <w:sz w:val="22"/>
          <w:szCs w:val="22"/>
        </w:rPr>
      </w:pPr>
    </w:p>
    <w:p w14:paraId="415D1C64" w14:textId="77777777" w:rsidR="00C17A3A" w:rsidRPr="006A3267" w:rsidRDefault="00C17A3A" w:rsidP="00C17A3A">
      <w:pPr>
        <w:pStyle w:val="Parastais"/>
        <w:ind w:right="-993"/>
        <w:rPr>
          <w:b/>
          <w:sz w:val="22"/>
          <w:szCs w:val="22"/>
        </w:rPr>
      </w:pPr>
      <w:r w:rsidRPr="006A3267">
        <w:rPr>
          <w:b/>
          <w:sz w:val="22"/>
          <w:szCs w:val="22"/>
        </w:rPr>
        <w:t>6.</w:t>
      </w:r>
      <w:r w:rsidRPr="006A3267">
        <w:rPr>
          <w:b/>
          <w:sz w:val="22"/>
          <w:szCs w:val="22"/>
        </w:rPr>
        <w:tab/>
        <w:t xml:space="preserve">FARMACEITISKĀ INFORMĀCIJA </w:t>
      </w:r>
    </w:p>
    <w:p w14:paraId="2C16FBE0" w14:textId="77777777" w:rsidR="00C17A3A" w:rsidRPr="006A3267" w:rsidRDefault="00C17A3A" w:rsidP="00C17A3A">
      <w:pPr>
        <w:pStyle w:val="Default"/>
        <w:rPr>
          <w:b/>
          <w:color w:val="auto"/>
          <w:sz w:val="22"/>
          <w:szCs w:val="22"/>
        </w:rPr>
      </w:pPr>
    </w:p>
    <w:p w14:paraId="08C98829" w14:textId="77777777" w:rsidR="00C17A3A" w:rsidRPr="006A3267" w:rsidRDefault="00C17A3A" w:rsidP="00C17A3A">
      <w:pPr>
        <w:pStyle w:val="Default"/>
        <w:rPr>
          <w:b/>
          <w:sz w:val="22"/>
          <w:szCs w:val="22"/>
        </w:rPr>
      </w:pPr>
      <w:r w:rsidRPr="006A3267">
        <w:rPr>
          <w:b/>
          <w:color w:val="auto"/>
          <w:sz w:val="22"/>
          <w:szCs w:val="22"/>
        </w:rPr>
        <w:t>6.1.</w:t>
      </w:r>
      <w:r w:rsidRPr="006A3267">
        <w:rPr>
          <w:b/>
          <w:color w:val="auto"/>
          <w:sz w:val="22"/>
          <w:szCs w:val="22"/>
        </w:rPr>
        <w:tab/>
      </w:r>
      <w:r w:rsidRPr="006A3267">
        <w:rPr>
          <w:b/>
          <w:sz w:val="22"/>
          <w:szCs w:val="22"/>
        </w:rPr>
        <w:t xml:space="preserve">Palīgvielu saraksts </w:t>
      </w:r>
    </w:p>
    <w:p w14:paraId="367940D2" w14:textId="77777777" w:rsidR="00C17A3A" w:rsidRPr="006A3267" w:rsidRDefault="00C17A3A" w:rsidP="00C17A3A">
      <w:pPr>
        <w:pStyle w:val="Default"/>
        <w:rPr>
          <w:color w:val="auto"/>
          <w:sz w:val="22"/>
          <w:szCs w:val="22"/>
        </w:rPr>
      </w:pPr>
    </w:p>
    <w:p w14:paraId="64B88D68" w14:textId="77777777" w:rsidR="00C17A3A" w:rsidRPr="006A3267" w:rsidRDefault="00C17A3A" w:rsidP="00C17A3A">
      <w:pPr>
        <w:pStyle w:val="Parastais"/>
        <w:rPr>
          <w:sz w:val="22"/>
          <w:szCs w:val="22"/>
        </w:rPr>
      </w:pPr>
      <w:r w:rsidRPr="006A3267">
        <w:rPr>
          <w:sz w:val="22"/>
          <w:szCs w:val="22"/>
        </w:rPr>
        <w:t xml:space="preserve">Kapsulas saturs: laktozes monohidrāts, magnija stearāts. </w:t>
      </w:r>
    </w:p>
    <w:p w14:paraId="1715B5CF" w14:textId="77777777" w:rsidR="00C17A3A" w:rsidRPr="006A3267" w:rsidRDefault="00C17A3A" w:rsidP="00C17A3A">
      <w:pPr>
        <w:pStyle w:val="Default"/>
        <w:rPr>
          <w:sz w:val="22"/>
          <w:szCs w:val="22"/>
        </w:rPr>
      </w:pPr>
      <w:r w:rsidRPr="006A3267">
        <w:rPr>
          <w:sz w:val="22"/>
          <w:szCs w:val="22"/>
        </w:rPr>
        <w:t xml:space="preserve">Kapsulas apvalks: želatīns, titāna dioksīds (E171). </w:t>
      </w:r>
    </w:p>
    <w:p w14:paraId="36EC96AC" w14:textId="77777777" w:rsidR="00C17A3A" w:rsidRPr="006A3267" w:rsidRDefault="00C17A3A" w:rsidP="00C17A3A">
      <w:pPr>
        <w:pStyle w:val="Default"/>
        <w:rPr>
          <w:sz w:val="22"/>
          <w:szCs w:val="22"/>
        </w:rPr>
      </w:pPr>
    </w:p>
    <w:p w14:paraId="2D5D2179" w14:textId="77777777" w:rsidR="00C17A3A" w:rsidRPr="006A3267" w:rsidRDefault="00C17A3A" w:rsidP="00C17A3A">
      <w:pPr>
        <w:pStyle w:val="Default"/>
        <w:rPr>
          <w:b/>
          <w:sz w:val="22"/>
          <w:szCs w:val="22"/>
        </w:rPr>
      </w:pPr>
      <w:r w:rsidRPr="006A3267">
        <w:rPr>
          <w:b/>
          <w:sz w:val="22"/>
          <w:szCs w:val="22"/>
        </w:rPr>
        <w:t>6.2.</w:t>
      </w:r>
      <w:r w:rsidRPr="006A3267">
        <w:rPr>
          <w:b/>
          <w:sz w:val="22"/>
          <w:szCs w:val="22"/>
        </w:rPr>
        <w:tab/>
        <w:t>Nesaderība</w:t>
      </w:r>
    </w:p>
    <w:p w14:paraId="68D9E264" w14:textId="77777777" w:rsidR="00C17A3A" w:rsidRPr="006A3267" w:rsidRDefault="00C17A3A" w:rsidP="00C17A3A">
      <w:pPr>
        <w:pStyle w:val="Default"/>
        <w:rPr>
          <w:color w:val="auto"/>
          <w:sz w:val="22"/>
          <w:szCs w:val="22"/>
        </w:rPr>
      </w:pPr>
    </w:p>
    <w:p w14:paraId="09CF0274" w14:textId="77777777" w:rsidR="00C17A3A" w:rsidRPr="006A3267" w:rsidRDefault="00C17A3A" w:rsidP="00C17A3A">
      <w:pPr>
        <w:pStyle w:val="Parastais"/>
        <w:ind w:right="-993"/>
        <w:rPr>
          <w:sz w:val="22"/>
          <w:szCs w:val="22"/>
        </w:rPr>
      </w:pPr>
      <w:r w:rsidRPr="006A3267">
        <w:rPr>
          <w:sz w:val="22"/>
          <w:szCs w:val="22"/>
        </w:rPr>
        <w:t xml:space="preserve">Nav piemērojama. </w:t>
      </w:r>
    </w:p>
    <w:p w14:paraId="659DD3BC" w14:textId="77777777" w:rsidR="00C17A3A" w:rsidRPr="006A3267" w:rsidRDefault="00C17A3A" w:rsidP="00C17A3A">
      <w:pPr>
        <w:pStyle w:val="Default"/>
        <w:rPr>
          <w:b/>
          <w:sz w:val="22"/>
          <w:szCs w:val="22"/>
        </w:rPr>
      </w:pPr>
    </w:p>
    <w:p w14:paraId="72D0CAF4" w14:textId="77777777" w:rsidR="00C17A3A" w:rsidRPr="006A3267" w:rsidRDefault="00C17A3A" w:rsidP="00C17A3A">
      <w:pPr>
        <w:pStyle w:val="Default"/>
        <w:rPr>
          <w:b/>
          <w:sz w:val="22"/>
          <w:szCs w:val="22"/>
        </w:rPr>
      </w:pPr>
      <w:r w:rsidRPr="006A3267">
        <w:rPr>
          <w:b/>
          <w:sz w:val="22"/>
          <w:szCs w:val="22"/>
        </w:rPr>
        <w:t>6.3.</w:t>
      </w:r>
      <w:r w:rsidRPr="006A3267">
        <w:rPr>
          <w:b/>
          <w:sz w:val="22"/>
          <w:szCs w:val="22"/>
        </w:rPr>
        <w:tab/>
        <w:t xml:space="preserve">Uzglabāšanas laiks </w:t>
      </w:r>
    </w:p>
    <w:p w14:paraId="4F06F5EA" w14:textId="77777777" w:rsidR="00C17A3A" w:rsidRPr="006A3267" w:rsidRDefault="00C17A3A" w:rsidP="00C17A3A">
      <w:pPr>
        <w:pStyle w:val="Default"/>
        <w:rPr>
          <w:color w:val="auto"/>
          <w:sz w:val="22"/>
          <w:szCs w:val="22"/>
        </w:rPr>
      </w:pPr>
    </w:p>
    <w:p w14:paraId="5914F4D6" w14:textId="77777777" w:rsidR="00C17A3A" w:rsidRPr="006A3267" w:rsidRDefault="00C17A3A" w:rsidP="00C17A3A">
      <w:pPr>
        <w:pStyle w:val="Parastais"/>
        <w:ind w:right="-993"/>
        <w:rPr>
          <w:sz w:val="22"/>
          <w:szCs w:val="22"/>
        </w:rPr>
      </w:pPr>
      <w:r w:rsidRPr="006A3267">
        <w:rPr>
          <w:sz w:val="22"/>
          <w:szCs w:val="22"/>
        </w:rPr>
        <w:t xml:space="preserve">3 gadi </w:t>
      </w:r>
    </w:p>
    <w:p w14:paraId="1401A5FD" w14:textId="77777777" w:rsidR="00C17A3A" w:rsidRPr="006A3267" w:rsidRDefault="00C17A3A" w:rsidP="00C17A3A">
      <w:pPr>
        <w:pStyle w:val="Parastais"/>
        <w:numPr>
          <w:ilvl w:val="0"/>
          <w:numId w:val="5"/>
        </w:numPr>
        <w:ind w:left="510" w:right="-993" w:hanging="510"/>
        <w:rPr>
          <w:b/>
          <w:sz w:val="22"/>
          <w:szCs w:val="22"/>
        </w:rPr>
      </w:pPr>
    </w:p>
    <w:p w14:paraId="1E499222" w14:textId="77777777" w:rsidR="00C17A3A" w:rsidRPr="006A3267" w:rsidRDefault="00C17A3A" w:rsidP="00C17A3A">
      <w:pPr>
        <w:pStyle w:val="Parastais"/>
        <w:numPr>
          <w:ilvl w:val="0"/>
          <w:numId w:val="5"/>
        </w:numPr>
        <w:ind w:left="510" w:right="-993" w:hanging="510"/>
        <w:rPr>
          <w:b/>
          <w:sz w:val="22"/>
          <w:szCs w:val="22"/>
        </w:rPr>
      </w:pPr>
      <w:r w:rsidRPr="006A3267">
        <w:rPr>
          <w:b/>
          <w:sz w:val="22"/>
          <w:szCs w:val="22"/>
        </w:rPr>
        <w:t xml:space="preserve">6.4. </w:t>
      </w:r>
      <w:r w:rsidRPr="006A3267">
        <w:rPr>
          <w:b/>
          <w:sz w:val="22"/>
          <w:szCs w:val="22"/>
        </w:rPr>
        <w:tab/>
      </w:r>
      <w:r w:rsidRPr="006A3267">
        <w:rPr>
          <w:b/>
          <w:sz w:val="22"/>
          <w:szCs w:val="22"/>
        </w:rPr>
        <w:tab/>
        <w:t xml:space="preserve">Īpaši uzglabāšanas nosacījumi </w:t>
      </w:r>
    </w:p>
    <w:p w14:paraId="0777F72D" w14:textId="77777777" w:rsidR="00C17A3A" w:rsidRPr="006A3267" w:rsidRDefault="00C17A3A" w:rsidP="00C17A3A">
      <w:pPr>
        <w:pStyle w:val="Default"/>
        <w:rPr>
          <w:color w:val="auto"/>
          <w:sz w:val="22"/>
          <w:szCs w:val="22"/>
        </w:rPr>
      </w:pPr>
    </w:p>
    <w:p w14:paraId="20521E24" w14:textId="77777777" w:rsidR="00C17A3A" w:rsidRPr="006A3267" w:rsidRDefault="00C17A3A" w:rsidP="00C17A3A">
      <w:pPr>
        <w:pStyle w:val="Parastais"/>
        <w:rPr>
          <w:sz w:val="22"/>
          <w:szCs w:val="22"/>
        </w:rPr>
      </w:pPr>
      <w:r w:rsidRPr="006A3267">
        <w:rPr>
          <w:sz w:val="22"/>
          <w:szCs w:val="22"/>
        </w:rPr>
        <w:t>Uzglabāt temperatūrā līdz 25</w:t>
      </w:r>
      <w:r>
        <w:rPr>
          <w:sz w:val="22"/>
          <w:szCs w:val="22"/>
        </w:rPr>
        <w:t xml:space="preserve"> </w:t>
      </w:r>
      <w:r w:rsidRPr="006A3267">
        <w:rPr>
          <w:sz w:val="22"/>
          <w:szCs w:val="22"/>
        </w:rPr>
        <w:t xml:space="preserve">°C. </w:t>
      </w:r>
    </w:p>
    <w:p w14:paraId="095B05AD" w14:textId="77777777" w:rsidR="00C17A3A" w:rsidRPr="006A3267" w:rsidRDefault="00C17A3A" w:rsidP="00C17A3A">
      <w:pPr>
        <w:pStyle w:val="Parastais"/>
        <w:rPr>
          <w:sz w:val="22"/>
          <w:szCs w:val="22"/>
        </w:rPr>
      </w:pPr>
      <w:r w:rsidRPr="006A3267">
        <w:rPr>
          <w:sz w:val="22"/>
          <w:szCs w:val="22"/>
        </w:rPr>
        <w:t>Uzglabāt oriģinālā iepakojumā</w:t>
      </w:r>
      <w:r>
        <w:rPr>
          <w:sz w:val="22"/>
          <w:szCs w:val="22"/>
        </w:rPr>
        <w:t>, lai pasargātu</w:t>
      </w:r>
      <w:r w:rsidRPr="006A3267">
        <w:rPr>
          <w:sz w:val="22"/>
          <w:szCs w:val="22"/>
        </w:rPr>
        <w:t xml:space="preserve"> no mitruma. </w:t>
      </w:r>
    </w:p>
    <w:p w14:paraId="03F572FA" w14:textId="77777777" w:rsidR="00C17A3A" w:rsidRPr="006A3267" w:rsidRDefault="00C17A3A" w:rsidP="00C17A3A">
      <w:pPr>
        <w:pStyle w:val="Default"/>
        <w:rPr>
          <w:b/>
          <w:sz w:val="22"/>
          <w:szCs w:val="22"/>
        </w:rPr>
      </w:pPr>
    </w:p>
    <w:p w14:paraId="7A488BFA" w14:textId="77777777" w:rsidR="00C17A3A" w:rsidRPr="006A3267" w:rsidRDefault="00C17A3A" w:rsidP="00C17A3A">
      <w:pPr>
        <w:pStyle w:val="Default"/>
        <w:rPr>
          <w:b/>
          <w:sz w:val="22"/>
          <w:szCs w:val="22"/>
        </w:rPr>
      </w:pPr>
      <w:r w:rsidRPr="006A3267">
        <w:rPr>
          <w:b/>
          <w:sz w:val="22"/>
          <w:szCs w:val="22"/>
        </w:rPr>
        <w:t>6.5.</w:t>
      </w:r>
      <w:r w:rsidRPr="006A3267">
        <w:rPr>
          <w:b/>
          <w:sz w:val="22"/>
          <w:szCs w:val="22"/>
        </w:rPr>
        <w:tab/>
        <w:t xml:space="preserve">Iepakojuma veids un saturs </w:t>
      </w:r>
    </w:p>
    <w:p w14:paraId="4C2EE7A3" w14:textId="77777777" w:rsidR="00C17A3A" w:rsidRPr="006A3267" w:rsidRDefault="00C17A3A" w:rsidP="00C17A3A">
      <w:pPr>
        <w:pStyle w:val="Default"/>
        <w:rPr>
          <w:color w:val="auto"/>
          <w:sz w:val="22"/>
          <w:szCs w:val="22"/>
        </w:rPr>
      </w:pPr>
    </w:p>
    <w:p w14:paraId="3E792EC2" w14:textId="77777777" w:rsidR="00C17A3A" w:rsidRPr="006A3267" w:rsidRDefault="00C17A3A" w:rsidP="00C17A3A">
      <w:pPr>
        <w:pStyle w:val="Pamattekstsaratkpi"/>
        <w:rPr>
          <w:sz w:val="22"/>
          <w:szCs w:val="22"/>
        </w:rPr>
      </w:pPr>
      <w:r w:rsidRPr="006A3267">
        <w:rPr>
          <w:sz w:val="22"/>
          <w:szCs w:val="22"/>
        </w:rPr>
        <w:t>Stikla pudelīte ar polietilēna vāciņu kartona kastītē pa 10, 20, 30 vai 50 cietām kapsulām.</w:t>
      </w:r>
    </w:p>
    <w:p w14:paraId="4A039A73" w14:textId="77777777" w:rsidR="00C17A3A" w:rsidRPr="006A3267" w:rsidRDefault="00C17A3A" w:rsidP="00C17A3A">
      <w:pPr>
        <w:pStyle w:val="Pamattekstsaratkpi"/>
        <w:rPr>
          <w:sz w:val="22"/>
          <w:szCs w:val="22"/>
        </w:rPr>
      </w:pPr>
      <w:r w:rsidRPr="006A3267">
        <w:rPr>
          <w:sz w:val="22"/>
          <w:szCs w:val="22"/>
        </w:rPr>
        <w:t xml:space="preserve">Visi iepakojuma lielumi tirgū var nebūt pieejami. </w:t>
      </w:r>
    </w:p>
    <w:p w14:paraId="0748FCAE" w14:textId="77777777" w:rsidR="00C17A3A" w:rsidRPr="006A3267" w:rsidRDefault="00C17A3A" w:rsidP="00C17A3A">
      <w:pPr>
        <w:pStyle w:val="Default"/>
        <w:rPr>
          <w:b/>
          <w:sz w:val="22"/>
          <w:szCs w:val="22"/>
        </w:rPr>
      </w:pPr>
    </w:p>
    <w:p w14:paraId="16125CF4" w14:textId="77777777" w:rsidR="00C17A3A" w:rsidRPr="006A3267" w:rsidRDefault="00C17A3A" w:rsidP="00C17A3A">
      <w:pPr>
        <w:pStyle w:val="Default"/>
        <w:rPr>
          <w:b/>
          <w:sz w:val="22"/>
          <w:szCs w:val="22"/>
        </w:rPr>
      </w:pPr>
      <w:r w:rsidRPr="006A3267">
        <w:rPr>
          <w:b/>
          <w:sz w:val="22"/>
          <w:szCs w:val="22"/>
        </w:rPr>
        <w:t>6.6.</w:t>
      </w:r>
      <w:r w:rsidRPr="006A3267">
        <w:rPr>
          <w:b/>
          <w:sz w:val="22"/>
          <w:szCs w:val="22"/>
        </w:rPr>
        <w:tab/>
        <w:t xml:space="preserve">Īpaši norādījumi atkritumu likvidēšanai </w:t>
      </w:r>
    </w:p>
    <w:p w14:paraId="5984C9E4" w14:textId="77777777" w:rsidR="00C17A3A" w:rsidRPr="006A3267" w:rsidRDefault="00C17A3A" w:rsidP="00C17A3A">
      <w:pPr>
        <w:pStyle w:val="Default"/>
        <w:rPr>
          <w:color w:val="auto"/>
          <w:sz w:val="22"/>
          <w:szCs w:val="22"/>
        </w:rPr>
      </w:pPr>
    </w:p>
    <w:p w14:paraId="56421415" w14:textId="77777777" w:rsidR="00C17A3A" w:rsidRPr="006A3267" w:rsidRDefault="00C17A3A" w:rsidP="00C17A3A">
      <w:pPr>
        <w:pStyle w:val="Parastais"/>
        <w:ind w:right="-993"/>
        <w:rPr>
          <w:sz w:val="22"/>
          <w:szCs w:val="22"/>
        </w:rPr>
      </w:pPr>
      <w:r w:rsidRPr="006A3267">
        <w:rPr>
          <w:sz w:val="22"/>
          <w:szCs w:val="22"/>
        </w:rPr>
        <w:t xml:space="preserve">Nav īpašu prasību. </w:t>
      </w:r>
    </w:p>
    <w:p w14:paraId="400944D1" w14:textId="77777777" w:rsidR="00C17A3A" w:rsidRPr="006A3267" w:rsidRDefault="00C17A3A" w:rsidP="00C17A3A">
      <w:pPr>
        <w:pStyle w:val="Default"/>
        <w:rPr>
          <w:b/>
          <w:sz w:val="22"/>
          <w:szCs w:val="22"/>
        </w:rPr>
      </w:pPr>
    </w:p>
    <w:p w14:paraId="3EA1E1F0" w14:textId="77777777" w:rsidR="00C17A3A" w:rsidRPr="006A3267" w:rsidRDefault="00C17A3A" w:rsidP="00C17A3A">
      <w:pPr>
        <w:pStyle w:val="Default"/>
        <w:rPr>
          <w:b/>
          <w:sz w:val="22"/>
          <w:szCs w:val="22"/>
        </w:rPr>
      </w:pPr>
    </w:p>
    <w:p w14:paraId="6365901F" w14:textId="77777777" w:rsidR="00C17A3A" w:rsidRPr="006A3267" w:rsidRDefault="00C17A3A" w:rsidP="00C17A3A">
      <w:pPr>
        <w:pStyle w:val="Default"/>
        <w:rPr>
          <w:b/>
          <w:sz w:val="22"/>
          <w:szCs w:val="22"/>
        </w:rPr>
      </w:pPr>
      <w:r w:rsidRPr="006A3267">
        <w:rPr>
          <w:b/>
          <w:sz w:val="22"/>
          <w:szCs w:val="22"/>
        </w:rPr>
        <w:t>7.</w:t>
      </w:r>
      <w:r w:rsidRPr="006A3267">
        <w:rPr>
          <w:b/>
          <w:sz w:val="22"/>
          <w:szCs w:val="22"/>
        </w:rPr>
        <w:tab/>
        <w:t xml:space="preserve">REĢITRĀCIJAS APLIECĪBAS ĪPAŠNIEKS </w:t>
      </w:r>
    </w:p>
    <w:p w14:paraId="4A56F098" w14:textId="77777777" w:rsidR="00C17A3A" w:rsidRPr="006A3267" w:rsidRDefault="00C17A3A" w:rsidP="00C17A3A">
      <w:pPr>
        <w:pStyle w:val="Pamattekstsaratkpi"/>
        <w:rPr>
          <w:sz w:val="22"/>
          <w:szCs w:val="22"/>
        </w:rPr>
      </w:pPr>
    </w:p>
    <w:p w14:paraId="0458D050" w14:textId="77777777" w:rsidR="00C17A3A" w:rsidRPr="006A3267" w:rsidRDefault="00C17A3A" w:rsidP="00C17A3A">
      <w:pPr>
        <w:pStyle w:val="Pamattekstsaratkpi"/>
        <w:rPr>
          <w:sz w:val="22"/>
          <w:szCs w:val="22"/>
        </w:rPr>
      </w:pPr>
      <w:r w:rsidRPr="006A3267">
        <w:rPr>
          <w:sz w:val="22"/>
          <w:szCs w:val="22"/>
        </w:rPr>
        <w:t xml:space="preserve">BIOCODEX </w:t>
      </w:r>
    </w:p>
    <w:p w14:paraId="5E3C3F6A" w14:textId="77777777" w:rsidR="00C17A3A" w:rsidRPr="006A3267" w:rsidRDefault="00C17A3A" w:rsidP="00C17A3A">
      <w:pPr>
        <w:pStyle w:val="Pamattekstsaratkpi"/>
        <w:rPr>
          <w:sz w:val="22"/>
          <w:szCs w:val="22"/>
        </w:rPr>
      </w:pPr>
      <w:r w:rsidRPr="006A3267">
        <w:rPr>
          <w:sz w:val="22"/>
          <w:szCs w:val="22"/>
        </w:rPr>
        <w:t xml:space="preserve">7 avenue Gallieni </w:t>
      </w:r>
    </w:p>
    <w:p w14:paraId="4859A1BF" w14:textId="77777777" w:rsidR="00C17A3A" w:rsidRPr="006A3267" w:rsidRDefault="00C17A3A" w:rsidP="00C17A3A">
      <w:pPr>
        <w:pStyle w:val="Pamattekstsaratkpi"/>
        <w:rPr>
          <w:sz w:val="22"/>
          <w:szCs w:val="22"/>
        </w:rPr>
      </w:pPr>
      <w:r w:rsidRPr="006A3267">
        <w:rPr>
          <w:sz w:val="22"/>
          <w:szCs w:val="22"/>
        </w:rPr>
        <w:t xml:space="preserve">94250 Gentilly </w:t>
      </w:r>
    </w:p>
    <w:p w14:paraId="319EE6DE" w14:textId="77777777" w:rsidR="00C17A3A" w:rsidRPr="006A3267" w:rsidRDefault="00C17A3A" w:rsidP="00C17A3A">
      <w:pPr>
        <w:pStyle w:val="Pamattekstsaratkpi"/>
        <w:rPr>
          <w:sz w:val="22"/>
          <w:szCs w:val="22"/>
        </w:rPr>
      </w:pPr>
      <w:r w:rsidRPr="006A3267">
        <w:rPr>
          <w:sz w:val="22"/>
          <w:szCs w:val="22"/>
        </w:rPr>
        <w:t xml:space="preserve">Francija </w:t>
      </w:r>
    </w:p>
    <w:p w14:paraId="380B9B41" w14:textId="77777777" w:rsidR="00C17A3A" w:rsidRPr="006A3267" w:rsidRDefault="00C17A3A" w:rsidP="00C17A3A">
      <w:pPr>
        <w:pStyle w:val="Pamattekstsaratkpi"/>
        <w:rPr>
          <w:sz w:val="22"/>
          <w:szCs w:val="22"/>
        </w:rPr>
      </w:pPr>
    </w:p>
    <w:p w14:paraId="304FE6D4" w14:textId="77777777" w:rsidR="00C17A3A" w:rsidRPr="006A3267" w:rsidRDefault="00C17A3A" w:rsidP="00C17A3A">
      <w:pPr>
        <w:pStyle w:val="Default"/>
        <w:rPr>
          <w:sz w:val="22"/>
          <w:szCs w:val="22"/>
        </w:rPr>
      </w:pPr>
    </w:p>
    <w:p w14:paraId="0457212B" w14:textId="77777777" w:rsidR="00C17A3A" w:rsidRPr="006A3267" w:rsidRDefault="00C17A3A" w:rsidP="00C17A3A">
      <w:pPr>
        <w:pStyle w:val="Default"/>
        <w:rPr>
          <w:b/>
          <w:sz w:val="22"/>
          <w:szCs w:val="22"/>
        </w:rPr>
      </w:pPr>
      <w:r w:rsidRPr="006A3267">
        <w:rPr>
          <w:b/>
          <w:color w:val="auto"/>
          <w:sz w:val="22"/>
          <w:szCs w:val="22"/>
        </w:rPr>
        <w:t>8.</w:t>
      </w:r>
      <w:r w:rsidRPr="006A3267">
        <w:rPr>
          <w:b/>
          <w:color w:val="auto"/>
          <w:sz w:val="22"/>
          <w:szCs w:val="22"/>
        </w:rPr>
        <w:tab/>
      </w:r>
      <w:r w:rsidRPr="006A3267">
        <w:rPr>
          <w:b/>
          <w:sz w:val="22"/>
          <w:szCs w:val="22"/>
        </w:rPr>
        <w:t xml:space="preserve">REĢISTRĀCIJAS APLIECĪBAS NUMURS </w:t>
      </w:r>
    </w:p>
    <w:p w14:paraId="1DA03368" w14:textId="77777777" w:rsidR="00C17A3A" w:rsidRPr="006A3267" w:rsidRDefault="00C17A3A" w:rsidP="00C17A3A">
      <w:pPr>
        <w:pStyle w:val="Parastais"/>
        <w:rPr>
          <w:sz w:val="22"/>
          <w:szCs w:val="22"/>
        </w:rPr>
      </w:pPr>
    </w:p>
    <w:p w14:paraId="25E0ECE2" w14:textId="77777777" w:rsidR="00C17A3A" w:rsidRPr="006A3267" w:rsidRDefault="00C17A3A" w:rsidP="00C17A3A">
      <w:pPr>
        <w:pStyle w:val="Parastais"/>
        <w:rPr>
          <w:sz w:val="22"/>
          <w:szCs w:val="22"/>
        </w:rPr>
        <w:sectPr w:rsidR="00C17A3A" w:rsidRPr="006A3267">
          <w:type w:val="continuous"/>
          <w:pgSz w:w="12240" w:h="15840"/>
          <w:pgMar w:top="1440" w:right="1800" w:bottom="1440" w:left="1800" w:header="720" w:footer="720" w:gutter="0"/>
          <w:cols w:space="720"/>
          <w:noEndnote/>
        </w:sectPr>
      </w:pPr>
      <w:r w:rsidRPr="006A3267">
        <w:rPr>
          <w:sz w:val="22"/>
          <w:szCs w:val="22"/>
        </w:rPr>
        <w:t>97-0022</w:t>
      </w:r>
    </w:p>
    <w:p w14:paraId="40EC543F" w14:textId="77777777" w:rsidR="00C17A3A" w:rsidRPr="006A3267" w:rsidRDefault="00C17A3A" w:rsidP="00C17A3A">
      <w:pPr>
        <w:pStyle w:val="Default"/>
        <w:rPr>
          <w:color w:val="auto"/>
          <w:sz w:val="22"/>
          <w:szCs w:val="22"/>
        </w:rPr>
      </w:pPr>
    </w:p>
    <w:p w14:paraId="4568CCED" w14:textId="77777777" w:rsidR="00C17A3A" w:rsidRPr="006A3267" w:rsidRDefault="00C17A3A" w:rsidP="00C17A3A">
      <w:pPr>
        <w:pStyle w:val="Default"/>
        <w:rPr>
          <w:color w:val="auto"/>
          <w:sz w:val="22"/>
          <w:szCs w:val="22"/>
        </w:rPr>
      </w:pPr>
      <w:r w:rsidRPr="006A3267">
        <w:rPr>
          <w:color w:val="auto"/>
          <w:sz w:val="22"/>
          <w:szCs w:val="22"/>
        </w:rPr>
        <w:t xml:space="preserve"> </w:t>
      </w:r>
    </w:p>
    <w:p w14:paraId="608A8A58" w14:textId="77777777" w:rsidR="00C17A3A" w:rsidRPr="006A3267" w:rsidRDefault="00C17A3A" w:rsidP="00C17A3A">
      <w:pPr>
        <w:pStyle w:val="Default"/>
        <w:rPr>
          <w:b/>
          <w:sz w:val="22"/>
          <w:szCs w:val="22"/>
        </w:rPr>
      </w:pPr>
      <w:r w:rsidRPr="006A3267">
        <w:rPr>
          <w:b/>
          <w:color w:val="auto"/>
          <w:sz w:val="22"/>
          <w:szCs w:val="22"/>
        </w:rPr>
        <w:lastRenderedPageBreak/>
        <w:t>9.</w:t>
      </w:r>
      <w:r w:rsidRPr="006A3267">
        <w:rPr>
          <w:b/>
          <w:color w:val="auto"/>
          <w:sz w:val="22"/>
          <w:szCs w:val="22"/>
        </w:rPr>
        <w:tab/>
      </w:r>
      <w:r w:rsidRPr="006A3267">
        <w:rPr>
          <w:b/>
          <w:sz w:val="22"/>
          <w:szCs w:val="22"/>
        </w:rPr>
        <w:t xml:space="preserve">PIRMĀS REĢISTRĀCIJAS/PĀRREĢISTRĀCIJAS DATUMS </w:t>
      </w:r>
    </w:p>
    <w:p w14:paraId="3DEA418A" w14:textId="77777777" w:rsidR="00C17A3A" w:rsidRPr="006A3267" w:rsidRDefault="00C17A3A" w:rsidP="00C17A3A">
      <w:pPr>
        <w:pStyle w:val="Default"/>
        <w:rPr>
          <w:color w:val="auto"/>
          <w:sz w:val="22"/>
          <w:szCs w:val="22"/>
        </w:rPr>
      </w:pPr>
    </w:p>
    <w:p w14:paraId="5EE1105D" w14:textId="77777777" w:rsidR="00C17A3A" w:rsidRPr="006A3267" w:rsidRDefault="00C17A3A" w:rsidP="00C17A3A">
      <w:pPr>
        <w:pStyle w:val="Parastais"/>
        <w:rPr>
          <w:sz w:val="22"/>
          <w:szCs w:val="22"/>
        </w:rPr>
      </w:pPr>
      <w:r w:rsidRPr="006A3267">
        <w:rPr>
          <w:sz w:val="22"/>
          <w:szCs w:val="22"/>
        </w:rPr>
        <w:t>Reģistrācijas datums: 1997. gada 5. marts</w:t>
      </w:r>
    </w:p>
    <w:p w14:paraId="7B3DB9B1" w14:textId="77777777" w:rsidR="00C17A3A" w:rsidRPr="006A3267" w:rsidRDefault="00C17A3A" w:rsidP="00C17A3A">
      <w:pPr>
        <w:pStyle w:val="Parastais"/>
        <w:rPr>
          <w:sz w:val="22"/>
          <w:szCs w:val="22"/>
        </w:rPr>
      </w:pPr>
      <w:r w:rsidRPr="006A3267">
        <w:rPr>
          <w:sz w:val="22"/>
          <w:szCs w:val="22"/>
        </w:rPr>
        <w:t xml:space="preserve">Pēdējās pārreģistrācijas datums: 2008. gada 27. novembris </w:t>
      </w:r>
    </w:p>
    <w:p w14:paraId="0A09A973" w14:textId="77777777" w:rsidR="00C17A3A" w:rsidRPr="006A3267" w:rsidRDefault="00C17A3A" w:rsidP="00C17A3A">
      <w:pPr>
        <w:pStyle w:val="Parastais"/>
        <w:rPr>
          <w:sz w:val="22"/>
          <w:szCs w:val="22"/>
        </w:rPr>
      </w:pPr>
    </w:p>
    <w:p w14:paraId="2FB654DB" w14:textId="77777777" w:rsidR="00C17A3A" w:rsidRPr="006A3267" w:rsidRDefault="00C17A3A" w:rsidP="00C17A3A">
      <w:pPr>
        <w:pStyle w:val="Default"/>
        <w:rPr>
          <w:sz w:val="22"/>
          <w:szCs w:val="22"/>
        </w:rPr>
      </w:pPr>
    </w:p>
    <w:p w14:paraId="00E21241" w14:textId="77777777" w:rsidR="00C17A3A" w:rsidRPr="006A3267" w:rsidRDefault="00C17A3A" w:rsidP="00C17A3A">
      <w:pPr>
        <w:pStyle w:val="Parastais"/>
        <w:numPr>
          <w:ilvl w:val="0"/>
          <w:numId w:val="6"/>
        </w:numPr>
        <w:ind w:left="720" w:hanging="720"/>
        <w:rPr>
          <w:b/>
          <w:sz w:val="22"/>
          <w:szCs w:val="22"/>
        </w:rPr>
      </w:pPr>
      <w:r w:rsidRPr="006A3267">
        <w:rPr>
          <w:b/>
          <w:sz w:val="22"/>
          <w:szCs w:val="22"/>
        </w:rPr>
        <w:t>10.</w:t>
      </w:r>
      <w:r w:rsidRPr="006A3267">
        <w:rPr>
          <w:b/>
          <w:sz w:val="22"/>
          <w:szCs w:val="22"/>
        </w:rPr>
        <w:tab/>
        <w:t xml:space="preserve">TEKSTA PĀRSKATĪŠANAS DATUMS </w:t>
      </w:r>
    </w:p>
    <w:p w14:paraId="7BE30008" w14:textId="77777777" w:rsidR="00C17A3A" w:rsidRPr="006A3267" w:rsidRDefault="00C17A3A" w:rsidP="00C17A3A">
      <w:pPr>
        <w:pStyle w:val="Default"/>
        <w:rPr>
          <w:color w:val="auto"/>
          <w:sz w:val="22"/>
          <w:szCs w:val="22"/>
        </w:rPr>
      </w:pPr>
    </w:p>
    <w:p w14:paraId="4E852A7E" w14:textId="77777777" w:rsidR="00C17A3A" w:rsidRPr="006A3267" w:rsidRDefault="00C17A3A" w:rsidP="00C17A3A">
      <w:pPr>
        <w:pStyle w:val="Parastais"/>
        <w:rPr>
          <w:sz w:val="22"/>
          <w:szCs w:val="22"/>
        </w:rPr>
        <w:sectPr w:rsidR="00C17A3A" w:rsidRPr="006A3267">
          <w:type w:val="continuous"/>
          <w:pgSz w:w="12240" w:h="15840"/>
          <w:pgMar w:top="1440" w:right="1800" w:bottom="1440" w:left="1800" w:header="720" w:footer="720" w:gutter="0"/>
          <w:cols w:space="720"/>
          <w:noEndnote/>
        </w:sectPr>
      </w:pPr>
      <w:r>
        <w:rPr>
          <w:sz w:val="22"/>
          <w:szCs w:val="22"/>
        </w:rPr>
        <w:t>01</w:t>
      </w:r>
      <w:r w:rsidRPr="006A3267">
        <w:rPr>
          <w:sz w:val="22"/>
          <w:szCs w:val="22"/>
        </w:rPr>
        <w:t>/20</w:t>
      </w:r>
      <w:r>
        <w:rPr>
          <w:sz w:val="22"/>
          <w:szCs w:val="22"/>
        </w:rPr>
        <w:t>21</w:t>
      </w:r>
      <w:r w:rsidRPr="006A3267">
        <w:rPr>
          <w:sz w:val="22"/>
          <w:szCs w:val="22"/>
        </w:rPr>
        <w:t xml:space="preserve"> </w:t>
      </w:r>
    </w:p>
    <w:p w14:paraId="65BC0541" w14:textId="77777777" w:rsidR="00C17A3A" w:rsidRPr="006A3267" w:rsidRDefault="00C17A3A" w:rsidP="00C17A3A">
      <w:pPr>
        <w:pStyle w:val="Default"/>
        <w:rPr>
          <w:color w:val="auto"/>
          <w:sz w:val="22"/>
          <w:szCs w:val="22"/>
        </w:rPr>
      </w:pPr>
    </w:p>
    <w:p w14:paraId="79227483" w14:textId="77777777" w:rsidR="00C17A3A" w:rsidRPr="006A3267" w:rsidRDefault="00C17A3A" w:rsidP="00C17A3A">
      <w:pPr>
        <w:rPr>
          <w:sz w:val="22"/>
          <w:szCs w:val="22"/>
          <w:lang w:val="lv-LV"/>
        </w:rPr>
      </w:pPr>
    </w:p>
    <w:p w14:paraId="39DCC6FE" w14:textId="77777777" w:rsidR="00C17A3A" w:rsidRPr="006A3267" w:rsidRDefault="00C17A3A" w:rsidP="00C17A3A">
      <w:pPr>
        <w:rPr>
          <w:sz w:val="22"/>
          <w:szCs w:val="22"/>
          <w:lang w:val="lv-LV"/>
        </w:rPr>
      </w:pPr>
    </w:p>
    <w:p w14:paraId="65CACC6C" w14:textId="77777777" w:rsidR="00C17A3A" w:rsidRPr="006A3267" w:rsidRDefault="00C17A3A" w:rsidP="00C17A3A">
      <w:pPr>
        <w:rPr>
          <w:sz w:val="22"/>
          <w:szCs w:val="22"/>
          <w:lang w:val="lv-LV"/>
        </w:rPr>
      </w:pPr>
    </w:p>
    <w:p w14:paraId="30113662" w14:textId="77777777" w:rsidR="00C17A3A" w:rsidRPr="006A3267" w:rsidRDefault="00C17A3A" w:rsidP="00C17A3A">
      <w:pPr>
        <w:rPr>
          <w:lang w:val="lv-LV"/>
        </w:rPr>
      </w:pPr>
    </w:p>
    <w:p w14:paraId="1F601DB4" w14:textId="77777777" w:rsidR="00C17A3A" w:rsidRPr="006A3267" w:rsidRDefault="00C17A3A" w:rsidP="00C17A3A">
      <w:pPr>
        <w:rPr>
          <w:lang w:val="lv-LV"/>
        </w:rPr>
      </w:pPr>
    </w:p>
    <w:p w14:paraId="45603C89" w14:textId="77777777" w:rsidR="00C17A3A" w:rsidRPr="006A3267" w:rsidRDefault="00C17A3A" w:rsidP="00C17A3A">
      <w:pPr>
        <w:rPr>
          <w:lang w:val="lv-LV"/>
        </w:rPr>
      </w:pPr>
    </w:p>
    <w:p w14:paraId="17FF2BD0" w14:textId="77777777" w:rsidR="00C17A3A" w:rsidRPr="006A3267" w:rsidRDefault="00C17A3A" w:rsidP="00C17A3A">
      <w:pPr>
        <w:rPr>
          <w:lang w:val="lv-LV"/>
        </w:rPr>
      </w:pPr>
    </w:p>
    <w:p w14:paraId="33408E73" w14:textId="77777777" w:rsidR="00C17A3A" w:rsidRPr="006A3267" w:rsidRDefault="00C17A3A" w:rsidP="00C17A3A">
      <w:pPr>
        <w:rPr>
          <w:lang w:val="lv-LV"/>
        </w:rPr>
      </w:pPr>
    </w:p>
    <w:p w14:paraId="4EA59AFB" w14:textId="77777777" w:rsidR="00C17A3A" w:rsidRDefault="00C17A3A" w:rsidP="00C17A3A"/>
    <w:p w14:paraId="04242447" w14:textId="77777777" w:rsidR="0001052A" w:rsidRDefault="0001052A"/>
    <w:sectPr w:rsidR="0001052A" w:rsidSect="00E567DD">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007FA" w14:textId="77777777" w:rsidR="00000000" w:rsidRDefault="004703FB">
      <w:r>
        <w:separator/>
      </w:r>
    </w:p>
  </w:endnote>
  <w:endnote w:type="continuationSeparator" w:id="0">
    <w:p w14:paraId="0114F73B" w14:textId="77777777" w:rsidR="00000000" w:rsidRDefault="0047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9B896" w14:textId="77777777" w:rsidR="004703FB" w:rsidRDefault="00470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978AC" w14:textId="77777777" w:rsidR="006A3267" w:rsidRPr="003232E8" w:rsidRDefault="00C17A3A" w:rsidP="003232E8">
    <w:pPr>
      <w:pStyle w:val="Footer"/>
    </w:pPr>
    <w:r w:rsidRPr="00EA1F5F">
      <w:rPr>
        <w:rFonts w:asciiTheme="minorHAnsi" w:hAnsiTheme="minorHAnsi" w:cstheme="minorHAnsi"/>
        <w:color w:val="000000" w:themeColor="text1"/>
        <w:lang w:val="lv-LV"/>
      </w:rPr>
      <w:t>97-0022/IB/016/G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50C8A" w14:textId="77777777" w:rsidR="004703FB" w:rsidRDefault="00470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17EC4" w14:textId="77777777" w:rsidR="00000000" w:rsidRDefault="004703FB">
      <w:r>
        <w:separator/>
      </w:r>
    </w:p>
  </w:footnote>
  <w:footnote w:type="continuationSeparator" w:id="0">
    <w:p w14:paraId="4FF45F42" w14:textId="77777777" w:rsidR="00000000" w:rsidRDefault="00470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46B88" w14:textId="77777777" w:rsidR="004703FB" w:rsidRDefault="00470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77AC8" w14:textId="777DF3E5" w:rsidR="00AF133B" w:rsidRDefault="00C17A3A" w:rsidP="00AF133B">
    <w:pPr>
      <w:pStyle w:val="Header"/>
      <w:jc w:val="right"/>
    </w:pPr>
    <w:r>
      <w:t xml:space="preserve">SASKAŅOTS ZVA </w:t>
    </w:r>
    <w:r w:rsidR="004703FB">
      <w:t>11-02-2021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52C2D" w14:textId="77777777" w:rsidR="004703FB" w:rsidRDefault="00470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78DD5A4"/>
    <w:multiLevelType w:val="hybridMultilevel"/>
    <w:tmpl w:val="088E9D2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6DE96F"/>
    <w:multiLevelType w:val="hybridMultilevel"/>
    <w:tmpl w:val="25C0864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DEDDAF"/>
    <w:multiLevelType w:val="hybridMultilevel"/>
    <w:tmpl w:val="D1729E4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BBF2A17"/>
    <w:multiLevelType w:val="hybridMultilevel"/>
    <w:tmpl w:val="F51ADB4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EA4AA6E"/>
    <w:multiLevelType w:val="hybridMultilevel"/>
    <w:tmpl w:val="2BE07F8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BD087B"/>
    <w:multiLevelType w:val="hybridMultilevel"/>
    <w:tmpl w:val="2B4A0128"/>
    <w:lvl w:ilvl="0" w:tplc="817AC72A">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2F71732"/>
    <w:multiLevelType w:val="hybridMultilevel"/>
    <w:tmpl w:val="EAE8613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98832D8"/>
    <w:multiLevelType w:val="hybridMultilevel"/>
    <w:tmpl w:val="6D0CFAC6"/>
    <w:lvl w:ilvl="0" w:tplc="1C42914A">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A3A"/>
    <w:rsid w:val="0001052A"/>
    <w:rsid w:val="004703FB"/>
    <w:rsid w:val="00A651DB"/>
    <w:rsid w:val="00C17A3A"/>
  </w:rsids>
  <m:mathPr>
    <m:mathFont m:val="Cambria Math"/>
    <m:brkBin m:val="before"/>
    <m:brkBinSub m:val="--"/>
    <m:smallFrac m:val="0"/>
    <m:dispDef/>
    <m:lMargin m:val="0"/>
    <m:rMargin m:val="0"/>
    <m:defJc m:val="centerGroup"/>
    <m:wrapIndent m:val="1440"/>
    <m:intLim m:val="subSup"/>
    <m:naryLim m:val="undOvr"/>
  </m:mathPr>
  <w:themeFontLang w:val="fi-FI"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B7F6"/>
  <w15:chartTrackingRefBased/>
  <w15:docId w15:val="{D53FDEC8-28E2-412F-8A4C-4BD2161F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A3A"/>
    <w:pPr>
      <w:spacing w:after="0" w:line="240" w:lineRule="auto"/>
    </w:pPr>
    <w:rPr>
      <w:rFonts w:ascii="Times New Roman" w:eastAsia="Times New Roman" w:hAnsi="Times New Roman" w:cs="Times New Roman"/>
      <w:sz w:val="24"/>
      <w:szCs w:val="24"/>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7A3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osaukums">
    <w:name w:val="Nosaukums"/>
    <w:basedOn w:val="Default"/>
    <w:next w:val="Default"/>
    <w:rsid w:val="00C17A3A"/>
    <w:rPr>
      <w:color w:val="auto"/>
    </w:rPr>
  </w:style>
  <w:style w:type="paragraph" w:customStyle="1" w:styleId="Parastais">
    <w:name w:val="Parastais"/>
    <w:basedOn w:val="Default"/>
    <w:next w:val="Default"/>
    <w:rsid w:val="00C17A3A"/>
    <w:rPr>
      <w:color w:val="auto"/>
    </w:rPr>
  </w:style>
  <w:style w:type="paragraph" w:customStyle="1" w:styleId="Virsraksts2">
    <w:name w:val="Virsraksts 2"/>
    <w:basedOn w:val="Default"/>
    <w:next w:val="Default"/>
    <w:rsid w:val="00C17A3A"/>
    <w:rPr>
      <w:color w:val="auto"/>
    </w:rPr>
  </w:style>
  <w:style w:type="paragraph" w:customStyle="1" w:styleId="Tekstabloks">
    <w:name w:val="Teksta bloks"/>
    <w:basedOn w:val="Default"/>
    <w:next w:val="Default"/>
    <w:rsid w:val="00C17A3A"/>
    <w:rPr>
      <w:color w:val="auto"/>
    </w:rPr>
  </w:style>
  <w:style w:type="paragraph" w:customStyle="1" w:styleId="Pamattekstsaratkpi">
    <w:name w:val="Pamatteksts ar atkāpi"/>
    <w:basedOn w:val="Default"/>
    <w:next w:val="Default"/>
    <w:rsid w:val="00C17A3A"/>
    <w:rPr>
      <w:color w:val="auto"/>
    </w:rPr>
  </w:style>
  <w:style w:type="paragraph" w:styleId="Header">
    <w:name w:val="header"/>
    <w:basedOn w:val="Normal"/>
    <w:link w:val="HeaderChar"/>
    <w:uiPriority w:val="99"/>
    <w:unhideWhenUsed/>
    <w:rsid w:val="00C17A3A"/>
    <w:pPr>
      <w:tabs>
        <w:tab w:val="center" w:pos="4680"/>
        <w:tab w:val="right" w:pos="9360"/>
      </w:tabs>
    </w:pPr>
  </w:style>
  <w:style w:type="character" w:customStyle="1" w:styleId="HeaderChar">
    <w:name w:val="Header Char"/>
    <w:basedOn w:val="DefaultParagraphFont"/>
    <w:link w:val="Header"/>
    <w:uiPriority w:val="99"/>
    <w:rsid w:val="00C17A3A"/>
    <w:rPr>
      <w:rFonts w:ascii="Times New Roman" w:eastAsia="Times New Roman" w:hAnsi="Times New Roman" w:cs="Times New Roman"/>
      <w:sz w:val="24"/>
      <w:szCs w:val="24"/>
      <w:lang w:val="en-US" w:eastAsia="lv-LV"/>
    </w:rPr>
  </w:style>
  <w:style w:type="paragraph" w:styleId="Footer">
    <w:name w:val="footer"/>
    <w:basedOn w:val="Normal"/>
    <w:link w:val="FooterChar"/>
    <w:uiPriority w:val="99"/>
    <w:unhideWhenUsed/>
    <w:rsid w:val="00C17A3A"/>
    <w:pPr>
      <w:tabs>
        <w:tab w:val="center" w:pos="4680"/>
        <w:tab w:val="right" w:pos="9360"/>
      </w:tabs>
    </w:pPr>
  </w:style>
  <w:style w:type="character" w:customStyle="1" w:styleId="FooterChar">
    <w:name w:val="Footer Char"/>
    <w:basedOn w:val="DefaultParagraphFont"/>
    <w:link w:val="Footer"/>
    <w:uiPriority w:val="99"/>
    <w:rsid w:val="00C17A3A"/>
    <w:rPr>
      <w:rFonts w:ascii="Times New Roman" w:eastAsia="Times New Roman" w:hAnsi="Times New Roman" w:cs="Times New Roman"/>
      <w:sz w:val="24"/>
      <w:szCs w:val="24"/>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zva.gov.l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6375</Words>
  <Characters>3634</Characters>
  <Application>Microsoft Office Word</Application>
  <DocSecurity>0</DocSecurity>
  <Lines>30</Lines>
  <Paragraphs>19</Paragraphs>
  <ScaleCrop>false</ScaleCrop>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KALAGINA Tatjana</dc:creator>
  <cp:keywords/>
  <dc:description/>
  <cp:lastModifiedBy>Skaidrīte Lapsenīte</cp:lastModifiedBy>
  <cp:revision>2</cp:revision>
  <dcterms:created xsi:type="dcterms:W3CDTF">2021-02-01T11:54:00Z</dcterms:created>
  <dcterms:modified xsi:type="dcterms:W3CDTF">2021-02-09T14:00:00Z</dcterms:modified>
</cp:coreProperties>
</file>