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CFC1" w14:textId="77777777" w:rsidR="00A1340D" w:rsidRDefault="00A1340D" w:rsidP="00B373B2">
      <w:pPr>
        <w:pStyle w:val="Header"/>
      </w:pPr>
    </w:p>
    <w:p w14:paraId="1A01F98E" w14:textId="77777777" w:rsidR="00A1340D" w:rsidRPr="008E7DD9" w:rsidRDefault="00A1340D" w:rsidP="00FE0E70">
      <w:pPr>
        <w:jc w:val="center"/>
        <w:rPr>
          <w:b/>
        </w:rPr>
      </w:pPr>
      <w:r>
        <w:rPr>
          <w:b/>
        </w:rPr>
        <w:t>ZĀĻU APRAKSTS</w:t>
      </w:r>
    </w:p>
    <w:p w14:paraId="58CF7947" w14:textId="77777777" w:rsidR="00A1340D" w:rsidRPr="008E7DD9" w:rsidRDefault="00A1340D" w:rsidP="00B373B2">
      <w:pPr>
        <w:rPr>
          <w:b/>
        </w:rPr>
      </w:pPr>
    </w:p>
    <w:p w14:paraId="2A6C7794" w14:textId="77777777" w:rsidR="00A1340D" w:rsidRPr="00346D7E" w:rsidRDefault="00A1340D" w:rsidP="00B373B2">
      <w:pPr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 xml:space="preserve">1. </w:t>
      </w:r>
      <w:r w:rsidR="00AD5FEF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 xml:space="preserve">ZĀĻU NOSAUKUMS </w:t>
      </w:r>
    </w:p>
    <w:p w14:paraId="1E3439FE" w14:textId="77777777" w:rsidR="00A1340D" w:rsidRPr="00346D7E" w:rsidRDefault="00FE0E70" w:rsidP="00B373B2">
      <w:pPr>
        <w:spacing w:before="240"/>
        <w:rPr>
          <w:sz w:val="22"/>
          <w:szCs w:val="22"/>
        </w:rPr>
      </w:pPr>
      <w:r w:rsidRPr="00346D7E">
        <w:rPr>
          <w:sz w:val="22"/>
          <w:szCs w:val="22"/>
        </w:rPr>
        <w:t>Bepanthen</w:t>
      </w:r>
      <w:r w:rsidR="00A1340D" w:rsidRPr="00346D7E">
        <w:rPr>
          <w:sz w:val="22"/>
          <w:szCs w:val="22"/>
        </w:rPr>
        <w:t xml:space="preserve"> </w:t>
      </w:r>
      <w:r w:rsidR="00346D7E" w:rsidRPr="00346D7E">
        <w:rPr>
          <w:sz w:val="22"/>
          <w:szCs w:val="22"/>
        </w:rPr>
        <w:t>50 mg/g</w:t>
      </w:r>
      <w:r w:rsidR="00B373B2" w:rsidRPr="00346D7E">
        <w:rPr>
          <w:sz w:val="22"/>
          <w:szCs w:val="22"/>
        </w:rPr>
        <w:t xml:space="preserve"> </w:t>
      </w:r>
      <w:r w:rsidR="00A1340D" w:rsidRPr="00346D7E">
        <w:rPr>
          <w:sz w:val="22"/>
          <w:szCs w:val="22"/>
        </w:rPr>
        <w:t>ziede</w:t>
      </w:r>
    </w:p>
    <w:p w14:paraId="54A174DA" w14:textId="77777777" w:rsidR="00A1340D" w:rsidRPr="00346D7E" w:rsidRDefault="00A1340D" w:rsidP="00B373B2">
      <w:pPr>
        <w:rPr>
          <w:sz w:val="22"/>
          <w:szCs w:val="22"/>
        </w:rPr>
      </w:pPr>
    </w:p>
    <w:p w14:paraId="510CB625" w14:textId="77777777" w:rsidR="00A1340D" w:rsidRPr="00346D7E" w:rsidRDefault="00A1340D" w:rsidP="00B373B2">
      <w:pPr>
        <w:rPr>
          <w:sz w:val="22"/>
          <w:szCs w:val="22"/>
        </w:rPr>
      </w:pPr>
    </w:p>
    <w:p w14:paraId="6FB4994F" w14:textId="77777777" w:rsidR="00A1340D" w:rsidRPr="00346D7E" w:rsidRDefault="00A1340D" w:rsidP="00B373B2">
      <w:pPr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 xml:space="preserve">2. </w:t>
      </w:r>
      <w:r w:rsidR="00AD5FEF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>KVALITATĪVAIS UN KVANTITATĪVAIS SASTĀVS</w:t>
      </w:r>
    </w:p>
    <w:p w14:paraId="7E6A4CCE" w14:textId="77777777" w:rsidR="00A1340D" w:rsidRPr="00346D7E" w:rsidRDefault="00A1340D" w:rsidP="00B373B2">
      <w:pPr>
        <w:rPr>
          <w:b/>
          <w:sz w:val="22"/>
          <w:szCs w:val="22"/>
        </w:rPr>
      </w:pPr>
    </w:p>
    <w:p w14:paraId="4F116442" w14:textId="50A976A8" w:rsidR="00A1340D" w:rsidRDefault="00A1340D" w:rsidP="00B373B2">
      <w:pPr>
        <w:rPr>
          <w:sz w:val="22"/>
          <w:szCs w:val="22"/>
        </w:rPr>
      </w:pPr>
      <w:r w:rsidRPr="00346D7E">
        <w:rPr>
          <w:sz w:val="22"/>
          <w:szCs w:val="22"/>
        </w:rPr>
        <w:t>1 g ziedes satur 50 mg dekspantenola</w:t>
      </w:r>
      <w:r w:rsidR="00346D7E">
        <w:rPr>
          <w:i/>
          <w:sz w:val="22"/>
          <w:szCs w:val="22"/>
        </w:rPr>
        <w:t xml:space="preserve"> (</w:t>
      </w:r>
      <w:r w:rsidR="00E40122">
        <w:rPr>
          <w:i/>
          <w:sz w:val="22"/>
          <w:szCs w:val="22"/>
        </w:rPr>
        <w:t>d</w:t>
      </w:r>
      <w:r w:rsidRPr="00346D7E">
        <w:rPr>
          <w:i/>
          <w:sz w:val="22"/>
          <w:szCs w:val="22"/>
        </w:rPr>
        <w:t>expanthenolum)</w:t>
      </w:r>
      <w:r w:rsidRPr="00346D7E">
        <w:rPr>
          <w:sz w:val="22"/>
          <w:szCs w:val="22"/>
        </w:rPr>
        <w:t>.</w:t>
      </w:r>
    </w:p>
    <w:p w14:paraId="694027B1" w14:textId="77777777" w:rsidR="00676821" w:rsidRPr="00346D7E" w:rsidRDefault="00676821" w:rsidP="00B373B2">
      <w:pPr>
        <w:rPr>
          <w:sz w:val="22"/>
          <w:szCs w:val="22"/>
        </w:rPr>
      </w:pPr>
    </w:p>
    <w:p w14:paraId="5D3FAAD5" w14:textId="633E6241" w:rsidR="00676821" w:rsidRDefault="00676821" w:rsidP="00676821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Palīgvielas ar zināmu iedarbību</w:t>
      </w:r>
      <w:r>
        <w:rPr>
          <w:sz w:val="22"/>
          <w:szCs w:val="22"/>
        </w:rPr>
        <w:t xml:space="preserve">: 1 g ziedes satur </w:t>
      </w:r>
      <w:r w:rsidR="00D7171D">
        <w:rPr>
          <w:sz w:val="22"/>
          <w:szCs w:val="22"/>
        </w:rPr>
        <w:t>250</w:t>
      </w:r>
      <w:r>
        <w:rPr>
          <w:sz w:val="22"/>
          <w:szCs w:val="22"/>
        </w:rPr>
        <w:t xml:space="preserve"> mg </w:t>
      </w:r>
      <w:r w:rsidR="003C7F2D">
        <w:rPr>
          <w:sz w:val="22"/>
          <w:szCs w:val="22"/>
        </w:rPr>
        <w:t>vilnas tauku (</w:t>
      </w:r>
      <w:r>
        <w:rPr>
          <w:sz w:val="22"/>
          <w:szCs w:val="22"/>
        </w:rPr>
        <w:t>lanolīna</w:t>
      </w:r>
      <w:r w:rsidR="003C7F2D">
        <w:rPr>
          <w:sz w:val="22"/>
          <w:szCs w:val="22"/>
        </w:rPr>
        <w:t>)</w:t>
      </w:r>
      <w:r>
        <w:rPr>
          <w:sz w:val="22"/>
          <w:szCs w:val="22"/>
        </w:rPr>
        <w:t>, 1</w:t>
      </w:r>
      <w:r w:rsidR="00843FB1">
        <w:rPr>
          <w:sz w:val="22"/>
          <w:szCs w:val="22"/>
        </w:rPr>
        <w:t>8</w:t>
      </w:r>
      <w:r>
        <w:rPr>
          <w:sz w:val="22"/>
          <w:szCs w:val="22"/>
        </w:rPr>
        <w:t xml:space="preserve"> mg cetilspirta un </w:t>
      </w:r>
      <w:r w:rsidR="00D7171D">
        <w:rPr>
          <w:sz w:val="22"/>
          <w:szCs w:val="22"/>
        </w:rPr>
        <w:t>12</w:t>
      </w:r>
      <w:r>
        <w:rPr>
          <w:sz w:val="22"/>
          <w:szCs w:val="22"/>
        </w:rPr>
        <w:t xml:space="preserve"> mg stearilspirta.</w:t>
      </w:r>
    </w:p>
    <w:p w14:paraId="6E899F0B" w14:textId="77777777" w:rsidR="00A1340D" w:rsidRPr="00346D7E" w:rsidRDefault="00A1340D" w:rsidP="00B373B2">
      <w:pPr>
        <w:rPr>
          <w:sz w:val="22"/>
          <w:szCs w:val="22"/>
        </w:rPr>
      </w:pPr>
      <w:r w:rsidRPr="00346D7E">
        <w:rPr>
          <w:sz w:val="22"/>
          <w:szCs w:val="22"/>
        </w:rPr>
        <w:t>P</w:t>
      </w:r>
      <w:r w:rsidR="00FE0E70" w:rsidRPr="00346D7E">
        <w:rPr>
          <w:sz w:val="22"/>
          <w:szCs w:val="22"/>
        </w:rPr>
        <w:t xml:space="preserve">ilnu palīgvielu sarakstu skatīt </w:t>
      </w:r>
      <w:r w:rsidR="0090309E" w:rsidRPr="00346D7E">
        <w:rPr>
          <w:sz w:val="22"/>
          <w:szCs w:val="22"/>
        </w:rPr>
        <w:t>6.1.</w:t>
      </w:r>
      <w:r w:rsidR="00FE0E70" w:rsidRPr="00346D7E">
        <w:rPr>
          <w:sz w:val="22"/>
          <w:szCs w:val="22"/>
        </w:rPr>
        <w:t>apakšpunktā</w:t>
      </w:r>
      <w:r w:rsidR="0090309E">
        <w:rPr>
          <w:sz w:val="22"/>
          <w:szCs w:val="22"/>
        </w:rPr>
        <w:t>.</w:t>
      </w:r>
      <w:r w:rsidRPr="00346D7E">
        <w:rPr>
          <w:sz w:val="22"/>
          <w:szCs w:val="22"/>
        </w:rPr>
        <w:t xml:space="preserve"> </w:t>
      </w:r>
    </w:p>
    <w:p w14:paraId="30A757E4" w14:textId="77777777" w:rsidR="00A1340D" w:rsidRPr="00346D7E" w:rsidRDefault="00A1340D" w:rsidP="00B373B2">
      <w:pPr>
        <w:rPr>
          <w:sz w:val="22"/>
          <w:szCs w:val="22"/>
        </w:rPr>
      </w:pPr>
    </w:p>
    <w:p w14:paraId="1EE39913" w14:textId="77777777" w:rsidR="00A1340D" w:rsidRPr="00346D7E" w:rsidRDefault="00A1340D" w:rsidP="00B373B2">
      <w:pPr>
        <w:rPr>
          <w:sz w:val="22"/>
          <w:szCs w:val="22"/>
        </w:rPr>
      </w:pPr>
    </w:p>
    <w:p w14:paraId="1C74402D" w14:textId="77777777" w:rsidR="00A1340D" w:rsidRPr="00346D7E" w:rsidRDefault="00A1340D" w:rsidP="00B373B2">
      <w:pPr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 xml:space="preserve">3. </w:t>
      </w:r>
      <w:r w:rsidR="00AD5FEF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>ZĀĻU FORMA</w:t>
      </w:r>
    </w:p>
    <w:p w14:paraId="32CEC2C2" w14:textId="77777777" w:rsidR="00A1340D" w:rsidRPr="00346D7E" w:rsidRDefault="00A1340D" w:rsidP="00B373B2">
      <w:pPr>
        <w:rPr>
          <w:b/>
          <w:sz w:val="22"/>
          <w:szCs w:val="22"/>
        </w:rPr>
      </w:pPr>
    </w:p>
    <w:p w14:paraId="41126019" w14:textId="1039F7AE" w:rsidR="00A1340D" w:rsidRPr="00346D7E" w:rsidRDefault="00A1340D" w:rsidP="00B373B2">
      <w:pPr>
        <w:rPr>
          <w:sz w:val="22"/>
          <w:szCs w:val="22"/>
        </w:rPr>
      </w:pPr>
      <w:r w:rsidRPr="00346D7E">
        <w:rPr>
          <w:sz w:val="22"/>
          <w:szCs w:val="22"/>
        </w:rPr>
        <w:t xml:space="preserve">Ziede </w:t>
      </w:r>
    </w:p>
    <w:p w14:paraId="78FD6DD4" w14:textId="77777777" w:rsidR="00A1340D" w:rsidRPr="00346D7E" w:rsidRDefault="007D2CC8" w:rsidP="00B373B2">
      <w:pPr>
        <w:rPr>
          <w:sz w:val="22"/>
          <w:szCs w:val="22"/>
        </w:rPr>
      </w:pPr>
      <w:r>
        <w:rPr>
          <w:sz w:val="22"/>
          <w:szCs w:val="22"/>
        </w:rPr>
        <w:t xml:space="preserve">Homogēna krēmkrāsas ūdens/eļļā emulsija. </w:t>
      </w:r>
    </w:p>
    <w:p w14:paraId="2D6B5A8C" w14:textId="77777777" w:rsidR="00FE0E70" w:rsidRPr="00346D7E" w:rsidRDefault="00FE0E70" w:rsidP="00B373B2">
      <w:pPr>
        <w:rPr>
          <w:sz w:val="22"/>
          <w:szCs w:val="22"/>
        </w:rPr>
      </w:pPr>
    </w:p>
    <w:p w14:paraId="0A7D8282" w14:textId="77777777" w:rsidR="00A1340D" w:rsidRPr="00346D7E" w:rsidRDefault="00A1340D" w:rsidP="00B373B2">
      <w:pPr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 xml:space="preserve">4. </w:t>
      </w:r>
      <w:r w:rsidR="00AD5FEF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>KLĪNISKĀ INFORMĀCIJA</w:t>
      </w:r>
    </w:p>
    <w:p w14:paraId="0C0459F2" w14:textId="77777777" w:rsidR="00A1340D" w:rsidRPr="00346D7E" w:rsidRDefault="00A1340D" w:rsidP="00B373B2">
      <w:pPr>
        <w:rPr>
          <w:b/>
          <w:sz w:val="22"/>
          <w:szCs w:val="22"/>
        </w:rPr>
      </w:pPr>
    </w:p>
    <w:p w14:paraId="1DFB4C8B" w14:textId="77777777" w:rsidR="00A1340D" w:rsidRPr="00346D7E" w:rsidRDefault="00A1340D" w:rsidP="00B373B2">
      <w:pPr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>4.1</w:t>
      </w:r>
      <w:r w:rsidR="0090309E">
        <w:rPr>
          <w:b/>
          <w:sz w:val="22"/>
          <w:szCs w:val="22"/>
        </w:rPr>
        <w:t>.</w:t>
      </w:r>
      <w:r w:rsidRPr="00346D7E">
        <w:rPr>
          <w:b/>
          <w:sz w:val="22"/>
          <w:szCs w:val="22"/>
        </w:rPr>
        <w:t xml:space="preserve"> </w:t>
      </w:r>
      <w:r w:rsidR="00AD5FEF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>Terapeitiskās indikācijas</w:t>
      </w:r>
    </w:p>
    <w:p w14:paraId="4CB429BE" w14:textId="77777777" w:rsidR="00A1340D" w:rsidRPr="00346D7E" w:rsidRDefault="00A1340D" w:rsidP="00542531">
      <w:pPr>
        <w:jc w:val="both"/>
        <w:rPr>
          <w:b/>
          <w:sz w:val="22"/>
          <w:szCs w:val="22"/>
        </w:rPr>
      </w:pPr>
    </w:p>
    <w:p w14:paraId="36B22F2C" w14:textId="77777777" w:rsidR="00A1340D" w:rsidRPr="00346D7E" w:rsidRDefault="00A1340D" w:rsidP="00542531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>Nelielu bojājumu (piemēram, neli</w:t>
      </w:r>
      <w:r w:rsidR="00FE0E70" w:rsidRPr="00346D7E">
        <w:rPr>
          <w:sz w:val="22"/>
          <w:szCs w:val="22"/>
        </w:rPr>
        <w:t>elu apdegumu un skrambu), ādas</w:t>
      </w:r>
      <w:r w:rsidRPr="00346D7E">
        <w:rPr>
          <w:sz w:val="22"/>
          <w:szCs w:val="22"/>
        </w:rPr>
        <w:t xml:space="preserve"> iekaisuma (radies, piemēram, staru terapijas, fototerapijas vai ultravioletā starojuma ietekmē), hronisku čūlu un izgulējumu, </w:t>
      </w:r>
      <w:r w:rsidR="00542531" w:rsidRPr="00346D7E">
        <w:rPr>
          <w:sz w:val="22"/>
          <w:szCs w:val="22"/>
        </w:rPr>
        <w:t>ādas plīsumu pie anālās atveres</w:t>
      </w:r>
      <w:r w:rsidRPr="00346D7E">
        <w:rPr>
          <w:sz w:val="22"/>
          <w:szCs w:val="22"/>
        </w:rPr>
        <w:t>, ādas transplantātu dzīšanas un epitelizācijas veicināšana.</w:t>
      </w:r>
    </w:p>
    <w:p w14:paraId="6CC879F5" w14:textId="77777777" w:rsidR="00542531" w:rsidRPr="00346D7E" w:rsidRDefault="00542531" w:rsidP="00346D7E">
      <w:pPr>
        <w:jc w:val="both"/>
        <w:rPr>
          <w:sz w:val="22"/>
          <w:szCs w:val="22"/>
        </w:rPr>
      </w:pPr>
    </w:p>
    <w:p w14:paraId="61FB9713" w14:textId="77777777" w:rsidR="00A1340D" w:rsidRPr="00346D7E" w:rsidRDefault="00A1340D" w:rsidP="00346D7E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>Ādas nobrāzumu un plaisāšanas profilakse un ārstēšana.</w:t>
      </w:r>
    </w:p>
    <w:p w14:paraId="0BDFA379" w14:textId="77777777" w:rsidR="00542531" w:rsidRPr="00346D7E" w:rsidRDefault="00542531" w:rsidP="00346D7E">
      <w:pPr>
        <w:jc w:val="both"/>
        <w:rPr>
          <w:sz w:val="22"/>
          <w:szCs w:val="22"/>
        </w:rPr>
      </w:pPr>
    </w:p>
    <w:p w14:paraId="1D8F1E31" w14:textId="77777777" w:rsidR="00A1340D" w:rsidRPr="00346D7E" w:rsidRDefault="00A1340D" w:rsidP="00346D7E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>Sausa āda.</w:t>
      </w:r>
    </w:p>
    <w:p w14:paraId="16861159" w14:textId="77777777" w:rsidR="00542531" w:rsidRPr="00346D7E" w:rsidRDefault="00542531" w:rsidP="00346D7E">
      <w:pPr>
        <w:jc w:val="both"/>
        <w:rPr>
          <w:sz w:val="22"/>
          <w:szCs w:val="22"/>
        </w:rPr>
      </w:pPr>
    </w:p>
    <w:p w14:paraId="30544B1D" w14:textId="77777777" w:rsidR="00A1340D" w:rsidRPr="00346D7E" w:rsidRDefault="00A1340D" w:rsidP="00346D7E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 xml:space="preserve">Regulāra krūts dziedzeru kopšana mātēm </w:t>
      </w:r>
      <w:r w:rsidR="00EB6375">
        <w:rPr>
          <w:sz w:val="22"/>
          <w:szCs w:val="22"/>
        </w:rPr>
        <w:t>barošanas ar krūti</w:t>
      </w:r>
      <w:r w:rsidR="00EB6375" w:rsidRPr="00346D7E">
        <w:rPr>
          <w:sz w:val="22"/>
          <w:szCs w:val="22"/>
        </w:rPr>
        <w:t xml:space="preserve"> </w:t>
      </w:r>
      <w:r w:rsidRPr="00346D7E">
        <w:rPr>
          <w:sz w:val="22"/>
          <w:szCs w:val="22"/>
        </w:rPr>
        <w:t>laikā un sāpīgu vai saplaisājušu krūšu galu ārstēšana.</w:t>
      </w:r>
    </w:p>
    <w:p w14:paraId="2CD271D3" w14:textId="77777777" w:rsidR="00542531" w:rsidRPr="00346D7E" w:rsidRDefault="00542531" w:rsidP="00346D7E">
      <w:pPr>
        <w:jc w:val="both"/>
        <w:rPr>
          <w:sz w:val="22"/>
          <w:szCs w:val="22"/>
        </w:rPr>
      </w:pPr>
    </w:p>
    <w:p w14:paraId="206580C6" w14:textId="77777777" w:rsidR="00A1340D" w:rsidRPr="00346D7E" w:rsidRDefault="00A1340D" w:rsidP="00346D7E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>Zīdaiņu aprūpe: autiņu izraisītu izsitumu profilakse un ārstēšana.</w:t>
      </w:r>
    </w:p>
    <w:p w14:paraId="7109EC97" w14:textId="77777777" w:rsidR="00542531" w:rsidRPr="00346D7E" w:rsidRDefault="00542531" w:rsidP="00346D7E">
      <w:pPr>
        <w:jc w:val="both"/>
        <w:rPr>
          <w:sz w:val="22"/>
          <w:szCs w:val="22"/>
        </w:rPr>
      </w:pPr>
    </w:p>
    <w:p w14:paraId="24C653B2" w14:textId="0DACB586" w:rsidR="00B373B2" w:rsidRPr="00346D7E" w:rsidRDefault="00B373B2" w:rsidP="00346D7E">
      <w:pPr>
        <w:jc w:val="both"/>
        <w:rPr>
          <w:b/>
          <w:sz w:val="22"/>
          <w:szCs w:val="22"/>
        </w:rPr>
      </w:pPr>
      <w:r w:rsidRPr="00346D7E">
        <w:rPr>
          <w:sz w:val="22"/>
          <w:szCs w:val="22"/>
        </w:rPr>
        <w:t xml:space="preserve">Kā papildus zāļu līdzeklis pacientiem, kas ārstējas ar </w:t>
      </w:r>
      <w:r w:rsidR="00542531" w:rsidRPr="00346D7E">
        <w:rPr>
          <w:sz w:val="22"/>
          <w:szCs w:val="22"/>
        </w:rPr>
        <w:t>kortikosteroīdu</w:t>
      </w:r>
      <w:r w:rsidR="00E40122">
        <w:rPr>
          <w:sz w:val="22"/>
          <w:szCs w:val="22"/>
        </w:rPr>
        <w:t>s saturošiem līdzekļiem</w:t>
      </w:r>
      <w:r w:rsidRPr="00346D7E">
        <w:rPr>
          <w:sz w:val="22"/>
          <w:szCs w:val="22"/>
        </w:rPr>
        <w:t xml:space="preserve"> un </w:t>
      </w:r>
      <w:r w:rsidR="00542531" w:rsidRPr="00346D7E">
        <w:rPr>
          <w:sz w:val="22"/>
          <w:szCs w:val="22"/>
        </w:rPr>
        <w:t>kortikosteroīdu</w:t>
      </w:r>
      <w:r w:rsidRPr="00346D7E">
        <w:rPr>
          <w:sz w:val="22"/>
          <w:szCs w:val="22"/>
        </w:rPr>
        <w:t xml:space="preserve"> lietošanas pārtraukumos.</w:t>
      </w:r>
    </w:p>
    <w:p w14:paraId="67858A6F" w14:textId="77777777" w:rsidR="00A1340D" w:rsidRPr="00346D7E" w:rsidRDefault="00A1340D" w:rsidP="00346D7E">
      <w:pPr>
        <w:numPr>
          <w:ilvl w:val="12"/>
          <w:numId w:val="0"/>
        </w:numPr>
        <w:ind w:left="567" w:hanging="283"/>
        <w:jc w:val="both"/>
        <w:rPr>
          <w:sz w:val="22"/>
          <w:szCs w:val="22"/>
        </w:rPr>
      </w:pPr>
    </w:p>
    <w:p w14:paraId="091CBC10" w14:textId="77777777" w:rsidR="00A1340D" w:rsidRPr="00346D7E" w:rsidRDefault="00A1340D" w:rsidP="00346D7E">
      <w:pPr>
        <w:numPr>
          <w:ilvl w:val="12"/>
          <w:numId w:val="0"/>
        </w:numPr>
        <w:ind w:left="283" w:hanging="283"/>
        <w:jc w:val="both"/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>4.2</w:t>
      </w:r>
      <w:r w:rsidR="0090309E">
        <w:rPr>
          <w:b/>
          <w:sz w:val="22"/>
          <w:szCs w:val="22"/>
        </w:rPr>
        <w:t>.</w:t>
      </w:r>
      <w:r w:rsidRPr="00346D7E">
        <w:rPr>
          <w:b/>
          <w:sz w:val="22"/>
          <w:szCs w:val="22"/>
        </w:rPr>
        <w:t xml:space="preserve"> </w:t>
      </w:r>
      <w:r w:rsidR="00AD5FEF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>Devas un lietošanas veids</w:t>
      </w:r>
    </w:p>
    <w:p w14:paraId="2E676F54" w14:textId="77777777" w:rsidR="00A1340D" w:rsidRPr="00346D7E" w:rsidRDefault="00A1340D" w:rsidP="00346D7E">
      <w:pPr>
        <w:numPr>
          <w:ilvl w:val="12"/>
          <w:numId w:val="0"/>
        </w:numPr>
        <w:ind w:left="283" w:hanging="283"/>
        <w:jc w:val="both"/>
        <w:rPr>
          <w:b/>
          <w:sz w:val="22"/>
          <w:szCs w:val="22"/>
        </w:rPr>
      </w:pPr>
    </w:p>
    <w:p w14:paraId="5126C839" w14:textId="77777777" w:rsidR="00346A9D" w:rsidRDefault="00346A9D" w:rsidP="00346D7E">
      <w:pPr>
        <w:jc w:val="both"/>
        <w:rPr>
          <w:sz w:val="22"/>
          <w:szCs w:val="22"/>
        </w:rPr>
      </w:pPr>
      <w:r>
        <w:rPr>
          <w:sz w:val="22"/>
          <w:szCs w:val="22"/>
        </w:rPr>
        <w:t>Lietošanai uz ādas.</w:t>
      </w:r>
    </w:p>
    <w:p w14:paraId="57DC2353" w14:textId="77777777" w:rsidR="00A1340D" w:rsidRDefault="00736CC0" w:rsidP="00346D7E">
      <w:pPr>
        <w:jc w:val="both"/>
        <w:rPr>
          <w:sz w:val="22"/>
          <w:szCs w:val="22"/>
        </w:rPr>
      </w:pPr>
      <w:r>
        <w:rPr>
          <w:sz w:val="22"/>
          <w:szCs w:val="22"/>
        </w:rPr>
        <w:t>Nelielu bojājumu (nelielu apdegumu un skrambu), ādas iekaisuma, hronisku čūlu un izgulējumu, ādas plīsumu pie anālās atveres, ādas transplantāta ārstēšanai</w:t>
      </w:r>
      <w:r w:rsidR="008859C0" w:rsidRPr="00346D7E">
        <w:rPr>
          <w:sz w:val="22"/>
          <w:szCs w:val="22"/>
        </w:rPr>
        <w:t xml:space="preserve"> </w:t>
      </w:r>
      <w:r w:rsidR="00542531" w:rsidRPr="00346D7E">
        <w:rPr>
          <w:sz w:val="22"/>
          <w:szCs w:val="22"/>
        </w:rPr>
        <w:t>zāles</w:t>
      </w:r>
      <w:r w:rsidR="008859C0" w:rsidRPr="00346D7E">
        <w:rPr>
          <w:sz w:val="22"/>
          <w:szCs w:val="22"/>
        </w:rPr>
        <w:t xml:space="preserve"> lietot</w:t>
      </w:r>
      <w:r w:rsidR="00A1340D" w:rsidRPr="00346D7E">
        <w:rPr>
          <w:sz w:val="22"/>
          <w:szCs w:val="22"/>
        </w:rPr>
        <w:t xml:space="preserve"> vienu vai vairākas reizes dienā, </w:t>
      </w:r>
      <w:r w:rsidR="00346D7E" w:rsidRPr="00346D7E">
        <w:rPr>
          <w:sz w:val="22"/>
          <w:szCs w:val="22"/>
        </w:rPr>
        <w:t xml:space="preserve">pēc nepieciešamības. </w:t>
      </w:r>
    </w:p>
    <w:p w14:paraId="33440138" w14:textId="77777777" w:rsidR="00736CC0" w:rsidRDefault="00736CC0" w:rsidP="00346D7E">
      <w:pPr>
        <w:jc w:val="both"/>
        <w:rPr>
          <w:sz w:val="22"/>
          <w:szCs w:val="22"/>
        </w:rPr>
      </w:pPr>
      <w:r>
        <w:rPr>
          <w:sz w:val="22"/>
          <w:szCs w:val="22"/>
        </w:rPr>
        <w:t>Ādas nobrāzumu</w:t>
      </w:r>
      <w:r w:rsidR="00261001">
        <w:rPr>
          <w:sz w:val="22"/>
          <w:szCs w:val="22"/>
        </w:rPr>
        <w:t xml:space="preserve"> un plaisāšanas ārstēšanai un profilaksei zāles lietot vienu vai vairākas reizes dienā, pēc nepieciešamības.</w:t>
      </w:r>
      <w:r>
        <w:rPr>
          <w:sz w:val="22"/>
          <w:szCs w:val="22"/>
        </w:rPr>
        <w:t xml:space="preserve"> </w:t>
      </w:r>
    </w:p>
    <w:p w14:paraId="52EF818E" w14:textId="77777777" w:rsidR="00261001" w:rsidRPr="00346D7E" w:rsidRDefault="00261001" w:rsidP="00346D7E">
      <w:pPr>
        <w:jc w:val="both"/>
        <w:rPr>
          <w:sz w:val="22"/>
          <w:szCs w:val="22"/>
        </w:rPr>
      </w:pPr>
      <w:r>
        <w:rPr>
          <w:sz w:val="22"/>
          <w:szCs w:val="22"/>
        </w:rPr>
        <w:t>Sausa āda: ziedi lietot skartajā apvidū vienu vai vairākas reizes dienā, pēc nepieciešamības.</w:t>
      </w:r>
    </w:p>
    <w:p w14:paraId="494A17FA" w14:textId="77777777" w:rsidR="00542531" w:rsidRPr="00346D7E" w:rsidRDefault="00A1340D" w:rsidP="00346D7E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 xml:space="preserve">Krūts dziedzeru kopšanai mātēm </w:t>
      </w:r>
      <w:r w:rsidR="004120AD">
        <w:rPr>
          <w:sz w:val="22"/>
          <w:szCs w:val="22"/>
        </w:rPr>
        <w:t>barošanas ar krūti</w:t>
      </w:r>
      <w:r w:rsidR="004120AD" w:rsidRPr="00346D7E">
        <w:rPr>
          <w:sz w:val="22"/>
          <w:szCs w:val="22"/>
        </w:rPr>
        <w:t xml:space="preserve"> </w:t>
      </w:r>
      <w:r w:rsidRPr="00346D7E">
        <w:rPr>
          <w:sz w:val="22"/>
          <w:szCs w:val="22"/>
        </w:rPr>
        <w:t xml:space="preserve">laikā </w:t>
      </w:r>
      <w:r w:rsidR="0047369E">
        <w:rPr>
          <w:sz w:val="22"/>
          <w:szCs w:val="22"/>
        </w:rPr>
        <w:t xml:space="preserve">ar </w:t>
      </w:r>
      <w:r w:rsidRPr="00346D7E">
        <w:rPr>
          <w:sz w:val="22"/>
          <w:szCs w:val="22"/>
        </w:rPr>
        <w:t>ziedi pēc</w:t>
      </w:r>
      <w:r w:rsidR="008859C0" w:rsidRPr="00346D7E">
        <w:rPr>
          <w:sz w:val="22"/>
          <w:szCs w:val="22"/>
        </w:rPr>
        <w:t xml:space="preserve"> katras </w:t>
      </w:r>
      <w:r w:rsidR="004120AD">
        <w:rPr>
          <w:sz w:val="22"/>
          <w:szCs w:val="22"/>
        </w:rPr>
        <w:t>krūts barošanas</w:t>
      </w:r>
      <w:r w:rsidR="004120AD" w:rsidRPr="00346D7E">
        <w:rPr>
          <w:sz w:val="22"/>
          <w:szCs w:val="22"/>
        </w:rPr>
        <w:t xml:space="preserve"> </w:t>
      </w:r>
      <w:r w:rsidR="008859C0" w:rsidRPr="00346D7E">
        <w:rPr>
          <w:sz w:val="22"/>
          <w:szCs w:val="22"/>
        </w:rPr>
        <w:t xml:space="preserve">reizes </w:t>
      </w:r>
      <w:r w:rsidR="00542531" w:rsidRPr="00346D7E">
        <w:rPr>
          <w:sz w:val="22"/>
          <w:szCs w:val="22"/>
        </w:rPr>
        <w:t>ie</w:t>
      </w:r>
      <w:r w:rsidR="008859C0" w:rsidRPr="00346D7E">
        <w:rPr>
          <w:sz w:val="22"/>
          <w:szCs w:val="22"/>
        </w:rPr>
        <w:t>ziest</w:t>
      </w:r>
      <w:r w:rsidR="00542531" w:rsidRPr="00346D7E">
        <w:rPr>
          <w:sz w:val="22"/>
          <w:szCs w:val="22"/>
        </w:rPr>
        <w:t xml:space="preserve"> krūts dziedzeru ādu.</w:t>
      </w:r>
    </w:p>
    <w:p w14:paraId="3A86A12C" w14:textId="77777777" w:rsidR="00A1340D" w:rsidRPr="00346D7E" w:rsidRDefault="00A1340D" w:rsidP="00346D7E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>Zīd</w:t>
      </w:r>
      <w:r w:rsidR="008859C0" w:rsidRPr="00346D7E">
        <w:rPr>
          <w:sz w:val="22"/>
          <w:szCs w:val="22"/>
        </w:rPr>
        <w:t xml:space="preserve">aiņu aprūpei </w:t>
      </w:r>
      <w:r w:rsidR="00542531" w:rsidRPr="00346D7E">
        <w:rPr>
          <w:sz w:val="22"/>
          <w:szCs w:val="22"/>
        </w:rPr>
        <w:t>ziedi</w:t>
      </w:r>
      <w:r w:rsidR="008859C0" w:rsidRPr="00346D7E">
        <w:rPr>
          <w:sz w:val="22"/>
          <w:szCs w:val="22"/>
        </w:rPr>
        <w:t xml:space="preserve"> lietot</w:t>
      </w:r>
      <w:r w:rsidRPr="00346D7E">
        <w:rPr>
          <w:sz w:val="22"/>
          <w:szCs w:val="22"/>
        </w:rPr>
        <w:t xml:space="preserve"> katru reizi, kad </w:t>
      </w:r>
      <w:r w:rsidR="008859C0" w:rsidRPr="00346D7E">
        <w:rPr>
          <w:sz w:val="22"/>
          <w:szCs w:val="22"/>
        </w:rPr>
        <w:t>tiek mainīti autiņi</w:t>
      </w:r>
      <w:r w:rsidRPr="00346D7E">
        <w:rPr>
          <w:sz w:val="22"/>
          <w:szCs w:val="22"/>
        </w:rPr>
        <w:t>.</w:t>
      </w:r>
    </w:p>
    <w:p w14:paraId="59E1D62C" w14:textId="77777777" w:rsidR="003513B5" w:rsidRPr="00346D7E" w:rsidRDefault="003513B5" w:rsidP="003513B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Kā papildus zāļu līdzekli</w:t>
      </w:r>
      <w:r w:rsidRPr="00346D7E">
        <w:rPr>
          <w:sz w:val="22"/>
          <w:szCs w:val="22"/>
        </w:rPr>
        <w:t xml:space="preserve"> pacientiem, kas ārstējas ar kortikosteroīdu preparātiem, un kortikosteroīdu lietošanas pārtraukumos</w:t>
      </w:r>
      <w:r>
        <w:rPr>
          <w:sz w:val="22"/>
          <w:szCs w:val="22"/>
        </w:rPr>
        <w:t>, ziedi lietot vienu vai vairākas reizes dienā, pēc nepieciešamības.</w:t>
      </w:r>
    </w:p>
    <w:p w14:paraId="47E230DF" w14:textId="77777777" w:rsidR="00A1340D" w:rsidRPr="00346D7E" w:rsidRDefault="00A1340D" w:rsidP="00346D7E">
      <w:pPr>
        <w:jc w:val="both"/>
        <w:rPr>
          <w:sz w:val="22"/>
          <w:szCs w:val="22"/>
        </w:rPr>
      </w:pPr>
    </w:p>
    <w:p w14:paraId="4B79C183" w14:textId="77777777" w:rsidR="00A1340D" w:rsidRPr="00346D7E" w:rsidRDefault="00A1340D" w:rsidP="00346D7E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lastRenderedPageBreak/>
        <w:t>Bepanthen ziedes sastāvā ir aktīvā viela dekspantenols</w:t>
      </w:r>
      <w:r w:rsidR="00FE0E70" w:rsidRPr="00346D7E">
        <w:rPr>
          <w:sz w:val="22"/>
          <w:szCs w:val="22"/>
        </w:rPr>
        <w:t xml:space="preserve"> </w:t>
      </w:r>
      <w:r w:rsidRPr="00346D7E">
        <w:rPr>
          <w:sz w:val="22"/>
          <w:szCs w:val="22"/>
        </w:rPr>
        <w:t>un eļļaina ziedes pamatmasa.</w:t>
      </w:r>
    </w:p>
    <w:p w14:paraId="1901AB04" w14:textId="77777777" w:rsidR="00A1340D" w:rsidRPr="00346D7E" w:rsidRDefault="00A1340D" w:rsidP="00346D7E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>Lietošanai uz mitrojošiem bojājumiem, atklātām ādas vietām (piemēram, uz sejas) un uz ādas, kas klāta ar apmatojumu, ieteicams izmantot Bepanthen krēmu, kas ir viegls un ātri uzsūcas.</w:t>
      </w:r>
    </w:p>
    <w:p w14:paraId="700A658F" w14:textId="77777777" w:rsidR="00A1340D" w:rsidRPr="00346D7E" w:rsidRDefault="00A1340D" w:rsidP="00B373B2">
      <w:pPr>
        <w:rPr>
          <w:sz w:val="22"/>
          <w:szCs w:val="22"/>
        </w:rPr>
      </w:pPr>
    </w:p>
    <w:p w14:paraId="59E70620" w14:textId="77777777" w:rsidR="00A1340D" w:rsidRPr="00346D7E" w:rsidRDefault="00A1340D" w:rsidP="00B373B2">
      <w:pPr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>4.3</w:t>
      </w:r>
      <w:r w:rsidR="0090309E">
        <w:rPr>
          <w:b/>
          <w:sz w:val="22"/>
          <w:szCs w:val="22"/>
        </w:rPr>
        <w:t>.</w:t>
      </w:r>
      <w:r w:rsidRPr="00346D7E">
        <w:rPr>
          <w:b/>
          <w:sz w:val="22"/>
          <w:szCs w:val="22"/>
        </w:rPr>
        <w:t xml:space="preserve"> </w:t>
      </w:r>
      <w:r w:rsidR="00AD5FEF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 xml:space="preserve">Kontrindikācijas </w:t>
      </w:r>
    </w:p>
    <w:p w14:paraId="0EE2D81D" w14:textId="77777777" w:rsidR="00A1340D" w:rsidRPr="00346D7E" w:rsidRDefault="00A1340D" w:rsidP="00B373B2">
      <w:pPr>
        <w:ind w:firstLine="284"/>
        <w:rPr>
          <w:b/>
          <w:sz w:val="22"/>
          <w:szCs w:val="22"/>
        </w:rPr>
      </w:pPr>
    </w:p>
    <w:p w14:paraId="2F8985E3" w14:textId="77777777" w:rsidR="00A1340D" w:rsidRPr="00346D7E" w:rsidRDefault="00FE0E70" w:rsidP="00542531">
      <w:pPr>
        <w:rPr>
          <w:sz w:val="22"/>
          <w:szCs w:val="22"/>
        </w:rPr>
      </w:pPr>
      <w:r w:rsidRPr="00346D7E">
        <w:rPr>
          <w:sz w:val="22"/>
          <w:szCs w:val="22"/>
        </w:rPr>
        <w:t>Pa</w:t>
      </w:r>
      <w:r w:rsidR="00346D7E" w:rsidRPr="00346D7E">
        <w:rPr>
          <w:sz w:val="22"/>
          <w:szCs w:val="22"/>
        </w:rPr>
        <w:t>augstināta</w:t>
      </w:r>
      <w:r w:rsidRPr="00346D7E">
        <w:rPr>
          <w:sz w:val="22"/>
          <w:szCs w:val="22"/>
        </w:rPr>
        <w:t xml:space="preserve"> jutība pret aktīvo vielu</w:t>
      </w:r>
      <w:r w:rsidR="00D6522A">
        <w:rPr>
          <w:sz w:val="22"/>
          <w:szCs w:val="22"/>
        </w:rPr>
        <w:t xml:space="preserve"> </w:t>
      </w:r>
      <w:r w:rsidRPr="00346D7E">
        <w:rPr>
          <w:sz w:val="22"/>
          <w:szCs w:val="22"/>
        </w:rPr>
        <w:t xml:space="preserve">vai jebkuru no </w:t>
      </w:r>
      <w:r w:rsidR="00D6522A">
        <w:rPr>
          <w:sz w:val="22"/>
          <w:szCs w:val="22"/>
        </w:rPr>
        <w:t>6.1. apakšpunktā uzskaitītajām palīgvielām.</w:t>
      </w:r>
    </w:p>
    <w:p w14:paraId="49E21587" w14:textId="77777777" w:rsidR="00FE0E70" w:rsidRPr="00346D7E" w:rsidRDefault="00FE0E70" w:rsidP="00B373B2">
      <w:pPr>
        <w:ind w:left="284"/>
        <w:rPr>
          <w:sz w:val="22"/>
          <w:szCs w:val="22"/>
        </w:rPr>
      </w:pPr>
    </w:p>
    <w:p w14:paraId="0160C180" w14:textId="77777777" w:rsidR="00A1340D" w:rsidRPr="00346D7E" w:rsidRDefault="00A1340D" w:rsidP="00B373B2">
      <w:pPr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>4.4</w:t>
      </w:r>
      <w:r w:rsidR="0090309E">
        <w:rPr>
          <w:b/>
          <w:sz w:val="22"/>
          <w:szCs w:val="22"/>
        </w:rPr>
        <w:t>.</w:t>
      </w:r>
      <w:r w:rsidRPr="00346D7E">
        <w:rPr>
          <w:b/>
          <w:sz w:val="22"/>
          <w:szCs w:val="22"/>
        </w:rPr>
        <w:t xml:space="preserve"> </w:t>
      </w:r>
      <w:r w:rsidR="00AD5FEF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>Īpaši brīdinājumi un piesardzība lietošanā</w:t>
      </w:r>
    </w:p>
    <w:p w14:paraId="77EBFCBA" w14:textId="77777777" w:rsidR="00A1340D" w:rsidRPr="00346D7E" w:rsidRDefault="00A1340D" w:rsidP="00B373B2">
      <w:pPr>
        <w:rPr>
          <w:b/>
          <w:sz w:val="22"/>
          <w:szCs w:val="22"/>
        </w:rPr>
      </w:pPr>
    </w:p>
    <w:p w14:paraId="334B5260" w14:textId="77777777" w:rsidR="00F42F1F" w:rsidRPr="00346D7E" w:rsidRDefault="00F42F1F" w:rsidP="00F42F1F">
      <w:pPr>
        <w:tabs>
          <w:tab w:val="left" w:pos="360"/>
        </w:tabs>
        <w:jc w:val="both"/>
        <w:rPr>
          <w:sz w:val="22"/>
          <w:szCs w:val="22"/>
        </w:rPr>
      </w:pPr>
      <w:r w:rsidRPr="00346D7E">
        <w:rPr>
          <w:sz w:val="22"/>
          <w:szCs w:val="22"/>
        </w:rPr>
        <w:t>Tikai lietošanai uz ādas.</w:t>
      </w:r>
    </w:p>
    <w:p w14:paraId="6BA3F3FB" w14:textId="77777777" w:rsidR="00F42F1F" w:rsidRPr="00346D7E" w:rsidRDefault="00F42F1F" w:rsidP="00F42F1F">
      <w:pPr>
        <w:jc w:val="both"/>
        <w:rPr>
          <w:sz w:val="22"/>
          <w:szCs w:val="22"/>
        </w:rPr>
      </w:pPr>
    </w:p>
    <w:p w14:paraId="0BD3CC7D" w14:textId="77777777" w:rsidR="00F42F1F" w:rsidRDefault="00F42F1F" w:rsidP="00F42F1F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>Jāuzmanās, lai Bepanthen neiekļūst acīs. Ja tas tomēr notiek, acis nekavējoties jāizskalo ar lielu ūdens daudzumu.</w:t>
      </w:r>
    </w:p>
    <w:p w14:paraId="575884E4" w14:textId="77777777" w:rsidR="003513B5" w:rsidRDefault="003513B5" w:rsidP="00F42F1F">
      <w:pPr>
        <w:jc w:val="both"/>
        <w:rPr>
          <w:sz w:val="22"/>
          <w:szCs w:val="22"/>
        </w:rPr>
      </w:pPr>
    </w:p>
    <w:p w14:paraId="79EF027B" w14:textId="77777777" w:rsidR="003513B5" w:rsidRPr="00346D7E" w:rsidRDefault="003513B5" w:rsidP="00F42F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Dažas Bepanthen ziedes palīgvielas var samazināt tādu </w:t>
      </w:r>
      <w:r w:rsidR="00D53F6E">
        <w:rPr>
          <w:sz w:val="22"/>
          <w:szCs w:val="22"/>
        </w:rPr>
        <w:t>lateksa</w:t>
      </w:r>
      <w:r>
        <w:rPr>
          <w:sz w:val="22"/>
          <w:szCs w:val="22"/>
        </w:rPr>
        <w:t xml:space="preserve"> saturošu produktu efektivitāti</w:t>
      </w:r>
      <w:r w:rsidR="0090309E">
        <w:rPr>
          <w:sz w:val="22"/>
          <w:szCs w:val="22"/>
        </w:rPr>
        <w:t>, piemēram,</w:t>
      </w:r>
      <w:r>
        <w:rPr>
          <w:sz w:val="22"/>
          <w:szCs w:val="22"/>
        </w:rPr>
        <w:t xml:space="preserve"> prezervatīvi un/vai diafragma.</w:t>
      </w:r>
    </w:p>
    <w:p w14:paraId="613F18D9" w14:textId="77777777" w:rsidR="00A1340D" w:rsidRDefault="00A1340D" w:rsidP="007D2CC8">
      <w:pPr>
        <w:ind w:left="284" w:hanging="284"/>
        <w:jc w:val="both"/>
        <w:rPr>
          <w:sz w:val="22"/>
          <w:szCs w:val="22"/>
        </w:rPr>
      </w:pPr>
    </w:p>
    <w:p w14:paraId="4CA939E3" w14:textId="77777777" w:rsidR="00676821" w:rsidRPr="004B5DE3" w:rsidRDefault="00676821" w:rsidP="007D2CC8">
      <w:pPr>
        <w:ind w:left="284" w:hanging="284"/>
        <w:jc w:val="both"/>
        <w:rPr>
          <w:sz w:val="22"/>
          <w:szCs w:val="22"/>
          <w:u w:val="single"/>
        </w:rPr>
      </w:pPr>
      <w:r w:rsidRPr="004B5DE3">
        <w:rPr>
          <w:sz w:val="22"/>
          <w:szCs w:val="22"/>
          <w:u w:val="single"/>
        </w:rPr>
        <w:t>Informācija par palīgvielām</w:t>
      </w:r>
    </w:p>
    <w:p w14:paraId="131E9960" w14:textId="2A5B1884" w:rsidR="007D2CC8" w:rsidRDefault="007D2CC8" w:rsidP="007D2CC8">
      <w:pPr>
        <w:jc w:val="both"/>
        <w:rPr>
          <w:sz w:val="22"/>
          <w:szCs w:val="22"/>
        </w:rPr>
      </w:pPr>
      <w:r>
        <w:rPr>
          <w:sz w:val="22"/>
          <w:szCs w:val="22"/>
        </w:rPr>
        <w:t>Bepanthen ziede satur cetilspirtu</w:t>
      </w:r>
      <w:r w:rsidR="00676821">
        <w:rPr>
          <w:sz w:val="22"/>
          <w:szCs w:val="22"/>
        </w:rPr>
        <w:t>, stearilspirtu</w:t>
      </w:r>
      <w:r w:rsidRPr="00946D84">
        <w:rPr>
          <w:sz w:val="22"/>
          <w:szCs w:val="22"/>
        </w:rPr>
        <w:t xml:space="preserve"> un </w:t>
      </w:r>
      <w:r w:rsidR="003C7F2D">
        <w:rPr>
          <w:sz w:val="22"/>
          <w:szCs w:val="22"/>
        </w:rPr>
        <w:t>vilnas taukus (</w:t>
      </w:r>
      <w:r w:rsidRPr="00946D84">
        <w:rPr>
          <w:sz w:val="22"/>
          <w:szCs w:val="22"/>
        </w:rPr>
        <w:t>lanolīnu</w:t>
      </w:r>
      <w:r w:rsidR="003C7F2D">
        <w:rPr>
          <w:sz w:val="22"/>
          <w:szCs w:val="22"/>
        </w:rPr>
        <w:t>)</w:t>
      </w:r>
      <w:r>
        <w:rPr>
          <w:sz w:val="22"/>
          <w:szCs w:val="22"/>
        </w:rPr>
        <w:t>, kas var izraisīt lokālas ādas reakcijas (piemēram, kontaktdermatītu).</w:t>
      </w:r>
    </w:p>
    <w:p w14:paraId="17EEBE89" w14:textId="77777777" w:rsidR="00F42F1F" w:rsidRPr="00346D7E" w:rsidRDefault="00F42F1F" w:rsidP="007D2CC8">
      <w:pPr>
        <w:jc w:val="both"/>
        <w:rPr>
          <w:sz w:val="22"/>
          <w:szCs w:val="22"/>
        </w:rPr>
      </w:pPr>
    </w:p>
    <w:p w14:paraId="3D104C43" w14:textId="77777777" w:rsidR="00A1340D" w:rsidRPr="00346D7E" w:rsidRDefault="00A1340D" w:rsidP="00B373B2">
      <w:pPr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>4.5</w:t>
      </w:r>
      <w:r w:rsidR="0090309E">
        <w:rPr>
          <w:b/>
          <w:sz w:val="22"/>
          <w:szCs w:val="22"/>
        </w:rPr>
        <w:t>.</w:t>
      </w:r>
      <w:r w:rsidRPr="00346D7E">
        <w:rPr>
          <w:b/>
          <w:sz w:val="22"/>
          <w:szCs w:val="22"/>
        </w:rPr>
        <w:t xml:space="preserve"> </w:t>
      </w:r>
      <w:r w:rsidR="00AD5FEF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>Mijiedarbība ar citām zālēm un citi mijiedarbības veidi</w:t>
      </w:r>
    </w:p>
    <w:p w14:paraId="354A6C8C" w14:textId="77777777" w:rsidR="00A1340D" w:rsidRPr="00346D7E" w:rsidRDefault="00A1340D" w:rsidP="00B373B2">
      <w:pPr>
        <w:rPr>
          <w:sz w:val="22"/>
          <w:szCs w:val="22"/>
        </w:rPr>
      </w:pPr>
    </w:p>
    <w:p w14:paraId="03331845" w14:textId="77777777" w:rsidR="00A1340D" w:rsidRPr="00346D7E" w:rsidRDefault="000B4154" w:rsidP="00B373B2">
      <w:pPr>
        <w:rPr>
          <w:sz w:val="22"/>
          <w:szCs w:val="22"/>
        </w:rPr>
      </w:pPr>
      <w:r>
        <w:rPr>
          <w:sz w:val="22"/>
          <w:szCs w:val="22"/>
        </w:rPr>
        <w:t>Mijiedarbības pētījumi nav veikti.</w:t>
      </w:r>
    </w:p>
    <w:p w14:paraId="5A36C7A3" w14:textId="77777777" w:rsidR="00A1340D" w:rsidRPr="00346D7E" w:rsidRDefault="00A1340D" w:rsidP="00B373B2">
      <w:pPr>
        <w:rPr>
          <w:sz w:val="22"/>
          <w:szCs w:val="22"/>
        </w:rPr>
      </w:pPr>
    </w:p>
    <w:p w14:paraId="02959761" w14:textId="35BC8EDA" w:rsidR="00A1340D" w:rsidRPr="00346D7E" w:rsidRDefault="00A1340D" w:rsidP="00B373B2">
      <w:pPr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>4.6</w:t>
      </w:r>
      <w:r w:rsidR="0090309E">
        <w:rPr>
          <w:b/>
          <w:sz w:val="22"/>
          <w:szCs w:val="22"/>
        </w:rPr>
        <w:t>.</w:t>
      </w:r>
      <w:r w:rsidRPr="00346D7E">
        <w:rPr>
          <w:b/>
          <w:sz w:val="22"/>
          <w:szCs w:val="22"/>
        </w:rPr>
        <w:t xml:space="preserve"> </w:t>
      </w:r>
      <w:r w:rsidR="00AD5FEF">
        <w:rPr>
          <w:b/>
          <w:sz w:val="22"/>
          <w:szCs w:val="22"/>
        </w:rPr>
        <w:tab/>
      </w:r>
      <w:r w:rsidR="00FD46D6">
        <w:rPr>
          <w:b/>
          <w:sz w:val="22"/>
          <w:szCs w:val="22"/>
        </w:rPr>
        <w:t>Fertilitāte, g</w:t>
      </w:r>
      <w:r w:rsidRPr="00346D7E">
        <w:rPr>
          <w:b/>
          <w:sz w:val="22"/>
          <w:szCs w:val="22"/>
        </w:rPr>
        <w:t xml:space="preserve">rūtniecība un </w:t>
      </w:r>
      <w:r w:rsidR="000B4154">
        <w:rPr>
          <w:b/>
          <w:sz w:val="22"/>
          <w:szCs w:val="22"/>
        </w:rPr>
        <w:t>barošana ar krūti</w:t>
      </w:r>
    </w:p>
    <w:p w14:paraId="3FDD2294" w14:textId="77777777" w:rsidR="00F42F1F" w:rsidRPr="00346D7E" w:rsidRDefault="00F42F1F" w:rsidP="00B373B2">
      <w:pPr>
        <w:rPr>
          <w:b/>
          <w:sz w:val="22"/>
          <w:szCs w:val="22"/>
        </w:rPr>
      </w:pPr>
    </w:p>
    <w:p w14:paraId="21846668" w14:textId="77777777" w:rsidR="00F42F1F" w:rsidRPr="00346D7E" w:rsidRDefault="00F42F1F" w:rsidP="00F42F1F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 xml:space="preserve">Nav pierādījumu, kas liecinātu, ka </w:t>
      </w:r>
      <w:r w:rsidR="00790A0E">
        <w:rPr>
          <w:sz w:val="22"/>
          <w:szCs w:val="22"/>
        </w:rPr>
        <w:t>ziedes</w:t>
      </w:r>
      <w:r w:rsidRPr="00346D7E">
        <w:rPr>
          <w:sz w:val="22"/>
          <w:szCs w:val="22"/>
        </w:rPr>
        <w:t xml:space="preserve"> lietošana grūtniecības vai </w:t>
      </w:r>
      <w:r w:rsidR="00D54BDA">
        <w:rPr>
          <w:sz w:val="22"/>
          <w:szCs w:val="22"/>
        </w:rPr>
        <w:t>krūts barošanas</w:t>
      </w:r>
      <w:r w:rsidR="00D54BDA" w:rsidRPr="00346D7E">
        <w:rPr>
          <w:sz w:val="22"/>
          <w:szCs w:val="22"/>
        </w:rPr>
        <w:t xml:space="preserve"> </w:t>
      </w:r>
      <w:r w:rsidRPr="00346D7E">
        <w:rPr>
          <w:sz w:val="22"/>
          <w:szCs w:val="22"/>
        </w:rPr>
        <w:t xml:space="preserve">periodā ir bīstama. Tomēr dekspantenolu grūtniecības laikā drīkst lietot tikai atbilstoši ārsta rekomendācijām.  </w:t>
      </w:r>
    </w:p>
    <w:p w14:paraId="6F5957B4" w14:textId="77777777" w:rsidR="00F42F1F" w:rsidRPr="00346D7E" w:rsidRDefault="00F42F1F" w:rsidP="00F42F1F">
      <w:pPr>
        <w:jc w:val="both"/>
        <w:rPr>
          <w:sz w:val="22"/>
          <w:szCs w:val="22"/>
        </w:rPr>
      </w:pPr>
    </w:p>
    <w:p w14:paraId="51868FDF" w14:textId="77777777" w:rsidR="00A1340D" w:rsidRPr="00346D7E" w:rsidRDefault="00F42F1F" w:rsidP="00F42F1F">
      <w:pPr>
        <w:rPr>
          <w:b/>
          <w:sz w:val="22"/>
          <w:szCs w:val="22"/>
        </w:rPr>
      </w:pPr>
      <w:r w:rsidRPr="00346D7E">
        <w:rPr>
          <w:sz w:val="22"/>
          <w:szCs w:val="22"/>
        </w:rPr>
        <w:t xml:space="preserve">Ja </w:t>
      </w:r>
      <w:r w:rsidR="00D54BDA">
        <w:rPr>
          <w:sz w:val="22"/>
          <w:szCs w:val="22"/>
        </w:rPr>
        <w:t>krūts barošanas</w:t>
      </w:r>
      <w:r w:rsidR="00D54BDA" w:rsidRPr="00346D7E">
        <w:rPr>
          <w:sz w:val="22"/>
          <w:szCs w:val="22"/>
        </w:rPr>
        <w:t xml:space="preserve"> </w:t>
      </w:r>
      <w:r w:rsidRPr="00346D7E">
        <w:rPr>
          <w:sz w:val="22"/>
          <w:szCs w:val="22"/>
        </w:rPr>
        <w:t xml:space="preserve">laikā Bepanthen lieto saplaisājušu krūtsgalu ādas ārstēšanai, pirms </w:t>
      </w:r>
      <w:r w:rsidR="00D54BDA">
        <w:rPr>
          <w:sz w:val="22"/>
          <w:szCs w:val="22"/>
        </w:rPr>
        <w:t>krūts barošanas</w:t>
      </w:r>
      <w:r w:rsidR="00D54BDA" w:rsidRPr="00346D7E">
        <w:rPr>
          <w:sz w:val="22"/>
          <w:szCs w:val="22"/>
        </w:rPr>
        <w:t xml:space="preserve"> </w:t>
      </w:r>
      <w:r w:rsidRPr="00346D7E">
        <w:rPr>
          <w:sz w:val="22"/>
          <w:szCs w:val="22"/>
        </w:rPr>
        <w:t>āda ir rūpīgi jānomazgā.</w:t>
      </w:r>
    </w:p>
    <w:p w14:paraId="324A450A" w14:textId="77777777" w:rsidR="00A1340D" w:rsidRPr="00346D7E" w:rsidRDefault="00A1340D" w:rsidP="00F42F1F">
      <w:pPr>
        <w:ind w:left="142" w:hanging="142"/>
        <w:rPr>
          <w:sz w:val="22"/>
          <w:szCs w:val="22"/>
        </w:rPr>
      </w:pPr>
      <w:r w:rsidRPr="00346D7E">
        <w:rPr>
          <w:sz w:val="22"/>
          <w:szCs w:val="22"/>
        </w:rPr>
        <w:t xml:space="preserve"> </w:t>
      </w:r>
    </w:p>
    <w:p w14:paraId="6647611B" w14:textId="77777777" w:rsidR="00A1340D" w:rsidRPr="00346D7E" w:rsidRDefault="00A1340D" w:rsidP="00B373B2">
      <w:pPr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>4.7</w:t>
      </w:r>
      <w:r w:rsidR="0090309E">
        <w:rPr>
          <w:b/>
          <w:sz w:val="22"/>
          <w:szCs w:val="22"/>
        </w:rPr>
        <w:t>.</w:t>
      </w:r>
      <w:r w:rsidRPr="00346D7E">
        <w:rPr>
          <w:b/>
          <w:sz w:val="22"/>
          <w:szCs w:val="22"/>
        </w:rPr>
        <w:t xml:space="preserve"> </w:t>
      </w:r>
      <w:r w:rsidR="00AD5FEF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>Ietekme uz spēju vadīt transportlīdzekļus un apkalpot mehānismus</w:t>
      </w:r>
    </w:p>
    <w:p w14:paraId="5B6525CB" w14:textId="77777777" w:rsidR="00A1340D" w:rsidRPr="00346D7E" w:rsidRDefault="00A1340D" w:rsidP="00B373B2">
      <w:pPr>
        <w:rPr>
          <w:b/>
          <w:sz w:val="22"/>
          <w:szCs w:val="22"/>
        </w:rPr>
      </w:pPr>
    </w:p>
    <w:p w14:paraId="5267C68B" w14:textId="77777777" w:rsidR="00A1340D" w:rsidRPr="00346D7E" w:rsidRDefault="00A1340D" w:rsidP="00B373B2">
      <w:pPr>
        <w:rPr>
          <w:sz w:val="22"/>
          <w:szCs w:val="22"/>
        </w:rPr>
      </w:pPr>
      <w:r w:rsidRPr="00346D7E">
        <w:rPr>
          <w:sz w:val="22"/>
          <w:szCs w:val="22"/>
        </w:rPr>
        <w:t>Bepanthen ziede neietekmē spēju vadīt transportlīdzekļus un apkalpot mehānismus.</w:t>
      </w:r>
    </w:p>
    <w:p w14:paraId="7238AE9D" w14:textId="77777777" w:rsidR="00A1340D" w:rsidRPr="00346D7E" w:rsidRDefault="00A1340D" w:rsidP="00B373B2">
      <w:pPr>
        <w:rPr>
          <w:sz w:val="22"/>
          <w:szCs w:val="22"/>
        </w:rPr>
      </w:pPr>
    </w:p>
    <w:p w14:paraId="038FC15D" w14:textId="77777777" w:rsidR="00A1340D" w:rsidRPr="00346D7E" w:rsidRDefault="00A1340D" w:rsidP="00B373B2">
      <w:pPr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>4.8</w:t>
      </w:r>
      <w:r w:rsidR="0090309E">
        <w:rPr>
          <w:b/>
          <w:sz w:val="22"/>
          <w:szCs w:val="22"/>
        </w:rPr>
        <w:t>.</w:t>
      </w:r>
      <w:r w:rsidRPr="00346D7E">
        <w:rPr>
          <w:b/>
          <w:sz w:val="22"/>
          <w:szCs w:val="22"/>
        </w:rPr>
        <w:t xml:space="preserve"> </w:t>
      </w:r>
      <w:r w:rsidR="00AD5FEF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>Nevēlamās blakusparādības</w:t>
      </w:r>
    </w:p>
    <w:p w14:paraId="3CF9B7DF" w14:textId="77777777" w:rsidR="00A1340D" w:rsidRPr="00346D7E" w:rsidRDefault="00A1340D" w:rsidP="00B373B2">
      <w:pPr>
        <w:rPr>
          <w:b/>
          <w:sz w:val="22"/>
          <w:szCs w:val="22"/>
        </w:rPr>
      </w:pPr>
    </w:p>
    <w:p w14:paraId="530FAA7F" w14:textId="77777777" w:rsidR="00A1340D" w:rsidRDefault="00F42F1F" w:rsidP="00F42F1F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 xml:space="preserve">Alerģiskas reakcijas un alerģiskas ādas reakcijas, piemēram, kontaktdermatīts, alerģiskais dermatīts, nieze, eritēma, izsitumi, nātrene, ādas kairinājums, čūlas. </w:t>
      </w:r>
    </w:p>
    <w:p w14:paraId="1B0CA4BA" w14:textId="77777777" w:rsidR="00924013" w:rsidRDefault="00924013" w:rsidP="00924013">
      <w:pPr>
        <w:numPr>
          <w:ilvl w:val="12"/>
          <w:numId w:val="0"/>
        </w:numPr>
        <w:tabs>
          <w:tab w:val="left" w:pos="567"/>
          <w:tab w:val="left" w:pos="708"/>
        </w:tabs>
        <w:autoSpaceDN w:val="0"/>
        <w:spacing w:line="260" w:lineRule="exact"/>
        <w:ind w:right="-2"/>
        <w:jc w:val="both"/>
        <w:rPr>
          <w:bCs/>
          <w:sz w:val="22"/>
          <w:szCs w:val="20"/>
          <w:u w:val="single"/>
        </w:rPr>
      </w:pPr>
    </w:p>
    <w:p w14:paraId="4F183E33" w14:textId="77777777" w:rsidR="00924013" w:rsidRPr="00DE3411" w:rsidRDefault="00924013" w:rsidP="00924013">
      <w:pPr>
        <w:numPr>
          <w:ilvl w:val="12"/>
          <w:numId w:val="0"/>
        </w:numPr>
        <w:tabs>
          <w:tab w:val="left" w:pos="567"/>
          <w:tab w:val="left" w:pos="708"/>
        </w:tabs>
        <w:autoSpaceDN w:val="0"/>
        <w:spacing w:line="260" w:lineRule="exact"/>
        <w:ind w:right="-2"/>
        <w:jc w:val="both"/>
        <w:rPr>
          <w:bCs/>
          <w:sz w:val="22"/>
          <w:szCs w:val="20"/>
          <w:u w:val="single"/>
        </w:rPr>
      </w:pPr>
      <w:r w:rsidRPr="00DE3411">
        <w:rPr>
          <w:bCs/>
          <w:sz w:val="22"/>
          <w:szCs w:val="20"/>
          <w:u w:val="single"/>
        </w:rPr>
        <w:t>Ziņošana par iespējamām nevēlamām blakusparādībām</w:t>
      </w:r>
    </w:p>
    <w:p w14:paraId="70170111" w14:textId="77777777" w:rsidR="00924013" w:rsidRPr="00924013" w:rsidRDefault="00924013" w:rsidP="00924013">
      <w:pPr>
        <w:numPr>
          <w:ilvl w:val="12"/>
          <w:numId w:val="0"/>
        </w:numPr>
        <w:tabs>
          <w:tab w:val="left" w:pos="567"/>
          <w:tab w:val="left" w:pos="708"/>
        </w:tabs>
        <w:autoSpaceDN w:val="0"/>
        <w:spacing w:line="260" w:lineRule="exact"/>
        <w:ind w:right="-2"/>
        <w:jc w:val="both"/>
        <w:rPr>
          <w:rFonts w:eastAsia="Calibri"/>
          <w:sz w:val="22"/>
          <w:szCs w:val="22"/>
          <w:lang w:eastAsia="zh-CN"/>
        </w:rPr>
      </w:pPr>
      <w:r w:rsidRPr="00DE3411">
        <w:rPr>
          <w:bCs/>
          <w:sz w:val="22"/>
          <w:szCs w:val="20"/>
        </w:rPr>
        <w:t>Ir svarīgi ziņot par iespējamām nevēlamām blakusparādībām</w:t>
      </w:r>
      <w:r w:rsidRPr="00DE3411">
        <w:rPr>
          <w:rFonts w:eastAsia="Calibri"/>
          <w:noProof/>
          <w:sz w:val="22"/>
          <w:szCs w:val="22"/>
          <w:lang w:eastAsia="zh-CN"/>
        </w:rPr>
        <w:t xml:space="preserve"> pēc zāļu reģistrācijas. Tādējādi zāļu ieguvumu/riska attiecība tiek nepārtraukti uzraudzīta. Veselības aprūpes speciālisti tiek lūgti ziņot par jebkādām iespējamām nevēlamām blakusparādībām Zāļu valsts aģentūrai, </w:t>
      </w:r>
      <w:r w:rsidRPr="00DE3411">
        <w:rPr>
          <w:rFonts w:eastAsia="Calibri"/>
          <w:sz w:val="22"/>
          <w:szCs w:val="22"/>
          <w:lang w:eastAsia="zh-CN"/>
        </w:rPr>
        <w:t xml:space="preserve">Jersikas ielā 15, Rīgā, LV 1003. Tīmekļa vietne: </w:t>
      </w:r>
      <w:hyperlink r:id="rId8" w:history="1">
        <w:r w:rsidRPr="00DE3411">
          <w:rPr>
            <w:rFonts w:eastAsia="Calibri"/>
            <w:sz w:val="22"/>
            <w:szCs w:val="22"/>
            <w:u w:val="single"/>
            <w:lang w:eastAsia="zh-CN"/>
          </w:rPr>
          <w:t>www.zva.gov.lv</w:t>
        </w:r>
      </w:hyperlink>
    </w:p>
    <w:p w14:paraId="3D90E183" w14:textId="77777777" w:rsidR="00F42F1F" w:rsidRPr="00346D7E" w:rsidRDefault="00F42F1F" w:rsidP="00B373B2">
      <w:pPr>
        <w:rPr>
          <w:sz w:val="22"/>
          <w:szCs w:val="22"/>
        </w:rPr>
      </w:pPr>
    </w:p>
    <w:p w14:paraId="7A282DA3" w14:textId="77777777" w:rsidR="00A1340D" w:rsidRPr="00346D7E" w:rsidRDefault="00A1340D" w:rsidP="00B373B2">
      <w:pPr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>4.9</w:t>
      </w:r>
      <w:r w:rsidR="0090309E">
        <w:rPr>
          <w:b/>
          <w:sz w:val="22"/>
          <w:szCs w:val="22"/>
        </w:rPr>
        <w:t>.</w:t>
      </w:r>
      <w:r w:rsidRPr="00346D7E">
        <w:rPr>
          <w:b/>
          <w:sz w:val="22"/>
          <w:szCs w:val="22"/>
        </w:rPr>
        <w:t xml:space="preserve"> </w:t>
      </w:r>
      <w:r w:rsidR="00AD5FEF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>Pārdozēšana</w:t>
      </w:r>
    </w:p>
    <w:p w14:paraId="726BB841" w14:textId="77777777" w:rsidR="00A1340D" w:rsidRPr="00346D7E" w:rsidRDefault="00A1340D" w:rsidP="00B373B2">
      <w:pPr>
        <w:rPr>
          <w:b/>
          <w:sz w:val="22"/>
          <w:szCs w:val="22"/>
        </w:rPr>
      </w:pPr>
    </w:p>
    <w:p w14:paraId="29888123" w14:textId="77777777" w:rsidR="00F42F1F" w:rsidRPr="00346D7E" w:rsidRDefault="00F42F1F" w:rsidP="00F42F1F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>Dekspantenolam pat lielās devās ir laba tolerance, tāpēc literatūrā tas tiek uzskatīts par netoksisku vielu. Hipervitaminoze nav novērota.</w:t>
      </w:r>
    </w:p>
    <w:p w14:paraId="74CEE85D" w14:textId="77777777" w:rsidR="00A1340D" w:rsidRDefault="00A1340D" w:rsidP="00B373B2">
      <w:pPr>
        <w:rPr>
          <w:b/>
          <w:sz w:val="22"/>
          <w:szCs w:val="22"/>
        </w:rPr>
      </w:pPr>
    </w:p>
    <w:p w14:paraId="40B53105" w14:textId="77777777" w:rsidR="00AD5FEF" w:rsidRPr="00346D7E" w:rsidRDefault="00AD5FEF" w:rsidP="00B373B2">
      <w:pPr>
        <w:rPr>
          <w:b/>
          <w:sz w:val="22"/>
          <w:szCs w:val="22"/>
        </w:rPr>
      </w:pPr>
    </w:p>
    <w:p w14:paraId="022662C3" w14:textId="77777777" w:rsidR="00A1340D" w:rsidRPr="00346D7E" w:rsidRDefault="00A1340D" w:rsidP="008912F3">
      <w:pPr>
        <w:keepNext/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lastRenderedPageBreak/>
        <w:t xml:space="preserve">5. </w:t>
      </w:r>
      <w:r w:rsidR="00AD5FEF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>FARMAKOLOĢISKĀS ĪPAŠĪBAS</w:t>
      </w:r>
    </w:p>
    <w:p w14:paraId="15A7936E" w14:textId="77777777" w:rsidR="00A1340D" w:rsidRPr="00346D7E" w:rsidRDefault="00A1340D" w:rsidP="008912F3">
      <w:pPr>
        <w:keepNext/>
        <w:rPr>
          <w:b/>
          <w:sz w:val="22"/>
          <w:szCs w:val="22"/>
        </w:rPr>
      </w:pPr>
    </w:p>
    <w:p w14:paraId="58CFAC77" w14:textId="77777777" w:rsidR="00A1340D" w:rsidRPr="00346D7E" w:rsidRDefault="00A1340D" w:rsidP="008912F3">
      <w:pPr>
        <w:keepNext/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>5.1</w:t>
      </w:r>
      <w:r w:rsidR="0090309E">
        <w:rPr>
          <w:b/>
          <w:sz w:val="22"/>
          <w:szCs w:val="22"/>
        </w:rPr>
        <w:t>.</w:t>
      </w:r>
      <w:r w:rsidRPr="00346D7E">
        <w:rPr>
          <w:b/>
          <w:sz w:val="22"/>
          <w:szCs w:val="22"/>
        </w:rPr>
        <w:t xml:space="preserve"> </w:t>
      </w:r>
      <w:r w:rsidR="00AD5FEF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>Farmakodinamiskās īpašības</w:t>
      </w:r>
    </w:p>
    <w:p w14:paraId="32184957" w14:textId="77777777" w:rsidR="00F42F1F" w:rsidRPr="00346D7E" w:rsidRDefault="00F42F1F" w:rsidP="008912F3">
      <w:pPr>
        <w:keepNext/>
        <w:jc w:val="both"/>
        <w:rPr>
          <w:b/>
          <w:bCs/>
          <w:sz w:val="22"/>
          <w:szCs w:val="22"/>
        </w:rPr>
      </w:pPr>
    </w:p>
    <w:p w14:paraId="68C26EF6" w14:textId="4B2F5066" w:rsidR="001F4550" w:rsidRDefault="00F42F1F" w:rsidP="008912F3">
      <w:pPr>
        <w:keepNext/>
        <w:jc w:val="both"/>
        <w:rPr>
          <w:sz w:val="22"/>
          <w:szCs w:val="22"/>
        </w:rPr>
      </w:pPr>
      <w:r w:rsidRPr="00346D7E">
        <w:rPr>
          <w:sz w:val="22"/>
          <w:szCs w:val="22"/>
        </w:rPr>
        <w:t>Farmakoterapeitiskā grup</w:t>
      </w:r>
      <w:r w:rsidR="004A01A3">
        <w:rPr>
          <w:sz w:val="22"/>
          <w:szCs w:val="22"/>
        </w:rPr>
        <w:t>a</w:t>
      </w:r>
      <w:r w:rsidRPr="00346D7E">
        <w:rPr>
          <w:sz w:val="22"/>
          <w:szCs w:val="22"/>
        </w:rPr>
        <w:t>:</w:t>
      </w:r>
      <w:r w:rsidR="001F4550">
        <w:rPr>
          <w:sz w:val="22"/>
          <w:szCs w:val="22"/>
        </w:rPr>
        <w:t xml:space="preserve"> l</w:t>
      </w:r>
      <w:r w:rsidR="001F4550" w:rsidRPr="001F4550">
        <w:rPr>
          <w:sz w:val="22"/>
          <w:szCs w:val="22"/>
        </w:rPr>
        <w:t>īdzekļi brūču un čūlu ārstēšanai</w:t>
      </w:r>
      <w:r w:rsidR="00191324">
        <w:rPr>
          <w:sz w:val="22"/>
          <w:szCs w:val="22"/>
        </w:rPr>
        <w:t>, dzīšanu veicinošie līdzekļi</w:t>
      </w:r>
    </w:p>
    <w:p w14:paraId="0627C3D7" w14:textId="77777777" w:rsidR="00F42F1F" w:rsidRPr="00346D7E" w:rsidRDefault="00F42F1F" w:rsidP="00F42F1F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>ATĶ kods: D03AX03</w:t>
      </w:r>
    </w:p>
    <w:p w14:paraId="3E90B4DF" w14:textId="77777777" w:rsidR="00F42F1F" w:rsidRPr="00346D7E" w:rsidRDefault="00F42F1F" w:rsidP="00F42F1F">
      <w:pPr>
        <w:jc w:val="both"/>
        <w:rPr>
          <w:b/>
          <w:bCs/>
          <w:sz w:val="22"/>
          <w:szCs w:val="22"/>
        </w:rPr>
      </w:pPr>
    </w:p>
    <w:p w14:paraId="50779777" w14:textId="77777777" w:rsidR="00F42F1F" w:rsidRPr="00346D7E" w:rsidRDefault="00F42F1F" w:rsidP="00F42F1F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 xml:space="preserve">Bepanthen </w:t>
      </w:r>
      <w:r w:rsidR="001F4550">
        <w:rPr>
          <w:sz w:val="22"/>
          <w:szCs w:val="22"/>
        </w:rPr>
        <w:t>ziedes</w:t>
      </w:r>
      <w:r w:rsidR="001F4550" w:rsidRPr="00346D7E">
        <w:rPr>
          <w:sz w:val="22"/>
          <w:szCs w:val="22"/>
        </w:rPr>
        <w:t xml:space="preserve"> </w:t>
      </w:r>
      <w:r w:rsidRPr="00346D7E">
        <w:rPr>
          <w:sz w:val="22"/>
          <w:szCs w:val="22"/>
        </w:rPr>
        <w:t>aktīvā viela dekspantenols šūnās strauji tiek pārveidots par pantotēnskābi</w:t>
      </w:r>
      <w:r w:rsidR="00D53F6E">
        <w:rPr>
          <w:sz w:val="22"/>
          <w:szCs w:val="22"/>
        </w:rPr>
        <w:t xml:space="preserve">, </w:t>
      </w:r>
      <w:r w:rsidR="000E7B85">
        <w:rPr>
          <w:sz w:val="22"/>
          <w:szCs w:val="22"/>
        </w:rPr>
        <w:t>B grupas vitamīnu</w:t>
      </w:r>
      <w:r w:rsidR="00D53F6E">
        <w:rPr>
          <w:sz w:val="22"/>
          <w:szCs w:val="22"/>
        </w:rPr>
        <w:t>,</w:t>
      </w:r>
      <w:r w:rsidRPr="00346D7E">
        <w:rPr>
          <w:sz w:val="22"/>
          <w:szCs w:val="22"/>
        </w:rPr>
        <w:t xml:space="preserve"> un tādējādi tiek panākta tā pati iedarbība, kā lietojot B</w:t>
      </w:r>
      <w:r w:rsidR="00101C4C">
        <w:rPr>
          <w:sz w:val="22"/>
          <w:szCs w:val="22"/>
          <w:vertAlign w:val="subscript"/>
        </w:rPr>
        <w:t>5</w:t>
      </w:r>
      <w:r w:rsidRPr="00346D7E">
        <w:rPr>
          <w:sz w:val="22"/>
          <w:szCs w:val="22"/>
        </w:rPr>
        <w:t xml:space="preserve"> vitamīnu. Dekspantenola priekšrocība ir tā spēja uzsūkties daudz straujāk, uzklājot lokāli.</w:t>
      </w:r>
    </w:p>
    <w:p w14:paraId="16FAA2E0" w14:textId="77777777" w:rsidR="00F42F1F" w:rsidRPr="00346D7E" w:rsidRDefault="00F42F1F" w:rsidP="00F42F1F">
      <w:pPr>
        <w:jc w:val="both"/>
        <w:rPr>
          <w:sz w:val="22"/>
          <w:szCs w:val="22"/>
        </w:rPr>
      </w:pPr>
    </w:p>
    <w:p w14:paraId="28471B68" w14:textId="77777777" w:rsidR="00F42F1F" w:rsidRPr="00346D7E" w:rsidRDefault="00F42F1F" w:rsidP="00F42F1F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>Pantotēnskābe ir koenzīma A (CoA) pamatsastāvdaļa. Acetilkoenzīma A formā CoA ir galvenā nozīme katras šūnas metabolisma procesu norisē. Tāpēc pantotēnskābe ir neaizstājama organismam ādas un gļotādas veidošanās un reģenerācijas procesos.</w:t>
      </w:r>
    </w:p>
    <w:p w14:paraId="4AF328D1" w14:textId="77777777" w:rsidR="00F42F1F" w:rsidRDefault="00F42F1F" w:rsidP="00F42F1F">
      <w:pPr>
        <w:jc w:val="both"/>
        <w:rPr>
          <w:b/>
          <w:bCs/>
          <w:sz w:val="22"/>
          <w:szCs w:val="22"/>
        </w:rPr>
      </w:pPr>
    </w:p>
    <w:p w14:paraId="6D71B111" w14:textId="77777777" w:rsidR="00ED1A6D" w:rsidRDefault="00ED1A6D" w:rsidP="00F42F1F">
      <w:pPr>
        <w:jc w:val="both"/>
        <w:rPr>
          <w:bCs/>
          <w:sz w:val="22"/>
          <w:szCs w:val="22"/>
          <w:u w:val="single"/>
        </w:rPr>
      </w:pPr>
      <w:r w:rsidRPr="000C3B54">
        <w:rPr>
          <w:bCs/>
          <w:sz w:val="22"/>
          <w:szCs w:val="22"/>
          <w:u w:val="single"/>
        </w:rPr>
        <w:t>Darbības mehānisms</w:t>
      </w:r>
    </w:p>
    <w:p w14:paraId="3DA2BC88" w14:textId="77777777" w:rsidR="00ED1A6D" w:rsidRPr="000C3B54" w:rsidRDefault="00ED1A6D" w:rsidP="00F42F1F">
      <w:pPr>
        <w:jc w:val="both"/>
        <w:rPr>
          <w:bCs/>
          <w:sz w:val="22"/>
          <w:szCs w:val="22"/>
        </w:rPr>
      </w:pPr>
      <w:r w:rsidRPr="000C3B54">
        <w:rPr>
          <w:bCs/>
          <w:sz w:val="22"/>
          <w:szCs w:val="22"/>
        </w:rPr>
        <w:t xml:space="preserve">Dekspantenols ir </w:t>
      </w:r>
      <w:r w:rsidR="000C3B54">
        <w:rPr>
          <w:bCs/>
          <w:sz w:val="22"/>
          <w:szCs w:val="22"/>
        </w:rPr>
        <w:t xml:space="preserve">tā farmakoloģiski aktīvā atvasinājuma </w:t>
      </w:r>
      <w:r w:rsidRPr="000C3B54">
        <w:rPr>
          <w:bCs/>
          <w:sz w:val="22"/>
          <w:szCs w:val="22"/>
        </w:rPr>
        <w:t>pantotēnskābes</w:t>
      </w:r>
      <w:r w:rsidR="000C3B54">
        <w:rPr>
          <w:bCs/>
          <w:sz w:val="22"/>
          <w:szCs w:val="22"/>
        </w:rPr>
        <w:t xml:space="preserve"> </w:t>
      </w:r>
      <w:r w:rsidRPr="000C3B54">
        <w:rPr>
          <w:bCs/>
          <w:sz w:val="22"/>
          <w:szCs w:val="22"/>
        </w:rPr>
        <w:t xml:space="preserve">prekursors. </w:t>
      </w:r>
      <w:r w:rsidR="005D3C8D" w:rsidRPr="000C3B54">
        <w:rPr>
          <w:bCs/>
          <w:sz w:val="22"/>
          <w:szCs w:val="22"/>
        </w:rPr>
        <w:t>Ķīmiski tas ir stabilāks par pantotēnskābi un viegli uzsūcas</w:t>
      </w:r>
      <w:r w:rsidR="005D3C8D">
        <w:rPr>
          <w:bCs/>
          <w:sz w:val="22"/>
          <w:szCs w:val="22"/>
        </w:rPr>
        <w:t>,</w:t>
      </w:r>
      <w:r w:rsidR="005D3C8D" w:rsidRPr="000C3B54">
        <w:rPr>
          <w:bCs/>
          <w:sz w:val="22"/>
          <w:szCs w:val="22"/>
        </w:rPr>
        <w:t xml:space="preserve"> to</w:t>
      </w:r>
      <w:r w:rsidR="005D3C8D" w:rsidRPr="005D3C8D">
        <w:rPr>
          <w:bCs/>
          <w:sz w:val="22"/>
          <w:szCs w:val="22"/>
        </w:rPr>
        <w:t xml:space="preserve"> uzklājot lokāli</w:t>
      </w:r>
      <w:r w:rsidR="005D3C8D" w:rsidRPr="000C3B54">
        <w:rPr>
          <w:bCs/>
          <w:sz w:val="22"/>
          <w:szCs w:val="22"/>
        </w:rPr>
        <w:t>.</w:t>
      </w:r>
    </w:p>
    <w:p w14:paraId="272781DA" w14:textId="77777777" w:rsidR="00ED1A6D" w:rsidRDefault="00ED1A6D" w:rsidP="00F42F1F">
      <w:pPr>
        <w:jc w:val="both"/>
        <w:rPr>
          <w:b/>
          <w:bCs/>
          <w:sz w:val="22"/>
          <w:szCs w:val="22"/>
        </w:rPr>
      </w:pPr>
    </w:p>
    <w:p w14:paraId="31AD56DF" w14:textId="77777777" w:rsidR="005D3C8D" w:rsidRDefault="005D3C8D" w:rsidP="00F42F1F">
      <w:pPr>
        <w:jc w:val="both"/>
        <w:rPr>
          <w:bCs/>
          <w:sz w:val="22"/>
          <w:szCs w:val="22"/>
          <w:u w:val="single"/>
        </w:rPr>
      </w:pPr>
      <w:r w:rsidRPr="000C3B54">
        <w:rPr>
          <w:bCs/>
          <w:sz w:val="22"/>
          <w:szCs w:val="22"/>
          <w:u w:val="single"/>
        </w:rPr>
        <w:t>Farmakodinamiskā iedarbība</w:t>
      </w:r>
    </w:p>
    <w:p w14:paraId="61EA7836" w14:textId="77777777" w:rsidR="005D3C8D" w:rsidRPr="000C3B54" w:rsidRDefault="005D3C8D" w:rsidP="00F42F1F">
      <w:pPr>
        <w:jc w:val="both"/>
        <w:rPr>
          <w:bCs/>
          <w:sz w:val="22"/>
          <w:szCs w:val="22"/>
        </w:rPr>
      </w:pPr>
      <w:r w:rsidRPr="000C3B54">
        <w:rPr>
          <w:bCs/>
          <w:i/>
          <w:sz w:val="22"/>
          <w:szCs w:val="22"/>
        </w:rPr>
        <w:t>In vitro</w:t>
      </w:r>
      <w:r w:rsidR="001F4550">
        <w:rPr>
          <w:bCs/>
          <w:sz w:val="22"/>
          <w:szCs w:val="22"/>
        </w:rPr>
        <w:t xml:space="preserve"> pētījumu rezultāti</w:t>
      </w:r>
      <w:r>
        <w:rPr>
          <w:bCs/>
          <w:sz w:val="22"/>
          <w:szCs w:val="22"/>
        </w:rPr>
        <w:t xml:space="preserve"> uzrāda dekspantenola un tā metabolīta pantotēnskābes stimulējošo ietekmi uz fibroblastu un keratinocītu proliferāciju</w:t>
      </w:r>
      <w:r w:rsidR="0078355B">
        <w:rPr>
          <w:bCs/>
          <w:sz w:val="22"/>
          <w:szCs w:val="22"/>
        </w:rPr>
        <w:t xml:space="preserve">, migrāciju un hemotaksi, kas liecina par granulāciju un epitelizāciju brūces dzīšanas procesā. Saskaņā ar </w:t>
      </w:r>
      <w:r w:rsidR="0078355B" w:rsidRPr="00491E3B">
        <w:rPr>
          <w:bCs/>
          <w:i/>
          <w:sz w:val="22"/>
          <w:szCs w:val="22"/>
        </w:rPr>
        <w:t>in vitro</w:t>
      </w:r>
      <w:r w:rsidR="0078355B">
        <w:rPr>
          <w:bCs/>
          <w:sz w:val="22"/>
          <w:szCs w:val="22"/>
        </w:rPr>
        <w:t xml:space="preserve"> </w:t>
      </w:r>
      <w:r w:rsidR="000C3B54">
        <w:rPr>
          <w:bCs/>
          <w:sz w:val="22"/>
          <w:szCs w:val="22"/>
        </w:rPr>
        <w:t xml:space="preserve">pētījumu </w:t>
      </w:r>
      <w:r w:rsidR="0078355B">
        <w:rPr>
          <w:bCs/>
          <w:sz w:val="22"/>
          <w:szCs w:val="22"/>
        </w:rPr>
        <w:t>rezultātiem randomizēti, placebo kontrolēti pētījumi uzrādīja dekspantenola efektivitāti dažādas izcelsmes nelielu ādas un gļotādas bojājumu ārstēšanā.</w:t>
      </w:r>
    </w:p>
    <w:p w14:paraId="7B12893A" w14:textId="77777777" w:rsidR="005D3C8D" w:rsidRDefault="005D3C8D" w:rsidP="00F42F1F">
      <w:pPr>
        <w:jc w:val="both"/>
        <w:rPr>
          <w:bCs/>
          <w:sz w:val="22"/>
          <w:szCs w:val="22"/>
          <w:u w:val="single"/>
        </w:rPr>
      </w:pPr>
    </w:p>
    <w:p w14:paraId="11277F91" w14:textId="77777777" w:rsidR="0078355B" w:rsidRDefault="0078355B" w:rsidP="00F42F1F">
      <w:pPr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Klīniskā efektivitāte un drošums</w:t>
      </w:r>
    </w:p>
    <w:p w14:paraId="33559D24" w14:textId="77777777" w:rsidR="0078355B" w:rsidRDefault="001F4550" w:rsidP="00F42F1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Dekspantenola lietošanai ir priekšrocības</w:t>
      </w:r>
      <w:r w:rsidR="009610CC">
        <w:rPr>
          <w:bCs/>
          <w:sz w:val="22"/>
          <w:szCs w:val="22"/>
        </w:rPr>
        <w:t xml:space="preserve"> brūču dzīšanas procesā un iekaisuma mazināšanā. Veseliem indivīdiem ar ādas iekasumu un virspusēj</w:t>
      </w:r>
      <w:r w:rsidR="00176AE9">
        <w:rPr>
          <w:bCs/>
          <w:sz w:val="22"/>
          <w:szCs w:val="22"/>
        </w:rPr>
        <w:t>ām brūcēm</w:t>
      </w:r>
      <w:r w:rsidR="009610CC">
        <w:rPr>
          <w:bCs/>
          <w:sz w:val="22"/>
          <w:szCs w:val="22"/>
        </w:rPr>
        <w:t xml:space="preserve"> dekspantenols uzrādīja pretiekaisuma un</w:t>
      </w:r>
      <w:r w:rsidR="007F0600">
        <w:rPr>
          <w:bCs/>
          <w:sz w:val="22"/>
          <w:szCs w:val="22"/>
        </w:rPr>
        <w:t xml:space="preserve"> izteiktas</w:t>
      </w:r>
      <w:r w:rsidR="009610CC">
        <w:rPr>
          <w:bCs/>
          <w:sz w:val="22"/>
          <w:szCs w:val="22"/>
        </w:rPr>
        <w:t xml:space="preserve"> b</w:t>
      </w:r>
      <w:r w:rsidR="007F0600">
        <w:rPr>
          <w:bCs/>
          <w:sz w:val="22"/>
          <w:szCs w:val="22"/>
        </w:rPr>
        <w:t>rūces dziedējošas īpašības, salīdzinot ar kontroli un citām lokālām terapijām, arī hidrokortizonu saturošiem līdzekļiem</w:t>
      </w:r>
      <w:r w:rsidR="00C35A7E">
        <w:rPr>
          <w:bCs/>
          <w:sz w:val="22"/>
          <w:szCs w:val="22"/>
        </w:rPr>
        <w:t xml:space="preserve"> (pret ādas iekaisumu). Ir klīniski pierādīts, ka dekspantenolam ir priekšrocības, to lietojot dažādu ādas un gļotādas bojājumu gadījumos, </w:t>
      </w:r>
      <w:r w:rsidR="000B7D09">
        <w:rPr>
          <w:bCs/>
          <w:sz w:val="22"/>
          <w:szCs w:val="22"/>
        </w:rPr>
        <w:t>piemēram,</w:t>
      </w:r>
      <w:r w:rsidR="000E7B85">
        <w:rPr>
          <w:bCs/>
          <w:sz w:val="22"/>
          <w:szCs w:val="22"/>
        </w:rPr>
        <w:t xml:space="preserve"> saplaisājuši krūtsgali, akūtas un hroniskas čūlas, nelieli ādas apdegumi, </w:t>
      </w:r>
      <w:r w:rsidR="00084CC5">
        <w:rPr>
          <w:bCs/>
          <w:sz w:val="22"/>
          <w:szCs w:val="22"/>
        </w:rPr>
        <w:t>ādas reakcijas pēc apstarošanas, ādas transplantāts. Dekspantenols tiek plaši lietots un ir vispāratzīts klīniskajā praksē. Klīniskos pētījumos dekspantenols uzrādīja labu panesamību ne tikai ādas boj</w:t>
      </w:r>
      <w:r w:rsidR="00155730">
        <w:rPr>
          <w:bCs/>
          <w:sz w:val="22"/>
          <w:szCs w:val="22"/>
        </w:rPr>
        <w:t>ājum</w:t>
      </w:r>
      <w:r w:rsidR="002157B9">
        <w:rPr>
          <w:bCs/>
          <w:sz w:val="22"/>
          <w:szCs w:val="22"/>
        </w:rPr>
        <w:t>u</w:t>
      </w:r>
      <w:r w:rsidR="00084CC5">
        <w:rPr>
          <w:bCs/>
          <w:sz w:val="22"/>
          <w:szCs w:val="22"/>
        </w:rPr>
        <w:t>, bet ar</w:t>
      </w:r>
      <w:r w:rsidR="002157B9">
        <w:rPr>
          <w:bCs/>
          <w:sz w:val="22"/>
          <w:szCs w:val="22"/>
        </w:rPr>
        <w:t xml:space="preserve">ī </w:t>
      </w:r>
      <w:r w:rsidR="00084CC5">
        <w:rPr>
          <w:bCs/>
          <w:sz w:val="22"/>
          <w:szCs w:val="22"/>
        </w:rPr>
        <w:t>gļotādas</w:t>
      </w:r>
      <w:r w:rsidR="002157B9">
        <w:rPr>
          <w:bCs/>
          <w:sz w:val="22"/>
          <w:szCs w:val="22"/>
        </w:rPr>
        <w:t xml:space="preserve"> bojājumu gadījumos</w:t>
      </w:r>
      <w:r w:rsidR="00084CC5">
        <w:rPr>
          <w:bCs/>
          <w:sz w:val="22"/>
          <w:szCs w:val="22"/>
        </w:rPr>
        <w:t>.</w:t>
      </w:r>
    </w:p>
    <w:p w14:paraId="767A4225" w14:textId="77777777" w:rsidR="00AF1151" w:rsidRPr="000C3B54" w:rsidRDefault="00AF1151" w:rsidP="00F42F1F">
      <w:pPr>
        <w:jc w:val="both"/>
        <w:rPr>
          <w:bCs/>
          <w:sz w:val="22"/>
          <w:szCs w:val="22"/>
        </w:rPr>
      </w:pPr>
    </w:p>
    <w:p w14:paraId="4B487E00" w14:textId="77777777" w:rsidR="00F42F1F" w:rsidRPr="00346D7E" w:rsidRDefault="00F42F1F" w:rsidP="00F42F1F">
      <w:pPr>
        <w:jc w:val="both"/>
        <w:rPr>
          <w:b/>
          <w:bCs/>
          <w:sz w:val="22"/>
          <w:szCs w:val="22"/>
        </w:rPr>
      </w:pPr>
      <w:r w:rsidRPr="00346D7E">
        <w:rPr>
          <w:b/>
          <w:bCs/>
          <w:sz w:val="22"/>
          <w:szCs w:val="22"/>
        </w:rPr>
        <w:t xml:space="preserve">5.2. </w:t>
      </w:r>
      <w:r w:rsidR="00AD5FEF">
        <w:rPr>
          <w:b/>
          <w:bCs/>
          <w:sz w:val="22"/>
          <w:szCs w:val="22"/>
        </w:rPr>
        <w:tab/>
      </w:r>
      <w:r w:rsidRPr="00346D7E">
        <w:rPr>
          <w:b/>
          <w:bCs/>
          <w:sz w:val="22"/>
          <w:szCs w:val="22"/>
        </w:rPr>
        <w:t>Farmakokinētiskās īpašības</w:t>
      </w:r>
    </w:p>
    <w:p w14:paraId="3716A9E1" w14:textId="77777777" w:rsidR="00F42F1F" w:rsidRPr="00346D7E" w:rsidRDefault="00F42F1F" w:rsidP="00F42F1F">
      <w:pPr>
        <w:jc w:val="both"/>
        <w:rPr>
          <w:b/>
          <w:bCs/>
          <w:sz w:val="22"/>
          <w:szCs w:val="22"/>
        </w:rPr>
      </w:pPr>
    </w:p>
    <w:p w14:paraId="7B7FFB72" w14:textId="77777777" w:rsidR="00F42F1F" w:rsidRPr="00346D7E" w:rsidRDefault="00F42F1F" w:rsidP="00F42F1F">
      <w:pPr>
        <w:pStyle w:val="Heading1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346D7E">
        <w:rPr>
          <w:rFonts w:ascii="Times New Roman" w:hAnsi="Times New Roman" w:cs="Times New Roman"/>
          <w:i w:val="0"/>
          <w:sz w:val="22"/>
          <w:szCs w:val="22"/>
          <w:u w:val="single"/>
        </w:rPr>
        <w:t>Uzsūkšanās</w:t>
      </w:r>
    </w:p>
    <w:p w14:paraId="77DE3507" w14:textId="77777777" w:rsidR="00F42F1F" w:rsidRPr="00346D7E" w:rsidRDefault="00F42F1F" w:rsidP="00F42F1F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>Dekspantenols strauji uzsūcas ādā, tiek nekavējoties pārvērsts par pantotēnskābi un pievienojas kopējiem endogēniem šī vitamīna krājumiem.</w:t>
      </w:r>
    </w:p>
    <w:p w14:paraId="22A54E0C" w14:textId="77777777" w:rsidR="00F42F1F" w:rsidRPr="00346D7E" w:rsidRDefault="00F42F1F" w:rsidP="00F42F1F">
      <w:pPr>
        <w:ind w:left="720"/>
        <w:jc w:val="both"/>
        <w:rPr>
          <w:sz w:val="22"/>
          <w:szCs w:val="22"/>
        </w:rPr>
      </w:pPr>
    </w:p>
    <w:p w14:paraId="3AAFE99E" w14:textId="77777777" w:rsidR="00F42F1F" w:rsidRPr="00346D7E" w:rsidRDefault="00F42F1F" w:rsidP="00F42F1F">
      <w:pPr>
        <w:jc w:val="both"/>
        <w:rPr>
          <w:sz w:val="22"/>
          <w:szCs w:val="22"/>
          <w:u w:val="single"/>
        </w:rPr>
      </w:pPr>
      <w:r w:rsidRPr="00346D7E">
        <w:rPr>
          <w:sz w:val="22"/>
          <w:szCs w:val="22"/>
          <w:u w:val="single"/>
        </w:rPr>
        <w:t>Izkliede</w:t>
      </w:r>
    </w:p>
    <w:p w14:paraId="09A22247" w14:textId="77777777" w:rsidR="00F42F1F" w:rsidRPr="00346D7E" w:rsidRDefault="00F42F1F" w:rsidP="00F42F1F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>Asinīs pantotēnskābe saistās ar plazmas olbaltumvielām (galvenokārt ar β-globulīniem un albumīnu). Veselam pieaugušam cilvēkam asinīs un serumā attiecīgi ir aptuveni 500 – 1000 μg/l un 100 μg/l koncentrācija.</w:t>
      </w:r>
    </w:p>
    <w:p w14:paraId="2C09A309" w14:textId="77777777" w:rsidR="00F42F1F" w:rsidRDefault="00F42F1F" w:rsidP="00F42F1F">
      <w:pPr>
        <w:pStyle w:val="Heading1"/>
        <w:rPr>
          <w:rFonts w:ascii="Times New Roman" w:hAnsi="Times New Roman" w:cs="Times New Roman"/>
          <w:sz w:val="22"/>
          <w:szCs w:val="22"/>
          <w:u w:val="single"/>
        </w:rPr>
      </w:pPr>
    </w:p>
    <w:p w14:paraId="08C04E50" w14:textId="77777777" w:rsidR="00155730" w:rsidRPr="00491E3B" w:rsidRDefault="00155730" w:rsidP="00491E3B">
      <w:pPr>
        <w:rPr>
          <w:sz w:val="22"/>
          <w:szCs w:val="22"/>
          <w:u w:val="single"/>
        </w:rPr>
      </w:pPr>
      <w:r w:rsidRPr="00491E3B">
        <w:rPr>
          <w:sz w:val="22"/>
          <w:szCs w:val="22"/>
          <w:u w:val="single"/>
        </w:rPr>
        <w:t>Biotransformācija</w:t>
      </w:r>
    </w:p>
    <w:p w14:paraId="548915D3" w14:textId="77777777" w:rsidR="00155730" w:rsidRPr="00491E3B" w:rsidRDefault="00155730" w:rsidP="00491E3B">
      <w:pPr>
        <w:rPr>
          <w:sz w:val="22"/>
          <w:szCs w:val="22"/>
        </w:rPr>
      </w:pPr>
      <w:r w:rsidRPr="00491E3B">
        <w:rPr>
          <w:sz w:val="22"/>
          <w:szCs w:val="22"/>
        </w:rPr>
        <w:t>Pēc uzsūkšan</w:t>
      </w:r>
      <w:r w:rsidR="002157B9" w:rsidRPr="00491E3B">
        <w:rPr>
          <w:sz w:val="22"/>
          <w:szCs w:val="22"/>
        </w:rPr>
        <w:t>ās</w:t>
      </w:r>
      <w:r w:rsidRPr="00491E3B">
        <w:rPr>
          <w:sz w:val="22"/>
          <w:szCs w:val="22"/>
        </w:rPr>
        <w:t xml:space="preserve"> dekspantenols tiek nekavējoties pārvērsts par pantotēnskābi, kas </w:t>
      </w:r>
      <w:r w:rsidR="00176AE9" w:rsidRPr="00491E3B">
        <w:rPr>
          <w:sz w:val="22"/>
          <w:szCs w:val="22"/>
        </w:rPr>
        <w:t>kā daļa no koenzīma A tālāk metabolizēts</w:t>
      </w:r>
      <w:r w:rsidRPr="00491E3B">
        <w:rPr>
          <w:sz w:val="22"/>
          <w:szCs w:val="22"/>
        </w:rPr>
        <w:t xml:space="preserve"> netiek, un tiek izvadīts neizmainītā veidā.</w:t>
      </w:r>
    </w:p>
    <w:p w14:paraId="2A17136D" w14:textId="77777777" w:rsidR="00155730" w:rsidRPr="00491E3B" w:rsidRDefault="00155730" w:rsidP="00491E3B">
      <w:pPr>
        <w:rPr>
          <w:sz w:val="22"/>
          <w:szCs w:val="22"/>
        </w:rPr>
      </w:pPr>
    </w:p>
    <w:p w14:paraId="5250F2EB" w14:textId="77777777" w:rsidR="00F42F1F" w:rsidRPr="00346D7E" w:rsidRDefault="00F42F1F" w:rsidP="00F42F1F">
      <w:pPr>
        <w:rPr>
          <w:sz w:val="22"/>
          <w:szCs w:val="22"/>
          <w:u w:val="single"/>
        </w:rPr>
      </w:pPr>
      <w:r w:rsidRPr="00346D7E">
        <w:rPr>
          <w:sz w:val="22"/>
          <w:szCs w:val="22"/>
          <w:u w:val="single"/>
        </w:rPr>
        <w:t>Eliminācija</w:t>
      </w:r>
    </w:p>
    <w:p w14:paraId="068415AA" w14:textId="712C2BEC" w:rsidR="00F42F1F" w:rsidRPr="00346D7E" w:rsidRDefault="00F42F1F" w:rsidP="00F42F1F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>Pantotēnskābe cilvēka organismā nesadalās un tāpēc tā tiek izvadīta nemainītā veidā. 60 – 70% iekšķīgi lietot</w:t>
      </w:r>
      <w:r w:rsidR="00E40122">
        <w:rPr>
          <w:sz w:val="22"/>
          <w:szCs w:val="22"/>
        </w:rPr>
        <w:t>ās</w:t>
      </w:r>
      <w:r w:rsidRPr="00346D7E">
        <w:rPr>
          <w:sz w:val="22"/>
          <w:szCs w:val="22"/>
        </w:rPr>
        <w:t xml:space="preserve"> devas izdalās ar urīnu, pārējais ar izkārnījumiem. Katru dienu ar urīnu pieaugušiem izdalās 2 – 7 mg, bērniem 2 – 3 mg pantotēnskābes.</w:t>
      </w:r>
    </w:p>
    <w:p w14:paraId="143FCAA4" w14:textId="77777777" w:rsidR="00F42F1F" w:rsidRPr="00346D7E" w:rsidRDefault="00F42F1F" w:rsidP="008912F3">
      <w:pPr>
        <w:jc w:val="both"/>
        <w:rPr>
          <w:sz w:val="22"/>
          <w:szCs w:val="22"/>
        </w:rPr>
      </w:pPr>
    </w:p>
    <w:p w14:paraId="6E4DABAD" w14:textId="77777777" w:rsidR="00F42F1F" w:rsidRPr="00346D7E" w:rsidRDefault="00F42F1F" w:rsidP="00F42F1F">
      <w:pPr>
        <w:jc w:val="both"/>
        <w:rPr>
          <w:b/>
          <w:bCs/>
          <w:sz w:val="22"/>
          <w:szCs w:val="22"/>
        </w:rPr>
      </w:pPr>
      <w:r w:rsidRPr="00346D7E">
        <w:rPr>
          <w:b/>
          <w:bCs/>
          <w:sz w:val="22"/>
          <w:szCs w:val="22"/>
        </w:rPr>
        <w:t>5.3</w:t>
      </w:r>
      <w:r w:rsidR="0090309E">
        <w:rPr>
          <w:b/>
          <w:bCs/>
          <w:sz w:val="22"/>
          <w:szCs w:val="22"/>
        </w:rPr>
        <w:t>.</w:t>
      </w:r>
      <w:r w:rsidRPr="00346D7E">
        <w:rPr>
          <w:b/>
          <w:bCs/>
          <w:sz w:val="22"/>
          <w:szCs w:val="22"/>
        </w:rPr>
        <w:t xml:space="preserve"> </w:t>
      </w:r>
      <w:r w:rsidR="00AD5FEF">
        <w:rPr>
          <w:b/>
          <w:bCs/>
          <w:sz w:val="22"/>
          <w:szCs w:val="22"/>
        </w:rPr>
        <w:tab/>
      </w:r>
      <w:r w:rsidRPr="00346D7E">
        <w:rPr>
          <w:b/>
          <w:bCs/>
          <w:sz w:val="22"/>
          <w:szCs w:val="22"/>
        </w:rPr>
        <w:t xml:space="preserve">Preklīniskie dati par </w:t>
      </w:r>
      <w:r w:rsidR="000B4154">
        <w:rPr>
          <w:b/>
          <w:bCs/>
          <w:sz w:val="22"/>
          <w:szCs w:val="22"/>
        </w:rPr>
        <w:t>drošumu</w:t>
      </w:r>
    </w:p>
    <w:p w14:paraId="34BFEB3B" w14:textId="77777777" w:rsidR="00F42F1F" w:rsidRPr="00346D7E" w:rsidRDefault="00F42F1F" w:rsidP="00F42F1F">
      <w:pPr>
        <w:jc w:val="both"/>
        <w:rPr>
          <w:b/>
          <w:bCs/>
          <w:sz w:val="22"/>
          <w:szCs w:val="22"/>
        </w:rPr>
      </w:pPr>
      <w:r w:rsidRPr="00346D7E">
        <w:rPr>
          <w:b/>
          <w:bCs/>
          <w:sz w:val="22"/>
          <w:szCs w:val="22"/>
        </w:rPr>
        <w:lastRenderedPageBreak/>
        <w:tab/>
      </w:r>
    </w:p>
    <w:p w14:paraId="41B0191D" w14:textId="77777777" w:rsidR="00F42F1F" w:rsidRPr="00346D7E" w:rsidRDefault="00F42F1F" w:rsidP="00F42F1F">
      <w:pPr>
        <w:jc w:val="both"/>
        <w:rPr>
          <w:bCs/>
          <w:sz w:val="22"/>
          <w:szCs w:val="22"/>
          <w:u w:val="single"/>
        </w:rPr>
      </w:pPr>
      <w:r w:rsidRPr="00346D7E">
        <w:rPr>
          <w:bCs/>
          <w:sz w:val="22"/>
          <w:szCs w:val="22"/>
          <w:u w:val="single"/>
        </w:rPr>
        <w:t>Akūtā toksicitāte</w:t>
      </w:r>
    </w:p>
    <w:p w14:paraId="1BC04FD8" w14:textId="77777777" w:rsidR="00F42F1F" w:rsidRPr="00346D7E" w:rsidRDefault="00F42F1F" w:rsidP="00F42F1F">
      <w:pPr>
        <w:jc w:val="both"/>
        <w:rPr>
          <w:sz w:val="22"/>
          <w:szCs w:val="22"/>
        </w:rPr>
      </w:pPr>
    </w:p>
    <w:p w14:paraId="3BC3D0EF" w14:textId="77777777" w:rsidR="00F42F1F" w:rsidRPr="00346D7E" w:rsidRDefault="00F42F1F" w:rsidP="00F42F1F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 xml:space="preserve">Pantenols, pantotēnskābe un tās sāļi tiek aprakstīti kā netoksiski. </w:t>
      </w:r>
    </w:p>
    <w:p w14:paraId="623334E4" w14:textId="77777777" w:rsidR="00F42F1F" w:rsidRPr="00346D7E" w:rsidRDefault="00F42F1F" w:rsidP="00F42F1F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 xml:space="preserve">Pelēm, eksperimentāli ievadot dekspantenolu iekšķīgi, LD50 ir 15 g/kg. Divos citos akūtās toksicitātes pētījumos, ievadot iekšķīgi 10 un 20 g/kg </w:t>
      </w:r>
      <w:r w:rsidR="002157B9">
        <w:rPr>
          <w:sz w:val="22"/>
          <w:szCs w:val="22"/>
        </w:rPr>
        <w:t xml:space="preserve">dekspantenola </w:t>
      </w:r>
      <w:r w:rsidRPr="00346D7E">
        <w:rPr>
          <w:sz w:val="22"/>
          <w:szCs w:val="22"/>
        </w:rPr>
        <w:t>devas, tās attiecīgi neizraisīja dzīvnieku nāvi un izraisīja to visiem dzīvniekiem.</w:t>
      </w:r>
    </w:p>
    <w:p w14:paraId="61810763" w14:textId="77777777" w:rsidR="00F42F1F" w:rsidRPr="00346D7E" w:rsidRDefault="00F42F1F" w:rsidP="00F42F1F">
      <w:pPr>
        <w:jc w:val="both"/>
        <w:rPr>
          <w:sz w:val="22"/>
          <w:szCs w:val="22"/>
        </w:rPr>
      </w:pPr>
    </w:p>
    <w:p w14:paraId="2E0544C5" w14:textId="77777777" w:rsidR="00F42F1F" w:rsidRPr="00346D7E" w:rsidRDefault="00346D7E" w:rsidP="00F42F1F">
      <w:pPr>
        <w:jc w:val="both"/>
        <w:rPr>
          <w:bCs/>
          <w:sz w:val="22"/>
          <w:szCs w:val="22"/>
          <w:u w:val="single"/>
        </w:rPr>
      </w:pPr>
      <w:r w:rsidRPr="00346D7E">
        <w:rPr>
          <w:bCs/>
          <w:sz w:val="22"/>
          <w:szCs w:val="22"/>
          <w:u w:val="single"/>
        </w:rPr>
        <w:t>Atkārtotu devu</w:t>
      </w:r>
      <w:r w:rsidR="00F42F1F" w:rsidRPr="00346D7E">
        <w:rPr>
          <w:bCs/>
          <w:sz w:val="22"/>
          <w:szCs w:val="22"/>
          <w:u w:val="single"/>
        </w:rPr>
        <w:t xml:space="preserve"> toksicitāte</w:t>
      </w:r>
    </w:p>
    <w:p w14:paraId="1B2C114F" w14:textId="77777777" w:rsidR="00F42F1F" w:rsidRPr="00346D7E" w:rsidRDefault="00F42F1F" w:rsidP="00F42F1F">
      <w:pPr>
        <w:jc w:val="both"/>
        <w:rPr>
          <w:sz w:val="22"/>
          <w:szCs w:val="22"/>
        </w:rPr>
      </w:pPr>
    </w:p>
    <w:p w14:paraId="04A0D214" w14:textId="469DF8E4" w:rsidR="00F42F1F" w:rsidRPr="00346D7E" w:rsidRDefault="00F42F1F" w:rsidP="00F42F1F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>Katru dienu 3 mēnešus pēc kārtas iekšķīgi tika ievadīta dekspantenola 20 mg/kg deva žurkām un 500</w:t>
      </w:r>
      <w:r w:rsidR="001E2C49">
        <w:rPr>
          <w:sz w:val="22"/>
          <w:szCs w:val="22"/>
        </w:rPr>
        <w:t> </w:t>
      </w:r>
      <w:r w:rsidRPr="00346D7E">
        <w:rPr>
          <w:sz w:val="22"/>
          <w:szCs w:val="22"/>
        </w:rPr>
        <w:t>mg/kg suņiem. Tas neradīja toksisku iedarbību un histopatoloģiskas pārmaiņas.</w:t>
      </w:r>
    </w:p>
    <w:p w14:paraId="28A7FC98" w14:textId="77777777" w:rsidR="00F42F1F" w:rsidRPr="00346D7E" w:rsidRDefault="00F42F1F" w:rsidP="00F42F1F">
      <w:pPr>
        <w:ind w:left="720"/>
        <w:jc w:val="both"/>
        <w:rPr>
          <w:sz w:val="22"/>
          <w:szCs w:val="22"/>
        </w:rPr>
      </w:pPr>
    </w:p>
    <w:p w14:paraId="4F9216F4" w14:textId="77777777" w:rsidR="00F42F1F" w:rsidRPr="00346D7E" w:rsidRDefault="00F42F1F" w:rsidP="00F42F1F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 xml:space="preserve">24 žurkām tika ievadīti iekšķīgi 2 mg dekspantenola </w:t>
      </w:r>
      <w:r w:rsidR="002157B9">
        <w:rPr>
          <w:sz w:val="22"/>
          <w:szCs w:val="22"/>
        </w:rPr>
        <w:t xml:space="preserve">dienā </w:t>
      </w:r>
      <w:r w:rsidRPr="00346D7E">
        <w:rPr>
          <w:sz w:val="22"/>
          <w:szCs w:val="22"/>
        </w:rPr>
        <w:t>6 mēnešus. Histopatoloģiskas pārmaiņas netika novērotas.</w:t>
      </w:r>
    </w:p>
    <w:p w14:paraId="32877046" w14:textId="77777777" w:rsidR="00F42F1F" w:rsidRPr="00346D7E" w:rsidRDefault="00F42F1F" w:rsidP="00F42F1F">
      <w:pPr>
        <w:ind w:left="720"/>
        <w:jc w:val="both"/>
        <w:rPr>
          <w:sz w:val="22"/>
          <w:szCs w:val="22"/>
        </w:rPr>
      </w:pPr>
    </w:p>
    <w:p w14:paraId="10EAFAE9" w14:textId="77777777" w:rsidR="00F42F1F" w:rsidRPr="00346D7E" w:rsidRDefault="00F42F1F" w:rsidP="00F42F1F">
      <w:pPr>
        <w:jc w:val="both"/>
        <w:rPr>
          <w:sz w:val="22"/>
          <w:szCs w:val="22"/>
        </w:rPr>
      </w:pPr>
      <w:r w:rsidRPr="00346D7E">
        <w:rPr>
          <w:sz w:val="22"/>
          <w:szCs w:val="22"/>
        </w:rPr>
        <w:t>Suņu barībai katru dienu tika pievienoti 50 mg/kg kalcija pantotenāta 6 mēnešus, pērtiķiem – 1 g kalcija pantotenāta tikpat ilgā laika periodā, tomēr neizdevās novērot toksisku iedarbību vai histopatoloģiskas pārmaiņas.</w:t>
      </w:r>
    </w:p>
    <w:p w14:paraId="21A86914" w14:textId="77777777" w:rsidR="00F42F1F" w:rsidRPr="00346D7E" w:rsidRDefault="00F42F1F" w:rsidP="00B373B2">
      <w:pPr>
        <w:rPr>
          <w:b/>
          <w:sz w:val="22"/>
          <w:szCs w:val="22"/>
        </w:rPr>
      </w:pPr>
    </w:p>
    <w:p w14:paraId="54D3F317" w14:textId="77777777" w:rsidR="00FE0E70" w:rsidRPr="00346D7E" w:rsidRDefault="00FE0E70" w:rsidP="00B373B2">
      <w:pPr>
        <w:rPr>
          <w:sz w:val="22"/>
          <w:szCs w:val="22"/>
        </w:rPr>
      </w:pPr>
    </w:p>
    <w:p w14:paraId="6221967D" w14:textId="77777777" w:rsidR="00A1340D" w:rsidRPr="00346D7E" w:rsidRDefault="00A1340D" w:rsidP="00B373B2">
      <w:pPr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 xml:space="preserve">6. </w:t>
      </w:r>
      <w:r w:rsidR="00AD5FEF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>FARMACEITISKĀ INFORMĀCIJA</w:t>
      </w:r>
    </w:p>
    <w:p w14:paraId="3D973125" w14:textId="77777777" w:rsidR="00A1340D" w:rsidRPr="00346D7E" w:rsidRDefault="00A1340D" w:rsidP="00B373B2">
      <w:pPr>
        <w:rPr>
          <w:b/>
          <w:sz w:val="22"/>
          <w:szCs w:val="22"/>
        </w:rPr>
      </w:pPr>
    </w:p>
    <w:p w14:paraId="6C453C52" w14:textId="77777777" w:rsidR="00A1340D" w:rsidRDefault="00A1340D" w:rsidP="00B373B2">
      <w:pPr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>6.1</w:t>
      </w:r>
      <w:r w:rsidR="0090309E">
        <w:rPr>
          <w:b/>
          <w:sz w:val="22"/>
          <w:szCs w:val="22"/>
        </w:rPr>
        <w:t>.</w:t>
      </w:r>
      <w:r w:rsidRPr="00346D7E">
        <w:rPr>
          <w:b/>
          <w:sz w:val="22"/>
          <w:szCs w:val="22"/>
        </w:rPr>
        <w:t xml:space="preserve"> </w:t>
      </w:r>
      <w:r w:rsidR="00AD5FEF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>Palīgvielu saraksts</w:t>
      </w:r>
    </w:p>
    <w:p w14:paraId="3727F480" w14:textId="77777777" w:rsidR="001652D4" w:rsidRPr="00346D7E" w:rsidRDefault="001652D4" w:rsidP="00B373B2">
      <w:pPr>
        <w:rPr>
          <w:b/>
          <w:sz w:val="22"/>
          <w:szCs w:val="22"/>
        </w:rPr>
      </w:pPr>
    </w:p>
    <w:p w14:paraId="12DB9CC2" w14:textId="7E3847B1" w:rsidR="00A1340D" w:rsidRPr="00346D7E" w:rsidRDefault="001652D4" w:rsidP="007D2CC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9E0A2A">
        <w:rPr>
          <w:sz w:val="22"/>
          <w:szCs w:val="22"/>
        </w:rPr>
        <w:t>rotegin X</w:t>
      </w:r>
      <w:r w:rsidR="007D2CC8">
        <w:rPr>
          <w:sz w:val="22"/>
          <w:szCs w:val="22"/>
        </w:rPr>
        <w:t xml:space="preserve"> (minerāleļļa, </w:t>
      </w:r>
      <w:r w:rsidR="00303E48">
        <w:rPr>
          <w:sz w:val="22"/>
          <w:szCs w:val="22"/>
        </w:rPr>
        <w:t xml:space="preserve">baltais </w:t>
      </w:r>
      <w:r w:rsidR="007D2CC8">
        <w:rPr>
          <w:sz w:val="22"/>
          <w:szCs w:val="22"/>
        </w:rPr>
        <w:t>vazelīns, ozokerīts, gliceriloleāts, lanolīnspirts)</w:t>
      </w:r>
      <w:r w:rsidRPr="009E0A2A">
        <w:rPr>
          <w:sz w:val="22"/>
          <w:szCs w:val="22"/>
        </w:rPr>
        <w:t xml:space="preserve">, cetilspirts, stearilspirts, baltais bišu vasks, </w:t>
      </w:r>
      <w:r w:rsidR="003C7F2D">
        <w:rPr>
          <w:sz w:val="22"/>
          <w:szCs w:val="22"/>
        </w:rPr>
        <w:t>vilnas tauki (</w:t>
      </w:r>
      <w:r w:rsidRPr="009E0A2A">
        <w:rPr>
          <w:sz w:val="22"/>
          <w:szCs w:val="22"/>
        </w:rPr>
        <w:t>lanolīns</w:t>
      </w:r>
      <w:r w:rsidR="003C7F2D">
        <w:rPr>
          <w:sz w:val="22"/>
          <w:szCs w:val="22"/>
        </w:rPr>
        <w:t>)</w:t>
      </w:r>
      <w:r w:rsidRPr="009E0A2A">
        <w:rPr>
          <w:sz w:val="22"/>
          <w:szCs w:val="22"/>
        </w:rPr>
        <w:t xml:space="preserve"> (E 913), </w:t>
      </w:r>
      <w:r w:rsidR="00303E48">
        <w:rPr>
          <w:sz w:val="22"/>
          <w:szCs w:val="22"/>
        </w:rPr>
        <w:t xml:space="preserve">baltais </w:t>
      </w:r>
      <w:r>
        <w:rPr>
          <w:sz w:val="22"/>
          <w:szCs w:val="22"/>
        </w:rPr>
        <w:t>vazelīns, mandeļu eļļa, vazelīneļļa</w:t>
      </w:r>
      <w:r w:rsidRPr="009E0A2A">
        <w:rPr>
          <w:sz w:val="22"/>
          <w:szCs w:val="22"/>
        </w:rPr>
        <w:t>, attīrīts ūdens</w:t>
      </w:r>
      <w:r>
        <w:rPr>
          <w:sz w:val="22"/>
          <w:szCs w:val="22"/>
        </w:rPr>
        <w:t>.</w:t>
      </w:r>
    </w:p>
    <w:p w14:paraId="0E19722E" w14:textId="77777777" w:rsidR="00A1340D" w:rsidRPr="00346D7E" w:rsidRDefault="00A1340D" w:rsidP="007D2CC8">
      <w:pPr>
        <w:ind w:left="142" w:hanging="142"/>
        <w:jc w:val="both"/>
        <w:rPr>
          <w:sz w:val="22"/>
          <w:szCs w:val="22"/>
        </w:rPr>
      </w:pPr>
    </w:p>
    <w:p w14:paraId="013E0EEE" w14:textId="77777777" w:rsidR="00A1340D" w:rsidRPr="00346D7E" w:rsidRDefault="00A1340D" w:rsidP="00B373B2">
      <w:pPr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>6.2</w:t>
      </w:r>
      <w:r w:rsidR="0090309E">
        <w:rPr>
          <w:b/>
          <w:sz w:val="22"/>
          <w:szCs w:val="22"/>
        </w:rPr>
        <w:t>.</w:t>
      </w:r>
      <w:r w:rsidRPr="00346D7E">
        <w:rPr>
          <w:b/>
          <w:sz w:val="22"/>
          <w:szCs w:val="22"/>
        </w:rPr>
        <w:t xml:space="preserve"> </w:t>
      </w:r>
      <w:r w:rsidR="00191EC2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>Nesaderība</w:t>
      </w:r>
    </w:p>
    <w:p w14:paraId="44CF6720" w14:textId="77777777" w:rsidR="00A1340D" w:rsidRPr="00346D7E" w:rsidRDefault="00A1340D" w:rsidP="00B373B2">
      <w:pPr>
        <w:rPr>
          <w:b/>
          <w:sz w:val="22"/>
          <w:szCs w:val="22"/>
        </w:rPr>
      </w:pPr>
    </w:p>
    <w:p w14:paraId="63B405F9" w14:textId="77777777" w:rsidR="00A1340D" w:rsidRPr="00346D7E" w:rsidRDefault="00A1340D" w:rsidP="00B373B2">
      <w:pPr>
        <w:rPr>
          <w:sz w:val="22"/>
          <w:szCs w:val="22"/>
        </w:rPr>
      </w:pPr>
      <w:r w:rsidRPr="00346D7E">
        <w:rPr>
          <w:sz w:val="22"/>
          <w:szCs w:val="22"/>
        </w:rPr>
        <w:t>Nav piemērojama.</w:t>
      </w:r>
    </w:p>
    <w:p w14:paraId="0C56147A" w14:textId="77777777" w:rsidR="00A1340D" w:rsidRPr="00346D7E" w:rsidRDefault="00A1340D" w:rsidP="00B373B2">
      <w:pPr>
        <w:rPr>
          <w:sz w:val="22"/>
          <w:szCs w:val="22"/>
        </w:rPr>
      </w:pPr>
    </w:p>
    <w:p w14:paraId="5D5C38D4" w14:textId="77777777" w:rsidR="00A1340D" w:rsidRPr="00346D7E" w:rsidRDefault="00A1340D" w:rsidP="00B373B2">
      <w:pPr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>6.3</w:t>
      </w:r>
      <w:r w:rsidR="0090309E">
        <w:rPr>
          <w:b/>
          <w:sz w:val="22"/>
          <w:szCs w:val="22"/>
        </w:rPr>
        <w:t>.</w:t>
      </w:r>
      <w:r w:rsidRPr="00346D7E">
        <w:rPr>
          <w:b/>
          <w:sz w:val="22"/>
          <w:szCs w:val="22"/>
        </w:rPr>
        <w:t xml:space="preserve"> </w:t>
      </w:r>
      <w:r w:rsidR="00191EC2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>Uzglabāšanas laiks</w:t>
      </w:r>
    </w:p>
    <w:p w14:paraId="35FCF2CF" w14:textId="77777777" w:rsidR="00A1340D" w:rsidRPr="00346D7E" w:rsidRDefault="00A1340D" w:rsidP="00B373B2">
      <w:pPr>
        <w:rPr>
          <w:b/>
          <w:sz w:val="22"/>
          <w:szCs w:val="22"/>
        </w:rPr>
      </w:pPr>
    </w:p>
    <w:p w14:paraId="43FBC837" w14:textId="77777777" w:rsidR="00A1340D" w:rsidRPr="00346D7E" w:rsidRDefault="00A1340D" w:rsidP="00B373B2">
      <w:pPr>
        <w:rPr>
          <w:sz w:val="22"/>
          <w:szCs w:val="22"/>
        </w:rPr>
      </w:pPr>
      <w:r w:rsidRPr="00346D7E">
        <w:rPr>
          <w:sz w:val="22"/>
          <w:szCs w:val="22"/>
        </w:rPr>
        <w:t>3 gadi.</w:t>
      </w:r>
    </w:p>
    <w:p w14:paraId="2D3CB7BB" w14:textId="77777777" w:rsidR="00A1340D" w:rsidRPr="00346D7E" w:rsidRDefault="00A1340D" w:rsidP="00B373B2">
      <w:pPr>
        <w:rPr>
          <w:sz w:val="22"/>
          <w:szCs w:val="22"/>
        </w:rPr>
      </w:pPr>
    </w:p>
    <w:p w14:paraId="0D613AEE" w14:textId="77777777" w:rsidR="00A1340D" w:rsidRPr="00346D7E" w:rsidRDefault="00A1340D" w:rsidP="00B373B2">
      <w:pPr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>6.4</w:t>
      </w:r>
      <w:r w:rsidR="0090309E">
        <w:rPr>
          <w:b/>
          <w:sz w:val="22"/>
          <w:szCs w:val="22"/>
        </w:rPr>
        <w:t>.</w:t>
      </w:r>
      <w:r w:rsidRPr="00346D7E">
        <w:rPr>
          <w:b/>
          <w:sz w:val="22"/>
          <w:szCs w:val="22"/>
        </w:rPr>
        <w:t xml:space="preserve"> </w:t>
      </w:r>
      <w:r w:rsidR="00191EC2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>Īpaši uzglabāšanas nosacījumi</w:t>
      </w:r>
    </w:p>
    <w:p w14:paraId="661E8690" w14:textId="77777777" w:rsidR="00A1340D" w:rsidRPr="00346D7E" w:rsidRDefault="00A1340D" w:rsidP="00B373B2">
      <w:pPr>
        <w:rPr>
          <w:b/>
          <w:sz w:val="22"/>
          <w:szCs w:val="22"/>
        </w:rPr>
      </w:pPr>
    </w:p>
    <w:p w14:paraId="3C1D34CE" w14:textId="77777777" w:rsidR="00A1340D" w:rsidRPr="00346D7E" w:rsidRDefault="00A1340D" w:rsidP="00B373B2">
      <w:pPr>
        <w:rPr>
          <w:sz w:val="22"/>
          <w:szCs w:val="22"/>
        </w:rPr>
      </w:pPr>
      <w:r w:rsidRPr="00346D7E">
        <w:rPr>
          <w:sz w:val="22"/>
          <w:szCs w:val="22"/>
        </w:rPr>
        <w:t>Uzglabāt temperatūrā līdz 25°C.</w:t>
      </w:r>
    </w:p>
    <w:p w14:paraId="477F8B4B" w14:textId="77777777" w:rsidR="00A1340D" w:rsidRPr="00346D7E" w:rsidRDefault="00A1340D" w:rsidP="00B373B2">
      <w:pPr>
        <w:rPr>
          <w:sz w:val="22"/>
          <w:szCs w:val="22"/>
        </w:rPr>
      </w:pPr>
    </w:p>
    <w:p w14:paraId="030F8887" w14:textId="77777777" w:rsidR="00A1340D" w:rsidRPr="00346D7E" w:rsidRDefault="00A1340D" w:rsidP="00B373B2">
      <w:pPr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>6.5</w:t>
      </w:r>
      <w:r w:rsidR="0090309E">
        <w:rPr>
          <w:b/>
          <w:sz w:val="22"/>
          <w:szCs w:val="22"/>
        </w:rPr>
        <w:t>.</w:t>
      </w:r>
      <w:r w:rsidRPr="00346D7E">
        <w:rPr>
          <w:b/>
          <w:sz w:val="22"/>
          <w:szCs w:val="22"/>
        </w:rPr>
        <w:t xml:space="preserve"> </w:t>
      </w:r>
      <w:r w:rsidR="00191EC2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>Iepakojuma veids un saturs</w:t>
      </w:r>
    </w:p>
    <w:p w14:paraId="05F55313" w14:textId="77777777" w:rsidR="00A1340D" w:rsidRPr="00346D7E" w:rsidRDefault="00A1340D" w:rsidP="00B373B2">
      <w:pPr>
        <w:rPr>
          <w:b/>
          <w:sz w:val="22"/>
          <w:szCs w:val="22"/>
        </w:rPr>
      </w:pPr>
    </w:p>
    <w:p w14:paraId="2F80C3F1" w14:textId="0B7340EA" w:rsidR="00A1340D" w:rsidRPr="00346D7E" w:rsidRDefault="00377994" w:rsidP="00B373B2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FE0E70" w:rsidRPr="00346D7E">
        <w:rPr>
          <w:sz w:val="22"/>
          <w:szCs w:val="22"/>
        </w:rPr>
        <w:t xml:space="preserve">lumīnija tūbiņas </w:t>
      </w:r>
      <w:r>
        <w:rPr>
          <w:sz w:val="22"/>
          <w:szCs w:val="22"/>
        </w:rPr>
        <w:t>ar</w:t>
      </w:r>
      <w:r w:rsidRPr="00346D7E">
        <w:rPr>
          <w:sz w:val="22"/>
          <w:szCs w:val="22"/>
        </w:rPr>
        <w:t xml:space="preserve"> </w:t>
      </w:r>
      <w:r w:rsidR="00FE0E70" w:rsidRPr="00346D7E">
        <w:rPr>
          <w:sz w:val="22"/>
          <w:szCs w:val="22"/>
        </w:rPr>
        <w:t>3</w:t>
      </w:r>
      <w:r w:rsidR="00AD7FF1">
        <w:rPr>
          <w:sz w:val="22"/>
          <w:szCs w:val="22"/>
        </w:rPr>
        <w:t>,</w:t>
      </w:r>
      <w:r w:rsidR="00A1340D" w:rsidRPr="00346D7E">
        <w:rPr>
          <w:sz w:val="22"/>
          <w:szCs w:val="22"/>
        </w:rPr>
        <w:t xml:space="preserve">5, 15, 20, 30, 50 un 100 g </w:t>
      </w:r>
      <w:r>
        <w:rPr>
          <w:sz w:val="22"/>
          <w:szCs w:val="22"/>
        </w:rPr>
        <w:t xml:space="preserve">ziedes, </w:t>
      </w:r>
      <w:r w:rsidR="00A1340D" w:rsidRPr="00346D7E">
        <w:rPr>
          <w:sz w:val="22"/>
          <w:szCs w:val="22"/>
        </w:rPr>
        <w:t>ar baltu polipropilēna vāciņu.</w:t>
      </w:r>
    </w:p>
    <w:p w14:paraId="79E9BC52" w14:textId="77777777" w:rsidR="00F42F1F" w:rsidRPr="00346D7E" w:rsidRDefault="00F42F1F" w:rsidP="00B373B2">
      <w:pPr>
        <w:rPr>
          <w:sz w:val="22"/>
          <w:szCs w:val="22"/>
        </w:rPr>
      </w:pPr>
    </w:p>
    <w:p w14:paraId="16EA8732" w14:textId="77777777" w:rsidR="00A1340D" w:rsidRPr="00346D7E" w:rsidRDefault="00FE0E70" w:rsidP="00B373B2">
      <w:pPr>
        <w:rPr>
          <w:sz w:val="22"/>
          <w:szCs w:val="22"/>
        </w:rPr>
      </w:pPr>
      <w:r w:rsidRPr="00346D7E">
        <w:rPr>
          <w:sz w:val="22"/>
          <w:szCs w:val="22"/>
        </w:rPr>
        <w:t>Visi iepakojuma lielumi tirgū var nebūt pieejami.</w:t>
      </w:r>
    </w:p>
    <w:p w14:paraId="3E514C86" w14:textId="77777777" w:rsidR="00FE0E70" w:rsidRPr="00346D7E" w:rsidRDefault="00FE0E70" w:rsidP="00B373B2">
      <w:pPr>
        <w:rPr>
          <w:sz w:val="22"/>
          <w:szCs w:val="22"/>
        </w:rPr>
      </w:pPr>
    </w:p>
    <w:p w14:paraId="4FF195D5" w14:textId="77777777" w:rsidR="00A1340D" w:rsidRPr="00346D7E" w:rsidRDefault="00A1340D" w:rsidP="00B373B2">
      <w:pPr>
        <w:rPr>
          <w:b/>
          <w:sz w:val="22"/>
          <w:szCs w:val="22"/>
        </w:rPr>
      </w:pPr>
      <w:r w:rsidRPr="00346D7E">
        <w:rPr>
          <w:b/>
          <w:sz w:val="22"/>
          <w:szCs w:val="22"/>
        </w:rPr>
        <w:t>6.6</w:t>
      </w:r>
      <w:r w:rsidR="0090309E">
        <w:rPr>
          <w:b/>
          <w:sz w:val="22"/>
          <w:szCs w:val="22"/>
        </w:rPr>
        <w:t>.</w:t>
      </w:r>
      <w:r w:rsidRPr="00346D7E">
        <w:rPr>
          <w:b/>
          <w:sz w:val="22"/>
          <w:szCs w:val="22"/>
        </w:rPr>
        <w:t xml:space="preserve"> </w:t>
      </w:r>
      <w:r w:rsidR="00191EC2">
        <w:rPr>
          <w:b/>
          <w:sz w:val="22"/>
          <w:szCs w:val="22"/>
        </w:rPr>
        <w:tab/>
      </w:r>
      <w:r w:rsidRPr="00346D7E">
        <w:rPr>
          <w:b/>
          <w:sz w:val="22"/>
          <w:szCs w:val="22"/>
        </w:rPr>
        <w:t>Īpaši norādījumi atkritumu likvidēšanai</w:t>
      </w:r>
    </w:p>
    <w:p w14:paraId="020DEE77" w14:textId="77777777" w:rsidR="00A1340D" w:rsidRPr="00346D7E" w:rsidRDefault="00A1340D" w:rsidP="00B373B2">
      <w:pPr>
        <w:rPr>
          <w:b/>
          <w:sz w:val="22"/>
          <w:szCs w:val="22"/>
        </w:rPr>
      </w:pPr>
    </w:p>
    <w:p w14:paraId="6B81F5CA" w14:textId="77777777" w:rsidR="00A1340D" w:rsidRPr="00346D7E" w:rsidRDefault="00A1340D" w:rsidP="00B373B2">
      <w:pPr>
        <w:rPr>
          <w:sz w:val="22"/>
          <w:szCs w:val="22"/>
        </w:rPr>
      </w:pPr>
      <w:r w:rsidRPr="00346D7E">
        <w:rPr>
          <w:sz w:val="22"/>
          <w:szCs w:val="22"/>
        </w:rPr>
        <w:t>Nav īpašu prasību.</w:t>
      </w:r>
    </w:p>
    <w:p w14:paraId="73BF26D1" w14:textId="77777777" w:rsidR="00A1340D" w:rsidRPr="00346D7E" w:rsidRDefault="00A1340D" w:rsidP="00B373B2">
      <w:pPr>
        <w:rPr>
          <w:sz w:val="22"/>
          <w:szCs w:val="22"/>
        </w:rPr>
      </w:pPr>
    </w:p>
    <w:p w14:paraId="07410801" w14:textId="77777777" w:rsidR="00A1340D" w:rsidRPr="00346D7E" w:rsidRDefault="00A1340D" w:rsidP="00B373B2">
      <w:pPr>
        <w:rPr>
          <w:sz w:val="22"/>
          <w:szCs w:val="22"/>
        </w:rPr>
      </w:pPr>
    </w:p>
    <w:p w14:paraId="64DCCD60" w14:textId="77777777" w:rsidR="00A1340D" w:rsidRPr="00346D7E" w:rsidRDefault="00A1340D" w:rsidP="00B373B2">
      <w:pPr>
        <w:outlineLvl w:val="0"/>
        <w:rPr>
          <w:b/>
          <w:caps/>
          <w:sz w:val="22"/>
          <w:szCs w:val="22"/>
        </w:rPr>
      </w:pPr>
      <w:r w:rsidRPr="00346D7E">
        <w:rPr>
          <w:b/>
          <w:caps/>
          <w:sz w:val="22"/>
          <w:szCs w:val="22"/>
        </w:rPr>
        <w:t xml:space="preserve">7. </w:t>
      </w:r>
      <w:r w:rsidR="00191EC2">
        <w:rPr>
          <w:b/>
          <w:caps/>
          <w:sz w:val="22"/>
          <w:szCs w:val="22"/>
        </w:rPr>
        <w:tab/>
      </w:r>
      <w:r w:rsidRPr="00346D7E">
        <w:rPr>
          <w:b/>
          <w:caps/>
          <w:sz w:val="22"/>
          <w:szCs w:val="22"/>
        </w:rPr>
        <w:t>Reģistrācijas APLIECĪBAS ĪPAŠNIEKS</w:t>
      </w:r>
    </w:p>
    <w:p w14:paraId="05BFD2DD" w14:textId="77777777" w:rsidR="00A1340D" w:rsidRPr="00346D7E" w:rsidRDefault="00A1340D" w:rsidP="00B373B2">
      <w:pPr>
        <w:outlineLvl w:val="0"/>
        <w:rPr>
          <w:b/>
          <w:caps/>
          <w:sz w:val="22"/>
          <w:szCs w:val="22"/>
        </w:rPr>
      </w:pPr>
    </w:p>
    <w:p w14:paraId="2B092CD9" w14:textId="77777777" w:rsidR="000B4154" w:rsidRDefault="000B4154" w:rsidP="00B373B2">
      <w:pPr>
        <w:outlineLvl w:val="0"/>
        <w:rPr>
          <w:sz w:val="22"/>
          <w:szCs w:val="22"/>
        </w:rPr>
      </w:pPr>
      <w:r>
        <w:rPr>
          <w:sz w:val="22"/>
          <w:szCs w:val="22"/>
        </w:rPr>
        <w:t>UAB Bayer</w:t>
      </w:r>
    </w:p>
    <w:p w14:paraId="1A0A3C07" w14:textId="77777777" w:rsidR="000B4154" w:rsidRDefault="000B4154" w:rsidP="00B373B2">
      <w:pPr>
        <w:outlineLvl w:val="0"/>
        <w:rPr>
          <w:sz w:val="22"/>
          <w:szCs w:val="22"/>
        </w:rPr>
      </w:pPr>
      <w:r>
        <w:rPr>
          <w:sz w:val="22"/>
          <w:szCs w:val="22"/>
        </w:rPr>
        <w:t>Sporto 18</w:t>
      </w:r>
    </w:p>
    <w:p w14:paraId="15AD9F0E" w14:textId="77777777" w:rsidR="000B4154" w:rsidRDefault="000B4154" w:rsidP="00B373B2">
      <w:pPr>
        <w:outlineLvl w:val="0"/>
        <w:rPr>
          <w:sz w:val="22"/>
          <w:szCs w:val="22"/>
        </w:rPr>
      </w:pPr>
      <w:r>
        <w:rPr>
          <w:sz w:val="22"/>
          <w:szCs w:val="22"/>
        </w:rPr>
        <w:t>LT-092</w:t>
      </w:r>
      <w:r w:rsidR="00D6522A">
        <w:rPr>
          <w:sz w:val="22"/>
          <w:szCs w:val="22"/>
        </w:rPr>
        <w:t>38</w:t>
      </w:r>
      <w:r>
        <w:rPr>
          <w:sz w:val="22"/>
          <w:szCs w:val="22"/>
        </w:rPr>
        <w:t xml:space="preserve"> Vilnius</w:t>
      </w:r>
    </w:p>
    <w:p w14:paraId="40BB8CA4" w14:textId="77777777" w:rsidR="000B4154" w:rsidRDefault="000B4154" w:rsidP="00B373B2">
      <w:pPr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Lietuva</w:t>
      </w:r>
    </w:p>
    <w:p w14:paraId="760F3E06" w14:textId="77777777" w:rsidR="000B4154" w:rsidRDefault="000B4154" w:rsidP="00B373B2">
      <w:pPr>
        <w:outlineLvl w:val="0"/>
        <w:rPr>
          <w:b/>
          <w:caps/>
          <w:sz w:val="22"/>
          <w:szCs w:val="22"/>
        </w:rPr>
      </w:pPr>
    </w:p>
    <w:p w14:paraId="41CB7333" w14:textId="77777777" w:rsidR="009B20A4" w:rsidRPr="00346D7E" w:rsidRDefault="009B20A4" w:rsidP="00B373B2">
      <w:pPr>
        <w:outlineLvl w:val="0"/>
        <w:rPr>
          <w:b/>
          <w:caps/>
          <w:sz w:val="22"/>
          <w:szCs w:val="22"/>
        </w:rPr>
      </w:pPr>
    </w:p>
    <w:p w14:paraId="350F51A8" w14:textId="77777777" w:rsidR="00A1340D" w:rsidRPr="00346D7E" w:rsidRDefault="00A1340D" w:rsidP="00B373B2">
      <w:pPr>
        <w:outlineLvl w:val="0"/>
        <w:rPr>
          <w:b/>
          <w:caps/>
          <w:sz w:val="22"/>
          <w:szCs w:val="22"/>
        </w:rPr>
      </w:pPr>
      <w:r w:rsidRPr="00346D7E">
        <w:rPr>
          <w:b/>
          <w:caps/>
          <w:sz w:val="22"/>
          <w:szCs w:val="22"/>
        </w:rPr>
        <w:t xml:space="preserve">8. </w:t>
      </w:r>
      <w:r w:rsidR="00191EC2">
        <w:rPr>
          <w:b/>
          <w:caps/>
          <w:sz w:val="22"/>
          <w:szCs w:val="22"/>
        </w:rPr>
        <w:tab/>
      </w:r>
      <w:r w:rsidRPr="00346D7E">
        <w:rPr>
          <w:b/>
          <w:caps/>
          <w:sz w:val="22"/>
          <w:szCs w:val="22"/>
        </w:rPr>
        <w:t xml:space="preserve">Reģistrācijas </w:t>
      </w:r>
      <w:r w:rsidR="000B4154">
        <w:rPr>
          <w:b/>
          <w:caps/>
          <w:sz w:val="22"/>
          <w:szCs w:val="22"/>
        </w:rPr>
        <w:t xml:space="preserve">APLIECĪBAS </w:t>
      </w:r>
      <w:r w:rsidRPr="00346D7E">
        <w:rPr>
          <w:b/>
          <w:caps/>
          <w:sz w:val="22"/>
          <w:szCs w:val="22"/>
        </w:rPr>
        <w:t>NUMURS</w:t>
      </w:r>
    </w:p>
    <w:p w14:paraId="27BC639D" w14:textId="77777777" w:rsidR="00A1340D" w:rsidRPr="00346D7E" w:rsidRDefault="00A1340D" w:rsidP="00B373B2">
      <w:pPr>
        <w:outlineLvl w:val="0"/>
        <w:rPr>
          <w:b/>
          <w:caps/>
          <w:sz w:val="22"/>
          <w:szCs w:val="22"/>
        </w:rPr>
      </w:pPr>
    </w:p>
    <w:p w14:paraId="01463FC0" w14:textId="77777777" w:rsidR="00A1340D" w:rsidRPr="00346D7E" w:rsidRDefault="00A1340D" w:rsidP="00B373B2">
      <w:pPr>
        <w:outlineLvl w:val="0"/>
        <w:rPr>
          <w:sz w:val="22"/>
          <w:szCs w:val="22"/>
        </w:rPr>
      </w:pPr>
      <w:r w:rsidRPr="00346D7E">
        <w:rPr>
          <w:sz w:val="22"/>
          <w:szCs w:val="22"/>
        </w:rPr>
        <w:t>96-0058</w:t>
      </w:r>
    </w:p>
    <w:p w14:paraId="7F0867B0" w14:textId="77777777" w:rsidR="00A1340D" w:rsidRPr="00346D7E" w:rsidRDefault="00A1340D" w:rsidP="00B373B2">
      <w:pPr>
        <w:outlineLvl w:val="0"/>
        <w:rPr>
          <w:b/>
          <w:caps/>
          <w:sz w:val="22"/>
          <w:szCs w:val="22"/>
        </w:rPr>
      </w:pPr>
    </w:p>
    <w:p w14:paraId="007EBAF6" w14:textId="77777777" w:rsidR="00A1340D" w:rsidRPr="00346D7E" w:rsidRDefault="00A1340D" w:rsidP="00B373B2">
      <w:pPr>
        <w:outlineLvl w:val="0"/>
        <w:rPr>
          <w:b/>
          <w:caps/>
          <w:sz w:val="22"/>
          <w:szCs w:val="22"/>
        </w:rPr>
      </w:pPr>
    </w:p>
    <w:p w14:paraId="18D71D4D" w14:textId="5F8E199D" w:rsidR="00A1340D" w:rsidRPr="00346D7E" w:rsidRDefault="00A1340D" w:rsidP="00B373B2">
      <w:pPr>
        <w:outlineLvl w:val="0"/>
        <w:rPr>
          <w:b/>
          <w:caps/>
          <w:sz w:val="22"/>
          <w:szCs w:val="22"/>
        </w:rPr>
      </w:pPr>
      <w:r w:rsidRPr="00346D7E">
        <w:rPr>
          <w:b/>
          <w:caps/>
          <w:sz w:val="22"/>
          <w:szCs w:val="22"/>
        </w:rPr>
        <w:t xml:space="preserve">9. </w:t>
      </w:r>
      <w:r w:rsidR="00191EC2">
        <w:rPr>
          <w:b/>
          <w:caps/>
          <w:sz w:val="22"/>
          <w:szCs w:val="22"/>
        </w:rPr>
        <w:tab/>
      </w:r>
      <w:r w:rsidR="000B4154">
        <w:rPr>
          <w:b/>
          <w:caps/>
          <w:sz w:val="22"/>
          <w:szCs w:val="22"/>
        </w:rPr>
        <w:t xml:space="preserve">PIRMĀS </w:t>
      </w:r>
      <w:r w:rsidRPr="00346D7E">
        <w:rPr>
          <w:b/>
          <w:caps/>
          <w:sz w:val="22"/>
          <w:szCs w:val="22"/>
        </w:rPr>
        <w:t>Reģistrācijas/PĀRReģistrācijas DATUMS</w:t>
      </w:r>
    </w:p>
    <w:p w14:paraId="0F8BD3B7" w14:textId="77777777" w:rsidR="00A1340D" w:rsidRPr="00346D7E" w:rsidRDefault="00A1340D" w:rsidP="00B373B2">
      <w:pPr>
        <w:outlineLvl w:val="0"/>
        <w:rPr>
          <w:b/>
          <w:caps/>
          <w:sz w:val="22"/>
          <w:szCs w:val="22"/>
        </w:rPr>
      </w:pPr>
    </w:p>
    <w:p w14:paraId="0245D010" w14:textId="77777777" w:rsidR="00A1340D" w:rsidRDefault="000B4154" w:rsidP="00B373B2">
      <w:pPr>
        <w:outlineLvl w:val="0"/>
        <w:rPr>
          <w:caps/>
          <w:sz w:val="22"/>
          <w:szCs w:val="22"/>
        </w:rPr>
      </w:pPr>
      <w:r>
        <w:rPr>
          <w:sz w:val="22"/>
          <w:szCs w:val="22"/>
        </w:rPr>
        <w:t>Reģistrācijas datums: 1996.</w:t>
      </w:r>
      <w:r w:rsidR="00D54BDA">
        <w:rPr>
          <w:sz w:val="22"/>
          <w:szCs w:val="22"/>
        </w:rPr>
        <w:t xml:space="preserve"> </w:t>
      </w:r>
      <w:r w:rsidR="00D6522A">
        <w:rPr>
          <w:sz w:val="22"/>
          <w:szCs w:val="22"/>
        </w:rPr>
        <w:t>g</w:t>
      </w:r>
      <w:r w:rsidR="00D54BDA">
        <w:rPr>
          <w:sz w:val="22"/>
          <w:szCs w:val="22"/>
        </w:rPr>
        <w:t>ada 21. marts</w:t>
      </w:r>
    </w:p>
    <w:p w14:paraId="4B4BB6F6" w14:textId="77777777" w:rsidR="000B4154" w:rsidRPr="00346D7E" w:rsidRDefault="000B4154" w:rsidP="00B373B2">
      <w:pPr>
        <w:outlineLvl w:val="0"/>
        <w:rPr>
          <w:caps/>
          <w:sz w:val="22"/>
          <w:szCs w:val="22"/>
        </w:rPr>
      </w:pPr>
      <w:r w:rsidRPr="00D6522A">
        <w:rPr>
          <w:sz w:val="22"/>
          <w:szCs w:val="22"/>
        </w:rPr>
        <w:t>Pēdējās pārreģistrācijas datums:</w:t>
      </w:r>
      <w:r>
        <w:rPr>
          <w:caps/>
          <w:sz w:val="22"/>
          <w:szCs w:val="22"/>
        </w:rPr>
        <w:t xml:space="preserve"> 20</w:t>
      </w:r>
      <w:r w:rsidR="00D54BDA">
        <w:rPr>
          <w:caps/>
          <w:sz w:val="22"/>
          <w:szCs w:val="22"/>
        </w:rPr>
        <w:t>11</w:t>
      </w:r>
      <w:r>
        <w:rPr>
          <w:caps/>
          <w:sz w:val="22"/>
          <w:szCs w:val="22"/>
        </w:rPr>
        <w:t>.</w:t>
      </w:r>
      <w:r w:rsidR="00D54BDA">
        <w:rPr>
          <w:caps/>
          <w:sz w:val="22"/>
          <w:szCs w:val="22"/>
        </w:rPr>
        <w:t xml:space="preserve"> </w:t>
      </w:r>
      <w:r w:rsidR="00C255D7" w:rsidRPr="00C255D7">
        <w:rPr>
          <w:sz w:val="22"/>
          <w:szCs w:val="22"/>
        </w:rPr>
        <w:t>g</w:t>
      </w:r>
      <w:r w:rsidR="00D54BDA" w:rsidRPr="00D6522A">
        <w:rPr>
          <w:sz w:val="22"/>
          <w:szCs w:val="22"/>
        </w:rPr>
        <w:t>ada</w:t>
      </w:r>
      <w:r w:rsidR="00D54BDA">
        <w:rPr>
          <w:caps/>
          <w:sz w:val="22"/>
          <w:szCs w:val="22"/>
        </w:rPr>
        <w:t xml:space="preserve"> 1</w:t>
      </w:r>
      <w:r w:rsidR="00D54BDA" w:rsidRPr="00D6522A">
        <w:rPr>
          <w:sz w:val="22"/>
          <w:szCs w:val="22"/>
        </w:rPr>
        <w:t>0. marts</w:t>
      </w:r>
    </w:p>
    <w:p w14:paraId="32B6E5F5" w14:textId="77777777" w:rsidR="00FE0E70" w:rsidRPr="00346D7E" w:rsidRDefault="00FE0E70" w:rsidP="00B373B2">
      <w:pPr>
        <w:outlineLvl w:val="0"/>
        <w:rPr>
          <w:caps/>
          <w:sz w:val="22"/>
          <w:szCs w:val="22"/>
        </w:rPr>
      </w:pPr>
    </w:p>
    <w:p w14:paraId="2DA0ADFD" w14:textId="77777777" w:rsidR="00A1340D" w:rsidRPr="00346D7E" w:rsidRDefault="00A1340D" w:rsidP="00B373B2">
      <w:pPr>
        <w:outlineLvl w:val="0"/>
        <w:rPr>
          <w:b/>
          <w:caps/>
          <w:sz w:val="22"/>
          <w:szCs w:val="22"/>
        </w:rPr>
      </w:pPr>
    </w:p>
    <w:p w14:paraId="083F8F6A" w14:textId="77777777" w:rsidR="00A1340D" w:rsidRPr="00346D7E" w:rsidRDefault="00FE0E70" w:rsidP="00B373B2">
      <w:pPr>
        <w:outlineLvl w:val="0"/>
        <w:rPr>
          <w:b/>
          <w:caps/>
          <w:sz w:val="22"/>
          <w:szCs w:val="22"/>
        </w:rPr>
      </w:pPr>
      <w:r w:rsidRPr="00346D7E">
        <w:rPr>
          <w:b/>
          <w:caps/>
          <w:sz w:val="22"/>
          <w:szCs w:val="22"/>
        </w:rPr>
        <w:t xml:space="preserve">10. </w:t>
      </w:r>
      <w:r w:rsidR="00191EC2">
        <w:rPr>
          <w:b/>
          <w:caps/>
          <w:sz w:val="22"/>
          <w:szCs w:val="22"/>
        </w:rPr>
        <w:tab/>
      </w:r>
      <w:r w:rsidR="00A1340D" w:rsidRPr="00346D7E">
        <w:rPr>
          <w:b/>
          <w:caps/>
          <w:sz w:val="22"/>
          <w:szCs w:val="22"/>
        </w:rPr>
        <w:t>TEKSTA PĀRSKATĪŠANAS DATUMS</w:t>
      </w:r>
    </w:p>
    <w:p w14:paraId="096D9A72" w14:textId="77777777" w:rsidR="00A1340D" w:rsidRPr="00346D7E" w:rsidRDefault="00A1340D" w:rsidP="00B373B2">
      <w:pPr>
        <w:outlineLvl w:val="0"/>
        <w:rPr>
          <w:b/>
          <w:caps/>
          <w:sz w:val="22"/>
          <w:szCs w:val="22"/>
        </w:rPr>
      </w:pPr>
    </w:p>
    <w:p w14:paraId="4CCABF16" w14:textId="0A5DB3A2" w:rsidR="00EF02F9" w:rsidRPr="00346D7E" w:rsidRDefault="003C7F2D" w:rsidP="00B5727A">
      <w:pPr>
        <w:outlineLvl w:val="0"/>
        <w:rPr>
          <w:caps/>
          <w:sz w:val="22"/>
          <w:szCs w:val="22"/>
        </w:rPr>
      </w:pPr>
      <w:r>
        <w:rPr>
          <w:caps/>
          <w:sz w:val="22"/>
          <w:szCs w:val="22"/>
        </w:rPr>
        <w:t>06</w:t>
      </w:r>
      <w:r w:rsidR="00676821">
        <w:rPr>
          <w:caps/>
          <w:sz w:val="22"/>
          <w:szCs w:val="22"/>
        </w:rPr>
        <w:t>/2020</w:t>
      </w:r>
    </w:p>
    <w:sectPr w:rsidR="00EF02F9" w:rsidRPr="00346D7E" w:rsidSect="00FE0E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88BAF" w14:textId="77777777" w:rsidR="00221437" w:rsidRDefault="00221437">
      <w:r>
        <w:separator/>
      </w:r>
    </w:p>
  </w:endnote>
  <w:endnote w:type="continuationSeparator" w:id="0">
    <w:p w14:paraId="772B873B" w14:textId="77777777" w:rsidR="00221437" w:rsidRDefault="00221437">
      <w:r>
        <w:continuationSeparator/>
      </w:r>
    </w:p>
  </w:endnote>
  <w:endnote w:type="continuationNotice" w:id="1">
    <w:p w14:paraId="69C57732" w14:textId="77777777" w:rsidR="00221437" w:rsidRDefault="00221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8743" w14:textId="77777777" w:rsidR="007D2CC8" w:rsidRDefault="007D2CC8" w:rsidP="008D4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EC7C4" w14:textId="77777777" w:rsidR="007D2CC8" w:rsidRDefault="007D2CC8" w:rsidP="007D2C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7BB82" w14:textId="77777777" w:rsidR="007D2CC8" w:rsidRDefault="007D2CC8" w:rsidP="008D4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30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A10CD9" w14:textId="77777777" w:rsidR="007D2CC8" w:rsidRDefault="007D2CC8" w:rsidP="007D2CC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69A8A" w14:textId="77777777" w:rsidR="00847BCA" w:rsidRDefault="00847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61982" w14:textId="77777777" w:rsidR="00221437" w:rsidRDefault="00221437">
      <w:r>
        <w:separator/>
      </w:r>
    </w:p>
  </w:footnote>
  <w:footnote w:type="continuationSeparator" w:id="0">
    <w:p w14:paraId="050E3C1A" w14:textId="77777777" w:rsidR="00221437" w:rsidRDefault="00221437">
      <w:r>
        <w:continuationSeparator/>
      </w:r>
    </w:p>
  </w:footnote>
  <w:footnote w:type="continuationNotice" w:id="1">
    <w:p w14:paraId="6C7021F3" w14:textId="77777777" w:rsidR="00221437" w:rsidRDefault="002214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B5DB" w14:textId="77777777" w:rsidR="00847BCA" w:rsidRDefault="00847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6D38" w14:textId="1B28F8E9" w:rsidR="00221437" w:rsidRPr="00847BCA" w:rsidRDefault="00847BCA" w:rsidP="00847BCA">
    <w:pPr>
      <w:pStyle w:val="Header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>SASKAŅOTS ZVA 18-06-2020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85A09" w14:textId="77777777" w:rsidR="00847BCA" w:rsidRDefault="00847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40D"/>
    <w:rsid w:val="00030DA2"/>
    <w:rsid w:val="0005625B"/>
    <w:rsid w:val="00071A53"/>
    <w:rsid w:val="00084CC5"/>
    <w:rsid w:val="0009368A"/>
    <w:rsid w:val="000B4154"/>
    <w:rsid w:val="000B7D09"/>
    <w:rsid w:val="000C3B54"/>
    <w:rsid w:val="000D0469"/>
    <w:rsid w:val="000E7B85"/>
    <w:rsid w:val="00101C4C"/>
    <w:rsid w:val="00121EE8"/>
    <w:rsid w:val="00155730"/>
    <w:rsid w:val="001652D4"/>
    <w:rsid w:val="00176AE9"/>
    <w:rsid w:val="00183949"/>
    <w:rsid w:val="00191324"/>
    <w:rsid w:val="00191EC2"/>
    <w:rsid w:val="001A3BC2"/>
    <w:rsid w:val="001E2C49"/>
    <w:rsid w:val="001E3A93"/>
    <w:rsid w:val="001F4550"/>
    <w:rsid w:val="002157B9"/>
    <w:rsid w:val="00221437"/>
    <w:rsid w:val="00261001"/>
    <w:rsid w:val="00271A8E"/>
    <w:rsid w:val="002D4121"/>
    <w:rsid w:val="00303E48"/>
    <w:rsid w:val="00346A9D"/>
    <w:rsid w:val="00346D7E"/>
    <w:rsid w:val="003513B5"/>
    <w:rsid w:val="00377994"/>
    <w:rsid w:val="003A627E"/>
    <w:rsid w:val="003C7F2D"/>
    <w:rsid w:val="003F13CD"/>
    <w:rsid w:val="00401B21"/>
    <w:rsid w:val="00402EE4"/>
    <w:rsid w:val="004120AD"/>
    <w:rsid w:val="00425430"/>
    <w:rsid w:val="00461978"/>
    <w:rsid w:val="0047369E"/>
    <w:rsid w:val="00491E3B"/>
    <w:rsid w:val="004962C4"/>
    <w:rsid w:val="004A01A3"/>
    <w:rsid w:val="004B5DE3"/>
    <w:rsid w:val="00542531"/>
    <w:rsid w:val="00566A94"/>
    <w:rsid w:val="00586EB0"/>
    <w:rsid w:val="005D3C8D"/>
    <w:rsid w:val="006100D1"/>
    <w:rsid w:val="00621715"/>
    <w:rsid w:val="00676821"/>
    <w:rsid w:val="00681E52"/>
    <w:rsid w:val="0071339E"/>
    <w:rsid w:val="0071528B"/>
    <w:rsid w:val="00736CC0"/>
    <w:rsid w:val="0078355B"/>
    <w:rsid w:val="00785836"/>
    <w:rsid w:val="00790A0E"/>
    <w:rsid w:val="007A1E37"/>
    <w:rsid w:val="007D2CC8"/>
    <w:rsid w:val="007F0600"/>
    <w:rsid w:val="00842F50"/>
    <w:rsid w:val="00843FB1"/>
    <w:rsid w:val="00847BCA"/>
    <w:rsid w:val="00865860"/>
    <w:rsid w:val="008859C0"/>
    <w:rsid w:val="008912F3"/>
    <w:rsid w:val="0089525C"/>
    <w:rsid w:val="008A7DD2"/>
    <w:rsid w:val="008D4615"/>
    <w:rsid w:val="008E50C7"/>
    <w:rsid w:val="0090309E"/>
    <w:rsid w:val="00924013"/>
    <w:rsid w:val="009610CC"/>
    <w:rsid w:val="0097386D"/>
    <w:rsid w:val="009813B3"/>
    <w:rsid w:val="009814BE"/>
    <w:rsid w:val="009B20A4"/>
    <w:rsid w:val="009D4E6A"/>
    <w:rsid w:val="009F3826"/>
    <w:rsid w:val="00A1340D"/>
    <w:rsid w:val="00AC45D6"/>
    <w:rsid w:val="00AD5FEF"/>
    <w:rsid w:val="00AD7FF1"/>
    <w:rsid w:val="00AF1151"/>
    <w:rsid w:val="00B34B9D"/>
    <w:rsid w:val="00B373B2"/>
    <w:rsid w:val="00B5727A"/>
    <w:rsid w:val="00B626E3"/>
    <w:rsid w:val="00BB64EC"/>
    <w:rsid w:val="00BC586C"/>
    <w:rsid w:val="00C255D7"/>
    <w:rsid w:val="00C35A7E"/>
    <w:rsid w:val="00CA2B5D"/>
    <w:rsid w:val="00CD230D"/>
    <w:rsid w:val="00CE2C49"/>
    <w:rsid w:val="00D03CFD"/>
    <w:rsid w:val="00D53F6E"/>
    <w:rsid w:val="00D54BDA"/>
    <w:rsid w:val="00D5698B"/>
    <w:rsid w:val="00D6522A"/>
    <w:rsid w:val="00D7171D"/>
    <w:rsid w:val="00DC27C0"/>
    <w:rsid w:val="00E10E6E"/>
    <w:rsid w:val="00E11D96"/>
    <w:rsid w:val="00E40122"/>
    <w:rsid w:val="00E4711C"/>
    <w:rsid w:val="00EB6375"/>
    <w:rsid w:val="00ED1A6D"/>
    <w:rsid w:val="00EF02F9"/>
    <w:rsid w:val="00F415C7"/>
    <w:rsid w:val="00F42F1F"/>
    <w:rsid w:val="00F8378A"/>
    <w:rsid w:val="00FB75B8"/>
    <w:rsid w:val="00FD3BCB"/>
    <w:rsid w:val="00FD46D6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EA4E9D"/>
  <w15:chartTrackingRefBased/>
  <w15:docId w15:val="{6980C87D-82FE-47E7-9C32-951F6F17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F42F1F"/>
    <w:pPr>
      <w:keepNext/>
      <w:widowControl w:val="0"/>
      <w:autoSpaceDE w:val="0"/>
      <w:autoSpaceDN w:val="0"/>
      <w:jc w:val="both"/>
      <w:outlineLvl w:val="0"/>
    </w:pPr>
    <w:rPr>
      <w:rFonts w:ascii="Arial Narrow" w:hAnsi="Arial Narrow" w:cs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340D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customStyle="1" w:styleId="Adresse">
    <w:name w:val="Adresse"/>
    <w:basedOn w:val="Normal"/>
    <w:rsid w:val="00A1340D"/>
    <w:pPr>
      <w:keepNext/>
      <w:keepLines/>
      <w:ind w:left="567"/>
    </w:pPr>
    <w:rPr>
      <w:rFonts w:ascii="Arial" w:hAnsi="Arial"/>
      <w:sz w:val="22"/>
      <w:szCs w:val="20"/>
      <w:lang w:val="en-GB" w:eastAsia="ja-JP"/>
    </w:rPr>
  </w:style>
  <w:style w:type="paragraph" w:styleId="Footer">
    <w:name w:val="footer"/>
    <w:basedOn w:val="Normal"/>
    <w:rsid w:val="003A62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2CC8"/>
  </w:style>
  <w:style w:type="paragraph" w:styleId="BalloonText">
    <w:name w:val="Balloon Text"/>
    <w:basedOn w:val="Normal"/>
    <w:link w:val="BalloonTextChar"/>
    <w:rsid w:val="000B4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4154"/>
    <w:rPr>
      <w:rFonts w:ascii="Tahoma" w:hAnsi="Tahoma" w:cs="Tahoma"/>
      <w:sz w:val="16"/>
      <w:szCs w:val="16"/>
      <w:lang w:val="lv-LV" w:eastAsia="lv-LV"/>
    </w:rPr>
  </w:style>
  <w:style w:type="character" w:styleId="CommentReference">
    <w:name w:val="annotation reference"/>
    <w:rsid w:val="001839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949"/>
    <w:rPr>
      <w:sz w:val="20"/>
      <w:szCs w:val="20"/>
    </w:rPr>
  </w:style>
  <w:style w:type="character" w:customStyle="1" w:styleId="CommentTextChar">
    <w:name w:val="Comment Text Char"/>
    <w:link w:val="CommentText"/>
    <w:rsid w:val="00183949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83949"/>
    <w:rPr>
      <w:b/>
      <w:bCs/>
    </w:rPr>
  </w:style>
  <w:style w:type="character" w:customStyle="1" w:styleId="CommentSubjectChar">
    <w:name w:val="Comment Subject Char"/>
    <w:link w:val="CommentSubject"/>
    <w:rsid w:val="00183949"/>
    <w:rPr>
      <w:b/>
      <w:bCs/>
      <w:lang w:val="lv-LV" w:eastAsia="lv-LV"/>
    </w:rPr>
  </w:style>
  <w:style w:type="paragraph" w:styleId="Revision">
    <w:name w:val="Revision"/>
    <w:hidden/>
    <w:uiPriority w:val="99"/>
    <w:semiHidden/>
    <w:rsid w:val="00676821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FFFA-16F8-4D54-9FC3-BD9EDC5D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5875</Words>
  <Characters>3349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ZĀĻU APRAKSTS</vt:lpstr>
    </vt:vector>
  </TitlesOfParts>
  <Company>MIC</Company>
  <LinksUpToDate>false</LinksUpToDate>
  <CharactersWithSpaces>9206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ZĀĻU APRAKSTS</dc:title>
  <dc:subject/>
  <dc:creator>Inara</dc:creator>
  <cp:keywords/>
  <cp:lastModifiedBy>Skaidrīte Lapsenīte</cp:lastModifiedBy>
  <cp:revision>3</cp:revision>
  <cp:lastPrinted>2015-05-18T10:00:00Z</cp:lastPrinted>
  <dcterms:created xsi:type="dcterms:W3CDTF">2020-06-13T08:24:00Z</dcterms:created>
  <dcterms:modified xsi:type="dcterms:W3CDTF">2020-08-18T06:18:00Z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nora.rieksta@bayer.com</vt:lpwstr>
  </property>
  <property fmtid="{D5CDD505-2E9C-101B-9397-08002B2CF9AE}" pid="5" name="MSIP_Label_7f850223-87a8-40c3-9eb2-432606efca2a_SetDate">
    <vt:lpwstr>2020-01-15T13:01:21.3382869Z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</Properties>
</file>