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41AF" w14:textId="77777777" w:rsidR="00310444" w:rsidRPr="000541FC" w:rsidRDefault="00BA79C6" w:rsidP="00133C47">
      <w:pPr>
        <w:jc w:val="center"/>
        <w:rPr>
          <w:b/>
          <w:lang w:val="lv-LV"/>
        </w:rPr>
      </w:pPr>
      <w:r w:rsidRPr="000541FC">
        <w:rPr>
          <w:b/>
          <w:lang w:val="lv-LV"/>
        </w:rPr>
        <w:t>ZĀĻU APRAKSTS</w:t>
      </w:r>
    </w:p>
    <w:p w14:paraId="5346E0AB" w14:textId="77777777" w:rsidR="00310444" w:rsidRPr="000541FC" w:rsidRDefault="00310444" w:rsidP="00133C47">
      <w:pPr>
        <w:jc w:val="center"/>
        <w:rPr>
          <w:lang w:val="lv-LV"/>
        </w:rPr>
      </w:pPr>
    </w:p>
    <w:p w14:paraId="6125D0F8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1.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ZĀĻU NOSAUKUMS</w:t>
      </w:r>
    </w:p>
    <w:p w14:paraId="02CE9390" w14:textId="77777777" w:rsidR="00310444" w:rsidRPr="000541FC" w:rsidRDefault="00310444" w:rsidP="00CE1572">
      <w:pPr>
        <w:jc w:val="both"/>
        <w:rPr>
          <w:lang w:val="lv-LV"/>
        </w:rPr>
      </w:pPr>
    </w:p>
    <w:p w14:paraId="49FFAA24" w14:textId="77777777" w:rsidR="00310444" w:rsidRPr="000541FC" w:rsidRDefault="00BE7EA5" w:rsidP="00CE1572">
      <w:pPr>
        <w:jc w:val="both"/>
        <w:rPr>
          <w:lang w:val="lv-LV"/>
        </w:rPr>
      </w:pPr>
      <w:r w:rsidRPr="000541FC">
        <w:rPr>
          <w:lang w:val="lv-LV"/>
        </w:rPr>
        <w:t xml:space="preserve">MEBENDAZOLE-GRINDEKS </w:t>
      </w:r>
      <w:r w:rsidR="00310444" w:rsidRPr="000541FC">
        <w:rPr>
          <w:lang w:val="lv-LV"/>
        </w:rPr>
        <w:t>100 mg tabletes</w:t>
      </w:r>
    </w:p>
    <w:p w14:paraId="702F1513" w14:textId="77777777" w:rsidR="00310444" w:rsidRPr="000541FC" w:rsidRDefault="00310444" w:rsidP="00CE1572">
      <w:pPr>
        <w:jc w:val="both"/>
        <w:rPr>
          <w:i/>
          <w:lang w:val="lv-LV"/>
        </w:rPr>
      </w:pPr>
    </w:p>
    <w:p w14:paraId="59485D42" w14:textId="77777777" w:rsidR="00370C4A" w:rsidRPr="000541FC" w:rsidRDefault="00370C4A" w:rsidP="00CE1572">
      <w:pPr>
        <w:jc w:val="both"/>
        <w:rPr>
          <w:i/>
          <w:lang w:val="lv-LV"/>
        </w:rPr>
      </w:pPr>
    </w:p>
    <w:p w14:paraId="482E816C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2.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KVALITATĪVAIS UN KVANTITATĪVAIS SASTĀVS</w:t>
      </w:r>
    </w:p>
    <w:p w14:paraId="3B27DAE9" w14:textId="77777777" w:rsidR="00BA79C6" w:rsidRPr="000541FC" w:rsidRDefault="00BA79C6" w:rsidP="00CE1572">
      <w:pPr>
        <w:jc w:val="both"/>
        <w:rPr>
          <w:lang w:val="lv-LV"/>
        </w:rPr>
      </w:pPr>
    </w:p>
    <w:p w14:paraId="0305EBD9" w14:textId="77777777" w:rsidR="00310444" w:rsidRPr="000541FC" w:rsidRDefault="003B1D37" w:rsidP="00CE1572">
      <w:pPr>
        <w:jc w:val="both"/>
        <w:rPr>
          <w:lang w:val="lv-LV"/>
        </w:rPr>
      </w:pPr>
      <w:r w:rsidRPr="000541FC">
        <w:rPr>
          <w:lang w:val="lv-LV"/>
        </w:rPr>
        <w:t xml:space="preserve">Katra </w:t>
      </w:r>
      <w:r w:rsidR="00310444" w:rsidRPr="000541FC">
        <w:rPr>
          <w:lang w:val="lv-LV"/>
        </w:rPr>
        <w:t xml:space="preserve">tablete satur 100 mg </w:t>
      </w:r>
      <w:proofErr w:type="spellStart"/>
      <w:r w:rsidR="00310444" w:rsidRPr="000541FC">
        <w:rPr>
          <w:lang w:val="lv-LV"/>
        </w:rPr>
        <w:t>mebendazola</w:t>
      </w:r>
      <w:proofErr w:type="spellEnd"/>
      <w:r w:rsidR="00310444" w:rsidRPr="000541FC">
        <w:rPr>
          <w:lang w:val="lv-LV"/>
        </w:rPr>
        <w:t xml:space="preserve"> (</w:t>
      </w:r>
      <w:proofErr w:type="spellStart"/>
      <w:r w:rsidR="0084056A">
        <w:rPr>
          <w:i/>
          <w:lang w:val="lv-LV"/>
        </w:rPr>
        <w:t>m</w:t>
      </w:r>
      <w:r w:rsidR="00310444" w:rsidRPr="000541FC">
        <w:rPr>
          <w:i/>
          <w:lang w:val="lv-LV"/>
        </w:rPr>
        <w:t>ebendazolum</w:t>
      </w:r>
      <w:proofErr w:type="spellEnd"/>
      <w:r w:rsidR="00310444" w:rsidRPr="000541FC">
        <w:rPr>
          <w:lang w:val="lv-LV"/>
        </w:rPr>
        <w:t>).</w:t>
      </w:r>
    </w:p>
    <w:p w14:paraId="15359716" w14:textId="77777777" w:rsidR="0070624B" w:rsidRPr="000541FC" w:rsidRDefault="0070624B" w:rsidP="00CE1572">
      <w:pPr>
        <w:jc w:val="both"/>
        <w:rPr>
          <w:lang w:val="lv-LV"/>
        </w:rPr>
      </w:pPr>
    </w:p>
    <w:p w14:paraId="43F1E3C3" w14:textId="77777777" w:rsidR="0070624B" w:rsidRPr="000541FC" w:rsidRDefault="003E5501" w:rsidP="00CE1572">
      <w:pPr>
        <w:jc w:val="both"/>
        <w:rPr>
          <w:lang w:val="lv-LV"/>
        </w:rPr>
      </w:pPr>
      <w:r w:rsidRPr="000541FC">
        <w:rPr>
          <w:u w:val="single"/>
          <w:lang w:val="lv-LV"/>
        </w:rPr>
        <w:t>Palīgviela(</w:t>
      </w:r>
      <w:r w:rsidR="00BA0545" w:rsidRPr="000541FC">
        <w:rPr>
          <w:u w:val="single"/>
          <w:lang w:val="lv-LV"/>
        </w:rPr>
        <w:t>-</w:t>
      </w:r>
      <w:r w:rsidRPr="000541FC">
        <w:rPr>
          <w:u w:val="single"/>
          <w:lang w:val="lv-LV"/>
        </w:rPr>
        <w:t>s)</w:t>
      </w:r>
      <w:r w:rsidR="0070624B" w:rsidRPr="000541FC">
        <w:rPr>
          <w:sz w:val="22"/>
          <w:szCs w:val="20"/>
          <w:u w:val="single"/>
          <w:lang w:val="lv-LV"/>
        </w:rPr>
        <w:t xml:space="preserve"> </w:t>
      </w:r>
      <w:r w:rsidR="0070624B" w:rsidRPr="000541FC">
        <w:rPr>
          <w:u w:val="single"/>
          <w:lang w:val="lv-LV"/>
        </w:rPr>
        <w:t>ar zināmu iedarbību</w:t>
      </w:r>
      <w:r w:rsidRPr="000541FC">
        <w:rPr>
          <w:lang w:val="lv-LV"/>
        </w:rPr>
        <w:t>:</w:t>
      </w:r>
    </w:p>
    <w:p w14:paraId="31BB863C" w14:textId="26793DE0" w:rsidR="0070624B" w:rsidRPr="000541FC" w:rsidRDefault="0076723C" w:rsidP="00CE1572">
      <w:pPr>
        <w:jc w:val="both"/>
        <w:rPr>
          <w:lang w:val="lv-LV"/>
        </w:rPr>
      </w:pPr>
      <w:r w:rsidRPr="000541FC">
        <w:rPr>
          <w:lang w:val="lv-LV"/>
        </w:rPr>
        <w:t>k</w:t>
      </w:r>
      <w:r w:rsidR="00C40255" w:rsidRPr="000541FC">
        <w:rPr>
          <w:lang w:val="lv-LV"/>
        </w:rPr>
        <w:t xml:space="preserve">atra tablete satur 114,7 mg </w:t>
      </w:r>
      <w:r w:rsidR="003E5501" w:rsidRPr="000541FC">
        <w:rPr>
          <w:lang w:val="lv-LV"/>
        </w:rPr>
        <w:t>laktozes monohidrāt</w:t>
      </w:r>
      <w:r w:rsidR="001427C4" w:rsidRPr="000541FC">
        <w:rPr>
          <w:lang w:val="lv-LV"/>
        </w:rPr>
        <w:t>a</w:t>
      </w:r>
      <w:r w:rsidR="00B8290C" w:rsidRPr="000541FC">
        <w:rPr>
          <w:lang w:val="lv-LV"/>
        </w:rPr>
        <w:t xml:space="preserve"> un krāsvielu saulrieta </w:t>
      </w:r>
      <w:r w:rsidR="00BC68B0" w:rsidRPr="000541FC">
        <w:rPr>
          <w:lang w:val="lv-LV"/>
        </w:rPr>
        <w:t>dzelten</w:t>
      </w:r>
      <w:r w:rsidR="00BC68B0">
        <w:rPr>
          <w:lang w:val="lv-LV"/>
        </w:rPr>
        <w:t>o</w:t>
      </w:r>
      <w:r w:rsidR="00BC68B0" w:rsidRPr="000541FC">
        <w:rPr>
          <w:lang w:val="lv-LV"/>
        </w:rPr>
        <w:t xml:space="preserve"> </w:t>
      </w:r>
      <w:r w:rsidR="00B8290C" w:rsidRPr="000541FC">
        <w:rPr>
          <w:lang w:val="lv-LV"/>
        </w:rPr>
        <w:t>(E 110)</w:t>
      </w:r>
      <w:r w:rsidR="0070624B" w:rsidRPr="000541FC">
        <w:rPr>
          <w:lang w:val="lv-LV"/>
        </w:rPr>
        <w:t>.</w:t>
      </w:r>
    </w:p>
    <w:p w14:paraId="02196FD6" w14:textId="77777777" w:rsidR="00310444" w:rsidRPr="000541FC" w:rsidRDefault="00310444" w:rsidP="00CE1572">
      <w:pPr>
        <w:jc w:val="both"/>
        <w:rPr>
          <w:lang w:val="lv-LV"/>
        </w:rPr>
      </w:pPr>
    </w:p>
    <w:p w14:paraId="24E41586" w14:textId="77777777" w:rsidR="003E5501" w:rsidRPr="000541FC" w:rsidRDefault="003E5501" w:rsidP="00CE1572">
      <w:pPr>
        <w:jc w:val="both"/>
        <w:rPr>
          <w:lang w:val="lv-LV"/>
        </w:rPr>
      </w:pPr>
      <w:r w:rsidRPr="000541FC">
        <w:rPr>
          <w:lang w:val="lv-LV"/>
        </w:rPr>
        <w:t xml:space="preserve">Pilnu palīgvielu sarakstu skatīt </w:t>
      </w:r>
      <w:r w:rsidR="0070624B" w:rsidRPr="000541FC">
        <w:rPr>
          <w:lang w:val="lv-LV"/>
        </w:rPr>
        <w:t>6.1.</w:t>
      </w:r>
      <w:r w:rsidR="00807068" w:rsidRPr="000541FC">
        <w:rPr>
          <w:lang w:val="lv-LV"/>
        </w:rPr>
        <w:t> </w:t>
      </w:r>
      <w:r w:rsidRPr="000541FC">
        <w:rPr>
          <w:lang w:val="lv-LV"/>
        </w:rPr>
        <w:t>apakšpunktā</w:t>
      </w:r>
      <w:r w:rsidR="0070624B" w:rsidRPr="000541FC">
        <w:rPr>
          <w:lang w:val="lv-LV"/>
        </w:rPr>
        <w:t>.</w:t>
      </w:r>
    </w:p>
    <w:p w14:paraId="5D1A72AC" w14:textId="77777777" w:rsidR="003E5501" w:rsidRPr="000541FC" w:rsidRDefault="003E5501" w:rsidP="00CE1572">
      <w:pPr>
        <w:jc w:val="both"/>
        <w:rPr>
          <w:lang w:val="lv-LV"/>
        </w:rPr>
      </w:pPr>
    </w:p>
    <w:p w14:paraId="5AAE1BC8" w14:textId="77777777" w:rsidR="00370C4A" w:rsidRPr="000541FC" w:rsidRDefault="00370C4A" w:rsidP="00CE1572">
      <w:pPr>
        <w:jc w:val="both"/>
        <w:rPr>
          <w:lang w:val="lv-LV"/>
        </w:rPr>
      </w:pPr>
    </w:p>
    <w:p w14:paraId="646CA5B0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3.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ZĀĻU FORMA</w:t>
      </w:r>
    </w:p>
    <w:p w14:paraId="371D4F91" w14:textId="77777777" w:rsidR="00BA79C6" w:rsidRPr="000541FC" w:rsidRDefault="00BA79C6" w:rsidP="00CE1572">
      <w:pPr>
        <w:jc w:val="both"/>
        <w:rPr>
          <w:lang w:val="lv-LV"/>
        </w:rPr>
      </w:pPr>
    </w:p>
    <w:p w14:paraId="7A824676" w14:textId="77777777" w:rsidR="00BA79C6" w:rsidRPr="000541FC" w:rsidRDefault="00BA79C6" w:rsidP="00CE1572">
      <w:pPr>
        <w:jc w:val="both"/>
        <w:rPr>
          <w:lang w:val="lv-LV"/>
        </w:rPr>
      </w:pPr>
      <w:r w:rsidRPr="000541FC">
        <w:rPr>
          <w:lang w:val="lv-LV"/>
        </w:rPr>
        <w:t>Tablete.</w:t>
      </w:r>
    </w:p>
    <w:p w14:paraId="72D6266F" w14:textId="77777777" w:rsidR="001E4052" w:rsidRPr="000541FC" w:rsidRDefault="001E4052" w:rsidP="00CE1572">
      <w:pPr>
        <w:jc w:val="both"/>
        <w:rPr>
          <w:lang w:val="lv-LV"/>
        </w:rPr>
      </w:pPr>
    </w:p>
    <w:p w14:paraId="1C8D5D0C" w14:textId="12937093" w:rsidR="00310444" w:rsidRDefault="00310444" w:rsidP="00CE1572">
      <w:pPr>
        <w:jc w:val="both"/>
        <w:rPr>
          <w:lang w:val="lv-LV"/>
        </w:rPr>
      </w:pPr>
      <w:r w:rsidRPr="000541FC">
        <w:rPr>
          <w:lang w:val="lv-LV"/>
        </w:rPr>
        <w:t>Apaļas tabletes ar plakanām virsmām</w:t>
      </w:r>
      <w:r w:rsidR="008A30BA">
        <w:rPr>
          <w:lang w:val="lv-LV"/>
        </w:rPr>
        <w:t>,</w:t>
      </w:r>
      <w:r w:rsidRPr="000541FC">
        <w:rPr>
          <w:lang w:val="lv-LV"/>
        </w:rPr>
        <w:t xml:space="preserve"> gaiši rozā krāsā ar baltiem un tumši rozā plankumiem, vienā pusē dalījuma līnija.</w:t>
      </w:r>
    </w:p>
    <w:p w14:paraId="115D9AFC" w14:textId="3FE12137" w:rsidR="00BC68B0" w:rsidRPr="000541FC" w:rsidRDefault="00BC68B0" w:rsidP="00CE1572">
      <w:pPr>
        <w:jc w:val="both"/>
        <w:rPr>
          <w:lang w:val="lv-LV"/>
        </w:rPr>
      </w:pPr>
      <w:r w:rsidRPr="00BC68B0">
        <w:rPr>
          <w:lang w:val="lv-LV"/>
        </w:rPr>
        <w:t>Dalījuma līnija paredzēta tikai tabletes salaušanai, lai atvieglotu tās norīšanu, nevis tabletes dalīšanai vienādās devās.</w:t>
      </w:r>
    </w:p>
    <w:p w14:paraId="76375E69" w14:textId="77777777" w:rsidR="00370C4A" w:rsidRPr="000541FC" w:rsidRDefault="00370C4A" w:rsidP="00CE1572">
      <w:pPr>
        <w:jc w:val="both"/>
        <w:rPr>
          <w:lang w:val="lv-LV"/>
        </w:rPr>
      </w:pPr>
    </w:p>
    <w:p w14:paraId="452DE62B" w14:textId="77777777" w:rsidR="00370C4A" w:rsidRPr="000541FC" w:rsidRDefault="00370C4A" w:rsidP="00CE1572">
      <w:pPr>
        <w:jc w:val="both"/>
        <w:rPr>
          <w:lang w:val="lv-LV"/>
        </w:rPr>
      </w:pPr>
    </w:p>
    <w:p w14:paraId="0CE3DB90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KLĪNISKĀ INFORMĀCIJA</w:t>
      </w:r>
    </w:p>
    <w:p w14:paraId="1C6AD1EC" w14:textId="77777777" w:rsidR="00310444" w:rsidRPr="000541FC" w:rsidRDefault="00310444" w:rsidP="00CE1572">
      <w:pPr>
        <w:jc w:val="both"/>
        <w:rPr>
          <w:lang w:val="lv-LV"/>
        </w:rPr>
      </w:pPr>
    </w:p>
    <w:p w14:paraId="4903FD76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4.1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Terapeitiskās indikācijas</w:t>
      </w:r>
    </w:p>
    <w:p w14:paraId="391F7095" w14:textId="77777777" w:rsidR="00BA79C6" w:rsidRPr="000541FC" w:rsidRDefault="00BA79C6" w:rsidP="00CE1572">
      <w:pPr>
        <w:jc w:val="both"/>
        <w:rPr>
          <w:lang w:val="lv-LV"/>
        </w:rPr>
      </w:pPr>
    </w:p>
    <w:p w14:paraId="062EE05F" w14:textId="77777777" w:rsidR="00DF6040" w:rsidRPr="000541FC" w:rsidRDefault="00DF6040" w:rsidP="00CE1572">
      <w:pPr>
        <w:jc w:val="both"/>
        <w:rPr>
          <w:spacing w:val="-6"/>
          <w:lang w:val="lv-LV"/>
        </w:rPr>
      </w:pPr>
      <w:proofErr w:type="spellStart"/>
      <w:r w:rsidRPr="000541FC">
        <w:rPr>
          <w:spacing w:val="-4"/>
          <w:lang w:val="lv-LV"/>
        </w:rPr>
        <w:t>Mebendazole</w:t>
      </w:r>
      <w:proofErr w:type="spellEnd"/>
      <w:r w:rsidRPr="000541FC">
        <w:rPr>
          <w:spacing w:val="-4"/>
          <w:lang w:val="lv-LV"/>
        </w:rPr>
        <w:t>-Grindeks</w:t>
      </w:r>
      <w:r w:rsidR="00A26368" w:rsidRPr="000541FC">
        <w:rPr>
          <w:spacing w:val="-4"/>
          <w:lang w:val="lv-LV"/>
        </w:rPr>
        <w:t xml:space="preserve"> tabletes</w:t>
      </w:r>
      <w:r w:rsidRPr="000541FC">
        <w:rPr>
          <w:spacing w:val="-4"/>
          <w:lang w:val="lv-LV"/>
        </w:rPr>
        <w:t xml:space="preserve"> ir indicētas vienas vai jauktas kuņģa-zarnu trakta invāzijas ar </w:t>
      </w:r>
      <w:proofErr w:type="spellStart"/>
      <w:r w:rsidRPr="000541FC">
        <w:rPr>
          <w:i/>
          <w:iCs/>
          <w:spacing w:val="-4"/>
          <w:lang w:val="lv-LV"/>
        </w:rPr>
        <w:t>Enterobius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vermicularis</w:t>
      </w:r>
      <w:proofErr w:type="spellEnd"/>
      <w:r w:rsidRPr="000541FC">
        <w:rPr>
          <w:spacing w:val="-4"/>
          <w:lang w:val="lv-LV"/>
        </w:rPr>
        <w:t xml:space="preserve"> (spalīšiem); </w:t>
      </w:r>
      <w:proofErr w:type="spellStart"/>
      <w:r w:rsidRPr="000541FC">
        <w:rPr>
          <w:i/>
          <w:iCs/>
          <w:spacing w:val="-4"/>
          <w:lang w:val="lv-LV"/>
        </w:rPr>
        <w:t>Trichuris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trichiura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r w:rsidRPr="000541FC">
        <w:rPr>
          <w:iCs/>
          <w:spacing w:val="-4"/>
          <w:lang w:val="lv-LV"/>
        </w:rPr>
        <w:t>(</w:t>
      </w:r>
      <w:proofErr w:type="spellStart"/>
      <w:r w:rsidRPr="000541FC">
        <w:rPr>
          <w:iCs/>
          <w:spacing w:val="-4"/>
          <w:lang w:val="lv-LV"/>
        </w:rPr>
        <w:t>matgalvjiem</w:t>
      </w:r>
      <w:proofErr w:type="spellEnd"/>
      <w:r w:rsidRPr="000541FC">
        <w:rPr>
          <w:iCs/>
          <w:spacing w:val="-4"/>
          <w:lang w:val="lv-LV"/>
        </w:rPr>
        <w:t xml:space="preserve">); </w:t>
      </w:r>
      <w:proofErr w:type="spellStart"/>
      <w:r w:rsidRPr="000541FC">
        <w:rPr>
          <w:i/>
          <w:iCs/>
          <w:spacing w:val="-4"/>
          <w:lang w:val="lv-LV"/>
        </w:rPr>
        <w:t>Ascaris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lumbricoides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r w:rsidRPr="000541FC">
        <w:rPr>
          <w:spacing w:val="-4"/>
          <w:lang w:val="lv-LV"/>
        </w:rPr>
        <w:t>(cērmēm);</w:t>
      </w:r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Ancylostoma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duodenale</w:t>
      </w:r>
      <w:proofErr w:type="spellEnd"/>
      <w:r w:rsidRPr="000541FC">
        <w:rPr>
          <w:spacing w:val="-4"/>
          <w:lang w:val="lv-LV"/>
        </w:rPr>
        <w:t xml:space="preserve">, </w:t>
      </w:r>
      <w:proofErr w:type="spellStart"/>
      <w:r w:rsidRPr="000541FC">
        <w:rPr>
          <w:i/>
          <w:iCs/>
          <w:spacing w:val="-4"/>
          <w:lang w:val="lv-LV"/>
        </w:rPr>
        <w:t>Necator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americanus</w:t>
      </w:r>
      <w:proofErr w:type="spellEnd"/>
      <w:r w:rsidRPr="000541FC">
        <w:rPr>
          <w:spacing w:val="-4"/>
          <w:lang w:val="lv-LV"/>
        </w:rPr>
        <w:t xml:space="preserve"> (</w:t>
      </w:r>
      <w:proofErr w:type="spellStart"/>
      <w:r w:rsidRPr="000541FC">
        <w:rPr>
          <w:spacing w:val="-4"/>
          <w:lang w:val="lv-LV"/>
        </w:rPr>
        <w:t>āķtārpiem</w:t>
      </w:r>
      <w:proofErr w:type="spellEnd"/>
      <w:r w:rsidRPr="000541FC">
        <w:rPr>
          <w:spacing w:val="-4"/>
          <w:lang w:val="lv-LV"/>
        </w:rPr>
        <w:t xml:space="preserve">); </w:t>
      </w:r>
      <w:proofErr w:type="spellStart"/>
      <w:r w:rsidRPr="000541FC">
        <w:rPr>
          <w:i/>
          <w:iCs/>
          <w:spacing w:val="-4"/>
          <w:lang w:val="lv-LV"/>
        </w:rPr>
        <w:t>Strongyloides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stercoralis</w:t>
      </w:r>
      <w:proofErr w:type="spellEnd"/>
      <w:r w:rsidRPr="000541FC">
        <w:rPr>
          <w:spacing w:val="-4"/>
          <w:lang w:val="lv-LV"/>
        </w:rPr>
        <w:t xml:space="preserve">; </w:t>
      </w:r>
      <w:proofErr w:type="spellStart"/>
      <w:r w:rsidRPr="000541FC">
        <w:rPr>
          <w:i/>
          <w:iCs/>
          <w:spacing w:val="-4"/>
          <w:lang w:val="lv-LV"/>
        </w:rPr>
        <w:t>Taenia</w:t>
      </w:r>
      <w:proofErr w:type="spellEnd"/>
      <w:r w:rsidRPr="000541FC">
        <w:rPr>
          <w:i/>
          <w:iCs/>
          <w:spacing w:val="-4"/>
          <w:lang w:val="lv-LV"/>
        </w:rPr>
        <w:t xml:space="preserve"> </w:t>
      </w:r>
      <w:proofErr w:type="spellStart"/>
      <w:r w:rsidRPr="000541FC">
        <w:rPr>
          <w:i/>
          <w:iCs/>
          <w:spacing w:val="-4"/>
          <w:lang w:val="lv-LV"/>
        </w:rPr>
        <w:t>spp</w:t>
      </w:r>
      <w:proofErr w:type="spellEnd"/>
      <w:r w:rsidRPr="000541FC">
        <w:rPr>
          <w:i/>
          <w:iCs/>
          <w:spacing w:val="-4"/>
          <w:lang w:val="lv-LV"/>
        </w:rPr>
        <w:t>.</w:t>
      </w:r>
      <w:r w:rsidRPr="000541FC">
        <w:rPr>
          <w:spacing w:val="-4"/>
          <w:lang w:val="lv-LV"/>
        </w:rPr>
        <w:t xml:space="preserve"> (lenteņiem) ārstēšanai. </w:t>
      </w:r>
    </w:p>
    <w:p w14:paraId="4F6240A0" w14:textId="77777777" w:rsidR="00310444" w:rsidRPr="000541FC" w:rsidRDefault="00310444" w:rsidP="00CE1572">
      <w:pPr>
        <w:jc w:val="both"/>
        <w:rPr>
          <w:lang w:val="lv-LV"/>
        </w:rPr>
      </w:pPr>
    </w:p>
    <w:p w14:paraId="07562919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4.2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Devas un lietošanas veids</w:t>
      </w:r>
    </w:p>
    <w:p w14:paraId="0F7357F0" w14:textId="77777777" w:rsidR="001E4052" w:rsidRPr="000541FC" w:rsidRDefault="001E4052" w:rsidP="00CE1572">
      <w:pPr>
        <w:jc w:val="both"/>
        <w:rPr>
          <w:lang w:val="lv-LV"/>
        </w:rPr>
      </w:pPr>
    </w:p>
    <w:p w14:paraId="570139F9" w14:textId="77777777" w:rsidR="001E4052" w:rsidRPr="000541FC" w:rsidRDefault="001E4052" w:rsidP="001E4052">
      <w:pPr>
        <w:jc w:val="both"/>
        <w:rPr>
          <w:iCs/>
          <w:u w:val="single"/>
          <w:lang w:val="lv-LV"/>
        </w:rPr>
      </w:pPr>
      <w:r w:rsidRPr="000541FC">
        <w:rPr>
          <w:iCs/>
          <w:u w:val="single"/>
          <w:lang w:val="lv-LV"/>
        </w:rPr>
        <w:t>Devas</w:t>
      </w:r>
    </w:p>
    <w:p w14:paraId="6519F09A" w14:textId="77777777" w:rsidR="001E4052" w:rsidRPr="000541FC" w:rsidRDefault="001E4052" w:rsidP="00CE1572">
      <w:pPr>
        <w:jc w:val="both"/>
        <w:rPr>
          <w:i/>
          <w:iCs/>
          <w:lang w:val="lv-LV"/>
        </w:rPr>
      </w:pPr>
    </w:p>
    <w:p w14:paraId="2F303A69" w14:textId="77777777" w:rsidR="00DF6040" w:rsidRPr="000541FC" w:rsidRDefault="00DF6040" w:rsidP="00DF6040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>1)</w:t>
      </w:r>
      <w:r w:rsidRPr="00633DBA">
        <w:rPr>
          <w:iCs/>
          <w:u w:val="single"/>
          <w:lang w:val="lv-LV"/>
        </w:rPr>
        <w:t xml:space="preserve"> </w:t>
      </w:r>
      <w:proofErr w:type="spellStart"/>
      <w:r w:rsidRPr="00633DBA">
        <w:rPr>
          <w:iCs/>
          <w:u w:val="single"/>
          <w:lang w:val="lv-LV"/>
        </w:rPr>
        <w:t>Enterobioze</w:t>
      </w:r>
      <w:proofErr w:type="spellEnd"/>
    </w:p>
    <w:p w14:paraId="683D8849" w14:textId="77777777" w:rsidR="00801324" w:rsidRPr="000541FC" w:rsidRDefault="00801324" w:rsidP="00AB1216">
      <w:pPr>
        <w:tabs>
          <w:tab w:val="left" w:pos="142"/>
        </w:tabs>
        <w:jc w:val="both"/>
        <w:rPr>
          <w:iCs/>
          <w:lang w:val="lv-LV"/>
        </w:rPr>
      </w:pPr>
    </w:p>
    <w:p w14:paraId="1BA256ED" w14:textId="77777777" w:rsidR="00801324" w:rsidRPr="000541FC" w:rsidRDefault="00801324" w:rsidP="00AB1216">
      <w:pPr>
        <w:tabs>
          <w:tab w:val="left" w:pos="142"/>
        </w:tabs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 xml:space="preserve">Pieaugušie un </w:t>
      </w:r>
      <w:r w:rsidR="0082684E" w:rsidRPr="000541FC">
        <w:rPr>
          <w:i/>
          <w:iCs/>
          <w:lang w:val="lv-LV"/>
        </w:rPr>
        <w:t>pediatriskā populācija</w:t>
      </w:r>
    </w:p>
    <w:p w14:paraId="3DED85FC" w14:textId="77777777" w:rsidR="00801324" w:rsidRPr="000541FC" w:rsidRDefault="006172E2" w:rsidP="00801324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 xml:space="preserve">Lieto </w:t>
      </w:r>
      <w:r w:rsidR="00801324" w:rsidRPr="000541FC">
        <w:rPr>
          <w:iCs/>
          <w:lang w:val="lv-LV"/>
        </w:rPr>
        <w:t>1 tablet</w:t>
      </w:r>
      <w:r w:rsidRPr="000541FC">
        <w:rPr>
          <w:iCs/>
          <w:lang w:val="lv-LV"/>
        </w:rPr>
        <w:t>i vien</w:t>
      </w:r>
      <w:r w:rsidR="00977AAF" w:rsidRPr="000541FC">
        <w:rPr>
          <w:iCs/>
          <w:lang w:val="lv-LV"/>
        </w:rPr>
        <w:t xml:space="preserve">u </w:t>
      </w:r>
      <w:r w:rsidRPr="000541FC">
        <w:rPr>
          <w:iCs/>
          <w:lang w:val="lv-LV"/>
        </w:rPr>
        <w:t>reiz</w:t>
      </w:r>
      <w:r w:rsidR="000541FC">
        <w:rPr>
          <w:iCs/>
          <w:lang w:val="lv-LV"/>
        </w:rPr>
        <w:t>i dienā</w:t>
      </w:r>
      <w:r w:rsidR="00801324" w:rsidRPr="000541FC">
        <w:rPr>
          <w:iCs/>
          <w:lang w:val="lv-LV"/>
        </w:rPr>
        <w:t>. Tā kā atkārtota inf</w:t>
      </w:r>
      <w:r w:rsidR="00797DF5" w:rsidRPr="000541FC">
        <w:rPr>
          <w:iCs/>
          <w:lang w:val="lv-LV"/>
        </w:rPr>
        <w:t>icēšanās</w:t>
      </w:r>
      <w:r w:rsidR="00801324" w:rsidRPr="000541FC">
        <w:rPr>
          <w:iCs/>
          <w:lang w:val="lv-LV"/>
        </w:rPr>
        <w:t xml:space="preserve"> ar </w:t>
      </w:r>
      <w:proofErr w:type="spellStart"/>
      <w:r w:rsidR="00801324" w:rsidRPr="000541FC">
        <w:rPr>
          <w:i/>
          <w:iCs/>
          <w:lang w:val="lv-LV"/>
        </w:rPr>
        <w:t>Enterobius</w:t>
      </w:r>
      <w:proofErr w:type="spellEnd"/>
      <w:r w:rsidR="00801324" w:rsidRPr="000541FC">
        <w:rPr>
          <w:i/>
          <w:iCs/>
          <w:lang w:val="lv-LV"/>
        </w:rPr>
        <w:t xml:space="preserve"> </w:t>
      </w:r>
      <w:proofErr w:type="spellStart"/>
      <w:r w:rsidR="00801324" w:rsidRPr="000541FC">
        <w:rPr>
          <w:i/>
          <w:iCs/>
          <w:lang w:val="lv-LV"/>
        </w:rPr>
        <w:t>vermicularis</w:t>
      </w:r>
      <w:proofErr w:type="spellEnd"/>
      <w:r w:rsidR="00801324" w:rsidRPr="000541FC">
        <w:rPr>
          <w:iCs/>
          <w:lang w:val="lv-LV"/>
        </w:rPr>
        <w:t xml:space="preserve"> notiek ļoti bieži, terapiju </w:t>
      </w:r>
      <w:r w:rsidR="00114611" w:rsidRPr="000541FC">
        <w:rPr>
          <w:iCs/>
          <w:lang w:val="lv-LV"/>
        </w:rPr>
        <w:t xml:space="preserve">ieteicams </w:t>
      </w:r>
      <w:r w:rsidR="00801324" w:rsidRPr="000541FC">
        <w:rPr>
          <w:iCs/>
          <w:lang w:val="lv-LV"/>
        </w:rPr>
        <w:t>atkārto</w:t>
      </w:r>
      <w:r w:rsidR="00114611" w:rsidRPr="000541FC">
        <w:rPr>
          <w:iCs/>
          <w:lang w:val="lv-LV"/>
        </w:rPr>
        <w:t>t</w:t>
      </w:r>
      <w:r w:rsidR="00801324" w:rsidRPr="000541FC">
        <w:rPr>
          <w:iCs/>
          <w:lang w:val="lv-LV"/>
        </w:rPr>
        <w:t xml:space="preserve"> pēc 2 un 4 nedēļām, it īpaši izskaušanas programmās.</w:t>
      </w:r>
    </w:p>
    <w:p w14:paraId="5C39DDC0" w14:textId="77777777" w:rsidR="00801324" w:rsidRPr="000541FC" w:rsidRDefault="00801324" w:rsidP="00AB1216">
      <w:pPr>
        <w:tabs>
          <w:tab w:val="left" w:pos="142"/>
        </w:tabs>
        <w:jc w:val="both"/>
        <w:rPr>
          <w:iCs/>
          <w:lang w:val="lv-LV"/>
        </w:rPr>
      </w:pPr>
    </w:p>
    <w:p w14:paraId="32FCFA59" w14:textId="77777777" w:rsidR="00DF6040" w:rsidRPr="000541FC" w:rsidRDefault="00DF6040" w:rsidP="00DF6040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 xml:space="preserve">2) </w:t>
      </w:r>
      <w:proofErr w:type="spellStart"/>
      <w:r w:rsidRPr="00633DBA">
        <w:rPr>
          <w:iCs/>
          <w:u w:val="single"/>
          <w:lang w:val="lv-LV"/>
        </w:rPr>
        <w:t>Askaridoze</w:t>
      </w:r>
      <w:proofErr w:type="spellEnd"/>
      <w:r w:rsidRPr="00633DBA">
        <w:rPr>
          <w:iCs/>
          <w:u w:val="single"/>
          <w:lang w:val="lv-LV"/>
        </w:rPr>
        <w:t xml:space="preserve">, </w:t>
      </w:r>
      <w:proofErr w:type="spellStart"/>
      <w:r w:rsidRPr="00633DBA">
        <w:rPr>
          <w:iCs/>
          <w:u w:val="single"/>
          <w:lang w:val="lv-LV"/>
        </w:rPr>
        <w:t>trihuriāze</w:t>
      </w:r>
      <w:proofErr w:type="spellEnd"/>
      <w:r w:rsidRPr="00633DBA">
        <w:rPr>
          <w:iCs/>
          <w:u w:val="single"/>
          <w:lang w:val="lv-LV"/>
        </w:rPr>
        <w:t xml:space="preserve">, </w:t>
      </w:r>
      <w:proofErr w:type="spellStart"/>
      <w:r w:rsidRPr="00633DBA">
        <w:rPr>
          <w:iCs/>
          <w:u w:val="single"/>
          <w:lang w:val="lv-LV"/>
        </w:rPr>
        <w:t>ankilostomoze</w:t>
      </w:r>
      <w:proofErr w:type="spellEnd"/>
      <w:r w:rsidRPr="00633DBA">
        <w:rPr>
          <w:iCs/>
          <w:u w:val="single"/>
          <w:lang w:val="lv-LV"/>
        </w:rPr>
        <w:t xml:space="preserve"> (</w:t>
      </w:r>
      <w:proofErr w:type="spellStart"/>
      <w:r w:rsidRPr="00633DBA">
        <w:rPr>
          <w:iCs/>
          <w:u w:val="single"/>
          <w:lang w:val="lv-LV"/>
        </w:rPr>
        <w:t>āķtārpu</w:t>
      </w:r>
      <w:proofErr w:type="spellEnd"/>
      <w:r w:rsidRPr="00633DBA">
        <w:rPr>
          <w:iCs/>
          <w:u w:val="single"/>
          <w:lang w:val="lv-LV"/>
        </w:rPr>
        <w:t>) un jauktas invāzijas</w:t>
      </w:r>
      <w:r w:rsidRPr="000541FC">
        <w:rPr>
          <w:iCs/>
          <w:lang w:val="lv-LV"/>
        </w:rPr>
        <w:t xml:space="preserve"> </w:t>
      </w:r>
    </w:p>
    <w:p w14:paraId="2E1CFBE1" w14:textId="77777777" w:rsidR="00801324" w:rsidRPr="000541FC" w:rsidRDefault="00801324" w:rsidP="00AB1216">
      <w:pPr>
        <w:tabs>
          <w:tab w:val="left" w:pos="142"/>
        </w:tabs>
        <w:jc w:val="both"/>
        <w:rPr>
          <w:iCs/>
          <w:lang w:val="lv-LV"/>
        </w:rPr>
      </w:pPr>
    </w:p>
    <w:p w14:paraId="28F7AE85" w14:textId="77777777" w:rsidR="00801324" w:rsidRPr="000541FC" w:rsidRDefault="00801324" w:rsidP="00801324">
      <w:pPr>
        <w:tabs>
          <w:tab w:val="left" w:pos="142"/>
        </w:tabs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 xml:space="preserve">Pieaugušie un </w:t>
      </w:r>
      <w:r w:rsidR="0082684E" w:rsidRPr="000541FC">
        <w:rPr>
          <w:i/>
          <w:iCs/>
          <w:lang w:val="lv-LV"/>
        </w:rPr>
        <w:t>pediatriskā populācija</w:t>
      </w:r>
    </w:p>
    <w:p w14:paraId="40EEFE9B" w14:textId="77777777" w:rsidR="00801324" w:rsidRPr="000541FC" w:rsidRDefault="00801324" w:rsidP="00801324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>1 tablet</w:t>
      </w:r>
      <w:r w:rsidR="001741DA" w:rsidRPr="000541FC">
        <w:rPr>
          <w:iCs/>
          <w:lang w:val="lv-LV"/>
        </w:rPr>
        <w:t>e no rīta un 1</w:t>
      </w:r>
      <w:r w:rsidR="001741DA" w:rsidRPr="000541FC">
        <w:rPr>
          <w:iCs/>
          <w:lang w:val="en-US"/>
        </w:rPr>
        <w:t xml:space="preserve"> </w:t>
      </w:r>
      <w:r w:rsidR="001741DA" w:rsidRPr="000541FC">
        <w:rPr>
          <w:iCs/>
          <w:lang w:val="lv-LV"/>
        </w:rPr>
        <w:t>tablete vakarā 3</w:t>
      </w:r>
      <w:r w:rsidR="001741DA" w:rsidRPr="000541FC">
        <w:rPr>
          <w:iCs/>
          <w:lang w:val="en-US"/>
        </w:rPr>
        <w:t xml:space="preserve"> </w:t>
      </w:r>
      <w:r w:rsidRPr="000541FC">
        <w:rPr>
          <w:iCs/>
          <w:lang w:val="lv-LV"/>
        </w:rPr>
        <w:t xml:space="preserve">dienas pēc kārtas. </w:t>
      </w:r>
    </w:p>
    <w:p w14:paraId="2BAA556E" w14:textId="77777777" w:rsidR="00DF6040" w:rsidRPr="000541FC" w:rsidRDefault="00DF6040" w:rsidP="00801324">
      <w:pPr>
        <w:tabs>
          <w:tab w:val="left" w:pos="142"/>
        </w:tabs>
        <w:jc w:val="both"/>
        <w:rPr>
          <w:iCs/>
          <w:lang w:val="lv-LV"/>
        </w:rPr>
      </w:pPr>
    </w:p>
    <w:p w14:paraId="409C1DA0" w14:textId="61FB0A03" w:rsidR="00DF6040" w:rsidRPr="00633DBA" w:rsidRDefault="00120AF9" w:rsidP="00DF6040">
      <w:pPr>
        <w:tabs>
          <w:tab w:val="left" w:pos="142"/>
        </w:tabs>
        <w:jc w:val="both"/>
        <w:rPr>
          <w:iCs/>
          <w:u w:val="single"/>
          <w:lang w:val="lv-LV"/>
        </w:rPr>
      </w:pPr>
      <w:r>
        <w:rPr>
          <w:iCs/>
          <w:lang w:val="lv-LV"/>
        </w:rPr>
        <w:br w:type="page"/>
      </w:r>
      <w:r w:rsidR="00DF6040" w:rsidRPr="000541FC">
        <w:rPr>
          <w:iCs/>
          <w:lang w:val="lv-LV"/>
        </w:rPr>
        <w:lastRenderedPageBreak/>
        <w:t xml:space="preserve">3) </w:t>
      </w:r>
      <w:proofErr w:type="spellStart"/>
      <w:r w:rsidR="00DF6040" w:rsidRPr="00633DBA">
        <w:rPr>
          <w:iCs/>
          <w:u w:val="single"/>
          <w:lang w:val="lv-LV"/>
        </w:rPr>
        <w:t>Teniozes</w:t>
      </w:r>
      <w:proofErr w:type="spellEnd"/>
      <w:r w:rsidR="00DF6040" w:rsidRPr="00633DBA">
        <w:rPr>
          <w:iCs/>
          <w:u w:val="single"/>
          <w:lang w:val="lv-LV"/>
        </w:rPr>
        <w:t xml:space="preserve"> un </w:t>
      </w:r>
      <w:proofErr w:type="spellStart"/>
      <w:r w:rsidR="00DF6040" w:rsidRPr="00633DBA">
        <w:rPr>
          <w:iCs/>
          <w:u w:val="single"/>
          <w:lang w:val="lv-LV"/>
        </w:rPr>
        <w:t>strongiloidozes</w:t>
      </w:r>
      <w:proofErr w:type="spellEnd"/>
    </w:p>
    <w:p w14:paraId="40295399" w14:textId="77777777" w:rsidR="00837084" w:rsidRPr="000541FC" w:rsidRDefault="00837084" w:rsidP="00DF6040">
      <w:pPr>
        <w:tabs>
          <w:tab w:val="left" w:pos="142"/>
        </w:tabs>
        <w:jc w:val="both"/>
        <w:rPr>
          <w:iCs/>
          <w:lang w:val="lv-LV"/>
        </w:rPr>
      </w:pPr>
    </w:p>
    <w:p w14:paraId="0C78F192" w14:textId="77777777" w:rsidR="00DF6040" w:rsidRPr="000541FC" w:rsidRDefault="00DF6040" w:rsidP="00DF6040">
      <w:pPr>
        <w:tabs>
          <w:tab w:val="left" w:pos="142"/>
        </w:tabs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>Pieaugušie</w:t>
      </w:r>
    </w:p>
    <w:p w14:paraId="16D8317A" w14:textId="77777777" w:rsidR="00DF6040" w:rsidRPr="000541FC" w:rsidRDefault="00DF6040" w:rsidP="00DF6040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>Lai sasniegtu pilnīgu izār</w:t>
      </w:r>
      <w:r w:rsidR="001741DA" w:rsidRPr="000541FC">
        <w:rPr>
          <w:iCs/>
          <w:lang w:val="lv-LV"/>
        </w:rPr>
        <w:t xml:space="preserve">stēšanos, ir ieteicams lietot 2 tabletes no rīta un 2 </w:t>
      </w:r>
      <w:r w:rsidRPr="000541FC">
        <w:rPr>
          <w:iCs/>
          <w:lang w:val="lv-LV"/>
        </w:rPr>
        <w:t>tabletes vakarā 3 dienas pēc kārtas, kaut arī labvēlīgi rezultāti ir iegūti ar zemākām devām. Pat ar šīm lielākajām devām nevēlamas blakusparādības ir reti.</w:t>
      </w:r>
    </w:p>
    <w:p w14:paraId="7EEEDB13" w14:textId="77777777" w:rsidR="00DF6040" w:rsidRPr="000541FC" w:rsidRDefault="00DF6040" w:rsidP="00DF6040">
      <w:pPr>
        <w:tabs>
          <w:tab w:val="left" w:pos="142"/>
        </w:tabs>
        <w:jc w:val="both"/>
        <w:rPr>
          <w:iCs/>
          <w:lang w:val="lv-LV"/>
        </w:rPr>
      </w:pPr>
    </w:p>
    <w:p w14:paraId="2C576C3A" w14:textId="77777777" w:rsidR="00DF6040" w:rsidRPr="000541FC" w:rsidRDefault="0082684E" w:rsidP="00DF6040">
      <w:pPr>
        <w:tabs>
          <w:tab w:val="left" w:pos="142"/>
        </w:tabs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>Pediatriskā populācija</w:t>
      </w:r>
    </w:p>
    <w:p w14:paraId="30DFBE85" w14:textId="77777777" w:rsidR="00DF6040" w:rsidRPr="000541FC" w:rsidRDefault="00245F62" w:rsidP="00DF6040">
      <w:pPr>
        <w:tabs>
          <w:tab w:val="left" w:pos="142"/>
        </w:tabs>
        <w:jc w:val="both"/>
        <w:rPr>
          <w:iCs/>
          <w:lang w:val="lv-LV"/>
        </w:rPr>
      </w:pPr>
      <w:r>
        <w:rPr>
          <w:iCs/>
          <w:lang w:val="lv-LV"/>
        </w:rPr>
        <w:t>Dati par d</w:t>
      </w:r>
      <w:r w:rsidR="00FF20BF">
        <w:rPr>
          <w:iCs/>
          <w:lang w:val="lv-LV"/>
        </w:rPr>
        <w:t>rošumu</w:t>
      </w:r>
      <w:r>
        <w:rPr>
          <w:iCs/>
          <w:lang w:val="lv-LV"/>
        </w:rPr>
        <w:t xml:space="preserve"> un efektivitāti, lietojot bērniem </w:t>
      </w:r>
      <w:r w:rsidR="00FF20BF">
        <w:rPr>
          <w:iCs/>
          <w:lang w:val="lv-LV"/>
        </w:rPr>
        <w:t xml:space="preserve">un pusaudžiem </w:t>
      </w:r>
      <w:r>
        <w:rPr>
          <w:iCs/>
          <w:lang w:val="lv-LV"/>
        </w:rPr>
        <w:t xml:space="preserve">no 2 līdz 16 gadiem, līdz šim nav pietiekami. </w:t>
      </w:r>
      <w:proofErr w:type="spellStart"/>
      <w:r>
        <w:rPr>
          <w:iCs/>
          <w:lang w:val="lv-LV"/>
        </w:rPr>
        <w:t>Mebendazolu</w:t>
      </w:r>
      <w:proofErr w:type="spellEnd"/>
      <w:r>
        <w:rPr>
          <w:iCs/>
          <w:lang w:val="lv-LV"/>
        </w:rPr>
        <w:t xml:space="preserve"> drīkst lietot šajā vecuma grupā tikai tad, ja nav citas ārstēšanas iespējas.</w:t>
      </w:r>
    </w:p>
    <w:p w14:paraId="129CB8CE" w14:textId="77777777" w:rsidR="00DF6040" w:rsidRPr="000541FC" w:rsidRDefault="001741DA" w:rsidP="00DF6040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 xml:space="preserve">Zīdaiņiem līdz 1 </w:t>
      </w:r>
      <w:r w:rsidR="00DF6040" w:rsidRPr="000541FC">
        <w:rPr>
          <w:iCs/>
          <w:lang w:val="lv-LV"/>
        </w:rPr>
        <w:t>gada vec</w:t>
      </w:r>
      <w:r w:rsidR="00CB2579" w:rsidRPr="000541FC">
        <w:rPr>
          <w:iCs/>
          <w:lang w:val="lv-LV"/>
        </w:rPr>
        <w:t>umam skatīt 4.4. </w:t>
      </w:r>
      <w:r w:rsidR="00DF6040" w:rsidRPr="000541FC">
        <w:rPr>
          <w:iCs/>
          <w:lang w:val="lv-LV"/>
        </w:rPr>
        <w:t xml:space="preserve">apakšpunktu. </w:t>
      </w:r>
    </w:p>
    <w:p w14:paraId="216A6B10" w14:textId="77777777" w:rsidR="00DF6040" w:rsidRPr="000541FC" w:rsidRDefault="00DF6040" w:rsidP="00801324">
      <w:pPr>
        <w:tabs>
          <w:tab w:val="left" w:pos="142"/>
        </w:tabs>
        <w:jc w:val="both"/>
        <w:rPr>
          <w:iCs/>
          <w:lang w:val="lv-LV"/>
        </w:rPr>
      </w:pPr>
    </w:p>
    <w:p w14:paraId="0A9A0F72" w14:textId="77777777" w:rsidR="001E4052" w:rsidRPr="000541FC" w:rsidRDefault="001E4052" w:rsidP="001E4052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Lietošanas veids</w:t>
      </w:r>
    </w:p>
    <w:p w14:paraId="534F3898" w14:textId="77777777" w:rsidR="001E4052" w:rsidRPr="000541FC" w:rsidRDefault="001E4052" w:rsidP="001E4052">
      <w:pPr>
        <w:jc w:val="both"/>
        <w:rPr>
          <w:lang w:val="lv-LV"/>
        </w:rPr>
      </w:pPr>
      <w:r w:rsidRPr="000541FC">
        <w:rPr>
          <w:lang w:val="lv-LV"/>
        </w:rPr>
        <w:t>Iekšķīgai lietošanai.</w:t>
      </w:r>
    </w:p>
    <w:p w14:paraId="213AF131" w14:textId="77777777" w:rsidR="00D5537B" w:rsidRPr="000541FC" w:rsidRDefault="00D5537B" w:rsidP="00D5537B">
      <w:pPr>
        <w:jc w:val="both"/>
        <w:rPr>
          <w:lang w:val="lv-LV"/>
        </w:rPr>
      </w:pPr>
      <w:r w:rsidRPr="000541FC">
        <w:rPr>
          <w:lang w:val="lv-LV"/>
        </w:rPr>
        <w:t xml:space="preserve">Tableti var sakošļāt vai </w:t>
      </w:r>
      <w:r w:rsidR="002E538A">
        <w:rPr>
          <w:lang w:val="lv-LV"/>
        </w:rPr>
        <w:t>norīt veselu.</w:t>
      </w:r>
      <w:r w:rsidR="002E538A" w:rsidRPr="000541FC">
        <w:rPr>
          <w:lang w:val="lv-LV"/>
        </w:rPr>
        <w:t xml:space="preserve"> </w:t>
      </w:r>
      <w:r w:rsidR="002E538A">
        <w:rPr>
          <w:lang w:val="lv-LV"/>
        </w:rPr>
        <w:t xml:space="preserve">Ieteicams </w:t>
      </w:r>
      <w:r w:rsidRPr="000541FC">
        <w:rPr>
          <w:lang w:val="lv-LV"/>
        </w:rPr>
        <w:t>sasmalcināt</w:t>
      </w:r>
      <w:r w:rsidR="002E538A">
        <w:rPr>
          <w:lang w:val="lv-LV"/>
        </w:rPr>
        <w:t xml:space="preserve"> tableti pirms to dodat mazam bērnam</w:t>
      </w:r>
      <w:r w:rsidRPr="000541FC">
        <w:rPr>
          <w:lang w:val="lv-LV"/>
        </w:rPr>
        <w:t xml:space="preserve">. </w:t>
      </w:r>
      <w:r w:rsidR="002E538A">
        <w:rPr>
          <w:lang w:val="lv-LV"/>
        </w:rPr>
        <w:t>Vienmēr uzraudziet bērnu, kamēr viņš lieto šīs zāles.</w:t>
      </w:r>
    </w:p>
    <w:p w14:paraId="6D43B3B3" w14:textId="77777777" w:rsidR="00687578" w:rsidRPr="000541FC" w:rsidRDefault="00687578" w:rsidP="00687578">
      <w:pPr>
        <w:tabs>
          <w:tab w:val="left" w:pos="142"/>
        </w:tabs>
        <w:jc w:val="both"/>
        <w:rPr>
          <w:iCs/>
          <w:lang w:val="lv-LV"/>
        </w:rPr>
      </w:pPr>
      <w:r w:rsidRPr="000541FC">
        <w:rPr>
          <w:iCs/>
          <w:lang w:val="lv-LV"/>
        </w:rPr>
        <w:t xml:space="preserve">Terapijas laikā nav nepieciešamas īpašas procedūras, piemēram, noteikta diēta vai caurejas līdzekļu lietošana. </w:t>
      </w:r>
    </w:p>
    <w:p w14:paraId="5951BE21" w14:textId="77777777" w:rsidR="00A76177" w:rsidRPr="000541FC" w:rsidRDefault="00A76177" w:rsidP="00CE1572">
      <w:pPr>
        <w:jc w:val="both"/>
        <w:rPr>
          <w:lang w:val="lv-LV"/>
        </w:rPr>
      </w:pPr>
    </w:p>
    <w:p w14:paraId="2FF7EB9B" w14:textId="77777777" w:rsidR="00310444" w:rsidRPr="000541FC" w:rsidRDefault="00BA79C6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4.3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Kontrindikācijas</w:t>
      </w:r>
    </w:p>
    <w:p w14:paraId="55165733" w14:textId="77777777" w:rsidR="00BA79C6" w:rsidRPr="000541FC" w:rsidRDefault="00BA79C6" w:rsidP="00CE1572">
      <w:pPr>
        <w:jc w:val="both"/>
        <w:rPr>
          <w:lang w:val="lv-LV"/>
        </w:rPr>
      </w:pPr>
    </w:p>
    <w:p w14:paraId="551C1AB7" w14:textId="77777777" w:rsidR="001E4052" w:rsidRPr="000541FC" w:rsidRDefault="001E4052" w:rsidP="001E4052">
      <w:pPr>
        <w:jc w:val="both"/>
        <w:rPr>
          <w:lang w:val="lv-LV"/>
        </w:rPr>
      </w:pPr>
      <w:r w:rsidRPr="000541FC">
        <w:rPr>
          <w:lang w:val="lv-LV"/>
        </w:rPr>
        <w:t>Paaugstināta jutība pret aktīvo vielu vai jebkuru no 6.1. apakšpunktā uzskaitītajām palīgvielām.</w:t>
      </w:r>
    </w:p>
    <w:p w14:paraId="3239BA7E" w14:textId="77777777" w:rsidR="00310444" w:rsidRPr="000541FC" w:rsidRDefault="00310444" w:rsidP="00CE1572">
      <w:pPr>
        <w:jc w:val="both"/>
        <w:rPr>
          <w:lang w:val="lv-LV"/>
        </w:rPr>
      </w:pPr>
    </w:p>
    <w:p w14:paraId="6BB44FB5" w14:textId="77777777" w:rsidR="00310444" w:rsidRPr="000541FC" w:rsidRDefault="00310444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4.4</w:t>
      </w:r>
      <w:r w:rsidR="00041E97" w:rsidRPr="000541FC">
        <w:rPr>
          <w:b/>
          <w:lang w:val="lv-LV"/>
        </w:rPr>
        <w:t>.</w:t>
      </w:r>
      <w:r w:rsidR="00BA79C6" w:rsidRPr="000541FC">
        <w:rPr>
          <w:b/>
          <w:lang w:val="lv-LV"/>
        </w:rPr>
        <w:tab/>
      </w:r>
      <w:r w:rsidRPr="000541FC">
        <w:rPr>
          <w:b/>
          <w:lang w:val="lv-LV"/>
        </w:rPr>
        <w:t>Īpaši brīdinājumi un piesardzība lietošanā</w:t>
      </w:r>
    </w:p>
    <w:p w14:paraId="7F62CE15" w14:textId="77777777" w:rsidR="00BA79C6" w:rsidRPr="000541FC" w:rsidRDefault="00BA79C6" w:rsidP="00CE1572">
      <w:pPr>
        <w:jc w:val="both"/>
        <w:rPr>
          <w:lang w:val="lv-LV"/>
        </w:rPr>
      </w:pPr>
    </w:p>
    <w:p w14:paraId="0C88FB3C" w14:textId="77777777" w:rsidR="005064CC" w:rsidRPr="000541FC" w:rsidRDefault="005064CC" w:rsidP="005064CC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Pediatriskā populācija</w:t>
      </w:r>
    </w:p>
    <w:p w14:paraId="7E1AED28" w14:textId="77777777" w:rsidR="005064CC" w:rsidRDefault="005064CC" w:rsidP="005064CC">
      <w:pPr>
        <w:jc w:val="both"/>
        <w:rPr>
          <w:lang w:val="lv-LV"/>
        </w:rPr>
      </w:pPr>
      <w:r w:rsidRPr="000541FC">
        <w:rPr>
          <w:lang w:val="lv-LV"/>
        </w:rPr>
        <w:t xml:space="preserve">Pēcreģistrācijas pieredzes laikā ar </w:t>
      </w:r>
      <w:proofErr w:type="spellStart"/>
      <w:r w:rsidR="00C16135" w:rsidRPr="000541FC">
        <w:rPr>
          <w:lang w:val="lv-LV"/>
        </w:rPr>
        <w:t>mebendazolu</w:t>
      </w:r>
      <w:proofErr w:type="spellEnd"/>
      <w:r w:rsidR="00C16135" w:rsidRPr="000541FC">
        <w:rPr>
          <w:lang w:val="lv-LV"/>
        </w:rPr>
        <w:t xml:space="preserve"> </w:t>
      </w:r>
      <w:r w:rsidRPr="000541FC">
        <w:rPr>
          <w:lang w:val="lv-LV"/>
        </w:rPr>
        <w:t>ļoti reti ir ziņots par krampjiem bērniem, tai skaitā zīdaiņiem līdz 1 gada vecumam</w:t>
      </w:r>
      <w:r w:rsidR="00A20ED0" w:rsidRPr="000541FC">
        <w:rPr>
          <w:sz w:val="22"/>
          <w:szCs w:val="22"/>
          <w:lang w:val="lv-LV"/>
        </w:rPr>
        <w:t xml:space="preserve"> </w:t>
      </w:r>
      <w:r w:rsidR="00CB2579" w:rsidRPr="000541FC">
        <w:rPr>
          <w:lang w:val="lv-LV"/>
        </w:rPr>
        <w:t>(skatīt 4.8. </w:t>
      </w:r>
      <w:r w:rsidR="00A20ED0" w:rsidRPr="000541FC">
        <w:rPr>
          <w:lang w:val="lv-LV"/>
        </w:rPr>
        <w:t>apakšpunktu).</w:t>
      </w:r>
      <w:r w:rsidRPr="000541FC">
        <w:rPr>
          <w:lang w:val="lv-LV"/>
        </w:rPr>
        <w:t xml:space="preserve"> </w:t>
      </w:r>
    </w:p>
    <w:p w14:paraId="6A0918DB" w14:textId="77777777" w:rsidR="000B0AB1" w:rsidRPr="000541FC" w:rsidRDefault="000B0AB1" w:rsidP="005064CC">
      <w:pPr>
        <w:jc w:val="both"/>
        <w:rPr>
          <w:lang w:val="lv-LV"/>
        </w:rPr>
      </w:pPr>
      <w:proofErr w:type="spellStart"/>
      <w:r>
        <w:rPr>
          <w:lang w:val="lv-LV"/>
        </w:rPr>
        <w:t>Mebendazol</w:t>
      </w:r>
      <w:r w:rsidR="005D4543">
        <w:rPr>
          <w:lang w:val="lv-LV"/>
        </w:rPr>
        <w:t>s</w:t>
      </w:r>
      <w:proofErr w:type="spellEnd"/>
      <w:r w:rsidR="005D4543">
        <w:rPr>
          <w:lang w:val="lv-LV"/>
        </w:rPr>
        <w:t xml:space="preserve"> nav plaši pētīts bērniem līdz 2 gadu vecumam. Tādēļ </w:t>
      </w:r>
      <w:proofErr w:type="spellStart"/>
      <w:r w:rsidR="005D4543">
        <w:rPr>
          <w:lang w:val="lv-LV"/>
        </w:rPr>
        <w:t>Mebendazole</w:t>
      </w:r>
      <w:proofErr w:type="spellEnd"/>
      <w:r w:rsidR="005D4543">
        <w:rPr>
          <w:lang w:val="lv-LV"/>
        </w:rPr>
        <w:t>-Grindeks var lietot bērniem vecumā no 1 līdz 2 gadiem tikai tad, ja iespējamais ieguvums attaisno iespējamo risku.</w:t>
      </w:r>
      <w:r w:rsidR="00E34581">
        <w:rPr>
          <w:lang w:val="lv-LV"/>
        </w:rPr>
        <w:t xml:space="preserve"> </w:t>
      </w:r>
      <w:proofErr w:type="spellStart"/>
      <w:r w:rsidR="00E34581">
        <w:rPr>
          <w:lang w:val="lv-LV"/>
        </w:rPr>
        <w:t>Mebendazole</w:t>
      </w:r>
      <w:proofErr w:type="spellEnd"/>
      <w:r w:rsidR="00E34581">
        <w:rPr>
          <w:lang w:val="lv-LV"/>
        </w:rPr>
        <w:t>-Grindeks</w:t>
      </w:r>
      <w:r w:rsidR="00E34581" w:rsidRPr="00E34581">
        <w:rPr>
          <w:lang w:val="lv-LV"/>
        </w:rPr>
        <w:t xml:space="preserve"> nedrīkst lietot bērniem līdz 1 gada vecumam</w:t>
      </w:r>
      <w:r w:rsidR="00FF20BF">
        <w:rPr>
          <w:lang w:val="lv-LV"/>
        </w:rPr>
        <w:t>,</w:t>
      </w:r>
      <w:r w:rsidR="00FF20BF" w:rsidRPr="00FF20BF">
        <w:rPr>
          <w:lang w:val="lv-LV"/>
        </w:rPr>
        <w:t xml:space="preserve"> </w:t>
      </w:r>
      <w:r w:rsidR="00FF20BF">
        <w:rPr>
          <w:lang w:val="lv-LV"/>
        </w:rPr>
        <w:t>jo</w:t>
      </w:r>
      <w:r w:rsidR="00FF20BF" w:rsidRPr="00E34581">
        <w:rPr>
          <w:lang w:val="lv-LV"/>
        </w:rPr>
        <w:t xml:space="preserve"> dat</w:t>
      </w:r>
      <w:r w:rsidR="00FF20BF">
        <w:rPr>
          <w:lang w:val="lv-LV"/>
        </w:rPr>
        <w:t>i</w:t>
      </w:r>
      <w:r w:rsidR="00FF20BF" w:rsidRPr="00E34581">
        <w:rPr>
          <w:lang w:val="lv-LV"/>
        </w:rPr>
        <w:t xml:space="preserve"> par </w:t>
      </w:r>
      <w:r w:rsidR="00FF20BF">
        <w:rPr>
          <w:lang w:val="lv-LV"/>
        </w:rPr>
        <w:t xml:space="preserve">šo zāļu </w:t>
      </w:r>
      <w:r w:rsidR="00FF20BF" w:rsidRPr="00E34581">
        <w:rPr>
          <w:lang w:val="lv-LV"/>
        </w:rPr>
        <w:t>droš</w:t>
      </w:r>
      <w:r w:rsidR="00FF20BF">
        <w:rPr>
          <w:lang w:val="lv-LV"/>
        </w:rPr>
        <w:t>umu šajā vecuma grupā nav pietiekami</w:t>
      </w:r>
      <w:r w:rsidR="00E34581" w:rsidRPr="00E34581">
        <w:rPr>
          <w:lang w:val="lv-LV"/>
        </w:rPr>
        <w:t>.</w:t>
      </w:r>
    </w:p>
    <w:p w14:paraId="7A0B772D" w14:textId="77777777" w:rsidR="00E1442E" w:rsidRDefault="00E1442E" w:rsidP="00CE1572">
      <w:pPr>
        <w:jc w:val="both"/>
        <w:rPr>
          <w:lang w:val="lv-LV"/>
        </w:rPr>
      </w:pPr>
    </w:p>
    <w:p w14:paraId="24E7EF96" w14:textId="77777777" w:rsidR="005064CC" w:rsidRPr="00633DBA" w:rsidRDefault="00E1442E" w:rsidP="00CE1572">
      <w:pPr>
        <w:jc w:val="both"/>
        <w:rPr>
          <w:u w:val="single"/>
          <w:lang w:val="lv-LV"/>
        </w:rPr>
      </w:pPr>
      <w:r>
        <w:rPr>
          <w:u w:val="single"/>
          <w:lang w:val="lv-LV"/>
        </w:rPr>
        <w:t>Metro</w:t>
      </w:r>
      <w:r w:rsidRPr="00633DBA">
        <w:rPr>
          <w:u w:val="single"/>
          <w:lang w:val="lv-LV"/>
        </w:rPr>
        <w:t>nidazols</w:t>
      </w:r>
    </w:p>
    <w:p w14:paraId="70DF193E" w14:textId="77777777" w:rsidR="005064CC" w:rsidRPr="000541FC" w:rsidRDefault="005064CC" w:rsidP="005064CC">
      <w:pPr>
        <w:jc w:val="both"/>
        <w:rPr>
          <w:lang w:val="lv-LV"/>
        </w:rPr>
      </w:pPr>
      <w:r w:rsidRPr="000541FC">
        <w:rPr>
          <w:lang w:val="lv-LV"/>
        </w:rPr>
        <w:t xml:space="preserve">Rezultāti no gadījumu-kontroles novērojuma, pētot Stīvensa-Džonsona sindroma/toksiskas epidermālas </w:t>
      </w:r>
      <w:proofErr w:type="spellStart"/>
      <w:r w:rsidRPr="000541FC">
        <w:rPr>
          <w:lang w:val="lv-LV"/>
        </w:rPr>
        <w:t>nekrolīzes</w:t>
      </w:r>
      <w:proofErr w:type="spellEnd"/>
      <w:r w:rsidRPr="000541FC">
        <w:rPr>
          <w:lang w:val="lv-LV"/>
        </w:rPr>
        <w:t xml:space="preserve"> (</w:t>
      </w:r>
      <w:proofErr w:type="spellStart"/>
      <w:r w:rsidRPr="000541FC">
        <w:rPr>
          <w:lang w:val="lv-LV"/>
        </w:rPr>
        <w:t>SDžS</w:t>
      </w:r>
      <w:proofErr w:type="spellEnd"/>
      <w:r w:rsidRPr="000541FC">
        <w:rPr>
          <w:lang w:val="lv-LV"/>
        </w:rPr>
        <w:t xml:space="preserve">/TEN) uzliesmojumu, uzrādīja iespējamu saistību starp </w:t>
      </w:r>
      <w:proofErr w:type="spellStart"/>
      <w:r w:rsidRPr="000541FC">
        <w:rPr>
          <w:lang w:val="lv-LV"/>
        </w:rPr>
        <w:t>SDžS</w:t>
      </w:r>
      <w:proofErr w:type="spellEnd"/>
      <w:r w:rsidRPr="000541FC">
        <w:rPr>
          <w:lang w:val="lv-LV"/>
        </w:rPr>
        <w:t xml:space="preserve">/TEN un vienlaikus 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metronidazola</w:t>
      </w:r>
      <w:proofErr w:type="spellEnd"/>
      <w:r w:rsidRPr="000541FC">
        <w:rPr>
          <w:lang w:val="lv-LV"/>
        </w:rPr>
        <w:t xml:space="preserve"> lietošanas.</w:t>
      </w:r>
      <w:r w:rsidR="00831C55" w:rsidRPr="000541FC">
        <w:rPr>
          <w:lang w:val="lv-LV"/>
        </w:rPr>
        <w:t xml:space="preserve"> </w:t>
      </w:r>
      <w:r w:rsidRPr="000541FC">
        <w:rPr>
          <w:lang w:val="lv-LV"/>
        </w:rPr>
        <w:t xml:space="preserve">Tādēļ jāizvairās no vienlaikus 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metronidazola</w:t>
      </w:r>
      <w:proofErr w:type="spellEnd"/>
      <w:r w:rsidRPr="000541FC">
        <w:rPr>
          <w:lang w:val="lv-LV"/>
        </w:rPr>
        <w:t xml:space="preserve"> lietošanas. </w:t>
      </w:r>
    </w:p>
    <w:p w14:paraId="39D851DD" w14:textId="77777777" w:rsidR="005064CC" w:rsidRPr="000541FC" w:rsidRDefault="005064CC" w:rsidP="00CE1572">
      <w:pPr>
        <w:jc w:val="both"/>
        <w:rPr>
          <w:lang w:val="lv-LV"/>
        </w:rPr>
      </w:pPr>
    </w:p>
    <w:p w14:paraId="3AC96C51" w14:textId="77777777" w:rsidR="00676759" w:rsidRPr="000541FC" w:rsidRDefault="00676759" w:rsidP="00C422D5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Palīgvielas</w:t>
      </w:r>
    </w:p>
    <w:p w14:paraId="5C4D41E1" w14:textId="77777777" w:rsidR="006079DA" w:rsidRPr="000541FC" w:rsidRDefault="00676759" w:rsidP="00C422D5">
      <w:pPr>
        <w:jc w:val="both"/>
        <w:rPr>
          <w:spacing w:val="-2"/>
          <w:lang w:val="lv-LV"/>
        </w:rPr>
      </w:pPr>
      <w:proofErr w:type="spellStart"/>
      <w:r w:rsidRPr="000541FC">
        <w:rPr>
          <w:lang w:val="lv-LV"/>
        </w:rPr>
        <w:t>Mebendazole</w:t>
      </w:r>
      <w:proofErr w:type="spellEnd"/>
      <w:r w:rsidRPr="000541FC">
        <w:rPr>
          <w:lang w:val="lv-LV"/>
        </w:rPr>
        <w:t xml:space="preserve">-Grindeks </w:t>
      </w:r>
      <w:r w:rsidR="00E30D99" w:rsidRPr="000541FC">
        <w:rPr>
          <w:lang w:val="lv-LV"/>
        </w:rPr>
        <w:t>tabletes satur</w:t>
      </w:r>
      <w:r w:rsidR="000D35F4">
        <w:rPr>
          <w:lang w:val="lv-LV"/>
        </w:rPr>
        <w:t xml:space="preserve"> laktozi</w:t>
      </w:r>
      <w:r w:rsidR="005064CC" w:rsidRPr="000541FC">
        <w:rPr>
          <w:lang w:val="lv-LV"/>
        </w:rPr>
        <w:t>.</w:t>
      </w:r>
      <w:r w:rsidR="00C422D5" w:rsidRPr="000541FC">
        <w:rPr>
          <w:lang w:val="lv-LV"/>
        </w:rPr>
        <w:t xml:space="preserve"> </w:t>
      </w:r>
      <w:r w:rsidR="006079DA" w:rsidRPr="000541FC">
        <w:rPr>
          <w:lang w:val="lv-LV"/>
        </w:rPr>
        <w:t>Šīs zāles nevajadzētu lietot pacientiem ar</w:t>
      </w:r>
      <w:r w:rsidR="001E0046" w:rsidRPr="000541FC">
        <w:rPr>
          <w:lang w:val="lv-LV"/>
        </w:rPr>
        <w:t xml:space="preserve"> </w:t>
      </w:r>
      <w:r w:rsidR="006079DA" w:rsidRPr="000541FC">
        <w:rPr>
          <w:lang w:val="lv-LV"/>
        </w:rPr>
        <w:t>ret</w:t>
      </w:r>
      <w:r w:rsidRPr="000541FC">
        <w:rPr>
          <w:lang w:val="lv-LV"/>
        </w:rPr>
        <w:t>i sastopamu</w:t>
      </w:r>
      <w:r w:rsidR="006079DA" w:rsidRPr="000541FC">
        <w:rPr>
          <w:lang w:val="lv-LV"/>
        </w:rPr>
        <w:t xml:space="preserve"> </w:t>
      </w:r>
      <w:r w:rsidR="006079DA" w:rsidRPr="000541FC">
        <w:rPr>
          <w:spacing w:val="-2"/>
          <w:lang w:val="lv-LV"/>
        </w:rPr>
        <w:t xml:space="preserve">iedzimtu galaktozes nepanesību, </w:t>
      </w:r>
      <w:r w:rsidRPr="000541FC">
        <w:rPr>
          <w:spacing w:val="-2"/>
          <w:lang w:val="lv-LV"/>
        </w:rPr>
        <w:t xml:space="preserve">pilnīgu </w:t>
      </w:r>
      <w:r w:rsidR="006079DA" w:rsidRPr="000541FC">
        <w:rPr>
          <w:spacing w:val="-2"/>
          <w:lang w:val="lv-LV"/>
        </w:rPr>
        <w:t>laktāzes deficītu vai glikozes-galaktozes malabsorbciju.</w:t>
      </w:r>
    </w:p>
    <w:p w14:paraId="1AE54881" w14:textId="77777777" w:rsidR="00C422D5" w:rsidRPr="000541FC" w:rsidRDefault="00C422D5" w:rsidP="006079DA">
      <w:pPr>
        <w:jc w:val="both"/>
        <w:rPr>
          <w:spacing w:val="-2"/>
          <w:lang w:val="lv-LV"/>
        </w:rPr>
      </w:pPr>
    </w:p>
    <w:p w14:paraId="691B48B0" w14:textId="14FD4279" w:rsidR="00F743FE" w:rsidRPr="000541FC" w:rsidRDefault="00F743FE" w:rsidP="00F743FE">
      <w:pPr>
        <w:jc w:val="both"/>
        <w:rPr>
          <w:lang w:val="lv-LV"/>
        </w:rPr>
      </w:pPr>
      <w:proofErr w:type="spellStart"/>
      <w:r w:rsidRPr="000541FC">
        <w:rPr>
          <w:lang w:val="lv-LV"/>
        </w:rPr>
        <w:t>Mebendazole</w:t>
      </w:r>
      <w:proofErr w:type="spellEnd"/>
      <w:r w:rsidRPr="000541FC">
        <w:rPr>
          <w:lang w:val="lv-LV"/>
        </w:rPr>
        <w:t>-Grindeks tabletes satur krā</w:t>
      </w:r>
      <w:r w:rsidR="009D602C" w:rsidRPr="000541FC">
        <w:rPr>
          <w:lang w:val="lv-LV"/>
        </w:rPr>
        <w:t xml:space="preserve">svielu saulrieta </w:t>
      </w:r>
      <w:r w:rsidR="00DC6CEC" w:rsidRPr="000541FC">
        <w:rPr>
          <w:lang w:val="lv-LV"/>
        </w:rPr>
        <w:t>dzelten</w:t>
      </w:r>
      <w:r w:rsidR="00DC6CEC">
        <w:rPr>
          <w:lang w:val="lv-LV"/>
        </w:rPr>
        <w:t>o</w:t>
      </w:r>
      <w:r w:rsidR="00DC6CEC" w:rsidRPr="000541FC">
        <w:rPr>
          <w:lang w:val="lv-LV"/>
        </w:rPr>
        <w:t xml:space="preserve"> </w:t>
      </w:r>
      <w:r w:rsidRPr="000541FC">
        <w:rPr>
          <w:lang w:val="lv-LV"/>
        </w:rPr>
        <w:t>(E</w:t>
      </w:r>
      <w:r w:rsidR="00CB2579" w:rsidRPr="000541FC">
        <w:rPr>
          <w:lang w:val="lv-LV"/>
        </w:rPr>
        <w:t> </w:t>
      </w:r>
      <w:r w:rsidRPr="000541FC">
        <w:rPr>
          <w:lang w:val="lv-LV"/>
        </w:rPr>
        <w:t xml:space="preserve">110), </w:t>
      </w:r>
      <w:r w:rsidRPr="000541FC">
        <w:rPr>
          <w:noProof/>
          <w:lang w:val="lv-LV"/>
        </w:rPr>
        <w:t xml:space="preserve">kas var izraisīt alerģiskas reakcijas. </w:t>
      </w:r>
    </w:p>
    <w:p w14:paraId="56C0813F" w14:textId="77777777" w:rsidR="000541FC" w:rsidRDefault="000541FC" w:rsidP="00CE1572">
      <w:pPr>
        <w:jc w:val="both"/>
        <w:rPr>
          <w:b/>
          <w:lang w:val="lv-LV"/>
        </w:rPr>
      </w:pPr>
    </w:p>
    <w:p w14:paraId="322B2AA6" w14:textId="76BBEEA0" w:rsidR="00310444" w:rsidRPr="000541FC" w:rsidRDefault="00120AF9" w:rsidP="00CE1572">
      <w:pPr>
        <w:jc w:val="both"/>
        <w:rPr>
          <w:b/>
          <w:lang w:val="lv-LV"/>
        </w:rPr>
      </w:pPr>
      <w:r>
        <w:rPr>
          <w:b/>
          <w:lang w:val="lv-LV"/>
        </w:rPr>
        <w:br w:type="page"/>
      </w:r>
      <w:r w:rsidR="00310444" w:rsidRPr="000541FC">
        <w:rPr>
          <w:b/>
          <w:lang w:val="lv-LV"/>
        </w:rPr>
        <w:lastRenderedPageBreak/>
        <w:t>4.5</w:t>
      </w:r>
      <w:r w:rsidR="00041E97" w:rsidRPr="000541FC">
        <w:rPr>
          <w:b/>
          <w:lang w:val="lv-LV"/>
        </w:rPr>
        <w:t>.</w:t>
      </w:r>
      <w:r w:rsidR="00CE1572"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Mijiedarbība ar citām zālēm un citi mijiedarbības veidi</w:t>
      </w:r>
    </w:p>
    <w:p w14:paraId="3D0FF733" w14:textId="77777777" w:rsidR="00CE1572" w:rsidRPr="000541FC" w:rsidRDefault="00CE1572" w:rsidP="00CE1572">
      <w:pPr>
        <w:jc w:val="both"/>
        <w:rPr>
          <w:lang w:val="lv-LV"/>
        </w:rPr>
      </w:pPr>
    </w:p>
    <w:p w14:paraId="288B31A7" w14:textId="77777777" w:rsidR="00E30D99" w:rsidRPr="000541FC" w:rsidRDefault="00E30D99" w:rsidP="00E30D99">
      <w:pPr>
        <w:jc w:val="both"/>
        <w:rPr>
          <w:lang w:val="lv-LV"/>
        </w:rPr>
      </w:pPr>
      <w:r w:rsidRPr="000541FC">
        <w:rPr>
          <w:lang w:val="lv-LV"/>
        </w:rPr>
        <w:t xml:space="preserve">Vienlaikus terapija ar cimetidīnu var </w:t>
      </w:r>
      <w:proofErr w:type="spellStart"/>
      <w:r w:rsidRPr="000541FC">
        <w:rPr>
          <w:lang w:val="lv-LV"/>
        </w:rPr>
        <w:t>inhibēt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metabolismu aknās, paaugstinot zāļu koncentrāciju plazmā, īpaši ilgstošas ārstēšanas laikā. Šādā gadījumā</w:t>
      </w:r>
      <w:r w:rsidR="00097E16" w:rsidRPr="000541FC">
        <w:rPr>
          <w:lang w:val="lv-LV"/>
        </w:rPr>
        <w:t>,</w:t>
      </w:r>
      <w:r w:rsidRPr="000541FC">
        <w:rPr>
          <w:lang w:val="lv-LV"/>
        </w:rPr>
        <w:t xml:space="preserve"> jānoteic koncentrācijas plazmā, lai koriģētu devu. </w:t>
      </w:r>
    </w:p>
    <w:p w14:paraId="7EFC8A23" w14:textId="77777777" w:rsidR="00E30D99" w:rsidRPr="000541FC" w:rsidRDefault="00E30D99" w:rsidP="00E30D99">
      <w:pPr>
        <w:jc w:val="both"/>
        <w:rPr>
          <w:lang w:val="lv-LV"/>
        </w:rPr>
      </w:pPr>
    </w:p>
    <w:p w14:paraId="394C62F1" w14:textId="77777777" w:rsidR="00E30D99" w:rsidRPr="000541FC" w:rsidRDefault="00E30D99" w:rsidP="00E30D99">
      <w:pPr>
        <w:jc w:val="both"/>
        <w:rPr>
          <w:lang w:val="lv-LV"/>
        </w:rPr>
      </w:pPr>
      <w:r w:rsidRPr="000541FC">
        <w:rPr>
          <w:lang w:val="lv-LV"/>
        </w:rPr>
        <w:t xml:space="preserve">Jāizvairās no vienlaikus 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metron</w:t>
      </w:r>
      <w:r w:rsidR="006B43F7" w:rsidRPr="000541FC">
        <w:rPr>
          <w:lang w:val="lv-LV"/>
        </w:rPr>
        <w:t>idazola</w:t>
      </w:r>
      <w:proofErr w:type="spellEnd"/>
      <w:r w:rsidR="006B43F7" w:rsidRPr="000541FC">
        <w:rPr>
          <w:lang w:val="lv-LV"/>
        </w:rPr>
        <w:t xml:space="preserve"> lietošanas (skatīt 4.4. </w:t>
      </w:r>
      <w:r w:rsidRPr="000541FC">
        <w:rPr>
          <w:lang w:val="lv-LV"/>
        </w:rPr>
        <w:t xml:space="preserve">apakšpunktu). </w:t>
      </w:r>
    </w:p>
    <w:p w14:paraId="427C85B3" w14:textId="77777777" w:rsidR="00C16135" w:rsidRPr="000541FC" w:rsidRDefault="00C16135" w:rsidP="00E30D99">
      <w:pPr>
        <w:jc w:val="both"/>
        <w:rPr>
          <w:lang w:val="lv-LV"/>
        </w:rPr>
      </w:pPr>
    </w:p>
    <w:p w14:paraId="3E220F2D" w14:textId="77777777" w:rsidR="00310444" w:rsidRPr="000541FC" w:rsidRDefault="00310444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4.6</w:t>
      </w:r>
      <w:r w:rsidR="00041E97" w:rsidRPr="000541FC">
        <w:rPr>
          <w:b/>
          <w:lang w:val="lv-LV"/>
        </w:rPr>
        <w:t>.</w:t>
      </w:r>
      <w:r w:rsidR="00CE1572" w:rsidRPr="000541FC">
        <w:rPr>
          <w:b/>
          <w:lang w:val="lv-LV"/>
        </w:rPr>
        <w:tab/>
      </w:r>
      <w:proofErr w:type="spellStart"/>
      <w:r w:rsidR="0083051F" w:rsidRPr="000541FC">
        <w:rPr>
          <w:b/>
          <w:lang w:val="lv-LV"/>
        </w:rPr>
        <w:t>Fertilitāte</w:t>
      </w:r>
      <w:proofErr w:type="spellEnd"/>
      <w:r w:rsidR="0083051F" w:rsidRPr="000541FC">
        <w:rPr>
          <w:b/>
          <w:lang w:val="lv-LV"/>
        </w:rPr>
        <w:t>, g</w:t>
      </w:r>
      <w:r w:rsidR="00CE1572" w:rsidRPr="000541FC">
        <w:rPr>
          <w:b/>
          <w:lang w:val="lv-LV"/>
        </w:rPr>
        <w:t xml:space="preserve">rūtniecība un </w:t>
      </w:r>
      <w:r w:rsidR="0083051F" w:rsidRPr="000541FC">
        <w:rPr>
          <w:b/>
          <w:lang w:val="lv-LV"/>
        </w:rPr>
        <w:t>barošana ar krūti</w:t>
      </w:r>
    </w:p>
    <w:p w14:paraId="3BAD0172" w14:textId="77777777" w:rsidR="00CE1572" w:rsidRPr="000541FC" w:rsidRDefault="00CE1572" w:rsidP="00CE1572">
      <w:pPr>
        <w:jc w:val="both"/>
        <w:rPr>
          <w:lang w:val="lv-LV"/>
        </w:rPr>
      </w:pPr>
    </w:p>
    <w:p w14:paraId="771D52EB" w14:textId="77777777" w:rsidR="00E30D99" w:rsidRPr="000541FC" w:rsidRDefault="00E30D99" w:rsidP="00E30D99">
      <w:pPr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>Grūtniecība</w:t>
      </w:r>
    </w:p>
    <w:p w14:paraId="3B02FFC7" w14:textId="77777777" w:rsidR="00E30D99" w:rsidRPr="000541FC" w:rsidRDefault="00E30D99" w:rsidP="00E30D99">
      <w:pPr>
        <w:jc w:val="both"/>
        <w:rPr>
          <w:lang w:val="lv-LV"/>
        </w:rPr>
      </w:pPr>
      <w:r w:rsidRPr="000541FC">
        <w:rPr>
          <w:lang w:val="lv-LV"/>
        </w:rPr>
        <w:t xml:space="preserve">Pēc vienas perorālas devas žurkām un pelēm </w:t>
      </w: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 parādīja </w:t>
      </w:r>
      <w:proofErr w:type="spellStart"/>
      <w:r w:rsidRPr="000541FC">
        <w:rPr>
          <w:lang w:val="lv-LV"/>
        </w:rPr>
        <w:t>embriotoksisku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teratogēnu</w:t>
      </w:r>
      <w:proofErr w:type="spellEnd"/>
      <w:r w:rsidRPr="000541FC">
        <w:rPr>
          <w:lang w:val="lv-LV"/>
        </w:rPr>
        <w:t xml:space="preserve"> iedarbību. Citām pārbaudītām dzīvnieku sugām netika novērota kaitīga iet</w:t>
      </w:r>
      <w:r w:rsidR="000460BD" w:rsidRPr="000541FC">
        <w:rPr>
          <w:lang w:val="lv-LV"/>
        </w:rPr>
        <w:t>ekme uz vairošanos (skatīt 5.3. </w:t>
      </w:r>
      <w:r w:rsidRPr="000541FC">
        <w:rPr>
          <w:lang w:val="lv-LV"/>
        </w:rPr>
        <w:t>apakšpunktu).</w:t>
      </w:r>
    </w:p>
    <w:p w14:paraId="7D1B3940" w14:textId="77777777" w:rsidR="00E30D99" w:rsidRPr="000541FC" w:rsidRDefault="00E30D99" w:rsidP="00E30D99">
      <w:pPr>
        <w:jc w:val="both"/>
        <w:rPr>
          <w:lang w:val="lv-LV"/>
        </w:rPr>
      </w:pPr>
    </w:p>
    <w:p w14:paraId="187042CA" w14:textId="77777777" w:rsidR="00E30D99" w:rsidRPr="000541FC" w:rsidRDefault="00E30D99" w:rsidP="00E30D99">
      <w:pPr>
        <w:jc w:val="both"/>
        <w:rPr>
          <w:lang w:val="lv-LV"/>
        </w:rPr>
      </w:pPr>
      <w:r w:rsidRPr="000541FC">
        <w:rPr>
          <w:lang w:val="lv-LV"/>
        </w:rPr>
        <w:t xml:space="preserve">Iespējamais risks saistībā ar </w:t>
      </w:r>
      <w:r w:rsidR="00C16135" w:rsidRPr="000541FC">
        <w:rPr>
          <w:lang w:val="lv-LV"/>
        </w:rPr>
        <w:t>mebendazola</w:t>
      </w:r>
      <w:r w:rsidRPr="000541FC">
        <w:rPr>
          <w:lang w:val="lv-LV"/>
        </w:rPr>
        <w:t xml:space="preserve"> lietošanu grūtniecības laikā, īpaši pirmā trimestra laikā, jāizvērtē attiecībā pret g</w:t>
      </w:r>
      <w:r w:rsidR="00C16135" w:rsidRPr="000541FC">
        <w:rPr>
          <w:lang w:val="lv-LV"/>
        </w:rPr>
        <w:t>aidāmo terapeitisko ieguvumu.</w:t>
      </w:r>
    </w:p>
    <w:p w14:paraId="25BF00A6" w14:textId="77777777" w:rsidR="00E30D99" w:rsidRPr="000541FC" w:rsidRDefault="00E30D99" w:rsidP="00E30D99">
      <w:pPr>
        <w:jc w:val="both"/>
        <w:rPr>
          <w:i/>
          <w:iCs/>
          <w:lang w:val="lv-LV"/>
        </w:rPr>
      </w:pPr>
    </w:p>
    <w:p w14:paraId="2B889BCD" w14:textId="77777777" w:rsidR="00E30D99" w:rsidRPr="000541FC" w:rsidRDefault="00E30D99" w:rsidP="00E30D99">
      <w:pPr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>Barošana ar krūti</w:t>
      </w:r>
    </w:p>
    <w:p w14:paraId="32CDC37E" w14:textId="77777777" w:rsidR="00E30D99" w:rsidRPr="000541FC" w:rsidRDefault="00E30D99" w:rsidP="00E30D99">
      <w:pPr>
        <w:jc w:val="both"/>
        <w:rPr>
          <w:lang w:val="lv-LV"/>
        </w:rPr>
      </w:pP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 uzsūcas tikai nelielā mērā. Nav zināms, vai </w:t>
      </w: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 izdalās mātes pien</w:t>
      </w:r>
      <w:r w:rsidR="006D662F" w:rsidRPr="000541FC">
        <w:rPr>
          <w:lang w:val="lv-LV"/>
        </w:rPr>
        <w:t>ā</w:t>
      </w:r>
      <w:r w:rsidRPr="000541FC">
        <w:rPr>
          <w:lang w:val="lv-LV"/>
        </w:rPr>
        <w:t xml:space="preserve">. Tādēļ jāievēro piesardzība, ja </w:t>
      </w:r>
      <w:proofErr w:type="spellStart"/>
      <w:r w:rsidR="00C16135" w:rsidRPr="000541FC">
        <w:rPr>
          <w:lang w:val="lv-LV"/>
        </w:rPr>
        <w:t>mebendazols</w:t>
      </w:r>
      <w:proofErr w:type="spellEnd"/>
      <w:r w:rsidR="00C16135" w:rsidRPr="000541FC">
        <w:rPr>
          <w:lang w:val="lv-LV"/>
        </w:rPr>
        <w:t xml:space="preserve"> tiek nozīmēt</w:t>
      </w:r>
      <w:r w:rsidRPr="000541FC">
        <w:rPr>
          <w:lang w:val="lv-LV"/>
        </w:rPr>
        <w:t>s māt</w:t>
      </w:r>
      <w:r w:rsidR="001229FD" w:rsidRPr="000541FC">
        <w:rPr>
          <w:lang w:val="lv-LV"/>
        </w:rPr>
        <w:t>ēm, kuras baro bērnu ar krūti.</w:t>
      </w:r>
    </w:p>
    <w:p w14:paraId="1AD17F35" w14:textId="77777777" w:rsidR="00310444" w:rsidRPr="000541FC" w:rsidRDefault="00310444" w:rsidP="00CE1572">
      <w:pPr>
        <w:jc w:val="both"/>
        <w:rPr>
          <w:lang w:val="lv-LV"/>
        </w:rPr>
      </w:pPr>
    </w:p>
    <w:p w14:paraId="7209E433" w14:textId="77777777" w:rsidR="00310444" w:rsidRPr="000541FC" w:rsidRDefault="00310444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4.7</w:t>
      </w:r>
      <w:r w:rsidR="00041E97" w:rsidRPr="000541FC">
        <w:rPr>
          <w:b/>
          <w:lang w:val="lv-LV"/>
        </w:rPr>
        <w:t>.</w:t>
      </w:r>
      <w:r w:rsidR="00CE1572" w:rsidRPr="000541FC">
        <w:rPr>
          <w:b/>
          <w:lang w:val="lv-LV"/>
        </w:rPr>
        <w:tab/>
      </w:r>
      <w:r w:rsidRPr="000541FC">
        <w:rPr>
          <w:b/>
          <w:lang w:val="lv-LV"/>
        </w:rPr>
        <w:t>Ietekme uz spēju vadīt transportlīdzekļus un apkalpot mehānismus</w:t>
      </w:r>
    </w:p>
    <w:p w14:paraId="00847177" w14:textId="77777777" w:rsidR="00CE1572" w:rsidRPr="000541FC" w:rsidRDefault="00CE1572" w:rsidP="00CE1572">
      <w:pPr>
        <w:jc w:val="both"/>
        <w:rPr>
          <w:lang w:val="lv-LV"/>
        </w:rPr>
      </w:pPr>
    </w:p>
    <w:p w14:paraId="74019C4C" w14:textId="77777777" w:rsidR="001229FD" w:rsidRPr="000541FC" w:rsidRDefault="00C422D5" w:rsidP="001229FD">
      <w:pPr>
        <w:jc w:val="both"/>
        <w:rPr>
          <w:lang w:val="lv-LV"/>
        </w:rPr>
      </w:pPr>
      <w:r w:rsidRPr="000541FC">
        <w:rPr>
          <w:lang w:val="lv-LV"/>
        </w:rPr>
        <w:t>Šīs zāles</w:t>
      </w:r>
      <w:r w:rsidR="001229FD" w:rsidRPr="000541FC">
        <w:rPr>
          <w:lang w:val="lv-LV"/>
        </w:rPr>
        <w:t xml:space="preserve"> neietekmē modrību</w:t>
      </w:r>
      <w:r w:rsidR="00F16F27" w:rsidRPr="000541FC">
        <w:rPr>
          <w:lang w:val="lv-LV"/>
        </w:rPr>
        <w:t>,</w:t>
      </w:r>
      <w:r w:rsidR="001229FD" w:rsidRPr="000541FC">
        <w:rPr>
          <w:lang w:val="lv-LV"/>
        </w:rPr>
        <w:t xml:space="preserve"> un </w:t>
      </w:r>
      <w:r w:rsidR="00D0452B" w:rsidRPr="000541FC">
        <w:rPr>
          <w:lang w:val="lv-LV"/>
        </w:rPr>
        <w:t>tā</w:t>
      </w:r>
      <w:r w:rsidR="009D0241" w:rsidRPr="000541FC">
        <w:rPr>
          <w:lang w:val="lv-LV"/>
        </w:rPr>
        <w:t>s</w:t>
      </w:r>
      <w:r w:rsidR="001229FD" w:rsidRPr="000541FC">
        <w:rPr>
          <w:lang w:val="lv-LV"/>
        </w:rPr>
        <w:t xml:space="preserve"> </w:t>
      </w:r>
      <w:r w:rsidR="009D0241" w:rsidRPr="000541FC">
        <w:rPr>
          <w:lang w:val="lv-LV"/>
        </w:rPr>
        <w:t>neietekmē</w:t>
      </w:r>
      <w:r w:rsidR="001229FD" w:rsidRPr="000541FC">
        <w:rPr>
          <w:lang w:val="lv-LV"/>
        </w:rPr>
        <w:t xml:space="preserve"> vai </w:t>
      </w:r>
      <w:r w:rsidR="009D0241" w:rsidRPr="000541FC">
        <w:rPr>
          <w:lang w:val="lv-LV"/>
        </w:rPr>
        <w:t xml:space="preserve">nedaudz ietekmē </w:t>
      </w:r>
      <w:r w:rsidR="001229FD" w:rsidRPr="000541FC">
        <w:rPr>
          <w:lang w:val="lv-LV"/>
        </w:rPr>
        <w:t xml:space="preserve">spēju vadīt transportlīdzekļus un apkalpot mehānismus. </w:t>
      </w:r>
    </w:p>
    <w:p w14:paraId="7CD6070B" w14:textId="77777777" w:rsidR="00310444" w:rsidRPr="000541FC" w:rsidRDefault="001229FD" w:rsidP="00CE1572">
      <w:pPr>
        <w:jc w:val="both"/>
        <w:rPr>
          <w:lang w:val="lv-LV"/>
        </w:rPr>
      </w:pPr>
      <w:r w:rsidRPr="000541FC" w:rsidDel="001229FD">
        <w:rPr>
          <w:lang w:val="lv-LV"/>
        </w:rPr>
        <w:t xml:space="preserve"> </w:t>
      </w:r>
    </w:p>
    <w:p w14:paraId="39D92AE8" w14:textId="77777777" w:rsidR="00310444" w:rsidRPr="000541FC" w:rsidRDefault="00310444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4.8</w:t>
      </w:r>
      <w:r w:rsidR="00041E97" w:rsidRPr="000541FC">
        <w:rPr>
          <w:b/>
          <w:lang w:val="lv-LV"/>
        </w:rPr>
        <w:t>.</w:t>
      </w:r>
      <w:r w:rsidR="00CE1572" w:rsidRPr="000541FC">
        <w:rPr>
          <w:b/>
          <w:lang w:val="lv-LV"/>
        </w:rPr>
        <w:tab/>
        <w:t>Nevēlamās blakusparādības</w:t>
      </w:r>
    </w:p>
    <w:p w14:paraId="5B4FCE23" w14:textId="77777777" w:rsidR="007E4EFF" w:rsidRPr="000541FC" w:rsidRDefault="007E4EFF" w:rsidP="00CE1572">
      <w:pPr>
        <w:jc w:val="both"/>
        <w:rPr>
          <w:lang w:val="lv-LV"/>
        </w:rPr>
      </w:pPr>
    </w:p>
    <w:p w14:paraId="1FA3F5F9" w14:textId="77777777" w:rsidR="00866E01" w:rsidRPr="000541FC" w:rsidRDefault="00866E01" w:rsidP="00866E01">
      <w:pPr>
        <w:jc w:val="both"/>
        <w:rPr>
          <w:i/>
          <w:lang w:val="lv-LV"/>
        </w:rPr>
      </w:pPr>
      <w:r w:rsidRPr="000541FC">
        <w:rPr>
          <w:i/>
          <w:lang w:val="lv-LV"/>
        </w:rPr>
        <w:t>Klīnisko pētījumu dati</w:t>
      </w:r>
    </w:p>
    <w:p w14:paraId="70202274" w14:textId="77777777" w:rsidR="00C422D5" w:rsidRPr="000541FC" w:rsidRDefault="00EC2C94" w:rsidP="00866E01">
      <w:pPr>
        <w:jc w:val="both"/>
        <w:rPr>
          <w:lang w:val="lv-LV"/>
        </w:rPr>
      </w:pPr>
      <w:r w:rsidRPr="000541FC">
        <w:rPr>
          <w:lang w:val="lv-LV"/>
        </w:rPr>
        <w:t>39 klīniskos pētījumos tika izvērtēts m</w:t>
      </w:r>
      <w:r w:rsidR="00866E01" w:rsidRPr="000541FC">
        <w:rPr>
          <w:lang w:val="lv-LV"/>
        </w:rPr>
        <w:t>ebendazola</w:t>
      </w:r>
      <w:r w:rsidR="00AB18E5" w:rsidRPr="000541FC">
        <w:rPr>
          <w:lang w:val="lv-LV"/>
        </w:rPr>
        <w:t xml:space="preserve"> drošums</w:t>
      </w:r>
      <w:r w:rsidRPr="000541FC">
        <w:rPr>
          <w:lang w:val="lv-LV"/>
        </w:rPr>
        <w:t xml:space="preserve"> </w:t>
      </w:r>
      <w:r w:rsidR="00866E01" w:rsidRPr="000541FC">
        <w:rPr>
          <w:lang w:val="lv-LV"/>
        </w:rPr>
        <w:t xml:space="preserve">kuņģa zarnu trakta vienas vai jauktu parazītu invāzijas ārstēšanai. Šajos 39 klīniskos pētījumos, ar </w:t>
      </w:r>
      <w:proofErr w:type="spellStart"/>
      <w:r w:rsidR="00866E01" w:rsidRPr="000541FC">
        <w:rPr>
          <w:lang w:val="lv-LV"/>
        </w:rPr>
        <w:t>mebendazolu</w:t>
      </w:r>
      <w:proofErr w:type="spellEnd"/>
      <w:r w:rsidR="00866E01" w:rsidRPr="000541FC">
        <w:rPr>
          <w:lang w:val="lv-LV"/>
        </w:rPr>
        <w:t xml:space="preserve"> ārstētiem cilvēkiem, nebija blakusp</w:t>
      </w:r>
      <w:r w:rsidRPr="000541FC">
        <w:rPr>
          <w:lang w:val="lv-LV"/>
        </w:rPr>
        <w:t xml:space="preserve">arādību, kuru biežums būtu ≥1%. </w:t>
      </w:r>
    </w:p>
    <w:p w14:paraId="1BD6A38B" w14:textId="77777777" w:rsidR="00866E01" w:rsidRPr="000541FC" w:rsidRDefault="00866E01" w:rsidP="00866E01">
      <w:pPr>
        <w:jc w:val="both"/>
        <w:rPr>
          <w:lang w:val="lv-LV"/>
        </w:rPr>
      </w:pPr>
    </w:p>
    <w:p w14:paraId="144CD873" w14:textId="77777777" w:rsidR="00131B01" w:rsidRPr="000541FC" w:rsidRDefault="00131B01" w:rsidP="00131B01">
      <w:pPr>
        <w:jc w:val="both"/>
        <w:rPr>
          <w:bCs/>
          <w:lang w:val="lv-LV"/>
        </w:rPr>
      </w:pPr>
      <w:r w:rsidRPr="000541FC">
        <w:rPr>
          <w:bCs/>
          <w:lang w:val="lv-LV"/>
        </w:rPr>
        <w:t>Turpmāk minētās blakusparādības sakārtotas atbilstoši MedDRA orgānu sistēmu klasifikācijas datubāzei un biežuma iedalījumam: ļoti bieži: (≥1/10), bieži: (≥1/100 līdz &lt;1/10), retāk (≥1/1</w:t>
      </w:r>
      <w:r w:rsidR="001741DA" w:rsidRPr="000541FC">
        <w:rPr>
          <w:bCs/>
          <w:lang w:val="lv-LV"/>
        </w:rPr>
        <w:t> </w:t>
      </w:r>
      <w:r w:rsidRPr="000541FC">
        <w:rPr>
          <w:bCs/>
          <w:lang w:val="lv-LV"/>
        </w:rPr>
        <w:t>000 līdz &lt;1/100), r</w:t>
      </w:r>
      <w:r w:rsidRPr="000541FC">
        <w:rPr>
          <w:bCs/>
          <w:lang w:val="it-IT"/>
        </w:rPr>
        <w:t>eti (</w:t>
      </w:r>
      <w:r w:rsidRPr="000541FC">
        <w:rPr>
          <w:bCs/>
          <w:lang w:val="it-IT"/>
        </w:rPr>
        <w:sym w:font="Symbol" w:char="F0B3"/>
      </w:r>
      <w:r w:rsidRPr="000541FC">
        <w:rPr>
          <w:bCs/>
          <w:lang w:val="it-IT"/>
        </w:rPr>
        <w:t>1/10 000 līdz &lt;1/1 000)</w:t>
      </w:r>
      <w:r w:rsidRPr="000541FC">
        <w:rPr>
          <w:bCs/>
          <w:lang w:val="lv-LV"/>
        </w:rPr>
        <w:t>, ļ</w:t>
      </w:r>
      <w:r w:rsidRPr="000541FC">
        <w:rPr>
          <w:bCs/>
          <w:lang w:val="sv-SE"/>
        </w:rPr>
        <w:t>oti reti (&lt;1/10 000)</w:t>
      </w:r>
      <w:r w:rsidRPr="000541FC">
        <w:rPr>
          <w:bCs/>
          <w:lang w:val="lv-LV"/>
        </w:rPr>
        <w:t>, nav zināmi (nevar noteikt pēc pieejamajiem datiem).</w:t>
      </w:r>
    </w:p>
    <w:p w14:paraId="63187C28" w14:textId="77777777" w:rsidR="00675BB5" w:rsidRPr="000541FC" w:rsidRDefault="00675BB5" w:rsidP="0068200F">
      <w:pPr>
        <w:jc w:val="both"/>
        <w:rPr>
          <w:lang w:val="lv-LV"/>
        </w:rPr>
      </w:pPr>
    </w:p>
    <w:p w14:paraId="3D5FF634" w14:textId="77777777" w:rsidR="0068200F" w:rsidRPr="000541FC" w:rsidRDefault="0068200F" w:rsidP="0068200F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Asins un limfātiskās sistēmas traucējumi</w:t>
      </w:r>
    </w:p>
    <w:p w14:paraId="25750368" w14:textId="77777777" w:rsidR="0068200F" w:rsidRPr="000541FC" w:rsidRDefault="0068200F" w:rsidP="0068200F">
      <w:pPr>
        <w:jc w:val="both"/>
        <w:rPr>
          <w:lang w:val="lv-LV"/>
        </w:rPr>
      </w:pPr>
      <w:r w:rsidRPr="000541FC">
        <w:rPr>
          <w:lang w:val="lv-LV"/>
        </w:rPr>
        <w:t>Nav zināmi: neitropēnija.</w:t>
      </w:r>
    </w:p>
    <w:p w14:paraId="15107072" w14:textId="77777777" w:rsidR="0068200F" w:rsidRPr="000541FC" w:rsidRDefault="0068200F" w:rsidP="0068200F">
      <w:pPr>
        <w:jc w:val="both"/>
        <w:rPr>
          <w:lang w:val="lv-LV"/>
        </w:rPr>
      </w:pPr>
    </w:p>
    <w:p w14:paraId="32B679B7" w14:textId="77777777" w:rsidR="0068200F" w:rsidRPr="000541FC" w:rsidRDefault="0068200F" w:rsidP="0068200F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Imūnās sistēmas traucējumi</w:t>
      </w:r>
    </w:p>
    <w:p w14:paraId="1D683314" w14:textId="77777777" w:rsidR="0068200F" w:rsidRPr="000541FC" w:rsidRDefault="0068200F" w:rsidP="0068200F">
      <w:pPr>
        <w:jc w:val="both"/>
        <w:rPr>
          <w:lang w:val="lv-LV"/>
        </w:rPr>
      </w:pPr>
      <w:r w:rsidRPr="000541FC">
        <w:rPr>
          <w:lang w:val="lv-LV"/>
        </w:rPr>
        <w:t xml:space="preserve">Nav zināmi: paaugstināta jutība, tai skaitā </w:t>
      </w:r>
      <w:proofErr w:type="spellStart"/>
      <w:r w:rsidRPr="000541FC">
        <w:rPr>
          <w:lang w:val="lv-LV"/>
        </w:rPr>
        <w:t>anafilaktiskas</w:t>
      </w:r>
      <w:proofErr w:type="spellEnd"/>
      <w:r w:rsidRPr="000541FC">
        <w:rPr>
          <w:lang w:val="lv-LV"/>
        </w:rPr>
        <w:t xml:space="preserve"> reakcijas un </w:t>
      </w:r>
      <w:proofErr w:type="spellStart"/>
      <w:r w:rsidRPr="000541FC">
        <w:rPr>
          <w:lang w:val="lv-LV"/>
        </w:rPr>
        <w:t>anafilaktoīdas</w:t>
      </w:r>
      <w:proofErr w:type="spellEnd"/>
      <w:r w:rsidRPr="000541FC">
        <w:rPr>
          <w:lang w:val="lv-LV"/>
        </w:rPr>
        <w:t xml:space="preserve"> reakcijas.</w:t>
      </w:r>
    </w:p>
    <w:p w14:paraId="417C58B0" w14:textId="77777777" w:rsidR="00EF00B2" w:rsidRPr="000541FC" w:rsidRDefault="00EF00B2" w:rsidP="0068200F">
      <w:pPr>
        <w:jc w:val="both"/>
        <w:rPr>
          <w:rFonts w:cs="TimesNewRomanPS-ItalicMT"/>
          <w:lang w:val="lv-LV" w:eastAsia="lv-LV" w:bidi="kn-IN"/>
        </w:rPr>
      </w:pPr>
    </w:p>
    <w:p w14:paraId="5A632A48" w14:textId="77777777" w:rsidR="0068200F" w:rsidRPr="000541FC" w:rsidRDefault="0068200F" w:rsidP="0068200F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Nervu sistēmas traucējumi</w:t>
      </w:r>
    </w:p>
    <w:p w14:paraId="2959FDE6" w14:textId="77777777" w:rsidR="008E7295" w:rsidRPr="000541FC" w:rsidRDefault="008E7295" w:rsidP="008E7295">
      <w:pPr>
        <w:jc w:val="both"/>
        <w:rPr>
          <w:lang w:val="lv-LV"/>
        </w:rPr>
      </w:pPr>
      <w:r w:rsidRPr="000541FC">
        <w:rPr>
          <w:lang w:val="lv-LV"/>
        </w:rPr>
        <w:t>Reti: reibonis;</w:t>
      </w:r>
    </w:p>
    <w:p w14:paraId="7C6E300D" w14:textId="77777777" w:rsidR="008F73EB" w:rsidRPr="000541FC" w:rsidRDefault="008E7295" w:rsidP="00EF00B2">
      <w:pPr>
        <w:jc w:val="both"/>
        <w:rPr>
          <w:lang w:val="lv-LV"/>
        </w:rPr>
      </w:pPr>
      <w:r w:rsidRPr="000541FC">
        <w:rPr>
          <w:lang w:val="lv-LV"/>
        </w:rPr>
        <w:t>Nav zināmi: konvulsijas.</w:t>
      </w:r>
    </w:p>
    <w:p w14:paraId="2A365836" w14:textId="77777777" w:rsidR="006D662F" w:rsidRPr="000541FC" w:rsidRDefault="006D662F" w:rsidP="00EF00B2">
      <w:pPr>
        <w:jc w:val="both"/>
        <w:rPr>
          <w:lang w:val="lv-LV"/>
        </w:rPr>
      </w:pPr>
    </w:p>
    <w:p w14:paraId="01E2E244" w14:textId="77777777" w:rsidR="0068200F" w:rsidRPr="000541FC" w:rsidRDefault="0068200F" w:rsidP="0068200F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Kuņģa-zarnu trakta traucējumi</w:t>
      </w:r>
    </w:p>
    <w:p w14:paraId="780F0B97" w14:textId="77777777" w:rsidR="0068200F" w:rsidRPr="000541FC" w:rsidRDefault="0068200F" w:rsidP="00EF00B2">
      <w:pPr>
        <w:jc w:val="both"/>
        <w:rPr>
          <w:lang w:val="lv-LV"/>
        </w:rPr>
      </w:pPr>
      <w:r w:rsidRPr="000541FC">
        <w:rPr>
          <w:lang w:val="lv-LV"/>
        </w:rPr>
        <w:t xml:space="preserve">Bieži: </w:t>
      </w:r>
      <w:r w:rsidR="00131B01" w:rsidRPr="000541FC">
        <w:rPr>
          <w:lang w:val="lv-LV"/>
        </w:rPr>
        <w:t>vēdersāpes;</w:t>
      </w:r>
    </w:p>
    <w:p w14:paraId="743C853C" w14:textId="77777777" w:rsidR="00131B01" w:rsidRPr="000541FC" w:rsidRDefault="00131B01" w:rsidP="00131B01">
      <w:pPr>
        <w:jc w:val="both"/>
        <w:rPr>
          <w:lang w:val="lv-LV"/>
        </w:rPr>
      </w:pPr>
      <w:r w:rsidRPr="000541FC">
        <w:rPr>
          <w:lang w:val="lv-LV"/>
        </w:rPr>
        <w:t>Retāk: diskomforta sajūta vēderā, caureja, meteorisms.</w:t>
      </w:r>
    </w:p>
    <w:p w14:paraId="50D0366C" w14:textId="77777777" w:rsidR="00131B01" w:rsidRPr="000541FC" w:rsidRDefault="00131B01" w:rsidP="00EF00B2">
      <w:pPr>
        <w:jc w:val="both"/>
        <w:rPr>
          <w:lang w:val="lv-LV"/>
        </w:rPr>
      </w:pPr>
    </w:p>
    <w:p w14:paraId="5EC4AF2A" w14:textId="77777777" w:rsidR="0068200F" w:rsidRPr="000541FC" w:rsidRDefault="0068200F" w:rsidP="0068200F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Aknu un/vai žults izvades sistēmas traucējumi</w:t>
      </w:r>
    </w:p>
    <w:p w14:paraId="3A80C79C" w14:textId="77777777" w:rsidR="0068200F" w:rsidRPr="000541FC" w:rsidRDefault="0068200F" w:rsidP="00EF00B2">
      <w:pPr>
        <w:jc w:val="both"/>
        <w:rPr>
          <w:lang w:val="lv-LV"/>
        </w:rPr>
      </w:pPr>
      <w:r w:rsidRPr="000541FC">
        <w:rPr>
          <w:lang w:val="lv-LV"/>
        </w:rPr>
        <w:t>Nav zināmi: hepatīts, patoloģiski aknu funkcijas testi.</w:t>
      </w:r>
    </w:p>
    <w:p w14:paraId="79766DFB" w14:textId="77777777" w:rsidR="00FC4AB8" w:rsidRPr="000541FC" w:rsidRDefault="00FC4AB8" w:rsidP="00EF00B2">
      <w:pPr>
        <w:jc w:val="both"/>
        <w:rPr>
          <w:lang w:val="lv-LV"/>
        </w:rPr>
      </w:pPr>
    </w:p>
    <w:p w14:paraId="4F662CDF" w14:textId="77777777" w:rsidR="00FC4AB8" w:rsidRPr="000541FC" w:rsidRDefault="00FC4AB8" w:rsidP="00FC4AB8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Ādas un zemādas audu bojājumi</w:t>
      </w:r>
    </w:p>
    <w:p w14:paraId="1DD43610" w14:textId="77777777" w:rsidR="00131B01" w:rsidRPr="000541FC" w:rsidRDefault="00131B01" w:rsidP="00FC4AB8">
      <w:pPr>
        <w:jc w:val="both"/>
        <w:rPr>
          <w:lang w:val="lv-LV"/>
        </w:rPr>
      </w:pPr>
      <w:r w:rsidRPr="000541FC">
        <w:rPr>
          <w:lang w:val="lv-LV"/>
        </w:rPr>
        <w:t>Retāk: izsitumi;</w:t>
      </w:r>
    </w:p>
    <w:p w14:paraId="712ACF7D" w14:textId="77777777" w:rsidR="00FC4AB8" w:rsidRPr="000541FC" w:rsidRDefault="00FC4AB8" w:rsidP="00EF00B2">
      <w:pPr>
        <w:jc w:val="both"/>
        <w:rPr>
          <w:lang w:val="lv-LV"/>
        </w:rPr>
      </w:pPr>
      <w:r w:rsidRPr="000541FC">
        <w:rPr>
          <w:lang w:val="lv-LV"/>
        </w:rPr>
        <w:t xml:space="preserve">Nav zināmi: toksiskā epidermālā </w:t>
      </w:r>
      <w:proofErr w:type="spellStart"/>
      <w:r w:rsidRPr="000541FC">
        <w:rPr>
          <w:lang w:val="lv-LV"/>
        </w:rPr>
        <w:t>nekrolīze</w:t>
      </w:r>
      <w:proofErr w:type="spellEnd"/>
      <w:r w:rsidRPr="000541FC">
        <w:rPr>
          <w:lang w:val="lv-LV"/>
        </w:rPr>
        <w:t xml:space="preserve">, Stīvensa-Džonsona sindroms, </w:t>
      </w:r>
      <w:proofErr w:type="spellStart"/>
      <w:r w:rsidRPr="000541FC">
        <w:rPr>
          <w:lang w:val="lv-LV"/>
        </w:rPr>
        <w:t>eksantēma</w:t>
      </w:r>
      <w:proofErr w:type="spellEnd"/>
      <w:r w:rsidRPr="000541FC">
        <w:rPr>
          <w:lang w:val="lv-LV"/>
        </w:rPr>
        <w:t xml:space="preserve">, </w:t>
      </w:r>
      <w:proofErr w:type="spellStart"/>
      <w:r w:rsidRPr="000541FC">
        <w:rPr>
          <w:lang w:val="lv-LV"/>
        </w:rPr>
        <w:t>angioedēma</w:t>
      </w:r>
      <w:proofErr w:type="spellEnd"/>
      <w:r w:rsidRPr="000541FC">
        <w:rPr>
          <w:lang w:val="lv-LV"/>
        </w:rPr>
        <w:t xml:space="preserve">, nātrene, </w:t>
      </w:r>
      <w:proofErr w:type="spellStart"/>
      <w:r w:rsidRPr="000541FC">
        <w:rPr>
          <w:lang w:val="lv-LV"/>
        </w:rPr>
        <w:t>alopēcija</w:t>
      </w:r>
      <w:proofErr w:type="spellEnd"/>
      <w:r w:rsidRPr="000541FC">
        <w:rPr>
          <w:lang w:val="lv-LV"/>
        </w:rPr>
        <w:t>.</w:t>
      </w:r>
    </w:p>
    <w:p w14:paraId="1266D9C9" w14:textId="77777777" w:rsidR="0068200F" w:rsidRPr="000541FC" w:rsidRDefault="0068200F" w:rsidP="00EF00B2">
      <w:pPr>
        <w:jc w:val="both"/>
        <w:rPr>
          <w:lang w:val="lv-LV"/>
        </w:rPr>
      </w:pPr>
    </w:p>
    <w:p w14:paraId="0EBDB2BD" w14:textId="77777777" w:rsidR="008F73EB" w:rsidRPr="000541FC" w:rsidRDefault="008F73EB" w:rsidP="008F73EB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Ziņošana par iespējamām nevēlamām blakusparādībām</w:t>
      </w:r>
    </w:p>
    <w:p w14:paraId="1E7EB169" w14:textId="77777777" w:rsidR="008F73EB" w:rsidRPr="000541FC" w:rsidRDefault="008F73EB" w:rsidP="008F73EB">
      <w:pPr>
        <w:jc w:val="both"/>
        <w:rPr>
          <w:lang w:val="lv-LV"/>
        </w:rPr>
      </w:pPr>
      <w:r w:rsidRPr="000541FC">
        <w:rPr>
          <w:lang w:val="lv-LV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 15, Rīgā, LV</w:t>
      </w:r>
      <w:r w:rsidRPr="000541FC">
        <w:rPr>
          <w:lang w:val="lv-LV"/>
        </w:rPr>
        <w:noBreakHyphen/>
        <w:t>1003.</w:t>
      </w:r>
      <w:r w:rsidR="000541FC">
        <w:rPr>
          <w:lang w:val="lv-LV"/>
        </w:rPr>
        <w:t xml:space="preserve"> </w:t>
      </w:r>
      <w:r w:rsidRPr="000541FC">
        <w:rPr>
          <w:lang w:val="lv-LV"/>
        </w:rPr>
        <w:t>Tīmekļa vietne: www.zva.gov.lv</w:t>
      </w:r>
    </w:p>
    <w:p w14:paraId="7D68DE2F" w14:textId="77777777" w:rsidR="008F73EB" w:rsidRPr="000541FC" w:rsidRDefault="008F73EB" w:rsidP="008F73EB">
      <w:pPr>
        <w:jc w:val="both"/>
        <w:rPr>
          <w:lang w:val="lv-LV"/>
        </w:rPr>
      </w:pPr>
    </w:p>
    <w:p w14:paraId="3B20B77F" w14:textId="77777777" w:rsidR="00310444" w:rsidRPr="000541FC" w:rsidRDefault="00CE1572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4.9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Pārdozēšana</w:t>
      </w:r>
    </w:p>
    <w:p w14:paraId="712C57E1" w14:textId="77777777" w:rsidR="00CE1572" w:rsidRPr="000541FC" w:rsidRDefault="00CE1572" w:rsidP="00CE1572">
      <w:pPr>
        <w:jc w:val="both"/>
        <w:rPr>
          <w:lang w:val="lv-LV"/>
        </w:rPr>
      </w:pPr>
    </w:p>
    <w:p w14:paraId="4D343D49" w14:textId="77777777" w:rsidR="00370C4A" w:rsidRPr="000541FC" w:rsidRDefault="00370C4A" w:rsidP="00370C4A">
      <w:pPr>
        <w:jc w:val="both"/>
        <w:rPr>
          <w:iCs/>
          <w:lang w:val="lv-LV"/>
        </w:rPr>
      </w:pPr>
      <w:r w:rsidRPr="000541FC">
        <w:rPr>
          <w:iCs/>
          <w:lang w:val="lv-LV"/>
        </w:rPr>
        <w:t xml:space="preserve">Pacientiem, kuri ārstēti ar devām, kas lielākas par ieteicamām devām vai lietojuši ilgstoši, retos gadījumos ir ziņots par sekojošām blakusparādībām: </w:t>
      </w:r>
      <w:proofErr w:type="spellStart"/>
      <w:r w:rsidRPr="000541FC">
        <w:rPr>
          <w:iCs/>
          <w:lang w:val="lv-LV"/>
        </w:rPr>
        <w:t>alopēciju</w:t>
      </w:r>
      <w:proofErr w:type="spellEnd"/>
      <w:r w:rsidRPr="000541FC">
        <w:rPr>
          <w:iCs/>
          <w:lang w:val="lv-LV"/>
        </w:rPr>
        <w:t xml:space="preserve">, atgriezeniskiem aknu funkciju traucējumiem, hepatītu, </w:t>
      </w:r>
      <w:proofErr w:type="spellStart"/>
      <w:r w:rsidRPr="000541FC">
        <w:rPr>
          <w:iCs/>
          <w:lang w:val="lv-LV"/>
        </w:rPr>
        <w:t>agranulocitozi</w:t>
      </w:r>
      <w:proofErr w:type="spellEnd"/>
      <w:r w:rsidRPr="000541FC">
        <w:rPr>
          <w:iCs/>
          <w:lang w:val="lv-LV"/>
        </w:rPr>
        <w:t xml:space="preserve">, </w:t>
      </w:r>
      <w:proofErr w:type="spellStart"/>
      <w:r w:rsidRPr="000541FC">
        <w:rPr>
          <w:iCs/>
          <w:lang w:val="lv-LV"/>
        </w:rPr>
        <w:t>neitropēniju</w:t>
      </w:r>
      <w:proofErr w:type="spellEnd"/>
      <w:r w:rsidRPr="000541FC">
        <w:rPr>
          <w:iCs/>
          <w:lang w:val="lv-LV"/>
        </w:rPr>
        <w:t xml:space="preserve"> un </w:t>
      </w:r>
      <w:proofErr w:type="spellStart"/>
      <w:r w:rsidRPr="000541FC">
        <w:rPr>
          <w:iCs/>
          <w:lang w:val="lv-LV"/>
        </w:rPr>
        <w:t>glomerulonefrītu</w:t>
      </w:r>
      <w:proofErr w:type="spellEnd"/>
      <w:r w:rsidRPr="000541FC">
        <w:rPr>
          <w:iCs/>
          <w:lang w:val="lv-LV"/>
        </w:rPr>
        <w:t xml:space="preserve">. Izņemot </w:t>
      </w:r>
      <w:proofErr w:type="spellStart"/>
      <w:r w:rsidRPr="000541FC">
        <w:rPr>
          <w:iCs/>
          <w:lang w:val="lv-LV"/>
        </w:rPr>
        <w:t>agranulocitozi</w:t>
      </w:r>
      <w:proofErr w:type="spellEnd"/>
      <w:r w:rsidRPr="000541FC">
        <w:rPr>
          <w:iCs/>
          <w:lang w:val="lv-LV"/>
        </w:rPr>
        <w:t xml:space="preserve"> un </w:t>
      </w:r>
      <w:proofErr w:type="spellStart"/>
      <w:r w:rsidRPr="000541FC">
        <w:rPr>
          <w:iCs/>
          <w:lang w:val="lv-LV"/>
        </w:rPr>
        <w:t>glomerulonefrītu</w:t>
      </w:r>
      <w:proofErr w:type="spellEnd"/>
      <w:r w:rsidRPr="000541FC">
        <w:rPr>
          <w:iCs/>
          <w:lang w:val="lv-LV"/>
        </w:rPr>
        <w:t xml:space="preserve">, tās ir arī ziņotas pacientiem, kuri bija lietojuši </w:t>
      </w:r>
      <w:proofErr w:type="spellStart"/>
      <w:r w:rsidRPr="000541FC">
        <w:rPr>
          <w:iCs/>
          <w:lang w:val="lv-LV"/>
        </w:rPr>
        <w:t>mebendazolu</w:t>
      </w:r>
      <w:proofErr w:type="spellEnd"/>
      <w:r w:rsidRPr="000541FC">
        <w:rPr>
          <w:iCs/>
          <w:lang w:val="lv-LV"/>
        </w:rPr>
        <w:t xml:space="preserve"> </w:t>
      </w:r>
      <w:proofErr w:type="spellStart"/>
      <w:r w:rsidRPr="000541FC">
        <w:rPr>
          <w:iCs/>
          <w:lang w:val="lv-LV"/>
        </w:rPr>
        <w:t>standartdevās</w:t>
      </w:r>
      <w:proofErr w:type="spellEnd"/>
      <w:r w:rsidRPr="000541FC">
        <w:rPr>
          <w:iCs/>
          <w:lang w:val="lv-LV"/>
        </w:rPr>
        <w:t xml:space="preserve">. </w:t>
      </w:r>
    </w:p>
    <w:p w14:paraId="681FFEBF" w14:textId="77777777" w:rsidR="00370C4A" w:rsidRPr="000541FC" w:rsidRDefault="00370C4A" w:rsidP="00370C4A">
      <w:pPr>
        <w:jc w:val="both"/>
        <w:rPr>
          <w:i/>
          <w:iCs/>
          <w:lang w:val="lv-LV"/>
        </w:rPr>
      </w:pPr>
    </w:p>
    <w:p w14:paraId="2E7CCE70" w14:textId="77777777" w:rsidR="00370C4A" w:rsidRPr="000541FC" w:rsidRDefault="00370C4A" w:rsidP="00370C4A">
      <w:pPr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 xml:space="preserve">Simptomi </w:t>
      </w:r>
    </w:p>
    <w:p w14:paraId="05086B7E" w14:textId="77777777" w:rsidR="00370C4A" w:rsidRPr="000541FC" w:rsidRDefault="00370C4A" w:rsidP="00370C4A">
      <w:pPr>
        <w:jc w:val="both"/>
        <w:rPr>
          <w:lang w:val="lv-LV"/>
        </w:rPr>
      </w:pPr>
      <w:r w:rsidRPr="000541FC">
        <w:rPr>
          <w:lang w:val="lv-LV"/>
        </w:rPr>
        <w:t xml:space="preserve">Nejaušas pārdozēšanas gadījumā var rasties vēdergraizes, slikta dūša, vemšana un caureja. </w:t>
      </w:r>
    </w:p>
    <w:p w14:paraId="2F107B38" w14:textId="77777777" w:rsidR="00370C4A" w:rsidRPr="000541FC" w:rsidRDefault="00370C4A" w:rsidP="00370C4A">
      <w:pPr>
        <w:jc w:val="both"/>
        <w:rPr>
          <w:i/>
          <w:iCs/>
          <w:lang w:val="lv-LV"/>
        </w:rPr>
      </w:pPr>
    </w:p>
    <w:p w14:paraId="2653E0E5" w14:textId="77777777" w:rsidR="00370C4A" w:rsidRPr="000541FC" w:rsidRDefault="00370C4A" w:rsidP="00370C4A">
      <w:pPr>
        <w:jc w:val="both"/>
        <w:rPr>
          <w:i/>
          <w:iCs/>
          <w:lang w:val="lv-LV"/>
        </w:rPr>
      </w:pPr>
      <w:r w:rsidRPr="000541FC">
        <w:rPr>
          <w:i/>
          <w:iCs/>
          <w:lang w:val="lv-LV"/>
        </w:rPr>
        <w:t>Ārstēšana</w:t>
      </w:r>
    </w:p>
    <w:p w14:paraId="7AE78AF4" w14:textId="77777777" w:rsidR="00370C4A" w:rsidRPr="000541FC" w:rsidRDefault="00370C4A" w:rsidP="00370C4A">
      <w:pPr>
        <w:jc w:val="both"/>
        <w:rPr>
          <w:lang w:val="lv-LV"/>
        </w:rPr>
      </w:pPr>
      <w:r w:rsidRPr="000541FC">
        <w:rPr>
          <w:lang w:val="lv-LV"/>
        </w:rPr>
        <w:t xml:space="preserve">Nav specifiska </w:t>
      </w:r>
      <w:proofErr w:type="spellStart"/>
      <w:r w:rsidRPr="000541FC">
        <w:rPr>
          <w:lang w:val="lv-LV"/>
        </w:rPr>
        <w:t>antidota</w:t>
      </w:r>
      <w:proofErr w:type="spellEnd"/>
      <w:r w:rsidRPr="000541FC">
        <w:rPr>
          <w:lang w:val="lv-LV"/>
        </w:rPr>
        <w:t xml:space="preserve">. Pirmās stundas laikā pēc norīšanas var veikt kuņģa skalošanu. Ja nepieciešams, var ordinēt aktivētu ogli. </w:t>
      </w:r>
    </w:p>
    <w:p w14:paraId="1FCAA3B6" w14:textId="77777777" w:rsidR="00370C4A" w:rsidRPr="000541FC" w:rsidRDefault="00370C4A" w:rsidP="00CE1572">
      <w:pPr>
        <w:jc w:val="both"/>
        <w:rPr>
          <w:lang w:val="lv-LV"/>
        </w:rPr>
      </w:pPr>
    </w:p>
    <w:p w14:paraId="3BF73457" w14:textId="77777777" w:rsidR="00310444" w:rsidRPr="000541FC" w:rsidRDefault="00310444" w:rsidP="00CE1572">
      <w:pPr>
        <w:jc w:val="both"/>
        <w:rPr>
          <w:lang w:val="lv-LV"/>
        </w:rPr>
      </w:pPr>
    </w:p>
    <w:p w14:paraId="159FC26D" w14:textId="77777777" w:rsidR="00310444" w:rsidRPr="000541FC" w:rsidRDefault="00CE1572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5.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FARMAKOLOĢISKĀS ĪPAŠĪBAS</w:t>
      </w:r>
    </w:p>
    <w:p w14:paraId="2CF29AC1" w14:textId="77777777" w:rsidR="00310444" w:rsidRPr="000541FC" w:rsidRDefault="00310444" w:rsidP="00CE1572">
      <w:pPr>
        <w:jc w:val="both"/>
        <w:rPr>
          <w:lang w:val="lv-LV"/>
        </w:rPr>
      </w:pPr>
    </w:p>
    <w:p w14:paraId="722798B4" w14:textId="77777777" w:rsidR="00310444" w:rsidRPr="000541FC" w:rsidRDefault="00CE1572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5.1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 xml:space="preserve">Farmakodinamiskās īpašības </w:t>
      </w:r>
    </w:p>
    <w:p w14:paraId="741A333D" w14:textId="77777777" w:rsidR="00CE1572" w:rsidRPr="000541FC" w:rsidRDefault="00CE1572" w:rsidP="00CE1572">
      <w:pPr>
        <w:jc w:val="both"/>
        <w:rPr>
          <w:lang w:val="lv-LV"/>
        </w:rPr>
      </w:pPr>
    </w:p>
    <w:p w14:paraId="2C2CA31F" w14:textId="77777777" w:rsidR="00310444" w:rsidRPr="000541FC" w:rsidRDefault="00310444" w:rsidP="00CE1572">
      <w:pPr>
        <w:jc w:val="both"/>
        <w:rPr>
          <w:lang w:val="lv-LV"/>
        </w:rPr>
      </w:pPr>
      <w:proofErr w:type="spellStart"/>
      <w:r w:rsidRPr="000541FC">
        <w:rPr>
          <w:lang w:val="lv-LV"/>
        </w:rPr>
        <w:t>Farmakoterapeitiskā</w:t>
      </w:r>
      <w:proofErr w:type="spellEnd"/>
      <w:r w:rsidRPr="000541FC">
        <w:rPr>
          <w:lang w:val="lv-LV"/>
        </w:rPr>
        <w:t xml:space="preserve"> grupa: </w:t>
      </w:r>
      <w:proofErr w:type="spellStart"/>
      <w:r w:rsidR="000644A9" w:rsidRPr="000541FC">
        <w:rPr>
          <w:lang w:val="lv-LV"/>
        </w:rPr>
        <w:t>pretnematožu</w:t>
      </w:r>
      <w:proofErr w:type="spellEnd"/>
      <w:r w:rsidR="000644A9" w:rsidRPr="000541FC">
        <w:rPr>
          <w:lang w:val="lv-LV"/>
        </w:rPr>
        <w:t xml:space="preserve"> līdzekļi, </w:t>
      </w:r>
      <w:proofErr w:type="spellStart"/>
      <w:r w:rsidR="00D66208" w:rsidRPr="000541FC">
        <w:rPr>
          <w:lang w:val="lv-LV"/>
        </w:rPr>
        <w:t>benzimidazola</w:t>
      </w:r>
      <w:proofErr w:type="spellEnd"/>
      <w:r w:rsidR="00D66208" w:rsidRPr="000541FC">
        <w:rPr>
          <w:lang w:val="lv-LV"/>
        </w:rPr>
        <w:t xml:space="preserve"> atvasinājum</w:t>
      </w:r>
      <w:r w:rsidR="000644A9" w:rsidRPr="000541FC">
        <w:rPr>
          <w:lang w:val="lv-LV"/>
        </w:rPr>
        <w:t>i</w:t>
      </w:r>
      <w:r w:rsidR="009E29AA" w:rsidRPr="000541FC">
        <w:rPr>
          <w:lang w:val="lv-LV"/>
        </w:rPr>
        <w:t>,</w:t>
      </w:r>
      <w:r w:rsidR="00D66208" w:rsidRPr="000541FC">
        <w:rPr>
          <w:lang w:val="lv-LV"/>
        </w:rPr>
        <w:t xml:space="preserve"> </w:t>
      </w:r>
      <w:r w:rsidR="00CE1572" w:rsidRPr="000541FC">
        <w:rPr>
          <w:lang w:val="lv-LV"/>
        </w:rPr>
        <w:t xml:space="preserve">ATĶ kods: </w:t>
      </w:r>
      <w:r w:rsidR="000C0C21" w:rsidRPr="000541FC">
        <w:rPr>
          <w:lang w:val="lv-LV"/>
        </w:rPr>
        <w:t>P02C</w:t>
      </w:r>
      <w:r w:rsidRPr="000541FC">
        <w:rPr>
          <w:lang w:val="lv-LV"/>
        </w:rPr>
        <w:t>A01</w:t>
      </w:r>
    </w:p>
    <w:p w14:paraId="477AAEC2" w14:textId="77777777" w:rsidR="00F07675" w:rsidRPr="000541FC" w:rsidRDefault="00F07675" w:rsidP="00CE1572">
      <w:pPr>
        <w:jc w:val="both"/>
        <w:rPr>
          <w:lang w:val="lv-LV"/>
        </w:rPr>
      </w:pPr>
    </w:p>
    <w:p w14:paraId="488F21CA" w14:textId="77777777" w:rsidR="006D1A98" w:rsidRPr="000541FC" w:rsidRDefault="006D1A98" w:rsidP="006D1A98">
      <w:pPr>
        <w:jc w:val="both"/>
        <w:rPr>
          <w:spacing w:val="-4"/>
          <w:lang w:val="lv-LV"/>
        </w:rPr>
      </w:pPr>
      <w:r w:rsidRPr="000541FC">
        <w:rPr>
          <w:spacing w:val="-4"/>
          <w:lang w:val="lv-LV"/>
        </w:rPr>
        <w:t>Terapei</w:t>
      </w:r>
      <w:r w:rsidR="005077A3" w:rsidRPr="000541FC">
        <w:rPr>
          <w:spacing w:val="-4"/>
          <w:lang w:val="lv-LV"/>
        </w:rPr>
        <w:t>tiskās indikācijās (skatīt 4.1. </w:t>
      </w:r>
      <w:r w:rsidRPr="000541FC">
        <w:rPr>
          <w:spacing w:val="-4"/>
          <w:lang w:val="lv-LV"/>
        </w:rPr>
        <w:t xml:space="preserve">apakšpunktu), </w:t>
      </w:r>
      <w:proofErr w:type="spellStart"/>
      <w:r w:rsidRPr="000541FC">
        <w:rPr>
          <w:spacing w:val="-4"/>
          <w:lang w:val="lv-LV"/>
        </w:rPr>
        <w:t>mebendazols</w:t>
      </w:r>
      <w:proofErr w:type="spellEnd"/>
      <w:r w:rsidRPr="000541FC">
        <w:rPr>
          <w:spacing w:val="-4"/>
          <w:lang w:val="lv-LV"/>
        </w:rPr>
        <w:t xml:space="preserve"> darbojas vietēji zarnu </w:t>
      </w:r>
      <w:proofErr w:type="spellStart"/>
      <w:r w:rsidRPr="000541FC">
        <w:rPr>
          <w:spacing w:val="-4"/>
          <w:lang w:val="lv-LV"/>
        </w:rPr>
        <w:t>lūmenā</w:t>
      </w:r>
      <w:proofErr w:type="spellEnd"/>
      <w:r w:rsidRPr="000541FC">
        <w:rPr>
          <w:spacing w:val="-4"/>
          <w:lang w:val="lv-LV"/>
        </w:rPr>
        <w:t xml:space="preserve">, traucējot šūnu </w:t>
      </w:r>
      <w:proofErr w:type="spellStart"/>
      <w:r w:rsidRPr="000541FC">
        <w:rPr>
          <w:spacing w:val="-4"/>
          <w:lang w:val="lv-LV"/>
        </w:rPr>
        <w:t>turbulīna</w:t>
      </w:r>
      <w:proofErr w:type="spellEnd"/>
      <w:r w:rsidRPr="000541FC">
        <w:rPr>
          <w:spacing w:val="-4"/>
          <w:lang w:val="lv-LV"/>
        </w:rPr>
        <w:t xml:space="preserve"> veidošanos tārpa zarnās. </w:t>
      </w:r>
      <w:proofErr w:type="spellStart"/>
      <w:r w:rsidRPr="000541FC">
        <w:rPr>
          <w:spacing w:val="-4"/>
          <w:lang w:val="lv-LV"/>
        </w:rPr>
        <w:t>Mebendazols</w:t>
      </w:r>
      <w:proofErr w:type="spellEnd"/>
      <w:r w:rsidRPr="000541FC">
        <w:rPr>
          <w:spacing w:val="-4"/>
          <w:lang w:val="lv-LV"/>
        </w:rPr>
        <w:t xml:space="preserve"> saistās specifiski ar </w:t>
      </w:r>
      <w:proofErr w:type="spellStart"/>
      <w:r w:rsidRPr="000541FC">
        <w:rPr>
          <w:spacing w:val="-4"/>
          <w:lang w:val="lv-LV"/>
        </w:rPr>
        <w:t>turbulīnu</w:t>
      </w:r>
      <w:proofErr w:type="spellEnd"/>
      <w:r w:rsidRPr="000541FC">
        <w:rPr>
          <w:spacing w:val="-4"/>
          <w:lang w:val="lv-LV"/>
        </w:rPr>
        <w:t xml:space="preserve"> un izraisa </w:t>
      </w:r>
      <w:proofErr w:type="spellStart"/>
      <w:r w:rsidRPr="000541FC">
        <w:rPr>
          <w:spacing w:val="-4"/>
          <w:lang w:val="lv-LV"/>
        </w:rPr>
        <w:t>ultrastrukturālas</w:t>
      </w:r>
      <w:proofErr w:type="spellEnd"/>
      <w:r w:rsidRPr="000541FC">
        <w:rPr>
          <w:spacing w:val="-4"/>
          <w:lang w:val="lv-LV"/>
        </w:rPr>
        <w:t xml:space="preserve"> </w:t>
      </w:r>
      <w:proofErr w:type="spellStart"/>
      <w:r w:rsidRPr="000541FC">
        <w:rPr>
          <w:spacing w:val="-4"/>
          <w:lang w:val="lv-LV"/>
        </w:rPr>
        <w:t>deģeneratīvas</w:t>
      </w:r>
      <w:proofErr w:type="spellEnd"/>
      <w:r w:rsidRPr="000541FC">
        <w:rPr>
          <w:spacing w:val="-4"/>
          <w:lang w:val="lv-LV"/>
        </w:rPr>
        <w:t xml:space="preserve"> izmaiņas zarnās. Tā rezultātā, glikozes uzņemšana un tārpa gremošanas funkcija ir pārtraukta tādā mērā, ka sākas </w:t>
      </w:r>
      <w:proofErr w:type="spellStart"/>
      <w:r w:rsidRPr="000541FC">
        <w:rPr>
          <w:spacing w:val="-4"/>
          <w:lang w:val="lv-LV"/>
        </w:rPr>
        <w:t>autolītisks</w:t>
      </w:r>
      <w:proofErr w:type="spellEnd"/>
      <w:r w:rsidRPr="000541FC">
        <w:rPr>
          <w:spacing w:val="-4"/>
          <w:lang w:val="lv-LV"/>
        </w:rPr>
        <w:t xml:space="preserve"> process. </w:t>
      </w:r>
    </w:p>
    <w:p w14:paraId="36103001" w14:textId="77777777" w:rsidR="006D1A98" w:rsidRPr="000541FC" w:rsidRDefault="006D1A98" w:rsidP="006D1A98">
      <w:pPr>
        <w:jc w:val="both"/>
        <w:rPr>
          <w:spacing w:val="-4"/>
          <w:lang w:val="lv-LV"/>
        </w:rPr>
      </w:pPr>
      <w:r w:rsidRPr="000541FC">
        <w:rPr>
          <w:spacing w:val="-4"/>
          <w:lang w:val="lv-LV"/>
        </w:rPr>
        <w:t xml:space="preserve">Nav pierādījumu, ka </w:t>
      </w:r>
      <w:proofErr w:type="spellStart"/>
      <w:r w:rsidRPr="000541FC">
        <w:rPr>
          <w:spacing w:val="-4"/>
          <w:lang w:val="lv-LV"/>
        </w:rPr>
        <w:t>mebendazols</w:t>
      </w:r>
      <w:proofErr w:type="spellEnd"/>
      <w:r w:rsidRPr="000541FC">
        <w:rPr>
          <w:spacing w:val="-4"/>
          <w:lang w:val="lv-LV"/>
        </w:rPr>
        <w:t xml:space="preserve"> ir efektīvs </w:t>
      </w:r>
      <w:proofErr w:type="spellStart"/>
      <w:r w:rsidRPr="000541FC">
        <w:rPr>
          <w:spacing w:val="-4"/>
          <w:lang w:val="lv-LV"/>
        </w:rPr>
        <w:t>cisticerkozes</w:t>
      </w:r>
      <w:proofErr w:type="spellEnd"/>
      <w:r w:rsidRPr="000541FC">
        <w:rPr>
          <w:spacing w:val="-4"/>
          <w:lang w:val="lv-LV"/>
        </w:rPr>
        <w:t xml:space="preserve"> ārstēšanā. </w:t>
      </w:r>
    </w:p>
    <w:p w14:paraId="260E663D" w14:textId="77777777" w:rsidR="000541FC" w:rsidRDefault="000541FC" w:rsidP="00CE1572">
      <w:pPr>
        <w:jc w:val="both"/>
        <w:rPr>
          <w:b/>
          <w:lang w:val="lv-LV"/>
        </w:rPr>
      </w:pPr>
    </w:p>
    <w:p w14:paraId="1174FDC4" w14:textId="77777777" w:rsidR="00310444" w:rsidRPr="000541FC" w:rsidRDefault="00CA70B1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5.2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proofErr w:type="spellStart"/>
      <w:r w:rsidR="00310444" w:rsidRPr="000541FC">
        <w:rPr>
          <w:b/>
          <w:lang w:val="lv-LV"/>
        </w:rPr>
        <w:t>Farmakokinēti</w:t>
      </w:r>
      <w:r w:rsidR="009A1FB0" w:rsidRPr="000541FC">
        <w:rPr>
          <w:b/>
          <w:lang w:val="lv-LV"/>
        </w:rPr>
        <w:t>s</w:t>
      </w:r>
      <w:r w:rsidR="00310444" w:rsidRPr="000541FC">
        <w:rPr>
          <w:b/>
          <w:lang w:val="lv-LV"/>
        </w:rPr>
        <w:t>kās</w:t>
      </w:r>
      <w:proofErr w:type="spellEnd"/>
      <w:r w:rsidR="00310444" w:rsidRPr="000541FC">
        <w:rPr>
          <w:b/>
          <w:lang w:val="lv-LV"/>
        </w:rPr>
        <w:t xml:space="preserve"> īpašības</w:t>
      </w:r>
    </w:p>
    <w:p w14:paraId="5038063E" w14:textId="77777777" w:rsidR="006D1A98" w:rsidRPr="000541FC" w:rsidRDefault="006D1A98" w:rsidP="00CE1572">
      <w:pPr>
        <w:jc w:val="both"/>
        <w:rPr>
          <w:lang w:val="lv-LV"/>
        </w:rPr>
      </w:pPr>
    </w:p>
    <w:p w14:paraId="105461A7" w14:textId="77777777" w:rsidR="00675BB5" w:rsidRPr="000541FC" w:rsidRDefault="00675BB5" w:rsidP="00675BB5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Uzsūkšanās</w:t>
      </w:r>
    </w:p>
    <w:p w14:paraId="1032F114" w14:textId="77777777" w:rsidR="00675BB5" w:rsidRPr="000541FC" w:rsidRDefault="00675BB5" w:rsidP="00675BB5">
      <w:pPr>
        <w:jc w:val="both"/>
        <w:rPr>
          <w:lang w:val="lv-LV"/>
        </w:rPr>
      </w:pPr>
      <w:r w:rsidRPr="000541FC">
        <w:rPr>
          <w:lang w:val="lv-LV"/>
        </w:rPr>
        <w:t>Pēc perorālas lietošanas, apmēram 20</w:t>
      </w:r>
      <w:r w:rsidR="001741DA" w:rsidRPr="000541FC">
        <w:rPr>
          <w:lang w:val="lv-LV"/>
        </w:rPr>
        <w:t> </w:t>
      </w:r>
      <w:r w:rsidRPr="000541FC">
        <w:rPr>
          <w:lang w:val="lv-LV"/>
        </w:rPr>
        <w:t>% devas sasniedz sistēmisko cirkulāciju, sakarā ar nepilno uzsūkšanos un plašo presistēmisko metabolismu (pirmā loka metabolisma efekts). Maksimālo k</w:t>
      </w:r>
      <w:r w:rsidR="00CA4506" w:rsidRPr="000541FC">
        <w:rPr>
          <w:lang w:val="lv-LV"/>
        </w:rPr>
        <w:t>oncentrāciju parasti novēroja 2-</w:t>
      </w:r>
      <w:r w:rsidR="00326735" w:rsidRPr="000541FC">
        <w:rPr>
          <w:lang w:val="lv-LV"/>
        </w:rPr>
        <w:t>4 </w:t>
      </w:r>
      <w:r w:rsidRPr="000541FC">
        <w:rPr>
          <w:lang w:val="lv-LV"/>
        </w:rPr>
        <w:t xml:space="preserve">stundas pēc lietošanas. Lietojot kopā ar treknu maltīti, izraisa 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biopieejamības</w:t>
      </w:r>
      <w:proofErr w:type="spellEnd"/>
      <w:r w:rsidRPr="000541FC">
        <w:rPr>
          <w:lang w:val="lv-LV"/>
        </w:rPr>
        <w:t xml:space="preserve"> nelielu pieaugumu.</w:t>
      </w:r>
    </w:p>
    <w:p w14:paraId="0D574298" w14:textId="77777777" w:rsidR="00675BB5" w:rsidRPr="000541FC" w:rsidRDefault="00675BB5" w:rsidP="00675BB5">
      <w:pPr>
        <w:jc w:val="both"/>
        <w:rPr>
          <w:lang w:val="lv-LV"/>
        </w:rPr>
      </w:pPr>
    </w:p>
    <w:p w14:paraId="67A268C7" w14:textId="77777777" w:rsidR="00675BB5" w:rsidRPr="000541FC" w:rsidRDefault="00675BB5" w:rsidP="00675BB5">
      <w:pPr>
        <w:jc w:val="both"/>
        <w:rPr>
          <w:lang w:val="lv-LV"/>
        </w:rPr>
      </w:pPr>
      <w:r w:rsidRPr="000541FC">
        <w:rPr>
          <w:u w:val="single"/>
          <w:lang w:val="lv-LV"/>
        </w:rPr>
        <w:lastRenderedPageBreak/>
        <w:t>Izkliede</w:t>
      </w:r>
    </w:p>
    <w:p w14:paraId="5C9A96E6" w14:textId="77777777" w:rsidR="00675BB5" w:rsidRPr="000541FC" w:rsidRDefault="00675BB5" w:rsidP="00675BB5">
      <w:pPr>
        <w:jc w:val="both"/>
        <w:rPr>
          <w:lang w:val="lv-LV"/>
        </w:rPr>
      </w:pPr>
      <w:r w:rsidRPr="000541FC">
        <w:rPr>
          <w:lang w:val="lv-LV"/>
        </w:rPr>
        <w:t>Mebendazola saistīšanās ar plazmas olbaltumvielām ir 90</w:t>
      </w:r>
      <w:r w:rsidR="00CA4506" w:rsidRPr="000541FC">
        <w:rPr>
          <w:lang w:val="lv-LV"/>
        </w:rPr>
        <w:t>-</w:t>
      </w:r>
      <w:r w:rsidRPr="000541FC">
        <w:rPr>
          <w:lang w:val="lv-LV"/>
        </w:rPr>
        <w:t>95</w:t>
      </w:r>
      <w:r w:rsidR="00982049" w:rsidRPr="000541FC">
        <w:rPr>
          <w:lang w:val="lv-LV"/>
        </w:rPr>
        <w:t> </w:t>
      </w:r>
      <w:r w:rsidRPr="000541FC">
        <w:rPr>
          <w:lang w:val="lv-LV"/>
        </w:rPr>
        <w:t>%</w:t>
      </w:r>
      <w:r w:rsidR="00982049" w:rsidRPr="000541FC">
        <w:rPr>
          <w:lang w:val="lv-LV"/>
        </w:rPr>
        <w:t>. Izkliedes tilpums ir 1 līdz 2 </w:t>
      </w:r>
      <w:r w:rsidRPr="000541FC">
        <w:rPr>
          <w:lang w:val="lv-LV"/>
        </w:rPr>
        <w:t xml:space="preserve">l/kg, kas norāda, ka </w:t>
      </w: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penetrē</w:t>
      </w:r>
      <w:proofErr w:type="spellEnd"/>
      <w:r w:rsidRPr="000541FC">
        <w:rPr>
          <w:lang w:val="lv-LV"/>
        </w:rPr>
        <w:t xml:space="preserve"> vietās ārpus asinsvadiem. To atbalsta dati par pacientiem, kuri hroniski lieto meb</w:t>
      </w:r>
      <w:r w:rsidR="00982049" w:rsidRPr="000541FC">
        <w:rPr>
          <w:lang w:val="lv-LV"/>
        </w:rPr>
        <w:t>endazola terapiju (piemēram, 40 </w:t>
      </w:r>
      <w:r w:rsidR="00CA4506" w:rsidRPr="000541FC">
        <w:rPr>
          <w:lang w:val="lv-LV"/>
        </w:rPr>
        <w:t>mg/kg/dienā 3</w:t>
      </w:r>
      <w:r w:rsidR="00CA4506" w:rsidRPr="000541FC">
        <w:rPr>
          <w:lang w:val="lv-LV"/>
        </w:rPr>
        <w:noBreakHyphen/>
      </w:r>
      <w:r w:rsidR="00982049" w:rsidRPr="000541FC">
        <w:rPr>
          <w:lang w:val="lv-LV"/>
        </w:rPr>
        <w:t>21 </w:t>
      </w:r>
      <w:r w:rsidRPr="000541FC">
        <w:rPr>
          <w:lang w:val="lv-LV"/>
        </w:rPr>
        <w:t xml:space="preserve">mēnešus), kas pierāda zāļu līmeni audos. </w:t>
      </w:r>
    </w:p>
    <w:p w14:paraId="319BD204" w14:textId="77777777" w:rsidR="00675BB5" w:rsidRPr="000541FC" w:rsidRDefault="00675BB5" w:rsidP="00675BB5">
      <w:pPr>
        <w:jc w:val="both"/>
        <w:rPr>
          <w:lang w:val="lv-LV"/>
        </w:rPr>
      </w:pPr>
    </w:p>
    <w:p w14:paraId="41D4C2D6" w14:textId="77777777" w:rsidR="00675BB5" w:rsidRPr="000541FC" w:rsidRDefault="00675BB5" w:rsidP="00675BB5">
      <w:pPr>
        <w:jc w:val="both"/>
        <w:rPr>
          <w:lang w:val="lv-LV"/>
        </w:rPr>
      </w:pPr>
      <w:r w:rsidRPr="000541FC">
        <w:rPr>
          <w:u w:val="single"/>
          <w:lang w:val="lv-LV"/>
        </w:rPr>
        <w:t>Biotransformācija</w:t>
      </w:r>
    </w:p>
    <w:p w14:paraId="1A436E5A" w14:textId="77777777" w:rsidR="00675BB5" w:rsidRPr="000541FC" w:rsidRDefault="00675BB5" w:rsidP="00675BB5">
      <w:pPr>
        <w:jc w:val="both"/>
        <w:rPr>
          <w:lang w:val="lv-LV"/>
        </w:rPr>
      </w:pPr>
      <w:r w:rsidRPr="000541FC">
        <w:rPr>
          <w:lang w:val="lv-LV"/>
        </w:rPr>
        <w:t xml:space="preserve">Perorāli lietots </w:t>
      </w: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 ir plaši </w:t>
      </w:r>
      <w:proofErr w:type="spellStart"/>
      <w:r w:rsidRPr="000541FC">
        <w:rPr>
          <w:lang w:val="lv-LV"/>
        </w:rPr>
        <w:t>metabolizēts</w:t>
      </w:r>
      <w:proofErr w:type="spellEnd"/>
      <w:r w:rsidRPr="000541FC">
        <w:rPr>
          <w:lang w:val="lv-LV"/>
        </w:rPr>
        <w:t xml:space="preserve"> galvenokārt aknās. Tā galveno metabolītu (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amino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hidroksilētās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amino</w:t>
      </w:r>
      <w:proofErr w:type="spellEnd"/>
      <w:r w:rsidRPr="000541FC">
        <w:rPr>
          <w:lang w:val="lv-LV"/>
        </w:rPr>
        <w:t xml:space="preserve"> formas) koncentrācija plazmā ir ievērojami augstāka nekā mebendazola. Aknu funkcijas traucējumi, traucēts metabolisms vai traucēta žults eliminācija var izraisīt paaugstinātu mebendazola līmeni plazmā. </w:t>
      </w:r>
    </w:p>
    <w:p w14:paraId="27ED27AC" w14:textId="77777777" w:rsidR="00675BB5" w:rsidRPr="000541FC" w:rsidRDefault="00675BB5" w:rsidP="00675BB5">
      <w:pPr>
        <w:jc w:val="both"/>
        <w:rPr>
          <w:u w:val="single"/>
          <w:lang w:val="lv-LV"/>
        </w:rPr>
      </w:pPr>
    </w:p>
    <w:p w14:paraId="5017B512" w14:textId="77777777" w:rsidR="00675BB5" w:rsidRPr="000541FC" w:rsidRDefault="00675BB5" w:rsidP="00675BB5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Eliminācija</w:t>
      </w:r>
    </w:p>
    <w:p w14:paraId="388A473C" w14:textId="77777777" w:rsidR="00675BB5" w:rsidRPr="000541FC" w:rsidRDefault="00675BB5" w:rsidP="00675BB5">
      <w:pPr>
        <w:jc w:val="both"/>
        <w:rPr>
          <w:lang w:val="lv-LV"/>
        </w:rPr>
      </w:pP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, </w:t>
      </w:r>
      <w:proofErr w:type="spellStart"/>
      <w:r w:rsidRPr="000541FC">
        <w:rPr>
          <w:lang w:val="lv-LV"/>
        </w:rPr>
        <w:t>mebendazola</w:t>
      </w:r>
      <w:proofErr w:type="spellEnd"/>
      <w:r w:rsidRPr="000541FC">
        <w:rPr>
          <w:lang w:val="lv-LV"/>
        </w:rPr>
        <w:t xml:space="preserve"> konjugētās formas un tā metabolīti, iespējams, kaut kādā pakāpē iziet </w:t>
      </w:r>
      <w:proofErr w:type="spellStart"/>
      <w:r w:rsidRPr="000541FC">
        <w:rPr>
          <w:lang w:val="lv-LV"/>
        </w:rPr>
        <w:t>enteropātisko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recirkulāciju</w:t>
      </w:r>
      <w:proofErr w:type="spellEnd"/>
      <w:r w:rsidRPr="000541FC">
        <w:rPr>
          <w:lang w:val="lv-LV"/>
        </w:rPr>
        <w:t xml:space="preserve"> un tiek i</w:t>
      </w:r>
      <w:r w:rsidR="00E73BAA" w:rsidRPr="000541FC">
        <w:rPr>
          <w:lang w:val="lv-LV"/>
        </w:rPr>
        <w:t xml:space="preserve">zdalīti ar urīnu un žulti. </w:t>
      </w:r>
      <w:r w:rsidRPr="000541FC">
        <w:rPr>
          <w:lang w:val="lv-LV"/>
        </w:rPr>
        <w:t>Vairumam pacientu, pēc perorālas devas, šķietamais eliminācijas pusperiods ir robežās no 3</w:t>
      </w:r>
      <w:r w:rsidR="00CA4506" w:rsidRPr="000541FC">
        <w:rPr>
          <w:lang w:val="lv-LV"/>
        </w:rPr>
        <w:t>-</w:t>
      </w:r>
      <w:r w:rsidR="00553258" w:rsidRPr="000541FC">
        <w:rPr>
          <w:lang w:val="lv-LV"/>
        </w:rPr>
        <w:t>6 </w:t>
      </w:r>
      <w:r w:rsidRPr="000541FC">
        <w:rPr>
          <w:lang w:val="lv-LV"/>
        </w:rPr>
        <w:t>stundām.</w:t>
      </w:r>
    </w:p>
    <w:p w14:paraId="2BDB9E84" w14:textId="77777777" w:rsidR="00675BB5" w:rsidRPr="000541FC" w:rsidRDefault="00675BB5" w:rsidP="00675BB5">
      <w:pPr>
        <w:jc w:val="both"/>
        <w:rPr>
          <w:lang w:val="lv-LV"/>
        </w:rPr>
      </w:pPr>
    </w:p>
    <w:p w14:paraId="235D0000" w14:textId="77777777" w:rsidR="00675BB5" w:rsidRPr="000541FC" w:rsidRDefault="00675BB5" w:rsidP="00675BB5">
      <w:pPr>
        <w:jc w:val="both"/>
        <w:rPr>
          <w:u w:val="single"/>
          <w:lang w:val="lv-LV"/>
        </w:rPr>
      </w:pPr>
      <w:r w:rsidRPr="000541FC">
        <w:rPr>
          <w:u w:val="single"/>
          <w:lang w:val="lv-LV"/>
        </w:rPr>
        <w:t>Linearitāte/nelinearitāte</w:t>
      </w:r>
    </w:p>
    <w:p w14:paraId="41D5D5DE" w14:textId="77777777" w:rsidR="00675BB5" w:rsidRPr="000541FC" w:rsidRDefault="00675BB5" w:rsidP="00675BB5">
      <w:pPr>
        <w:jc w:val="both"/>
        <w:rPr>
          <w:lang w:val="lv-LV"/>
        </w:rPr>
      </w:pPr>
      <w:r w:rsidRPr="000541FC">
        <w:rPr>
          <w:lang w:val="lv-LV"/>
        </w:rPr>
        <w:t>Hroniskas</w:t>
      </w:r>
      <w:r w:rsidR="00982049" w:rsidRPr="000541FC">
        <w:rPr>
          <w:lang w:val="lv-LV"/>
        </w:rPr>
        <w:t xml:space="preserve"> lietošanas laikā (piemēram, 40 </w:t>
      </w:r>
      <w:r w:rsidR="00B426BA" w:rsidRPr="000541FC">
        <w:rPr>
          <w:lang w:val="lv-LV"/>
        </w:rPr>
        <w:t>mg/kg/dienā 3-21 </w:t>
      </w:r>
      <w:r w:rsidRPr="000541FC">
        <w:rPr>
          <w:lang w:val="lv-LV"/>
        </w:rPr>
        <w:t xml:space="preserve">mēnešus) mebendazola un tā galveno metabolītu koncentrācija plazmā palielinās, tādējādi, salīdzinot ar vienreizēju devas lietošanu, iedarbība </w:t>
      </w:r>
      <w:r w:rsidR="00B426BA" w:rsidRPr="000541FC">
        <w:rPr>
          <w:lang w:val="lv-LV"/>
        </w:rPr>
        <w:t>līdzsvara stāvoklī ir apmēram 3 </w:t>
      </w:r>
      <w:r w:rsidRPr="000541FC">
        <w:rPr>
          <w:lang w:val="lv-LV"/>
        </w:rPr>
        <w:t xml:space="preserve">reizes augstāka. </w:t>
      </w:r>
    </w:p>
    <w:p w14:paraId="437A85A2" w14:textId="77777777" w:rsidR="00310444" w:rsidRDefault="00310444" w:rsidP="00CE1572">
      <w:pPr>
        <w:jc w:val="both"/>
        <w:rPr>
          <w:lang w:val="lv-LV"/>
        </w:rPr>
      </w:pPr>
    </w:p>
    <w:p w14:paraId="4E65657A" w14:textId="77777777" w:rsidR="000B0AB1" w:rsidRPr="00633DBA" w:rsidRDefault="000B0AB1" w:rsidP="00CE1572">
      <w:pPr>
        <w:jc w:val="both"/>
        <w:rPr>
          <w:u w:val="single"/>
          <w:lang w:val="lv-LV"/>
        </w:rPr>
      </w:pPr>
      <w:r w:rsidRPr="00633DBA">
        <w:rPr>
          <w:u w:val="single"/>
          <w:lang w:val="lv-LV"/>
        </w:rPr>
        <w:t>Pediatriskā populācija</w:t>
      </w:r>
    </w:p>
    <w:p w14:paraId="22F2DA0E" w14:textId="77777777" w:rsidR="004E27B3" w:rsidRPr="004E27B3" w:rsidRDefault="004E27B3" w:rsidP="004E27B3">
      <w:pPr>
        <w:jc w:val="both"/>
        <w:rPr>
          <w:lang w:val="lv-LV"/>
        </w:rPr>
      </w:pPr>
      <w:r>
        <w:rPr>
          <w:lang w:val="lv-LV"/>
        </w:rPr>
        <w:t>D</w:t>
      </w:r>
      <w:r w:rsidRPr="004E27B3">
        <w:rPr>
          <w:lang w:val="lv-LV"/>
        </w:rPr>
        <w:t xml:space="preserve">ati par mebendazola koncentrāciju plazmā </w:t>
      </w:r>
      <w:r w:rsidR="00C1109C">
        <w:rPr>
          <w:lang w:val="lv-LV"/>
        </w:rPr>
        <w:t>b</w:t>
      </w:r>
      <w:r w:rsidRPr="004E27B3">
        <w:rPr>
          <w:lang w:val="lv-LV"/>
        </w:rPr>
        <w:t xml:space="preserve">ērniem un pusaudžiem </w:t>
      </w:r>
      <w:r w:rsidR="003B7CE5">
        <w:rPr>
          <w:lang w:val="lv-LV"/>
        </w:rPr>
        <w:t xml:space="preserve">vecumā </w:t>
      </w:r>
      <w:r w:rsidRPr="004E27B3">
        <w:rPr>
          <w:lang w:val="lv-LV"/>
        </w:rPr>
        <w:t>no 1 līdz 16 gad</w:t>
      </w:r>
      <w:r w:rsidR="003B7CE5">
        <w:rPr>
          <w:lang w:val="lv-LV"/>
        </w:rPr>
        <w:t xml:space="preserve">iem </w:t>
      </w:r>
      <w:r w:rsidRPr="004E27B3">
        <w:rPr>
          <w:lang w:val="lv-LV"/>
        </w:rPr>
        <w:t xml:space="preserve">ir ierobežoti. Šie dati neliecina par ievērojami lielāku sistēmisko mebendazola iedarbību </w:t>
      </w:r>
      <w:r>
        <w:rPr>
          <w:lang w:val="lv-LV"/>
        </w:rPr>
        <w:t xml:space="preserve">no </w:t>
      </w:r>
      <w:r w:rsidRPr="004E27B3">
        <w:rPr>
          <w:lang w:val="lv-LV"/>
        </w:rPr>
        <w:t>3 līdz 16 gadus veciem cilvēkiem, salīdzinot ar pieaugušajiem.</w:t>
      </w:r>
    </w:p>
    <w:p w14:paraId="59A411AB" w14:textId="77777777" w:rsidR="000B0AB1" w:rsidRDefault="00C1109C" w:rsidP="004E27B3">
      <w:pPr>
        <w:jc w:val="both"/>
        <w:rPr>
          <w:lang w:val="lv-LV"/>
        </w:rPr>
      </w:pPr>
      <w:r>
        <w:rPr>
          <w:lang w:val="lv-LV"/>
        </w:rPr>
        <w:t xml:space="preserve">Personām no 1 līdz </w:t>
      </w:r>
      <w:r w:rsidR="004E27B3" w:rsidRPr="004E27B3">
        <w:rPr>
          <w:lang w:val="lv-LV"/>
        </w:rPr>
        <w:t>3</w:t>
      </w:r>
      <w:r>
        <w:rPr>
          <w:lang w:val="lv-LV"/>
        </w:rPr>
        <w:t xml:space="preserve"> (neieskaitot)</w:t>
      </w:r>
      <w:r w:rsidR="004E27B3" w:rsidRPr="004E27B3">
        <w:rPr>
          <w:lang w:val="lv-LV"/>
        </w:rPr>
        <w:t xml:space="preserve"> gadu vecumam sistēmiskā iedarbība ir augstāka nekā pieaugušajiem, jo </w:t>
      </w:r>
      <w:r>
        <w:rPr>
          <w:lang w:val="lv-LV"/>
        </w:rPr>
        <w:t xml:space="preserve">lielāka ir </w:t>
      </w:r>
      <w:r w:rsidR="004E27B3" w:rsidRPr="004E27B3">
        <w:rPr>
          <w:lang w:val="lv-LV"/>
        </w:rPr>
        <w:t xml:space="preserve">deva </w:t>
      </w:r>
      <w:r>
        <w:rPr>
          <w:lang w:val="lv-LV"/>
        </w:rPr>
        <w:t>mg/</w:t>
      </w:r>
      <w:r w:rsidRPr="004E27B3">
        <w:rPr>
          <w:lang w:val="lv-LV"/>
        </w:rPr>
        <w:t xml:space="preserve">kg </w:t>
      </w:r>
      <w:r w:rsidR="004E27B3" w:rsidRPr="004E27B3">
        <w:rPr>
          <w:lang w:val="lv-LV"/>
        </w:rPr>
        <w:t>salīdzinājumā ar pieaugušajiem.</w:t>
      </w:r>
    </w:p>
    <w:p w14:paraId="0646AB03" w14:textId="77777777" w:rsidR="000B0AB1" w:rsidRPr="000541FC" w:rsidRDefault="000B0AB1" w:rsidP="00CE1572">
      <w:pPr>
        <w:jc w:val="both"/>
        <w:rPr>
          <w:lang w:val="lv-LV"/>
        </w:rPr>
      </w:pPr>
    </w:p>
    <w:p w14:paraId="601B360E" w14:textId="77777777" w:rsidR="00310444" w:rsidRPr="000541FC" w:rsidRDefault="00CA70B1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5.3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proofErr w:type="spellStart"/>
      <w:r w:rsidR="00310444" w:rsidRPr="000541FC">
        <w:rPr>
          <w:b/>
          <w:lang w:val="lv-LV"/>
        </w:rPr>
        <w:t>Preklīniskie</w:t>
      </w:r>
      <w:proofErr w:type="spellEnd"/>
      <w:r w:rsidR="00310444" w:rsidRPr="000541FC">
        <w:rPr>
          <w:b/>
          <w:lang w:val="lv-LV"/>
        </w:rPr>
        <w:t xml:space="preserve"> dati par droš</w:t>
      </w:r>
      <w:r w:rsidR="001C3DEC" w:rsidRPr="000541FC">
        <w:rPr>
          <w:b/>
          <w:lang w:val="lv-LV"/>
        </w:rPr>
        <w:t>umu</w:t>
      </w:r>
    </w:p>
    <w:p w14:paraId="0EF5981F" w14:textId="77777777" w:rsidR="00CA70B1" w:rsidRPr="000541FC" w:rsidRDefault="00CA70B1" w:rsidP="00CE1572">
      <w:pPr>
        <w:jc w:val="both"/>
        <w:rPr>
          <w:lang w:val="lv-LV"/>
        </w:rPr>
      </w:pPr>
    </w:p>
    <w:p w14:paraId="7ED9995A" w14:textId="77777777" w:rsidR="00E73BAA" w:rsidRPr="000541FC" w:rsidRDefault="00675BB5" w:rsidP="00A03E9A">
      <w:pPr>
        <w:jc w:val="both"/>
        <w:rPr>
          <w:lang w:val="lv-LV"/>
        </w:rPr>
      </w:pPr>
      <w:r w:rsidRPr="000541FC">
        <w:rPr>
          <w:lang w:val="lv-LV"/>
        </w:rPr>
        <w:t xml:space="preserve">Vienreizējas devas toksicitātes novērtējums vairākām sugām atklāja, ka </w:t>
      </w:r>
      <w:proofErr w:type="spellStart"/>
      <w:r w:rsidRPr="000541FC">
        <w:rPr>
          <w:lang w:val="lv-LV"/>
        </w:rPr>
        <w:t>mebendazols</w:t>
      </w:r>
      <w:proofErr w:type="spellEnd"/>
      <w:r w:rsidRPr="000541FC">
        <w:rPr>
          <w:lang w:val="lv-LV"/>
        </w:rPr>
        <w:t xml:space="preserve"> bija labi panesams un tam bija liela drošības rezerve. Atkārtotu devu perorāli hroniskas toksicitātes rezultāti žurkā</w:t>
      </w:r>
      <w:r w:rsidR="00982049" w:rsidRPr="000541FC">
        <w:rPr>
          <w:lang w:val="lv-LV"/>
        </w:rPr>
        <w:t>m toksiskās devās robežās no 40 </w:t>
      </w:r>
      <w:r w:rsidRPr="000541FC">
        <w:rPr>
          <w:lang w:val="lv-LV"/>
        </w:rPr>
        <w:t xml:space="preserve">mg/kg un vairāk, pierādīja izmainītu aknu svaru, ar nelielu </w:t>
      </w:r>
      <w:proofErr w:type="spellStart"/>
      <w:r w:rsidRPr="000541FC">
        <w:rPr>
          <w:lang w:val="lv-LV"/>
        </w:rPr>
        <w:t>centrilobulāru</w:t>
      </w:r>
      <w:proofErr w:type="spellEnd"/>
      <w:r w:rsidRPr="000541FC">
        <w:rPr>
          <w:lang w:val="lv-LV"/>
        </w:rPr>
        <w:t xml:space="preserve"> pietūkumu un </w:t>
      </w:r>
      <w:proofErr w:type="spellStart"/>
      <w:r w:rsidRPr="000541FC">
        <w:rPr>
          <w:lang w:val="lv-LV"/>
        </w:rPr>
        <w:t>hepatocelulāru</w:t>
      </w:r>
      <w:proofErr w:type="spellEnd"/>
      <w:r w:rsidRPr="000541FC">
        <w:rPr>
          <w:lang w:val="lv-LV"/>
        </w:rPr>
        <w:t xml:space="preserve"> </w:t>
      </w:r>
      <w:proofErr w:type="spellStart"/>
      <w:r w:rsidRPr="000541FC">
        <w:rPr>
          <w:lang w:val="lv-LV"/>
        </w:rPr>
        <w:t>vakuolizāciju</w:t>
      </w:r>
      <w:proofErr w:type="spellEnd"/>
      <w:r w:rsidRPr="000541FC">
        <w:rPr>
          <w:lang w:val="lv-LV"/>
        </w:rPr>
        <w:t xml:space="preserve">, un izmainītu sēklinieku svaru, ar nelielu </w:t>
      </w:r>
      <w:proofErr w:type="spellStart"/>
      <w:r w:rsidRPr="000541FC">
        <w:rPr>
          <w:lang w:val="lv-LV"/>
        </w:rPr>
        <w:t>tubulāru</w:t>
      </w:r>
      <w:proofErr w:type="spellEnd"/>
      <w:r w:rsidRPr="000541FC">
        <w:rPr>
          <w:lang w:val="lv-LV"/>
        </w:rPr>
        <w:t xml:space="preserve"> deģenerāciju, </w:t>
      </w:r>
      <w:proofErr w:type="spellStart"/>
      <w:r w:rsidRPr="000541FC">
        <w:rPr>
          <w:lang w:val="lv-LV"/>
        </w:rPr>
        <w:t>deskvamāciju</w:t>
      </w:r>
      <w:proofErr w:type="spellEnd"/>
      <w:r w:rsidRPr="000541FC">
        <w:rPr>
          <w:lang w:val="lv-LV"/>
        </w:rPr>
        <w:t xml:space="preserve"> un ievērojamu </w:t>
      </w:r>
      <w:proofErr w:type="spellStart"/>
      <w:r w:rsidRPr="000541FC">
        <w:rPr>
          <w:lang w:val="lv-LV"/>
        </w:rPr>
        <w:t>spermatoģenēzes</w:t>
      </w:r>
      <w:proofErr w:type="spellEnd"/>
      <w:r w:rsidRPr="000541FC">
        <w:rPr>
          <w:lang w:val="lv-LV"/>
        </w:rPr>
        <w:t xml:space="preserve"> aktiv</w:t>
      </w:r>
      <w:r w:rsidR="00A40EE0" w:rsidRPr="000541FC">
        <w:rPr>
          <w:lang w:val="lv-LV"/>
        </w:rPr>
        <w:t xml:space="preserve">itātes </w:t>
      </w:r>
      <w:proofErr w:type="spellStart"/>
      <w:r w:rsidR="00A40EE0" w:rsidRPr="000541FC">
        <w:rPr>
          <w:lang w:val="lv-LV"/>
        </w:rPr>
        <w:t>inhibīciju</w:t>
      </w:r>
      <w:proofErr w:type="spellEnd"/>
      <w:r w:rsidR="00A40EE0" w:rsidRPr="000541FC">
        <w:rPr>
          <w:lang w:val="lv-LV"/>
        </w:rPr>
        <w:t xml:space="preserve">. </w:t>
      </w:r>
      <w:r w:rsidRPr="000541FC">
        <w:rPr>
          <w:lang w:val="lv-LV"/>
        </w:rPr>
        <w:t xml:space="preserve">Pelēm un žurkām netika novērota nekāda kancerogēna iedarbība. </w:t>
      </w:r>
      <w:proofErr w:type="spellStart"/>
      <w:r w:rsidRPr="000541FC">
        <w:rPr>
          <w:i/>
          <w:lang w:val="lv-LV"/>
        </w:rPr>
        <w:t>In</w:t>
      </w:r>
      <w:proofErr w:type="spellEnd"/>
      <w:r w:rsidRPr="000541FC">
        <w:rPr>
          <w:i/>
          <w:lang w:val="lv-LV"/>
        </w:rPr>
        <w:t xml:space="preserve"> </w:t>
      </w:r>
      <w:proofErr w:type="spellStart"/>
      <w:r w:rsidRPr="000541FC">
        <w:rPr>
          <w:i/>
          <w:lang w:val="lv-LV"/>
        </w:rPr>
        <w:t>vitro</w:t>
      </w:r>
      <w:proofErr w:type="spellEnd"/>
      <w:r w:rsidRPr="000541FC">
        <w:rPr>
          <w:lang w:val="lv-LV"/>
        </w:rPr>
        <w:t xml:space="preserve"> gēnu </w:t>
      </w:r>
      <w:proofErr w:type="spellStart"/>
      <w:r w:rsidRPr="000541FC">
        <w:rPr>
          <w:lang w:val="lv-LV"/>
        </w:rPr>
        <w:t>mutagenitātes</w:t>
      </w:r>
      <w:proofErr w:type="spellEnd"/>
      <w:r w:rsidRPr="000541FC">
        <w:rPr>
          <w:lang w:val="lv-LV"/>
        </w:rPr>
        <w:t xml:space="preserve"> pētījumos netika pierādīta mutagēna iedarbība. </w:t>
      </w:r>
      <w:proofErr w:type="spellStart"/>
      <w:r w:rsidRPr="000541FC">
        <w:rPr>
          <w:i/>
          <w:lang w:val="lv-LV"/>
        </w:rPr>
        <w:t>In</w:t>
      </w:r>
      <w:proofErr w:type="spellEnd"/>
      <w:r w:rsidRPr="000541FC">
        <w:rPr>
          <w:i/>
          <w:lang w:val="lv-LV"/>
        </w:rPr>
        <w:t xml:space="preserve"> </w:t>
      </w:r>
      <w:proofErr w:type="spellStart"/>
      <w:r w:rsidRPr="000541FC">
        <w:rPr>
          <w:i/>
          <w:lang w:val="lv-LV"/>
        </w:rPr>
        <w:t>vivo</w:t>
      </w:r>
      <w:proofErr w:type="spellEnd"/>
      <w:r w:rsidRPr="000541FC">
        <w:rPr>
          <w:lang w:val="lv-LV"/>
        </w:rPr>
        <w:t xml:space="preserve"> testi liecināja, ka nav kaitīgas strukturālas hromosomu iedarbības. Mikrokodolu testu rezultāti ir pierādījuši </w:t>
      </w:r>
      <w:proofErr w:type="spellStart"/>
      <w:r w:rsidRPr="000541FC">
        <w:rPr>
          <w:lang w:val="lv-LV"/>
        </w:rPr>
        <w:t>aneigēnisku</w:t>
      </w:r>
      <w:proofErr w:type="spellEnd"/>
      <w:r w:rsidRPr="000541FC">
        <w:rPr>
          <w:lang w:val="lv-LV"/>
        </w:rPr>
        <w:t xml:space="preserve"> iedarbību zīdītāju </w:t>
      </w:r>
      <w:proofErr w:type="spellStart"/>
      <w:r w:rsidRPr="000541FC">
        <w:rPr>
          <w:lang w:val="lv-LV"/>
        </w:rPr>
        <w:t>somatiskās</w:t>
      </w:r>
      <w:proofErr w:type="spellEnd"/>
      <w:r w:rsidRPr="000541FC">
        <w:rPr>
          <w:lang w:val="lv-LV"/>
        </w:rPr>
        <w:t xml:space="preserve"> šūnās, kuru robežvērtība plaz</w:t>
      </w:r>
      <w:r w:rsidR="00982049" w:rsidRPr="000541FC">
        <w:rPr>
          <w:lang w:val="lv-LV"/>
        </w:rPr>
        <w:t>mas koncentrācijā pārsniedz 115 </w:t>
      </w:r>
      <w:proofErr w:type="spellStart"/>
      <w:r w:rsidRPr="000541FC">
        <w:rPr>
          <w:lang w:val="lv-LV"/>
        </w:rPr>
        <w:t>ng</w:t>
      </w:r>
      <w:proofErr w:type="spellEnd"/>
      <w:r w:rsidRPr="000541FC">
        <w:rPr>
          <w:lang w:val="lv-LV"/>
        </w:rPr>
        <w:t>/ml. Mātītei toksiskās devās, grū</w:t>
      </w:r>
      <w:r w:rsidR="00982049" w:rsidRPr="000541FC">
        <w:rPr>
          <w:lang w:val="lv-LV"/>
        </w:rPr>
        <w:t>snām žurkām vienreizēja deva 10 </w:t>
      </w:r>
      <w:r w:rsidRPr="000541FC">
        <w:rPr>
          <w:lang w:val="lv-LV"/>
        </w:rPr>
        <w:t xml:space="preserve">mg/kg un vairāk, ir pierādījusi </w:t>
      </w:r>
      <w:proofErr w:type="spellStart"/>
      <w:r w:rsidRPr="000541FC">
        <w:rPr>
          <w:lang w:val="lv-LV"/>
        </w:rPr>
        <w:t>embriotoksisku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teratogēnu</w:t>
      </w:r>
      <w:proofErr w:type="spellEnd"/>
      <w:r w:rsidRPr="000541FC">
        <w:rPr>
          <w:lang w:val="lv-LV"/>
        </w:rPr>
        <w:t xml:space="preserve"> iedarbību. </w:t>
      </w:r>
      <w:proofErr w:type="spellStart"/>
      <w:r w:rsidRPr="000541FC">
        <w:rPr>
          <w:lang w:val="lv-LV"/>
        </w:rPr>
        <w:t>Teratogēna</w:t>
      </w:r>
      <w:proofErr w:type="spellEnd"/>
      <w:r w:rsidRPr="000541FC">
        <w:rPr>
          <w:lang w:val="lv-LV"/>
        </w:rPr>
        <w:t xml:space="preserve"> un </w:t>
      </w:r>
      <w:proofErr w:type="spellStart"/>
      <w:r w:rsidRPr="000541FC">
        <w:rPr>
          <w:lang w:val="lv-LV"/>
        </w:rPr>
        <w:t>fetotoksiska</w:t>
      </w:r>
      <w:proofErr w:type="spellEnd"/>
      <w:r w:rsidRPr="000541FC">
        <w:rPr>
          <w:lang w:val="lv-LV"/>
        </w:rPr>
        <w:t xml:space="preserve"> iedarbība tika novērota arī pe</w:t>
      </w:r>
      <w:r w:rsidR="00982049" w:rsidRPr="000541FC">
        <w:rPr>
          <w:lang w:val="lv-LV"/>
        </w:rPr>
        <w:t>lēm, mātītei toksiskās devās 10 </w:t>
      </w:r>
      <w:r w:rsidRPr="000541FC">
        <w:rPr>
          <w:lang w:val="lv-LV"/>
        </w:rPr>
        <w:t xml:space="preserve">mg/kg un vairāk. Citām pārbaudītām dzīvnieku sugām kaitīga iedarbība uz vairošanos netika konstatēta. </w:t>
      </w:r>
    </w:p>
    <w:p w14:paraId="7CDD0575" w14:textId="77777777" w:rsidR="00C1109C" w:rsidRDefault="00C1109C" w:rsidP="00A03E9A">
      <w:pPr>
        <w:jc w:val="both"/>
        <w:rPr>
          <w:lang w:val="lv-LV"/>
        </w:rPr>
      </w:pPr>
    </w:p>
    <w:p w14:paraId="46274BC5" w14:textId="77777777" w:rsidR="00C1109C" w:rsidRDefault="00C1109C" w:rsidP="00A03E9A">
      <w:pPr>
        <w:jc w:val="both"/>
        <w:rPr>
          <w:lang w:val="lv-LV"/>
        </w:rPr>
      </w:pPr>
    </w:p>
    <w:p w14:paraId="6C929E8E" w14:textId="77777777" w:rsidR="00310444" w:rsidRPr="000541FC" w:rsidRDefault="00CA70B1" w:rsidP="00A03E9A">
      <w:pPr>
        <w:jc w:val="both"/>
        <w:rPr>
          <w:b/>
          <w:lang w:val="lv-LV"/>
        </w:rPr>
      </w:pPr>
      <w:r w:rsidRPr="000541FC">
        <w:rPr>
          <w:b/>
          <w:lang w:val="lv-LV"/>
        </w:rPr>
        <w:t>6.</w:t>
      </w:r>
      <w:r w:rsidRPr="000541FC">
        <w:rPr>
          <w:b/>
          <w:lang w:val="lv-LV"/>
        </w:rPr>
        <w:tab/>
        <w:t>FARMACEITISKĀ INFORMĀCIJA</w:t>
      </w:r>
    </w:p>
    <w:p w14:paraId="4FD98D32" w14:textId="77777777" w:rsidR="00310444" w:rsidRPr="000541FC" w:rsidRDefault="00310444" w:rsidP="00CE1572">
      <w:pPr>
        <w:jc w:val="both"/>
        <w:rPr>
          <w:lang w:val="lv-LV"/>
        </w:rPr>
      </w:pPr>
    </w:p>
    <w:p w14:paraId="680A884F" w14:textId="77777777" w:rsidR="00CA70B1" w:rsidRPr="000541FC" w:rsidRDefault="00CA70B1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6.1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Palīgvielu saraksts</w:t>
      </w:r>
    </w:p>
    <w:p w14:paraId="771C3409" w14:textId="77777777" w:rsidR="00CA70B1" w:rsidRPr="000541FC" w:rsidRDefault="00CA70B1" w:rsidP="00CE1572">
      <w:pPr>
        <w:jc w:val="both"/>
        <w:rPr>
          <w:lang w:val="lv-LV"/>
        </w:rPr>
      </w:pPr>
    </w:p>
    <w:p w14:paraId="10052858" w14:textId="77777777" w:rsidR="00CA70B1" w:rsidRPr="000541FC" w:rsidRDefault="00CA70B1" w:rsidP="00CE1572">
      <w:pPr>
        <w:jc w:val="both"/>
        <w:rPr>
          <w:lang w:val="lv-LV"/>
        </w:rPr>
      </w:pPr>
      <w:r w:rsidRPr="000541FC">
        <w:rPr>
          <w:lang w:val="lv-LV"/>
        </w:rPr>
        <w:t>Laktozes monohidrāts</w:t>
      </w:r>
    </w:p>
    <w:p w14:paraId="30E9812D" w14:textId="77777777" w:rsidR="00CA70B1" w:rsidRPr="000541FC" w:rsidRDefault="00CA70B1" w:rsidP="00CE1572">
      <w:pPr>
        <w:jc w:val="both"/>
        <w:rPr>
          <w:lang w:val="lv-LV"/>
        </w:rPr>
      </w:pPr>
      <w:r w:rsidRPr="000541FC">
        <w:rPr>
          <w:lang w:val="lv-LV"/>
        </w:rPr>
        <w:t>Kukurūzas ciete</w:t>
      </w:r>
    </w:p>
    <w:p w14:paraId="090D6096" w14:textId="77777777" w:rsidR="00CA70B1" w:rsidRPr="000541FC" w:rsidRDefault="00CA70B1" w:rsidP="00CE1572">
      <w:pPr>
        <w:jc w:val="both"/>
        <w:rPr>
          <w:lang w:val="lv-LV"/>
        </w:rPr>
      </w:pPr>
      <w:proofErr w:type="spellStart"/>
      <w:r w:rsidRPr="000541FC">
        <w:rPr>
          <w:lang w:val="lv-LV"/>
        </w:rPr>
        <w:lastRenderedPageBreak/>
        <w:t>Povidons</w:t>
      </w:r>
      <w:proofErr w:type="spellEnd"/>
      <w:r w:rsidR="000108D4" w:rsidRPr="000541FC">
        <w:rPr>
          <w:lang w:val="lv-LV"/>
        </w:rPr>
        <w:t xml:space="preserve"> K</w:t>
      </w:r>
      <w:r w:rsidR="00BE7EA5" w:rsidRPr="000541FC">
        <w:rPr>
          <w:lang w:val="lv-LV"/>
        </w:rPr>
        <w:t>29/32</w:t>
      </w:r>
    </w:p>
    <w:p w14:paraId="613F07AC" w14:textId="77777777" w:rsidR="00CA70B1" w:rsidRPr="000541FC" w:rsidRDefault="00F5726F" w:rsidP="00CE1572">
      <w:pPr>
        <w:jc w:val="both"/>
        <w:rPr>
          <w:lang w:val="lv-LV"/>
        </w:rPr>
      </w:pPr>
      <w:r w:rsidRPr="000541FC">
        <w:rPr>
          <w:lang w:val="lv-LV"/>
        </w:rPr>
        <w:t>Nātrija c</w:t>
      </w:r>
      <w:r w:rsidR="00310444" w:rsidRPr="000541FC">
        <w:rPr>
          <w:lang w:val="lv-LV"/>
        </w:rPr>
        <w:t xml:space="preserve">ietes </w:t>
      </w:r>
      <w:proofErr w:type="spellStart"/>
      <w:r w:rsidR="00B2751F" w:rsidRPr="000541FC">
        <w:rPr>
          <w:lang w:val="lv-LV"/>
        </w:rPr>
        <w:t>glikolāts</w:t>
      </w:r>
      <w:proofErr w:type="spellEnd"/>
      <w:r w:rsidR="00B2751F" w:rsidRPr="000541FC">
        <w:rPr>
          <w:lang w:val="lv-LV"/>
        </w:rPr>
        <w:t xml:space="preserve"> </w:t>
      </w:r>
      <w:r w:rsidR="00DA5AE0" w:rsidRPr="000541FC">
        <w:rPr>
          <w:lang w:val="lv-LV"/>
        </w:rPr>
        <w:t>A tips</w:t>
      </w:r>
    </w:p>
    <w:p w14:paraId="4A163FA1" w14:textId="77777777" w:rsidR="00CA70B1" w:rsidRPr="000541FC" w:rsidRDefault="00CA70B1" w:rsidP="00CE1572">
      <w:pPr>
        <w:jc w:val="both"/>
        <w:rPr>
          <w:lang w:val="lv-LV"/>
        </w:rPr>
      </w:pPr>
      <w:r w:rsidRPr="000541FC">
        <w:rPr>
          <w:lang w:val="lv-LV"/>
        </w:rPr>
        <w:t>Magnija stearāts</w:t>
      </w:r>
    </w:p>
    <w:p w14:paraId="5293DDC7" w14:textId="77777777" w:rsidR="00310444" w:rsidRPr="000541FC" w:rsidRDefault="00CA70B1" w:rsidP="00CE1572">
      <w:pPr>
        <w:jc w:val="both"/>
        <w:rPr>
          <w:b/>
          <w:lang w:val="lv-LV"/>
        </w:rPr>
      </w:pPr>
      <w:r w:rsidRPr="000541FC">
        <w:rPr>
          <w:lang w:val="lv-LV"/>
        </w:rPr>
        <w:t>Krāsviela saulrieta dzeltenais (E </w:t>
      </w:r>
      <w:r w:rsidR="00310444" w:rsidRPr="000541FC">
        <w:rPr>
          <w:lang w:val="lv-LV"/>
        </w:rPr>
        <w:t>110</w:t>
      </w:r>
      <w:r w:rsidRPr="000541FC">
        <w:rPr>
          <w:lang w:val="lv-LV"/>
        </w:rPr>
        <w:t>)</w:t>
      </w:r>
    </w:p>
    <w:p w14:paraId="0DAFF06A" w14:textId="77777777" w:rsidR="006A730F" w:rsidRPr="000541FC" w:rsidRDefault="006A730F" w:rsidP="00CE1572">
      <w:pPr>
        <w:jc w:val="both"/>
        <w:rPr>
          <w:b/>
          <w:lang w:val="lv-LV"/>
        </w:rPr>
      </w:pPr>
    </w:p>
    <w:p w14:paraId="31A6D32C" w14:textId="52EBCAA3" w:rsidR="00310444" w:rsidRPr="000541FC" w:rsidRDefault="0065072C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6.2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Nesaderība</w:t>
      </w:r>
    </w:p>
    <w:p w14:paraId="68000F75" w14:textId="77777777" w:rsidR="0065072C" w:rsidRPr="000541FC" w:rsidRDefault="0065072C" w:rsidP="00CE1572">
      <w:pPr>
        <w:jc w:val="both"/>
        <w:rPr>
          <w:lang w:val="lv-LV"/>
        </w:rPr>
      </w:pPr>
    </w:p>
    <w:p w14:paraId="655DD87D" w14:textId="77777777" w:rsidR="00310444" w:rsidRPr="000541FC" w:rsidRDefault="0065072C" w:rsidP="00CE1572">
      <w:pPr>
        <w:jc w:val="both"/>
        <w:rPr>
          <w:lang w:val="lv-LV"/>
        </w:rPr>
      </w:pPr>
      <w:r w:rsidRPr="000541FC">
        <w:rPr>
          <w:lang w:val="lv-LV"/>
        </w:rPr>
        <w:t>Nav piemērojama.</w:t>
      </w:r>
    </w:p>
    <w:p w14:paraId="5C471D35" w14:textId="77777777" w:rsidR="00310444" w:rsidRPr="000541FC" w:rsidRDefault="00310444" w:rsidP="00CE1572">
      <w:pPr>
        <w:jc w:val="both"/>
        <w:rPr>
          <w:lang w:val="lv-LV"/>
        </w:rPr>
      </w:pPr>
    </w:p>
    <w:p w14:paraId="2F386660" w14:textId="77777777" w:rsidR="00310444" w:rsidRPr="000541FC" w:rsidRDefault="0065072C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6.3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  <w:t>Uzglabāšanas laiks</w:t>
      </w:r>
    </w:p>
    <w:p w14:paraId="21BC4ED6" w14:textId="77777777" w:rsidR="0065072C" w:rsidRPr="000541FC" w:rsidRDefault="0065072C" w:rsidP="00CE1572">
      <w:pPr>
        <w:jc w:val="both"/>
        <w:rPr>
          <w:lang w:val="lv-LV"/>
        </w:rPr>
      </w:pPr>
    </w:p>
    <w:p w14:paraId="5029390A" w14:textId="77777777" w:rsidR="00310444" w:rsidRPr="000541FC" w:rsidRDefault="005249AC" w:rsidP="00CE1572">
      <w:pPr>
        <w:jc w:val="both"/>
        <w:rPr>
          <w:lang w:val="lv-LV"/>
        </w:rPr>
      </w:pPr>
      <w:r w:rsidRPr="000541FC">
        <w:rPr>
          <w:lang w:val="lv-LV"/>
        </w:rPr>
        <w:t>5</w:t>
      </w:r>
      <w:r w:rsidR="00310444" w:rsidRPr="000541FC">
        <w:rPr>
          <w:lang w:val="lv-LV"/>
        </w:rPr>
        <w:t xml:space="preserve"> gadi.</w:t>
      </w:r>
    </w:p>
    <w:p w14:paraId="587E118B" w14:textId="77777777" w:rsidR="00310444" w:rsidRPr="000541FC" w:rsidRDefault="00310444" w:rsidP="00CE1572">
      <w:pPr>
        <w:jc w:val="both"/>
        <w:rPr>
          <w:lang w:val="lv-LV"/>
        </w:rPr>
      </w:pPr>
    </w:p>
    <w:p w14:paraId="7773E453" w14:textId="77777777" w:rsidR="00310444" w:rsidRPr="000541FC" w:rsidRDefault="0065072C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6.4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 xml:space="preserve">Īpaši uzglabāšanas nosacījumi </w:t>
      </w:r>
    </w:p>
    <w:p w14:paraId="340B3465" w14:textId="77777777" w:rsidR="0065072C" w:rsidRPr="000541FC" w:rsidRDefault="0065072C" w:rsidP="00CE1572">
      <w:pPr>
        <w:jc w:val="both"/>
        <w:rPr>
          <w:lang w:val="lv-LV"/>
        </w:rPr>
      </w:pPr>
    </w:p>
    <w:p w14:paraId="2CE5E46E" w14:textId="77777777" w:rsidR="0065072C" w:rsidRPr="000541FC" w:rsidRDefault="0065072C" w:rsidP="0065072C">
      <w:pPr>
        <w:jc w:val="both"/>
        <w:rPr>
          <w:lang w:val="lv-LV"/>
        </w:rPr>
      </w:pPr>
      <w:r w:rsidRPr="000541FC">
        <w:rPr>
          <w:lang w:val="lv-LV"/>
        </w:rPr>
        <w:t>Uzglabāt temperatūrā līdz 25</w:t>
      </w:r>
      <w:r w:rsidR="009E35F5" w:rsidRPr="000541FC">
        <w:rPr>
          <w:lang w:val="lv-LV"/>
        </w:rPr>
        <w:t> </w:t>
      </w:r>
      <w:r w:rsidRPr="000541FC">
        <w:rPr>
          <w:lang w:val="lv-LV"/>
        </w:rPr>
        <w:t>°C.</w:t>
      </w:r>
    </w:p>
    <w:p w14:paraId="0A790C5B" w14:textId="77777777" w:rsidR="00310444" w:rsidRPr="000541FC" w:rsidRDefault="00310444" w:rsidP="00CE1572">
      <w:pPr>
        <w:jc w:val="both"/>
        <w:rPr>
          <w:lang w:val="lv-LV"/>
        </w:rPr>
      </w:pPr>
    </w:p>
    <w:p w14:paraId="60DBC1F8" w14:textId="77777777" w:rsidR="00310444" w:rsidRPr="000541FC" w:rsidRDefault="00246ED7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6.5</w:t>
      </w:r>
      <w:r w:rsidR="00041E97" w:rsidRPr="000541FC">
        <w:rPr>
          <w:b/>
          <w:lang w:val="lv-LV"/>
        </w:rPr>
        <w:t>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 xml:space="preserve">Iepakojuma veids un saturs </w:t>
      </w:r>
    </w:p>
    <w:p w14:paraId="69AD28CC" w14:textId="77777777" w:rsidR="00246ED7" w:rsidRPr="000541FC" w:rsidRDefault="00246ED7" w:rsidP="00CE1572">
      <w:pPr>
        <w:jc w:val="both"/>
        <w:rPr>
          <w:lang w:val="lv-LV"/>
        </w:rPr>
      </w:pPr>
    </w:p>
    <w:p w14:paraId="330314EB" w14:textId="77777777" w:rsidR="00310444" w:rsidRPr="000541FC" w:rsidRDefault="00296544" w:rsidP="00CE1572">
      <w:pPr>
        <w:jc w:val="both"/>
        <w:rPr>
          <w:lang w:val="lv-LV"/>
        </w:rPr>
      </w:pPr>
      <w:r w:rsidRPr="00207462">
        <w:rPr>
          <w:iCs/>
          <w:lang w:val="lv-LV"/>
        </w:rPr>
        <w:t>Tabletes iepakotas PVH/Al</w:t>
      </w:r>
      <w:r w:rsidRPr="00207462">
        <w:rPr>
          <w:lang w:val="lv-LV"/>
        </w:rPr>
        <w:t xml:space="preserve"> folijas </w:t>
      </w:r>
      <w:proofErr w:type="spellStart"/>
      <w:r w:rsidRPr="00207462">
        <w:rPr>
          <w:lang w:val="lv-LV"/>
        </w:rPr>
        <w:t>blisteros</w:t>
      </w:r>
      <w:proofErr w:type="spellEnd"/>
      <w:r w:rsidRPr="00207462">
        <w:rPr>
          <w:lang w:val="lv-LV"/>
        </w:rPr>
        <w:t xml:space="preserve"> pa 6 tabletēm</w:t>
      </w:r>
      <w:r w:rsidRPr="00120AF9">
        <w:rPr>
          <w:sz w:val="22"/>
          <w:szCs w:val="22"/>
          <w:lang w:val="lv-LV"/>
        </w:rPr>
        <w:t xml:space="preserve">; </w:t>
      </w:r>
      <w:r w:rsidR="005D6567" w:rsidRPr="00120AF9">
        <w:rPr>
          <w:lang w:val="lv-LV"/>
        </w:rPr>
        <w:t xml:space="preserve">1 </w:t>
      </w:r>
      <w:proofErr w:type="spellStart"/>
      <w:r w:rsidR="005D6567" w:rsidRPr="00120AF9">
        <w:rPr>
          <w:lang w:val="lv-LV"/>
        </w:rPr>
        <w:t>blisteris</w:t>
      </w:r>
      <w:proofErr w:type="spellEnd"/>
      <w:r w:rsidR="00310444" w:rsidRPr="007B3720">
        <w:rPr>
          <w:lang w:val="lv-LV"/>
        </w:rPr>
        <w:t xml:space="preserve"> kartona kastītē</w:t>
      </w:r>
      <w:r w:rsidR="00310444" w:rsidRPr="000541FC">
        <w:rPr>
          <w:lang w:val="lv-LV"/>
        </w:rPr>
        <w:t>.</w:t>
      </w:r>
    </w:p>
    <w:p w14:paraId="18464A0C" w14:textId="77777777" w:rsidR="00310444" w:rsidRPr="000541FC" w:rsidRDefault="00310444" w:rsidP="00CE1572">
      <w:pPr>
        <w:jc w:val="both"/>
        <w:rPr>
          <w:lang w:val="lv-LV"/>
        </w:rPr>
      </w:pPr>
    </w:p>
    <w:p w14:paraId="5B937D8F" w14:textId="77777777" w:rsidR="00DB4A6E" w:rsidRPr="000541FC" w:rsidRDefault="00DB4A6E" w:rsidP="00DB4A6E">
      <w:pPr>
        <w:jc w:val="both"/>
        <w:rPr>
          <w:b/>
          <w:spacing w:val="-4"/>
          <w:lang w:val="lv-LV"/>
        </w:rPr>
      </w:pPr>
      <w:r w:rsidRPr="000541FC">
        <w:rPr>
          <w:b/>
          <w:spacing w:val="-4"/>
          <w:lang w:val="lv-LV"/>
        </w:rPr>
        <w:t>6.6</w:t>
      </w:r>
      <w:r w:rsidR="00041E97" w:rsidRPr="000541FC">
        <w:rPr>
          <w:b/>
          <w:spacing w:val="-4"/>
          <w:lang w:val="lv-LV"/>
        </w:rPr>
        <w:t>.</w:t>
      </w:r>
      <w:r w:rsidRPr="000541FC">
        <w:rPr>
          <w:b/>
          <w:spacing w:val="-4"/>
          <w:lang w:val="lv-LV"/>
        </w:rPr>
        <w:tab/>
        <w:t>Īpaši norād</w:t>
      </w:r>
      <w:r w:rsidR="00074CC7" w:rsidRPr="000541FC">
        <w:rPr>
          <w:b/>
          <w:spacing w:val="-4"/>
          <w:lang w:val="lv-LV"/>
        </w:rPr>
        <w:t xml:space="preserve">ījumi atkritumu likvidēšanai un </w:t>
      </w:r>
      <w:r w:rsidR="001C3DEC" w:rsidRPr="000541FC">
        <w:rPr>
          <w:b/>
          <w:spacing w:val="-4"/>
          <w:lang w:val="lv-LV"/>
        </w:rPr>
        <w:t>citi norādījumi par rīkošanos</w:t>
      </w:r>
    </w:p>
    <w:p w14:paraId="4444B090" w14:textId="77777777" w:rsidR="00DB4A6E" w:rsidRPr="000541FC" w:rsidRDefault="00DB4A6E" w:rsidP="00CE1572">
      <w:pPr>
        <w:jc w:val="both"/>
        <w:rPr>
          <w:lang w:val="lv-LV"/>
        </w:rPr>
      </w:pPr>
    </w:p>
    <w:p w14:paraId="1A366772" w14:textId="77777777" w:rsidR="00492022" w:rsidRPr="000541FC" w:rsidRDefault="00310444" w:rsidP="00CE1572">
      <w:pPr>
        <w:jc w:val="both"/>
        <w:rPr>
          <w:lang w:val="lv-LV"/>
        </w:rPr>
      </w:pPr>
      <w:r w:rsidRPr="000541FC">
        <w:rPr>
          <w:lang w:val="lv-LV"/>
        </w:rPr>
        <w:t>Nav īpašu prasību.</w:t>
      </w:r>
    </w:p>
    <w:p w14:paraId="342B3FCE" w14:textId="77777777" w:rsidR="008A4050" w:rsidRPr="000541FC" w:rsidRDefault="008A4050" w:rsidP="00CE1572">
      <w:pPr>
        <w:jc w:val="both"/>
        <w:rPr>
          <w:lang w:val="lv-LV"/>
        </w:rPr>
      </w:pPr>
    </w:p>
    <w:p w14:paraId="7A3B8EEF" w14:textId="77777777" w:rsidR="008A4050" w:rsidRPr="000541FC" w:rsidRDefault="008A4050" w:rsidP="00CE1572">
      <w:pPr>
        <w:jc w:val="both"/>
        <w:rPr>
          <w:lang w:val="lv-LV"/>
        </w:rPr>
      </w:pPr>
    </w:p>
    <w:p w14:paraId="59E76381" w14:textId="77777777" w:rsidR="00310444" w:rsidRPr="000541FC" w:rsidRDefault="00DB4A6E" w:rsidP="00CE1572">
      <w:pPr>
        <w:jc w:val="both"/>
        <w:rPr>
          <w:lang w:val="lv-LV"/>
        </w:rPr>
      </w:pPr>
      <w:r w:rsidRPr="000541FC">
        <w:rPr>
          <w:b/>
          <w:lang w:val="lv-LV"/>
        </w:rPr>
        <w:t>7.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REĢ</w:t>
      </w:r>
      <w:r w:rsidRPr="000541FC">
        <w:rPr>
          <w:b/>
          <w:lang w:val="lv-LV"/>
        </w:rPr>
        <w:t>ISTRĀCIJAS APLIECĪBAS ĪPAŠNIEKS</w:t>
      </w:r>
    </w:p>
    <w:p w14:paraId="1CE12F4C" w14:textId="77777777" w:rsidR="00DB4A6E" w:rsidRPr="000541FC" w:rsidRDefault="00DB4A6E" w:rsidP="00CE1572">
      <w:pPr>
        <w:jc w:val="both"/>
        <w:rPr>
          <w:lang w:val="lv-LV"/>
        </w:rPr>
      </w:pPr>
    </w:p>
    <w:p w14:paraId="05E02B83" w14:textId="11288F32" w:rsidR="00DB4A6E" w:rsidRPr="000541FC" w:rsidRDefault="00DB4A6E" w:rsidP="00DB4A6E">
      <w:pPr>
        <w:jc w:val="both"/>
        <w:rPr>
          <w:iCs/>
          <w:lang w:val="lv-LV"/>
        </w:rPr>
      </w:pPr>
      <w:r w:rsidRPr="000541FC">
        <w:rPr>
          <w:lang w:val="lv-LV"/>
        </w:rPr>
        <w:t xml:space="preserve">AS </w:t>
      </w:r>
      <w:r w:rsidRPr="000541FC">
        <w:rPr>
          <w:iCs/>
          <w:lang w:val="lv-LV"/>
        </w:rPr>
        <w:t>GRINDEKS</w:t>
      </w:r>
      <w:r w:rsidR="00F935E8">
        <w:rPr>
          <w:iCs/>
          <w:lang w:val="lv-LV"/>
        </w:rPr>
        <w:t>.</w:t>
      </w:r>
    </w:p>
    <w:p w14:paraId="03F1FD36" w14:textId="77777777" w:rsidR="00DB4A6E" w:rsidRPr="000541FC" w:rsidRDefault="00DB4A6E" w:rsidP="00DB4A6E">
      <w:pPr>
        <w:jc w:val="both"/>
        <w:rPr>
          <w:iCs/>
          <w:lang w:val="lv-LV"/>
        </w:rPr>
      </w:pPr>
      <w:r w:rsidRPr="000541FC">
        <w:rPr>
          <w:lang w:val="lv-LV"/>
        </w:rPr>
        <w:t>Krustpils iela 53, Rīga, LV-1057, Latvija</w:t>
      </w:r>
    </w:p>
    <w:p w14:paraId="758BB211" w14:textId="77777777" w:rsidR="00DB4A6E" w:rsidRPr="000541FC" w:rsidRDefault="000311F4" w:rsidP="00DB4A6E">
      <w:pPr>
        <w:jc w:val="both"/>
        <w:rPr>
          <w:lang w:val="lv-LV"/>
        </w:rPr>
      </w:pPr>
      <w:r w:rsidRPr="000541FC">
        <w:rPr>
          <w:lang w:val="lv-LV"/>
        </w:rPr>
        <w:t>Tel.</w:t>
      </w:r>
      <w:r w:rsidR="00DB4A6E" w:rsidRPr="000541FC">
        <w:rPr>
          <w:lang w:val="lv-LV"/>
        </w:rPr>
        <w:t xml:space="preserve">: </w:t>
      </w:r>
      <w:r w:rsidR="00184092" w:rsidRPr="000541FC">
        <w:rPr>
          <w:lang w:val="lv-LV"/>
        </w:rPr>
        <w:t>+371 </w:t>
      </w:r>
      <w:r w:rsidR="00DB4A6E" w:rsidRPr="000541FC">
        <w:rPr>
          <w:lang w:val="lv-LV"/>
        </w:rPr>
        <w:t>67083205</w:t>
      </w:r>
    </w:p>
    <w:p w14:paraId="0B3B31E3" w14:textId="77777777" w:rsidR="00DB4A6E" w:rsidRPr="000541FC" w:rsidRDefault="00DB4A6E" w:rsidP="00DB4A6E">
      <w:pPr>
        <w:jc w:val="both"/>
        <w:rPr>
          <w:lang w:val="lv-LV"/>
        </w:rPr>
      </w:pPr>
      <w:r w:rsidRPr="000541FC">
        <w:rPr>
          <w:lang w:val="lv-LV"/>
        </w:rPr>
        <w:t xml:space="preserve">Fakss: </w:t>
      </w:r>
      <w:r w:rsidR="00184092" w:rsidRPr="000541FC">
        <w:rPr>
          <w:lang w:val="lv-LV"/>
        </w:rPr>
        <w:t>+371 </w:t>
      </w:r>
      <w:r w:rsidRPr="000541FC">
        <w:rPr>
          <w:lang w:val="lv-LV"/>
        </w:rPr>
        <w:t>67083505</w:t>
      </w:r>
    </w:p>
    <w:p w14:paraId="78F580BE" w14:textId="77777777" w:rsidR="00DB4A6E" w:rsidRPr="000541FC" w:rsidRDefault="00DB4A6E" w:rsidP="00DB4A6E">
      <w:pPr>
        <w:jc w:val="both"/>
        <w:rPr>
          <w:lang w:val="lv-LV"/>
        </w:rPr>
      </w:pPr>
      <w:r w:rsidRPr="000541FC">
        <w:rPr>
          <w:kern w:val="16"/>
          <w:lang w:val="lv-LV"/>
        </w:rPr>
        <w:t xml:space="preserve">E-pasts: </w:t>
      </w:r>
      <w:r w:rsidRPr="000541FC">
        <w:rPr>
          <w:lang w:val="lv-LV"/>
        </w:rPr>
        <w:t>grindeks@grindeks.lv</w:t>
      </w:r>
    </w:p>
    <w:p w14:paraId="7D58EA76" w14:textId="77777777" w:rsidR="00310444" w:rsidRPr="000541FC" w:rsidRDefault="00310444" w:rsidP="00CE1572">
      <w:pPr>
        <w:jc w:val="both"/>
        <w:rPr>
          <w:lang w:val="lv-LV"/>
        </w:rPr>
      </w:pPr>
    </w:p>
    <w:p w14:paraId="5727B15E" w14:textId="77777777" w:rsidR="00C971D2" w:rsidRPr="000541FC" w:rsidRDefault="00C971D2" w:rsidP="00CE1572">
      <w:pPr>
        <w:jc w:val="both"/>
        <w:rPr>
          <w:lang w:val="lv-LV"/>
        </w:rPr>
      </w:pPr>
    </w:p>
    <w:p w14:paraId="28CC50C5" w14:textId="77777777" w:rsidR="006F40BD" w:rsidRPr="000541FC" w:rsidRDefault="006F40BD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8.</w:t>
      </w:r>
      <w:r w:rsidRPr="000541FC">
        <w:rPr>
          <w:b/>
          <w:lang w:val="lv-LV"/>
        </w:rPr>
        <w:tab/>
        <w:t xml:space="preserve">REĢISTRĀCIJAS </w:t>
      </w:r>
      <w:r w:rsidR="00993041" w:rsidRPr="000541FC">
        <w:rPr>
          <w:b/>
          <w:lang w:val="lv-LV"/>
        </w:rPr>
        <w:t xml:space="preserve">APLIECĪBAS </w:t>
      </w:r>
      <w:r w:rsidRPr="000541FC">
        <w:rPr>
          <w:b/>
          <w:lang w:val="lv-LV"/>
        </w:rPr>
        <w:t>NUMURS(</w:t>
      </w:r>
      <w:r w:rsidR="00D156DD" w:rsidRPr="000541FC">
        <w:rPr>
          <w:b/>
          <w:lang w:val="lv-LV"/>
        </w:rPr>
        <w:t>-</w:t>
      </w:r>
      <w:r w:rsidRPr="000541FC">
        <w:rPr>
          <w:b/>
          <w:lang w:val="lv-LV"/>
        </w:rPr>
        <w:t>I)</w:t>
      </w:r>
    </w:p>
    <w:p w14:paraId="41436571" w14:textId="77777777" w:rsidR="006F40BD" w:rsidRPr="000541FC" w:rsidRDefault="006F40BD" w:rsidP="00CE1572">
      <w:pPr>
        <w:jc w:val="both"/>
        <w:rPr>
          <w:lang w:val="lv-LV"/>
        </w:rPr>
      </w:pPr>
    </w:p>
    <w:p w14:paraId="51976BA7" w14:textId="77777777" w:rsidR="00310444" w:rsidRPr="000541FC" w:rsidRDefault="006F40BD" w:rsidP="00CE1572">
      <w:pPr>
        <w:jc w:val="both"/>
        <w:rPr>
          <w:lang w:val="lv-LV"/>
        </w:rPr>
      </w:pPr>
      <w:r w:rsidRPr="000541FC">
        <w:rPr>
          <w:lang w:val="lv-LV"/>
        </w:rPr>
        <w:t>95-0293</w:t>
      </w:r>
    </w:p>
    <w:p w14:paraId="3909CA13" w14:textId="77777777" w:rsidR="00310444" w:rsidRPr="000541FC" w:rsidRDefault="00310444" w:rsidP="00CE1572">
      <w:pPr>
        <w:jc w:val="both"/>
        <w:rPr>
          <w:lang w:val="lv-LV"/>
        </w:rPr>
      </w:pPr>
    </w:p>
    <w:p w14:paraId="4799FDAA" w14:textId="77777777" w:rsidR="00C971D2" w:rsidRPr="000541FC" w:rsidRDefault="00C971D2" w:rsidP="00CE1572">
      <w:pPr>
        <w:jc w:val="both"/>
        <w:rPr>
          <w:lang w:val="lv-LV"/>
        </w:rPr>
      </w:pPr>
    </w:p>
    <w:p w14:paraId="79A53686" w14:textId="77777777" w:rsidR="009D2F33" w:rsidRPr="000541FC" w:rsidRDefault="009D2F33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9.</w:t>
      </w:r>
      <w:r w:rsidRPr="000541FC">
        <w:rPr>
          <w:b/>
          <w:lang w:val="lv-LV"/>
        </w:rPr>
        <w:tab/>
      </w:r>
      <w:r w:rsidR="00993041" w:rsidRPr="000541FC">
        <w:rPr>
          <w:b/>
          <w:lang w:val="lv-LV"/>
        </w:rPr>
        <w:t xml:space="preserve">PIRMĀS </w:t>
      </w:r>
      <w:r w:rsidR="00310444" w:rsidRPr="000541FC">
        <w:rPr>
          <w:b/>
          <w:lang w:val="lv-LV"/>
        </w:rPr>
        <w:t>REĢISTR</w:t>
      </w:r>
      <w:r w:rsidRPr="000541FC">
        <w:rPr>
          <w:b/>
          <w:lang w:val="lv-LV"/>
        </w:rPr>
        <w:t>ĀCIJAS/PĀRREĢISTRĀCIJAS DATUMS</w:t>
      </w:r>
    </w:p>
    <w:p w14:paraId="5229B5BA" w14:textId="77777777" w:rsidR="009D2F33" w:rsidRPr="000541FC" w:rsidRDefault="009D2F33" w:rsidP="00CE1572">
      <w:pPr>
        <w:jc w:val="both"/>
        <w:rPr>
          <w:lang w:val="lv-LV"/>
        </w:rPr>
      </w:pPr>
    </w:p>
    <w:p w14:paraId="252D94F0" w14:textId="77777777" w:rsidR="00993041" w:rsidRPr="000541FC" w:rsidRDefault="00C958A7" w:rsidP="00CE1572">
      <w:pPr>
        <w:jc w:val="both"/>
        <w:rPr>
          <w:lang w:val="lv-LV"/>
        </w:rPr>
      </w:pPr>
      <w:r w:rsidRPr="000541FC">
        <w:rPr>
          <w:lang w:val="lv-LV"/>
        </w:rPr>
        <w:t>Reģistrācijas datums: 2000. </w:t>
      </w:r>
      <w:r w:rsidR="00993041" w:rsidRPr="000541FC">
        <w:rPr>
          <w:lang w:val="lv-LV"/>
        </w:rPr>
        <w:t xml:space="preserve">gada </w:t>
      </w:r>
      <w:r w:rsidR="00B426BA" w:rsidRPr="000541FC">
        <w:rPr>
          <w:lang w:val="lv-LV"/>
        </w:rPr>
        <w:t>20. </w:t>
      </w:r>
      <w:r w:rsidR="00993041" w:rsidRPr="000541FC">
        <w:rPr>
          <w:lang w:val="lv-LV"/>
        </w:rPr>
        <w:t>decembris</w:t>
      </w:r>
    </w:p>
    <w:p w14:paraId="60B77209" w14:textId="6655E506" w:rsidR="00993041" w:rsidRPr="000541FC" w:rsidRDefault="00993041" w:rsidP="00CE1572">
      <w:pPr>
        <w:jc w:val="both"/>
        <w:rPr>
          <w:lang w:val="lv-LV"/>
        </w:rPr>
      </w:pPr>
      <w:r w:rsidRPr="000541FC">
        <w:rPr>
          <w:lang w:val="lv-LV"/>
        </w:rPr>
        <w:t>Pēdēj</w:t>
      </w:r>
      <w:r w:rsidR="00D40D11" w:rsidRPr="000541FC">
        <w:rPr>
          <w:lang w:val="lv-LV"/>
        </w:rPr>
        <w:t>ās pārreģistrācijas datums: 20</w:t>
      </w:r>
      <w:r w:rsidR="00D119D8" w:rsidRPr="000541FC">
        <w:rPr>
          <w:lang w:val="lv-LV"/>
        </w:rPr>
        <w:t>11</w:t>
      </w:r>
      <w:r w:rsidR="00C958A7" w:rsidRPr="000541FC">
        <w:rPr>
          <w:lang w:val="lv-LV"/>
        </w:rPr>
        <w:t>. </w:t>
      </w:r>
      <w:r w:rsidRPr="000541FC">
        <w:rPr>
          <w:lang w:val="lv-LV"/>
        </w:rPr>
        <w:t xml:space="preserve">gada </w:t>
      </w:r>
      <w:r w:rsidR="00D119D8" w:rsidRPr="000541FC">
        <w:rPr>
          <w:lang w:val="lv-LV"/>
        </w:rPr>
        <w:t>1</w:t>
      </w:r>
      <w:r w:rsidR="00B426BA" w:rsidRPr="000541FC">
        <w:rPr>
          <w:lang w:val="lv-LV"/>
        </w:rPr>
        <w:t>. </w:t>
      </w:r>
      <w:r w:rsidR="009549A5" w:rsidRPr="000541FC">
        <w:rPr>
          <w:lang w:val="lv-LV"/>
        </w:rPr>
        <w:t>f</w:t>
      </w:r>
      <w:r w:rsidRPr="000541FC">
        <w:rPr>
          <w:lang w:val="lv-LV"/>
        </w:rPr>
        <w:t>ebruāris</w:t>
      </w:r>
    </w:p>
    <w:p w14:paraId="789E9B9B" w14:textId="77777777" w:rsidR="00D169A3" w:rsidRPr="000541FC" w:rsidRDefault="00D169A3" w:rsidP="00CE1572">
      <w:pPr>
        <w:jc w:val="both"/>
        <w:rPr>
          <w:lang w:val="lv-LV"/>
        </w:rPr>
      </w:pPr>
    </w:p>
    <w:p w14:paraId="77C48F6D" w14:textId="77777777" w:rsidR="00D169A3" w:rsidRPr="000541FC" w:rsidRDefault="00D169A3" w:rsidP="00CE1572">
      <w:pPr>
        <w:jc w:val="both"/>
        <w:rPr>
          <w:lang w:val="lv-LV"/>
        </w:rPr>
      </w:pPr>
    </w:p>
    <w:p w14:paraId="4ABF4E32" w14:textId="77777777" w:rsidR="00310444" w:rsidRPr="000541FC" w:rsidRDefault="009D2F33" w:rsidP="00CE1572">
      <w:pPr>
        <w:jc w:val="both"/>
        <w:rPr>
          <w:b/>
          <w:lang w:val="lv-LV"/>
        </w:rPr>
      </w:pPr>
      <w:r w:rsidRPr="000541FC">
        <w:rPr>
          <w:b/>
          <w:lang w:val="lv-LV"/>
        </w:rPr>
        <w:t>10.</w:t>
      </w:r>
      <w:r w:rsidRPr="000541FC">
        <w:rPr>
          <w:b/>
          <w:lang w:val="lv-LV"/>
        </w:rPr>
        <w:tab/>
      </w:r>
      <w:r w:rsidR="00310444" w:rsidRPr="000541FC">
        <w:rPr>
          <w:b/>
          <w:lang w:val="lv-LV"/>
        </w:rPr>
        <w:t>TEKSTA PĀ</w:t>
      </w:r>
      <w:r w:rsidRPr="000541FC">
        <w:rPr>
          <w:b/>
          <w:lang w:val="lv-LV"/>
        </w:rPr>
        <w:t>RSKATĪŠANAS DATUMS</w:t>
      </w:r>
    </w:p>
    <w:p w14:paraId="2827A8E9" w14:textId="77777777" w:rsidR="009D2F33" w:rsidRPr="000541FC" w:rsidRDefault="009D2F33" w:rsidP="00CE1572">
      <w:pPr>
        <w:jc w:val="both"/>
        <w:rPr>
          <w:lang w:val="lv-LV"/>
        </w:rPr>
      </w:pPr>
    </w:p>
    <w:p w14:paraId="1487B6D5" w14:textId="083FF3CB" w:rsidR="00310444" w:rsidRPr="00EF00B2" w:rsidRDefault="0062347E" w:rsidP="00CE1572">
      <w:pPr>
        <w:jc w:val="both"/>
        <w:rPr>
          <w:lang w:val="lv-LV"/>
        </w:rPr>
      </w:pPr>
      <w:r w:rsidRPr="000541FC">
        <w:rPr>
          <w:lang w:val="lv-LV"/>
        </w:rPr>
        <w:t>0</w:t>
      </w:r>
      <w:r w:rsidR="00740E2A">
        <w:rPr>
          <w:lang w:val="lv-LV"/>
        </w:rPr>
        <w:t>3</w:t>
      </w:r>
      <w:r w:rsidR="00102569" w:rsidRPr="000541FC">
        <w:rPr>
          <w:lang w:val="lv-LV"/>
        </w:rPr>
        <w:t>/20</w:t>
      </w:r>
      <w:r w:rsidR="004F442D">
        <w:rPr>
          <w:lang w:val="lv-LV"/>
        </w:rPr>
        <w:t>21</w:t>
      </w:r>
    </w:p>
    <w:p w14:paraId="357DC818" w14:textId="77777777" w:rsidR="00310444" w:rsidRPr="00EF00B2" w:rsidRDefault="00310444" w:rsidP="00CE1572">
      <w:pPr>
        <w:jc w:val="both"/>
        <w:rPr>
          <w:lang w:val="lv-LV"/>
        </w:rPr>
      </w:pPr>
    </w:p>
    <w:sectPr w:rsidR="00310444" w:rsidRPr="00EF00B2" w:rsidSect="00633DBA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902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9389" w14:textId="77777777" w:rsidR="00CA3530" w:rsidRDefault="00CA3530">
      <w:r>
        <w:separator/>
      </w:r>
    </w:p>
  </w:endnote>
  <w:endnote w:type="continuationSeparator" w:id="0">
    <w:p w14:paraId="7B169D21" w14:textId="77777777" w:rsidR="00CA3530" w:rsidRDefault="00CA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1BD5" w14:textId="77777777" w:rsidR="00CA3530" w:rsidRDefault="00CA3530">
      <w:r>
        <w:separator/>
      </w:r>
    </w:p>
  </w:footnote>
  <w:footnote w:type="continuationSeparator" w:id="0">
    <w:p w14:paraId="7865024A" w14:textId="77777777" w:rsidR="00CA3530" w:rsidRDefault="00CA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C01B" w14:textId="77777777" w:rsidR="00B93B56" w:rsidRDefault="00B93B56" w:rsidP="000D2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278BCD" w14:textId="77777777" w:rsidR="00B93B56" w:rsidRDefault="00B93B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75EF" w14:textId="44E68016" w:rsidR="00B93B56" w:rsidRPr="00A47385" w:rsidRDefault="00A47385" w:rsidP="00B66D85">
    <w:pPr>
      <w:pStyle w:val="Header"/>
      <w:jc w:val="right"/>
      <w:rPr>
        <w:lang w:val="en-US"/>
      </w:rPr>
    </w:pPr>
    <w:r>
      <w:rPr>
        <w:lang w:val="en-US"/>
      </w:rPr>
      <w:t>SASKAŅOTS ZVA 16-03-2021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16EA" w14:textId="77777777" w:rsidR="00CD517E" w:rsidRDefault="00096F03" w:rsidP="00CD517E">
    <w:pPr>
      <w:pStyle w:val="Header"/>
      <w:jc w:val="right"/>
    </w:pPr>
    <w:r>
      <w:t>SASKAŅOTS ZVA 10-01-2019</w:t>
    </w:r>
  </w:p>
  <w:p w14:paraId="53BA0D1C" w14:textId="77777777" w:rsidR="00B93B56" w:rsidRPr="00FD3E38" w:rsidRDefault="00B93B56" w:rsidP="00C91F3A">
    <w:pPr>
      <w:pStyle w:val="Header"/>
      <w:tabs>
        <w:tab w:val="clear" w:pos="4153"/>
      </w:tabs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D04"/>
    <w:multiLevelType w:val="hybridMultilevel"/>
    <w:tmpl w:val="34B6A2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22DE"/>
    <w:rsid w:val="0000556E"/>
    <w:rsid w:val="000108D4"/>
    <w:rsid w:val="00024C01"/>
    <w:rsid w:val="00025CEF"/>
    <w:rsid w:val="00025DCC"/>
    <w:rsid w:val="000311F4"/>
    <w:rsid w:val="00035B46"/>
    <w:rsid w:val="00041E97"/>
    <w:rsid w:val="000460BD"/>
    <w:rsid w:val="0005072F"/>
    <w:rsid w:val="000515C8"/>
    <w:rsid w:val="00051DA7"/>
    <w:rsid w:val="000541FC"/>
    <w:rsid w:val="000644A9"/>
    <w:rsid w:val="00074CC7"/>
    <w:rsid w:val="00096F03"/>
    <w:rsid w:val="00097E16"/>
    <w:rsid w:val="000B0AB1"/>
    <w:rsid w:val="000B1FB8"/>
    <w:rsid w:val="000B4C38"/>
    <w:rsid w:val="000C0C21"/>
    <w:rsid w:val="000D2A7E"/>
    <w:rsid w:val="000D35F4"/>
    <w:rsid w:val="00102569"/>
    <w:rsid w:val="00104F46"/>
    <w:rsid w:val="00114611"/>
    <w:rsid w:val="00120AF9"/>
    <w:rsid w:val="001229FD"/>
    <w:rsid w:val="00126327"/>
    <w:rsid w:val="00131B01"/>
    <w:rsid w:val="00133C47"/>
    <w:rsid w:val="00133D9C"/>
    <w:rsid w:val="001427C4"/>
    <w:rsid w:val="00145F65"/>
    <w:rsid w:val="00151220"/>
    <w:rsid w:val="0015535F"/>
    <w:rsid w:val="001741DA"/>
    <w:rsid w:val="00184092"/>
    <w:rsid w:val="001B2686"/>
    <w:rsid w:val="001C0705"/>
    <w:rsid w:val="001C3DEC"/>
    <w:rsid w:val="001C4DC9"/>
    <w:rsid w:val="001E0046"/>
    <w:rsid w:val="001E20CA"/>
    <w:rsid w:val="001E4052"/>
    <w:rsid w:val="001E4DC2"/>
    <w:rsid w:val="00206252"/>
    <w:rsid w:val="00207462"/>
    <w:rsid w:val="00207561"/>
    <w:rsid w:val="002121C6"/>
    <w:rsid w:val="00220B37"/>
    <w:rsid w:val="00233451"/>
    <w:rsid w:val="00245F62"/>
    <w:rsid w:val="00246ED7"/>
    <w:rsid w:val="00264CFD"/>
    <w:rsid w:val="002814D8"/>
    <w:rsid w:val="00292446"/>
    <w:rsid w:val="00296544"/>
    <w:rsid w:val="002A2DA9"/>
    <w:rsid w:val="002A3509"/>
    <w:rsid w:val="002B22DE"/>
    <w:rsid w:val="002B267B"/>
    <w:rsid w:val="002D0283"/>
    <w:rsid w:val="002D0CD8"/>
    <w:rsid w:val="002E538A"/>
    <w:rsid w:val="002F7537"/>
    <w:rsid w:val="002F7601"/>
    <w:rsid w:val="00310444"/>
    <w:rsid w:val="00326735"/>
    <w:rsid w:val="003328D0"/>
    <w:rsid w:val="003330D8"/>
    <w:rsid w:val="00336DDC"/>
    <w:rsid w:val="003400B8"/>
    <w:rsid w:val="00353561"/>
    <w:rsid w:val="00370C4A"/>
    <w:rsid w:val="0037380F"/>
    <w:rsid w:val="003754A3"/>
    <w:rsid w:val="00383D1E"/>
    <w:rsid w:val="003A559E"/>
    <w:rsid w:val="003A7380"/>
    <w:rsid w:val="003B1D37"/>
    <w:rsid w:val="003B5FD0"/>
    <w:rsid w:val="003B7CE5"/>
    <w:rsid w:val="003D20D0"/>
    <w:rsid w:val="003D3CD3"/>
    <w:rsid w:val="003D73C7"/>
    <w:rsid w:val="003E5501"/>
    <w:rsid w:val="003F41C3"/>
    <w:rsid w:val="00406CA9"/>
    <w:rsid w:val="00413754"/>
    <w:rsid w:val="00413F9A"/>
    <w:rsid w:val="004300C9"/>
    <w:rsid w:val="00430C3C"/>
    <w:rsid w:val="00441195"/>
    <w:rsid w:val="00476686"/>
    <w:rsid w:val="00481EE7"/>
    <w:rsid w:val="00487D04"/>
    <w:rsid w:val="00492022"/>
    <w:rsid w:val="004935C8"/>
    <w:rsid w:val="004B3F87"/>
    <w:rsid w:val="004B4804"/>
    <w:rsid w:val="004B7837"/>
    <w:rsid w:val="004C0688"/>
    <w:rsid w:val="004C5E56"/>
    <w:rsid w:val="004E09B9"/>
    <w:rsid w:val="004E27B3"/>
    <w:rsid w:val="004E610C"/>
    <w:rsid w:val="004F442D"/>
    <w:rsid w:val="00501536"/>
    <w:rsid w:val="005064CC"/>
    <w:rsid w:val="005077A3"/>
    <w:rsid w:val="00507EEA"/>
    <w:rsid w:val="005123DF"/>
    <w:rsid w:val="00514C65"/>
    <w:rsid w:val="00516C47"/>
    <w:rsid w:val="005249AC"/>
    <w:rsid w:val="00526A52"/>
    <w:rsid w:val="005430F5"/>
    <w:rsid w:val="00543CFC"/>
    <w:rsid w:val="0054504B"/>
    <w:rsid w:val="00553258"/>
    <w:rsid w:val="00553E13"/>
    <w:rsid w:val="00565238"/>
    <w:rsid w:val="0057765D"/>
    <w:rsid w:val="00592B43"/>
    <w:rsid w:val="005939C8"/>
    <w:rsid w:val="005A4302"/>
    <w:rsid w:val="005C46DD"/>
    <w:rsid w:val="005C49E7"/>
    <w:rsid w:val="005D4543"/>
    <w:rsid w:val="005D4AD6"/>
    <w:rsid w:val="005D6567"/>
    <w:rsid w:val="005D7CFD"/>
    <w:rsid w:val="005E0B36"/>
    <w:rsid w:val="005E28DE"/>
    <w:rsid w:val="005E7B26"/>
    <w:rsid w:val="005E7BA1"/>
    <w:rsid w:val="005F3199"/>
    <w:rsid w:val="00605969"/>
    <w:rsid w:val="006079DA"/>
    <w:rsid w:val="006107D6"/>
    <w:rsid w:val="006172E2"/>
    <w:rsid w:val="0062347E"/>
    <w:rsid w:val="00633DBA"/>
    <w:rsid w:val="00635CC8"/>
    <w:rsid w:val="00636CC6"/>
    <w:rsid w:val="0063711C"/>
    <w:rsid w:val="00645E4F"/>
    <w:rsid w:val="0065072C"/>
    <w:rsid w:val="006653E4"/>
    <w:rsid w:val="00675BB5"/>
    <w:rsid w:val="00676759"/>
    <w:rsid w:val="0068200F"/>
    <w:rsid w:val="00687578"/>
    <w:rsid w:val="006963B0"/>
    <w:rsid w:val="00697505"/>
    <w:rsid w:val="006A730F"/>
    <w:rsid w:val="006A7C11"/>
    <w:rsid w:val="006B43F7"/>
    <w:rsid w:val="006B5B41"/>
    <w:rsid w:val="006C0138"/>
    <w:rsid w:val="006C1B30"/>
    <w:rsid w:val="006D1A98"/>
    <w:rsid w:val="006D662F"/>
    <w:rsid w:val="006E5BA0"/>
    <w:rsid w:val="006F40BD"/>
    <w:rsid w:val="006F6656"/>
    <w:rsid w:val="00703C61"/>
    <w:rsid w:val="0070624B"/>
    <w:rsid w:val="00731723"/>
    <w:rsid w:val="00740E2A"/>
    <w:rsid w:val="00756C00"/>
    <w:rsid w:val="0076723C"/>
    <w:rsid w:val="007845EC"/>
    <w:rsid w:val="00791BAC"/>
    <w:rsid w:val="0079358B"/>
    <w:rsid w:val="007937E3"/>
    <w:rsid w:val="007973B9"/>
    <w:rsid w:val="00797DF5"/>
    <w:rsid w:val="007B3720"/>
    <w:rsid w:val="007B4064"/>
    <w:rsid w:val="007B7DE3"/>
    <w:rsid w:val="007C311A"/>
    <w:rsid w:val="007C3D06"/>
    <w:rsid w:val="007D5FC2"/>
    <w:rsid w:val="007E27D4"/>
    <w:rsid w:val="007E4EFF"/>
    <w:rsid w:val="007F0EB1"/>
    <w:rsid w:val="007F60A1"/>
    <w:rsid w:val="00801324"/>
    <w:rsid w:val="00802D56"/>
    <w:rsid w:val="0080312D"/>
    <w:rsid w:val="00803BD9"/>
    <w:rsid w:val="00804417"/>
    <w:rsid w:val="00807068"/>
    <w:rsid w:val="00810B61"/>
    <w:rsid w:val="0082684E"/>
    <w:rsid w:val="0083051F"/>
    <w:rsid w:val="00831A99"/>
    <w:rsid w:val="00831C55"/>
    <w:rsid w:val="00833814"/>
    <w:rsid w:val="00837084"/>
    <w:rsid w:val="0084056A"/>
    <w:rsid w:val="008630D3"/>
    <w:rsid w:val="00866E01"/>
    <w:rsid w:val="00874D5D"/>
    <w:rsid w:val="008773C3"/>
    <w:rsid w:val="008908EB"/>
    <w:rsid w:val="008A30BA"/>
    <w:rsid w:val="008A4050"/>
    <w:rsid w:val="008A5DB7"/>
    <w:rsid w:val="008C52ED"/>
    <w:rsid w:val="008D0845"/>
    <w:rsid w:val="008E2114"/>
    <w:rsid w:val="008E2880"/>
    <w:rsid w:val="008E5834"/>
    <w:rsid w:val="008E7295"/>
    <w:rsid w:val="008F5631"/>
    <w:rsid w:val="008F5BE5"/>
    <w:rsid w:val="008F6376"/>
    <w:rsid w:val="008F73EB"/>
    <w:rsid w:val="008F75CF"/>
    <w:rsid w:val="0090560A"/>
    <w:rsid w:val="00913789"/>
    <w:rsid w:val="00913B39"/>
    <w:rsid w:val="00923B81"/>
    <w:rsid w:val="0092603E"/>
    <w:rsid w:val="00940FD9"/>
    <w:rsid w:val="009549A5"/>
    <w:rsid w:val="009551E1"/>
    <w:rsid w:val="009641BC"/>
    <w:rsid w:val="00972D31"/>
    <w:rsid w:val="00977AAF"/>
    <w:rsid w:val="00982049"/>
    <w:rsid w:val="00993041"/>
    <w:rsid w:val="0099500D"/>
    <w:rsid w:val="009A1FB0"/>
    <w:rsid w:val="009A2074"/>
    <w:rsid w:val="009A516B"/>
    <w:rsid w:val="009A7C34"/>
    <w:rsid w:val="009B30E9"/>
    <w:rsid w:val="009C0FC7"/>
    <w:rsid w:val="009C565F"/>
    <w:rsid w:val="009D0241"/>
    <w:rsid w:val="009D2F33"/>
    <w:rsid w:val="009D602C"/>
    <w:rsid w:val="009D6E22"/>
    <w:rsid w:val="009E29AA"/>
    <w:rsid w:val="009E35F5"/>
    <w:rsid w:val="009F69DF"/>
    <w:rsid w:val="009F6C56"/>
    <w:rsid w:val="00A03705"/>
    <w:rsid w:val="00A03E9A"/>
    <w:rsid w:val="00A077EB"/>
    <w:rsid w:val="00A16B03"/>
    <w:rsid w:val="00A20ED0"/>
    <w:rsid w:val="00A23CB7"/>
    <w:rsid w:val="00A26368"/>
    <w:rsid w:val="00A31B95"/>
    <w:rsid w:val="00A40EE0"/>
    <w:rsid w:val="00A47385"/>
    <w:rsid w:val="00A6010E"/>
    <w:rsid w:val="00A70C9C"/>
    <w:rsid w:val="00A76177"/>
    <w:rsid w:val="00A8642C"/>
    <w:rsid w:val="00A87A75"/>
    <w:rsid w:val="00A87A76"/>
    <w:rsid w:val="00A90779"/>
    <w:rsid w:val="00A93A6A"/>
    <w:rsid w:val="00A95551"/>
    <w:rsid w:val="00AB1216"/>
    <w:rsid w:val="00AB18E5"/>
    <w:rsid w:val="00AB7E58"/>
    <w:rsid w:val="00AE4B1A"/>
    <w:rsid w:val="00AF5BBB"/>
    <w:rsid w:val="00B00823"/>
    <w:rsid w:val="00B05EC2"/>
    <w:rsid w:val="00B2751F"/>
    <w:rsid w:val="00B34093"/>
    <w:rsid w:val="00B36EDA"/>
    <w:rsid w:val="00B426BA"/>
    <w:rsid w:val="00B4278C"/>
    <w:rsid w:val="00B433A8"/>
    <w:rsid w:val="00B45A0F"/>
    <w:rsid w:val="00B47137"/>
    <w:rsid w:val="00B47927"/>
    <w:rsid w:val="00B621DA"/>
    <w:rsid w:val="00B66D85"/>
    <w:rsid w:val="00B727F0"/>
    <w:rsid w:val="00B763AD"/>
    <w:rsid w:val="00B77525"/>
    <w:rsid w:val="00B8290C"/>
    <w:rsid w:val="00B82B6F"/>
    <w:rsid w:val="00B93B56"/>
    <w:rsid w:val="00BA0545"/>
    <w:rsid w:val="00BA79C6"/>
    <w:rsid w:val="00BB090B"/>
    <w:rsid w:val="00BB210C"/>
    <w:rsid w:val="00BB42AF"/>
    <w:rsid w:val="00BC355C"/>
    <w:rsid w:val="00BC68B0"/>
    <w:rsid w:val="00BD511F"/>
    <w:rsid w:val="00BD70CF"/>
    <w:rsid w:val="00BE1BFF"/>
    <w:rsid w:val="00BE7EA5"/>
    <w:rsid w:val="00BF146D"/>
    <w:rsid w:val="00BF1A8B"/>
    <w:rsid w:val="00BF6D0E"/>
    <w:rsid w:val="00C01386"/>
    <w:rsid w:val="00C05BB6"/>
    <w:rsid w:val="00C0698F"/>
    <w:rsid w:val="00C1109C"/>
    <w:rsid w:val="00C16135"/>
    <w:rsid w:val="00C162E3"/>
    <w:rsid w:val="00C210B4"/>
    <w:rsid w:val="00C24E94"/>
    <w:rsid w:val="00C32B2B"/>
    <w:rsid w:val="00C37B85"/>
    <w:rsid w:val="00C40255"/>
    <w:rsid w:val="00C422D5"/>
    <w:rsid w:val="00C4525F"/>
    <w:rsid w:val="00C90752"/>
    <w:rsid w:val="00C91F3A"/>
    <w:rsid w:val="00C958A7"/>
    <w:rsid w:val="00C971D2"/>
    <w:rsid w:val="00CA3530"/>
    <w:rsid w:val="00CA4506"/>
    <w:rsid w:val="00CA70B1"/>
    <w:rsid w:val="00CB2579"/>
    <w:rsid w:val="00CB2AAF"/>
    <w:rsid w:val="00CD517E"/>
    <w:rsid w:val="00CD5366"/>
    <w:rsid w:val="00CD5756"/>
    <w:rsid w:val="00CD7232"/>
    <w:rsid w:val="00CE1572"/>
    <w:rsid w:val="00CF5A17"/>
    <w:rsid w:val="00D037A3"/>
    <w:rsid w:val="00D04080"/>
    <w:rsid w:val="00D0452B"/>
    <w:rsid w:val="00D04DEF"/>
    <w:rsid w:val="00D119D8"/>
    <w:rsid w:val="00D156DD"/>
    <w:rsid w:val="00D15F14"/>
    <w:rsid w:val="00D169A3"/>
    <w:rsid w:val="00D25005"/>
    <w:rsid w:val="00D31C1B"/>
    <w:rsid w:val="00D40940"/>
    <w:rsid w:val="00D40D11"/>
    <w:rsid w:val="00D44E5D"/>
    <w:rsid w:val="00D50F26"/>
    <w:rsid w:val="00D5537B"/>
    <w:rsid w:val="00D66208"/>
    <w:rsid w:val="00D76BE3"/>
    <w:rsid w:val="00D85F55"/>
    <w:rsid w:val="00DA0FDE"/>
    <w:rsid w:val="00DA381E"/>
    <w:rsid w:val="00DA5AE0"/>
    <w:rsid w:val="00DB05F5"/>
    <w:rsid w:val="00DB2156"/>
    <w:rsid w:val="00DB4A6E"/>
    <w:rsid w:val="00DC23B2"/>
    <w:rsid w:val="00DC6CEC"/>
    <w:rsid w:val="00DD45D6"/>
    <w:rsid w:val="00DE39F9"/>
    <w:rsid w:val="00DF6040"/>
    <w:rsid w:val="00E076AA"/>
    <w:rsid w:val="00E1442E"/>
    <w:rsid w:val="00E14D03"/>
    <w:rsid w:val="00E15D3A"/>
    <w:rsid w:val="00E30D99"/>
    <w:rsid w:val="00E34581"/>
    <w:rsid w:val="00E42687"/>
    <w:rsid w:val="00E610F5"/>
    <w:rsid w:val="00E61E0F"/>
    <w:rsid w:val="00E6215D"/>
    <w:rsid w:val="00E73BAA"/>
    <w:rsid w:val="00E86D3B"/>
    <w:rsid w:val="00E90A9D"/>
    <w:rsid w:val="00E97261"/>
    <w:rsid w:val="00EC2C94"/>
    <w:rsid w:val="00EC3B1A"/>
    <w:rsid w:val="00EE3B21"/>
    <w:rsid w:val="00EE78A0"/>
    <w:rsid w:val="00EF00B2"/>
    <w:rsid w:val="00F07675"/>
    <w:rsid w:val="00F14CE9"/>
    <w:rsid w:val="00F16F27"/>
    <w:rsid w:val="00F32176"/>
    <w:rsid w:val="00F353E9"/>
    <w:rsid w:val="00F55C69"/>
    <w:rsid w:val="00F5726F"/>
    <w:rsid w:val="00F71528"/>
    <w:rsid w:val="00F743FE"/>
    <w:rsid w:val="00F83156"/>
    <w:rsid w:val="00F9023D"/>
    <w:rsid w:val="00F933B4"/>
    <w:rsid w:val="00F935E8"/>
    <w:rsid w:val="00FA0916"/>
    <w:rsid w:val="00FA4FC1"/>
    <w:rsid w:val="00FB1279"/>
    <w:rsid w:val="00FB1D0D"/>
    <w:rsid w:val="00FC191B"/>
    <w:rsid w:val="00FC4AB8"/>
    <w:rsid w:val="00FD10AB"/>
    <w:rsid w:val="00FD3E38"/>
    <w:rsid w:val="00FD4FC7"/>
    <w:rsid w:val="00FD6049"/>
    <w:rsid w:val="00FE3A03"/>
    <w:rsid w:val="00FF20BF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E35A8"/>
  <w15:docId w15:val="{4B5D20BD-CFA0-4650-9A92-7781EF9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9C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rs">
    <w:name w:val="kurs"/>
    <w:basedOn w:val="nosauk"/>
    <w:rPr>
      <w:b w:val="0"/>
      <w:i/>
      <w:sz w:val="18"/>
    </w:rPr>
  </w:style>
  <w:style w:type="paragraph" w:customStyle="1" w:styleId="nosauk">
    <w:name w:val="nosauk"/>
    <w:basedOn w:val="BodyText1"/>
    <w:next w:val="BodyText1"/>
    <w:pPr>
      <w:ind w:firstLine="0"/>
      <w:jc w:val="left"/>
    </w:pPr>
    <w:rPr>
      <w:b/>
      <w:color w:val="auto"/>
    </w:rPr>
  </w:style>
  <w:style w:type="paragraph" w:customStyle="1" w:styleId="BodyText1">
    <w:name w:val="Body Text1"/>
    <w:pPr>
      <w:ind w:firstLine="425"/>
      <w:jc w:val="both"/>
    </w:pPr>
    <w:rPr>
      <w:rFonts w:ascii="RimTimes" w:hAnsi="RimTimes"/>
      <w:color w:val="000000"/>
      <w:lang w:val="en-US" w:eastAsia="lv-LV"/>
    </w:rPr>
  </w:style>
  <w:style w:type="character" w:styleId="Hyperlink">
    <w:name w:val="Hyperlink"/>
    <w:rPr>
      <w:rFonts w:ascii="Dutch TL" w:hAnsi="Dutch TL"/>
      <w:noProof w:val="0"/>
      <w:color w:val="0000FF"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CA70B1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7E4EFF"/>
    <w:pPr>
      <w:tabs>
        <w:tab w:val="left" w:pos="567"/>
      </w:tabs>
    </w:pPr>
    <w:rPr>
      <w:sz w:val="22"/>
      <w:szCs w:val="20"/>
    </w:rPr>
  </w:style>
  <w:style w:type="paragraph" w:styleId="BalloonText">
    <w:name w:val="Balloon Text"/>
    <w:basedOn w:val="Normal"/>
    <w:semiHidden/>
    <w:rsid w:val="007E4EFF"/>
    <w:rPr>
      <w:rFonts w:ascii="Tahoma" w:hAnsi="Tahoma"/>
      <w:sz w:val="16"/>
      <w:szCs w:val="16"/>
    </w:rPr>
  </w:style>
  <w:style w:type="character" w:styleId="HTMLCite">
    <w:name w:val="HTML Cite"/>
    <w:rsid w:val="00383D1E"/>
    <w:rPr>
      <w:b w:val="0"/>
      <w:bCs w:val="0"/>
      <w:i w:val="0"/>
      <w:iCs w:val="0"/>
      <w:sz w:val="19"/>
      <w:szCs w:val="19"/>
      <w:vertAlign w:val="superscript"/>
    </w:rPr>
  </w:style>
  <w:style w:type="character" w:styleId="CommentReference">
    <w:name w:val="annotation reference"/>
    <w:semiHidden/>
    <w:rsid w:val="007B7DE3"/>
    <w:rPr>
      <w:sz w:val="16"/>
      <w:szCs w:val="16"/>
    </w:rPr>
  </w:style>
  <w:style w:type="paragraph" w:styleId="CommentText">
    <w:name w:val="annotation text"/>
    <w:basedOn w:val="Normal"/>
    <w:semiHidden/>
    <w:rsid w:val="007B7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7DE3"/>
    <w:rPr>
      <w:b/>
      <w:bCs/>
    </w:rPr>
  </w:style>
  <w:style w:type="paragraph" w:styleId="Revision">
    <w:name w:val="Revision"/>
    <w:hidden/>
    <w:uiPriority w:val="99"/>
    <w:semiHidden/>
    <w:rsid w:val="00CD517E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CD517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7600</Words>
  <Characters>4333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 ZĀĻU AĢENTŪRAS</vt:lpstr>
    </vt:vector>
  </TitlesOfParts>
  <Company>Grindeks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 ZĀĻU AĢENTŪRAS</dc:title>
  <dc:creator>Irena Jekabsone</dc:creator>
  <cp:lastModifiedBy>Skaidrīte Lapsenīte</cp:lastModifiedBy>
  <cp:revision>8</cp:revision>
  <dcterms:created xsi:type="dcterms:W3CDTF">2021-03-09T14:17:00Z</dcterms:created>
  <dcterms:modified xsi:type="dcterms:W3CDTF">2021-03-11T09:21:00Z</dcterms:modified>
</cp:coreProperties>
</file>