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7C49E" w14:textId="77777777" w:rsidR="002C3C3D" w:rsidRPr="008821FE" w:rsidRDefault="002C3C3D" w:rsidP="002C3C3D">
      <w:pPr>
        <w:jc w:val="center"/>
        <w:rPr>
          <w:b/>
          <w:sz w:val="22"/>
          <w:szCs w:val="22"/>
          <w:lang w:val="lv-LV"/>
        </w:rPr>
      </w:pPr>
      <w:r w:rsidRPr="008821FE">
        <w:rPr>
          <w:b/>
          <w:sz w:val="22"/>
          <w:szCs w:val="22"/>
          <w:lang w:val="lv-LV"/>
        </w:rPr>
        <w:t xml:space="preserve">Lietošanas </w:t>
      </w:r>
      <w:smartTag w:uri="schemas-tilde-lv/tildestengine" w:element="veidnes">
        <w:smartTagPr>
          <w:attr w:name="id" w:val="-1"/>
          <w:attr w:name="baseform" w:val="instrukcija"/>
          <w:attr w:name="text" w:val="instrukcija"/>
        </w:smartTagPr>
        <w:r w:rsidRPr="008821FE">
          <w:rPr>
            <w:b/>
            <w:sz w:val="22"/>
            <w:szCs w:val="22"/>
            <w:lang w:val="lv-LV"/>
          </w:rPr>
          <w:t>instrukcija</w:t>
        </w:r>
      </w:smartTag>
      <w:r w:rsidRPr="008821FE">
        <w:rPr>
          <w:b/>
          <w:sz w:val="22"/>
          <w:szCs w:val="22"/>
          <w:lang w:val="lv-LV"/>
        </w:rPr>
        <w:t>: informācija lietotājam</w:t>
      </w:r>
    </w:p>
    <w:p w14:paraId="79CEB7CA" w14:textId="77777777" w:rsidR="00501516" w:rsidRPr="008821FE" w:rsidRDefault="00501516" w:rsidP="00132B66">
      <w:pPr>
        <w:jc w:val="center"/>
        <w:rPr>
          <w:sz w:val="22"/>
          <w:szCs w:val="22"/>
          <w:lang w:val="lv-LV"/>
        </w:rPr>
      </w:pPr>
    </w:p>
    <w:p w14:paraId="0A6DAAC9" w14:textId="77777777" w:rsidR="007D6A3B" w:rsidRPr="008821FE" w:rsidRDefault="007D6A3B" w:rsidP="00132B66">
      <w:pPr>
        <w:pStyle w:val="nosauk"/>
        <w:jc w:val="center"/>
        <w:rPr>
          <w:rFonts w:ascii="Times New Roman" w:hAnsi="Times New Roman"/>
          <w:sz w:val="22"/>
          <w:szCs w:val="22"/>
          <w:lang w:val="lv-LV"/>
        </w:rPr>
      </w:pPr>
      <w:r w:rsidRPr="008821FE">
        <w:rPr>
          <w:rFonts w:ascii="Times New Roman" w:hAnsi="Times New Roman"/>
          <w:sz w:val="22"/>
          <w:szCs w:val="22"/>
          <w:lang w:val="lv-LV"/>
        </w:rPr>
        <w:t>M</w:t>
      </w:r>
      <w:r w:rsidR="002F445D" w:rsidRPr="008821FE">
        <w:rPr>
          <w:rFonts w:ascii="Times New Roman" w:hAnsi="Times New Roman"/>
          <w:sz w:val="22"/>
          <w:szCs w:val="22"/>
          <w:lang w:val="lv-LV"/>
        </w:rPr>
        <w:t>EBENDAZOLE</w:t>
      </w:r>
      <w:r w:rsidRPr="008821FE">
        <w:rPr>
          <w:rFonts w:ascii="Times New Roman" w:hAnsi="Times New Roman"/>
          <w:sz w:val="22"/>
          <w:szCs w:val="22"/>
          <w:lang w:val="lv-LV"/>
        </w:rPr>
        <w:t>-G</w:t>
      </w:r>
      <w:r w:rsidR="002F445D" w:rsidRPr="008821FE">
        <w:rPr>
          <w:rFonts w:ascii="Times New Roman" w:hAnsi="Times New Roman"/>
          <w:sz w:val="22"/>
          <w:szCs w:val="22"/>
          <w:lang w:val="lv-LV"/>
        </w:rPr>
        <w:t>RINDEKS</w:t>
      </w:r>
      <w:r w:rsidRPr="008821FE">
        <w:rPr>
          <w:rFonts w:ascii="Times New Roman" w:hAnsi="Times New Roman"/>
          <w:sz w:val="22"/>
          <w:szCs w:val="22"/>
          <w:lang w:val="lv-LV"/>
        </w:rPr>
        <w:t xml:space="preserve"> 100 mg tabletes</w:t>
      </w:r>
    </w:p>
    <w:p w14:paraId="2C3D91CD" w14:textId="77777777" w:rsidR="00E1562D" w:rsidRPr="008821FE" w:rsidRDefault="00E1562D" w:rsidP="00E17039">
      <w:pPr>
        <w:pStyle w:val="BodyText1"/>
        <w:rPr>
          <w:rFonts w:ascii="Times New Roman" w:hAnsi="Times New Roman"/>
          <w:sz w:val="22"/>
          <w:szCs w:val="22"/>
          <w:lang w:val="lv-LV"/>
        </w:rPr>
      </w:pPr>
    </w:p>
    <w:p w14:paraId="510F2277" w14:textId="77777777" w:rsidR="007D6A3B" w:rsidRPr="00002306" w:rsidRDefault="00820D1D" w:rsidP="00132B66">
      <w:pPr>
        <w:jc w:val="center"/>
        <w:rPr>
          <w:b/>
          <w:i/>
          <w:iCs/>
          <w:sz w:val="22"/>
          <w:szCs w:val="22"/>
          <w:lang w:val="lv-LV"/>
        </w:rPr>
      </w:pPr>
      <w:proofErr w:type="spellStart"/>
      <w:r w:rsidRPr="00002306">
        <w:rPr>
          <w:i/>
          <w:iCs/>
          <w:sz w:val="22"/>
          <w:szCs w:val="22"/>
          <w:lang w:val="lv-LV"/>
        </w:rPr>
        <w:t>m</w:t>
      </w:r>
      <w:r w:rsidR="007D6A3B" w:rsidRPr="00002306">
        <w:rPr>
          <w:i/>
          <w:iCs/>
          <w:sz w:val="22"/>
          <w:szCs w:val="22"/>
          <w:lang w:val="lv-LV"/>
        </w:rPr>
        <w:t>ebendazolum</w:t>
      </w:r>
      <w:proofErr w:type="spellEnd"/>
    </w:p>
    <w:p w14:paraId="4CAA0386" w14:textId="77777777" w:rsidR="00501516" w:rsidRPr="008821FE" w:rsidRDefault="00501516" w:rsidP="00132B66">
      <w:pPr>
        <w:jc w:val="center"/>
        <w:rPr>
          <w:sz w:val="22"/>
          <w:szCs w:val="22"/>
          <w:lang w:val="lv-LV"/>
        </w:rPr>
      </w:pPr>
    </w:p>
    <w:p w14:paraId="315612C8" w14:textId="77777777" w:rsidR="007D6A3B" w:rsidRPr="008821FE" w:rsidRDefault="007D6A3B" w:rsidP="00D1678B">
      <w:pPr>
        <w:autoSpaceDE w:val="0"/>
        <w:autoSpaceDN w:val="0"/>
        <w:adjustRightInd w:val="0"/>
        <w:jc w:val="both"/>
        <w:rPr>
          <w:b/>
          <w:bCs/>
          <w:sz w:val="22"/>
          <w:szCs w:val="22"/>
          <w:lang w:val="lv-LV"/>
        </w:rPr>
      </w:pPr>
      <w:r w:rsidRPr="008821FE">
        <w:rPr>
          <w:b/>
          <w:bCs/>
          <w:sz w:val="22"/>
          <w:szCs w:val="22"/>
          <w:lang w:val="lv-LV"/>
        </w:rPr>
        <w:t>Pirms zāļu lietošanas uzm</w:t>
      </w:r>
      <w:r w:rsidR="0072225D" w:rsidRPr="008821FE">
        <w:rPr>
          <w:b/>
          <w:bCs/>
          <w:sz w:val="22"/>
          <w:szCs w:val="22"/>
          <w:lang w:val="lv-LV"/>
        </w:rPr>
        <w:t>anīgi izlasiet visu instrukciju, jo tā satur Jums svarīgu informāciju.</w:t>
      </w:r>
    </w:p>
    <w:p w14:paraId="4E1B5A19" w14:textId="77777777" w:rsidR="007D6A3B" w:rsidRPr="008821FE" w:rsidRDefault="007D6A3B" w:rsidP="00132B66">
      <w:pPr>
        <w:autoSpaceDE w:val="0"/>
        <w:autoSpaceDN w:val="0"/>
        <w:adjustRightInd w:val="0"/>
        <w:ind w:left="360" w:hanging="360"/>
        <w:jc w:val="both"/>
        <w:rPr>
          <w:sz w:val="22"/>
          <w:szCs w:val="22"/>
          <w:lang w:val="lv-LV"/>
        </w:rPr>
      </w:pPr>
      <w:r w:rsidRPr="008821FE">
        <w:rPr>
          <w:sz w:val="22"/>
          <w:szCs w:val="22"/>
          <w:lang w:val="lv-LV"/>
        </w:rPr>
        <w:t>-</w:t>
      </w:r>
      <w:r w:rsidRPr="008821FE">
        <w:rPr>
          <w:sz w:val="22"/>
          <w:szCs w:val="22"/>
          <w:lang w:val="lv-LV"/>
        </w:rPr>
        <w:tab/>
        <w:t>Saglabājiet šo instrukciju! Iespējams, ka vēlāk to vajadzēs pārlasīt.</w:t>
      </w:r>
    </w:p>
    <w:p w14:paraId="0A5C49F3" w14:textId="77777777" w:rsidR="007D6A3B" w:rsidRPr="008821FE" w:rsidRDefault="00233A27" w:rsidP="00132B66">
      <w:pPr>
        <w:autoSpaceDE w:val="0"/>
        <w:autoSpaceDN w:val="0"/>
        <w:adjustRightInd w:val="0"/>
        <w:ind w:left="360" w:hanging="360"/>
        <w:jc w:val="both"/>
        <w:rPr>
          <w:sz w:val="22"/>
          <w:szCs w:val="22"/>
          <w:lang w:val="lv-LV"/>
        </w:rPr>
      </w:pPr>
      <w:r w:rsidRPr="008821FE">
        <w:rPr>
          <w:sz w:val="22"/>
          <w:szCs w:val="22"/>
          <w:lang w:val="lv-LV"/>
        </w:rPr>
        <w:t>-</w:t>
      </w:r>
      <w:r w:rsidRPr="008821FE">
        <w:rPr>
          <w:sz w:val="22"/>
          <w:szCs w:val="22"/>
          <w:lang w:val="lv-LV"/>
        </w:rPr>
        <w:tab/>
        <w:t xml:space="preserve">Ja </w:t>
      </w:r>
      <w:r w:rsidR="0072225D" w:rsidRPr="008821FE">
        <w:rPr>
          <w:sz w:val="22"/>
          <w:szCs w:val="22"/>
          <w:lang w:val="lv-LV"/>
        </w:rPr>
        <w:t xml:space="preserve">Jums </w:t>
      </w:r>
      <w:r w:rsidR="007D6A3B" w:rsidRPr="008821FE">
        <w:rPr>
          <w:sz w:val="22"/>
          <w:szCs w:val="22"/>
          <w:lang w:val="lv-LV"/>
        </w:rPr>
        <w:t>rodas jebkādi jautājumi, vaicājiet ārstam vai farmaceitam.</w:t>
      </w:r>
    </w:p>
    <w:p w14:paraId="118DB317" w14:textId="77777777" w:rsidR="007D6A3B" w:rsidRPr="008821FE" w:rsidRDefault="007D6A3B" w:rsidP="00132B66">
      <w:pPr>
        <w:autoSpaceDE w:val="0"/>
        <w:autoSpaceDN w:val="0"/>
        <w:adjustRightInd w:val="0"/>
        <w:ind w:left="360" w:hanging="360"/>
        <w:jc w:val="both"/>
        <w:rPr>
          <w:sz w:val="22"/>
          <w:szCs w:val="22"/>
          <w:lang w:val="lv-LV"/>
        </w:rPr>
      </w:pPr>
      <w:r w:rsidRPr="008821FE">
        <w:rPr>
          <w:sz w:val="22"/>
          <w:szCs w:val="22"/>
          <w:lang w:val="lv-LV"/>
        </w:rPr>
        <w:t>-</w:t>
      </w:r>
      <w:r w:rsidRPr="008821FE">
        <w:rPr>
          <w:sz w:val="22"/>
          <w:szCs w:val="22"/>
          <w:lang w:val="lv-LV"/>
        </w:rPr>
        <w:tab/>
        <w:t xml:space="preserve">Šīs zāles ir parakstītas </w:t>
      </w:r>
      <w:r w:rsidR="0072225D" w:rsidRPr="008821FE">
        <w:rPr>
          <w:sz w:val="22"/>
          <w:szCs w:val="22"/>
          <w:lang w:val="lv-LV"/>
        </w:rPr>
        <w:t xml:space="preserve">tikai </w:t>
      </w:r>
      <w:r w:rsidRPr="008821FE">
        <w:rPr>
          <w:sz w:val="22"/>
          <w:szCs w:val="22"/>
          <w:lang w:val="lv-LV"/>
        </w:rPr>
        <w:t xml:space="preserve">Jums. Nedodiet tās citiem. Tās var nodarīt ļaunumu pat tad, ja šiem cilvēkiem ir </w:t>
      </w:r>
      <w:r w:rsidR="0072225D" w:rsidRPr="008821FE">
        <w:rPr>
          <w:sz w:val="22"/>
          <w:szCs w:val="22"/>
          <w:lang w:val="lv-LV"/>
        </w:rPr>
        <w:t>līdzīgas slimības pazīmes</w:t>
      </w:r>
      <w:r w:rsidRPr="008821FE">
        <w:rPr>
          <w:sz w:val="22"/>
          <w:szCs w:val="22"/>
          <w:lang w:val="lv-LV"/>
        </w:rPr>
        <w:t>.</w:t>
      </w:r>
    </w:p>
    <w:p w14:paraId="041C3B99" w14:textId="77777777" w:rsidR="007D6A3B" w:rsidRPr="008821FE" w:rsidRDefault="00233A27" w:rsidP="00132B66">
      <w:pPr>
        <w:autoSpaceDE w:val="0"/>
        <w:autoSpaceDN w:val="0"/>
        <w:adjustRightInd w:val="0"/>
        <w:ind w:left="360" w:hanging="360"/>
        <w:jc w:val="both"/>
        <w:rPr>
          <w:sz w:val="22"/>
          <w:szCs w:val="22"/>
          <w:lang w:val="lv-LV"/>
        </w:rPr>
      </w:pPr>
      <w:r w:rsidRPr="008821FE">
        <w:rPr>
          <w:sz w:val="22"/>
          <w:szCs w:val="22"/>
          <w:lang w:val="lv-LV"/>
        </w:rPr>
        <w:t>-</w:t>
      </w:r>
      <w:r w:rsidRPr="008821FE">
        <w:rPr>
          <w:sz w:val="22"/>
          <w:szCs w:val="22"/>
          <w:lang w:val="lv-LV"/>
        </w:rPr>
        <w:tab/>
        <w:t xml:space="preserve">Ja </w:t>
      </w:r>
      <w:r w:rsidR="0072225D" w:rsidRPr="008821FE">
        <w:rPr>
          <w:sz w:val="22"/>
          <w:szCs w:val="22"/>
          <w:lang w:val="lv-LV"/>
        </w:rPr>
        <w:t xml:space="preserve">Jums rodas </w:t>
      </w:r>
      <w:r w:rsidR="007D6A3B" w:rsidRPr="008821FE">
        <w:rPr>
          <w:sz w:val="22"/>
          <w:szCs w:val="22"/>
          <w:lang w:val="lv-LV"/>
        </w:rPr>
        <w:t xml:space="preserve">jebkādas blakusparādības, </w:t>
      </w:r>
      <w:r w:rsidR="0072225D" w:rsidRPr="008821FE">
        <w:rPr>
          <w:sz w:val="22"/>
          <w:szCs w:val="22"/>
          <w:lang w:val="lv-LV"/>
        </w:rPr>
        <w:t>konsultējieties ar ārstu vai farmaceitu. Tas attiecas arī uz iespējamām blakusparādībām, kas nav minētas šajā instrukcijā. Skatīt 4.</w:t>
      </w:r>
      <w:r w:rsidR="00FA7778" w:rsidRPr="008821FE">
        <w:rPr>
          <w:sz w:val="22"/>
          <w:szCs w:val="22"/>
          <w:lang w:val="lv-LV"/>
        </w:rPr>
        <w:t> </w:t>
      </w:r>
      <w:r w:rsidR="0072225D" w:rsidRPr="008821FE">
        <w:rPr>
          <w:sz w:val="22"/>
          <w:szCs w:val="22"/>
          <w:lang w:val="lv-LV"/>
        </w:rPr>
        <w:t>punktu.</w:t>
      </w:r>
    </w:p>
    <w:p w14:paraId="4A26FF93" w14:textId="77777777" w:rsidR="007D6A3B" w:rsidRPr="008821FE" w:rsidRDefault="007D6A3B" w:rsidP="00D1678B">
      <w:pPr>
        <w:jc w:val="both"/>
        <w:rPr>
          <w:sz w:val="22"/>
          <w:szCs w:val="22"/>
          <w:lang w:val="lv-LV"/>
        </w:rPr>
      </w:pPr>
    </w:p>
    <w:p w14:paraId="55277D92" w14:textId="77777777" w:rsidR="00501516" w:rsidRPr="008821FE" w:rsidRDefault="00501516" w:rsidP="00D1678B">
      <w:pPr>
        <w:numPr>
          <w:ilvl w:val="12"/>
          <w:numId w:val="0"/>
        </w:numPr>
        <w:jc w:val="both"/>
        <w:rPr>
          <w:b/>
          <w:sz w:val="22"/>
          <w:szCs w:val="22"/>
          <w:lang w:val="lv-LV"/>
        </w:rPr>
      </w:pPr>
      <w:r w:rsidRPr="008821FE">
        <w:rPr>
          <w:b/>
          <w:sz w:val="22"/>
          <w:szCs w:val="22"/>
          <w:lang w:val="lv-LV"/>
        </w:rPr>
        <w:t>Šajā instrukcijā varat uzzināt</w:t>
      </w:r>
      <w:r w:rsidR="00DC3C18" w:rsidRPr="008821FE">
        <w:rPr>
          <w:b/>
          <w:sz w:val="22"/>
          <w:szCs w:val="22"/>
          <w:lang w:val="lv-LV"/>
        </w:rPr>
        <w:t>:</w:t>
      </w:r>
    </w:p>
    <w:p w14:paraId="67093BB4" w14:textId="77777777" w:rsidR="00501516" w:rsidRPr="008821FE" w:rsidRDefault="00132B66" w:rsidP="00132B66">
      <w:pPr>
        <w:ind w:left="360" w:hanging="360"/>
        <w:jc w:val="both"/>
        <w:rPr>
          <w:sz w:val="22"/>
          <w:szCs w:val="22"/>
          <w:lang w:val="lv-LV"/>
        </w:rPr>
      </w:pPr>
      <w:r w:rsidRPr="008821FE">
        <w:rPr>
          <w:sz w:val="22"/>
          <w:szCs w:val="22"/>
          <w:lang w:val="lv-LV"/>
        </w:rPr>
        <w:t>1.</w:t>
      </w:r>
      <w:r w:rsidRPr="008821FE">
        <w:rPr>
          <w:sz w:val="22"/>
          <w:szCs w:val="22"/>
          <w:lang w:val="lv-LV"/>
        </w:rPr>
        <w:tab/>
        <w:t>Kas ir Mebendazole-</w:t>
      </w:r>
      <w:r w:rsidR="00501516" w:rsidRPr="008821FE">
        <w:rPr>
          <w:sz w:val="22"/>
          <w:szCs w:val="22"/>
          <w:lang w:val="lv-LV"/>
        </w:rPr>
        <w:t>Grindeks un kādam nolūkam to lieto</w:t>
      </w:r>
    </w:p>
    <w:p w14:paraId="68445748" w14:textId="77777777" w:rsidR="00501516" w:rsidRPr="008821FE" w:rsidRDefault="00132B66" w:rsidP="00132B66">
      <w:pPr>
        <w:ind w:left="360" w:hanging="360"/>
        <w:jc w:val="both"/>
        <w:rPr>
          <w:sz w:val="22"/>
          <w:szCs w:val="22"/>
          <w:lang w:val="lv-LV"/>
        </w:rPr>
      </w:pPr>
      <w:r w:rsidRPr="008821FE">
        <w:rPr>
          <w:sz w:val="22"/>
          <w:szCs w:val="22"/>
          <w:lang w:val="lv-LV"/>
        </w:rPr>
        <w:t>2.</w:t>
      </w:r>
      <w:r w:rsidRPr="008821FE">
        <w:rPr>
          <w:sz w:val="22"/>
          <w:szCs w:val="22"/>
          <w:lang w:val="lv-LV"/>
        </w:rPr>
        <w:tab/>
      </w:r>
      <w:r w:rsidR="0017572B" w:rsidRPr="008821FE">
        <w:rPr>
          <w:sz w:val="22"/>
          <w:szCs w:val="22"/>
          <w:lang w:val="lv-LV"/>
        </w:rPr>
        <w:t xml:space="preserve">Kas Jums jāzina pirms </w:t>
      </w:r>
      <w:r w:rsidRPr="008821FE">
        <w:rPr>
          <w:sz w:val="22"/>
          <w:szCs w:val="22"/>
          <w:lang w:val="lv-LV"/>
        </w:rPr>
        <w:t>Mebendazole-</w:t>
      </w:r>
      <w:r w:rsidR="00501516" w:rsidRPr="008821FE">
        <w:rPr>
          <w:sz w:val="22"/>
          <w:szCs w:val="22"/>
          <w:lang w:val="lv-LV"/>
        </w:rPr>
        <w:t>Grindeks lietošanas</w:t>
      </w:r>
    </w:p>
    <w:p w14:paraId="20D55EC4" w14:textId="77777777" w:rsidR="00501516" w:rsidRPr="008821FE" w:rsidRDefault="00501516" w:rsidP="00132B66">
      <w:pPr>
        <w:ind w:left="360" w:hanging="360"/>
        <w:jc w:val="both"/>
        <w:rPr>
          <w:sz w:val="22"/>
          <w:szCs w:val="22"/>
          <w:lang w:val="lv-LV"/>
        </w:rPr>
      </w:pPr>
      <w:r w:rsidRPr="008821FE">
        <w:rPr>
          <w:sz w:val="22"/>
          <w:szCs w:val="22"/>
          <w:lang w:val="lv-LV"/>
        </w:rPr>
        <w:t>3.</w:t>
      </w:r>
      <w:r w:rsidRPr="008821FE">
        <w:rPr>
          <w:sz w:val="22"/>
          <w:szCs w:val="22"/>
          <w:lang w:val="lv-LV"/>
        </w:rPr>
        <w:tab/>
        <w:t>Kā lietot M</w:t>
      </w:r>
      <w:r w:rsidR="00132B66" w:rsidRPr="008821FE">
        <w:rPr>
          <w:sz w:val="22"/>
          <w:szCs w:val="22"/>
          <w:lang w:val="lv-LV"/>
        </w:rPr>
        <w:t>ebendazole-</w:t>
      </w:r>
      <w:r w:rsidRPr="008821FE">
        <w:rPr>
          <w:sz w:val="22"/>
          <w:szCs w:val="22"/>
          <w:lang w:val="lv-LV"/>
        </w:rPr>
        <w:t xml:space="preserve">Grindeks </w:t>
      </w:r>
    </w:p>
    <w:p w14:paraId="34A1577A" w14:textId="77777777" w:rsidR="00501516" w:rsidRPr="008821FE" w:rsidRDefault="00501516" w:rsidP="00132B66">
      <w:pPr>
        <w:ind w:left="360" w:hanging="360"/>
        <w:jc w:val="both"/>
        <w:rPr>
          <w:sz w:val="22"/>
          <w:szCs w:val="22"/>
          <w:lang w:val="lv-LV"/>
        </w:rPr>
      </w:pPr>
      <w:r w:rsidRPr="008821FE">
        <w:rPr>
          <w:sz w:val="22"/>
          <w:szCs w:val="22"/>
          <w:lang w:val="lv-LV"/>
        </w:rPr>
        <w:t>4.</w:t>
      </w:r>
      <w:r w:rsidRPr="008821FE">
        <w:rPr>
          <w:sz w:val="22"/>
          <w:szCs w:val="22"/>
          <w:lang w:val="lv-LV"/>
        </w:rPr>
        <w:tab/>
        <w:t>Iespējamās blakusparādības</w:t>
      </w:r>
    </w:p>
    <w:p w14:paraId="2CA5A7BB" w14:textId="77777777" w:rsidR="00501516" w:rsidRPr="008821FE" w:rsidRDefault="00132B66" w:rsidP="00132B66">
      <w:pPr>
        <w:ind w:left="360" w:hanging="360"/>
        <w:jc w:val="both"/>
        <w:rPr>
          <w:sz w:val="22"/>
          <w:szCs w:val="22"/>
          <w:lang w:val="lv-LV"/>
        </w:rPr>
      </w:pPr>
      <w:r w:rsidRPr="008821FE">
        <w:rPr>
          <w:sz w:val="22"/>
          <w:szCs w:val="22"/>
          <w:lang w:val="lv-LV"/>
        </w:rPr>
        <w:t>5</w:t>
      </w:r>
      <w:r w:rsidRPr="008821FE">
        <w:rPr>
          <w:sz w:val="22"/>
          <w:szCs w:val="22"/>
          <w:lang w:val="lv-LV"/>
        </w:rPr>
        <w:tab/>
      </w:r>
      <w:r w:rsidRPr="008821FE">
        <w:rPr>
          <w:noProof/>
          <w:sz w:val="22"/>
          <w:szCs w:val="22"/>
        </w:rPr>
        <w:t xml:space="preserve">Kā uzglabāt </w:t>
      </w:r>
      <w:r w:rsidRPr="008821FE">
        <w:rPr>
          <w:sz w:val="22"/>
          <w:szCs w:val="22"/>
          <w:lang w:val="lv-LV"/>
        </w:rPr>
        <w:t>Mebendazole-Grindeks</w:t>
      </w:r>
    </w:p>
    <w:p w14:paraId="6A20848D" w14:textId="77777777" w:rsidR="00501516" w:rsidRPr="008821FE" w:rsidRDefault="00501516" w:rsidP="00132B66">
      <w:pPr>
        <w:ind w:left="360" w:hanging="360"/>
        <w:jc w:val="both"/>
        <w:rPr>
          <w:sz w:val="22"/>
          <w:szCs w:val="22"/>
          <w:lang w:val="lv-LV"/>
        </w:rPr>
      </w:pPr>
      <w:r w:rsidRPr="008821FE">
        <w:rPr>
          <w:sz w:val="22"/>
          <w:szCs w:val="22"/>
          <w:lang w:val="lv-LV"/>
        </w:rPr>
        <w:t>6.</w:t>
      </w:r>
      <w:r w:rsidRPr="008821FE">
        <w:rPr>
          <w:sz w:val="22"/>
          <w:szCs w:val="22"/>
          <w:lang w:val="lv-LV"/>
        </w:rPr>
        <w:tab/>
      </w:r>
      <w:r w:rsidR="0017572B" w:rsidRPr="008821FE">
        <w:rPr>
          <w:sz w:val="22"/>
          <w:szCs w:val="22"/>
          <w:lang w:val="lv-LV"/>
        </w:rPr>
        <w:t>Iepakojuma saturs un cita informācija</w:t>
      </w:r>
    </w:p>
    <w:p w14:paraId="7C8A0A55" w14:textId="77777777" w:rsidR="00501516" w:rsidRPr="008821FE" w:rsidRDefault="00501516" w:rsidP="00D1678B">
      <w:pPr>
        <w:jc w:val="both"/>
        <w:rPr>
          <w:sz w:val="22"/>
          <w:szCs w:val="22"/>
          <w:lang w:val="lv-LV"/>
        </w:rPr>
      </w:pPr>
    </w:p>
    <w:p w14:paraId="56BB5B69" w14:textId="77777777" w:rsidR="00405152" w:rsidRPr="008821FE" w:rsidRDefault="00405152" w:rsidP="00D1678B">
      <w:pPr>
        <w:jc w:val="both"/>
        <w:rPr>
          <w:sz w:val="22"/>
          <w:szCs w:val="22"/>
          <w:lang w:val="lv-LV"/>
        </w:rPr>
      </w:pPr>
    </w:p>
    <w:p w14:paraId="6CAEA0C9" w14:textId="77777777" w:rsidR="00501516" w:rsidRPr="008821FE" w:rsidRDefault="00132B66" w:rsidP="00132B66">
      <w:pPr>
        <w:pStyle w:val="BodyText1"/>
        <w:tabs>
          <w:tab w:val="left" w:pos="360"/>
        </w:tabs>
        <w:ind w:firstLine="0"/>
        <w:rPr>
          <w:rFonts w:ascii="Times New Roman" w:hAnsi="Times New Roman"/>
          <w:b/>
          <w:color w:val="auto"/>
          <w:sz w:val="22"/>
          <w:szCs w:val="22"/>
          <w:lang w:val="lv-LV"/>
        </w:rPr>
      </w:pPr>
      <w:r w:rsidRPr="008821FE">
        <w:rPr>
          <w:rFonts w:ascii="Times New Roman" w:hAnsi="Times New Roman"/>
          <w:b/>
          <w:color w:val="auto"/>
          <w:sz w:val="22"/>
          <w:szCs w:val="22"/>
          <w:lang w:val="lv-LV"/>
        </w:rPr>
        <w:t>1.</w:t>
      </w:r>
      <w:r w:rsidRPr="008821FE">
        <w:rPr>
          <w:rFonts w:ascii="Times New Roman" w:hAnsi="Times New Roman"/>
          <w:b/>
          <w:color w:val="auto"/>
          <w:sz w:val="22"/>
          <w:szCs w:val="22"/>
          <w:lang w:val="lv-LV"/>
        </w:rPr>
        <w:tab/>
        <w:t>K</w:t>
      </w:r>
      <w:r w:rsidR="00AD7FA5" w:rsidRPr="008821FE">
        <w:rPr>
          <w:rFonts w:ascii="Times New Roman" w:hAnsi="Times New Roman"/>
          <w:b/>
          <w:color w:val="auto"/>
          <w:sz w:val="22"/>
          <w:szCs w:val="22"/>
          <w:lang w:val="lv-LV"/>
        </w:rPr>
        <w:t>as</w:t>
      </w:r>
      <w:r w:rsidRPr="008821FE">
        <w:rPr>
          <w:rFonts w:ascii="Times New Roman" w:hAnsi="Times New Roman"/>
          <w:b/>
          <w:color w:val="auto"/>
          <w:sz w:val="22"/>
          <w:szCs w:val="22"/>
          <w:lang w:val="lv-LV"/>
        </w:rPr>
        <w:t xml:space="preserve"> </w:t>
      </w:r>
      <w:r w:rsidR="00AD7FA5" w:rsidRPr="008821FE">
        <w:rPr>
          <w:rFonts w:ascii="Times New Roman" w:hAnsi="Times New Roman"/>
          <w:b/>
          <w:color w:val="auto"/>
          <w:sz w:val="22"/>
          <w:szCs w:val="22"/>
          <w:lang w:val="lv-LV"/>
        </w:rPr>
        <w:t>ir</w:t>
      </w:r>
      <w:r w:rsidRPr="008821FE">
        <w:rPr>
          <w:rFonts w:ascii="Times New Roman" w:hAnsi="Times New Roman"/>
          <w:b/>
          <w:color w:val="auto"/>
          <w:sz w:val="22"/>
          <w:szCs w:val="22"/>
          <w:lang w:val="lv-LV"/>
        </w:rPr>
        <w:t xml:space="preserve"> M</w:t>
      </w:r>
      <w:r w:rsidR="00AD7FA5" w:rsidRPr="008821FE">
        <w:rPr>
          <w:rFonts w:ascii="Times New Roman" w:hAnsi="Times New Roman"/>
          <w:b/>
          <w:color w:val="auto"/>
          <w:sz w:val="22"/>
          <w:szCs w:val="22"/>
          <w:lang w:val="lv-LV"/>
        </w:rPr>
        <w:t>ebendazole</w:t>
      </w:r>
      <w:r w:rsidR="00501516" w:rsidRPr="008821FE">
        <w:rPr>
          <w:rFonts w:ascii="Times New Roman" w:hAnsi="Times New Roman"/>
          <w:b/>
          <w:color w:val="auto"/>
          <w:sz w:val="22"/>
          <w:szCs w:val="22"/>
          <w:lang w:val="lv-LV"/>
        </w:rPr>
        <w:t>-G</w:t>
      </w:r>
      <w:r w:rsidR="00AD7FA5" w:rsidRPr="008821FE">
        <w:rPr>
          <w:rFonts w:ascii="Times New Roman" w:hAnsi="Times New Roman"/>
          <w:b/>
          <w:color w:val="auto"/>
          <w:sz w:val="22"/>
          <w:szCs w:val="22"/>
          <w:lang w:val="lv-LV"/>
        </w:rPr>
        <w:t>rindeks</w:t>
      </w:r>
      <w:r w:rsidR="00AD7FA5" w:rsidRPr="008821FE">
        <w:rPr>
          <w:rFonts w:ascii="Times New Roman" w:hAnsi="Times New Roman"/>
          <w:color w:val="auto"/>
          <w:sz w:val="22"/>
          <w:szCs w:val="22"/>
          <w:lang w:val="lv-LV"/>
        </w:rPr>
        <w:t xml:space="preserve"> </w:t>
      </w:r>
      <w:r w:rsidR="00AD7FA5" w:rsidRPr="008821FE">
        <w:rPr>
          <w:rFonts w:ascii="Times New Roman" w:hAnsi="Times New Roman"/>
          <w:b/>
          <w:color w:val="auto"/>
          <w:sz w:val="22"/>
          <w:szCs w:val="22"/>
          <w:lang w:val="lv-LV"/>
        </w:rPr>
        <w:t>un kādam nolūkam to lieto</w:t>
      </w:r>
    </w:p>
    <w:p w14:paraId="025B3077" w14:textId="77777777" w:rsidR="00501516" w:rsidRPr="008821FE" w:rsidRDefault="00501516" w:rsidP="00D1678B">
      <w:pPr>
        <w:pStyle w:val="BodyText1"/>
        <w:ind w:firstLine="0"/>
        <w:rPr>
          <w:rFonts w:ascii="Times New Roman" w:hAnsi="Times New Roman"/>
          <w:color w:val="auto"/>
          <w:sz w:val="22"/>
          <w:szCs w:val="22"/>
          <w:lang w:val="lv-LV"/>
        </w:rPr>
      </w:pPr>
    </w:p>
    <w:p w14:paraId="7F5EF901" w14:textId="77777777" w:rsidR="00501516" w:rsidRPr="008821FE" w:rsidRDefault="008D273C" w:rsidP="00D1678B">
      <w:pPr>
        <w:pStyle w:val="BodyText1"/>
        <w:ind w:firstLine="0"/>
        <w:rPr>
          <w:rFonts w:ascii="Times New Roman" w:hAnsi="Times New Roman"/>
          <w:color w:val="auto"/>
          <w:spacing w:val="-2"/>
          <w:sz w:val="22"/>
          <w:szCs w:val="22"/>
          <w:lang w:val="lv-LV"/>
        </w:rPr>
      </w:pPr>
      <w:r w:rsidRPr="008821FE">
        <w:rPr>
          <w:rFonts w:ascii="Times New Roman" w:hAnsi="Times New Roman"/>
          <w:color w:val="auto"/>
          <w:spacing w:val="-2"/>
          <w:sz w:val="22"/>
          <w:szCs w:val="22"/>
          <w:lang w:val="lv-LV"/>
        </w:rPr>
        <w:t xml:space="preserve">Mebendazole-Grindeks aktīvā viela – mebendazols – </w:t>
      </w:r>
      <w:r w:rsidR="00501516" w:rsidRPr="008821FE">
        <w:rPr>
          <w:rFonts w:ascii="Times New Roman" w:hAnsi="Times New Roman"/>
          <w:color w:val="auto"/>
          <w:spacing w:val="-2"/>
          <w:sz w:val="22"/>
          <w:szCs w:val="22"/>
          <w:lang w:val="lv-LV"/>
        </w:rPr>
        <w:t>ir prettārpu līdze</w:t>
      </w:r>
      <w:r w:rsidR="00A711C3" w:rsidRPr="008821FE">
        <w:rPr>
          <w:rFonts w:ascii="Times New Roman" w:hAnsi="Times New Roman"/>
          <w:color w:val="auto"/>
          <w:spacing w:val="-2"/>
          <w:sz w:val="22"/>
          <w:szCs w:val="22"/>
          <w:lang w:val="lv-LV"/>
        </w:rPr>
        <w:t xml:space="preserve">klis ar plašu darbības spektru. To </w:t>
      </w:r>
      <w:r w:rsidR="00501516" w:rsidRPr="008821FE">
        <w:rPr>
          <w:rFonts w:ascii="Times New Roman" w:hAnsi="Times New Roman"/>
          <w:color w:val="auto"/>
          <w:spacing w:val="-2"/>
          <w:sz w:val="22"/>
          <w:szCs w:val="22"/>
          <w:lang w:val="lv-LV"/>
        </w:rPr>
        <w:t xml:space="preserve">lieto </w:t>
      </w:r>
      <w:r w:rsidR="00B566D4" w:rsidRPr="008821FE">
        <w:rPr>
          <w:rFonts w:ascii="Times New Roman" w:hAnsi="Times New Roman"/>
          <w:color w:val="auto"/>
          <w:spacing w:val="-2"/>
          <w:sz w:val="22"/>
          <w:szCs w:val="22"/>
          <w:lang w:val="lv-LV"/>
        </w:rPr>
        <w:t xml:space="preserve">vienas vai jauktas kuņģa-zarnu trakta invāzijas ar </w:t>
      </w:r>
      <w:r w:rsidR="00B566D4" w:rsidRPr="008821FE">
        <w:rPr>
          <w:rFonts w:ascii="Times New Roman" w:hAnsi="Times New Roman"/>
          <w:i/>
          <w:iCs/>
          <w:color w:val="auto"/>
          <w:spacing w:val="-2"/>
          <w:sz w:val="22"/>
          <w:szCs w:val="22"/>
          <w:lang w:val="lv-LV"/>
        </w:rPr>
        <w:t>Enterobius vermicularis</w:t>
      </w:r>
      <w:r w:rsidR="00B566D4" w:rsidRPr="008821FE">
        <w:rPr>
          <w:rFonts w:ascii="Times New Roman" w:hAnsi="Times New Roman"/>
          <w:color w:val="auto"/>
          <w:spacing w:val="-2"/>
          <w:sz w:val="22"/>
          <w:szCs w:val="22"/>
          <w:lang w:val="lv-LV"/>
        </w:rPr>
        <w:t xml:space="preserve"> (cilvēka spalīšiem), </w:t>
      </w:r>
      <w:r w:rsidR="00B566D4" w:rsidRPr="008821FE">
        <w:rPr>
          <w:rFonts w:ascii="Times New Roman" w:hAnsi="Times New Roman"/>
          <w:i/>
          <w:iCs/>
          <w:color w:val="auto"/>
          <w:spacing w:val="-2"/>
          <w:sz w:val="22"/>
          <w:szCs w:val="22"/>
          <w:lang w:val="lv-LV"/>
        </w:rPr>
        <w:t xml:space="preserve">Trichuris trichiura </w:t>
      </w:r>
      <w:r w:rsidR="00B566D4" w:rsidRPr="008821FE">
        <w:rPr>
          <w:rFonts w:ascii="Times New Roman" w:hAnsi="Times New Roman"/>
          <w:iCs/>
          <w:color w:val="auto"/>
          <w:spacing w:val="-2"/>
          <w:sz w:val="22"/>
          <w:szCs w:val="22"/>
          <w:lang w:val="lv-LV"/>
        </w:rPr>
        <w:t>(matgalvjiem)</w:t>
      </w:r>
      <w:r w:rsidR="00B566D4" w:rsidRPr="008821FE">
        <w:rPr>
          <w:rFonts w:ascii="Times New Roman" w:hAnsi="Times New Roman"/>
          <w:i/>
          <w:iCs/>
          <w:color w:val="auto"/>
          <w:spacing w:val="-2"/>
          <w:sz w:val="22"/>
          <w:szCs w:val="22"/>
          <w:lang w:val="lv-LV"/>
        </w:rPr>
        <w:t xml:space="preserve">, Ascaris lumbricoides </w:t>
      </w:r>
      <w:r w:rsidR="00B566D4" w:rsidRPr="008821FE">
        <w:rPr>
          <w:rFonts w:ascii="Times New Roman" w:hAnsi="Times New Roman"/>
          <w:color w:val="auto"/>
          <w:spacing w:val="-2"/>
          <w:sz w:val="22"/>
          <w:szCs w:val="22"/>
          <w:lang w:val="lv-LV"/>
        </w:rPr>
        <w:t xml:space="preserve">(cērmēm), </w:t>
      </w:r>
      <w:r w:rsidR="00B566D4" w:rsidRPr="008821FE">
        <w:rPr>
          <w:rFonts w:ascii="Times New Roman" w:hAnsi="Times New Roman"/>
          <w:i/>
          <w:iCs/>
          <w:color w:val="auto"/>
          <w:spacing w:val="-2"/>
          <w:sz w:val="22"/>
          <w:szCs w:val="22"/>
          <w:lang w:val="lv-LV"/>
        </w:rPr>
        <w:t>Ancylostoma duodenale</w:t>
      </w:r>
      <w:r w:rsidR="00B566D4" w:rsidRPr="008821FE">
        <w:rPr>
          <w:rFonts w:ascii="Times New Roman" w:hAnsi="Times New Roman"/>
          <w:color w:val="auto"/>
          <w:spacing w:val="-2"/>
          <w:sz w:val="22"/>
          <w:szCs w:val="22"/>
          <w:lang w:val="lv-LV"/>
        </w:rPr>
        <w:t xml:space="preserve"> vai </w:t>
      </w:r>
      <w:r w:rsidR="00B566D4" w:rsidRPr="008821FE">
        <w:rPr>
          <w:rFonts w:ascii="Times New Roman" w:hAnsi="Times New Roman"/>
          <w:i/>
          <w:iCs/>
          <w:color w:val="auto"/>
          <w:spacing w:val="-2"/>
          <w:sz w:val="22"/>
          <w:szCs w:val="22"/>
          <w:lang w:val="lv-LV"/>
        </w:rPr>
        <w:t>Necator americanus</w:t>
      </w:r>
      <w:r w:rsidR="00B566D4" w:rsidRPr="008821FE">
        <w:rPr>
          <w:rFonts w:ascii="Times New Roman" w:hAnsi="Times New Roman"/>
          <w:color w:val="auto"/>
          <w:spacing w:val="-2"/>
          <w:sz w:val="22"/>
          <w:szCs w:val="22"/>
          <w:lang w:val="lv-LV"/>
        </w:rPr>
        <w:t xml:space="preserve"> (āķtārpiem) un </w:t>
      </w:r>
      <w:r w:rsidR="00B566D4" w:rsidRPr="008821FE">
        <w:rPr>
          <w:rFonts w:ascii="Times New Roman" w:hAnsi="Times New Roman"/>
          <w:i/>
          <w:color w:val="auto"/>
          <w:spacing w:val="-2"/>
          <w:sz w:val="22"/>
          <w:szCs w:val="22"/>
          <w:lang w:val="lv-LV"/>
        </w:rPr>
        <w:t>Strongyloides stercoralis; Taenia spp</w:t>
      </w:r>
      <w:r w:rsidR="00B566D4" w:rsidRPr="008821FE">
        <w:rPr>
          <w:rFonts w:ascii="Times New Roman" w:hAnsi="Times New Roman"/>
          <w:color w:val="auto"/>
          <w:spacing w:val="-2"/>
          <w:sz w:val="22"/>
          <w:szCs w:val="22"/>
          <w:lang w:val="lv-LV"/>
        </w:rPr>
        <w:t>. (lenteņiem) ārstēšanai.</w:t>
      </w:r>
    </w:p>
    <w:p w14:paraId="798388E8" w14:textId="77777777" w:rsidR="00B9106A" w:rsidRPr="008821FE" w:rsidRDefault="00B9106A" w:rsidP="00E17039">
      <w:pPr>
        <w:rPr>
          <w:sz w:val="22"/>
          <w:szCs w:val="22"/>
          <w:lang w:val="lv-LV"/>
        </w:rPr>
      </w:pPr>
      <w:r w:rsidRPr="008821FE">
        <w:rPr>
          <w:sz w:val="22"/>
          <w:szCs w:val="22"/>
          <w:lang w:val="lv-LV"/>
        </w:rPr>
        <w:t xml:space="preserve">Mebendazole-Grindeks ir </w:t>
      </w:r>
      <w:r w:rsidR="00A26F13" w:rsidRPr="008821FE">
        <w:rPr>
          <w:sz w:val="22"/>
          <w:szCs w:val="22"/>
          <w:lang w:val="lv-LV"/>
        </w:rPr>
        <w:t>paredzēts</w:t>
      </w:r>
      <w:r w:rsidRPr="008821FE">
        <w:rPr>
          <w:sz w:val="22"/>
          <w:szCs w:val="22"/>
          <w:lang w:val="lv-LV"/>
        </w:rPr>
        <w:t xml:space="preserve"> lietošanai pieaugušiem un bērniem. </w:t>
      </w:r>
    </w:p>
    <w:p w14:paraId="462832A1" w14:textId="77777777" w:rsidR="00501516" w:rsidRPr="008821FE" w:rsidRDefault="00501516" w:rsidP="00D1678B">
      <w:pPr>
        <w:pStyle w:val="BodyText1"/>
        <w:ind w:firstLine="0"/>
        <w:rPr>
          <w:rFonts w:ascii="Times New Roman" w:hAnsi="Times New Roman"/>
          <w:color w:val="auto"/>
          <w:sz w:val="22"/>
          <w:szCs w:val="22"/>
          <w:lang w:val="lv-LV"/>
        </w:rPr>
      </w:pPr>
    </w:p>
    <w:p w14:paraId="0F2B1831" w14:textId="77777777" w:rsidR="00405152" w:rsidRPr="008821FE" w:rsidRDefault="00405152" w:rsidP="00D1678B">
      <w:pPr>
        <w:pStyle w:val="BodyText1"/>
        <w:ind w:firstLine="0"/>
        <w:rPr>
          <w:rFonts w:ascii="Times New Roman" w:hAnsi="Times New Roman"/>
          <w:color w:val="auto"/>
          <w:sz w:val="22"/>
          <w:szCs w:val="22"/>
          <w:lang w:val="lv-LV"/>
        </w:rPr>
      </w:pPr>
    </w:p>
    <w:p w14:paraId="034BD124" w14:textId="77777777" w:rsidR="00501516" w:rsidRPr="008821FE" w:rsidRDefault="00132B66" w:rsidP="00132B66">
      <w:pPr>
        <w:tabs>
          <w:tab w:val="left" w:pos="360"/>
        </w:tabs>
        <w:jc w:val="both"/>
        <w:rPr>
          <w:b/>
          <w:sz w:val="22"/>
          <w:szCs w:val="22"/>
          <w:lang w:val="lv-LV"/>
        </w:rPr>
      </w:pPr>
      <w:r w:rsidRPr="008821FE">
        <w:rPr>
          <w:b/>
          <w:sz w:val="22"/>
          <w:szCs w:val="22"/>
          <w:lang w:val="lv-LV"/>
        </w:rPr>
        <w:t>2.</w:t>
      </w:r>
      <w:r w:rsidRPr="008821FE">
        <w:rPr>
          <w:b/>
          <w:sz w:val="22"/>
          <w:szCs w:val="22"/>
          <w:lang w:val="lv-LV"/>
        </w:rPr>
        <w:tab/>
      </w:r>
      <w:r w:rsidR="00A61583" w:rsidRPr="008821FE">
        <w:rPr>
          <w:b/>
          <w:sz w:val="22"/>
          <w:szCs w:val="22"/>
          <w:lang w:val="lv-LV"/>
        </w:rPr>
        <w:t>K</w:t>
      </w:r>
      <w:r w:rsidR="00AD7FA5" w:rsidRPr="008821FE">
        <w:rPr>
          <w:b/>
          <w:sz w:val="22"/>
          <w:szCs w:val="22"/>
          <w:lang w:val="lv-LV"/>
        </w:rPr>
        <w:t>as</w:t>
      </w:r>
      <w:r w:rsidR="00A61583" w:rsidRPr="008821FE">
        <w:rPr>
          <w:b/>
          <w:sz w:val="22"/>
          <w:szCs w:val="22"/>
          <w:lang w:val="lv-LV"/>
        </w:rPr>
        <w:t xml:space="preserve"> J</w:t>
      </w:r>
      <w:r w:rsidR="00AD7FA5" w:rsidRPr="008821FE">
        <w:rPr>
          <w:b/>
          <w:sz w:val="22"/>
          <w:szCs w:val="22"/>
          <w:lang w:val="lv-LV"/>
        </w:rPr>
        <w:t>ums</w:t>
      </w:r>
      <w:r w:rsidR="00A61583" w:rsidRPr="008821FE">
        <w:rPr>
          <w:b/>
          <w:sz w:val="22"/>
          <w:szCs w:val="22"/>
          <w:lang w:val="lv-LV"/>
        </w:rPr>
        <w:t xml:space="preserve"> </w:t>
      </w:r>
      <w:r w:rsidR="00AD7FA5" w:rsidRPr="008821FE">
        <w:rPr>
          <w:b/>
          <w:sz w:val="22"/>
          <w:szCs w:val="22"/>
          <w:lang w:val="lv-LV"/>
        </w:rPr>
        <w:t xml:space="preserve">jāzina pirms </w:t>
      </w:r>
      <w:r w:rsidRPr="008821FE">
        <w:rPr>
          <w:b/>
          <w:sz w:val="22"/>
          <w:szCs w:val="22"/>
          <w:lang w:val="lv-LV"/>
        </w:rPr>
        <w:t>M</w:t>
      </w:r>
      <w:r w:rsidR="00AD7FA5" w:rsidRPr="008821FE">
        <w:rPr>
          <w:b/>
          <w:sz w:val="22"/>
          <w:szCs w:val="22"/>
          <w:lang w:val="lv-LV"/>
        </w:rPr>
        <w:t>ebendazole</w:t>
      </w:r>
      <w:r w:rsidRPr="008821FE">
        <w:rPr>
          <w:b/>
          <w:sz w:val="22"/>
          <w:szCs w:val="22"/>
          <w:lang w:val="lv-LV"/>
        </w:rPr>
        <w:t>-</w:t>
      </w:r>
      <w:r w:rsidR="00501516" w:rsidRPr="008821FE">
        <w:rPr>
          <w:b/>
          <w:sz w:val="22"/>
          <w:szCs w:val="22"/>
          <w:lang w:val="lv-LV"/>
        </w:rPr>
        <w:t>G</w:t>
      </w:r>
      <w:r w:rsidR="00AD7FA5" w:rsidRPr="008821FE">
        <w:rPr>
          <w:b/>
          <w:sz w:val="22"/>
          <w:szCs w:val="22"/>
          <w:lang w:val="lv-LV"/>
        </w:rPr>
        <w:t>rindeks lietošanas</w:t>
      </w:r>
    </w:p>
    <w:p w14:paraId="0EA3148B" w14:textId="77777777" w:rsidR="00501516" w:rsidRPr="008821FE" w:rsidRDefault="00501516" w:rsidP="00D1678B">
      <w:pPr>
        <w:jc w:val="both"/>
        <w:rPr>
          <w:sz w:val="22"/>
          <w:szCs w:val="22"/>
          <w:lang w:val="lv-LV"/>
        </w:rPr>
      </w:pPr>
    </w:p>
    <w:p w14:paraId="2157D066" w14:textId="77777777" w:rsidR="00501516" w:rsidRPr="008821FE" w:rsidRDefault="00501516" w:rsidP="00D1678B">
      <w:pPr>
        <w:jc w:val="both"/>
        <w:rPr>
          <w:b/>
          <w:sz w:val="22"/>
          <w:szCs w:val="22"/>
          <w:lang w:val="lv-LV"/>
        </w:rPr>
      </w:pPr>
      <w:r w:rsidRPr="008821FE">
        <w:rPr>
          <w:b/>
          <w:sz w:val="22"/>
          <w:szCs w:val="22"/>
          <w:lang w:val="lv-LV"/>
        </w:rPr>
        <w:t>Nelietojiet Mebenda</w:t>
      </w:r>
      <w:r w:rsidR="00132B66" w:rsidRPr="008821FE">
        <w:rPr>
          <w:b/>
          <w:sz w:val="22"/>
          <w:szCs w:val="22"/>
          <w:lang w:val="lv-LV"/>
        </w:rPr>
        <w:t>zole-Grindeks šādos gadījumos</w:t>
      </w:r>
    </w:p>
    <w:p w14:paraId="40E29080" w14:textId="77777777" w:rsidR="00501516" w:rsidRPr="008821FE" w:rsidRDefault="000C297E" w:rsidP="00E17039">
      <w:pPr>
        <w:tabs>
          <w:tab w:val="left" w:pos="426"/>
        </w:tabs>
        <w:jc w:val="both"/>
        <w:rPr>
          <w:spacing w:val="-4"/>
          <w:sz w:val="22"/>
          <w:szCs w:val="22"/>
          <w:lang w:val="lv-LV"/>
        </w:rPr>
      </w:pPr>
      <w:r w:rsidRPr="008821FE">
        <w:rPr>
          <w:spacing w:val="-4"/>
          <w:sz w:val="22"/>
          <w:szCs w:val="22"/>
          <w:lang w:val="lv-LV"/>
        </w:rPr>
        <w:t>-</w:t>
      </w:r>
      <w:r w:rsidRPr="008821FE">
        <w:rPr>
          <w:spacing w:val="-4"/>
          <w:sz w:val="22"/>
          <w:szCs w:val="22"/>
          <w:lang w:val="lv-LV"/>
        </w:rPr>
        <w:tab/>
      </w:r>
      <w:r w:rsidR="00B566D4" w:rsidRPr="008821FE">
        <w:rPr>
          <w:spacing w:val="-4"/>
          <w:sz w:val="22"/>
          <w:szCs w:val="22"/>
          <w:lang w:val="lv-LV"/>
        </w:rPr>
        <w:t>J</w:t>
      </w:r>
      <w:r w:rsidR="0035230C" w:rsidRPr="008821FE">
        <w:rPr>
          <w:spacing w:val="-4"/>
          <w:sz w:val="22"/>
          <w:szCs w:val="22"/>
          <w:lang w:val="lv-LV"/>
        </w:rPr>
        <w:t>a</w:t>
      </w:r>
      <w:r w:rsidR="00A61583" w:rsidRPr="008821FE">
        <w:rPr>
          <w:spacing w:val="-4"/>
          <w:sz w:val="22"/>
          <w:szCs w:val="22"/>
          <w:lang w:val="lv-LV"/>
        </w:rPr>
        <w:t xml:space="preserve"> Jums</w:t>
      </w:r>
      <w:r w:rsidR="00501516" w:rsidRPr="008821FE">
        <w:rPr>
          <w:spacing w:val="-4"/>
          <w:sz w:val="22"/>
          <w:szCs w:val="22"/>
          <w:lang w:val="lv-LV"/>
        </w:rPr>
        <w:t xml:space="preserve"> ir </w:t>
      </w:r>
      <w:r w:rsidR="0035230C" w:rsidRPr="008821FE">
        <w:rPr>
          <w:spacing w:val="-4"/>
          <w:sz w:val="22"/>
          <w:szCs w:val="22"/>
          <w:lang w:val="lv-LV"/>
        </w:rPr>
        <w:t xml:space="preserve">alerģija </w:t>
      </w:r>
      <w:r w:rsidR="00501516" w:rsidRPr="008821FE">
        <w:rPr>
          <w:spacing w:val="-4"/>
          <w:sz w:val="22"/>
          <w:szCs w:val="22"/>
          <w:lang w:val="lv-LV"/>
        </w:rPr>
        <w:t xml:space="preserve">pret </w:t>
      </w:r>
      <w:r w:rsidR="00A61583" w:rsidRPr="008821FE">
        <w:rPr>
          <w:spacing w:val="-4"/>
          <w:sz w:val="22"/>
          <w:szCs w:val="22"/>
          <w:lang w:val="lv-LV"/>
        </w:rPr>
        <w:t xml:space="preserve">aktīvo vielu </w:t>
      </w:r>
      <w:r w:rsidR="00501516" w:rsidRPr="008821FE">
        <w:rPr>
          <w:spacing w:val="-4"/>
          <w:sz w:val="22"/>
          <w:szCs w:val="22"/>
          <w:lang w:val="lv-LV"/>
        </w:rPr>
        <w:t xml:space="preserve">vai kādu citu </w:t>
      </w:r>
      <w:r w:rsidR="00A61583" w:rsidRPr="008821FE">
        <w:rPr>
          <w:spacing w:val="-4"/>
          <w:sz w:val="22"/>
          <w:szCs w:val="22"/>
          <w:lang w:val="lv-LV"/>
        </w:rPr>
        <w:t xml:space="preserve">(6. punktā minēto) </w:t>
      </w:r>
      <w:r w:rsidR="0035230C" w:rsidRPr="008821FE">
        <w:rPr>
          <w:spacing w:val="-4"/>
          <w:sz w:val="22"/>
          <w:szCs w:val="22"/>
          <w:lang w:val="lv-LV"/>
        </w:rPr>
        <w:t xml:space="preserve">šo zāļu </w:t>
      </w:r>
      <w:r w:rsidR="00501516" w:rsidRPr="008821FE">
        <w:rPr>
          <w:spacing w:val="-4"/>
          <w:sz w:val="22"/>
          <w:szCs w:val="22"/>
          <w:lang w:val="lv-LV"/>
        </w:rPr>
        <w:t>sastāvdaļu.</w:t>
      </w:r>
    </w:p>
    <w:p w14:paraId="4ECE6839" w14:textId="77777777" w:rsidR="00501516" w:rsidRPr="008821FE" w:rsidRDefault="00501516" w:rsidP="00D1678B">
      <w:pPr>
        <w:pStyle w:val="BodyText1"/>
        <w:ind w:firstLine="0"/>
        <w:rPr>
          <w:rFonts w:ascii="Times New Roman" w:hAnsi="Times New Roman"/>
          <w:caps/>
          <w:color w:val="auto"/>
          <w:sz w:val="22"/>
          <w:szCs w:val="22"/>
          <w:lang w:val="lv-LV"/>
        </w:rPr>
      </w:pPr>
    </w:p>
    <w:p w14:paraId="5F8137DC" w14:textId="77777777" w:rsidR="00514569" w:rsidRPr="008821FE" w:rsidRDefault="00514569" w:rsidP="00514569">
      <w:pPr>
        <w:pStyle w:val="BodyText1"/>
        <w:ind w:firstLine="0"/>
        <w:rPr>
          <w:rFonts w:ascii="Times New Roman" w:hAnsi="Times New Roman"/>
          <w:b/>
          <w:sz w:val="22"/>
          <w:szCs w:val="22"/>
          <w:lang w:val="lv-LV"/>
        </w:rPr>
      </w:pPr>
      <w:r w:rsidRPr="008821FE">
        <w:rPr>
          <w:rFonts w:ascii="Times New Roman" w:hAnsi="Times New Roman"/>
          <w:b/>
          <w:sz w:val="22"/>
          <w:szCs w:val="22"/>
          <w:lang w:val="lv-LV"/>
        </w:rPr>
        <w:t>Brīdinājumi un piesardzība lietošanā</w:t>
      </w:r>
    </w:p>
    <w:p w14:paraId="7B48D500" w14:textId="77777777" w:rsidR="004D5498" w:rsidRPr="008821FE" w:rsidRDefault="004D5498" w:rsidP="00514569">
      <w:pPr>
        <w:pStyle w:val="BodyText1"/>
        <w:ind w:firstLine="0"/>
        <w:rPr>
          <w:rFonts w:ascii="Times New Roman" w:hAnsi="Times New Roman"/>
          <w:sz w:val="22"/>
          <w:szCs w:val="22"/>
          <w:lang w:val="lv-LV"/>
        </w:rPr>
      </w:pPr>
      <w:r w:rsidRPr="008821FE">
        <w:rPr>
          <w:rFonts w:ascii="Times New Roman" w:hAnsi="Times New Roman"/>
          <w:sz w:val="22"/>
          <w:szCs w:val="22"/>
          <w:lang w:val="lv-LV"/>
        </w:rPr>
        <w:t>Pirms Mebendazole-Grindeks lietošanas konsultējieties ar ārstu vai farmaceitu.</w:t>
      </w:r>
    </w:p>
    <w:p w14:paraId="34205849" w14:textId="77777777" w:rsidR="00B566D4" w:rsidRPr="008821FE" w:rsidRDefault="00B566D4"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 xml:space="preserve">Vienmēr lietojiet Mebendazole-Grindeks tieši tā, kā ārsts Jums stāstījis, un līdz simptomu izzušanai nepieciešama nepārtraukta medicīniska uzraudzība (piemēram, lai veiktu izkārnījumu izmeklēšanu). </w:t>
      </w:r>
    </w:p>
    <w:p w14:paraId="57E7C8F3" w14:textId="77777777" w:rsidR="00CB5931" w:rsidRPr="008821FE" w:rsidRDefault="00CB5931" w:rsidP="00B566D4">
      <w:pPr>
        <w:jc w:val="both"/>
        <w:rPr>
          <w:b/>
          <w:sz w:val="22"/>
          <w:szCs w:val="22"/>
          <w:lang w:val="lv-LV" w:eastAsia="lv-LV"/>
        </w:rPr>
      </w:pPr>
    </w:p>
    <w:p w14:paraId="721509B6" w14:textId="77777777" w:rsidR="00B566D4" w:rsidRPr="008821FE" w:rsidRDefault="00B566D4" w:rsidP="00B566D4">
      <w:pPr>
        <w:jc w:val="both"/>
        <w:rPr>
          <w:b/>
          <w:sz w:val="22"/>
          <w:szCs w:val="22"/>
          <w:lang w:val="lv-LV" w:eastAsia="lv-LV"/>
        </w:rPr>
      </w:pPr>
      <w:r w:rsidRPr="008821FE">
        <w:rPr>
          <w:b/>
          <w:sz w:val="22"/>
          <w:szCs w:val="22"/>
          <w:lang w:val="lv-LV" w:eastAsia="lv-LV"/>
        </w:rPr>
        <w:t xml:space="preserve">Bērni </w:t>
      </w:r>
    </w:p>
    <w:p w14:paraId="2C22797D" w14:textId="77777777" w:rsidR="00B566D4" w:rsidRPr="008821FE" w:rsidRDefault="00B566D4" w:rsidP="00B566D4">
      <w:pPr>
        <w:jc w:val="both"/>
        <w:rPr>
          <w:sz w:val="22"/>
          <w:szCs w:val="22"/>
          <w:lang w:val="lv-LV" w:eastAsia="lv-LV"/>
        </w:rPr>
      </w:pPr>
      <w:r w:rsidRPr="008821FE">
        <w:rPr>
          <w:sz w:val="22"/>
          <w:szCs w:val="22"/>
          <w:lang w:val="lv-LV" w:eastAsia="lv-LV"/>
        </w:rPr>
        <w:t>Bērni</w:t>
      </w:r>
      <w:r w:rsidR="00F73674" w:rsidRPr="008821FE">
        <w:rPr>
          <w:sz w:val="22"/>
          <w:szCs w:val="22"/>
          <w:lang w:val="lv-LV" w:eastAsia="lv-LV"/>
        </w:rPr>
        <w:t>em</w:t>
      </w:r>
      <w:r w:rsidRPr="008821FE">
        <w:rPr>
          <w:sz w:val="22"/>
          <w:szCs w:val="22"/>
          <w:lang w:val="lv-LV" w:eastAsia="lv-LV"/>
        </w:rPr>
        <w:t xml:space="preserve"> vecumā līdz 1 gadam </w:t>
      </w:r>
      <w:r w:rsidR="00606CC7" w:rsidRPr="008821FE">
        <w:rPr>
          <w:sz w:val="22"/>
          <w:szCs w:val="22"/>
          <w:lang w:val="lv-LV" w:eastAsia="lv-LV"/>
        </w:rPr>
        <w:t xml:space="preserve">nav ieteicams </w:t>
      </w:r>
      <w:r w:rsidR="00F73674" w:rsidRPr="008821FE">
        <w:rPr>
          <w:sz w:val="22"/>
          <w:szCs w:val="22"/>
          <w:lang w:val="lv-LV" w:eastAsia="lv-LV"/>
        </w:rPr>
        <w:t>lietot</w:t>
      </w:r>
      <w:r w:rsidRPr="008821FE">
        <w:rPr>
          <w:sz w:val="22"/>
          <w:szCs w:val="22"/>
          <w:lang w:val="lv-LV" w:eastAsia="lv-LV"/>
        </w:rPr>
        <w:t xml:space="preserve"> </w:t>
      </w:r>
      <w:proofErr w:type="spellStart"/>
      <w:r w:rsidR="00416389" w:rsidRPr="008821FE">
        <w:rPr>
          <w:sz w:val="22"/>
          <w:szCs w:val="22"/>
          <w:lang w:val="lv-LV" w:eastAsia="lv-LV"/>
        </w:rPr>
        <w:t>Mebendazole</w:t>
      </w:r>
      <w:proofErr w:type="spellEnd"/>
      <w:r w:rsidR="00416389" w:rsidRPr="008821FE">
        <w:rPr>
          <w:sz w:val="22"/>
          <w:szCs w:val="22"/>
          <w:lang w:val="lv-LV" w:eastAsia="lv-LV"/>
        </w:rPr>
        <w:t>-Grindeks</w:t>
      </w:r>
      <w:r w:rsidRPr="008821FE">
        <w:rPr>
          <w:sz w:val="22"/>
          <w:szCs w:val="22"/>
          <w:lang w:val="lv-LV" w:eastAsia="lv-LV"/>
        </w:rPr>
        <w:t>.</w:t>
      </w:r>
      <w:r w:rsidR="00DC7C0B">
        <w:rPr>
          <w:sz w:val="22"/>
          <w:szCs w:val="22"/>
          <w:lang w:val="lv-LV" w:eastAsia="lv-LV"/>
        </w:rPr>
        <w:t xml:space="preserve"> </w:t>
      </w:r>
      <w:proofErr w:type="spellStart"/>
      <w:r w:rsidR="00DC7C0B" w:rsidRPr="00DC7C0B">
        <w:rPr>
          <w:sz w:val="22"/>
          <w:szCs w:val="22"/>
          <w:lang w:val="lv-LV" w:eastAsia="lv-LV"/>
        </w:rPr>
        <w:t>Mebendazols</w:t>
      </w:r>
      <w:proofErr w:type="spellEnd"/>
      <w:r w:rsidR="00DC7C0B" w:rsidRPr="00DC7C0B">
        <w:rPr>
          <w:sz w:val="22"/>
          <w:szCs w:val="22"/>
          <w:lang w:val="lv-LV" w:eastAsia="lv-LV"/>
        </w:rPr>
        <w:t xml:space="preserve"> nav plaši pētīts bērniem līdz 2 gadu vecumam. Tādēļ </w:t>
      </w:r>
      <w:proofErr w:type="spellStart"/>
      <w:r w:rsidR="00DC7C0B" w:rsidRPr="00DC7C0B">
        <w:rPr>
          <w:sz w:val="22"/>
          <w:szCs w:val="22"/>
          <w:lang w:val="lv-LV" w:eastAsia="lv-LV"/>
        </w:rPr>
        <w:t>Mebendazole</w:t>
      </w:r>
      <w:proofErr w:type="spellEnd"/>
      <w:r w:rsidR="00DC7C0B" w:rsidRPr="00DC7C0B">
        <w:rPr>
          <w:sz w:val="22"/>
          <w:szCs w:val="22"/>
          <w:lang w:val="lv-LV" w:eastAsia="lv-LV"/>
        </w:rPr>
        <w:t>-Grindeks var lietot bērniem vecumā no 1 līdz 2 gadiem tikai tad, ja iespējamais ieguvums attaisno iespējamo risku.</w:t>
      </w:r>
      <w:r w:rsidR="000F3AEE">
        <w:rPr>
          <w:sz w:val="22"/>
          <w:szCs w:val="22"/>
          <w:lang w:val="lv-LV" w:eastAsia="lv-LV"/>
        </w:rPr>
        <w:t xml:space="preserve"> </w:t>
      </w:r>
      <w:r w:rsidR="000F3AEE">
        <w:rPr>
          <w:iCs/>
          <w:sz w:val="22"/>
          <w:szCs w:val="22"/>
          <w:lang w:val="lv-LV"/>
        </w:rPr>
        <w:t>Rūpīgi ievērojiet visus ārsta norādījumus.</w:t>
      </w:r>
    </w:p>
    <w:p w14:paraId="419B7951" w14:textId="77777777" w:rsidR="00B566D4" w:rsidRPr="008821FE" w:rsidRDefault="00B566D4" w:rsidP="001E6600">
      <w:pPr>
        <w:jc w:val="both"/>
        <w:rPr>
          <w:b/>
          <w:sz w:val="22"/>
          <w:szCs w:val="22"/>
          <w:lang w:val="lv-LV" w:eastAsia="lv-LV"/>
        </w:rPr>
      </w:pPr>
    </w:p>
    <w:p w14:paraId="0489E827" w14:textId="77777777" w:rsidR="009F73BF" w:rsidRPr="008821FE" w:rsidRDefault="001E6600" w:rsidP="001E6600">
      <w:pPr>
        <w:jc w:val="both"/>
        <w:rPr>
          <w:b/>
          <w:sz w:val="22"/>
          <w:szCs w:val="22"/>
          <w:lang w:val="lv-LV"/>
        </w:rPr>
      </w:pPr>
      <w:r w:rsidRPr="008821FE">
        <w:rPr>
          <w:b/>
          <w:sz w:val="22"/>
          <w:szCs w:val="22"/>
          <w:lang w:val="lv-LV"/>
        </w:rPr>
        <w:t>Cit</w:t>
      </w:r>
      <w:r w:rsidR="009F73BF" w:rsidRPr="008821FE">
        <w:rPr>
          <w:b/>
          <w:sz w:val="22"/>
          <w:szCs w:val="22"/>
          <w:lang w:val="lv-LV"/>
        </w:rPr>
        <w:t>as zāles un Mebendazole-Grindeks</w:t>
      </w:r>
    </w:p>
    <w:p w14:paraId="399BDDD6" w14:textId="77777777" w:rsidR="001E6600" w:rsidRPr="008821FE" w:rsidRDefault="001E6600" w:rsidP="001E6600">
      <w:pPr>
        <w:jc w:val="both"/>
        <w:rPr>
          <w:noProof/>
          <w:sz w:val="22"/>
          <w:szCs w:val="22"/>
          <w:lang w:val="lv-LV"/>
        </w:rPr>
      </w:pPr>
      <w:r w:rsidRPr="008821FE">
        <w:rPr>
          <w:noProof/>
          <w:sz w:val="22"/>
          <w:szCs w:val="22"/>
          <w:lang w:val="lv-LV"/>
        </w:rPr>
        <w:t>Pastāstiet ārstam vai farmaceitam par visām zālēm, kuras lietojat</w:t>
      </w:r>
      <w:r w:rsidR="00F348F0" w:rsidRPr="008821FE">
        <w:rPr>
          <w:noProof/>
          <w:sz w:val="22"/>
          <w:szCs w:val="22"/>
          <w:lang w:val="lv-LV"/>
        </w:rPr>
        <w:t>,</w:t>
      </w:r>
      <w:r w:rsidRPr="008821FE">
        <w:rPr>
          <w:noProof/>
          <w:sz w:val="22"/>
          <w:szCs w:val="22"/>
          <w:lang w:val="lv-LV"/>
        </w:rPr>
        <w:t xml:space="preserve"> pēdējā laikā</w:t>
      </w:r>
      <w:r w:rsidR="00F348F0" w:rsidRPr="008821FE">
        <w:rPr>
          <w:noProof/>
          <w:sz w:val="22"/>
          <w:szCs w:val="22"/>
          <w:lang w:val="lv-LV"/>
        </w:rPr>
        <w:t xml:space="preserve"> </w:t>
      </w:r>
      <w:r w:rsidRPr="008821FE">
        <w:rPr>
          <w:noProof/>
          <w:sz w:val="22"/>
          <w:szCs w:val="22"/>
          <w:lang w:val="lv-LV"/>
        </w:rPr>
        <w:t>esat lietojis</w:t>
      </w:r>
      <w:r w:rsidR="00633830" w:rsidRPr="008821FE">
        <w:rPr>
          <w:noProof/>
          <w:sz w:val="22"/>
          <w:szCs w:val="22"/>
          <w:lang w:val="lv-LV"/>
        </w:rPr>
        <w:t xml:space="preserve"> vai varētu lietot.</w:t>
      </w:r>
    </w:p>
    <w:p w14:paraId="2B9A2107" w14:textId="77777777" w:rsidR="00BF44C7" w:rsidRPr="008821FE" w:rsidRDefault="00BF44C7" w:rsidP="00BF44C7">
      <w:pPr>
        <w:jc w:val="both"/>
        <w:rPr>
          <w:sz w:val="22"/>
          <w:szCs w:val="22"/>
          <w:lang w:val="lv-LV"/>
        </w:rPr>
      </w:pPr>
      <w:r w:rsidRPr="008821FE">
        <w:rPr>
          <w:sz w:val="22"/>
          <w:szCs w:val="22"/>
          <w:lang w:val="lv-LV"/>
        </w:rPr>
        <w:t xml:space="preserve">Vienlaikus lietošana ar citām zālēm (piemēram, cimetidīnu un metronidazolu) var ietekmēt Mebendazole-Grindeks iedarbību, tādēļ šādos gadījumos konsultējieties ar ārstu. </w:t>
      </w:r>
    </w:p>
    <w:p w14:paraId="52F1CB8E" w14:textId="77777777" w:rsidR="00AD7FA5" w:rsidRPr="008821FE" w:rsidRDefault="00AD7FA5" w:rsidP="001E6600">
      <w:pPr>
        <w:jc w:val="both"/>
        <w:rPr>
          <w:sz w:val="22"/>
          <w:szCs w:val="22"/>
          <w:lang w:val="lv-LV"/>
        </w:rPr>
      </w:pPr>
    </w:p>
    <w:p w14:paraId="211AE167" w14:textId="77777777" w:rsidR="004D15F9" w:rsidRPr="008821FE" w:rsidRDefault="004D15F9" w:rsidP="00E22883">
      <w:pPr>
        <w:rPr>
          <w:b/>
          <w:noProof/>
          <w:sz w:val="22"/>
          <w:szCs w:val="22"/>
          <w:lang w:val="lv-LV"/>
        </w:rPr>
      </w:pPr>
      <w:r w:rsidRPr="008821FE">
        <w:rPr>
          <w:b/>
          <w:noProof/>
          <w:sz w:val="22"/>
          <w:szCs w:val="22"/>
          <w:lang w:val="lv-LV"/>
        </w:rPr>
        <w:t xml:space="preserve">Mebendazole-Grindeks kopā ar </w:t>
      </w:r>
      <w:r w:rsidR="00514569" w:rsidRPr="008821FE">
        <w:rPr>
          <w:b/>
          <w:noProof/>
          <w:sz w:val="22"/>
          <w:szCs w:val="22"/>
          <w:lang w:val="lv-LV"/>
        </w:rPr>
        <w:t>uzturu</w:t>
      </w:r>
      <w:r w:rsidR="00196B6A" w:rsidRPr="008821FE">
        <w:rPr>
          <w:b/>
          <w:noProof/>
          <w:sz w:val="22"/>
          <w:szCs w:val="22"/>
          <w:lang w:val="lv-LV"/>
        </w:rPr>
        <w:t>, dzērienu un alkoholu</w:t>
      </w:r>
    </w:p>
    <w:p w14:paraId="1F45E597" w14:textId="77777777" w:rsidR="00E230B9" w:rsidRPr="008821FE" w:rsidRDefault="00763B7C" w:rsidP="00780C08">
      <w:pPr>
        <w:pStyle w:val="BodyText1"/>
        <w:ind w:firstLine="0"/>
        <w:rPr>
          <w:rFonts w:ascii="Times New Roman" w:hAnsi="Times New Roman"/>
          <w:color w:val="auto"/>
          <w:sz w:val="22"/>
          <w:szCs w:val="22"/>
          <w:lang w:val="lv-LV"/>
        </w:rPr>
      </w:pPr>
      <w:r w:rsidRPr="008821FE">
        <w:rPr>
          <w:rFonts w:ascii="Times New Roman" w:hAnsi="Times New Roman"/>
          <w:color w:val="auto"/>
          <w:sz w:val="22"/>
          <w:szCs w:val="22"/>
          <w:lang w:val="lv-LV"/>
        </w:rPr>
        <w:t xml:space="preserve">Mebendazolu ir ieteicams lietot vakaros pēc </w:t>
      </w:r>
      <w:r w:rsidR="0035749D" w:rsidRPr="008821FE">
        <w:rPr>
          <w:rFonts w:ascii="Times New Roman" w:hAnsi="Times New Roman"/>
          <w:color w:val="auto"/>
          <w:sz w:val="22"/>
          <w:szCs w:val="22"/>
          <w:lang w:val="lv-LV"/>
        </w:rPr>
        <w:t>ēšanas</w:t>
      </w:r>
      <w:r w:rsidRPr="008821FE">
        <w:rPr>
          <w:rFonts w:ascii="Times New Roman" w:hAnsi="Times New Roman"/>
          <w:color w:val="auto"/>
          <w:sz w:val="22"/>
          <w:szCs w:val="22"/>
          <w:lang w:val="lv-LV"/>
        </w:rPr>
        <w:t>.</w:t>
      </w:r>
    </w:p>
    <w:p w14:paraId="57859C09" w14:textId="77777777" w:rsidR="009456CE" w:rsidRDefault="009456CE" w:rsidP="001E1834">
      <w:pPr>
        <w:pStyle w:val="BodyText1"/>
        <w:ind w:firstLine="0"/>
        <w:rPr>
          <w:rFonts w:ascii="Times New Roman" w:hAnsi="Times New Roman"/>
          <w:b/>
          <w:bCs/>
          <w:noProof/>
          <w:sz w:val="22"/>
          <w:szCs w:val="22"/>
          <w:lang w:val="lv-LV"/>
        </w:rPr>
      </w:pPr>
    </w:p>
    <w:p w14:paraId="3BBFD85E" w14:textId="77777777" w:rsidR="00E22883" w:rsidRPr="008821FE" w:rsidRDefault="00E22883" w:rsidP="001E1834">
      <w:pPr>
        <w:pStyle w:val="BodyText1"/>
        <w:ind w:firstLine="0"/>
        <w:rPr>
          <w:rFonts w:ascii="Times New Roman" w:hAnsi="Times New Roman"/>
          <w:b/>
          <w:bCs/>
          <w:color w:val="auto"/>
          <w:sz w:val="22"/>
          <w:szCs w:val="22"/>
          <w:lang w:val="lv-LV"/>
        </w:rPr>
      </w:pPr>
      <w:r w:rsidRPr="008821FE">
        <w:rPr>
          <w:rFonts w:ascii="Times New Roman" w:hAnsi="Times New Roman"/>
          <w:b/>
          <w:bCs/>
          <w:noProof/>
          <w:sz w:val="22"/>
          <w:szCs w:val="22"/>
          <w:lang w:val="lv-LV"/>
        </w:rPr>
        <w:t>Grūtniecība</w:t>
      </w:r>
      <w:r w:rsidR="00043F84" w:rsidRPr="008821FE">
        <w:rPr>
          <w:rFonts w:ascii="Times New Roman" w:hAnsi="Times New Roman"/>
          <w:b/>
          <w:bCs/>
          <w:sz w:val="22"/>
          <w:szCs w:val="22"/>
          <w:lang w:val="lv-LV"/>
        </w:rPr>
        <w:t>,</w:t>
      </w:r>
      <w:r w:rsidRPr="008821FE">
        <w:rPr>
          <w:rFonts w:ascii="Times New Roman" w:hAnsi="Times New Roman"/>
          <w:b/>
          <w:bCs/>
          <w:sz w:val="22"/>
          <w:szCs w:val="22"/>
          <w:lang w:val="lv-LV"/>
        </w:rPr>
        <w:t xml:space="preserve"> </w:t>
      </w:r>
      <w:r w:rsidR="00633830" w:rsidRPr="008821FE">
        <w:rPr>
          <w:rFonts w:ascii="Times New Roman" w:hAnsi="Times New Roman"/>
          <w:b/>
          <w:bCs/>
          <w:sz w:val="22"/>
          <w:szCs w:val="22"/>
          <w:lang w:val="lv-LV"/>
        </w:rPr>
        <w:t>barošana ar krūti</w:t>
      </w:r>
      <w:r w:rsidR="00043F84" w:rsidRPr="008821FE">
        <w:rPr>
          <w:rFonts w:ascii="Times New Roman" w:hAnsi="Times New Roman"/>
          <w:b/>
          <w:bCs/>
          <w:sz w:val="22"/>
          <w:szCs w:val="22"/>
          <w:lang w:val="lv-LV"/>
        </w:rPr>
        <w:t xml:space="preserve"> un fertilitāte</w:t>
      </w:r>
    </w:p>
    <w:p w14:paraId="49DC527C" w14:textId="77777777" w:rsidR="00E230B9" w:rsidRPr="008821FE" w:rsidRDefault="00E230B9"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Ja Jūs esat grūtniece vai barojat bērnu ar krūti, ja domājat, ka Jums varētu būt grūtniecība</w:t>
      </w:r>
      <w:r w:rsidR="00790611" w:rsidRPr="008821FE">
        <w:rPr>
          <w:rFonts w:ascii="Times New Roman" w:hAnsi="Times New Roman"/>
          <w:sz w:val="22"/>
          <w:szCs w:val="22"/>
          <w:lang w:val="lv-LV"/>
        </w:rPr>
        <w:t>,</w:t>
      </w:r>
      <w:r w:rsidRPr="008821FE">
        <w:rPr>
          <w:rFonts w:ascii="Times New Roman" w:hAnsi="Times New Roman"/>
          <w:sz w:val="22"/>
          <w:szCs w:val="22"/>
          <w:lang w:val="lv-LV"/>
        </w:rPr>
        <w:t xml:space="preserve"> vai plānojat grūtniecību, pirms šo zāļu lietošanas konsultēj</w:t>
      </w:r>
      <w:r w:rsidR="00051A73" w:rsidRPr="008821FE">
        <w:rPr>
          <w:rFonts w:ascii="Times New Roman" w:hAnsi="Times New Roman"/>
          <w:sz w:val="22"/>
          <w:szCs w:val="22"/>
          <w:lang w:val="lv-LV"/>
        </w:rPr>
        <w:t xml:space="preserve">ieties ar ārstu vai farmaceitu, jo grūtniecības un barošanas ar krūti laikā </w:t>
      </w:r>
      <w:r w:rsidR="005A436B" w:rsidRPr="008821FE">
        <w:rPr>
          <w:rFonts w:ascii="Times New Roman" w:hAnsi="Times New Roman"/>
          <w:sz w:val="22"/>
          <w:szCs w:val="22"/>
          <w:lang w:val="lv-LV"/>
        </w:rPr>
        <w:t>mebendazolu</w:t>
      </w:r>
      <w:r w:rsidR="00051A73" w:rsidRPr="008821FE">
        <w:rPr>
          <w:rFonts w:ascii="Times New Roman" w:hAnsi="Times New Roman"/>
          <w:sz w:val="22"/>
          <w:szCs w:val="22"/>
          <w:lang w:val="lv-LV"/>
        </w:rPr>
        <w:t xml:space="preserve"> var lietot tikai izņēmuma gadījumā, pēc ārsta norādījuma.</w:t>
      </w:r>
    </w:p>
    <w:p w14:paraId="24552BB3" w14:textId="77777777" w:rsidR="00501516" w:rsidRPr="008821FE" w:rsidRDefault="00501516" w:rsidP="00D1678B">
      <w:pPr>
        <w:pStyle w:val="BodyText1"/>
        <w:ind w:firstLine="0"/>
        <w:rPr>
          <w:rFonts w:ascii="Times New Roman" w:hAnsi="Times New Roman"/>
          <w:color w:val="auto"/>
          <w:sz w:val="22"/>
          <w:szCs w:val="22"/>
          <w:lang w:val="lv-LV"/>
        </w:rPr>
      </w:pPr>
    </w:p>
    <w:p w14:paraId="727A44E5" w14:textId="77777777" w:rsidR="00501516" w:rsidRPr="008821FE" w:rsidRDefault="00501516" w:rsidP="003E04AC">
      <w:pPr>
        <w:rPr>
          <w:b/>
          <w:sz w:val="22"/>
          <w:szCs w:val="22"/>
          <w:lang w:val="lv-LV"/>
        </w:rPr>
      </w:pPr>
      <w:r w:rsidRPr="008821FE">
        <w:rPr>
          <w:b/>
          <w:sz w:val="22"/>
          <w:szCs w:val="22"/>
          <w:lang w:val="lv-LV"/>
        </w:rPr>
        <w:t>Transportlīdzekļu vadīšana un mehānismu apkalpošana</w:t>
      </w:r>
    </w:p>
    <w:p w14:paraId="57B20159" w14:textId="77777777" w:rsidR="00501516" w:rsidRPr="008821FE" w:rsidRDefault="00501516" w:rsidP="00D1678B">
      <w:pPr>
        <w:pStyle w:val="BodyText1"/>
        <w:ind w:firstLine="0"/>
        <w:rPr>
          <w:rFonts w:ascii="Times New Roman" w:hAnsi="Times New Roman"/>
          <w:color w:val="auto"/>
          <w:sz w:val="22"/>
          <w:szCs w:val="22"/>
          <w:lang w:val="lv-LV"/>
        </w:rPr>
      </w:pPr>
      <w:r w:rsidRPr="008821FE">
        <w:rPr>
          <w:rFonts w:ascii="Times New Roman" w:hAnsi="Times New Roman"/>
          <w:color w:val="auto"/>
          <w:sz w:val="22"/>
          <w:szCs w:val="22"/>
          <w:lang w:val="lv-LV"/>
        </w:rPr>
        <w:t xml:space="preserve">Mebendazols neietekmē </w:t>
      </w:r>
      <w:r w:rsidR="004517A1" w:rsidRPr="008821FE">
        <w:rPr>
          <w:rFonts w:ascii="Times New Roman" w:hAnsi="Times New Roman"/>
          <w:color w:val="auto"/>
          <w:sz w:val="22"/>
          <w:szCs w:val="22"/>
          <w:lang w:val="lv-LV"/>
        </w:rPr>
        <w:t xml:space="preserve">vai nedaudz ietekmē </w:t>
      </w:r>
      <w:r w:rsidRPr="008821FE">
        <w:rPr>
          <w:rFonts w:ascii="Times New Roman" w:hAnsi="Times New Roman"/>
          <w:color w:val="auto"/>
          <w:sz w:val="22"/>
          <w:szCs w:val="22"/>
          <w:lang w:val="lv-LV"/>
        </w:rPr>
        <w:t>spēju vadīt transportlīdzekļus un apkalpot mehānismus.</w:t>
      </w:r>
    </w:p>
    <w:p w14:paraId="62EA8C6C" w14:textId="77777777" w:rsidR="00501516" w:rsidRPr="008821FE" w:rsidRDefault="00501516" w:rsidP="00D1678B">
      <w:pPr>
        <w:pStyle w:val="BodyText1"/>
        <w:ind w:firstLine="0"/>
        <w:rPr>
          <w:rFonts w:ascii="Times New Roman" w:hAnsi="Times New Roman"/>
          <w:color w:val="auto"/>
          <w:sz w:val="22"/>
          <w:szCs w:val="22"/>
          <w:lang w:val="lv-LV"/>
        </w:rPr>
      </w:pPr>
    </w:p>
    <w:p w14:paraId="5B19E3F3" w14:textId="77777777" w:rsidR="00501516" w:rsidRPr="008821FE" w:rsidRDefault="001E6600" w:rsidP="003E04AC">
      <w:pPr>
        <w:rPr>
          <w:b/>
          <w:sz w:val="22"/>
          <w:szCs w:val="22"/>
          <w:lang w:val="lv-LV"/>
        </w:rPr>
      </w:pPr>
      <w:proofErr w:type="spellStart"/>
      <w:r w:rsidRPr="008821FE">
        <w:rPr>
          <w:b/>
          <w:sz w:val="22"/>
          <w:szCs w:val="22"/>
          <w:lang w:val="lv-LV"/>
        </w:rPr>
        <w:t>Mebendazole</w:t>
      </w:r>
      <w:proofErr w:type="spellEnd"/>
      <w:r w:rsidRPr="008821FE">
        <w:rPr>
          <w:b/>
          <w:sz w:val="22"/>
          <w:szCs w:val="22"/>
          <w:lang w:val="lv-LV"/>
        </w:rPr>
        <w:t>-</w:t>
      </w:r>
      <w:r w:rsidR="00501516" w:rsidRPr="008821FE">
        <w:rPr>
          <w:b/>
          <w:sz w:val="22"/>
          <w:szCs w:val="22"/>
          <w:lang w:val="lv-LV"/>
        </w:rPr>
        <w:t xml:space="preserve">Grindeks </w:t>
      </w:r>
      <w:r w:rsidR="002F1DD5" w:rsidRPr="008821FE">
        <w:rPr>
          <w:b/>
          <w:sz w:val="22"/>
          <w:szCs w:val="22"/>
          <w:lang w:val="lv-LV"/>
        </w:rPr>
        <w:t>s</w:t>
      </w:r>
      <w:r w:rsidR="005A436B" w:rsidRPr="008821FE">
        <w:rPr>
          <w:b/>
          <w:sz w:val="22"/>
          <w:szCs w:val="22"/>
          <w:lang w:val="lv-LV"/>
        </w:rPr>
        <w:t>atur laktoz</w:t>
      </w:r>
      <w:r w:rsidR="00395703">
        <w:rPr>
          <w:b/>
          <w:sz w:val="22"/>
          <w:szCs w:val="22"/>
          <w:lang w:val="lv-LV"/>
        </w:rPr>
        <w:t>i</w:t>
      </w:r>
      <w:r w:rsidR="002F1DD5" w:rsidRPr="008821FE">
        <w:rPr>
          <w:b/>
          <w:sz w:val="22"/>
          <w:szCs w:val="22"/>
          <w:lang w:val="lv-LV"/>
        </w:rPr>
        <w:t xml:space="preserve"> </w:t>
      </w:r>
    </w:p>
    <w:p w14:paraId="0B4ABD85" w14:textId="77777777" w:rsidR="00593411" w:rsidRPr="008821FE" w:rsidRDefault="00593411" w:rsidP="008821FE">
      <w:pPr>
        <w:rPr>
          <w:sz w:val="22"/>
          <w:szCs w:val="22"/>
          <w:lang w:val="lv-LV"/>
        </w:rPr>
      </w:pPr>
      <w:r w:rsidRPr="008821FE">
        <w:rPr>
          <w:sz w:val="22"/>
          <w:szCs w:val="22"/>
          <w:lang w:val="lv-LV"/>
        </w:rPr>
        <w:t xml:space="preserve">Ja ārsts ir teicis, ka Jums ir kāda cukura </w:t>
      </w:r>
      <w:r w:rsidR="00405152" w:rsidRPr="008821FE">
        <w:rPr>
          <w:sz w:val="22"/>
          <w:szCs w:val="22"/>
          <w:lang w:val="lv-LV"/>
        </w:rPr>
        <w:t>nepanesamība</w:t>
      </w:r>
      <w:r w:rsidRPr="008821FE">
        <w:rPr>
          <w:sz w:val="22"/>
          <w:szCs w:val="22"/>
          <w:lang w:val="lv-LV"/>
        </w:rPr>
        <w:t xml:space="preserve">, pirms lietojat šīs zāles, konsultējieties ar ārstu. </w:t>
      </w:r>
    </w:p>
    <w:p w14:paraId="4D553B6E" w14:textId="77777777" w:rsidR="00426269" w:rsidRPr="008821FE" w:rsidRDefault="00426269" w:rsidP="009B6C9A">
      <w:pPr>
        <w:jc w:val="both"/>
        <w:rPr>
          <w:b/>
          <w:sz w:val="22"/>
          <w:szCs w:val="22"/>
          <w:lang w:val="lv-LV"/>
        </w:rPr>
      </w:pPr>
    </w:p>
    <w:p w14:paraId="59D5D9EE" w14:textId="77777777" w:rsidR="00426269" w:rsidRPr="008821FE" w:rsidRDefault="00426269" w:rsidP="009B6C9A">
      <w:pPr>
        <w:jc w:val="both"/>
        <w:rPr>
          <w:sz w:val="22"/>
          <w:szCs w:val="22"/>
          <w:lang w:val="lv-LV"/>
        </w:rPr>
      </w:pPr>
      <w:r w:rsidRPr="008821FE">
        <w:rPr>
          <w:b/>
          <w:sz w:val="22"/>
          <w:szCs w:val="22"/>
          <w:lang w:val="lv-LV"/>
        </w:rPr>
        <w:t>Mebendazole-Grindeks satur</w:t>
      </w:r>
      <w:r w:rsidR="009F4F56" w:rsidRPr="008821FE">
        <w:rPr>
          <w:b/>
          <w:sz w:val="22"/>
          <w:szCs w:val="22"/>
          <w:lang w:val="lv-LV"/>
        </w:rPr>
        <w:t xml:space="preserve"> krāsvielu</w:t>
      </w:r>
      <w:r w:rsidRPr="008821FE">
        <w:rPr>
          <w:b/>
          <w:sz w:val="22"/>
          <w:szCs w:val="22"/>
          <w:lang w:val="lv-LV"/>
        </w:rPr>
        <w:t xml:space="preserve"> saulrieta dzelteno (E 110)</w:t>
      </w:r>
    </w:p>
    <w:p w14:paraId="7C1659AC" w14:textId="77777777" w:rsidR="009B6C9A" w:rsidRPr="008821FE" w:rsidRDefault="00833F1A" w:rsidP="009B6C9A">
      <w:pPr>
        <w:jc w:val="both"/>
        <w:rPr>
          <w:sz w:val="22"/>
          <w:szCs w:val="22"/>
          <w:lang w:val="lv-LV"/>
        </w:rPr>
      </w:pPr>
      <w:r w:rsidRPr="008821FE">
        <w:rPr>
          <w:sz w:val="22"/>
          <w:szCs w:val="22"/>
          <w:lang w:val="lv-LV"/>
        </w:rPr>
        <w:t>K</w:t>
      </w:r>
      <w:r w:rsidR="009B6C9A" w:rsidRPr="008821FE">
        <w:rPr>
          <w:sz w:val="22"/>
          <w:szCs w:val="22"/>
          <w:lang w:val="lv-LV"/>
        </w:rPr>
        <w:t>rā</w:t>
      </w:r>
      <w:r w:rsidR="004F5F07" w:rsidRPr="008821FE">
        <w:rPr>
          <w:sz w:val="22"/>
          <w:szCs w:val="22"/>
          <w:lang w:val="lv-LV"/>
        </w:rPr>
        <w:t>sviel</w:t>
      </w:r>
      <w:r w:rsidRPr="008821FE">
        <w:rPr>
          <w:sz w:val="22"/>
          <w:szCs w:val="22"/>
          <w:lang w:val="lv-LV"/>
        </w:rPr>
        <w:t>a</w:t>
      </w:r>
      <w:r w:rsidR="004F5F07" w:rsidRPr="008821FE">
        <w:rPr>
          <w:sz w:val="22"/>
          <w:szCs w:val="22"/>
          <w:lang w:val="lv-LV"/>
        </w:rPr>
        <w:t xml:space="preserve"> saulrieta dzeltenais </w:t>
      </w:r>
      <w:r w:rsidR="009B6C9A" w:rsidRPr="008821FE">
        <w:rPr>
          <w:sz w:val="22"/>
          <w:szCs w:val="22"/>
          <w:lang w:val="lv-LV"/>
        </w:rPr>
        <w:t>(E</w:t>
      </w:r>
      <w:r w:rsidR="00B01251" w:rsidRPr="008821FE">
        <w:rPr>
          <w:sz w:val="22"/>
          <w:szCs w:val="22"/>
          <w:lang w:val="lv-LV"/>
        </w:rPr>
        <w:t> </w:t>
      </w:r>
      <w:r w:rsidR="009B6C9A" w:rsidRPr="008821FE">
        <w:rPr>
          <w:sz w:val="22"/>
          <w:szCs w:val="22"/>
          <w:lang w:val="lv-LV"/>
        </w:rPr>
        <w:t>110)</w:t>
      </w:r>
      <w:r w:rsidR="009B6C9A" w:rsidRPr="008821FE">
        <w:rPr>
          <w:noProof/>
          <w:sz w:val="22"/>
          <w:szCs w:val="22"/>
          <w:lang w:val="lv-LV"/>
        </w:rPr>
        <w:t xml:space="preserve"> var izraisīt alerģiskas reakcijas. </w:t>
      </w:r>
    </w:p>
    <w:p w14:paraId="007B1001" w14:textId="77777777" w:rsidR="00501516" w:rsidRPr="008821FE" w:rsidRDefault="00501516" w:rsidP="00D1678B">
      <w:pPr>
        <w:pStyle w:val="BodyText1"/>
        <w:ind w:firstLine="0"/>
        <w:rPr>
          <w:rFonts w:ascii="Times New Roman" w:hAnsi="Times New Roman"/>
          <w:color w:val="auto"/>
          <w:sz w:val="22"/>
          <w:szCs w:val="22"/>
          <w:lang w:val="lv-LV"/>
        </w:rPr>
      </w:pPr>
    </w:p>
    <w:p w14:paraId="0C2194DD" w14:textId="77777777" w:rsidR="00405152" w:rsidRPr="008821FE" w:rsidRDefault="00405152" w:rsidP="00D1678B">
      <w:pPr>
        <w:pStyle w:val="BodyText1"/>
        <w:ind w:firstLine="0"/>
        <w:rPr>
          <w:rFonts w:ascii="Times New Roman" w:hAnsi="Times New Roman"/>
          <w:color w:val="auto"/>
          <w:sz w:val="22"/>
          <w:szCs w:val="22"/>
          <w:lang w:val="lv-LV"/>
        </w:rPr>
      </w:pPr>
    </w:p>
    <w:p w14:paraId="7F5892FC" w14:textId="77777777" w:rsidR="00501516" w:rsidRPr="008821FE" w:rsidRDefault="001150B4" w:rsidP="001150B4">
      <w:pPr>
        <w:pStyle w:val="BodyText1"/>
        <w:tabs>
          <w:tab w:val="left" w:pos="360"/>
        </w:tabs>
        <w:ind w:firstLine="0"/>
        <w:rPr>
          <w:rFonts w:ascii="Times New Roman" w:hAnsi="Times New Roman"/>
          <w:b/>
          <w:color w:val="auto"/>
          <w:sz w:val="22"/>
          <w:szCs w:val="22"/>
          <w:lang w:val="lv-LV"/>
        </w:rPr>
      </w:pPr>
      <w:r w:rsidRPr="008821FE">
        <w:rPr>
          <w:rFonts w:ascii="Times New Roman" w:hAnsi="Times New Roman"/>
          <w:b/>
          <w:color w:val="auto"/>
          <w:sz w:val="22"/>
          <w:szCs w:val="22"/>
          <w:lang w:val="lv-LV"/>
        </w:rPr>
        <w:t>3.</w:t>
      </w:r>
      <w:r w:rsidRPr="008821FE">
        <w:rPr>
          <w:rFonts w:ascii="Times New Roman" w:hAnsi="Times New Roman"/>
          <w:b/>
          <w:color w:val="auto"/>
          <w:sz w:val="22"/>
          <w:szCs w:val="22"/>
          <w:lang w:val="lv-LV"/>
        </w:rPr>
        <w:tab/>
      </w:r>
      <w:r w:rsidR="00501516" w:rsidRPr="008821FE">
        <w:rPr>
          <w:rFonts w:ascii="Times New Roman" w:hAnsi="Times New Roman"/>
          <w:b/>
          <w:color w:val="auto"/>
          <w:sz w:val="22"/>
          <w:szCs w:val="22"/>
          <w:lang w:val="lv-LV"/>
        </w:rPr>
        <w:t>K</w:t>
      </w:r>
      <w:r w:rsidR="00AD7FA5" w:rsidRPr="008821FE">
        <w:rPr>
          <w:rFonts w:ascii="Times New Roman" w:hAnsi="Times New Roman"/>
          <w:b/>
          <w:color w:val="auto"/>
          <w:sz w:val="22"/>
          <w:szCs w:val="22"/>
          <w:lang w:val="lv-LV"/>
        </w:rPr>
        <w:t>ā</w:t>
      </w:r>
      <w:r w:rsidRPr="008821FE">
        <w:rPr>
          <w:rFonts w:ascii="Times New Roman" w:hAnsi="Times New Roman"/>
          <w:b/>
          <w:color w:val="auto"/>
          <w:sz w:val="22"/>
          <w:szCs w:val="22"/>
          <w:lang w:val="lv-LV"/>
        </w:rPr>
        <w:t xml:space="preserve"> </w:t>
      </w:r>
      <w:r w:rsidR="00AD7FA5" w:rsidRPr="008821FE">
        <w:rPr>
          <w:rFonts w:ascii="Times New Roman" w:hAnsi="Times New Roman"/>
          <w:b/>
          <w:color w:val="auto"/>
          <w:sz w:val="22"/>
          <w:szCs w:val="22"/>
          <w:lang w:val="lv-LV"/>
        </w:rPr>
        <w:t>lietot</w:t>
      </w:r>
      <w:r w:rsidRPr="008821FE">
        <w:rPr>
          <w:rFonts w:ascii="Times New Roman" w:hAnsi="Times New Roman"/>
          <w:b/>
          <w:color w:val="auto"/>
          <w:sz w:val="22"/>
          <w:szCs w:val="22"/>
          <w:lang w:val="lv-LV"/>
        </w:rPr>
        <w:t xml:space="preserve"> M</w:t>
      </w:r>
      <w:r w:rsidR="00AD7FA5" w:rsidRPr="008821FE">
        <w:rPr>
          <w:rFonts w:ascii="Times New Roman" w:hAnsi="Times New Roman"/>
          <w:b/>
          <w:color w:val="auto"/>
          <w:sz w:val="22"/>
          <w:szCs w:val="22"/>
          <w:lang w:val="lv-LV"/>
        </w:rPr>
        <w:t>ebendazole</w:t>
      </w:r>
      <w:r w:rsidRPr="008821FE">
        <w:rPr>
          <w:rFonts w:ascii="Times New Roman" w:hAnsi="Times New Roman"/>
          <w:b/>
          <w:color w:val="auto"/>
          <w:sz w:val="22"/>
          <w:szCs w:val="22"/>
          <w:lang w:val="lv-LV"/>
        </w:rPr>
        <w:t>-G</w:t>
      </w:r>
      <w:r w:rsidR="00AD7FA5" w:rsidRPr="008821FE">
        <w:rPr>
          <w:rFonts w:ascii="Times New Roman" w:hAnsi="Times New Roman"/>
          <w:b/>
          <w:color w:val="auto"/>
          <w:sz w:val="22"/>
          <w:szCs w:val="22"/>
          <w:lang w:val="lv-LV"/>
        </w:rPr>
        <w:t>rindeks</w:t>
      </w:r>
    </w:p>
    <w:p w14:paraId="040BDBCD" w14:textId="77777777" w:rsidR="00501516" w:rsidRPr="008821FE" w:rsidRDefault="00501516" w:rsidP="00D1678B">
      <w:pPr>
        <w:pStyle w:val="BodyText1"/>
        <w:ind w:firstLine="0"/>
        <w:rPr>
          <w:rFonts w:ascii="Times New Roman" w:hAnsi="Times New Roman"/>
          <w:color w:val="auto"/>
          <w:sz w:val="22"/>
          <w:szCs w:val="22"/>
          <w:lang w:val="lv-LV"/>
        </w:rPr>
      </w:pPr>
    </w:p>
    <w:p w14:paraId="55FC0849" w14:textId="77777777" w:rsidR="00E97CB6" w:rsidRPr="008821FE" w:rsidRDefault="00E97CB6" w:rsidP="00E97CB6">
      <w:pPr>
        <w:autoSpaceDE w:val="0"/>
        <w:autoSpaceDN w:val="0"/>
        <w:adjustRightInd w:val="0"/>
        <w:jc w:val="both"/>
        <w:rPr>
          <w:sz w:val="22"/>
          <w:szCs w:val="22"/>
          <w:lang w:val="lv-LV"/>
        </w:rPr>
      </w:pPr>
      <w:r w:rsidRPr="008821FE">
        <w:rPr>
          <w:sz w:val="22"/>
          <w:szCs w:val="22"/>
          <w:lang w:val="lv-LV"/>
        </w:rPr>
        <w:t xml:space="preserve">Vienmēr lietojiet </w:t>
      </w:r>
      <w:r w:rsidR="00BB78EA" w:rsidRPr="008821FE">
        <w:rPr>
          <w:noProof/>
          <w:sz w:val="22"/>
          <w:szCs w:val="22"/>
          <w:lang w:val="lv-LV"/>
        </w:rPr>
        <w:t>šīs zāles</w:t>
      </w:r>
      <w:r w:rsidRPr="008821FE">
        <w:rPr>
          <w:sz w:val="22"/>
          <w:szCs w:val="22"/>
          <w:lang w:val="lv-LV"/>
        </w:rPr>
        <w:t xml:space="preserve"> tieši tā, kā ārsts Jums</w:t>
      </w:r>
      <w:r w:rsidR="002F1DD5" w:rsidRPr="008821FE">
        <w:rPr>
          <w:sz w:val="22"/>
          <w:szCs w:val="22"/>
          <w:lang w:val="lv-LV"/>
        </w:rPr>
        <w:t xml:space="preserve"> teicis</w:t>
      </w:r>
      <w:r w:rsidRPr="008821FE">
        <w:rPr>
          <w:sz w:val="22"/>
          <w:szCs w:val="22"/>
          <w:lang w:val="lv-LV"/>
        </w:rPr>
        <w:t xml:space="preserve">. Neskaidrību gadījumā vaicājiet ārstam vai farmaceitam. </w:t>
      </w:r>
    </w:p>
    <w:p w14:paraId="40D6B6EE" w14:textId="77777777" w:rsidR="00E97CB6" w:rsidRPr="008821FE" w:rsidRDefault="00E97CB6" w:rsidP="00D1678B">
      <w:pPr>
        <w:pStyle w:val="BodyText1"/>
        <w:ind w:firstLine="0"/>
        <w:rPr>
          <w:rFonts w:ascii="Times New Roman" w:hAnsi="Times New Roman"/>
          <w:color w:val="auto"/>
          <w:sz w:val="22"/>
          <w:szCs w:val="22"/>
          <w:lang w:val="lv-LV"/>
        </w:rPr>
      </w:pPr>
    </w:p>
    <w:p w14:paraId="08349D35" w14:textId="77777777" w:rsidR="00EA1A32" w:rsidRPr="008821FE" w:rsidRDefault="00EA1A32"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 xml:space="preserve">Zāļu devu un ārstēšanas ilgumu noteiks ārsts, pamatojoties uz slimību izraisījušā tārpa veidu. </w:t>
      </w:r>
    </w:p>
    <w:p w14:paraId="657FBE70" w14:textId="77777777" w:rsidR="00EA1A32" w:rsidRPr="008821FE" w:rsidRDefault="00EA1A32"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Ieteicamā deva ir sekojoša:</w:t>
      </w:r>
    </w:p>
    <w:p w14:paraId="70B9B3C3" w14:textId="77777777" w:rsidR="00EA1A32" w:rsidRPr="008821FE" w:rsidRDefault="00EA1A32" w:rsidP="00D1678B">
      <w:pPr>
        <w:pStyle w:val="BodyText1"/>
        <w:ind w:firstLine="0"/>
        <w:rPr>
          <w:rFonts w:ascii="Times New Roman" w:hAnsi="Times New Roman"/>
          <w:color w:val="auto"/>
          <w:sz w:val="22"/>
          <w:szCs w:val="22"/>
          <w:lang w:val="lv-LV"/>
        </w:rPr>
      </w:pPr>
    </w:p>
    <w:p w14:paraId="1F324151" w14:textId="77777777" w:rsidR="00772A2B" w:rsidRPr="008821FE" w:rsidRDefault="00772A2B" w:rsidP="00E17039">
      <w:pPr>
        <w:pStyle w:val="BodyText1"/>
        <w:ind w:firstLine="0"/>
        <w:rPr>
          <w:rFonts w:ascii="Times New Roman" w:hAnsi="Times New Roman"/>
          <w:sz w:val="22"/>
          <w:szCs w:val="22"/>
          <w:u w:val="single"/>
          <w:lang w:val="lv-LV"/>
        </w:rPr>
      </w:pPr>
      <w:r w:rsidRPr="008821FE">
        <w:rPr>
          <w:rFonts w:ascii="Times New Roman" w:hAnsi="Times New Roman"/>
          <w:sz w:val="22"/>
          <w:szCs w:val="22"/>
          <w:u w:val="single"/>
          <w:lang w:val="lv-LV"/>
        </w:rPr>
        <w:t>Spalīšu gadījumā</w:t>
      </w:r>
    </w:p>
    <w:p w14:paraId="66009578" w14:textId="77777777" w:rsidR="00772A2B" w:rsidRPr="008821FE" w:rsidRDefault="00772A2B"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 xml:space="preserve">Gan pieaugušiem, gan bērniem no 1 gada vecuma </w:t>
      </w:r>
      <w:r w:rsidR="00115B3C" w:rsidRPr="008821FE">
        <w:rPr>
          <w:rFonts w:ascii="Times New Roman" w:hAnsi="Times New Roman"/>
          <w:sz w:val="22"/>
          <w:szCs w:val="22"/>
          <w:lang w:val="lv-LV"/>
        </w:rPr>
        <w:t>lieto vienreizēju devu</w:t>
      </w:r>
      <w:r w:rsidRPr="008821FE">
        <w:rPr>
          <w:rFonts w:ascii="Times New Roman" w:hAnsi="Times New Roman"/>
          <w:sz w:val="22"/>
          <w:szCs w:val="22"/>
          <w:lang w:val="lv-LV"/>
        </w:rPr>
        <w:t xml:space="preserve"> 100 mg (1 tablete).</w:t>
      </w:r>
    </w:p>
    <w:p w14:paraId="3F72FCA7" w14:textId="77777777" w:rsidR="00772A2B" w:rsidRPr="008821FE" w:rsidRDefault="00772A2B"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Ja nepieciešams, pēc ārsta norādījuma ārstēšanu var atkārtot pēc 2 – 4 nedēļām.</w:t>
      </w:r>
    </w:p>
    <w:p w14:paraId="39536743" w14:textId="77777777" w:rsidR="00772A2B" w:rsidRPr="008821FE" w:rsidRDefault="00772A2B" w:rsidP="00E17039">
      <w:pPr>
        <w:pStyle w:val="BodyText1"/>
        <w:ind w:firstLine="0"/>
        <w:rPr>
          <w:rFonts w:ascii="Times New Roman" w:hAnsi="Times New Roman"/>
          <w:sz w:val="22"/>
          <w:szCs w:val="22"/>
          <w:lang w:val="lv-LV"/>
        </w:rPr>
      </w:pPr>
    </w:p>
    <w:p w14:paraId="4FAD51F3" w14:textId="77777777" w:rsidR="00772A2B" w:rsidRPr="008821FE" w:rsidRDefault="00772A2B" w:rsidP="00E17039">
      <w:pPr>
        <w:pStyle w:val="BodyText1"/>
        <w:ind w:firstLine="0"/>
        <w:rPr>
          <w:rFonts w:ascii="Times New Roman" w:hAnsi="Times New Roman"/>
          <w:sz w:val="22"/>
          <w:szCs w:val="22"/>
          <w:u w:val="single"/>
          <w:lang w:val="lv-LV"/>
        </w:rPr>
      </w:pPr>
      <w:r w:rsidRPr="008821FE">
        <w:rPr>
          <w:rFonts w:ascii="Times New Roman" w:hAnsi="Times New Roman"/>
          <w:sz w:val="22"/>
          <w:szCs w:val="22"/>
          <w:u w:val="single"/>
          <w:lang w:val="lv-LV"/>
        </w:rPr>
        <w:t>Cērmju, matgalvju, āķtārpu un jauktu infekciju gadījumā</w:t>
      </w:r>
    </w:p>
    <w:p w14:paraId="472DC499" w14:textId="77777777" w:rsidR="00772A2B" w:rsidRPr="008821FE" w:rsidRDefault="00772A2B"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Gan pieaugušiem, gan bērniem no 1 gada vecuma deva ir 200 mg dienā (1 tablete no rīta un 1 tablete vakarā) 3 dienas pēc kārtas.</w:t>
      </w:r>
    </w:p>
    <w:p w14:paraId="41DBFBF2" w14:textId="77777777" w:rsidR="00772A2B" w:rsidRPr="008821FE" w:rsidRDefault="00772A2B" w:rsidP="00E17039">
      <w:pPr>
        <w:pStyle w:val="BodyText1"/>
        <w:ind w:firstLine="0"/>
        <w:rPr>
          <w:rFonts w:ascii="Times New Roman" w:hAnsi="Times New Roman"/>
          <w:sz w:val="22"/>
          <w:szCs w:val="22"/>
          <w:lang w:val="lv-LV"/>
        </w:rPr>
      </w:pPr>
    </w:p>
    <w:p w14:paraId="2F5D4F01" w14:textId="77777777" w:rsidR="00772A2B" w:rsidRPr="008821FE" w:rsidRDefault="00772A2B" w:rsidP="00E17039">
      <w:pPr>
        <w:pStyle w:val="BodyText1"/>
        <w:ind w:firstLine="0"/>
        <w:rPr>
          <w:rFonts w:ascii="Times New Roman" w:hAnsi="Times New Roman"/>
          <w:sz w:val="22"/>
          <w:szCs w:val="22"/>
          <w:u w:val="single"/>
          <w:lang w:val="lv-LV"/>
        </w:rPr>
      </w:pPr>
      <w:r w:rsidRPr="008821FE">
        <w:rPr>
          <w:rFonts w:ascii="Times New Roman" w:hAnsi="Times New Roman"/>
          <w:sz w:val="22"/>
          <w:szCs w:val="22"/>
          <w:u w:val="single"/>
          <w:lang w:val="lv-LV"/>
        </w:rPr>
        <w:t xml:space="preserve">Lenteņu gadījumā </w:t>
      </w:r>
    </w:p>
    <w:p w14:paraId="29AC95E8" w14:textId="77777777" w:rsidR="004C3BDC" w:rsidRPr="00820D1D" w:rsidRDefault="00772A2B" w:rsidP="00E17039">
      <w:pPr>
        <w:pStyle w:val="BodyText1"/>
        <w:ind w:firstLine="0"/>
        <w:rPr>
          <w:rFonts w:ascii="Times New Roman" w:hAnsi="Times New Roman"/>
          <w:i/>
          <w:sz w:val="22"/>
          <w:szCs w:val="22"/>
          <w:lang w:val="lv-LV"/>
        </w:rPr>
      </w:pPr>
      <w:r w:rsidRPr="00820D1D">
        <w:rPr>
          <w:rFonts w:ascii="Times New Roman" w:hAnsi="Times New Roman"/>
          <w:i/>
          <w:sz w:val="22"/>
          <w:szCs w:val="22"/>
          <w:lang w:val="lv-LV"/>
        </w:rPr>
        <w:t>Pieaugušajiem</w:t>
      </w:r>
    </w:p>
    <w:p w14:paraId="5CFFB621" w14:textId="77777777" w:rsidR="00772A2B" w:rsidRPr="008821FE" w:rsidRDefault="004C3BDC" w:rsidP="00E17039">
      <w:pPr>
        <w:pStyle w:val="BodyText1"/>
        <w:ind w:firstLine="0"/>
        <w:rPr>
          <w:rFonts w:ascii="Times New Roman" w:hAnsi="Times New Roman"/>
          <w:sz w:val="22"/>
          <w:szCs w:val="22"/>
          <w:lang w:val="lv-LV"/>
        </w:rPr>
      </w:pPr>
      <w:r>
        <w:rPr>
          <w:rFonts w:ascii="Times New Roman" w:hAnsi="Times New Roman"/>
          <w:sz w:val="22"/>
          <w:szCs w:val="22"/>
          <w:lang w:val="lv-LV"/>
        </w:rPr>
        <w:t xml:space="preserve">Ieteicamā deva ir </w:t>
      </w:r>
      <w:r w:rsidR="005440CE" w:rsidRPr="008821FE">
        <w:rPr>
          <w:rFonts w:ascii="Times New Roman" w:hAnsi="Times New Roman"/>
          <w:sz w:val="22"/>
          <w:szCs w:val="22"/>
          <w:lang w:val="lv-LV"/>
        </w:rPr>
        <w:t xml:space="preserve">400 mg </w:t>
      </w:r>
      <w:r w:rsidR="006D2E4C" w:rsidRPr="008821FE">
        <w:rPr>
          <w:rFonts w:ascii="Times New Roman" w:hAnsi="Times New Roman"/>
          <w:sz w:val="22"/>
          <w:szCs w:val="22"/>
          <w:lang w:val="lv-LV"/>
        </w:rPr>
        <w:t xml:space="preserve">dienā </w:t>
      </w:r>
      <w:r w:rsidR="005440CE" w:rsidRPr="008821FE">
        <w:rPr>
          <w:rFonts w:ascii="Times New Roman" w:hAnsi="Times New Roman"/>
          <w:sz w:val="22"/>
          <w:szCs w:val="22"/>
          <w:lang w:val="lv-LV"/>
        </w:rPr>
        <w:t>(</w:t>
      </w:r>
      <w:r w:rsidR="00772A2B" w:rsidRPr="008821FE">
        <w:rPr>
          <w:rFonts w:ascii="Times New Roman" w:hAnsi="Times New Roman"/>
          <w:sz w:val="22"/>
          <w:szCs w:val="22"/>
          <w:lang w:val="lv-LV"/>
        </w:rPr>
        <w:t>2 tabletes no rīta un 2 tabletes vakarā</w:t>
      </w:r>
      <w:r w:rsidR="0030672D" w:rsidRPr="008821FE">
        <w:rPr>
          <w:rFonts w:ascii="Times New Roman" w:hAnsi="Times New Roman"/>
          <w:sz w:val="22"/>
          <w:szCs w:val="22"/>
          <w:lang w:val="lv-LV"/>
        </w:rPr>
        <w:t>)</w:t>
      </w:r>
      <w:r w:rsidR="00772A2B" w:rsidRPr="008821FE">
        <w:rPr>
          <w:rFonts w:ascii="Times New Roman" w:hAnsi="Times New Roman"/>
          <w:sz w:val="22"/>
          <w:szCs w:val="22"/>
          <w:lang w:val="lv-LV"/>
        </w:rPr>
        <w:t xml:space="preserve"> 3 dienas pēc kārtas.</w:t>
      </w:r>
    </w:p>
    <w:p w14:paraId="58FAE974" w14:textId="77777777" w:rsidR="00772A2B" w:rsidRPr="00820D1D" w:rsidRDefault="004C3BDC" w:rsidP="00D1678B">
      <w:pPr>
        <w:pStyle w:val="BodyText1"/>
        <w:ind w:firstLine="0"/>
        <w:rPr>
          <w:rFonts w:ascii="Times New Roman" w:hAnsi="Times New Roman"/>
          <w:i/>
          <w:color w:val="auto"/>
          <w:sz w:val="22"/>
          <w:szCs w:val="22"/>
          <w:lang w:val="lv-LV"/>
        </w:rPr>
      </w:pPr>
      <w:r w:rsidRPr="00820D1D">
        <w:rPr>
          <w:rFonts w:ascii="Times New Roman" w:hAnsi="Times New Roman"/>
          <w:i/>
          <w:sz w:val="22"/>
          <w:szCs w:val="22"/>
          <w:lang w:val="lv-LV"/>
        </w:rPr>
        <w:t>Lietošana bērniem un pusaudžiem</w:t>
      </w:r>
    </w:p>
    <w:p w14:paraId="2CDADC56" w14:textId="77777777" w:rsidR="004C3BDC" w:rsidRDefault="004C3BDC" w:rsidP="00EA1A32">
      <w:pPr>
        <w:jc w:val="both"/>
        <w:rPr>
          <w:sz w:val="22"/>
          <w:szCs w:val="22"/>
          <w:lang w:val="lv-LV"/>
        </w:rPr>
      </w:pPr>
      <w:r w:rsidRPr="004C3BDC">
        <w:rPr>
          <w:iCs/>
          <w:sz w:val="22"/>
          <w:szCs w:val="22"/>
          <w:lang w:val="lv-LV"/>
        </w:rPr>
        <w:t xml:space="preserve">Dati par drošumu un efektivitāti, lietojot bērniem un pusaudžiem no 2 līdz 16 gadiem, līdz šim nav pietiekami. </w:t>
      </w:r>
      <w:proofErr w:type="spellStart"/>
      <w:r w:rsidRPr="004C3BDC">
        <w:rPr>
          <w:iCs/>
          <w:sz w:val="22"/>
          <w:szCs w:val="22"/>
          <w:lang w:val="lv-LV"/>
        </w:rPr>
        <w:t>Mebendazolu</w:t>
      </w:r>
      <w:proofErr w:type="spellEnd"/>
      <w:r w:rsidRPr="004C3BDC">
        <w:rPr>
          <w:iCs/>
          <w:sz w:val="22"/>
          <w:szCs w:val="22"/>
          <w:lang w:val="lv-LV"/>
        </w:rPr>
        <w:t xml:space="preserve"> drīkst lietot šajā vecuma grupā tikai tad, ja nav citas ārstēšanas iespējas</w:t>
      </w:r>
      <w:r w:rsidR="004B178E">
        <w:rPr>
          <w:iCs/>
          <w:sz w:val="22"/>
          <w:szCs w:val="22"/>
          <w:lang w:val="lv-LV"/>
        </w:rPr>
        <w:t xml:space="preserve">, </w:t>
      </w:r>
      <w:r w:rsidR="00C76E0D">
        <w:rPr>
          <w:iCs/>
          <w:sz w:val="22"/>
          <w:szCs w:val="22"/>
          <w:lang w:val="lv-LV"/>
        </w:rPr>
        <w:t>un t</w:t>
      </w:r>
      <w:r w:rsidR="004B178E">
        <w:rPr>
          <w:iCs/>
          <w:sz w:val="22"/>
          <w:szCs w:val="22"/>
          <w:lang w:val="lv-LV"/>
        </w:rPr>
        <w:t>o noteik</w:t>
      </w:r>
      <w:r w:rsidR="000F3AEE">
        <w:rPr>
          <w:iCs/>
          <w:sz w:val="22"/>
          <w:szCs w:val="22"/>
          <w:lang w:val="lv-LV"/>
        </w:rPr>
        <w:t>s ārstējošais ārsts</w:t>
      </w:r>
      <w:r>
        <w:rPr>
          <w:iCs/>
          <w:sz w:val="22"/>
          <w:szCs w:val="22"/>
          <w:lang w:val="lv-LV"/>
        </w:rPr>
        <w:t xml:space="preserve">. </w:t>
      </w:r>
      <w:r w:rsidR="000F3AEE">
        <w:rPr>
          <w:iCs/>
          <w:sz w:val="22"/>
          <w:szCs w:val="22"/>
          <w:lang w:val="lv-LV"/>
        </w:rPr>
        <w:t>Rūpīgi ievērojiet ārsta norādījumus.</w:t>
      </w:r>
    </w:p>
    <w:p w14:paraId="634396DF" w14:textId="77777777" w:rsidR="004C3BDC" w:rsidRDefault="004C3BDC" w:rsidP="00EA1A32">
      <w:pPr>
        <w:jc w:val="both"/>
        <w:rPr>
          <w:sz w:val="22"/>
          <w:szCs w:val="22"/>
          <w:lang w:val="lv-LV"/>
        </w:rPr>
      </w:pPr>
    </w:p>
    <w:p w14:paraId="32FFDBBA" w14:textId="77777777" w:rsidR="00EA1A32" w:rsidRPr="008821FE" w:rsidRDefault="00EA1A32" w:rsidP="00EA1A32">
      <w:pPr>
        <w:jc w:val="both"/>
        <w:rPr>
          <w:sz w:val="22"/>
          <w:szCs w:val="22"/>
          <w:lang w:val="lv-LV"/>
        </w:rPr>
      </w:pPr>
      <w:r w:rsidRPr="008821FE">
        <w:rPr>
          <w:sz w:val="22"/>
          <w:szCs w:val="22"/>
          <w:lang w:val="lv-LV"/>
        </w:rPr>
        <w:t>Iekšķīgai lietošanai.</w:t>
      </w:r>
    </w:p>
    <w:p w14:paraId="1C9D4BEF" w14:textId="77777777" w:rsidR="00E47A17" w:rsidRPr="000F3AEE" w:rsidRDefault="00EA1A32" w:rsidP="00E17039">
      <w:pPr>
        <w:pStyle w:val="BodyText1"/>
        <w:ind w:firstLine="0"/>
        <w:rPr>
          <w:rFonts w:ascii="Times New Roman" w:hAnsi="Times New Roman"/>
          <w:color w:val="auto"/>
          <w:sz w:val="22"/>
          <w:szCs w:val="22"/>
          <w:lang w:val="lv-LV"/>
        </w:rPr>
      </w:pPr>
      <w:r w:rsidRPr="008821FE">
        <w:rPr>
          <w:rFonts w:ascii="Times New Roman" w:hAnsi="Times New Roman"/>
          <w:color w:val="auto"/>
          <w:sz w:val="22"/>
          <w:szCs w:val="22"/>
          <w:lang w:val="lv-LV"/>
        </w:rPr>
        <w:t xml:space="preserve">Tableti var sakošļāt vai </w:t>
      </w:r>
      <w:r w:rsidR="004C3BDC">
        <w:rPr>
          <w:rFonts w:ascii="Times New Roman" w:hAnsi="Times New Roman"/>
          <w:color w:val="auto"/>
          <w:sz w:val="22"/>
          <w:szCs w:val="22"/>
          <w:lang w:val="lv-LV"/>
        </w:rPr>
        <w:t>norīt veselu.</w:t>
      </w:r>
      <w:r w:rsidR="004C3BDC" w:rsidRPr="008821FE">
        <w:rPr>
          <w:rFonts w:ascii="Times New Roman" w:hAnsi="Times New Roman"/>
          <w:color w:val="auto"/>
          <w:sz w:val="22"/>
          <w:szCs w:val="22"/>
          <w:lang w:val="lv-LV"/>
        </w:rPr>
        <w:t xml:space="preserve"> </w:t>
      </w:r>
      <w:r w:rsidR="004C3BDC">
        <w:rPr>
          <w:rFonts w:ascii="Times New Roman" w:hAnsi="Times New Roman"/>
          <w:color w:val="auto"/>
          <w:sz w:val="22"/>
          <w:szCs w:val="22"/>
          <w:lang w:val="lv-LV"/>
        </w:rPr>
        <w:t>Ieteicams</w:t>
      </w:r>
      <w:r w:rsidR="004C3BDC" w:rsidRPr="008821FE">
        <w:rPr>
          <w:rFonts w:ascii="Times New Roman" w:hAnsi="Times New Roman"/>
          <w:color w:val="auto"/>
          <w:sz w:val="22"/>
          <w:szCs w:val="22"/>
          <w:lang w:val="lv-LV"/>
        </w:rPr>
        <w:t xml:space="preserve"> </w:t>
      </w:r>
      <w:r w:rsidRPr="008821FE">
        <w:rPr>
          <w:rFonts w:ascii="Times New Roman" w:hAnsi="Times New Roman"/>
          <w:color w:val="auto"/>
          <w:sz w:val="22"/>
          <w:szCs w:val="22"/>
          <w:lang w:val="lv-LV"/>
        </w:rPr>
        <w:t>sasmalcināt</w:t>
      </w:r>
      <w:r w:rsidR="004C3BDC">
        <w:rPr>
          <w:rFonts w:ascii="Times New Roman" w:hAnsi="Times New Roman"/>
          <w:color w:val="auto"/>
          <w:sz w:val="22"/>
          <w:szCs w:val="22"/>
          <w:lang w:val="lv-LV"/>
        </w:rPr>
        <w:t xml:space="preserve"> tableti </w:t>
      </w:r>
      <w:r w:rsidR="004C3BDC" w:rsidRPr="00820D1D">
        <w:rPr>
          <w:rFonts w:ascii="Times New Roman" w:hAnsi="Times New Roman"/>
          <w:sz w:val="22"/>
          <w:szCs w:val="22"/>
          <w:lang w:val="lv-LV"/>
        </w:rPr>
        <w:t>pirms to dodat mazam bērnam</w:t>
      </w:r>
      <w:r w:rsidRPr="000F3AEE">
        <w:rPr>
          <w:rFonts w:ascii="Times New Roman" w:hAnsi="Times New Roman"/>
          <w:color w:val="auto"/>
          <w:sz w:val="22"/>
          <w:szCs w:val="22"/>
          <w:lang w:val="lv-LV"/>
        </w:rPr>
        <w:t>.</w:t>
      </w:r>
      <w:r w:rsidR="000F3AEE">
        <w:rPr>
          <w:rFonts w:ascii="Times New Roman" w:hAnsi="Times New Roman"/>
          <w:color w:val="auto"/>
          <w:sz w:val="22"/>
          <w:szCs w:val="22"/>
          <w:lang w:val="lv-LV"/>
        </w:rPr>
        <w:t xml:space="preserve"> </w:t>
      </w:r>
      <w:r w:rsidR="000F3AEE" w:rsidRPr="000F3AEE">
        <w:rPr>
          <w:rFonts w:ascii="Times New Roman" w:hAnsi="Times New Roman"/>
          <w:color w:val="auto"/>
          <w:sz w:val="22"/>
          <w:szCs w:val="22"/>
          <w:lang w:val="lv-LV"/>
        </w:rPr>
        <w:t>Vienmēr uzraudziet bērnu, kamēr viņš lieto šīs zāles.</w:t>
      </w:r>
    </w:p>
    <w:p w14:paraId="5976CFBD" w14:textId="77777777" w:rsidR="00E47A17" w:rsidRPr="008821FE" w:rsidRDefault="00E47A17"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Ārstēšanas laikā nav nepieciešama caurejas līdzekļu lietošana vai īpaša diēta.</w:t>
      </w:r>
    </w:p>
    <w:p w14:paraId="3E0C5D2D" w14:textId="77777777" w:rsidR="00501516" w:rsidRPr="008821FE" w:rsidRDefault="00501516" w:rsidP="00D1678B">
      <w:pPr>
        <w:pStyle w:val="BodyText1"/>
        <w:ind w:firstLine="0"/>
        <w:rPr>
          <w:rFonts w:ascii="Times New Roman" w:hAnsi="Times New Roman"/>
          <w:color w:val="auto"/>
          <w:sz w:val="22"/>
          <w:szCs w:val="22"/>
          <w:lang w:val="lv-LV"/>
        </w:rPr>
      </w:pPr>
    </w:p>
    <w:p w14:paraId="7B5F672D" w14:textId="77777777" w:rsidR="00501516" w:rsidRPr="008821FE" w:rsidRDefault="00501516" w:rsidP="00D1678B">
      <w:pPr>
        <w:pStyle w:val="BodyText1"/>
        <w:ind w:firstLine="0"/>
        <w:rPr>
          <w:rFonts w:ascii="Times New Roman" w:hAnsi="Times New Roman"/>
          <w:b/>
          <w:color w:val="auto"/>
          <w:sz w:val="22"/>
          <w:szCs w:val="22"/>
          <w:lang w:val="lv-LV"/>
        </w:rPr>
      </w:pPr>
      <w:r w:rsidRPr="008821FE">
        <w:rPr>
          <w:rFonts w:ascii="Times New Roman" w:hAnsi="Times New Roman"/>
          <w:b/>
          <w:color w:val="auto"/>
          <w:sz w:val="22"/>
          <w:szCs w:val="22"/>
          <w:lang w:val="lv-LV"/>
        </w:rPr>
        <w:t>Ja esat l</w:t>
      </w:r>
      <w:r w:rsidR="00646761" w:rsidRPr="008821FE">
        <w:rPr>
          <w:rFonts w:ascii="Times New Roman" w:hAnsi="Times New Roman"/>
          <w:b/>
          <w:color w:val="auto"/>
          <w:sz w:val="22"/>
          <w:szCs w:val="22"/>
          <w:lang w:val="lv-LV"/>
        </w:rPr>
        <w:t>ietojis Mebendazole-Grindeks vairāk nekā noteikts</w:t>
      </w:r>
    </w:p>
    <w:p w14:paraId="160635C4" w14:textId="77777777" w:rsidR="00E058BF" w:rsidRPr="008821FE" w:rsidRDefault="00E058BF"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 xml:space="preserve">Ja esat lietojis pārāk daudz tablešu, nekavējoties konsultējieties ar ārstu. </w:t>
      </w:r>
    </w:p>
    <w:p w14:paraId="074962F8" w14:textId="77777777" w:rsidR="00E058BF" w:rsidRPr="008821FE" w:rsidRDefault="00E058BF"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Ja nejauši esat ieņēmis vairāk tablešu</w:t>
      </w:r>
      <w:r w:rsidR="00196B6A" w:rsidRPr="008821FE">
        <w:rPr>
          <w:rFonts w:ascii="Times New Roman" w:hAnsi="Times New Roman"/>
          <w:sz w:val="22"/>
          <w:szCs w:val="22"/>
          <w:lang w:val="lv-LV"/>
        </w:rPr>
        <w:t>,</w:t>
      </w:r>
      <w:r w:rsidRPr="008821FE">
        <w:rPr>
          <w:rFonts w:ascii="Times New Roman" w:hAnsi="Times New Roman"/>
          <w:sz w:val="22"/>
          <w:szCs w:val="22"/>
          <w:lang w:val="lv-LV"/>
        </w:rPr>
        <w:t xml:space="preserve"> nekā Jums parakstīts, var rasties vēdergraizes, slikta dūša, vemšana un caureja. </w:t>
      </w:r>
    </w:p>
    <w:p w14:paraId="25667181" w14:textId="77777777" w:rsidR="00E058BF" w:rsidRPr="008821FE" w:rsidRDefault="00E058BF" w:rsidP="00E17039">
      <w:pPr>
        <w:pStyle w:val="BodyText1"/>
        <w:ind w:firstLine="0"/>
        <w:rPr>
          <w:rFonts w:ascii="Times New Roman" w:hAnsi="Times New Roman"/>
          <w:sz w:val="22"/>
          <w:szCs w:val="22"/>
          <w:lang w:val="lv-LV"/>
        </w:rPr>
      </w:pPr>
      <w:r w:rsidRPr="008821FE">
        <w:rPr>
          <w:rFonts w:ascii="Times New Roman" w:hAnsi="Times New Roman"/>
          <w:sz w:val="22"/>
          <w:szCs w:val="22"/>
          <w:lang w:val="lv-LV"/>
        </w:rPr>
        <w:t xml:space="preserve">Nav specifiska antidota. Pirmās stundas laikā pēc norīšanas var veikt kuņģa skalošanu. Ja nepieciešams, Jums var </w:t>
      </w:r>
      <w:r w:rsidR="001C62D7" w:rsidRPr="008821FE">
        <w:rPr>
          <w:rFonts w:ascii="Times New Roman" w:hAnsi="Times New Roman"/>
          <w:sz w:val="22"/>
          <w:szCs w:val="22"/>
          <w:lang w:val="lv-LV"/>
        </w:rPr>
        <w:t>nozīmēt</w:t>
      </w:r>
      <w:r w:rsidRPr="008821FE">
        <w:rPr>
          <w:rFonts w:ascii="Times New Roman" w:hAnsi="Times New Roman"/>
          <w:sz w:val="22"/>
          <w:szCs w:val="22"/>
          <w:lang w:val="lv-LV"/>
        </w:rPr>
        <w:t xml:space="preserve"> aktivēto ogli. </w:t>
      </w:r>
    </w:p>
    <w:p w14:paraId="661D182F" w14:textId="77777777" w:rsidR="00501516" w:rsidRPr="008821FE" w:rsidRDefault="00E058BF" w:rsidP="00D1678B">
      <w:pPr>
        <w:pStyle w:val="BodyText1"/>
        <w:numPr>
          <w:ilvl w:val="12"/>
          <w:numId w:val="0"/>
        </w:numPr>
        <w:rPr>
          <w:rFonts w:ascii="Times New Roman" w:hAnsi="Times New Roman"/>
          <w:color w:val="auto"/>
          <w:sz w:val="22"/>
          <w:szCs w:val="22"/>
          <w:lang w:val="lv-LV"/>
        </w:rPr>
      </w:pPr>
      <w:r w:rsidRPr="008821FE" w:rsidDel="00E058BF">
        <w:rPr>
          <w:rFonts w:ascii="Times New Roman" w:hAnsi="Times New Roman"/>
          <w:sz w:val="22"/>
          <w:szCs w:val="22"/>
          <w:lang w:val="lv-LV"/>
        </w:rPr>
        <w:t xml:space="preserve"> </w:t>
      </w:r>
    </w:p>
    <w:p w14:paraId="0535B75E" w14:textId="77777777" w:rsidR="00501516" w:rsidRPr="008821FE" w:rsidRDefault="00501516" w:rsidP="00D1678B">
      <w:pPr>
        <w:pStyle w:val="BodyText1"/>
        <w:numPr>
          <w:ilvl w:val="12"/>
          <w:numId w:val="0"/>
        </w:numPr>
        <w:rPr>
          <w:rFonts w:ascii="Times New Roman" w:hAnsi="Times New Roman"/>
          <w:b/>
          <w:color w:val="auto"/>
          <w:sz w:val="22"/>
          <w:szCs w:val="22"/>
          <w:lang w:val="lv-LV"/>
        </w:rPr>
      </w:pPr>
      <w:r w:rsidRPr="008821FE">
        <w:rPr>
          <w:rFonts w:ascii="Times New Roman" w:hAnsi="Times New Roman"/>
          <w:b/>
          <w:color w:val="auto"/>
          <w:sz w:val="22"/>
          <w:szCs w:val="22"/>
          <w:lang w:val="lv-LV"/>
        </w:rPr>
        <w:t>Ja esat</w:t>
      </w:r>
      <w:r w:rsidR="00646761" w:rsidRPr="008821FE">
        <w:rPr>
          <w:rFonts w:ascii="Times New Roman" w:hAnsi="Times New Roman"/>
          <w:b/>
          <w:color w:val="auto"/>
          <w:sz w:val="22"/>
          <w:szCs w:val="22"/>
          <w:lang w:val="lv-LV"/>
        </w:rPr>
        <w:t xml:space="preserve"> aizmirsis lietot Mebendazole-</w:t>
      </w:r>
      <w:r w:rsidRPr="008821FE">
        <w:rPr>
          <w:rFonts w:ascii="Times New Roman" w:hAnsi="Times New Roman"/>
          <w:b/>
          <w:color w:val="auto"/>
          <w:sz w:val="22"/>
          <w:szCs w:val="22"/>
          <w:lang w:val="lv-LV"/>
        </w:rPr>
        <w:t>Grindeks</w:t>
      </w:r>
    </w:p>
    <w:p w14:paraId="78C84106" w14:textId="77777777" w:rsidR="00E058BF" w:rsidRPr="008821FE" w:rsidRDefault="00E058BF" w:rsidP="00E058BF">
      <w:pPr>
        <w:pStyle w:val="BodyText1"/>
        <w:numPr>
          <w:ilvl w:val="12"/>
          <w:numId w:val="0"/>
        </w:numPr>
        <w:rPr>
          <w:rFonts w:ascii="Times New Roman" w:hAnsi="Times New Roman"/>
          <w:sz w:val="22"/>
          <w:szCs w:val="22"/>
          <w:lang w:val="lv-LV"/>
        </w:rPr>
      </w:pPr>
      <w:r w:rsidRPr="008821FE">
        <w:rPr>
          <w:rFonts w:ascii="Times New Roman" w:hAnsi="Times New Roman"/>
          <w:sz w:val="22"/>
          <w:szCs w:val="22"/>
          <w:lang w:val="lv-LV"/>
        </w:rPr>
        <w:t xml:space="preserve">Nelietojiet dubultu devu, lai aizvietotu aizmirsto devu. </w:t>
      </w:r>
    </w:p>
    <w:p w14:paraId="35738601" w14:textId="77777777" w:rsidR="00E058BF" w:rsidRPr="008821FE" w:rsidRDefault="00E058BF" w:rsidP="00E058BF">
      <w:pPr>
        <w:pStyle w:val="BodyText1"/>
        <w:numPr>
          <w:ilvl w:val="12"/>
          <w:numId w:val="0"/>
        </w:numPr>
        <w:rPr>
          <w:rFonts w:ascii="Times New Roman" w:hAnsi="Times New Roman"/>
          <w:sz w:val="22"/>
          <w:szCs w:val="22"/>
          <w:lang w:val="lv-LV"/>
        </w:rPr>
      </w:pPr>
      <w:r w:rsidRPr="008821FE">
        <w:rPr>
          <w:rFonts w:ascii="Times New Roman" w:hAnsi="Times New Roman"/>
          <w:sz w:val="22"/>
          <w:szCs w:val="22"/>
          <w:lang w:val="lv-LV"/>
        </w:rPr>
        <w:t>Lietojiet nākamo devu parastajā laikā, un turpiniet zāļu lietošanu pēc ārsta norādījumiem.</w:t>
      </w:r>
    </w:p>
    <w:p w14:paraId="2BE8B3E6" w14:textId="77777777" w:rsidR="00E058BF" w:rsidRPr="008821FE" w:rsidRDefault="00E058BF" w:rsidP="00A341BF">
      <w:pPr>
        <w:pStyle w:val="BodyText1"/>
        <w:numPr>
          <w:ilvl w:val="12"/>
          <w:numId w:val="0"/>
        </w:numPr>
        <w:tabs>
          <w:tab w:val="left" w:pos="360"/>
        </w:tabs>
        <w:rPr>
          <w:rFonts w:ascii="Times New Roman" w:hAnsi="Times New Roman"/>
          <w:color w:val="auto"/>
          <w:sz w:val="22"/>
          <w:szCs w:val="22"/>
          <w:lang w:val="lv-LV"/>
        </w:rPr>
      </w:pPr>
    </w:p>
    <w:p w14:paraId="194A48BD" w14:textId="77777777" w:rsidR="00E375A1" w:rsidRPr="008821FE" w:rsidRDefault="00E375A1" w:rsidP="00E375A1">
      <w:pPr>
        <w:pStyle w:val="BodyText1"/>
        <w:numPr>
          <w:ilvl w:val="12"/>
          <w:numId w:val="0"/>
        </w:numPr>
        <w:tabs>
          <w:tab w:val="left" w:pos="360"/>
        </w:tabs>
        <w:rPr>
          <w:rFonts w:ascii="Times New Roman" w:hAnsi="Times New Roman"/>
          <w:b/>
          <w:color w:val="auto"/>
          <w:sz w:val="22"/>
          <w:szCs w:val="22"/>
          <w:lang w:val="lv-LV"/>
        </w:rPr>
      </w:pPr>
      <w:r w:rsidRPr="008821FE">
        <w:rPr>
          <w:rFonts w:ascii="Times New Roman" w:hAnsi="Times New Roman"/>
          <w:b/>
          <w:color w:val="auto"/>
          <w:sz w:val="22"/>
          <w:szCs w:val="22"/>
          <w:lang w:val="lv-LV"/>
        </w:rPr>
        <w:lastRenderedPageBreak/>
        <w:t>Ja pārtraucat lietot Mebendazole-Grindeks</w:t>
      </w:r>
    </w:p>
    <w:p w14:paraId="51D52764" w14:textId="77777777" w:rsidR="00E375A1" w:rsidRPr="008821FE" w:rsidRDefault="00B632C6" w:rsidP="00E17039">
      <w:pPr>
        <w:rPr>
          <w:sz w:val="22"/>
          <w:szCs w:val="22"/>
          <w:lang w:val="lv-LV"/>
        </w:rPr>
      </w:pPr>
      <w:r w:rsidRPr="008821FE">
        <w:rPr>
          <w:sz w:val="22"/>
          <w:szCs w:val="22"/>
          <w:lang w:val="lv-LV"/>
        </w:rPr>
        <w:t>Ja Jums ir kādi jautājumi par šo zāļu lietošanu, jautājiet ārstam vai farmaceitam.</w:t>
      </w:r>
    </w:p>
    <w:p w14:paraId="79551206" w14:textId="77777777" w:rsidR="00E375A1" w:rsidRPr="008821FE" w:rsidRDefault="00E375A1" w:rsidP="00E375A1">
      <w:pPr>
        <w:pStyle w:val="BodyText1"/>
        <w:numPr>
          <w:ilvl w:val="12"/>
          <w:numId w:val="0"/>
        </w:numPr>
        <w:tabs>
          <w:tab w:val="left" w:pos="360"/>
        </w:tabs>
        <w:rPr>
          <w:rFonts w:ascii="Times New Roman" w:hAnsi="Times New Roman"/>
          <w:b/>
          <w:color w:val="auto"/>
          <w:sz w:val="22"/>
          <w:szCs w:val="22"/>
          <w:lang w:val="lv-LV"/>
        </w:rPr>
      </w:pPr>
    </w:p>
    <w:p w14:paraId="4FA16332" w14:textId="77777777" w:rsidR="00E058BF" w:rsidRPr="008821FE" w:rsidRDefault="00E058BF" w:rsidP="00A341BF">
      <w:pPr>
        <w:pStyle w:val="BodyText1"/>
        <w:numPr>
          <w:ilvl w:val="12"/>
          <w:numId w:val="0"/>
        </w:numPr>
        <w:tabs>
          <w:tab w:val="left" w:pos="360"/>
        </w:tabs>
        <w:rPr>
          <w:rFonts w:ascii="Times New Roman" w:hAnsi="Times New Roman"/>
          <w:color w:val="auto"/>
          <w:sz w:val="22"/>
          <w:szCs w:val="22"/>
          <w:lang w:val="lv-LV"/>
        </w:rPr>
      </w:pPr>
    </w:p>
    <w:p w14:paraId="7D67481B" w14:textId="77777777" w:rsidR="00501516" w:rsidRPr="008821FE" w:rsidRDefault="00646761" w:rsidP="00A341BF">
      <w:pPr>
        <w:pStyle w:val="BodyText1"/>
        <w:numPr>
          <w:ilvl w:val="12"/>
          <w:numId w:val="0"/>
        </w:numPr>
        <w:tabs>
          <w:tab w:val="left" w:pos="360"/>
        </w:tabs>
        <w:rPr>
          <w:rFonts w:ascii="Times New Roman" w:hAnsi="Times New Roman"/>
          <w:color w:val="auto"/>
          <w:sz w:val="22"/>
          <w:szCs w:val="22"/>
          <w:lang w:val="lv-LV"/>
        </w:rPr>
      </w:pPr>
      <w:r w:rsidRPr="008821FE">
        <w:rPr>
          <w:rFonts w:ascii="Times New Roman" w:hAnsi="Times New Roman"/>
          <w:b/>
          <w:color w:val="auto"/>
          <w:sz w:val="22"/>
          <w:szCs w:val="22"/>
          <w:lang w:val="lv-LV"/>
        </w:rPr>
        <w:t>4.</w:t>
      </w:r>
      <w:r w:rsidRPr="008821FE">
        <w:rPr>
          <w:rFonts w:ascii="Times New Roman" w:hAnsi="Times New Roman"/>
          <w:b/>
          <w:color w:val="auto"/>
          <w:sz w:val="22"/>
          <w:szCs w:val="22"/>
          <w:lang w:val="lv-LV"/>
        </w:rPr>
        <w:tab/>
      </w:r>
      <w:r w:rsidR="00501516" w:rsidRPr="008821FE">
        <w:rPr>
          <w:rFonts w:ascii="Times New Roman" w:hAnsi="Times New Roman"/>
          <w:b/>
          <w:color w:val="auto"/>
          <w:sz w:val="22"/>
          <w:szCs w:val="22"/>
          <w:lang w:val="lv-LV"/>
        </w:rPr>
        <w:t>I</w:t>
      </w:r>
      <w:r w:rsidR="00AD7FA5" w:rsidRPr="008821FE">
        <w:rPr>
          <w:rFonts w:ascii="Times New Roman" w:hAnsi="Times New Roman"/>
          <w:b/>
          <w:color w:val="auto"/>
          <w:sz w:val="22"/>
          <w:szCs w:val="22"/>
          <w:lang w:val="lv-LV"/>
        </w:rPr>
        <w:t>espējamās blakusparādības</w:t>
      </w:r>
    </w:p>
    <w:p w14:paraId="7E4636EE" w14:textId="77777777" w:rsidR="00501516" w:rsidRPr="008821FE" w:rsidRDefault="00501516" w:rsidP="00D1678B">
      <w:pPr>
        <w:pStyle w:val="BodyText1"/>
        <w:numPr>
          <w:ilvl w:val="12"/>
          <w:numId w:val="0"/>
        </w:numPr>
        <w:rPr>
          <w:rFonts w:ascii="Times New Roman" w:hAnsi="Times New Roman"/>
          <w:color w:val="auto"/>
          <w:sz w:val="22"/>
          <w:szCs w:val="22"/>
          <w:lang w:val="lv-LV"/>
        </w:rPr>
      </w:pPr>
    </w:p>
    <w:p w14:paraId="66B643DE" w14:textId="77777777" w:rsidR="00646761" w:rsidRPr="008821FE" w:rsidRDefault="002F1DD5" w:rsidP="00145126">
      <w:pPr>
        <w:autoSpaceDE w:val="0"/>
        <w:autoSpaceDN w:val="0"/>
        <w:adjustRightInd w:val="0"/>
        <w:jc w:val="both"/>
        <w:rPr>
          <w:sz w:val="22"/>
          <w:szCs w:val="22"/>
          <w:lang w:val="lv-LV"/>
        </w:rPr>
      </w:pPr>
      <w:r w:rsidRPr="008821FE">
        <w:rPr>
          <w:sz w:val="22"/>
          <w:szCs w:val="22"/>
          <w:lang w:val="lv-LV"/>
        </w:rPr>
        <w:t>Tāpat kā visas zāles, šīs zāles var izraisīt blakusparādības</w:t>
      </w:r>
      <w:r w:rsidR="00646761" w:rsidRPr="008821FE">
        <w:rPr>
          <w:sz w:val="22"/>
          <w:szCs w:val="22"/>
          <w:lang w:val="lv-LV"/>
        </w:rPr>
        <w:t>, k</w:t>
      </w:r>
      <w:r w:rsidR="00145126" w:rsidRPr="008821FE">
        <w:rPr>
          <w:sz w:val="22"/>
          <w:szCs w:val="22"/>
          <w:lang w:val="lv-LV"/>
        </w:rPr>
        <w:t>aut arī ne visiem tās izpaužas.</w:t>
      </w:r>
    </w:p>
    <w:p w14:paraId="79567BC7" w14:textId="77777777" w:rsidR="006D715E" w:rsidRPr="008821FE" w:rsidRDefault="006D715E" w:rsidP="00145126">
      <w:pPr>
        <w:autoSpaceDE w:val="0"/>
        <w:autoSpaceDN w:val="0"/>
        <w:adjustRightInd w:val="0"/>
        <w:jc w:val="both"/>
        <w:rPr>
          <w:sz w:val="22"/>
          <w:szCs w:val="22"/>
          <w:lang w:val="lv-LV"/>
        </w:rPr>
      </w:pPr>
    </w:p>
    <w:p w14:paraId="05D78339" w14:textId="77777777" w:rsidR="003D6B63" w:rsidRPr="008821FE" w:rsidRDefault="00061759" w:rsidP="00D1678B">
      <w:pPr>
        <w:pStyle w:val="BodyText1"/>
        <w:ind w:firstLine="0"/>
        <w:rPr>
          <w:rFonts w:ascii="Times New Roman" w:hAnsi="Times New Roman"/>
          <w:color w:val="auto"/>
          <w:sz w:val="22"/>
          <w:szCs w:val="22"/>
          <w:lang w:val="lv-LV"/>
        </w:rPr>
      </w:pPr>
      <w:r w:rsidRPr="008821FE">
        <w:rPr>
          <w:rFonts w:ascii="Times New Roman" w:hAnsi="Times New Roman"/>
          <w:color w:val="auto"/>
          <w:sz w:val="22"/>
          <w:szCs w:val="22"/>
          <w:lang w:val="lv-LV"/>
        </w:rPr>
        <w:t>Lietojot mebendazolu i</w:t>
      </w:r>
      <w:r w:rsidR="00501516" w:rsidRPr="008821FE">
        <w:rPr>
          <w:rFonts w:ascii="Times New Roman" w:hAnsi="Times New Roman"/>
          <w:color w:val="auto"/>
          <w:sz w:val="22"/>
          <w:szCs w:val="22"/>
          <w:lang w:val="lv-LV"/>
        </w:rPr>
        <w:t>eteiktajās devās</w:t>
      </w:r>
      <w:r w:rsidRPr="008821FE">
        <w:rPr>
          <w:rFonts w:ascii="Times New Roman" w:hAnsi="Times New Roman"/>
          <w:color w:val="auto"/>
          <w:sz w:val="22"/>
          <w:szCs w:val="22"/>
          <w:lang w:val="lv-LV"/>
        </w:rPr>
        <w:t>,</w:t>
      </w:r>
      <w:r w:rsidR="00501516" w:rsidRPr="008821FE">
        <w:rPr>
          <w:rFonts w:ascii="Times New Roman" w:hAnsi="Times New Roman"/>
          <w:color w:val="auto"/>
          <w:sz w:val="22"/>
          <w:szCs w:val="22"/>
          <w:lang w:val="lv-LV"/>
        </w:rPr>
        <w:t xml:space="preserve"> blakusparādības rodas reti</w:t>
      </w:r>
      <w:r w:rsidRPr="008821FE">
        <w:rPr>
          <w:rFonts w:ascii="Times New Roman" w:hAnsi="Times New Roman"/>
          <w:color w:val="auto"/>
          <w:sz w:val="22"/>
          <w:szCs w:val="22"/>
          <w:lang w:val="lv-LV"/>
        </w:rPr>
        <w:t xml:space="preserve">. </w:t>
      </w:r>
    </w:p>
    <w:p w14:paraId="37D1D3FC" w14:textId="77777777" w:rsidR="009B3089" w:rsidRPr="008821FE" w:rsidRDefault="009B3089" w:rsidP="00E17039">
      <w:pPr>
        <w:jc w:val="both"/>
        <w:rPr>
          <w:sz w:val="22"/>
          <w:szCs w:val="22"/>
          <w:lang w:val="lv-LV"/>
        </w:rPr>
      </w:pPr>
      <w:r w:rsidRPr="008821FE">
        <w:rPr>
          <w:sz w:val="22"/>
          <w:szCs w:val="22"/>
          <w:lang w:val="lv-LV"/>
        </w:rPr>
        <w:t xml:space="preserve">Masīvas tārpu invāzijas gadījumā reti var rasties sāpes vēdera apakšējā daļā un caureja. </w:t>
      </w:r>
    </w:p>
    <w:p w14:paraId="07BE3FD2" w14:textId="77777777" w:rsidR="003D6B63" w:rsidRPr="008821FE" w:rsidRDefault="003D6B63" w:rsidP="00D1678B">
      <w:pPr>
        <w:pStyle w:val="BodyText1"/>
        <w:ind w:firstLine="0"/>
        <w:rPr>
          <w:rFonts w:ascii="Times New Roman" w:hAnsi="Times New Roman"/>
          <w:color w:val="auto"/>
          <w:sz w:val="22"/>
          <w:szCs w:val="22"/>
          <w:lang w:val="lv-LV"/>
        </w:rPr>
      </w:pPr>
    </w:p>
    <w:p w14:paraId="28A30387" w14:textId="77777777" w:rsidR="00357C4B" w:rsidRPr="008821FE" w:rsidRDefault="00357C4B" w:rsidP="00E17039">
      <w:pPr>
        <w:jc w:val="both"/>
        <w:rPr>
          <w:sz w:val="22"/>
          <w:szCs w:val="22"/>
          <w:lang w:val="lv-LV"/>
        </w:rPr>
      </w:pPr>
      <w:r w:rsidRPr="008821FE">
        <w:rPr>
          <w:sz w:val="22"/>
          <w:szCs w:val="22"/>
          <w:lang w:val="lv-LV"/>
        </w:rPr>
        <w:t xml:space="preserve">Pārtrauciet </w:t>
      </w:r>
      <w:r w:rsidR="00825748" w:rsidRPr="008821FE">
        <w:rPr>
          <w:sz w:val="22"/>
          <w:szCs w:val="22"/>
          <w:lang w:val="lv-LV"/>
        </w:rPr>
        <w:t>Mebendazols-Grindeks</w:t>
      </w:r>
      <w:r w:rsidRPr="008821FE">
        <w:rPr>
          <w:sz w:val="22"/>
          <w:szCs w:val="22"/>
          <w:lang w:val="lv-LV"/>
        </w:rPr>
        <w:t xml:space="preserve"> lietošanu un nekavējoties konsultējieties ar ārstu, ja Jūs novērojat vai Jums ir aizdomas par sekojošām nopietnām blakusparādībām: pēkšņs sejas vai rīkles pietūkums, nātrene, izteikts ādas kairinājums, apsarkums</w:t>
      </w:r>
      <w:r w:rsidR="00825748" w:rsidRPr="008821FE">
        <w:rPr>
          <w:sz w:val="22"/>
          <w:szCs w:val="22"/>
          <w:lang w:val="lv-LV"/>
        </w:rPr>
        <w:t xml:space="preserve"> </w:t>
      </w:r>
      <w:r w:rsidR="003D4DE2" w:rsidRPr="008821FE">
        <w:rPr>
          <w:sz w:val="22"/>
          <w:szCs w:val="22"/>
          <w:lang w:val="lv-LV"/>
        </w:rPr>
        <w:t>-</w:t>
      </w:r>
      <w:r w:rsidRPr="008821FE">
        <w:rPr>
          <w:sz w:val="22"/>
          <w:szCs w:val="22"/>
          <w:lang w:val="lv-LV"/>
        </w:rPr>
        <w:t xml:space="preserve"> </w:t>
      </w:r>
      <w:r w:rsidR="003D4DE2" w:rsidRPr="008821FE">
        <w:rPr>
          <w:sz w:val="22"/>
          <w:szCs w:val="22"/>
          <w:lang w:val="lv-LV"/>
        </w:rPr>
        <w:t xml:space="preserve">tās var būt smagas alerģijas pazīmes, kā arī </w:t>
      </w:r>
      <w:r w:rsidRPr="008821FE">
        <w:rPr>
          <w:sz w:val="22"/>
          <w:szCs w:val="22"/>
          <w:lang w:val="lv-LV"/>
        </w:rPr>
        <w:t>čūlas</w:t>
      </w:r>
      <w:r w:rsidR="00617534" w:rsidRPr="008821FE">
        <w:rPr>
          <w:sz w:val="22"/>
          <w:szCs w:val="22"/>
          <w:lang w:val="lv-LV"/>
        </w:rPr>
        <w:t xml:space="preserve"> uz Jūsu ādas, mutē, acīs un uz dzimumorgāniem, lēkmes (konvulsijas).</w:t>
      </w:r>
      <w:r w:rsidRPr="008821FE">
        <w:rPr>
          <w:sz w:val="22"/>
          <w:szCs w:val="22"/>
          <w:lang w:val="lv-LV"/>
        </w:rPr>
        <w:t xml:space="preserve"> </w:t>
      </w:r>
    </w:p>
    <w:p w14:paraId="10CB1A47" w14:textId="77777777" w:rsidR="00E13EEB" w:rsidRPr="008821FE" w:rsidRDefault="00E13EEB" w:rsidP="00050588">
      <w:pPr>
        <w:jc w:val="both"/>
        <w:rPr>
          <w:b/>
          <w:sz w:val="22"/>
          <w:szCs w:val="22"/>
          <w:lang w:val="lv-LV"/>
        </w:rPr>
      </w:pPr>
    </w:p>
    <w:p w14:paraId="5ABBCD2A" w14:textId="77777777" w:rsidR="00FF212B" w:rsidRPr="008821FE" w:rsidRDefault="00FF212B" w:rsidP="00FF212B">
      <w:pPr>
        <w:jc w:val="both"/>
        <w:rPr>
          <w:sz w:val="22"/>
          <w:szCs w:val="22"/>
          <w:lang w:val="lv-LV"/>
        </w:rPr>
      </w:pPr>
      <w:r w:rsidRPr="008821FE">
        <w:rPr>
          <w:sz w:val="22"/>
          <w:szCs w:val="22"/>
          <w:lang w:val="lv-LV"/>
        </w:rPr>
        <w:t xml:space="preserve">Bieži (var </w:t>
      </w:r>
      <w:r w:rsidR="00085FE3" w:rsidRPr="008821FE">
        <w:rPr>
          <w:sz w:val="22"/>
          <w:szCs w:val="22"/>
          <w:lang w:val="lv-LV"/>
        </w:rPr>
        <w:t xml:space="preserve">rasties </w:t>
      </w:r>
      <w:r w:rsidR="00E856A7" w:rsidRPr="008821FE">
        <w:rPr>
          <w:sz w:val="22"/>
          <w:szCs w:val="22"/>
          <w:lang w:val="lv-LV"/>
        </w:rPr>
        <w:t>līdz</w:t>
      </w:r>
      <w:r w:rsidR="006555BD">
        <w:rPr>
          <w:sz w:val="22"/>
          <w:szCs w:val="22"/>
          <w:lang w:val="lv-LV"/>
        </w:rPr>
        <w:t xml:space="preserve"> </w:t>
      </w:r>
      <w:r w:rsidRPr="008821FE">
        <w:rPr>
          <w:sz w:val="22"/>
          <w:szCs w:val="22"/>
          <w:lang w:val="lv-LV"/>
        </w:rPr>
        <w:t>1 no 10 </w:t>
      </w:r>
      <w:r w:rsidR="00E856A7" w:rsidRPr="008821FE">
        <w:rPr>
          <w:sz w:val="22"/>
          <w:szCs w:val="22"/>
          <w:lang w:val="lv-LV"/>
        </w:rPr>
        <w:t>cilvēkiem</w:t>
      </w:r>
      <w:r w:rsidRPr="008821FE">
        <w:rPr>
          <w:sz w:val="22"/>
          <w:szCs w:val="22"/>
          <w:lang w:val="lv-LV"/>
        </w:rPr>
        <w:t>):</w:t>
      </w:r>
    </w:p>
    <w:p w14:paraId="71BAA703" w14:textId="77777777" w:rsidR="003870C7" w:rsidRPr="008821FE" w:rsidRDefault="003870C7" w:rsidP="00E17039">
      <w:pPr>
        <w:numPr>
          <w:ilvl w:val="0"/>
          <w:numId w:val="6"/>
        </w:numPr>
        <w:jc w:val="both"/>
        <w:rPr>
          <w:sz w:val="22"/>
          <w:szCs w:val="22"/>
          <w:lang w:val="lv-LV"/>
        </w:rPr>
      </w:pPr>
      <w:r w:rsidRPr="008821FE">
        <w:rPr>
          <w:sz w:val="22"/>
          <w:szCs w:val="22"/>
          <w:lang w:val="lv-LV"/>
        </w:rPr>
        <w:t>sāpes vēderā.</w:t>
      </w:r>
    </w:p>
    <w:p w14:paraId="20A6075E" w14:textId="77777777" w:rsidR="003870C7" w:rsidRPr="008821FE" w:rsidRDefault="003870C7" w:rsidP="00FF212B">
      <w:pPr>
        <w:jc w:val="both"/>
        <w:rPr>
          <w:sz w:val="22"/>
          <w:szCs w:val="22"/>
          <w:lang w:val="lv-LV"/>
        </w:rPr>
      </w:pPr>
    </w:p>
    <w:p w14:paraId="1C755C92" w14:textId="77777777" w:rsidR="00FF212B" w:rsidRPr="008821FE" w:rsidRDefault="00FF212B" w:rsidP="00FF212B">
      <w:pPr>
        <w:jc w:val="both"/>
        <w:rPr>
          <w:sz w:val="22"/>
          <w:szCs w:val="22"/>
          <w:lang w:val="lv-LV"/>
        </w:rPr>
      </w:pPr>
      <w:r w:rsidRPr="008821FE">
        <w:rPr>
          <w:sz w:val="22"/>
          <w:szCs w:val="22"/>
          <w:lang w:val="lv-LV"/>
        </w:rPr>
        <w:t>Retāk (var ras</w:t>
      </w:r>
      <w:r w:rsidR="00E13EEB" w:rsidRPr="008821FE">
        <w:rPr>
          <w:sz w:val="22"/>
          <w:szCs w:val="22"/>
          <w:lang w:val="lv-LV"/>
        </w:rPr>
        <w:t xml:space="preserve">ties </w:t>
      </w:r>
      <w:r w:rsidR="00E856A7" w:rsidRPr="008821FE">
        <w:rPr>
          <w:sz w:val="22"/>
          <w:szCs w:val="22"/>
          <w:lang w:val="lv-LV"/>
        </w:rPr>
        <w:t>līdz</w:t>
      </w:r>
      <w:r w:rsidR="00E13EEB" w:rsidRPr="008821FE">
        <w:rPr>
          <w:sz w:val="22"/>
          <w:szCs w:val="22"/>
          <w:lang w:val="lv-LV"/>
        </w:rPr>
        <w:t xml:space="preserve"> 1 no 100 </w:t>
      </w:r>
      <w:r w:rsidR="00E856A7" w:rsidRPr="008821FE">
        <w:rPr>
          <w:sz w:val="22"/>
          <w:szCs w:val="22"/>
          <w:lang w:val="lv-LV"/>
        </w:rPr>
        <w:t>cilvēkiem</w:t>
      </w:r>
      <w:r w:rsidRPr="008821FE">
        <w:rPr>
          <w:sz w:val="22"/>
          <w:szCs w:val="22"/>
          <w:lang w:val="lv-LV"/>
        </w:rPr>
        <w:t>):</w:t>
      </w:r>
    </w:p>
    <w:p w14:paraId="5D6D0216" w14:textId="77777777" w:rsidR="003870C7" w:rsidRPr="008821FE" w:rsidRDefault="003870C7" w:rsidP="00E17039">
      <w:pPr>
        <w:numPr>
          <w:ilvl w:val="0"/>
          <w:numId w:val="6"/>
        </w:numPr>
        <w:jc w:val="both"/>
        <w:rPr>
          <w:sz w:val="22"/>
          <w:szCs w:val="22"/>
          <w:lang w:val="lv-LV"/>
        </w:rPr>
      </w:pPr>
      <w:r w:rsidRPr="008821FE">
        <w:rPr>
          <w:sz w:val="22"/>
          <w:szCs w:val="22"/>
          <w:lang w:val="lv-LV"/>
        </w:rPr>
        <w:t xml:space="preserve">diskomforta sajūta </w:t>
      </w:r>
      <w:r w:rsidR="00E13EEB" w:rsidRPr="008821FE">
        <w:rPr>
          <w:sz w:val="22"/>
          <w:szCs w:val="22"/>
          <w:lang w:val="lv-LV"/>
        </w:rPr>
        <w:t>vēderā</w:t>
      </w:r>
      <w:r w:rsidRPr="008821FE">
        <w:rPr>
          <w:sz w:val="22"/>
          <w:szCs w:val="22"/>
          <w:lang w:val="lv-LV"/>
        </w:rPr>
        <w:t>;</w:t>
      </w:r>
    </w:p>
    <w:p w14:paraId="39F5F6E9" w14:textId="77777777" w:rsidR="003870C7" w:rsidRPr="008821FE" w:rsidRDefault="003870C7" w:rsidP="00E17039">
      <w:pPr>
        <w:numPr>
          <w:ilvl w:val="0"/>
          <w:numId w:val="6"/>
        </w:numPr>
        <w:jc w:val="both"/>
        <w:rPr>
          <w:sz w:val="22"/>
          <w:szCs w:val="22"/>
          <w:lang w:val="lv-LV"/>
        </w:rPr>
      </w:pPr>
      <w:r w:rsidRPr="008821FE">
        <w:rPr>
          <w:sz w:val="22"/>
          <w:szCs w:val="22"/>
          <w:lang w:val="lv-LV"/>
        </w:rPr>
        <w:t>caureja;</w:t>
      </w:r>
    </w:p>
    <w:p w14:paraId="2C0E1838" w14:textId="77777777" w:rsidR="003870C7" w:rsidRPr="008821FE" w:rsidRDefault="003870C7" w:rsidP="00E17039">
      <w:pPr>
        <w:numPr>
          <w:ilvl w:val="0"/>
          <w:numId w:val="6"/>
        </w:numPr>
        <w:jc w:val="both"/>
        <w:rPr>
          <w:sz w:val="22"/>
          <w:szCs w:val="22"/>
          <w:lang w:val="lv-LV"/>
        </w:rPr>
      </w:pPr>
      <w:r w:rsidRPr="008821FE">
        <w:rPr>
          <w:sz w:val="22"/>
          <w:szCs w:val="22"/>
          <w:lang w:val="lv-LV"/>
        </w:rPr>
        <w:t>meteorisms</w:t>
      </w:r>
      <w:r w:rsidR="00B07DD8" w:rsidRPr="008821FE">
        <w:rPr>
          <w:sz w:val="22"/>
          <w:szCs w:val="22"/>
          <w:lang w:val="lv-LV"/>
        </w:rPr>
        <w:t xml:space="preserve"> (vēdera uzpūšanās)</w:t>
      </w:r>
      <w:r w:rsidR="00E13EEB" w:rsidRPr="008821FE">
        <w:rPr>
          <w:sz w:val="22"/>
          <w:szCs w:val="22"/>
          <w:lang w:val="lv-LV"/>
        </w:rPr>
        <w:t>;</w:t>
      </w:r>
    </w:p>
    <w:p w14:paraId="33C3F270" w14:textId="77777777" w:rsidR="00E13EEB" w:rsidRPr="008821FE" w:rsidRDefault="00E13EEB" w:rsidP="00E17039">
      <w:pPr>
        <w:numPr>
          <w:ilvl w:val="0"/>
          <w:numId w:val="6"/>
        </w:numPr>
        <w:jc w:val="both"/>
        <w:rPr>
          <w:sz w:val="22"/>
          <w:szCs w:val="22"/>
          <w:lang w:val="lv-LV"/>
        </w:rPr>
      </w:pPr>
      <w:r w:rsidRPr="008821FE">
        <w:rPr>
          <w:sz w:val="22"/>
          <w:szCs w:val="22"/>
          <w:lang w:val="lv-LV"/>
        </w:rPr>
        <w:t>izsitumi</w:t>
      </w:r>
      <w:r w:rsidR="000E1CF4" w:rsidRPr="008821FE">
        <w:rPr>
          <w:sz w:val="22"/>
          <w:szCs w:val="22"/>
          <w:lang w:val="lv-LV"/>
        </w:rPr>
        <w:t>.</w:t>
      </w:r>
    </w:p>
    <w:p w14:paraId="7F388135" w14:textId="77777777" w:rsidR="003870C7" w:rsidRPr="008821FE" w:rsidRDefault="003870C7" w:rsidP="00FF212B">
      <w:pPr>
        <w:jc w:val="both"/>
        <w:rPr>
          <w:sz w:val="22"/>
          <w:szCs w:val="22"/>
          <w:lang w:val="lv-LV"/>
        </w:rPr>
      </w:pPr>
    </w:p>
    <w:p w14:paraId="35C1DC3E" w14:textId="77777777" w:rsidR="00FF212B" w:rsidRPr="008821FE" w:rsidRDefault="00FF212B" w:rsidP="00FF212B">
      <w:pPr>
        <w:jc w:val="both"/>
        <w:rPr>
          <w:sz w:val="22"/>
          <w:szCs w:val="22"/>
          <w:lang w:val="lv-LV"/>
        </w:rPr>
      </w:pPr>
      <w:r w:rsidRPr="008821FE">
        <w:rPr>
          <w:sz w:val="22"/>
          <w:szCs w:val="22"/>
          <w:lang w:val="lv-LV"/>
        </w:rPr>
        <w:t xml:space="preserve">Reti (var rasties </w:t>
      </w:r>
      <w:r w:rsidR="00E856A7" w:rsidRPr="008821FE">
        <w:rPr>
          <w:sz w:val="22"/>
          <w:szCs w:val="22"/>
          <w:lang w:val="lv-LV"/>
        </w:rPr>
        <w:t>līdz</w:t>
      </w:r>
      <w:r w:rsidRPr="008821FE">
        <w:rPr>
          <w:sz w:val="22"/>
          <w:szCs w:val="22"/>
          <w:lang w:val="lv-LV"/>
        </w:rPr>
        <w:t xml:space="preserve"> 1 no 1000 </w:t>
      </w:r>
      <w:r w:rsidR="00E856A7" w:rsidRPr="008821FE">
        <w:rPr>
          <w:sz w:val="22"/>
          <w:szCs w:val="22"/>
          <w:lang w:val="lv-LV"/>
        </w:rPr>
        <w:t>cilvēkiem</w:t>
      </w:r>
      <w:r w:rsidRPr="008821FE">
        <w:rPr>
          <w:sz w:val="22"/>
          <w:szCs w:val="22"/>
          <w:lang w:val="lv-LV"/>
        </w:rPr>
        <w:t>):</w:t>
      </w:r>
    </w:p>
    <w:p w14:paraId="692B1874" w14:textId="77777777" w:rsidR="00E250AD" w:rsidRPr="008821FE" w:rsidRDefault="00E250AD" w:rsidP="00E17039">
      <w:pPr>
        <w:numPr>
          <w:ilvl w:val="0"/>
          <w:numId w:val="7"/>
        </w:numPr>
        <w:jc w:val="both"/>
        <w:rPr>
          <w:sz w:val="22"/>
          <w:szCs w:val="22"/>
          <w:lang w:val="lv-LV"/>
        </w:rPr>
      </w:pPr>
      <w:r w:rsidRPr="008821FE">
        <w:rPr>
          <w:sz w:val="22"/>
          <w:szCs w:val="22"/>
          <w:lang w:val="lv-LV"/>
        </w:rPr>
        <w:t>reibonis.</w:t>
      </w:r>
    </w:p>
    <w:p w14:paraId="3556037E" w14:textId="77777777" w:rsidR="00E13EEB" w:rsidRPr="008821FE" w:rsidRDefault="00E13EEB" w:rsidP="00E13EEB">
      <w:pPr>
        <w:jc w:val="both"/>
        <w:rPr>
          <w:sz w:val="22"/>
          <w:szCs w:val="22"/>
          <w:lang w:val="lv-LV"/>
        </w:rPr>
      </w:pPr>
    </w:p>
    <w:p w14:paraId="3FD0BB16" w14:textId="77777777" w:rsidR="00E13EEB" w:rsidRPr="008821FE" w:rsidRDefault="00E13EEB" w:rsidP="00E13EEB">
      <w:pPr>
        <w:jc w:val="both"/>
        <w:rPr>
          <w:bCs/>
          <w:sz w:val="22"/>
          <w:szCs w:val="22"/>
          <w:lang w:val="lv-LV"/>
        </w:rPr>
      </w:pPr>
      <w:r w:rsidRPr="008821FE">
        <w:rPr>
          <w:sz w:val="22"/>
          <w:szCs w:val="22"/>
          <w:lang w:val="lv-LV"/>
        </w:rPr>
        <w:t>Nav zināmi (</w:t>
      </w:r>
      <w:r w:rsidRPr="008821FE">
        <w:rPr>
          <w:bCs/>
          <w:sz w:val="22"/>
          <w:szCs w:val="22"/>
          <w:lang w:val="lv-LV"/>
        </w:rPr>
        <w:t>nevar noteikt pēc pieejamajiem datiem):</w:t>
      </w:r>
    </w:p>
    <w:p w14:paraId="45A60B51" w14:textId="77777777" w:rsidR="00E13EEB" w:rsidRPr="008821FE" w:rsidRDefault="0011535B" w:rsidP="00E17039">
      <w:pPr>
        <w:numPr>
          <w:ilvl w:val="0"/>
          <w:numId w:val="7"/>
        </w:numPr>
        <w:jc w:val="both"/>
        <w:rPr>
          <w:sz w:val="22"/>
          <w:szCs w:val="22"/>
          <w:lang w:val="lv-LV"/>
        </w:rPr>
      </w:pPr>
      <w:r w:rsidRPr="008821FE">
        <w:rPr>
          <w:sz w:val="22"/>
          <w:szCs w:val="22"/>
          <w:lang w:val="lv-LV"/>
        </w:rPr>
        <w:t>balto asins šūnu skaita samazinājums;</w:t>
      </w:r>
    </w:p>
    <w:p w14:paraId="0E0CF17A" w14:textId="77777777" w:rsidR="00E13EEB" w:rsidRPr="008821FE" w:rsidRDefault="00E13EEB" w:rsidP="00E17039">
      <w:pPr>
        <w:numPr>
          <w:ilvl w:val="0"/>
          <w:numId w:val="7"/>
        </w:numPr>
        <w:jc w:val="both"/>
        <w:rPr>
          <w:sz w:val="22"/>
          <w:szCs w:val="22"/>
          <w:lang w:val="lv-LV"/>
        </w:rPr>
      </w:pPr>
      <w:r w:rsidRPr="008821FE">
        <w:rPr>
          <w:sz w:val="22"/>
          <w:szCs w:val="22"/>
          <w:lang w:val="lv-LV"/>
        </w:rPr>
        <w:t>paaugstināta jutība, tai skaitā anafilaktiskas reakcijas un anafilaktoīdas reakcijas;</w:t>
      </w:r>
    </w:p>
    <w:p w14:paraId="2198A100" w14:textId="77777777" w:rsidR="00E13EEB" w:rsidRPr="008821FE" w:rsidRDefault="00E13EEB" w:rsidP="00E17039">
      <w:pPr>
        <w:numPr>
          <w:ilvl w:val="0"/>
          <w:numId w:val="7"/>
        </w:numPr>
        <w:jc w:val="both"/>
        <w:rPr>
          <w:sz w:val="22"/>
          <w:szCs w:val="22"/>
          <w:lang w:val="lv-LV"/>
        </w:rPr>
      </w:pPr>
      <w:r w:rsidRPr="008821FE">
        <w:rPr>
          <w:sz w:val="22"/>
          <w:szCs w:val="22"/>
          <w:lang w:val="lv-LV"/>
        </w:rPr>
        <w:t>krampji;</w:t>
      </w:r>
    </w:p>
    <w:p w14:paraId="77654202" w14:textId="77777777" w:rsidR="00E13EEB" w:rsidRPr="008821FE" w:rsidRDefault="00E13EEB" w:rsidP="00E17039">
      <w:pPr>
        <w:numPr>
          <w:ilvl w:val="0"/>
          <w:numId w:val="7"/>
        </w:numPr>
        <w:jc w:val="both"/>
        <w:rPr>
          <w:sz w:val="22"/>
          <w:szCs w:val="22"/>
          <w:lang w:val="lv-LV"/>
        </w:rPr>
      </w:pPr>
      <w:r w:rsidRPr="008821FE">
        <w:rPr>
          <w:sz w:val="22"/>
          <w:szCs w:val="22"/>
          <w:lang w:val="lv-LV"/>
        </w:rPr>
        <w:t>aknu iekaisums, patoloģiski aknu funkcijas testi;</w:t>
      </w:r>
    </w:p>
    <w:p w14:paraId="02A22BBC" w14:textId="77777777" w:rsidR="00E13EEB" w:rsidRPr="008821FE" w:rsidRDefault="009F4F56" w:rsidP="00E17039">
      <w:pPr>
        <w:numPr>
          <w:ilvl w:val="0"/>
          <w:numId w:val="7"/>
        </w:numPr>
        <w:jc w:val="both"/>
        <w:rPr>
          <w:sz w:val="22"/>
          <w:szCs w:val="22"/>
          <w:lang w:val="lv-LV"/>
        </w:rPr>
      </w:pPr>
      <w:r w:rsidRPr="008821FE">
        <w:rPr>
          <w:sz w:val="22"/>
          <w:szCs w:val="22"/>
          <w:lang w:val="lv-LV"/>
        </w:rPr>
        <w:t>nopietna alerģiska reakcija: pūslīši un plaša ādas lobīšanās (</w:t>
      </w:r>
      <w:r w:rsidR="00E13EEB" w:rsidRPr="008821FE">
        <w:rPr>
          <w:sz w:val="22"/>
          <w:szCs w:val="22"/>
          <w:lang w:val="lv-LV"/>
        </w:rPr>
        <w:t>toksiskā</w:t>
      </w:r>
      <w:r w:rsidRPr="008821FE">
        <w:rPr>
          <w:sz w:val="22"/>
          <w:szCs w:val="22"/>
          <w:lang w:val="lv-LV"/>
        </w:rPr>
        <w:t>s</w:t>
      </w:r>
      <w:r w:rsidR="00E13EEB" w:rsidRPr="008821FE">
        <w:rPr>
          <w:sz w:val="22"/>
          <w:szCs w:val="22"/>
          <w:lang w:val="lv-LV"/>
        </w:rPr>
        <w:t xml:space="preserve"> epidermālā</w:t>
      </w:r>
      <w:r w:rsidRPr="008821FE">
        <w:rPr>
          <w:sz w:val="22"/>
          <w:szCs w:val="22"/>
          <w:lang w:val="lv-LV"/>
        </w:rPr>
        <w:t>s</w:t>
      </w:r>
      <w:r w:rsidR="00E13EEB" w:rsidRPr="008821FE">
        <w:rPr>
          <w:sz w:val="22"/>
          <w:szCs w:val="22"/>
          <w:lang w:val="lv-LV"/>
        </w:rPr>
        <w:t xml:space="preserve"> nekrolīze</w:t>
      </w:r>
      <w:r w:rsidRPr="008821FE">
        <w:rPr>
          <w:sz w:val="22"/>
          <w:szCs w:val="22"/>
          <w:lang w:val="lv-LV"/>
        </w:rPr>
        <w:t>s pazīmes);</w:t>
      </w:r>
      <w:r w:rsidR="00677C02" w:rsidRPr="008821FE">
        <w:rPr>
          <w:sz w:val="22"/>
          <w:szCs w:val="22"/>
          <w:lang w:val="lv-LV"/>
        </w:rPr>
        <w:t xml:space="preserve"> </w:t>
      </w:r>
    </w:p>
    <w:p w14:paraId="22747915" w14:textId="77777777" w:rsidR="00E13EEB" w:rsidRPr="008821FE" w:rsidRDefault="009F4F56" w:rsidP="00E17039">
      <w:pPr>
        <w:numPr>
          <w:ilvl w:val="0"/>
          <w:numId w:val="7"/>
        </w:numPr>
        <w:jc w:val="both"/>
        <w:rPr>
          <w:sz w:val="22"/>
          <w:szCs w:val="22"/>
          <w:lang w:val="lv-LV"/>
        </w:rPr>
      </w:pPr>
      <w:r w:rsidRPr="008821FE">
        <w:rPr>
          <w:sz w:val="22"/>
          <w:szCs w:val="22"/>
          <w:lang w:val="lv-LV"/>
        </w:rPr>
        <w:t>nopietna alerģiska reakcija: plaši izsitumi ar čūlām un ādas lobīšanos mutē, acīs un uz dzimumorgāniem (</w:t>
      </w:r>
      <w:r w:rsidR="00E13EEB" w:rsidRPr="008821FE">
        <w:rPr>
          <w:sz w:val="22"/>
          <w:szCs w:val="22"/>
          <w:lang w:val="lv-LV"/>
        </w:rPr>
        <w:t>Stīvensa-Džonsona sindrom</w:t>
      </w:r>
      <w:r w:rsidRPr="008821FE">
        <w:rPr>
          <w:sz w:val="22"/>
          <w:szCs w:val="22"/>
          <w:lang w:val="lv-LV"/>
        </w:rPr>
        <w:t>a pazīmes)</w:t>
      </w:r>
      <w:r w:rsidR="00E13EEB" w:rsidRPr="008821FE">
        <w:rPr>
          <w:sz w:val="22"/>
          <w:szCs w:val="22"/>
          <w:lang w:val="lv-LV"/>
        </w:rPr>
        <w:t>;</w:t>
      </w:r>
    </w:p>
    <w:p w14:paraId="6955CD6E" w14:textId="77777777" w:rsidR="00E13EEB" w:rsidRPr="008821FE" w:rsidRDefault="006555BD" w:rsidP="00E17039">
      <w:pPr>
        <w:numPr>
          <w:ilvl w:val="0"/>
          <w:numId w:val="7"/>
        </w:numPr>
        <w:jc w:val="both"/>
        <w:rPr>
          <w:sz w:val="22"/>
          <w:szCs w:val="22"/>
          <w:lang w:val="lv-LV"/>
        </w:rPr>
      </w:pPr>
      <w:r>
        <w:rPr>
          <w:sz w:val="22"/>
          <w:szCs w:val="22"/>
          <w:lang w:val="lv-LV"/>
        </w:rPr>
        <w:t>e</w:t>
      </w:r>
      <w:r w:rsidR="00E13EEB" w:rsidRPr="008821FE">
        <w:rPr>
          <w:sz w:val="22"/>
          <w:szCs w:val="22"/>
          <w:lang w:val="lv-LV"/>
        </w:rPr>
        <w:t>ksantēma</w:t>
      </w:r>
      <w:r w:rsidR="00677C02" w:rsidRPr="008821FE">
        <w:rPr>
          <w:sz w:val="22"/>
          <w:szCs w:val="22"/>
          <w:lang w:val="lv-LV"/>
        </w:rPr>
        <w:t xml:space="preserve"> (izsitumi)</w:t>
      </w:r>
      <w:r w:rsidR="00E13EEB" w:rsidRPr="008821FE">
        <w:rPr>
          <w:sz w:val="22"/>
          <w:szCs w:val="22"/>
          <w:lang w:val="lv-LV"/>
        </w:rPr>
        <w:t>, angioedēma</w:t>
      </w:r>
      <w:r w:rsidR="00677C02" w:rsidRPr="008821FE">
        <w:rPr>
          <w:sz w:val="22"/>
          <w:szCs w:val="22"/>
          <w:lang w:val="lv-LV"/>
        </w:rPr>
        <w:t xml:space="preserve"> (</w:t>
      </w:r>
      <w:r w:rsidR="008D15B8" w:rsidRPr="008821FE">
        <w:rPr>
          <w:sz w:val="22"/>
          <w:szCs w:val="22"/>
          <w:lang w:val="lv-LV"/>
        </w:rPr>
        <w:t xml:space="preserve">alerģiska </w:t>
      </w:r>
      <w:r w:rsidR="00677C02" w:rsidRPr="008821FE">
        <w:rPr>
          <w:sz w:val="22"/>
          <w:szCs w:val="22"/>
          <w:lang w:val="lv-LV"/>
        </w:rPr>
        <w:t>tū</w:t>
      </w:r>
      <w:r w:rsidR="00727AAD" w:rsidRPr="008821FE">
        <w:rPr>
          <w:sz w:val="22"/>
          <w:szCs w:val="22"/>
          <w:lang w:val="lv-LV"/>
        </w:rPr>
        <w:t>s</w:t>
      </w:r>
      <w:r w:rsidR="00677C02" w:rsidRPr="008821FE">
        <w:rPr>
          <w:sz w:val="22"/>
          <w:szCs w:val="22"/>
          <w:lang w:val="lv-LV"/>
        </w:rPr>
        <w:t>ka)</w:t>
      </w:r>
      <w:r w:rsidR="00E13EEB" w:rsidRPr="008821FE">
        <w:rPr>
          <w:sz w:val="22"/>
          <w:szCs w:val="22"/>
          <w:lang w:val="lv-LV"/>
        </w:rPr>
        <w:t>, nātrene;</w:t>
      </w:r>
    </w:p>
    <w:p w14:paraId="1BB6EBA6" w14:textId="77777777" w:rsidR="00E13EEB" w:rsidRPr="008821FE" w:rsidRDefault="00E13EEB" w:rsidP="00E17039">
      <w:pPr>
        <w:numPr>
          <w:ilvl w:val="0"/>
          <w:numId w:val="7"/>
        </w:numPr>
        <w:jc w:val="both"/>
        <w:rPr>
          <w:sz w:val="22"/>
          <w:szCs w:val="22"/>
          <w:lang w:val="lv-LV"/>
        </w:rPr>
      </w:pPr>
      <w:r w:rsidRPr="008821FE">
        <w:rPr>
          <w:sz w:val="22"/>
          <w:szCs w:val="22"/>
          <w:lang w:val="lv-LV"/>
        </w:rPr>
        <w:t>matu izkrišana.</w:t>
      </w:r>
    </w:p>
    <w:p w14:paraId="537B0E5A" w14:textId="77777777" w:rsidR="000E1CF4" w:rsidRPr="008821FE" w:rsidRDefault="000E1CF4" w:rsidP="00B326F7">
      <w:pPr>
        <w:jc w:val="both"/>
        <w:rPr>
          <w:sz w:val="22"/>
          <w:szCs w:val="22"/>
          <w:lang w:val="lv-LV"/>
        </w:rPr>
      </w:pPr>
    </w:p>
    <w:p w14:paraId="32E284BD" w14:textId="77777777" w:rsidR="001241D8" w:rsidRPr="008821FE" w:rsidRDefault="001241D8" w:rsidP="001241D8">
      <w:pPr>
        <w:jc w:val="both"/>
        <w:rPr>
          <w:sz w:val="22"/>
          <w:szCs w:val="22"/>
          <w:lang w:val="lv-LV"/>
        </w:rPr>
      </w:pPr>
      <w:r w:rsidRPr="008821FE">
        <w:rPr>
          <w:b/>
          <w:sz w:val="22"/>
          <w:szCs w:val="22"/>
          <w:lang w:val="lv-LV"/>
        </w:rPr>
        <w:t>Papildu blakusparādības bērniem</w:t>
      </w:r>
    </w:p>
    <w:p w14:paraId="370B0BAC" w14:textId="77777777" w:rsidR="001241D8" w:rsidRPr="008821FE" w:rsidRDefault="001241D8" w:rsidP="001241D8">
      <w:pPr>
        <w:jc w:val="both"/>
        <w:rPr>
          <w:sz w:val="22"/>
          <w:szCs w:val="22"/>
          <w:lang w:val="lv-LV"/>
        </w:rPr>
      </w:pPr>
      <w:r w:rsidRPr="008821FE">
        <w:rPr>
          <w:sz w:val="22"/>
          <w:szCs w:val="22"/>
          <w:lang w:val="lv-LV"/>
        </w:rPr>
        <w:t>Pēcreģistrācijas pieredzes laikā ļoti reti ir ziņots par konvulsijām (krampjiem) bērniem, tai skaitā zīdaiņiem līdz viena gada vecumam.</w:t>
      </w:r>
    </w:p>
    <w:p w14:paraId="3DCB8420" w14:textId="77777777" w:rsidR="001241D8" w:rsidRPr="008821FE" w:rsidRDefault="001241D8" w:rsidP="00B326F7">
      <w:pPr>
        <w:jc w:val="both"/>
        <w:rPr>
          <w:sz w:val="22"/>
          <w:szCs w:val="22"/>
          <w:lang w:val="lv-LV"/>
        </w:rPr>
      </w:pPr>
    </w:p>
    <w:p w14:paraId="439893C5" w14:textId="77777777" w:rsidR="00677841" w:rsidRPr="008821FE" w:rsidRDefault="00677841" w:rsidP="00677841">
      <w:pPr>
        <w:pStyle w:val="BodyText1"/>
        <w:ind w:firstLine="0"/>
        <w:rPr>
          <w:rFonts w:ascii="Times New Roman" w:hAnsi="Times New Roman"/>
          <w:b/>
          <w:spacing w:val="-2"/>
          <w:sz w:val="22"/>
          <w:szCs w:val="22"/>
          <w:lang w:val="lv-LV"/>
        </w:rPr>
      </w:pPr>
      <w:r w:rsidRPr="008821FE">
        <w:rPr>
          <w:rFonts w:ascii="Times New Roman" w:hAnsi="Times New Roman"/>
          <w:b/>
          <w:spacing w:val="-2"/>
          <w:sz w:val="22"/>
          <w:szCs w:val="22"/>
          <w:lang w:val="lv-LV"/>
        </w:rPr>
        <w:t>Ziņošana par blakusparādībām</w:t>
      </w:r>
    </w:p>
    <w:p w14:paraId="4F69C5BB" w14:textId="77777777" w:rsidR="00677841" w:rsidRPr="008821FE" w:rsidRDefault="00677841" w:rsidP="00E17039">
      <w:pPr>
        <w:pStyle w:val="BodyText1"/>
        <w:ind w:firstLine="0"/>
        <w:rPr>
          <w:rFonts w:ascii="Times New Roman" w:hAnsi="Times New Roman"/>
          <w:spacing w:val="-2"/>
          <w:sz w:val="22"/>
          <w:szCs w:val="22"/>
          <w:lang w:val="lv-LV"/>
        </w:rPr>
      </w:pPr>
      <w:r w:rsidRPr="008821FE">
        <w:rPr>
          <w:rFonts w:ascii="Times New Roman" w:hAnsi="Times New Roman"/>
          <w:spacing w:val="-2"/>
          <w:sz w:val="22"/>
          <w:szCs w:val="22"/>
          <w:lang w:val="lv-LV"/>
        </w:rP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w:t>
      </w:r>
      <w:r w:rsidRPr="008821FE">
        <w:rPr>
          <w:rFonts w:ascii="Times New Roman" w:hAnsi="Times New Roman"/>
          <w:spacing w:val="-2"/>
          <w:sz w:val="22"/>
          <w:szCs w:val="22"/>
          <w:lang w:val="lv-LV"/>
        </w:rPr>
        <w:noBreakHyphen/>
        <w:t>1003.</w:t>
      </w:r>
      <w:r w:rsidR="00723B2A" w:rsidRPr="008821FE">
        <w:rPr>
          <w:rFonts w:ascii="Times New Roman" w:hAnsi="Times New Roman"/>
          <w:spacing w:val="-2"/>
          <w:sz w:val="22"/>
          <w:szCs w:val="22"/>
          <w:lang w:val="lv-LV"/>
        </w:rPr>
        <w:t xml:space="preserve"> </w:t>
      </w:r>
      <w:r w:rsidRPr="008821FE">
        <w:rPr>
          <w:rFonts w:ascii="Times New Roman" w:hAnsi="Times New Roman"/>
          <w:spacing w:val="-2"/>
          <w:sz w:val="22"/>
          <w:szCs w:val="22"/>
          <w:lang w:val="lv-LV"/>
        </w:rPr>
        <w:t>Tīmekļa vietne: www.zva.gov.lv</w:t>
      </w:r>
      <w:r w:rsidR="00723B2A" w:rsidRPr="008821FE">
        <w:rPr>
          <w:rFonts w:ascii="Times New Roman" w:hAnsi="Times New Roman"/>
          <w:spacing w:val="-2"/>
          <w:sz w:val="22"/>
          <w:szCs w:val="22"/>
          <w:lang w:val="lv-LV"/>
        </w:rPr>
        <w:t>.</w:t>
      </w:r>
    </w:p>
    <w:p w14:paraId="27D3769E" w14:textId="77777777" w:rsidR="00677841" w:rsidRPr="008821FE" w:rsidRDefault="00677841" w:rsidP="00E17039">
      <w:pPr>
        <w:pStyle w:val="BodyText1"/>
        <w:ind w:firstLine="0"/>
        <w:rPr>
          <w:rFonts w:ascii="Times New Roman" w:hAnsi="Times New Roman"/>
          <w:spacing w:val="-2"/>
          <w:sz w:val="22"/>
          <w:szCs w:val="22"/>
          <w:lang w:val="lv-LV"/>
        </w:rPr>
      </w:pPr>
      <w:r w:rsidRPr="008821FE">
        <w:rPr>
          <w:rFonts w:ascii="Times New Roman" w:hAnsi="Times New Roman"/>
          <w:spacing w:val="-2"/>
          <w:sz w:val="22"/>
          <w:szCs w:val="22"/>
          <w:lang w:val="lv-LV"/>
        </w:rPr>
        <w:t>Ziņojot par blakusparādībām, Jūs varat palīdzēt nodrošināt daudz plašāku informāciju par šo zāļu drošumu.</w:t>
      </w:r>
    </w:p>
    <w:p w14:paraId="767A6383" w14:textId="77777777" w:rsidR="00677841" w:rsidRPr="008821FE" w:rsidRDefault="00677841" w:rsidP="00D1678B">
      <w:pPr>
        <w:pStyle w:val="BodyText1"/>
        <w:ind w:firstLine="0"/>
        <w:rPr>
          <w:rFonts w:ascii="Times New Roman" w:hAnsi="Times New Roman"/>
          <w:spacing w:val="-2"/>
          <w:sz w:val="22"/>
          <w:szCs w:val="22"/>
          <w:lang w:val="lv-LV"/>
        </w:rPr>
      </w:pPr>
    </w:p>
    <w:p w14:paraId="504889CE" w14:textId="77777777" w:rsidR="00501516" w:rsidRPr="008821FE" w:rsidRDefault="00501516" w:rsidP="00D1678B">
      <w:pPr>
        <w:pStyle w:val="BodyText1"/>
        <w:ind w:firstLine="0"/>
        <w:rPr>
          <w:rFonts w:ascii="Times New Roman" w:hAnsi="Times New Roman"/>
          <w:color w:val="auto"/>
          <w:sz w:val="22"/>
          <w:szCs w:val="22"/>
          <w:lang w:val="lv-LV"/>
        </w:rPr>
      </w:pPr>
    </w:p>
    <w:p w14:paraId="09DB8F5D" w14:textId="77777777" w:rsidR="00501516" w:rsidRPr="008821FE" w:rsidRDefault="00646761" w:rsidP="00646761">
      <w:pPr>
        <w:pStyle w:val="BodyText1"/>
        <w:tabs>
          <w:tab w:val="left" w:pos="360"/>
        </w:tabs>
        <w:ind w:firstLine="0"/>
        <w:rPr>
          <w:rFonts w:ascii="Times New Roman" w:hAnsi="Times New Roman"/>
          <w:b/>
          <w:color w:val="auto"/>
          <w:sz w:val="22"/>
          <w:szCs w:val="22"/>
          <w:lang w:val="lv-LV"/>
        </w:rPr>
      </w:pPr>
      <w:r w:rsidRPr="008821FE">
        <w:rPr>
          <w:rFonts w:ascii="Times New Roman" w:hAnsi="Times New Roman"/>
          <w:b/>
          <w:color w:val="auto"/>
          <w:sz w:val="22"/>
          <w:szCs w:val="22"/>
          <w:lang w:val="lv-LV"/>
        </w:rPr>
        <w:t>5.</w:t>
      </w:r>
      <w:r w:rsidRPr="008821FE">
        <w:rPr>
          <w:rFonts w:ascii="Times New Roman" w:hAnsi="Times New Roman"/>
          <w:b/>
          <w:color w:val="auto"/>
          <w:sz w:val="22"/>
          <w:szCs w:val="22"/>
          <w:lang w:val="lv-LV"/>
        </w:rPr>
        <w:tab/>
      </w:r>
      <w:r w:rsidR="00CA1540" w:rsidRPr="008821FE">
        <w:rPr>
          <w:rFonts w:ascii="Times New Roman" w:hAnsi="Times New Roman"/>
          <w:b/>
          <w:noProof/>
          <w:color w:val="auto"/>
          <w:sz w:val="22"/>
          <w:szCs w:val="22"/>
          <w:lang w:val="lv-LV"/>
        </w:rPr>
        <w:t xml:space="preserve">Kā uzglabāt </w:t>
      </w:r>
      <w:r w:rsidR="00CA1540" w:rsidRPr="008821FE">
        <w:rPr>
          <w:rFonts w:ascii="Times New Roman" w:hAnsi="Times New Roman"/>
          <w:b/>
          <w:color w:val="auto"/>
          <w:sz w:val="22"/>
          <w:szCs w:val="22"/>
          <w:lang w:val="lv-LV"/>
        </w:rPr>
        <w:t>Mebendazole-Grindeks</w:t>
      </w:r>
    </w:p>
    <w:p w14:paraId="47178900" w14:textId="77777777" w:rsidR="00501516" w:rsidRPr="008821FE" w:rsidRDefault="00501516" w:rsidP="00D1678B">
      <w:pPr>
        <w:pStyle w:val="BodyText1"/>
        <w:ind w:firstLine="0"/>
        <w:rPr>
          <w:rFonts w:ascii="Times New Roman" w:hAnsi="Times New Roman"/>
          <w:color w:val="auto"/>
          <w:sz w:val="22"/>
          <w:szCs w:val="22"/>
          <w:lang w:val="lv-LV"/>
        </w:rPr>
      </w:pPr>
    </w:p>
    <w:p w14:paraId="6CEF90E6" w14:textId="77777777" w:rsidR="00501516" w:rsidRPr="008821FE" w:rsidRDefault="00501516" w:rsidP="00D1678B">
      <w:pPr>
        <w:pStyle w:val="BodyText1"/>
        <w:ind w:firstLine="0"/>
        <w:rPr>
          <w:rFonts w:ascii="Times New Roman" w:hAnsi="Times New Roman"/>
          <w:color w:val="auto"/>
          <w:sz w:val="22"/>
          <w:szCs w:val="22"/>
          <w:lang w:val="lv-LV"/>
        </w:rPr>
      </w:pPr>
      <w:r w:rsidRPr="008821FE">
        <w:rPr>
          <w:rFonts w:ascii="Times New Roman" w:hAnsi="Times New Roman"/>
          <w:color w:val="auto"/>
          <w:sz w:val="22"/>
          <w:szCs w:val="22"/>
          <w:lang w:val="lv-LV"/>
        </w:rPr>
        <w:t>Uzglabāt temperatūrā līdz 25</w:t>
      </w:r>
      <w:r w:rsidR="00B01251" w:rsidRPr="008821FE">
        <w:rPr>
          <w:rFonts w:ascii="Times New Roman" w:hAnsi="Times New Roman"/>
          <w:color w:val="auto"/>
          <w:sz w:val="22"/>
          <w:szCs w:val="22"/>
          <w:lang w:val="lv-LV"/>
        </w:rPr>
        <w:t> </w:t>
      </w:r>
      <w:r w:rsidR="00646761" w:rsidRPr="008821FE">
        <w:rPr>
          <w:rFonts w:ascii="Times New Roman" w:hAnsi="Times New Roman"/>
          <w:color w:val="auto"/>
          <w:sz w:val="22"/>
          <w:szCs w:val="22"/>
          <w:lang w:val="lv-LV"/>
        </w:rPr>
        <w:t>°</w:t>
      </w:r>
      <w:r w:rsidRPr="008821FE">
        <w:rPr>
          <w:rFonts w:ascii="Times New Roman" w:hAnsi="Times New Roman"/>
          <w:color w:val="auto"/>
          <w:sz w:val="22"/>
          <w:szCs w:val="22"/>
          <w:lang w:val="lv-LV"/>
        </w:rPr>
        <w:t>C.</w:t>
      </w:r>
    </w:p>
    <w:p w14:paraId="3D96C7D5" w14:textId="77777777" w:rsidR="00AD7FA5" w:rsidRPr="008821FE" w:rsidRDefault="00AD7FA5" w:rsidP="00D1678B">
      <w:pPr>
        <w:pStyle w:val="BodyText1"/>
        <w:ind w:firstLine="0"/>
        <w:rPr>
          <w:rFonts w:ascii="Times New Roman" w:hAnsi="Times New Roman"/>
          <w:color w:val="auto"/>
          <w:sz w:val="22"/>
          <w:szCs w:val="22"/>
          <w:lang w:val="lv-LV"/>
        </w:rPr>
      </w:pPr>
    </w:p>
    <w:p w14:paraId="5C7D0F05" w14:textId="77777777" w:rsidR="00501516" w:rsidRPr="008821FE" w:rsidRDefault="00501516" w:rsidP="00D1678B">
      <w:pPr>
        <w:jc w:val="both"/>
        <w:rPr>
          <w:sz w:val="22"/>
          <w:szCs w:val="22"/>
          <w:lang w:val="lv-LV"/>
        </w:rPr>
      </w:pPr>
      <w:r w:rsidRPr="008821FE">
        <w:rPr>
          <w:sz w:val="22"/>
          <w:szCs w:val="22"/>
          <w:lang w:val="lv-LV"/>
        </w:rPr>
        <w:lastRenderedPageBreak/>
        <w:t>Uzglabāt bērniem</w:t>
      </w:r>
      <w:r w:rsidR="00646761" w:rsidRPr="008821FE">
        <w:rPr>
          <w:sz w:val="22"/>
          <w:szCs w:val="22"/>
          <w:lang w:val="lv-LV"/>
        </w:rPr>
        <w:t xml:space="preserve"> </w:t>
      </w:r>
      <w:r w:rsidR="00CA1540" w:rsidRPr="008821FE">
        <w:rPr>
          <w:sz w:val="22"/>
          <w:szCs w:val="22"/>
          <w:lang w:val="lv-LV"/>
        </w:rPr>
        <w:t xml:space="preserve">neredzamā un </w:t>
      </w:r>
      <w:r w:rsidR="00646761" w:rsidRPr="008821FE">
        <w:rPr>
          <w:sz w:val="22"/>
          <w:szCs w:val="22"/>
          <w:lang w:val="lv-LV"/>
        </w:rPr>
        <w:t>nepieejamā vietā.</w:t>
      </w:r>
    </w:p>
    <w:p w14:paraId="44B60816" w14:textId="77777777" w:rsidR="00501516" w:rsidRPr="008821FE" w:rsidRDefault="00501516" w:rsidP="00D1678B">
      <w:pPr>
        <w:pStyle w:val="BodyText1"/>
        <w:ind w:firstLine="0"/>
        <w:rPr>
          <w:rFonts w:ascii="Times New Roman" w:hAnsi="Times New Roman"/>
          <w:color w:val="auto"/>
          <w:sz w:val="22"/>
          <w:szCs w:val="22"/>
          <w:lang w:val="lv-LV"/>
        </w:rPr>
      </w:pPr>
    </w:p>
    <w:p w14:paraId="16610298" w14:textId="77777777" w:rsidR="00646761" w:rsidRPr="008821FE" w:rsidRDefault="00B7481B" w:rsidP="00646761">
      <w:pPr>
        <w:autoSpaceDE w:val="0"/>
        <w:autoSpaceDN w:val="0"/>
        <w:adjustRightInd w:val="0"/>
        <w:jc w:val="both"/>
        <w:rPr>
          <w:sz w:val="22"/>
          <w:szCs w:val="22"/>
          <w:lang w:val="lv-LV"/>
        </w:rPr>
      </w:pPr>
      <w:r w:rsidRPr="008821FE">
        <w:rPr>
          <w:sz w:val="22"/>
          <w:szCs w:val="22"/>
          <w:lang w:val="lv-LV"/>
        </w:rPr>
        <w:t xml:space="preserve">Nelietot </w:t>
      </w:r>
      <w:r w:rsidR="00CA1540" w:rsidRPr="008821FE">
        <w:rPr>
          <w:sz w:val="22"/>
          <w:szCs w:val="22"/>
          <w:lang w:val="lv-LV"/>
        </w:rPr>
        <w:t>šīs zāles</w:t>
      </w:r>
      <w:r w:rsidR="00646761" w:rsidRPr="008821FE">
        <w:rPr>
          <w:sz w:val="22"/>
          <w:szCs w:val="22"/>
          <w:lang w:val="lv-LV"/>
        </w:rPr>
        <w:t xml:space="preserve"> pēc derīguma termiņa beigām, kas norādīts uz </w:t>
      </w:r>
      <w:r w:rsidR="00CA1540" w:rsidRPr="008821FE">
        <w:rPr>
          <w:sz w:val="22"/>
          <w:szCs w:val="22"/>
          <w:lang w:val="lv-LV"/>
        </w:rPr>
        <w:t>kastītes pēc „</w:t>
      </w:r>
      <w:r w:rsidR="00EB5317" w:rsidRPr="008821FE">
        <w:rPr>
          <w:sz w:val="22"/>
          <w:szCs w:val="22"/>
          <w:lang w:val="lv-LV"/>
        </w:rPr>
        <w:t>EXP</w:t>
      </w:r>
      <w:r w:rsidR="00CA1540" w:rsidRPr="008821FE">
        <w:rPr>
          <w:sz w:val="22"/>
          <w:szCs w:val="22"/>
          <w:lang w:val="lv-LV"/>
        </w:rPr>
        <w:t>”.</w:t>
      </w:r>
      <w:r w:rsidR="00CA0A4A" w:rsidRPr="008821FE">
        <w:rPr>
          <w:sz w:val="22"/>
          <w:szCs w:val="22"/>
          <w:lang w:val="lv-LV"/>
        </w:rPr>
        <w:t xml:space="preserve"> </w:t>
      </w:r>
      <w:r w:rsidR="00646761" w:rsidRPr="008821FE">
        <w:rPr>
          <w:sz w:val="22"/>
          <w:szCs w:val="22"/>
          <w:lang w:val="lv-LV"/>
        </w:rPr>
        <w:t>Derīguma termiņš attiecas uz norādītā mēneša pēdējo dienu.</w:t>
      </w:r>
    </w:p>
    <w:p w14:paraId="22AD4974" w14:textId="77777777" w:rsidR="00646761" w:rsidRPr="008821FE" w:rsidRDefault="00646761" w:rsidP="00646761">
      <w:pPr>
        <w:autoSpaceDE w:val="0"/>
        <w:autoSpaceDN w:val="0"/>
        <w:adjustRightInd w:val="0"/>
        <w:jc w:val="both"/>
        <w:rPr>
          <w:sz w:val="22"/>
          <w:szCs w:val="22"/>
          <w:lang w:val="lv-LV"/>
        </w:rPr>
      </w:pPr>
    </w:p>
    <w:p w14:paraId="6CE79E83" w14:textId="77777777" w:rsidR="008D346B" w:rsidRPr="008821FE" w:rsidRDefault="00CA1540" w:rsidP="00646761">
      <w:pPr>
        <w:autoSpaceDE w:val="0"/>
        <w:autoSpaceDN w:val="0"/>
        <w:adjustRightInd w:val="0"/>
        <w:jc w:val="both"/>
        <w:rPr>
          <w:sz w:val="22"/>
          <w:szCs w:val="22"/>
          <w:lang w:val="lv-LV"/>
        </w:rPr>
      </w:pPr>
      <w:r w:rsidRPr="008821FE">
        <w:rPr>
          <w:sz w:val="22"/>
          <w:szCs w:val="22"/>
          <w:lang w:val="lv-LV"/>
        </w:rPr>
        <w:t xml:space="preserve">Neizmetiet zāles kanalizācijā vai </w:t>
      </w:r>
      <w:r w:rsidR="00C66569" w:rsidRPr="008821FE">
        <w:rPr>
          <w:sz w:val="22"/>
          <w:szCs w:val="22"/>
          <w:lang w:val="lv-LV"/>
        </w:rPr>
        <w:t xml:space="preserve">sadzīves </w:t>
      </w:r>
      <w:r w:rsidRPr="008821FE">
        <w:rPr>
          <w:sz w:val="22"/>
          <w:szCs w:val="22"/>
          <w:lang w:val="lv-LV"/>
        </w:rPr>
        <w:t xml:space="preserve">atkritumos. Vaicājiet farmaceitam, kā izmest zāles, kuras vairs nelietojat. </w:t>
      </w:r>
      <w:r w:rsidR="00646761" w:rsidRPr="008821FE">
        <w:rPr>
          <w:sz w:val="22"/>
          <w:szCs w:val="22"/>
          <w:lang w:val="lv-LV"/>
        </w:rPr>
        <w:t>Šie pasākumi palīdzēs aizsargāt apkārtējo vidi.</w:t>
      </w:r>
    </w:p>
    <w:p w14:paraId="0CB8EA59" w14:textId="77777777" w:rsidR="00AD7FA5" w:rsidRPr="008821FE" w:rsidRDefault="00AD7FA5" w:rsidP="00A341BF">
      <w:pPr>
        <w:tabs>
          <w:tab w:val="left" w:pos="360"/>
        </w:tabs>
        <w:autoSpaceDE w:val="0"/>
        <w:autoSpaceDN w:val="0"/>
        <w:adjustRightInd w:val="0"/>
        <w:jc w:val="both"/>
        <w:rPr>
          <w:sz w:val="22"/>
          <w:szCs w:val="22"/>
          <w:lang w:val="lv-LV"/>
        </w:rPr>
      </w:pPr>
    </w:p>
    <w:p w14:paraId="2D031B65" w14:textId="77777777" w:rsidR="00AD7FA5" w:rsidRPr="008821FE" w:rsidRDefault="00AD7FA5" w:rsidP="00A341BF">
      <w:pPr>
        <w:tabs>
          <w:tab w:val="left" w:pos="360"/>
        </w:tabs>
        <w:autoSpaceDE w:val="0"/>
        <w:autoSpaceDN w:val="0"/>
        <w:adjustRightInd w:val="0"/>
        <w:jc w:val="both"/>
        <w:rPr>
          <w:sz w:val="22"/>
          <w:szCs w:val="22"/>
          <w:lang w:val="lv-LV"/>
        </w:rPr>
      </w:pPr>
    </w:p>
    <w:p w14:paraId="6B3EBAF8" w14:textId="77777777" w:rsidR="00501516" w:rsidRPr="008821FE" w:rsidRDefault="00646761" w:rsidP="00A341BF">
      <w:pPr>
        <w:tabs>
          <w:tab w:val="left" w:pos="360"/>
        </w:tabs>
        <w:autoSpaceDE w:val="0"/>
        <w:autoSpaceDN w:val="0"/>
        <w:adjustRightInd w:val="0"/>
        <w:jc w:val="both"/>
        <w:rPr>
          <w:b/>
          <w:bCs/>
          <w:sz w:val="22"/>
          <w:szCs w:val="22"/>
          <w:lang w:val="lv-LV"/>
        </w:rPr>
      </w:pPr>
      <w:r w:rsidRPr="008821FE">
        <w:rPr>
          <w:b/>
          <w:bCs/>
          <w:sz w:val="22"/>
          <w:szCs w:val="22"/>
          <w:lang w:val="lv-LV"/>
        </w:rPr>
        <w:t>6.</w:t>
      </w:r>
      <w:r w:rsidRPr="008821FE">
        <w:rPr>
          <w:b/>
          <w:bCs/>
          <w:sz w:val="22"/>
          <w:szCs w:val="22"/>
          <w:lang w:val="lv-LV"/>
        </w:rPr>
        <w:tab/>
      </w:r>
      <w:r w:rsidR="00AD7FA5" w:rsidRPr="008821FE">
        <w:rPr>
          <w:b/>
          <w:bCs/>
          <w:sz w:val="22"/>
          <w:szCs w:val="22"/>
          <w:lang w:val="lv-LV"/>
        </w:rPr>
        <w:t>Iepakojuma saturs un cita informācija</w:t>
      </w:r>
    </w:p>
    <w:p w14:paraId="6097AEA8" w14:textId="77777777" w:rsidR="00A52800" w:rsidRPr="008821FE" w:rsidRDefault="00A52800" w:rsidP="00D1678B">
      <w:pPr>
        <w:pStyle w:val="BodyText"/>
        <w:rPr>
          <w:szCs w:val="22"/>
        </w:rPr>
      </w:pPr>
    </w:p>
    <w:p w14:paraId="361458E5" w14:textId="77777777" w:rsidR="00A52800" w:rsidRPr="008821FE" w:rsidRDefault="00A52800" w:rsidP="00A52800">
      <w:pPr>
        <w:autoSpaceDE w:val="0"/>
        <w:autoSpaceDN w:val="0"/>
        <w:adjustRightInd w:val="0"/>
        <w:jc w:val="both"/>
        <w:rPr>
          <w:b/>
          <w:bCs/>
          <w:sz w:val="22"/>
          <w:szCs w:val="22"/>
          <w:lang w:val="lv-LV"/>
        </w:rPr>
      </w:pPr>
      <w:r w:rsidRPr="008821FE">
        <w:rPr>
          <w:b/>
          <w:bCs/>
          <w:sz w:val="22"/>
          <w:szCs w:val="22"/>
          <w:lang w:val="lv-LV"/>
        </w:rPr>
        <w:t xml:space="preserve">Ko </w:t>
      </w:r>
      <w:r w:rsidRPr="008821FE">
        <w:rPr>
          <w:b/>
          <w:noProof/>
          <w:sz w:val="22"/>
          <w:szCs w:val="22"/>
          <w:lang w:val="lv-LV"/>
        </w:rPr>
        <w:t>Mebendazole-Grindeks</w:t>
      </w:r>
      <w:r w:rsidRPr="008821FE">
        <w:rPr>
          <w:b/>
          <w:bCs/>
          <w:sz w:val="22"/>
          <w:szCs w:val="22"/>
          <w:lang w:val="lv-LV"/>
        </w:rPr>
        <w:t xml:space="preserve"> satur</w:t>
      </w:r>
    </w:p>
    <w:p w14:paraId="1CE8AE13" w14:textId="3EBD43C1" w:rsidR="00A52800" w:rsidRPr="008821FE" w:rsidRDefault="00A52800" w:rsidP="00002306">
      <w:pPr>
        <w:pStyle w:val="BodyText1"/>
        <w:ind w:left="567" w:hanging="567"/>
        <w:rPr>
          <w:rFonts w:ascii="Times New Roman" w:hAnsi="Times New Roman"/>
          <w:color w:val="auto"/>
          <w:sz w:val="22"/>
          <w:szCs w:val="22"/>
          <w:lang w:val="lv-LV"/>
        </w:rPr>
      </w:pPr>
      <w:r w:rsidRPr="008821FE">
        <w:rPr>
          <w:rFonts w:ascii="Times New Roman" w:hAnsi="Times New Roman"/>
          <w:color w:val="auto"/>
          <w:sz w:val="22"/>
          <w:szCs w:val="22"/>
          <w:lang w:val="lv-LV"/>
        </w:rPr>
        <w:t>-</w:t>
      </w:r>
      <w:r w:rsidRPr="008821FE">
        <w:rPr>
          <w:rFonts w:ascii="Times New Roman" w:hAnsi="Times New Roman"/>
          <w:color w:val="auto"/>
          <w:sz w:val="22"/>
          <w:szCs w:val="22"/>
          <w:lang w:val="lv-LV"/>
        </w:rPr>
        <w:tab/>
        <w:t xml:space="preserve">Aktīvā viela ir </w:t>
      </w:r>
      <w:proofErr w:type="spellStart"/>
      <w:r w:rsidRPr="008821FE">
        <w:rPr>
          <w:rFonts w:ascii="Times New Roman" w:hAnsi="Times New Roman"/>
          <w:color w:val="auto"/>
          <w:sz w:val="22"/>
          <w:szCs w:val="22"/>
          <w:lang w:val="lv-LV"/>
        </w:rPr>
        <w:t>mebendazols</w:t>
      </w:r>
      <w:proofErr w:type="spellEnd"/>
      <w:r w:rsidRPr="008821FE">
        <w:rPr>
          <w:rFonts w:ascii="Times New Roman" w:hAnsi="Times New Roman"/>
          <w:color w:val="auto"/>
          <w:sz w:val="22"/>
          <w:szCs w:val="22"/>
          <w:lang w:val="lv-LV"/>
        </w:rPr>
        <w:t>.</w:t>
      </w:r>
      <w:r w:rsidR="000734C9">
        <w:rPr>
          <w:rFonts w:ascii="Times New Roman" w:hAnsi="Times New Roman"/>
          <w:color w:val="auto"/>
          <w:sz w:val="22"/>
          <w:szCs w:val="22"/>
          <w:lang w:val="lv-LV"/>
        </w:rPr>
        <w:t xml:space="preserve"> </w:t>
      </w:r>
      <w:r w:rsidR="0046545B" w:rsidRPr="008821FE">
        <w:rPr>
          <w:rFonts w:ascii="Times New Roman" w:hAnsi="Times New Roman"/>
          <w:color w:val="auto"/>
          <w:sz w:val="22"/>
          <w:szCs w:val="22"/>
          <w:lang w:val="lv-LV"/>
        </w:rPr>
        <w:t xml:space="preserve">Katra </w:t>
      </w:r>
      <w:r w:rsidRPr="008821FE">
        <w:rPr>
          <w:rFonts w:ascii="Times New Roman" w:hAnsi="Times New Roman"/>
          <w:color w:val="auto"/>
          <w:sz w:val="22"/>
          <w:szCs w:val="22"/>
          <w:lang w:val="lv-LV"/>
        </w:rPr>
        <w:t>tablete satur 100 mg mebendazola.</w:t>
      </w:r>
    </w:p>
    <w:p w14:paraId="0DB25DC4" w14:textId="77777777" w:rsidR="00B45A03" w:rsidRPr="008821FE" w:rsidRDefault="00A52800" w:rsidP="00002306">
      <w:pPr>
        <w:ind w:left="567" w:hanging="567"/>
        <w:jc w:val="both"/>
        <w:rPr>
          <w:sz w:val="22"/>
          <w:szCs w:val="22"/>
          <w:lang w:val="lv-LV"/>
        </w:rPr>
      </w:pPr>
      <w:r w:rsidRPr="008821FE">
        <w:rPr>
          <w:noProof/>
          <w:sz w:val="22"/>
          <w:szCs w:val="22"/>
          <w:lang w:val="lv-LV"/>
        </w:rPr>
        <w:t>-</w:t>
      </w:r>
      <w:r w:rsidRPr="008821FE">
        <w:rPr>
          <w:noProof/>
          <w:sz w:val="22"/>
          <w:szCs w:val="22"/>
          <w:lang w:val="lv-LV"/>
        </w:rPr>
        <w:tab/>
      </w:r>
      <w:r w:rsidR="00AD7FA5" w:rsidRPr="008821FE">
        <w:rPr>
          <w:noProof/>
          <w:sz w:val="22"/>
          <w:szCs w:val="22"/>
          <w:lang w:val="lv-LV"/>
        </w:rPr>
        <w:t xml:space="preserve">Citas </w:t>
      </w:r>
      <w:r w:rsidRPr="008821FE">
        <w:rPr>
          <w:noProof/>
          <w:sz w:val="22"/>
          <w:szCs w:val="22"/>
          <w:lang w:val="lv-LV"/>
        </w:rPr>
        <w:t>sastāvdaļas ir l</w:t>
      </w:r>
      <w:r w:rsidRPr="008821FE">
        <w:rPr>
          <w:sz w:val="22"/>
          <w:szCs w:val="22"/>
          <w:lang w:val="lv-LV"/>
        </w:rPr>
        <w:t xml:space="preserve">aktozes monohidrāts, </w:t>
      </w:r>
      <w:r w:rsidR="00063D01" w:rsidRPr="008821FE">
        <w:rPr>
          <w:sz w:val="22"/>
          <w:szCs w:val="22"/>
          <w:lang w:val="lv-LV"/>
        </w:rPr>
        <w:t>kukurūzas ciete, povidons</w:t>
      </w:r>
      <w:r w:rsidR="00D9590D" w:rsidRPr="008821FE">
        <w:rPr>
          <w:sz w:val="22"/>
          <w:szCs w:val="22"/>
          <w:lang w:val="lv-LV"/>
        </w:rPr>
        <w:t xml:space="preserve"> K</w:t>
      </w:r>
      <w:r w:rsidR="002F445D" w:rsidRPr="008821FE">
        <w:rPr>
          <w:sz w:val="22"/>
          <w:szCs w:val="22"/>
          <w:lang w:val="lv-LV"/>
        </w:rPr>
        <w:t>29/32</w:t>
      </w:r>
      <w:r w:rsidRPr="008821FE">
        <w:rPr>
          <w:sz w:val="22"/>
          <w:szCs w:val="22"/>
          <w:lang w:val="lv-LV"/>
        </w:rPr>
        <w:t>, nātrija cietes glikolāts A tips, magnija stearāts, krāsviela saulrieta dzeltenais (E 110).</w:t>
      </w:r>
    </w:p>
    <w:p w14:paraId="0EC3D277" w14:textId="77777777" w:rsidR="008D346B" w:rsidRPr="008821FE" w:rsidRDefault="008D346B" w:rsidP="00B45A03">
      <w:pPr>
        <w:tabs>
          <w:tab w:val="left" w:pos="360"/>
        </w:tabs>
        <w:jc w:val="both"/>
        <w:rPr>
          <w:sz w:val="22"/>
          <w:szCs w:val="22"/>
          <w:lang w:val="lv-LV"/>
        </w:rPr>
      </w:pPr>
    </w:p>
    <w:p w14:paraId="096DE3CB" w14:textId="77777777" w:rsidR="00A52800" w:rsidRPr="008821FE" w:rsidRDefault="00A52800" w:rsidP="00B45A03">
      <w:pPr>
        <w:tabs>
          <w:tab w:val="left" w:pos="360"/>
        </w:tabs>
        <w:jc w:val="both"/>
        <w:rPr>
          <w:sz w:val="22"/>
          <w:szCs w:val="22"/>
          <w:lang w:val="lv-LV"/>
        </w:rPr>
      </w:pPr>
      <w:r w:rsidRPr="008821FE">
        <w:rPr>
          <w:b/>
          <w:noProof/>
          <w:sz w:val="22"/>
          <w:szCs w:val="22"/>
          <w:lang w:val="lv-LV"/>
        </w:rPr>
        <w:t>Mebendazole-Grindeks</w:t>
      </w:r>
      <w:r w:rsidRPr="008821FE">
        <w:rPr>
          <w:b/>
          <w:bCs/>
          <w:sz w:val="22"/>
          <w:szCs w:val="22"/>
          <w:lang w:val="lv-LV"/>
        </w:rPr>
        <w:t xml:space="preserve"> ārējais izskats un iepakojums</w:t>
      </w:r>
    </w:p>
    <w:p w14:paraId="57C89DF0" w14:textId="1A996E8E" w:rsidR="00A52800" w:rsidRPr="008821FE" w:rsidRDefault="00A52800" w:rsidP="00A52800">
      <w:pPr>
        <w:jc w:val="both"/>
        <w:rPr>
          <w:sz w:val="22"/>
          <w:szCs w:val="22"/>
          <w:lang w:val="lv-LV"/>
        </w:rPr>
      </w:pPr>
      <w:r w:rsidRPr="008821FE">
        <w:rPr>
          <w:sz w:val="22"/>
          <w:szCs w:val="22"/>
          <w:lang w:val="lv-LV"/>
        </w:rPr>
        <w:t>Apaļas tabletes ar plakanām virsmām</w:t>
      </w:r>
      <w:r w:rsidR="000734C9">
        <w:rPr>
          <w:sz w:val="22"/>
          <w:szCs w:val="22"/>
          <w:lang w:val="lv-LV"/>
        </w:rPr>
        <w:t>,</w:t>
      </w:r>
      <w:r w:rsidRPr="008821FE">
        <w:rPr>
          <w:sz w:val="22"/>
          <w:szCs w:val="22"/>
          <w:lang w:val="lv-LV"/>
        </w:rPr>
        <w:t xml:space="preserve"> gaiši rozā krāsā ar baltiem un tumši rozā plankumiem, vienā pusē dalījuma līnija.</w:t>
      </w:r>
      <w:r w:rsidR="000734C9" w:rsidRPr="000734C9">
        <w:t xml:space="preserve"> </w:t>
      </w:r>
      <w:r w:rsidR="000734C9" w:rsidRPr="000734C9">
        <w:rPr>
          <w:sz w:val="22"/>
          <w:szCs w:val="22"/>
          <w:lang w:val="lv-LV"/>
        </w:rPr>
        <w:t>Dalījuma līnija paredzēta tikai tabletes salaušanai, lai atvieglotu tās norīšanu, nevis tabletes dalīšanai vienādās devās.</w:t>
      </w:r>
    </w:p>
    <w:p w14:paraId="465FED0F" w14:textId="77777777" w:rsidR="00A52800" w:rsidRPr="008821FE" w:rsidRDefault="00A52800" w:rsidP="00A52800">
      <w:pPr>
        <w:autoSpaceDE w:val="0"/>
        <w:autoSpaceDN w:val="0"/>
        <w:adjustRightInd w:val="0"/>
        <w:jc w:val="both"/>
        <w:rPr>
          <w:bCs/>
          <w:sz w:val="22"/>
          <w:szCs w:val="22"/>
          <w:lang w:val="lv-LV"/>
        </w:rPr>
      </w:pPr>
    </w:p>
    <w:p w14:paraId="69162F5D" w14:textId="77777777" w:rsidR="00A52800" w:rsidRPr="008821FE" w:rsidRDefault="004E102B" w:rsidP="00A52800">
      <w:pPr>
        <w:jc w:val="both"/>
        <w:rPr>
          <w:sz w:val="22"/>
          <w:szCs w:val="22"/>
          <w:lang w:val="lv-LV"/>
        </w:rPr>
      </w:pPr>
      <w:r w:rsidRPr="008821FE">
        <w:rPr>
          <w:iCs/>
          <w:sz w:val="22"/>
          <w:szCs w:val="22"/>
          <w:lang w:val="lv-LV"/>
        </w:rPr>
        <w:t>Tabletes iepakotas PVH/Al</w:t>
      </w:r>
      <w:r w:rsidRPr="008821FE">
        <w:rPr>
          <w:sz w:val="22"/>
          <w:szCs w:val="22"/>
          <w:lang w:val="lv-LV"/>
        </w:rPr>
        <w:t xml:space="preserve"> folijas blisteros pa 6 tabletēm; </w:t>
      </w:r>
      <w:r w:rsidR="00A52800" w:rsidRPr="008821FE">
        <w:rPr>
          <w:sz w:val="22"/>
          <w:szCs w:val="22"/>
          <w:lang w:val="lv-LV"/>
        </w:rPr>
        <w:t>1 blisteris kartona kastītē.</w:t>
      </w:r>
    </w:p>
    <w:p w14:paraId="1323F79A" w14:textId="77777777" w:rsidR="00A52800" w:rsidRPr="008821FE" w:rsidRDefault="00A52800" w:rsidP="00A52800">
      <w:pPr>
        <w:autoSpaceDE w:val="0"/>
        <w:autoSpaceDN w:val="0"/>
        <w:adjustRightInd w:val="0"/>
        <w:jc w:val="both"/>
        <w:rPr>
          <w:bCs/>
          <w:sz w:val="22"/>
          <w:szCs w:val="22"/>
          <w:lang w:val="lv-LV"/>
        </w:rPr>
      </w:pPr>
    </w:p>
    <w:p w14:paraId="65DE893D" w14:textId="77777777" w:rsidR="009F0B95" w:rsidRPr="008821FE" w:rsidRDefault="009F0B95" w:rsidP="009F0B95">
      <w:pPr>
        <w:pStyle w:val="BodyText1"/>
        <w:ind w:firstLine="0"/>
        <w:rPr>
          <w:rFonts w:ascii="Times New Roman" w:hAnsi="Times New Roman"/>
          <w:b/>
          <w:noProof/>
          <w:color w:val="auto"/>
          <w:sz w:val="22"/>
          <w:szCs w:val="22"/>
          <w:lang w:val="lv-LV"/>
        </w:rPr>
      </w:pPr>
      <w:r w:rsidRPr="008821FE">
        <w:rPr>
          <w:rFonts w:ascii="Times New Roman" w:hAnsi="Times New Roman"/>
          <w:b/>
          <w:caps/>
          <w:noProof/>
          <w:color w:val="auto"/>
          <w:sz w:val="22"/>
          <w:szCs w:val="22"/>
          <w:lang w:val="lv-LV"/>
        </w:rPr>
        <w:t>R</w:t>
      </w:r>
      <w:r w:rsidRPr="008821FE">
        <w:rPr>
          <w:rFonts w:ascii="Times New Roman" w:hAnsi="Times New Roman"/>
          <w:b/>
          <w:noProof/>
          <w:color w:val="auto"/>
          <w:sz w:val="22"/>
          <w:szCs w:val="22"/>
          <w:lang w:val="lv-LV"/>
        </w:rPr>
        <w:t>eģistrācijas apliecības īpašnieks</w:t>
      </w:r>
      <w:r w:rsidR="00762E05" w:rsidRPr="008821FE">
        <w:rPr>
          <w:rFonts w:ascii="Times New Roman" w:hAnsi="Times New Roman"/>
          <w:b/>
          <w:noProof/>
          <w:color w:val="auto"/>
          <w:sz w:val="22"/>
          <w:szCs w:val="22"/>
          <w:lang w:val="lv-LV"/>
        </w:rPr>
        <w:t xml:space="preserve"> un ražotājs</w:t>
      </w:r>
    </w:p>
    <w:p w14:paraId="2543CF24" w14:textId="2CC2FA00" w:rsidR="009F0B95" w:rsidRPr="008821FE" w:rsidRDefault="009F0B95" w:rsidP="009F0B95">
      <w:pPr>
        <w:jc w:val="both"/>
        <w:rPr>
          <w:iCs/>
          <w:sz w:val="22"/>
          <w:szCs w:val="22"/>
          <w:lang w:val="lv-LV"/>
        </w:rPr>
      </w:pPr>
      <w:r w:rsidRPr="008821FE">
        <w:rPr>
          <w:sz w:val="22"/>
          <w:szCs w:val="22"/>
          <w:lang w:val="lv-LV"/>
        </w:rPr>
        <w:t xml:space="preserve">AS </w:t>
      </w:r>
      <w:r w:rsidRPr="008821FE">
        <w:rPr>
          <w:iCs/>
          <w:sz w:val="22"/>
          <w:szCs w:val="22"/>
          <w:lang w:val="lv-LV"/>
        </w:rPr>
        <w:t>GRINDEKS</w:t>
      </w:r>
      <w:r w:rsidR="00573B6B">
        <w:rPr>
          <w:iCs/>
          <w:sz w:val="22"/>
          <w:szCs w:val="22"/>
          <w:lang w:val="lv-LV"/>
        </w:rPr>
        <w:t>.</w:t>
      </w:r>
    </w:p>
    <w:p w14:paraId="356E53B9" w14:textId="77777777" w:rsidR="009F0B95" w:rsidRPr="008821FE" w:rsidRDefault="009F0B95" w:rsidP="009F0B95">
      <w:pPr>
        <w:jc w:val="both"/>
        <w:rPr>
          <w:iCs/>
          <w:sz w:val="22"/>
          <w:szCs w:val="22"/>
          <w:lang w:val="lv-LV"/>
        </w:rPr>
      </w:pPr>
      <w:r w:rsidRPr="008821FE">
        <w:rPr>
          <w:sz w:val="22"/>
          <w:szCs w:val="22"/>
          <w:lang w:val="lv-LV"/>
        </w:rPr>
        <w:t>Krustpils iela 53, Rīga, LV-1057, Latvija</w:t>
      </w:r>
    </w:p>
    <w:p w14:paraId="648EAA29" w14:textId="77777777" w:rsidR="009F0B95" w:rsidRPr="008821FE" w:rsidRDefault="009F0B95" w:rsidP="009F0B95">
      <w:pPr>
        <w:jc w:val="both"/>
        <w:rPr>
          <w:sz w:val="22"/>
          <w:szCs w:val="22"/>
          <w:lang w:val="lv-LV"/>
        </w:rPr>
      </w:pPr>
      <w:r w:rsidRPr="008821FE">
        <w:rPr>
          <w:sz w:val="22"/>
          <w:szCs w:val="22"/>
          <w:lang w:val="lv-LV"/>
        </w:rPr>
        <w:t>T</w:t>
      </w:r>
      <w:r w:rsidR="007C51A3" w:rsidRPr="008821FE">
        <w:rPr>
          <w:sz w:val="22"/>
          <w:szCs w:val="22"/>
          <w:lang w:val="lv-LV"/>
        </w:rPr>
        <w:t>el.</w:t>
      </w:r>
      <w:r w:rsidRPr="008821FE">
        <w:rPr>
          <w:sz w:val="22"/>
          <w:szCs w:val="22"/>
          <w:lang w:val="lv-LV"/>
        </w:rPr>
        <w:t xml:space="preserve">: </w:t>
      </w:r>
      <w:r w:rsidR="007C51A3" w:rsidRPr="008821FE">
        <w:rPr>
          <w:sz w:val="22"/>
          <w:szCs w:val="22"/>
          <w:lang w:val="lv-LV"/>
        </w:rPr>
        <w:t>+371 </w:t>
      </w:r>
      <w:r w:rsidRPr="008821FE">
        <w:rPr>
          <w:sz w:val="22"/>
          <w:szCs w:val="22"/>
          <w:lang w:val="lv-LV"/>
        </w:rPr>
        <w:t>67083205</w:t>
      </w:r>
    </w:p>
    <w:p w14:paraId="5022CB73" w14:textId="77777777" w:rsidR="009F0B95" w:rsidRPr="008821FE" w:rsidRDefault="009F0B95" w:rsidP="009F0B95">
      <w:pPr>
        <w:jc w:val="both"/>
        <w:rPr>
          <w:sz w:val="22"/>
          <w:szCs w:val="22"/>
          <w:lang w:val="lv-LV"/>
        </w:rPr>
      </w:pPr>
      <w:r w:rsidRPr="008821FE">
        <w:rPr>
          <w:sz w:val="22"/>
          <w:szCs w:val="22"/>
          <w:lang w:val="lv-LV"/>
        </w:rPr>
        <w:t xml:space="preserve">Fakss: </w:t>
      </w:r>
      <w:r w:rsidR="007C51A3" w:rsidRPr="008821FE">
        <w:rPr>
          <w:sz w:val="22"/>
          <w:szCs w:val="22"/>
          <w:lang w:val="lv-LV"/>
        </w:rPr>
        <w:t>+371 </w:t>
      </w:r>
      <w:r w:rsidRPr="008821FE">
        <w:rPr>
          <w:sz w:val="22"/>
          <w:szCs w:val="22"/>
          <w:lang w:val="lv-LV"/>
        </w:rPr>
        <w:t>67083505</w:t>
      </w:r>
    </w:p>
    <w:p w14:paraId="61E3CB79" w14:textId="77777777" w:rsidR="009F0B95" w:rsidRPr="008821FE" w:rsidRDefault="009F0B95" w:rsidP="009F0B95">
      <w:pPr>
        <w:jc w:val="both"/>
        <w:rPr>
          <w:sz w:val="22"/>
          <w:szCs w:val="22"/>
          <w:lang w:val="lv-LV"/>
        </w:rPr>
      </w:pPr>
      <w:r w:rsidRPr="008821FE">
        <w:rPr>
          <w:kern w:val="16"/>
          <w:sz w:val="22"/>
          <w:szCs w:val="22"/>
          <w:lang w:val="lv-LV"/>
        </w:rPr>
        <w:t xml:space="preserve">E-pasts: </w:t>
      </w:r>
      <w:r w:rsidRPr="008821FE">
        <w:rPr>
          <w:sz w:val="22"/>
          <w:szCs w:val="22"/>
          <w:lang w:val="lv-LV"/>
        </w:rPr>
        <w:t>grindeks@grindeks.lv</w:t>
      </w:r>
    </w:p>
    <w:p w14:paraId="7B01D2D8" w14:textId="77777777" w:rsidR="000C1C21" w:rsidRPr="008821FE" w:rsidRDefault="000C1C21" w:rsidP="00A52800">
      <w:pPr>
        <w:autoSpaceDE w:val="0"/>
        <w:autoSpaceDN w:val="0"/>
        <w:adjustRightInd w:val="0"/>
        <w:jc w:val="both"/>
        <w:rPr>
          <w:noProof/>
          <w:sz w:val="22"/>
          <w:szCs w:val="22"/>
          <w:lang w:val="lv-LV"/>
        </w:rPr>
      </w:pPr>
    </w:p>
    <w:p w14:paraId="1002AC45" w14:textId="77777777" w:rsidR="00132B66" w:rsidRPr="008821FE" w:rsidRDefault="00132B66" w:rsidP="009F3566">
      <w:pPr>
        <w:pStyle w:val="BodyText"/>
      </w:pPr>
    </w:p>
    <w:p w14:paraId="51979A06" w14:textId="4E6FDF42" w:rsidR="0007057C" w:rsidRPr="009F3566" w:rsidRDefault="000D140F" w:rsidP="0007057C">
      <w:pPr>
        <w:jc w:val="both"/>
        <w:rPr>
          <w:b/>
          <w:noProof/>
          <w:sz w:val="22"/>
          <w:szCs w:val="22"/>
          <w:lang w:val="lv-LV"/>
        </w:rPr>
      </w:pPr>
      <w:r w:rsidRPr="008821FE">
        <w:rPr>
          <w:b/>
          <w:noProof/>
          <w:sz w:val="22"/>
          <w:szCs w:val="22"/>
          <w:lang w:val="lv-LV"/>
        </w:rPr>
        <w:t xml:space="preserve">Šī lietošanas </w:t>
      </w:r>
      <w:smartTag w:uri="schemas-tilde-lv/tildestengine" w:element="veidnes">
        <w:smartTagPr>
          <w:attr w:name="text" w:val="instrukcija"/>
          <w:attr w:name="baseform" w:val="instrukcija"/>
          <w:attr w:name="id" w:val="-1"/>
        </w:smartTagPr>
        <w:r w:rsidRPr="008821FE">
          <w:rPr>
            <w:b/>
            <w:noProof/>
            <w:sz w:val="22"/>
            <w:szCs w:val="22"/>
            <w:lang w:val="lv-LV"/>
          </w:rPr>
          <w:t>instrukcija</w:t>
        </w:r>
      </w:smartTag>
      <w:r w:rsidRPr="008821FE">
        <w:rPr>
          <w:b/>
          <w:noProof/>
          <w:sz w:val="22"/>
          <w:szCs w:val="22"/>
          <w:lang w:val="lv-LV"/>
        </w:rPr>
        <w:t xml:space="preserve"> pēdējo reizi pārskatīta </w:t>
      </w:r>
      <w:r w:rsidR="00B869B2" w:rsidRPr="008821FE">
        <w:rPr>
          <w:b/>
          <w:noProof/>
          <w:sz w:val="22"/>
          <w:szCs w:val="22"/>
          <w:lang w:val="lv-LV"/>
        </w:rPr>
        <w:t>0</w:t>
      </w:r>
      <w:r w:rsidR="007F245F">
        <w:rPr>
          <w:b/>
          <w:noProof/>
          <w:sz w:val="22"/>
          <w:szCs w:val="22"/>
          <w:lang w:val="lv-LV"/>
        </w:rPr>
        <w:t>3</w:t>
      </w:r>
      <w:r w:rsidR="00A8626E" w:rsidRPr="008821FE">
        <w:rPr>
          <w:b/>
          <w:noProof/>
          <w:sz w:val="22"/>
          <w:szCs w:val="22"/>
          <w:lang w:val="lv-LV"/>
        </w:rPr>
        <w:t>/20</w:t>
      </w:r>
      <w:r w:rsidR="009456CE">
        <w:rPr>
          <w:b/>
          <w:noProof/>
          <w:sz w:val="22"/>
          <w:szCs w:val="22"/>
          <w:lang w:val="lv-LV"/>
        </w:rPr>
        <w:t>21</w:t>
      </w:r>
    </w:p>
    <w:p w14:paraId="3FFCB28B" w14:textId="77777777" w:rsidR="0007057C" w:rsidRPr="009F3566" w:rsidRDefault="0007057C" w:rsidP="00D1678B">
      <w:pPr>
        <w:jc w:val="both"/>
        <w:rPr>
          <w:sz w:val="22"/>
          <w:szCs w:val="22"/>
          <w:lang w:val="lv-LV" w:eastAsia="lv-LV"/>
        </w:rPr>
      </w:pPr>
    </w:p>
    <w:sectPr w:rsidR="0007057C" w:rsidRPr="009F3566" w:rsidSect="009456CE">
      <w:headerReference w:type="even" r:id="rId7"/>
      <w:headerReference w:type="default" r:id="rId8"/>
      <w:footerReference w:type="even" r:id="rId9"/>
      <w:footerReference w:type="default" r:id="rId10"/>
      <w:headerReference w:type="first" r:id="rId11"/>
      <w:footerReference w:type="first" r:id="rId12"/>
      <w:pgSz w:w="11907" w:h="16840" w:code="9"/>
      <w:pgMar w:top="1134" w:right="1418" w:bottom="1134" w:left="1418" w:header="902" w:footer="56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A43FA" w14:textId="77777777" w:rsidR="00C37956" w:rsidRDefault="00C37956">
      <w:r>
        <w:separator/>
      </w:r>
    </w:p>
  </w:endnote>
  <w:endnote w:type="continuationSeparator" w:id="0">
    <w:p w14:paraId="718AED38" w14:textId="77777777" w:rsidR="00C37956" w:rsidRDefault="00C3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ZapfChancery">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4AF6B" w14:textId="77777777" w:rsidR="00AE15CF" w:rsidRDefault="00AE15CF" w:rsidP="00CB59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A5B43" w14:textId="77777777" w:rsidR="00AE15CF" w:rsidRDefault="00AE15CF" w:rsidP="00DE76C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4535E" w14:textId="77777777" w:rsidR="00AE15CF" w:rsidRDefault="00AE15CF" w:rsidP="00DE76C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3C120" w14:textId="77777777" w:rsidR="008E3BBA" w:rsidRDefault="008E3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A5A95" w14:textId="77777777" w:rsidR="00C37956" w:rsidRDefault="00C37956">
      <w:r>
        <w:separator/>
      </w:r>
    </w:p>
  </w:footnote>
  <w:footnote w:type="continuationSeparator" w:id="0">
    <w:p w14:paraId="0E65CF1F" w14:textId="77777777" w:rsidR="00C37956" w:rsidRDefault="00C379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08A8A" w14:textId="77777777" w:rsidR="00AE15CF" w:rsidRDefault="00AE15CF" w:rsidP="007C28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A8FA493" w14:textId="77777777" w:rsidR="00AE15CF" w:rsidRDefault="00AE15C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DB371" w14:textId="77777777" w:rsidR="008E3BBA" w:rsidRDefault="008E3BBA" w:rsidP="008E3BBA">
    <w:pPr>
      <w:pStyle w:val="Header"/>
      <w:jc w:val="right"/>
      <w:rPr>
        <w:lang w:val="en-US"/>
      </w:rPr>
    </w:pPr>
    <w:r>
      <w:rPr>
        <w:lang w:val="en-US"/>
      </w:rPr>
      <w:t>SASKAŅOTS ZVA 16-03-2021</w:t>
    </w:r>
  </w:p>
  <w:p w14:paraId="2B170E40" w14:textId="77777777" w:rsidR="00AE15CF" w:rsidRPr="00EE1232" w:rsidRDefault="00AE15CF" w:rsidP="00EE123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1A907" w14:textId="77777777" w:rsidR="00AE15CF" w:rsidRPr="001D396A" w:rsidRDefault="00AE15CF" w:rsidP="001D396A">
    <w:pPr>
      <w:pStyle w:val="Header"/>
      <w:jc w:val="right"/>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C22"/>
    <w:multiLevelType w:val="hybridMultilevel"/>
    <w:tmpl w:val="DBD28EB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2806D43"/>
    <w:multiLevelType w:val="hybridMultilevel"/>
    <w:tmpl w:val="D3BA2074"/>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BB1472"/>
    <w:multiLevelType w:val="hybridMultilevel"/>
    <w:tmpl w:val="20C6C852"/>
    <w:lvl w:ilvl="0" w:tplc="FFFFFFFF">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EDE68BD"/>
    <w:multiLevelType w:val="hybridMultilevel"/>
    <w:tmpl w:val="7A14F3A4"/>
    <w:lvl w:ilvl="0" w:tplc="FFFFFFFF">
      <w:start w:val="1"/>
      <w:numFmt w:val="bullet"/>
      <w:lvlText w:val="-"/>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5181046"/>
    <w:multiLevelType w:val="hybridMultilevel"/>
    <w:tmpl w:val="BB646D3A"/>
    <w:lvl w:ilvl="0" w:tplc="FFFFFFFF">
      <w:start w:val="2"/>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4A560D15"/>
    <w:multiLevelType w:val="hybridMultilevel"/>
    <w:tmpl w:val="D2A23C2A"/>
    <w:lvl w:ilvl="0" w:tplc="0426000F">
      <w:start w:val="2"/>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74CE6677"/>
    <w:multiLevelType w:val="hybridMultilevel"/>
    <w:tmpl w:val="42062BA8"/>
    <w:lvl w:ilvl="0" w:tplc="D13679E8">
      <w:start w:val="1"/>
      <w:numFmt w:val="bullet"/>
      <w:lvlText w:val="-"/>
      <w:lvlJc w:val="left"/>
      <w:pPr>
        <w:ind w:left="720" w:hanging="360"/>
      </w:pPr>
      <w:rPr>
        <w:rFonts w:ascii="Times New Roman" w:eastAsia="Times New Roman" w:hAnsi="Times New Roman" w:cs="Times New Roman"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32A1D"/>
    <w:rsid w:val="000008EF"/>
    <w:rsid w:val="00002040"/>
    <w:rsid w:val="00002306"/>
    <w:rsid w:val="00010CF7"/>
    <w:rsid w:val="0001138E"/>
    <w:rsid w:val="000128E6"/>
    <w:rsid w:val="00012E7A"/>
    <w:rsid w:val="000202DC"/>
    <w:rsid w:val="000226F0"/>
    <w:rsid w:val="00025D1F"/>
    <w:rsid w:val="00043F84"/>
    <w:rsid w:val="00050588"/>
    <w:rsid w:val="00051A73"/>
    <w:rsid w:val="00054F16"/>
    <w:rsid w:val="0005550D"/>
    <w:rsid w:val="00061759"/>
    <w:rsid w:val="00063D01"/>
    <w:rsid w:val="0007057C"/>
    <w:rsid w:val="00070CD2"/>
    <w:rsid w:val="000734C9"/>
    <w:rsid w:val="00084651"/>
    <w:rsid w:val="00085FE3"/>
    <w:rsid w:val="00092BCB"/>
    <w:rsid w:val="000969F1"/>
    <w:rsid w:val="000A47D5"/>
    <w:rsid w:val="000B238F"/>
    <w:rsid w:val="000C1C21"/>
    <w:rsid w:val="000C297E"/>
    <w:rsid w:val="000D140F"/>
    <w:rsid w:val="000D6E23"/>
    <w:rsid w:val="000E1CF4"/>
    <w:rsid w:val="000E3140"/>
    <w:rsid w:val="000F3AEE"/>
    <w:rsid w:val="000F6679"/>
    <w:rsid w:val="00100FEF"/>
    <w:rsid w:val="00103869"/>
    <w:rsid w:val="0011075E"/>
    <w:rsid w:val="001150B4"/>
    <w:rsid w:val="0011535B"/>
    <w:rsid w:val="00115B3C"/>
    <w:rsid w:val="0012391E"/>
    <w:rsid w:val="001241D8"/>
    <w:rsid w:val="00126089"/>
    <w:rsid w:val="001268D2"/>
    <w:rsid w:val="00132B66"/>
    <w:rsid w:val="00145126"/>
    <w:rsid w:val="00146C11"/>
    <w:rsid w:val="00146FAA"/>
    <w:rsid w:val="0017572B"/>
    <w:rsid w:val="00184BCC"/>
    <w:rsid w:val="001911D8"/>
    <w:rsid w:val="00196B6A"/>
    <w:rsid w:val="001C4024"/>
    <w:rsid w:val="001C62D7"/>
    <w:rsid w:val="001D396A"/>
    <w:rsid w:val="001E1834"/>
    <w:rsid w:val="001E6600"/>
    <w:rsid w:val="00203E65"/>
    <w:rsid w:val="0022250C"/>
    <w:rsid w:val="0023148B"/>
    <w:rsid w:val="00233A27"/>
    <w:rsid w:val="002376DE"/>
    <w:rsid w:val="00237FF3"/>
    <w:rsid w:val="00247BAE"/>
    <w:rsid w:val="00252A6A"/>
    <w:rsid w:val="00253610"/>
    <w:rsid w:val="00255902"/>
    <w:rsid w:val="00261548"/>
    <w:rsid w:val="002626FD"/>
    <w:rsid w:val="002715D6"/>
    <w:rsid w:val="002851BC"/>
    <w:rsid w:val="00293AE3"/>
    <w:rsid w:val="002941B2"/>
    <w:rsid w:val="002951E6"/>
    <w:rsid w:val="002A02D8"/>
    <w:rsid w:val="002B3506"/>
    <w:rsid w:val="002B77B0"/>
    <w:rsid w:val="002C2197"/>
    <w:rsid w:val="002C3C3D"/>
    <w:rsid w:val="002C3FEF"/>
    <w:rsid w:val="002C72F7"/>
    <w:rsid w:val="002D34AB"/>
    <w:rsid w:val="002D4312"/>
    <w:rsid w:val="002E0E88"/>
    <w:rsid w:val="002E3F78"/>
    <w:rsid w:val="002E681E"/>
    <w:rsid w:val="002F1DD5"/>
    <w:rsid w:val="002F445D"/>
    <w:rsid w:val="002F70EF"/>
    <w:rsid w:val="0030623B"/>
    <w:rsid w:val="0030672D"/>
    <w:rsid w:val="003201BF"/>
    <w:rsid w:val="003245C4"/>
    <w:rsid w:val="003300B7"/>
    <w:rsid w:val="00335067"/>
    <w:rsid w:val="00341B40"/>
    <w:rsid w:val="003459BF"/>
    <w:rsid w:val="0035230C"/>
    <w:rsid w:val="0035749D"/>
    <w:rsid w:val="00357C4B"/>
    <w:rsid w:val="003758BD"/>
    <w:rsid w:val="003870C7"/>
    <w:rsid w:val="00395703"/>
    <w:rsid w:val="003A3F6A"/>
    <w:rsid w:val="003C1A35"/>
    <w:rsid w:val="003D4DE2"/>
    <w:rsid w:val="003D676D"/>
    <w:rsid w:val="003D6B63"/>
    <w:rsid w:val="003E04AC"/>
    <w:rsid w:val="003E0C6F"/>
    <w:rsid w:val="003E1459"/>
    <w:rsid w:val="003E6F2A"/>
    <w:rsid w:val="003F1025"/>
    <w:rsid w:val="00400E52"/>
    <w:rsid w:val="00401390"/>
    <w:rsid w:val="00401E56"/>
    <w:rsid w:val="00404CA8"/>
    <w:rsid w:val="00405152"/>
    <w:rsid w:val="0041134F"/>
    <w:rsid w:val="00411D7B"/>
    <w:rsid w:val="00416389"/>
    <w:rsid w:val="00426269"/>
    <w:rsid w:val="00437D20"/>
    <w:rsid w:val="004517A1"/>
    <w:rsid w:val="00454329"/>
    <w:rsid w:val="0046545B"/>
    <w:rsid w:val="00473E50"/>
    <w:rsid w:val="004758A0"/>
    <w:rsid w:val="00490F8C"/>
    <w:rsid w:val="00496E85"/>
    <w:rsid w:val="004A2075"/>
    <w:rsid w:val="004B178E"/>
    <w:rsid w:val="004C3BDC"/>
    <w:rsid w:val="004D10F7"/>
    <w:rsid w:val="004D15F9"/>
    <w:rsid w:val="004D5498"/>
    <w:rsid w:val="004E083C"/>
    <w:rsid w:val="004E102B"/>
    <w:rsid w:val="004F41A0"/>
    <w:rsid w:val="004F5F07"/>
    <w:rsid w:val="00500FFA"/>
    <w:rsid w:val="00501516"/>
    <w:rsid w:val="00505ECD"/>
    <w:rsid w:val="00514569"/>
    <w:rsid w:val="00515A15"/>
    <w:rsid w:val="00522D92"/>
    <w:rsid w:val="00525C42"/>
    <w:rsid w:val="0052603A"/>
    <w:rsid w:val="00535553"/>
    <w:rsid w:val="005370FE"/>
    <w:rsid w:val="005440CE"/>
    <w:rsid w:val="00550DED"/>
    <w:rsid w:val="00566B82"/>
    <w:rsid w:val="00570D5D"/>
    <w:rsid w:val="00571F70"/>
    <w:rsid w:val="00573B6B"/>
    <w:rsid w:val="005743D1"/>
    <w:rsid w:val="00575B5C"/>
    <w:rsid w:val="0058134D"/>
    <w:rsid w:val="00591A46"/>
    <w:rsid w:val="00593411"/>
    <w:rsid w:val="005976FB"/>
    <w:rsid w:val="005A436B"/>
    <w:rsid w:val="005B23C1"/>
    <w:rsid w:val="005C0A33"/>
    <w:rsid w:val="005C1724"/>
    <w:rsid w:val="005E18EF"/>
    <w:rsid w:val="005E6C5A"/>
    <w:rsid w:val="005F37BD"/>
    <w:rsid w:val="005F6E2B"/>
    <w:rsid w:val="00606CC7"/>
    <w:rsid w:val="00617534"/>
    <w:rsid w:val="00633830"/>
    <w:rsid w:val="00646761"/>
    <w:rsid w:val="00651CE7"/>
    <w:rsid w:val="006555BD"/>
    <w:rsid w:val="0066006B"/>
    <w:rsid w:val="00660967"/>
    <w:rsid w:val="0066275C"/>
    <w:rsid w:val="00670407"/>
    <w:rsid w:val="00677841"/>
    <w:rsid w:val="00677C02"/>
    <w:rsid w:val="00690885"/>
    <w:rsid w:val="006B2CD5"/>
    <w:rsid w:val="006C720B"/>
    <w:rsid w:val="006D2E4C"/>
    <w:rsid w:val="006D715E"/>
    <w:rsid w:val="006E090F"/>
    <w:rsid w:val="006E38FA"/>
    <w:rsid w:val="006F052F"/>
    <w:rsid w:val="006F594C"/>
    <w:rsid w:val="0072225D"/>
    <w:rsid w:val="0072317F"/>
    <w:rsid w:val="00723B2A"/>
    <w:rsid w:val="00727AAD"/>
    <w:rsid w:val="00732608"/>
    <w:rsid w:val="00735E3A"/>
    <w:rsid w:val="00753C5B"/>
    <w:rsid w:val="00761DC7"/>
    <w:rsid w:val="00762E05"/>
    <w:rsid w:val="00763B7C"/>
    <w:rsid w:val="007655F7"/>
    <w:rsid w:val="0076629A"/>
    <w:rsid w:val="00772A2B"/>
    <w:rsid w:val="00780C08"/>
    <w:rsid w:val="00781649"/>
    <w:rsid w:val="00790611"/>
    <w:rsid w:val="0079685D"/>
    <w:rsid w:val="00797EBB"/>
    <w:rsid w:val="007B42EA"/>
    <w:rsid w:val="007C28E8"/>
    <w:rsid w:val="007C51A3"/>
    <w:rsid w:val="007D6A3B"/>
    <w:rsid w:val="007E1630"/>
    <w:rsid w:val="007F245F"/>
    <w:rsid w:val="007F2B78"/>
    <w:rsid w:val="00807D48"/>
    <w:rsid w:val="008109F2"/>
    <w:rsid w:val="00820D1D"/>
    <w:rsid w:val="00825748"/>
    <w:rsid w:val="00833F1A"/>
    <w:rsid w:val="00840CBC"/>
    <w:rsid w:val="00841938"/>
    <w:rsid w:val="00854177"/>
    <w:rsid w:val="00871E2F"/>
    <w:rsid w:val="00880AEB"/>
    <w:rsid w:val="008821FE"/>
    <w:rsid w:val="00882690"/>
    <w:rsid w:val="00885DF1"/>
    <w:rsid w:val="00887F45"/>
    <w:rsid w:val="008A66A0"/>
    <w:rsid w:val="008C34FC"/>
    <w:rsid w:val="008C3DD0"/>
    <w:rsid w:val="008D15B8"/>
    <w:rsid w:val="008D273C"/>
    <w:rsid w:val="008D346B"/>
    <w:rsid w:val="008E2C46"/>
    <w:rsid w:val="008E3BBA"/>
    <w:rsid w:val="008E6030"/>
    <w:rsid w:val="008F4A3E"/>
    <w:rsid w:val="00944CCF"/>
    <w:rsid w:val="009456CE"/>
    <w:rsid w:val="00952CB5"/>
    <w:rsid w:val="00954517"/>
    <w:rsid w:val="00971E57"/>
    <w:rsid w:val="00974A51"/>
    <w:rsid w:val="00977142"/>
    <w:rsid w:val="0098797E"/>
    <w:rsid w:val="009961C2"/>
    <w:rsid w:val="009A7927"/>
    <w:rsid w:val="009B0409"/>
    <w:rsid w:val="009B1C6A"/>
    <w:rsid w:val="009B20C2"/>
    <w:rsid w:val="009B3089"/>
    <w:rsid w:val="009B6C9A"/>
    <w:rsid w:val="009D564B"/>
    <w:rsid w:val="009E019D"/>
    <w:rsid w:val="009F0B95"/>
    <w:rsid w:val="009F2E52"/>
    <w:rsid w:val="009F3566"/>
    <w:rsid w:val="009F4F56"/>
    <w:rsid w:val="009F73BF"/>
    <w:rsid w:val="00A024B9"/>
    <w:rsid w:val="00A04176"/>
    <w:rsid w:val="00A06266"/>
    <w:rsid w:val="00A10AC7"/>
    <w:rsid w:val="00A15A0A"/>
    <w:rsid w:val="00A24327"/>
    <w:rsid w:val="00A26F13"/>
    <w:rsid w:val="00A26F23"/>
    <w:rsid w:val="00A341BF"/>
    <w:rsid w:val="00A45D57"/>
    <w:rsid w:val="00A52800"/>
    <w:rsid w:val="00A61583"/>
    <w:rsid w:val="00A711C3"/>
    <w:rsid w:val="00A7483D"/>
    <w:rsid w:val="00A811C8"/>
    <w:rsid w:val="00A8626E"/>
    <w:rsid w:val="00A920F4"/>
    <w:rsid w:val="00A922C5"/>
    <w:rsid w:val="00AD304E"/>
    <w:rsid w:val="00AD7FA5"/>
    <w:rsid w:val="00AE15CF"/>
    <w:rsid w:val="00AE5429"/>
    <w:rsid w:val="00AF7AB9"/>
    <w:rsid w:val="00B01251"/>
    <w:rsid w:val="00B0722A"/>
    <w:rsid w:val="00B07DD8"/>
    <w:rsid w:val="00B2445F"/>
    <w:rsid w:val="00B326F7"/>
    <w:rsid w:val="00B420CF"/>
    <w:rsid w:val="00B44DCD"/>
    <w:rsid w:val="00B45A03"/>
    <w:rsid w:val="00B5622E"/>
    <w:rsid w:val="00B566D4"/>
    <w:rsid w:val="00B632C6"/>
    <w:rsid w:val="00B7481B"/>
    <w:rsid w:val="00B869B2"/>
    <w:rsid w:val="00B900AA"/>
    <w:rsid w:val="00B90DF9"/>
    <w:rsid w:val="00B9106A"/>
    <w:rsid w:val="00BA2A0A"/>
    <w:rsid w:val="00BA3063"/>
    <w:rsid w:val="00BA36ED"/>
    <w:rsid w:val="00BA5DDC"/>
    <w:rsid w:val="00BB4FFC"/>
    <w:rsid w:val="00BB78EA"/>
    <w:rsid w:val="00BC49C7"/>
    <w:rsid w:val="00BC5671"/>
    <w:rsid w:val="00BC6FE9"/>
    <w:rsid w:val="00BD0C91"/>
    <w:rsid w:val="00BD687C"/>
    <w:rsid w:val="00BE563F"/>
    <w:rsid w:val="00BF056F"/>
    <w:rsid w:val="00BF1887"/>
    <w:rsid w:val="00BF2EEB"/>
    <w:rsid w:val="00BF44C7"/>
    <w:rsid w:val="00BF568B"/>
    <w:rsid w:val="00BF5C5C"/>
    <w:rsid w:val="00C20204"/>
    <w:rsid w:val="00C23C54"/>
    <w:rsid w:val="00C32A1D"/>
    <w:rsid w:val="00C32FBD"/>
    <w:rsid w:val="00C35C30"/>
    <w:rsid w:val="00C37956"/>
    <w:rsid w:val="00C54E78"/>
    <w:rsid w:val="00C620ED"/>
    <w:rsid w:val="00C63F91"/>
    <w:rsid w:val="00C66569"/>
    <w:rsid w:val="00C67A71"/>
    <w:rsid w:val="00C72C8E"/>
    <w:rsid w:val="00C76E0D"/>
    <w:rsid w:val="00C82918"/>
    <w:rsid w:val="00C834E0"/>
    <w:rsid w:val="00CA0A4A"/>
    <w:rsid w:val="00CA0E75"/>
    <w:rsid w:val="00CA1540"/>
    <w:rsid w:val="00CB5931"/>
    <w:rsid w:val="00CB59B7"/>
    <w:rsid w:val="00CD258B"/>
    <w:rsid w:val="00CE4322"/>
    <w:rsid w:val="00CF75FE"/>
    <w:rsid w:val="00CF762A"/>
    <w:rsid w:val="00D05677"/>
    <w:rsid w:val="00D1678B"/>
    <w:rsid w:val="00D21C68"/>
    <w:rsid w:val="00D3082B"/>
    <w:rsid w:val="00D5693B"/>
    <w:rsid w:val="00D7566D"/>
    <w:rsid w:val="00D9164A"/>
    <w:rsid w:val="00D920D6"/>
    <w:rsid w:val="00D93E2B"/>
    <w:rsid w:val="00D9590D"/>
    <w:rsid w:val="00DC3C18"/>
    <w:rsid w:val="00DC7C0B"/>
    <w:rsid w:val="00DE76C0"/>
    <w:rsid w:val="00DF4D3F"/>
    <w:rsid w:val="00E058BF"/>
    <w:rsid w:val="00E13EEB"/>
    <w:rsid w:val="00E1562D"/>
    <w:rsid w:val="00E17039"/>
    <w:rsid w:val="00E22883"/>
    <w:rsid w:val="00E230B9"/>
    <w:rsid w:val="00E250AD"/>
    <w:rsid w:val="00E27AF7"/>
    <w:rsid w:val="00E32864"/>
    <w:rsid w:val="00E375A1"/>
    <w:rsid w:val="00E442B1"/>
    <w:rsid w:val="00E47A17"/>
    <w:rsid w:val="00E61F4A"/>
    <w:rsid w:val="00E64DEE"/>
    <w:rsid w:val="00E66706"/>
    <w:rsid w:val="00E74073"/>
    <w:rsid w:val="00E7479A"/>
    <w:rsid w:val="00E75AE4"/>
    <w:rsid w:val="00E83DB1"/>
    <w:rsid w:val="00E856A7"/>
    <w:rsid w:val="00E97CB6"/>
    <w:rsid w:val="00EA1A32"/>
    <w:rsid w:val="00EB5317"/>
    <w:rsid w:val="00EC1281"/>
    <w:rsid w:val="00EC5721"/>
    <w:rsid w:val="00EE1172"/>
    <w:rsid w:val="00EE1232"/>
    <w:rsid w:val="00EF50AA"/>
    <w:rsid w:val="00F113E2"/>
    <w:rsid w:val="00F1416E"/>
    <w:rsid w:val="00F348F0"/>
    <w:rsid w:val="00F44E3B"/>
    <w:rsid w:val="00F54208"/>
    <w:rsid w:val="00F66FB4"/>
    <w:rsid w:val="00F73674"/>
    <w:rsid w:val="00F77CE3"/>
    <w:rsid w:val="00F80A2C"/>
    <w:rsid w:val="00FA04C7"/>
    <w:rsid w:val="00FA7778"/>
    <w:rsid w:val="00FA7DFD"/>
    <w:rsid w:val="00FB3D09"/>
    <w:rsid w:val="00FB5507"/>
    <w:rsid w:val="00FB621E"/>
    <w:rsid w:val="00FC50FF"/>
    <w:rsid w:val="00FC63FD"/>
    <w:rsid w:val="00FC7E46"/>
    <w:rsid w:val="00FD7A16"/>
    <w:rsid w:val="00FD7F30"/>
    <w:rsid w:val="00FF212B"/>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9561DA9"/>
  <w15:docId w15:val="{F6F5B593-EEF0-4486-A21B-CA4935AB4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0885"/>
    <w:rPr>
      <w:sz w:val="24"/>
      <w:szCs w:val="24"/>
      <w:lang w:val="en-GB" w:eastAsia="en-US"/>
    </w:rPr>
  </w:style>
  <w:style w:type="paragraph" w:styleId="Heading1">
    <w:name w:val="heading 1"/>
    <w:basedOn w:val="Normal"/>
    <w:next w:val="Normal"/>
    <w:qFormat/>
    <w:pPr>
      <w:keepNext/>
      <w:jc w:val="center"/>
      <w:outlineLvl w:val="0"/>
    </w:pPr>
    <w:rPr>
      <w:b/>
      <w:sz w:val="22"/>
      <w:szCs w:val="20"/>
      <w:lang w:eastAsia="lv-LV"/>
    </w:rPr>
  </w:style>
  <w:style w:type="paragraph" w:styleId="Heading3">
    <w:name w:val="heading 3"/>
    <w:basedOn w:val="Normal"/>
    <w:next w:val="Normal"/>
    <w:qFormat/>
    <w:pPr>
      <w:keepNext/>
      <w:jc w:val="both"/>
      <w:outlineLvl w:val="2"/>
    </w:pPr>
    <w:rPr>
      <w:b/>
      <w:szCs w:val="20"/>
      <w:lang w:val="en-US" w:eastAsia="lv-LV"/>
    </w:rPr>
  </w:style>
  <w:style w:type="paragraph" w:styleId="Heading4">
    <w:name w:val="heading 4"/>
    <w:basedOn w:val="Normal"/>
    <w:next w:val="Normal"/>
    <w:qFormat/>
    <w:pPr>
      <w:keepNext/>
      <w:jc w:val="both"/>
      <w:outlineLvl w:val="3"/>
    </w:pPr>
    <w:rPr>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urs">
    <w:name w:val="kurs"/>
    <w:basedOn w:val="nosauk"/>
    <w:rPr>
      <w:b w:val="0"/>
      <w:i/>
      <w:sz w:val="18"/>
    </w:rPr>
  </w:style>
  <w:style w:type="paragraph" w:customStyle="1" w:styleId="nosauk">
    <w:name w:val="nosauk"/>
    <w:basedOn w:val="BodyText1"/>
    <w:next w:val="BodyText1"/>
    <w:pPr>
      <w:ind w:firstLine="0"/>
      <w:jc w:val="left"/>
    </w:pPr>
    <w:rPr>
      <w:b/>
      <w:color w:val="auto"/>
    </w:rPr>
  </w:style>
  <w:style w:type="paragraph" w:customStyle="1" w:styleId="BodyText1">
    <w:name w:val="Body Text1"/>
    <w:pPr>
      <w:ind w:firstLine="425"/>
      <w:jc w:val="both"/>
    </w:pPr>
    <w:rPr>
      <w:rFonts w:ascii="RimTimes" w:hAnsi="RimTimes"/>
      <w:color w:val="000000"/>
      <w:lang w:val="en-US" w:eastAsia="lv-LV"/>
    </w:rPr>
  </w:style>
  <w:style w:type="paragraph" w:styleId="BodyTextIndent3">
    <w:name w:val="Body Text Indent 3"/>
    <w:basedOn w:val="Normal"/>
    <w:pPr>
      <w:ind w:firstLine="567"/>
      <w:jc w:val="both"/>
    </w:pPr>
    <w:rPr>
      <w:rFonts w:ascii="RimTimes" w:hAnsi="RimTimes"/>
      <w:b/>
      <w:szCs w:val="20"/>
      <w:lang w:val="lv-LV" w:eastAsia="lv-LV"/>
    </w:rPr>
  </w:style>
  <w:style w:type="paragraph" w:styleId="Header">
    <w:name w:val="header"/>
    <w:basedOn w:val="Normal"/>
    <w:link w:val="HeaderChar"/>
    <w:uiPriority w:val="99"/>
    <w:pPr>
      <w:tabs>
        <w:tab w:val="center" w:pos="4153"/>
        <w:tab w:val="right" w:pos="8306"/>
      </w:tabs>
    </w:pPr>
    <w:rPr>
      <w:szCs w:val="20"/>
      <w:lang w:eastAsia="lv-LV"/>
    </w:rPr>
  </w:style>
  <w:style w:type="character" w:styleId="PageNumber">
    <w:name w:val="page number"/>
    <w:basedOn w:val="DefaultParagraphFont"/>
  </w:style>
  <w:style w:type="paragraph" w:styleId="BodyTextIndent2">
    <w:name w:val="Body Text Indent 2"/>
    <w:basedOn w:val="Normal"/>
    <w:pPr>
      <w:ind w:firstLine="720"/>
      <w:jc w:val="both"/>
    </w:pPr>
    <w:rPr>
      <w:szCs w:val="20"/>
      <w:lang w:eastAsia="lv-LV"/>
    </w:rPr>
  </w:style>
  <w:style w:type="paragraph" w:styleId="BodyText">
    <w:name w:val="Body Text"/>
    <w:basedOn w:val="Normal"/>
    <w:pPr>
      <w:jc w:val="both"/>
    </w:pPr>
    <w:rPr>
      <w:sz w:val="22"/>
      <w:szCs w:val="20"/>
      <w:lang w:val="lv-LV" w:eastAsia="lv-LV"/>
    </w:rPr>
  </w:style>
  <w:style w:type="paragraph" w:styleId="BodyText2">
    <w:name w:val="Body Text 2"/>
    <w:basedOn w:val="Normal"/>
    <w:pPr>
      <w:jc w:val="both"/>
    </w:pPr>
    <w:rPr>
      <w:i/>
      <w:szCs w:val="20"/>
      <w:lang w:val="en-US" w:eastAsia="lv-LV"/>
    </w:rPr>
  </w:style>
  <w:style w:type="paragraph" w:customStyle="1" w:styleId="1">
    <w:name w:val="çàãîëîâîê 1"/>
    <w:basedOn w:val="Normal"/>
    <w:next w:val="Normal"/>
    <w:pPr>
      <w:keepNext/>
      <w:jc w:val="center"/>
    </w:pPr>
    <w:rPr>
      <w:rFonts w:ascii="ZapfChancery" w:eastAsia="ZapfChancery" w:hAnsi="ZapfChancery"/>
      <w:sz w:val="28"/>
      <w:szCs w:val="20"/>
      <w:lang w:val="ru-RU" w:eastAsia="lv-LV"/>
    </w:rPr>
  </w:style>
  <w:style w:type="paragraph" w:styleId="BodyText3">
    <w:name w:val="Body Text 3"/>
    <w:basedOn w:val="Normal"/>
    <w:rsid w:val="00D3082B"/>
    <w:pPr>
      <w:jc w:val="both"/>
    </w:pPr>
    <w:rPr>
      <w:lang w:val="lv-LV"/>
    </w:rPr>
  </w:style>
  <w:style w:type="character" w:styleId="Hyperlink">
    <w:name w:val="Hyperlink"/>
    <w:rsid w:val="009F0B95"/>
    <w:rPr>
      <w:color w:val="0000FF"/>
      <w:u w:val="single"/>
    </w:rPr>
  </w:style>
  <w:style w:type="paragraph" w:styleId="BalloonText">
    <w:name w:val="Balloon Text"/>
    <w:basedOn w:val="Normal"/>
    <w:semiHidden/>
    <w:rsid w:val="00247BAE"/>
    <w:rPr>
      <w:rFonts w:ascii="Tahoma" w:hAnsi="Tahoma"/>
      <w:sz w:val="16"/>
      <w:szCs w:val="16"/>
    </w:rPr>
  </w:style>
  <w:style w:type="paragraph" w:styleId="Footer">
    <w:name w:val="footer"/>
    <w:basedOn w:val="Normal"/>
    <w:rsid w:val="00BF1887"/>
    <w:pPr>
      <w:tabs>
        <w:tab w:val="center" w:pos="4153"/>
        <w:tab w:val="right" w:pos="8306"/>
      </w:tabs>
    </w:pPr>
  </w:style>
  <w:style w:type="paragraph" w:styleId="Revision">
    <w:name w:val="Revision"/>
    <w:hidden/>
    <w:uiPriority w:val="99"/>
    <w:semiHidden/>
    <w:rsid w:val="00010CF7"/>
    <w:rPr>
      <w:sz w:val="24"/>
      <w:szCs w:val="24"/>
      <w:lang w:val="en-GB" w:eastAsia="en-US"/>
    </w:rPr>
  </w:style>
  <w:style w:type="character" w:customStyle="1" w:styleId="HeaderChar">
    <w:name w:val="Header Char"/>
    <w:link w:val="Header"/>
    <w:uiPriority w:val="99"/>
    <w:rsid w:val="00010CF7"/>
    <w:rPr>
      <w:sz w:val="24"/>
      <w:lang w:val="en-GB"/>
    </w:rPr>
  </w:style>
  <w:style w:type="character" w:styleId="CommentReference">
    <w:name w:val="annotation reference"/>
    <w:rsid w:val="005976FB"/>
    <w:rPr>
      <w:sz w:val="16"/>
      <w:szCs w:val="16"/>
    </w:rPr>
  </w:style>
  <w:style w:type="paragraph" w:styleId="CommentText">
    <w:name w:val="annotation text"/>
    <w:basedOn w:val="Normal"/>
    <w:link w:val="CommentTextChar"/>
    <w:rsid w:val="005976FB"/>
    <w:rPr>
      <w:sz w:val="20"/>
      <w:szCs w:val="20"/>
    </w:rPr>
  </w:style>
  <w:style w:type="character" w:customStyle="1" w:styleId="CommentTextChar">
    <w:name w:val="Comment Text Char"/>
    <w:link w:val="CommentText"/>
    <w:rsid w:val="005976FB"/>
    <w:rPr>
      <w:lang w:eastAsia="en-US"/>
    </w:rPr>
  </w:style>
  <w:style w:type="paragraph" w:styleId="CommentSubject">
    <w:name w:val="annotation subject"/>
    <w:basedOn w:val="CommentText"/>
    <w:next w:val="CommentText"/>
    <w:link w:val="CommentSubjectChar"/>
    <w:rsid w:val="005976FB"/>
    <w:rPr>
      <w:b/>
      <w:bCs/>
    </w:rPr>
  </w:style>
  <w:style w:type="character" w:customStyle="1" w:styleId="CommentSubjectChar">
    <w:name w:val="Comment Subject Char"/>
    <w:link w:val="CommentSubject"/>
    <w:rsid w:val="005976FB"/>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352095">
      <w:bodyDiv w:val="1"/>
      <w:marLeft w:val="0"/>
      <w:marRight w:val="0"/>
      <w:marTop w:val="0"/>
      <w:marBottom w:val="0"/>
      <w:divBdr>
        <w:top w:val="none" w:sz="0" w:space="0" w:color="auto"/>
        <w:left w:val="none" w:sz="0" w:space="0" w:color="auto"/>
        <w:bottom w:val="none" w:sz="0" w:space="0" w:color="auto"/>
        <w:right w:val="none" w:sz="0" w:space="0" w:color="auto"/>
      </w:divBdr>
    </w:div>
    <w:div w:id="418141277">
      <w:bodyDiv w:val="1"/>
      <w:marLeft w:val="0"/>
      <w:marRight w:val="0"/>
      <w:marTop w:val="0"/>
      <w:marBottom w:val="0"/>
      <w:divBdr>
        <w:top w:val="none" w:sz="0" w:space="0" w:color="auto"/>
        <w:left w:val="none" w:sz="0" w:space="0" w:color="auto"/>
        <w:bottom w:val="none" w:sz="0" w:space="0" w:color="auto"/>
        <w:right w:val="none" w:sz="0" w:space="0" w:color="auto"/>
      </w:divBdr>
    </w:div>
    <w:div w:id="436604737">
      <w:bodyDiv w:val="1"/>
      <w:marLeft w:val="0"/>
      <w:marRight w:val="0"/>
      <w:marTop w:val="0"/>
      <w:marBottom w:val="0"/>
      <w:divBdr>
        <w:top w:val="none" w:sz="0" w:space="0" w:color="auto"/>
        <w:left w:val="none" w:sz="0" w:space="0" w:color="auto"/>
        <w:bottom w:val="none" w:sz="0" w:space="0" w:color="auto"/>
        <w:right w:val="none" w:sz="0" w:space="0" w:color="auto"/>
      </w:divBdr>
    </w:div>
    <w:div w:id="460150382">
      <w:bodyDiv w:val="1"/>
      <w:marLeft w:val="0"/>
      <w:marRight w:val="0"/>
      <w:marTop w:val="0"/>
      <w:marBottom w:val="0"/>
      <w:divBdr>
        <w:top w:val="none" w:sz="0" w:space="0" w:color="auto"/>
        <w:left w:val="none" w:sz="0" w:space="0" w:color="auto"/>
        <w:bottom w:val="none" w:sz="0" w:space="0" w:color="auto"/>
        <w:right w:val="none" w:sz="0" w:space="0" w:color="auto"/>
      </w:divBdr>
    </w:div>
    <w:div w:id="490214164">
      <w:bodyDiv w:val="1"/>
      <w:marLeft w:val="0"/>
      <w:marRight w:val="0"/>
      <w:marTop w:val="0"/>
      <w:marBottom w:val="0"/>
      <w:divBdr>
        <w:top w:val="none" w:sz="0" w:space="0" w:color="auto"/>
        <w:left w:val="none" w:sz="0" w:space="0" w:color="auto"/>
        <w:bottom w:val="none" w:sz="0" w:space="0" w:color="auto"/>
        <w:right w:val="none" w:sz="0" w:space="0" w:color="auto"/>
      </w:divBdr>
    </w:div>
    <w:div w:id="578907828">
      <w:bodyDiv w:val="1"/>
      <w:marLeft w:val="0"/>
      <w:marRight w:val="0"/>
      <w:marTop w:val="0"/>
      <w:marBottom w:val="0"/>
      <w:divBdr>
        <w:top w:val="none" w:sz="0" w:space="0" w:color="auto"/>
        <w:left w:val="none" w:sz="0" w:space="0" w:color="auto"/>
        <w:bottom w:val="none" w:sz="0" w:space="0" w:color="auto"/>
        <w:right w:val="none" w:sz="0" w:space="0" w:color="auto"/>
      </w:divBdr>
    </w:div>
    <w:div w:id="700134836">
      <w:bodyDiv w:val="1"/>
      <w:marLeft w:val="0"/>
      <w:marRight w:val="0"/>
      <w:marTop w:val="0"/>
      <w:marBottom w:val="0"/>
      <w:divBdr>
        <w:top w:val="none" w:sz="0" w:space="0" w:color="auto"/>
        <w:left w:val="none" w:sz="0" w:space="0" w:color="auto"/>
        <w:bottom w:val="none" w:sz="0" w:space="0" w:color="auto"/>
        <w:right w:val="none" w:sz="0" w:space="0" w:color="auto"/>
      </w:divBdr>
    </w:div>
    <w:div w:id="806818329">
      <w:bodyDiv w:val="1"/>
      <w:marLeft w:val="0"/>
      <w:marRight w:val="0"/>
      <w:marTop w:val="0"/>
      <w:marBottom w:val="0"/>
      <w:divBdr>
        <w:top w:val="none" w:sz="0" w:space="0" w:color="auto"/>
        <w:left w:val="none" w:sz="0" w:space="0" w:color="auto"/>
        <w:bottom w:val="none" w:sz="0" w:space="0" w:color="auto"/>
        <w:right w:val="none" w:sz="0" w:space="0" w:color="auto"/>
      </w:divBdr>
    </w:div>
    <w:div w:id="822165804">
      <w:bodyDiv w:val="1"/>
      <w:marLeft w:val="0"/>
      <w:marRight w:val="0"/>
      <w:marTop w:val="0"/>
      <w:marBottom w:val="0"/>
      <w:divBdr>
        <w:top w:val="none" w:sz="0" w:space="0" w:color="auto"/>
        <w:left w:val="none" w:sz="0" w:space="0" w:color="auto"/>
        <w:bottom w:val="none" w:sz="0" w:space="0" w:color="auto"/>
        <w:right w:val="none" w:sz="0" w:space="0" w:color="auto"/>
      </w:divBdr>
    </w:div>
    <w:div w:id="992442770">
      <w:bodyDiv w:val="1"/>
      <w:marLeft w:val="0"/>
      <w:marRight w:val="0"/>
      <w:marTop w:val="0"/>
      <w:marBottom w:val="0"/>
      <w:divBdr>
        <w:top w:val="none" w:sz="0" w:space="0" w:color="auto"/>
        <w:left w:val="none" w:sz="0" w:space="0" w:color="auto"/>
        <w:bottom w:val="none" w:sz="0" w:space="0" w:color="auto"/>
        <w:right w:val="none" w:sz="0" w:space="0" w:color="auto"/>
      </w:divBdr>
    </w:div>
    <w:div w:id="999893276">
      <w:bodyDiv w:val="1"/>
      <w:marLeft w:val="0"/>
      <w:marRight w:val="0"/>
      <w:marTop w:val="0"/>
      <w:marBottom w:val="0"/>
      <w:divBdr>
        <w:top w:val="none" w:sz="0" w:space="0" w:color="auto"/>
        <w:left w:val="none" w:sz="0" w:space="0" w:color="auto"/>
        <w:bottom w:val="none" w:sz="0" w:space="0" w:color="auto"/>
        <w:right w:val="none" w:sz="0" w:space="0" w:color="auto"/>
      </w:divBdr>
    </w:div>
    <w:div w:id="1101219675">
      <w:bodyDiv w:val="1"/>
      <w:marLeft w:val="0"/>
      <w:marRight w:val="0"/>
      <w:marTop w:val="0"/>
      <w:marBottom w:val="0"/>
      <w:divBdr>
        <w:top w:val="none" w:sz="0" w:space="0" w:color="auto"/>
        <w:left w:val="none" w:sz="0" w:space="0" w:color="auto"/>
        <w:bottom w:val="none" w:sz="0" w:space="0" w:color="auto"/>
        <w:right w:val="none" w:sz="0" w:space="0" w:color="auto"/>
      </w:divBdr>
    </w:div>
    <w:div w:id="1128085199">
      <w:bodyDiv w:val="1"/>
      <w:marLeft w:val="0"/>
      <w:marRight w:val="0"/>
      <w:marTop w:val="0"/>
      <w:marBottom w:val="0"/>
      <w:divBdr>
        <w:top w:val="none" w:sz="0" w:space="0" w:color="auto"/>
        <w:left w:val="none" w:sz="0" w:space="0" w:color="auto"/>
        <w:bottom w:val="none" w:sz="0" w:space="0" w:color="auto"/>
        <w:right w:val="none" w:sz="0" w:space="0" w:color="auto"/>
      </w:divBdr>
    </w:div>
    <w:div w:id="1308508721">
      <w:bodyDiv w:val="1"/>
      <w:marLeft w:val="0"/>
      <w:marRight w:val="0"/>
      <w:marTop w:val="0"/>
      <w:marBottom w:val="0"/>
      <w:divBdr>
        <w:top w:val="none" w:sz="0" w:space="0" w:color="auto"/>
        <w:left w:val="none" w:sz="0" w:space="0" w:color="auto"/>
        <w:bottom w:val="none" w:sz="0" w:space="0" w:color="auto"/>
        <w:right w:val="none" w:sz="0" w:space="0" w:color="auto"/>
      </w:divBdr>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
    <w:div w:id="1317609373">
      <w:bodyDiv w:val="1"/>
      <w:marLeft w:val="0"/>
      <w:marRight w:val="0"/>
      <w:marTop w:val="0"/>
      <w:marBottom w:val="0"/>
      <w:divBdr>
        <w:top w:val="none" w:sz="0" w:space="0" w:color="auto"/>
        <w:left w:val="none" w:sz="0" w:space="0" w:color="auto"/>
        <w:bottom w:val="none" w:sz="0" w:space="0" w:color="auto"/>
        <w:right w:val="none" w:sz="0" w:space="0" w:color="auto"/>
      </w:divBdr>
    </w:div>
    <w:div w:id="1364943135">
      <w:bodyDiv w:val="1"/>
      <w:marLeft w:val="0"/>
      <w:marRight w:val="0"/>
      <w:marTop w:val="0"/>
      <w:marBottom w:val="0"/>
      <w:divBdr>
        <w:top w:val="none" w:sz="0" w:space="0" w:color="auto"/>
        <w:left w:val="none" w:sz="0" w:space="0" w:color="auto"/>
        <w:bottom w:val="none" w:sz="0" w:space="0" w:color="auto"/>
        <w:right w:val="none" w:sz="0" w:space="0" w:color="auto"/>
      </w:divBdr>
    </w:div>
    <w:div w:id="1390034946">
      <w:bodyDiv w:val="1"/>
      <w:marLeft w:val="0"/>
      <w:marRight w:val="0"/>
      <w:marTop w:val="0"/>
      <w:marBottom w:val="0"/>
      <w:divBdr>
        <w:top w:val="none" w:sz="0" w:space="0" w:color="auto"/>
        <w:left w:val="none" w:sz="0" w:space="0" w:color="auto"/>
        <w:bottom w:val="none" w:sz="0" w:space="0" w:color="auto"/>
        <w:right w:val="none" w:sz="0" w:space="0" w:color="auto"/>
      </w:divBdr>
    </w:div>
    <w:div w:id="1402099129">
      <w:bodyDiv w:val="1"/>
      <w:marLeft w:val="0"/>
      <w:marRight w:val="0"/>
      <w:marTop w:val="0"/>
      <w:marBottom w:val="0"/>
      <w:divBdr>
        <w:top w:val="none" w:sz="0" w:space="0" w:color="auto"/>
        <w:left w:val="none" w:sz="0" w:space="0" w:color="auto"/>
        <w:bottom w:val="none" w:sz="0" w:space="0" w:color="auto"/>
        <w:right w:val="none" w:sz="0" w:space="0" w:color="auto"/>
      </w:divBdr>
    </w:div>
    <w:div w:id="1431779484">
      <w:bodyDiv w:val="1"/>
      <w:marLeft w:val="0"/>
      <w:marRight w:val="0"/>
      <w:marTop w:val="0"/>
      <w:marBottom w:val="0"/>
      <w:divBdr>
        <w:top w:val="none" w:sz="0" w:space="0" w:color="auto"/>
        <w:left w:val="none" w:sz="0" w:space="0" w:color="auto"/>
        <w:bottom w:val="none" w:sz="0" w:space="0" w:color="auto"/>
        <w:right w:val="none" w:sz="0" w:space="0" w:color="auto"/>
      </w:divBdr>
    </w:div>
    <w:div w:id="1558008043">
      <w:bodyDiv w:val="1"/>
      <w:marLeft w:val="0"/>
      <w:marRight w:val="0"/>
      <w:marTop w:val="0"/>
      <w:marBottom w:val="0"/>
      <w:divBdr>
        <w:top w:val="none" w:sz="0" w:space="0" w:color="auto"/>
        <w:left w:val="none" w:sz="0" w:space="0" w:color="auto"/>
        <w:bottom w:val="none" w:sz="0" w:space="0" w:color="auto"/>
        <w:right w:val="none" w:sz="0" w:space="0" w:color="auto"/>
      </w:divBdr>
    </w:div>
    <w:div w:id="1664430558">
      <w:bodyDiv w:val="1"/>
      <w:marLeft w:val="0"/>
      <w:marRight w:val="0"/>
      <w:marTop w:val="0"/>
      <w:marBottom w:val="0"/>
      <w:divBdr>
        <w:top w:val="none" w:sz="0" w:space="0" w:color="auto"/>
        <w:left w:val="none" w:sz="0" w:space="0" w:color="auto"/>
        <w:bottom w:val="none" w:sz="0" w:space="0" w:color="auto"/>
        <w:right w:val="none" w:sz="0" w:space="0" w:color="auto"/>
      </w:divBdr>
    </w:div>
    <w:div w:id="1826554967">
      <w:bodyDiv w:val="1"/>
      <w:marLeft w:val="0"/>
      <w:marRight w:val="0"/>
      <w:marTop w:val="0"/>
      <w:marBottom w:val="0"/>
      <w:divBdr>
        <w:top w:val="none" w:sz="0" w:space="0" w:color="auto"/>
        <w:left w:val="none" w:sz="0" w:space="0" w:color="auto"/>
        <w:bottom w:val="none" w:sz="0" w:space="0" w:color="auto"/>
        <w:right w:val="none" w:sz="0" w:space="0" w:color="auto"/>
      </w:divBdr>
    </w:div>
    <w:div w:id="1988902259">
      <w:bodyDiv w:val="1"/>
      <w:marLeft w:val="0"/>
      <w:marRight w:val="0"/>
      <w:marTop w:val="0"/>
      <w:marBottom w:val="0"/>
      <w:divBdr>
        <w:top w:val="none" w:sz="0" w:space="0" w:color="auto"/>
        <w:left w:val="none" w:sz="0" w:space="0" w:color="auto"/>
        <w:bottom w:val="none" w:sz="0" w:space="0" w:color="auto"/>
        <w:right w:val="none" w:sz="0" w:space="0" w:color="auto"/>
      </w:divBdr>
    </w:div>
    <w:div w:id="1990556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5730</Words>
  <Characters>3267</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VALSTS  ZĀĻU AĢENTŪRAS</vt:lpstr>
    </vt:vector>
  </TitlesOfParts>
  <Company>Grindeks</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VALSTS  ZĀĻU AĢENTŪRAS</dc:title>
  <dc:creator>Irena Jekabsone</dc:creator>
  <cp:lastModifiedBy>Skaidrīte Lapsenīte</cp:lastModifiedBy>
  <cp:revision>6</cp:revision>
  <dcterms:created xsi:type="dcterms:W3CDTF">2021-03-09T14:11:00Z</dcterms:created>
  <dcterms:modified xsi:type="dcterms:W3CDTF">2021-03-11T09:21:00Z</dcterms:modified>
</cp:coreProperties>
</file>