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F6DA" w14:textId="77777777" w:rsidR="00CD10AA" w:rsidRPr="009D598D" w:rsidRDefault="00CD10AA" w:rsidP="009D598D">
      <w:pPr>
        <w:spacing w:line="240" w:lineRule="auto"/>
        <w:jc w:val="center"/>
        <w:rPr>
          <w:color w:val="000000"/>
          <w:szCs w:val="22"/>
        </w:rPr>
      </w:pPr>
      <w:r w:rsidRPr="009D598D">
        <w:rPr>
          <w:b/>
          <w:color w:val="000000"/>
          <w:szCs w:val="22"/>
        </w:rPr>
        <w:t>ZĀĻU APRAKSTS</w:t>
      </w:r>
    </w:p>
    <w:p w14:paraId="077AC3B8" w14:textId="77777777" w:rsidR="008871B0" w:rsidRPr="009D598D" w:rsidRDefault="008871B0" w:rsidP="009D598D">
      <w:pPr>
        <w:spacing w:line="240" w:lineRule="auto"/>
        <w:jc w:val="both"/>
        <w:rPr>
          <w:color w:val="000000"/>
          <w:szCs w:val="22"/>
        </w:rPr>
      </w:pPr>
    </w:p>
    <w:p w14:paraId="0BB31801" w14:textId="77777777" w:rsidR="00EA59EE" w:rsidRPr="009D598D" w:rsidRDefault="00EA59EE" w:rsidP="009D598D">
      <w:pPr>
        <w:spacing w:line="240" w:lineRule="auto"/>
        <w:jc w:val="both"/>
        <w:rPr>
          <w:color w:val="000000"/>
          <w:szCs w:val="22"/>
        </w:rPr>
      </w:pPr>
    </w:p>
    <w:p w14:paraId="70AC8DA4" w14:textId="77777777" w:rsidR="00CD10AA" w:rsidRPr="009D598D" w:rsidRDefault="00CD10AA" w:rsidP="009D598D">
      <w:pPr>
        <w:spacing w:line="240" w:lineRule="auto"/>
        <w:jc w:val="both"/>
        <w:rPr>
          <w:b/>
          <w:color w:val="000000"/>
          <w:szCs w:val="22"/>
        </w:rPr>
      </w:pPr>
      <w:r w:rsidRPr="009D598D">
        <w:rPr>
          <w:b/>
          <w:color w:val="000000"/>
          <w:szCs w:val="22"/>
        </w:rPr>
        <w:t>1.</w:t>
      </w:r>
      <w:r w:rsidRPr="009D598D">
        <w:rPr>
          <w:b/>
          <w:color w:val="000000"/>
          <w:szCs w:val="22"/>
        </w:rPr>
        <w:tab/>
        <w:t>ZĀĻU NOSAUKUMS</w:t>
      </w:r>
    </w:p>
    <w:p w14:paraId="26C2BE05" w14:textId="77777777" w:rsidR="00EA59EE" w:rsidRPr="009D598D" w:rsidRDefault="00EA59EE" w:rsidP="009D598D">
      <w:pPr>
        <w:pStyle w:val="Default"/>
        <w:jc w:val="both"/>
        <w:rPr>
          <w:b/>
          <w:bCs/>
          <w:sz w:val="22"/>
          <w:szCs w:val="22"/>
          <w:lang w:val="lv-LV"/>
        </w:rPr>
      </w:pPr>
    </w:p>
    <w:p w14:paraId="18009FF5" w14:textId="77777777" w:rsidR="00A1306B" w:rsidRPr="009D598D" w:rsidRDefault="00A1306B" w:rsidP="009D598D">
      <w:pPr>
        <w:pStyle w:val="Default"/>
        <w:jc w:val="both"/>
        <w:rPr>
          <w:b/>
          <w:sz w:val="22"/>
          <w:szCs w:val="22"/>
          <w:lang w:val="lv-LV"/>
        </w:rPr>
      </w:pPr>
      <w:r w:rsidRPr="009D598D">
        <w:rPr>
          <w:b/>
          <w:bCs/>
          <w:sz w:val="22"/>
          <w:szCs w:val="22"/>
          <w:lang w:val="lv-LV"/>
        </w:rPr>
        <w:t>Grippostad C</w:t>
      </w:r>
      <w:r w:rsidRPr="009D598D">
        <w:rPr>
          <w:b/>
          <w:sz w:val="22"/>
          <w:szCs w:val="22"/>
          <w:lang w:val="lv-LV"/>
        </w:rPr>
        <w:t xml:space="preserve"> cietās kapsulas</w:t>
      </w:r>
    </w:p>
    <w:p w14:paraId="6B05412F" w14:textId="77777777" w:rsidR="00CD10AA" w:rsidRPr="009D598D" w:rsidRDefault="00CD10AA" w:rsidP="009D598D">
      <w:pPr>
        <w:spacing w:line="240" w:lineRule="auto"/>
        <w:jc w:val="both"/>
        <w:rPr>
          <w:color w:val="000000"/>
          <w:szCs w:val="22"/>
        </w:rPr>
      </w:pPr>
    </w:p>
    <w:p w14:paraId="43A29758" w14:textId="77777777" w:rsidR="00EA59EE" w:rsidRPr="009D598D" w:rsidRDefault="00EA59EE" w:rsidP="009D598D">
      <w:pPr>
        <w:spacing w:line="240" w:lineRule="auto"/>
        <w:jc w:val="both"/>
        <w:rPr>
          <w:color w:val="000000"/>
          <w:szCs w:val="22"/>
        </w:rPr>
      </w:pPr>
    </w:p>
    <w:p w14:paraId="4F94DAC4" w14:textId="77777777" w:rsidR="00CD10AA" w:rsidRPr="009D598D" w:rsidRDefault="00CD10AA" w:rsidP="009D598D">
      <w:pPr>
        <w:spacing w:line="240" w:lineRule="auto"/>
        <w:jc w:val="both"/>
        <w:rPr>
          <w:b/>
          <w:color w:val="000000"/>
          <w:szCs w:val="22"/>
        </w:rPr>
      </w:pPr>
      <w:r w:rsidRPr="009D598D">
        <w:rPr>
          <w:b/>
          <w:color w:val="000000"/>
          <w:szCs w:val="22"/>
        </w:rPr>
        <w:t>2.</w:t>
      </w:r>
      <w:r w:rsidRPr="009D598D">
        <w:rPr>
          <w:b/>
          <w:color w:val="000000"/>
          <w:szCs w:val="22"/>
        </w:rPr>
        <w:tab/>
        <w:t>KVALITATĪVAIS UN KVANTITATĪVAIS SASTĀVS</w:t>
      </w:r>
    </w:p>
    <w:p w14:paraId="1C997C34" w14:textId="77777777" w:rsidR="00EA59EE" w:rsidRPr="009D598D" w:rsidRDefault="00EA59EE" w:rsidP="009D598D">
      <w:pPr>
        <w:pStyle w:val="CM8"/>
        <w:spacing w:after="0"/>
        <w:jc w:val="both"/>
        <w:rPr>
          <w:color w:val="000000"/>
          <w:sz w:val="22"/>
          <w:szCs w:val="22"/>
          <w:lang w:val="lv-LV"/>
        </w:rPr>
      </w:pPr>
    </w:p>
    <w:p w14:paraId="473E990D"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Katra cietā kapsula satur 200 mg paracetamola (</w:t>
      </w:r>
      <w:r w:rsidRPr="009D598D">
        <w:rPr>
          <w:i/>
          <w:iCs/>
          <w:color w:val="000000"/>
          <w:sz w:val="22"/>
          <w:szCs w:val="22"/>
          <w:lang w:val="lv-LV"/>
        </w:rPr>
        <w:t>Paracetamolum</w:t>
      </w:r>
      <w:r w:rsidRPr="009D598D">
        <w:rPr>
          <w:color w:val="000000"/>
          <w:sz w:val="22"/>
          <w:szCs w:val="22"/>
          <w:lang w:val="lv-LV"/>
        </w:rPr>
        <w:t>), 150 mg askorbīnskābes (</w:t>
      </w:r>
      <w:r w:rsidRPr="009D598D">
        <w:rPr>
          <w:i/>
          <w:iCs/>
          <w:color w:val="000000"/>
          <w:sz w:val="22"/>
          <w:szCs w:val="22"/>
          <w:lang w:val="lv-LV"/>
        </w:rPr>
        <w:t>Acidum ascorbicum</w:t>
      </w:r>
      <w:r w:rsidRPr="009D598D">
        <w:rPr>
          <w:color w:val="000000"/>
          <w:sz w:val="22"/>
          <w:szCs w:val="22"/>
          <w:lang w:val="lv-LV"/>
        </w:rPr>
        <w:t>), 25 mg kofeīna (</w:t>
      </w:r>
      <w:r w:rsidRPr="009D598D">
        <w:rPr>
          <w:i/>
          <w:iCs/>
          <w:color w:val="000000"/>
          <w:sz w:val="22"/>
          <w:szCs w:val="22"/>
          <w:lang w:val="lv-LV"/>
        </w:rPr>
        <w:t>Coffeinum</w:t>
      </w:r>
      <w:r w:rsidRPr="009D598D">
        <w:rPr>
          <w:color w:val="000000"/>
          <w:sz w:val="22"/>
          <w:szCs w:val="22"/>
          <w:lang w:val="lv-LV"/>
        </w:rPr>
        <w:t>) un 2,5 mg hlorfenamīna maleāta (</w:t>
      </w:r>
      <w:r w:rsidRPr="009D598D">
        <w:rPr>
          <w:i/>
          <w:iCs/>
          <w:color w:val="000000"/>
          <w:sz w:val="22"/>
          <w:szCs w:val="22"/>
          <w:lang w:val="lv-LV"/>
        </w:rPr>
        <w:t>Chlorphenamini maleas</w:t>
      </w:r>
      <w:r w:rsidRPr="009D598D">
        <w:rPr>
          <w:color w:val="000000"/>
          <w:sz w:val="22"/>
          <w:szCs w:val="22"/>
          <w:lang w:val="lv-LV"/>
        </w:rPr>
        <w:t>).</w:t>
      </w:r>
    </w:p>
    <w:p w14:paraId="47827079" w14:textId="77777777" w:rsidR="00CD10AA" w:rsidRPr="009D598D" w:rsidRDefault="00CD10AA" w:rsidP="009D598D">
      <w:pPr>
        <w:spacing w:line="240" w:lineRule="auto"/>
        <w:jc w:val="both"/>
        <w:rPr>
          <w:color w:val="000000"/>
          <w:szCs w:val="22"/>
        </w:rPr>
      </w:pPr>
    </w:p>
    <w:p w14:paraId="7221A93F" w14:textId="77777777" w:rsidR="00A1306B" w:rsidRPr="009D598D" w:rsidRDefault="00CD10AA" w:rsidP="009D598D">
      <w:pPr>
        <w:pStyle w:val="CM8"/>
        <w:spacing w:after="0"/>
        <w:jc w:val="both"/>
        <w:rPr>
          <w:color w:val="000000"/>
          <w:sz w:val="22"/>
          <w:szCs w:val="22"/>
          <w:lang w:val="lv-LV"/>
        </w:rPr>
      </w:pPr>
      <w:r w:rsidRPr="009D598D">
        <w:rPr>
          <w:color w:val="000000"/>
          <w:sz w:val="22"/>
          <w:szCs w:val="22"/>
          <w:u w:val="single"/>
          <w:lang w:val="lv-LV"/>
        </w:rPr>
        <w:t>Palīgviela</w:t>
      </w:r>
      <w:r w:rsidR="007240AA" w:rsidRPr="009D598D">
        <w:rPr>
          <w:color w:val="000000"/>
          <w:sz w:val="22"/>
          <w:szCs w:val="22"/>
          <w:u w:val="single"/>
          <w:lang w:val="lv-LV"/>
        </w:rPr>
        <w:t xml:space="preserve"> ar zināmu iedarbību</w:t>
      </w:r>
      <w:r w:rsidR="003F45AD" w:rsidRPr="009D598D">
        <w:rPr>
          <w:color w:val="000000"/>
          <w:sz w:val="22"/>
          <w:szCs w:val="22"/>
          <w:u w:val="single"/>
          <w:lang w:val="lv-LV"/>
        </w:rPr>
        <w:t>:</w:t>
      </w:r>
      <w:r w:rsidR="00A1306B" w:rsidRPr="009D598D">
        <w:rPr>
          <w:color w:val="000000"/>
          <w:sz w:val="22"/>
          <w:szCs w:val="22"/>
          <w:u w:val="single"/>
          <w:lang w:val="lv-LV"/>
        </w:rPr>
        <w:t xml:space="preserve"> </w:t>
      </w:r>
      <w:r w:rsidR="00A1306B" w:rsidRPr="009D598D">
        <w:rPr>
          <w:color w:val="000000"/>
          <w:sz w:val="22"/>
          <w:szCs w:val="22"/>
          <w:lang w:val="lv-LV"/>
        </w:rPr>
        <w:t>Katra cietā kapsula satur 2,5 mg laktozes monohidrāta.</w:t>
      </w:r>
    </w:p>
    <w:p w14:paraId="1066C72E" w14:textId="77777777" w:rsidR="003F45AD" w:rsidRPr="009D598D" w:rsidRDefault="003F45AD" w:rsidP="009D598D">
      <w:pPr>
        <w:pStyle w:val="EMEAEnBodyText"/>
        <w:autoSpaceDE w:val="0"/>
        <w:autoSpaceDN w:val="0"/>
        <w:adjustRightInd w:val="0"/>
        <w:spacing w:before="0" w:after="0"/>
        <w:rPr>
          <w:color w:val="000000"/>
          <w:szCs w:val="22"/>
          <w:u w:val="single"/>
          <w:lang w:val="lv-LV"/>
        </w:rPr>
      </w:pPr>
    </w:p>
    <w:p w14:paraId="51F3FBC3" w14:textId="77777777" w:rsidR="00CD10AA" w:rsidRPr="009D598D" w:rsidRDefault="00CD10AA" w:rsidP="009D598D">
      <w:pPr>
        <w:spacing w:line="240" w:lineRule="auto"/>
        <w:jc w:val="both"/>
        <w:rPr>
          <w:color w:val="000000"/>
          <w:szCs w:val="22"/>
        </w:rPr>
      </w:pPr>
      <w:r w:rsidRPr="009D598D">
        <w:rPr>
          <w:color w:val="000000"/>
          <w:szCs w:val="22"/>
        </w:rPr>
        <w:t xml:space="preserve">Pilnu palīgvielu sarakstu skatīt </w:t>
      </w:r>
      <w:r w:rsidR="0020587A" w:rsidRPr="009D598D">
        <w:rPr>
          <w:color w:val="000000"/>
          <w:szCs w:val="22"/>
        </w:rPr>
        <w:t>6.1</w:t>
      </w:r>
      <w:r w:rsidR="00F41868" w:rsidRPr="009D598D">
        <w:rPr>
          <w:color w:val="000000"/>
          <w:szCs w:val="22"/>
        </w:rPr>
        <w:t>.</w:t>
      </w:r>
      <w:r w:rsidR="0020587A" w:rsidRPr="009D598D">
        <w:rPr>
          <w:color w:val="000000"/>
          <w:szCs w:val="22"/>
        </w:rPr>
        <w:t xml:space="preserve"> </w:t>
      </w:r>
      <w:r w:rsidRPr="009D598D">
        <w:rPr>
          <w:color w:val="000000"/>
          <w:szCs w:val="22"/>
        </w:rPr>
        <w:t>apakšpunktā</w:t>
      </w:r>
      <w:r w:rsidR="0020587A" w:rsidRPr="009D598D">
        <w:rPr>
          <w:color w:val="000000"/>
          <w:szCs w:val="22"/>
        </w:rPr>
        <w:t>.</w:t>
      </w:r>
    </w:p>
    <w:p w14:paraId="180E4FB1" w14:textId="77777777" w:rsidR="00CD10AA" w:rsidRPr="009D598D" w:rsidRDefault="00CD10AA" w:rsidP="009D598D">
      <w:pPr>
        <w:spacing w:line="240" w:lineRule="auto"/>
        <w:jc w:val="both"/>
        <w:rPr>
          <w:color w:val="000000"/>
          <w:szCs w:val="22"/>
        </w:rPr>
      </w:pPr>
    </w:p>
    <w:p w14:paraId="781409B2" w14:textId="77777777" w:rsidR="00EA59EE" w:rsidRPr="009D598D" w:rsidRDefault="00EA59EE" w:rsidP="009D598D">
      <w:pPr>
        <w:spacing w:line="240" w:lineRule="auto"/>
        <w:jc w:val="both"/>
        <w:rPr>
          <w:color w:val="000000"/>
          <w:szCs w:val="22"/>
        </w:rPr>
      </w:pPr>
    </w:p>
    <w:p w14:paraId="33C4EE0C" w14:textId="77777777" w:rsidR="00CD10AA" w:rsidRPr="009D598D" w:rsidRDefault="00CD10AA" w:rsidP="009D598D">
      <w:pPr>
        <w:spacing w:line="240" w:lineRule="auto"/>
        <w:jc w:val="both"/>
        <w:rPr>
          <w:b/>
          <w:caps/>
          <w:color w:val="000000"/>
          <w:szCs w:val="22"/>
        </w:rPr>
      </w:pPr>
      <w:r w:rsidRPr="009D598D">
        <w:rPr>
          <w:b/>
          <w:color w:val="000000"/>
          <w:szCs w:val="22"/>
        </w:rPr>
        <w:t>3.</w:t>
      </w:r>
      <w:r w:rsidRPr="009D598D">
        <w:rPr>
          <w:b/>
          <w:color w:val="000000"/>
          <w:szCs w:val="22"/>
        </w:rPr>
        <w:tab/>
        <w:t>ZĀĻU FORMA</w:t>
      </w:r>
    </w:p>
    <w:p w14:paraId="24ED09EB" w14:textId="77777777" w:rsidR="00EA59EE" w:rsidRPr="009D598D" w:rsidRDefault="00EA59EE" w:rsidP="009D598D">
      <w:pPr>
        <w:pStyle w:val="CM8"/>
        <w:spacing w:after="0"/>
        <w:jc w:val="both"/>
        <w:rPr>
          <w:color w:val="000000"/>
          <w:sz w:val="22"/>
          <w:szCs w:val="22"/>
          <w:lang w:val="lv-LV"/>
        </w:rPr>
      </w:pPr>
    </w:p>
    <w:p w14:paraId="34A241C1"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Cietā kapsula</w:t>
      </w:r>
      <w:r w:rsidR="00EA59EE" w:rsidRPr="009D598D">
        <w:rPr>
          <w:color w:val="000000"/>
          <w:sz w:val="22"/>
          <w:szCs w:val="22"/>
          <w:lang w:val="lv-LV"/>
        </w:rPr>
        <w:t xml:space="preserve"> (kapsula)</w:t>
      </w:r>
      <w:r w:rsidRPr="009D598D">
        <w:rPr>
          <w:color w:val="000000"/>
          <w:sz w:val="22"/>
          <w:szCs w:val="22"/>
          <w:lang w:val="lv-LV"/>
        </w:rPr>
        <w:t>.</w:t>
      </w:r>
    </w:p>
    <w:p w14:paraId="4FC16A98" w14:textId="77777777" w:rsidR="00EA59EE" w:rsidRPr="009D598D" w:rsidRDefault="00EA59EE" w:rsidP="009D598D">
      <w:pPr>
        <w:pStyle w:val="Default"/>
        <w:rPr>
          <w:sz w:val="22"/>
          <w:szCs w:val="22"/>
          <w:lang w:val="lv-LV" w:eastAsia="en-US"/>
        </w:rPr>
      </w:pPr>
    </w:p>
    <w:p w14:paraId="4A232F1F"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Kapsulas augšdaļa (dzeltena) ir gaismas necaurlaidīga. Kapsulas apakšdaļa (balta) ir gaismas necaurlaidīga, kas pildīta ar baltu līdz dzeltenīgu pulveri.</w:t>
      </w:r>
    </w:p>
    <w:p w14:paraId="42D3934D" w14:textId="77777777" w:rsidR="00CD10AA" w:rsidRPr="009D598D" w:rsidRDefault="00CD10AA" w:rsidP="009D598D">
      <w:pPr>
        <w:spacing w:line="240" w:lineRule="auto"/>
        <w:jc w:val="both"/>
        <w:rPr>
          <w:color w:val="000000"/>
          <w:szCs w:val="22"/>
        </w:rPr>
      </w:pPr>
    </w:p>
    <w:p w14:paraId="49C6BF0C" w14:textId="77777777" w:rsidR="00EA59EE" w:rsidRPr="009D598D" w:rsidRDefault="00EA59EE" w:rsidP="009D598D">
      <w:pPr>
        <w:spacing w:line="240" w:lineRule="auto"/>
        <w:jc w:val="both"/>
        <w:rPr>
          <w:color w:val="000000"/>
          <w:szCs w:val="22"/>
        </w:rPr>
      </w:pPr>
    </w:p>
    <w:p w14:paraId="689C1389" w14:textId="77777777" w:rsidR="00CD10AA" w:rsidRPr="009D598D" w:rsidRDefault="00CD10AA" w:rsidP="009D598D">
      <w:pPr>
        <w:tabs>
          <w:tab w:val="clear" w:pos="567"/>
        </w:tabs>
        <w:spacing w:line="240" w:lineRule="auto"/>
        <w:jc w:val="both"/>
        <w:rPr>
          <w:b/>
          <w:color w:val="000000"/>
          <w:szCs w:val="22"/>
        </w:rPr>
      </w:pPr>
      <w:r w:rsidRPr="009D598D">
        <w:rPr>
          <w:b/>
          <w:caps/>
          <w:color w:val="000000"/>
          <w:szCs w:val="22"/>
        </w:rPr>
        <w:t>4.</w:t>
      </w:r>
      <w:r w:rsidRPr="009D598D">
        <w:rPr>
          <w:b/>
          <w:caps/>
          <w:color w:val="000000"/>
          <w:szCs w:val="22"/>
        </w:rPr>
        <w:tab/>
        <w:t>KLĪNISKĀ INFORMĀCIJA</w:t>
      </w:r>
    </w:p>
    <w:p w14:paraId="46A6695A" w14:textId="77777777" w:rsidR="00EA59EE" w:rsidRPr="009D598D" w:rsidRDefault="00EA59EE" w:rsidP="009D598D">
      <w:pPr>
        <w:tabs>
          <w:tab w:val="clear" w:pos="567"/>
        </w:tabs>
        <w:spacing w:line="240" w:lineRule="auto"/>
        <w:jc w:val="both"/>
        <w:rPr>
          <w:b/>
          <w:color w:val="000000"/>
          <w:szCs w:val="22"/>
        </w:rPr>
      </w:pPr>
    </w:p>
    <w:p w14:paraId="792481D3" w14:textId="77777777" w:rsidR="0034439F" w:rsidRPr="009D598D" w:rsidRDefault="00CD10AA" w:rsidP="009D598D">
      <w:pPr>
        <w:tabs>
          <w:tab w:val="clear" w:pos="567"/>
        </w:tabs>
        <w:spacing w:line="240" w:lineRule="auto"/>
        <w:jc w:val="both"/>
        <w:rPr>
          <w:color w:val="000000"/>
          <w:szCs w:val="22"/>
        </w:rPr>
      </w:pPr>
      <w:r w:rsidRPr="009D598D">
        <w:rPr>
          <w:b/>
          <w:color w:val="000000"/>
          <w:szCs w:val="22"/>
        </w:rPr>
        <w:t>4.1</w:t>
      </w:r>
      <w:r w:rsidR="003B0FF0" w:rsidRPr="009D598D">
        <w:rPr>
          <w:b/>
          <w:color w:val="000000"/>
          <w:szCs w:val="22"/>
        </w:rPr>
        <w:t>.</w:t>
      </w:r>
      <w:r w:rsidRPr="009D598D">
        <w:rPr>
          <w:b/>
          <w:color w:val="000000"/>
          <w:szCs w:val="22"/>
        </w:rPr>
        <w:tab/>
        <w:t>Terapeitiskās indikācijas</w:t>
      </w:r>
    </w:p>
    <w:p w14:paraId="08957D95" w14:textId="77777777" w:rsidR="00EA59EE" w:rsidRPr="009D598D" w:rsidRDefault="00EA59EE" w:rsidP="009D598D">
      <w:pPr>
        <w:pStyle w:val="CM8"/>
        <w:spacing w:after="0"/>
        <w:jc w:val="both"/>
        <w:rPr>
          <w:color w:val="000000"/>
          <w:sz w:val="22"/>
          <w:szCs w:val="22"/>
          <w:lang w:val="lv-LV"/>
        </w:rPr>
      </w:pPr>
    </w:p>
    <w:p w14:paraId="69FF6F67"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 xml:space="preserve">Grippostad C ir zāles gripai līdzīgu simptomu un saaukstēšanās </w:t>
      </w:r>
      <w:r w:rsidR="0048605D" w:rsidRPr="009D598D">
        <w:rPr>
          <w:color w:val="000000"/>
          <w:sz w:val="22"/>
          <w:szCs w:val="22"/>
          <w:lang w:val="lv-LV"/>
        </w:rPr>
        <w:t>simptomu mazināšanai</w:t>
      </w:r>
      <w:r w:rsidRPr="009D598D">
        <w:rPr>
          <w:color w:val="000000"/>
          <w:sz w:val="22"/>
          <w:szCs w:val="22"/>
          <w:lang w:val="lv-LV"/>
        </w:rPr>
        <w:t>.</w:t>
      </w:r>
    </w:p>
    <w:p w14:paraId="0761BE0E" w14:textId="77777777" w:rsidR="00A1306B" w:rsidRPr="009D598D" w:rsidRDefault="00A1306B" w:rsidP="009D598D">
      <w:pPr>
        <w:pStyle w:val="Default"/>
        <w:jc w:val="both"/>
        <w:rPr>
          <w:sz w:val="22"/>
          <w:szCs w:val="22"/>
          <w:lang w:val="lv-LV"/>
        </w:rPr>
      </w:pPr>
    </w:p>
    <w:p w14:paraId="4BC4C752"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 xml:space="preserve">Grippostad C lieto ar saaukstēšanos saistītu simptomu (piemēram, galvassāpju un locekļu sāpju, aizlikta deguna, sausa klepus), kas rodas vienlaicīgi, īslaicīgai </w:t>
      </w:r>
      <w:r w:rsidR="005B56A4" w:rsidRPr="009D598D">
        <w:rPr>
          <w:color w:val="000000"/>
          <w:sz w:val="22"/>
          <w:szCs w:val="22"/>
          <w:lang w:val="lv-LV"/>
        </w:rPr>
        <w:t>mazināšanai</w:t>
      </w:r>
      <w:r w:rsidRPr="009D598D">
        <w:rPr>
          <w:color w:val="000000"/>
          <w:sz w:val="22"/>
          <w:szCs w:val="22"/>
          <w:lang w:val="lv-LV"/>
        </w:rPr>
        <w:t>. Grippostad C samazina drudža simptomus un samazina arī ķermeņa temperatūru, ja tas notiek vienlaicīgi ar saaukstēšanās simptomiem.</w:t>
      </w:r>
    </w:p>
    <w:p w14:paraId="571F8362" w14:textId="77777777" w:rsidR="00A1306B" w:rsidRPr="009D598D" w:rsidRDefault="00A1306B" w:rsidP="009D598D">
      <w:pPr>
        <w:pStyle w:val="Default"/>
        <w:jc w:val="both"/>
        <w:rPr>
          <w:sz w:val="22"/>
          <w:szCs w:val="22"/>
          <w:lang w:val="lv-LV"/>
        </w:rPr>
      </w:pPr>
    </w:p>
    <w:p w14:paraId="6F002456"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Tā kā Grippostad C satur fiksētu aktīvo vielu kombināciju, devas nevar pielāgot individuāli kāda no minēto simptomu atsevišķai ārstēšanai. Šajos gadījumos jāizvēlas citas zāles.</w:t>
      </w:r>
    </w:p>
    <w:p w14:paraId="737ED9FF" w14:textId="77777777" w:rsidR="00CD10AA" w:rsidRPr="009D598D" w:rsidRDefault="00CD10AA" w:rsidP="009D598D">
      <w:pPr>
        <w:tabs>
          <w:tab w:val="clear" w:pos="567"/>
        </w:tabs>
        <w:spacing w:line="240" w:lineRule="auto"/>
        <w:jc w:val="both"/>
        <w:rPr>
          <w:color w:val="000000"/>
          <w:szCs w:val="22"/>
        </w:rPr>
      </w:pPr>
    </w:p>
    <w:p w14:paraId="647DF50F"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4.2</w:t>
      </w:r>
      <w:r w:rsidR="00FB475A" w:rsidRPr="009D598D">
        <w:rPr>
          <w:b/>
          <w:color w:val="000000"/>
          <w:szCs w:val="22"/>
        </w:rPr>
        <w:t>.</w:t>
      </w:r>
      <w:r w:rsidRPr="009D598D">
        <w:rPr>
          <w:b/>
          <w:color w:val="000000"/>
          <w:szCs w:val="22"/>
        </w:rPr>
        <w:tab/>
        <w:t>Devas un lietošanas veids</w:t>
      </w:r>
    </w:p>
    <w:p w14:paraId="4F2F302B" w14:textId="77777777" w:rsidR="00EA59EE" w:rsidRPr="009D598D" w:rsidRDefault="00EA59EE" w:rsidP="009D598D">
      <w:pPr>
        <w:pStyle w:val="CM8"/>
        <w:spacing w:after="0"/>
        <w:jc w:val="both"/>
        <w:rPr>
          <w:color w:val="000000"/>
          <w:sz w:val="22"/>
          <w:szCs w:val="22"/>
          <w:lang w:val="lv-LV"/>
        </w:rPr>
      </w:pPr>
    </w:p>
    <w:p w14:paraId="6057B4CA"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Pacientiem un pusaudžiem, kuri vecāki par 12 gadiem jālieto 2 kapsulas trīs reizes dienā.</w:t>
      </w:r>
    </w:p>
    <w:p w14:paraId="1FBF9B0D" w14:textId="77777777" w:rsidR="00A1306B" w:rsidRPr="009D598D" w:rsidRDefault="00A1306B" w:rsidP="009D598D">
      <w:pPr>
        <w:pStyle w:val="Default"/>
        <w:jc w:val="both"/>
        <w:rPr>
          <w:sz w:val="22"/>
          <w:szCs w:val="22"/>
          <w:lang w:val="lv-LV"/>
        </w:rPr>
      </w:pPr>
    </w:p>
    <w:p w14:paraId="14AC0A42"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Simptomiem izzūdot, devu iespējams samazināt līdz vienai kapsulai no rīta, pusdienlaikā un vakarā.</w:t>
      </w:r>
    </w:p>
    <w:p w14:paraId="271232DC" w14:textId="77777777" w:rsidR="00A1306B" w:rsidRPr="009D598D" w:rsidRDefault="00A1306B" w:rsidP="009D598D">
      <w:pPr>
        <w:pStyle w:val="Default"/>
        <w:jc w:val="both"/>
        <w:rPr>
          <w:sz w:val="22"/>
          <w:szCs w:val="22"/>
          <w:lang w:val="lv-LV"/>
        </w:rPr>
      </w:pPr>
    </w:p>
    <w:p w14:paraId="0035F433"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 xml:space="preserve">Pacienti ar aknu un/vai nieru </w:t>
      </w:r>
      <w:r w:rsidR="005B56A4" w:rsidRPr="009D598D">
        <w:rPr>
          <w:color w:val="000000"/>
          <w:sz w:val="22"/>
          <w:szCs w:val="22"/>
          <w:u w:val="single"/>
          <w:lang w:val="lv-LV"/>
        </w:rPr>
        <w:t>darbības traucējumiem</w:t>
      </w:r>
    </w:p>
    <w:p w14:paraId="30E5E693"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Pacientiem ar aknu vai nieru darbības traucējumiem un pacientiem ar Žilbēra sindromu jāsamazina deva vai arī intervālam starp devām jābūt lielākam.</w:t>
      </w:r>
    </w:p>
    <w:p w14:paraId="7ECB6905"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Grippostad C nedrīkst lietot pacienti ar smagu aknu un/vai nieru mazspēju (skatīt 4.3. apakšpunktu).</w:t>
      </w:r>
    </w:p>
    <w:p w14:paraId="5C88E850" w14:textId="77777777" w:rsidR="00A1306B" w:rsidRPr="009D598D" w:rsidRDefault="00A1306B" w:rsidP="009D598D">
      <w:pPr>
        <w:pStyle w:val="Default"/>
        <w:jc w:val="both"/>
        <w:rPr>
          <w:sz w:val="22"/>
          <w:szCs w:val="22"/>
          <w:lang w:val="lv-LV"/>
        </w:rPr>
      </w:pPr>
    </w:p>
    <w:p w14:paraId="0B453CE0" w14:textId="77777777" w:rsidR="00A1306B" w:rsidRPr="009D598D" w:rsidRDefault="00A1306B" w:rsidP="009D598D">
      <w:pPr>
        <w:pStyle w:val="Default"/>
        <w:jc w:val="both"/>
        <w:rPr>
          <w:sz w:val="22"/>
          <w:szCs w:val="22"/>
          <w:u w:val="single"/>
          <w:lang w:val="lv-LV"/>
        </w:rPr>
      </w:pPr>
      <w:r w:rsidRPr="009D598D">
        <w:rPr>
          <w:sz w:val="22"/>
          <w:szCs w:val="22"/>
          <w:u w:val="single"/>
          <w:lang w:val="lv-LV"/>
        </w:rPr>
        <w:t>Pediatriskā populācija</w:t>
      </w:r>
    </w:p>
    <w:p w14:paraId="7A3D21DB" w14:textId="77777777" w:rsidR="00A1306B" w:rsidRPr="009D598D" w:rsidRDefault="00A1306B" w:rsidP="009D598D">
      <w:pPr>
        <w:pStyle w:val="Default"/>
        <w:jc w:val="both"/>
        <w:rPr>
          <w:sz w:val="22"/>
          <w:szCs w:val="22"/>
          <w:lang w:val="lv-LV"/>
        </w:rPr>
      </w:pPr>
      <w:r w:rsidRPr="009D598D">
        <w:rPr>
          <w:sz w:val="22"/>
          <w:szCs w:val="22"/>
          <w:lang w:val="lv-LV"/>
        </w:rPr>
        <w:t>Grippostad C nedrīkst lietot bērni līdz 12 gadu vecumam (skatīt 4.3. apakšpunktu).</w:t>
      </w:r>
    </w:p>
    <w:p w14:paraId="1648CF83" w14:textId="77777777" w:rsidR="00A1306B" w:rsidRPr="009D598D" w:rsidRDefault="00A1306B" w:rsidP="009D598D">
      <w:pPr>
        <w:pStyle w:val="Default"/>
        <w:jc w:val="both"/>
        <w:rPr>
          <w:sz w:val="22"/>
          <w:szCs w:val="22"/>
          <w:lang w:val="lv-LV"/>
        </w:rPr>
      </w:pPr>
    </w:p>
    <w:p w14:paraId="024D9F4C" w14:textId="77777777" w:rsidR="00A1306B" w:rsidRPr="009D598D" w:rsidRDefault="00A1306B" w:rsidP="009D598D">
      <w:pPr>
        <w:tabs>
          <w:tab w:val="clear" w:pos="567"/>
        </w:tabs>
        <w:spacing w:line="240" w:lineRule="auto"/>
        <w:jc w:val="both"/>
        <w:rPr>
          <w:color w:val="000000"/>
          <w:szCs w:val="22"/>
          <w:u w:val="single"/>
        </w:rPr>
      </w:pPr>
      <w:r w:rsidRPr="009D598D">
        <w:rPr>
          <w:color w:val="000000"/>
          <w:szCs w:val="22"/>
          <w:u w:val="single"/>
        </w:rPr>
        <w:t>Lietošanas veids</w:t>
      </w:r>
    </w:p>
    <w:p w14:paraId="76E4DDC1"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Kapsulas jānorij veselas, uzdzerot pietiekamu daudzumu šķidruma.</w:t>
      </w:r>
    </w:p>
    <w:p w14:paraId="451C2954" w14:textId="77777777" w:rsidR="00A1306B" w:rsidRPr="009D598D" w:rsidRDefault="00A1306B" w:rsidP="009D598D">
      <w:pPr>
        <w:pStyle w:val="Default"/>
        <w:jc w:val="both"/>
        <w:rPr>
          <w:sz w:val="22"/>
          <w:szCs w:val="22"/>
          <w:lang w:val="lv-LV"/>
        </w:rPr>
      </w:pPr>
    </w:p>
    <w:p w14:paraId="646A61CA"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Pacientiem jāiesaka nelietot Grippostad C ilgstoši vai lielās devās bez konsultācijas ar ārstu.</w:t>
      </w:r>
    </w:p>
    <w:p w14:paraId="60368043" w14:textId="77777777" w:rsidR="0097548A" w:rsidRPr="009D598D" w:rsidRDefault="0097548A" w:rsidP="009D598D">
      <w:pPr>
        <w:tabs>
          <w:tab w:val="clear" w:pos="567"/>
        </w:tabs>
        <w:spacing w:line="240" w:lineRule="auto"/>
        <w:jc w:val="both"/>
        <w:rPr>
          <w:b/>
          <w:color w:val="000000"/>
          <w:szCs w:val="22"/>
        </w:rPr>
      </w:pPr>
    </w:p>
    <w:p w14:paraId="25E36A2D"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4.3</w:t>
      </w:r>
      <w:r w:rsidR="004D591D" w:rsidRPr="009D598D">
        <w:rPr>
          <w:b/>
          <w:color w:val="000000"/>
          <w:szCs w:val="22"/>
        </w:rPr>
        <w:t>.</w:t>
      </w:r>
      <w:r w:rsidRPr="009D598D">
        <w:rPr>
          <w:b/>
          <w:color w:val="000000"/>
          <w:szCs w:val="22"/>
        </w:rPr>
        <w:tab/>
        <w:t>Kontrindikācijas</w:t>
      </w:r>
    </w:p>
    <w:p w14:paraId="206D000A" w14:textId="77777777" w:rsidR="00EA59EE" w:rsidRPr="009D598D" w:rsidRDefault="00EA59EE" w:rsidP="009D598D">
      <w:pPr>
        <w:tabs>
          <w:tab w:val="clear" w:pos="567"/>
        </w:tabs>
        <w:spacing w:line="240" w:lineRule="auto"/>
        <w:jc w:val="both"/>
        <w:rPr>
          <w:color w:val="000000"/>
          <w:szCs w:val="22"/>
        </w:rPr>
      </w:pPr>
    </w:p>
    <w:p w14:paraId="10A7423F" w14:textId="77777777" w:rsidR="003F45AD" w:rsidRPr="009D598D" w:rsidRDefault="00CD10AA" w:rsidP="009D598D">
      <w:pPr>
        <w:numPr>
          <w:ilvl w:val="0"/>
          <w:numId w:val="31"/>
        </w:numPr>
        <w:tabs>
          <w:tab w:val="clear" w:pos="567"/>
          <w:tab w:val="left" w:pos="709"/>
        </w:tabs>
        <w:spacing w:line="240" w:lineRule="auto"/>
        <w:jc w:val="both"/>
        <w:rPr>
          <w:color w:val="000000"/>
          <w:szCs w:val="22"/>
        </w:rPr>
      </w:pPr>
      <w:r w:rsidRPr="009D598D">
        <w:rPr>
          <w:color w:val="000000"/>
          <w:szCs w:val="22"/>
        </w:rPr>
        <w:t>Paaugstināta jutība pret aktīv</w:t>
      </w:r>
      <w:r w:rsidR="00EA59EE" w:rsidRPr="009D598D">
        <w:rPr>
          <w:color w:val="000000"/>
          <w:szCs w:val="22"/>
        </w:rPr>
        <w:t>ajām</w:t>
      </w:r>
      <w:r w:rsidRPr="009D598D">
        <w:rPr>
          <w:color w:val="000000"/>
          <w:szCs w:val="22"/>
        </w:rPr>
        <w:t xml:space="preserve"> viel</w:t>
      </w:r>
      <w:r w:rsidR="00EA59EE" w:rsidRPr="009D598D">
        <w:rPr>
          <w:color w:val="000000"/>
          <w:szCs w:val="22"/>
        </w:rPr>
        <w:t>ām</w:t>
      </w:r>
      <w:r w:rsidRPr="009D598D">
        <w:rPr>
          <w:color w:val="000000"/>
          <w:szCs w:val="22"/>
        </w:rPr>
        <w:t xml:space="preserve"> vai jebkuru no </w:t>
      </w:r>
      <w:r w:rsidR="00870E9B" w:rsidRPr="009D598D">
        <w:rPr>
          <w:color w:val="000000"/>
          <w:szCs w:val="22"/>
        </w:rPr>
        <w:t>6.1</w:t>
      </w:r>
      <w:r w:rsidR="004D591D" w:rsidRPr="009D598D">
        <w:rPr>
          <w:color w:val="000000"/>
          <w:szCs w:val="22"/>
        </w:rPr>
        <w:t>.</w:t>
      </w:r>
      <w:r w:rsidR="00870E9B" w:rsidRPr="009D598D">
        <w:rPr>
          <w:color w:val="000000"/>
          <w:szCs w:val="22"/>
        </w:rPr>
        <w:t xml:space="preserve"> apakšpunktā uzskaitītajām </w:t>
      </w:r>
      <w:r w:rsidRPr="009D598D">
        <w:rPr>
          <w:color w:val="000000"/>
          <w:szCs w:val="22"/>
        </w:rPr>
        <w:t>palīgvielām</w:t>
      </w:r>
      <w:r w:rsidR="003F45AD" w:rsidRPr="009D598D">
        <w:rPr>
          <w:color w:val="000000"/>
          <w:szCs w:val="22"/>
        </w:rPr>
        <w:t>.</w:t>
      </w:r>
    </w:p>
    <w:p w14:paraId="7BA530B7" w14:textId="77777777" w:rsidR="00A1306B" w:rsidRPr="009D598D" w:rsidRDefault="00A1306B" w:rsidP="009D598D">
      <w:pPr>
        <w:pStyle w:val="Default"/>
        <w:numPr>
          <w:ilvl w:val="0"/>
          <w:numId w:val="31"/>
        </w:numPr>
        <w:tabs>
          <w:tab w:val="left" w:pos="709"/>
        </w:tabs>
        <w:jc w:val="both"/>
        <w:rPr>
          <w:sz w:val="22"/>
          <w:szCs w:val="22"/>
          <w:lang w:val="lv-LV"/>
        </w:rPr>
      </w:pPr>
      <w:r w:rsidRPr="009D598D">
        <w:rPr>
          <w:sz w:val="22"/>
          <w:szCs w:val="22"/>
          <w:lang w:val="lv-LV"/>
        </w:rPr>
        <w:t>Smagi nieru darbības traucējumi.</w:t>
      </w:r>
    </w:p>
    <w:p w14:paraId="0B4AE7C7" w14:textId="77777777" w:rsidR="00A1306B" w:rsidRPr="009D598D" w:rsidRDefault="00A1306B" w:rsidP="009D598D">
      <w:pPr>
        <w:pStyle w:val="Default"/>
        <w:numPr>
          <w:ilvl w:val="0"/>
          <w:numId w:val="31"/>
        </w:numPr>
        <w:tabs>
          <w:tab w:val="left" w:pos="709"/>
        </w:tabs>
        <w:jc w:val="both"/>
        <w:rPr>
          <w:sz w:val="22"/>
          <w:szCs w:val="22"/>
          <w:lang w:val="lv-LV"/>
        </w:rPr>
      </w:pPr>
      <w:r w:rsidRPr="009D598D">
        <w:rPr>
          <w:sz w:val="22"/>
          <w:szCs w:val="22"/>
          <w:lang w:val="lv-LV"/>
        </w:rPr>
        <w:t>Smagi aknu darbības traucējumi (</w:t>
      </w:r>
      <w:r w:rsidRPr="009D598D">
        <w:rPr>
          <w:i/>
          <w:iCs/>
          <w:sz w:val="22"/>
          <w:szCs w:val="22"/>
          <w:lang w:val="lv-LV"/>
        </w:rPr>
        <w:t>Child Pugh</w:t>
      </w:r>
      <w:r w:rsidRPr="009D598D">
        <w:rPr>
          <w:sz w:val="22"/>
          <w:szCs w:val="22"/>
          <w:lang w:val="lv-LV"/>
        </w:rPr>
        <w:t xml:space="preserve"> &gt; 9).</w:t>
      </w:r>
    </w:p>
    <w:p w14:paraId="53AA642E" w14:textId="77777777" w:rsidR="00A1306B" w:rsidRPr="009D598D" w:rsidRDefault="00A1306B" w:rsidP="009D598D">
      <w:pPr>
        <w:pStyle w:val="Default"/>
        <w:numPr>
          <w:ilvl w:val="0"/>
          <w:numId w:val="31"/>
        </w:numPr>
        <w:tabs>
          <w:tab w:val="left" w:pos="709"/>
        </w:tabs>
        <w:jc w:val="both"/>
        <w:rPr>
          <w:sz w:val="22"/>
          <w:szCs w:val="22"/>
          <w:lang w:val="lv-LV"/>
        </w:rPr>
      </w:pPr>
      <w:r w:rsidRPr="009D598D">
        <w:rPr>
          <w:sz w:val="22"/>
          <w:szCs w:val="22"/>
          <w:lang w:val="lv-LV"/>
        </w:rPr>
        <w:t>Bērni, kuri jaunāki par 12 gadiem.</w:t>
      </w:r>
    </w:p>
    <w:p w14:paraId="4AD21CF7" w14:textId="77777777" w:rsidR="00A1306B" w:rsidRPr="009D598D" w:rsidRDefault="00A1306B" w:rsidP="009D598D">
      <w:pPr>
        <w:pStyle w:val="Default"/>
        <w:numPr>
          <w:ilvl w:val="0"/>
          <w:numId w:val="31"/>
        </w:numPr>
        <w:tabs>
          <w:tab w:val="left" w:pos="709"/>
        </w:tabs>
        <w:jc w:val="both"/>
        <w:rPr>
          <w:sz w:val="22"/>
          <w:szCs w:val="22"/>
          <w:lang w:val="lv-LV"/>
        </w:rPr>
      </w:pPr>
      <w:r w:rsidRPr="009D598D">
        <w:rPr>
          <w:sz w:val="22"/>
          <w:szCs w:val="22"/>
          <w:lang w:val="lv-LV"/>
        </w:rPr>
        <w:t>Grūtniecība (skatīt 4.6. apakšpunktu).</w:t>
      </w:r>
    </w:p>
    <w:p w14:paraId="79AE0AEA" w14:textId="77777777" w:rsidR="00A1306B" w:rsidRPr="009D598D" w:rsidRDefault="00A1306B" w:rsidP="009D598D">
      <w:pPr>
        <w:pStyle w:val="Default"/>
        <w:numPr>
          <w:ilvl w:val="0"/>
          <w:numId w:val="31"/>
        </w:numPr>
        <w:tabs>
          <w:tab w:val="left" w:pos="709"/>
        </w:tabs>
        <w:jc w:val="both"/>
        <w:rPr>
          <w:sz w:val="22"/>
          <w:szCs w:val="22"/>
          <w:lang w:val="lv-LV"/>
        </w:rPr>
      </w:pPr>
      <w:r w:rsidRPr="009D598D">
        <w:rPr>
          <w:sz w:val="22"/>
          <w:szCs w:val="22"/>
          <w:lang w:val="lv-LV"/>
        </w:rPr>
        <w:t>Mātes, kuras baro bērnu ar krūti (skatīt 4.6. apakšpunktu).</w:t>
      </w:r>
    </w:p>
    <w:p w14:paraId="24E5B563" w14:textId="77777777" w:rsidR="00CD10AA" w:rsidRPr="009D598D" w:rsidRDefault="00CD10AA" w:rsidP="009D598D">
      <w:pPr>
        <w:tabs>
          <w:tab w:val="clear" w:pos="567"/>
        </w:tabs>
        <w:spacing w:line="240" w:lineRule="auto"/>
        <w:jc w:val="both"/>
        <w:rPr>
          <w:color w:val="000000"/>
          <w:szCs w:val="22"/>
        </w:rPr>
      </w:pPr>
    </w:p>
    <w:p w14:paraId="1B6C4C8B"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4.4</w:t>
      </w:r>
      <w:r w:rsidR="004D591D" w:rsidRPr="009D598D">
        <w:rPr>
          <w:b/>
          <w:color w:val="000000"/>
          <w:szCs w:val="22"/>
        </w:rPr>
        <w:t>.</w:t>
      </w:r>
      <w:r w:rsidRPr="009D598D">
        <w:rPr>
          <w:b/>
          <w:color w:val="000000"/>
          <w:szCs w:val="22"/>
        </w:rPr>
        <w:tab/>
        <w:t>Īpaši brīdinājumi un piesardzība lietošanā</w:t>
      </w:r>
    </w:p>
    <w:p w14:paraId="24C11F1A" w14:textId="77777777" w:rsidR="00EA59EE" w:rsidRPr="009D598D" w:rsidRDefault="00EA59EE" w:rsidP="009D598D">
      <w:pPr>
        <w:pStyle w:val="Default"/>
        <w:jc w:val="both"/>
        <w:rPr>
          <w:sz w:val="22"/>
          <w:szCs w:val="22"/>
          <w:lang w:val="lv-LV"/>
        </w:rPr>
      </w:pPr>
    </w:p>
    <w:p w14:paraId="1FD3018A" w14:textId="77777777" w:rsidR="00A1306B" w:rsidRPr="009D598D" w:rsidRDefault="00A1306B" w:rsidP="009D598D">
      <w:pPr>
        <w:pStyle w:val="Default"/>
        <w:jc w:val="both"/>
        <w:rPr>
          <w:sz w:val="22"/>
          <w:szCs w:val="22"/>
          <w:lang w:val="lv-LV"/>
        </w:rPr>
      </w:pPr>
      <w:r w:rsidRPr="009D598D">
        <w:rPr>
          <w:sz w:val="22"/>
          <w:szCs w:val="22"/>
          <w:lang w:val="lv-LV"/>
        </w:rPr>
        <w:t>Grippostad C ar īpašu piesardzību jālieto pacientiem ar:</w:t>
      </w:r>
    </w:p>
    <w:p w14:paraId="7CEEBD7B"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nieru darbības traucējumiem;</w:t>
      </w:r>
    </w:p>
    <w:p w14:paraId="6DE81A48"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aknu darbības traucējumiem (</w:t>
      </w:r>
      <w:r w:rsidRPr="009D598D">
        <w:rPr>
          <w:i/>
          <w:iCs/>
          <w:sz w:val="22"/>
          <w:szCs w:val="22"/>
          <w:lang w:val="lv-LV"/>
        </w:rPr>
        <w:t>Child Pugh</w:t>
      </w:r>
      <w:r w:rsidRPr="009D598D">
        <w:rPr>
          <w:sz w:val="22"/>
          <w:szCs w:val="22"/>
          <w:lang w:val="lv-LV"/>
        </w:rPr>
        <w:t xml:space="preserve"> &lt; 9);</w:t>
      </w:r>
    </w:p>
    <w:p w14:paraId="7C452D12"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Žilbēra sindromu;</w:t>
      </w:r>
    </w:p>
    <w:p w14:paraId="04DF018E"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oksalāta urolitiāzi;</w:t>
      </w:r>
    </w:p>
    <w:p w14:paraId="7A4B5B5B"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dzelzs trūkuma izraisītām slimībām (talasēmija, hemohromatoze, sideroblastiska anēmija);</w:t>
      </w:r>
    </w:p>
    <w:p w14:paraId="37FCA9CB"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hronisku alkoholismu (alkohola atkarību);</w:t>
      </w:r>
    </w:p>
    <w:p w14:paraId="730AB4C6"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piloroduodenālu obstrukciju un urīnpūšļa obstrukciju;</w:t>
      </w:r>
    </w:p>
    <w:p w14:paraId="7CC5FC93"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šaura leņķa glaukomu;</w:t>
      </w:r>
    </w:p>
    <w:p w14:paraId="52777BED" w14:textId="77777777" w:rsidR="00A1306B" w:rsidRPr="009D598D" w:rsidRDefault="00C16D2A" w:rsidP="009D598D">
      <w:pPr>
        <w:pStyle w:val="Default"/>
        <w:numPr>
          <w:ilvl w:val="0"/>
          <w:numId w:val="32"/>
        </w:numPr>
        <w:tabs>
          <w:tab w:val="left" w:pos="709"/>
        </w:tabs>
        <w:jc w:val="both"/>
        <w:rPr>
          <w:sz w:val="22"/>
          <w:szCs w:val="22"/>
          <w:lang w:val="lv-LV"/>
        </w:rPr>
      </w:pPr>
      <w:r w:rsidRPr="009D598D">
        <w:rPr>
          <w:sz w:val="22"/>
          <w:szCs w:val="22"/>
          <w:lang w:val="lv-LV"/>
        </w:rPr>
        <w:t xml:space="preserve">kuņģa </w:t>
      </w:r>
      <w:r w:rsidR="00A1306B" w:rsidRPr="009D598D">
        <w:rPr>
          <w:sz w:val="22"/>
          <w:szCs w:val="22"/>
          <w:lang w:val="lv-LV"/>
        </w:rPr>
        <w:t>vai divpadsmitpirkstu zarnas čūlām;</w:t>
      </w:r>
    </w:p>
    <w:p w14:paraId="4CDA1BEC" w14:textId="77777777" w:rsidR="00A1306B" w:rsidRPr="009D598D" w:rsidRDefault="00C16D2A" w:rsidP="009D598D">
      <w:pPr>
        <w:pStyle w:val="Default"/>
        <w:numPr>
          <w:ilvl w:val="0"/>
          <w:numId w:val="32"/>
        </w:numPr>
        <w:tabs>
          <w:tab w:val="left" w:pos="709"/>
        </w:tabs>
        <w:jc w:val="both"/>
        <w:rPr>
          <w:sz w:val="22"/>
          <w:szCs w:val="22"/>
          <w:lang w:val="lv-LV"/>
        </w:rPr>
      </w:pPr>
      <w:r w:rsidRPr="009D598D">
        <w:rPr>
          <w:sz w:val="22"/>
          <w:szCs w:val="22"/>
          <w:lang w:val="lv-LV"/>
        </w:rPr>
        <w:t>hipertireozi</w:t>
      </w:r>
      <w:r w:rsidR="00A1306B" w:rsidRPr="009D598D">
        <w:rPr>
          <w:sz w:val="22"/>
          <w:szCs w:val="22"/>
          <w:lang w:val="lv-LV"/>
        </w:rPr>
        <w:t>;</w:t>
      </w:r>
    </w:p>
    <w:p w14:paraId="666E0AFE"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sirds aritmijām (tahikardijas un ekstrasistoļu pastiprināšanās risks);</w:t>
      </w:r>
    </w:p>
    <w:p w14:paraId="26A89F72" w14:textId="77777777" w:rsidR="00A1306B" w:rsidRPr="009D598D" w:rsidRDefault="00A1306B" w:rsidP="009D598D">
      <w:pPr>
        <w:pStyle w:val="Default"/>
        <w:numPr>
          <w:ilvl w:val="0"/>
          <w:numId w:val="32"/>
        </w:numPr>
        <w:tabs>
          <w:tab w:val="left" w:pos="709"/>
        </w:tabs>
        <w:jc w:val="both"/>
        <w:rPr>
          <w:sz w:val="22"/>
          <w:szCs w:val="22"/>
          <w:lang w:val="lv-LV"/>
        </w:rPr>
      </w:pPr>
      <w:r w:rsidRPr="009D598D">
        <w:rPr>
          <w:sz w:val="22"/>
          <w:szCs w:val="22"/>
          <w:lang w:val="lv-LV"/>
        </w:rPr>
        <w:t>trauksmi (iespējama pasliktināšanās).</w:t>
      </w:r>
    </w:p>
    <w:p w14:paraId="2DF9A4D8" w14:textId="77777777" w:rsidR="00A1306B" w:rsidRPr="009D598D" w:rsidRDefault="00A1306B" w:rsidP="009D598D">
      <w:pPr>
        <w:pStyle w:val="Default"/>
        <w:jc w:val="both"/>
        <w:rPr>
          <w:sz w:val="22"/>
          <w:szCs w:val="22"/>
          <w:lang w:val="lv-LV"/>
        </w:rPr>
      </w:pPr>
    </w:p>
    <w:p w14:paraId="5D35B06F"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 xml:space="preserve">Ja novērojams stiprs drudzis, sekundāras infekcijas pazīmes vai arī </w:t>
      </w:r>
      <w:r w:rsidR="00805FE8" w:rsidRPr="009D598D">
        <w:rPr>
          <w:color w:val="000000"/>
          <w:sz w:val="22"/>
          <w:szCs w:val="22"/>
          <w:lang w:val="lv-LV"/>
        </w:rPr>
        <w:t xml:space="preserve">stāvoklis </w:t>
      </w:r>
      <w:r w:rsidRPr="009D598D">
        <w:rPr>
          <w:color w:val="000000"/>
          <w:sz w:val="22"/>
          <w:szCs w:val="22"/>
          <w:lang w:val="lv-LV"/>
        </w:rPr>
        <w:t>pasliktinās, jāmeklē to cēlonis.</w:t>
      </w:r>
    </w:p>
    <w:p w14:paraId="6FBE747A" w14:textId="77777777" w:rsidR="00A1306B" w:rsidRPr="009D598D" w:rsidRDefault="00A1306B" w:rsidP="009D598D">
      <w:pPr>
        <w:pStyle w:val="Default"/>
        <w:jc w:val="both"/>
        <w:rPr>
          <w:sz w:val="22"/>
          <w:szCs w:val="22"/>
          <w:lang w:val="lv-LV"/>
        </w:rPr>
      </w:pPr>
    </w:p>
    <w:p w14:paraId="78876A92"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Paracetamolu saturošas zāles parasti jālieto tikai dažas dienas un tās nedrīkst lietot lielākā devā bez ārsta vai zobārsta norādījumiem.</w:t>
      </w:r>
    </w:p>
    <w:p w14:paraId="7E1065C9" w14:textId="77777777" w:rsidR="00A1306B" w:rsidRPr="009D598D" w:rsidRDefault="00A1306B" w:rsidP="009D598D">
      <w:pPr>
        <w:pStyle w:val="Default"/>
        <w:jc w:val="both"/>
        <w:rPr>
          <w:sz w:val="22"/>
          <w:szCs w:val="22"/>
          <w:lang w:val="lv-LV"/>
        </w:rPr>
      </w:pPr>
    </w:p>
    <w:p w14:paraId="561DCEDF"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Ilgstoša lielu pretsāpju līdzekļu devu lietošana neatbilstoši to lietošanas mērķim var izraisīt galvassāpes, ko nedrīkst ārstēt</w:t>
      </w:r>
      <w:r w:rsidR="00F82406" w:rsidRPr="009D598D">
        <w:rPr>
          <w:color w:val="000000"/>
          <w:sz w:val="22"/>
          <w:szCs w:val="22"/>
          <w:lang w:val="lv-LV"/>
        </w:rPr>
        <w:t>,</w:t>
      </w:r>
      <w:r w:rsidRPr="009D598D">
        <w:rPr>
          <w:color w:val="000000"/>
          <w:sz w:val="22"/>
          <w:szCs w:val="22"/>
          <w:lang w:val="lv-LV"/>
        </w:rPr>
        <w:t xml:space="preserve"> palielinot šo zāļu devu.</w:t>
      </w:r>
    </w:p>
    <w:p w14:paraId="50962EC8" w14:textId="77777777" w:rsidR="00A1306B" w:rsidRPr="009D598D" w:rsidRDefault="00A1306B" w:rsidP="009D598D">
      <w:pPr>
        <w:pStyle w:val="Default"/>
        <w:jc w:val="both"/>
        <w:rPr>
          <w:sz w:val="22"/>
          <w:szCs w:val="22"/>
          <w:lang w:val="lv-LV"/>
        </w:rPr>
      </w:pPr>
    </w:p>
    <w:p w14:paraId="2C8D8C78" w14:textId="77777777" w:rsidR="00A1306B" w:rsidRPr="009D598D" w:rsidRDefault="00A1306B" w:rsidP="009D598D">
      <w:pPr>
        <w:pStyle w:val="CM1"/>
        <w:spacing w:line="240" w:lineRule="auto"/>
        <w:jc w:val="both"/>
        <w:rPr>
          <w:color w:val="000000"/>
          <w:sz w:val="22"/>
          <w:szCs w:val="22"/>
          <w:lang w:val="lv-LV"/>
        </w:rPr>
      </w:pPr>
      <w:r w:rsidRPr="009D598D">
        <w:rPr>
          <w:i/>
          <w:iCs/>
          <w:color w:val="000000"/>
          <w:sz w:val="22"/>
          <w:szCs w:val="22"/>
          <w:lang w:val="lv-LV"/>
        </w:rPr>
        <w:t>Brīdinājumi</w:t>
      </w:r>
    </w:p>
    <w:p w14:paraId="4D529AF4"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Paracetamols</w:t>
      </w:r>
    </w:p>
    <w:p w14:paraId="750F67CA"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Līdzīgi visām paracetamolu saturošām zālēm, ieteicamo devu pārsniegšanas gadījumā iespējami nopietni aknu bojājumi. Šajos gadījumos nepieciešama tūlītēja ārstēšana.</w:t>
      </w:r>
    </w:p>
    <w:p w14:paraId="6B0DB8D3" w14:textId="77777777" w:rsidR="00A1306B" w:rsidRPr="009D598D" w:rsidRDefault="00A1306B" w:rsidP="009D598D">
      <w:pPr>
        <w:pStyle w:val="Default"/>
        <w:jc w:val="both"/>
        <w:rPr>
          <w:sz w:val="22"/>
          <w:szCs w:val="22"/>
          <w:lang w:val="lv-LV"/>
        </w:rPr>
      </w:pPr>
    </w:p>
    <w:p w14:paraId="08786E04"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Lai izvairītos no pārdozēšanas riska, jāpārliecinās, ka visu vienlaicīgi lietoto paracetamolu saturošo zāļu deva nepārsniedz maksimālo paracetamola dienas devu (pacientiem ar ķermeņa masu lielāku par 43 kg: 4000 mg paracetamola).</w:t>
      </w:r>
    </w:p>
    <w:p w14:paraId="0F215092" w14:textId="704293A9" w:rsidR="00A1306B" w:rsidRDefault="00A1306B" w:rsidP="009D598D">
      <w:pPr>
        <w:pStyle w:val="Default"/>
        <w:jc w:val="both"/>
        <w:rPr>
          <w:sz w:val="22"/>
          <w:szCs w:val="22"/>
          <w:lang w:val="lv-LV"/>
        </w:rPr>
      </w:pPr>
    </w:p>
    <w:p w14:paraId="4527AE9C" w14:textId="022DA09D" w:rsidR="00064E26" w:rsidRDefault="00064E26" w:rsidP="009D598D">
      <w:pPr>
        <w:pStyle w:val="Default"/>
        <w:jc w:val="both"/>
        <w:rPr>
          <w:sz w:val="22"/>
          <w:szCs w:val="22"/>
          <w:lang w:val="lv-LV"/>
        </w:rPr>
      </w:pPr>
      <w:r w:rsidRPr="00064E26">
        <w:rPr>
          <w:sz w:val="22"/>
          <w:szCs w:val="22"/>
          <w:lang w:val="lv-LV"/>
        </w:rPr>
        <w:t>Jāievēro piesardzība, ja paracetamolu lieto vienlaikus ar flukloksacilīnu, jo ir paaugstināts metabolās acidozes ar lielu anjonu starpību (</w:t>
      </w:r>
      <w:r w:rsidRPr="00B85F8E">
        <w:rPr>
          <w:i/>
          <w:iCs/>
          <w:sz w:val="22"/>
          <w:szCs w:val="22"/>
          <w:lang w:val="lv-LV"/>
        </w:rPr>
        <w:t>High Anion Gap Metabolic Acidosis</w:t>
      </w:r>
      <w:r w:rsidRPr="00064E26">
        <w:rPr>
          <w:sz w:val="22"/>
          <w:szCs w:val="22"/>
          <w:lang w:val="lv-LV"/>
        </w:rPr>
        <w:t xml:space="preserve"> - HAGMA) risks, īpaši pacientiem ar smagiem nieru darbības traucējumiem, sepsi, nepietiekamu uzturu un citiem glutationa deficīta iemesliem (piemēram, hronisks alkoholisms), kā arī tiem, kuri lieto maksimālās paracetamola dienas devas. Ieteicama rūpīga uzraudzība, tostarp 5-oksoprolīna noteikšana urīnā.</w:t>
      </w:r>
    </w:p>
    <w:p w14:paraId="2B774FB9" w14:textId="77777777" w:rsidR="00064E26" w:rsidRPr="009D598D" w:rsidRDefault="00064E26" w:rsidP="009D598D">
      <w:pPr>
        <w:pStyle w:val="Default"/>
        <w:jc w:val="both"/>
        <w:rPr>
          <w:sz w:val="22"/>
          <w:szCs w:val="22"/>
          <w:lang w:val="lv-LV"/>
        </w:rPr>
      </w:pPr>
    </w:p>
    <w:p w14:paraId="0C1C9E99"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Askorbīnskābe</w:t>
      </w:r>
    </w:p>
    <w:p w14:paraId="40FD17D8"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Atsevišķos gadījumos pacientiem ar iedzimto glikozes</w:t>
      </w:r>
      <w:r w:rsidR="00F505BA" w:rsidRPr="009D598D">
        <w:rPr>
          <w:color w:val="000000"/>
          <w:sz w:val="22"/>
          <w:szCs w:val="22"/>
          <w:lang w:val="lv-LV"/>
        </w:rPr>
        <w:t>-</w:t>
      </w:r>
      <w:r w:rsidRPr="009D598D">
        <w:rPr>
          <w:color w:val="000000"/>
          <w:sz w:val="22"/>
          <w:szCs w:val="22"/>
          <w:lang w:val="lv-LV"/>
        </w:rPr>
        <w:t>6</w:t>
      </w:r>
      <w:r w:rsidR="00F505BA" w:rsidRPr="009D598D">
        <w:rPr>
          <w:color w:val="000000"/>
          <w:sz w:val="22"/>
          <w:szCs w:val="22"/>
          <w:lang w:val="lv-LV"/>
        </w:rPr>
        <w:t>-</w:t>
      </w:r>
      <w:r w:rsidRPr="009D598D">
        <w:rPr>
          <w:color w:val="000000"/>
          <w:sz w:val="22"/>
          <w:szCs w:val="22"/>
          <w:lang w:val="lv-LV"/>
        </w:rPr>
        <w:t>fosfātdehidrogenāzes nepietiekamību ir novērota smaga hemolītiska anēmija pēc lielu askorbīnskābes devu (4 g dienā) lietošanas.</w:t>
      </w:r>
    </w:p>
    <w:p w14:paraId="48887F27" w14:textId="77777777" w:rsidR="00A1306B" w:rsidRPr="009D598D" w:rsidRDefault="00A1306B" w:rsidP="009D598D">
      <w:pPr>
        <w:pStyle w:val="Default"/>
        <w:jc w:val="both"/>
        <w:rPr>
          <w:sz w:val="22"/>
          <w:szCs w:val="22"/>
          <w:lang w:val="lv-LV"/>
        </w:rPr>
      </w:pPr>
    </w:p>
    <w:p w14:paraId="3782D229"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Pacientiem ar noslieci uz nierakmeņu veidošanos, lielu askorbīnskābes devu lietošanas gadījumā, pastāv kalcija oksalātu akmeņu veidošanās risks.</w:t>
      </w:r>
    </w:p>
    <w:p w14:paraId="30C54450" w14:textId="77777777" w:rsidR="00A1306B" w:rsidRPr="009D598D" w:rsidRDefault="00A1306B" w:rsidP="009D598D">
      <w:pPr>
        <w:pStyle w:val="Default"/>
        <w:jc w:val="both"/>
        <w:rPr>
          <w:sz w:val="22"/>
          <w:szCs w:val="22"/>
          <w:lang w:val="lv-LV"/>
        </w:rPr>
      </w:pPr>
    </w:p>
    <w:p w14:paraId="1ADA8D9A"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 xml:space="preserve">Pacienti ar reti sastopamu iedzimtu galaktozes nepanesību, </w:t>
      </w:r>
      <w:r w:rsidR="00EA59EE" w:rsidRPr="009D598D">
        <w:rPr>
          <w:iCs/>
          <w:color w:val="000000"/>
          <w:sz w:val="22"/>
          <w:szCs w:val="22"/>
          <w:lang w:val="lv-LV"/>
        </w:rPr>
        <w:t>ar pilnīgu</w:t>
      </w:r>
      <w:r w:rsidR="00EA59EE" w:rsidRPr="009D598D">
        <w:rPr>
          <w:color w:val="000000"/>
          <w:sz w:val="22"/>
          <w:szCs w:val="22"/>
          <w:lang w:val="lv-LV"/>
        </w:rPr>
        <w:t xml:space="preserve"> </w:t>
      </w:r>
      <w:r w:rsidRPr="009D598D">
        <w:rPr>
          <w:color w:val="000000"/>
          <w:sz w:val="22"/>
          <w:szCs w:val="22"/>
          <w:lang w:val="lv-LV"/>
        </w:rPr>
        <w:t>laktāzes deficītu vai glikozes – galaktozes malabsorbciju nedrīkst lietot Grippostad C.</w:t>
      </w:r>
    </w:p>
    <w:p w14:paraId="4D770CEF" w14:textId="77777777" w:rsidR="00CD10AA" w:rsidRPr="009D598D" w:rsidRDefault="00CD10AA" w:rsidP="009D598D">
      <w:pPr>
        <w:tabs>
          <w:tab w:val="clear" w:pos="567"/>
        </w:tabs>
        <w:spacing w:line="240" w:lineRule="auto"/>
        <w:jc w:val="both"/>
        <w:rPr>
          <w:color w:val="000000"/>
          <w:szCs w:val="22"/>
        </w:rPr>
      </w:pPr>
    </w:p>
    <w:p w14:paraId="6B380B4E"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4.5</w:t>
      </w:r>
      <w:r w:rsidR="004D591D" w:rsidRPr="009D598D">
        <w:rPr>
          <w:b/>
          <w:color w:val="000000"/>
          <w:szCs w:val="22"/>
        </w:rPr>
        <w:t>.</w:t>
      </w:r>
      <w:r w:rsidRPr="009D598D">
        <w:rPr>
          <w:b/>
          <w:color w:val="000000"/>
          <w:szCs w:val="22"/>
        </w:rPr>
        <w:tab/>
        <w:t>Mijiedarbība ar citām zālēm un citi mijiedarbības veidi</w:t>
      </w:r>
    </w:p>
    <w:p w14:paraId="6016B169" w14:textId="77777777" w:rsidR="00EA59EE" w:rsidRPr="009D598D" w:rsidRDefault="00EA59EE" w:rsidP="009D598D">
      <w:pPr>
        <w:pStyle w:val="CM1"/>
        <w:spacing w:line="240" w:lineRule="auto"/>
        <w:jc w:val="both"/>
        <w:rPr>
          <w:color w:val="000000"/>
          <w:sz w:val="22"/>
          <w:szCs w:val="22"/>
          <w:lang w:val="lv-LV"/>
        </w:rPr>
      </w:pPr>
    </w:p>
    <w:p w14:paraId="61A0EF92"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 xml:space="preserve">Zināma </w:t>
      </w:r>
      <w:r w:rsidR="00913521" w:rsidRPr="009D598D">
        <w:rPr>
          <w:color w:val="000000"/>
          <w:sz w:val="22"/>
          <w:szCs w:val="22"/>
          <w:lang w:val="lv-LV"/>
        </w:rPr>
        <w:t>šāda</w:t>
      </w:r>
      <w:r w:rsidRPr="009D598D">
        <w:rPr>
          <w:color w:val="000000"/>
          <w:sz w:val="22"/>
          <w:szCs w:val="22"/>
          <w:lang w:val="lv-LV"/>
        </w:rPr>
        <w:t xml:space="preserve"> mijiedarbība ar katru no Grippostad C sastāvdaļām</w:t>
      </w:r>
      <w:r w:rsidR="00913521" w:rsidRPr="009D598D">
        <w:rPr>
          <w:color w:val="000000"/>
          <w:sz w:val="22"/>
          <w:szCs w:val="22"/>
          <w:lang w:val="lv-LV"/>
        </w:rPr>
        <w:t>.</w:t>
      </w:r>
    </w:p>
    <w:p w14:paraId="7613997D"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u w:val="single"/>
          <w:lang w:val="lv-LV"/>
        </w:rPr>
        <w:t>Paracetamols</w:t>
      </w:r>
    </w:p>
    <w:p w14:paraId="68F44E5D" w14:textId="77777777" w:rsidR="00A1306B" w:rsidRPr="009D598D" w:rsidRDefault="00A1306B" w:rsidP="009D598D">
      <w:pPr>
        <w:pStyle w:val="Default"/>
        <w:numPr>
          <w:ilvl w:val="0"/>
          <w:numId w:val="33"/>
        </w:numPr>
        <w:tabs>
          <w:tab w:val="left" w:pos="709"/>
        </w:tabs>
        <w:jc w:val="both"/>
        <w:rPr>
          <w:sz w:val="22"/>
          <w:szCs w:val="22"/>
          <w:lang w:val="lv-LV"/>
        </w:rPr>
      </w:pPr>
      <w:r w:rsidRPr="009D598D">
        <w:rPr>
          <w:sz w:val="22"/>
          <w:szCs w:val="22"/>
          <w:lang w:val="lv-LV"/>
        </w:rPr>
        <w:t>Vienlaicīga zāļu, kas kavē kuņģa iztukšošanos, piemēram, propantelīna, lietošana var palēnināt uzsūkšanos un tādējādi aizkavēt paracetamola iedarbības sākumu.</w:t>
      </w:r>
    </w:p>
    <w:p w14:paraId="7F6F2CA8" w14:textId="77777777" w:rsidR="00A1306B" w:rsidRPr="009D598D" w:rsidRDefault="00A1306B" w:rsidP="009D598D">
      <w:pPr>
        <w:pStyle w:val="Default"/>
        <w:numPr>
          <w:ilvl w:val="0"/>
          <w:numId w:val="33"/>
        </w:numPr>
        <w:tabs>
          <w:tab w:val="left" w:pos="709"/>
        </w:tabs>
        <w:jc w:val="both"/>
        <w:rPr>
          <w:sz w:val="22"/>
          <w:szCs w:val="22"/>
          <w:lang w:val="lv-LV"/>
        </w:rPr>
      </w:pPr>
      <w:r w:rsidRPr="009D598D">
        <w:rPr>
          <w:sz w:val="22"/>
          <w:szCs w:val="22"/>
          <w:lang w:val="lv-LV"/>
        </w:rPr>
        <w:t>Vienlaicīga zāļu, kas veicina kuņģa iztukšošanos, piemēram, metoklopramīda, lietošana var paātrināt uzsūkšanos un tādējādi paātrināt paracetamola iedarbības sākumu.</w:t>
      </w:r>
    </w:p>
    <w:p w14:paraId="6711384B" w14:textId="77777777" w:rsidR="00A1306B" w:rsidRPr="009D598D" w:rsidRDefault="00A1306B" w:rsidP="009D598D">
      <w:pPr>
        <w:pStyle w:val="Default"/>
        <w:numPr>
          <w:ilvl w:val="0"/>
          <w:numId w:val="33"/>
        </w:numPr>
        <w:tabs>
          <w:tab w:val="left" w:pos="709"/>
        </w:tabs>
        <w:jc w:val="both"/>
        <w:rPr>
          <w:sz w:val="22"/>
          <w:szCs w:val="22"/>
          <w:lang w:val="lv-LV"/>
        </w:rPr>
      </w:pPr>
      <w:r w:rsidRPr="009D598D">
        <w:rPr>
          <w:sz w:val="22"/>
          <w:szCs w:val="22"/>
          <w:lang w:val="lv-LV"/>
        </w:rPr>
        <w:t>Vienlaicīga AZT (zidovudīna) lietošana palielina neitropēnijas risku. Šā iemesla dēļ Grippostad C drīkst lietot vienlaicīgi ar AZT tikai ievērojot īpašu piesardzību.</w:t>
      </w:r>
    </w:p>
    <w:p w14:paraId="1AA97A7A" w14:textId="77777777" w:rsidR="00A1306B" w:rsidRPr="009D598D" w:rsidRDefault="00A1306B" w:rsidP="009D598D">
      <w:pPr>
        <w:pStyle w:val="Default"/>
        <w:numPr>
          <w:ilvl w:val="0"/>
          <w:numId w:val="33"/>
        </w:numPr>
        <w:tabs>
          <w:tab w:val="left" w:pos="709"/>
        </w:tabs>
        <w:jc w:val="both"/>
        <w:rPr>
          <w:sz w:val="22"/>
          <w:szCs w:val="22"/>
          <w:lang w:val="lv-LV"/>
        </w:rPr>
      </w:pPr>
      <w:r w:rsidRPr="009D598D">
        <w:rPr>
          <w:sz w:val="22"/>
          <w:szCs w:val="22"/>
          <w:lang w:val="lv-LV"/>
        </w:rPr>
        <w:t>Probenecīda lietošana kavē paracetamola saistīšanos ar glikurīnskābi un tādējādi samazina paracetamola klīrensu apmēram 2 reizes. Vienlaicīgas probenecīda lietošanas gadījumā jāsamazina paracetamola deva.</w:t>
      </w:r>
    </w:p>
    <w:p w14:paraId="72CC5D01" w14:textId="77777777" w:rsidR="00A1306B" w:rsidRPr="009D598D" w:rsidRDefault="00A1306B" w:rsidP="009D598D">
      <w:pPr>
        <w:pStyle w:val="Default"/>
        <w:numPr>
          <w:ilvl w:val="0"/>
          <w:numId w:val="33"/>
        </w:numPr>
        <w:tabs>
          <w:tab w:val="left" w:pos="709"/>
        </w:tabs>
        <w:jc w:val="both"/>
        <w:rPr>
          <w:sz w:val="22"/>
          <w:szCs w:val="22"/>
          <w:lang w:val="lv-LV"/>
        </w:rPr>
      </w:pPr>
      <w:r w:rsidRPr="009D598D">
        <w:rPr>
          <w:sz w:val="22"/>
          <w:szCs w:val="22"/>
          <w:lang w:val="lv-LV"/>
        </w:rPr>
        <w:t>Salicilāti var pagarināt paracetamola eliminācijas pusperiodu.</w:t>
      </w:r>
    </w:p>
    <w:p w14:paraId="2518E288" w14:textId="77777777" w:rsidR="00A1306B" w:rsidRPr="009D598D" w:rsidRDefault="00A1306B" w:rsidP="009D598D">
      <w:pPr>
        <w:pStyle w:val="Default"/>
        <w:numPr>
          <w:ilvl w:val="0"/>
          <w:numId w:val="33"/>
        </w:numPr>
        <w:tabs>
          <w:tab w:val="left" w:pos="709"/>
        </w:tabs>
        <w:jc w:val="both"/>
        <w:rPr>
          <w:sz w:val="22"/>
          <w:szCs w:val="22"/>
          <w:lang w:val="lv-LV"/>
        </w:rPr>
      </w:pPr>
      <w:r w:rsidRPr="009D598D">
        <w:rPr>
          <w:sz w:val="22"/>
          <w:szCs w:val="22"/>
          <w:lang w:val="lv-LV"/>
        </w:rPr>
        <w:t>Īpaša piesardzība nepieciešama gadījumos, kad vienlaicīgi tiek lietotas zāles, kas izraisa enzīmu indukciju, kā arī gadījumos, kad vienlaicīgi tiek lietotas potenciāli hepatotoksiskas vielas (skatīt 4.9. apakšpunktu).</w:t>
      </w:r>
    </w:p>
    <w:p w14:paraId="46B735ED" w14:textId="77777777" w:rsidR="00A1306B" w:rsidRPr="009D598D" w:rsidRDefault="00A1306B" w:rsidP="009D598D">
      <w:pPr>
        <w:pStyle w:val="Default"/>
        <w:numPr>
          <w:ilvl w:val="0"/>
          <w:numId w:val="33"/>
        </w:numPr>
        <w:tabs>
          <w:tab w:val="left" w:pos="709"/>
        </w:tabs>
        <w:jc w:val="both"/>
        <w:rPr>
          <w:sz w:val="22"/>
          <w:szCs w:val="22"/>
          <w:lang w:val="lv-LV"/>
        </w:rPr>
      </w:pPr>
      <w:r w:rsidRPr="009D598D">
        <w:rPr>
          <w:sz w:val="22"/>
          <w:szCs w:val="22"/>
          <w:lang w:val="lv-LV"/>
        </w:rPr>
        <w:t>Ilgstoša paracetamola lietošana vairāku nedēļu garumā var pastiprināt antikoagulantu iedarbību. Īslaicīga paracetamola lietošana neizraisa būtisku ietekmi.</w:t>
      </w:r>
    </w:p>
    <w:p w14:paraId="7D9C999D" w14:textId="77777777" w:rsidR="00A1306B" w:rsidRPr="009D598D" w:rsidRDefault="00A1306B" w:rsidP="009D598D">
      <w:pPr>
        <w:pStyle w:val="Default"/>
        <w:numPr>
          <w:ilvl w:val="0"/>
          <w:numId w:val="33"/>
        </w:numPr>
        <w:tabs>
          <w:tab w:val="left" w:pos="709"/>
        </w:tabs>
        <w:jc w:val="both"/>
        <w:rPr>
          <w:sz w:val="22"/>
          <w:szCs w:val="22"/>
          <w:lang w:val="lv-LV"/>
        </w:rPr>
      </w:pPr>
      <w:r w:rsidRPr="009D598D">
        <w:rPr>
          <w:sz w:val="22"/>
          <w:szCs w:val="22"/>
          <w:lang w:val="lv-LV"/>
        </w:rPr>
        <w:t>Holestiramīns samazina paracetamola uzsūkšanos.</w:t>
      </w:r>
    </w:p>
    <w:p w14:paraId="7BBE180A" w14:textId="06E3B2C9" w:rsidR="00A1306B" w:rsidRDefault="00064E26" w:rsidP="00B85F8E">
      <w:pPr>
        <w:pStyle w:val="Default"/>
        <w:numPr>
          <w:ilvl w:val="0"/>
          <w:numId w:val="33"/>
        </w:numPr>
        <w:jc w:val="both"/>
        <w:rPr>
          <w:sz w:val="22"/>
          <w:szCs w:val="22"/>
          <w:lang w:val="lv-LV"/>
        </w:rPr>
      </w:pPr>
      <w:r w:rsidRPr="00064E26">
        <w:rPr>
          <w:sz w:val="22"/>
          <w:szCs w:val="22"/>
          <w:lang w:val="lv-LV"/>
        </w:rPr>
        <w:t>Jāievēro piesardzība, lietojot paracetamolu vienlaicīgi ar flukloksacilīnu, jo vienlaicīga šo zāļu lietošana ir saistīta ar metabolo acidozi ar lielu anjonu starpību, īpaši pacientiem ar riska faktoriem (skatīt 4.4. apakšpunktu).</w:t>
      </w:r>
    </w:p>
    <w:p w14:paraId="684E6D35" w14:textId="77777777" w:rsidR="00064E26" w:rsidRPr="009D598D" w:rsidRDefault="00064E26" w:rsidP="009D598D">
      <w:pPr>
        <w:pStyle w:val="Default"/>
        <w:jc w:val="both"/>
        <w:rPr>
          <w:sz w:val="22"/>
          <w:szCs w:val="22"/>
          <w:lang w:val="lv-LV"/>
        </w:rPr>
      </w:pPr>
    </w:p>
    <w:p w14:paraId="46AD2926"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Hlorfenamīna maleāts</w:t>
      </w:r>
    </w:p>
    <w:p w14:paraId="7C1077D5" w14:textId="77777777" w:rsidR="00A1306B" w:rsidRPr="009D598D" w:rsidRDefault="00A1306B" w:rsidP="009D598D">
      <w:pPr>
        <w:pStyle w:val="CM8"/>
        <w:numPr>
          <w:ilvl w:val="0"/>
          <w:numId w:val="34"/>
        </w:numPr>
        <w:tabs>
          <w:tab w:val="left" w:pos="709"/>
        </w:tabs>
        <w:spacing w:after="0"/>
        <w:jc w:val="both"/>
        <w:rPr>
          <w:color w:val="000000"/>
          <w:sz w:val="22"/>
          <w:szCs w:val="22"/>
          <w:lang w:val="lv-LV"/>
        </w:rPr>
      </w:pPr>
      <w:r w:rsidRPr="009D598D">
        <w:rPr>
          <w:color w:val="000000"/>
          <w:sz w:val="22"/>
          <w:szCs w:val="22"/>
          <w:lang w:val="lv-LV"/>
        </w:rPr>
        <w:t>Vienlaicīga hlorfenamīna maleāta lietošana ar zālēm, kas nomāc centrālo nervu sistēmu (piemēram, MAO inhibitori, tricikliskie antidepresanti), vai alkoholu, pastiprina sedatīvo iedarbību.</w:t>
      </w:r>
    </w:p>
    <w:p w14:paraId="1ED22F33" w14:textId="77777777" w:rsidR="00A1306B" w:rsidRPr="009D598D" w:rsidRDefault="00A1306B" w:rsidP="009D598D">
      <w:pPr>
        <w:pStyle w:val="Default"/>
        <w:jc w:val="both"/>
        <w:rPr>
          <w:sz w:val="22"/>
          <w:szCs w:val="22"/>
          <w:lang w:val="lv-LV"/>
        </w:rPr>
      </w:pPr>
    </w:p>
    <w:p w14:paraId="00698515" w14:textId="77777777" w:rsidR="00A1306B" w:rsidRPr="009D598D" w:rsidRDefault="00A1306B" w:rsidP="009D598D">
      <w:pPr>
        <w:pStyle w:val="CM6"/>
        <w:spacing w:line="240" w:lineRule="auto"/>
        <w:jc w:val="both"/>
        <w:rPr>
          <w:color w:val="000000"/>
          <w:sz w:val="22"/>
          <w:szCs w:val="22"/>
          <w:lang w:val="lv-LV"/>
        </w:rPr>
      </w:pPr>
      <w:r w:rsidRPr="009D598D">
        <w:rPr>
          <w:color w:val="000000"/>
          <w:sz w:val="22"/>
          <w:szCs w:val="22"/>
          <w:u w:val="single"/>
          <w:lang w:val="lv-LV"/>
        </w:rPr>
        <w:t>Kofeīns</w:t>
      </w:r>
    </w:p>
    <w:p w14:paraId="6B232A07" w14:textId="77777777" w:rsidR="00A1306B" w:rsidRPr="009D598D" w:rsidRDefault="00A1306B" w:rsidP="009D598D">
      <w:pPr>
        <w:pStyle w:val="Default"/>
        <w:numPr>
          <w:ilvl w:val="0"/>
          <w:numId w:val="34"/>
        </w:numPr>
        <w:tabs>
          <w:tab w:val="left" w:pos="709"/>
        </w:tabs>
        <w:jc w:val="both"/>
        <w:rPr>
          <w:sz w:val="22"/>
          <w:szCs w:val="22"/>
          <w:lang w:val="lv-LV"/>
        </w:rPr>
      </w:pPr>
      <w:r w:rsidRPr="009D598D">
        <w:rPr>
          <w:sz w:val="22"/>
          <w:szCs w:val="22"/>
          <w:lang w:val="lv-LV"/>
        </w:rPr>
        <w:t>Kofeīns var pavājināt dažu vielu, piemēram, barbiturātu, antihistamīnu, u.c., sedatīvo iedarbību.</w:t>
      </w:r>
    </w:p>
    <w:p w14:paraId="3F103F9D" w14:textId="77777777" w:rsidR="00A1306B" w:rsidRPr="009D598D" w:rsidRDefault="00A1306B" w:rsidP="009D598D">
      <w:pPr>
        <w:pStyle w:val="Default"/>
        <w:numPr>
          <w:ilvl w:val="0"/>
          <w:numId w:val="34"/>
        </w:numPr>
        <w:tabs>
          <w:tab w:val="left" w:pos="709"/>
        </w:tabs>
        <w:jc w:val="both"/>
        <w:rPr>
          <w:sz w:val="22"/>
          <w:szCs w:val="22"/>
          <w:lang w:val="lv-LV"/>
        </w:rPr>
      </w:pPr>
      <w:r w:rsidRPr="009D598D">
        <w:rPr>
          <w:sz w:val="22"/>
          <w:szCs w:val="22"/>
          <w:lang w:val="lv-LV"/>
        </w:rPr>
        <w:t>Kofeīns sinerģiski iedarbojas uz simpatomimētisko, tiroksīna, u.c. līdzekļu izraisīto tahikardisko iedarbību.</w:t>
      </w:r>
    </w:p>
    <w:p w14:paraId="6D652FA4" w14:textId="77777777" w:rsidR="00A1306B" w:rsidRPr="009D598D" w:rsidRDefault="00A1306B" w:rsidP="009D598D">
      <w:pPr>
        <w:pStyle w:val="Default"/>
        <w:numPr>
          <w:ilvl w:val="0"/>
          <w:numId w:val="34"/>
        </w:numPr>
        <w:tabs>
          <w:tab w:val="left" w:pos="709"/>
        </w:tabs>
        <w:jc w:val="both"/>
        <w:rPr>
          <w:sz w:val="22"/>
          <w:szCs w:val="22"/>
          <w:lang w:val="lv-LV"/>
        </w:rPr>
      </w:pPr>
      <w:r w:rsidRPr="009D598D">
        <w:rPr>
          <w:sz w:val="22"/>
          <w:szCs w:val="22"/>
          <w:lang w:val="lv-LV"/>
        </w:rPr>
        <w:t>Vienlaicīgas teofilīna lietošanas gadījumā samazinās teofilīna eliminācija.</w:t>
      </w:r>
    </w:p>
    <w:p w14:paraId="5DE19CF7" w14:textId="77777777" w:rsidR="00A1306B" w:rsidRPr="009D598D" w:rsidRDefault="00A1306B" w:rsidP="009D598D">
      <w:pPr>
        <w:pStyle w:val="Default"/>
        <w:numPr>
          <w:ilvl w:val="0"/>
          <w:numId w:val="34"/>
        </w:numPr>
        <w:tabs>
          <w:tab w:val="left" w:pos="709"/>
        </w:tabs>
        <w:jc w:val="both"/>
        <w:rPr>
          <w:sz w:val="22"/>
          <w:szCs w:val="22"/>
          <w:lang w:val="lv-LV"/>
        </w:rPr>
      </w:pPr>
      <w:r w:rsidRPr="009D598D">
        <w:rPr>
          <w:sz w:val="22"/>
          <w:szCs w:val="22"/>
          <w:lang w:val="lv-LV"/>
        </w:rPr>
        <w:t>Kofeīns pastiprina efedrīna tipa vielu papildinošo iedarbību.</w:t>
      </w:r>
    </w:p>
    <w:p w14:paraId="334F8945" w14:textId="77777777" w:rsidR="00A1306B" w:rsidRPr="009D598D" w:rsidRDefault="00A1306B" w:rsidP="009D598D">
      <w:pPr>
        <w:pStyle w:val="Default"/>
        <w:numPr>
          <w:ilvl w:val="0"/>
          <w:numId w:val="34"/>
        </w:numPr>
        <w:tabs>
          <w:tab w:val="left" w:pos="709"/>
        </w:tabs>
        <w:jc w:val="both"/>
        <w:rPr>
          <w:sz w:val="22"/>
          <w:szCs w:val="22"/>
          <w:lang w:val="lv-LV"/>
        </w:rPr>
      </w:pPr>
      <w:r w:rsidRPr="009D598D">
        <w:rPr>
          <w:sz w:val="22"/>
          <w:szCs w:val="22"/>
          <w:lang w:val="lv-LV"/>
        </w:rPr>
        <w:t>Vienlaicīga kofeīna un vielu, ar plašu darbības spektru (piemēram, benzodiazepīnu), lietošana, katram pacientam individuāli var izraisīt savādāku un neparedzamu mijiedarbību.</w:t>
      </w:r>
    </w:p>
    <w:p w14:paraId="0D51F83B" w14:textId="77777777" w:rsidR="00A1306B" w:rsidRPr="009D598D" w:rsidRDefault="00A1306B" w:rsidP="009D598D">
      <w:pPr>
        <w:pStyle w:val="Default"/>
        <w:numPr>
          <w:ilvl w:val="0"/>
          <w:numId w:val="34"/>
        </w:numPr>
        <w:tabs>
          <w:tab w:val="left" w:pos="709"/>
        </w:tabs>
        <w:jc w:val="both"/>
        <w:rPr>
          <w:sz w:val="22"/>
          <w:szCs w:val="22"/>
          <w:lang w:val="lv-LV"/>
        </w:rPr>
      </w:pPr>
      <w:r w:rsidRPr="009D598D">
        <w:rPr>
          <w:sz w:val="22"/>
          <w:szCs w:val="22"/>
          <w:lang w:val="lv-LV"/>
        </w:rPr>
        <w:t>Perorālie kontracepcijas līdzekļi, cimetidīns un disulfirams kavē kofeīna sadalīšanos aknās, savukārt barbiturāti un nikotīns veicina to.</w:t>
      </w:r>
    </w:p>
    <w:p w14:paraId="1CACB2F2" w14:textId="77777777" w:rsidR="00A1306B" w:rsidRPr="009D598D" w:rsidRDefault="00A1306B" w:rsidP="009D598D">
      <w:pPr>
        <w:pStyle w:val="Default"/>
        <w:numPr>
          <w:ilvl w:val="0"/>
          <w:numId w:val="34"/>
        </w:numPr>
        <w:tabs>
          <w:tab w:val="left" w:pos="709"/>
        </w:tabs>
        <w:jc w:val="both"/>
        <w:rPr>
          <w:sz w:val="22"/>
          <w:szCs w:val="22"/>
          <w:lang w:val="lv-LV"/>
        </w:rPr>
      </w:pPr>
      <w:r w:rsidRPr="009D598D">
        <w:rPr>
          <w:sz w:val="22"/>
          <w:szCs w:val="22"/>
          <w:lang w:val="lv-LV"/>
        </w:rPr>
        <w:t>Vienlaicīga hinolona karboksilskābes tipa girāzes inhibitoru lietošana var samazināt kofeīna un tā metabolīta paraksantīna izdalīšanos.</w:t>
      </w:r>
    </w:p>
    <w:p w14:paraId="2859BAA4" w14:textId="77777777" w:rsidR="00A1306B" w:rsidRPr="009D598D" w:rsidRDefault="00A1306B" w:rsidP="009D598D">
      <w:pPr>
        <w:pStyle w:val="Default"/>
        <w:jc w:val="both"/>
        <w:rPr>
          <w:sz w:val="22"/>
          <w:szCs w:val="22"/>
          <w:lang w:val="lv-LV"/>
        </w:rPr>
      </w:pPr>
    </w:p>
    <w:p w14:paraId="1559FF6C"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Askorbīnskābe</w:t>
      </w:r>
    </w:p>
    <w:p w14:paraId="38A87D8B" w14:textId="77777777" w:rsidR="00A1306B" w:rsidRPr="009D598D" w:rsidRDefault="00A1306B" w:rsidP="009D598D">
      <w:pPr>
        <w:pStyle w:val="CM8"/>
        <w:numPr>
          <w:ilvl w:val="0"/>
          <w:numId w:val="35"/>
        </w:numPr>
        <w:tabs>
          <w:tab w:val="left" w:pos="709"/>
        </w:tabs>
        <w:spacing w:after="0"/>
        <w:jc w:val="both"/>
        <w:rPr>
          <w:color w:val="000000"/>
          <w:sz w:val="22"/>
          <w:szCs w:val="22"/>
          <w:lang w:val="lv-LV"/>
        </w:rPr>
      </w:pPr>
      <w:r w:rsidRPr="009D598D">
        <w:rPr>
          <w:color w:val="000000"/>
          <w:sz w:val="22"/>
          <w:szCs w:val="22"/>
          <w:lang w:val="lv-LV"/>
        </w:rPr>
        <w:t>Līdz šim nav zināma mijiedarbība.</w:t>
      </w:r>
    </w:p>
    <w:p w14:paraId="32E516E3" w14:textId="77777777" w:rsidR="00CD10AA" w:rsidRPr="009D598D" w:rsidRDefault="00CD10AA" w:rsidP="009D598D">
      <w:pPr>
        <w:tabs>
          <w:tab w:val="clear" w:pos="567"/>
        </w:tabs>
        <w:spacing w:line="240" w:lineRule="auto"/>
        <w:jc w:val="both"/>
        <w:rPr>
          <w:color w:val="000000"/>
          <w:szCs w:val="22"/>
        </w:rPr>
      </w:pPr>
    </w:p>
    <w:p w14:paraId="19ABD0B1"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4.6</w:t>
      </w:r>
      <w:r w:rsidR="00E2542E" w:rsidRPr="009D598D">
        <w:rPr>
          <w:b/>
          <w:color w:val="000000"/>
          <w:szCs w:val="22"/>
        </w:rPr>
        <w:t>.</w:t>
      </w:r>
      <w:r w:rsidRPr="009D598D">
        <w:rPr>
          <w:b/>
          <w:color w:val="000000"/>
          <w:szCs w:val="22"/>
        </w:rPr>
        <w:tab/>
      </w:r>
      <w:r w:rsidR="0097548A" w:rsidRPr="009D598D">
        <w:rPr>
          <w:b/>
          <w:noProof/>
          <w:color w:val="000000"/>
          <w:szCs w:val="22"/>
        </w:rPr>
        <w:t xml:space="preserve">Fertilitāte, grūtniecība </w:t>
      </w:r>
      <w:r w:rsidRPr="009D598D">
        <w:rPr>
          <w:b/>
          <w:color w:val="000000"/>
          <w:szCs w:val="22"/>
        </w:rPr>
        <w:t xml:space="preserve">un </w:t>
      </w:r>
      <w:r w:rsidR="00E2542E" w:rsidRPr="009D598D">
        <w:rPr>
          <w:b/>
          <w:noProof/>
          <w:color w:val="000000"/>
          <w:szCs w:val="22"/>
        </w:rPr>
        <w:t>barošana ar krūti</w:t>
      </w:r>
    </w:p>
    <w:p w14:paraId="6F71E20D" w14:textId="77777777" w:rsidR="00EA59EE" w:rsidRPr="009D598D" w:rsidRDefault="00EA59EE" w:rsidP="009D598D">
      <w:pPr>
        <w:tabs>
          <w:tab w:val="clear" w:pos="567"/>
        </w:tabs>
        <w:spacing w:line="240" w:lineRule="auto"/>
        <w:jc w:val="both"/>
        <w:rPr>
          <w:color w:val="000000"/>
          <w:szCs w:val="22"/>
          <w:u w:val="single"/>
        </w:rPr>
      </w:pPr>
    </w:p>
    <w:p w14:paraId="7EF9FF0F" w14:textId="77777777" w:rsidR="0097548A" w:rsidRPr="009D598D" w:rsidRDefault="003F45AD" w:rsidP="009D598D">
      <w:pPr>
        <w:tabs>
          <w:tab w:val="clear" w:pos="567"/>
        </w:tabs>
        <w:spacing w:line="240" w:lineRule="auto"/>
        <w:jc w:val="both"/>
        <w:rPr>
          <w:color w:val="000000"/>
          <w:szCs w:val="22"/>
          <w:u w:val="single"/>
        </w:rPr>
      </w:pPr>
      <w:r w:rsidRPr="009D598D">
        <w:rPr>
          <w:color w:val="000000"/>
          <w:szCs w:val="22"/>
          <w:u w:val="single"/>
        </w:rPr>
        <w:t>Grūtniecība</w:t>
      </w:r>
    </w:p>
    <w:p w14:paraId="57BAE9D8"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 xml:space="preserve">Grippostad C lietošana grūtniecības laikā ir kontrindicēta, jo epidemioloģiskie pētījumi liecina, ka hlorfenamīna maleāts palielina CNS blakusparādību, galvaskausa patoloģiju un audzēju risku bērnībā. Viena pētījuma rezultāti liecina arī par palielinātu </w:t>
      </w:r>
      <w:r w:rsidR="004977A4" w:rsidRPr="009D598D">
        <w:rPr>
          <w:color w:val="000000"/>
          <w:sz w:val="22"/>
          <w:szCs w:val="22"/>
          <w:lang w:val="lv-LV"/>
        </w:rPr>
        <w:t>r</w:t>
      </w:r>
      <w:r w:rsidRPr="009D598D">
        <w:rPr>
          <w:color w:val="000000"/>
          <w:sz w:val="22"/>
          <w:szCs w:val="22"/>
          <w:lang w:val="lv-LV"/>
        </w:rPr>
        <w:t>etrolentas fibroplāzijas risku priekšlaicīgi dzimušajiem bērniem, ja māte pēdējo divu nedēļu laikā pirms dzemdībām ir lietojusi antihistamīna līdzekļus.</w:t>
      </w:r>
    </w:p>
    <w:p w14:paraId="38A9E600" w14:textId="77777777" w:rsidR="00A1306B" w:rsidRPr="009D598D" w:rsidRDefault="00A1306B" w:rsidP="009D598D">
      <w:pPr>
        <w:tabs>
          <w:tab w:val="clear" w:pos="567"/>
        </w:tabs>
        <w:spacing w:line="240" w:lineRule="auto"/>
        <w:jc w:val="both"/>
        <w:rPr>
          <w:color w:val="000000"/>
          <w:szCs w:val="22"/>
          <w:u w:val="single"/>
        </w:rPr>
      </w:pPr>
    </w:p>
    <w:p w14:paraId="68E9625E" w14:textId="77777777" w:rsidR="0097548A" w:rsidRPr="009D598D" w:rsidRDefault="00176DD3" w:rsidP="009D598D">
      <w:pPr>
        <w:tabs>
          <w:tab w:val="clear" w:pos="567"/>
        </w:tabs>
        <w:spacing w:line="240" w:lineRule="auto"/>
        <w:jc w:val="both"/>
        <w:rPr>
          <w:noProof/>
          <w:color w:val="000000"/>
          <w:szCs w:val="22"/>
          <w:u w:val="single"/>
        </w:rPr>
      </w:pPr>
      <w:r w:rsidRPr="009D598D">
        <w:rPr>
          <w:noProof/>
          <w:color w:val="000000"/>
          <w:szCs w:val="22"/>
          <w:u w:val="single"/>
        </w:rPr>
        <w:t>Barošana ar krūti</w:t>
      </w:r>
    </w:p>
    <w:p w14:paraId="5C6F9E37"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Tā kā nav zināms vai hlorfenamīna maleāts izdalās ar mātes pienu, Grippostad C lietošanas laikā jāpārtrauc bērna barošana ar krūti.</w:t>
      </w:r>
    </w:p>
    <w:p w14:paraId="41159DAA" w14:textId="77777777" w:rsidR="00CD10AA" w:rsidRPr="009D598D" w:rsidRDefault="00CD10AA" w:rsidP="009D598D">
      <w:pPr>
        <w:tabs>
          <w:tab w:val="clear" w:pos="567"/>
        </w:tabs>
        <w:spacing w:line="240" w:lineRule="auto"/>
        <w:jc w:val="both"/>
        <w:rPr>
          <w:color w:val="000000"/>
          <w:szCs w:val="22"/>
        </w:rPr>
      </w:pPr>
    </w:p>
    <w:p w14:paraId="754E5BFF"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4.7</w:t>
      </w:r>
      <w:r w:rsidR="00ED4652" w:rsidRPr="009D598D">
        <w:rPr>
          <w:b/>
          <w:color w:val="000000"/>
          <w:szCs w:val="22"/>
        </w:rPr>
        <w:t>.</w:t>
      </w:r>
      <w:r w:rsidRPr="009D598D">
        <w:rPr>
          <w:b/>
          <w:color w:val="000000"/>
          <w:szCs w:val="22"/>
        </w:rPr>
        <w:tab/>
        <w:t>Ietekme uz spēju vadīt transportlīdzekļus un apkalpot mehānismus</w:t>
      </w:r>
    </w:p>
    <w:p w14:paraId="5A2C2C4A" w14:textId="77777777" w:rsidR="00EA59EE" w:rsidRPr="009D598D" w:rsidRDefault="00EA59EE" w:rsidP="009D598D">
      <w:pPr>
        <w:pStyle w:val="CM8"/>
        <w:spacing w:after="0"/>
        <w:jc w:val="both"/>
        <w:rPr>
          <w:color w:val="000000"/>
          <w:sz w:val="22"/>
          <w:szCs w:val="22"/>
          <w:lang w:val="lv-LV"/>
        </w:rPr>
      </w:pPr>
    </w:p>
    <w:p w14:paraId="6BABE706"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Lietojot noteiktajās devās, šīs zāles var ietekmēt uzmanību, kā rezultātā var būt traucēta spēja vadīt transportlīdzekļus vai apkalpot mehānismus. It īpaši tas attiecas uz šo zāļu lietošanu vienlaicīgi ar alkoholu.</w:t>
      </w:r>
    </w:p>
    <w:p w14:paraId="3CCAD0B5" w14:textId="77777777" w:rsidR="00CD10AA" w:rsidRPr="009D598D" w:rsidRDefault="00CD10AA" w:rsidP="009D598D">
      <w:pPr>
        <w:tabs>
          <w:tab w:val="clear" w:pos="567"/>
        </w:tabs>
        <w:spacing w:line="240" w:lineRule="auto"/>
        <w:jc w:val="both"/>
        <w:rPr>
          <w:color w:val="000000"/>
          <w:szCs w:val="22"/>
        </w:rPr>
      </w:pPr>
    </w:p>
    <w:p w14:paraId="4BB58F96"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4.8</w:t>
      </w:r>
      <w:r w:rsidR="002A61E1" w:rsidRPr="009D598D">
        <w:rPr>
          <w:b/>
          <w:color w:val="000000"/>
          <w:szCs w:val="22"/>
        </w:rPr>
        <w:t>.</w:t>
      </w:r>
      <w:r w:rsidRPr="009D598D">
        <w:rPr>
          <w:b/>
          <w:color w:val="000000"/>
          <w:szCs w:val="22"/>
        </w:rPr>
        <w:tab/>
        <w:t>Nevēlamās blakusparādības</w:t>
      </w:r>
    </w:p>
    <w:p w14:paraId="0F52538C" w14:textId="77777777" w:rsidR="00EA59EE" w:rsidRPr="009D598D" w:rsidRDefault="00EA59EE" w:rsidP="009D598D">
      <w:pPr>
        <w:pStyle w:val="EMEAEnBodyText"/>
        <w:spacing w:before="0" w:after="0"/>
        <w:rPr>
          <w:color w:val="000000"/>
          <w:szCs w:val="22"/>
          <w:lang w:val="lv-LV"/>
        </w:rPr>
      </w:pPr>
    </w:p>
    <w:p w14:paraId="645BE478" w14:textId="77777777" w:rsidR="003F45AD" w:rsidRPr="009D598D" w:rsidRDefault="00A1306B" w:rsidP="009D598D">
      <w:pPr>
        <w:pStyle w:val="EMEAEnBodyText"/>
        <w:spacing w:before="0" w:after="0"/>
        <w:rPr>
          <w:color w:val="000000"/>
          <w:szCs w:val="22"/>
          <w:lang w:val="lv-LV"/>
        </w:rPr>
      </w:pPr>
      <w:r w:rsidRPr="009D598D">
        <w:rPr>
          <w:color w:val="000000"/>
          <w:szCs w:val="22"/>
          <w:lang w:val="lv-LV"/>
        </w:rPr>
        <w:t xml:space="preserve">Šajā apakšpunktā blakusparādības ir definētas sekojoši: </w:t>
      </w:r>
      <w:r w:rsidR="003F45AD" w:rsidRPr="009D598D">
        <w:rPr>
          <w:color w:val="000000"/>
          <w:szCs w:val="22"/>
          <w:lang w:val="lv-LV"/>
        </w:rPr>
        <w:t xml:space="preserve">ļoti bieži </w:t>
      </w:r>
      <w:r w:rsidR="003F45AD" w:rsidRPr="009D598D">
        <w:rPr>
          <w:bCs/>
          <w:noProof/>
          <w:color w:val="000000"/>
          <w:szCs w:val="22"/>
          <w:lang w:val="lv-LV"/>
        </w:rPr>
        <w:t>(</w:t>
      </w:r>
      <w:r w:rsidR="003F45AD" w:rsidRPr="009D598D">
        <w:rPr>
          <w:bCs/>
          <w:noProof/>
          <w:color w:val="000000"/>
          <w:szCs w:val="22"/>
          <w:lang w:val="lv-LV"/>
        </w:rPr>
        <w:sym w:font="Symbol" w:char="F0B3"/>
      </w:r>
      <w:r w:rsidR="003F45AD" w:rsidRPr="009D598D">
        <w:rPr>
          <w:color w:val="000000"/>
          <w:szCs w:val="22"/>
          <w:lang w:val="lv-LV"/>
        </w:rPr>
        <w:t xml:space="preserve">1/10), bieži </w:t>
      </w:r>
      <w:r w:rsidR="003F45AD" w:rsidRPr="009D598D">
        <w:rPr>
          <w:bCs/>
          <w:noProof/>
          <w:color w:val="000000"/>
          <w:szCs w:val="22"/>
          <w:lang w:val="lv-LV"/>
        </w:rPr>
        <w:t>(</w:t>
      </w:r>
      <w:r w:rsidR="003F45AD" w:rsidRPr="009D598D">
        <w:rPr>
          <w:bCs/>
          <w:noProof/>
          <w:color w:val="000000"/>
          <w:szCs w:val="22"/>
          <w:lang w:val="lv-LV"/>
        </w:rPr>
        <w:sym w:font="Symbol" w:char="F0B3"/>
      </w:r>
      <w:r w:rsidR="003F45AD" w:rsidRPr="009D598D">
        <w:rPr>
          <w:color w:val="000000"/>
          <w:szCs w:val="22"/>
          <w:lang w:val="lv-LV"/>
        </w:rPr>
        <w:t xml:space="preserve">1/100 līdz &lt;1/10), retāk </w:t>
      </w:r>
      <w:r w:rsidR="003F45AD" w:rsidRPr="009D598D">
        <w:rPr>
          <w:bCs/>
          <w:noProof/>
          <w:color w:val="000000"/>
          <w:szCs w:val="22"/>
          <w:lang w:val="lv-LV"/>
        </w:rPr>
        <w:t>(</w:t>
      </w:r>
      <w:r w:rsidR="003F45AD" w:rsidRPr="009D598D">
        <w:rPr>
          <w:bCs/>
          <w:noProof/>
          <w:color w:val="000000"/>
          <w:szCs w:val="22"/>
          <w:lang w:val="lv-LV"/>
        </w:rPr>
        <w:sym w:font="Symbol" w:char="F0B3"/>
      </w:r>
      <w:r w:rsidR="003F45AD" w:rsidRPr="009D598D">
        <w:rPr>
          <w:color w:val="000000"/>
          <w:szCs w:val="22"/>
          <w:lang w:val="lv-LV"/>
        </w:rPr>
        <w:t>1/1</w:t>
      </w:r>
      <w:r w:rsidR="003F45AD" w:rsidRPr="009D598D">
        <w:rPr>
          <w:bCs/>
          <w:noProof/>
          <w:color w:val="000000"/>
          <w:szCs w:val="22"/>
          <w:lang w:val="lv-LV"/>
        </w:rPr>
        <w:t> </w:t>
      </w:r>
      <w:r w:rsidR="003F45AD" w:rsidRPr="009D598D">
        <w:rPr>
          <w:color w:val="000000"/>
          <w:szCs w:val="22"/>
          <w:lang w:val="lv-LV"/>
        </w:rPr>
        <w:t xml:space="preserve">000 līdz &lt;1/100), reti </w:t>
      </w:r>
      <w:r w:rsidR="003F45AD" w:rsidRPr="009D598D">
        <w:rPr>
          <w:bCs/>
          <w:noProof/>
          <w:color w:val="000000"/>
          <w:szCs w:val="22"/>
          <w:lang w:val="lv-LV"/>
        </w:rPr>
        <w:t>(</w:t>
      </w:r>
      <w:r w:rsidR="003F45AD" w:rsidRPr="009D598D">
        <w:rPr>
          <w:bCs/>
          <w:noProof/>
          <w:color w:val="000000"/>
          <w:szCs w:val="22"/>
          <w:lang w:val="lv-LV"/>
        </w:rPr>
        <w:sym w:font="Symbol" w:char="F0B3"/>
      </w:r>
      <w:r w:rsidR="003F45AD" w:rsidRPr="009D598D">
        <w:rPr>
          <w:color w:val="000000"/>
          <w:szCs w:val="22"/>
          <w:lang w:val="lv-LV"/>
        </w:rPr>
        <w:t>1/10</w:t>
      </w:r>
      <w:r w:rsidR="003F45AD" w:rsidRPr="009D598D">
        <w:rPr>
          <w:bCs/>
          <w:noProof/>
          <w:color w:val="000000"/>
          <w:szCs w:val="22"/>
          <w:lang w:val="lv-LV"/>
        </w:rPr>
        <w:t> </w:t>
      </w:r>
      <w:r w:rsidR="003F45AD" w:rsidRPr="009D598D">
        <w:rPr>
          <w:color w:val="000000"/>
          <w:szCs w:val="22"/>
          <w:lang w:val="lv-LV"/>
        </w:rPr>
        <w:t>000 līdz &lt;</w:t>
      </w:r>
      <w:r w:rsidRPr="009D598D">
        <w:rPr>
          <w:color w:val="000000"/>
          <w:szCs w:val="22"/>
          <w:lang w:val="lv-LV"/>
        </w:rPr>
        <w:t>1/1</w:t>
      </w:r>
      <w:r w:rsidRPr="009D598D">
        <w:rPr>
          <w:bCs/>
          <w:noProof/>
          <w:color w:val="000000"/>
          <w:szCs w:val="22"/>
          <w:lang w:val="lv-LV"/>
        </w:rPr>
        <w:t> </w:t>
      </w:r>
      <w:r w:rsidRPr="009D598D">
        <w:rPr>
          <w:color w:val="000000"/>
          <w:szCs w:val="22"/>
          <w:lang w:val="lv-LV"/>
        </w:rPr>
        <w:t>000), ļoti reti (&lt;1/10</w:t>
      </w:r>
      <w:r w:rsidRPr="009D598D">
        <w:rPr>
          <w:bCs/>
          <w:noProof/>
          <w:color w:val="000000"/>
          <w:szCs w:val="22"/>
          <w:lang w:val="lv-LV"/>
        </w:rPr>
        <w:t> </w:t>
      </w:r>
      <w:r w:rsidRPr="009D598D">
        <w:rPr>
          <w:color w:val="000000"/>
          <w:szCs w:val="22"/>
          <w:lang w:val="lv-LV"/>
        </w:rPr>
        <w:t>000</w:t>
      </w:r>
      <w:r w:rsidRPr="009D598D">
        <w:rPr>
          <w:bCs/>
          <w:noProof/>
          <w:color w:val="000000"/>
          <w:szCs w:val="22"/>
          <w:lang w:val="lv-LV"/>
        </w:rPr>
        <w:t>) un</w:t>
      </w:r>
      <w:r w:rsidR="003F45AD" w:rsidRPr="009D598D">
        <w:rPr>
          <w:color w:val="000000"/>
          <w:szCs w:val="22"/>
          <w:lang w:val="lv-LV"/>
        </w:rPr>
        <w:t xml:space="preserve"> nav zināmi (nevar noteikt pēc pieejamiem datiem</w:t>
      </w:r>
      <w:r w:rsidR="003F45AD" w:rsidRPr="009D598D">
        <w:rPr>
          <w:bCs/>
          <w:noProof/>
          <w:color w:val="000000"/>
          <w:szCs w:val="22"/>
          <w:lang w:val="lv-LV"/>
        </w:rPr>
        <w:t>)</w:t>
      </w:r>
      <w:r w:rsidR="00535EC6" w:rsidRPr="009D598D">
        <w:rPr>
          <w:bCs/>
          <w:noProof/>
          <w:color w:val="000000"/>
          <w:szCs w:val="22"/>
          <w:lang w:val="lv-LV"/>
        </w:rPr>
        <w:t>.</w:t>
      </w:r>
    </w:p>
    <w:p w14:paraId="3458BBCB" w14:textId="77777777" w:rsidR="003F45AD" w:rsidRPr="009D598D" w:rsidRDefault="003F45AD" w:rsidP="009D598D">
      <w:pPr>
        <w:pStyle w:val="EMEAEnBodyText"/>
        <w:spacing w:before="0" w:after="0"/>
        <w:rPr>
          <w:color w:val="000000"/>
          <w:szCs w:val="22"/>
          <w:lang w:val="lv-LV"/>
        </w:rPr>
      </w:pPr>
    </w:p>
    <w:p w14:paraId="4B291950"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Asins un limfātiskās sistēmas traucējumi</w:t>
      </w:r>
    </w:p>
    <w:p w14:paraId="02BCDF3E"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 xml:space="preserve">izmaiņas </w:t>
      </w:r>
      <w:r w:rsidRPr="009D598D">
        <w:rPr>
          <w:color w:val="000000"/>
          <w:sz w:val="22"/>
          <w:szCs w:val="22"/>
          <w:lang w:val="lv-LV"/>
        </w:rPr>
        <w:t>asinsainā, piemēram, leikopēnija, neitropēnija, agranulocitoze, trombocitopēnija, trombocitopēniska purpura, pancitopēnija, aplastiska anēmija un lielu devu lietošanas gadījumā iespējama neliela methemoglobīna veidošanās.</w:t>
      </w:r>
    </w:p>
    <w:p w14:paraId="22CD0473" w14:textId="77777777" w:rsidR="00A1306B" w:rsidRPr="009D598D" w:rsidRDefault="00A1306B" w:rsidP="009D598D">
      <w:pPr>
        <w:pStyle w:val="EMEAEnBodyText"/>
        <w:spacing w:before="0" w:after="0"/>
        <w:rPr>
          <w:color w:val="000000"/>
          <w:szCs w:val="22"/>
          <w:u w:val="single"/>
          <w:lang w:val="lv-LV"/>
        </w:rPr>
      </w:pPr>
    </w:p>
    <w:p w14:paraId="2E3068BA"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Imūnās sistēmas traucējumi</w:t>
      </w:r>
    </w:p>
    <w:p w14:paraId="122E73DA"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 xml:space="preserve">aktīvā </w:t>
      </w:r>
      <w:r w:rsidRPr="009D598D">
        <w:rPr>
          <w:color w:val="000000"/>
          <w:sz w:val="22"/>
          <w:szCs w:val="22"/>
          <w:lang w:val="lv-LV"/>
        </w:rPr>
        <w:t xml:space="preserve">viela paracetamols var izraisīt smagas paaugstinātas jutības reakcijas (angioneirotisko tūsku, elpas trūkumu, svīšanu, sliktu dūšu, hipotensiju, kas </w:t>
      </w:r>
      <w:r w:rsidR="004F66D7" w:rsidRPr="009D598D">
        <w:rPr>
          <w:color w:val="000000"/>
          <w:sz w:val="22"/>
          <w:szCs w:val="22"/>
          <w:lang w:val="lv-LV"/>
        </w:rPr>
        <w:t xml:space="preserve">var </w:t>
      </w:r>
      <w:r w:rsidRPr="009D598D">
        <w:rPr>
          <w:color w:val="000000"/>
          <w:sz w:val="22"/>
          <w:szCs w:val="22"/>
          <w:lang w:val="lv-LV"/>
        </w:rPr>
        <w:t>progresēt līdz asinsrites mazspējai un anafilaktiskam šokam).</w:t>
      </w:r>
    </w:p>
    <w:p w14:paraId="1B1F223A"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Nav zināmi</w:t>
      </w:r>
      <w:r w:rsidRPr="009D598D">
        <w:rPr>
          <w:color w:val="000000"/>
          <w:sz w:val="22"/>
          <w:szCs w:val="22"/>
          <w:lang w:val="lv-LV"/>
        </w:rPr>
        <w:t xml:space="preserve">: </w:t>
      </w:r>
      <w:r w:rsidR="00535EC6" w:rsidRPr="009D598D">
        <w:rPr>
          <w:color w:val="000000"/>
          <w:sz w:val="22"/>
          <w:szCs w:val="22"/>
          <w:lang w:val="lv-LV"/>
        </w:rPr>
        <w:t xml:space="preserve">īslaicīgas </w:t>
      </w:r>
      <w:r w:rsidRPr="009D598D">
        <w:rPr>
          <w:color w:val="000000"/>
          <w:sz w:val="22"/>
          <w:szCs w:val="22"/>
          <w:lang w:val="lv-LV"/>
        </w:rPr>
        <w:t>Grippostad C lietošanas gadījumā atsevišķos gadījumos novērotas bullozas ādas reakcijas, piemēram, Stīvensa – Džonsona sindroms un toksiska epidermāla nekrolīze/Laiela sindroms.</w:t>
      </w:r>
    </w:p>
    <w:p w14:paraId="1470CF1C" w14:textId="77777777" w:rsidR="00A1306B" w:rsidRPr="009D598D" w:rsidRDefault="00A1306B" w:rsidP="009D598D">
      <w:pPr>
        <w:pStyle w:val="EMEAEnBodyText"/>
        <w:spacing w:before="0" w:after="0"/>
        <w:rPr>
          <w:color w:val="000000"/>
          <w:szCs w:val="22"/>
          <w:u w:val="single"/>
          <w:lang w:val="lv-LV"/>
        </w:rPr>
      </w:pPr>
    </w:p>
    <w:p w14:paraId="46C615F3" w14:textId="77777777" w:rsidR="003F45AD" w:rsidRPr="009D598D" w:rsidRDefault="003F45AD" w:rsidP="009D598D">
      <w:pPr>
        <w:pStyle w:val="EMEAEnBodyText"/>
        <w:spacing w:before="0" w:after="0"/>
        <w:rPr>
          <w:noProof/>
          <w:color w:val="000000"/>
          <w:szCs w:val="22"/>
          <w:u w:val="single"/>
          <w:lang w:val="lv-LV"/>
        </w:rPr>
      </w:pPr>
      <w:r w:rsidRPr="009D598D">
        <w:rPr>
          <w:noProof/>
          <w:color w:val="000000"/>
          <w:szCs w:val="22"/>
          <w:u w:val="single"/>
          <w:lang w:val="lv-LV"/>
        </w:rPr>
        <w:t>Vielmaiņas un uztures traucējumi</w:t>
      </w:r>
    </w:p>
    <w:p w14:paraId="3844EEA2"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 xml:space="preserve">palielināta </w:t>
      </w:r>
      <w:r w:rsidRPr="009D598D">
        <w:rPr>
          <w:color w:val="000000"/>
          <w:sz w:val="22"/>
          <w:szCs w:val="22"/>
          <w:lang w:val="lv-LV"/>
        </w:rPr>
        <w:t>apetīte.</w:t>
      </w:r>
    </w:p>
    <w:p w14:paraId="47839125" w14:textId="77777777" w:rsidR="00A1306B" w:rsidRPr="009D598D" w:rsidRDefault="00A1306B" w:rsidP="009D598D">
      <w:pPr>
        <w:pStyle w:val="EMEAEnBodyText"/>
        <w:spacing w:before="0" w:after="0"/>
        <w:rPr>
          <w:noProof/>
          <w:color w:val="000000"/>
          <w:szCs w:val="22"/>
          <w:u w:val="single"/>
          <w:lang w:val="lv-LV"/>
        </w:rPr>
      </w:pPr>
    </w:p>
    <w:p w14:paraId="1D641F8C" w14:textId="77777777" w:rsidR="003F45AD" w:rsidRPr="009D598D" w:rsidRDefault="003F45AD" w:rsidP="009D598D">
      <w:pPr>
        <w:pStyle w:val="EMEAEnBodyText"/>
        <w:spacing w:before="0" w:after="0"/>
        <w:rPr>
          <w:noProof/>
          <w:color w:val="000000"/>
          <w:szCs w:val="22"/>
          <w:u w:val="single"/>
          <w:lang w:val="lv-LV"/>
        </w:rPr>
      </w:pPr>
      <w:r w:rsidRPr="009D598D">
        <w:rPr>
          <w:noProof/>
          <w:color w:val="000000"/>
          <w:szCs w:val="22"/>
          <w:u w:val="single"/>
          <w:lang w:val="lv-LV"/>
        </w:rPr>
        <w:t>Psihiskie traucējumi</w:t>
      </w:r>
    </w:p>
    <w:p w14:paraId="251AEEF0"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 xml:space="preserve">psihotiskas </w:t>
      </w:r>
      <w:r w:rsidRPr="009D598D">
        <w:rPr>
          <w:color w:val="000000"/>
          <w:sz w:val="22"/>
          <w:szCs w:val="22"/>
          <w:lang w:val="lv-LV"/>
        </w:rPr>
        <w:t>reakcijas.</w:t>
      </w:r>
    </w:p>
    <w:p w14:paraId="154D460E"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Nav zināmi</w:t>
      </w:r>
      <w:r w:rsidRPr="009D598D">
        <w:rPr>
          <w:color w:val="000000"/>
          <w:sz w:val="22"/>
          <w:szCs w:val="22"/>
          <w:lang w:val="lv-LV"/>
        </w:rPr>
        <w:t xml:space="preserve">: </w:t>
      </w:r>
      <w:r w:rsidR="00535EC6" w:rsidRPr="009D598D">
        <w:rPr>
          <w:color w:val="000000"/>
          <w:sz w:val="22"/>
          <w:szCs w:val="22"/>
          <w:lang w:val="lv-LV"/>
        </w:rPr>
        <w:t xml:space="preserve">iekšējs </w:t>
      </w:r>
      <w:r w:rsidRPr="009D598D">
        <w:rPr>
          <w:color w:val="000000"/>
          <w:sz w:val="22"/>
          <w:szCs w:val="22"/>
          <w:lang w:val="lv-LV"/>
        </w:rPr>
        <w:t>nemiers, bezmiegs.</w:t>
      </w:r>
    </w:p>
    <w:p w14:paraId="50854AE5" w14:textId="77777777" w:rsidR="00A1306B" w:rsidRPr="009D598D" w:rsidRDefault="00A1306B" w:rsidP="009D598D">
      <w:pPr>
        <w:pStyle w:val="EMEAEnBodyText"/>
        <w:spacing w:before="0" w:after="0"/>
        <w:rPr>
          <w:noProof/>
          <w:color w:val="000000"/>
          <w:szCs w:val="22"/>
          <w:u w:val="single"/>
          <w:lang w:val="lv-LV"/>
        </w:rPr>
      </w:pPr>
    </w:p>
    <w:p w14:paraId="24971BCB" w14:textId="77777777" w:rsidR="003F45AD" w:rsidRPr="009D598D" w:rsidRDefault="003F45AD" w:rsidP="009D598D">
      <w:pPr>
        <w:pStyle w:val="EMEAEnBodyText"/>
        <w:spacing w:before="0" w:after="0"/>
        <w:rPr>
          <w:noProof/>
          <w:color w:val="000000"/>
          <w:szCs w:val="22"/>
          <w:u w:val="single"/>
          <w:lang w:val="lv-LV"/>
        </w:rPr>
      </w:pPr>
      <w:r w:rsidRPr="009D598D">
        <w:rPr>
          <w:noProof/>
          <w:color w:val="000000"/>
          <w:szCs w:val="22"/>
          <w:u w:val="single"/>
          <w:lang w:val="lv-LV"/>
        </w:rPr>
        <w:t>Nervu sistēmas traucējumi</w:t>
      </w:r>
    </w:p>
    <w:p w14:paraId="5412041A"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diskinēzija</w:t>
      </w:r>
      <w:r w:rsidRPr="009D598D">
        <w:rPr>
          <w:color w:val="000000"/>
          <w:sz w:val="22"/>
          <w:szCs w:val="22"/>
          <w:lang w:val="lv-LV"/>
        </w:rPr>
        <w:t>.</w:t>
      </w:r>
    </w:p>
    <w:p w14:paraId="52342C9D"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Nav zināmi</w:t>
      </w:r>
      <w:r w:rsidRPr="009D598D">
        <w:rPr>
          <w:color w:val="000000"/>
          <w:sz w:val="22"/>
          <w:szCs w:val="22"/>
          <w:lang w:val="lv-LV"/>
        </w:rPr>
        <w:t xml:space="preserve">: </w:t>
      </w:r>
      <w:r w:rsidR="00535EC6" w:rsidRPr="009D598D">
        <w:rPr>
          <w:color w:val="000000"/>
          <w:sz w:val="22"/>
          <w:szCs w:val="22"/>
          <w:lang w:val="lv-LV"/>
        </w:rPr>
        <w:t>sedācija</w:t>
      </w:r>
      <w:r w:rsidRPr="009D598D">
        <w:rPr>
          <w:color w:val="000000"/>
          <w:sz w:val="22"/>
          <w:szCs w:val="22"/>
          <w:lang w:val="lv-LV"/>
        </w:rPr>
        <w:t>, miegainums.</w:t>
      </w:r>
    </w:p>
    <w:p w14:paraId="36A074B4" w14:textId="77777777" w:rsidR="00A1306B" w:rsidRPr="009D598D" w:rsidRDefault="00A1306B" w:rsidP="009D598D">
      <w:pPr>
        <w:pStyle w:val="EMEAEnBodyText"/>
        <w:spacing w:before="0" w:after="0"/>
        <w:rPr>
          <w:color w:val="000000"/>
          <w:szCs w:val="22"/>
          <w:u w:val="single"/>
          <w:lang w:val="lv-LV"/>
        </w:rPr>
      </w:pPr>
    </w:p>
    <w:p w14:paraId="44A9E5EC"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Acu bojājumi</w:t>
      </w:r>
    </w:p>
    <w:p w14:paraId="44E661FB"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 xml:space="preserve">glaukoma </w:t>
      </w:r>
      <w:r w:rsidRPr="009D598D">
        <w:rPr>
          <w:color w:val="000000"/>
          <w:sz w:val="22"/>
          <w:szCs w:val="22"/>
          <w:lang w:val="lv-LV"/>
        </w:rPr>
        <w:t>(slēgta kakta glaukoma), redzes traucējumi.</w:t>
      </w:r>
    </w:p>
    <w:p w14:paraId="5549AC74" w14:textId="77777777" w:rsidR="00A1306B" w:rsidRPr="009D598D" w:rsidRDefault="00A1306B" w:rsidP="009D598D">
      <w:pPr>
        <w:pStyle w:val="EMEAEnBodyText"/>
        <w:spacing w:before="0" w:after="0"/>
        <w:rPr>
          <w:color w:val="000000"/>
          <w:szCs w:val="22"/>
          <w:u w:val="single"/>
          <w:lang w:val="lv-LV"/>
        </w:rPr>
      </w:pPr>
    </w:p>
    <w:p w14:paraId="0669C8EB" w14:textId="77777777" w:rsidR="003F45AD" w:rsidRPr="009D598D" w:rsidRDefault="003F45AD" w:rsidP="009D598D">
      <w:pPr>
        <w:pStyle w:val="EMEAEnBodyText"/>
        <w:spacing w:before="0" w:after="0"/>
        <w:rPr>
          <w:noProof/>
          <w:color w:val="000000"/>
          <w:szCs w:val="22"/>
          <w:u w:val="single"/>
          <w:lang w:val="lv-LV"/>
        </w:rPr>
      </w:pPr>
      <w:r w:rsidRPr="009D598D">
        <w:rPr>
          <w:noProof/>
          <w:color w:val="000000"/>
          <w:szCs w:val="22"/>
          <w:u w:val="single"/>
          <w:lang w:val="lv-LV"/>
        </w:rPr>
        <w:t>Sirds funkcijas traucējumi</w:t>
      </w:r>
    </w:p>
    <w:p w14:paraId="234D8CA1"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Nav zināmi</w:t>
      </w:r>
      <w:r w:rsidRPr="009D598D">
        <w:rPr>
          <w:color w:val="000000"/>
          <w:sz w:val="22"/>
          <w:szCs w:val="22"/>
          <w:lang w:val="lv-LV"/>
        </w:rPr>
        <w:t xml:space="preserve">: </w:t>
      </w:r>
      <w:r w:rsidR="00535EC6" w:rsidRPr="009D598D">
        <w:rPr>
          <w:color w:val="000000"/>
          <w:sz w:val="22"/>
          <w:szCs w:val="22"/>
          <w:lang w:val="lv-LV"/>
        </w:rPr>
        <w:t xml:space="preserve">sirds </w:t>
      </w:r>
      <w:r w:rsidRPr="009D598D">
        <w:rPr>
          <w:color w:val="000000"/>
          <w:sz w:val="22"/>
          <w:szCs w:val="22"/>
          <w:lang w:val="lv-LV"/>
        </w:rPr>
        <w:t>aritmijas, piemēram, tahikardija.</w:t>
      </w:r>
    </w:p>
    <w:p w14:paraId="7118CB3C" w14:textId="77777777" w:rsidR="00A1306B" w:rsidRPr="009D598D" w:rsidRDefault="00A1306B" w:rsidP="009D598D">
      <w:pPr>
        <w:pStyle w:val="EMEAEnBodyText"/>
        <w:spacing w:before="0" w:after="0"/>
        <w:rPr>
          <w:noProof/>
          <w:color w:val="000000"/>
          <w:szCs w:val="22"/>
          <w:u w:val="single"/>
          <w:lang w:val="lv-LV"/>
        </w:rPr>
      </w:pPr>
    </w:p>
    <w:p w14:paraId="5F39B953"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Elpošanas sistēmas traucējumi, krūšu kurvja un videnes slimības</w:t>
      </w:r>
    </w:p>
    <w:p w14:paraId="4487A129"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 xml:space="preserve">paaugstinātas </w:t>
      </w:r>
      <w:r w:rsidRPr="009D598D">
        <w:rPr>
          <w:color w:val="000000"/>
          <w:sz w:val="22"/>
          <w:szCs w:val="22"/>
          <w:lang w:val="lv-LV"/>
        </w:rPr>
        <w:t>elpceļu jutības reakcijas, predisponētiem pacientiem paracetamols var izraisīt bronhospazmas (analgētiska astma).</w:t>
      </w:r>
    </w:p>
    <w:p w14:paraId="223E6CFA" w14:textId="77777777" w:rsidR="00A1306B" w:rsidRPr="009D598D" w:rsidRDefault="00A1306B" w:rsidP="009D598D">
      <w:pPr>
        <w:pStyle w:val="EMEAEnBodyText"/>
        <w:spacing w:before="0" w:after="0"/>
        <w:rPr>
          <w:color w:val="000000"/>
          <w:szCs w:val="22"/>
          <w:u w:val="single"/>
          <w:lang w:val="lv-LV"/>
        </w:rPr>
      </w:pPr>
    </w:p>
    <w:p w14:paraId="4FE76672"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Kuņģa-zarnu trakta traucējumi</w:t>
      </w:r>
    </w:p>
    <w:p w14:paraId="7B520305"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Bieži</w:t>
      </w:r>
      <w:r w:rsidRPr="009D598D">
        <w:rPr>
          <w:color w:val="000000"/>
          <w:sz w:val="22"/>
          <w:szCs w:val="22"/>
          <w:lang w:val="lv-LV"/>
        </w:rPr>
        <w:t xml:space="preserve">: </w:t>
      </w:r>
      <w:r w:rsidR="00535EC6" w:rsidRPr="009D598D">
        <w:rPr>
          <w:color w:val="000000"/>
          <w:sz w:val="22"/>
          <w:szCs w:val="22"/>
          <w:lang w:val="lv-LV"/>
        </w:rPr>
        <w:t xml:space="preserve">sausuma </w:t>
      </w:r>
      <w:r w:rsidRPr="009D598D">
        <w:rPr>
          <w:color w:val="000000"/>
          <w:sz w:val="22"/>
          <w:szCs w:val="22"/>
          <w:lang w:val="lv-LV"/>
        </w:rPr>
        <w:t>sajūta mutē.</w:t>
      </w:r>
    </w:p>
    <w:p w14:paraId="144ACE54"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 xml:space="preserve">kuņģa </w:t>
      </w:r>
      <w:r w:rsidRPr="009D598D">
        <w:rPr>
          <w:color w:val="000000"/>
          <w:sz w:val="22"/>
          <w:szCs w:val="22"/>
          <w:lang w:val="lv-LV"/>
        </w:rPr>
        <w:t>– zarnu trakta traucējumi.</w:t>
      </w:r>
    </w:p>
    <w:p w14:paraId="14DA3B91" w14:textId="77777777" w:rsidR="00A1306B" w:rsidRPr="009D598D" w:rsidRDefault="00A1306B" w:rsidP="009D598D">
      <w:pPr>
        <w:pStyle w:val="EMEAEnBodyText"/>
        <w:spacing w:before="0" w:after="0"/>
        <w:rPr>
          <w:color w:val="000000"/>
          <w:szCs w:val="22"/>
          <w:u w:val="single"/>
          <w:lang w:val="lv-LV"/>
        </w:rPr>
      </w:pPr>
    </w:p>
    <w:p w14:paraId="132BF55B"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Aknu un/vai žults izvades sistēmas traucējumi</w:t>
      </w:r>
    </w:p>
    <w:p w14:paraId="18706912"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Reti</w:t>
      </w:r>
      <w:r w:rsidRPr="009D598D">
        <w:rPr>
          <w:color w:val="000000"/>
          <w:sz w:val="22"/>
          <w:szCs w:val="22"/>
          <w:lang w:val="lv-LV"/>
        </w:rPr>
        <w:t xml:space="preserve">: </w:t>
      </w:r>
      <w:r w:rsidR="00535EC6" w:rsidRPr="009D598D">
        <w:rPr>
          <w:color w:val="000000"/>
          <w:sz w:val="22"/>
          <w:szCs w:val="22"/>
          <w:lang w:val="lv-LV"/>
        </w:rPr>
        <w:t xml:space="preserve">paaugstināts </w:t>
      </w:r>
      <w:r w:rsidRPr="009D598D">
        <w:rPr>
          <w:color w:val="000000"/>
          <w:sz w:val="22"/>
          <w:szCs w:val="22"/>
          <w:lang w:val="lv-LV"/>
        </w:rPr>
        <w:t>aknu transamināžu līmenis.</w:t>
      </w:r>
    </w:p>
    <w:p w14:paraId="2B7B962E"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535EC6" w:rsidRPr="009D598D">
        <w:rPr>
          <w:color w:val="000000"/>
          <w:sz w:val="22"/>
          <w:szCs w:val="22"/>
          <w:lang w:val="lv-LV"/>
        </w:rPr>
        <w:t xml:space="preserve">ilgstoši </w:t>
      </w:r>
      <w:r w:rsidRPr="009D598D">
        <w:rPr>
          <w:color w:val="000000"/>
          <w:sz w:val="22"/>
          <w:szCs w:val="22"/>
          <w:lang w:val="lv-LV"/>
        </w:rPr>
        <w:t>lietojot lielas devas vai arī pārdozēšanas gadījumā iespējami aknu bojājumi.</w:t>
      </w:r>
    </w:p>
    <w:p w14:paraId="3F3D36DB" w14:textId="77777777" w:rsidR="00A1306B" w:rsidRPr="009D598D" w:rsidRDefault="00A1306B" w:rsidP="009D598D">
      <w:pPr>
        <w:pStyle w:val="EMEAEnBodyText"/>
        <w:spacing w:before="0" w:after="0"/>
        <w:rPr>
          <w:color w:val="000000"/>
          <w:szCs w:val="22"/>
          <w:u w:val="single"/>
          <w:lang w:val="lv-LV"/>
        </w:rPr>
      </w:pPr>
    </w:p>
    <w:p w14:paraId="2A6E48BA"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Ādas un zemādas audu bojājumi</w:t>
      </w:r>
    </w:p>
    <w:p w14:paraId="63E8C0E3"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Retāk</w:t>
      </w:r>
      <w:r w:rsidRPr="009D598D">
        <w:rPr>
          <w:color w:val="000000"/>
          <w:sz w:val="22"/>
          <w:szCs w:val="22"/>
          <w:lang w:val="lv-LV"/>
        </w:rPr>
        <w:t xml:space="preserve">: </w:t>
      </w:r>
      <w:r w:rsidR="00535EC6" w:rsidRPr="009D598D">
        <w:rPr>
          <w:color w:val="000000"/>
          <w:sz w:val="22"/>
          <w:szCs w:val="22"/>
          <w:lang w:val="lv-LV"/>
        </w:rPr>
        <w:t xml:space="preserve">alerģiskas </w:t>
      </w:r>
      <w:r w:rsidRPr="009D598D">
        <w:rPr>
          <w:color w:val="000000"/>
          <w:sz w:val="22"/>
          <w:szCs w:val="22"/>
          <w:lang w:val="lv-LV"/>
        </w:rPr>
        <w:t>reakcijas (eritematozas vai nātrene), ko</w:t>
      </w:r>
      <w:r w:rsidR="0038070A" w:rsidRPr="009D598D">
        <w:rPr>
          <w:color w:val="000000"/>
          <w:sz w:val="22"/>
          <w:szCs w:val="22"/>
          <w:lang w:val="lv-LV"/>
        </w:rPr>
        <w:t>,</w:t>
      </w:r>
      <w:r w:rsidRPr="009D598D">
        <w:rPr>
          <w:color w:val="000000"/>
          <w:sz w:val="22"/>
          <w:szCs w:val="22"/>
          <w:lang w:val="lv-LV"/>
        </w:rPr>
        <w:t xml:space="preserve"> iespējams</w:t>
      </w:r>
      <w:r w:rsidR="0038070A" w:rsidRPr="009D598D">
        <w:rPr>
          <w:color w:val="000000"/>
          <w:sz w:val="22"/>
          <w:szCs w:val="22"/>
          <w:lang w:val="lv-LV"/>
        </w:rPr>
        <w:t>,</w:t>
      </w:r>
      <w:r w:rsidRPr="009D598D">
        <w:rPr>
          <w:color w:val="000000"/>
          <w:sz w:val="22"/>
          <w:szCs w:val="22"/>
          <w:lang w:val="lv-LV"/>
        </w:rPr>
        <w:t xml:space="preserve"> pavada paaugstināta ķermeņa temperatūra (zāļu izraisīts drudzis) un gļotādas bojājumi.</w:t>
      </w:r>
    </w:p>
    <w:p w14:paraId="733CC2F1" w14:textId="77777777" w:rsidR="00A1306B" w:rsidRPr="009D598D" w:rsidRDefault="0038070A" w:rsidP="009D598D">
      <w:pPr>
        <w:pStyle w:val="EMEAEnBodyText"/>
        <w:spacing w:before="0" w:after="0"/>
        <w:rPr>
          <w:noProof/>
          <w:color w:val="000000"/>
          <w:szCs w:val="22"/>
          <w:lang w:val="lv-LV"/>
        </w:rPr>
      </w:pPr>
      <w:r w:rsidRPr="009D598D">
        <w:rPr>
          <w:noProof/>
          <w:color w:val="000000"/>
          <w:szCs w:val="22"/>
          <w:lang w:val="lv-LV"/>
        </w:rPr>
        <w:t>Ļoti retos gadījumos ziņots par smagām ādas reakcijām.</w:t>
      </w:r>
    </w:p>
    <w:p w14:paraId="7D0F88C4" w14:textId="77777777" w:rsidR="0038070A" w:rsidRPr="009D598D" w:rsidRDefault="0038070A" w:rsidP="009D598D">
      <w:pPr>
        <w:pStyle w:val="EMEAEnBodyText"/>
        <w:spacing w:before="0" w:after="0"/>
        <w:rPr>
          <w:noProof/>
          <w:color w:val="000000"/>
          <w:szCs w:val="22"/>
          <w:u w:val="single"/>
          <w:lang w:val="lv-LV"/>
        </w:rPr>
      </w:pPr>
    </w:p>
    <w:p w14:paraId="57FEB2B9"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Nieru un urīnizvades sistēmas traucējumi</w:t>
      </w:r>
    </w:p>
    <w:p w14:paraId="611B5638"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Ļoti reti</w:t>
      </w:r>
      <w:r w:rsidRPr="009D598D">
        <w:rPr>
          <w:color w:val="000000"/>
          <w:sz w:val="22"/>
          <w:szCs w:val="22"/>
          <w:lang w:val="lv-LV"/>
        </w:rPr>
        <w:t xml:space="preserve">: </w:t>
      </w:r>
      <w:r w:rsidR="00890CB5" w:rsidRPr="009D598D">
        <w:rPr>
          <w:color w:val="000000"/>
          <w:sz w:val="22"/>
          <w:szCs w:val="22"/>
          <w:lang w:val="lv-LV"/>
        </w:rPr>
        <w:t xml:space="preserve">urinācijas </w:t>
      </w:r>
      <w:r w:rsidRPr="009D598D">
        <w:rPr>
          <w:color w:val="000000"/>
          <w:sz w:val="22"/>
          <w:szCs w:val="22"/>
          <w:lang w:val="lv-LV"/>
        </w:rPr>
        <w:t>traucējumi. Ilgstoši lietojot lielas devas iespējami nieru bojājumi.</w:t>
      </w:r>
    </w:p>
    <w:p w14:paraId="70C79B93" w14:textId="77777777" w:rsidR="00A1306B" w:rsidRPr="009D598D" w:rsidRDefault="00A1306B" w:rsidP="009D598D">
      <w:pPr>
        <w:pStyle w:val="EMEAEnBodyText"/>
        <w:spacing w:before="0" w:after="0"/>
        <w:rPr>
          <w:color w:val="000000"/>
          <w:szCs w:val="22"/>
          <w:u w:val="single"/>
          <w:lang w:val="lv-LV"/>
        </w:rPr>
      </w:pPr>
    </w:p>
    <w:p w14:paraId="34A8528F" w14:textId="77777777" w:rsidR="003F45AD" w:rsidRPr="009D598D" w:rsidRDefault="003F45AD" w:rsidP="009D598D">
      <w:pPr>
        <w:pStyle w:val="EMEAEnBodyText"/>
        <w:spacing w:before="0" w:after="0"/>
        <w:rPr>
          <w:color w:val="000000"/>
          <w:szCs w:val="22"/>
          <w:u w:val="single"/>
          <w:lang w:val="lv-LV"/>
        </w:rPr>
      </w:pPr>
      <w:r w:rsidRPr="009D598D">
        <w:rPr>
          <w:color w:val="000000"/>
          <w:szCs w:val="22"/>
          <w:u w:val="single"/>
          <w:lang w:val="lv-LV"/>
        </w:rPr>
        <w:t>Izmeklējumi</w:t>
      </w:r>
    </w:p>
    <w:p w14:paraId="3874110A"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Nav zināmi</w:t>
      </w:r>
      <w:r w:rsidRPr="009D598D">
        <w:rPr>
          <w:color w:val="000000"/>
          <w:sz w:val="22"/>
          <w:szCs w:val="22"/>
          <w:lang w:val="lv-LV"/>
        </w:rPr>
        <w:t>: paracetamola lietošana var ietekmēt urīnskābes noteikšanu ar fosforvolframskābes metodi un glikozes līmeņa noteikšanu asinīs ar glikozes oksidāzes peroksidāzes metodi.</w:t>
      </w:r>
    </w:p>
    <w:p w14:paraId="57BE8559"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Pēc viena grama askorbīnskābes lietošanas, askorbīnskābes koncentrācija urīnā var palielināties līdz tādam līmenim, ka var būt traucēta dažādu klīniski – ķīmisko rādītāju (glikozes, urīnskābes, kreatinīna, neorganiskā fosfāta) noteikšana. Lietojot viena grama devas iespējamas kļūdaini negatīvas analīzes izmeklējot slēptas asinis izkārnījumos. Vispārīgi, ķīmiskās metodes, kam pamatā ir krāsu reakcijas var būt traucētas.</w:t>
      </w:r>
    </w:p>
    <w:p w14:paraId="430E8392"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Hlorfenamīna maleāts var samazināt ādas alerģiju testu reakcijas.</w:t>
      </w:r>
    </w:p>
    <w:p w14:paraId="1EDA4285" w14:textId="77777777" w:rsidR="002A61E1" w:rsidRPr="009D598D" w:rsidRDefault="002A61E1" w:rsidP="009D598D">
      <w:pPr>
        <w:tabs>
          <w:tab w:val="clear" w:pos="567"/>
        </w:tabs>
        <w:spacing w:line="240" w:lineRule="auto"/>
        <w:jc w:val="both"/>
        <w:rPr>
          <w:bCs/>
          <w:iCs/>
          <w:color w:val="000000"/>
          <w:szCs w:val="22"/>
          <w:u w:val="single"/>
        </w:rPr>
      </w:pPr>
    </w:p>
    <w:p w14:paraId="3636B0EC" w14:textId="77777777" w:rsidR="002A61E1" w:rsidRPr="009D598D" w:rsidRDefault="002A61E1" w:rsidP="009D598D">
      <w:pPr>
        <w:autoSpaceDE w:val="0"/>
        <w:autoSpaceDN w:val="0"/>
        <w:adjustRightInd w:val="0"/>
        <w:spacing w:line="240" w:lineRule="auto"/>
        <w:jc w:val="both"/>
        <w:rPr>
          <w:color w:val="000000"/>
          <w:szCs w:val="22"/>
          <w:u w:val="single"/>
        </w:rPr>
      </w:pPr>
      <w:r w:rsidRPr="009D598D">
        <w:rPr>
          <w:color w:val="000000"/>
          <w:szCs w:val="22"/>
          <w:u w:val="single"/>
        </w:rPr>
        <w:t>Ziņošana par iespējamām nevēlamām blakusparādībām</w:t>
      </w:r>
    </w:p>
    <w:p w14:paraId="6B2E27F2" w14:textId="77777777" w:rsidR="00F90620" w:rsidRPr="009D598D" w:rsidRDefault="002A61E1" w:rsidP="009D598D">
      <w:pPr>
        <w:autoSpaceDE w:val="0"/>
        <w:autoSpaceDN w:val="0"/>
        <w:adjustRightInd w:val="0"/>
        <w:spacing w:line="240" w:lineRule="auto"/>
        <w:jc w:val="both"/>
        <w:rPr>
          <w:rFonts w:eastAsia="Calibri"/>
          <w:color w:val="000000"/>
          <w:szCs w:val="22"/>
          <w:lang w:eastAsia="zh-CN"/>
        </w:rPr>
      </w:pPr>
      <w:r w:rsidRPr="009D598D">
        <w:rPr>
          <w:color w:val="000000"/>
          <w:szCs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w:t>
      </w:r>
      <w:r w:rsidR="00EA59EE" w:rsidRPr="009D598D">
        <w:rPr>
          <w:color w:val="000000"/>
          <w:szCs w:val="22"/>
        </w:rPr>
        <w:t xml:space="preserve"> </w:t>
      </w:r>
      <w:r w:rsidR="00F90620" w:rsidRPr="009D598D">
        <w:rPr>
          <w:rFonts w:eastAsia="Calibri"/>
          <w:noProof/>
          <w:color w:val="000000"/>
          <w:szCs w:val="22"/>
          <w:lang w:eastAsia="zh-CN"/>
        </w:rPr>
        <w:t>Zāļu valsts aģentūra</w:t>
      </w:r>
      <w:r w:rsidR="00890CB5" w:rsidRPr="009D598D">
        <w:rPr>
          <w:rFonts w:eastAsia="Calibri"/>
          <w:noProof/>
          <w:color w:val="000000"/>
          <w:szCs w:val="22"/>
          <w:lang w:eastAsia="zh-CN"/>
        </w:rPr>
        <w:t>i,</w:t>
      </w:r>
      <w:r w:rsidR="00EA59EE" w:rsidRPr="009D598D">
        <w:rPr>
          <w:rFonts w:eastAsia="Calibri"/>
          <w:noProof/>
          <w:color w:val="000000"/>
          <w:szCs w:val="22"/>
          <w:lang w:eastAsia="zh-CN"/>
        </w:rPr>
        <w:t xml:space="preserve"> </w:t>
      </w:r>
      <w:r w:rsidR="00F90620" w:rsidRPr="009D598D">
        <w:rPr>
          <w:rFonts w:eastAsia="Calibri"/>
          <w:color w:val="000000"/>
          <w:szCs w:val="22"/>
          <w:lang w:eastAsia="zh-CN"/>
        </w:rPr>
        <w:t xml:space="preserve">Jersikas </w:t>
      </w:r>
      <w:r w:rsidR="00890CB5" w:rsidRPr="009D598D">
        <w:rPr>
          <w:rFonts w:eastAsia="Calibri"/>
          <w:color w:val="000000"/>
          <w:szCs w:val="22"/>
          <w:lang w:eastAsia="zh-CN"/>
        </w:rPr>
        <w:t xml:space="preserve">ielā </w:t>
      </w:r>
      <w:r w:rsidR="00F90620" w:rsidRPr="009D598D">
        <w:rPr>
          <w:rFonts w:eastAsia="Calibri"/>
          <w:color w:val="000000"/>
          <w:szCs w:val="22"/>
          <w:lang w:eastAsia="zh-CN"/>
        </w:rPr>
        <w:t>15</w:t>
      </w:r>
      <w:r w:rsidR="00890CB5" w:rsidRPr="009D598D">
        <w:rPr>
          <w:rFonts w:eastAsia="Calibri"/>
          <w:color w:val="000000"/>
          <w:szCs w:val="22"/>
          <w:lang w:eastAsia="zh-CN"/>
        </w:rPr>
        <w:t>,</w:t>
      </w:r>
      <w:r w:rsidR="00EA59EE" w:rsidRPr="009D598D">
        <w:rPr>
          <w:rFonts w:eastAsia="Calibri"/>
          <w:color w:val="000000"/>
          <w:szCs w:val="22"/>
          <w:lang w:eastAsia="zh-CN"/>
        </w:rPr>
        <w:t xml:space="preserve"> </w:t>
      </w:r>
      <w:r w:rsidR="00890CB5" w:rsidRPr="009D598D">
        <w:rPr>
          <w:rFonts w:eastAsia="Calibri"/>
          <w:color w:val="000000"/>
          <w:szCs w:val="22"/>
          <w:lang w:eastAsia="zh-CN"/>
        </w:rPr>
        <w:t>Rīgā</w:t>
      </w:r>
      <w:r w:rsidR="00F90620" w:rsidRPr="009D598D">
        <w:rPr>
          <w:rFonts w:eastAsia="Calibri"/>
          <w:color w:val="000000"/>
          <w:szCs w:val="22"/>
          <w:lang w:eastAsia="zh-CN"/>
        </w:rPr>
        <w:t>, LV 1003</w:t>
      </w:r>
      <w:r w:rsidR="00890CB5" w:rsidRPr="009D598D">
        <w:rPr>
          <w:rFonts w:eastAsia="Calibri"/>
          <w:color w:val="000000"/>
          <w:szCs w:val="22"/>
          <w:lang w:eastAsia="zh-CN"/>
        </w:rPr>
        <w:t>.</w:t>
      </w:r>
      <w:r w:rsidR="00EA59EE" w:rsidRPr="009D598D">
        <w:rPr>
          <w:rFonts w:eastAsia="Calibri"/>
          <w:color w:val="000000"/>
          <w:szCs w:val="22"/>
          <w:lang w:eastAsia="zh-CN"/>
        </w:rPr>
        <w:t xml:space="preserve"> </w:t>
      </w:r>
      <w:r w:rsidR="00F90620" w:rsidRPr="009D598D">
        <w:rPr>
          <w:rFonts w:eastAsia="Calibri"/>
          <w:color w:val="000000"/>
          <w:szCs w:val="22"/>
          <w:lang w:eastAsia="zh-CN"/>
        </w:rPr>
        <w:t xml:space="preserve">Tīmekļa vietne: </w:t>
      </w:r>
      <w:hyperlink r:id="rId9" w:history="1">
        <w:r w:rsidR="00F90620" w:rsidRPr="009D598D">
          <w:rPr>
            <w:rFonts w:eastAsia="Calibri"/>
            <w:color w:val="000000"/>
            <w:szCs w:val="22"/>
            <w:u w:val="single"/>
            <w:lang w:eastAsia="zh-CN"/>
          </w:rPr>
          <w:t>www.zva.gov.lv</w:t>
        </w:r>
      </w:hyperlink>
    </w:p>
    <w:p w14:paraId="64BF636D" w14:textId="77777777" w:rsidR="00CD10AA" w:rsidRPr="009D598D" w:rsidRDefault="00CD10AA" w:rsidP="009D598D">
      <w:pPr>
        <w:tabs>
          <w:tab w:val="clear" w:pos="567"/>
        </w:tabs>
        <w:spacing w:line="240" w:lineRule="auto"/>
        <w:jc w:val="both"/>
        <w:rPr>
          <w:color w:val="000000"/>
          <w:szCs w:val="22"/>
        </w:rPr>
      </w:pPr>
    </w:p>
    <w:p w14:paraId="1D5637D3"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4.9</w:t>
      </w:r>
      <w:r w:rsidR="002A61E1" w:rsidRPr="009D598D">
        <w:rPr>
          <w:b/>
          <w:color w:val="000000"/>
          <w:szCs w:val="22"/>
        </w:rPr>
        <w:t>.</w:t>
      </w:r>
      <w:r w:rsidRPr="009D598D">
        <w:rPr>
          <w:b/>
          <w:color w:val="000000"/>
          <w:szCs w:val="22"/>
        </w:rPr>
        <w:tab/>
        <w:t>Pārdozēšana</w:t>
      </w:r>
    </w:p>
    <w:p w14:paraId="0FA84A5C" w14:textId="77777777" w:rsidR="00EA59EE" w:rsidRPr="009D598D" w:rsidRDefault="00EA59EE" w:rsidP="009D598D">
      <w:pPr>
        <w:pStyle w:val="CM8"/>
        <w:spacing w:after="0"/>
        <w:jc w:val="both"/>
        <w:rPr>
          <w:color w:val="000000"/>
          <w:sz w:val="22"/>
          <w:szCs w:val="22"/>
          <w:u w:val="single"/>
          <w:lang w:val="lv-LV"/>
        </w:rPr>
      </w:pPr>
    </w:p>
    <w:p w14:paraId="46396172"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Pārdozēšanas simptomi</w:t>
      </w:r>
    </w:p>
    <w:p w14:paraId="225C2AD5"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Līdz šim nav zināmi pārdozēšanas gadījumi ar Grippostad C.</w:t>
      </w:r>
    </w:p>
    <w:p w14:paraId="44E3EDBE" w14:textId="77777777" w:rsidR="00A1306B" w:rsidRPr="009D598D" w:rsidRDefault="00A1306B" w:rsidP="009D598D">
      <w:pPr>
        <w:pStyle w:val="Default"/>
        <w:jc w:val="both"/>
        <w:rPr>
          <w:sz w:val="22"/>
          <w:szCs w:val="22"/>
          <w:lang w:val="lv-LV"/>
        </w:rPr>
      </w:pPr>
    </w:p>
    <w:p w14:paraId="77246CFC"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Grippostad C pārdozēšanas simptomi ir saistīti ar katras atsevišķās šo zāļu sastāvdaļas pārdozēšanas simptomiem.</w:t>
      </w:r>
    </w:p>
    <w:p w14:paraId="4B75ED04" w14:textId="77777777" w:rsidR="00A1306B" w:rsidRPr="009D598D" w:rsidRDefault="00A1306B" w:rsidP="009D598D">
      <w:pPr>
        <w:pStyle w:val="Default"/>
        <w:jc w:val="both"/>
        <w:rPr>
          <w:sz w:val="22"/>
          <w:szCs w:val="22"/>
          <w:lang w:val="lv-LV"/>
        </w:rPr>
      </w:pPr>
    </w:p>
    <w:p w14:paraId="06129AD5"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Paracetamols</w:t>
      </w:r>
    </w:p>
    <w:p w14:paraId="12CA91D5"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Gados vecākiem pacientiem, maziem bērniem, pacientiem ar aknu slimībām, hroniskiem alkoholiķiem, ilgstošas badošanās gadījumā vai vienlaicīgi lietojot zāles, kas izraisa enzīmu indukciju intoksikācijas risks ir īpaši liels. Šajos gadījumos pārdozēšana var izraisīt nāvi.</w:t>
      </w:r>
    </w:p>
    <w:p w14:paraId="0049518E" w14:textId="77777777" w:rsidR="00A1306B" w:rsidRPr="009D598D" w:rsidRDefault="00A1306B" w:rsidP="009D598D">
      <w:pPr>
        <w:pStyle w:val="Default"/>
        <w:jc w:val="both"/>
        <w:rPr>
          <w:sz w:val="22"/>
          <w:szCs w:val="22"/>
          <w:lang w:val="lv-LV"/>
        </w:rPr>
      </w:pPr>
    </w:p>
    <w:p w14:paraId="17CA5868"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Simptomi parasti parādās 24 stundu laikā un tie ir slikta dūša, vemšana, anoreksija, bālums un sāpes vēderā, kam seko subjektīvs pašsajūtas uzlabojums, lai gan vieglas sāpes vēderā saglabājas, kas liecina par aknu bojājumu.</w:t>
      </w:r>
    </w:p>
    <w:p w14:paraId="48AE3A84" w14:textId="77777777" w:rsidR="00A1306B" w:rsidRPr="009D598D" w:rsidRDefault="00A1306B" w:rsidP="009D598D">
      <w:pPr>
        <w:pStyle w:val="Default"/>
        <w:jc w:val="both"/>
        <w:rPr>
          <w:sz w:val="22"/>
          <w:szCs w:val="22"/>
          <w:lang w:val="lv-LV"/>
        </w:rPr>
      </w:pPr>
    </w:p>
    <w:p w14:paraId="5F07ACA7"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Pārdozēšana ar apmēram 6 g paracetamola vai vairāk vienam pieaugušajam vai 140 mg/kg bērniem izraisa aknu šūnu nekrozi, kas var izraisīt pilnīgi neatgriezenisku nekrozi un vēlāk arī hepatocelulāru mazspēju, metabolisku acidozi un encefalopātiju. Tas savukārt var izraisīt komu, kā rezultātā iespējama arī nāve. Tajā pašā laikā novērta arī palielināta transamināžu (</w:t>
      </w:r>
      <w:r w:rsidR="00F31B17" w:rsidRPr="009D598D">
        <w:rPr>
          <w:color w:val="000000"/>
          <w:sz w:val="22"/>
          <w:szCs w:val="22"/>
          <w:lang w:val="lv-LV"/>
        </w:rPr>
        <w:t>AlAT</w:t>
      </w:r>
      <w:r w:rsidRPr="009D598D">
        <w:rPr>
          <w:color w:val="000000"/>
          <w:sz w:val="22"/>
          <w:szCs w:val="22"/>
          <w:lang w:val="lv-LV"/>
        </w:rPr>
        <w:t xml:space="preserve">, </w:t>
      </w:r>
      <w:r w:rsidR="00F31B17" w:rsidRPr="009D598D">
        <w:rPr>
          <w:color w:val="000000"/>
          <w:sz w:val="22"/>
          <w:szCs w:val="22"/>
          <w:lang w:val="lv-LV"/>
        </w:rPr>
        <w:t>AsAT</w:t>
      </w:r>
      <w:r w:rsidRPr="009D598D">
        <w:rPr>
          <w:color w:val="000000"/>
          <w:sz w:val="22"/>
          <w:szCs w:val="22"/>
          <w:lang w:val="lv-LV"/>
        </w:rPr>
        <w:t>), laktāta dehidrogenāzes un bilirubīna koncentrācija kombinācijā ar pagarinātu tromboplastīna laiku, kas var rasties 12 – 48 stundu laikā pēc lietošanas. Aknu bojājuma klīniskie simptomi kļūst pamanāmi pēc 2 dienām un tie sasniedz savu maksimumu 4 – 6 dienu laikā.</w:t>
      </w:r>
    </w:p>
    <w:p w14:paraId="447778C1" w14:textId="77777777" w:rsidR="00A1306B" w:rsidRPr="009D598D" w:rsidRDefault="00A1306B" w:rsidP="009D598D">
      <w:pPr>
        <w:pStyle w:val="Default"/>
        <w:jc w:val="both"/>
        <w:rPr>
          <w:sz w:val="22"/>
          <w:szCs w:val="22"/>
          <w:lang w:val="lv-LV"/>
        </w:rPr>
      </w:pPr>
    </w:p>
    <w:p w14:paraId="36606825"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 xml:space="preserve">Iespējama akūta nieru mazspēja un nieru kanāliņu nekroze, arī tad, ja nav nopietnu aknu bojājumu. Citi ar aknām nesaistītie simptomi, kas novēroti pēc paracetamola pārdozēšanas ir </w:t>
      </w:r>
      <w:r w:rsidR="00F31B17" w:rsidRPr="009D598D">
        <w:rPr>
          <w:color w:val="000000"/>
          <w:sz w:val="22"/>
          <w:szCs w:val="22"/>
          <w:lang w:val="lv-LV"/>
        </w:rPr>
        <w:t xml:space="preserve">sirdsdarbības </w:t>
      </w:r>
      <w:r w:rsidRPr="009D598D">
        <w:rPr>
          <w:color w:val="000000"/>
          <w:sz w:val="22"/>
          <w:szCs w:val="22"/>
          <w:lang w:val="lv-LV"/>
        </w:rPr>
        <w:t>traucējumi un pankreatīts.</w:t>
      </w:r>
    </w:p>
    <w:p w14:paraId="2B8819BA" w14:textId="77777777" w:rsidR="00A1306B" w:rsidRPr="009D598D" w:rsidRDefault="00A1306B" w:rsidP="009D598D">
      <w:pPr>
        <w:pStyle w:val="Default"/>
        <w:jc w:val="both"/>
        <w:rPr>
          <w:sz w:val="22"/>
          <w:szCs w:val="22"/>
          <w:lang w:val="lv-LV"/>
        </w:rPr>
      </w:pPr>
    </w:p>
    <w:p w14:paraId="1F4FB696"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Hlorfenamīna maleāts</w:t>
      </w:r>
    </w:p>
    <w:p w14:paraId="501C4CF1"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 xml:space="preserve">Pārdozēšana var izraisīt antiholīnerģisko sindromu ar sejas pietvīkumu, ataksiju, satraukumu, halucinācijām, muskuļu trīci, krampjiem, paplašinātām acu zīlītēm, sausuma sajūtu mutē, aizcietējumu </w:t>
      </w:r>
      <w:r w:rsidRPr="009D598D">
        <w:rPr>
          <w:color w:val="000000"/>
          <w:sz w:val="22"/>
          <w:szCs w:val="22"/>
          <w:lang w:val="lv-LV"/>
        </w:rPr>
        <w:lastRenderedPageBreak/>
        <w:t>un neparasti stipru drudzi. Bez tam, iespējamas arī centrālās nervu sistēmas intoksikācijas pazīmes (halucinācijas, koordinācijas traucējumi, krampji). Beigu simptomi ir koma, elpošanas apstāšanās un kardiovaskulārs kolapss.</w:t>
      </w:r>
    </w:p>
    <w:p w14:paraId="68C09915" w14:textId="77777777" w:rsidR="00A1306B" w:rsidRPr="009D598D" w:rsidRDefault="00A1306B" w:rsidP="009D598D">
      <w:pPr>
        <w:pStyle w:val="Default"/>
        <w:jc w:val="both"/>
        <w:rPr>
          <w:sz w:val="22"/>
          <w:szCs w:val="22"/>
          <w:lang w:val="lv-LV"/>
        </w:rPr>
      </w:pPr>
    </w:p>
    <w:p w14:paraId="3FBDAB2C"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Kofeīns</w:t>
      </w:r>
    </w:p>
    <w:p w14:paraId="6A5C8A14"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Lietojot 1 g kofeīna vai vairāk īsā laika periodā iespējami pārdozēšanas simptomi: trīce, CNS simptomi, kardiovaskulāras reakcijas (tahikardija, miokarda bojājumi).</w:t>
      </w:r>
    </w:p>
    <w:p w14:paraId="7B2A0BF6" w14:textId="77777777" w:rsidR="00A1306B" w:rsidRPr="009D598D" w:rsidRDefault="00A1306B" w:rsidP="009D598D">
      <w:pPr>
        <w:pStyle w:val="Default"/>
        <w:jc w:val="both"/>
        <w:rPr>
          <w:sz w:val="22"/>
          <w:szCs w:val="22"/>
          <w:lang w:val="lv-LV"/>
        </w:rPr>
      </w:pPr>
    </w:p>
    <w:p w14:paraId="1719CF63"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Askorbīnskābe</w:t>
      </w:r>
    </w:p>
    <w:p w14:paraId="5435B58C"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Par hemolīzes un nierakmeņu risku skatīt 4.4. apakšpunktu. Lietojot reizes devas, kas pārsniedz 3 g, retos gadījumos iespējama pārejoša osmotiska caureja, ko pavada neparasti simptomi no kuņģa puses. Lietojot 10 g tas novērojams gandrīz vienmēr.</w:t>
      </w:r>
    </w:p>
    <w:p w14:paraId="2B82989F" w14:textId="77777777" w:rsidR="00A1306B" w:rsidRPr="009D598D" w:rsidRDefault="00A1306B" w:rsidP="009D598D">
      <w:pPr>
        <w:pStyle w:val="Default"/>
        <w:jc w:val="both"/>
        <w:rPr>
          <w:sz w:val="22"/>
          <w:szCs w:val="22"/>
          <w:lang w:val="lv-LV"/>
        </w:rPr>
      </w:pPr>
    </w:p>
    <w:p w14:paraId="4C25E0A8"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Pārdozēšanas ārstēšana</w:t>
      </w:r>
    </w:p>
    <w:p w14:paraId="64285F27"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Pārdozēšanas ārstēšanai jābūt simptomātiskai.</w:t>
      </w:r>
    </w:p>
    <w:p w14:paraId="7BD73800" w14:textId="77777777" w:rsidR="00CD10AA" w:rsidRPr="009D598D" w:rsidRDefault="00CD10AA" w:rsidP="009D598D">
      <w:pPr>
        <w:tabs>
          <w:tab w:val="clear" w:pos="567"/>
        </w:tabs>
        <w:spacing w:line="240" w:lineRule="auto"/>
        <w:jc w:val="both"/>
        <w:rPr>
          <w:color w:val="000000"/>
          <w:szCs w:val="22"/>
        </w:rPr>
      </w:pPr>
    </w:p>
    <w:p w14:paraId="0A8C5A3B" w14:textId="77777777" w:rsidR="00EA59EE" w:rsidRPr="009D598D" w:rsidRDefault="00EA59EE" w:rsidP="009D598D">
      <w:pPr>
        <w:tabs>
          <w:tab w:val="clear" w:pos="567"/>
        </w:tabs>
        <w:spacing w:line="240" w:lineRule="auto"/>
        <w:jc w:val="both"/>
        <w:rPr>
          <w:color w:val="000000"/>
          <w:szCs w:val="22"/>
        </w:rPr>
      </w:pPr>
    </w:p>
    <w:p w14:paraId="456E3138" w14:textId="77777777" w:rsidR="00CD10AA" w:rsidRPr="009D598D" w:rsidRDefault="00846D85" w:rsidP="009D598D">
      <w:pPr>
        <w:tabs>
          <w:tab w:val="clear" w:pos="567"/>
        </w:tabs>
        <w:spacing w:line="240" w:lineRule="auto"/>
        <w:jc w:val="both"/>
        <w:rPr>
          <w:b/>
          <w:color w:val="000000"/>
          <w:szCs w:val="22"/>
        </w:rPr>
      </w:pPr>
      <w:r w:rsidRPr="009D598D">
        <w:rPr>
          <w:b/>
          <w:color w:val="000000"/>
          <w:szCs w:val="22"/>
        </w:rPr>
        <w:t>5.</w:t>
      </w:r>
      <w:r w:rsidRPr="009D598D">
        <w:rPr>
          <w:b/>
          <w:color w:val="000000"/>
          <w:szCs w:val="22"/>
        </w:rPr>
        <w:tab/>
        <w:t>FARMAKOLOĢISKĀS ĪPAŠĪBAS</w:t>
      </w:r>
    </w:p>
    <w:p w14:paraId="2F631C7E" w14:textId="77777777" w:rsidR="00EA59EE" w:rsidRPr="009D598D" w:rsidRDefault="00EA59EE" w:rsidP="009D598D">
      <w:pPr>
        <w:tabs>
          <w:tab w:val="clear" w:pos="567"/>
        </w:tabs>
        <w:spacing w:line="240" w:lineRule="auto"/>
        <w:jc w:val="both"/>
        <w:rPr>
          <w:b/>
          <w:color w:val="000000"/>
          <w:szCs w:val="22"/>
        </w:rPr>
      </w:pPr>
    </w:p>
    <w:p w14:paraId="0848DDE0"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5.1</w:t>
      </w:r>
      <w:r w:rsidR="00F311D8" w:rsidRPr="009D598D">
        <w:rPr>
          <w:b/>
          <w:color w:val="000000"/>
          <w:szCs w:val="22"/>
        </w:rPr>
        <w:t>.</w:t>
      </w:r>
      <w:r w:rsidRPr="009D598D">
        <w:rPr>
          <w:b/>
          <w:color w:val="000000"/>
          <w:szCs w:val="22"/>
        </w:rPr>
        <w:tab/>
        <w:t>Farmakodinamiskās īpašības</w:t>
      </w:r>
    </w:p>
    <w:p w14:paraId="6E749484" w14:textId="77777777" w:rsidR="00EA59EE" w:rsidRPr="009D598D" w:rsidRDefault="00EA59EE" w:rsidP="009D598D">
      <w:pPr>
        <w:tabs>
          <w:tab w:val="clear" w:pos="567"/>
        </w:tabs>
        <w:spacing w:line="240" w:lineRule="auto"/>
        <w:jc w:val="both"/>
        <w:rPr>
          <w:b/>
          <w:color w:val="000000"/>
          <w:szCs w:val="22"/>
        </w:rPr>
      </w:pPr>
    </w:p>
    <w:p w14:paraId="09728A5C" w14:textId="77777777" w:rsidR="00462F9D" w:rsidRPr="009D598D" w:rsidRDefault="00CD10AA" w:rsidP="009D598D">
      <w:pPr>
        <w:tabs>
          <w:tab w:val="clear" w:pos="567"/>
        </w:tabs>
        <w:spacing w:line="240" w:lineRule="auto"/>
        <w:jc w:val="both"/>
        <w:rPr>
          <w:color w:val="000000"/>
          <w:szCs w:val="22"/>
        </w:rPr>
      </w:pPr>
      <w:r w:rsidRPr="009D598D">
        <w:rPr>
          <w:b/>
          <w:color w:val="000000"/>
          <w:szCs w:val="22"/>
        </w:rPr>
        <w:t>Farmakoterapeitiskā grupa</w:t>
      </w:r>
      <w:r w:rsidRPr="009D598D">
        <w:rPr>
          <w:color w:val="000000"/>
          <w:szCs w:val="22"/>
        </w:rPr>
        <w:t xml:space="preserve">: </w:t>
      </w:r>
      <w:r w:rsidR="004B1081" w:rsidRPr="009D598D">
        <w:rPr>
          <w:color w:val="000000"/>
          <w:szCs w:val="22"/>
        </w:rPr>
        <w:t>citi pretsāpju un pretdrudža līdzekļi, paracetamola kombinācijas, izņemot neiroleptiskos līdzekļus</w:t>
      </w:r>
      <w:r w:rsidR="00462F9D" w:rsidRPr="009D598D">
        <w:rPr>
          <w:color w:val="000000"/>
          <w:szCs w:val="22"/>
        </w:rPr>
        <w:t>.</w:t>
      </w:r>
    </w:p>
    <w:p w14:paraId="0A32AF63"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ATĶ kods</w:t>
      </w:r>
      <w:r w:rsidRPr="009D598D">
        <w:rPr>
          <w:color w:val="000000"/>
          <w:szCs w:val="22"/>
        </w:rPr>
        <w:t xml:space="preserve">: </w:t>
      </w:r>
      <w:r w:rsidR="00387359" w:rsidRPr="009D598D">
        <w:rPr>
          <w:color w:val="000000"/>
          <w:szCs w:val="22"/>
        </w:rPr>
        <w:t>N02BE51</w:t>
      </w:r>
    </w:p>
    <w:p w14:paraId="557F12C6" w14:textId="77777777" w:rsidR="00CD10AA" w:rsidRPr="009D598D" w:rsidRDefault="00CD10AA" w:rsidP="009D598D">
      <w:pPr>
        <w:tabs>
          <w:tab w:val="clear" w:pos="567"/>
        </w:tabs>
        <w:spacing w:line="240" w:lineRule="auto"/>
        <w:jc w:val="both"/>
        <w:rPr>
          <w:color w:val="000000"/>
          <w:szCs w:val="22"/>
        </w:rPr>
      </w:pPr>
    </w:p>
    <w:p w14:paraId="07001D69"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Paracetamols</w:t>
      </w:r>
    </w:p>
    <w:p w14:paraId="2A74F2B4"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Paracetamolam piemīt pretsāpju, pretdrudža un ļoti neliela pretiekaisuma iedarbība. Paracetamola darbības mehānisms nav pilnībā skaidrs. Pierādīts, ka paracetamols būtiski nomāc cerebrālo prostaglandīnu sintēzi, turpretim perifēro prostaglandīnu sintēzi tas nomāc vāji. Bez tam, paracetamols nomāc endogeno pirogēnu iedarbību uz hipotalmisko temperatūras regulācijas centru.</w:t>
      </w:r>
    </w:p>
    <w:p w14:paraId="638FA7A6" w14:textId="77777777" w:rsidR="00A1306B" w:rsidRPr="009D598D" w:rsidRDefault="00A1306B" w:rsidP="009D598D">
      <w:pPr>
        <w:pStyle w:val="Default"/>
        <w:jc w:val="both"/>
        <w:rPr>
          <w:sz w:val="22"/>
          <w:szCs w:val="22"/>
          <w:lang w:val="lv-LV"/>
        </w:rPr>
      </w:pPr>
    </w:p>
    <w:p w14:paraId="191F775B"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Hlorfenamīna maleāts</w:t>
      </w:r>
    </w:p>
    <w:p w14:paraId="67328EAF"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Hlorfenamīna maleāts ir klasisks H</w:t>
      </w:r>
      <w:r w:rsidRPr="009D598D">
        <w:rPr>
          <w:color w:val="000000"/>
          <w:sz w:val="22"/>
          <w:szCs w:val="22"/>
          <w:vertAlign w:val="subscript"/>
          <w:lang w:val="lv-LV"/>
        </w:rPr>
        <w:t>1</w:t>
      </w:r>
      <w:r w:rsidRPr="009D598D">
        <w:rPr>
          <w:color w:val="000000"/>
          <w:sz w:val="22"/>
          <w:szCs w:val="22"/>
          <w:lang w:val="lv-LV"/>
        </w:rPr>
        <w:t xml:space="preserve"> antihistamīna līdzeklis, kas nomāc histamīna efektus, kas rodas imūno reakciju laikā. Saistībā ar gripai līdzīgu infekciju, tas ietver palielinātu kapilāru caurlaidību ap vēnām un gludās muskulatūras, galvenokārt bronhu muskuļu, savilkšanos. Deguna gļotādas tūskas samazināšana un izdalīto gļotu daudzuma samazināšana atjauno deguna elpošanas kapacitāti.</w:t>
      </w:r>
    </w:p>
    <w:p w14:paraId="1998CB5C" w14:textId="77777777" w:rsidR="00A1306B" w:rsidRPr="009D598D" w:rsidRDefault="00A1306B" w:rsidP="009D598D">
      <w:pPr>
        <w:pStyle w:val="Default"/>
        <w:jc w:val="both"/>
        <w:rPr>
          <w:sz w:val="22"/>
          <w:szCs w:val="22"/>
          <w:lang w:val="lv-LV"/>
        </w:rPr>
      </w:pPr>
    </w:p>
    <w:p w14:paraId="15BE3E99"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Kofeīns</w:t>
      </w:r>
    </w:p>
    <w:p w14:paraId="3E743392"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Kofeīns ir ksantīna atvasinājums un tas pastiprina paracetamola pretsāpju iedarbību.</w:t>
      </w:r>
    </w:p>
    <w:p w14:paraId="0AEB4687" w14:textId="77777777" w:rsidR="00A1306B" w:rsidRPr="009D598D" w:rsidRDefault="00A1306B" w:rsidP="009D598D">
      <w:pPr>
        <w:pStyle w:val="Default"/>
        <w:jc w:val="both"/>
        <w:rPr>
          <w:sz w:val="22"/>
          <w:szCs w:val="22"/>
          <w:lang w:val="lv-LV"/>
        </w:rPr>
      </w:pPr>
    </w:p>
    <w:p w14:paraId="7EFD5E63"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Askorbīnskābe</w:t>
      </w:r>
    </w:p>
    <w:p w14:paraId="591B08C1"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Askorbīnskābe ir būtiska viela cilvēka organismā. Askorbīnskābe un dehidroaskorbīnskābe, kas veidojas no askorbīnskābes organismā veido oskidāzes/reduktāzes sistēmu, kam ir būtiska fizioloģiska nozīme.</w:t>
      </w:r>
    </w:p>
    <w:p w14:paraId="7D2BB9A3" w14:textId="77777777" w:rsidR="00A1306B" w:rsidRPr="009D598D" w:rsidRDefault="00A1306B" w:rsidP="009D598D">
      <w:pPr>
        <w:pStyle w:val="Default"/>
        <w:jc w:val="both"/>
        <w:rPr>
          <w:sz w:val="22"/>
          <w:szCs w:val="22"/>
          <w:lang w:val="lv-LV"/>
        </w:rPr>
      </w:pPr>
    </w:p>
    <w:p w14:paraId="117DA724"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Askorbīnskābes oskidāzes/reduktāzes potenciāla dēļ tā darbojas kā kofaktors daudzām enzīmu sistēmām (kolagenizācija, kateholamīna sintēze, steroīdu, tirozīnu un svešķermeņu hidroksilācija organismā, karnitīna biosintēze, tetrahidrofolskābes atjaunošana, kā arī peptīdu, piemēram, ACTH un gastrīna, alfa amidācija.</w:t>
      </w:r>
    </w:p>
    <w:p w14:paraId="1C81CC8C" w14:textId="77777777" w:rsidR="00A1306B" w:rsidRPr="009D598D" w:rsidRDefault="00A1306B" w:rsidP="009D598D">
      <w:pPr>
        <w:pStyle w:val="Default"/>
        <w:jc w:val="both"/>
        <w:rPr>
          <w:sz w:val="22"/>
          <w:szCs w:val="22"/>
          <w:lang w:val="lv-LV"/>
        </w:rPr>
      </w:pPr>
    </w:p>
    <w:p w14:paraId="3A90E0BD"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Askorbīnskābes trūkums samazina organisma rezistenci, it īpaši hemotaksi, imūnsistēmas aktivitāti un interferona veidošanos. Līdz šim nav pilnīgi skaidras visas molekulārās bioloģiskas funkcijas.</w:t>
      </w:r>
    </w:p>
    <w:p w14:paraId="630A903E" w14:textId="77777777" w:rsidR="00A1306B" w:rsidRPr="009D598D" w:rsidRDefault="00A1306B" w:rsidP="009D598D">
      <w:pPr>
        <w:pStyle w:val="Default"/>
        <w:jc w:val="both"/>
        <w:rPr>
          <w:sz w:val="22"/>
          <w:szCs w:val="22"/>
          <w:lang w:val="lv-LV"/>
        </w:rPr>
      </w:pPr>
    </w:p>
    <w:p w14:paraId="274C95B5"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Askorbīnskābes uzlabo dzelzs sālu uzsūkšanos samazinot dzelzs jonus un veidojot dzelzs savienojumus. Tā bloķē ķēdes reakciju, ko izraisa skābekļa radikāļi organisma šķidrumos. Antioksidatīvā iedarbība ir saistīta ciešu bioķīmisko mijiedarbību ar E vitamīnu, A vitamīnu un karotīniem. Līdz šim nav pilnībā pierādīta askorbīnskābes spēja samazināt iespējami kancerogēnu vielu daudzumu kuņģa – zarnu traktā.</w:t>
      </w:r>
    </w:p>
    <w:p w14:paraId="40180BE8" w14:textId="77777777" w:rsidR="0097548A" w:rsidRPr="009D598D" w:rsidRDefault="0097548A" w:rsidP="009D598D">
      <w:pPr>
        <w:spacing w:line="240" w:lineRule="auto"/>
        <w:jc w:val="both"/>
        <w:rPr>
          <w:color w:val="000000"/>
          <w:szCs w:val="22"/>
        </w:rPr>
      </w:pPr>
    </w:p>
    <w:p w14:paraId="758DA43C"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5.2</w:t>
      </w:r>
      <w:r w:rsidR="00565B11" w:rsidRPr="009D598D">
        <w:rPr>
          <w:b/>
          <w:color w:val="000000"/>
          <w:szCs w:val="22"/>
        </w:rPr>
        <w:t>.</w:t>
      </w:r>
      <w:r w:rsidRPr="009D598D">
        <w:rPr>
          <w:b/>
          <w:color w:val="000000"/>
          <w:szCs w:val="22"/>
        </w:rPr>
        <w:tab/>
        <w:t>Farmakokinētiskās īpašības</w:t>
      </w:r>
    </w:p>
    <w:p w14:paraId="55E293A6" w14:textId="77777777" w:rsidR="00EA59EE" w:rsidRPr="009D598D" w:rsidRDefault="00EA59EE" w:rsidP="009D598D">
      <w:pPr>
        <w:pStyle w:val="CM6"/>
        <w:spacing w:line="240" w:lineRule="auto"/>
        <w:jc w:val="both"/>
        <w:rPr>
          <w:color w:val="000000"/>
          <w:sz w:val="22"/>
          <w:szCs w:val="22"/>
          <w:u w:val="single"/>
          <w:lang w:val="lv-LV"/>
        </w:rPr>
      </w:pPr>
    </w:p>
    <w:p w14:paraId="704718E6" w14:textId="77777777" w:rsidR="00A1306B" w:rsidRPr="009D598D" w:rsidRDefault="00A1306B" w:rsidP="009D598D">
      <w:pPr>
        <w:pStyle w:val="CM6"/>
        <w:spacing w:line="240" w:lineRule="auto"/>
        <w:jc w:val="both"/>
        <w:rPr>
          <w:color w:val="000000"/>
          <w:sz w:val="22"/>
          <w:szCs w:val="22"/>
          <w:lang w:val="lv-LV"/>
        </w:rPr>
      </w:pPr>
      <w:r w:rsidRPr="009D598D">
        <w:rPr>
          <w:color w:val="000000"/>
          <w:sz w:val="22"/>
          <w:szCs w:val="22"/>
          <w:u w:val="single"/>
          <w:lang w:val="lv-LV"/>
        </w:rPr>
        <w:t>Paracetamols</w:t>
      </w:r>
    </w:p>
    <w:p w14:paraId="72932856" w14:textId="77777777" w:rsidR="00A1306B" w:rsidRPr="009D598D" w:rsidRDefault="00A1306B" w:rsidP="009D598D">
      <w:pPr>
        <w:spacing w:line="240" w:lineRule="auto"/>
        <w:jc w:val="both"/>
        <w:rPr>
          <w:i/>
          <w:color w:val="000000"/>
          <w:szCs w:val="22"/>
        </w:rPr>
      </w:pPr>
      <w:r w:rsidRPr="009D598D">
        <w:rPr>
          <w:i/>
          <w:color w:val="000000"/>
          <w:szCs w:val="22"/>
        </w:rPr>
        <w:t>Uzsūkšanās</w:t>
      </w:r>
    </w:p>
    <w:p w14:paraId="127F63F4"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Pēc iekšķīgas lietošanas paracetamols uzsūcas ātri un pilnībā. Maksimālā koncentrācija plazmā tiek novērota 30 – 60 minūšu laikā pēc lietošanas.</w:t>
      </w:r>
    </w:p>
    <w:p w14:paraId="3C2A5318" w14:textId="77777777" w:rsidR="00A1306B" w:rsidRPr="009D598D" w:rsidRDefault="00A1306B" w:rsidP="009D598D">
      <w:pPr>
        <w:pStyle w:val="Default"/>
        <w:jc w:val="both"/>
        <w:rPr>
          <w:sz w:val="22"/>
          <w:szCs w:val="22"/>
          <w:lang w:val="lv-LV"/>
        </w:rPr>
      </w:pPr>
    </w:p>
    <w:p w14:paraId="3EC29630" w14:textId="77777777" w:rsidR="00A1306B" w:rsidRPr="009D598D" w:rsidRDefault="00A1306B" w:rsidP="009D598D">
      <w:pPr>
        <w:pStyle w:val="CM6"/>
        <w:spacing w:line="240" w:lineRule="auto"/>
        <w:jc w:val="both"/>
        <w:rPr>
          <w:color w:val="000000"/>
          <w:sz w:val="22"/>
          <w:szCs w:val="22"/>
          <w:lang w:val="lv-LV"/>
        </w:rPr>
      </w:pPr>
      <w:r w:rsidRPr="009D598D">
        <w:rPr>
          <w:i/>
          <w:iCs/>
          <w:color w:val="000000"/>
          <w:sz w:val="22"/>
          <w:szCs w:val="22"/>
          <w:lang w:val="lv-LV"/>
        </w:rPr>
        <w:t>Izplatīšanās</w:t>
      </w:r>
    </w:p>
    <w:p w14:paraId="4A087A71"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Paracetamols ātri izplatās visos audos. Paracetamola koncentrācija asinīs, plazmā un siekalās ir salīdzināma. Paracetamols slikti saistās ar plazmas olbaltumvielām.</w:t>
      </w:r>
    </w:p>
    <w:p w14:paraId="424E1412" w14:textId="77777777" w:rsidR="00A1306B" w:rsidRPr="009D598D" w:rsidRDefault="00A1306B" w:rsidP="009D598D">
      <w:pPr>
        <w:pStyle w:val="Default"/>
        <w:jc w:val="both"/>
        <w:rPr>
          <w:sz w:val="22"/>
          <w:szCs w:val="22"/>
          <w:lang w:val="lv-LV"/>
        </w:rPr>
      </w:pPr>
    </w:p>
    <w:p w14:paraId="4864DA45" w14:textId="77777777" w:rsidR="00A1306B" w:rsidRPr="009D598D" w:rsidRDefault="00A1306B" w:rsidP="009D598D">
      <w:pPr>
        <w:pStyle w:val="CM6"/>
        <w:spacing w:line="240" w:lineRule="auto"/>
        <w:jc w:val="both"/>
        <w:rPr>
          <w:color w:val="000000"/>
          <w:sz w:val="22"/>
          <w:szCs w:val="22"/>
          <w:lang w:val="lv-LV"/>
        </w:rPr>
      </w:pPr>
      <w:r w:rsidRPr="009D598D">
        <w:rPr>
          <w:i/>
          <w:iCs/>
          <w:color w:val="000000"/>
          <w:sz w:val="22"/>
          <w:szCs w:val="22"/>
          <w:lang w:val="lv-LV"/>
        </w:rPr>
        <w:t>Metabolisms</w:t>
      </w:r>
    </w:p>
    <w:p w14:paraId="601659D6"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Paracetamols tiek galvenokārt metabolizēts aknās glikurīnskābes un sērskābes konjugācijas rezultātā. Lietojot devas, kas lielākas par terapeitiskajām devām, sērskābes konjugācija ir piesātināta. Paracetamols tiek nedaudz metabolizēts ar katalizatora citohroma P450 (galvenokārt (CYP2E1) palīdzību un tā rezultātā veidojas metabolīts – N – acetil – p – benzohinoniamīns, ko parasti ātri detoksicē glutatjons un tas saistās ar cisteīnu un mekrapturīnskābi. Smagas pārdozēšanas gadījumā palielinās šī toksiskā metabolīta daudzums.</w:t>
      </w:r>
    </w:p>
    <w:p w14:paraId="54815F9A" w14:textId="77777777" w:rsidR="00A1306B" w:rsidRPr="009D598D" w:rsidRDefault="00A1306B" w:rsidP="009D598D">
      <w:pPr>
        <w:pStyle w:val="Default"/>
        <w:jc w:val="both"/>
        <w:rPr>
          <w:sz w:val="22"/>
          <w:szCs w:val="22"/>
          <w:lang w:val="lv-LV"/>
        </w:rPr>
      </w:pPr>
    </w:p>
    <w:p w14:paraId="023D7044" w14:textId="77777777" w:rsidR="00A1306B" w:rsidRPr="009D598D" w:rsidRDefault="00A1306B" w:rsidP="009D598D">
      <w:pPr>
        <w:pStyle w:val="CM6"/>
        <w:spacing w:line="240" w:lineRule="auto"/>
        <w:jc w:val="both"/>
        <w:rPr>
          <w:color w:val="000000"/>
          <w:sz w:val="22"/>
          <w:szCs w:val="22"/>
          <w:lang w:val="lv-LV"/>
        </w:rPr>
      </w:pPr>
      <w:r w:rsidRPr="009D598D">
        <w:rPr>
          <w:i/>
          <w:iCs/>
          <w:color w:val="000000"/>
          <w:sz w:val="22"/>
          <w:szCs w:val="22"/>
          <w:lang w:val="lv-LV"/>
        </w:rPr>
        <w:t>Eliminācija</w:t>
      </w:r>
    </w:p>
    <w:p w14:paraId="0A08819A"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Eliminācija galvenokārt notiek ar urīnu. 90% no absorbētā daudzuma izdalās caur nierēm 24 stundu laikā; mazāk kā 5% izdalās neizmainītā veidā. Eliminācijas pusperiods ir aptuveni 2 stundas. Pacientiem ar nieru un aknu darbības traucējumiem, pārdozēšanas gadījumā, kā arī jaundzimušajiem, eliminācijas pusperiods ir ilgāks. Maksimālā iedarbība un iedarbības ilgums (4 – 6 stundas) ir savstarpēji saistīts ar koncentrāciju plazmā.</w:t>
      </w:r>
    </w:p>
    <w:p w14:paraId="03609A76" w14:textId="77777777" w:rsidR="00A1306B" w:rsidRPr="009D598D" w:rsidRDefault="00A1306B" w:rsidP="009D598D">
      <w:pPr>
        <w:pStyle w:val="Default"/>
        <w:jc w:val="both"/>
        <w:rPr>
          <w:sz w:val="22"/>
          <w:szCs w:val="22"/>
          <w:lang w:val="lv-LV"/>
        </w:rPr>
      </w:pPr>
    </w:p>
    <w:p w14:paraId="2C125D1A" w14:textId="77777777" w:rsidR="00A1306B" w:rsidRPr="009D598D" w:rsidRDefault="00A1306B" w:rsidP="009D598D">
      <w:pPr>
        <w:pStyle w:val="CM6"/>
        <w:spacing w:line="240" w:lineRule="auto"/>
        <w:jc w:val="both"/>
        <w:rPr>
          <w:color w:val="000000"/>
          <w:sz w:val="22"/>
          <w:szCs w:val="22"/>
          <w:lang w:val="lv-LV"/>
        </w:rPr>
      </w:pPr>
      <w:r w:rsidRPr="009D598D">
        <w:rPr>
          <w:i/>
          <w:iCs/>
          <w:color w:val="000000"/>
          <w:sz w:val="22"/>
          <w:szCs w:val="22"/>
          <w:lang w:val="lv-LV"/>
        </w:rPr>
        <w:t>Nieru mazspēja</w:t>
      </w:r>
    </w:p>
    <w:p w14:paraId="578A7A86"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Pacientiem ar smagu nieru mazspēju (kreatinīna klīrenss &lt; 10 ml/min) paracetamola un tā metabolītu eliminācija ir ilgāka.</w:t>
      </w:r>
    </w:p>
    <w:p w14:paraId="768B55F2" w14:textId="77777777" w:rsidR="00A1306B" w:rsidRPr="009D598D" w:rsidRDefault="00A1306B" w:rsidP="009D598D">
      <w:pPr>
        <w:pStyle w:val="Default"/>
        <w:jc w:val="both"/>
        <w:rPr>
          <w:sz w:val="22"/>
          <w:szCs w:val="22"/>
          <w:lang w:val="lv-LV"/>
        </w:rPr>
      </w:pPr>
    </w:p>
    <w:p w14:paraId="5A6D1B00" w14:textId="77777777" w:rsidR="00A1306B" w:rsidRPr="009D598D" w:rsidRDefault="00A1306B" w:rsidP="009D598D">
      <w:pPr>
        <w:pStyle w:val="CM6"/>
        <w:spacing w:line="240" w:lineRule="auto"/>
        <w:jc w:val="both"/>
        <w:rPr>
          <w:color w:val="000000"/>
          <w:sz w:val="22"/>
          <w:szCs w:val="22"/>
          <w:lang w:val="lv-LV"/>
        </w:rPr>
      </w:pPr>
      <w:r w:rsidRPr="009D598D">
        <w:rPr>
          <w:i/>
          <w:iCs/>
          <w:color w:val="000000"/>
          <w:sz w:val="22"/>
          <w:szCs w:val="22"/>
          <w:lang w:val="lv-LV"/>
        </w:rPr>
        <w:t>Gados vecāki pacienti</w:t>
      </w:r>
    </w:p>
    <w:p w14:paraId="26B1B308"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Konjugācija nav traucēta.</w:t>
      </w:r>
    </w:p>
    <w:p w14:paraId="0A2E0031" w14:textId="77777777" w:rsidR="00A1306B" w:rsidRPr="009D598D" w:rsidRDefault="00A1306B" w:rsidP="009D598D">
      <w:pPr>
        <w:pStyle w:val="Default"/>
        <w:jc w:val="both"/>
        <w:rPr>
          <w:sz w:val="22"/>
          <w:szCs w:val="22"/>
          <w:lang w:val="lv-LV"/>
        </w:rPr>
      </w:pPr>
    </w:p>
    <w:p w14:paraId="21CA19D1"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Hlorfenamīna maleāts</w:t>
      </w:r>
    </w:p>
    <w:p w14:paraId="614D1B60" w14:textId="77777777" w:rsidR="00A1306B" w:rsidRPr="009D598D" w:rsidRDefault="00A1306B" w:rsidP="009D598D">
      <w:pPr>
        <w:spacing w:line="240" w:lineRule="auto"/>
        <w:jc w:val="both"/>
        <w:rPr>
          <w:i/>
          <w:color w:val="000000"/>
          <w:szCs w:val="22"/>
        </w:rPr>
      </w:pPr>
      <w:r w:rsidRPr="009D598D">
        <w:rPr>
          <w:i/>
          <w:color w:val="000000"/>
          <w:szCs w:val="22"/>
        </w:rPr>
        <w:t>Uzsūkšanās</w:t>
      </w:r>
    </w:p>
    <w:p w14:paraId="66201168"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Maksimālā hlorfenamīna koncentrācija asinīs tiek sasniegta 1 – 2 stundu laikā pēc lietošanas. Hlorfenamīna iedarbība ilgst 3 – 6 stundas.</w:t>
      </w:r>
    </w:p>
    <w:p w14:paraId="7748B352" w14:textId="77777777" w:rsidR="00A1306B" w:rsidRPr="009D598D" w:rsidRDefault="00A1306B" w:rsidP="009D598D">
      <w:pPr>
        <w:pStyle w:val="CM8"/>
        <w:spacing w:after="0"/>
        <w:jc w:val="both"/>
        <w:rPr>
          <w:color w:val="000000"/>
          <w:sz w:val="22"/>
          <w:szCs w:val="22"/>
          <w:lang w:val="lv-LV"/>
        </w:rPr>
      </w:pPr>
    </w:p>
    <w:p w14:paraId="3B144A40" w14:textId="77777777" w:rsidR="00A1306B" w:rsidRPr="009D598D" w:rsidRDefault="00A1306B" w:rsidP="009D598D">
      <w:pPr>
        <w:spacing w:line="240" w:lineRule="auto"/>
        <w:jc w:val="both"/>
        <w:rPr>
          <w:i/>
          <w:color w:val="000000"/>
          <w:szCs w:val="22"/>
        </w:rPr>
      </w:pPr>
      <w:r w:rsidRPr="009D598D">
        <w:rPr>
          <w:i/>
          <w:color w:val="000000"/>
          <w:szCs w:val="22"/>
        </w:rPr>
        <w:t>Izkliede</w:t>
      </w:r>
    </w:p>
    <w:p w14:paraId="14713DAA"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Biopieejamība pēc iekšķīgas lietošanas ir 25 – 50%, ko nosaka plašs pirmā loka efekts, kas ir mazāks aknu mazspējas gadījumā. Saistīšanās ar plazmas olbaltumvielām ir 69 – 72%. Šķietamais izplatības tilpums ir relatīvi liels - 3 – 7 l/kg ķermeņa masas.</w:t>
      </w:r>
    </w:p>
    <w:p w14:paraId="57575003" w14:textId="77777777" w:rsidR="00A1306B" w:rsidRPr="009D598D" w:rsidRDefault="00A1306B" w:rsidP="009D598D">
      <w:pPr>
        <w:spacing w:line="240" w:lineRule="auto"/>
        <w:jc w:val="both"/>
        <w:rPr>
          <w:i/>
          <w:color w:val="000000"/>
          <w:szCs w:val="22"/>
        </w:rPr>
      </w:pPr>
    </w:p>
    <w:p w14:paraId="4BA57834" w14:textId="77777777" w:rsidR="00A1306B" w:rsidRPr="009D598D" w:rsidRDefault="00A1306B" w:rsidP="009D598D">
      <w:pPr>
        <w:spacing w:line="240" w:lineRule="auto"/>
        <w:jc w:val="both"/>
        <w:rPr>
          <w:i/>
          <w:color w:val="000000"/>
          <w:szCs w:val="22"/>
        </w:rPr>
      </w:pPr>
      <w:r w:rsidRPr="009D598D">
        <w:rPr>
          <w:i/>
          <w:color w:val="000000"/>
          <w:szCs w:val="22"/>
        </w:rPr>
        <w:t>Biotransformācija</w:t>
      </w:r>
    </w:p>
    <w:p w14:paraId="2601390F"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Sadalīšanas notiek galvenokārt aknās, hidroksilācijas un konjugācijas rezultātā, kā arī demetilācijas un N – un S – oksīdu veidošanās rezultātā.</w:t>
      </w:r>
    </w:p>
    <w:p w14:paraId="17F6C9F2" w14:textId="77777777" w:rsidR="00A1306B" w:rsidRPr="009D598D" w:rsidRDefault="00A1306B" w:rsidP="009D598D">
      <w:pPr>
        <w:pStyle w:val="CM8"/>
        <w:spacing w:after="0"/>
        <w:jc w:val="both"/>
        <w:rPr>
          <w:color w:val="000000"/>
          <w:sz w:val="22"/>
          <w:szCs w:val="22"/>
          <w:lang w:val="lv-LV"/>
        </w:rPr>
      </w:pPr>
    </w:p>
    <w:p w14:paraId="71AE060E" w14:textId="77777777" w:rsidR="00A1306B" w:rsidRPr="009D598D" w:rsidRDefault="00A1306B" w:rsidP="009D598D">
      <w:pPr>
        <w:spacing w:line="240" w:lineRule="auto"/>
        <w:jc w:val="both"/>
        <w:rPr>
          <w:i/>
          <w:color w:val="000000"/>
          <w:szCs w:val="22"/>
        </w:rPr>
      </w:pPr>
      <w:r w:rsidRPr="009D598D">
        <w:rPr>
          <w:i/>
          <w:color w:val="000000"/>
          <w:szCs w:val="22"/>
        </w:rPr>
        <w:t>Eliminācija</w:t>
      </w:r>
    </w:p>
    <w:p w14:paraId="3C2B2951"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Hlorfenamīna maleāta plazmas eliminācijas pusperiods pieaugušajiem ir 15 – 36 stundas, bet bērniem tas ir 10 – 13 stundas. Nieru mazspējas gadījumā ir sagaidāms, ka metabolītu eliminācijas pusperiods būs ilgāks. Ar urīnu izdalās 0 – 34% devas (neizmainīta hlorfenamīna veidā) atbilstoši pH līmenim (sārmains līdz skābs). Ilgstošas lietošanas gadījumā iespējama akumulācija.</w:t>
      </w:r>
    </w:p>
    <w:p w14:paraId="5EDCE75C" w14:textId="77777777" w:rsidR="00A1306B" w:rsidRPr="009D598D" w:rsidRDefault="00A1306B" w:rsidP="009D598D">
      <w:pPr>
        <w:pStyle w:val="Default"/>
        <w:jc w:val="both"/>
        <w:rPr>
          <w:sz w:val="22"/>
          <w:szCs w:val="22"/>
          <w:lang w:val="lv-LV"/>
        </w:rPr>
      </w:pPr>
    </w:p>
    <w:p w14:paraId="5BA49394"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Kofeīns</w:t>
      </w:r>
    </w:p>
    <w:p w14:paraId="53BE88D4" w14:textId="77777777" w:rsidR="00A1306B" w:rsidRPr="009D598D" w:rsidRDefault="00A1306B" w:rsidP="009D598D">
      <w:pPr>
        <w:spacing w:line="240" w:lineRule="auto"/>
        <w:jc w:val="both"/>
        <w:rPr>
          <w:i/>
          <w:color w:val="000000"/>
          <w:szCs w:val="22"/>
        </w:rPr>
      </w:pPr>
      <w:r w:rsidRPr="009D598D">
        <w:rPr>
          <w:i/>
          <w:color w:val="000000"/>
          <w:szCs w:val="22"/>
        </w:rPr>
        <w:t>Uzsūkšanās</w:t>
      </w:r>
    </w:p>
    <w:p w14:paraId="4F9414B7"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 xml:space="preserve">Pēc iekšķīgas lietošanas kofeīns uzsūcas ātri un gandrīz pilnībā (t½ = 2 – 13 minūtes) un biopieejamība </w:t>
      </w:r>
      <w:r w:rsidRPr="009D598D">
        <w:rPr>
          <w:color w:val="000000"/>
          <w:sz w:val="22"/>
          <w:szCs w:val="22"/>
          <w:lang w:val="lv-LV"/>
        </w:rPr>
        <w:lastRenderedPageBreak/>
        <w:t>ir gandrīz pilnīga. Pēc 5 mg/kg lielas kofeīna devas lietošanas C</w:t>
      </w:r>
      <w:r w:rsidRPr="009D598D">
        <w:rPr>
          <w:color w:val="000000"/>
          <w:sz w:val="22"/>
          <w:szCs w:val="22"/>
          <w:vertAlign w:val="subscript"/>
          <w:lang w:val="lv-LV"/>
        </w:rPr>
        <w:t>max</w:t>
      </w:r>
      <w:r w:rsidRPr="009D598D">
        <w:rPr>
          <w:color w:val="000000"/>
          <w:sz w:val="22"/>
          <w:szCs w:val="22"/>
          <w:lang w:val="lv-LV"/>
        </w:rPr>
        <w:t xml:space="preserve"> tika sasniegts 30 – 40 minūšu laikā.</w:t>
      </w:r>
    </w:p>
    <w:p w14:paraId="7EEB994D" w14:textId="77777777" w:rsidR="00A1306B" w:rsidRPr="009D598D" w:rsidRDefault="00A1306B" w:rsidP="009D598D">
      <w:pPr>
        <w:pStyle w:val="CM8"/>
        <w:spacing w:after="0"/>
        <w:jc w:val="both"/>
        <w:rPr>
          <w:color w:val="000000"/>
          <w:sz w:val="22"/>
          <w:szCs w:val="22"/>
          <w:lang w:val="lv-LV"/>
        </w:rPr>
      </w:pPr>
    </w:p>
    <w:p w14:paraId="2F652399" w14:textId="77777777" w:rsidR="00A1306B" w:rsidRPr="009D598D" w:rsidRDefault="00A1306B" w:rsidP="009D598D">
      <w:pPr>
        <w:spacing w:line="240" w:lineRule="auto"/>
        <w:jc w:val="both"/>
        <w:rPr>
          <w:i/>
          <w:color w:val="000000"/>
          <w:szCs w:val="22"/>
        </w:rPr>
      </w:pPr>
      <w:r w:rsidRPr="009D598D">
        <w:rPr>
          <w:i/>
          <w:color w:val="000000"/>
          <w:szCs w:val="22"/>
        </w:rPr>
        <w:t>Izkliede</w:t>
      </w:r>
    </w:p>
    <w:p w14:paraId="56136B8A"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Saistīšanās ar plazmas olbaltumvielām ir mainīga (30 līdz 40%) un izplatības tilpums ir 0,52 – 1,06 l/kg. Kofeīns izplatās pa visu organismu un tas ātri šķērso asins – smadzeņu barjeru, placentu un tas izdalās ar mātes pienu.</w:t>
      </w:r>
    </w:p>
    <w:p w14:paraId="4211677F" w14:textId="77777777" w:rsidR="00A1306B" w:rsidRPr="009D598D" w:rsidRDefault="00A1306B" w:rsidP="009D598D">
      <w:pPr>
        <w:pStyle w:val="Default"/>
        <w:jc w:val="both"/>
        <w:rPr>
          <w:sz w:val="22"/>
          <w:szCs w:val="22"/>
          <w:lang w:val="lv-LV"/>
        </w:rPr>
      </w:pPr>
    </w:p>
    <w:p w14:paraId="30BC4F3A" w14:textId="77777777" w:rsidR="00A1306B" w:rsidRPr="009D598D" w:rsidRDefault="00A1306B" w:rsidP="009D598D">
      <w:pPr>
        <w:spacing w:line="240" w:lineRule="auto"/>
        <w:jc w:val="both"/>
        <w:rPr>
          <w:i/>
          <w:color w:val="000000"/>
          <w:szCs w:val="22"/>
        </w:rPr>
      </w:pPr>
      <w:r w:rsidRPr="009D598D">
        <w:rPr>
          <w:i/>
          <w:color w:val="000000"/>
          <w:szCs w:val="22"/>
        </w:rPr>
        <w:t>Eliminācija</w:t>
      </w:r>
    </w:p>
    <w:p w14:paraId="4338209D"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Plazmas eliminācijas pusperiods ir robežās starp 4,1 līdz 5,17 stundām, lai gan intra – un interindividuālas svārstības ir izraisījušas par 9 līdz 10 stundu ilgu eliminācijas pusperiodu.</w:t>
      </w:r>
    </w:p>
    <w:p w14:paraId="5B47F7E2" w14:textId="77777777" w:rsidR="00A1306B" w:rsidRPr="009D598D" w:rsidRDefault="00A1306B" w:rsidP="009D598D">
      <w:pPr>
        <w:pStyle w:val="Default"/>
        <w:jc w:val="both"/>
        <w:rPr>
          <w:sz w:val="22"/>
          <w:szCs w:val="22"/>
          <w:lang w:val="lv-LV"/>
        </w:rPr>
      </w:pPr>
    </w:p>
    <w:p w14:paraId="72FD7290"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Kofeīns un tā metabolīti tiek izvadīti galvenokārt ar urīnu. 48 stundu laikā savāktajā urīna tika konstatēts 86% lietotās devas, no kuras ne vairāk kā 1,8% bija neizmainīts kofeīns. Galveni metabolīti ir 1 – metilurīnskābe (12 – 38 %), 1 – metilksantīns (8 – 19%) un 5 – acetilamino– 6 – amino – 3 metil – uracils (15 %). Izkārnījumos konstatēja tikai 2 – 5% no lietotās devas. Tika konstatēts, ka 1,7 dimetilurīnskābe ir galvenais</w:t>
      </w:r>
      <w:r w:rsidR="00182746" w:rsidRPr="009D598D">
        <w:rPr>
          <w:color w:val="000000"/>
          <w:sz w:val="22"/>
          <w:szCs w:val="22"/>
          <w:lang w:val="lv-LV"/>
        </w:rPr>
        <w:t xml:space="preserve"> </w:t>
      </w:r>
      <w:r w:rsidRPr="009D598D">
        <w:rPr>
          <w:color w:val="000000"/>
          <w:sz w:val="22"/>
          <w:szCs w:val="22"/>
          <w:lang w:val="lv-LV"/>
        </w:rPr>
        <w:t>metabolīts, kas sastāda 44% no kopējā daudzuma.</w:t>
      </w:r>
    </w:p>
    <w:p w14:paraId="0020F9E0" w14:textId="77777777" w:rsidR="00A1306B" w:rsidRPr="009D598D" w:rsidRDefault="00A1306B" w:rsidP="009D598D">
      <w:pPr>
        <w:pStyle w:val="Default"/>
        <w:jc w:val="both"/>
        <w:rPr>
          <w:sz w:val="22"/>
          <w:szCs w:val="22"/>
          <w:lang w:val="lv-LV"/>
        </w:rPr>
      </w:pPr>
    </w:p>
    <w:p w14:paraId="0C1EA7B9"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Askorbīnskābe</w:t>
      </w:r>
    </w:p>
    <w:p w14:paraId="0F15112B" w14:textId="77777777" w:rsidR="00A1306B" w:rsidRPr="009D598D" w:rsidRDefault="00A1306B" w:rsidP="009D598D">
      <w:pPr>
        <w:spacing w:line="240" w:lineRule="auto"/>
        <w:jc w:val="both"/>
        <w:rPr>
          <w:i/>
          <w:color w:val="000000"/>
          <w:szCs w:val="22"/>
        </w:rPr>
      </w:pPr>
      <w:r w:rsidRPr="009D598D">
        <w:rPr>
          <w:i/>
          <w:color w:val="000000"/>
          <w:szCs w:val="22"/>
        </w:rPr>
        <w:t>Uzsūkšanās</w:t>
      </w:r>
    </w:p>
    <w:p w14:paraId="36405FE0"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Atkarībā no koncentrācijas, askorbīnskābe uzsūcas zarn</w:t>
      </w:r>
      <w:r w:rsidR="00182746" w:rsidRPr="009D598D">
        <w:rPr>
          <w:color w:val="000000"/>
          <w:sz w:val="22"/>
          <w:szCs w:val="22"/>
          <w:lang w:val="lv-LV"/>
        </w:rPr>
        <w:t>u proksimālajā daļā</w:t>
      </w:r>
      <w:r w:rsidRPr="009D598D">
        <w:rPr>
          <w:color w:val="000000"/>
          <w:sz w:val="22"/>
          <w:szCs w:val="22"/>
          <w:lang w:val="lv-LV"/>
        </w:rPr>
        <w:t>. Palielinoties reizes devai, biopieejamība samazinās līdz 60 – 75%, lietojot 1g, līdz aptuveni 40%, lietojot 3g un līdz pat 16%, lietojot 12g. Neabsorbēto daļu sašķeļ zarnu gļotāda, pārveidojot par CO</w:t>
      </w:r>
      <w:r w:rsidRPr="009D598D">
        <w:rPr>
          <w:color w:val="000000"/>
          <w:sz w:val="22"/>
          <w:szCs w:val="22"/>
          <w:vertAlign w:val="subscript"/>
          <w:lang w:val="lv-LV"/>
        </w:rPr>
        <w:t>2</w:t>
      </w:r>
      <w:r w:rsidRPr="009D598D">
        <w:rPr>
          <w:color w:val="000000"/>
          <w:sz w:val="22"/>
          <w:szCs w:val="22"/>
          <w:lang w:val="lv-LV"/>
        </w:rPr>
        <w:t xml:space="preserve"> un organiskajām skābēm.</w:t>
      </w:r>
    </w:p>
    <w:p w14:paraId="5EAAE6FB" w14:textId="77777777" w:rsidR="00A1306B" w:rsidRPr="009D598D" w:rsidRDefault="00A1306B" w:rsidP="009D598D">
      <w:pPr>
        <w:pStyle w:val="Default"/>
        <w:jc w:val="both"/>
        <w:rPr>
          <w:sz w:val="22"/>
          <w:szCs w:val="22"/>
          <w:lang w:val="lv-LV"/>
        </w:rPr>
      </w:pPr>
    </w:p>
    <w:p w14:paraId="5D6C222B" w14:textId="77777777" w:rsidR="00A1306B" w:rsidRPr="009D598D" w:rsidRDefault="00A1306B" w:rsidP="009D598D">
      <w:pPr>
        <w:spacing w:line="240" w:lineRule="auto"/>
        <w:jc w:val="both"/>
        <w:rPr>
          <w:i/>
          <w:color w:val="000000"/>
          <w:szCs w:val="22"/>
        </w:rPr>
      </w:pPr>
      <w:r w:rsidRPr="009D598D">
        <w:rPr>
          <w:i/>
          <w:color w:val="000000"/>
          <w:szCs w:val="22"/>
        </w:rPr>
        <w:t>Eliminācija</w:t>
      </w:r>
    </w:p>
    <w:p w14:paraId="1867B68C"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Šajos apstākļos 80% neizmainītas askorbīnskābes izdalās ar urīnu. Vidējais eliminācijas pusperiods ir 2,9 stundas. Eliminācija caur nierēm notiek glomerulārās filtrācijas rezultātā, kam seko reabsorbcija proksimālajā vadā. Askorbīnskābes plazmas zemlīknes laukums veseliem pieaugušajiem ir 1,34 ± 0,21mg/dl (vīriešiem) un 1,46 ± 0,22mg/dl sievietēm.</w:t>
      </w:r>
    </w:p>
    <w:p w14:paraId="5DD2D40D" w14:textId="77777777" w:rsidR="00A1306B" w:rsidRPr="009D598D" w:rsidRDefault="00A1306B" w:rsidP="009D598D">
      <w:pPr>
        <w:pStyle w:val="Default"/>
        <w:jc w:val="both"/>
        <w:rPr>
          <w:sz w:val="22"/>
          <w:szCs w:val="22"/>
          <w:lang w:val="lv-LV"/>
        </w:rPr>
      </w:pPr>
    </w:p>
    <w:p w14:paraId="7C1DE397"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Organismā uzkrātais daudzums pēc regulāras aptuveni 180mg/dienā lielu devu lietošanas ir 1,5g. Plaša akumulācija notiek hipofīzē, virsnieru dziedzerī, acs lēcā un leikocītos.</w:t>
      </w:r>
    </w:p>
    <w:p w14:paraId="21B11523" w14:textId="77777777" w:rsidR="00CD10AA" w:rsidRPr="009D598D" w:rsidRDefault="00CD10AA" w:rsidP="009D598D">
      <w:pPr>
        <w:spacing w:line="240" w:lineRule="auto"/>
        <w:jc w:val="both"/>
        <w:rPr>
          <w:color w:val="000000"/>
          <w:szCs w:val="22"/>
        </w:rPr>
      </w:pPr>
    </w:p>
    <w:p w14:paraId="2184AE2B"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5.3</w:t>
      </w:r>
      <w:r w:rsidR="008C59E2" w:rsidRPr="009D598D">
        <w:rPr>
          <w:b/>
          <w:color w:val="000000"/>
          <w:szCs w:val="22"/>
        </w:rPr>
        <w:t>.</w:t>
      </w:r>
      <w:r w:rsidRPr="009D598D">
        <w:rPr>
          <w:b/>
          <w:color w:val="000000"/>
          <w:szCs w:val="22"/>
        </w:rPr>
        <w:tab/>
        <w:t>Preklīniskie dati par droš</w:t>
      </w:r>
      <w:r w:rsidR="00E53972" w:rsidRPr="009D598D">
        <w:rPr>
          <w:b/>
          <w:color w:val="000000"/>
          <w:szCs w:val="22"/>
        </w:rPr>
        <w:t>umu</w:t>
      </w:r>
    </w:p>
    <w:p w14:paraId="7A1A61E9" w14:textId="77777777" w:rsidR="00EA59EE" w:rsidRPr="009D598D" w:rsidRDefault="00EA59EE" w:rsidP="009D598D">
      <w:pPr>
        <w:pStyle w:val="CM1"/>
        <w:spacing w:line="240" w:lineRule="auto"/>
        <w:jc w:val="both"/>
        <w:rPr>
          <w:i/>
          <w:iCs/>
          <w:color w:val="000000"/>
          <w:sz w:val="22"/>
          <w:szCs w:val="22"/>
          <w:lang w:val="lv-LV"/>
        </w:rPr>
      </w:pPr>
    </w:p>
    <w:p w14:paraId="612B33FC" w14:textId="77777777" w:rsidR="00A1306B" w:rsidRPr="009D598D" w:rsidRDefault="00A1306B" w:rsidP="009D598D">
      <w:pPr>
        <w:pStyle w:val="CM1"/>
        <w:spacing w:line="240" w:lineRule="auto"/>
        <w:jc w:val="both"/>
        <w:rPr>
          <w:color w:val="000000"/>
          <w:sz w:val="22"/>
          <w:szCs w:val="22"/>
          <w:lang w:val="lv-LV"/>
        </w:rPr>
      </w:pPr>
      <w:r w:rsidRPr="009D598D">
        <w:rPr>
          <w:i/>
          <w:iCs/>
          <w:color w:val="000000"/>
          <w:sz w:val="22"/>
          <w:szCs w:val="22"/>
          <w:lang w:val="lv-LV"/>
        </w:rPr>
        <w:t>Akūta un hroniska toksicitāte</w:t>
      </w:r>
    </w:p>
    <w:p w14:paraId="51762CA1"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Paracetamols</w:t>
      </w:r>
    </w:p>
    <w:p w14:paraId="3D9AED69"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Akūtas, subhroniskas un hroniskas toksicitātes pētījumos ar dzīvniekiem (žurkām un pelēm) novēroti kuņģa – zarnu trakta darbības traucējumi, asins diskrāzija, aknu bojājumi un nieru parenhīma līdz pat nekrozei. Tiek uzskatīts, ka šo bojājumu cēlonis ir daļēji saistīts ar paracetamola darbības mehānismu (skatīt iepriekš) un daļēji arī ar tā biotransformāciju. Metabolīti, kas izraisa toksisku iedarbību, kā rezultātā novēro orgānu bojājumus ir dokumentēti arī cilvēkiem. Šā iemesla dēļ paracetamolu nedrīkst lietot ilgstoši un/vai lielās devās.</w:t>
      </w:r>
    </w:p>
    <w:p w14:paraId="7B92B593" w14:textId="77777777" w:rsidR="00A1306B" w:rsidRPr="009D598D" w:rsidRDefault="00A1306B" w:rsidP="009D598D">
      <w:pPr>
        <w:pStyle w:val="Default"/>
        <w:jc w:val="both"/>
        <w:rPr>
          <w:sz w:val="22"/>
          <w:szCs w:val="22"/>
          <w:lang w:val="lv-LV"/>
        </w:rPr>
      </w:pPr>
    </w:p>
    <w:p w14:paraId="464CBFD7"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Lietojot 2,9 g un 3,9 g lielas dienas devas 1 gadu ilgi ir novēroti atgriezeniski hroniska hepatīta gadījumi. Dienas devas, kas izraisa nopietnus aknu bojājumus cilvēkiem, kuri nelieto alkoholu, ir apmēram 5,8 g un intoksikācijas simptomus var novērot 3 nedēļu laikā pēc zāļu lietošanas.</w:t>
      </w:r>
    </w:p>
    <w:p w14:paraId="09686344" w14:textId="77777777" w:rsidR="00A1306B" w:rsidRPr="009D598D" w:rsidRDefault="00A1306B" w:rsidP="009D598D">
      <w:pPr>
        <w:pStyle w:val="Default"/>
        <w:jc w:val="both"/>
        <w:rPr>
          <w:sz w:val="22"/>
          <w:szCs w:val="22"/>
          <w:lang w:val="lv-LV"/>
        </w:rPr>
      </w:pPr>
    </w:p>
    <w:p w14:paraId="04B4D81C"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Hlorfenamīna maleāts</w:t>
      </w:r>
    </w:p>
    <w:p w14:paraId="28D36AB0"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Pēc iekšķīgas hlorfenamīna maleāta lietošanas LD</w:t>
      </w:r>
      <w:r w:rsidRPr="009D598D">
        <w:rPr>
          <w:color w:val="000000"/>
          <w:sz w:val="22"/>
          <w:szCs w:val="22"/>
          <w:vertAlign w:val="subscript"/>
          <w:lang w:val="lv-LV"/>
        </w:rPr>
        <w:t>50</w:t>
      </w:r>
      <w:r w:rsidRPr="009D598D">
        <w:rPr>
          <w:color w:val="000000"/>
          <w:sz w:val="22"/>
          <w:szCs w:val="22"/>
          <w:lang w:val="lv-LV"/>
        </w:rPr>
        <w:t xml:space="preserve"> pelēm ir 162 mg/kg ķermeņa masas. Hroniskās toksicitātes pētījumi neliecina par šīs vielas specifisku iedarbību.</w:t>
      </w:r>
    </w:p>
    <w:p w14:paraId="51B0A479" w14:textId="77777777" w:rsidR="00A1306B" w:rsidRPr="009D598D" w:rsidRDefault="00A1306B" w:rsidP="009D598D">
      <w:pPr>
        <w:pStyle w:val="Default"/>
        <w:jc w:val="both"/>
        <w:rPr>
          <w:sz w:val="22"/>
          <w:szCs w:val="22"/>
          <w:lang w:val="lv-LV"/>
        </w:rPr>
      </w:pPr>
    </w:p>
    <w:p w14:paraId="00A29B30"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u w:val="single"/>
          <w:lang w:val="lv-LV"/>
        </w:rPr>
        <w:t>Kofeīns</w:t>
      </w:r>
    </w:p>
    <w:p w14:paraId="7928431F"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Pētījumos ar dzīvniekiem, ilgstošas lietošanas gadījumā, lietojot terapeitiski nepamatotas lielas devas) kofeīns izraisa kuņģa – zarnu trakta čūlas, aknu un nieru bojājumus.</w:t>
      </w:r>
    </w:p>
    <w:p w14:paraId="18A3EF6E" w14:textId="77777777" w:rsidR="00A1306B" w:rsidRPr="009D598D" w:rsidRDefault="00A1306B" w:rsidP="009D598D">
      <w:pPr>
        <w:pStyle w:val="Default"/>
        <w:jc w:val="both"/>
        <w:rPr>
          <w:sz w:val="22"/>
          <w:szCs w:val="22"/>
          <w:lang w:val="lv-LV"/>
        </w:rPr>
      </w:pPr>
    </w:p>
    <w:p w14:paraId="64251504"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Askorbīnskābe</w:t>
      </w:r>
    </w:p>
    <w:p w14:paraId="7DA43448"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Īstermiņa un ilgtermiņa pētījumi ar žurkām neliecina par šīs vielas specifisku iedarbību.</w:t>
      </w:r>
    </w:p>
    <w:p w14:paraId="1F76BBB3" w14:textId="77777777" w:rsidR="00A1306B" w:rsidRPr="009D598D" w:rsidRDefault="00A1306B" w:rsidP="009D598D">
      <w:pPr>
        <w:pStyle w:val="Default"/>
        <w:jc w:val="both"/>
        <w:rPr>
          <w:sz w:val="22"/>
          <w:szCs w:val="22"/>
          <w:lang w:val="lv-LV"/>
        </w:rPr>
      </w:pPr>
    </w:p>
    <w:p w14:paraId="290B7A26" w14:textId="77777777" w:rsidR="00A1306B" w:rsidRPr="009D598D" w:rsidRDefault="00A1306B" w:rsidP="009D598D">
      <w:pPr>
        <w:pStyle w:val="CM1"/>
        <w:spacing w:line="240" w:lineRule="auto"/>
        <w:jc w:val="both"/>
        <w:rPr>
          <w:color w:val="000000"/>
          <w:sz w:val="22"/>
          <w:szCs w:val="22"/>
          <w:lang w:val="lv-LV"/>
        </w:rPr>
      </w:pPr>
      <w:r w:rsidRPr="009D598D">
        <w:rPr>
          <w:i/>
          <w:iCs/>
          <w:color w:val="000000"/>
          <w:sz w:val="22"/>
          <w:szCs w:val="22"/>
          <w:lang w:val="lv-LV"/>
        </w:rPr>
        <w:t>Mutagenitātes un tumorogenitātes potenciāls</w:t>
      </w:r>
    </w:p>
    <w:p w14:paraId="3859DF85"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Paracetamols</w:t>
      </w:r>
    </w:p>
    <w:p w14:paraId="6AE0B161"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Plašos pētījumos nav konstatēta būtisks genotoksicitātes risks attiecībā uz terapeitiskajām (t.i. netoksiskām) paracetamola devām. Ilgtermiņa pētījumi ar žurkām un pelēm neliecina par nozīmīgu tumorogēnu iedarbību nehepatotoksiskām paracetamola devām.</w:t>
      </w:r>
    </w:p>
    <w:p w14:paraId="4901BBB1" w14:textId="77777777" w:rsidR="00A1306B" w:rsidRPr="009D598D" w:rsidRDefault="00A1306B" w:rsidP="009D598D">
      <w:pPr>
        <w:pStyle w:val="Default"/>
        <w:jc w:val="both"/>
        <w:rPr>
          <w:sz w:val="22"/>
          <w:szCs w:val="22"/>
          <w:lang w:val="lv-LV"/>
        </w:rPr>
      </w:pPr>
    </w:p>
    <w:p w14:paraId="628A4D0A"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Hlorfenamīna maleāts</w:t>
      </w:r>
    </w:p>
    <w:p w14:paraId="6EBA6D5E" w14:textId="77777777" w:rsidR="00A1306B" w:rsidRPr="009D598D" w:rsidRDefault="00A1306B" w:rsidP="009D598D">
      <w:pPr>
        <w:pStyle w:val="CM8"/>
        <w:spacing w:after="0"/>
        <w:jc w:val="both"/>
        <w:rPr>
          <w:color w:val="000000"/>
          <w:sz w:val="22"/>
          <w:szCs w:val="22"/>
          <w:lang w:val="lv-LV"/>
        </w:rPr>
      </w:pPr>
      <w:r w:rsidRPr="009D598D">
        <w:rPr>
          <w:i/>
          <w:iCs/>
          <w:color w:val="000000"/>
          <w:sz w:val="22"/>
          <w:szCs w:val="22"/>
          <w:lang w:val="lv-LV"/>
        </w:rPr>
        <w:t>In vitro</w:t>
      </w:r>
      <w:r w:rsidRPr="009D598D">
        <w:rPr>
          <w:color w:val="000000"/>
          <w:sz w:val="22"/>
          <w:szCs w:val="22"/>
          <w:lang w:val="lv-LV"/>
        </w:rPr>
        <w:t xml:space="preserve"> pētījumi ar hlorfenamīnu neliecina par mutagēnu potenciālu, kas būtu nozīmīgs klīniskajā praksē.</w:t>
      </w:r>
    </w:p>
    <w:p w14:paraId="0102AF34"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Ilgtermiņa pētījumi ar žurkām un pelēm neliecina par tumorogenitātes potenciālu.</w:t>
      </w:r>
    </w:p>
    <w:p w14:paraId="5F0821B3" w14:textId="77777777" w:rsidR="00A1306B" w:rsidRPr="009D598D" w:rsidRDefault="00A1306B" w:rsidP="009D598D">
      <w:pPr>
        <w:pStyle w:val="Default"/>
        <w:jc w:val="both"/>
        <w:rPr>
          <w:sz w:val="22"/>
          <w:szCs w:val="22"/>
          <w:lang w:val="lv-LV"/>
        </w:rPr>
      </w:pPr>
    </w:p>
    <w:p w14:paraId="5601B8A1"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Kofeīns</w:t>
      </w:r>
    </w:p>
    <w:p w14:paraId="1B14CD4F"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Līdzīgi citiem metilksantīniem, kofeīnam</w:t>
      </w:r>
      <w:r w:rsidRPr="009D598D">
        <w:rPr>
          <w:i/>
          <w:iCs/>
          <w:color w:val="000000"/>
          <w:sz w:val="22"/>
          <w:szCs w:val="22"/>
          <w:lang w:val="lv-LV"/>
        </w:rPr>
        <w:t xml:space="preserve"> in vitro</w:t>
      </w:r>
      <w:r w:rsidRPr="009D598D">
        <w:rPr>
          <w:color w:val="000000"/>
          <w:sz w:val="22"/>
          <w:szCs w:val="22"/>
          <w:lang w:val="lv-LV"/>
        </w:rPr>
        <w:t xml:space="preserve"> piemīt potenciāls sašķelt hromosomas. Zinātnisko pētījumu apkopojums par kofeīna metabolismu un mutagenitātes potenciālu liecina, ka</w:t>
      </w:r>
      <w:r w:rsidRPr="009D598D">
        <w:rPr>
          <w:i/>
          <w:iCs/>
          <w:color w:val="000000"/>
          <w:sz w:val="22"/>
          <w:szCs w:val="22"/>
          <w:lang w:val="lv-LV"/>
        </w:rPr>
        <w:t xml:space="preserve"> in vivo </w:t>
      </w:r>
      <w:r w:rsidRPr="009D598D">
        <w:rPr>
          <w:color w:val="000000"/>
          <w:sz w:val="22"/>
          <w:szCs w:val="22"/>
          <w:lang w:val="lv-LV"/>
        </w:rPr>
        <w:t>nav sagaidāma mutagēna iedarbība. Ilgtermiņa pētījumi neliecina par kofeīna kancerogēno potenciālu.</w:t>
      </w:r>
    </w:p>
    <w:p w14:paraId="08151ADB" w14:textId="77777777" w:rsidR="00A1306B" w:rsidRPr="009D598D" w:rsidRDefault="00A1306B" w:rsidP="009D598D">
      <w:pPr>
        <w:pStyle w:val="Default"/>
        <w:jc w:val="both"/>
        <w:rPr>
          <w:sz w:val="22"/>
          <w:szCs w:val="22"/>
          <w:lang w:val="lv-LV"/>
        </w:rPr>
      </w:pPr>
    </w:p>
    <w:p w14:paraId="2CB3FE27"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Askorbīnskābe</w:t>
      </w:r>
    </w:p>
    <w:p w14:paraId="1029F9A9"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Ilgtermiņa pētījumi ar pelēm neliecina par tumorogenitātes potenciālu.</w:t>
      </w:r>
    </w:p>
    <w:p w14:paraId="355B738E"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Šūnu kultūras un dzīvnieku pētījumi neliecina par mutagēnu potenciālu terapeitisko devu robežās.</w:t>
      </w:r>
    </w:p>
    <w:p w14:paraId="106CDA0B" w14:textId="77777777" w:rsidR="00A1306B" w:rsidRPr="009D598D" w:rsidRDefault="00A1306B" w:rsidP="009D598D">
      <w:pPr>
        <w:pStyle w:val="Default"/>
        <w:jc w:val="both"/>
        <w:rPr>
          <w:sz w:val="22"/>
          <w:szCs w:val="22"/>
          <w:lang w:val="lv-LV"/>
        </w:rPr>
      </w:pPr>
    </w:p>
    <w:p w14:paraId="3AF5881A" w14:textId="77777777" w:rsidR="00A1306B" w:rsidRPr="009D598D" w:rsidRDefault="00A1306B" w:rsidP="009D598D">
      <w:pPr>
        <w:pStyle w:val="CM1"/>
        <w:spacing w:line="240" w:lineRule="auto"/>
        <w:jc w:val="both"/>
        <w:rPr>
          <w:color w:val="000000"/>
          <w:sz w:val="22"/>
          <w:szCs w:val="22"/>
          <w:lang w:val="lv-LV"/>
        </w:rPr>
      </w:pPr>
      <w:r w:rsidRPr="009D598D">
        <w:rPr>
          <w:i/>
          <w:iCs/>
          <w:color w:val="000000"/>
          <w:sz w:val="22"/>
          <w:szCs w:val="22"/>
          <w:lang w:val="lv-LV"/>
        </w:rPr>
        <w:t>Reproduktīvā toksicitāte</w:t>
      </w:r>
    </w:p>
    <w:p w14:paraId="78731872"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Paracetamols</w:t>
      </w:r>
    </w:p>
    <w:p w14:paraId="727DC6CC"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Paracetamols šķērso placentu. Pētījumi ar dzīvniekiem un pieredze ar cilvēkiem līdz šim brīdim neliecina par reproduktīvās funkcijas traucējumiem.</w:t>
      </w:r>
    </w:p>
    <w:p w14:paraId="5E4063D6" w14:textId="77777777" w:rsidR="00A1306B" w:rsidRPr="009D598D" w:rsidRDefault="00A1306B" w:rsidP="009D598D">
      <w:pPr>
        <w:pStyle w:val="Default"/>
        <w:jc w:val="both"/>
        <w:rPr>
          <w:sz w:val="22"/>
          <w:szCs w:val="22"/>
          <w:lang w:val="lv-LV"/>
        </w:rPr>
      </w:pPr>
    </w:p>
    <w:p w14:paraId="6742FFF3"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Hlorfenamīna maleāts</w:t>
      </w:r>
    </w:p>
    <w:p w14:paraId="10620D1C"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Hlorfenamīns nav pietiekami pētīts attiecībā uz toksicitātes risku, kas saistīts ar reproduktivitāti. Nav pieejami dati par auglību un ietekmi uz pēcdzemdību attīstību.</w:t>
      </w:r>
    </w:p>
    <w:p w14:paraId="1C9D9A01" w14:textId="77777777" w:rsidR="00A1306B" w:rsidRPr="009D598D" w:rsidRDefault="00A1306B" w:rsidP="009D598D">
      <w:pPr>
        <w:pStyle w:val="Default"/>
        <w:jc w:val="both"/>
        <w:rPr>
          <w:sz w:val="22"/>
          <w:szCs w:val="22"/>
          <w:lang w:val="lv-LV"/>
        </w:rPr>
      </w:pPr>
    </w:p>
    <w:p w14:paraId="6529DFFE"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Kofeīns</w:t>
      </w:r>
    </w:p>
    <w:p w14:paraId="128305FE"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Kofeīns šķērso placentu. Lietojot ļoti lielas kofeīna devas, dažādām dzīvnieku sugām (žurkām, pelēm, trušiem) tika novēroti pretrunīgi rezultāti attiecībā uz iedarbību, kas izraisa augļa bojājumus. Ievadot žurkām ļoti lielas kofeīna devas (vairāk kā 100 mg/kg ķermeņa masas) tika novērota embriotoksiska un fetotoksiska iedarbība, savukārt teratogēnu iedarbību nenovēroja. Terapeitiski nozīmīgas kofeīna devās vai dzerot kafiju, nav novērots palielināts risks attiecībā uz grūtniecības gaitu vai bērna attīstību.</w:t>
      </w:r>
    </w:p>
    <w:p w14:paraId="47899845" w14:textId="77777777" w:rsidR="00A1306B" w:rsidRPr="009D598D" w:rsidRDefault="00A1306B" w:rsidP="009D598D">
      <w:pPr>
        <w:pStyle w:val="Default"/>
        <w:jc w:val="both"/>
        <w:rPr>
          <w:sz w:val="22"/>
          <w:szCs w:val="22"/>
          <w:lang w:val="lv-LV"/>
        </w:rPr>
      </w:pPr>
    </w:p>
    <w:p w14:paraId="04A37559" w14:textId="77777777" w:rsidR="00A1306B" w:rsidRPr="009D598D" w:rsidRDefault="00A1306B" w:rsidP="009D598D">
      <w:pPr>
        <w:pStyle w:val="CM8"/>
        <w:spacing w:after="0"/>
        <w:jc w:val="both"/>
        <w:rPr>
          <w:color w:val="000000"/>
          <w:sz w:val="22"/>
          <w:szCs w:val="22"/>
          <w:u w:val="single"/>
          <w:lang w:val="lv-LV"/>
        </w:rPr>
      </w:pPr>
      <w:r w:rsidRPr="009D598D">
        <w:rPr>
          <w:color w:val="000000"/>
          <w:sz w:val="22"/>
          <w:szCs w:val="22"/>
          <w:u w:val="single"/>
          <w:lang w:val="lv-LV"/>
        </w:rPr>
        <w:t>Askorbīnskābe</w:t>
      </w:r>
    </w:p>
    <w:p w14:paraId="0DD9887D"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Pētījumi ar divām dzīvnieku sugām (lietojot 150, 250, 500 un 1000 mg/kg ķermeņa masas lielas dienas devas) neliecina par fetotoksisku iedarbību. Askorbīnskābe izdalās mātes pienā un parastas difūzijas veidā šķērso placentu.</w:t>
      </w:r>
    </w:p>
    <w:p w14:paraId="6D55DCE1" w14:textId="77777777" w:rsidR="00CD10AA" w:rsidRPr="009D598D" w:rsidRDefault="00CD10AA" w:rsidP="009D598D">
      <w:pPr>
        <w:tabs>
          <w:tab w:val="clear" w:pos="567"/>
        </w:tabs>
        <w:spacing w:line="240" w:lineRule="auto"/>
        <w:jc w:val="both"/>
        <w:rPr>
          <w:color w:val="000000"/>
          <w:szCs w:val="22"/>
        </w:rPr>
      </w:pPr>
    </w:p>
    <w:p w14:paraId="120789CB" w14:textId="77777777" w:rsidR="00EA59EE" w:rsidRPr="009D598D" w:rsidRDefault="00EA59EE" w:rsidP="009D598D">
      <w:pPr>
        <w:tabs>
          <w:tab w:val="clear" w:pos="567"/>
        </w:tabs>
        <w:spacing w:line="240" w:lineRule="auto"/>
        <w:jc w:val="both"/>
        <w:rPr>
          <w:color w:val="000000"/>
          <w:szCs w:val="22"/>
        </w:rPr>
      </w:pPr>
    </w:p>
    <w:p w14:paraId="463DF382"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6.</w:t>
      </w:r>
      <w:r w:rsidRPr="009D598D">
        <w:rPr>
          <w:b/>
          <w:color w:val="000000"/>
          <w:szCs w:val="22"/>
        </w:rPr>
        <w:tab/>
        <w:t>FARMACEITISKĀ INFORMĀCIJA</w:t>
      </w:r>
    </w:p>
    <w:p w14:paraId="51B395FF" w14:textId="77777777" w:rsidR="00EA59EE" w:rsidRPr="009D598D" w:rsidRDefault="00EA59EE" w:rsidP="009D598D">
      <w:pPr>
        <w:tabs>
          <w:tab w:val="clear" w:pos="567"/>
        </w:tabs>
        <w:spacing w:line="240" w:lineRule="auto"/>
        <w:jc w:val="both"/>
        <w:rPr>
          <w:b/>
          <w:color w:val="000000"/>
          <w:szCs w:val="22"/>
        </w:rPr>
      </w:pPr>
    </w:p>
    <w:p w14:paraId="718E3452"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6.1</w:t>
      </w:r>
      <w:r w:rsidR="00980C1E" w:rsidRPr="009D598D">
        <w:rPr>
          <w:b/>
          <w:color w:val="000000"/>
          <w:szCs w:val="22"/>
        </w:rPr>
        <w:t>.</w:t>
      </w:r>
      <w:r w:rsidRPr="009D598D">
        <w:rPr>
          <w:b/>
          <w:color w:val="000000"/>
          <w:szCs w:val="22"/>
        </w:rPr>
        <w:tab/>
        <w:t>Palīgvielu saraksts</w:t>
      </w:r>
    </w:p>
    <w:p w14:paraId="777A2213" w14:textId="77777777" w:rsidR="00EA59EE" w:rsidRPr="009D598D" w:rsidRDefault="00EA59EE" w:rsidP="009D598D">
      <w:pPr>
        <w:pStyle w:val="CM1"/>
        <w:spacing w:line="240" w:lineRule="auto"/>
        <w:jc w:val="both"/>
        <w:rPr>
          <w:color w:val="000000"/>
          <w:sz w:val="22"/>
          <w:szCs w:val="22"/>
          <w:lang w:val="lv-LV"/>
        </w:rPr>
      </w:pPr>
    </w:p>
    <w:p w14:paraId="237A2F83"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Želatīns</w:t>
      </w:r>
    </w:p>
    <w:p w14:paraId="217D6AC4"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Gliceriltristearīns</w:t>
      </w:r>
    </w:p>
    <w:p w14:paraId="6375A131"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Laktozes monohidrāts</w:t>
      </w:r>
    </w:p>
    <w:p w14:paraId="32B5B349"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Hinolīna dzeltenais (E104)</w:t>
      </w:r>
    </w:p>
    <w:p w14:paraId="7FABD33A"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Eritrozīns (E127)</w:t>
      </w:r>
    </w:p>
    <w:p w14:paraId="7DD364DB" w14:textId="77777777" w:rsidR="00A1306B" w:rsidRPr="009D598D" w:rsidRDefault="00A1306B" w:rsidP="009D598D">
      <w:pPr>
        <w:pStyle w:val="CM1"/>
        <w:spacing w:line="240" w:lineRule="auto"/>
        <w:jc w:val="both"/>
        <w:rPr>
          <w:color w:val="000000"/>
          <w:sz w:val="22"/>
          <w:szCs w:val="22"/>
          <w:lang w:val="lv-LV"/>
        </w:rPr>
      </w:pPr>
      <w:r w:rsidRPr="009D598D">
        <w:rPr>
          <w:color w:val="000000"/>
          <w:sz w:val="22"/>
          <w:szCs w:val="22"/>
          <w:lang w:val="lv-LV"/>
        </w:rPr>
        <w:t>Titāna dioksīds (E171)</w:t>
      </w:r>
    </w:p>
    <w:p w14:paraId="31D13173" w14:textId="77777777" w:rsidR="00CD10AA" w:rsidRPr="009D598D" w:rsidRDefault="00CD10AA" w:rsidP="009D598D">
      <w:pPr>
        <w:tabs>
          <w:tab w:val="clear" w:pos="567"/>
        </w:tabs>
        <w:spacing w:line="240" w:lineRule="auto"/>
        <w:jc w:val="both"/>
        <w:rPr>
          <w:color w:val="000000"/>
          <w:szCs w:val="22"/>
        </w:rPr>
      </w:pPr>
    </w:p>
    <w:p w14:paraId="4162E769"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6.2</w:t>
      </w:r>
      <w:r w:rsidR="00980C1E" w:rsidRPr="009D598D">
        <w:rPr>
          <w:b/>
          <w:color w:val="000000"/>
          <w:szCs w:val="22"/>
        </w:rPr>
        <w:t>.</w:t>
      </w:r>
      <w:r w:rsidRPr="009D598D">
        <w:rPr>
          <w:b/>
          <w:color w:val="000000"/>
          <w:szCs w:val="22"/>
        </w:rPr>
        <w:tab/>
        <w:t>Nesaderība</w:t>
      </w:r>
    </w:p>
    <w:p w14:paraId="0A5490CC" w14:textId="77777777" w:rsidR="00EA59EE" w:rsidRPr="009D598D" w:rsidRDefault="00EA59EE" w:rsidP="009D598D">
      <w:pPr>
        <w:tabs>
          <w:tab w:val="clear" w:pos="567"/>
        </w:tabs>
        <w:spacing w:line="240" w:lineRule="auto"/>
        <w:jc w:val="both"/>
        <w:rPr>
          <w:color w:val="000000"/>
          <w:szCs w:val="22"/>
        </w:rPr>
      </w:pPr>
    </w:p>
    <w:p w14:paraId="694399EE" w14:textId="77777777" w:rsidR="00CD10AA" w:rsidRPr="009D598D" w:rsidRDefault="003F45AD" w:rsidP="009D598D">
      <w:pPr>
        <w:tabs>
          <w:tab w:val="clear" w:pos="567"/>
        </w:tabs>
        <w:spacing w:line="240" w:lineRule="auto"/>
        <w:jc w:val="both"/>
        <w:rPr>
          <w:color w:val="000000"/>
          <w:szCs w:val="22"/>
        </w:rPr>
      </w:pPr>
      <w:r w:rsidRPr="009D598D">
        <w:rPr>
          <w:color w:val="000000"/>
          <w:szCs w:val="22"/>
        </w:rPr>
        <w:t>Nav piemērojama.</w:t>
      </w:r>
    </w:p>
    <w:p w14:paraId="617525A9" w14:textId="77777777" w:rsidR="00CD10AA" w:rsidRPr="009D598D" w:rsidRDefault="00CD10AA" w:rsidP="009D598D">
      <w:pPr>
        <w:tabs>
          <w:tab w:val="clear" w:pos="567"/>
        </w:tabs>
        <w:spacing w:line="240" w:lineRule="auto"/>
        <w:jc w:val="both"/>
        <w:rPr>
          <w:color w:val="000000"/>
          <w:szCs w:val="22"/>
        </w:rPr>
      </w:pPr>
    </w:p>
    <w:p w14:paraId="6632BB4E"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6.3</w:t>
      </w:r>
      <w:r w:rsidR="00980C1E" w:rsidRPr="009D598D">
        <w:rPr>
          <w:b/>
          <w:color w:val="000000"/>
          <w:szCs w:val="22"/>
        </w:rPr>
        <w:t>.</w:t>
      </w:r>
      <w:r w:rsidRPr="009D598D">
        <w:rPr>
          <w:b/>
          <w:color w:val="000000"/>
          <w:szCs w:val="22"/>
        </w:rPr>
        <w:tab/>
        <w:t>Uzglabāšanas laiks</w:t>
      </w:r>
    </w:p>
    <w:p w14:paraId="4348834A" w14:textId="77777777" w:rsidR="00EA59EE" w:rsidRPr="009D598D" w:rsidRDefault="00EA59EE" w:rsidP="009D598D">
      <w:pPr>
        <w:tabs>
          <w:tab w:val="clear" w:pos="567"/>
        </w:tabs>
        <w:spacing w:line="240" w:lineRule="auto"/>
        <w:jc w:val="both"/>
        <w:rPr>
          <w:color w:val="000000"/>
          <w:szCs w:val="22"/>
        </w:rPr>
      </w:pPr>
    </w:p>
    <w:p w14:paraId="4FE1938F" w14:textId="77777777" w:rsidR="00CD10AA" w:rsidRPr="009D598D" w:rsidRDefault="00A1306B" w:rsidP="009D598D">
      <w:pPr>
        <w:tabs>
          <w:tab w:val="clear" w:pos="567"/>
        </w:tabs>
        <w:spacing w:line="240" w:lineRule="auto"/>
        <w:jc w:val="both"/>
        <w:rPr>
          <w:color w:val="000000"/>
          <w:szCs w:val="22"/>
        </w:rPr>
      </w:pPr>
      <w:r w:rsidRPr="009D598D">
        <w:rPr>
          <w:color w:val="000000"/>
          <w:szCs w:val="22"/>
        </w:rPr>
        <w:t>5</w:t>
      </w:r>
      <w:r w:rsidR="00B944A8" w:rsidRPr="009D598D">
        <w:rPr>
          <w:color w:val="000000"/>
          <w:szCs w:val="22"/>
        </w:rPr>
        <w:t xml:space="preserve"> gadi.</w:t>
      </w:r>
    </w:p>
    <w:p w14:paraId="1BE6C173" w14:textId="77777777" w:rsidR="00CD10AA" w:rsidRPr="009D598D" w:rsidRDefault="00CD10AA" w:rsidP="009D598D">
      <w:pPr>
        <w:tabs>
          <w:tab w:val="clear" w:pos="567"/>
        </w:tabs>
        <w:spacing w:line="240" w:lineRule="auto"/>
        <w:jc w:val="both"/>
        <w:rPr>
          <w:color w:val="000000"/>
          <w:szCs w:val="22"/>
        </w:rPr>
      </w:pPr>
    </w:p>
    <w:p w14:paraId="7E980CD9"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6.4</w:t>
      </w:r>
      <w:r w:rsidR="00980C1E" w:rsidRPr="009D598D">
        <w:rPr>
          <w:b/>
          <w:color w:val="000000"/>
          <w:szCs w:val="22"/>
        </w:rPr>
        <w:t>.</w:t>
      </w:r>
      <w:r w:rsidRPr="009D598D">
        <w:rPr>
          <w:b/>
          <w:color w:val="000000"/>
          <w:szCs w:val="22"/>
        </w:rPr>
        <w:tab/>
        <w:t>Īpaši uzglabāšanas nosacījumi</w:t>
      </w:r>
    </w:p>
    <w:p w14:paraId="2A31EA41" w14:textId="77777777" w:rsidR="00EA59EE" w:rsidRPr="009D598D" w:rsidRDefault="00EA59EE" w:rsidP="009D598D">
      <w:pPr>
        <w:spacing w:line="240" w:lineRule="auto"/>
        <w:jc w:val="both"/>
        <w:rPr>
          <w:color w:val="000000"/>
          <w:szCs w:val="22"/>
        </w:rPr>
      </w:pPr>
    </w:p>
    <w:p w14:paraId="57F4782F" w14:textId="77777777" w:rsidR="00C54BD0" w:rsidRPr="009D598D" w:rsidRDefault="00A1306B" w:rsidP="009D598D">
      <w:pPr>
        <w:spacing w:line="240" w:lineRule="auto"/>
        <w:jc w:val="both"/>
        <w:rPr>
          <w:color w:val="000000"/>
          <w:szCs w:val="22"/>
        </w:rPr>
      </w:pPr>
      <w:r w:rsidRPr="009D598D">
        <w:rPr>
          <w:color w:val="000000"/>
          <w:szCs w:val="22"/>
        </w:rPr>
        <w:t xml:space="preserve">Uzglabāt temperatūrā līdz </w:t>
      </w:r>
      <w:r w:rsidR="00C54BD0" w:rsidRPr="009D598D">
        <w:rPr>
          <w:color w:val="000000"/>
          <w:szCs w:val="22"/>
        </w:rPr>
        <w:t>30°C.</w:t>
      </w:r>
    </w:p>
    <w:p w14:paraId="58B3823B" w14:textId="77777777" w:rsidR="00CD10AA" w:rsidRPr="009D598D" w:rsidRDefault="00CD10AA" w:rsidP="009D598D">
      <w:pPr>
        <w:spacing w:line="240" w:lineRule="auto"/>
        <w:jc w:val="both"/>
        <w:rPr>
          <w:i/>
          <w:color w:val="000000"/>
          <w:szCs w:val="22"/>
        </w:rPr>
      </w:pPr>
    </w:p>
    <w:p w14:paraId="7998057F"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6.5</w:t>
      </w:r>
      <w:r w:rsidR="00980C1E" w:rsidRPr="009D598D">
        <w:rPr>
          <w:b/>
          <w:color w:val="000000"/>
          <w:szCs w:val="22"/>
        </w:rPr>
        <w:t>.</w:t>
      </w:r>
      <w:r w:rsidRPr="009D598D">
        <w:rPr>
          <w:b/>
          <w:color w:val="000000"/>
          <w:szCs w:val="22"/>
        </w:rPr>
        <w:tab/>
        <w:t>Iepakojuma veids un saturs</w:t>
      </w:r>
    </w:p>
    <w:p w14:paraId="5817C0D6" w14:textId="77777777" w:rsidR="00EA59EE" w:rsidRPr="009D598D" w:rsidRDefault="00EA59EE" w:rsidP="009D598D">
      <w:pPr>
        <w:pStyle w:val="CM8"/>
        <w:spacing w:after="0"/>
        <w:jc w:val="both"/>
        <w:rPr>
          <w:color w:val="000000"/>
          <w:sz w:val="22"/>
          <w:szCs w:val="22"/>
          <w:lang w:val="lv-LV"/>
        </w:rPr>
      </w:pPr>
    </w:p>
    <w:p w14:paraId="224DBA92"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PVH/PVDH alumīnija blisteri.</w:t>
      </w:r>
    </w:p>
    <w:p w14:paraId="1AFB2AF0" w14:textId="77777777" w:rsidR="00A1306B" w:rsidRPr="009D598D" w:rsidRDefault="00A1306B" w:rsidP="009D598D">
      <w:pPr>
        <w:pStyle w:val="CM8"/>
        <w:spacing w:after="0"/>
        <w:jc w:val="both"/>
        <w:rPr>
          <w:color w:val="000000"/>
          <w:sz w:val="22"/>
          <w:szCs w:val="22"/>
          <w:lang w:val="lv-LV"/>
        </w:rPr>
      </w:pPr>
      <w:r w:rsidRPr="009D598D">
        <w:rPr>
          <w:color w:val="000000"/>
          <w:sz w:val="22"/>
          <w:szCs w:val="22"/>
          <w:lang w:val="lv-LV"/>
        </w:rPr>
        <w:t>Iepakojumā 10, 20 vai 24 cietās kapsulas.</w:t>
      </w:r>
    </w:p>
    <w:p w14:paraId="30AAFFFF" w14:textId="77777777" w:rsidR="00CD10AA" w:rsidRPr="009D598D" w:rsidRDefault="00CD10AA" w:rsidP="009D598D">
      <w:pPr>
        <w:tabs>
          <w:tab w:val="clear" w:pos="567"/>
        </w:tabs>
        <w:spacing w:line="240" w:lineRule="auto"/>
        <w:jc w:val="both"/>
        <w:rPr>
          <w:color w:val="000000"/>
          <w:szCs w:val="22"/>
        </w:rPr>
      </w:pPr>
    </w:p>
    <w:p w14:paraId="2B2BA611" w14:textId="77777777" w:rsidR="00CD10AA" w:rsidRPr="009D598D" w:rsidRDefault="00CD10AA" w:rsidP="009D598D">
      <w:pPr>
        <w:tabs>
          <w:tab w:val="clear" w:pos="567"/>
        </w:tabs>
        <w:spacing w:line="240" w:lineRule="auto"/>
        <w:jc w:val="both"/>
        <w:rPr>
          <w:color w:val="000000"/>
          <w:szCs w:val="22"/>
        </w:rPr>
      </w:pPr>
      <w:r w:rsidRPr="009D598D">
        <w:rPr>
          <w:color w:val="000000"/>
          <w:szCs w:val="22"/>
        </w:rPr>
        <w:t>Visi iepakojuma li</w:t>
      </w:r>
      <w:r w:rsidR="00B944A8" w:rsidRPr="009D598D">
        <w:rPr>
          <w:color w:val="000000"/>
          <w:szCs w:val="22"/>
        </w:rPr>
        <w:t>elumi tirgū var nebūt pieejami.</w:t>
      </w:r>
    </w:p>
    <w:p w14:paraId="448E9824" w14:textId="77777777" w:rsidR="00CD10AA" w:rsidRPr="009D598D" w:rsidRDefault="00CD10AA" w:rsidP="009D598D">
      <w:pPr>
        <w:tabs>
          <w:tab w:val="clear" w:pos="567"/>
        </w:tabs>
        <w:spacing w:line="240" w:lineRule="auto"/>
        <w:jc w:val="both"/>
        <w:rPr>
          <w:color w:val="000000"/>
          <w:szCs w:val="22"/>
        </w:rPr>
      </w:pPr>
    </w:p>
    <w:p w14:paraId="2D6F7F3C"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6.6</w:t>
      </w:r>
      <w:r w:rsidR="00980C1E" w:rsidRPr="009D598D">
        <w:rPr>
          <w:b/>
          <w:color w:val="000000"/>
          <w:szCs w:val="22"/>
        </w:rPr>
        <w:t>.</w:t>
      </w:r>
      <w:r w:rsidRPr="009D598D">
        <w:rPr>
          <w:b/>
          <w:color w:val="000000"/>
          <w:szCs w:val="22"/>
        </w:rPr>
        <w:tab/>
        <w:t>Īpaši norādījumi atkritumu likvidēšanai</w:t>
      </w:r>
    </w:p>
    <w:p w14:paraId="2970F8B1" w14:textId="77777777" w:rsidR="00EA59EE" w:rsidRPr="009D598D" w:rsidRDefault="00EA59EE" w:rsidP="009D598D">
      <w:pPr>
        <w:tabs>
          <w:tab w:val="clear" w:pos="567"/>
        </w:tabs>
        <w:spacing w:line="240" w:lineRule="auto"/>
        <w:jc w:val="both"/>
        <w:rPr>
          <w:color w:val="000000"/>
          <w:szCs w:val="22"/>
        </w:rPr>
      </w:pPr>
    </w:p>
    <w:p w14:paraId="6E01543F" w14:textId="77777777" w:rsidR="00CD10AA" w:rsidRPr="009D598D" w:rsidRDefault="00CD10AA" w:rsidP="009D598D">
      <w:pPr>
        <w:tabs>
          <w:tab w:val="clear" w:pos="567"/>
        </w:tabs>
        <w:spacing w:line="240" w:lineRule="auto"/>
        <w:jc w:val="both"/>
        <w:rPr>
          <w:color w:val="000000"/>
          <w:szCs w:val="22"/>
        </w:rPr>
      </w:pPr>
      <w:r w:rsidRPr="009D598D">
        <w:rPr>
          <w:color w:val="000000"/>
          <w:szCs w:val="22"/>
        </w:rPr>
        <w:t>Nav īpašu</w:t>
      </w:r>
      <w:r w:rsidR="00CC4E9B" w:rsidRPr="009D598D">
        <w:rPr>
          <w:color w:val="000000"/>
          <w:szCs w:val="22"/>
        </w:rPr>
        <w:t xml:space="preserve"> </w:t>
      </w:r>
      <w:r w:rsidR="00B944A8" w:rsidRPr="009D598D">
        <w:rPr>
          <w:color w:val="000000"/>
          <w:szCs w:val="22"/>
        </w:rPr>
        <w:t>prasību.</w:t>
      </w:r>
    </w:p>
    <w:p w14:paraId="4409ECB2" w14:textId="77777777" w:rsidR="00CD10AA" w:rsidRPr="009D598D" w:rsidRDefault="00CD10AA" w:rsidP="009D598D">
      <w:pPr>
        <w:tabs>
          <w:tab w:val="clear" w:pos="567"/>
        </w:tabs>
        <w:spacing w:line="240" w:lineRule="auto"/>
        <w:jc w:val="both"/>
        <w:rPr>
          <w:color w:val="000000"/>
          <w:szCs w:val="22"/>
        </w:rPr>
      </w:pPr>
    </w:p>
    <w:p w14:paraId="4BCA5396" w14:textId="77777777" w:rsidR="00EA59EE" w:rsidRPr="009D598D" w:rsidRDefault="00EA59EE" w:rsidP="009D598D">
      <w:pPr>
        <w:tabs>
          <w:tab w:val="clear" w:pos="567"/>
        </w:tabs>
        <w:spacing w:line="240" w:lineRule="auto"/>
        <w:jc w:val="both"/>
        <w:rPr>
          <w:color w:val="000000"/>
          <w:szCs w:val="22"/>
        </w:rPr>
      </w:pPr>
    </w:p>
    <w:p w14:paraId="2BF5830D" w14:textId="77777777" w:rsidR="00CD10AA" w:rsidRPr="009D598D" w:rsidRDefault="00CD10AA" w:rsidP="009D598D">
      <w:pPr>
        <w:tabs>
          <w:tab w:val="clear" w:pos="567"/>
        </w:tabs>
        <w:spacing w:line="240" w:lineRule="auto"/>
        <w:jc w:val="both"/>
        <w:rPr>
          <w:color w:val="000000"/>
          <w:szCs w:val="22"/>
        </w:rPr>
      </w:pPr>
      <w:r w:rsidRPr="009D598D">
        <w:rPr>
          <w:b/>
          <w:color w:val="000000"/>
          <w:szCs w:val="22"/>
        </w:rPr>
        <w:t>7.</w:t>
      </w:r>
      <w:r w:rsidRPr="009D598D">
        <w:rPr>
          <w:b/>
          <w:color w:val="000000"/>
          <w:szCs w:val="22"/>
        </w:rPr>
        <w:tab/>
        <w:t>REĢISTRĀCIJAS APLIECĪBAS ĪPAŠNIEKS</w:t>
      </w:r>
    </w:p>
    <w:p w14:paraId="04B1503C" w14:textId="77777777" w:rsidR="00EA59EE" w:rsidRPr="009D598D" w:rsidRDefault="00EA59EE" w:rsidP="009D598D">
      <w:pPr>
        <w:pStyle w:val="Header"/>
        <w:widowControl w:val="0"/>
        <w:tabs>
          <w:tab w:val="left" w:pos="708"/>
        </w:tabs>
        <w:jc w:val="both"/>
        <w:rPr>
          <w:rFonts w:ascii="Times New Roman" w:hAnsi="Times New Roman"/>
          <w:color w:val="000000"/>
          <w:sz w:val="22"/>
          <w:szCs w:val="22"/>
        </w:rPr>
      </w:pPr>
    </w:p>
    <w:p w14:paraId="215FBE5A" w14:textId="77777777" w:rsidR="008E2D92" w:rsidRPr="009D598D" w:rsidRDefault="008E2D92" w:rsidP="009D598D">
      <w:pPr>
        <w:pStyle w:val="Header"/>
        <w:widowControl w:val="0"/>
        <w:tabs>
          <w:tab w:val="left" w:pos="708"/>
        </w:tabs>
        <w:jc w:val="both"/>
        <w:rPr>
          <w:rFonts w:ascii="Times New Roman" w:hAnsi="Times New Roman"/>
          <w:color w:val="000000"/>
          <w:sz w:val="22"/>
          <w:szCs w:val="22"/>
        </w:rPr>
      </w:pPr>
      <w:r w:rsidRPr="009D598D">
        <w:rPr>
          <w:rFonts w:ascii="Times New Roman" w:hAnsi="Times New Roman"/>
          <w:color w:val="000000"/>
          <w:sz w:val="22"/>
          <w:szCs w:val="22"/>
        </w:rPr>
        <w:t>STADA Arzneimittel AG</w:t>
      </w:r>
    </w:p>
    <w:p w14:paraId="71165124" w14:textId="77777777" w:rsidR="008E2D92" w:rsidRPr="009D598D" w:rsidRDefault="008E2D92" w:rsidP="009D598D">
      <w:pPr>
        <w:pStyle w:val="Header"/>
        <w:widowControl w:val="0"/>
        <w:tabs>
          <w:tab w:val="left" w:pos="708"/>
        </w:tabs>
        <w:jc w:val="both"/>
        <w:rPr>
          <w:rFonts w:ascii="Times New Roman" w:hAnsi="Times New Roman"/>
          <w:color w:val="000000"/>
          <w:sz w:val="22"/>
          <w:szCs w:val="22"/>
        </w:rPr>
      </w:pPr>
      <w:r w:rsidRPr="009D598D">
        <w:rPr>
          <w:rFonts w:ascii="Times New Roman" w:hAnsi="Times New Roman"/>
          <w:color w:val="000000"/>
          <w:sz w:val="22"/>
          <w:szCs w:val="22"/>
        </w:rPr>
        <w:t>Stadastraße 2–18</w:t>
      </w:r>
    </w:p>
    <w:p w14:paraId="0033D91A" w14:textId="77777777" w:rsidR="008E2D92" w:rsidRPr="009D598D" w:rsidRDefault="008E2D92" w:rsidP="009D598D">
      <w:pPr>
        <w:spacing w:line="240" w:lineRule="auto"/>
        <w:jc w:val="both"/>
        <w:rPr>
          <w:color w:val="000000"/>
          <w:szCs w:val="22"/>
        </w:rPr>
      </w:pPr>
      <w:r w:rsidRPr="009D598D">
        <w:rPr>
          <w:color w:val="000000"/>
          <w:szCs w:val="22"/>
        </w:rPr>
        <w:t>61118 Bad Vilbel, Vācija</w:t>
      </w:r>
    </w:p>
    <w:p w14:paraId="601C7A35" w14:textId="77777777" w:rsidR="008E2D92" w:rsidRPr="009D598D" w:rsidRDefault="008E2D92" w:rsidP="009D598D">
      <w:pPr>
        <w:spacing w:line="240" w:lineRule="auto"/>
        <w:jc w:val="both"/>
        <w:rPr>
          <w:color w:val="000000"/>
          <w:szCs w:val="22"/>
        </w:rPr>
      </w:pPr>
      <w:r w:rsidRPr="009D598D">
        <w:rPr>
          <w:color w:val="000000"/>
          <w:szCs w:val="22"/>
        </w:rPr>
        <w:t>Tālr.: +49(0)6101 603-0</w:t>
      </w:r>
    </w:p>
    <w:p w14:paraId="3F893333" w14:textId="77777777" w:rsidR="008E2D92" w:rsidRPr="009D598D" w:rsidRDefault="008E2D92" w:rsidP="009D598D">
      <w:pPr>
        <w:spacing w:line="240" w:lineRule="auto"/>
        <w:jc w:val="both"/>
        <w:rPr>
          <w:color w:val="000000"/>
          <w:szCs w:val="22"/>
        </w:rPr>
      </w:pPr>
      <w:r w:rsidRPr="009D598D">
        <w:rPr>
          <w:color w:val="000000"/>
          <w:szCs w:val="22"/>
        </w:rPr>
        <w:t>Fakss: +49(0)6101 603-259</w:t>
      </w:r>
    </w:p>
    <w:p w14:paraId="0D7DFBA1" w14:textId="77777777" w:rsidR="008E2D92" w:rsidRPr="009D598D" w:rsidRDefault="008E2D92" w:rsidP="009D598D">
      <w:pPr>
        <w:widowControl w:val="0"/>
        <w:spacing w:line="240" w:lineRule="auto"/>
        <w:jc w:val="both"/>
        <w:rPr>
          <w:color w:val="000000"/>
          <w:szCs w:val="22"/>
        </w:rPr>
      </w:pPr>
      <w:r w:rsidRPr="009D598D">
        <w:rPr>
          <w:color w:val="000000"/>
          <w:szCs w:val="22"/>
        </w:rPr>
        <w:t>www.stada.de</w:t>
      </w:r>
    </w:p>
    <w:p w14:paraId="352B09A2" w14:textId="77777777" w:rsidR="00CD10AA" w:rsidRPr="009D598D" w:rsidRDefault="00CD10AA" w:rsidP="009D598D">
      <w:pPr>
        <w:spacing w:line="240" w:lineRule="auto"/>
        <w:jc w:val="both"/>
        <w:rPr>
          <w:color w:val="000000"/>
          <w:szCs w:val="22"/>
        </w:rPr>
      </w:pPr>
    </w:p>
    <w:p w14:paraId="4F1D63E4" w14:textId="77777777" w:rsidR="00EA59EE" w:rsidRPr="009D598D" w:rsidRDefault="00EA59EE" w:rsidP="009D598D">
      <w:pPr>
        <w:spacing w:line="240" w:lineRule="auto"/>
        <w:jc w:val="both"/>
        <w:rPr>
          <w:color w:val="000000"/>
          <w:szCs w:val="22"/>
        </w:rPr>
      </w:pPr>
    </w:p>
    <w:p w14:paraId="358E0C14"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8.</w:t>
      </w:r>
      <w:r w:rsidRPr="009D598D">
        <w:rPr>
          <w:b/>
          <w:color w:val="000000"/>
          <w:szCs w:val="22"/>
        </w:rPr>
        <w:tab/>
        <w:t>REĢISTRĀCIJAS</w:t>
      </w:r>
      <w:r w:rsidR="0082246A" w:rsidRPr="009D598D">
        <w:rPr>
          <w:b/>
          <w:color w:val="000000"/>
          <w:szCs w:val="22"/>
        </w:rPr>
        <w:t xml:space="preserve"> APLIECĪBAS</w:t>
      </w:r>
      <w:r w:rsidR="008E2D92" w:rsidRPr="009D598D">
        <w:rPr>
          <w:b/>
          <w:color w:val="000000"/>
          <w:szCs w:val="22"/>
        </w:rPr>
        <w:t xml:space="preserve"> NUMURS</w:t>
      </w:r>
    </w:p>
    <w:p w14:paraId="25722479" w14:textId="77777777" w:rsidR="00EA59EE" w:rsidRPr="009D598D" w:rsidRDefault="00EA59EE" w:rsidP="009D598D">
      <w:pPr>
        <w:pStyle w:val="CM8"/>
        <w:spacing w:after="0"/>
        <w:jc w:val="both"/>
        <w:rPr>
          <w:color w:val="000000"/>
          <w:sz w:val="22"/>
          <w:szCs w:val="22"/>
          <w:lang w:val="lv-LV"/>
        </w:rPr>
      </w:pPr>
    </w:p>
    <w:p w14:paraId="26EDFB31" w14:textId="77777777" w:rsidR="008E2D92" w:rsidRPr="009D598D" w:rsidRDefault="008E2D92" w:rsidP="009D598D">
      <w:pPr>
        <w:pStyle w:val="CM8"/>
        <w:spacing w:after="0"/>
        <w:jc w:val="both"/>
        <w:rPr>
          <w:color w:val="000000"/>
          <w:sz w:val="22"/>
          <w:szCs w:val="22"/>
          <w:lang w:val="lv-LV"/>
        </w:rPr>
      </w:pPr>
      <w:r w:rsidRPr="009D598D">
        <w:rPr>
          <w:color w:val="000000"/>
          <w:sz w:val="22"/>
          <w:szCs w:val="22"/>
          <w:lang w:val="lv-LV"/>
        </w:rPr>
        <w:t>94-0336</w:t>
      </w:r>
    </w:p>
    <w:p w14:paraId="12CA5A59" w14:textId="77777777" w:rsidR="00CD10AA" w:rsidRPr="009D598D" w:rsidRDefault="00CD10AA" w:rsidP="009D598D">
      <w:pPr>
        <w:tabs>
          <w:tab w:val="clear" w:pos="567"/>
        </w:tabs>
        <w:spacing w:line="240" w:lineRule="auto"/>
        <w:jc w:val="both"/>
        <w:rPr>
          <w:color w:val="000000"/>
          <w:szCs w:val="22"/>
        </w:rPr>
      </w:pPr>
    </w:p>
    <w:p w14:paraId="77F8D01C" w14:textId="77777777" w:rsidR="00EA59EE" w:rsidRPr="009D598D" w:rsidRDefault="00EA59EE" w:rsidP="009D598D">
      <w:pPr>
        <w:tabs>
          <w:tab w:val="clear" w:pos="567"/>
        </w:tabs>
        <w:spacing w:line="240" w:lineRule="auto"/>
        <w:jc w:val="both"/>
        <w:rPr>
          <w:color w:val="000000"/>
          <w:szCs w:val="22"/>
        </w:rPr>
      </w:pPr>
    </w:p>
    <w:p w14:paraId="1F54C2D3"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9.</w:t>
      </w:r>
      <w:r w:rsidRPr="009D598D">
        <w:rPr>
          <w:b/>
          <w:color w:val="000000"/>
          <w:szCs w:val="22"/>
        </w:rPr>
        <w:tab/>
      </w:r>
      <w:r w:rsidR="00980C1E" w:rsidRPr="009D598D">
        <w:rPr>
          <w:b/>
          <w:color w:val="000000"/>
          <w:szCs w:val="22"/>
        </w:rPr>
        <w:t xml:space="preserve">PIRMĀS </w:t>
      </w:r>
      <w:r w:rsidRPr="009D598D">
        <w:rPr>
          <w:b/>
          <w:color w:val="000000"/>
          <w:szCs w:val="22"/>
        </w:rPr>
        <w:t>REĢISTRĀCIJAS/PĀRREĢISTRĀCIJAS DATUMS</w:t>
      </w:r>
    </w:p>
    <w:p w14:paraId="11C2EDD9" w14:textId="77777777" w:rsidR="00EA59EE" w:rsidRPr="009D598D" w:rsidRDefault="00EA59EE" w:rsidP="009D598D">
      <w:pPr>
        <w:spacing w:line="240" w:lineRule="auto"/>
        <w:jc w:val="both"/>
        <w:rPr>
          <w:color w:val="000000"/>
          <w:szCs w:val="22"/>
        </w:rPr>
      </w:pPr>
    </w:p>
    <w:p w14:paraId="7E2B6576" w14:textId="77777777" w:rsidR="00B944A8" w:rsidRPr="009D598D" w:rsidRDefault="0082246A" w:rsidP="009D598D">
      <w:pPr>
        <w:spacing w:line="240" w:lineRule="auto"/>
        <w:jc w:val="both"/>
        <w:rPr>
          <w:color w:val="000000"/>
          <w:szCs w:val="22"/>
        </w:rPr>
      </w:pPr>
      <w:r w:rsidRPr="009D598D">
        <w:rPr>
          <w:color w:val="000000"/>
          <w:szCs w:val="22"/>
        </w:rPr>
        <w:t xml:space="preserve">Reģistrācijas datums: </w:t>
      </w:r>
      <w:r w:rsidR="008E2D92" w:rsidRPr="009D598D">
        <w:rPr>
          <w:color w:val="000000"/>
          <w:szCs w:val="22"/>
        </w:rPr>
        <w:t>1994.gada 27.decembris.</w:t>
      </w:r>
    </w:p>
    <w:p w14:paraId="61E05295" w14:textId="77777777" w:rsidR="00CD10AA" w:rsidRPr="009D598D" w:rsidRDefault="0082246A" w:rsidP="009D598D">
      <w:pPr>
        <w:spacing w:line="240" w:lineRule="auto"/>
        <w:jc w:val="both"/>
        <w:rPr>
          <w:noProof/>
          <w:color w:val="000000"/>
          <w:szCs w:val="22"/>
        </w:rPr>
      </w:pPr>
      <w:r w:rsidRPr="009D598D">
        <w:rPr>
          <w:color w:val="000000"/>
          <w:szCs w:val="22"/>
        </w:rPr>
        <w:t xml:space="preserve">Pēdējās pārreģistrācijas datums: </w:t>
      </w:r>
      <w:r w:rsidR="008E2D92" w:rsidRPr="009D598D">
        <w:rPr>
          <w:color w:val="000000"/>
          <w:szCs w:val="22"/>
        </w:rPr>
        <w:t>2009.gada 5.oktobris.</w:t>
      </w:r>
    </w:p>
    <w:p w14:paraId="75CCFB90" w14:textId="77777777" w:rsidR="00CD10AA" w:rsidRPr="009D598D" w:rsidRDefault="00CD10AA" w:rsidP="009D598D">
      <w:pPr>
        <w:tabs>
          <w:tab w:val="clear" w:pos="567"/>
        </w:tabs>
        <w:spacing w:line="240" w:lineRule="auto"/>
        <w:jc w:val="both"/>
        <w:rPr>
          <w:color w:val="000000"/>
          <w:szCs w:val="22"/>
        </w:rPr>
      </w:pPr>
    </w:p>
    <w:p w14:paraId="53DBB08F" w14:textId="77777777" w:rsidR="00EA59EE" w:rsidRPr="009D598D" w:rsidRDefault="00EA59EE" w:rsidP="009D598D">
      <w:pPr>
        <w:tabs>
          <w:tab w:val="clear" w:pos="567"/>
        </w:tabs>
        <w:spacing w:line="240" w:lineRule="auto"/>
        <w:jc w:val="both"/>
        <w:rPr>
          <w:color w:val="000000"/>
          <w:szCs w:val="22"/>
        </w:rPr>
      </w:pPr>
    </w:p>
    <w:p w14:paraId="2E11317F" w14:textId="77777777" w:rsidR="00CD10AA" w:rsidRPr="009D598D" w:rsidRDefault="00CD10AA" w:rsidP="009D598D">
      <w:pPr>
        <w:tabs>
          <w:tab w:val="clear" w:pos="567"/>
        </w:tabs>
        <w:spacing w:line="240" w:lineRule="auto"/>
        <w:jc w:val="both"/>
        <w:rPr>
          <w:b/>
          <w:color w:val="000000"/>
          <w:szCs w:val="22"/>
        </w:rPr>
      </w:pPr>
      <w:r w:rsidRPr="009D598D">
        <w:rPr>
          <w:b/>
          <w:color w:val="000000"/>
          <w:szCs w:val="22"/>
        </w:rPr>
        <w:t>10.</w:t>
      </w:r>
      <w:r w:rsidRPr="009D598D">
        <w:rPr>
          <w:b/>
          <w:color w:val="000000"/>
          <w:szCs w:val="22"/>
        </w:rPr>
        <w:tab/>
        <w:t>TEKSTA</w:t>
      </w:r>
      <w:r w:rsidR="00171350" w:rsidRPr="009D598D">
        <w:rPr>
          <w:b/>
          <w:color w:val="000000"/>
          <w:szCs w:val="22"/>
        </w:rPr>
        <w:t xml:space="preserve"> </w:t>
      </w:r>
      <w:r w:rsidRPr="009D598D">
        <w:rPr>
          <w:b/>
          <w:color w:val="000000"/>
          <w:szCs w:val="22"/>
        </w:rPr>
        <w:t>PĀRSKATĪŠANAS DATUMS</w:t>
      </w:r>
    </w:p>
    <w:p w14:paraId="64A49CEB" w14:textId="77777777" w:rsidR="00EA59EE" w:rsidRPr="009D598D" w:rsidRDefault="00EA59EE" w:rsidP="009D598D">
      <w:pPr>
        <w:tabs>
          <w:tab w:val="clear" w:pos="567"/>
        </w:tabs>
        <w:spacing w:line="240" w:lineRule="auto"/>
        <w:jc w:val="both"/>
        <w:rPr>
          <w:noProof/>
          <w:color w:val="000000"/>
          <w:szCs w:val="22"/>
        </w:rPr>
      </w:pPr>
    </w:p>
    <w:p w14:paraId="1A24BDAA" w14:textId="273224C4" w:rsidR="006B6344" w:rsidRPr="009D598D" w:rsidRDefault="00FF6C7F" w:rsidP="009D598D">
      <w:pPr>
        <w:tabs>
          <w:tab w:val="clear" w:pos="567"/>
        </w:tabs>
        <w:spacing w:line="240" w:lineRule="auto"/>
        <w:jc w:val="both"/>
        <w:rPr>
          <w:color w:val="000000"/>
          <w:szCs w:val="22"/>
        </w:rPr>
      </w:pPr>
      <w:r>
        <w:rPr>
          <w:noProof/>
          <w:color w:val="000000"/>
          <w:szCs w:val="22"/>
        </w:rPr>
        <w:t>03/</w:t>
      </w:r>
      <w:r w:rsidR="008E2D92" w:rsidRPr="009D598D">
        <w:rPr>
          <w:noProof/>
          <w:color w:val="000000"/>
          <w:szCs w:val="22"/>
        </w:rPr>
        <w:t>20</w:t>
      </w:r>
      <w:r>
        <w:rPr>
          <w:color w:val="000000"/>
          <w:szCs w:val="22"/>
        </w:rPr>
        <w:t>22</w:t>
      </w:r>
    </w:p>
    <w:p w14:paraId="0E8CD184" w14:textId="77777777" w:rsidR="00EA59EE" w:rsidRPr="009D598D" w:rsidRDefault="00EA59EE" w:rsidP="009D598D">
      <w:pPr>
        <w:tabs>
          <w:tab w:val="clear" w:pos="567"/>
        </w:tabs>
        <w:spacing w:line="240" w:lineRule="auto"/>
        <w:jc w:val="both"/>
        <w:rPr>
          <w:color w:val="000000"/>
          <w:szCs w:val="22"/>
        </w:rPr>
      </w:pPr>
    </w:p>
    <w:p w14:paraId="4B4E759E" w14:textId="77777777" w:rsidR="00EA59EE" w:rsidRPr="009D598D" w:rsidRDefault="00EA59EE" w:rsidP="009D598D">
      <w:pPr>
        <w:tabs>
          <w:tab w:val="clear" w:pos="567"/>
        </w:tabs>
        <w:spacing w:line="240" w:lineRule="auto"/>
        <w:jc w:val="both"/>
        <w:rPr>
          <w:color w:val="000000"/>
          <w:szCs w:val="22"/>
        </w:rPr>
      </w:pPr>
    </w:p>
    <w:sectPr w:rsidR="00EA59EE" w:rsidRPr="009D598D" w:rsidSect="00A1306B">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9546" w14:textId="77777777" w:rsidR="00661D45" w:rsidRDefault="00661D45">
      <w:r>
        <w:separator/>
      </w:r>
    </w:p>
  </w:endnote>
  <w:endnote w:type="continuationSeparator" w:id="0">
    <w:p w14:paraId="741B2FB9" w14:textId="77777777" w:rsidR="00661D45" w:rsidRDefault="006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A78A" w14:textId="77777777" w:rsidR="002533A2" w:rsidRDefault="00253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E535" w14:textId="7612C05B" w:rsidR="006041F2" w:rsidRPr="00EA59EE" w:rsidRDefault="006041F2">
    <w:pPr>
      <w:pStyle w:val="Footer"/>
      <w:tabs>
        <w:tab w:val="clear" w:pos="8930"/>
        <w:tab w:val="right" w:pos="8931"/>
      </w:tabs>
      <w:ind w:right="96"/>
      <w:jc w:val="center"/>
      <w:rPr>
        <w:rFonts w:ascii="Times New Roman" w:hAnsi="Times New Roman"/>
        <w:sz w:val="20"/>
      </w:rPr>
    </w:pPr>
    <w:r w:rsidRPr="00EA59EE">
      <w:rPr>
        <w:rFonts w:ascii="Times New Roman" w:hAnsi="Times New Roman"/>
        <w:sz w:val="20"/>
      </w:rPr>
      <w:fldChar w:fldCharType="begin"/>
    </w:r>
    <w:r w:rsidRPr="00EA59EE">
      <w:rPr>
        <w:rFonts w:ascii="Times New Roman" w:hAnsi="Times New Roman"/>
        <w:sz w:val="20"/>
      </w:rPr>
      <w:instrText xml:space="preserve"> EQ </w:instrText>
    </w:r>
    <w:r w:rsidRPr="00EA59EE">
      <w:rPr>
        <w:rFonts w:ascii="Times New Roman" w:hAnsi="Times New Roman"/>
        <w:sz w:val="20"/>
      </w:rPr>
      <w:fldChar w:fldCharType="end"/>
    </w:r>
    <w:r w:rsidR="00EA59EE" w:rsidRPr="00EA59EE">
      <w:rPr>
        <w:rFonts w:ascii="Times New Roman" w:hAnsi="Times New Roman"/>
        <w:sz w:val="20"/>
      </w:rPr>
      <w:t>94-0336/I</w:t>
    </w:r>
    <w:r w:rsidR="00FF6C7F">
      <w:rPr>
        <w:rFonts w:ascii="Times New Roman" w:hAnsi="Times New Roman"/>
        <w:sz w:val="20"/>
      </w:rPr>
      <w:t>A</w:t>
    </w:r>
    <w:r w:rsidR="00EA59EE" w:rsidRPr="00EA59EE">
      <w:rPr>
        <w:rFonts w:ascii="Times New Roman" w:hAnsi="Times New Roman"/>
        <w:sz w:val="20"/>
      </w:rPr>
      <w:t>/00</w:t>
    </w:r>
    <w:r w:rsidR="00FF6C7F">
      <w:rPr>
        <w:rFonts w:ascii="Times New Roman" w:hAnsi="Times New Roman"/>
        <w:sz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E994" w14:textId="77777777" w:rsidR="006041F2" w:rsidRDefault="006041F2">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AC94" w14:textId="77777777" w:rsidR="00661D45" w:rsidRDefault="00661D45">
      <w:r>
        <w:separator/>
      </w:r>
    </w:p>
  </w:footnote>
  <w:footnote w:type="continuationSeparator" w:id="0">
    <w:p w14:paraId="4AFB14D8" w14:textId="77777777" w:rsidR="00661D45" w:rsidRDefault="0066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28F2" w14:textId="77777777" w:rsidR="002533A2" w:rsidRDefault="00253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1D2B" w14:textId="723C3904" w:rsidR="006041F2" w:rsidRPr="002533A2" w:rsidRDefault="002533A2" w:rsidP="006041F2">
    <w:pPr>
      <w:pStyle w:val="Header"/>
      <w:jc w:val="right"/>
      <w:rPr>
        <w:rFonts w:ascii="Times New Roman" w:hAnsi="Times New Roman"/>
        <w:sz w:val="24"/>
        <w:szCs w:val="24"/>
        <w:lang w:val="en-US"/>
      </w:rPr>
    </w:pPr>
    <w:r>
      <w:rPr>
        <w:rFonts w:ascii="Times New Roman" w:hAnsi="Times New Roman"/>
        <w:sz w:val="24"/>
        <w:szCs w:val="24"/>
        <w:lang w:val="en-US"/>
      </w:rPr>
      <w:t>SASKAŅOTS ZVA 14-04-2022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CBCD" w14:textId="77777777" w:rsidR="002533A2" w:rsidRDefault="0025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A1A342"/>
    <w:multiLevelType w:val="hybridMultilevel"/>
    <w:tmpl w:val="37AEC4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160BCA"/>
    <w:multiLevelType w:val="hybridMultilevel"/>
    <w:tmpl w:val="C10DA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A7DB62"/>
    <w:multiLevelType w:val="hybridMultilevel"/>
    <w:tmpl w:val="0AB664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2D72C5"/>
    <w:multiLevelType w:val="hybridMultilevel"/>
    <w:tmpl w:val="7758C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F3D51"/>
    <w:multiLevelType w:val="hybridMultilevel"/>
    <w:tmpl w:val="8DA99C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F351A5E"/>
    <w:multiLevelType w:val="hybridMultilevel"/>
    <w:tmpl w:val="754424AA"/>
    <w:lvl w:ilvl="0" w:tplc="E6EA433A">
      <w:start w:val="4"/>
      <w:numFmt w:val="decimal"/>
      <w:lvlText w:val="%1."/>
      <w:lvlJc w:val="left"/>
      <w:pPr>
        <w:tabs>
          <w:tab w:val="num" w:pos="930"/>
        </w:tabs>
        <w:ind w:left="930" w:hanging="570"/>
      </w:pPr>
      <w:rPr>
        <w:rFonts w:hint="default"/>
      </w:rPr>
    </w:lvl>
    <w:lvl w:ilvl="1" w:tplc="86225018" w:tentative="1">
      <w:start w:val="1"/>
      <w:numFmt w:val="lowerLetter"/>
      <w:lvlText w:val="%2."/>
      <w:lvlJc w:val="left"/>
      <w:pPr>
        <w:tabs>
          <w:tab w:val="num" w:pos="1440"/>
        </w:tabs>
        <w:ind w:left="1440" w:hanging="360"/>
      </w:pPr>
    </w:lvl>
    <w:lvl w:ilvl="2" w:tplc="3252C504" w:tentative="1">
      <w:start w:val="1"/>
      <w:numFmt w:val="lowerRoman"/>
      <w:lvlText w:val="%3."/>
      <w:lvlJc w:val="right"/>
      <w:pPr>
        <w:tabs>
          <w:tab w:val="num" w:pos="2160"/>
        </w:tabs>
        <w:ind w:left="2160" w:hanging="180"/>
      </w:pPr>
    </w:lvl>
    <w:lvl w:ilvl="3" w:tplc="9F0C32E0" w:tentative="1">
      <w:start w:val="1"/>
      <w:numFmt w:val="decimal"/>
      <w:lvlText w:val="%4."/>
      <w:lvlJc w:val="left"/>
      <w:pPr>
        <w:tabs>
          <w:tab w:val="num" w:pos="2880"/>
        </w:tabs>
        <w:ind w:left="2880" w:hanging="360"/>
      </w:pPr>
    </w:lvl>
    <w:lvl w:ilvl="4" w:tplc="37AAFED2" w:tentative="1">
      <w:start w:val="1"/>
      <w:numFmt w:val="lowerLetter"/>
      <w:lvlText w:val="%5."/>
      <w:lvlJc w:val="left"/>
      <w:pPr>
        <w:tabs>
          <w:tab w:val="num" w:pos="3600"/>
        </w:tabs>
        <w:ind w:left="3600" w:hanging="360"/>
      </w:pPr>
    </w:lvl>
    <w:lvl w:ilvl="5" w:tplc="4B3EFA1A" w:tentative="1">
      <w:start w:val="1"/>
      <w:numFmt w:val="lowerRoman"/>
      <w:lvlText w:val="%6."/>
      <w:lvlJc w:val="right"/>
      <w:pPr>
        <w:tabs>
          <w:tab w:val="num" w:pos="4320"/>
        </w:tabs>
        <w:ind w:left="4320" w:hanging="180"/>
      </w:pPr>
    </w:lvl>
    <w:lvl w:ilvl="6" w:tplc="7FE4E37E" w:tentative="1">
      <w:start w:val="1"/>
      <w:numFmt w:val="decimal"/>
      <w:lvlText w:val="%7."/>
      <w:lvlJc w:val="left"/>
      <w:pPr>
        <w:tabs>
          <w:tab w:val="num" w:pos="5040"/>
        </w:tabs>
        <w:ind w:left="5040" w:hanging="360"/>
      </w:pPr>
    </w:lvl>
    <w:lvl w:ilvl="7" w:tplc="14B25E98" w:tentative="1">
      <w:start w:val="1"/>
      <w:numFmt w:val="lowerLetter"/>
      <w:lvlText w:val="%8."/>
      <w:lvlJc w:val="left"/>
      <w:pPr>
        <w:tabs>
          <w:tab w:val="num" w:pos="5760"/>
        </w:tabs>
        <w:ind w:left="5760" w:hanging="360"/>
      </w:pPr>
    </w:lvl>
    <w:lvl w:ilvl="8" w:tplc="6908E104" w:tentative="1">
      <w:start w:val="1"/>
      <w:numFmt w:val="lowerRoman"/>
      <w:lvlText w:val="%9."/>
      <w:lvlJc w:val="right"/>
      <w:pPr>
        <w:tabs>
          <w:tab w:val="num" w:pos="6480"/>
        </w:tabs>
        <w:ind w:left="6480" w:hanging="180"/>
      </w:pPr>
    </w:lvl>
  </w:abstractNum>
  <w:abstractNum w:abstractNumId="8" w15:restartNumberingAfterBreak="0">
    <w:nsid w:val="16A02AE4"/>
    <w:multiLevelType w:val="hybridMultilevel"/>
    <w:tmpl w:val="62AE4B40"/>
    <w:lvl w:ilvl="0" w:tplc="6914A87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93C4F"/>
    <w:multiLevelType w:val="hybridMultilevel"/>
    <w:tmpl w:val="2FA8E3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A74C60"/>
    <w:multiLevelType w:val="hybridMultilevel"/>
    <w:tmpl w:val="9D66CB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46892"/>
    <w:multiLevelType w:val="hybridMultilevel"/>
    <w:tmpl w:val="098A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D6658"/>
    <w:multiLevelType w:val="hybridMultilevel"/>
    <w:tmpl w:val="17F8F9DC"/>
    <w:lvl w:ilvl="0" w:tplc="332442D2">
      <w:start w:val="1"/>
      <w:numFmt w:val="bullet"/>
      <w:lvlText w:val=""/>
      <w:lvlJc w:val="left"/>
      <w:pPr>
        <w:tabs>
          <w:tab w:val="num" w:pos="567"/>
        </w:tabs>
        <w:ind w:left="567" w:hanging="454"/>
      </w:pPr>
      <w:rPr>
        <w:rFonts w:ascii="Symbol" w:hAnsi="Symbol" w:hint="default"/>
      </w:rPr>
    </w:lvl>
    <w:lvl w:ilvl="1" w:tplc="CB7E22CE">
      <w:start w:val="1"/>
      <w:numFmt w:val="bullet"/>
      <w:lvlText w:val="o"/>
      <w:lvlJc w:val="left"/>
      <w:pPr>
        <w:tabs>
          <w:tab w:val="num" w:pos="1440"/>
        </w:tabs>
        <w:ind w:left="1440" w:hanging="360"/>
      </w:pPr>
      <w:rPr>
        <w:rFonts w:ascii="Courier New" w:hAnsi="Courier New" w:hint="default"/>
      </w:rPr>
    </w:lvl>
    <w:lvl w:ilvl="2" w:tplc="95E4C7F8" w:tentative="1">
      <w:start w:val="1"/>
      <w:numFmt w:val="bullet"/>
      <w:lvlText w:val=""/>
      <w:lvlJc w:val="left"/>
      <w:pPr>
        <w:tabs>
          <w:tab w:val="num" w:pos="2160"/>
        </w:tabs>
        <w:ind w:left="2160" w:hanging="360"/>
      </w:pPr>
      <w:rPr>
        <w:rFonts w:ascii="Wingdings" w:hAnsi="Wingdings" w:hint="default"/>
      </w:rPr>
    </w:lvl>
    <w:lvl w:ilvl="3" w:tplc="1C52CA30" w:tentative="1">
      <w:start w:val="1"/>
      <w:numFmt w:val="bullet"/>
      <w:lvlText w:val=""/>
      <w:lvlJc w:val="left"/>
      <w:pPr>
        <w:tabs>
          <w:tab w:val="num" w:pos="2880"/>
        </w:tabs>
        <w:ind w:left="2880" w:hanging="360"/>
      </w:pPr>
      <w:rPr>
        <w:rFonts w:ascii="Symbol" w:hAnsi="Symbol" w:hint="default"/>
      </w:rPr>
    </w:lvl>
    <w:lvl w:ilvl="4" w:tplc="3E12CB32" w:tentative="1">
      <w:start w:val="1"/>
      <w:numFmt w:val="bullet"/>
      <w:lvlText w:val="o"/>
      <w:lvlJc w:val="left"/>
      <w:pPr>
        <w:tabs>
          <w:tab w:val="num" w:pos="3600"/>
        </w:tabs>
        <w:ind w:left="3600" w:hanging="360"/>
      </w:pPr>
      <w:rPr>
        <w:rFonts w:ascii="Courier New" w:hAnsi="Courier New" w:hint="default"/>
      </w:rPr>
    </w:lvl>
    <w:lvl w:ilvl="5" w:tplc="D9A42A2C" w:tentative="1">
      <w:start w:val="1"/>
      <w:numFmt w:val="bullet"/>
      <w:lvlText w:val=""/>
      <w:lvlJc w:val="left"/>
      <w:pPr>
        <w:tabs>
          <w:tab w:val="num" w:pos="4320"/>
        </w:tabs>
        <w:ind w:left="4320" w:hanging="360"/>
      </w:pPr>
      <w:rPr>
        <w:rFonts w:ascii="Wingdings" w:hAnsi="Wingdings" w:hint="default"/>
      </w:rPr>
    </w:lvl>
    <w:lvl w:ilvl="6" w:tplc="38EAF922" w:tentative="1">
      <w:start w:val="1"/>
      <w:numFmt w:val="bullet"/>
      <w:lvlText w:val=""/>
      <w:lvlJc w:val="left"/>
      <w:pPr>
        <w:tabs>
          <w:tab w:val="num" w:pos="5040"/>
        </w:tabs>
        <w:ind w:left="5040" w:hanging="360"/>
      </w:pPr>
      <w:rPr>
        <w:rFonts w:ascii="Symbol" w:hAnsi="Symbol" w:hint="default"/>
      </w:rPr>
    </w:lvl>
    <w:lvl w:ilvl="7" w:tplc="394C970A" w:tentative="1">
      <w:start w:val="1"/>
      <w:numFmt w:val="bullet"/>
      <w:lvlText w:val="o"/>
      <w:lvlJc w:val="left"/>
      <w:pPr>
        <w:tabs>
          <w:tab w:val="num" w:pos="5760"/>
        </w:tabs>
        <w:ind w:left="5760" w:hanging="360"/>
      </w:pPr>
      <w:rPr>
        <w:rFonts w:ascii="Courier New" w:hAnsi="Courier New" w:hint="default"/>
      </w:rPr>
    </w:lvl>
    <w:lvl w:ilvl="8" w:tplc="CFD82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E1A62"/>
    <w:multiLevelType w:val="hybridMultilevel"/>
    <w:tmpl w:val="A2203E20"/>
    <w:lvl w:ilvl="0" w:tplc="6914A87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BE54AFE"/>
    <w:multiLevelType w:val="hybridMultilevel"/>
    <w:tmpl w:val="B1A46980"/>
    <w:lvl w:ilvl="0" w:tplc="5AF02062">
      <w:start w:val="8"/>
      <w:numFmt w:val="decimal"/>
      <w:lvlText w:val="%1."/>
      <w:lvlJc w:val="left"/>
      <w:pPr>
        <w:tabs>
          <w:tab w:val="num" w:pos="570"/>
        </w:tabs>
        <w:ind w:left="570" w:hanging="570"/>
      </w:pPr>
      <w:rPr>
        <w:rFonts w:hint="default"/>
      </w:rPr>
    </w:lvl>
    <w:lvl w:ilvl="1" w:tplc="C154554A" w:tentative="1">
      <w:start w:val="1"/>
      <w:numFmt w:val="lowerLetter"/>
      <w:lvlText w:val="%2."/>
      <w:lvlJc w:val="left"/>
      <w:pPr>
        <w:tabs>
          <w:tab w:val="num" w:pos="1080"/>
        </w:tabs>
        <w:ind w:left="1080" w:hanging="360"/>
      </w:pPr>
    </w:lvl>
    <w:lvl w:ilvl="2" w:tplc="5F6C1EAC" w:tentative="1">
      <w:start w:val="1"/>
      <w:numFmt w:val="lowerRoman"/>
      <w:lvlText w:val="%3."/>
      <w:lvlJc w:val="right"/>
      <w:pPr>
        <w:tabs>
          <w:tab w:val="num" w:pos="1800"/>
        </w:tabs>
        <w:ind w:left="1800" w:hanging="180"/>
      </w:pPr>
    </w:lvl>
    <w:lvl w:ilvl="3" w:tplc="F8FECC8E" w:tentative="1">
      <w:start w:val="1"/>
      <w:numFmt w:val="decimal"/>
      <w:lvlText w:val="%4."/>
      <w:lvlJc w:val="left"/>
      <w:pPr>
        <w:tabs>
          <w:tab w:val="num" w:pos="2520"/>
        </w:tabs>
        <w:ind w:left="2520" w:hanging="360"/>
      </w:pPr>
    </w:lvl>
    <w:lvl w:ilvl="4" w:tplc="1E62E202" w:tentative="1">
      <w:start w:val="1"/>
      <w:numFmt w:val="lowerLetter"/>
      <w:lvlText w:val="%5."/>
      <w:lvlJc w:val="left"/>
      <w:pPr>
        <w:tabs>
          <w:tab w:val="num" w:pos="3240"/>
        </w:tabs>
        <w:ind w:left="3240" w:hanging="360"/>
      </w:pPr>
    </w:lvl>
    <w:lvl w:ilvl="5" w:tplc="1616969A" w:tentative="1">
      <w:start w:val="1"/>
      <w:numFmt w:val="lowerRoman"/>
      <w:lvlText w:val="%6."/>
      <w:lvlJc w:val="right"/>
      <w:pPr>
        <w:tabs>
          <w:tab w:val="num" w:pos="3960"/>
        </w:tabs>
        <w:ind w:left="3960" w:hanging="180"/>
      </w:pPr>
    </w:lvl>
    <w:lvl w:ilvl="6" w:tplc="22D6D9B0" w:tentative="1">
      <w:start w:val="1"/>
      <w:numFmt w:val="decimal"/>
      <w:lvlText w:val="%7."/>
      <w:lvlJc w:val="left"/>
      <w:pPr>
        <w:tabs>
          <w:tab w:val="num" w:pos="4680"/>
        </w:tabs>
        <w:ind w:left="4680" w:hanging="360"/>
      </w:pPr>
    </w:lvl>
    <w:lvl w:ilvl="7" w:tplc="B3264176" w:tentative="1">
      <w:start w:val="1"/>
      <w:numFmt w:val="lowerLetter"/>
      <w:lvlText w:val="%8."/>
      <w:lvlJc w:val="left"/>
      <w:pPr>
        <w:tabs>
          <w:tab w:val="num" w:pos="5400"/>
        </w:tabs>
        <w:ind w:left="5400" w:hanging="360"/>
      </w:pPr>
    </w:lvl>
    <w:lvl w:ilvl="8" w:tplc="CA6C3200" w:tentative="1">
      <w:start w:val="1"/>
      <w:numFmt w:val="lowerRoman"/>
      <w:lvlText w:val="%9."/>
      <w:lvlJc w:val="right"/>
      <w:pPr>
        <w:tabs>
          <w:tab w:val="num" w:pos="6120"/>
        </w:tabs>
        <w:ind w:left="6120" w:hanging="180"/>
      </w:pPr>
    </w:lvl>
  </w:abstractNum>
  <w:abstractNum w:abstractNumId="23" w15:restartNumberingAfterBreak="0">
    <w:nsid w:val="4EC4072F"/>
    <w:multiLevelType w:val="hybridMultilevel"/>
    <w:tmpl w:val="A69C61BC"/>
    <w:lvl w:ilvl="0" w:tplc="6914A87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F715EA8"/>
    <w:multiLevelType w:val="hybridMultilevel"/>
    <w:tmpl w:val="85242A24"/>
    <w:lvl w:ilvl="0" w:tplc="CAACDD2E">
      <w:start w:val="4"/>
      <w:numFmt w:val="decimal"/>
      <w:lvlText w:val="%1."/>
      <w:lvlJc w:val="left"/>
      <w:pPr>
        <w:tabs>
          <w:tab w:val="num" w:pos="720"/>
        </w:tabs>
        <w:ind w:left="720" w:hanging="360"/>
      </w:pPr>
      <w:rPr>
        <w:rFonts w:hint="default"/>
      </w:rPr>
    </w:lvl>
    <w:lvl w:ilvl="1" w:tplc="CB8C465A" w:tentative="1">
      <w:start w:val="1"/>
      <w:numFmt w:val="lowerLetter"/>
      <w:lvlText w:val="%2."/>
      <w:lvlJc w:val="left"/>
      <w:pPr>
        <w:tabs>
          <w:tab w:val="num" w:pos="1440"/>
        </w:tabs>
        <w:ind w:left="1440" w:hanging="360"/>
      </w:pPr>
    </w:lvl>
    <w:lvl w:ilvl="2" w:tplc="6624CF48" w:tentative="1">
      <w:start w:val="1"/>
      <w:numFmt w:val="lowerRoman"/>
      <w:lvlText w:val="%3."/>
      <w:lvlJc w:val="right"/>
      <w:pPr>
        <w:tabs>
          <w:tab w:val="num" w:pos="2160"/>
        </w:tabs>
        <w:ind w:left="2160" w:hanging="180"/>
      </w:pPr>
    </w:lvl>
    <w:lvl w:ilvl="3" w:tplc="7BDABA88" w:tentative="1">
      <w:start w:val="1"/>
      <w:numFmt w:val="decimal"/>
      <w:lvlText w:val="%4."/>
      <w:lvlJc w:val="left"/>
      <w:pPr>
        <w:tabs>
          <w:tab w:val="num" w:pos="2880"/>
        </w:tabs>
        <w:ind w:left="2880" w:hanging="360"/>
      </w:pPr>
    </w:lvl>
    <w:lvl w:ilvl="4" w:tplc="A36CF3C2" w:tentative="1">
      <w:start w:val="1"/>
      <w:numFmt w:val="lowerLetter"/>
      <w:lvlText w:val="%5."/>
      <w:lvlJc w:val="left"/>
      <w:pPr>
        <w:tabs>
          <w:tab w:val="num" w:pos="3600"/>
        </w:tabs>
        <w:ind w:left="3600" w:hanging="360"/>
      </w:pPr>
    </w:lvl>
    <w:lvl w:ilvl="5" w:tplc="E50EF746" w:tentative="1">
      <w:start w:val="1"/>
      <w:numFmt w:val="lowerRoman"/>
      <w:lvlText w:val="%6."/>
      <w:lvlJc w:val="right"/>
      <w:pPr>
        <w:tabs>
          <w:tab w:val="num" w:pos="4320"/>
        </w:tabs>
        <w:ind w:left="4320" w:hanging="180"/>
      </w:pPr>
    </w:lvl>
    <w:lvl w:ilvl="6" w:tplc="CA223352" w:tentative="1">
      <w:start w:val="1"/>
      <w:numFmt w:val="decimal"/>
      <w:lvlText w:val="%7."/>
      <w:lvlJc w:val="left"/>
      <w:pPr>
        <w:tabs>
          <w:tab w:val="num" w:pos="5040"/>
        </w:tabs>
        <w:ind w:left="5040" w:hanging="360"/>
      </w:pPr>
    </w:lvl>
    <w:lvl w:ilvl="7" w:tplc="2398CCD6" w:tentative="1">
      <w:start w:val="1"/>
      <w:numFmt w:val="lowerLetter"/>
      <w:lvlText w:val="%8."/>
      <w:lvlJc w:val="left"/>
      <w:pPr>
        <w:tabs>
          <w:tab w:val="num" w:pos="5760"/>
        </w:tabs>
        <w:ind w:left="5760" w:hanging="360"/>
      </w:pPr>
    </w:lvl>
    <w:lvl w:ilvl="8" w:tplc="A750380E" w:tentative="1">
      <w:start w:val="1"/>
      <w:numFmt w:val="lowerRoman"/>
      <w:lvlText w:val="%9."/>
      <w:lvlJc w:val="right"/>
      <w:pPr>
        <w:tabs>
          <w:tab w:val="num" w:pos="6480"/>
        </w:tabs>
        <w:ind w:left="6480" w:hanging="180"/>
      </w:p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9E73C49"/>
    <w:multiLevelType w:val="hybridMultilevel"/>
    <w:tmpl w:val="FF224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A308CD"/>
    <w:multiLevelType w:val="hybridMultilevel"/>
    <w:tmpl w:val="AB205710"/>
    <w:lvl w:ilvl="0" w:tplc="6914A87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3020244"/>
    <w:multiLevelType w:val="hybridMultilevel"/>
    <w:tmpl w:val="37261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AB906BC"/>
    <w:multiLevelType w:val="hybridMultilevel"/>
    <w:tmpl w:val="F2CE90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4F3A43"/>
    <w:multiLevelType w:val="hybridMultilevel"/>
    <w:tmpl w:val="44EA2960"/>
    <w:lvl w:ilvl="0" w:tplc="C70833A8">
      <w:start w:val="5"/>
      <w:numFmt w:val="decimal"/>
      <w:lvlText w:val="%1."/>
      <w:lvlJc w:val="left"/>
      <w:pPr>
        <w:tabs>
          <w:tab w:val="num" w:pos="930"/>
        </w:tabs>
        <w:ind w:left="930" w:hanging="570"/>
      </w:pPr>
      <w:rPr>
        <w:rFonts w:hint="default"/>
        <w:color w:val="auto"/>
      </w:rPr>
    </w:lvl>
    <w:lvl w:ilvl="1" w:tplc="30BA97E0" w:tentative="1">
      <w:start w:val="1"/>
      <w:numFmt w:val="lowerLetter"/>
      <w:lvlText w:val="%2."/>
      <w:lvlJc w:val="left"/>
      <w:pPr>
        <w:tabs>
          <w:tab w:val="num" w:pos="1440"/>
        </w:tabs>
        <w:ind w:left="1440" w:hanging="360"/>
      </w:pPr>
    </w:lvl>
    <w:lvl w:ilvl="2" w:tplc="EE025FFA" w:tentative="1">
      <w:start w:val="1"/>
      <w:numFmt w:val="lowerRoman"/>
      <w:lvlText w:val="%3."/>
      <w:lvlJc w:val="right"/>
      <w:pPr>
        <w:tabs>
          <w:tab w:val="num" w:pos="2160"/>
        </w:tabs>
        <w:ind w:left="2160" w:hanging="180"/>
      </w:pPr>
    </w:lvl>
    <w:lvl w:ilvl="3" w:tplc="7C3A593C" w:tentative="1">
      <w:start w:val="1"/>
      <w:numFmt w:val="decimal"/>
      <w:lvlText w:val="%4."/>
      <w:lvlJc w:val="left"/>
      <w:pPr>
        <w:tabs>
          <w:tab w:val="num" w:pos="2880"/>
        </w:tabs>
        <w:ind w:left="2880" w:hanging="360"/>
      </w:pPr>
    </w:lvl>
    <w:lvl w:ilvl="4" w:tplc="C4023D7C" w:tentative="1">
      <w:start w:val="1"/>
      <w:numFmt w:val="lowerLetter"/>
      <w:lvlText w:val="%5."/>
      <w:lvlJc w:val="left"/>
      <w:pPr>
        <w:tabs>
          <w:tab w:val="num" w:pos="3600"/>
        </w:tabs>
        <w:ind w:left="3600" w:hanging="360"/>
      </w:pPr>
    </w:lvl>
    <w:lvl w:ilvl="5" w:tplc="2A16FF18" w:tentative="1">
      <w:start w:val="1"/>
      <w:numFmt w:val="lowerRoman"/>
      <w:lvlText w:val="%6."/>
      <w:lvlJc w:val="right"/>
      <w:pPr>
        <w:tabs>
          <w:tab w:val="num" w:pos="4320"/>
        </w:tabs>
        <w:ind w:left="4320" w:hanging="180"/>
      </w:pPr>
    </w:lvl>
    <w:lvl w:ilvl="6" w:tplc="F922219A" w:tentative="1">
      <w:start w:val="1"/>
      <w:numFmt w:val="decimal"/>
      <w:lvlText w:val="%7."/>
      <w:lvlJc w:val="left"/>
      <w:pPr>
        <w:tabs>
          <w:tab w:val="num" w:pos="5040"/>
        </w:tabs>
        <w:ind w:left="5040" w:hanging="360"/>
      </w:pPr>
    </w:lvl>
    <w:lvl w:ilvl="7" w:tplc="8110DF96" w:tentative="1">
      <w:start w:val="1"/>
      <w:numFmt w:val="lowerLetter"/>
      <w:lvlText w:val="%8."/>
      <w:lvlJc w:val="left"/>
      <w:pPr>
        <w:tabs>
          <w:tab w:val="num" w:pos="5760"/>
        </w:tabs>
        <w:ind w:left="5760" w:hanging="360"/>
      </w:pPr>
    </w:lvl>
    <w:lvl w:ilvl="8" w:tplc="2B6A053E" w:tentative="1">
      <w:start w:val="1"/>
      <w:numFmt w:val="lowerRoman"/>
      <w:lvlText w:val="%9."/>
      <w:lvlJc w:val="right"/>
      <w:pPr>
        <w:tabs>
          <w:tab w:val="num" w:pos="6480"/>
        </w:tabs>
        <w:ind w:left="6480" w:hanging="180"/>
      </w:p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62709E1"/>
    <w:multiLevelType w:val="hybridMultilevel"/>
    <w:tmpl w:val="440A813E"/>
    <w:lvl w:ilvl="0" w:tplc="24901CA0">
      <w:start w:val="4"/>
      <w:numFmt w:val="decimal"/>
      <w:lvlText w:val="%1."/>
      <w:lvlJc w:val="left"/>
      <w:pPr>
        <w:tabs>
          <w:tab w:val="num" w:pos="720"/>
        </w:tabs>
        <w:ind w:left="720" w:hanging="360"/>
      </w:pPr>
      <w:rPr>
        <w:rFonts w:hint="default"/>
      </w:rPr>
    </w:lvl>
    <w:lvl w:ilvl="1" w:tplc="6AB4161A" w:tentative="1">
      <w:start w:val="1"/>
      <w:numFmt w:val="lowerLetter"/>
      <w:lvlText w:val="%2."/>
      <w:lvlJc w:val="left"/>
      <w:pPr>
        <w:tabs>
          <w:tab w:val="num" w:pos="1440"/>
        </w:tabs>
        <w:ind w:left="1440" w:hanging="360"/>
      </w:pPr>
    </w:lvl>
    <w:lvl w:ilvl="2" w:tplc="32E26868" w:tentative="1">
      <w:start w:val="1"/>
      <w:numFmt w:val="lowerRoman"/>
      <w:lvlText w:val="%3."/>
      <w:lvlJc w:val="right"/>
      <w:pPr>
        <w:tabs>
          <w:tab w:val="num" w:pos="2160"/>
        </w:tabs>
        <w:ind w:left="2160" w:hanging="180"/>
      </w:pPr>
    </w:lvl>
    <w:lvl w:ilvl="3" w:tplc="F496B364" w:tentative="1">
      <w:start w:val="1"/>
      <w:numFmt w:val="decimal"/>
      <w:lvlText w:val="%4."/>
      <w:lvlJc w:val="left"/>
      <w:pPr>
        <w:tabs>
          <w:tab w:val="num" w:pos="2880"/>
        </w:tabs>
        <w:ind w:left="2880" w:hanging="360"/>
      </w:pPr>
    </w:lvl>
    <w:lvl w:ilvl="4" w:tplc="7B6C763A" w:tentative="1">
      <w:start w:val="1"/>
      <w:numFmt w:val="lowerLetter"/>
      <w:lvlText w:val="%5."/>
      <w:lvlJc w:val="left"/>
      <w:pPr>
        <w:tabs>
          <w:tab w:val="num" w:pos="3600"/>
        </w:tabs>
        <w:ind w:left="3600" w:hanging="360"/>
      </w:pPr>
    </w:lvl>
    <w:lvl w:ilvl="5" w:tplc="32BE0372" w:tentative="1">
      <w:start w:val="1"/>
      <w:numFmt w:val="lowerRoman"/>
      <w:lvlText w:val="%6."/>
      <w:lvlJc w:val="right"/>
      <w:pPr>
        <w:tabs>
          <w:tab w:val="num" w:pos="4320"/>
        </w:tabs>
        <w:ind w:left="4320" w:hanging="180"/>
      </w:pPr>
    </w:lvl>
    <w:lvl w:ilvl="6" w:tplc="A1EA2B4A" w:tentative="1">
      <w:start w:val="1"/>
      <w:numFmt w:val="decimal"/>
      <w:lvlText w:val="%7."/>
      <w:lvlJc w:val="left"/>
      <w:pPr>
        <w:tabs>
          <w:tab w:val="num" w:pos="5040"/>
        </w:tabs>
        <w:ind w:left="5040" w:hanging="360"/>
      </w:pPr>
    </w:lvl>
    <w:lvl w:ilvl="7" w:tplc="2C68FA62" w:tentative="1">
      <w:start w:val="1"/>
      <w:numFmt w:val="lowerLetter"/>
      <w:lvlText w:val="%8."/>
      <w:lvlJc w:val="left"/>
      <w:pPr>
        <w:tabs>
          <w:tab w:val="num" w:pos="5760"/>
        </w:tabs>
        <w:ind w:left="5760" w:hanging="360"/>
      </w:pPr>
    </w:lvl>
    <w:lvl w:ilvl="8" w:tplc="1B00554C" w:tentative="1">
      <w:start w:val="1"/>
      <w:numFmt w:val="lowerRoman"/>
      <w:lvlText w:val="%9."/>
      <w:lvlJc w:val="right"/>
      <w:pPr>
        <w:tabs>
          <w:tab w:val="num" w:pos="6480"/>
        </w:tabs>
        <w:ind w:left="6480" w:hanging="180"/>
      </w:pPr>
    </w:lvl>
  </w:abstractNum>
  <w:abstractNum w:abstractNumId="37" w15:restartNumberingAfterBreak="0">
    <w:nsid w:val="7DFB52F6"/>
    <w:multiLevelType w:val="hybridMultilevel"/>
    <w:tmpl w:val="B7EC6880"/>
    <w:lvl w:ilvl="0" w:tplc="E7A8B436">
      <w:start w:val="1"/>
      <w:numFmt w:val="decimal"/>
      <w:lvlText w:val="%1."/>
      <w:lvlJc w:val="left"/>
      <w:pPr>
        <w:tabs>
          <w:tab w:val="num" w:pos="360"/>
        </w:tabs>
        <w:ind w:left="360" w:hanging="360"/>
      </w:pPr>
    </w:lvl>
    <w:lvl w:ilvl="1" w:tplc="2772A54E" w:tentative="1">
      <w:start w:val="1"/>
      <w:numFmt w:val="lowerLetter"/>
      <w:lvlText w:val="%2."/>
      <w:lvlJc w:val="left"/>
      <w:pPr>
        <w:tabs>
          <w:tab w:val="num" w:pos="1080"/>
        </w:tabs>
        <w:ind w:left="1080" w:hanging="360"/>
      </w:pPr>
    </w:lvl>
    <w:lvl w:ilvl="2" w:tplc="4D56405A" w:tentative="1">
      <w:start w:val="1"/>
      <w:numFmt w:val="lowerRoman"/>
      <w:lvlText w:val="%3."/>
      <w:lvlJc w:val="right"/>
      <w:pPr>
        <w:tabs>
          <w:tab w:val="num" w:pos="1800"/>
        </w:tabs>
        <w:ind w:left="1800" w:hanging="180"/>
      </w:pPr>
    </w:lvl>
    <w:lvl w:ilvl="3" w:tplc="0C4E9144" w:tentative="1">
      <w:start w:val="1"/>
      <w:numFmt w:val="decimal"/>
      <w:lvlText w:val="%4."/>
      <w:lvlJc w:val="left"/>
      <w:pPr>
        <w:tabs>
          <w:tab w:val="num" w:pos="2520"/>
        </w:tabs>
        <w:ind w:left="2520" w:hanging="360"/>
      </w:pPr>
    </w:lvl>
    <w:lvl w:ilvl="4" w:tplc="5DD2B33A" w:tentative="1">
      <w:start w:val="1"/>
      <w:numFmt w:val="lowerLetter"/>
      <w:lvlText w:val="%5."/>
      <w:lvlJc w:val="left"/>
      <w:pPr>
        <w:tabs>
          <w:tab w:val="num" w:pos="3240"/>
        </w:tabs>
        <w:ind w:left="3240" w:hanging="360"/>
      </w:pPr>
    </w:lvl>
    <w:lvl w:ilvl="5" w:tplc="5C6C001A" w:tentative="1">
      <w:start w:val="1"/>
      <w:numFmt w:val="lowerRoman"/>
      <w:lvlText w:val="%6."/>
      <w:lvlJc w:val="right"/>
      <w:pPr>
        <w:tabs>
          <w:tab w:val="num" w:pos="3960"/>
        </w:tabs>
        <w:ind w:left="3960" w:hanging="180"/>
      </w:pPr>
    </w:lvl>
    <w:lvl w:ilvl="6" w:tplc="33B4FA7E" w:tentative="1">
      <w:start w:val="1"/>
      <w:numFmt w:val="decimal"/>
      <w:lvlText w:val="%7."/>
      <w:lvlJc w:val="left"/>
      <w:pPr>
        <w:tabs>
          <w:tab w:val="num" w:pos="4680"/>
        </w:tabs>
        <w:ind w:left="4680" w:hanging="360"/>
      </w:pPr>
    </w:lvl>
    <w:lvl w:ilvl="7" w:tplc="3ADA4C00" w:tentative="1">
      <w:start w:val="1"/>
      <w:numFmt w:val="lowerLetter"/>
      <w:lvlText w:val="%8."/>
      <w:lvlJc w:val="left"/>
      <w:pPr>
        <w:tabs>
          <w:tab w:val="num" w:pos="5400"/>
        </w:tabs>
        <w:ind w:left="5400" w:hanging="360"/>
      </w:pPr>
    </w:lvl>
    <w:lvl w:ilvl="8" w:tplc="29F4F386" w:tentative="1">
      <w:start w:val="1"/>
      <w:numFmt w:val="lowerRoman"/>
      <w:lvlText w:val="%9."/>
      <w:lvlJc w:val="right"/>
      <w:pPr>
        <w:tabs>
          <w:tab w:val="num" w:pos="6120"/>
        </w:tabs>
        <w:ind w:left="6120" w:hanging="180"/>
      </w:pPr>
    </w:lvl>
  </w:abstractNum>
  <w:abstractNum w:abstractNumId="38" w15:restartNumberingAfterBreak="0">
    <w:nsid w:val="7ECA6136"/>
    <w:multiLevelType w:val="hybridMultilevel"/>
    <w:tmpl w:val="6340E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lvl>
    </w:lvlOverride>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3"/>
  </w:num>
  <w:num w:numId="5">
    <w:abstractNumId w:val="14"/>
  </w:num>
  <w:num w:numId="6">
    <w:abstractNumId w:val="25"/>
  </w:num>
  <w:num w:numId="7">
    <w:abstractNumId w:val="21"/>
  </w:num>
  <w:num w:numId="8">
    <w:abstractNumId w:val="10"/>
  </w:num>
  <w:num w:numId="9">
    <w:abstractNumId w:val="31"/>
  </w:num>
  <w:num w:numId="10">
    <w:abstractNumId w:val="22"/>
  </w:num>
  <w:num w:numId="11">
    <w:abstractNumId w:val="34"/>
  </w:num>
  <w:num w:numId="12">
    <w:abstractNumId w:val="7"/>
  </w:num>
  <w:num w:numId="13">
    <w:abstractNumId w:val="13"/>
  </w:num>
  <w:num w:numId="14">
    <w:abstractNumId w:val="37"/>
  </w:num>
  <w:num w:numId="15">
    <w:abstractNumId w:val="36"/>
  </w:num>
  <w:num w:numId="16">
    <w:abstractNumId w:val="24"/>
  </w:num>
  <w:num w:numId="17">
    <w:abstractNumId w:val="19"/>
  </w:num>
  <w:num w:numId="18">
    <w:abstractNumId w:val="6"/>
  </w:num>
  <w:num w:numId="19">
    <w:abstractNumId w:val="12"/>
  </w:num>
  <w:num w:numId="20">
    <w:abstractNumId w:val="15"/>
  </w:num>
  <w:num w:numId="21">
    <w:abstractNumId w:val="28"/>
  </w:num>
  <w:num w:numId="22">
    <w:abstractNumId w:val="27"/>
  </w:num>
  <w:num w:numId="23">
    <w:abstractNumId w:val="11"/>
  </w:num>
  <w:num w:numId="24">
    <w:abstractNumId w:val="9"/>
  </w:num>
  <w:num w:numId="25">
    <w:abstractNumId w:val="8"/>
  </w:num>
  <w:num w:numId="26">
    <w:abstractNumId w:val="38"/>
  </w:num>
  <w:num w:numId="27">
    <w:abstractNumId w:val="20"/>
  </w:num>
  <w:num w:numId="28">
    <w:abstractNumId w:val="23"/>
  </w:num>
  <w:num w:numId="29">
    <w:abstractNumId w:val="29"/>
  </w:num>
  <w:num w:numId="30">
    <w:abstractNumId w:val="18"/>
  </w:num>
  <w:num w:numId="31">
    <w:abstractNumId w:val="17"/>
  </w:num>
  <w:num w:numId="32">
    <w:abstractNumId w:val="30"/>
  </w:num>
  <w:num w:numId="33">
    <w:abstractNumId w:val="26"/>
  </w:num>
  <w:num w:numId="34">
    <w:abstractNumId w:val="32"/>
  </w:num>
  <w:num w:numId="35">
    <w:abstractNumId w:val="4"/>
  </w:num>
  <w:num w:numId="36">
    <w:abstractNumId w:val="5"/>
  </w:num>
  <w:num w:numId="37">
    <w:abstractNumId w:val="0"/>
  </w:num>
  <w:num w:numId="38">
    <w:abstractNumId w:val="16"/>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0846"/>
    <w:rsid w:val="000118EC"/>
    <w:rsid w:val="000174DB"/>
    <w:rsid w:val="00020C95"/>
    <w:rsid w:val="000235FD"/>
    <w:rsid w:val="00033061"/>
    <w:rsid w:val="00033516"/>
    <w:rsid w:val="00034CF9"/>
    <w:rsid w:val="000535C0"/>
    <w:rsid w:val="00064E26"/>
    <w:rsid w:val="000653E4"/>
    <w:rsid w:val="00067D94"/>
    <w:rsid w:val="00076DCD"/>
    <w:rsid w:val="000802BB"/>
    <w:rsid w:val="00081F8A"/>
    <w:rsid w:val="00083B2F"/>
    <w:rsid w:val="00095C32"/>
    <w:rsid w:val="000A5FA6"/>
    <w:rsid w:val="000B367B"/>
    <w:rsid w:val="000D7A48"/>
    <w:rsid w:val="000E09A7"/>
    <w:rsid w:val="000E6CD5"/>
    <w:rsid w:val="000E72E4"/>
    <w:rsid w:val="000E7737"/>
    <w:rsid w:val="000F4516"/>
    <w:rsid w:val="000F6800"/>
    <w:rsid w:val="00106DE1"/>
    <w:rsid w:val="00113069"/>
    <w:rsid w:val="00113170"/>
    <w:rsid w:val="00113A9A"/>
    <w:rsid w:val="00117E6F"/>
    <w:rsid w:val="00121C5E"/>
    <w:rsid w:val="00127324"/>
    <w:rsid w:val="00132092"/>
    <w:rsid w:val="00135C1E"/>
    <w:rsid w:val="00136581"/>
    <w:rsid w:val="001405F8"/>
    <w:rsid w:val="00154515"/>
    <w:rsid w:val="0016329F"/>
    <w:rsid w:val="00165887"/>
    <w:rsid w:val="00171350"/>
    <w:rsid w:val="0017355A"/>
    <w:rsid w:val="00176DD3"/>
    <w:rsid w:val="00182746"/>
    <w:rsid w:val="001A13AA"/>
    <w:rsid w:val="001A224B"/>
    <w:rsid w:val="001B3C0B"/>
    <w:rsid w:val="001C05AE"/>
    <w:rsid w:val="001D0FE7"/>
    <w:rsid w:val="001D37B5"/>
    <w:rsid w:val="001E27B5"/>
    <w:rsid w:val="001E2DE1"/>
    <w:rsid w:val="001E5AED"/>
    <w:rsid w:val="001F215E"/>
    <w:rsid w:val="001F5487"/>
    <w:rsid w:val="00200E68"/>
    <w:rsid w:val="00204C37"/>
    <w:rsid w:val="0020587A"/>
    <w:rsid w:val="002248E2"/>
    <w:rsid w:val="00225F0A"/>
    <w:rsid w:val="002362A1"/>
    <w:rsid w:val="00245214"/>
    <w:rsid w:val="002533A2"/>
    <w:rsid w:val="00254488"/>
    <w:rsid w:val="00261D24"/>
    <w:rsid w:val="0026468D"/>
    <w:rsid w:val="00273FDB"/>
    <w:rsid w:val="0027668E"/>
    <w:rsid w:val="00280E7F"/>
    <w:rsid w:val="00282286"/>
    <w:rsid w:val="002A02BD"/>
    <w:rsid w:val="002A61E1"/>
    <w:rsid w:val="002A7F6C"/>
    <w:rsid w:val="002B7FDE"/>
    <w:rsid w:val="002C629B"/>
    <w:rsid w:val="002C784E"/>
    <w:rsid w:val="002C7FEB"/>
    <w:rsid w:val="002D5EF9"/>
    <w:rsid w:val="00301CA5"/>
    <w:rsid w:val="00304243"/>
    <w:rsid w:val="00304CA8"/>
    <w:rsid w:val="00320750"/>
    <w:rsid w:val="00320AF5"/>
    <w:rsid w:val="00335456"/>
    <w:rsid w:val="0034439F"/>
    <w:rsid w:val="00344AA6"/>
    <w:rsid w:val="00346DB2"/>
    <w:rsid w:val="0035750F"/>
    <w:rsid w:val="003579C3"/>
    <w:rsid w:val="00361720"/>
    <w:rsid w:val="003642F4"/>
    <w:rsid w:val="00364DCD"/>
    <w:rsid w:val="003662BE"/>
    <w:rsid w:val="00366581"/>
    <w:rsid w:val="0038070A"/>
    <w:rsid w:val="00384EF9"/>
    <w:rsid w:val="00387359"/>
    <w:rsid w:val="00392D1F"/>
    <w:rsid w:val="00397B67"/>
    <w:rsid w:val="003A34E9"/>
    <w:rsid w:val="003B0FF0"/>
    <w:rsid w:val="003B5C38"/>
    <w:rsid w:val="003C0ED4"/>
    <w:rsid w:val="003F45AD"/>
    <w:rsid w:val="00406ABC"/>
    <w:rsid w:val="00413A30"/>
    <w:rsid w:val="0043278F"/>
    <w:rsid w:val="00434CCE"/>
    <w:rsid w:val="004428FF"/>
    <w:rsid w:val="0045126D"/>
    <w:rsid w:val="00456979"/>
    <w:rsid w:val="00457F98"/>
    <w:rsid w:val="00462F9D"/>
    <w:rsid w:val="00465290"/>
    <w:rsid w:val="00465F40"/>
    <w:rsid w:val="00483EE8"/>
    <w:rsid w:val="0048605D"/>
    <w:rsid w:val="00487D7A"/>
    <w:rsid w:val="004977A4"/>
    <w:rsid w:val="004A796A"/>
    <w:rsid w:val="004B1081"/>
    <w:rsid w:val="004D591D"/>
    <w:rsid w:val="004E764D"/>
    <w:rsid w:val="004F66D7"/>
    <w:rsid w:val="00503E1A"/>
    <w:rsid w:val="00507519"/>
    <w:rsid w:val="0051084B"/>
    <w:rsid w:val="00511B7C"/>
    <w:rsid w:val="00512C3E"/>
    <w:rsid w:val="00524BD9"/>
    <w:rsid w:val="005317F7"/>
    <w:rsid w:val="00535EC6"/>
    <w:rsid w:val="00551EC9"/>
    <w:rsid w:val="00560039"/>
    <w:rsid w:val="00565B11"/>
    <w:rsid w:val="00570396"/>
    <w:rsid w:val="005742C8"/>
    <w:rsid w:val="00596D4B"/>
    <w:rsid w:val="005A5B8A"/>
    <w:rsid w:val="005B56A4"/>
    <w:rsid w:val="005B788C"/>
    <w:rsid w:val="005C7C3A"/>
    <w:rsid w:val="005D4E04"/>
    <w:rsid w:val="005E427C"/>
    <w:rsid w:val="005E61BF"/>
    <w:rsid w:val="005E6E3A"/>
    <w:rsid w:val="005E6E82"/>
    <w:rsid w:val="00603F13"/>
    <w:rsid w:val="006041F2"/>
    <w:rsid w:val="006065AF"/>
    <w:rsid w:val="00612CD2"/>
    <w:rsid w:val="0061744B"/>
    <w:rsid w:val="00630C67"/>
    <w:rsid w:val="006377C3"/>
    <w:rsid w:val="00640471"/>
    <w:rsid w:val="00644D26"/>
    <w:rsid w:val="00644F80"/>
    <w:rsid w:val="00645687"/>
    <w:rsid w:val="00650A26"/>
    <w:rsid w:val="0065263B"/>
    <w:rsid w:val="00652C87"/>
    <w:rsid w:val="00661D45"/>
    <w:rsid w:val="00663E5A"/>
    <w:rsid w:val="0068129F"/>
    <w:rsid w:val="006878EC"/>
    <w:rsid w:val="006979C3"/>
    <w:rsid w:val="006A3C12"/>
    <w:rsid w:val="006A6775"/>
    <w:rsid w:val="006A7D55"/>
    <w:rsid w:val="006B35EF"/>
    <w:rsid w:val="006B53B5"/>
    <w:rsid w:val="006B5B51"/>
    <w:rsid w:val="006B6344"/>
    <w:rsid w:val="006B7DCE"/>
    <w:rsid w:val="006E77CB"/>
    <w:rsid w:val="00707087"/>
    <w:rsid w:val="0071303C"/>
    <w:rsid w:val="00720C04"/>
    <w:rsid w:val="00722B01"/>
    <w:rsid w:val="007240AA"/>
    <w:rsid w:val="0072506A"/>
    <w:rsid w:val="007419C2"/>
    <w:rsid w:val="0077574C"/>
    <w:rsid w:val="0079350D"/>
    <w:rsid w:val="007A0102"/>
    <w:rsid w:val="007A559B"/>
    <w:rsid w:val="007B0320"/>
    <w:rsid w:val="007B2648"/>
    <w:rsid w:val="007B627F"/>
    <w:rsid w:val="007D6997"/>
    <w:rsid w:val="007E1441"/>
    <w:rsid w:val="007E6D15"/>
    <w:rsid w:val="00804606"/>
    <w:rsid w:val="00805FE8"/>
    <w:rsid w:val="00806DB9"/>
    <w:rsid w:val="008105F9"/>
    <w:rsid w:val="00811464"/>
    <w:rsid w:val="00821D0A"/>
    <w:rsid w:val="0082246A"/>
    <w:rsid w:val="00846418"/>
    <w:rsid w:val="00846D85"/>
    <w:rsid w:val="0084776A"/>
    <w:rsid w:val="008500F9"/>
    <w:rsid w:val="00854A01"/>
    <w:rsid w:val="00855AAD"/>
    <w:rsid w:val="00870E9B"/>
    <w:rsid w:val="008806F9"/>
    <w:rsid w:val="0088508A"/>
    <w:rsid w:val="008871B0"/>
    <w:rsid w:val="00890CB5"/>
    <w:rsid w:val="008A6E13"/>
    <w:rsid w:val="008B02A2"/>
    <w:rsid w:val="008B1EB3"/>
    <w:rsid w:val="008B4A52"/>
    <w:rsid w:val="008C59E2"/>
    <w:rsid w:val="008C5A6D"/>
    <w:rsid w:val="008D42F2"/>
    <w:rsid w:val="008E2D92"/>
    <w:rsid w:val="008F26B5"/>
    <w:rsid w:val="00906AC4"/>
    <w:rsid w:val="00910F65"/>
    <w:rsid w:val="0091143B"/>
    <w:rsid w:val="00911DDF"/>
    <w:rsid w:val="00913521"/>
    <w:rsid w:val="00915A9E"/>
    <w:rsid w:val="00927AA8"/>
    <w:rsid w:val="00927EBA"/>
    <w:rsid w:val="009356B2"/>
    <w:rsid w:val="009419C3"/>
    <w:rsid w:val="00952955"/>
    <w:rsid w:val="0096452F"/>
    <w:rsid w:val="0097039A"/>
    <w:rsid w:val="00970713"/>
    <w:rsid w:val="009710D6"/>
    <w:rsid w:val="00972808"/>
    <w:rsid w:val="0097548A"/>
    <w:rsid w:val="00975CD2"/>
    <w:rsid w:val="00980C1E"/>
    <w:rsid w:val="00985101"/>
    <w:rsid w:val="0098512F"/>
    <w:rsid w:val="009865A6"/>
    <w:rsid w:val="00987C7B"/>
    <w:rsid w:val="009A5E66"/>
    <w:rsid w:val="009B46E9"/>
    <w:rsid w:val="009C3078"/>
    <w:rsid w:val="009D0A7A"/>
    <w:rsid w:val="009D3C9A"/>
    <w:rsid w:val="009D4620"/>
    <w:rsid w:val="009D598D"/>
    <w:rsid w:val="009E70C5"/>
    <w:rsid w:val="009F34FC"/>
    <w:rsid w:val="009F66E2"/>
    <w:rsid w:val="00A12EA6"/>
    <w:rsid w:val="00A1306B"/>
    <w:rsid w:val="00A13F3D"/>
    <w:rsid w:val="00A146BB"/>
    <w:rsid w:val="00A152BC"/>
    <w:rsid w:val="00A16429"/>
    <w:rsid w:val="00A170C5"/>
    <w:rsid w:val="00A63568"/>
    <w:rsid w:val="00A71FBA"/>
    <w:rsid w:val="00A85D34"/>
    <w:rsid w:val="00AB5426"/>
    <w:rsid w:val="00AC3987"/>
    <w:rsid w:val="00AC430B"/>
    <w:rsid w:val="00AC4CC3"/>
    <w:rsid w:val="00AD7124"/>
    <w:rsid w:val="00AE1382"/>
    <w:rsid w:val="00AE2AFB"/>
    <w:rsid w:val="00AE33F7"/>
    <w:rsid w:val="00B04772"/>
    <w:rsid w:val="00B06BDE"/>
    <w:rsid w:val="00B21255"/>
    <w:rsid w:val="00B305FD"/>
    <w:rsid w:val="00B34085"/>
    <w:rsid w:val="00B35171"/>
    <w:rsid w:val="00B47451"/>
    <w:rsid w:val="00B54420"/>
    <w:rsid w:val="00B55366"/>
    <w:rsid w:val="00B73742"/>
    <w:rsid w:val="00B82917"/>
    <w:rsid w:val="00B85F8E"/>
    <w:rsid w:val="00B944A8"/>
    <w:rsid w:val="00B95F04"/>
    <w:rsid w:val="00BA6AB0"/>
    <w:rsid w:val="00BC5FFE"/>
    <w:rsid w:val="00BE00E9"/>
    <w:rsid w:val="00BE403C"/>
    <w:rsid w:val="00BF6367"/>
    <w:rsid w:val="00C015C4"/>
    <w:rsid w:val="00C01D8F"/>
    <w:rsid w:val="00C02CD5"/>
    <w:rsid w:val="00C1388A"/>
    <w:rsid w:val="00C14365"/>
    <w:rsid w:val="00C15DAF"/>
    <w:rsid w:val="00C16D2A"/>
    <w:rsid w:val="00C45907"/>
    <w:rsid w:val="00C54BD0"/>
    <w:rsid w:val="00C7465E"/>
    <w:rsid w:val="00C76222"/>
    <w:rsid w:val="00CA55D3"/>
    <w:rsid w:val="00CB1A8E"/>
    <w:rsid w:val="00CC4E9B"/>
    <w:rsid w:val="00CD10AA"/>
    <w:rsid w:val="00CD2E1C"/>
    <w:rsid w:val="00CD5E96"/>
    <w:rsid w:val="00CE09FD"/>
    <w:rsid w:val="00CF40BD"/>
    <w:rsid w:val="00D005B5"/>
    <w:rsid w:val="00D04831"/>
    <w:rsid w:val="00D05EEF"/>
    <w:rsid w:val="00D21C04"/>
    <w:rsid w:val="00D228D2"/>
    <w:rsid w:val="00D257F8"/>
    <w:rsid w:val="00D2780A"/>
    <w:rsid w:val="00D50320"/>
    <w:rsid w:val="00D6136B"/>
    <w:rsid w:val="00D6219F"/>
    <w:rsid w:val="00D816C4"/>
    <w:rsid w:val="00D834A4"/>
    <w:rsid w:val="00D87F44"/>
    <w:rsid w:val="00D9220D"/>
    <w:rsid w:val="00DA4CB1"/>
    <w:rsid w:val="00DC072C"/>
    <w:rsid w:val="00DD75E5"/>
    <w:rsid w:val="00DE1993"/>
    <w:rsid w:val="00DF15FB"/>
    <w:rsid w:val="00DF7B27"/>
    <w:rsid w:val="00E11F9F"/>
    <w:rsid w:val="00E1735A"/>
    <w:rsid w:val="00E2542E"/>
    <w:rsid w:val="00E25F94"/>
    <w:rsid w:val="00E3033F"/>
    <w:rsid w:val="00E40DB0"/>
    <w:rsid w:val="00E53972"/>
    <w:rsid w:val="00E569E6"/>
    <w:rsid w:val="00E87F00"/>
    <w:rsid w:val="00E907D2"/>
    <w:rsid w:val="00E9666B"/>
    <w:rsid w:val="00EA4EDE"/>
    <w:rsid w:val="00EA59EE"/>
    <w:rsid w:val="00EB142D"/>
    <w:rsid w:val="00EB14BB"/>
    <w:rsid w:val="00EB4D97"/>
    <w:rsid w:val="00ED4652"/>
    <w:rsid w:val="00EE0686"/>
    <w:rsid w:val="00EE4FF2"/>
    <w:rsid w:val="00EF5B2C"/>
    <w:rsid w:val="00F03511"/>
    <w:rsid w:val="00F03C28"/>
    <w:rsid w:val="00F27009"/>
    <w:rsid w:val="00F311D8"/>
    <w:rsid w:val="00F31B17"/>
    <w:rsid w:val="00F36843"/>
    <w:rsid w:val="00F41417"/>
    <w:rsid w:val="00F41868"/>
    <w:rsid w:val="00F42F5D"/>
    <w:rsid w:val="00F44A1A"/>
    <w:rsid w:val="00F505BA"/>
    <w:rsid w:val="00F70660"/>
    <w:rsid w:val="00F74717"/>
    <w:rsid w:val="00F7536C"/>
    <w:rsid w:val="00F75DC0"/>
    <w:rsid w:val="00F8203C"/>
    <w:rsid w:val="00F82406"/>
    <w:rsid w:val="00F835F2"/>
    <w:rsid w:val="00F90620"/>
    <w:rsid w:val="00F93DA7"/>
    <w:rsid w:val="00F953C5"/>
    <w:rsid w:val="00FA03F8"/>
    <w:rsid w:val="00FA0D4C"/>
    <w:rsid w:val="00FA3562"/>
    <w:rsid w:val="00FB475A"/>
    <w:rsid w:val="00FB67DA"/>
    <w:rsid w:val="00FC3C89"/>
    <w:rsid w:val="00FC78CD"/>
    <w:rsid w:val="00FD0B28"/>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A7D36"/>
  <w15:chartTrackingRefBased/>
  <w15:docId w15:val="{67BB5CD0-38D9-4F41-B626-4EE696C5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CA5"/>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CA5"/>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301CA5"/>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uiPriority w:val="99"/>
    <w:rsid w:val="007A559B"/>
    <w:pPr>
      <w:widowControl w:val="0"/>
      <w:autoSpaceDE w:val="0"/>
      <w:autoSpaceDN w:val="0"/>
      <w:adjustRightInd w:val="0"/>
    </w:pPr>
    <w:rPr>
      <w:color w:val="000000"/>
      <w:sz w:val="24"/>
      <w:szCs w:val="24"/>
      <w:lang w:val="en-GB" w:eastAsia="en-GB"/>
    </w:rPr>
  </w:style>
  <w:style w:type="paragraph" w:customStyle="1" w:styleId="CM8">
    <w:name w:val="CM8"/>
    <w:basedOn w:val="Default"/>
    <w:next w:val="Default"/>
    <w:uiPriority w:val="99"/>
    <w:rsid w:val="008E2D92"/>
    <w:pPr>
      <w:spacing w:after="275"/>
    </w:pPr>
    <w:rPr>
      <w:color w:val="auto"/>
      <w:lang w:val="en-US" w:eastAsia="en-US"/>
    </w:rPr>
  </w:style>
  <w:style w:type="paragraph" w:customStyle="1" w:styleId="CM1">
    <w:name w:val="CM1"/>
    <w:basedOn w:val="Default"/>
    <w:next w:val="Default"/>
    <w:uiPriority w:val="99"/>
    <w:rsid w:val="00A1306B"/>
    <w:pPr>
      <w:spacing w:line="273" w:lineRule="atLeast"/>
    </w:pPr>
    <w:rPr>
      <w:color w:val="auto"/>
      <w:lang w:val="en-US" w:eastAsia="en-US"/>
    </w:rPr>
  </w:style>
  <w:style w:type="paragraph" w:customStyle="1" w:styleId="CM6">
    <w:name w:val="CM6"/>
    <w:basedOn w:val="Default"/>
    <w:next w:val="Default"/>
    <w:uiPriority w:val="99"/>
    <w:rsid w:val="00A1306B"/>
    <w:pPr>
      <w:spacing w:line="271" w:lineRule="atLeast"/>
    </w:pPr>
    <w:rPr>
      <w:color w:val="auto"/>
      <w:lang w:val="en-US" w:eastAsia="en-US"/>
    </w:rPr>
  </w:style>
  <w:style w:type="character" w:customStyle="1" w:styleId="HeaderChar">
    <w:name w:val="Header Char"/>
    <w:link w:val="Header"/>
    <w:uiPriority w:val="99"/>
    <w:rsid w:val="00301CA5"/>
    <w:rPr>
      <w:rFonts w:ascii="Helvetica" w:hAnsi="Helvetica"/>
      <w:lang w:val="lv-LV" w:eastAsia="en-US"/>
    </w:rPr>
  </w:style>
  <w:style w:type="character" w:customStyle="1" w:styleId="FooterChar">
    <w:name w:val="Footer Char"/>
    <w:link w:val="Footer"/>
    <w:uiPriority w:val="99"/>
    <w:rsid w:val="00301CA5"/>
    <w:rPr>
      <w:rFonts w:ascii="Helvetica" w:hAnsi="Helvetica"/>
      <w:sz w:val="16"/>
      <w:lang w:val="lv-LV" w:eastAsia="en-US"/>
    </w:rPr>
  </w:style>
  <w:style w:type="character" w:styleId="CommentReference">
    <w:name w:val="annotation reference"/>
    <w:rsid w:val="002A7F6C"/>
    <w:rPr>
      <w:sz w:val="16"/>
      <w:szCs w:val="16"/>
    </w:rPr>
  </w:style>
  <w:style w:type="paragraph" w:styleId="CommentText">
    <w:name w:val="annotation text"/>
    <w:basedOn w:val="Normal"/>
    <w:link w:val="CommentTextChar"/>
    <w:rsid w:val="002A7F6C"/>
    <w:rPr>
      <w:sz w:val="20"/>
      <w:lang w:eastAsia="x-none"/>
    </w:rPr>
  </w:style>
  <w:style w:type="character" w:customStyle="1" w:styleId="CommentTextChar">
    <w:name w:val="Comment Text Char"/>
    <w:link w:val="CommentText"/>
    <w:rsid w:val="002A7F6C"/>
    <w:rPr>
      <w:lang w:val="lv-LV"/>
    </w:rPr>
  </w:style>
  <w:style w:type="paragraph" w:styleId="CommentSubject">
    <w:name w:val="annotation subject"/>
    <w:basedOn w:val="CommentText"/>
    <w:next w:val="CommentText"/>
    <w:link w:val="CommentSubjectChar"/>
    <w:rsid w:val="002A7F6C"/>
    <w:rPr>
      <w:b/>
      <w:bCs/>
    </w:rPr>
  </w:style>
  <w:style w:type="character" w:customStyle="1" w:styleId="CommentSubjectChar">
    <w:name w:val="Comment Subject Char"/>
    <w:link w:val="CommentSubject"/>
    <w:rsid w:val="002A7F6C"/>
    <w:rPr>
      <w:b/>
      <w:bCs/>
      <w:lang w:val="lv-LV"/>
    </w:rPr>
  </w:style>
  <w:style w:type="paragraph" w:styleId="Revision">
    <w:name w:val="Revision"/>
    <w:hidden/>
    <w:uiPriority w:val="99"/>
    <w:semiHidden/>
    <w:rsid w:val="006041F2"/>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v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2F7D9-D9F3-492A-8A9E-A477AABDECC0}">
  <ds:schemaRefs>
    <ds:schemaRef ds:uri="http://schemas.openxmlformats.org/officeDocument/2006/bibliography"/>
  </ds:schemaRefs>
</ds:datastoreItem>
</file>

<file path=customXml/itemProps2.xml><?xml version="1.0" encoding="utf-8"?>
<ds:datastoreItem xmlns:ds="http://schemas.openxmlformats.org/officeDocument/2006/customXml" ds:itemID="{C8A0D1D7-006E-42FE-A9CA-0549069A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22373</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25494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4</cp:revision>
  <cp:lastPrinted>2014-07-08T11:36:00Z</cp:lastPrinted>
  <dcterms:created xsi:type="dcterms:W3CDTF">2022-03-11T07:05:00Z</dcterms:created>
  <dcterms:modified xsi:type="dcterms:W3CDTF">2022-04-13T08:54:00Z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