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10" w:rsidRDefault="003C708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30C3">
        <w:rPr>
          <w:b/>
          <w:bCs/>
          <w:sz w:val="22"/>
          <w:szCs w:val="22"/>
        </w:rPr>
        <w:t>ZĀĻU APRAKSTS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ZĀĻU NOSAUKUMS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SINUPRET apvalkotās tabletes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KVALITATĪVAIS UN KVANTITATĪVAIS SASTĀVS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i/>
          <w:iCs/>
          <w:sz w:val="22"/>
          <w:szCs w:val="22"/>
        </w:rPr>
        <w:t>Aktīvās vielas: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Viena apvalkotā tablete satur:</w:t>
      </w:r>
    </w:p>
    <w:p w:rsidR="001B3D10" w:rsidRDefault="0066515A">
      <w:pPr>
        <w:widowControl w:val="0"/>
        <w:tabs>
          <w:tab w:val="left" w:pos="567"/>
          <w:tab w:val="left" w:pos="4540"/>
          <w:tab w:val="left" w:pos="4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Genciānas sakņu pulveri (</w:t>
      </w:r>
      <w:proofErr w:type="spellStart"/>
      <w:r w:rsidRPr="0066515A">
        <w:rPr>
          <w:i/>
          <w:iCs/>
          <w:sz w:val="22"/>
          <w:szCs w:val="22"/>
        </w:rPr>
        <w:t>Gentianae</w:t>
      </w:r>
      <w:proofErr w:type="spellEnd"/>
      <w:r w:rsidRPr="0066515A">
        <w:rPr>
          <w:i/>
          <w:iCs/>
          <w:sz w:val="22"/>
          <w:szCs w:val="22"/>
        </w:rPr>
        <w:t xml:space="preserve"> </w:t>
      </w:r>
      <w:proofErr w:type="spellStart"/>
      <w:r w:rsidRPr="0066515A">
        <w:rPr>
          <w:i/>
          <w:iCs/>
          <w:sz w:val="22"/>
          <w:szCs w:val="22"/>
        </w:rPr>
        <w:t>radix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6,000 mg</w:t>
      </w:r>
    </w:p>
    <w:p w:rsidR="001B3D10" w:rsidRDefault="0066515A">
      <w:pPr>
        <w:widowControl w:val="0"/>
        <w:tabs>
          <w:tab w:val="left" w:pos="567"/>
          <w:tab w:val="left" w:pos="4540"/>
          <w:tab w:val="left" w:pos="4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Gaiļbiksīšu ziedu pulveri (</w:t>
      </w:r>
      <w:proofErr w:type="spellStart"/>
      <w:r>
        <w:rPr>
          <w:i/>
          <w:iCs/>
          <w:sz w:val="22"/>
          <w:szCs w:val="22"/>
        </w:rPr>
        <w:t>Primulae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flos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18,000 mg</w:t>
      </w:r>
    </w:p>
    <w:p w:rsidR="001B3D10" w:rsidRDefault="0066515A">
      <w:pPr>
        <w:widowControl w:val="0"/>
        <w:tabs>
          <w:tab w:val="left" w:pos="567"/>
          <w:tab w:val="left" w:pos="4540"/>
          <w:tab w:val="left" w:pos="4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Skābenes lakstu pulveri (</w:t>
      </w:r>
      <w:proofErr w:type="spellStart"/>
      <w:r>
        <w:rPr>
          <w:i/>
          <w:iCs/>
          <w:sz w:val="22"/>
          <w:szCs w:val="22"/>
        </w:rPr>
        <w:t>Rumicis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herba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18,000 mg</w:t>
      </w:r>
    </w:p>
    <w:p w:rsidR="001B3D10" w:rsidRDefault="0066515A">
      <w:pPr>
        <w:widowControl w:val="0"/>
        <w:tabs>
          <w:tab w:val="left" w:pos="567"/>
          <w:tab w:val="left" w:pos="4540"/>
          <w:tab w:val="left" w:pos="4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Melnā plūškoka ziedu pulveri (</w:t>
      </w:r>
      <w:proofErr w:type="spellStart"/>
      <w:r>
        <w:rPr>
          <w:i/>
          <w:iCs/>
          <w:sz w:val="22"/>
          <w:szCs w:val="22"/>
        </w:rPr>
        <w:t>Sambuci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flos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18,000 mg</w:t>
      </w:r>
    </w:p>
    <w:p w:rsidR="001B3D10" w:rsidRDefault="0066515A">
      <w:pPr>
        <w:widowControl w:val="0"/>
        <w:tabs>
          <w:tab w:val="left" w:pos="567"/>
          <w:tab w:val="left" w:pos="4540"/>
          <w:tab w:val="left" w:pos="462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6515A">
        <w:rPr>
          <w:sz w:val="22"/>
          <w:szCs w:val="22"/>
        </w:rPr>
        <w:t>Verbēnas</w:t>
      </w:r>
      <w:proofErr w:type="spellEnd"/>
      <w:r w:rsidRPr="0066515A">
        <w:rPr>
          <w:sz w:val="22"/>
          <w:szCs w:val="22"/>
        </w:rPr>
        <w:t xml:space="preserve"> lakstu pulveri (</w:t>
      </w:r>
      <w:proofErr w:type="spellStart"/>
      <w:r>
        <w:rPr>
          <w:i/>
          <w:iCs/>
          <w:sz w:val="22"/>
          <w:szCs w:val="22"/>
        </w:rPr>
        <w:t>Verbenae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herba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66515A">
        <w:rPr>
          <w:sz w:val="22"/>
          <w:szCs w:val="22"/>
        </w:rPr>
        <w:t>18,000 mg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Viena apvalkotā tablete satur 41,6% sagremojamus ogļhidrātus un 0,1 % sorbītu.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Pilnu palīgvielu sarakstu skatīt 6.1. apakšpunktā.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ZĀĻU FORMA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Apvalkotā tablete.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Apaļas, zaļas, abpusēji izliektas, gludas apvalkotās tabletes.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KLĪNISKĀ INFORMĀCIJA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4.1.</w:t>
      </w:r>
      <w:r>
        <w:rPr>
          <w:b/>
          <w:bCs/>
          <w:sz w:val="22"/>
          <w:szCs w:val="22"/>
        </w:rPr>
        <w:tab/>
        <w:t>Terapeitiskās indikācijas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pStyle w:val="NoSpacing"/>
        <w:tabs>
          <w:tab w:val="left" w:pos="567"/>
        </w:tabs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apvalkotās</w:t>
      </w:r>
      <w:proofErr w:type="spellEnd"/>
      <w:r w:rsidRPr="0066515A">
        <w:rPr>
          <w:sz w:val="22"/>
          <w:szCs w:val="22"/>
        </w:rPr>
        <w:t xml:space="preserve"> tabletes ir augu valsts izcelsmes </w:t>
      </w:r>
      <w:proofErr w:type="spellStart"/>
      <w:r w:rsidRPr="0066515A">
        <w:rPr>
          <w:sz w:val="22"/>
          <w:szCs w:val="22"/>
        </w:rPr>
        <w:t>sekretolītisks</w:t>
      </w:r>
      <w:proofErr w:type="spellEnd"/>
      <w:r w:rsidRPr="0066515A">
        <w:rPr>
          <w:sz w:val="22"/>
          <w:szCs w:val="22"/>
        </w:rPr>
        <w:t xml:space="preserve"> līdzeklis.</w:t>
      </w:r>
    </w:p>
    <w:p w:rsidR="001B3D10" w:rsidRDefault="001B3D10">
      <w:pPr>
        <w:pStyle w:val="NoSpacing"/>
        <w:tabs>
          <w:tab w:val="left" w:pos="567"/>
        </w:tabs>
        <w:jc w:val="both"/>
        <w:rPr>
          <w:sz w:val="22"/>
          <w:szCs w:val="22"/>
        </w:rPr>
      </w:pPr>
    </w:p>
    <w:p w:rsidR="001B3D10" w:rsidRDefault="0066515A">
      <w:pPr>
        <w:pStyle w:val="NoSpacing"/>
        <w:tabs>
          <w:tab w:val="left" w:pos="567"/>
        </w:tabs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Sinupret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apvalkotās</w:t>
      </w:r>
      <w:proofErr w:type="spellEnd"/>
      <w:r>
        <w:rPr>
          <w:sz w:val="22"/>
          <w:szCs w:val="22"/>
        </w:rPr>
        <w:t xml:space="preserve"> tabletes lieto sekojošos gadījumos:</w:t>
      </w:r>
    </w:p>
    <w:p w:rsidR="001B3D10" w:rsidRDefault="0066515A">
      <w:pPr>
        <w:pStyle w:val="NoSpacing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akūti</w:t>
      </w:r>
      <w:proofErr w:type="spellEnd"/>
      <w:r>
        <w:rPr>
          <w:sz w:val="22"/>
          <w:szCs w:val="22"/>
        </w:rPr>
        <w:t xml:space="preserve"> un hroniski deguna blakusdobumu iekaisumi;</w:t>
      </w:r>
    </w:p>
    <w:p w:rsidR="001B3D10" w:rsidRDefault="0066515A">
      <w:pPr>
        <w:pStyle w:val="NoSpacing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akūti</w:t>
      </w:r>
      <w:proofErr w:type="spellEnd"/>
      <w:r>
        <w:rPr>
          <w:sz w:val="22"/>
          <w:szCs w:val="22"/>
        </w:rPr>
        <w:t xml:space="preserve"> un hroniski </w:t>
      </w:r>
      <w:proofErr w:type="spellStart"/>
      <w:r>
        <w:rPr>
          <w:sz w:val="22"/>
          <w:szCs w:val="22"/>
        </w:rPr>
        <w:t>elpceļu</w:t>
      </w:r>
      <w:proofErr w:type="spellEnd"/>
      <w:r>
        <w:rPr>
          <w:sz w:val="22"/>
          <w:szCs w:val="22"/>
        </w:rPr>
        <w:t xml:space="preserve"> iekaisumi</w:t>
      </w:r>
      <w:r>
        <w:rPr>
          <w:rFonts w:eastAsia="MS Gothic"/>
          <w:sz w:val="22"/>
          <w:szCs w:val="22"/>
        </w:rPr>
        <w:t>;</w:t>
      </w:r>
    </w:p>
    <w:p w:rsidR="001B3D10" w:rsidRDefault="0066515A">
      <w:pPr>
        <w:pStyle w:val="NoSpacing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kā papildu </w:t>
      </w:r>
      <w:proofErr w:type="spellStart"/>
      <w:r>
        <w:rPr>
          <w:sz w:val="22"/>
          <w:szCs w:val="22"/>
        </w:rPr>
        <w:t>līdzekli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antibakteriālai</w:t>
      </w:r>
      <w:proofErr w:type="spellEnd"/>
      <w:r>
        <w:rPr>
          <w:sz w:val="22"/>
          <w:szCs w:val="22"/>
        </w:rPr>
        <w:t xml:space="preserve"> terapijai.</w:t>
      </w:r>
    </w:p>
    <w:p w:rsidR="001B3D10" w:rsidRDefault="001B3D10">
      <w:pPr>
        <w:widowControl w:val="0"/>
        <w:tabs>
          <w:tab w:val="left" w:pos="567"/>
          <w:tab w:val="left" w:pos="15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4.2.</w:t>
      </w:r>
      <w:r>
        <w:rPr>
          <w:b/>
          <w:bCs/>
          <w:sz w:val="22"/>
          <w:szCs w:val="22"/>
        </w:rPr>
        <w:tab/>
        <w:t>Devas un lietošanas veids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Pieaugušajiem un pusaudžiem vecumā no 12 gadiem: 2 apvalkotās tabletes 3 reizes dienā.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Bērniem</w:t>
      </w:r>
      <w:proofErr w:type="spellEnd"/>
      <w:r>
        <w:rPr>
          <w:sz w:val="22"/>
          <w:szCs w:val="22"/>
        </w:rPr>
        <w:t xml:space="preserve"> no 6 līdz 11 gadiem: 1 </w:t>
      </w:r>
      <w:proofErr w:type="spellStart"/>
      <w:r>
        <w:rPr>
          <w:sz w:val="22"/>
          <w:szCs w:val="22"/>
        </w:rPr>
        <w:t>apvalkota</w:t>
      </w:r>
      <w:proofErr w:type="spellEnd"/>
      <w:r>
        <w:rPr>
          <w:sz w:val="22"/>
          <w:szCs w:val="22"/>
        </w:rPr>
        <w:t>̄ tablete 3 reizes dienā.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Sinupret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apvalkotās</w:t>
      </w:r>
      <w:proofErr w:type="spellEnd"/>
      <w:r>
        <w:rPr>
          <w:sz w:val="22"/>
          <w:szCs w:val="22"/>
        </w:rPr>
        <w:t xml:space="preserve"> tabletes jānorij veselas, tās nesakošļājot. Zāles jālieto uzdzerot kādu šķidruma daudzumu, piemēram, ūdens glāzi. Pacientiem ar jutīgu kuņģi </w:t>
      </w:r>
      <w:proofErr w:type="spellStart"/>
      <w:r>
        <w:rPr>
          <w:i/>
          <w:sz w:val="22"/>
          <w:szCs w:val="22"/>
        </w:rPr>
        <w:t>Sinupret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apvalkotās</w:t>
      </w:r>
      <w:proofErr w:type="spellEnd"/>
      <w:r>
        <w:rPr>
          <w:sz w:val="22"/>
          <w:szCs w:val="22"/>
        </w:rPr>
        <w:t xml:space="preserve"> tabletes ieteicams lietot pēc ēšanas.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Sinupret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apvalkotās</w:t>
      </w:r>
      <w:proofErr w:type="spellEnd"/>
      <w:r>
        <w:rPr>
          <w:sz w:val="22"/>
          <w:szCs w:val="22"/>
        </w:rPr>
        <w:t xml:space="preserve"> tabletes nedrīkst lietot ilgāk par 7–14 dienām. Lūdzu, skatīt informāciju 4.4. apakšpunktā „Īpaši brīdinājumi un piesardzība lietošanā”.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4.3.</w:t>
      </w:r>
      <w:r>
        <w:rPr>
          <w:b/>
          <w:bCs/>
          <w:sz w:val="22"/>
          <w:szCs w:val="22"/>
        </w:rPr>
        <w:tab/>
        <w:t>Kontrindikācijas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Paaugstināta jutība pret aktīvajām vielām vai jebkuru no 6.1. apakšpunktā uzskaitītajām palīgvielām.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4.4.</w:t>
      </w:r>
      <w:r>
        <w:rPr>
          <w:b/>
          <w:bCs/>
          <w:sz w:val="22"/>
          <w:szCs w:val="22"/>
        </w:rPr>
        <w:tab/>
        <w:t>Īpaši brīdinājumi un piesardzība lietošanā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Ja simptomi saglabājas ilgāk par 7–14 dienām, pastiprinās vai periodiski atkārtojas, kā arī tad, ja rodas elpas trūkums, drudzis vai strutainas krēpas, jāsazinās ar ārstu.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  <w:u w:val="single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Pediatriskā populācija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Dati par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apvalkoto</w:t>
      </w:r>
      <w:proofErr w:type="spellEnd"/>
      <w:r w:rsidRPr="0066515A">
        <w:rPr>
          <w:sz w:val="22"/>
          <w:szCs w:val="22"/>
        </w:rPr>
        <w:t xml:space="preserve"> tablešu lietošanu bērniem vecumā līdz 6 gadiem nav pietiekami.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  <w:u w:val="single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Šīs zāles satur glikozi, laktozi, saharozi un sorbītu. Šīs zāles nevajadzētu lietot pacientiem ar retu iedzimtu fruktozes nepanesību, galaktozes nepanesību, </w:t>
      </w:r>
      <w:r>
        <w:rPr>
          <w:i/>
          <w:sz w:val="22"/>
          <w:szCs w:val="22"/>
        </w:rPr>
        <w:t>Lapp</w:t>
      </w:r>
      <w:r>
        <w:rPr>
          <w:sz w:val="22"/>
          <w:szCs w:val="22"/>
        </w:rPr>
        <w:t xml:space="preserve"> laktāzes deficītu, glikozes-</w:t>
      </w:r>
      <w:proofErr w:type="spellStart"/>
      <w:r>
        <w:rPr>
          <w:sz w:val="22"/>
          <w:szCs w:val="22"/>
        </w:rPr>
        <w:t>galaktozes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malabsorbciju</w:t>
      </w:r>
      <w:proofErr w:type="spellEnd"/>
      <w:r>
        <w:rPr>
          <w:sz w:val="22"/>
          <w:szCs w:val="22"/>
        </w:rPr>
        <w:t xml:space="preserve"> vai </w:t>
      </w:r>
      <w:proofErr w:type="spellStart"/>
      <w:r>
        <w:rPr>
          <w:sz w:val="22"/>
          <w:szCs w:val="22"/>
        </w:rPr>
        <w:t>saharāzes-izomaltāzes</w:t>
      </w:r>
      <w:proofErr w:type="spellEnd"/>
      <w:r>
        <w:rPr>
          <w:sz w:val="22"/>
          <w:szCs w:val="22"/>
        </w:rPr>
        <w:t xml:space="preserve"> nepietiekamību.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Informācija pacientiem ar cukura diabētu: 1 apvalkotā tablete satur 0,1 g sagremojamus ogļhidrātus.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4.5.</w:t>
      </w:r>
      <w:r>
        <w:rPr>
          <w:b/>
          <w:sz w:val="22"/>
          <w:szCs w:val="22"/>
        </w:rPr>
        <w:tab/>
        <w:t>Mijiedarbība ar citām zālēm un citi mijiedarbības veidi</w:t>
      </w:r>
    </w:p>
    <w:p w:rsidR="001B3D10" w:rsidRDefault="001B3D10">
      <w:pPr>
        <w:tabs>
          <w:tab w:val="left" w:pos="567"/>
        </w:tabs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66515A">
        <w:rPr>
          <w:sz w:val="22"/>
          <w:szCs w:val="22"/>
        </w:rPr>
        <w:t>ijiedarbība ar citām zālēm līdz šim nav novērota.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4.6.</w:t>
      </w:r>
      <w:r>
        <w:rPr>
          <w:b/>
          <w:bCs/>
          <w:sz w:val="22"/>
          <w:szCs w:val="22"/>
        </w:rPr>
        <w:tab/>
        <w:t>Fertilitāte, grūtniecība un barošana ar krūti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Grūtniecība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Pētījumi</w:t>
      </w:r>
      <w:proofErr w:type="spellEnd"/>
      <w:r>
        <w:rPr>
          <w:sz w:val="22"/>
          <w:szCs w:val="22"/>
        </w:rPr>
        <w:t xml:space="preserve"> ar </w:t>
      </w:r>
      <w:proofErr w:type="spellStart"/>
      <w:r>
        <w:rPr>
          <w:sz w:val="22"/>
          <w:szCs w:val="22"/>
        </w:rPr>
        <w:t>dzīvniekiem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i/>
          <w:sz w:val="22"/>
          <w:szCs w:val="22"/>
        </w:rPr>
        <w:t>Sinupret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apvalkoto</w:t>
      </w:r>
      <w:proofErr w:type="spellEnd"/>
      <w:r>
        <w:rPr>
          <w:sz w:val="22"/>
          <w:szCs w:val="22"/>
        </w:rPr>
        <w:t xml:space="preserve"> tablešu lietošanas </w:t>
      </w:r>
      <w:proofErr w:type="spellStart"/>
      <w:r>
        <w:rPr>
          <w:sz w:val="22"/>
          <w:szCs w:val="22"/>
        </w:rPr>
        <w:t>analīze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grūtniecēm</w:t>
      </w:r>
      <w:proofErr w:type="spellEnd"/>
      <w:r>
        <w:rPr>
          <w:sz w:val="22"/>
          <w:szCs w:val="22"/>
        </w:rPr>
        <w:t xml:space="preserve"> daudzu gadu laikā </w:t>
      </w:r>
      <w:proofErr w:type="spellStart"/>
      <w:r>
        <w:rPr>
          <w:sz w:val="22"/>
          <w:szCs w:val="22"/>
        </w:rPr>
        <w:t>nenorādīja</w:t>
      </w:r>
      <w:proofErr w:type="spellEnd"/>
      <w:r>
        <w:rPr>
          <w:sz w:val="22"/>
          <w:szCs w:val="22"/>
        </w:rPr>
        <w:t xml:space="preserve"> riska </w:t>
      </w:r>
      <w:proofErr w:type="spellStart"/>
      <w:r>
        <w:rPr>
          <w:sz w:val="22"/>
          <w:szCs w:val="22"/>
        </w:rPr>
        <w:t>iespējamību</w:t>
      </w:r>
      <w:proofErr w:type="spellEnd"/>
      <w:r>
        <w:rPr>
          <w:sz w:val="22"/>
          <w:szCs w:val="22"/>
        </w:rPr>
        <w:t xml:space="preserve">. Tāpēc, </w:t>
      </w:r>
      <w:proofErr w:type="spellStart"/>
      <w:r>
        <w:rPr>
          <w:sz w:val="22"/>
          <w:szCs w:val="22"/>
        </w:rPr>
        <w:t>tāpat</w:t>
      </w:r>
      <w:proofErr w:type="spellEnd"/>
      <w:r>
        <w:rPr>
          <w:sz w:val="22"/>
          <w:szCs w:val="22"/>
        </w:rPr>
        <w:t xml:space="preserve"> kā citas </w:t>
      </w:r>
      <w:proofErr w:type="spellStart"/>
      <w:r>
        <w:rPr>
          <w:sz w:val="22"/>
          <w:szCs w:val="22"/>
        </w:rPr>
        <w:t>zāles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Sinupret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apvalkot</w:t>
      </w:r>
      <w:r w:rsidR="001C30C3">
        <w:rPr>
          <w:sz w:val="22"/>
          <w:szCs w:val="22"/>
        </w:rPr>
        <w:t>ā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tabletes </w:t>
      </w:r>
      <w:proofErr w:type="spellStart"/>
      <w:r>
        <w:rPr>
          <w:sz w:val="22"/>
          <w:szCs w:val="22"/>
        </w:rPr>
        <w:t>grūtniecības</w:t>
      </w:r>
      <w:proofErr w:type="spellEnd"/>
      <w:r>
        <w:rPr>
          <w:sz w:val="22"/>
          <w:szCs w:val="22"/>
        </w:rPr>
        <w:t xml:space="preserve"> laikā var lietot tikai </w:t>
      </w:r>
      <w:proofErr w:type="spellStart"/>
      <w:r>
        <w:rPr>
          <w:sz w:val="22"/>
          <w:szCs w:val="22"/>
        </w:rPr>
        <w:t>pēc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rūpīgas</w:t>
      </w:r>
      <w:proofErr w:type="spellEnd"/>
      <w:r>
        <w:rPr>
          <w:sz w:val="22"/>
          <w:szCs w:val="22"/>
        </w:rPr>
        <w:t xml:space="preserve"> ieguvuma-riska </w:t>
      </w:r>
      <w:proofErr w:type="spellStart"/>
      <w:r>
        <w:rPr>
          <w:sz w:val="22"/>
          <w:szCs w:val="22"/>
        </w:rPr>
        <w:t>attiecības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izvērtēšanas</w:t>
      </w:r>
      <w:proofErr w:type="spellEnd"/>
      <w:r>
        <w:rPr>
          <w:sz w:val="22"/>
          <w:szCs w:val="22"/>
        </w:rPr>
        <w:t>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Barošana ar krūti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 pieredzes par </w:t>
      </w:r>
      <w:proofErr w:type="spellStart"/>
      <w:r>
        <w:rPr>
          <w:i/>
          <w:iCs/>
          <w:sz w:val="22"/>
          <w:szCs w:val="22"/>
        </w:rPr>
        <w:t>Sinupret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lietošanu barojot bērnu ar krūti, </w:t>
      </w:r>
      <w:proofErr w:type="spellStart"/>
      <w:r>
        <w:rPr>
          <w:sz w:val="22"/>
          <w:szCs w:val="22"/>
        </w:rPr>
        <w:t>tāpēc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šaja</w:t>
      </w:r>
      <w:proofErr w:type="spellEnd"/>
      <w:r>
        <w:rPr>
          <w:sz w:val="22"/>
          <w:szCs w:val="22"/>
        </w:rPr>
        <w:t>̄ periodā šo zāļu lietošana nav ieteicama.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Fertilitāte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Pētījumos ar dzīvniekiem nav novērota </w:t>
      </w:r>
      <w:proofErr w:type="spellStart"/>
      <w:r>
        <w:rPr>
          <w:i/>
          <w:sz w:val="22"/>
          <w:szCs w:val="22"/>
        </w:rPr>
        <w:t>Sinupret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apvalkoto</w:t>
      </w:r>
      <w:proofErr w:type="spellEnd"/>
      <w:r>
        <w:rPr>
          <w:sz w:val="22"/>
          <w:szCs w:val="22"/>
        </w:rPr>
        <w:t xml:space="preserve"> tablešu un </w:t>
      </w:r>
      <w:proofErr w:type="spellStart"/>
      <w:r>
        <w:rPr>
          <w:i/>
          <w:sz w:val="22"/>
          <w:szCs w:val="22"/>
        </w:rPr>
        <w:t>Sinupret</w:t>
      </w:r>
      <w:proofErr w:type="spellEnd"/>
      <w:r>
        <w:rPr>
          <w:sz w:val="22"/>
          <w:szCs w:val="22"/>
        </w:rPr>
        <w:t xml:space="preserve"> pilienu iekšķīgai lietošanai ietekme uz auglību.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4.7.</w:t>
      </w:r>
      <w:r>
        <w:rPr>
          <w:b/>
          <w:bCs/>
          <w:sz w:val="22"/>
          <w:szCs w:val="22"/>
        </w:rPr>
        <w:tab/>
        <w:t>Ietekme uz spēju vadīt transportlīdzekļus un apkalpot mehānismus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Īpaša piesardzība nav nepieciešama.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4.8.</w:t>
      </w:r>
      <w:r>
        <w:rPr>
          <w:b/>
          <w:bCs/>
          <w:sz w:val="22"/>
          <w:szCs w:val="22"/>
        </w:rPr>
        <w:tab/>
        <w:t>Nevēlamās blakusparādības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Tāpat kā citas zāles, </w:t>
      </w:r>
      <w:proofErr w:type="spellStart"/>
      <w:r>
        <w:rPr>
          <w:i/>
          <w:iCs/>
          <w:sz w:val="22"/>
          <w:szCs w:val="22"/>
        </w:rPr>
        <w:t>Sinupret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apvalkotās</w:t>
      </w:r>
      <w:proofErr w:type="spellEnd"/>
      <w:r>
        <w:rPr>
          <w:sz w:val="22"/>
          <w:szCs w:val="22"/>
        </w:rPr>
        <w:t xml:space="preserve"> tabletes var izraisīt blakusparādības, kaut arī ne visiem tās izpaužas.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Nevēlamo blakusparādību novērtēšanai ir izmantota šāda biežuma klasifikācija:</w:t>
      </w:r>
    </w:p>
    <w:p w:rsidR="001B3D10" w:rsidRDefault="0066515A">
      <w:pPr>
        <w:pStyle w:val="ListParagraph"/>
        <w:numPr>
          <w:ilvl w:val="1"/>
          <w:numId w:val="7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66515A">
        <w:rPr>
          <w:sz w:val="22"/>
          <w:szCs w:val="22"/>
        </w:rPr>
        <w:t>ļoti bieži (</w:t>
      </w:r>
      <w:r w:rsidRPr="0066515A">
        <w:rPr>
          <w:sz w:val="22"/>
          <w:szCs w:val="22"/>
        </w:rPr>
        <w:sym w:font="Symbol" w:char="F0B3"/>
      </w:r>
      <w:r w:rsidRPr="0066515A">
        <w:rPr>
          <w:sz w:val="22"/>
          <w:szCs w:val="22"/>
        </w:rPr>
        <w:t xml:space="preserve"> 1/10);</w:t>
      </w:r>
    </w:p>
    <w:p w:rsidR="001B3D10" w:rsidRDefault="0066515A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bieži (no </w:t>
      </w:r>
      <w:r w:rsidRPr="0066515A">
        <w:rPr>
          <w:sz w:val="22"/>
          <w:szCs w:val="22"/>
        </w:rPr>
        <w:sym w:font="Symbol" w:char="F0B3"/>
      </w:r>
      <w:r w:rsidRPr="0066515A">
        <w:rPr>
          <w:sz w:val="22"/>
          <w:szCs w:val="22"/>
        </w:rPr>
        <w:t xml:space="preserve"> 1/</w:t>
      </w:r>
      <w:r>
        <w:rPr>
          <w:sz w:val="22"/>
          <w:szCs w:val="22"/>
        </w:rPr>
        <w:t>100 līdz &lt; 1/10);</w:t>
      </w:r>
    </w:p>
    <w:p w:rsidR="001B3D10" w:rsidRDefault="0066515A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retāk (no </w:t>
      </w:r>
      <w:r w:rsidRPr="0066515A">
        <w:rPr>
          <w:sz w:val="22"/>
          <w:szCs w:val="22"/>
        </w:rPr>
        <w:sym w:font="Symbol" w:char="F0B3"/>
      </w:r>
      <w:r w:rsidRPr="0066515A">
        <w:rPr>
          <w:sz w:val="22"/>
          <w:szCs w:val="22"/>
        </w:rPr>
        <w:t xml:space="preserve"> </w:t>
      </w:r>
      <w:r>
        <w:rPr>
          <w:sz w:val="22"/>
          <w:szCs w:val="22"/>
        </w:rPr>
        <w:t>1/</w:t>
      </w:r>
      <w:r w:rsidRPr="0066515A">
        <w:rPr>
          <w:sz w:val="22"/>
          <w:szCs w:val="22"/>
        </w:rPr>
        <w:t>1000 līdz &lt; 1/100);</w:t>
      </w:r>
    </w:p>
    <w:p w:rsidR="001B3D10" w:rsidRDefault="0066515A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reti (no </w:t>
      </w:r>
      <w:r w:rsidRPr="0066515A">
        <w:rPr>
          <w:sz w:val="22"/>
          <w:szCs w:val="22"/>
        </w:rPr>
        <w:sym w:font="Symbol" w:char="F0B3"/>
      </w:r>
      <w:r w:rsidRPr="0066515A">
        <w:rPr>
          <w:sz w:val="22"/>
          <w:szCs w:val="22"/>
        </w:rPr>
        <w:t xml:space="preserve"> </w:t>
      </w:r>
      <w:r>
        <w:rPr>
          <w:sz w:val="22"/>
          <w:szCs w:val="22"/>
        </w:rPr>
        <w:t>1/</w:t>
      </w:r>
      <w:r w:rsidRPr="0066515A">
        <w:rPr>
          <w:sz w:val="22"/>
          <w:szCs w:val="22"/>
        </w:rPr>
        <w:t>10 000 līdz &lt; 1/1000);</w:t>
      </w:r>
    </w:p>
    <w:p w:rsidR="001B3D10" w:rsidRDefault="0066515A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ļoti reti (&lt; 1/10 000);</w:t>
      </w:r>
    </w:p>
    <w:p w:rsidR="001B3D10" w:rsidRDefault="0066515A">
      <w:pPr>
        <w:pStyle w:val="ListParagraph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nav zinām</w:t>
      </w:r>
      <w:r w:rsidR="001C30C3">
        <w:rPr>
          <w:sz w:val="22"/>
          <w:szCs w:val="22"/>
        </w:rPr>
        <w:t>i</w:t>
      </w:r>
      <w:r>
        <w:rPr>
          <w:sz w:val="22"/>
          <w:szCs w:val="22"/>
        </w:rPr>
        <w:t xml:space="preserve"> (nevar noteikt pēc pieejamiem datiem).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Retāk iespējami kuņģa un zarnu trakta darbības traucējumi (piemēram, sāpes vēderā, slikta dūša) un retos gadījumos iespējamas ādas </w:t>
      </w:r>
      <w:proofErr w:type="spellStart"/>
      <w:r>
        <w:rPr>
          <w:sz w:val="22"/>
          <w:szCs w:val="22"/>
        </w:rPr>
        <w:t>hipersensitivitātes</w:t>
      </w:r>
      <w:proofErr w:type="spellEnd"/>
      <w:r>
        <w:rPr>
          <w:sz w:val="22"/>
          <w:szCs w:val="22"/>
        </w:rPr>
        <w:t xml:space="preserve"> reakcijas (izsitumi, </w:t>
      </w:r>
      <w:proofErr w:type="spellStart"/>
      <w:r>
        <w:rPr>
          <w:sz w:val="22"/>
          <w:szCs w:val="22"/>
        </w:rPr>
        <w:t>eritēma</w:t>
      </w:r>
      <w:proofErr w:type="spellEnd"/>
      <w:r>
        <w:rPr>
          <w:sz w:val="22"/>
          <w:szCs w:val="22"/>
        </w:rPr>
        <w:t>, nieze). Turklāt, var rasties alerģiskas reakcijas, piemēram, angioedēma, aizdusa, sejas pietūkums.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radušās pirmās </w:t>
      </w:r>
      <w:proofErr w:type="spellStart"/>
      <w:r>
        <w:rPr>
          <w:sz w:val="22"/>
          <w:szCs w:val="22"/>
        </w:rPr>
        <w:t>hipersensitivitātes</w:t>
      </w:r>
      <w:proofErr w:type="spellEnd"/>
      <w:r>
        <w:rPr>
          <w:sz w:val="22"/>
          <w:szCs w:val="22"/>
        </w:rPr>
        <w:t xml:space="preserve">/alerģiskas reakcijas pazīmes, </w:t>
      </w:r>
      <w:proofErr w:type="spellStart"/>
      <w:r>
        <w:rPr>
          <w:i/>
          <w:sz w:val="22"/>
          <w:szCs w:val="22"/>
        </w:rPr>
        <w:t>Sinupret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apvalkotās tabletes</w:t>
      </w:r>
      <w:r w:rsidRPr="0066515A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atkārtoti nedrīkst lietot.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Ziņošana par iespējamām nevēlamām blakusparādībām</w:t>
      </w:r>
    </w:p>
    <w:p w:rsidR="001B3D10" w:rsidRDefault="0066515A">
      <w:pPr>
        <w:tabs>
          <w:tab w:val="left" w:pos="567"/>
        </w:tabs>
        <w:jc w:val="both"/>
        <w:rPr>
          <w:bCs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 15, Rīgā, LV 1003. tālr.: +371 67078400; fakss: +371 67078428. Tīmekļa vietne: </w:t>
      </w:r>
      <w:hyperlink r:id="rId8" w:history="1">
        <w:r>
          <w:rPr>
            <w:rStyle w:val="Hyperlink"/>
            <w:sz w:val="22"/>
            <w:szCs w:val="22"/>
          </w:rPr>
          <w:t>www.zva.gov.lv</w:t>
        </w:r>
      </w:hyperlink>
      <w:r w:rsidRPr="0066515A">
        <w:rPr>
          <w:sz w:val="22"/>
          <w:szCs w:val="22"/>
        </w:rPr>
        <w:t>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4.9.</w:t>
      </w:r>
      <w:r w:rsidRPr="0066515A">
        <w:rPr>
          <w:b/>
          <w:bCs/>
          <w:sz w:val="22"/>
          <w:szCs w:val="22"/>
        </w:rPr>
        <w:tab/>
        <w:t>Pārdozēšana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6515A">
        <w:rPr>
          <w:sz w:val="22"/>
          <w:szCs w:val="22"/>
        </w:rPr>
        <w:t>Līdz</w:t>
      </w:r>
      <w:proofErr w:type="spellEnd"/>
      <w:r w:rsidRPr="0066515A">
        <w:rPr>
          <w:sz w:val="22"/>
          <w:szCs w:val="22"/>
        </w:rPr>
        <w:t xml:space="preserve"> šim nav </w:t>
      </w:r>
      <w:proofErr w:type="spellStart"/>
      <w:r w:rsidRPr="0066515A">
        <w:rPr>
          <w:sz w:val="22"/>
          <w:szCs w:val="22"/>
        </w:rPr>
        <w:t>zināmi</w:t>
      </w:r>
      <w:proofErr w:type="spellEnd"/>
      <w:r w:rsidRPr="0066515A">
        <w:rPr>
          <w:sz w:val="22"/>
          <w:szCs w:val="22"/>
        </w:rPr>
        <w:t xml:space="preserve"> toksiski </w:t>
      </w:r>
      <w:proofErr w:type="spellStart"/>
      <w:r w:rsidRPr="0066515A">
        <w:rPr>
          <w:sz w:val="22"/>
          <w:szCs w:val="22"/>
        </w:rPr>
        <w:t>pārdozēšanas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gadījumi</w:t>
      </w:r>
      <w:proofErr w:type="spellEnd"/>
      <w:r w:rsidRPr="0066515A">
        <w:rPr>
          <w:sz w:val="22"/>
          <w:szCs w:val="22"/>
        </w:rPr>
        <w:t>.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Pārdozēšanas gadījumā iepriekš minētās nevēlamās blakusparādības var būt intensīvākas.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515A">
        <w:rPr>
          <w:sz w:val="22"/>
          <w:szCs w:val="22"/>
          <w:u w:val="single"/>
        </w:rPr>
        <w:t>Pārdozēšanas ārstēšana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Pārdozēšanas vai saindēšanas gadījumos jāveic simptomātiska terapija.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5.</w:t>
      </w:r>
      <w:r w:rsidRPr="0066515A">
        <w:rPr>
          <w:b/>
          <w:bCs/>
          <w:sz w:val="22"/>
          <w:szCs w:val="22"/>
        </w:rPr>
        <w:tab/>
        <w:t>FARMAKOLOĢISKĀS ĪPAŠĪBAS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5.1.</w:t>
      </w:r>
      <w:r w:rsidRPr="0066515A">
        <w:rPr>
          <w:b/>
          <w:bCs/>
          <w:sz w:val="22"/>
          <w:szCs w:val="22"/>
        </w:rPr>
        <w:tab/>
        <w:t>Farmakodinamiskās īpašības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sz w:val="22"/>
          <w:szCs w:val="22"/>
        </w:rPr>
        <w:t>Farmakoterapeitiskā grupa</w:t>
      </w:r>
      <w:r w:rsidRPr="0066515A">
        <w:rPr>
          <w:sz w:val="22"/>
          <w:szCs w:val="22"/>
        </w:rPr>
        <w:t xml:space="preserve">: citi kombinēti </w:t>
      </w:r>
      <w:proofErr w:type="spellStart"/>
      <w:r w:rsidRPr="0066515A">
        <w:rPr>
          <w:sz w:val="22"/>
          <w:szCs w:val="22"/>
        </w:rPr>
        <w:t>pretsaaukstēšanās</w:t>
      </w:r>
      <w:proofErr w:type="spellEnd"/>
      <w:r w:rsidRPr="0066515A">
        <w:rPr>
          <w:sz w:val="22"/>
          <w:szCs w:val="22"/>
        </w:rPr>
        <w:t xml:space="preserve"> zāļu līdzekļi.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sz w:val="22"/>
          <w:szCs w:val="22"/>
        </w:rPr>
        <w:t>ATĶ kods</w:t>
      </w:r>
      <w:r w:rsidRPr="0066515A">
        <w:rPr>
          <w:sz w:val="22"/>
          <w:szCs w:val="22"/>
        </w:rPr>
        <w:t>:</w:t>
      </w:r>
      <w:r w:rsidRPr="0066515A">
        <w:rPr>
          <w:b/>
          <w:bCs/>
          <w:sz w:val="22"/>
          <w:szCs w:val="22"/>
        </w:rPr>
        <w:t xml:space="preserve"> </w:t>
      </w:r>
      <w:r w:rsidRPr="0066515A">
        <w:rPr>
          <w:sz w:val="22"/>
          <w:szCs w:val="22"/>
        </w:rPr>
        <w:t>R05X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sekretolītiskā</w:t>
      </w:r>
      <w:proofErr w:type="spellEnd"/>
      <w:r w:rsidRPr="0066515A">
        <w:rPr>
          <w:sz w:val="22"/>
          <w:szCs w:val="22"/>
        </w:rPr>
        <w:t xml:space="preserve"> iedarbība tika novērota divos atšķirīgos dzīvnieku modeļos (žurkām, trušiem).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Pētījumos </w:t>
      </w:r>
      <w:proofErr w:type="spellStart"/>
      <w:r w:rsidRPr="0066515A">
        <w:rPr>
          <w:i/>
          <w:sz w:val="22"/>
          <w:szCs w:val="22"/>
        </w:rPr>
        <w:t>in</w:t>
      </w:r>
      <w:proofErr w:type="spellEnd"/>
      <w:r w:rsidRPr="0066515A">
        <w:rPr>
          <w:i/>
          <w:sz w:val="22"/>
          <w:szCs w:val="22"/>
        </w:rPr>
        <w:t xml:space="preserve"> </w:t>
      </w:r>
      <w:proofErr w:type="spellStart"/>
      <w:r w:rsidRPr="0066515A">
        <w:rPr>
          <w:i/>
          <w:sz w:val="22"/>
          <w:szCs w:val="22"/>
        </w:rPr>
        <w:t>vitro</w:t>
      </w:r>
      <w:proofErr w:type="spellEnd"/>
      <w:r w:rsidRPr="0066515A">
        <w:rPr>
          <w:sz w:val="22"/>
          <w:szCs w:val="22"/>
        </w:rPr>
        <w:t xml:space="preserve"> ar elpceļu epitēlija šūnām un </w:t>
      </w:r>
      <w:proofErr w:type="spellStart"/>
      <w:r w:rsidRPr="0066515A">
        <w:rPr>
          <w:i/>
          <w:sz w:val="22"/>
          <w:szCs w:val="22"/>
        </w:rPr>
        <w:t>in</w:t>
      </w:r>
      <w:proofErr w:type="spellEnd"/>
      <w:r w:rsidRPr="0066515A">
        <w:rPr>
          <w:i/>
          <w:sz w:val="22"/>
          <w:szCs w:val="22"/>
        </w:rPr>
        <w:t xml:space="preserve"> </w:t>
      </w:r>
      <w:proofErr w:type="spellStart"/>
      <w:r w:rsidRPr="0066515A">
        <w:rPr>
          <w:i/>
          <w:sz w:val="22"/>
          <w:szCs w:val="22"/>
        </w:rPr>
        <w:t>vivo</w:t>
      </w:r>
      <w:proofErr w:type="spellEnd"/>
      <w:r w:rsidRPr="0066515A">
        <w:rPr>
          <w:sz w:val="22"/>
          <w:szCs w:val="22"/>
        </w:rPr>
        <w:t xml:space="preserve"> ar pelēm tika pierādīts, ka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izraisa hlorīda jonu transporta aktivāciju. Bez tam</w:t>
      </w:r>
      <w:r w:rsidR="00260F9B">
        <w:rPr>
          <w:sz w:val="22"/>
          <w:szCs w:val="22"/>
        </w:rPr>
        <w:t>,</w:t>
      </w:r>
      <w:r w:rsidRPr="0066515A">
        <w:rPr>
          <w:sz w:val="22"/>
          <w:szCs w:val="22"/>
        </w:rPr>
        <w:t xml:space="preserve"> pastiprinājās arī skropstiņu kustības. Abas </w:t>
      </w:r>
      <w:proofErr w:type="spellStart"/>
      <w:r w:rsidRPr="0066515A">
        <w:rPr>
          <w:sz w:val="22"/>
          <w:szCs w:val="22"/>
        </w:rPr>
        <w:t>atrades</w:t>
      </w:r>
      <w:proofErr w:type="spellEnd"/>
      <w:r w:rsidRPr="0066515A">
        <w:rPr>
          <w:sz w:val="22"/>
          <w:szCs w:val="22"/>
        </w:rPr>
        <w:t xml:space="preserve"> liecina par </w:t>
      </w:r>
      <w:proofErr w:type="spellStart"/>
      <w:r w:rsidRPr="0066515A">
        <w:rPr>
          <w:sz w:val="22"/>
          <w:szCs w:val="22"/>
        </w:rPr>
        <w:t>mukociliārās</w:t>
      </w:r>
      <w:proofErr w:type="spellEnd"/>
      <w:r w:rsidRPr="0066515A">
        <w:rPr>
          <w:sz w:val="22"/>
          <w:szCs w:val="22"/>
        </w:rPr>
        <w:t xml:space="preserve"> izvadīšanas veicināšanu.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Divos akūta iekaisuma žurku modeļos (</w:t>
      </w:r>
      <w:proofErr w:type="spellStart"/>
      <w:r w:rsidRPr="0066515A">
        <w:rPr>
          <w:sz w:val="22"/>
          <w:szCs w:val="22"/>
        </w:rPr>
        <w:t>karagenāna</w:t>
      </w:r>
      <w:proofErr w:type="spellEnd"/>
      <w:r w:rsidRPr="0066515A">
        <w:rPr>
          <w:sz w:val="22"/>
          <w:szCs w:val="22"/>
        </w:rPr>
        <w:t xml:space="preserve"> izraisīta ķepas tūska un </w:t>
      </w:r>
      <w:proofErr w:type="spellStart"/>
      <w:r w:rsidRPr="0066515A">
        <w:rPr>
          <w:sz w:val="22"/>
          <w:szCs w:val="22"/>
        </w:rPr>
        <w:t>karagenāna</w:t>
      </w:r>
      <w:proofErr w:type="spellEnd"/>
      <w:r w:rsidRPr="0066515A">
        <w:rPr>
          <w:sz w:val="22"/>
          <w:szCs w:val="22"/>
        </w:rPr>
        <w:t xml:space="preserve"> izraisīts pleirīts) un </w:t>
      </w:r>
      <w:proofErr w:type="spellStart"/>
      <w:r w:rsidRPr="0066515A">
        <w:rPr>
          <w:i/>
          <w:sz w:val="22"/>
          <w:szCs w:val="22"/>
        </w:rPr>
        <w:t>in</w:t>
      </w:r>
      <w:proofErr w:type="spellEnd"/>
      <w:r w:rsidRPr="0066515A">
        <w:rPr>
          <w:i/>
          <w:sz w:val="22"/>
          <w:szCs w:val="22"/>
        </w:rPr>
        <w:t xml:space="preserve"> </w:t>
      </w:r>
      <w:proofErr w:type="spellStart"/>
      <w:r w:rsidRPr="0066515A">
        <w:rPr>
          <w:i/>
          <w:sz w:val="22"/>
          <w:szCs w:val="22"/>
        </w:rPr>
        <w:t>vitro</w:t>
      </w:r>
      <w:proofErr w:type="spellEnd"/>
      <w:r w:rsidRPr="0066515A">
        <w:rPr>
          <w:sz w:val="22"/>
          <w:szCs w:val="22"/>
        </w:rPr>
        <w:t xml:space="preserve"> eksperimentos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bija raksturīga pretiekaisuma iedarbība.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arī </w:t>
      </w:r>
      <w:proofErr w:type="spellStart"/>
      <w:r w:rsidRPr="0066515A">
        <w:rPr>
          <w:sz w:val="22"/>
          <w:szCs w:val="22"/>
        </w:rPr>
        <w:t>inhibēja</w:t>
      </w:r>
      <w:proofErr w:type="spellEnd"/>
      <w:r w:rsidRPr="0066515A">
        <w:rPr>
          <w:sz w:val="22"/>
          <w:szCs w:val="22"/>
        </w:rPr>
        <w:t xml:space="preserve"> vairāku elpceļu vīrusu, piemēram, cilvēka </w:t>
      </w:r>
      <w:proofErr w:type="spellStart"/>
      <w:r w:rsidRPr="0066515A">
        <w:rPr>
          <w:sz w:val="22"/>
          <w:szCs w:val="22"/>
        </w:rPr>
        <w:t>rinovīrusa</w:t>
      </w:r>
      <w:proofErr w:type="spellEnd"/>
      <w:r w:rsidRPr="0066515A">
        <w:rPr>
          <w:sz w:val="22"/>
          <w:szCs w:val="22"/>
        </w:rPr>
        <w:t xml:space="preserve">, </w:t>
      </w:r>
      <w:proofErr w:type="spellStart"/>
      <w:r w:rsidRPr="0066515A">
        <w:rPr>
          <w:sz w:val="22"/>
          <w:szCs w:val="22"/>
        </w:rPr>
        <w:t>adenovīrusa</w:t>
      </w:r>
      <w:proofErr w:type="spellEnd"/>
      <w:r w:rsidRPr="0066515A">
        <w:rPr>
          <w:sz w:val="22"/>
          <w:szCs w:val="22"/>
        </w:rPr>
        <w:t xml:space="preserve">, </w:t>
      </w:r>
      <w:proofErr w:type="spellStart"/>
      <w:r w:rsidRPr="0066515A">
        <w:rPr>
          <w:sz w:val="22"/>
          <w:szCs w:val="22"/>
        </w:rPr>
        <w:t>paragripas</w:t>
      </w:r>
      <w:proofErr w:type="spellEnd"/>
      <w:r w:rsidRPr="0066515A">
        <w:rPr>
          <w:sz w:val="22"/>
          <w:szCs w:val="22"/>
        </w:rPr>
        <w:t xml:space="preserve"> vīrusa, respiratori </w:t>
      </w:r>
      <w:proofErr w:type="spellStart"/>
      <w:r w:rsidRPr="0066515A">
        <w:rPr>
          <w:sz w:val="22"/>
          <w:szCs w:val="22"/>
        </w:rPr>
        <w:t>sincitiālā</w:t>
      </w:r>
      <w:proofErr w:type="spellEnd"/>
      <w:r w:rsidRPr="0066515A">
        <w:rPr>
          <w:sz w:val="22"/>
          <w:szCs w:val="22"/>
        </w:rPr>
        <w:t xml:space="preserve"> vīrusa un A gripas vīrusa, replikāciju </w:t>
      </w:r>
      <w:proofErr w:type="spellStart"/>
      <w:r w:rsidRPr="0066515A">
        <w:rPr>
          <w:i/>
          <w:iCs/>
          <w:sz w:val="22"/>
          <w:szCs w:val="22"/>
        </w:rPr>
        <w:t>in</w:t>
      </w:r>
      <w:proofErr w:type="spellEnd"/>
      <w:r w:rsidRPr="0066515A">
        <w:rPr>
          <w:i/>
          <w:iCs/>
          <w:sz w:val="22"/>
          <w:szCs w:val="22"/>
        </w:rPr>
        <w:t xml:space="preserve"> </w:t>
      </w:r>
      <w:proofErr w:type="spellStart"/>
      <w:r w:rsidRPr="0066515A">
        <w:rPr>
          <w:i/>
          <w:iCs/>
          <w:sz w:val="22"/>
          <w:szCs w:val="22"/>
        </w:rPr>
        <w:t>vitro</w:t>
      </w:r>
      <w:proofErr w:type="spellEnd"/>
      <w:r w:rsidRPr="0066515A">
        <w:rPr>
          <w:sz w:val="22"/>
          <w:szCs w:val="22"/>
        </w:rPr>
        <w:t xml:space="preserve">. </w:t>
      </w:r>
      <w:proofErr w:type="spellStart"/>
      <w:r w:rsidRPr="0066515A">
        <w:rPr>
          <w:i/>
          <w:iCs/>
          <w:sz w:val="22"/>
          <w:szCs w:val="22"/>
        </w:rPr>
        <w:t>In</w:t>
      </w:r>
      <w:proofErr w:type="spellEnd"/>
      <w:r w:rsidRPr="0066515A">
        <w:rPr>
          <w:i/>
          <w:iCs/>
          <w:sz w:val="22"/>
          <w:szCs w:val="22"/>
        </w:rPr>
        <w:t xml:space="preserve"> </w:t>
      </w:r>
      <w:proofErr w:type="spellStart"/>
      <w:r w:rsidRPr="0066515A">
        <w:rPr>
          <w:i/>
          <w:iCs/>
          <w:sz w:val="22"/>
          <w:szCs w:val="22"/>
        </w:rPr>
        <w:t>vivo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mazināja peļu mirstību pēc inficēšanās ar </w:t>
      </w:r>
      <w:proofErr w:type="spellStart"/>
      <w:r w:rsidRPr="0066515A">
        <w:rPr>
          <w:sz w:val="22"/>
          <w:szCs w:val="22"/>
        </w:rPr>
        <w:t>paragripas</w:t>
      </w:r>
      <w:proofErr w:type="spellEnd"/>
      <w:r w:rsidRPr="0066515A">
        <w:rPr>
          <w:sz w:val="22"/>
          <w:szCs w:val="22"/>
        </w:rPr>
        <w:t xml:space="preserve"> vīrusu. </w:t>
      </w:r>
      <w:proofErr w:type="spellStart"/>
      <w:r w:rsidRPr="0066515A">
        <w:rPr>
          <w:i/>
          <w:sz w:val="22"/>
          <w:szCs w:val="22"/>
        </w:rPr>
        <w:t>In</w:t>
      </w:r>
      <w:proofErr w:type="spellEnd"/>
      <w:r w:rsidRPr="0066515A">
        <w:rPr>
          <w:i/>
          <w:sz w:val="22"/>
          <w:szCs w:val="22"/>
        </w:rPr>
        <w:t xml:space="preserve"> </w:t>
      </w:r>
      <w:proofErr w:type="spellStart"/>
      <w:r w:rsidRPr="0066515A">
        <w:rPr>
          <w:i/>
          <w:sz w:val="22"/>
          <w:szCs w:val="22"/>
        </w:rPr>
        <w:t>vitro</w:t>
      </w:r>
      <w:proofErr w:type="spellEnd"/>
      <w:r w:rsidRPr="0066515A">
        <w:rPr>
          <w:sz w:val="22"/>
          <w:szCs w:val="22"/>
        </w:rPr>
        <w:t xml:space="preserve"> eksperimentos pierādīta arī antibakteriāla iedarbība pret attiecīgajiem elpceļu mikroorganismiem (piemēram, </w:t>
      </w:r>
      <w:proofErr w:type="spellStart"/>
      <w:r w:rsidRPr="0066515A">
        <w:rPr>
          <w:i/>
          <w:iCs/>
          <w:sz w:val="22"/>
          <w:szCs w:val="22"/>
        </w:rPr>
        <w:t>Staphylococcus</w:t>
      </w:r>
      <w:proofErr w:type="spellEnd"/>
      <w:r w:rsidRPr="0066515A">
        <w:rPr>
          <w:i/>
          <w:iCs/>
          <w:sz w:val="22"/>
          <w:szCs w:val="22"/>
        </w:rPr>
        <w:t xml:space="preserve"> </w:t>
      </w:r>
      <w:proofErr w:type="spellStart"/>
      <w:r w:rsidRPr="0066515A">
        <w:rPr>
          <w:i/>
          <w:iCs/>
          <w:sz w:val="22"/>
          <w:szCs w:val="22"/>
        </w:rPr>
        <w:t>aureus</w:t>
      </w:r>
      <w:proofErr w:type="spellEnd"/>
      <w:r w:rsidRPr="0066515A">
        <w:rPr>
          <w:i/>
          <w:iCs/>
          <w:sz w:val="22"/>
          <w:szCs w:val="22"/>
        </w:rPr>
        <w:t xml:space="preserve">, </w:t>
      </w:r>
      <w:proofErr w:type="spellStart"/>
      <w:r w:rsidRPr="0066515A">
        <w:rPr>
          <w:i/>
          <w:iCs/>
          <w:sz w:val="22"/>
          <w:szCs w:val="22"/>
        </w:rPr>
        <w:t>Streptococcus</w:t>
      </w:r>
      <w:proofErr w:type="spellEnd"/>
      <w:r w:rsidRPr="0066515A">
        <w:rPr>
          <w:i/>
          <w:iCs/>
          <w:sz w:val="22"/>
          <w:szCs w:val="22"/>
        </w:rPr>
        <w:t xml:space="preserve"> </w:t>
      </w:r>
      <w:proofErr w:type="spellStart"/>
      <w:r w:rsidRPr="0066515A">
        <w:rPr>
          <w:i/>
          <w:iCs/>
          <w:sz w:val="22"/>
          <w:szCs w:val="22"/>
        </w:rPr>
        <w:t>pneumoniae</w:t>
      </w:r>
      <w:proofErr w:type="spellEnd"/>
      <w:r w:rsidRPr="0066515A">
        <w:rPr>
          <w:sz w:val="22"/>
          <w:szCs w:val="22"/>
        </w:rPr>
        <w:t>).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5.2.</w:t>
      </w:r>
      <w:r w:rsidRPr="0066515A">
        <w:rPr>
          <w:b/>
          <w:bCs/>
          <w:sz w:val="22"/>
          <w:szCs w:val="22"/>
        </w:rPr>
        <w:tab/>
        <w:t>Farmakokinētiskās īpašības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Ne visas darbīgās vielas līdz šim ir identificētas, tāpēc </w:t>
      </w:r>
      <w:proofErr w:type="spellStart"/>
      <w:r w:rsidRPr="0066515A">
        <w:rPr>
          <w:sz w:val="22"/>
          <w:szCs w:val="22"/>
        </w:rPr>
        <w:t>farmakokinētiskie</w:t>
      </w:r>
      <w:proofErr w:type="spellEnd"/>
      <w:r w:rsidRPr="0066515A">
        <w:rPr>
          <w:sz w:val="22"/>
          <w:szCs w:val="22"/>
        </w:rPr>
        <w:t xml:space="preserve"> un </w:t>
      </w:r>
      <w:proofErr w:type="spellStart"/>
      <w:r w:rsidRPr="0066515A">
        <w:rPr>
          <w:sz w:val="22"/>
          <w:szCs w:val="22"/>
        </w:rPr>
        <w:t>biopieejamības</w:t>
      </w:r>
      <w:proofErr w:type="spellEnd"/>
      <w:r w:rsidRPr="0066515A">
        <w:rPr>
          <w:sz w:val="22"/>
          <w:szCs w:val="22"/>
        </w:rPr>
        <w:t xml:space="preserve"> pētījumi nav veikti.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5.3.</w:t>
      </w:r>
      <w:r w:rsidRPr="0066515A">
        <w:rPr>
          <w:b/>
          <w:bCs/>
          <w:sz w:val="22"/>
          <w:szCs w:val="22"/>
        </w:rPr>
        <w:tab/>
        <w:t>Preklīniskie dati par drošumu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515A">
        <w:rPr>
          <w:sz w:val="22"/>
          <w:szCs w:val="22"/>
          <w:u w:val="single"/>
        </w:rPr>
        <w:t>Akūta toksicitāte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akūto perorālo </w:t>
      </w:r>
      <w:proofErr w:type="spellStart"/>
      <w:r w:rsidRPr="0066515A">
        <w:rPr>
          <w:sz w:val="22"/>
          <w:szCs w:val="22"/>
        </w:rPr>
        <w:t>toksicitāti</w:t>
      </w:r>
      <w:proofErr w:type="spellEnd"/>
      <w:r w:rsidRPr="0066515A">
        <w:rPr>
          <w:sz w:val="22"/>
          <w:szCs w:val="22"/>
        </w:rPr>
        <w:t xml:space="preserve"> var raksturot kā „gandrīz netoksisks”. Pētījumi veikti par pieaugušām pelēm un žurkām pēc perorālas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pilienu</w:t>
      </w:r>
      <w:r w:rsidR="00260F9B">
        <w:rPr>
          <w:sz w:val="22"/>
          <w:szCs w:val="22"/>
        </w:rPr>
        <w:t xml:space="preserve"> iekšķīgai lietošanai</w:t>
      </w:r>
      <w:r w:rsidRPr="0066515A">
        <w:rPr>
          <w:sz w:val="22"/>
          <w:szCs w:val="22"/>
        </w:rPr>
        <w:t xml:space="preserve"> un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dabiskā sausā ekstrakta lietošanas. Lietojot līdz pat lielākajai saprātīgajai devai pelēm (15780 mg iekšķīgi lietojamo pilienu/kg ķermeņa masas) un žurkām (2000 mg sausā ekstrakta/kg ķermeņa masas), letalitāti nekonstatēja. Tāpēc LD</w:t>
      </w:r>
      <w:r w:rsidRPr="0066515A">
        <w:rPr>
          <w:sz w:val="22"/>
          <w:szCs w:val="22"/>
          <w:vertAlign w:val="subscript"/>
        </w:rPr>
        <w:t>50</w:t>
      </w:r>
      <w:r w:rsidRPr="0066515A">
        <w:rPr>
          <w:sz w:val="22"/>
          <w:szCs w:val="22"/>
        </w:rPr>
        <w:t xml:space="preserve"> nevarēja noteikt.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  <w:u w:val="single"/>
        </w:rPr>
      </w:pPr>
      <w:proofErr w:type="spellStart"/>
      <w:r w:rsidRPr="0066515A">
        <w:rPr>
          <w:sz w:val="22"/>
          <w:szCs w:val="22"/>
          <w:u w:val="single"/>
        </w:rPr>
        <w:t>Subakūta</w:t>
      </w:r>
      <w:proofErr w:type="spellEnd"/>
      <w:r w:rsidRPr="0066515A">
        <w:rPr>
          <w:sz w:val="22"/>
          <w:szCs w:val="22"/>
          <w:u w:val="single"/>
        </w:rPr>
        <w:t>/</w:t>
      </w:r>
      <w:proofErr w:type="spellStart"/>
      <w:r w:rsidRPr="0066515A">
        <w:rPr>
          <w:sz w:val="22"/>
          <w:szCs w:val="22"/>
          <w:u w:val="single"/>
        </w:rPr>
        <w:t>subhroniska</w:t>
      </w:r>
      <w:proofErr w:type="spellEnd"/>
      <w:r w:rsidRPr="0066515A">
        <w:rPr>
          <w:sz w:val="22"/>
          <w:szCs w:val="22"/>
          <w:u w:val="single"/>
        </w:rPr>
        <w:t xml:space="preserve">/hroniska </w:t>
      </w:r>
      <w:proofErr w:type="spellStart"/>
      <w:r w:rsidRPr="0066515A">
        <w:rPr>
          <w:sz w:val="22"/>
          <w:szCs w:val="22"/>
          <w:u w:val="single"/>
        </w:rPr>
        <w:t>toksicitāte</w:t>
      </w:r>
      <w:proofErr w:type="spellEnd"/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Ar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zāļu maisījuma perorālām devām līdz 1000 mg/kg ķermeņa masas, kas 20 reižu pārsniedz atbilstošo devu cilvēkam, žurkām veikti līdz 13 nedēļām ilgi atkārtotu devu pētījumi. Vismaz 200 mg/kg ķermeņa masas dienas devu uzskata par līmeni, kas neizraisa redzamu negatīvu ietekmi (NOAEL) (4 reizes pārsniedz atbilstošo devu cilvēkam). Atkārtotu devu pētījumos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ekstraktu perorāli ievadīja arī suņiem (39 nedēļas) un žurkām (26 nedēļas). Pētījumā ar suņiem līmenis, kas neizraisa redzamu negatīvu ietekmi, bija 320 mg sausā ekstrakta/kg ķermeņa masas, kas 103 reizes pārsniedz atbilstošo devu cilvēkam. Pētījumā ar žurkām NOAEL bija 320 mg sausā ekstrakta/kg ķermeņa masas. Tas atbilst 30 atbilstošajām devām cilvēkam.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  <w:u w:val="single"/>
        </w:rPr>
      </w:pPr>
      <w:r w:rsidRPr="0066515A">
        <w:rPr>
          <w:sz w:val="22"/>
          <w:szCs w:val="22"/>
          <w:u w:val="single"/>
        </w:rPr>
        <w:t>Mutagenitāte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Pārbaudot dažādas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zāļu formas (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apvalkotās</w:t>
      </w:r>
      <w:proofErr w:type="spellEnd"/>
      <w:r w:rsidRPr="0066515A">
        <w:rPr>
          <w:sz w:val="22"/>
          <w:szCs w:val="22"/>
        </w:rPr>
        <w:t xml:space="preserve"> tabletes,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pilienus iekšķīgai lietošanai,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dabisko sauso ekstraktu) </w:t>
      </w:r>
      <w:proofErr w:type="spellStart"/>
      <w:r w:rsidRPr="0066515A">
        <w:rPr>
          <w:i/>
          <w:sz w:val="22"/>
          <w:szCs w:val="22"/>
        </w:rPr>
        <w:t>in</w:t>
      </w:r>
      <w:proofErr w:type="spellEnd"/>
      <w:r w:rsidRPr="0066515A">
        <w:rPr>
          <w:i/>
          <w:sz w:val="22"/>
          <w:szCs w:val="22"/>
        </w:rPr>
        <w:t xml:space="preserve"> </w:t>
      </w:r>
      <w:proofErr w:type="spellStart"/>
      <w:r w:rsidRPr="0066515A">
        <w:rPr>
          <w:i/>
          <w:sz w:val="22"/>
          <w:szCs w:val="22"/>
        </w:rPr>
        <w:t>vitro</w:t>
      </w:r>
      <w:proofErr w:type="spellEnd"/>
      <w:r w:rsidRPr="0066515A">
        <w:rPr>
          <w:sz w:val="22"/>
          <w:szCs w:val="22"/>
        </w:rPr>
        <w:t xml:space="preserve"> </w:t>
      </w:r>
      <w:r w:rsidRPr="0066515A">
        <w:rPr>
          <w:i/>
          <w:sz w:val="22"/>
          <w:szCs w:val="22"/>
        </w:rPr>
        <w:t xml:space="preserve">Salmonella </w:t>
      </w:r>
      <w:proofErr w:type="spellStart"/>
      <w:r w:rsidRPr="0066515A">
        <w:rPr>
          <w:i/>
          <w:sz w:val="22"/>
          <w:szCs w:val="22"/>
        </w:rPr>
        <w:t>typhimurium</w:t>
      </w:r>
      <w:proofErr w:type="spellEnd"/>
      <w:r w:rsidRPr="0066515A">
        <w:rPr>
          <w:sz w:val="22"/>
          <w:szCs w:val="22"/>
        </w:rPr>
        <w:t xml:space="preserve"> reversās mutācijas testā (AMES) un peļu </w:t>
      </w:r>
      <w:proofErr w:type="spellStart"/>
      <w:r w:rsidRPr="0066515A">
        <w:rPr>
          <w:sz w:val="22"/>
          <w:szCs w:val="22"/>
        </w:rPr>
        <w:t>limfomas</w:t>
      </w:r>
      <w:proofErr w:type="spellEnd"/>
      <w:r w:rsidRPr="0066515A">
        <w:rPr>
          <w:sz w:val="22"/>
          <w:szCs w:val="22"/>
        </w:rPr>
        <w:t xml:space="preserve"> testā, kā arī </w:t>
      </w:r>
      <w:proofErr w:type="spellStart"/>
      <w:r w:rsidRPr="0066515A">
        <w:rPr>
          <w:i/>
          <w:sz w:val="22"/>
          <w:szCs w:val="22"/>
        </w:rPr>
        <w:t>in</w:t>
      </w:r>
      <w:proofErr w:type="spellEnd"/>
      <w:r w:rsidRPr="0066515A">
        <w:rPr>
          <w:i/>
          <w:sz w:val="22"/>
          <w:szCs w:val="22"/>
        </w:rPr>
        <w:t xml:space="preserve"> </w:t>
      </w:r>
      <w:proofErr w:type="spellStart"/>
      <w:r w:rsidRPr="0066515A">
        <w:rPr>
          <w:i/>
          <w:sz w:val="22"/>
          <w:szCs w:val="22"/>
        </w:rPr>
        <w:t>vivo</w:t>
      </w:r>
      <w:proofErr w:type="spellEnd"/>
      <w:r w:rsidRPr="0066515A">
        <w:rPr>
          <w:sz w:val="22"/>
          <w:szCs w:val="22"/>
        </w:rPr>
        <w:t xml:space="preserve"> pētījumu sērijā pelēm un žurkām (UDS tests, </w:t>
      </w:r>
      <w:r w:rsidR="007703B8">
        <w:rPr>
          <w:sz w:val="22"/>
          <w:szCs w:val="22"/>
        </w:rPr>
        <w:t>mikro</w:t>
      </w:r>
      <w:r w:rsidRPr="0066515A">
        <w:rPr>
          <w:sz w:val="22"/>
          <w:szCs w:val="22"/>
        </w:rPr>
        <w:t>kodoliņu tests), netika konstatēts mutagēns potenciāls.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  <w:u w:val="single"/>
        </w:rPr>
      </w:pPr>
      <w:r w:rsidRPr="0066515A">
        <w:rPr>
          <w:sz w:val="22"/>
          <w:szCs w:val="22"/>
          <w:u w:val="single"/>
        </w:rPr>
        <w:t>Reproduktīvā toksikoloģija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Pēc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pilienu iekšķīgai lietošanai vai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apvalkoto</w:t>
      </w:r>
      <w:proofErr w:type="spellEnd"/>
      <w:r w:rsidRPr="0066515A">
        <w:rPr>
          <w:sz w:val="22"/>
          <w:szCs w:val="22"/>
        </w:rPr>
        <w:t xml:space="preserve"> tablešu lietošanas vairākām sugām (žurkām un trušiem) nenovēroja ietekmi uz auglību, embrija un augļa attīstību un peri/</w:t>
      </w:r>
      <w:proofErr w:type="spellStart"/>
      <w:r w:rsidRPr="0066515A">
        <w:rPr>
          <w:sz w:val="22"/>
          <w:szCs w:val="22"/>
        </w:rPr>
        <w:t>postnatālo</w:t>
      </w:r>
      <w:proofErr w:type="spellEnd"/>
      <w:r w:rsidRPr="0066515A">
        <w:rPr>
          <w:sz w:val="22"/>
          <w:szCs w:val="22"/>
        </w:rPr>
        <w:t xml:space="preserve"> attīstību, kā arī netika novērota teratogēna iedarbība.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II segmenta reproduktīvās toksicitātes pētījumā trušiem pēc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ekstrakta lietošanas maksimālajā pārbaudītajā dienas devā – 800 mg sausā ekstrakta/kg ķermeņa masas, kas 149 reizes pārsniedza drošuma robežu, ņemot vērā ieteicamo atbilstošo devu cilvēkam, embrija un augļa attīstība netika traucēta un teratogēna iedarbība netika novērota.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rPr>
          <w:sz w:val="22"/>
          <w:szCs w:val="22"/>
          <w:u w:val="single"/>
        </w:rPr>
      </w:pPr>
      <w:r w:rsidRPr="0066515A">
        <w:rPr>
          <w:sz w:val="22"/>
          <w:szCs w:val="22"/>
          <w:u w:val="single"/>
        </w:rPr>
        <w:t>Kancerogenitāte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Kancerogenitātes pētījumi par ilgstošu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lietošanu nav veikti.</w:t>
      </w:r>
    </w:p>
    <w:p w:rsidR="001B3D10" w:rsidRDefault="001B3D10">
      <w:pPr>
        <w:tabs>
          <w:tab w:val="left" w:pos="567"/>
        </w:tabs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  <w:u w:val="single"/>
        </w:rPr>
      </w:pPr>
      <w:r w:rsidRPr="0066515A">
        <w:rPr>
          <w:sz w:val="22"/>
          <w:szCs w:val="22"/>
          <w:u w:val="single"/>
        </w:rPr>
        <w:t>Drošuma farmakoloģija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Pētījumos, kuros īpaši vērtēja dažādu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zāļu formu (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pilienu iekšķīgai lietošanai,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dabiskā sausā ekstrakta, </w:t>
      </w:r>
      <w:proofErr w:type="spellStart"/>
      <w:r w:rsidRPr="0066515A">
        <w:rPr>
          <w:i/>
          <w:sz w:val="22"/>
          <w:szCs w:val="22"/>
        </w:rPr>
        <w:t>Sinupret</w:t>
      </w:r>
      <w:proofErr w:type="spellEnd"/>
      <w:r w:rsidRPr="0066515A">
        <w:rPr>
          <w:sz w:val="22"/>
          <w:szCs w:val="22"/>
        </w:rPr>
        <w:t xml:space="preserve"> ekstrakta) lietošanas izraisīto receptoru-kanālu saistīšanās afinitāti un </w:t>
      </w:r>
      <w:proofErr w:type="spellStart"/>
      <w:r w:rsidRPr="0066515A">
        <w:rPr>
          <w:sz w:val="22"/>
          <w:szCs w:val="22"/>
        </w:rPr>
        <w:t>neirofarmakoloģisko</w:t>
      </w:r>
      <w:proofErr w:type="spellEnd"/>
      <w:r w:rsidRPr="0066515A">
        <w:rPr>
          <w:sz w:val="22"/>
          <w:szCs w:val="22"/>
        </w:rPr>
        <w:t xml:space="preserve">, </w:t>
      </w:r>
      <w:proofErr w:type="spellStart"/>
      <w:r w:rsidRPr="0066515A">
        <w:rPr>
          <w:sz w:val="22"/>
          <w:szCs w:val="22"/>
        </w:rPr>
        <w:t>kardiovaskulāro</w:t>
      </w:r>
      <w:proofErr w:type="spellEnd"/>
      <w:r w:rsidRPr="0066515A">
        <w:rPr>
          <w:sz w:val="22"/>
          <w:szCs w:val="22"/>
        </w:rPr>
        <w:t xml:space="preserve"> un </w:t>
      </w:r>
      <w:proofErr w:type="spellStart"/>
      <w:r w:rsidRPr="0066515A">
        <w:rPr>
          <w:sz w:val="22"/>
          <w:szCs w:val="22"/>
        </w:rPr>
        <w:t>respiratoro</w:t>
      </w:r>
      <w:proofErr w:type="spellEnd"/>
      <w:r w:rsidRPr="0066515A">
        <w:rPr>
          <w:sz w:val="22"/>
          <w:szCs w:val="22"/>
        </w:rPr>
        <w:t xml:space="preserve"> drošumu, nekonstatēja ar drošumu saistītas atrades.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6.</w:t>
      </w:r>
      <w:r w:rsidRPr="0066515A">
        <w:rPr>
          <w:b/>
          <w:bCs/>
          <w:sz w:val="22"/>
          <w:szCs w:val="22"/>
        </w:rPr>
        <w:tab/>
        <w:t>FARMACEITISKĀ INFORMĀCIJA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6.1.</w:t>
      </w:r>
      <w:r w:rsidRPr="0066515A">
        <w:rPr>
          <w:b/>
          <w:bCs/>
          <w:sz w:val="22"/>
          <w:szCs w:val="22"/>
        </w:rPr>
        <w:tab/>
        <w:t>Palīgvielu saraksts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Kalcija karbonāts (E170)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Hlorofilu vara kompleksi (E141)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Rīcineļļa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Koloidāls bezūdens silīcija dioksīds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Bāzisks </w:t>
      </w:r>
      <w:proofErr w:type="spellStart"/>
      <w:r w:rsidRPr="0066515A">
        <w:rPr>
          <w:sz w:val="22"/>
          <w:szCs w:val="22"/>
        </w:rPr>
        <w:t>butilēts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metakrilāta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kopolimērs</w:t>
      </w:r>
      <w:proofErr w:type="spellEnd"/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Želatīns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Glikozes sīrups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Indigo</w:t>
      </w:r>
      <w:r w:rsidR="00E37873">
        <w:rPr>
          <w:sz w:val="22"/>
          <w:szCs w:val="22"/>
        </w:rPr>
        <w:t xml:space="preserve"> </w:t>
      </w:r>
      <w:r w:rsidRPr="0066515A">
        <w:rPr>
          <w:sz w:val="22"/>
          <w:szCs w:val="22"/>
        </w:rPr>
        <w:t>karmīna (E132) alumīnija sāls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Riboflavīns (E101)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Laktozes monohidrāts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Vieglais magnija oksīds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66515A">
        <w:rPr>
          <w:sz w:val="22"/>
          <w:szCs w:val="22"/>
        </w:rPr>
        <w:t>Kukurūzas</w:t>
      </w:r>
      <w:proofErr w:type="spellEnd"/>
      <w:r w:rsidRPr="0066515A">
        <w:rPr>
          <w:sz w:val="22"/>
          <w:szCs w:val="22"/>
        </w:rPr>
        <w:t xml:space="preserve"> ciete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66515A">
        <w:rPr>
          <w:sz w:val="22"/>
          <w:szCs w:val="22"/>
        </w:rPr>
        <w:t>Dekstrīns</w:t>
      </w:r>
      <w:proofErr w:type="spellEnd"/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Kalnu vasks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66515A">
        <w:rPr>
          <w:sz w:val="22"/>
          <w:szCs w:val="22"/>
        </w:rPr>
        <w:t>Kartupeļu</w:t>
      </w:r>
      <w:proofErr w:type="spellEnd"/>
      <w:r w:rsidRPr="0066515A">
        <w:rPr>
          <w:sz w:val="22"/>
          <w:szCs w:val="22"/>
        </w:rPr>
        <w:t xml:space="preserve"> ciete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Šellaka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66515A">
        <w:rPr>
          <w:sz w:val="22"/>
          <w:szCs w:val="22"/>
        </w:rPr>
        <w:t>Sorbīts</w:t>
      </w:r>
      <w:proofErr w:type="spellEnd"/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66515A">
        <w:rPr>
          <w:sz w:val="22"/>
          <w:szCs w:val="22"/>
        </w:rPr>
        <w:t>Stearīnpalmitīnskābe</w:t>
      </w:r>
      <w:proofErr w:type="spellEnd"/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Saharoze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Talks</w:t>
      </w:r>
    </w:p>
    <w:p w:rsidR="001B3D10" w:rsidRDefault="0066515A">
      <w:pPr>
        <w:tabs>
          <w:tab w:val="left" w:pos="567"/>
        </w:tabs>
        <w:jc w:val="both"/>
        <w:rPr>
          <w:rStyle w:val="tw4winMark"/>
          <w:rFonts w:ascii="Times New Roman" w:hAnsi="Times New Roman"/>
          <w:vanish w:val="0"/>
          <w:color w:val="auto"/>
          <w:sz w:val="22"/>
          <w:szCs w:val="22"/>
          <w:vertAlign w:val="baseline"/>
        </w:rPr>
      </w:pPr>
      <w:proofErr w:type="spellStart"/>
      <w:r w:rsidRPr="0066515A">
        <w:rPr>
          <w:sz w:val="22"/>
          <w:szCs w:val="22"/>
        </w:rPr>
        <w:t>Titāna</w:t>
      </w:r>
      <w:proofErr w:type="spellEnd"/>
      <w:r w:rsidRPr="0066515A">
        <w:rPr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dioksīds</w:t>
      </w:r>
      <w:proofErr w:type="spellEnd"/>
      <w:r w:rsidRPr="0066515A">
        <w:rPr>
          <w:sz w:val="22"/>
          <w:szCs w:val="22"/>
        </w:rPr>
        <w:t xml:space="preserve"> (E171)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6.2.</w:t>
      </w:r>
      <w:r w:rsidRPr="0066515A">
        <w:rPr>
          <w:b/>
          <w:bCs/>
          <w:sz w:val="22"/>
          <w:szCs w:val="22"/>
        </w:rPr>
        <w:tab/>
        <w:t>Nesaderība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Nav piemērojama.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6.3.</w:t>
      </w:r>
      <w:r w:rsidRPr="0066515A">
        <w:rPr>
          <w:b/>
          <w:bCs/>
          <w:sz w:val="22"/>
          <w:szCs w:val="22"/>
        </w:rPr>
        <w:tab/>
        <w:t>Uzglabāšanas laiks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3 gadi.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6.4.</w:t>
      </w:r>
      <w:r w:rsidRPr="0066515A">
        <w:rPr>
          <w:b/>
          <w:bCs/>
          <w:sz w:val="22"/>
          <w:szCs w:val="22"/>
        </w:rPr>
        <w:tab/>
        <w:t>Īpaši uzglabāšanas nosacījumi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>Šīm zālēm nav nepieciešami īpaši uzglabāšanas apstākļi.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6.5.</w:t>
      </w:r>
      <w:r w:rsidRPr="0066515A">
        <w:rPr>
          <w:b/>
          <w:bCs/>
          <w:sz w:val="22"/>
          <w:szCs w:val="22"/>
        </w:rPr>
        <w:tab/>
        <w:t>Iepakojuma veids un saturs</w:t>
      </w:r>
    </w:p>
    <w:p w:rsidR="001B3D10" w:rsidRDefault="001B3D10">
      <w:pPr>
        <w:widowControl w:val="0"/>
        <w:tabs>
          <w:tab w:val="left" w:pos="567"/>
          <w:tab w:val="left" w:pos="96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  <w:tab w:val="left" w:pos="960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6515A">
        <w:rPr>
          <w:i/>
          <w:iCs/>
          <w:sz w:val="22"/>
          <w:szCs w:val="22"/>
        </w:rPr>
        <w:t>Sinupret</w:t>
      </w:r>
      <w:proofErr w:type="spellEnd"/>
      <w:r w:rsidRPr="0066515A">
        <w:rPr>
          <w:i/>
          <w:iCs/>
          <w:sz w:val="22"/>
          <w:szCs w:val="22"/>
        </w:rPr>
        <w:t xml:space="preserve"> </w:t>
      </w:r>
      <w:proofErr w:type="spellStart"/>
      <w:r w:rsidRPr="0066515A">
        <w:rPr>
          <w:sz w:val="22"/>
          <w:szCs w:val="22"/>
        </w:rPr>
        <w:t>apvalkotās</w:t>
      </w:r>
      <w:proofErr w:type="spellEnd"/>
      <w:r w:rsidRPr="0066515A">
        <w:rPr>
          <w:sz w:val="22"/>
          <w:szCs w:val="22"/>
        </w:rPr>
        <w:t xml:space="preserve"> tabletes ir iepakotas PVH/PVDH/Al folijas blisteros pa 20 vai 25 apvalkotajām tabletēm katrā.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Ir pieejami iepakojumi ar 50 un 100 apvalkotajām tabletēm.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Visi iepakojuma lielumi tirgū var nebūt pieejami.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tabs>
          <w:tab w:val="left" w:pos="567"/>
        </w:tabs>
        <w:rPr>
          <w:b/>
          <w:sz w:val="22"/>
          <w:szCs w:val="22"/>
        </w:rPr>
      </w:pPr>
      <w:r w:rsidRPr="0066515A">
        <w:rPr>
          <w:b/>
          <w:sz w:val="22"/>
          <w:szCs w:val="22"/>
        </w:rPr>
        <w:t>6.6.</w:t>
      </w:r>
      <w:r w:rsidRPr="0066515A">
        <w:rPr>
          <w:b/>
          <w:sz w:val="22"/>
          <w:szCs w:val="22"/>
        </w:rPr>
        <w:tab/>
        <w:t>Īpaši norādījumi atkritumu likvidēšanai</w:t>
      </w:r>
    </w:p>
    <w:p w:rsidR="001B3D10" w:rsidRDefault="001B3D10">
      <w:pPr>
        <w:tabs>
          <w:tab w:val="left" w:pos="567"/>
        </w:tabs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Nav īpašu prasību.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7.</w:t>
      </w:r>
      <w:r w:rsidRPr="0066515A">
        <w:rPr>
          <w:b/>
          <w:bCs/>
          <w:sz w:val="22"/>
          <w:szCs w:val="22"/>
        </w:rPr>
        <w:tab/>
        <w:t>REĢISTRĀCIJAS APLIECĪBAS ĪPAŠNIEKS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BIONORICA SE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66515A">
        <w:rPr>
          <w:sz w:val="22"/>
          <w:szCs w:val="22"/>
        </w:rPr>
        <w:t>Kerschensteinerstrasse</w:t>
      </w:r>
      <w:proofErr w:type="spellEnd"/>
      <w:r w:rsidRPr="0066515A">
        <w:rPr>
          <w:sz w:val="22"/>
          <w:szCs w:val="22"/>
        </w:rPr>
        <w:t xml:space="preserve"> 11-15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D-92318 </w:t>
      </w:r>
      <w:proofErr w:type="spellStart"/>
      <w:r w:rsidRPr="0066515A">
        <w:rPr>
          <w:sz w:val="22"/>
          <w:szCs w:val="22"/>
        </w:rPr>
        <w:t>Neumarkt</w:t>
      </w:r>
      <w:proofErr w:type="spellEnd"/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Vācija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tālr.: +49-9181-23190 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fakss: +49-9181-231265</w:t>
      </w:r>
    </w:p>
    <w:p w:rsidR="001B3D10" w:rsidRDefault="0066515A">
      <w:pPr>
        <w:tabs>
          <w:tab w:val="left" w:pos="567"/>
        </w:tabs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E-pasts: </w:t>
      </w:r>
      <w:hyperlink r:id="rId9" w:history="1">
        <w:r>
          <w:rPr>
            <w:rStyle w:val="Hyperlink"/>
            <w:sz w:val="22"/>
            <w:szCs w:val="22"/>
          </w:rPr>
          <w:t>info@bionorica.de</w:t>
        </w:r>
      </w:hyperlink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8.</w:t>
      </w:r>
      <w:r w:rsidRPr="0066515A">
        <w:rPr>
          <w:b/>
          <w:bCs/>
          <w:sz w:val="22"/>
          <w:szCs w:val="22"/>
        </w:rPr>
        <w:tab/>
        <w:t>REĢISTRĀCIJAS APLIECĪBAS NUMURS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94-0106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b/>
          <w:bCs/>
          <w:sz w:val="22"/>
          <w:szCs w:val="22"/>
        </w:rPr>
        <w:t>9.</w:t>
      </w:r>
      <w:r w:rsidRPr="0066515A">
        <w:rPr>
          <w:b/>
          <w:bCs/>
          <w:sz w:val="22"/>
          <w:szCs w:val="22"/>
        </w:rPr>
        <w:tab/>
        <w:t>PIRMĀS REĢISTRĀCIJAS/PĀRREĢISTRĀCIJAS DATUMS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Reģistrācijas datums: 199</w:t>
      </w:r>
      <w:r w:rsidR="00E37873">
        <w:rPr>
          <w:sz w:val="22"/>
          <w:szCs w:val="22"/>
        </w:rPr>
        <w:t>4</w:t>
      </w:r>
      <w:r w:rsidRPr="0066515A">
        <w:rPr>
          <w:sz w:val="22"/>
          <w:szCs w:val="22"/>
        </w:rPr>
        <w:t xml:space="preserve">. gada </w:t>
      </w:r>
      <w:r w:rsidR="00E37873">
        <w:rPr>
          <w:sz w:val="22"/>
          <w:szCs w:val="22"/>
        </w:rPr>
        <w:t>2</w:t>
      </w:r>
      <w:r w:rsidRPr="0066515A">
        <w:rPr>
          <w:sz w:val="22"/>
          <w:szCs w:val="22"/>
        </w:rPr>
        <w:t xml:space="preserve">. </w:t>
      </w:r>
      <w:r w:rsidR="00E37873">
        <w:rPr>
          <w:sz w:val="22"/>
          <w:szCs w:val="22"/>
        </w:rPr>
        <w:t>jūnijs</w:t>
      </w:r>
      <w:r w:rsidRPr="0066515A">
        <w:rPr>
          <w:sz w:val="22"/>
          <w:szCs w:val="22"/>
        </w:rPr>
        <w:t>.</w:t>
      </w: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>Pēdējās pārreģistrācijas datums: 2010. gada 1. oktobris.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6515A">
        <w:rPr>
          <w:b/>
          <w:bCs/>
          <w:sz w:val="22"/>
          <w:szCs w:val="22"/>
        </w:rPr>
        <w:t>10.</w:t>
      </w:r>
      <w:r w:rsidRPr="0066515A">
        <w:rPr>
          <w:b/>
          <w:bCs/>
          <w:sz w:val="22"/>
          <w:szCs w:val="22"/>
        </w:rPr>
        <w:tab/>
        <w:t>TEKSTA PĀRSKATĪŠANAS DATUMS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6515A">
        <w:rPr>
          <w:b/>
          <w:bCs/>
          <w:sz w:val="22"/>
          <w:szCs w:val="22"/>
        </w:rPr>
        <w:t>0</w:t>
      </w:r>
      <w:r w:rsidR="00D63410">
        <w:rPr>
          <w:b/>
          <w:bCs/>
          <w:sz w:val="22"/>
          <w:szCs w:val="22"/>
        </w:rPr>
        <w:t>8</w:t>
      </w:r>
      <w:r w:rsidRPr="0066515A">
        <w:rPr>
          <w:b/>
          <w:bCs/>
          <w:sz w:val="22"/>
          <w:szCs w:val="22"/>
        </w:rPr>
        <w:t>/2017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66515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6515A">
        <w:rPr>
          <w:sz w:val="22"/>
          <w:szCs w:val="22"/>
        </w:rPr>
        <w:t xml:space="preserve">Sīkāka informācija par šīm zālēm ir pieejama Latvijas Republikas Zāļu valsts aģentūras tīmekļa vietnē </w:t>
      </w:r>
      <w:hyperlink r:id="rId10" w:history="1">
        <w:r>
          <w:rPr>
            <w:rStyle w:val="Hyperlink"/>
            <w:sz w:val="22"/>
            <w:szCs w:val="22"/>
          </w:rPr>
          <w:t>http://www.zva.gov.lv</w:t>
        </w:r>
      </w:hyperlink>
      <w:r w:rsidRPr="0066515A">
        <w:rPr>
          <w:sz w:val="22"/>
          <w:szCs w:val="22"/>
        </w:rPr>
        <w:t xml:space="preserve"> </w:t>
      </w:r>
    </w:p>
    <w:p w:rsidR="001B3D10" w:rsidRDefault="001B3D1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3D10" w:rsidRDefault="001B3D10">
      <w:pPr>
        <w:tabs>
          <w:tab w:val="left" w:pos="567"/>
        </w:tabs>
        <w:jc w:val="both"/>
        <w:rPr>
          <w:sz w:val="22"/>
          <w:szCs w:val="22"/>
        </w:rPr>
      </w:pPr>
    </w:p>
    <w:sectPr w:rsidR="001B3D10" w:rsidSect="00993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/>
      <w:pgMar w:top="1134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6A" w:rsidRDefault="00D6426A" w:rsidP="00D53E8F">
      <w:r>
        <w:separator/>
      </w:r>
    </w:p>
  </w:endnote>
  <w:endnote w:type="continuationSeparator" w:id="0">
    <w:p w:rsidR="00D6426A" w:rsidRDefault="00D6426A" w:rsidP="00D5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0" w:rsidRDefault="00BD4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0" w:rsidRDefault="00BD4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0" w:rsidRDefault="00B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6A" w:rsidRDefault="00D6426A" w:rsidP="00D53E8F">
      <w:r>
        <w:separator/>
      </w:r>
    </w:p>
  </w:footnote>
  <w:footnote w:type="continuationSeparator" w:id="0">
    <w:p w:rsidR="00D6426A" w:rsidRDefault="00D6426A" w:rsidP="00D5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0" w:rsidRDefault="00BD4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E7" w:rsidRPr="00B17A4D" w:rsidRDefault="00BD4A50" w:rsidP="00B17A4D">
    <w:pPr>
      <w:widowControl w:val="0"/>
      <w:autoSpaceDE w:val="0"/>
      <w:autoSpaceDN w:val="0"/>
      <w:adjustRightInd w:val="0"/>
      <w:spacing w:line="200" w:lineRule="exact"/>
      <w:jc w:val="right"/>
    </w:pPr>
    <w:r>
      <w:t xml:space="preserve">SASKAŅOTS ZVA </w:t>
    </w:r>
    <w:r>
      <w:t>24-08-2017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50" w:rsidRDefault="00BD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285B6C92"/>
    <w:multiLevelType w:val="hybridMultilevel"/>
    <w:tmpl w:val="B560B2AE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4960"/>
    <w:multiLevelType w:val="hybridMultilevel"/>
    <w:tmpl w:val="347AA8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77FBC"/>
    <w:multiLevelType w:val="hybridMultilevel"/>
    <w:tmpl w:val="2222B886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52CFC"/>
    <w:multiLevelType w:val="hybridMultilevel"/>
    <w:tmpl w:val="DD3CEACA"/>
    <w:lvl w:ilvl="0" w:tplc="B478E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B478E9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16C9B"/>
    <w:multiLevelType w:val="hybridMultilevel"/>
    <w:tmpl w:val="A92EDF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42116"/>
    <w:rsid w:val="0000667F"/>
    <w:rsid w:val="0001713D"/>
    <w:rsid w:val="00017E3F"/>
    <w:rsid w:val="00025110"/>
    <w:rsid w:val="00037217"/>
    <w:rsid w:val="0004290F"/>
    <w:rsid w:val="00064797"/>
    <w:rsid w:val="00066457"/>
    <w:rsid w:val="00067199"/>
    <w:rsid w:val="0007041A"/>
    <w:rsid w:val="0007437E"/>
    <w:rsid w:val="00076B11"/>
    <w:rsid w:val="0008126A"/>
    <w:rsid w:val="0009217E"/>
    <w:rsid w:val="000A0DC1"/>
    <w:rsid w:val="000C3BF6"/>
    <w:rsid w:val="000C7154"/>
    <w:rsid w:val="000D0B49"/>
    <w:rsid w:val="000E25D0"/>
    <w:rsid w:val="000F1EE7"/>
    <w:rsid w:val="000F65BC"/>
    <w:rsid w:val="00105553"/>
    <w:rsid w:val="00120131"/>
    <w:rsid w:val="0012169F"/>
    <w:rsid w:val="00123993"/>
    <w:rsid w:val="0012723F"/>
    <w:rsid w:val="00130F91"/>
    <w:rsid w:val="0014668F"/>
    <w:rsid w:val="00181C7C"/>
    <w:rsid w:val="001A16A2"/>
    <w:rsid w:val="001B3D10"/>
    <w:rsid w:val="001B4298"/>
    <w:rsid w:val="001C22D2"/>
    <w:rsid w:val="001C2800"/>
    <w:rsid w:val="001C30C3"/>
    <w:rsid w:val="001D2996"/>
    <w:rsid w:val="001E648E"/>
    <w:rsid w:val="001F143A"/>
    <w:rsid w:val="00201ADE"/>
    <w:rsid w:val="00214C6A"/>
    <w:rsid w:val="00216181"/>
    <w:rsid w:val="002349F8"/>
    <w:rsid w:val="00240419"/>
    <w:rsid w:val="0024041C"/>
    <w:rsid w:val="00260F9B"/>
    <w:rsid w:val="002626BA"/>
    <w:rsid w:val="00262921"/>
    <w:rsid w:val="00264C50"/>
    <w:rsid w:val="00265EAC"/>
    <w:rsid w:val="00297B6A"/>
    <w:rsid w:val="002D286D"/>
    <w:rsid w:val="0032633E"/>
    <w:rsid w:val="003270B8"/>
    <w:rsid w:val="0034051A"/>
    <w:rsid w:val="00347634"/>
    <w:rsid w:val="00350F2B"/>
    <w:rsid w:val="00354321"/>
    <w:rsid w:val="0037162F"/>
    <w:rsid w:val="0038168F"/>
    <w:rsid w:val="00382CC5"/>
    <w:rsid w:val="00383EF1"/>
    <w:rsid w:val="00391E14"/>
    <w:rsid w:val="0039360D"/>
    <w:rsid w:val="003B5C5B"/>
    <w:rsid w:val="003C708D"/>
    <w:rsid w:val="003D6B16"/>
    <w:rsid w:val="003F3B74"/>
    <w:rsid w:val="003F4782"/>
    <w:rsid w:val="003F4E6D"/>
    <w:rsid w:val="00413841"/>
    <w:rsid w:val="00416843"/>
    <w:rsid w:val="004172A4"/>
    <w:rsid w:val="004305E6"/>
    <w:rsid w:val="00432B79"/>
    <w:rsid w:val="00436770"/>
    <w:rsid w:val="00457BC1"/>
    <w:rsid w:val="00457FE2"/>
    <w:rsid w:val="00462FDB"/>
    <w:rsid w:val="00467719"/>
    <w:rsid w:val="004709A1"/>
    <w:rsid w:val="00471199"/>
    <w:rsid w:val="004725D6"/>
    <w:rsid w:val="00473B18"/>
    <w:rsid w:val="0047777C"/>
    <w:rsid w:val="004A46C2"/>
    <w:rsid w:val="004B4CF3"/>
    <w:rsid w:val="004B5CEA"/>
    <w:rsid w:val="004B69EE"/>
    <w:rsid w:val="004D7A30"/>
    <w:rsid w:val="004E648C"/>
    <w:rsid w:val="004F0DD4"/>
    <w:rsid w:val="00505580"/>
    <w:rsid w:val="00510B28"/>
    <w:rsid w:val="00511279"/>
    <w:rsid w:val="00522B39"/>
    <w:rsid w:val="00547856"/>
    <w:rsid w:val="00551D4B"/>
    <w:rsid w:val="00557628"/>
    <w:rsid w:val="0056154D"/>
    <w:rsid w:val="00562BE0"/>
    <w:rsid w:val="00581110"/>
    <w:rsid w:val="005851A5"/>
    <w:rsid w:val="00586F55"/>
    <w:rsid w:val="00596421"/>
    <w:rsid w:val="005A1B4B"/>
    <w:rsid w:val="005A62A6"/>
    <w:rsid w:val="005B443E"/>
    <w:rsid w:val="005C00F6"/>
    <w:rsid w:val="005C22F0"/>
    <w:rsid w:val="005C743D"/>
    <w:rsid w:val="005D34E0"/>
    <w:rsid w:val="005E0815"/>
    <w:rsid w:val="005F06FE"/>
    <w:rsid w:val="005F6692"/>
    <w:rsid w:val="005F6A0E"/>
    <w:rsid w:val="00604EE5"/>
    <w:rsid w:val="00605C6A"/>
    <w:rsid w:val="00623F05"/>
    <w:rsid w:val="00634665"/>
    <w:rsid w:val="0066070D"/>
    <w:rsid w:val="00664AB3"/>
    <w:rsid w:val="0066515A"/>
    <w:rsid w:val="00685C6F"/>
    <w:rsid w:val="00691B76"/>
    <w:rsid w:val="006A2045"/>
    <w:rsid w:val="006A3498"/>
    <w:rsid w:val="006A50AE"/>
    <w:rsid w:val="006B3A12"/>
    <w:rsid w:val="006B6A3C"/>
    <w:rsid w:val="006C2A0F"/>
    <w:rsid w:val="006C4B80"/>
    <w:rsid w:val="006D6130"/>
    <w:rsid w:val="006E12B4"/>
    <w:rsid w:val="006E587B"/>
    <w:rsid w:val="006F2AF3"/>
    <w:rsid w:val="007231B5"/>
    <w:rsid w:val="007241A8"/>
    <w:rsid w:val="007371F9"/>
    <w:rsid w:val="00754147"/>
    <w:rsid w:val="00754D7F"/>
    <w:rsid w:val="00766665"/>
    <w:rsid w:val="00767AA6"/>
    <w:rsid w:val="007703B8"/>
    <w:rsid w:val="00770684"/>
    <w:rsid w:val="00770D8A"/>
    <w:rsid w:val="0077528F"/>
    <w:rsid w:val="007871EA"/>
    <w:rsid w:val="00792065"/>
    <w:rsid w:val="00795D6F"/>
    <w:rsid w:val="007971DB"/>
    <w:rsid w:val="007A5B95"/>
    <w:rsid w:val="007B348F"/>
    <w:rsid w:val="007C217D"/>
    <w:rsid w:val="007D04E2"/>
    <w:rsid w:val="007D6B96"/>
    <w:rsid w:val="007E3390"/>
    <w:rsid w:val="007E6707"/>
    <w:rsid w:val="007F4C39"/>
    <w:rsid w:val="008106D2"/>
    <w:rsid w:val="00823FAF"/>
    <w:rsid w:val="008241C1"/>
    <w:rsid w:val="008322EB"/>
    <w:rsid w:val="008505EF"/>
    <w:rsid w:val="00873E46"/>
    <w:rsid w:val="008B17CC"/>
    <w:rsid w:val="008D0037"/>
    <w:rsid w:val="008D1193"/>
    <w:rsid w:val="008D2B52"/>
    <w:rsid w:val="008D31FB"/>
    <w:rsid w:val="008D354F"/>
    <w:rsid w:val="008E3AA8"/>
    <w:rsid w:val="008E6B90"/>
    <w:rsid w:val="008F2B65"/>
    <w:rsid w:val="00901E4D"/>
    <w:rsid w:val="009130CE"/>
    <w:rsid w:val="00913A43"/>
    <w:rsid w:val="00914B8D"/>
    <w:rsid w:val="00922810"/>
    <w:rsid w:val="00925FF0"/>
    <w:rsid w:val="009265F1"/>
    <w:rsid w:val="00937326"/>
    <w:rsid w:val="00941C05"/>
    <w:rsid w:val="009449B5"/>
    <w:rsid w:val="00945F8C"/>
    <w:rsid w:val="00947C88"/>
    <w:rsid w:val="0096735A"/>
    <w:rsid w:val="009713B0"/>
    <w:rsid w:val="0099042E"/>
    <w:rsid w:val="009932EE"/>
    <w:rsid w:val="00993666"/>
    <w:rsid w:val="0099378E"/>
    <w:rsid w:val="00997432"/>
    <w:rsid w:val="009A5E5D"/>
    <w:rsid w:val="009D7592"/>
    <w:rsid w:val="009E3B82"/>
    <w:rsid w:val="009F25AF"/>
    <w:rsid w:val="00A10828"/>
    <w:rsid w:val="00A14542"/>
    <w:rsid w:val="00A31C91"/>
    <w:rsid w:val="00A324E2"/>
    <w:rsid w:val="00A41788"/>
    <w:rsid w:val="00A42432"/>
    <w:rsid w:val="00A42AA8"/>
    <w:rsid w:val="00A432DE"/>
    <w:rsid w:val="00A534AA"/>
    <w:rsid w:val="00A56CA2"/>
    <w:rsid w:val="00A57810"/>
    <w:rsid w:val="00A643A5"/>
    <w:rsid w:val="00A96862"/>
    <w:rsid w:val="00A97B93"/>
    <w:rsid w:val="00AD3793"/>
    <w:rsid w:val="00AE3182"/>
    <w:rsid w:val="00B00168"/>
    <w:rsid w:val="00B0094A"/>
    <w:rsid w:val="00B17A4D"/>
    <w:rsid w:val="00B22F1C"/>
    <w:rsid w:val="00B27091"/>
    <w:rsid w:val="00B430F4"/>
    <w:rsid w:val="00B513A8"/>
    <w:rsid w:val="00B52CC5"/>
    <w:rsid w:val="00B64F71"/>
    <w:rsid w:val="00BA6152"/>
    <w:rsid w:val="00BA7CA8"/>
    <w:rsid w:val="00BB53D0"/>
    <w:rsid w:val="00BB5A20"/>
    <w:rsid w:val="00BC03B6"/>
    <w:rsid w:val="00BD196E"/>
    <w:rsid w:val="00BD436E"/>
    <w:rsid w:val="00BD4A50"/>
    <w:rsid w:val="00BE0B4F"/>
    <w:rsid w:val="00BE0EE8"/>
    <w:rsid w:val="00C01F8D"/>
    <w:rsid w:val="00C14638"/>
    <w:rsid w:val="00C146F8"/>
    <w:rsid w:val="00C44D66"/>
    <w:rsid w:val="00C63B30"/>
    <w:rsid w:val="00C726DF"/>
    <w:rsid w:val="00C736FD"/>
    <w:rsid w:val="00C74006"/>
    <w:rsid w:val="00C80475"/>
    <w:rsid w:val="00C814AF"/>
    <w:rsid w:val="00C81A9A"/>
    <w:rsid w:val="00C8256B"/>
    <w:rsid w:val="00C8714B"/>
    <w:rsid w:val="00CB2CC0"/>
    <w:rsid w:val="00CD1116"/>
    <w:rsid w:val="00CF1E43"/>
    <w:rsid w:val="00D11738"/>
    <w:rsid w:val="00D252D8"/>
    <w:rsid w:val="00D25993"/>
    <w:rsid w:val="00D443C2"/>
    <w:rsid w:val="00D53E8F"/>
    <w:rsid w:val="00D55677"/>
    <w:rsid w:val="00D60123"/>
    <w:rsid w:val="00D608A4"/>
    <w:rsid w:val="00D63410"/>
    <w:rsid w:val="00D6426A"/>
    <w:rsid w:val="00D912F0"/>
    <w:rsid w:val="00D93E24"/>
    <w:rsid w:val="00DB0F01"/>
    <w:rsid w:val="00DB5E11"/>
    <w:rsid w:val="00DC1967"/>
    <w:rsid w:val="00DD0D59"/>
    <w:rsid w:val="00DF4BD4"/>
    <w:rsid w:val="00E0037C"/>
    <w:rsid w:val="00E017EF"/>
    <w:rsid w:val="00E267E2"/>
    <w:rsid w:val="00E33203"/>
    <w:rsid w:val="00E333D6"/>
    <w:rsid w:val="00E37873"/>
    <w:rsid w:val="00E43854"/>
    <w:rsid w:val="00E46D07"/>
    <w:rsid w:val="00E56A6A"/>
    <w:rsid w:val="00E57984"/>
    <w:rsid w:val="00E71FC3"/>
    <w:rsid w:val="00E87AFF"/>
    <w:rsid w:val="00E93E37"/>
    <w:rsid w:val="00E95A70"/>
    <w:rsid w:val="00EA2F6B"/>
    <w:rsid w:val="00EA55D1"/>
    <w:rsid w:val="00EA68A2"/>
    <w:rsid w:val="00EB60B8"/>
    <w:rsid w:val="00EC38F5"/>
    <w:rsid w:val="00EE5317"/>
    <w:rsid w:val="00EE6878"/>
    <w:rsid w:val="00EF17D3"/>
    <w:rsid w:val="00F100D3"/>
    <w:rsid w:val="00F20F47"/>
    <w:rsid w:val="00F2341F"/>
    <w:rsid w:val="00F33577"/>
    <w:rsid w:val="00F42116"/>
    <w:rsid w:val="00F51737"/>
    <w:rsid w:val="00F51900"/>
    <w:rsid w:val="00F51D31"/>
    <w:rsid w:val="00F635C3"/>
    <w:rsid w:val="00F66A22"/>
    <w:rsid w:val="00F740AF"/>
    <w:rsid w:val="00F750D9"/>
    <w:rsid w:val="00F82697"/>
    <w:rsid w:val="00F851F0"/>
    <w:rsid w:val="00F90E3F"/>
    <w:rsid w:val="00FA3C9C"/>
    <w:rsid w:val="00FA739D"/>
    <w:rsid w:val="00FB1EAF"/>
    <w:rsid w:val="00FB5A7A"/>
    <w:rsid w:val="00FC3B41"/>
    <w:rsid w:val="00FD02EC"/>
    <w:rsid w:val="00FE29D9"/>
    <w:rsid w:val="00FF6729"/>
    <w:rsid w:val="00FF6A6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4B9F4A"/>
  <w15:docId w15:val="{7E9E098B-9C19-457F-8B25-3920346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1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116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30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2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2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419"/>
    <w:rPr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F42116"/>
    <w:rPr>
      <w:i/>
      <w:snapToGrid w:val="0"/>
      <w:sz w:val="24"/>
      <w:lang w:val="lv-LV" w:eastAsia="lv-LV"/>
    </w:rPr>
  </w:style>
  <w:style w:type="character" w:customStyle="1" w:styleId="tw4winMark">
    <w:name w:val="tw4winMark"/>
    <w:uiPriority w:val="99"/>
    <w:rsid w:val="00297B6A"/>
    <w:rPr>
      <w:rFonts w:ascii="Courier New" w:hAnsi="Courier New"/>
      <w:vanish/>
      <w:color w:val="800080"/>
      <w:sz w:val="24"/>
      <w:vertAlign w:val="subscript"/>
    </w:rPr>
  </w:style>
  <w:style w:type="paragraph" w:customStyle="1" w:styleId="NormalAgency">
    <w:name w:val="Normal (Agency)"/>
    <w:uiPriority w:val="99"/>
    <w:rsid w:val="00FB1EAF"/>
    <w:pPr>
      <w:spacing w:after="0" w:line="240" w:lineRule="auto"/>
    </w:pPr>
    <w:rPr>
      <w:rFonts w:ascii="Verdana" w:hAnsi="Verdana"/>
      <w:sz w:val="18"/>
      <w:szCs w:val="20"/>
      <w:lang w:val="en-GB" w:eastAsia="zh-CN"/>
    </w:rPr>
  </w:style>
  <w:style w:type="paragraph" w:customStyle="1" w:styleId="Default">
    <w:name w:val="Default"/>
    <w:uiPriority w:val="99"/>
    <w:rsid w:val="00F335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7437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rsid w:val="00F51900"/>
    <w:pPr>
      <w:ind w:left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1"/>
    <w:rPr>
      <w:rFonts w:ascii="Segoe UI" w:hAnsi="Segoe UI" w:cs="Segoe UI"/>
      <w:sz w:val="18"/>
      <w:szCs w:val="1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F51900"/>
    <w:rPr>
      <w:snapToGrid w:val="0"/>
      <w:sz w:val="24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0F2B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0D3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v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onorica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1B4B4-7ECB-4D42-8466-D25473B1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Sinupret SmPC, labelling, PIL</vt:lpstr>
      <vt:lpstr>Sinupret SmPC, labelling, PIL</vt:lpstr>
    </vt:vector>
  </TitlesOfParts>
  <Company>MIC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Sinupret SmPC, labelling, PIL</dc:title>
  <dc:creator>Inga</dc:creator>
  <cp:lastModifiedBy>Skaidrīte Lapsenīte</cp:lastModifiedBy>
  <cp:revision>4</cp:revision>
  <cp:lastPrinted>2017-08-09T18:05:00Z</cp:lastPrinted>
  <dcterms:created xsi:type="dcterms:W3CDTF">2017-08-14T18:18:00Z</dcterms:created>
  <dcterms:modified xsi:type="dcterms:W3CDTF">2017-08-21T10:41:00Z</dcterms:modified>
</cp:coreProperties>
</file>