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8D8D" w14:textId="77777777" w:rsidR="00084488" w:rsidRPr="008C106C" w:rsidRDefault="00084488" w:rsidP="00F13EC0">
      <w:pPr>
        <w:pStyle w:val="Default"/>
        <w:jc w:val="center"/>
        <w:outlineLvl w:val="0"/>
        <w:rPr>
          <w:b/>
          <w:bCs/>
          <w:sz w:val="22"/>
          <w:szCs w:val="22"/>
          <w:lang w:val="lv-LV"/>
        </w:rPr>
      </w:pPr>
      <w:r w:rsidRPr="008C106C">
        <w:rPr>
          <w:b/>
          <w:bCs/>
          <w:sz w:val="22"/>
          <w:szCs w:val="22"/>
          <w:lang w:val="lv-LV"/>
        </w:rPr>
        <w:t>ZĀĻU APRAKSTS</w:t>
      </w:r>
    </w:p>
    <w:p w14:paraId="104E41ED" w14:textId="77777777" w:rsidR="009A170F" w:rsidRPr="008C106C" w:rsidRDefault="009A170F" w:rsidP="00F13EC0">
      <w:pPr>
        <w:widowControl w:val="0"/>
        <w:spacing w:line="240" w:lineRule="auto"/>
        <w:jc w:val="both"/>
        <w:rPr>
          <w:b/>
          <w:szCs w:val="22"/>
          <w:lang w:val="lv-LV"/>
        </w:rPr>
      </w:pPr>
    </w:p>
    <w:p w14:paraId="2543E390" w14:textId="77777777" w:rsidR="00C45C2C" w:rsidRPr="008C106C" w:rsidRDefault="00C45C2C" w:rsidP="00F13EC0">
      <w:pPr>
        <w:pStyle w:val="Heading1"/>
        <w:jc w:val="both"/>
        <w:rPr>
          <w:szCs w:val="22"/>
          <w:lang w:val="lv-LV"/>
        </w:rPr>
      </w:pPr>
    </w:p>
    <w:p w14:paraId="387DC336" w14:textId="77777777" w:rsidR="001D29E6" w:rsidRPr="008C106C" w:rsidRDefault="001D29E6" w:rsidP="00F13EC0">
      <w:pPr>
        <w:pStyle w:val="Heading1"/>
        <w:jc w:val="both"/>
        <w:rPr>
          <w:szCs w:val="22"/>
          <w:lang w:val="lv-LV"/>
        </w:rPr>
      </w:pPr>
      <w:r w:rsidRPr="008C106C">
        <w:rPr>
          <w:bCs/>
          <w:iCs/>
          <w:noProof/>
          <w:szCs w:val="22"/>
          <w:lang w:val="lv-LV"/>
        </w:rPr>
        <w:t>1.</w:t>
      </w:r>
      <w:r w:rsidRPr="008C106C">
        <w:rPr>
          <w:bCs/>
          <w:iCs/>
          <w:noProof/>
          <w:szCs w:val="22"/>
          <w:lang w:val="lv-LV"/>
        </w:rPr>
        <w:tab/>
      </w:r>
      <w:r w:rsidR="00084488" w:rsidRPr="008C106C">
        <w:rPr>
          <w:bCs/>
          <w:szCs w:val="22"/>
          <w:lang w:val="lv-LV"/>
        </w:rPr>
        <w:t>ZĀĻU NOSAUKUMS</w:t>
      </w:r>
    </w:p>
    <w:p w14:paraId="4BB6B56D" w14:textId="77777777" w:rsidR="001D29E6" w:rsidRPr="008C106C" w:rsidRDefault="001D29E6" w:rsidP="00F13EC0">
      <w:pPr>
        <w:spacing w:line="240" w:lineRule="auto"/>
        <w:jc w:val="both"/>
        <w:rPr>
          <w:iCs/>
          <w:szCs w:val="22"/>
          <w:lang w:val="lv-LV"/>
        </w:rPr>
      </w:pPr>
    </w:p>
    <w:p w14:paraId="3B5AE306" w14:textId="77777777" w:rsidR="007C7C46"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w:t>
      </w:r>
      <w:r w:rsidR="007C7C46" w:rsidRPr="008C106C">
        <w:rPr>
          <w:szCs w:val="22"/>
          <w:lang w:val="lv-LV" w:eastAsia="de-DE"/>
        </w:rPr>
        <w:t xml:space="preserve"> 1 mg </w:t>
      </w:r>
      <w:r w:rsidRPr="008C106C">
        <w:rPr>
          <w:szCs w:val="22"/>
          <w:lang w:val="lv-LV" w:eastAsia="de-DE"/>
        </w:rPr>
        <w:t>apvalkotās tabletes</w:t>
      </w:r>
    </w:p>
    <w:p w14:paraId="28C44183"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2 mg apvalkotās tabletes</w:t>
      </w:r>
    </w:p>
    <w:p w14:paraId="0C11FA63"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3 mg apvalkotās tabletes</w:t>
      </w:r>
    </w:p>
    <w:p w14:paraId="28BF597F" w14:textId="77777777" w:rsidR="001D29E6" w:rsidRPr="008C106C" w:rsidRDefault="001D29E6" w:rsidP="00F13EC0">
      <w:pPr>
        <w:pStyle w:val="EMEAEnBodyText"/>
        <w:autoSpaceDE w:val="0"/>
        <w:autoSpaceDN w:val="0"/>
        <w:adjustRightInd w:val="0"/>
        <w:spacing w:before="0" w:after="0"/>
        <w:rPr>
          <w:szCs w:val="22"/>
          <w:lang w:val="lv-LV" w:eastAsia="de-DE"/>
        </w:rPr>
      </w:pPr>
    </w:p>
    <w:p w14:paraId="4FD91316" w14:textId="77777777" w:rsidR="00C620A3" w:rsidRPr="008C106C" w:rsidRDefault="00C620A3" w:rsidP="00F13EC0">
      <w:pPr>
        <w:pStyle w:val="EMEAEnBodyText"/>
        <w:autoSpaceDE w:val="0"/>
        <w:autoSpaceDN w:val="0"/>
        <w:adjustRightInd w:val="0"/>
        <w:spacing w:before="0" w:after="0"/>
        <w:rPr>
          <w:szCs w:val="22"/>
          <w:lang w:val="lv-LV" w:eastAsia="de-DE"/>
        </w:rPr>
      </w:pPr>
    </w:p>
    <w:p w14:paraId="55BE0470" w14:textId="77777777" w:rsidR="001D29E6" w:rsidRPr="008C106C" w:rsidRDefault="001D29E6" w:rsidP="00F13EC0">
      <w:pPr>
        <w:pStyle w:val="Heading1"/>
        <w:jc w:val="both"/>
        <w:rPr>
          <w:szCs w:val="22"/>
          <w:lang w:val="lv-LV"/>
        </w:rPr>
      </w:pPr>
      <w:r w:rsidRPr="008C106C">
        <w:rPr>
          <w:szCs w:val="22"/>
          <w:lang w:val="lv-LV"/>
        </w:rPr>
        <w:t>2.</w:t>
      </w:r>
      <w:r w:rsidRPr="008C106C">
        <w:rPr>
          <w:szCs w:val="22"/>
          <w:lang w:val="lv-LV"/>
        </w:rPr>
        <w:tab/>
      </w:r>
      <w:r w:rsidR="00084488" w:rsidRPr="008C106C">
        <w:rPr>
          <w:bCs/>
          <w:szCs w:val="22"/>
          <w:lang w:val="lv-LV"/>
        </w:rPr>
        <w:t>KVALITATĪVAIS UN KVANTITATĪVAIS SASTĀVS</w:t>
      </w:r>
    </w:p>
    <w:p w14:paraId="75BD2788" w14:textId="77777777" w:rsidR="001D29E6" w:rsidRPr="008C106C" w:rsidRDefault="001D29E6" w:rsidP="00F13EC0">
      <w:pPr>
        <w:spacing w:line="240" w:lineRule="auto"/>
        <w:jc w:val="both"/>
        <w:rPr>
          <w:szCs w:val="22"/>
          <w:lang w:val="lv-LV"/>
        </w:rPr>
      </w:pPr>
    </w:p>
    <w:p w14:paraId="74A28D5B"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1 mg apvalkotās tabletes</w:t>
      </w:r>
    </w:p>
    <w:p w14:paraId="1B15CD21" w14:textId="77777777" w:rsidR="007C7C46" w:rsidRPr="008C106C" w:rsidRDefault="00084488" w:rsidP="00F13EC0">
      <w:pPr>
        <w:pStyle w:val="EMEAEnBodyText"/>
        <w:autoSpaceDE w:val="0"/>
        <w:autoSpaceDN w:val="0"/>
        <w:adjustRightInd w:val="0"/>
        <w:spacing w:before="0" w:after="0"/>
        <w:rPr>
          <w:szCs w:val="22"/>
          <w:u w:val="single"/>
          <w:lang w:val="lv-LV"/>
        </w:rPr>
      </w:pPr>
      <w:r w:rsidRPr="008C106C">
        <w:rPr>
          <w:szCs w:val="22"/>
          <w:lang w:val="lv-LV" w:eastAsia="de-DE"/>
        </w:rPr>
        <w:t>Katra apva</w:t>
      </w:r>
      <w:r w:rsidR="00665FF9" w:rsidRPr="008C106C">
        <w:rPr>
          <w:szCs w:val="22"/>
          <w:lang w:val="lv-LV" w:eastAsia="de-DE"/>
        </w:rPr>
        <w:t>lkotā tablete satur 1 mg eszopik</w:t>
      </w:r>
      <w:r w:rsidRPr="008C106C">
        <w:rPr>
          <w:szCs w:val="22"/>
          <w:lang w:val="lv-LV" w:eastAsia="de-DE"/>
        </w:rPr>
        <w:t>lona (</w:t>
      </w:r>
      <w:r w:rsidRPr="008C106C">
        <w:rPr>
          <w:i/>
          <w:szCs w:val="22"/>
          <w:lang w:val="lv-LV" w:eastAsia="de-DE"/>
        </w:rPr>
        <w:t>Eszopiclonum</w:t>
      </w:r>
      <w:r w:rsidRPr="008C106C">
        <w:rPr>
          <w:szCs w:val="22"/>
          <w:lang w:val="lv-LV" w:eastAsia="de-DE"/>
        </w:rPr>
        <w:t>)</w:t>
      </w:r>
      <w:r w:rsidR="007C7C46" w:rsidRPr="008C106C">
        <w:rPr>
          <w:szCs w:val="22"/>
          <w:lang w:val="lv-LV" w:eastAsia="de-DE"/>
        </w:rPr>
        <w:t>.</w:t>
      </w:r>
    </w:p>
    <w:p w14:paraId="2E6B2236" w14:textId="77777777" w:rsidR="00C620A3" w:rsidRPr="008C106C" w:rsidRDefault="00C620A3" w:rsidP="00F13EC0">
      <w:pPr>
        <w:pStyle w:val="EMEAEnBodyText"/>
        <w:autoSpaceDE w:val="0"/>
        <w:autoSpaceDN w:val="0"/>
        <w:adjustRightInd w:val="0"/>
        <w:spacing w:before="0" w:after="0"/>
        <w:rPr>
          <w:szCs w:val="22"/>
          <w:u w:val="single"/>
          <w:lang w:val="lv-LV"/>
        </w:rPr>
      </w:pPr>
    </w:p>
    <w:p w14:paraId="5F0C466F"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2 mg apvalkotās tabletes</w:t>
      </w:r>
    </w:p>
    <w:p w14:paraId="74F701D6" w14:textId="77777777" w:rsidR="00084488" w:rsidRPr="008C106C" w:rsidRDefault="00084488" w:rsidP="00F13EC0">
      <w:pPr>
        <w:pStyle w:val="EMEAEnBodyText"/>
        <w:autoSpaceDE w:val="0"/>
        <w:autoSpaceDN w:val="0"/>
        <w:adjustRightInd w:val="0"/>
        <w:spacing w:before="0" w:after="0"/>
        <w:rPr>
          <w:szCs w:val="22"/>
          <w:u w:val="single"/>
          <w:lang w:val="lv-LV"/>
        </w:rPr>
      </w:pPr>
      <w:r w:rsidRPr="008C106C">
        <w:rPr>
          <w:szCs w:val="22"/>
          <w:lang w:val="lv-LV" w:eastAsia="de-DE"/>
        </w:rPr>
        <w:t>Katra apvalkotā tablete satur 2 mg eszopi</w:t>
      </w:r>
      <w:r w:rsidR="00665FF9" w:rsidRPr="008C106C">
        <w:rPr>
          <w:szCs w:val="22"/>
          <w:lang w:val="lv-LV" w:eastAsia="de-DE"/>
        </w:rPr>
        <w:t>k</w:t>
      </w:r>
      <w:r w:rsidRPr="008C106C">
        <w:rPr>
          <w:szCs w:val="22"/>
          <w:lang w:val="lv-LV" w:eastAsia="de-DE"/>
        </w:rPr>
        <w:t>lona (</w:t>
      </w:r>
      <w:r w:rsidRPr="008C106C">
        <w:rPr>
          <w:i/>
          <w:szCs w:val="22"/>
          <w:lang w:val="lv-LV" w:eastAsia="de-DE"/>
        </w:rPr>
        <w:t>Eszopiclonum</w:t>
      </w:r>
      <w:r w:rsidRPr="008C106C">
        <w:rPr>
          <w:szCs w:val="22"/>
          <w:lang w:val="lv-LV" w:eastAsia="de-DE"/>
        </w:rPr>
        <w:t>).</w:t>
      </w:r>
    </w:p>
    <w:p w14:paraId="430E7610" w14:textId="77777777" w:rsidR="00C620A3" w:rsidRPr="008C106C" w:rsidRDefault="00C620A3" w:rsidP="00F13EC0">
      <w:pPr>
        <w:pStyle w:val="EMEAEnBodyText"/>
        <w:autoSpaceDE w:val="0"/>
        <w:autoSpaceDN w:val="0"/>
        <w:adjustRightInd w:val="0"/>
        <w:spacing w:before="0" w:after="0"/>
        <w:rPr>
          <w:szCs w:val="22"/>
          <w:highlight w:val="lightGray"/>
          <w:u w:val="single"/>
          <w:lang w:val="lv-LV"/>
        </w:rPr>
      </w:pPr>
    </w:p>
    <w:p w14:paraId="1CD41F74"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3 mg apvalkotās tabletes</w:t>
      </w:r>
    </w:p>
    <w:p w14:paraId="10C75E3D" w14:textId="77777777" w:rsidR="00084488" w:rsidRPr="008C106C" w:rsidRDefault="00084488" w:rsidP="00F13EC0">
      <w:pPr>
        <w:pStyle w:val="EMEAEnBodyText"/>
        <w:autoSpaceDE w:val="0"/>
        <w:autoSpaceDN w:val="0"/>
        <w:adjustRightInd w:val="0"/>
        <w:spacing w:before="0" w:after="0"/>
        <w:rPr>
          <w:szCs w:val="22"/>
          <w:u w:val="single"/>
          <w:lang w:val="lv-LV"/>
        </w:rPr>
      </w:pPr>
      <w:r w:rsidRPr="008C106C">
        <w:rPr>
          <w:szCs w:val="22"/>
          <w:lang w:val="lv-LV" w:eastAsia="de-DE"/>
        </w:rPr>
        <w:t>Katra apvalkotā tablete satur 3 mg eszopi</w:t>
      </w:r>
      <w:r w:rsidR="00665FF9" w:rsidRPr="008C106C">
        <w:rPr>
          <w:szCs w:val="22"/>
          <w:lang w:val="lv-LV" w:eastAsia="de-DE"/>
        </w:rPr>
        <w:t>k</w:t>
      </w:r>
      <w:r w:rsidRPr="008C106C">
        <w:rPr>
          <w:szCs w:val="22"/>
          <w:lang w:val="lv-LV" w:eastAsia="de-DE"/>
        </w:rPr>
        <w:t>lona (</w:t>
      </w:r>
      <w:r w:rsidRPr="008C106C">
        <w:rPr>
          <w:i/>
          <w:szCs w:val="22"/>
          <w:lang w:val="lv-LV" w:eastAsia="de-DE"/>
        </w:rPr>
        <w:t>Eszopiclonum</w:t>
      </w:r>
      <w:r w:rsidRPr="008C106C">
        <w:rPr>
          <w:szCs w:val="22"/>
          <w:lang w:val="lv-LV" w:eastAsia="de-DE"/>
        </w:rPr>
        <w:t>).</w:t>
      </w:r>
    </w:p>
    <w:p w14:paraId="4B770D5F" w14:textId="77777777" w:rsidR="006A0CD6" w:rsidRPr="008C106C" w:rsidRDefault="006A0CD6" w:rsidP="00F13EC0">
      <w:pPr>
        <w:spacing w:line="240" w:lineRule="auto"/>
        <w:jc w:val="both"/>
        <w:rPr>
          <w:szCs w:val="22"/>
          <w:lang w:val="lv-LV"/>
        </w:rPr>
      </w:pPr>
    </w:p>
    <w:p w14:paraId="3148CCBB" w14:textId="77777777" w:rsidR="00C620A3" w:rsidRPr="008C106C" w:rsidRDefault="00084488" w:rsidP="00F13EC0">
      <w:pPr>
        <w:spacing w:line="240" w:lineRule="auto"/>
        <w:jc w:val="both"/>
        <w:rPr>
          <w:szCs w:val="22"/>
          <w:lang w:val="lv-LV"/>
        </w:rPr>
      </w:pPr>
      <w:r w:rsidRPr="008C106C">
        <w:rPr>
          <w:szCs w:val="22"/>
          <w:lang w:val="lv-LV"/>
        </w:rPr>
        <w:t>Pilnu palīgvielu sarakstu skatīt 6.1. apakšpunktā.</w:t>
      </w:r>
    </w:p>
    <w:p w14:paraId="50E2E5E5" w14:textId="77777777" w:rsidR="00C620A3" w:rsidRPr="008C106C" w:rsidRDefault="00C620A3" w:rsidP="00F13EC0">
      <w:pPr>
        <w:pStyle w:val="EMEAEnBodyText"/>
        <w:autoSpaceDE w:val="0"/>
        <w:autoSpaceDN w:val="0"/>
        <w:adjustRightInd w:val="0"/>
        <w:spacing w:before="0" w:after="0"/>
        <w:rPr>
          <w:szCs w:val="22"/>
          <w:u w:val="single"/>
          <w:lang w:val="lv-LV"/>
        </w:rPr>
      </w:pPr>
    </w:p>
    <w:p w14:paraId="2B9A525E" w14:textId="77777777" w:rsidR="001D29E6" w:rsidRPr="008C106C" w:rsidRDefault="001D29E6" w:rsidP="00F13EC0">
      <w:pPr>
        <w:spacing w:line="240" w:lineRule="auto"/>
        <w:jc w:val="both"/>
        <w:rPr>
          <w:szCs w:val="22"/>
          <w:lang w:val="lv-LV"/>
        </w:rPr>
      </w:pPr>
    </w:p>
    <w:p w14:paraId="5A56A143" w14:textId="77777777" w:rsidR="001D29E6" w:rsidRPr="008C106C" w:rsidRDefault="001D29E6" w:rsidP="00F13EC0">
      <w:pPr>
        <w:pStyle w:val="Heading1"/>
        <w:jc w:val="both"/>
        <w:rPr>
          <w:szCs w:val="22"/>
          <w:lang w:val="lv-LV"/>
        </w:rPr>
      </w:pPr>
      <w:r w:rsidRPr="008C106C">
        <w:rPr>
          <w:szCs w:val="22"/>
          <w:lang w:val="lv-LV"/>
        </w:rPr>
        <w:t>3.</w:t>
      </w:r>
      <w:r w:rsidRPr="008C106C">
        <w:rPr>
          <w:szCs w:val="22"/>
          <w:lang w:val="lv-LV"/>
        </w:rPr>
        <w:tab/>
      </w:r>
      <w:r w:rsidR="00084488" w:rsidRPr="008C106C">
        <w:rPr>
          <w:bCs/>
          <w:szCs w:val="22"/>
          <w:lang w:val="lv-LV"/>
        </w:rPr>
        <w:t>ZĀĻU FORMA</w:t>
      </w:r>
    </w:p>
    <w:p w14:paraId="48755B42" w14:textId="77777777" w:rsidR="007D317B" w:rsidRPr="008C106C" w:rsidRDefault="007D317B" w:rsidP="00F13EC0">
      <w:pPr>
        <w:spacing w:line="240" w:lineRule="auto"/>
        <w:jc w:val="both"/>
        <w:rPr>
          <w:szCs w:val="22"/>
          <w:lang w:val="lv-LV" w:eastAsia="de-DE"/>
        </w:rPr>
      </w:pPr>
    </w:p>
    <w:p w14:paraId="593ADD99" w14:textId="77777777" w:rsidR="007C7C46" w:rsidRPr="008C106C" w:rsidRDefault="00084488" w:rsidP="00F13EC0">
      <w:pPr>
        <w:spacing w:line="240" w:lineRule="auto"/>
        <w:jc w:val="both"/>
        <w:rPr>
          <w:szCs w:val="22"/>
          <w:lang w:val="lv-LV" w:eastAsia="de-DE"/>
        </w:rPr>
      </w:pPr>
      <w:r w:rsidRPr="008C106C">
        <w:rPr>
          <w:szCs w:val="22"/>
          <w:lang w:val="lv-LV" w:eastAsia="de-DE"/>
        </w:rPr>
        <w:t>Apvalkotā tablete</w:t>
      </w:r>
    </w:p>
    <w:p w14:paraId="425422A1" w14:textId="77777777" w:rsidR="00084488" w:rsidRPr="008C106C" w:rsidRDefault="00084488" w:rsidP="00F13EC0">
      <w:pPr>
        <w:spacing w:line="240" w:lineRule="auto"/>
        <w:jc w:val="both"/>
        <w:rPr>
          <w:szCs w:val="22"/>
          <w:lang w:val="lv-LV"/>
        </w:rPr>
      </w:pPr>
    </w:p>
    <w:p w14:paraId="30C1517B"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1 mg apvalkotās tabletes</w:t>
      </w:r>
    </w:p>
    <w:p w14:paraId="035FB11B" w14:textId="77777777" w:rsidR="00084488" w:rsidRPr="008C106C" w:rsidRDefault="000810DB"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Gaiš</w:t>
      </w:r>
      <w:r w:rsidR="00084488" w:rsidRPr="008C106C">
        <w:rPr>
          <w:szCs w:val="22"/>
          <w:lang w:val="lv-LV" w:eastAsia="de-DE"/>
        </w:rPr>
        <w:t xml:space="preserve">i zilas, apaļas, abpusēji izliektas apvalkotās tabletes, </w:t>
      </w:r>
      <w:r w:rsidR="00202168" w:rsidRPr="008C106C">
        <w:rPr>
          <w:szCs w:val="22"/>
          <w:lang w:val="lv-LV" w:eastAsia="de-DE"/>
        </w:rPr>
        <w:t>ar marķējumu “</w:t>
      </w:r>
      <w:r w:rsidR="00084488" w:rsidRPr="008C106C">
        <w:rPr>
          <w:szCs w:val="22"/>
          <w:lang w:val="lv-LV" w:eastAsia="de-DE"/>
        </w:rPr>
        <w:t>1</w:t>
      </w:r>
      <w:r w:rsidR="00202168" w:rsidRPr="008C106C">
        <w:rPr>
          <w:szCs w:val="22"/>
          <w:lang w:val="lv-LV" w:eastAsia="de-DE"/>
        </w:rPr>
        <w:t>”</w:t>
      </w:r>
      <w:r w:rsidR="00084488" w:rsidRPr="008C106C">
        <w:rPr>
          <w:szCs w:val="22"/>
          <w:lang w:val="lv-LV" w:eastAsia="de-DE"/>
        </w:rPr>
        <w:t xml:space="preserve"> vienā pusē</w:t>
      </w:r>
      <w:r w:rsidR="00202168" w:rsidRPr="008C106C">
        <w:rPr>
          <w:szCs w:val="22"/>
          <w:lang w:val="lv-LV" w:eastAsia="de-DE"/>
        </w:rPr>
        <w:t xml:space="preserve"> un vidējo diametru apmēram 6,5 mm.</w:t>
      </w:r>
    </w:p>
    <w:p w14:paraId="091A0EFC" w14:textId="77777777" w:rsidR="0063641C" w:rsidRPr="008C106C" w:rsidRDefault="0063641C" w:rsidP="00F13EC0">
      <w:pPr>
        <w:pStyle w:val="EMEAEnBodyText"/>
        <w:autoSpaceDE w:val="0"/>
        <w:autoSpaceDN w:val="0"/>
        <w:adjustRightInd w:val="0"/>
        <w:spacing w:before="0" w:after="0"/>
        <w:rPr>
          <w:i/>
          <w:szCs w:val="22"/>
          <w:lang w:val="lv-LV" w:eastAsia="de-DE"/>
        </w:rPr>
      </w:pPr>
    </w:p>
    <w:p w14:paraId="47BD9989"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2 mg apvalkotās tabletes</w:t>
      </w:r>
    </w:p>
    <w:p w14:paraId="4FB7FB41" w14:textId="77777777" w:rsidR="00202168" w:rsidRPr="008C106C" w:rsidRDefault="0020216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Baltas, apaļas, abpusēji izliektas apvalkotās tabletes, ar marķējumu “2” vienā pusē un vidējo diametru apmēram 6,5 mm.</w:t>
      </w:r>
    </w:p>
    <w:p w14:paraId="602EC853" w14:textId="77777777" w:rsidR="0063641C" w:rsidRPr="008C106C" w:rsidRDefault="0063641C" w:rsidP="00F13EC0">
      <w:pPr>
        <w:tabs>
          <w:tab w:val="clear" w:pos="567"/>
        </w:tabs>
        <w:autoSpaceDE w:val="0"/>
        <w:autoSpaceDN w:val="0"/>
        <w:adjustRightInd w:val="0"/>
        <w:spacing w:line="240" w:lineRule="auto"/>
        <w:jc w:val="both"/>
        <w:rPr>
          <w:i/>
          <w:szCs w:val="22"/>
          <w:highlight w:val="lightGray"/>
          <w:lang w:val="lv-LV" w:eastAsia="de-DE"/>
        </w:rPr>
      </w:pPr>
    </w:p>
    <w:p w14:paraId="7DC7FE93" w14:textId="77777777" w:rsidR="00084488" w:rsidRPr="008C106C" w:rsidRDefault="0008448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3 mg apvalkotās tabletes</w:t>
      </w:r>
    </w:p>
    <w:p w14:paraId="7C7E5937" w14:textId="77777777" w:rsidR="00202168" w:rsidRPr="008C106C" w:rsidRDefault="0020216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Zilas, apaļas, abpusēji izliektas apvalkotās tabletes, ar marķējumu “3” vienā pusē un vidējo diametru apmēram 6,5 mm.</w:t>
      </w:r>
    </w:p>
    <w:p w14:paraId="16319116" w14:textId="77777777" w:rsidR="00C620A3" w:rsidRPr="008C106C" w:rsidRDefault="00C620A3" w:rsidP="00F13EC0">
      <w:pPr>
        <w:spacing w:line="240" w:lineRule="auto"/>
        <w:jc w:val="both"/>
        <w:rPr>
          <w:szCs w:val="22"/>
          <w:lang w:val="lv-LV"/>
        </w:rPr>
      </w:pPr>
    </w:p>
    <w:p w14:paraId="0697C772" w14:textId="77777777" w:rsidR="001D29E6" w:rsidRPr="008C106C" w:rsidRDefault="001D29E6" w:rsidP="00F13EC0">
      <w:pPr>
        <w:spacing w:line="240" w:lineRule="auto"/>
        <w:jc w:val="both"/>
        <w:rPr>
          <w:szCs w:val="22"/>
          <w:lang w:val="lv-LV"/>
        </w:rPr>
      </w:pPr>
    </w:p>
    <w:p w14:paraId="07CB1AB6" w14:textId="77777777" w:rsidR="001D29E6" w:rsidRPr="008C106C" w:rsidRDefault="001D29E6" w:rsidP="00F13EC0">
      <w:pPr>
        <w:pStyle w:val="Heading1"/>
        <w:jc w:val="both"/>
        <w:rPr>
          <w:szCs w:val="22"/>
          <w:lang w:val="lv-LV"/>
        </w:rPr>
      </w:pPr>
      <w:r w:rsidRPr="008C106C">
        <w:rPr>
          <w:szCs w:val="22"/>
          <w:lang w:val="lv-LV"/>
        </w:rPr>
        <w:t>4.</w:t>
      </w:r>
      <w:r w:rsidRPr="008C106C">
        <w:rPr>
          <w:szCs w:val="22"/>
          <w:lang w:val="lv-LV"/>
        </w:rPr>
        <w:tab/>
      </w:r>
      <w:r w:rsidR="00202168" w:rsidRPr="008C106C">
        <w:rPr>
          <w:bCs/>
          <w:szCs w:val="22"/>
          <w:lang w:val="lv-LV"/>
        </w:rPr>
        <w:t>KLĪNISKĀ INFORMĀCIJA</w:t>
      </w:r>
    </w:p>
    <w:p w14:paraId="15CC77BC" w14:textId="77777777" w:rsidR="001D29E6" w:rsidRPr="008C106C" w:rsidRDefault="001D29E6" w:rsidP="00F13EC0">
      <w:pPr>
        <w:spacing w:line="240" w:lineRule="auto"/>
        <w:jc w:val="both"/>
        <w:rPr>
          <w:szCs w:val="22"/>
          <w:lang w:val="lv-LV"/>
        </w:rPr>
      </w:pPr>
    </w:p>
    <w:p w14:paraId="601A22F0" w14:textId="77777777" w:rsidR="001166A5" w:rsidRPr="008C106C" w:rsidRDefault="001D29E6" w:rsidP="00F13EC0">
      <w:pPr>
        <w:pStyle w:val="Heading2"/>
        <w:jc w:val="both"/>
        <w:rPr>
          <w:bCs/>
          <w:szCs w:val="22"/>
          <w:lang w:val="lv-LV"/>
        </w:rPr>
      </w:pPr>
      <w:r w:rsidRPr="008C106C">
        <w:rPr>
          <w:szCs w:val="22"/>
          <w:lang w:val="lv-LV"/>
        </w:rPr>
        <w:t>4.1</w:t>
      </w:r>
      <w:r w:rsidR="00373718" w:rsidRPr="008C106C">
        <w:rPr>
          <w:szCs w:val="22"/>
          <w:lang w:val="lv-LV"/>
        </w:rPr>
        <w:t>.</w:t>
      </w:r>
      <w:r w:rsidRPr="008C106C">
        <w:rPr>
          <w:szCs w:val="22"/>
          <w:lang w:val="lv-LV"/>
        </w:rPr>
        <w:tab/>
      </w:r>
      <w:r w:rsidR="00202168" w:rsidRPr="008C106C">
        <w:rPr>
          <w:bCs/>
          <w:szCs w:val="22"/>
          <w:lang w:val="lv-LV"/>
        </w:rPr>
        <w:t>Terapeitiskās indikācijas</w:t>
      </w:r>
    </w:p>
    <w:p w14:paraId="65BB4181" w14:textId="77777777" w:rsidR="00202168" w:rsidRPr="008C106C" w:rsidRDefault="00202168" w:rsidP="00F13EC0">
      <w:pPr>
        <w:jc w:val="both"/>
        <w:rPr>
          <w:szCs w:val="22"/>
          <w:lang w:val="lv-LV"/>
        </w:rPr>
      </w:pPr>
    </w:p>
    <w:p w14:paraId="5BCCD66A" w14:textId="77777777" w:rsidR="00476D44" w:rsidRPr="008C106C" w:rsidRDefault="00476D44" w:rsidP="00F13EC0">
      <w:pPr>
        <w:autoSpaceDE w:val="0"/>
        <w:autoSpaceDN w:val="0"/>
        <w:adjustRightInd w:val="0"/>
        <w:jc w:val="both"/>
        <w:rPr>
          <w:color w:val="000000"/>
          <w:szCs w:val="22"/>
          <w:lang w:val="lv-LV"/>
        </w:rPr>
      </w:pPr>
      <w:r w:rsidRPr="008C106C">
        <w:rPr>
          <w:szCs w:val="22"/>
          <w:lang w:val="lv-LV" w:eastAsia="de-DE"/>
        </w:rPr>
        <w:t xml:space="preserve">Esogno </w:t>
      </w:r>
      <w:r w:rsidRPr="008C106C">
        <w:rPr>
          <w:color w:val="000000"/>
          <w:szCs w:val="22"/>
          <w:lang w:val="lv-LV"/>
        </w:rPr>
        <w:t>ir indicēts be</w:t>
      </w:r>
      <w:r w:rsidR="004E48E6" w:rsidRPr="008C106C">
        <w:rPr>
          <w:color w:val="000000"/>
          <w:szCs w:val="22"/>
          <w:lang w:val="lv-LV"/>
        </w:rPr>
        <w:t xml:space="preserve">zmiega ārstēšanai pieaugušajiem. </w:t>
      </w:r>
      <w:r w:rsidR="004E48E6" w:rsidRPr="008C106C">
        <w:rPr>
          <w:szCs w:val="22"/>
          <w:lang w:val="lv-LV"/>
        </w:rPr>
        <w:t>Ārstēšana parasti ir īslaicīga.</w:t>
      </w:r>
    </w:p>
    <w:p w14:paraId="5C4A9791" w14:textId="77777777" w:rsidR="00B57E6F" w:rsidRPr="008C106C" w:rsidRDefault="00B57E6F" w:rsidP="00F13EC0">
      <w:pPr>
        <w:tabs>
          <w:tab w:val="clear" w:pos="567"/>
        </w:tabs>
        <w:spacing w:line="240" w:lineRule="auto"/>
        <w:jc w:val="both"/>
        <w:rPr>
          <w:color w:val="000000"/>
          <w:szCs w:val="22"/>
          <w:lang w:val="lv-LV"/>
        </w:rPr>
      </w:pPr>
    </w:p>
    <w:p w14:paraId="34A58791" w14:textId="77777777" w:rsidR="004E48E6" w:rsidRPr="008C106C" w:rsidRDefault="004E48E6" w:rsidP="00F13EC0">
      <w:pPr>
        <w:spacing w:line="240" w:lineRule="auto"/>
        <w:jc w:val="both"/>
        <w:rPr>
          <w:szCs w:val="22"/>
          <w:lang w:val="lv-LV"/>
        </w:rPr>
      </w:pPr>
      <w:r w:rsidRPr="008C106C">
        <w:rPr>
          <w:szCs w:val="22"/>
          <w:lang w:val="lv-LV"/>
        </w:rPr>
        <w:t xml:space="preserve">Benzodiazepīni vai benzodiazepīniem līdzīgas vielas indicētas tad, ja traucējumi ir smagi, </w:t>
      </w:r>
      <w:r w:rsidRPr="00020561">
        <w:rPr>
          <w:szCs w:val="22"/>
          <w:lang w:val="lv-LV"/>
        </w:rPr>
        <w:t>i</w:t>
      </w:r>
      <w:r w:rsidR="00545963" w:rsidRPr="00C20479">
        <w:rPr>
          <w:szCs w:val="22"/>
          <w:lang w:val="lv-LV"/>
        </w:rPr>
        <w:t>nvalidizējoši</w:t>
      </w:r>
      <w:r w:rsidRPr="008C106C">
        <w:rPr>
          <w:szCs w:val="22"/>
          <w:lang w:val="lv-LV"/>
        </w:rPr>
        <w:t xml:space="preserve"> vai pakļauj indivīdu ārkārtējam distresam.</w:t>
      </w:r>
    </w:p>
    <w:p w14:paraId="4D4EA31C" w14:textId="77777777" w:rsidR="002D50B1" w:rsidRPr="008C106C" w:rsidRDefault="002D50B1" w:rsidP="00F13EC0">
      <w:pPr>
        <w:spacing w:line="240" w:lineRule="auto"/>
        <w:jc w:val="both"/>
        <w:rPr>
          <w:szCs w:val="22"/>
          <w:lang w:val="lv-LV"/>
        </w:rPr>
      </w:pPr>
    </w:p>
    <w:p w14:paraId="5CD4566A" w14:textId="77777777" w:rsidR="001D29E6" w:rsidRPr="008C106C" w:rsidRDefault="001D29E6" w:rsidP="00F13EC0">
      <w:pPr>
        <w:pStyle w:val="Heading2"/>
        <w:jc w:val="both"/>
        <w:rPr>
          <w:szCs w:val="22"/>
          <w:lang w:val="lv-LV"/>
        </w:rPr>
      </w:pPr>
      <w:r w:rsidRPr="008C106C">
        <w:rPr>
          <w:szCs w:val="22"/>
          <w:lang w:val="lv-LV"/>
        </w:rPr>
        <w:t>4.2</w:t>
      </w:r>
      <w:r w:rsidR="00373718" w:rsidRPr="008C106C">
        <w:rPr>
          <w:szCs w:val="22"/>
          <w:lang w:val="lv-LV"/>
        </w:rPr>
        <w:t>.</w:t>
      </w:r>
      <w:r w:rsidRPr="008C106C">
        <w:rPr>
          <w:szCs w:val="22"/>
          <w:lang w:val="lv-LV"/>
        </w:rPr>
        <w:tab/>
      </w:r>
      <w:r w:rsidR="008A25A6" w:rsidRPr="008C106C">
        <w:rPr>
          <w:bCs/>
          <w:szCs w:val="22"/>
          <w:lang w:val="lv-LV"/>
        </w:rPr>
        <w:t>Devas un lietošanas veids</w:t>
      </w:r>
    </w:p>
    <w:p w14:paraId="59041A44" w14:textId="77777777" w:rsidR="001D29E6" w:rsidRPr="008C106C" w:rsidRDefault="001D29E6" w:rsidP="00F13EC0">
      <w:pPr>
        <w:spacing w:line="240" w:lineRule="auto"/>
        <w:jc w:val="both"/>
        <w:rPr>
          <w:szCs w:val="22"/>
          <w:lang w:val="lv-LV"/>
        </w:rPr>
      </w:pPr>
    </w:p>
    <w:p w14:paraId="0D7082EA" w14:textId="77777777" w:rsidR="008A25A6" w:rsidRPr="008C106C" w:rsidRDefault="008A25A6" w:rsidP="00F13EC0">
      <w:pPr>
        <w:pStyle w:val="Default"/>
        <w:jc w:val="both"/>
        <w:outlineLvl w:val="0"/>
        <w:rPr>
          <w:sz w:val="22"/>
          <w:szCs w:val="22"/>
          <w:u w:val="single"/>
          <w:lang w:val="lv-LV"/>
        </w:rPr>
      </w:pPr>
      <w:r w:rsidRPr="008C106C">
        <w:rPr>
          <w:sz w:val="22"/>
          <w:szCs w:val="22"/>
          <w:u w:val="single"/>
          <w:lang w:val="lv-LV"/>
        </w:rPr>
        <w:t>Devas</w:t>
      </w:r>
    </w:p>
    <w:p w14:paraId="305B072D" w14:textId="77777777" w:rsidR="008A25A6" w:rsidRPr="008C106C" w:rsidRDefault="008A25A6" w:rsidP="00F13EC0">
      <w:pPr>
        <w:pStyle w:val="Default"/>
        <w:jc w:val="both"/>
        <w:outlineLvl w:val="0"/>
        <w:rPr>
          <w:sz w:val="22"/>
          <w:szCs w:val="22"/>
          <w:u w:val="single"/>
          <w:lang w:val="lv-LV"/>
        </w:rPr>
      </w:pPr>
    </w:p>
    <w:p w14:paraId="2F2F1DB8" w14:textId="77777777" w:rsidR="008A25A6" w:rsidRPr="008C106C" w:rsidRDefault="008A25A6" w:rsidP="00F13EC0">
      <w:pPr>
        <w:pStyle w:val="Default"/>
        <w:jc w:val="both"/>
        <w:outlineLvl w:val="0"/>
        <w:rPr>
          <w:bCs/>
          <w:iCs/>
          <w:sz w:val="22"/>
          <w:szCs w:val="22"/>
          <w:lang w:val="lv-LV"/>
        </w:rPr>
      </w:pPr>
      <w:r w:rsidRPr="008C106C">
        <w:rPr>
          <w:bCs/>
          <w:i/>
          <w:iCs/>
          <w:sz w:val="22"/>
          <w:szCs w:val="22"/>
          <w:lang w:val="lv-LV"/>
        </w:rPr>
        <w:t xml:space="preserve">Pieaugušiem: </w:t>
      </w:r>
      <w:r w:rsidRPr="008C106C">
        <w:rPr>
          <w:bCs/>
          <w:iCs/>
          <w:sz w:val="22"/>
          <w:szCs w:val="22"/>
          <w:lang w:val="lv-LV"/>
        </w:rPr>
        <w:t>ieteicamā sākuma deva ir 1 mg. Devu var paaugstināt 2 mg līdz 3 mg, ja ta</w:t>
      </w:r>
      <w:r w:rsidR="00F4616F" w:rsidRPr="008C106C">
        <w:rPr>
          <w:bCs/>
          <w:iCs/>
          <w:sz w:val="22"/>
          <w:szCs w:val="22"/>
          <w:lang w:val="lv-LV"/>
        </w:rPr>
        <w:t>s</w:t>
      </w:r>
      <w:r w:rsidRPr="008C106C">
        <w:rPr>
          <w:bCs/>
          <w:iCs/>
          <w:sz w:val="22"/>
          <w:szCs w:val="22"/>
          <w:lang w:val="lv-LV"/>
        </w:rPr>
        <w:t xml:space="preserve"> ir klīniski nepieciešams. Pacientam jānozīmē iespējami mazākā efektīvā deva. Kopējo 3 mg eszopiklona devu pārsniegt nedrīkst.</w:t>
      </w:r>
    </w:p>
    <w:p w14:paraId="3D93E38D" w14:textId="77777777" w:rsidR="008A25A6" w:rsidRPr="008C106C" w:rsidRDefault="008A25A6" w:rsidP="00F13EC0">
      <w:pPr>
        <w:pStyle w:val="Default"/>
        <w:jc w:val="both"/>
        <w:outlineLvl w:val="0"/>
        <w:rPr>
          <w:sz w:val="22"/>
          <w:szCs w:val="22"/>
          <w:u w:val="single"/>
          <w:lang w:val="lv-LV"/>
        </w:rPr>
      </w:pPr>
    </w:p>
    <w:p w14:paraId="6D8D6B8A" w14:textId="77777777" w:rsidR="00BB443C" w:rsidRPr="008C106C" w:rsidRDefault="004E48E6" w:rsidP="00F13EC0">
      <w:pPr>
        <w:tabs>
          <w:tab w:val="clear" w:pos="567"/>
        </w:tabs>
        <w:spacing w:line="240" w:lineRule="auto"/>
        <w:jc w:val="both"/>
        <w:rPr>
          <w:szCs w:val="22"/>
          <w:lang w:val="lv-LV"/>
        </w:rPr>
      </w:pPr>
      <w:r w:rsidRPr="008C106C">
        <w:rPr>
          <w:szCs w:val="22"/>
          <w:lang w:val="lv-LV"/>
        </w:rPr>
        <w:t>Eszopiklona deva</w:t>
      </w:r>
      <w:r w:rsidR="008A25A6" w:rsidRPr="008C106C">
        <w:rPr>
          <w:szCs w:val="22"/>
          <w:lang w:val="lv-LV"/>
        </w:rPr>
        <w:t xml:space="preserve"> jālieto vienā reizē īsi pirms gulētiešanas</w:t>
      </w:r>
      <w:r w:rsidR="001122C1">
        <w:rPr>
          <w:szCs w:val="22"/>
          <w:lang w:val="lv-LV"/>
        </w:rPr>
        <w:t>,</w:t>
      </w:r>
      <w:r w:rsidR="008A25A6" w:rsidRPr="008C106C">
        <w:rPr>
          <w:szCs w:val="22"/>
          <w:lang w:val="lv-LV"/>
        </w:rPr>
        <w:t xml:space="preserve"> un vienas nakts laikā tā lietošanu atkārtot</w:t>
      </w:r>
      <w:r w:rsidR="00EB7E21" w:rsidRPr="008C106C">
        <w:rPr>
          <w:szCs w:val="22"/>
          <w:lang w:val="lv-LV"/>
        </w:rPr>
        <w:t xml:space="preserve"> nedrīkst</w:t>
      </w:r>
      <w:r w:rsidR="008A25A6" w:rsidRPr="008C106C">
        <w:rPr>
          <w:szCs w:val="22"/>
          <w:lang w:val="lv-LV"/>
        </w:rPr>
        <w:t>.</w:t>
      </w:r>
    </w:p>
    <w:p w14:paraId="65638CBC" w14:textId="77777777" w:rsidR="008A25A6" w:rsidRPr="008C106C" w:rsidRDefault="008A25A6" w:rsidP="00F13EC0">
      <w:pPr>
        <w:tabs>
          <w:tab w:val="clear" w:pos="567"/>
        </w:tabs>
        <w:spacing w:line="240" w:lineRule="auto"/>
        <w:jc w:val="both"/>
        <w:rPr>
          <w:szCs w:val="22"/>
          <w:lang w:val="lv-LV"/>
        </w:rPr>
      </w:pPr>
    </w:p>
    <w:p w14:paraId="371AEF06" w14:textId="77777777" w:rsidR="008A25A6" w:rsidRPr="008C106C" w:rsidRDefault="008A25A6" w:rsidP="00F13EC0">
      <w:pPr>
        <w:pStyle w:val="Default"/>
        <w:jc w:val="both"/>
        <w:rPr>
          <w:sz w:val="22"/>
          <w:szCs w:val="22"/>
          <w:lang w:val="lv-LV"/>
        </w:rPr>
      </w:pPr>
      <w:r w:rsidRPr="008C106C">
        <w:rPr>
          <w:sz w:val="22"/>
          <w:szCs w:val="22"/>
          <w:lang w:val="lv-LV"/>
        </w:rPr>
        <w:t xml:space="preserve">Katrā gadījumā, ārstēšanai jābūt iespējami īslaicīgai, </w:t>
      </w:r>
      <w:r w:rsidR="00101258" w:rsidRPr="008C106C">
        <w:rPr>
          <w:sz w:val="22"/>
          <w:szCs w:val="22"/>
          <w:lang w:val="lv-LV"/>
        </w:rPr>
        <w:t xml:space="preserve">maksimāli </w:t>
      </w:r>
      <w:r w:rsidR="00EB7E21" w:rsidRPr="008C106C">
        <w:rPr>
          <w:sz w:val="22"/>
          <w:szCs w:val="22"/>
          <w:lang w:val="lv-LV"/>
        </w:rPr>
        <w:t xml:space="preserve">līdz </w:t>
      </w:r>
      <w:r w:rsidRPr="008C106C">
        <w:rPr>
          <w:sz w:val="22"/>
          <w:szCs w:val="22"/>
          <w:lang w:val="lv-LV"/>
        </w:rPr>
        <w:t>4 </w:t>
      </w:r>
      <w:r w:rsidR="00EB7E21" w:rsidRPr="008C106C">
        <w:rPr>
          <w:sz w:val="22"/>
          <w:szCs w:val="22"/>
          <w:lang w:val="lv-LV"/>
        </w:rPr>
        <w:t>nedēļām</w:t>
      </w:r>
      <w:r w:rsidRPr="008C106C">
        <w:rPr>
          <w:sz w:val="22"/>
          <w:szCs w:val="22"/>
          <w:lang w:val="lv-LV"/>
        </w:rPr>
        <w:t>, ieskaitot devas mazināšanas</w:t>
      </w:r>
      <w:r w:rsidR="00101258" w:rsidRPr="008C106C">
        <w:rPr>
          <w:sz w:val="22"/>
          <w:szCs w:val="22"/>
          <w:lang w:val="lv-LV"/>
        </w:rPr>
        <w:t xml:space="preserve"> periodu.</w:t>
      </w:r>
    </w:p>
    <w:p w14:paraId="1F509425" w14:textId="77777777" w:rsidR="00AB25A7" w:rsidRPr="008C106C" w:rsidRDefault="00AB25A7" w:rsidP="00F13EC0">
      <w:pPr>
        <w:tabs>
          <w:tab w:val="clear" w:pos="567"/>
        </w:tabs>
        <w:spacing w:line="240" w:lineRule="auto"/>
        <w:jc w:val="both"/>
        <w:rPr>
          <w:szCs w:val="22"/>
          <w:lang w:val="lv-LV"/>
        </w:rPr>
      </w:pPr>
    </w:p>
    <w:p w14:paraId="7150168C" w14:textId="77777777" w:rsidR="00101258" w:rsidRPr="008C106C" w:rsidRDefault="00101258" w:rsidP="00F13EC0">
      <w:pPr>
        <w:tabs>
          <w:tab w:val="clear" w:pos="567"/>
        </w:tabs>
        <w:spacing w:line="240" w:lineRule="auto"/>
        <w:jc w:val="both"/>
        <w:rPr>
          <w:szCs w:val="22"/>
          <w:lang w:val="lv-LV"/>
        </w:rPr>
      </w:pPr>
      <w:r w:rsidRPr="008C106C">
        <w:rPr>
          <w:szCs w:val="22"/>
          <w:lang w:val="lv-LV"/>
        </w:rPr>
        <w:t>Atsevišķos gadījumos, piemēram, pacientiem ar hronisku bezmiegu, ārstēšanas laiku var pagarināt līdz maksimums 6 mēnešiem (skatīt 5.1. apakšpunktu). Šādā gadījumā jāveic regulāra pacienta stāvokļa uzraudzība un novērtēšana, jo ļaunprātīgas izmantošanas un atkarības risks pal</w:t>
      </w:r>
      <w:r w:rsidR="00EB7E21" w:rsidRPr="008C106C">
        <w:rPr>
          <w:szCs w:val="22"/>
          <w:lang w:val="lv-LV"/>
        </w:rPr>
        <w:t>ielinās līdz ar ārstēšanas laika pagarināšanu</w:t>
      </w:r>
      <w:r w:rsidRPr="008C106C">
        <w:rPr>
          <w:szCs w:val="22"/>
          <w:lang w:val="lv-LV"/>
        </w:rPr>
        <w:t xml:space="preserve"> (skatīt </w:t>
      </w:r>
      <w:r w:rsidR="004E48E6" w:rsidRPr="008C106C">
        <w:rPr>
          <w:szCs w:val="22"/>
          <w:lang w:val="lv-LV"/>
        </w:rPr>
        <w:t xml:space="preserve">4.4. </w:t>
      </w:r>
      <w:r w:rsidRPr="008C106C">
        <w:rPr>
          <w:szCs w:val="22"/>
          <w:lang w:val="lv-LV"/>
        </w:rPr>
        <w:t>apakšpunktu).</w:t>
      </w:r>
    </w:p>
    <w:p w14:paraId="287DE129" w14:textId="77777777" w:rsidR="00AB25A7" w:rsidRPr="008C106C" w:rsidRDefault="00AB25A7" w:rsidP="00F13EC0">
      <w:pPr>
        <w:tabs>
          <w:tab w:val="clear" w:pos="567"/>
        </w:tabs>
        <w:spacing w:line="240" w:lineRule="auto"/>
        <w:jc w:val="both"/>
        <w:rPr>
          <w:szCs w:val="22"/>
          <w:lang w:val="lv-LV"/>
        </w:rPr>
      </w:pPr>
    </w:p>
    <w:p w14:paraId="0033B5BE" w14:textId="77777777" w:rsidR="00101258" w:rsidRPr="008C106C" w:rsidRDefault="00101258" w:rsidP="00F13EC0">
      <w:pPr>
        <w:tabs>
          <w:tab w:val="clear" w:pos="567"/>
        </w:tabs>
        <w:spacing w:line="240" w:lineRule="auto"/>
        <w:jc w:val="both"/>
        <w:rPr>
          <w:i/>
          <w:szCs w:val="22"/>
          <w:lang w:val="lv-LV"/>
        </w:rPr>
      </w:pPr>
      <w:r w:rsidRPr="008C106C">
        <w:rPr>
          <w:i/>
          <w:szCs w:val="22"/>
          <w:lang w:val="lv-LV"/>
        </w:rPr>
        <w:t>Mijiedarbība ar zālēm</w:t>
      </w:r>
    </w:p>
    <w:p w14:paraId="5ACFF750" w14:textId="77777777" w:rsidR="00101258" w:rsidRPr="008C106C" w:rsidRDefault="00101258" w:rsidP="00F13EC0">
      <w:pPr>
        <w:tabs>
          <w:tab w:val="clear" w:pos="567"/>
        </w:tabs>
        <w:spacing w:line="240" w:lineRule="auto"/>
        <w:jc w:val="both"/>
        <w:rPr>
          <w:szCs w:val="22"/>
          <w:lang w:val="lv-LV"/>
        </w:rPr>
      </w:pPr>
      <w:r w:rsidRPr="008C106C">
        <w:rPr>
          <w:szCs w:val="22"/>
          <w:lang w:val="lv-LV"/>
        </w:rPr>
        <w:t xml:space="preserve">Pieaugušiem pacientiem, bet ne </w:t>
      </w:r>
      <w:r w:rsidR="001122C1">
        <w:rPr>
          <w:szCs w:val="22"/>
          <w:lang w:val="lv-LV"/>
        </w:rPr>
        <w:t>gados vecākiem</w:t>
      </w:r>
      <w:r w:rsidRPr="008C106C">
        <w:rPr>
          <w:szCs w:val="22"/>
          <w:lang w:val="lv-LV"/>
        </w:rPr>
        <w:t xml:space="preserve"> pacienti</w:t>
      </w:r>
      <w:r w:rsidR="008C106C" w:rsidRPr="008C106C">
        <w:rPr>
          <w:szCs w:val="22"/>
          <w:lang w:val="lv-LV"/>
        </w:rPr>
        <w:t>em</w:t>
      </w:r>
      <w:r w:rsidRPr="008C106C">
        <w:rPr>
          <w:szCs w:val="22"/>
          <w:lang w:val="lv-LV"/>
        </w:rPr>
        <w:t>, kuri lieto ketokonazolu vai citus spēcīgus CYP3A4 inhibitorus</w:t>
      </w:r>
      <w:r w:rsidR="00EB7E21" w:rsidRPr="008C106C">
        <w:rPr>
          <w:szCs w:val="22"/>
          <w:lang w:val="lv-LV"/>
        </w:rPr>
        <w:t>,</w:t>
      </w:r>
      <w:r w:rsidRPr="008C106C">
        <w:rPr>
          <w:szCs w:val="22"/>
          <w:lang w:val="lv-LV"/>
        </w:rPr>
        <w:t xml:space="preserve"> deva nedrīkst pārsniegt 2 mg. Gados vecākiem pacientiem, kuri vienlaikus saņem spēcīgus CYP3A4 inhibitorus, eszopiklons ir kontrindicēts (skatīt </w:t>
      </w:r>
      <w:r w:rsidR="00EB7E21" w:rsidRPr="008C106C">
        <w:rPr>
          <w:szCs w:val="22"/>
          <w:lang w:val="lv-LV"/>
        </w:rPr>
        <w:t>4.3. apakšpunktu</w:t>
      </w:r>
      <w:r w:rsidRPr="008C106C">
        <w:rPr>
          <w:szCs w:val="22"/>
          <w:lang w:val="lv-LV"/>
        </w:rPr>
        <w:t>).</w:t>
      </w:r>
      <w:r w:rsidR="00CB4576" w:rsidRPr="008C106C">
        <w:rPr>
          <w:szCs w:val="22"/>
          <w:lang w:val="lv-LV"/>
        </w:rPr>
        <w:t xml:space="preserve"> Turklāt var būt nepieciešama eszopiklona devas samazināšana, ja to lieto vienlaikus ar </w:t>
      </w:r>
      <w:r w:rsidR="00EB7E21" w:rsidRPr="008C106C">
        <w:rPr>
          <w:szCs w:val="22"/>
          <w:lang w:val="lv-LV"/>
        </w:rPr>
        <w:t xml:space="preserve">zināmām </w:t>
      </w:r>
      <w:r w:rsidR="00CB4576" w:rsidRPr="008C106C">
        <w:rPr>
          <w:szCs w:val="22"/>
          <w:lang w:val="lv-LV"/>
        </w:rPr>
        <w:t>CNS nomācoš</w:t>
      </w:r>
      <w:r w:rsidR="00EB7E21" w:rsidRPr="008C106C">
        <w:rPr>
          <w:szCs w:val="22"/>
          <w:lang w:val="lv-LV"/>
        </w:rPr>
        <w:t>as</w:t>
      </w:r>
      <w:r w:rsidR="00CB4576" w:rsidRPr="008C106C">
        <w:rPr>
          <w:szCs w:val="22"/>
          <w:lang w:val="lv-LV"/>
        </w:rPr>
        <w:t xml:space="preserve"> iedarbīb</w:t>
      </w:r>
      <w:r w:rsidR="00EB7E21" w:rsidRPr="008C106C">
        <w:rPr>
          <w:szCs w:val="22"/>
          <w:lang w:val="lv-LV"/>
        </w:rPr>
        <w:t>as zālēm</w:t>
      </w:r>
      <w:r w:rsidR="00CB4576" w:rsidRPr="008C106C">
        <w:rPr>
          <w:szCs w:val="22"/>
          <w:lang w:val="lv-LV"/>
        </w:rPr>
        <w:t xml:space="preserve"> (skatīt 4.5. apakšpunktu).</w:t>
      </w:r>
    </w:p>
    <w:p w14:paraId="774FA83B" w14:textId="77777777" w:rsidR="006B24F4" w:rsidRPr="008C106C" w:rsidRDefault="006B24F4" w:rsidP="00F13EC0">
      <w:pPr>
        <w:tabs>
          <w:tab w:val="clear" w:pos="567"/>
        </w:tabs>
        <w:spacing w:line="240" w:lineRule="auto"/>
        <w:jc w:val="both"/>
        <w:rPr>
          <w:szCs w:val="22"/>
          <w:lang w:val="lv-LV"/>
        </w:rPr>
      </w:pPr>
    </w:p>
    <w:p w14:paraId="45F5C470" w14:textId="77777777" w:rsidR="00FD319C" w:rsidRPr="008C106C" w:rsidRDefault="00CB4576" w:rsidP="00F13EC0">
      <w:pPr>
        <w:tabs>
          <w:tab w:val="clear" w:pos="567"/>
        </w:tabs>
        <w:spacing w:line="240" w:lineRule="auto"/>
        <w:jc w:val="both"/>
        <w:rPr>
          <w:i/>
          <w:szCs w:val="22"/>
          <w:lang w:val="lv-LV"/>
        </w:rPr>
      </w:pPr>
      <w:r w:rsidRPr="008C106C">
        <w:rPr>
          <w:i/>
          <w:szCs w:val="22"/>
          <w:lang w:val="lv-LV"/>
        </w:rPr>
        <w:t>Īpašas populācijas</w:t>
      </w:r>
    </w:p>
    <w:p w14:paraId="007DD0D6" w14:textId="77777777" w:rsidR="00FD319C" w:rsidRPr="008C106C" w:rsidRDefault="00FD319C" w:rsidP="00F13EC0">
      <w:pPr>
        <w:tabs>
          <w:tab w:val="clear" w:pos="567"/>
        </w:tabs>
        <w:spacing w:line="240" w:lineRule="auto"/>
        <w:jc w:val="both"/>
        <w:rPr>
          <w:i/>
          <w:szCs w:val="22"/>
          <w:lang w:val="lv-LV"/>
        </w:rPr>
      </w:pPr>
    </w:p>
    <w:p w14:paraId="75C1548A" w14:textId="77777777" w:rsidR="00CB4576" w:rsidRPr="008C106C" w:rsidRDefault="00CB4576" w:rsidP="00F13EC0">
      <w:pPr>
        <w:tabs>
          <w:tab w:val="clear" w:pos="567"/>
        </w:tabs>
        <w:spacing w:line="240" w:lineRule="auto"/>
        <w:jc w:val="both"/>
        <w:rPr>
          <w:i/>
          <w:szCs w:val="22"/>
          <w:lang w:val="lv-LV"/>
        </w:rPr>
      </w:pPr>
      <w:r w:rsidRPr="008C106C">
        <w:rPr>
          <w:i/>
          <w:szCs w:val="22"/>
          <w:lang w:val="lv-LV"/>
        </w:rPr>
        <w:t>Gados</w:t>
      </w:r>
      <w:r w:rsidR="002B4F9D" w:rsidRPr="008C106C">
        <w:rPr>
          <w:i/>
          <w:szCs w:val="22"/>
          <w:lang w:val="lv-LV"/>
        </w:rPr>
        <w:t xml:space="preserve"> </w:t>
      </w:r>
      <w:r w:rsidRPr="008C106C">
        <w:rPr>
          <w:i/>
          <w:szCs w:val="22"/>
          <w:lang w:val="lv-LV"/>
        </w:rPr>
        <w:t>vecāki pacienti (65 gadi vai vecāki)</w:t>
      </w:r>
    </w:p>
    <w:p w14:paraId="14D5382F" w14:textId="77777777" w:rsidR="002B4F9D" w:rsidRPr="008C106C" w:rsidRDefault="002B4F9D" w:rsidP="00F13EC0">
      <w:pPr>
        <w:tabs>
          <w:tab w:val="clear" w:pos="567"/>
        </w:tabs>
        <w:spacing w:line="240" w:lineRule="auto"/>
        <w:jc w:val="both"/>
        <w:rPr>
          <w:szCs w:val="22"/>
          <w:lang w:val="lv-LV"/>
        </w:rPr>
      </w:pPr>
      <w:r w:rsidRPr="008C106C">
        <w:rPr>
          <w:szCs w:val="22"/>
          <w:lang w:val="lv-LV"/>
        </w:rPr>
        <w:t>Ieteicamā sākuma deva gados vecākiem pacientiem ir 1 mg īsi pirms gulētiešanas. Ja klīniski nepieciešams, gados vecākiem pacientiem devu var palielināt līdz 2 mg.</w:t>
      </w:r>
    </w:p>
    <w:p w14:paraId="52D92071" w14:textId="77777777" w:rsidR="00FD319C" w:rsidRPr="008C106C" w:rsidRDefault="00FD319C" w:rsidP="00F13EC0">
      <w:pPr>
        <w:tabs>
          <w:tab w:val="clear" w:pos="567"/>
        </w:tabs>
        <w:spacing w:line="240" w:lineRule="auto"/>
        <w:jc w:val="both"/>
        <w:rPr>
          <w:szCs w:val="22"/>
          <w:lang w:val="lv-LV"/>
        </w:rPr>
      </w:pPr>
    </w:p>
    <w:p w14:paraId="6EBE5FD2" w14:textId="77777777" w:rsidR="002B4F9D" w:rsidRPr="008C106C" w:rsidRDefault="002B4F9D" w:rsidP="00F13EC0">
      <w:pPr>
        <w:tabs>
          <w:tab w:val="clear" w:pos="567"/>
        </w:tabs>
        <w:spacing w:line="240" w:lineRule="auto"/>
        <w:jc w:val="both"/>
        <w:rPr>
          <w:szCs w:val="22"/>
          <w:lang w:val="lv-LV"/>
        </w:rPr>
      </w:pPr>
      <w:r w:rsidRPr="008C106C">
        <w:rPr>
          <w:szCs w:val="22"/>
          <w:lang w:val="lv-LV"/>
        </w:rPr>
        <w:t>Ieteicamo devu nedrīkst pārsniegt (skatīt 5.2. apakšpunktu).</w:t>
      </w:r>
    </w:p>
    <w:p w14:paraId="186EF427" w14:textId="77777777" w:rsidR="00FD319C" w:rsidRPr="008C106C" w:rsidRDefault="00FD319C" w:rsidP="00F13EC0">
      <w:pPr>
        <w:tabs>
          <w:tab w:val="clear" w:pos="567"/>
        </w:tabs>
        <w:spacing w:line="240" w:lineRule="auto"/>
        <w:jc w:val="both"/>
        <w:rPr>
          <w:szCs w:val="22"/>
          <w:lang w:val="lv-LV"/>
        </w:rPr>
      </w:pPr>
    </w:p>
    <w:p w14:paraId="73992F31" w14:textId="77777777" w:rsidR="00AA3FD5" w:rsidRPr="008C106C" w:rsidRDefault="00AA3FD5" w:rsidP="00F13EC0">
      <w:pPr>
        <w:jc w:val="both"/>
        <w:rPr>
          <w:i/>
          <w:szCs w:val="22"/>
          <w:lang w:val="lv-LV"/>
        </w:rPr>
      </w:pPr>
      <w:r w:rsidRPr="008C106C">
        <w:rPr>
          <w:i/>
          <w:szCs w:val="22"/>
          <w:lang w:val="lv-LV"/>
        </w:rPr>
        <w:t>Pacienti ar aknu darbības traucējumiem</w:t>
      </w:r>
    </w:p>
    <w:p w14:paraId="56B45F63" w14:textId="77777777" w:rsidR="00AA3FD5" w:rsidRPr="008C106C" w:rsidRDefault="00AA3FD5" w:rsidP="00F13EC0">
      <w:pPr>
        <w:tabs>
          <w:tab w:val="clear" w:pos="567"/>
        </w:tabs>
        <w:spacing w:line="240" w:lineRule="auto"/>
        <w:jc w:val="both"/>
        <w:rPr>
          <w:szCs w:val="22"/>
          <w:lang w:val="lv-LV"/>
        </w:rPr>
      </w:pPr>
      <w:r w:rsidRPr="008C106C">
        <w:rPr>
          <w:szCs w:val="22"/>
          <w:lang w:val="lv-LV"/>
        </w:rPr>
        <w:t>Pacientiem ar viegliem vai vidēji smagiem aknu darbības traucējumiem deva nav jāpielāgo (skatīt 5.2. apakšpunktu). Pacientiem ar smagu aknu mazspēju eszopiklons ir kontrindicēts, jo tas var izraisīt encefalopātiju (skatīt 4.3. un 5.2. apakšpunktu).</w:t>
      </w:r>
    </w:p>
    <w:p w14:paraId="60BC4B14" w14:textId="77777777" w:rsidR="00B16EFB" w:rsidRPr="008C106C" w:rsidRDefault="00B16EFB" w:rsidP="00F13EC0">
      <w:pPr>
        <w:tabs>
          <w:tab w:val="clear" w:pos="567"/>
        </w:tabs>
        <w:autoSpaceDE w:val="0"/>
        <w:autoSpaceDN w:val="0"/>
        <w:adjustRightInd w:val="0"/>
        <w:spacing w:line="240" w:lineRule="auto"/>
        <w:jc w:val="both"/>
        <w:rPr>
          <w:szCs w:val="22"/>
          <w:lang w:val="lv-LV" w:eastAsia="de-DE"/>
        </w:rPr>
      </w:pPr>
    </w:p>
    <w:p w14:paraId="3299309B" w14:textId="77777777" w:rsidR="00AA3FD5" w:rsidRPr="008C106C" w:rsidRDefault="00AA3FD5" w:rsidP="00F13EC0">
      <w:pPr>
        <w:keepNext/>
        <w:autoSpaceDE w:val="0"/>
        <w:autoSpaceDN w:val="0"/>
        <w:adjustRightInd w:val="0"/>
        <w:jc w:val="both"/>
        <w:rPr>
          <w:bCs/>
          <w:i/>
          <w:iCs/>
          <w:color w:val="000000"/>
          <w:szCs w:val="22"/>
          <w:lang w:val="lv-LV"/>
        </w:rPr>
      </w:pPr>
      <w:r w:rsidRPr="008C106C">
        <w:rPr>
          <w:bCs/>
          <w:i/>
          <w:iCs/>
          <w:color w:val="000000"/>
          <w:szCs w:val="22"/>
          <w:lang w:val="lv-LV"/>
        </w:rPr>
        <w:t>Pacienti ar nieru darbības traucējumiem</w:t>
      </w:r>
    </w:p>
    <w:p w14:paraId="39EA8B31" w14:textId="77777777" w:rsidR="00AA3FD5" w:rsidRPr="008C106C" w:rsidRDefault="00AA3FD5"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Pacientiem ar viegliem vai vidēji smagiem nieru darbības traucējumiem deva nav jā</w:t>
      </w:r>
      <w:r w:rsidR="00EB7E21" w:rsidRPr="008C106C">
        <w:rPr>
          <w:szCs w:val="22"/>
          <w:lang w:val="lv-LV" w:eastAsia="de-DE"/>
        </w:rPr>
        <w:t>pielāgo (skatīt 5.2. apakšpunktu</w:t>
      </w:r>
      <w:r w:rsidRPr="008C106C">
        <w:rPr>
          <w:szCs w:val="22"/>
          <w:lang w:val="lv-LV" w:eastAsia="de-DE"/>
        </w:rPr>
        <w:t>).</w:t>
      </w:r>
    </w:p>
    <w:p w14:paraId="75EAAB51" w14:textId="77777777" w:rsidR="00DA7A8E" w:rsidRPr="008C106C" w:rsidRDefault="00DA7A8E" w:rsidP="00F13EC0">
      <w:pPr>
        <w:tabs>
          <w:tab w:val="clear" w:pos="567"/>
        </w:tabs>
        <w:autoSpaceDE w:val="0"/>
        <w:autoSpaceDN w:val="0"/>
        <w:adjustRightInd w:val="0"/>
        <w:spacing w:line="240" w:lineRule="auto"/>
        <w:jc w:val="both"/>
        <w:rPr>
          <w:szCs w:val="22"/>
          <w:lang w:val="lv-LV" w:eastAsia="de-DE"/>
        </w:rPr>
      </w:pPr>
    </w:p>
    <w:p w14:paraId="46BB3E6F" w14:textId="77777777" w:rsidR="006C6238" w:rsidRPr="008C106C" w:rsidRDefault="00AA3FD5" w:rsidP="00F13EC0">
      <w:pPr>
        <w:tabs>
          <w:tab w:val="clear" w:pos="567"/>
        </w:tabs>
        <w:autoSpaceDE w:val="0"/>
        <w:autoSpaceDN w:val="0"/>
        <w:adjustRightInd w:val="0"/>
        <w:spacing w:line="240" w:lineRule="auto"/>
        <w:jc w:val="both"/>
        <w:rPr>
          <w:szCs w:val="22"/>
          <w:lang w:val="lv-LV"/>
        </w:rPr>
      </w:pPr>
      <w:r w:rsidRPr="008C106C">
        <w:rPr>
          <w:szCs w:val="22"/>
          <w:lang w:val="lv-LV"/>
        </w:rPr>
        <w:t>Maksimālā ieteicamā eszopiklona deva pacientiem ar smagiem nieru darbības traucējumiem ir 2 mg.</w:t>
      </w:r>
    </w:p>
    <w:p w14:paraId="1856F37B" w14:textId="77777777" w:rsidR="00AA3FD5" w:rsidRPr="008C106C" w:rsidRDefault="00AA3FD5" w:rsidP="00F13EC0">
      <w:pPr>
        <w:tabs>
          <w:tab w:val="clear" w:pos="567"/>
        </w:tabs>
        <w:autoSpaceDE w:val="0"/>
        <w:autoSpaceDN w:val="0"/>
        <w:adjustRightInd w:val="0"/>
        <w:spacing w:line="240" w:lineRule="auto"/>
        <w:jc w:val="both"/>
        <w:rPr>
          <w:szCs w:val="22"/>
          <w:lang w:val="lv-LV" w:eastAsia="de-DE"/>
        </w:rPr>
      </w:pPr>
    </w:p>
    <w:p w14:paraId="5AC77047" w14:textId="77777777" w:rsidR="00AA3FD5" w:rsidRPr="008C106C" w:rsidRDefault="00AA3FD5" w:rsidP="00F13EC0">
      <w:pPr>
        <w:jc w:val="both"/>
        <w:rPr>
          <w:i/>
          <w:szCs w:val="22"/>
          <w:lang w:val="lv-LV"/>
        </w:rPr>
      </w:pPr>
      <w:r w:rsidRPr="008C106C">
        <w:rPr>
          <w:i/>
          <w:szCs w:val="22"/>
          <w:lang w:val="lv-LV"/>
        </w:rPr>
        <w:t>Pediatriskā populācija</w:t>
      </w:r>
    </w:p>
    <w:p w14:paraId="302B2F48" w14:textId="77777777" w:rsidR="00AA3FD5" w:rsidRPr="008C106C" w:rsidRDefault="00AA3FD5" w:rsidP="00F13EC0">
      <w:pPr>
        <w:autoSpaceDE w:val="0"/>
        <w:autoSpaceDN w:val="0"/>
        <w:adjustRightInd w:val="0"/>
        <w:jc w:val="both"/>
        <w:rPr>
          <w:color w:val="000000"/>
          <w:szCs w:val="22"/>
          <w:lang w:val="lv-LV"/>
        </w:rPr>
      </w:pPr>
      <w:r w:rsidRPr="008C106C">
        <w:rPr>
          <w:color w:val="000000"/>
          <w:szCs w:val="22"/>
          <w:lang w:val="lv-LV"/>
        </w:rPr>
        <w:t xml:space="preserve">Eszopiklons nav ieteicams lietošanai bērniem un pusaudžiem līdz 18 gadu vecumam </w:t>
      </w:r>
      <w:r w:rsidRPr="008C106C">
        <w:rPr>
          <w:szCs w:val="22"/>
          <w:lang w:val="lv-LV"/>
        </w:rPr>
        <w:t>(skatīt 4.3. apakšpunktu).</w:t>
      </w:r>
      <w:r w:rsidRPr="008C106C">
        <w:rPr>
          <w:color w:val="000000"/>
          <w:szCs w:val="22"/>
          <w:lang w:val="lv-LV"/>
        </w:rPr>
        <w:t xml:space="preserve"> Eszopiklona drošums un efektivitāte bērniem un pusaudžiem līdz 18 gadu vecumam nav noskaidrot</w:t>
      </w:r>
      <w:r w:rsidR="00C0661B">
        <w:rPr>
          <w:color w:val="000000"/>
          <w:szCs w:val="22"/>
          <w:lang w:val="lv-LV"/>
        </w:rPr>
        <w:t>a</w:t>
      </w:r>
      <w:r w:rsidRPr="008C106C">
        <w:rPr>
          <w:color w:val="000000"/>
          <w:szCs w:val="22"/>
          <w:lang w:val="lv-LV"/>
        </w:rPr>
        <w:t xml:space="preserve">. </w:t>
      </w:r>
    </w:p>
    <w:p w14:paraId="03C1AEAF" w14:textId="77777777" w:rsidR="00F22F77" w:rsidRPr="008C106C" w:rsidRDefault="00F22F77" w:rsidP="00F13EC0">
      <w:pPr>
        <w:tabs>
          <w:tab w:val="clear" w:pos="567"/>
        </w:tabs>
        <w:autoSpaceDE w:val="0"/>
        <w:autoSpaceDN w:val="0"/>
        <w:adjustRightInd w:val="0"/>
        <w:spacing w:line="240" w:lineRule="auto"/>
        <w:jc w:val="both"/>
        <w:rPr>
          <w:szCs w:val="22"/>
          <w:lang w:val="lv-LV"/>
        </w:rPr>
      </w:pPr>
    </w:p>
    <w:p w14:paraId="385714AA" w14:textId="77777777" w:rsidR="00AA3FD5" w:rsidRPr="008C106C" w:rsidRDefault="00AA3FD5" w:rsidP="00F13EC0">
      <w:pPr>
        <w:keepNext/>
        <w:jc w:val="both"/>
        <w:rPr>
          <w:szCs w:val="22"/>
          <w:lang w:val="lv-LV"/>
        </w:rPr>
      </w:pPr>
      <w:r w:rsidRPr="008C106C">
        <w:rPr>
          <w:szCs w:val="22"/>
          <w:lang w:val="lv-LV"/>
        </w:rPr>
        <w:t>Lietošanas veids</w:t>
      </w:r>
    </w:p>
    <w:p w14:paraId="7FC09439" w14:textId="77777777" w:rsidR="00AA3FD5" w:rsidRPr="008C106C" w:rsidRDefault="00AA3FD5"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Esogno lieto perorāli.</w:t>
      </w:r>
    </w:p>
    <w:p w14:paraId="1A034014" w14:textId="77777777" w:rsidR="00AA3FD5" w:rsidRPr="008C106C" w:rsidRDefault="00AA3FD5" w:rsidP="00F13EC0">
      <w:pPr>
        <w:tabs>
          <w:tab w:val="clear" w:pos="567"/>
        </w:tabs>
        <w:autoSpaceDE w:val="0"/>
        <w:autoSpaceDN w:val="0"/>
        <w:adjustRightInd w:val="0"/>
        <w:spacing w:line="240" w:lineRule="auto"/>
        <w:jc w:val="both"/>
        <w:rPr>
          <w:szCs w:val="22"/>
          <w:lang w:val="lv-LV"/>
        </w:rPr>
      </w:pPr>
      <w:r w:rsidRPr="008C106C">
        <w:rPr>
          <w:szCs w:val="22"/>
          <w:lang w:val="lv-LV"/>
        </w:rPr>
        <w:t>Tabletes pirms norīšanas nedrīkst sasmalcināt vai salauzt, jo aktīvajai vielai ir rūgta garša.</w:t>
      </w:r>
    </w:p>
    <w:p w14:paraId="09BDEC00" w14:textId="77777777" w:rsidR="009F189A" w:rsidRPr="008C106C" w:rsidRDefault="009F189A" w:rsidP="00F13EC0">
      <w:pPr>
        <w:tabs>
          <w:tab w:val="clear" w:pos="567"/>
        </w:tabs>
        <w:autoSpaceDE w:val="0"/>
        <w:autoSpaceDN w:val="0"/>
        <w:adjustRightInd w:val="0"/>
        <w:spacing w:line="240" w:lineRule="auto"/>
        <w:jc w:val="both"/>
        <w:rPr>
          <w:szCs w:val="22"/>
          <w:lang w:val="lv-LV"/>
        </w:rPr>
      </w:pPr>
    </w:p>
    <w:p w14:paraId="56138055" w14:textId="77777777" w:rsidR="001D29E6" w:rsidRPr="008C106C" w:rsidRDefault="001D29E6" w:rsidP="00F13EC0">
      <w:pPr>
        <w:pStyle w:val="Heading2"/>
        <w:jc w:val="both"/>
        <w:rPr>
          <w:szCs w:val="22"/>
          <w:lang w:val="lv-LV"/>
        </w:rPr>
      </w:pPr>
      <w:r w:rsidRPr="008C106C">
        <w:rPr>
          <w:szCs w:val="22"/>
          <w:lang w:val="lv-LV"/>
        </w:rPr>
        <w:t>4.3</w:t>
      </w:r>
      <w:r w:rsidR="00373718" w:rsidRPr="008C106C">
        <w:rPr>
          <w:szCs w:val="22"/>
          <w:lang w:val="lv-LV"/>
        </w:rPr>
        <w:t>.</w:t>
      </w:r>
      <w:r w:rsidRPr="008C106C">
        <w:rPr>
          <w:szCs w:val="22"/>
          <w:lang w:val="lv-LV"/>
        </w:rPr>
        <w:tab/>
      </w:r>
      <w:r w:rsidR="00AA3FD5" w:rsidRPr="008C106C">
        <w:rPr>
          <w:bCs/>
          <w:szCs w:val="22"/>
          <w:lang w:val="lv-LV"/>
        </w:rPr>
        <w:t>Kontrindikācijas</w:t>
      </w:r>
    </w:p>
    <w:p w14:paraId="452F2FE5" w14:textId="77777777" w:rsidR="001D29E6" w:rsidRPr="008C106C" w:rsidRDefault="001D29E6" w:rsidP="00F13EC0">
      <w:pPr>
        <w:spacing w:line="240" w:lineRule="auto"/>
        <w:jc w:val="both"/>
        <w:rPr>
          <w:szCs w:val="22"/>
          <w:lang w:val="lv-LV"/>
        </w:rPr>
      </w:pPr>
    </w:p>
    <w:p w14:paraId="3E4D3710" w14:textId="77777777" w:rsidR="00AA3FD5" w:rsidRPr="008C106C" w:rsidRDefault="004E48E6" w:rsidP="00F13EC0">
      <w:pPr>
        <w:pStyle w:val="Default"/>
        <w:numPr>
          <w:ilvl w:val="0"/>
          <w:numId w:val="43"/>
        </w:numPr>
        <w:jc w:val="both"/>
        <w:rPr>
          <w:sz w:val="22"/>
          <w:szCs w:val="22"/>
          <w:lang w:val="lv-LV"/>
        </w:rPr>
      </w:pPr>
      <w:r w:rsidRPr="008C106C">
        <w:rPr>
          <w:sz w:val="22"/>
          <w:szCs w:val="22"/>
          <w:lang w:val="lv-LV"/>
        </w:rPr>
        <w:t>P</w:t>
      </w:r>
      <w:r w:rsidR="00AA3FD5" w:rsidRPr="008C106C">
        <w:rPr>
          <w:sz w:val="22"/>
          <w:szCs w:val="22"/>
          <w:lang w:val="lv-LV"/>
        </w:rPr>
        <w:t>aaugstināta jutība pret aktīvo vielu, zopiklonu vai jebkuru no 6.1. apakšp</w:t>
      </w:r>
      <w:r w:rsidRPr="008C106C">
        <w:rPr>
          <w:sz w:val="22"/>
          <w:szCs w:val="22"/>
          <w:lang w:val="lv-LV"/>
        </w:rPr>
        <w:t>unktā uzskaitītajām palīgvielām.</w:t>
      </w:r>
    </w:p>
    <w:p w14:paraId="3346369B" w14:textId="77777777" w:rsidR="00AA3FD5" w:rsidRPr="008C106C" w:rsidRDefault="004E48E6" w:rsidP="00F13EC0">
      <w:pPr>
        <w:pStyle w:val="Default"/>
        <w:numPr>
          <w:ilvl w:val="0"/>
          <w:numId w:val="43"/>
        </w:numPr>
        <w:jc w:val="both"/>
        <w:rPr>
          <w:sz w:val="22"/>
          <w:szCs w:val="22"/>
          <w:lang w:val="lv-LV"/>
        </w:rPr>
      </w:pPr>
      <w:r w:rsidRPr="008C106C">
        <w:rPr>
          <w:i/>
          <w:iCs/>
          <w:sz w:val="22"/>
          <w:szCs w:val="22"/>
          <w:lang w:val="lv-LV"/>
        </w:rPr>
        <w:t>M</w:t>
      </w:r>
      <w:r w:rsidR="00AA3FD5" w:rsidRPr="008C106C">
        <w:rPr>
          <w:i/>
          <w:iCs/>
          <w:sz w:val="22"/>
          <w:szCs w:val="22"/>
          <w:lang w:val="lv-LV"/>
        </w:rPr>
        <w:t>yasthenia gravis</w:t>
      </w:r>
      <w:r w:rsidRPr="008C106C">
        <w:rPr>
          <w:sz w:val="22"/>
          <w:szCs w:val="22"/>
          <w:lang w:val="lv-LV"/>
        </w:rPr>
        <w:t>.</w:t>
      </w:r>
    </w:p>
    <w:p w14:paraId="27A9B153" w14:textId="77777777" w:rsidR="00AA3FD5" w:rsidRPr="008C106C" w:rsidRDefault="004E48E6" w:rsidP="00F13EC0">
      <w:pPr>
        <w:pStyle w:val="Default"/>
        <w:numPr>
          <w:ilvl w:val="0"/>
          <w:numId w:val="43"/>
        </w:numPr>
        <w:jc w:val="both"/>
        <w:rPr>
          <w:sz w:val="22"/>
          <w:szCs w:val="22"/>
          <w:lang w:val="lv-LV"/>
        </w:rPr>
      </w:pPr>
      <w:r w:rsidRPr="008C106C">
        <w:rPr>
          <w:sz w:val="22"/>
          <w:szCs w:val="22"/>
          <w:lang w:val="lv-LV"/>
        </w:rPr>
        <w:t>S</w:t>
      </w:r>
      <w:r w:rsidR="00AA3FD5" w:rsidRPr="008C106C">
        <w:rPr>
          <w:sz w:val="22"/>
          <w:szCs w:val="22"/>
          <w:lang w:val="lv-LV"/>
        </w:rPr>
        <w:t>maga elpošanas mazspēja</w:t>
      </w:r>
      <w:r w:rsidRPr="008C106C">
        <w:rPr>
          <w:sz w:val="22"/>
          <w:szCs w:val="22"/>
          <w:lang w:val="lv-LV"/>
        </w:rPr>
        <w:t>.</w:t>
      </w:r>
    </w:p>
    <w:p w14:paraId="34048EE6" w14:textId="77777777" w:rsidR="00AA3FD5" w:rsidRPr="008C106C" w:rsidRDefault="00EB7E21" w:rsidP="00F13EC0">
      <w:pPr>
        <w:pStyle w:val="Default"/>
        <w:numPr>
          <w:ilvl w:val="0"/>
          <w:numId w:val="43"/>
        </w:numPr>
        <w:jc w:val="both"/>
        <w:rPr>
          <w:sz w:val="22"/>
          <w:szCs w:val="22"/>
          <w:lang w:val="lv-LV"/>
        </w:rPr>
      </w:pPr>
      <w:r w:rsidRPr="008C106C">
        <w:rPr>
          <w:sz w:val="22"/>
          <w:szCs w:val="22"/>
          <w:lang w:val="lv-LV"/>
        </w:rPr>
        <w:t>S</w:t>
      </w:r>
      <w:r w:rsidR="004E48E6" w:rsidRPr="008C106C">
        <w:rPr>
          <w:sz w:val="22"/>
          <w:szCs w:val="22"/>
          <w:lang w:val="lv-LV"/>
        </w:rPr>
        <w:t>mags miega apnojas sindroms.</w:t>
      </w:r>
    </w:p>
    <w:p w14:paraId="2DEAEDEA" w14:textId="77777777" w:rsidR="00AA3FD5" w:rsidRPr="008C106C" w:rsidRDefault="004E48E6" w:rsidP="00F13EC0">
      <w:pPr>
        <w:pStyle w:val="Default"/>
        <w:numPr>
          <w:ilvl w:val="0"/>
          <w:numId w:val="43"/>
        </w:numPr>
        <w:jc w:val="both"/>
        <w:rPr>
          <w:sz w:val="22"/>
          <w:szCs w:val="22"/>
          <w:lang w:val="lv-LV"/>
        </w:rPr>
      </w:pPr>
      <w:r w:rsidRPr="008C106C">
        <w:rPr>
          <w:sz w:val="22"/>
          <w:szCs w:val="22"/>
          <w:lang w:val="lv-LV"/>
        </w:rPr>
        <w:t>Smaga aknu mazspēja.</w:t>
      </w:r>
    </w:p>
    <w:p w14:paraId="28B5F41D" w14:textId="77777777" w:rsidR="00AA3FD5" w:rsidRPr="008C106C" w:rsidRDefault="004E48E6" w:rsidP="00F13EC0">
      <w:pPr>
        <w:pStyle w:val="Default"/>
        <w:numPr>
          <w:ilvl w:val="0"/>
          <w:numId w:val="43"/>
        </w:numPr>
        <w:jc w:val="both"/>
        <w:rPr>
          <w:sz w:val="22"/>
          <w:szCs w:val="22"/>
          <w:lang w:val="lv-LV"/>
        </w:rPr>
      </w:pPr>
      <w:r w:rsidRPr="008C106C">
        <w:rPr>
          <w:sz w:val="22"/>
          <w:szCs w:val="22"/>
          <w:lang w:val="lv-LV"/>
        </w:rPr>
        <w:t>G</w:t>
      </w:r>
      <w:r w:rsidR="00AA3FD5" w:rsidRPr="008C106C">
        <w:rPr>
          <w:sz w:val="22"/>
          <w:szCs w:val="22"/>
          <w:lang w:val="lv-LV"/>
        </w:rPr>
        <w:t>ados vecāki pacienti, kuri vienlaikus saņem spēcīgus CYP3A4 inhibi</w:t>
      </w:r>
      <w:r w:rsidRPr="008C106C">
        <w:rPr>
          <w:sz w:val="22"/>
          <w:szCs w:val="22"/>
          <w:lang w:val="lv-LV"/>
        </w:rPr>
        <w:t>torus (skatīt 4.5. apakšpunktu).</w:t>
      </w:r>
    </w:p>
    <w:p w14:paraId="6762C8A9" w14:textId="77777777" w:rsidR="00AA3FD5" w:rsidRPr="008C106C" w:rsidRDefault="004E48E6" w:rsidP="00F13EC0">
      <w:pPr>
        <w:pStyle w:val="Default"/>
        <w:numPr>
          <w:ilvl w:val="0"/>
          <w:numId w:val="43"/>
        </w:numPr>
        <w:jc w:val="both"/>
        <w:rPr>
          <w:sz w:val="22"/>
          <w:szCs w:val="22"/>
          <w:lang w:val="lv-LV"/>
        </w:rPr>
      </w:pPr>
      <w:r w:rsidRPr="008C106C">
        <w:rPr>
          <w:sz w:val="22"/>
          <w:szCs w:val="22"/>
          <w:lang w:val="lv-LV"/>
        </w:rPr>
        <w:lastRenderedPageBreak/>
        <w:t>B</w:t>
      </w:r>
      <w:r w:rsidR="00AA3FD5" w:rsidRPr="008C106C">
        <w:rPr>
          <w:sz w:val="22"/>
          <w:szCs w:val="22"/>
          <w:lang w:val="lv-LV"/>
        </w:rPr>
        <w:t>ērni un pusaudži līdz 18 gadu vecumam.</w:t>
      </w:r>
    </w:p>
    <w:p w14:paraId="53B8EA36" w14:textId="77777777" w:rsidR="001D29E6" w:rsidRPr="008C106C" w:rsidRDefault="001D29E6" w:rsidP="00F13EC0">
      <w:pPr>
        <w:spacing w:line="240" w:lineRule="auto"/>
        <w:jc w:val="both"/>
        <w:rPr>
          <w:szCs w:val="22"/>
          <w:lang w:val="lv-LV"/>
        </w:rPr>
      </w:pPr>
    </w:p>
    <w:p w14:paraId="77FE0C41" w14:textId="77777777" w:rsidR="001D29E6" w:rsidRPr="008C106C" w:rsidRDefault="001D29E6" w:rsidP="00F13EC0">
      <w:pPr>
        <w:pStyle w:val="Heading2"/>
        <w:jc w:val="both"/>
        <w:rPr>
          <w:szCs w:val="22"/>
          <w:lang w:val="lv-LV"/>
        </w:rPr>
      </w:pPr>
      <w:r w:rsidRPr="008C106C">
        <w:rPr>
          <w:szCs w:val="22"/>
          <w:lang w:val="lv-LV"/>
        </w:rPr>
        <w:t>4.4</w:t>
      </w:r>
      <w:r w:rsidR="00373718" w:rsidRPr="008C106C">
        <w:rPr>
          <w:szCs w:val="22"/>
          <w:lang w:val="lv-LV"/>
        </w:rPr>
        <w:t>.</w:t>
      </w:r>
      <w:r w:rsidRPr="008C106C">
        <w:rPr>
          <w:szCs w:val="22"/>
          <w:lang w:val="lv-LV"/>
        </w:rPr>
        <w:tab/>
      </w:r>
      <w:r w:rsidR="00AA3FD5" w:rsidRPr="008C106C">
        <w:rPr>
          <w:bCs/>
          <w:szCs w:val="22"/>
          <w:lang w:val="lv-LV"/>
        </w:rPr>
        <w:t>Īpaši brīdinājumi un piesardzība lietošanā</w:t>
      </w:r>
    </w:p>
    <w:p w14:paraId="6829165E" w14:textId="77777777" w:rsidR="007D317B" w:rsidRPr="008C106C" w:rsidRDefault="007D317B" w:rsidP="00F13EC0">
      <w:pPr>
        <w:jc w:val="both"/>
        <w:rPr>
          <w:szCs w:val="22"/>
          <w:lang w:val="lv-LV"/>
        </w:rPr>
      </w:pPr>
    </w:p>
    <w:p w14:paraId="0B4BFEA0" w14:textId="77777777" w:rsidR="00AD4E7C" w:rsidRPr="008C106C" w:rsidRDefault="00F4616F" w:rsidP="00F13EC0">
      <w:pPr>
        <w:jc w:val="both"/>
        <w:rPr>
          <w:i/>
          <w:szCs w:val="22"/>
          <w:lang w:val="lv-LV"/>
        </w:rPr>
      </w:pPr>
      <w:r w:rsidRPr="008C106C">
        <w:rPr>
          <w:i/>
          <w:szCs w:val="22"/>
          <w:lang w:val="lv-LV"/>
        </w:rPr>
        <w:t>Vispārīgi</w:t>
      </w:r>
    </w:p>
    <w:p w14:paraId="7D73F7DE" w14:textId="77777777" w:rsidR="00F4616F" w:rsidRPr="008C106C" w:rsidRDefault="00F4616F" w:rsidP="00F13EC0">
      <w:pPr>
        <w:pStyle w:val="Default"/>
        <w:jc w:val="both"/>
        <w:outlineLvl w:val="0"/>
        <w:rPr>
          <w:i/>
          <w:sz w:val="22"/>
          <w:szCs w:val="22"/>
          <w:lang w:val="lv-LV"/>
        </w:rPr>
      </w:pPr>
      <w:r w:rsidRPr="008C106C">
        <w:rPr>
          <w:bCs/>
          <w:sz w:val="22"/>
          <w:szCs w:val="22"/>
          <w:lang w:val="lv-LV"/>
        </w:rPr>
        <w:t>Vienmēr, kad tas iespējams, jānoskaidro bezmiega cēlonis un pirms miega līdzekļa ordinēšanas</w:t>
      </w:r>
      <w:r w:rsidR="00CD66FC" w:rsidRPr="008C106C">
        <w:rPr>
          <w:bCs/>
          <w:sz w:val="22"/>
          <w:szCs w:val="22"/>
          <w:lang w:val="lv-LV"/>
        </w:rPr>
        <w:t>,</w:t>
      </w:r>
      <w:r w:rsidRPr="008C106C">
        <w:rPr>
          <w:bCs/>
          <w:sz w:val="22"/>
          <w:szCs w:val="22"/>
          <w:lang w:val="lv-LV"/>
        </w:rPr>
        <w:t xml:space="preserve"> jālikvidē iespējamie izraisošie faktori. </w:t>
      </w:r>
      <w:r w:rsidRPr="008C106C">
        <w:rPr>
          <w:sz w:val="22"/>
          <w:szCs w:val="22"/>
          <w:lang w:val="lv-LV"/>
        </w:rPr>
        <w:t>Ja bezmiegs pēc 7 - 14 dienu ārstēšanas kursa nemazinās, tas var liecināt par primāru psihisku vai fizisku traucējumu klātbūtni, un pacienta stāvoklis regulāri jāizvērtē atkārtoti.</w:t>
      </w:r>
    </w:p>
    <w:p w14:paraId="64F9053E" w14:textId="77777777" w:rsidR="00AD4E7C" w:rsidRPr="008C106C" w:rsidRDefault="00AD4E7C" w:rsidP="00F13EC0">
      <w:pPr>
        <w:tabs>
          <w:tab w:val="clear" w:pos="567"/>
          <w:tab w:val="left" w:pos="28"/>
        </w:tabs>
        <w:spacing w:line="240" w:lineRule="auto"/>
        <w:jc w:val="both"/>
        <w:rPr>
          <w:szCs w:val="22"/>
          <w:lang w:val="lv-LV"/>
        </w:rPr>
      </w:pPr>
    </w:p>
    <w:p w14:paraId="404B16A2" w14:textId="77777777" w:rsidR="00F4616F" w:rsidRPr="008C106C" w:rsidRDefault="00F4616F" w:rsidP="00F13EC0">
      <w:pPr>
        <w:tabs>
          <w:tab w:val="clear" w:pos="567"/>
          <w:tab w:val="left" w:pos="28"/>
        </w:tabs>
        <w:spacing w:line="240" w:lineRule="auto"/>
        <w:jc w:val="both"/>
        <w:rPr>
          <w:i/>
          <w:szCs w:val="22"/>
          <w:lang w:val="lv-LV"/>
        </w:rPr>
      </w:pPr>
      <w:r w:rsidRPr="008C106C">
        <w:rPr>
          <w:i/>
          <w:szCs w:val="22"/>
          <w:lang w:val="lv-LV"/>
        </w:rPr>
        <w:t>Hroniski elpošanas traucējumi</w:t>
      </w:r>
    </w:p>
    <w:p w14:paraId="1BB0090A" w14:textId="77777777" w:rsidR="00F4616F" w:rsidRPr="008C106C" w:rsidRDefault="00F4616F" w:rsidP="00F13EC0">
      <w:pPr>
        <w:tabs>
          <w:tab w:val="clear" w:pos="567"/>
          <w:tab w:val="left" w:pos="28"/>
        </w:tabs>
        <w:spacing w:line="240" w:lineRule="auto"/>
        <w:jc w:val="both"/>
        <w:rPr>
          <w:szCs w:val="22"/>
          <w:lang w:val="lv-LV"/>
        </w:rPr>
      </w:pPr>
      <w:r w:rsidRPr="008C106C">
        <w:rPr>
          <w:szCs w:val="22"/>
          <w:lang w:val="lv-LV"/>
        </w:rPr>
        <w:t>Izrakstot eszopiklonu pacientiem ar elpošanas mazspēju, jāievēro piesardzība, jo ir pierādīts, ka benzodiazepīni un benzodiazepīniem līdzīgas vielas pasliktina elpošanas spēj</w:t>
      </w:r>
      <w:r w:rsidR="00CD66FC" w:rsidRPr="008C106C">
        <w:rPr>
          <w:szCs w:val="22"/>
          <w:lang w:val="lv-LV"/>
        </w:rPr>
        <w:t>as</w:t>
      </w:r>
      <w:r w:rsidRPr="008C106C">
        <w:rPr>
          <w:szCs w:val="22"/>
          <w:lang w:val="lv-LV"/>
        </w:rPr>
        <w:t>.</w:t>
      </w:r>
    </w:p>
    <w:p w14:paraId="4B578359" w14:textId="77777777" w:rsidR="00F4616F" w:rsidRPr="008C106C" w:rsidRDefault="00F4616F" w:rsidP="00F13EC0">
      <w:pPr>
        <w:tabs>
          <w:tab w:val="clear" w:pos="567"/>
          <w:tab w:val="left" w:pos="28"/>
        </w:tabs>
        <w:spacing w:line="240" w:lineRule="auto"/>
        <w:jc w:val="both"/>
        <w:rPr>
          <w:szCs w:val="22"/>
          <w:lang w:val="lv-LV"/>
        </w:rPr>
      </w:pPr>
    </w:p>
    <w:p w14:paraId="7756C871" w14:textId="77777777" w:rsidR="007D317B" w:rsidRPr="008C106C" w:rsidRDefault="00F4616F" w:rsidP="00F13EC0">
      <w:pPr>
        <w:tabs>
          <w:tab w:val="clear" w:pos="567"/>
          <w:tab w:val="left" w:pos="28"/>
        </w:tabs>
        <w:spacing w:line="240" w:lineRule="auto"/>
        <w:jc w:val="both"/>
        <w:rPr>
          <w:i/>
          <w:szCs w:val="22"/>
          <w:lang w:val="lv-LV"/>
        </w:rPr>
      </w:pPr>
      <w:r w:rsidRPr="008C106C">
        <w:rPr>
          <w:i/>
          <w:szCs w:val="22"/>
          <w:lang w:val="lv-LV"/>
        </w:rPr>
        <w:t>Opioīdu vienlaicīgas lietošanas risks</w:t>
      </w:r>
    </w:p>
    <w:p w14:paraId="57549275" w14:textId="77777777" w:rsidR="00F70FF0" w:rsidRPr="008C106C" w:rsidRDefault="00F4616F" w:rsidP="00F13EC0">
      <w:pPr>
        <w:tabs>
          <w:tab w:val="clear" w:pos="567"/>
          <w:tab w:val="left" w:pos="28"/>
        </w:tabs>
        <w:spacing w:line="240" w:lineRule="auto"/>
        <w:jc w:val="both"/>
        <w:rPr>
          <w:szCs w:val="22"/>
          <w:lang w:val="lv-LV"/>
        </w:rPr>
      </w:pPr>
      <w:r w:rsidRPr="008C106C">
        <w:rPr>
          <w:szCs w:val="22"/>
          <w:lang w:val="lv-LV"/>
        </w:rPr>
        <w:t xml:space="preserve">Vienlaicīga eszopiklona lietošana ar opioīdiem var izraisīt sedāciju, elpošanas nomākumu, komu un nāvi. </w:t>
      </w:r>
      <w:r w:rsidR="00CD66FC" w:rsidRPr="008C106C">
        <w:rPr>
          <w:szCs w:val="22"/>
          <w:lang w:val="lv-LV"/>
        </w:rPr>
        <w:t>Vienlaicīga</w:t>
      </w:r>
      <w:r w:rsidR="00F70FF0" w:rsidRPr="008C106C">
        <w:rPr>
          <w:szCs w:val="22"/>
          <w:lang w:val="lv-LV"/>
        </w:rPr>
        <w:t xml:space="preserve"> nomierinošu zāļu, tādu kā benzodiazepīni, vai saistītu zāļu, piemēram, eszopiklona, izrakstīšana kopā ar opioīdiem</w:t>
      </w:r>
      <w:r w:rsidR="00CD66FC" w:rsidRPr="008C106C">
        <w:rPr>
          <w:szCs w:val="22"/>
          <w:lang w:val="lv-LV"/>
        </w:rPr>
        <w:t>,</w:t>
      </w:r>
      <w:r w:rsidR="00F70FF0" w:rsidRPr="008C106C">
        <w:rPr>
          <w:szCs w:val="22"/>
          <w:lang w:val="lv-LV"/>
        </w:rPr>
        <w:t xml:space="preserve"> </w:t>
      </w:r>
      <w:r w:rsidR="00CD66FC" w:rsidRPr="008C106C">
        <w:rPr>
          <w:szCs w:val="22"/>
          <w:lang w:val="lv-LV"/>
        </w:rPr>
        <w:t>pieļaujama tikai</w:t>
      </w:r>
      <w:r w:rsidR="00ED0811" w:rsidRPr="008C106C">
        <w:rPr>
          <w:szCs w:val="22"/>
          <w:lang w:val="lv-LV"/>
        </w:rPr>
        <w:t xml:space="preserve"> </w:t>
      </w:r>
      <w:r w:rsidR="00CD66FC" w:rsidRPr="008C106C">
        <w:rPr>
          <w:szCs w:val="22"/>
          <w:lang w:val="lv-LV"/>
        </w:rPr>
        <w:t xml:space="preserve">tādiem </w:t>
      </w:r>
      <w:r w:rsidR="00ED0811" w:rsidRPr="008C106C">
        <w:rPr>
          <w:szCs w:val="22"/>
          <w:lang w:val="lv-LV"/>
        </w:rPr>
        <w:t>pacientiem, kuriem alternatīva ārstēšana nav iespējama. Ja tiek pieņemts lēmums parakstīt eszopiklonu vienlaicīgai lietošanai ar opioīdiem, jāparaksta mazākā efektīvā deva, un ārstēšanas ilgumam jābūt pēc iespējas īsākam (skatīt lietošanas rekomendācijas 4.2. apakšpunktā).</w:t>
      </w:r>
    </w:p>
    <w:p w14:paraId="628372A3" w14:textId="77777777" w:rsidR="00ED0811" w:rsidRPr="008C106C" w:rsidRDefault="00ED0811" w:rsidP="00F13EC0">
      <w:pPr>
        <w:pStyle w:val="BodyText1"/>
        <w:ind w:firstLine="0"/>
        <w:rPr>
          <w:rFonts w:ascii="Times New Roman" w:hAnsi="Times New Roman"/>
          <w:color w:val="auto"/>
          <w:sz w:val="22"/>
          <w:szCs w:val="22"/>
          <w:lang w:val="lv-LV"/>
        </w:rPr>
      </w:pPr>
    </w:p>
    <w:p w14:paraId="67D1B2C6" w14:textId="77777777" w:rsidR="00ED0811" w:rsidRPr="008C106C" w:rsidRDefault="00ED0811" w:rsidP="00F13EC0">
      <w:pPr>
        <w:pStyle w:val="BodyText1"/>
        <w:ind w:firstLine="0"/>
        <w:rPr>
          <w:rFonts w:ascii="Times New Roman" w:hAnsi="Times New Roman"/>
          <w:color w:val="auto"/>
          <w:sz w:val="22"/>
          <w:szCs w:val="22"/>
          <w:lang w:val="lv-LV"/>
        </w:rPr>
      </w:pPr>
      <w:r w:rsidRPr="008C106C">
        <w:rPr>
          <w:rFonts w:ascii="Times New Roman" w:hAnsi="Times New Roman"/>
          <w:color w:val="auto"/>
          <w:sz w:val="22"/>
          <w:szCs w:val="22"/>
          <w:lang w:val="lv-LV"/>
        </w:rPr>
        <w:t>Pacienti rūpīgi jānovēro attiecībā uz elpošanas nomākuma un sedācijas pazīmēm un simptomiem. Noteikti jāinformē pacienti un viņu aprūpētāji (ja ir pieejami) par šo simptomu iespējamību (skatīt 4.5. apakšpunktu).</w:t>
      </w:r>
    </w:p>
    <w:p w14:paraId="72C454C8" w14:textId="77777777" w:rsidR="007D317B" w:rsidRPr="008C106C" w:rsidRDefault="007D317B" w:rsidP="00F13EC0">
      <w:pPr>
        <w:tabs>
          <w:tab w:val="clear" w:pos="567"/>
          <w:tab w:val="left" w:pos="28"/>
        </w:tabs>
        <w:spacing w:line="240" w:lineRule="auto"/>
        <w:jc w:val="both"/>
        <w:rPr>
          <w:szCs w:val="22"/>
          <w:lang w:val="lv-LV"/>
        </w:rPr>
      </w:pPr>
    </w:p>
    <w:p w14:paraId="70F56A59" w14:textId="77777777" w:rsidR="00ED0811" w:rsidRPr="008C106C" w:rsidRDefault="00ED0811" w:rsidP="00F13EC0">
      <w:pPr>
        <w:pStyle w:val="Default"/>
        <w:jc w:val="both"/>
        <w:outlineLvl w:val="0"/>
        <w:rPr>
          <w:i/>
          <w:sz w:val="22"/>
          <w:szCs w:val="22"/>
          <w:lang w:val="lv-LV"/>
        </w:rPr>
      </w:pPr>
      <w:r w:rsidRPr="008C106C">
        <w:rPr>
          <w:bCs/>
          <w:i/>
          <w:sz w:val="22"/>
          <w:szCs w:val="22"/>
          <w:lang w:val="lv-LV"/>
        </w:rPr>
        <w:t>Atkarība</w:t>
      </w:r>
    </w:p>
    <w:p w14:paraId="11FDD58A" w14:textId="77777777" w:rsidR="00ED0811" w:rsidRPr="008C106C" w:rsidRDefault="00ED0811" w:rsidP="00F13EC0">
      <w:pPr>
        <w:tabs>
          <w:tab w:val="clear" w:pos="567"/>
          <w:tab w:val="left" w:pos="28"/>
        </w:tabs>
        <w:spacing w:line="240" w:lineRule="auto"/>
        <w:jc w:val="both"/>
        <w:rPr>
          <w:szCs w:val="22"/>
          <w:lang w:val="lv-LV"/>
        </w:rPr>
      </w:pPr>
      <w:r w:rsidRPr="008C106C">
        <w:rPr>
          <w:szCs w:val="22"/>
          <w:lang w:val="lv-LV"/>
        </w:rPr>
        <w:t>Benzodiazepīnu</w:t>
      </w:r>
      <w:r w:rsidR="00A1568F" w:rsidRPr="008C106C">
        <w:rPr>
          <w:szCs w:val="22"/>
          <w:lang w:val="lv-LV"/>
        </w:rPr>
        <w:t xml:space="preserve"> un benzodiazepīniem līdzīgu zāļu kā</w:t>
      </w:r>
      <w:r w:rsidRPr="008C106C">
        <w:rPr>
          <w:szCs w:val="22"/>
          <w:lang w:val="lv-LV"/>
        </w:rPr>
        <w:t>, piemēram, eszopiklona, lietošana var izraisīt fizisku vai psiholoģisku atkarību vai pierašanu.</w:t>
      </w:r>
    </w:p>
    <w:p w14:paraId="51F5D6B0" w14:textId="77777777" w:rsidR="00ED0811" w:rsidRPr="008C106C" w:rsidRDefault="00A1568F" w:rsidP="00F13EC0">
      <w:pPr>
        <w:tabs>
          <w:tab w:val="clear" w:pos="567"/>
          <w:tab w:val="left" w:pos="28"/>
        </w:tabs>
        <w:spacing w:line="240" w:lineRule="auto"/>
        <w:jc w:val="both"/>
        <w:rPr>
          <w:szCs w:val="22"/>
          <w:lang w:val="lv-LV"/>
        </w:rPr>
      </w:pPr>
      <w:r w:rsidRPr="008C106C">
        <w:rPr>
          <w:szCs w:val="22"/>
          <w:lang w:val="lv-LV"/>
        </w:rPr>
        <w:t>Atkarības risks:</w:t>
      </w:r>
    </w:p>
    <w:p w14:paraId="5F3A09AF" w14:textId="77777777" w:rsidR="00A1568F" w:rsidRPr="008C106C" w:rsidRDefault="00A1568F" w:rsidP="00F13EC0">
      <w:pPr>
        <w:pStyle w:val="ListParagraph"/>
        <w:numPr>
          <w:ilvl w:val="0"/>
          <w:numId w:val="44"/>
        </w:numPr>
        <w:tabs>
          <w:tab w:val="clear" w:pos="567"/>
          <w:tab w:val="left" w:pos="28"/>
        </w:tabs>
        <w:spacing w:line="240" w:lineRule="auto"/>
        <w:jc w:val="both"/>
        <w:rPr>
          <w:szCs w:val="22"/>
          <w:lang w:val="lv-LV"/>
        </w:rPr>
      </w:pPr>
      <w:r w:rsidRPr="008C106C">
        <w:rPr>
          <w:szCs w:val="22"/>
          <w:lang w:val="lv-LV"/>
        </w:rPr>
        <w:t>pieaug līdz ar devu un ārstēšanas ilgumu,</w:t>
      </w:r>
    </w:p>
    <w:p w14:paraId="5092600E" w14:textId="77777777" w:rsidR="00A1568F" w:rsidRPr="008C106C" w:rsidRDefault="00A1568F" w:rsidP="00F13EC0">
      <w:pPr>
        <w:pStyle w:val="ListParagraph"/>
        <w:numPr>
          <w:ilvl w:val="0"/>
          <w:numId w:val="44"/>
        </w:numPr>
        <w:tabs>
          <w:tab w:val="clear" w:pos="567"/>
          <w:tab w:val="left" w:pos="28"/>
        </w:tabs>
        <w:spacing w:line="240" w:lineRule="auto"/>
        <w:jc w:val="both"/>
        <w:rPr>
          <w:szCs w:val="22"/>
          <w:lang w:val="lv-LV"/>
        </w:rPr>
      </w:pPr>
      <w:r w:rsidRPr="008C106C">
        <w:rPr>
          <w:szCs w:val="22"/>
          <w:lang w:val="lv-LV"/>
        </w:rPr>
        <w:t>ir lielāks pacientiem ar psih</w:t>
      </w:r>
      <w:r w:rsidR="008C106C">
        <w:rPr>
          <w:szCs w:val="22"/>
          <w:lang w:val="lv-LV"/>
        </w:rPr>
        <w:t>iskiem traucējumiem anamnēzē un</w:t>
      </w:r>
      <w:r w:rsidRPr="008C106C">
        <w:rPr>
          <w:szCs w:val="22"/>
          <w:lang w:val="lv-LV"/>
        </w:rPr>
        <w:t>/ vai alkohola, narkotisko vielu vai narkotiku lietošanu,</w:t>
      </w:r>
    </w:p>
    <w:p w14:paraId="1A7BDEFE" w14:textId="77777777" w:rsidR="00A1568F" w:rsidRPr="008C106C" w:rsidRDefault="00A1568F" w:rsidP="00F13EC0">
      <w:pPr>
        <w:pStyle w:val="ListParagraph"/>
        <w:numPr>
          <w:ilvl w:val="0"/>
          <w:numId w:val="44"/>
        </w:numPr>
        <w:tabs>
          <w:tab w:val="clear" w:pos="567"/>
          <w:tab w:val="left" w:pos="28"/>
        </w:tabs>
        <w:spacing w:line="240" w:lineRule="auto"/>
        <w:jc w:val="both"/>
        <w:rPr>
          <w:szCs w:val="22"/>
          <w:lang w:val="lv-LV"/>
        </w:rPr>
      </w:pPr>
      <w:r w:rsidRPr="008C106C">
        <w:rPr>
          <w:szCs w:val="22"/>
          <w:lang w:val="lv-LV"/>
        </w:rPr>
        <w:t>ir lielāks pacientiem, kuriem ir izteikti personības traucējumi.</w:t>
      </w:r>
    </w:p>
    <w:p w14:paraId="1D266AF3" w14:textId="77777777" w:rsidR="00A1568F" w:rsidRPr="008C106C" w:rsidRDefault="00A1568F" w:rsidP="00F13EC0">
      <w:pPr>
        <w:tabs>
          <w:tab w:val="clear" w:pos="567"/>
          <w:tab w:val="left" w:pos="28"/>
        </w:tabs>
        <w:spacing w:line="240" w:lineRule="auto"/>
        <w:jc w:val="both"/>
        <w:rPr>
          <w:szCs w:val="22"/>
          <w:lang w:val="lv-LV"/>
        </w:rPr>
      </w:pPr>
    </w:p>
    <w:p w14:paraId="65E1BA5A" w14:textId="77777777" w:rsidR="00A1568F" w:rsidRPr="008C106C" w:rsidRDefault="00A1568F" w:rsidP="00F13EC0">
      <w:pPr>
        <w:pStyle w:val="Default"/>
        <w:jc w:val="both"/>
        <w:rPr>
          <w:sz w:val="22"/>
          <w:szCs w:val="22"/>
          <w:lang w:val="lv-LV"/>
        </w:rPr>
      </w:pPr>
      <w:r w:rsidRPr="008C106C">
        <w:rPr>
          <w:sz w:val="22"/>
          <w:szCs w:val="22"/>
          <w:lang w:val="lv-LV"/>
        </w:rPr>
        <w:t>Fiziskas atkarības gadījumā</w:t>
      </w:r>
      <w:r w:rsidR="008C106C">
        <w:rPr>
          <w:sz w:val="22"/>
          <w:szCs w:val="22"/>
          <w:lang w:val="lv-LV"/>
        </w:rPr>
        <w:t>,</w:t>
      </w:r>
      <w:r w:rsidRPr="008C106C">
        <w:rPr>
          <w:sz w:val="22"/>
          <w:szCs w:val="22"/>
          <w:lang w:val="lv-LV"/>
        </w:rPr>
        <w:t xml:space="preserve"> pēkšņa terapijas pārtraukšana, īpaši pēc ilgstošas ārstēšanas</w:t>
      </w:r>
      <w:r w:rsidR="00CD66FC" w:rsidRPr="008C106C">
        <w:rPr>
          <w:sz w:val="22"/>
          <w:szCs w:val="22"/>
          <w:lang w:val="lv-LV"/>
        </w:rPr>
        <w:t>,</w:t>
      </w:r>
      <w:r w:rsidRPr="008C106C">
        <w:rPr>
          <w:sz w:val="22"/>
          <w:szCs w:val="22"/>
          <w:lang w:val="lv-LV"/>
        </w:rPr>
        <w:t xml:space="preserve"> var izraisīt abstinences simptomus: galvassāpes, sāpes muskuļos, trauksmi, spriedzi, </w:t>
      </w:r>
      <w:r w:rsidR="00B33940">
        <w:rPr>
          <w:sz w:val="22"/>
          <w:szCs w:val="22"/>
          <w:lang w:val="lv-LV"/>
        </w:rPr>
        <w:t>nemieru</w:t>
      </w:r>
      <w:r w:rsidRPr="008C106C">
        <w:rPr>
          <w:sz w:val="22"/>
          <w:szCs w:val="22"/>
          <w:lang w:val="lv-LV"/>
        </w:rPr>
        <w:t>, apjukum</w:t>
      </w:r>
      <w:r w:rsidR="00B33940">
        <w:rPr>
          <w:sz w:val="22"/>
          <w:szCs w:val="22"/>
          <w:lang w:val="lv-LV"/>
        </w:rPr>
        <w:t>u</w:t>
      </w:r>
      <w:r w:rsidRPr="008C106C">
        <w:rPr>
          <w:sz w:val="22"/>
          <w:szCs w:val="22"/>
          <w:lang w:val="lv-LV"/>
        </w:rPr>
        <w:t xml:space="preserve"> un aizkaitināmību. Tāpēc ieteicams devu samazināt pakāpeniski, kā arī attiecīgi brīdināt pacientu. Smagos gadījumos var rasties šādi simptomi: realitātes uztveres traucējumi, depersonalizācija, paasināta dzirde, nejutīguma un notirpuma sajūta locekļos, paaugstināta jutība pret gaismu</w:t>
      </w:r>
      <w:r w:rsidR="00695381" w:rsidRPr="008C106C">
        <w:rPr>
          <w:sz w:val="22"/>
          <w:szCs w:val="22"/>
          <w:lang w:val="lv-LV"/>
        </w:rPr>
        <w:t>, skaņu</w:t>
      </w:r>
      <w:r w:rsidRPr="008C106C">
        <w:rPr>
          <w:sz w:val="22"/>
          <w:szCs w:val="22"/>
          <w:lang w:val="lv-LV"/>
        </w:rPr>
        <w:t xml:space="preserve"> vai jebkādu fizisku kairinājumu, halucinācijas un krampji.</w:t>
      </w:r>
    </w:p>
    <w:p w14:paraId="1FB6F2E0" w14:textId="77777777" w:rsidR="00A1568F" w:rsidRPr="008C106C" w:rsidRDefault="00A1568F" w:rsidP="00F13EC0">
      <w:pPr>
        <w:pStyle w:val="Default"/>
        <w:jc w:val="both"/>
        <w:rPr>
          <w:sz w:val="22"/>
          <w:szCs w:val="22"/>
          <w:lang w:val="lv-LV"/>
        </w:rPr>
      </w:pPr>
    </w:p>
    <w:p w14:paraId="48904F98" w14:textId="77777777" w:rsidR="00A1568F" w:rsidRPr="008C106C" w:rsidRDefault="00695381" w:rsidP="00F13EC0">
      <w:pPr>
        <w:tabs>
          <w:tab w:val="clear" w:pos="567"/>
          <w:tab w:val="left" w:pos="28"/>
        </w:tabs>
        <w:spacing w:line="240" w:lineRule="auto"/>
        <w:jc w:val="both"/>
        <w:rPr>
          <w:szCs w:val="22"/>
          <w:lang w:val="lv-LV"/>
        </w:rPr>
      </w:pPr>
      <w:r w:rsidRPr="008C106C">
        <w:rPr>
          <w:szCs w:val="22"/>
          <w:lang w:val="lv-LV"/>
        </w:rPr>
        <w:t>Pacienti, kuriem nepieciešama ilgstoša ārstēšana (skatīt 4.</w:t>
      </w:r>
      <w:r w:rsidR="00CD66FC" w:rsidRPr="008C106C">
        <w:rPr>
          <w:szCs w:val="22"/>
          <w:lang w:val="lv-LV"/>
        </w:rPr>
        <w:t>2. apakšpunktu), regulāri jāuzr</w:t>
      </w:r>
      <w:r w:rsidRPr="008C106C">
        <w:rPr>
          <w:szCs w:val="22"/>
          <w:lang w:val="lv-LV"/>
        </w:rPr>
        <w:t>auga un jāizvērtē, vai nav parādījušās iespējamās atkarības pazīmes (piemēram, zāļu lietošana lielākos daudzumos vai ilgāku laiku nekā bija paredzēts, pastāvīga vēlme vai neveiksmīgi centieni samazināt vai kontrolēt zāļu lietošanu)</w:t>
      </w:r>
      <w:r w:rsidR="00B33940">
        <w:rPr>
          <w:szCs w:val="22"/>
          <w:lang w:val="lv-LV"/>
        </w:rPr>
        <w:t>,</w:t>
      </w:r>
      <w:r w:rsidRPr="008C106C">
        <w:rPr>
          <w:szCs w:val="22"/>
          <w:lang w:val="lv-LV"/>
        </w:rPr>
        <w:t xml:space="preserve"> un jākoriģē atbilstoši klīniskajām vajadzībām.</w:t>
      </w:r>
    </w:p>
    <w:p w14:paraId="634A5A5A" w14:textId="77777777" w:rsidR="00A56E9E" w:rsidRPr="008C106C" w:rsidRDefault="00A56E9E" w:rsidP="00F13EC0">
      <w:pPr>
        <w:tabs>
          <w:tab w:val="clear" w:pos="567"/>
          <w:tab w:val="left" w:pos="0"/>
        </w:tabs>
        <w:spacing w:line="240" w:lineRule="auto"/>
        <w:jc w:val="both"/>
        <w:rPr>
          <w:szCs w:val="22"/>
          <w:lang w:val="lv-LV"/>
        </w:rPr>
      </w:pPr>
    </w:p>
    <w:p w14:paraId="36790A42" w14:textId="77777777" w:rsidR="00C15226" w:rsidRPr="008C106C" w:rsidRDefault="00695381" w:rsidP="00F13EC0">
      <w:pPr>
        <w:tabs>
          <w:tab w:val="clear" w:pos="567"/>
          <w:tab w:val="left" w:pos="0"/>
        </w:tabs>
        <w:spacing w:line="240" w:lineRule="auto"/>
        <w:jc w:val="both"/>
        <w:rPr>
          <w:i/>
          <w:szCs w:val="22"/>
          <w:lang w:val="lv-LV"/>
        </w:rPr>
      </w:pPr>
      <w:r w:rsidRPr="008C106C">
        <w:rPr>
          <w:i/>
          <w:szCs w:val="22"/>
          <w:lang w:val="lv-LV"/>
        </w:rPr>
        <w:t>Abstinence</w:t>
      </w:r>
    </w:p>
    <w:p w14:paraId="5C8B5E77" w14:textId="77777777" w:rsidR="00695381" w:rsidRPr="008C106C" w:rsidRDefault="00695381" w:rsidP="00F13EC0">
      <w:pPr>
        <w:tabs>
          <w:tab w:val="clear" w:pos="567"/>
          <w:tab w:val="left" w:pos="0"/>
        </w:tabs>
        <w:spacing w:line="240" w:lineRule="auto"/>
        <w:jc w:val="both"/>
        <w:rPr>
          <w:szCs w:val="22"/>
          <w:lang w:val="lv-LV"/>
        </w:rPr>
      </w:pPr>
      <w:r w:rsidRPr="008C106C">
        <w:rPr>
          <w:szCs w:val="22"/>
          <w:lang w:val="lv-LV"/>
        </w:rPr>
        <w:t>Pēc eszopiklona terapijas pārtraukšanas ziņots par abstinences simptomiem (ieskaitot sāpes vēderā, galvassāpes, palielinātu apetīti un bezmiegu).</w:t>
      </w:r>
    </w:p>
    <w:p w14:paraId="69B3E8EC" w14:textId="77777777" w:rsidR="007D7286" w:rsidRPr="008C106C" w:rsidRDefault="007D7286" w:rsidP="00F13EC0">
      <w:pPr>
        <w:tabs>
          <w:tab w:val="clear" w:pos="567"/>
          <w:tab w:val="left" w:pos="0"/>
        </w:tabs>
        <w:spacing w:line="240" w:lineRule="auto"/>
        <w:jc w:val="both"/>
        <w:rPr>
          <w:szCs w:val="22"/>
          <w:lang w:val="lv-LV"/>
        </w:rPr>
      </w:pPr>
    </w:p>
    <w:p w14:paraId="35FBA2F1" w14:textId="77777777" w:rsidR="00B04141" w:rsidRPr="008C106C" w:rsidRDefault="00B04141" w:rsidP="00F13EC0">
      <w:pPr>
        <w:tabs>
          <w:tab w:val="clear" w:pos="567"/>
          <w:tab w:val="left" w:pos="0"/>
        </w:tabs>
        <w:spacing w:line="240" w:lineRule="auto"/>
        <w:jc w:val="both"/>
        <w:rPr>
          <w:bCs/>
          <w:i/>
          <w:szCs w:val="22"/>
          <w:lang w:val="lv-LV"/>
        </w:rPr>
      </w:pPr>
      <w:r w:rsidRPr="008C106C">
        <w:rPr>
          <w:bCs/>
          <w:i/>
          <w:szCs w:val="22"/>
          <w:lang w:val="lv-LV"/>
        </w:rPr>
        <w:t>Bezmiega atjaunošanās</w:t>
      </w:r>
    </w:p>
    <w:p w14:paraId="11A6BF09" w14:textId="77777777" w:rsidR="004E48E6" w:rsidRPr="008C106C" w:rsidRDefault="004E48E6" w:rsidP="00F13EC0">
      <w:pPr>
        <w:tabs>
          <w:tab w:val="clear" w:pos="567"/>
        </w:tabs>
        <w:spacing w:line="240" w:lineRule="auto"/>
        <w:jc w:val="both"/>
        <w:rPr>
          <w:szCs w:val="22"/>
          <w:lang w:val="lv-LV"/>
        </w:rPr>
      </w:pPr>
      <w:r w:rsidRPr="008C106C">
        <w:rPr>
          <w:szCs w:val="22"/>
          <w:lang w:val="lv-LV"/>
        </w:rPr>
        <w:t>Pēc eszopiklona lietošanas pārtraukšanas novēroja atsitiena bezmiegu, kas izpaudās kā iemigšanas laika pagarināšanās vienu vai divas naktis. Šie traucējumi izzuda bez iejaukšanās. Ir svarīgi, lai pacienti zinātu par atsitiena reakcijas iespējamību un tādējādi mazinātos trauksme, ja šo zāļu lietošanas pārtraukšanas gadījumā rodas šādi simptomi.</w:t>
      </w:r>
    </w:p>
    <w:p w14:paraId="44FB7AAF" w14:textId="77777777" w:rsidR="00B04141" w:rsidRPr="008C106C" w:rsidRDefault="00B04141" w:rsidP="00F13EC0">
      <w:pPr>
        <w:spacing w:line="240" w:lineRule="auto"/>
        <w:jc w:val="both"/>
        <w:rPr>
          <w:i/>
          <w:iCs/>
          <w:szCs w:val="22"/>
          <w:highlight w:val="yellow"/>
          <w:lang w:val="lv-LV"/>
        </w:rPr>
      </w:pPr>
    </w:p>
    <w:p w14:paraId="7E9E712C" w14:textId="77777777" w:rsidR="004E48E6" w:rsidRPr="008C106C" w:rsidRDefault="004E48E6" w:rsidP="00F13EC0">
      <w:pPr>
        <w:spacing w:line="240" w:lineRule="auto"/>
        <w:jc w:val="both"/>
        <w:rPr>
          <w:color w:val="D13438"/>
          <w:szCs w:val="22"/>
          <w:lang w:val="lv-LV"/>
        </w:rPr>
      </w:pPr>
      <w:r w:rsidRPr="008C106C">
        <w:rPr>
          <w:i/>
          <w:iCs/>
          <w:szCs w:val="22"/>
          <w:lang w:val="lv-LV"/>
        </w:rPr>
        <w:lastRenderedPageBreak/>
        <w:t>Pierašana</w:t>
      </w:r>
    </w:p>
    <w:p w14:paraId="1F68B0E1" w14:textId="77777777" w:rsidR="004E48E6" w:rsidRPr="008C106C" w:rsidRDefault="004E48E6" w:rsidP="00F13EC0">
      <w:pPr>
        <w:spacing w:line="240" w:lineRule="auto"/>
        <w:jc w:val="both"/>
        <w:rPr>
          <w:szCs w:val="22"/>
          <w:lang w:val="lv-LV"/>
        </w:rPr>
      </w:pPr>
      <w:r w:rsidRPr="008C106C">
        <w:rPr>
          <w:szCs w:val="22"/>
          <w:lang w:val="lv-LV"/>
        </w:rPr>
        <w:t>Eszopiklona klīniskajos pētījumos līdz sešiem mēnešiem ilgos terapijas periodos, vērtējot visus miega parametrus, pierašanas veidošanos nekonstatēja (skatīt 5.1. apakšpunktu).</w:t>
      </w:r>
    </w:p>
    <w:p w14:paraId="0E566003" w14:textId="77777777" w:rsidR="00E41667" w:rsidRPr="008C106C" w:rsidRDefault="00E41667" w:rsidP="00F13EC0">
      <w:pPr>
        <w:spacing w:line="240" w:lineRule="auto"/>
        <w:jc w:val="both"/>
        <w:rPr>
          <w:szCs w:val="22"/>
          <w:lang w:val="lv-LV"/>
        </w:rPr>
      </w:pPr>
    </w:p>
    <w:p w14:paraId="22AE1661" w14:textId="77777777" w:rsidR="00B04141" w:rsidRPr="008C106C" w:rsidRDefault="00B04141" w:rsidP="00F13EC0">
      <w:pPr>
        <w:pStyle w:val="Default"/>
        <w:jc w:val="both"/>
        <w:outlineLvl w:val="0"/>
        <w:rPr>
          <w:bCs/>
          <w:i/>
          <w:sz w:val="22"/>
          <w:szCs w:val="22"/>
          <w:lang w:val="lv-LV"/>
        </w:rPr>
      </w:pPr>
      <w:r w:rsidRPr="008C106C">
        <w:rPr>
          <w:i/>
          <w:sz w:val="22"/>
          <w:szCs w:val="22"/>
          <w:lang w:val="lv-LV"/>
        </w:rPr>
        <w:t xml:space="preserve">Atmiņas un </w:t>
      </w:r>
      <w:r w:rsidRPr="008C106C">
        <w:rPr>
          <w:bCs/>
          <w:i/>
          <w:sz w:val="22"/>
          <w:szCs w:val="22"/>
          <w:lang w:val="lv-LV"/>
        </w:rPr>
        <w:t>psihomotorie traucējumi</w:t>
      </w:r>
    </w:p>
    <w:p w14:paraId="0B9D3F10" w14:textId="77777777" w:rsidR="007D7286" w:rsidRPr="008C106C" w:rsidRDefault="00B04141" w:rsidP="00F13EC0">
      <w:pPr>
        <w:spacing w:line="240" w:lineRule="auto"/>
        <w:jc w:val="both"/>
        <w:rPr>
          <w:szCs w:val="22"/>
          <w:lang w:val="lv-LV"/>
        </w:rPr>
      </w:pPr>
      <w:r w:rsidRPr="008C106C">
        <w:rPr>
          <w:szCs w:val="22"/>
          <w:lang w:val="lv-LV"/>
        </w:rPr>
        <w:t xml:space="preserve">Benzodiazepīni un benzodiazepīniem līdzīgas vielas, piemēram, eszopiklons, var izraisīt anterogēnu amnēziju un psihomotorus traucējumus, kā nejaušus ievainojumus un kritienus. Īpaši </w:t>
      </w:r>
      <w:r w:rsidR="00B33940">
        <w:rPr>
          <w:szCs w:val="22"/>
          <w:lang w:val="lv-LV"/>
        </w:rPr>
        <w:t>gados vecāki</w:t>
      </w:r>
      <w:r w:rsidRPr="008C106C">
        <w:rPr>
          <w:szCs w:val="22"/>
          <w:lang w:val="lv-LV"/>
        </w:rPr>
        <w:t xml:space="preserve"> pacienti var būt jutīgāki pret kritieniem, kas var izraisīt traumas, piemēram, gūžas kaula lūzumus.</w:t>
      </w:r>
    </w:p>
    <w:p w14:paraId="2A8908A7" w14:textId="77777777" w:rsidR="00B04141" w:rsidRPr="008C106C" w:rsidRDefault="00B04141" w:rsidP="00F13EC0">
      <w:pPr>
        <w:spacing w:line="240" w:lineRule="auto"/>
        <w:jc w:val="both"/>
        <w:rPr>
          <w:szCs w:val="22"/>
          <w:lang w:val="lv-LV"/>
        </w:rPr>
      </w:pPr>
      <w:r w:rsidRPr="008C106C">
        <w:rPr>
          <w:szCs w:val="22"/>
          <w:lang w:val="lv-LV"/>
        </w:rPr>
        <w:t>Amnēzija parasti notiek vairākas stundas pēc zāļu ieņemšanas. Lai samazinātu risku, pacientiem jāpārliecinās, ka viņi varēs nepārtraukti gulēt vismaz 8 stunda</w:t>
      </w:r>
      <w:r w:rsidR="00CD66FC" w:rsidRPr="008C106C">
        <w:rPr>
          <w:szCs w:val="22"/>
          <w:lang w:val="lv-LV"/>
        </w:rPr>
        <w:t>s</w:t>
      </w:r>
      <w:r w:rsidRPr="008C106C">
        <w:rPr>
          <w:szCs w:val="22"/>
          <w:lang w:val="lv-LV"/>
        </w:rPr>
        <w:t xml:space="preserve"> (skatīt 4.8. apakšpunktu).</w:t>
      </w:r>
    </w:p>
    <w:p w14:paraId="661DBF37" w14:textId="77777777" w:rsidR="00B04141" w:rsidRPr="008C106C" w:rsidRDefault="00B04141" w:rsidP="00F13EC0">
      <w:pPr>
        <w:spacing w:line="240" w:lineRule="auto"/>
        <w:jc w:val="both"/>
        <w:rPr>
          <w:szCs w:val="22"/>
          <w:lang w:val="lv-LV"/>
        </w:rPr>
      </w:pPr>
    </w:p>
    <w:p w14:paraId="1E3D84F0" w14:textId="77777777" w:rsidR="00133171" w:rsidRPr="008C106C" w:rsidRDefault="00B04141" w:rsidP="00F13EC0">
      <w:pPr>
        <w:pStyle w:val="MGGTextLeft"/>
        <w:jc w:val="both"/>
        <w:rPr>
          <w:szCs w:val="22"/>
          <w:lang w:val="lv-LV"/>
        </w:rPr>
      </w:pPr>
      <w:r w:rsidRPr="008C106C">
        <w:rPr>
          <w:szCs w:val="22"/>
          <w:lang w:val="lv-LV"/>
        </w:rPr>
        <w:t>Nākamās dienas psihomotorās darbības</w:t>
      </w:r>
      <w:r w:rsidR="00CD66FC" w:rsidRPr="008C106C">
        <w:rPr>
          <w:szCs w:val="22"/>
          <w:lang w:val="lv-LV"/>
        </w:rPr>
        <w:t xml:space="preserve"> traucējumu</w:t>
      </w:r>
      <w:r w:rsidR="00BF2886" w:rsidRPr="008C106C">
        <w:rPr>
          <w:szCs w:val="22"/>
          <w:lang w:val="lv-LV"/>
        </w:rPr>
        <w:t>, ieskaitot traucētu spēju</w:t>
      </w:r>
      <w:r w:rsidRPr="008C106C">
        <w:rPr>
          <w:szCs w:val="22"/>
          <w:lang w:val="lv-LV"/>
        </w:rPr>
        <w:t xml:space="preserve"> </w:t>
      </w:r>
      <w:r w:rsidR="00BF2886" w:rsidRPr="008C106C">
        <w:rPr>
          <w:bCs/>
          <w:szCs w:val="22"/>
          <w:lang w:val="lv-LV"/>
        </w:rPr>
        <w:t>vadīt transportlīdzekļus</w:t>
      </w:r>
      <w:r w:rsidRPr="008C106C">
        <w:rPr>
          <w:szCs w:val="22"/>
          <w:lang w:val="lv-LV"/>
        </w:rPr>
        <w:t>, risks palielinās, ja:</w:t>
      </w:r>
    </w:p>
    <w:p w14:paraId="3921AA81" w14:textId="77777777" w:rsidR="00BF2886" w:rsidRPr="008C106C" w:rsidRDefault="00BF2886" w:rsidP="00F13EC0">
      <w:pPr>
        <w:pStyle w:val="MGGTextLeft"/>
        <w:numPr>
          <w:ilvl w:val="0"/>
          <w:numId w:val="45"/>
        </w:numPr>
        <w:jc w:val="both"/>
        <w:rPr>
          <w:szCs w:val="22"/>
          <w:lang w:val="lv-LV"/>
        </w:rPr>
      </w:pPr>
      <w:r w:rsidRPr="008C106C">
        <w:rPr>
          <w:szCs w:val="22"/>
          <w:lang w:val="lv-LV"/>
        </w:rPr>
        <w:t>eszopiklonu lieto mazāk nekā 12 stundu laikā pirms tādu darbību veikšanas, kurām nepieciešama modrība (skatīt 4.7. apakšpunktu);</w:t>
      </w:r>
    </w:p>
    <w:p w14:paraId="5B96DCFF" w14:textId="77777777" w:rsidR="00BF2886" w:rsidRPr="008C106C" w:rsidRDefault="00BF2886" w:rsidP="00F13EC0">
      <w:pPr>
        <w:pStyle w:val="MGGTextLeft"/>
        <w:numPr>
          <w:ilvl w:val="0"/>
          <w:numId w:val="45"/>
        </w:numPr>
        <w:jc w:val="both"/>
        <w:rPr>
          <w:szCs w:val="22"/>
          <w:lang w:val="lv-LV"/>
        </w:rPr>
      </w:pPr>
      <w:r w:rsidRPr="008C106C">
        <w:rPr>
          <w:bCs/>
          <w:szCs w:val="22"/>
          <w:lang w:val="lv-LV"/>
        </w:rPr>
        <w:t>lietota par ieteicamo devu lielāka deva;</w:t>
      </w:r>
    </w:p>
    <w:p w14:paraId="45A8FD13" w14:textId="77777777" w:rsidR="00BF2886" w:rsidRPr="008C106C" w:rsidRDefault="00BF2886" w:rsidP="00F13EC0">
      <w:pPr>
        <w:pStyle w:val="Default"/>
        <w:numPr>
          <w:ilvl w:val="0"/>
          <w:numId w:val="45"/>
        </w:numPr>
        <w:jc w:val="both"/>
        <w:outlineLvl w:val="0"/>
        <w:rPr>
          <w:bCs/>
          <w:sz w:val="22"/>
          <w:szCs w:val="22"/>
          <w:lang w:val="lv-LV"/>
        </w:rPr>
      </w:pPr>
      <w:r w:rsidRPr="008C106C">
        <w:rPr>
          <w:bCs/>
          <w:sz w:val="22"/>
          <w:szCs w:val="22"/>
          <w:lang w:val="lv-LV"/>
        </w:rPr>
        <w:t>ja eszopiklonu lieto kopā ar citiem CNS depresantiem vai citām zālēm, kas paaugstina eszopiklona līmeni asinīs, ar alkoholu vai nelegālām narkotikām (skatīt 4.5. apakšpunktu).</w:t>
      </w:r>
    </w:p>
    <w:p w14:paraId="7F01A4F4" w14:textId="77777777" w:rsidR="00BF2886" w:rsidRPr="008C106C" w:rsidRDefault="00BF2886" w:rsidP="00F13EC0">
      <w:pPr>
        <w:pStyle w:val="MGGTextLeft"/>
        <w:jc w:val="both"/>
        <w:rPr>
          <w:szCs w:val="22"/>
          <w:lang w:val="lv-LV"/>
        </w:rPr>
      </w:pPr>
      <w:r w:rsidRPr="008C106C">
        <w:rPr>
          <w:szCs w:val="22"/>
          <w:lang w:val="lv-LV"/>
        </w:rPr>
        <w:t xml:space="preserve">Eszopiklons jālieto vienā reizē īsi pirms gulētiešanas, un </w:t>
      </w:r>
      <w:r w:rsidR="00CD66FC" w:rsidRPr="008C106C">
        <w:rPr>
          <w:szCs w:val="22"/>
          <w:lang w:val="lv-LV"/>
        </w:rPr>
        <w:t xml:space="preserve">tajā pašā naktī </w:t>
      </w:r>
      <w:r w:rsidRPr="008C106C">
        <w:rPr>
          <w:szCs w:val="22"/>
          <w:lang w:val="lv-LV"/>
        </w:rPr>
        <w:t xml:space="preserve">to nedrīkst </w:t>
      </w:r>
      <w:r w:rsidR="00CD66FC" w:rsidRPr="008C106C">
        <w:rPr>
          <w:szCs w:val="22"/>
          <w:lang w:val="lv-LV"/>
        </w:rPr>
        <w:t xml:space="preserve">lietot </w:t>
      </w:r>
      <w:r w:rsidRPr="008C106C">
        <w:rPr>
          <w:szCs w:val="22"/>
          <w:lang w:val="lv-LV"/>
        </w:rPr>
        <w:t>atkārt</w:t>
      </w:r>
      <w:r w:rsidR="00CD66FC" w:rsidRPr="008C106C">
        <w:rPr>
          <w:szCs w:val="22"/>
          <w:lang w:val="lv-LV"/>
        </w:rPr>
        <w:t>ot</w:t>
      </w:r>
      <w:r w:rsidRPr="008C106C">
        <w:rPr>
          <w:szCs w:val="22"/>
          <w:lang w:val="lv-LV"/>
        </w:rPr>
        <w:t>i.</w:t>
      </w:r>
    </w:p>
    <w:p w14:paraId="7D2229C9" w14:textId="77777777" w:rsidR="00B04141" w:rsidRPr="008C106C" w:rsidRDefault="00B04141" w:rsidP="00F13EC0">
      <w:pPr>
        <w:pStyle w:val="MGGTextLeft"/>
        <w:jc w:val="both"/>
        <w:rPr>
          <w:szCs w:val="22"/>
          <w:lang w:val="lv-LV"/>
        </w:rPr>
      </w:pPr>
    </w:p>
    <w:p w14:paraId="22A9FBAF" w14:textId="77777777" w:rsidR="0079363C" w:rsidRPr="008C106C" w:rsidRDefault="00BF2886" w:rsidP="00F13EC0">
      <w:pPr>
        <w:tabs>
          <w:tab w:val="clear" w:pos="567"/>
          <w:tab w:val="left" w:pos="28"/>
        </w:tabs>
        <w:spacing w:line="240" w:lineRule="auto"/>
        <w:jc w:val="both"/>
        <w:rPr>
          <w:i/>
          <w:szCs w:val="22"/>
          <w:lang w:val="lv-LV"/>
        </w:rPr>
      </w:pPr>
      <w:r w:rsidRPr="008C106C">
        <w:rPr>
          <w:i/>
          <w:szCs w:val="22"/>
          <w:lang w:val="lv-LV"/>
        </w:rPr>
        <w:t>Depresija un pašnāvība</w:t>
      </w:r>
    </w:p>
    <w:p w14:paraId="6E291F32" w14:textId="77777777" w:rsidR="00BF2886" w:rsidRPr="008C106C" w:rsidRDefault="00BF2886" w:rsidP="00F13EC0">
      <w:pPr>
        <w:tabs>
          <w:tab w:val="clear" w:pos="567"/>
          <w:tab w:val="left" w:pos="28"/>
        </w:tabs>
        <w:spacing w:line="240" w:lineRule="auto"/>
        <w:jc w:val="both"/>
        <w:rPr>
          <w:szCs w:val="22"/>
          <w:lang w:val="lv-LV"/>
        </w:rPr>
      </w:pPr>
      <w:r w:rsidRPr="008C106C">
        <w:rPr>
          <w:szCs w:val="22"/>
          <w:lang w:val="lv-LV"/>
        </w:rPr>
        <w:t>Eszopiklons piesardzīgi jālieto pacientiem ar depresijas simptomiem.</w:t>
      </w:r>
    </w:p>
    <w:p w14:paraId="3A9EAAF7" w14:textId="77777777" w:rsidR="00BF2886" w:rsidRPr="008C106C" w:rsidRDefault="00BF2886" w:rsidP="00F13EC0">
      <w:pPr>
        <w:tabs>
          <w:tab w:val="clear" w:pos="567"/>
          <w:tab w:val="left" w:pos="28"/>
        </w:tabs>
        <w:spacing w:line="240" w:lineRule="auto"/>
        <w:jc w:val="both"/>
        <w:rPr>
          <w:szCs w:val="22"/>
          <w:lang w:val="lv-LV"/>
        </w:rPr>
      </w:pPr>
      <w:r w:rsidRPr="008C106C">
        <w:rPr>
          <w:szCs w:val="22"/>
          <w:lang w:val="lv-LV"/>
        </w:rPr>
        <w:t>Benzodiazepīnus un benzodiazepīniem līdzīgas vielas, piemēram, eszopiklonu, nevajadzētu lietot</w:t>
      </w:r>
      <w:r w:rsidR="00CD66FC" w:rsidRPr="008C106C">
        <w:rPr>
          <w:szCs w:val="22"/>
          <w:lang w:val="lv-LV"/>
        </w:rPr>
        <w:t>,</w:t>
      </w:r>
      <w:r w:rsidRPr="008C106C">
        <w:rPr>
          <w:szCs w:val="22"/>
          <w:lang w:val="lv-LV"/>
        </w:rPr>
        <w:t xml:space="preserve"> ja nav nozīmēta atbilstoša terapija, kas saistīta ar depresiju, dep</w:t>
      </w:r>
      <w:r w:rsidR="00CD66FC" w:rsidRPr="008C106C">
        <w:rPr>
          <w:szCs w:val="22"/>
          <w:lang w:val="lv-LV"/>
        </w:rPr>
        <w:t>resijas vai trauksmes ārstēšanu</w:t>
      </w:r>
      <w:r w:rsidRPr="008C106C">
        <w:rPr>
          <w:szCs w:val="22"/>
          <w:lang w:val="lv-LV"/>
        </w:rPr>
        <w:t xml:space="preserve"> (šādiem pacientiem </w:t>
      </w:r>
      <w:r w:rsidR="008D1214" w:rsidRPr="008C106C">
        <w:rPr>
          <w:szCs w:val="22"/>
          <w:lang w:val="lv-LV"/>
        </w:rPr>
        <w:t>pastāv</w:t>
      </w:r>
      <w:r w:rsidRPr="008C106C">
        <w:rPr>
          <w:szCs w:val="22"/>
          <w:lang w:val="lv-LV"/>
        </w:rPr>
        <w:t xml:space="preserve"> pašnāvība</w:t>
      </w:r>
      <w:r w:rsidR="008D1214" w:rsidRPr="008C106C">
        <w:rPr>
          <w:szCs w:val="22"/>
          <w:lang w:val="lv-LV"/>
        </w:rPr>
        <w:t>s risks</w:t>
      </w:r>
      <w:r w:rsidRPr="008C106C">
        <w:rPr>
          <w:szCs w:val="22"/>
          <w:lang w:val="lv-LV"/>
        </w:rPr>
        <w:t>).</w:t>
      </w:r>
    </w:p>
    <w:p w14:paraId="74118B7C" w14:textId="77777777" w:rsidR="00BF2886" w:rsidRPr="008C106C" w:rsidRDefault="008D1214" w:rsidP="00F13EC0">
      <w:pPr>
        <w:tabs>
          <w:tab w:val="clear" w:pos="567"/>
          <w:tab w:val="left" w:pos="28"/>
        </w:tabs>
        <w:spacing w:line="240" w:lineRule="auto"/>
        <w:jc w:val="both"/>
        <w:rPr>
          <w:szCs w:val="22"/>
          <w:lang w:val="lv-LV"/>
        </w:rPr>
      </w:pPr>
      <w:r w:rsidRPr="008C106C">
        <w:rPr>
          <w:szCs w:val="22"/>
          <w:lang w:val="lv-LV"/>
        </w:rPr>
        <w:t>Tā kā šie traucējumi var būt saistīti ar pašnāvības tendencēm iespēj</w:t>
      </w:r>
      <w:r w:rsidR="00CD66FC" w:rsidRPr="008C106C">
        <w:rPr>
          <w:szCs w:val="22"/>
          <w:lang w:val="lv-LV"/>
        </w:rPr>
        <w:t xml:space="preserve">amas apzinātas pārdozēšanas dēļ, </w:t>
      </w:r>
      <w:r w:rsidRPr="008C106C">
        <w:rPr>
          <w:szCs w:val="22"/>
          <w:lang w:val="lv-LV"/>
        </w:rPr>
        <w:t>šiem pacientiem jānodrošina pieeja mazākajam nepieciešamajam eszopiklona daudzumam (skatīt 5.1. apakšpunktu). Es</w:t>
      </w:r>
      <w:r w:rsidR="00665FF9" w:rsidRPr="008C106C">
        <w:rPr>
          <w:szCs w:val="22"/>
          <w:lang w:val="lv-LV"/>
        </w:rPr>
        <w:t>z</w:t>
      </w:r>
      <w:r w:rsidRPr="008C106C">
        <w:rPr>
          <w:szCs w:val="22"/>
          <w:lang w:val="lv-LV"/>
        </w:rPr>
        <w:t>opiklona lietošanas</w:t>
      </w:r>
      <w:r w:rsidR="005F1231">
        <w:rPr>
          <w:szCs w:val="22"/>
          <w:lang w:val="lv-LV"/>
        </w:rPr>
        <w:t xml:space="preserve"> laikā</w:t>
      </w:r>
      <w:r w:rsidRPr="008C106C">
        <w:rPr>
          <w:szCs w:val="22"/>
          <w:lang w:val="lv-LV"/>
        </w:rPr>
        <w:t xml:space="preserve"> var atklāt iepriekšēju depresiju.</w:t>
      </w:r>
    </w:p>
    <w:p w14:paraId="6021185E" w14:textId="77777777" w:rsidR="008D1214" w:rsidRPr="008C106C" w:rsidRDefault="008D1214" w:rsidP="00F13EC0">
      <w:pPr>
        <w:tabs>
          <w:tab w:val="clear" w:pos="567"/>
          <w:tab w:val="left" w:pos="28"/>
        </w:tabs>
        <w:spacing w:line="240" w:lineRule="auto"/>
        <w:jc w:val="both"/>
        <w:rPr>
          <w:i/>
          <w:szCs w:val="22"/>
          <w:lang w:val="lv-LV"/>
        </w:rPr>
      </w:pPr>
    </w:p>
    <w:p w14:paraId="70B0C5F5" w14:textId="77777777" w:rsidR="008D1214" w:rsidRPr="008C106C" w:rsidRDefault="008D1214" w:rsidP="00F13EC0">
      <w:pPr>
        <w:autoSpaceDE w:val="0"/>
        <w:autoSpaceDN w:val="0"/>
        <w:adjustRightInd w:val="0"/>
        <w:jc w:val="both"/>
        <w:rPr>
          <w:szCs w:val="22"/>
          <w:lang w:val="lv-LV"/>
        </w:rPr>
      </w:pPr>
      <w:r w:rsidRPr="008C106C">
        <w:rPr>
          <w:szCs w:val="22"/>
          <w:lang w:val="lv-LV"/>
        </w:rPr>
        <w:t>Vairāki epidemioloģiskie pētījumi liecina par palielinātu pašnāvības domu, pašnāvības mēģinājumu un pašnāvību sastopamību pacientiem ar depresiju vai bez tās, kurus ārstē ar benzodiazepīniem un citiem miega līdzekļiem, ieskaitot zopiklonu. Cēloņsakarība nav noteikta.</w:t>
      </w:r>
    </w:p>
    <w:p w14:paraId="48A732DA" w14:textId="77777777" w:rsidR="008D1214" w:rsidRPr="008C106C" w:rsidRDefault="008D1214" w:rsidP="00F13EC0">
      <w:pPr>
        <w:tabs>
          <w:tab w:val="clear" w:pos="567"/>
          <w:tab w:val="left" w:pos="28"/>
        </w:tabs>
        <w:spacing w:line="240" w:lineRule="auto"/>
        <w:jc w:val="both"/>
        <w:rPr>
          <w:i/>
          <w:szCs w:val="22"/>
          <w:lang w:val="lv-LV"/>
        </w:rPr>
      </w:pPr>
    </w:p>
    <w:p w14:paraId="5156AFEF" w14:textId="77777777" w:rsidR="00A56E9E" w:rsidRPr="008C106C" w:rsidRDefault="008D1214" w:rsidP="00F13EC0">
      <w:pPr>
        <w:tabs>
          <w:tab w:val="clear" w:pos="567"/>
          <w:tab w:val="left" w:pos="28"/>
        </w:tabs>
        <w:spacing w:line="240" w:lineRule="auto"/>
        <w:jc w:val="both"/>
        <w:rPr>
          <w:i/>
          <w:szCs w:val="22"/>
          <w:lang w:val="lv-LV"/>
        </w:rPr>
      </w:pPr>
      <w:r w:rsidRPr="008C106C">
        <w:rPr>
          <w:i/>
          <w:szCs w:val="22"/>
          <w:lang w:val="lv-LV"/>
        </w:rPr>
        <w:t>Alkohola, narkotisko vielu un narkotiku lietošana/ atkarība</w:t>
      </w:r>
    </w:p>
    <w:p w14:paraId="05A83C65" w14:textId="77777777" w:rsidR="008D1214" w:rsidRPr="008C106C" w:rsidRDefault="008D1214" w:rsidP="00F13EC0">
      <w:pPr>
        <w:tabs>
          <w:tab w:val="clear" w:pos="567"/>
          <w:tab w:val="left" w:pos="28"/>
        </w:tabs>
        <w:spacing w:line="240" w:lineRule="auto"/>
        <w:jc w:val="both"/>
        <w:rPr>
          <w:szCs w:val="22"/>
          <w:lang w:val="lv-LV"/>
        </w:rPr>
      </w:pPr>
      <w:r w:rsidRPr="008C106C">
        <w:rPr>
          <w:szCs w:val="22"/>
          <w:lang w:val="lv-LV"/>
        </w:rPr>
        <w:t>Eszopiklons jālieto ļoti piesardzīgi pacientiem, kuriem jau ir bijusi iepriekš vai ir alkohola, narkotisko un/ vai narkotisko vielu lietošana vai atkarība.</w:t>
      </w:r>
    </w:p>
    <w:p w14:paraId="222196A1" w14:textId="77777777" w:rsidR="002C6743" w:rsidRPr="008C106C" w:rsidRDefault="002C6743" w:rsidP="00F13EC0">
      <w:pPr>
        <w:tabs>
          <w:tab w:val="clear" w:pos="567"/>
          <w:tab w:val="left" w:pos="28"/>
        </w:tabs>
        <w:spacing w:line="240" w:lineRule="auto"/>
        <w:jc w:val="both"/>
        <w:rPr>
          <w:szCs w:val="22"/>
          <w:lang w:val="lv-LV"/>
        </w:rPr>
      </w:pPr>
    </w:p>
    <w:p w14:paraId="7D9C7135" w14:textId="77777777" w:rsidR="008D1214" w:rsidRPr="008C106C" w:rsidRDefault="008D1214" w:rsidP="00F13EC0">
      <w:pPr>
        <w:tabs>
          <w:tab w:val="clear" w:pos="567"/>
          <w:tab w:val="left" w:pos="28"/>
        </w:tabs>
        <w:spacing w:line="240" w:lineRule="auto"/>
        <w:jc w:val="both"/>
        <w:rPr>
          <w:i/>
          <w:szCs w:val="22"/>
          <w:lang w:val="lv-LV"/>
        </w:rPr>
      </w:pPr>
      <w:r w:rsidRPr="008C106C">
        <w:rPr>
          <w:i/>
          <w:szCs w:val="22"/>
          <w:lang w:val="lv-LV"/>
        </w:rPr>
        <w:t>Psihiskas un paradoksālas reakcijas</w:t>
      </w:r>
    </w:p>
    <w:p w14:paraId="75AFEC78" w14:textId="77777777" w:rsidR="008D1214" w:rsidRPr="008C106C" w:rsidRDefault="008D1214" w:rsidP="00F13EC0">
      <w:pPr>
        <w:tabs>
          <w:tab w:val="clear" w:pos="567"/>
          <w:tab w:val="left" w:pos="28"/>
        </w:tabs>
        <w:spacing w:line="240" w:lineRule="auto"/>
        <w:jc w:val="both"/>
        <w:rPr>
          <w:szCs w:val="22"/>
          <w:lang w:val="lv-LV"/>
        </w:rPr>
      </w:pPr>
      <w:r w:rsidRPr="008C106C">
        <w:rPr>
          <w:szCs w:val="22"/>
          <w:lang w:val="lv-LV"/>
        </w:rPr>
        <w:t xml:space="preserve">Ir zināms, ka, lietojot benzodiazepīnus vai benzodiazepīniem līdzīgas vielas, parādās tādas reakcijas kā nemierīgums, pastiprināts bezmiegs, uzbudinājums, aizkaitināmība, agresivitāte, maldi, niknums, </w:t>
      </w:r>
      <w:r w:rsidR="005F1231">
        <w:rPr>
          <w:szCs w:val="22"/>
          <w:lang w:val="lv-LV"/>
        </w:rPr>
        <w:t xml:space="preserve">nakts </w:t>
      </w:r>
      <w:r w:rsidRPr="008C106C">
        <w:rPr>
          <w:szCs w:val="22"/>
          <w:lang w:val="lv-LV"/>
        </w:rPr>
        <w:t xml:space="preserve">murgi, parasomnija, depersonalizācija, halucinācijas, psihozes, neatbilstoša izturēšanās un citas nelabvēlīgas izturēšanās sekas. Tās var būt </w:t>
      </w:r>
      <w:r w:rsidR="008A07A3" w:rsidRPr="008C106C">
        <w:rPr>
          <w:szCs w:val="22"/>
          <w:lang w:val="lv-LV"/>
        </w:rPr>
        <w:t>zāļu</w:t>
      </w:r>
      <w:r w:rsidRPr="008C106C">
        <w:rPr>
          <w:szCs w:val="22"/>
          <w:lang w:val="lv-LV"/>
        </w:rPr>
        <w:t xml:space="preserve"> izraisītas, spontānas izcelsmes vai izraisītu psihisku vai fizisku traucējumu rezultāts. Šīs reakcijas biežāk rodas gados vecākiem cilvēkiem. Jebkurai jaunai uzvedības pazīmei vai simptomam nepieciešama rūpīga un tūlītēja </w:t>
      </w:r>
      <w:r w:rsidR="008A07A3" w:rsidRPr="008C106C">
        <w:rPr>
          <w:szCs w:val="22"/>
          <w:lang w:val="lv-LV"/>
        </w:rPr>
        <w:t>iz</w:t>
      </w:r>
      <w:r w:rsidRPr="008C106C">
        <w:rPr>
          <w:szCs w:val="22"/>
          <w:lang w:val="lv-LV"/>
        </w:rPr>
        <w:t>vērtēšana</w:t>
      </w:r>
      <w:r w:rsidR="008A07A3" w:rsidRPr="008C106C">
        <w:rPr>
          <w:szCs w:val="22"/>
          <w:lang w:val="lv-LV"/>
        </w:rPr>
        <w:t>,</w:t>
      </w:r>
      <w:r w:rsidRPr="008C106C">
        <w:rPr>
          <w:szCs w:val="22"/>
          <w:lang w:val="lv-LV"/>
        </w:rPr>
        <w:t xml:space="preserve"> un</w:t>
      </w:r>
      <w:r w:rsidR="008A07A3" w:rsidRPr="008C106C">
        <w:rPr>
          <w:szCs w:val="22"/>
          <w:lang w:val="lv-LV"/>
        </w:rPr>
        <w:t xml:space="preserve"> jāapsver</w:t>
      </w:r>
      <w:r w:rsidR="00CD66FC" w:rsidRPr="008C106C">
        <w:rPr>
          <w:szCs w:val="22"/>
          <w:lang w:val="lv-LV"/>
        </w:rPr>
        <w:t>,</w:t>
      </w:r>
      <w:r w:rsidRPr="008C106C">
        <w:rPr>
          <w:szCs w:val="22"/>
          <w:lang w:val="lv-LV"/>
        </w:rPr>
        <w:t xml:space="preserve"> </w:t>
      </w:r>
      <w:r w:rsidR="008A07A3" w:rsidRPr="008C106C">
        <w:rPr>
          <w:szCs w:val="22"/>
          <w:lang w:val="lv-LV"/>
        </w:rPr>
        <w:t>vai nepieciešas pārtraukt eszopiklona lietošanu</w:t>
      </w:r>
      <w:r w:rsidRPr="008C106C">
        <w:rPr>
          <w:szCs w:val="22"/>
          <w:lang w:val="lv-LV"/>
        </w:rPr>
        <w:t>.</w:t>
      </w:r>
    </w:p>
    <w:p w14:paraId="790FBF49" w14:textId="77777777" w:rsidR="002C6743" w:rsidRPr="008C106C" w:rsidRDefault="002C6743" w:rsidP="00F13EC0">
      <w:pPr>
        <w:tabs>
          <w:tab w:val="clear" w:pos="567"/>
          <w:tab w:val="left" w:pos="28"/>
        </w:tabs>
        <w:spacing w:line="240" w:lineRule="auto"/>
        <w:jc w:val="both"/>
        <w:rPr>
          <w:szCs w:val="22"/>
          <w:lang w:val="lv-LV"/>
        </w:rPr>
      </w:pPr>
    </w:p>
    <w:p w14:paraId="6C2A51EC" w14:textId="77777777" w:rsidR="008A07A3" w:rsidRPr="008C106C" w:rsidRDefault="008A07A3" w:rsidP="00F13EC0">
      <w:pPr>
        <w:pStyle w:val="Heading2"/>
        <w:jc w:val="both"/>
        <w:rPr>
          <w:b w:val="0"/>
          <w:i/>
          <w:szCs w:val="22"/>
          <w:lang w:val="lv-LV"/>
        </w:rPr>
      </w:pPr>
      <w:r w:rsidRPr="008C106C">
        <w:rPr>
          <w:b w:val="0"/>
          <w:i/>
          <w:szCs w:val="22"/>
          <w:lang w:val="lv-LV"/>
        </w:rPr>
        <w:t>Somnambulisms un ar to saistīta uzvedība</w:t>
      </w:r>
    </w:p>
    <w:p w14:paraId="2E95B50F" w14:textId="77777777" w:rsidR="008A07A3" w:rsidRPr="008C106C" w:rsidRDefault="008A07A3" w:rsidP="00F13EC0">
      <w:pPr>
        <w:tabs>
          <w:tab w:val="clear" w:pos="567"/>
          <w:tab w:val="left" w:pos="28"/>
        </w:tabs>
        <w:spacing w:line="240" w:lineRule="auto"/>
        <w:jc w:val="both"/>
        <w:rPr>
          <w:color w:val="000000"/>
          <w:szCs w:val="22"/>
          <w:lang w:val="lv-LV"/>
        </w:rPr>
      </w:pPr>
      <w:r w:rsidRPr="008C106C">
        <w:rPr>
          <w:color w:val="000000"/>
          <w:szCs w:val="22"/>
          <w:lang w:val="lv-LV"/>
        </w:rPr>
        <w:t xml:space="preserve">Pacientiem, kuri lietojuši eszopiklonu un nav pilnībā pamodušies, ziņots par staigāšanu miegā un citu līdzīgu uzvedību, piemēram, „braukšanu ar automašīnu”, ēdiena gatavošanu un ēšanu vai zvanīšanu pa tālruni, vai mīlēšanos </w:t>
      </w:r>
      <w:r w:rsidR="00CD66FC" w:rsidRPr="008C106C">
        <w:rPr>
          <w:color w:val="000000"/>
          <w:szCs w:val="22"/>
          <w:lang w:val="lv-LV"/>
        </w:rPr>
        <w:t xml:space="preserve">miegā, </w:t>
      </w:r>
      <w:r w:rsidRPr="008C106C">
        <w:rPr>
          <w:color w:val="000000"/>
          <w:szCs w:val="22"/>
          <w:lang w:val="lv-LV"/>
        </w:rPr>
        <w:t>ar vēlāku amnēziju par šo rīcību.</w:t>
      </w:r>
    </w:p>
    <w:p w14:paraId="404FD0B3" w14:textId="77777777" w:rsidR="008A07A3" w:rsidRPr="008C106C" w:rsidRDefault="008A07A3" w:rsidP="00F13EC0">
      <w:pPr>
        <w:tabs>
          <w:tab w:val="clear" w:pos="567"/>
          <w:tab w:val="left" w:pos="28"/>
        </w:tabs>
        <w:spacing w:line="240" w:lineRule="auto"/>
        <w:jc w:val="both"/>
        <w:rPr>
          <w:color w:val="000000"/>
          <w:szCs w:val="22"/>
          <w:lang w:val="lv-LV"/>
        </w:rPr>
      </w:pPr>
      <w:r w:rsidRPr="008C106C">
        <w:rPr>
          <w:color w:val="000000"/>
          <w:szCs w:val="22"/>
          <w:lang w:val="lv-LV"/>
        </w:rPr>
        <w:t xml:space="preserve">Alkohola un citu CNS nomācošu līdzekļu lietošana vienlaikus ar eszopiklonu palielina šādas uzvedības risku, tāpat kā eszopiklona lietošana devās, kas pārsniedz maksimālo ieteicamo devu. Eszopiklona lietošanas pārtraukšana stingri jāapsver pacientiem, kuri ziņo par šādu uzvedību, iespējamā riska sev un citiem dēļ </w:t>
      </w:r>
      <w:r w:rsidRPr="008C106C">
        <w:rPr>
          <w:szCs w:val="22"/>
          <w:lang w:val="lv-LV"/>
        </w:rPr>
        <w:t>(skatīt 4.5. un 4.8. apakšpunktu).</w:t>
      </w:r>
    </w:p>
    <w:p w14:paraId="51062B1C" w14:textId="77777777" w:rsidR="00977C24" w:rsidRPr="008C106C" w:rsidRDefault="00977C24" w:rsidP="00F13EC0">
      <w:pPr>
        <w:spacing w:line="240" w:lineRule="auto"/>
        <w:jc w:val="both"/>
        <w:rPr>
          <w:szCs w:val="22"/>
          <w:lang w:val="lv-LV"/>
        </w:rPr>
      </w:pPr>
    </w:p>
    <w:p w14:paraId="74B0A0F8" w14:textId="77777777" w:rsidR="00373718" w:rsidRPr="008C106C" w:rsidRDefault="00373718" w:rsidP="00F13EC0">
      <w:pPr>
        <w:spacing w:line="240" w:lineRule="auto"/>
        <w:jc w:val="both"/>
        <w:rPr>
          <w:szCs w:val="22"/>
          <w:u w:val="single"/>
          <w:lang w:val="lv-LV"/>
        </w:rPr>
      </w:pPr>
      <w:r w:rsidRPr="008C106C">
        <w:rPr>
          <w:szCs w:val="22"/>
          <w:u w:val="single"/>
          <w:lang w:val="lv-LV" w:eastAsia="de-DE"/>
        </w:rPr>
        <w:t>Esogno satur nātriju</w:t>
      </w:r>
    </w:p>
    <w:p w14:paraId="371C3518" w14:textId="77777777" w:rsidR="00373718" w:rsidRPr="008C106C" w:rsidRDefault="00373718" w:rsidP="00F13EC0">
      <w:pPr>
        <w:autoSpaceDE w:val="0"/>
        <w:autoSpaceDN w:val="0"/>
        <w:adjustRightInd w:val="0"/>
        <w:jc w:val="both"/>
        <w:rPr>
          <w:noProof/>
          <w:szCs w:val="22"/>
          <w:lang w:val="lv-LV"/>
        </w:rPr>
      </w:pPr>
      <w:r w:rsidRPr="008C106C">
        <w:rPr>
          <w:szCs w:val="22"/>
          <w:lang w:val="lv-LV"/>
        </w:rPr>
        <w:t>Šīs zāles satur mazāk nekā 1mmol nātrija (23 mg) tabletē, zāles būtībā ir nātriju nesaturošas.</w:t>
      </w:r>
    </w:p>
    <w:p w14:paraId="502D9BE1" w14:textId="77777777" w:rsidR="00041DA7" w:rsidRPr="008C106C" w:rsidRDefault="00041DA7" w:rsidP="00F13EC0">
      <w:pPr>
        <w:spacing w:line="240" w:lineRule="auto"/>
        <w:jc w:val="both"/>
        <w:rPr>
          <w:szCs w:val="22"/>
          <w:lang w:val="lv-LV"/>
        </w:rPr>
      </w:pPr>
    </w:p>
    <w:p w14:paraId="00C1EF7E" w14:textId="77777777" w:rsidR="00373718" w:rsidRPr="008C106C" w:rsidRDefault="00373718" w:rsidP="00F13EC0">
      <w:pPr>
        <w:pStyle w:val="Default"/>
        <w:jc w:val="both"/>
        <w:rPr>
          <w:sz w:val="22"/>
          <w:szCs w:val="22"/>
          <w:lang w:val="lv-LV"/>
        </w:rPr>
      </w:pPr>
      <w:r w:rsidRPr="008C106C">
        <w:rPr>
          <w:b/>
          <w:bCs/>
          <w:sz w:val="22"/>
          <w:szCs w:val="22"/>
          <w:lang w:val="lv-LV"/>
        </w:rPr>
        <w:t>4.5.</w:t>
      </w:r>
      <w:r w:rsidRPr="008C106C">
        <w:rPr>
          <w:b/>
          <w:bCs/>
          <w:sz w:val="22"/>
          <w:szCs w:val="22"/>
          <w:lang w:val="lv-LV"/>
        </w:rPr>
        <w:tab/>
        <w:t>Mijiedarbība ar citām zālēm un citi mijiedarbības veidi</w:t>
      </w:r>
    </w:p>
    <w:p w14:paraId="2B0D65B4" w14:textId="77777777" w:rsidR="009F3DD5" w:rsidRPr="008C106C" w:rsidRDefault="009F3DD5" w:rsidP="00F13EC0">
      <w:pPr>
        <w:spacing w:line="240" w:lineRule="auto"/>
        <w:jc w:val="both"/>
        <w:rPr>
          <w:szCs w:val="22"/>
          <w:lang w:val="lv-LV"/>
        </w:rPr>
      </w:pPr>
    </w:p>
    <w:p w14:paraId="3C037552" w14:textId="77777777" w:rsidR="00007758" w:rsidRPr="008C106C" w:rsidRDefault="00007758" w:rsidP="00F13EC0">
      <w:pPr>
        <w:spacing w:line="240" w:lineRule="auto"/>
        <w:jc w:val="both"/>
        <w:rPr>
          <w:szCs w:val="22"/>
          <w:lang w:val="lv-LV"/>
        </w:rPr>
      </w:pPr>
      <w:r w:rsidRPr="008C106C">
        <w:rPr>
          <w:szCs w:val="22"/>
          <w:lang w:val="lv-LV"/>
        </w:rPr>
        <w:t>Jāizvairās no eszopikl</w:t>
      </w:r>
      <w:r w:rsidR="00653420" w:rsidRPr="008C106C">
        <w:rPr>
          <w:szCs w:val="22"/>
          <w:lang w:val="lv-LV"/>
        </w:rPr>
        <w:t>on</w:t>
      </w:r>
      <w:r w:rsidRPr="008C106C">
        <w:rPr>
          <w:szCs w:val="22"/>
          <w:lang w:val="lv-LV"/>
        </w:rPr>
        <w:t>a vienlaicīgas lietošanas ar alkoholu, jo eszopiklona sedatīvā iedarbība var pastiprināties (skatīt 4.7. apakšpunktu). Kombinācijā ar citiem centrālās nervu sistēmas (CNS) nomācējiem (piemēram, antipsihotiskiem līdzekļiem, anksiolītiskiem līdzekļiem, muskuļu relaksantiem, pretepilepsijas līdzekļiem un sedatīviem antihistamīna līdzekļiem) var pastiprināties centrālā sed</w:t>
      </w:r>
      <w:r w:rsidR="00653420" w:rsidRPr="008C106C">
        <w:rPr>
          <w:szCs w:val="22"/>
          <w:lang w:val="lv-LV"/>
        </w:rPr>
        <w:t>ā</w:t>
      </w:r>
      <w:r w:rsidRPr="008C106C">
        <w:rPr>
          <w:szCs w:val="22"/>
          <w:lang w:val="lv-LV"/>
        </w:rPr>
        <w:t>cija. Var būt nepieciešama eszopiklona devas samazināšana, ja to lieto vienlaikus ar līdzekļiem, kam ir zināma CNS nomācoša iedarbība, piemēram, olanzapīn</w:t>
      </w:r>
      <w:r w:rsidR="00676561">
        <w:rPr>
          <w:szCs w:val="22"/>
          <w:lang w:val="lv-LV"/>
        </w:rPr>
        <w:t>s</w:t>
      </w:r>
      <w:r w:rsidRPr="008C106C">
        <w:rPr>
          <w:szCs w:val="22"/>
          <w:lang w:val="lv-LV"/>
        </w:rPr>
        <w:t>.</w:t>
      </w:r>
    </w:p>
    <w:p w14:paraId="6BB8A257" w14:textId="77777777" w:rsidR="00007758" w:rsidRPr="008C106C" w:rsidRDefault="00007758" w:rsidP="00F13EC0">
      <w:pPr>
        <w:spacing w:line="240" w:lineRule="auto"/>
        <w:jc w:val="both"/>
        <w:rPr>
          <w:szCs w:val="22"/>
          <w:lang w:val="lv-LV"/>
        </w:rPr>
      </w:pPr>
    </w:p>
    <w:p w14:paraId="2538DA25" w14:textId="77777777" w:rsidR="002B6CA3" w:rsidRPr="008C106C" w:rsidRDefault="004E48E6" w:rsidP="00F13EC0">
      <w:pPr>
        <w:spacing w:line="240" w:lineRule="auto"/>
        <w:jc w:val="both"/>
        <w:rPr>
          <w:szCs w:val="22"/>
          <w:lang w:val="lv-LV"/>
        </w:rPr>
      </w:pPr>
      <w:r w:rsidRPr="008C106C">
        <w:rPr>
          <w:szCs w:val="22"/>
          <w:lang w:val="lv-LV"/>
        </w:rPr>
        <w:t xml:space="preserve">CYP3A4 enzīma iedarbība ir galvenais metabolisma ceļš, kas nodrošina eszopiklona elimināciju, otrs nozīmīgākais ir CYP2E1 enzīma ceļš. </w:t>
      </w:r>
      <w:r w:rsidR="00007758" w:rsidRPr="008C106C">
        <w:rPr>
          <w:szCs w:val="22"/>
          <w:lang w:val="lv-LV"/>
        </w:rPr>
        <w:t>V</w:t>
      </w:r>
      <w:r w:rsidR="004B39E5" w:rsidRPr="008C106C">
        <w:rPr>
          <w:szCs w:val="22"/>
          <w:lang w:val="lv-LV"/>
        </w:rPr>
        <w:t>ienlaik</w:t>
      </w:r>
      <w:r w:rsidR="00007758" w:rsidRPr="008C106C">
        <w:rPr>
          <w:szCs w:val="22"/>
          <w:lang w:val="lv-LV"/>
        </w:rPr>
        <w:t xml:space="preserve">us lietojot ketokonazolu 400 mg, kas ir spēcīgs CYP3A4 inhibitors, un eszopiklonu </w:t>
      </w:r>
      <w:r w:rsidR="004B39E5" w:rsidRPr="008C106C">
        <w:rPr>
          <w:szCs w:val="22"/>
          <w:lang w:val="lv-LV"/>
        </w:rPr>
        <w:t>5 dienas</w:t>
      </w:r>
      <w:r w:rsidR="00007758" w:rsidRPr="008C106C">
        <w:rPr>
          <w:szCs w:val="22"/>
          <w:lang w:val="lv-LV"/>
        </w:rPr>
        <w:t xml:space="preserve"> ilgi</w:t>
      </w:r>
      <w:r w:rsidR="004B39E5" w:rsidRPr="008C106C">
        <w:rPr>
          <w:szCs w:val="22"/>
          <w:lang w:val="lv-LV"/>
        </w:rPr>
        <w:t xml:space="preserve">, </w:t>
      </w:r>
      <w:r w:rsidR="00007758" w:rsidRPr="008C106C">
        <w:rPr>
          <w:szCs w:val="22"/>
          <w:lang w:val="lv-LV"/>
        </w:rPr>
        <w:t>eszopiklona iedarbība pieauga aptuveni div</w:t>
      </w:r>
      <w:r w:rsidR="00653420" w:rsidRPr="008C106C">
        <w:rPr>
          <w:szCs w:val="22"/>
          <w:lang w:val="lv-LV"/>
        </w:rPr>
        <w:t xml:space="preserve">as </w:t>
      </w:r>
      <w:r w:rsidR="00007758" w:rsidRPr="008C106C">
        <w:rPr>
          <w:szCs w:val="22"/>
          <w:lang w:val="lv-LV"/>
        </w:rPr>
        <w:t>reiz</w:t>
      </w:r>
      <w:r w:rsidR="00653420" w:rsidRPr="008C106C">
        <w:rPr>
          <w:szCs w:val="22"/>
          <w:lang w:val="lv-LV"/>
        </w:rPr>
        <w:t>es</w:t>
      </w:r>
      <w:r w:rsidR="00007758" w:rsidRPr="008C106C">
        <w:rPr>
          <w:szCs w:val="22"/>
          <w:lang w:val="lv-LV"/>
        </w:rPr>
        <w:t xml:space="preserve">. </w:t>
      </w:r>
      <w:r w:rsidR="004B39E5" w:rsidRPr="008C106C">
        <w:rPr>
          <w:szCs w:val="22"/>
          <w:lang w:val="lv-LV"/>
        </w:rPr>
        <w:t xml:space="preserve">Paredzams, ka citi spēcīgi CYP3A4 inhibitori (piemēram, citi </w:t>
      </w:r>
      <w:r w:rsidR="004D062F" w:rsidRPr="008C106C">
        <w:rPr>
          <w:szCs w:val="22"/>
          <w:lang w:val="lv-LV"/>
        </w:rPr>
        <w:t>azola grupas pretsēnīšu līdzekļi</w:t>
      </w:r>
      <w:r w:rsidR="004B39E5" w:rsidRPr="008C106C">
        <w:rPr>
          <w:szCs w:val="22"/>
          <w:lang w:val="lv-LV"/>
        </w:rPr>
        <w:t xml:space="preserve">, makrolīdu grupas antibiotikas, greipfrūtu sula) </w:t>
      </w:r>
      <w:r w:rsidR="00CA0980">
        <w:rPr>
          <w:szCs w:val="22"/>
          <w:lang w:val="lv-LV"/>
        </w:rPr>
        <w:t>iedarbosies</w:t>
      </w:r>
      <w:r w:rsidR="004B39E5" w:rsidRPr="008C106C">
        <w:rPr>
          <w:szCs w:val="22"/>
          <w:lang w:val="lv-LV"/>
        </w:rPr>
        <w:t xml:space="preserve"> līdzīgi.</w:t>
      </w:r>
      <w:r w:rsidR="00007758" w:rsidRPr="008C106C">
        <w:rPr>
          <w:szCs w:val="22"/>
          <w:lang w:val="lv-LV"/>
        </w:rPr>
        <w:t xml:space="preserve"> </w:t>
      </w:r>
      <w:r w:rsidR="004B39E5" w:rsidRPr="008C106C">
        <w:rPr>
          <w:szCs w:val="22"/>
          <w:lang w:val="lv-LV"/>
        </w:rPr>
        <w:t>Tā rezultātā eszopiklona hipnotiskā iedarbība var pastiprināties (skatīt 4.4. apakšpunktu). Ja to lieto vienlaikus ar CYP3A4 inhibitoriem, var būt nepieciešama eszopiklona devas samazināšana (skatīt</w:t>
      </w:r>
      <w:r w:rsidR="00653420" w:rsidRPr="008C106C">
        <w:rPr>
          <w:szCs w:val="22"/>
          <w:lang w:val="lv-LV"/>
        </w:rPr>
        <w:t xml:space="preserve"> </w:t>
      </w:r>
      <w:r w:rsidR="004B39E5" w:rsidRPr="008C106C">
        <w:rPr>
          <w:szCs w:val="22"/>
          <w:lang w:val="lv-LV"/>
        </w:rPr>
        <w:t>4.2. apakšpunktu). Gados vecākiem pacientiem, kuri vienlaikus saņem spēcīgus CYP3A4 inhibitorus, eszopiklons ir kontrindicēts (skatīt 4.3. apakšpunktu).</w:t>
      </w:r>
    </w:p>
    <w:p w14:paraId="11157EB5" w14:textId="77777777" w:rsidR="004B39E5" w:rsidRPr="008C106C" w:rsidRDefault="004B39E5" w:rsidP="00F13EC0">
      <w:pPr>
        <w:spacing w:line="240" w:lineRule="auto"/>
        <w:jc w:val="both"/>
        <w:rPr>
          <w:szCs w:val="22"/>
          <w:lang w:val="lv-LV"/>
        </w:rPr>
      </w:pPr>
      <w:r w:rsidRPr="008C106C">
        <w:rPr>
          <w:szCs w:val="22"/>
          <w:lang w:val="lv-LV"/>
        </w:rPr>
        <w:t>Vienlaicīgi lietojot rifampicīnu, spēcīgu CYP3A4 induktoru, racemiskā zopiklona iedarbība samazinājās par 80%. Līdzīgs efekts būtu sagaidāms, lietojot eszopiklonu un vienlaikus lietojot citus spēcīgus citohroma P450 enzīmu induktorus, piemēram, karbamazepīnu, fenitoīnu un asinszāli.</w:t>
      </w:r>
    </w:p>
    <w:p w14:paraId="00AAA140" w14:textId="77777777" w:rsidR="004B39E5" w:rsidRPr="008C106C" w:rsidRDefault="004B39E5" w:rsidP="00F13EC0">
      <w:pPr>
        <w:spacing w:line="240" w:lineRule="auto"/>
        <w:jc w:val="both"/>
        <w:rPr>
          <w:szCs w:val="22"/>
          <w:lang w:val="lv-LV"/>
        </w:rPr>
      </w:pPr>
    </w:p>
    <w:p w14:paraId="2CF8D045" w14:textId="77777777" w:rsidR="00373718" w:rsidRPr="008C106C" w:rsidRDefault="00373718" w:rsidP="00F13EC0">
      <w:pPr>
        <w:spacing w:line="240" w:lineRule="auto"/>
        <w:jc w:val="both"/>
        <w:rPr>
          <w:szCs w:val="22"/>
          <w:lang w:val="lv-LV"/>
        </w:rPr>
      </w:pPr>
      <w:r w:rsidRPr="008C106C">
        <w:rPr>
          <w:szCs w:val="22"/>
          <w:lang w:val="lv-LV"/>
        </w:rPr>
        <w:t>Eszopiklons neietekmēja paroksetīna, digoksīna, varfarīna farmakokinētisko vai farmakodinamisko profilu</w:t>
      </w:r>
      <w:r w:rsidR="00653420" w:rsidRPr="008C106C">
        <w:rPr>
          <w:szCs w:val="22"/>
          <w:lang w:val="lv-LV"/>
        </w:rPr>
        <w:t>,</w:t>
      </w:r>
      <w:r w:rsidRPr="008C106C">
        <w:rPr>
          <w:szCs w:val="22"/>
          <w:lang w:val="lv-LV"/>
        </w:rPr>
        <w:t xml:space="preserve"> vai lorazepāma farmakodinamisko profilu.</w:t>
      </w:r>
    </w:p>
    <w:p w14:paraId="605AAD80" w14:textId="77777777" w:rsidR="00373718" w:rsidRPr="008C106C" w:rsidRDefault="00373718" w:rsidP="00F13EC0">
      <w:pPr>
        <w:spacing w:line="240" w:lineRule="auto"/>
        <w:jc w:val="both"/>
        <w:rPr>
          <w:szCs w:val="22"/>
          <w:lang w:val="lv-LV"/>
        </w:rPr>
      </w:pPr>
    </w:p>
    <w:p w14:paraId="11BEE2F4" w14:textId="77777777" w:rsidR="00373718" w:rsidRPr="008C106C" w:rsidRDefault="00373718" w:rsidP="00F13EC0">
      <w:pPr>
        <w:spacing w:line="240" w:lineRule="auto"/>
        <w:jc w:val="both"/>
        <w:rPr>
          <w:szCs w:val="22"/>
          <w:lang w:val="lv-LV"/>
        </w:rPr>
      </w:pPr>
      <w:r w:rsidRPr="008C106C">
        <w:rPr>
          <w:szCs w:val="22"/>
          <w:lang w:val="lv-LV"/>
        </w:rPr>
        <w:t xml:space="preserve">Pacientiem ar garastāvokļa traucējumiem eszopiklona un fluoksetīna vai escitaloprama vienlaicīga lietošana nelabvēlīgi neietekmēja eszopiklona vai antidepresantu zāļu farmakodinamisko iedarbību (skatīt </w:t>
      </w:r>
      <w:r w:rsidR="0055213F">
        <w:rPr>
          <w:szCs w:val="22"/>
          <w:lang w:val="lv-LV"/>
        </w:rPr>
        <w:t xml:space="preserve">5.1. </w:t>
      </w:r>
      <w:r w:rsidRPr="008C106C">
        <w:rPr>
          <w:szCs w:val="22"/>
          <w:lang w:val="lv-LV"/>
        </w:rPr>
        <w:t>apakšpunktu).</w:t>
      </w:r>
    </w:p>
    <w:p w14:paraId="63156588" w14:textId="77777777" w:rsidR="002B6CA3" w:rsidRPr="008C106C" w:rsidRDefault="002B6CA3" w:rsidP="00F13EC0">
      <w:pPr>
        <w:spacing w:line="240" w:lineRule="auto"/>
        <w:jc w:val="both"/>
        <w:rPr>
          <w:szCs w:val="22"/>
          <w:lang w:val="lv-LV"/>
        </w:rPr>
      </w:pPr>
    </w:p>
    <w:p w14:paraId="46E509C4" w14:textId="77777777" w:rsidR="007D317B" w:rsidRPr="008C106C" w:rsidRDefault="00373718" w:rsidP="00F13EC0">
      <w:pPr>
        <w:spacing w:line="240" w:lineRule="auto"/>
        <w:jc w:val="both"/>
        <w:rPr>
          <w:szCs w:val="22"/>
          <w:lang w:val="lv-LV"/>
        </w:rPr>
      </w:pPr>
      <w:r w:rsidRPr="008C106C">
        <w:rPr>
          <w:szCs w:val="22"/>
          <w:lang w:val="lv-LV"/>
        </w:rPr>
        <w:t>Vienlaicīga benzodiazepīna vai benzodiazepīniem līdzīgu vielu lietošana ar narkotiskiem pretsāpju līdzekļiem var pastiprināt to eiforisko efektu un izraisīt fiziskās atkarības palielināšanos.</w:t>
      </w:r>
    </w:p>
    <w:p w14:paraId="5BB48B9A" w14:textId="77777777" w:rsidR="00373718" w:rsidRPr="008C106C" w:rsidRDefault="00373718" w:rsidP="00F13EC0">
      <w:pPr>
        <w:spacing w:line="240" w:lineRule="auto"/>
        <w:jc w:val="both"/>
        <w:rPr>
          <w:szCs w:val="22"/>
          <w:lang w:val="lv-LV"/>
        </w:rPr>
      </w:pPr>
    </w:p>
    <w:p w14:paraId="385C8643" w14:textId="77777777" w:rsidR="00373718" w:rsidRPr="008C106C" w:rsidRDefault="00373718" w:rsidP="00F13EC0">
      <w:pPr>
        <w:keepNext/>
        <w:autoSpaceDE w:val="0"/>
        <w:autoSpaceDN w:val="0"/>
        <w:adjustRightInd w:val="0"/>
        <w:jc w:val="both"/>
        <w:rPr>
          <w:i/>
          <w:szCs w:val="22"/>
          <w:lang w:val="lv-LV"/>
        </w:rPr>
      </w:pPr>
      <w:r w:rsidRPr="008C106C">
        <w:rPr>
          <w:i/>
          <w:szCs w:val="22"/>
          <w:lang w:val="lv-LV"/>
        </w:rPr>
        <w:t>Opioīdi</w:t>
      </w:r>
    </w:p>
    <w:p w14:paraId="509780B8" w14:textId="77777777" w:rsidR="00373718" w:rsidRPr="008C106C" w:rsidRDefault="00373718" w:rsidP="00F13EC0">
      <w:pPr>
        <w:autoSpaceDE w:val="0"/>
        <w:autoSpaceDN w:val="0"/>
        <w:adjustRightInd w:val="0"/>
        <w:jc w:val="both"/>
        <w:rPr>
          <w:szCs w:val="22"/>
          <w:lang w:val="lv-LV"/>
        </w:rPr>
      </w:pPr>
      <w:r w:rsidRPr="008C106C">
        <w:rPr>
          <w:szCs w:val="22"/>
          <w:lang w:val="lv-LV"/>
        </w:rPr>
        <w:t>Papildu CNS nomācošā efekta dēļ vienlaicīga benzodiazepīnu un citu līdzīgu zāļu, piemēram, eszopiklonu un opioīdu lietošana paaugstina sedācijas, elpošanas nomākuma, komas un nāves risku. Šādos gadījumos jāsamazina deva un benzodiazepīnu un opioīdu vienlaicīgas lietošanas ilgums (skatīt 4.4. apakšpunktu).</w:t>
      </w:r>
    </w:p>
    <w:p w14:paraId="5F31FE84" w14:textId="77777777" w:rsidR="00EF5E3C" w:rsidRPr="008C106C" w:rsidRDefault="00EF5E3C" w:rsidP="00F13EC0">
      <w:pPr>
        <w:spacing w:line="240" w:lineRule="auto"/>
        <w:jc w:val="both"/>
        <w:rPr>
          <w:szCs w:val="22"/>
          <w:lang w:val="lv-LV"/>
        </w:rPr>
      </w:pPr>
    </w:p>
    <w:p w14:paraId="1BFDE878" w14:textId="77777777" w:rsidR="001D29E6" w:rsidRPr="008C106C" w:rsidRDefault="001D29E6" w:rsidP="00F13EC0">
      <w:pPr>
        <w:pStyle w:val="Heading2"/>
        <w:jc w:val="both"/>
        <w:rPr>
          <w:szCs w:val="22"/>
          <w:lang w:val="lv-LV"/>
        </w:rPr>
      </w:pPr>
      <w:r w:rsidRPr="008C106C">
        <w:rPr>
          <w:szCs w:val="22"/>
          <w:lang w:val="lv-LV"/>
        </w:rPr>
        <w:t>4.6</w:t>
      </w:r>
      <w:r w:rsidR="00007758" w:rsidRPr="008C106C">
        <w:rPr>
          <w:szCs w:val="22"/>
          <w:lang w:val="lv-LV"/>
        </w:rPr>
        <w:t>.</w:t>
      </w:r>
      <w:r w:rsidRPr="008C106C">
        <w:rPr>
          <w:szCs w:val="22"/>
          <w:lang w:val="lv-LV"/>
        </w:rPr>
        <w:tab/>
      </w:r>
      <w:r w:rsidR="00007758" w:rsidRPr="008C106C">
        <w:rPr>
          <w:bCs/>
          <w:color w:val="000000"/>
          <w:szCs w:val="22"/>
          <w:lang w:val="lv-LV"/>
        </w:rPr>
        <w:t>Fertilitāte, grūtniecība un barošana ar krūti</w:t>
      </w:r>
    </w:p>
    <w:p w14:paraId="76CC0740" w14:textId="77777777" w:rsidR="00C53ACC" w:rsidRPr="008C106C" w:rsidRDefault="00C53ACC" w:rsidP="00F13EC0">
      <w:pPr>
        <w:spacing w:line="240" w:lineRule="auto"/>
        <w:jc w:val="both"/>
        <w:rPr>
          <w:i/>
          <w:szCs w:val="22"/>
          <w:lang w:val="lv-LV"/>
        </w:rPr>
      </w:pPr>
    </w:p>
    <w:p w14:paraId="0C3F2348" w14:textId="77777777" w:rsidR="00007758" w:rsidRPr="008C106C" w:rsidRDefault="00007758" w:rsidP="00F13EC0">
      <w:pPr>
        <w:keepNext/>
        <w:autoSpaceDE w:val="0"/>
        <w:autoSpaceDN w:val="0"/>
        <w:adjustRightInd w:val="0"/>
        <w:jc w:val="both"/>
        <w:rPr>
          <w:bCs/>
          <w:color w:val="000000"/>
          <w:szCs w:val="22"/>
          <w:u w:val="single"/>
          <w:lang w:val="lv-LV"/>
        </w:rPr>
      </w:pPr>
      <w:r w:rsidRPr="008C106C">
        <w:rPr>
          <w:bCs/>
          <w:color w:val="000000"/>
          <w:szCs w:val="22"/>
          <w:u w:val="single"/>
          <w:lang w:val="lv-LV"/>
        </w:rPr>
        <w:t>Grūtniecība</w:t>
      </w:r>
    </w:p>
    <w:p w14:paraId="6D392C8A" w14:textId="77777777" w:rsidR="00007758" w:rsidRPr="008C106C" w:rsidRDefault="0055213F" w:rsidP="00F13EC0">
      <w:pPr>
        <w:keepNext/>
        <w:autoSpaceDE w:val="0"/>
        <w:autoSpaceDN w:val="0"/>
        <w:adjustRightInd w:val="0"/>
        <w:jc w:val="both"/>
        <w:rPr>
          <w:bCs/>
          <w:color w:val="000000"/>
          <w:szCs w:val="22"/>
          <w:lang w:val="lv-LV"/>
        </w:rPr>
      </w:pPr>
      <w:r>
        <w:rPr>
          <w:bCs/>
          <w:color w:val="000000"/>
          <w:szCs w:val="22"/>
          <w:lang w:val="lv-LV"/>
        </w:rPr>
        <w:t>D</w:t>
      </w:r>
      <w:r w:rsidR="007140B5" w:rsidRPr="008C106C">
        <w:rPr>
          <w:bCs/>
          <w:color w:val="000000"/>
          <w:szCs w:val="22"/>
          <w:lang w:val="lv-LV"/>
        </w:rPr>
        <w:t>atu</w:t>
      </w:r>
      <w:r w:rsidR="00007758" w:rsidRPr="008C106C">
        <w:rPr>
          <w:bCs/>
          <w:color w:val="000000"/>
          <w:szCs w:val="22"/>
          <w:lang w:val="lv-LV"/>
        </w:rPr>
        <w:t xml:space="preserve"> par </w:t>
      </w:r>
      <w:r>
        <w:rPr>
          <w:bCs/>
          <w:color w:val="000000"/>
          <w:szCs w:val="22"/>
          <w:lang w:val="lv-LV"/>
        </w:rPr>
        <w:t xml:space="preserve">ezopiklona </w:t>
      </w:r>
      <w:r w:rsidR="00007758" w:rsidRPr="008C106C">
        <w:rPr>
          <w:bCs/>
          <w:color w:val="000000"/>
          <w:szCs w:val="22"/>
          <w:lang w:val="lv-LV"/>
        </w:rPr>
        <w:t>lietošanu grūtniecēm nav vai ir ierobežot</w:t>
      </w:r>
      <w:r w:rsidR="007140B5" w:rsidRPr="008C106C">
        <w:rPr>
          <w:bCs/>
          <w:color w:val="000000"/>
          <w:szCs w:val="22"/>
          <w:lang w:val="lv-LV"/>
        </w:rPr>
        <w:t>ā daudzumā</w:t>
      </w:r>
      <w:r w:rsidR="00007758" w:rsidRPr="008C106C">
        <w:rPr>
          <w:bCs/>
          <w:color w:val="000000"/>
          <w:szCs w:val="22"/>
          <w:lang w:val="lv-LV"/>
        </w:rPr>
        <w:t xml:space="preserve">. Pētījumi ar dzīvniekiem </w:t>
      </w:r>
      <w:r w:rsidR="007140B5" w:rsidRPr="008C106C">
        <w:rPr>
          <w:bCs/>
          <w:color w:val="000000"/>
          <w:szCs w:val="22"/>
          <w:lang w:val="lv-LV"/>
        </w:rPr>
        <w:t>uzrādīja</w:t>
      </w:r>
      <w:r w:rsidR="00007758" w:rsidRPr="008C106C">
        <w:rPr>
          <w:bCs/>
          <w:color w:val="000000"/>
          <w:szCs w:val="22"/>
          <w:lang w:val="lv-LV"/>
        </w:rPr>
        <w:t xml:space="preserve"> reproduktīvo toksicitāti (skatīt 5.3. apakšpunktu). Potenciālais risks cilvēkiem nav zināms. </w:t>
      </w:r>
      <w:r w:rsidR="007140B5" w:rsidRPr="008C106C">
        <w:rPr>
          <w:szCs w:val="22"/>
          <w:lang w:val="lv-LV" w:eastAsia="de-DE"/>
        </w:rPr>
        <w:t>Esogno</w:t>
      </w:r>
      <w:r w:rsidR="00007758" w:rsidRPr="008C106C">
        <w:rPr>
          <w:bCs/>
          <w:color w:val="000000"/>
          <w:szCs w:val="22"/>
          <w:lang w:val="lv-LV"/>
        </w:rPr>
        <w:t xml:space="preserve"> nav ieteicams grūtniecības laikā un sievietēm reproduktīvā vecumā, kuras nelieto kontracepcijas līdzekļus.</w:t>
      </w:r>
    </w:p>
    <w:p w14:paraId="456E8A7E" w14:textId="77777777" w:rsidR="007140B5" w:rsidRPr="008C106C" w:rsidRDefault="007140B5" w:rsidP="00F13EC0">
      <w:pPr>
        <w:keepNext/>
        <w:autoSpaceDE w:val="0"/>
        <w:autoSpaceDN w:val="0"/>
        <w:adjustRightInd w:val="0"/>
        <w:jc w:val="both"/>
        <w:rPr>
          <w:bCs/>
          <w:color w:val="000000"/>
          <w:szCs w:val="22"/>
          <w:lang w:val="lv-LV"/>
        </w:rPr>
      </w:pPr>
    </w:p>
    <w:p w14:paraId="3CC3CE07" w14:textId="77777777" w:rsidR="003102F5" w:rsidRPr="008C106C" w:rsidRDefault="007140B5" w:rsidP="00F13EC0">
      <w:pPr>
        <w:tabs>
          <w:tab w:val="clear" w:pos="567"/>
        </w:tabs>
        <w:spacing w:line="240" w:lineRule="auto"/>
        <w:jc w:val="both"/>
        <w:rPr>
          <w:szCs w:val="22"/>
          <w:lang w:val="lv-LV" w:eastAsia="nl-NL"/>
        </w:rPr>
      </w:pPr>
      <w:r w:rsidRPr="008C106C">
        <w:rPr>
          <w:szCs w:val="22"/>
          <w:lang w:val="lv-LV" w:eastAsia="nl-NL"/>
        </w:rPr>
        <w:t>Vēlākajos grūtniecības posmos, lietojot racēmisko zopiklonu, jaundzimušajam pēcdzemdību periodā var parādīties abstinences simptomi. Pēdējā trimestra laikā pastāv nelabvēlīgas farmakoloģiskas iedarbības uz augli un/vai jaundzimušo risks, piemēram, hipotonija, elpošanas nomākums un hipotermija.</w:t>
      </w:r>
    </w:p>
    <w:p w14:paraId="3EC3BC9B" w14:textId="77777777" w:rsidR="007140B5" w:rsidRPr="008C106C" w:rsidRDefault="007140B5" w:rsidP="00F13EC0">
      <w:pPr>
        <w:jc w:val="both"/>
        <w:rPr>
          <w:szCs w:val="22"/>
          <w:u w:val="single"/>
          <w:lang w:val="lv-LV"/>
        </w:rPr>
      </w:pPr>
    </w:p>
    <w:p w14:paraId="76276CE2" w14:textId="77777777" w:rsidR="007140B5" w:rsidRPr="008C106C" w:rsidRDefault="007140B5" w:rsidP="00F13EC0">
      <w:pPr>
        <w:keepNext/>
        <w:autoSpaceDE w:val="0"/>
        <w:autoSpaceDN w:val="0"/>
        <w:adjustRightInd w:val="0"/>
        <w:jc w:val="both"/>
        <w:rPr>
          <w:bCs/>
          <w:color w:val="000000"/>
          <w:szCs w:val="22"/>
          <w:u w:val="single"/>
          <w:lang w:val="lv-LV"/>
        </w:rPr>
      </w:pPr>
      <w:r w:rsidRPr="008C106C">
        <w:rPr>
          <w:bCs/>
          <w:color w:val="000000"/>
          <w:szCs w:val="22"/>
          <w:u w:val="single"/>
          <w:lang w:val="lv-LV"/>
        </w:rPr>
        <w:t>Barošana ar krūti</w:t>
      </w:r>
    </w:p>
    <w:p w14:paraId="61890D7D" w14:textId="77777777" w:rsidR="007140B5" w:rsidRPr="008C106C" w:rsidRDefault="007140B5" w:rsidP="00F13EC0">
      <w:pPr>
        <w:jc w:val="both"/>
        <w:rPr>
          <w:szCs w:val="22"/>
          <w:lang w:val="lv-LV"/>
        </w:rPr>
      </w:pPr>
      <w:r w:rsidRPr="008C106C">
        <w:rPr>
          <w:szCs w:val="22"/>
          <w:lang w:val="lv-LV"/>
        </w:rPr>
        <w:t>Nav zināms, vai eszopiklons vai metabolīts (S) -N-desmetil-zopiklons izdalās mātes pienā. Pētījumos ar cilvēkiem un dzīvniekiem ar racēmisko zopiklonu tika atklāts, ka tas nonāk mātes pienā. Nevar izslēgt risku zīdainim.</w:t>
      </w:r>
    </w:p>
    <w:p w14:paraId="61D76A1F" w14:textId="77777777" w:rsidR="007140B5" w:rsidRPr="008C106C" w:rsidRDefault="007140B5" w:rsidP="00F13EC0">
      <w:pPr>
        <w:jc w:val="both"/>
        <w:rPr>
          <w:szCs w:val="22"/>
          <w:lang w:val="lv-LV"/>
        </w:rPr>
      </w:pPr>
      <w:r w:rsidRPr="008C106C">
        <w:rPr>
          <w:szCs w:val="22"/>
          <w:lang w:val="lv-LV" w:eastAsia="de-DE"/>
        </w:rPr>
        <w:t>Esogno</w:t>
      </w:r>
      <w:r w:rsidRPr="008C106C">
        <w:rPr>
          <w:szCs w:val="22"/>
          <w:lang w:val="lv-LV"/>
        </w:rPr>
        <w:t xml:space="preserve"> nedrīkst lietot </w:t>
      </w:r>
      <w:r w:rsidR="0055213F">
        <w:rPr>
          <w:szCs w:val="22"/>
          <w:lang w:val="lv-LV"/>
        </w:rPr>
        <w:t>barošanas ar krūti</w:t>
      </w:r>
      <w:r w:rsidRPr="008C106C">
        <w:rPr>
          <w:szCs w:val="22"/>
          <w:lang w:val="lv-LV"/>
        </w:rPr>
        <w:t xml:space="preserve"> laikā.</w:t>
      </w:r>
    </w:p>
    <w:p w14:paraId="200F0ED1" w14:textId="77777777" w:rsidR="00072FDF" w:rsidRPr="008C106C" w:rsidRDefault="00072FDF" w:rsidP="00F13EC0">
      <w:pPr>
        <w:jc w:val="both"/>
        <w:rPr>
          <w:szCs w:val="22"/>
          <w:lang w:val="lv-LV"/>
        </w:rPr>
      </w:pPr>
    </w:p>
    <w:p w14:paraId="7CB81C72" w14:textId="77777777" w:rsidR="00072FDF" w:rsidRPr="008C106C" w:rsidRDefault="007140B5" w:rsidP="00F13EC0">
      <w:pPr>
        <w:jc w:val="both"/>
        <w:rPr>
          <w:szCs w:val="22"/>
          <w:u w:val="single"/>
          <w:lang w:val="lv-LV"/>
        </w:rPr>
      </w:pPr>
      <w:r w:rsidRPr="008C106C">
        <w:rPr>
          <w:szCs w:val="22"/>
          <w:u w:val="single"/>
          <w:lang w:val="lv-LV"/>
        </w:rPr>
        <w:t>Fertilitāte</w:t>
      </w:r>
    </w:p>
    <w:p w14:paraId="3E284E48" w14:textId="77777777" w:rsidR="007140B5" w:rsidRPr="008C106C" w:rsidRDefault="007140B5" w:rsidP="00F13EC0">
      <w:pPr>
        <w:jc w:val="both"/>
        <w:rPr>
          <w:szCs w:val="22"/>
          <w:lang w:val="lv-LV"/>
        </w:rPr>
      </w:pPr>
      <w:r w:rsidRPr="008C106C">
        <w:rPr>
          <w:szCs w:val="22"/>
          <w:lang w:val="lv-LV"/>
        </w:rPr>
        <w:t xml:space="preserve">Cilvēku klīniskajos pētījumos vīriešiem un sievietēm, pēc ārstēšanas līdz 6 mēnešiem, netika novērotas pazeminātas </w:t>
      </w:r>
      <w:r w:rsidR="0055213F">
        <w:rPr>
          <w:szCs w:val="22"/>
          <w:lang w:val="lv-LV"/>
        </w:rPr>
        <w:t>fertilitātes</w:t>
      </w:r>
      <w:r w:rsidRPr="008C106C">
        <w:rPr>
          <w:szCs w:val="22"/>
          <w:lang w:val="lv-LV"/>
        </w:rPr>
        <w:t xml:space="preserve"> pazīmes.</w:t>
      </w:r>
    </w:p>
    <w:p w14:paraId="2B4FE637" w14:textId="77777777" w:rsidR="007140B5" w:rsidRPr="008C106C" w:rsidRDefault="007140B5" w:rsidP="00F13EC0">
      <w:pPr>
        <w:jc w:val="both"/>
        <w:rPr>
          <w:szCs w:val="22"/>
          <w:lang w:val="lv-LV"/>
        </w:rPr>
      </w:pPr>
      <w:r w:rsidRPr="008C106C">
        <w:rPr>
          <w:szCs w:val="22"/>
          <w:lang w:val="lv-LV"/>
        </w:rPr>
        <w:t>Tomēr eszopiklonu pētījumos ar dzīvniekiem atklāja dažādām sugām tēviņu un mātīšu reproduktīvās spējas pasliktināšanos (skatīt 5.3. apakšpunktu</w:t>
      </w:r>
      <w:r w:rsidR="00945AED" w:rsidRPr="008C106C">
        <w:rPr>
          <w:szCs w:val="22"/>
          <w:lang w:val="lv-LV"/>
        </w:rPr>
        <w:t>). Esz</w:t>
      </w:r>
      <w:r w:rsidRPr="008C106C">
        <w:rPr>
          <w:szCs w:val="22"/>
          <w:lang w:val="lv-LV"/>
        </w:rPr>
        <w:t xml:space="preserve">opiklona </w:t>
      </w:r>
      <w:r w:rsidR="00945AED" w:rsidRPr="008C106C">
        <w:rPr>
          <w:szCs w:val="22"/>
          <w:lang w:val="lv-LV"/>
        </w:rPr>
        <w:t xml:space="preserve">ilgstošas lietošanas (&gt; 6 mēneši) </w:t>
      </w:r>
      <w:r w:rsidRPr="008C106C">
        <w:rPr>
          <w:szCs w:val="22"/>
          <w:lang w:val="lv-LV"/>
        </w:rPr>
        <w:t xml:space="preserve">ietekme uz vīriešu un sieviešu </w:t>
      </w:r>
      <w:r w:rsidR="0055213F">
        <w:rPr>
          <w:szCs w:val="22"/>
          <w:lang w:val="lv-LV"/>
        </w:rPr>
        <w:t>fertilitāti</w:t>
      </w:r>
      <w:r w:rsidR="00945AED" w:rsidRPr="008C106C">
        <w:rPr>
          <w:szCs w:val="22"/>
          <w:lang w:val="lv-LV"/>
        </w:rPr>
        <w:t xml:space="preserve"> </w:t>
      </w:r>
      <w:r w:rsidRPr="008C106C">
        <w:rPr>
          <w:szCs w:val="22"/>
          <w:lang w:val="lv-LV"/>
        </w:rPr>
        <w:t>cilvēkiem nav zināma.</w:t>
      </w:r>
    </w:p>
    <w:p w14:paraId="333F9F74" w14:textId="77777777" w:rsidR="0020074E" w:rsidRPr="008C106C" w:rsidRDefault="0020074E" w:rsidP="00F13EC0">
      <w:pPr>
        <w:spacing w:line="240" w:lineRule="auto"/>
        <w:jc w:val="both"/>
        <w:rPr>
          <w:szCs w:val="22"/>
          <w:lang w:val="lv-LV"/>
        </w:rPr>
      </w:pPr>
    </w:p>
    <w:p w14:paraId="2AD4E5F5" w14:textId="77777777" w:rsidR="00A049FF" w:rsidRPr="008C106C" w:rsidRDefault="001D29E6" w:rsidP="00F13EC0">
      <w:pPr>
        <w:pStyle w:val="Heading2"/>
        <w:jc w:val="both"/>
        <w:rPr>
          <w:szCs w:val="22"/>
          <w:lang w:val="lv-LV"/>
        </w:rPr>
      </w:pPr>
      <w:r w:rsidRPr="008C106C">
        <w:rPr>
          <w:szCs w:val="22"/>
          <w:lang w:val="lv-LV"/>
        </w:rPr>
        <w:t>4.7</w:t>
      </w:r>
      <w:r w:rsidR="00945AED" w:rsidRPr="008C106C">
        <w:rPr>
          <w:szCs w:val="22"/>
          <w:lang w:val="lv-LV"/>
        </w:rPr>
        <w:t>.</w:t>
      </w:r>
      <w:r w:rsidRPr="008C106C">
        <w:rPr>
          <w:szCs w:val="22"/>
          <w:lang w:val="lv-LV"/>
        </w:rPr>
        <w:tab/>
      </w:r>
      <w:r w:rsidR="00945AED" w:rsidRPr="008C106C">
        <w:rPr>
          <w:bCs/>
          <w:color w:val="000000"/>
          <w:szCs w:val="22"/>
          <w:lang w:val="lv-LV"/>
        </w:rPr>
        <w:t>Ietekme uz spēju vadīt transportlīdzekļus un apkalpot mehānismus</w:t>
      </w:r>
    </w:p>
    <w:p w14:paraId="4486A00D" w14:textId="77777777" w:rsidR="00A049FF" w:rsidRPr="008C106C" w:rsidRDefault="00A049FF" w:rsidP="00F13EC0">
      <w:pPr>
        <w:spacing w:line="240" w:lineRule="auto"/>
        <w:jc w:val="both"/>
        <w:rPr>
          <w:szCs w:val="22"/>
          <w:lang w:val="lv-LV" w:eastAsia="de-DE"/>
        </w:rPr>
      </w:pPr>
    </w:p>
    <w:p w14:paraId="7BB6E777" w14:textId="77777777" w:rsidR="00945AED" w:rsidRPr="008C106C" w:rsidRDefault="00945AED" w:rsidP="00F13EC0">
      <w:pPr>
        <w:spacing w:line="240" w:lineRule="auto"/>
        <w:jc w:val="both"/>
        <w:rPr>
          <w:szCs w:val="22"/>
          <w:lang w:val="lv-LV" w:eastAsia="de-DE"/>
        </w:rPr>
      </w:pPr>
      <w:r w:rsidRPr="008C106C">
        <w:rPr>
          <w:szCs w:val="22"/>
          <w:lang w:val="lv-LV" w:eastAsia="de-DE"/>
        </w:rPr>
        <w:t xml:space="preserve">Eszopiklons </w:t>
      </w:r>
      <w:r w:rsidRPr="008C106C">
        <w:rPr>
          <w:color w:val="000000"/>
          <w:szCs w:val="22"/>
          <w:lang w:val="lv-LV"/>
        </w:rPr>
        <w:t>būtiski ietekmē spēju vadīt transportlīdzekļus un apkalpot mehānismus</w:t>
      </w:r>
      <w:r w:rsidRPr="008C106C">
        <w:rPr>
          <w:szCs w:val="22"/>
          <w:lang w:val="lv-LV" w:eastAsia="de-DE"/>
        </w:rPr>
        <w:t xml:space="preserve"> vairākas stundas pēc </w:t>
      </w:r>
      <w:r w:rsidR="0075720E" w:rsidRPr="008C106C">
        <w:rPr>
          <w:szCs w:val="22"/>
          <w:lang w:val="lv-LV" w:eastAsia="de-DE"/>
        </w:rPr>
        <w:t xml:space="preserve">tā </w:t>
      </w:r>
      <w:r w:rsidR="0055213F">
        <w:rPr>
          <w:szCs w:val="22"/>
          <w:lang w:val="lv-LV" w:eastAsia="de-DE"/>
        </w:rPr>
        <w:t>lietošanas</w:t>
      </w:r>
      <w:r w:rsidRPr="008C106C">
        <w:rPr>
          <w:szCs w:val="22"/>
          <w:lang w:val="lv-LV" w:eastAsia="de-DE"/>
        </w:rPr>
        <w:t>. Sed</w:t>
      </w:r>
      <w:r w:rsidR="00665FF9" w:rsidRPr="008C106C">
        <w:rPr>
          <w:szCs w:val="22"/>
          <w:lang w:val="lv-LV" w:eastAsia="de-DE"/>
        </w:rPr>
        <w:t>ā</w:t>
      </w:r>
      <w:r w:rsidRPr="008C106C">
        <w:rPr>
          <w:szCs w:val="22"/>
          <w:lang w:val="lv-LV" w:eastAsia="de-DE"/>
        </w:rPr>
        <w:t xml:space="preserve">cija, amnēzija, neskaidra redze, </w:t>
      </w:r>
      <w:r w:rsidR="0075720E" w:rsidRPr="008C106C">
        <w:rPr>
          <w:szCs w:val="22"/>
          <w:lang w:val="lv-LV" w:eastAsia="de-DE"/>
        </w:rPr>
        <w:t xml:space="preserve">grūtības </w:t>
      </w:r>
      <w:r w:rsidRPr="008C106C">
        <w:rPr>
          <w:szCs w:val="22"/>
          <w:lang w:val="lv-LV" w:eastAsia="de-DE"/>
        </w:rPr>
        <w:t>koncentrē</w:t>
      </w:r>
      <w:r w:rsidR="0075720E" w:rsidRPr="008C106C">
        <w:rPr>
          <w:szCs w:val="22"/>
          <w:lang w:val="lv-LV" w:eastAsia="de-DE"/>
        </w:rPr>
        <w:t>ties</w:t>
      </w:r>
      <w:r w:rsidRPr="008C106C">
        <w:rPr>
          <w:szCs w:val="22"/>
          <w:lang w:val="lv-LV" w:eastAsia="de-DE"/>
        </w:rPr>
        <w:t xml:space="preserve"> un muskuļu </w:t>
      </w:r>
      <w:r w:rsidR="0075720E" w:rsidRPr="008C106C">
        <w:rPr>
          <w:szCs w:val="22"/>
          <w:lang w:val="lv-LV" w:eastAsia="de-DE"/>
        </w:rPr>
        <w:t>darbības traucējumi</w:t>
      </w:r>
      <w:r w:rsidRPr="008C106C">
        <w:rPr>
          <w:szCs w:val="22"/>
          <w:lang w:val="lv-LV" w:eastAsia="de-DE"/>
        </w:rPr>
        <w:t xml:space="preserve"> var nelabvēlīgi ietekmēt spēju vadīt transportlīdzekļus vai apkalpot mehānismus. </w:t>
      </w:r>
      <w:r w:rsidR="0075720E" w:rsidRPr="008C106C">
        <w:rPr>
          <w:color w:val="000000"/>
          <w:szCs w:val="22"/>
          <w:lang w:val="lv-LV"/>
        </w:rPr>
        <w:t xml:space="preserve">Kavētas uzmanības risks palielinās, ja pacientam </w:t>
      </w:r>
      <w:r w:rsidR="00E128A7">
        <w:rPr>
          <w:color w:val="000000"/>
          <w:szCs w:val="22"/>
          <w:lang w:val="lv-LV"/>
        </w:rPr>
        <w:t>ir nepietiekams</w:t>
      </w:r>
      <w:r w:rsidR="0075720E" w:rsidRPr="008C106C">
        <w:rPr>
          <w:color w:val="000000"/>
          <w:szCs w:val="22"/>
          <w:lang w:val="lv-LV"/>
        </w:rPr>
        <w:t xml:space="preserve"> miega ilgum</w:t>
      </w:r>
      <w:r w:rsidR="00E128A7">
        <w:rPr>
          <w:color w:val="000000"/>
          <w:szCs w:val="22"/>
          <w:lang w:val="lv-LV"/>
        </w:rPr>
        <w:t>s</w:t>
      </w:r>
      <w:r w:rsidR="0075720E" w:rsidRPr="008C106C">
        <w:rPr>
          <w:color w:val="000000"/>
          <w:szCs w:val="22"/>
          <w:lang w:val="lv-LV"/>
        </w:rPr>
        <w:t>.</w:t>
      </w:r>
    </w:p>
    <w:p w14:paraId="32DAAAC8" w14:textId="77777777" w:rsidR="00945AED" w:rsidRPr="008C106C" w:rsidRDefault="00676561" w:rsidP="00F13EC0">
      <w:pPr>
        <w:spacing w:line="240" w:lineRule="auto"/>
        <w:jc w:val="both"/>
        <w:rPr>
          <w:szCs w:val="22"/>
          <w:lang w:val="lv-LV" w:eastAsia="de-DE"/>
        </w:rPr>
      </w:pPr>
      <w:r>
        <w:rPr>
          <w:szCs w:val="22"/>
          <w:lang w:val="lv-LV" w:eastAsia="de-DE"/>
        </w:rPr>
        <w:t>Pacienti</w:t>
      </w:r>
      <w:r w:rsidR="00945AED" w:rsidRPr="008C106C">
        <w:rPr>
          <w:szCs w:val="22"/>
          <w:lang w:val="lv-LV" w:eastAsia="de-DE"/>
        </w:rPr>
        <w:t xml:space="preserve"> </w:t>
      </w:r>
      <w:r w:rsidR="0075720E" w:rsidRPr="008C106C">
        <w:rPr>
          <w:color w:val="000000"/>
          <w:szCs w:val="22"/>
          <w:lang w:val="lv-LV"/>
        </w:rPr>
        <w:t xml:space="preserve">jābrīdina </w:t>
      </w:r>
      <w:r w:rsidR="00945AED" w:rsidRPr="008C106C">
        <w:rPr>
          <w:szCs w:val="22"/>
          <w:lang w:val="lv-LV" w:eastAsia="de-DE"/>
        </w:rPr>
        <w:t xml:space="preserve">nevadīt transportlīdzekļus un neapkalpot mehānismus, ja viņiem kāda no šīm blakusparādībām rodas dienu pēc ārstēšanas ar eszopiklonu. </w:t>
      </w:r>
      <w:r w:rsidR="0075720E" w:rsidRPr="008C106C">
        <w:rPr>
          <w:szCs w:val="22"/>
          <w:lang w:val="lv-LV" w:eastAsia="de-DE"/>
        </w:rPr>
        <w:t>Lai samazinātu minētās sekas, s</w:t>
      </w:r>
      <w:r w:rsidR="00945AED" w:rsidRPr="008C106C">
        <w:rPr>
          <w:szCs w:val="22"/>
          <w:lang w:val="lv-LV" w:eastAsia="de-DE"/>
        </w:rPr>
        <w:t>tarp eszopiklona lietošanu un transportlīdzekļa vadīšanu, mehānismu apkalpošanu un darbu augst</w:t>
      </w:r>
      <w:r w:rsidR="0075720E" w:rsidRPr="008C106C">
        <w:rPr>
          <w:szCs w:val="22"/>
          <w:lang w:val="lv-LV" w:eastAsia="de-DE"/>
        </w:rPr>
        <w:t>umā ieteicam</w:t>
      </w:r>
      <w:r w:rsidR="001C2700" w:rsidRPr="008C106C">
        <w:rPr>
          <w:szCs w:val="22"/>
          <w:lang w:val="lv-LV" w:eastAsia="de-DE"/>
        </w:rPr>
        <w:t>a</w:t>
      </w:r>
      <w:r w:rsidR="0075720E" w:rsidRPr="008C106C">
        <w:rPr>
          <w:szCs w:val="22"/>
          <w:lang w:val="lv-LV" w:eastAsia="de-DE"/>
        </w:rPr>
        <w:t>s vismaz 12 stundas.</w:t>
      </w:r>
    </w:p>
    <w:p w14:paraId="09D67986" w14:textId="77777777" w:rsidR="00BB215C" w:rsidRPr="008C106C" w:rsidRDefault="00BB215C" w:rsidP="00F13EC0">
      <w:pPr>
        <w:spacing w:line="240" w:lineRule="auto"/>
        <w:jc w:val="both"/>
        <w:rPr>
          <w:szCs w:val="22"/>
          <w:lang w:val="lv-LV"/>
        </w:rPr>
      </w:pPr>
    </w:p>
    <w:p w14:paraId="0400CC5F" w14:textId="77777777" w:rsidR="0075720E" w:rsidRPr="008C106C" w:rsidRDefault="0075720E" w:rsidP="00F13EC0">
      <w:pPr>
        <w:spacing w:line="240" w:lineRule="auto"/>
        <w:jc w:val="both"/>
        <w:rPr>
          <w:szCs w:val="22"/>
          <w:lang w:val="lv-LV"/>
        </w:rPr>
      </w:pPr>
      <w:r w:rsidRPr="008C106C">
        <w:rPr>
          <w:szCs w:val="22"/>
          <w:lang w:val="lv-LV"/>
        </w:rPr>
        <w:t>Monoterapijā lietojot eszopiklonu terapeitiskajās devas</w:t>
      </w:r>
      <w:r w:rsidR="00E128A7">
        <w:rPr>
          <w:szCs w:val="22"/>
          <w:lang w:val="lv-LV"/>
        </w:rPr>
        <w:t>,</w:t>
      </w:r>
      <w:r w:rsidRPr="008C106C">
        <w:rPr>
          <w:szCs w:val="22"/>
          <w:lang w:val="lv-LV"/>
        </w:rPr>
        <w:t xml:space="preserve"> ir novērota transportlīdzekļa vadīšanas spēju pasliktināšanās, piemēram, kā “transportlīdzekļa vadīšana miega laikā” (skatīt 4.4. apakšpunktu).</w:t>
      </w:r>
    </w:p>
    <w:p w14:paraId="2DACFEF4" w14:textId="77777777" w:rsidR="00A049FF" w:rsidRPr="008C106C" w:rsidRDefault="00A049FF" w:rsidP="00F13EC0">
      <w:pPr>
        <w:pStyle w:val="MGGTextLeft"/>
        <w:jc w:val="both"/>
        <w:rPr>
          <w:szCs w:val="22"/>
          <w:lang w:val="lv-LV"/>
        </w:rPr>
      </w:pPr>
    </w:p>
    <w:p w14:paraId="60BD9115" w14:textId="77777777" w:rsidR="0075720E" w:rsidRPr="008C106C" w:rsidRDefault="0075720E" w:rsidP="00F13EC0">
      <w:pPr>
        <w:pStyle w:val="MGGTextLeft"/>
        <w:jc w:val="both"/>
        <w:rPr>
          <w:szCs w:val="22"/>
          <w:lang w:val="lv-LV"/>
        </w:rPr>
      </w:pPr>
      <w:r w:rsidRPr="008C106C">
        <w:rPr>
          <w:szCs w:val="22"/>
          <w:lang w:val="lv-LV"/>
        </w:rPr>
        <w:t xml:space="preserve">Turklāt eszopiklona vienlaicīga lietošana ar alkoholu un citiem CNS nomācošiem līdzekļiem palielina šādas uzvedības risku (skatīt 4.4. un 4.5. apakšpunktu). Pacienti jābrīdina, lietojot eszopiklonu, nelietot alkoholu vai citas psihoaktīvas vielas. </w:t>
      </w:r>
    </w:p>
    <w:p w14:paraId="6373C68B" w14:textId="77777777" w:rsidR="006C4582" w:rsidRPr="008C106C" w:rsidRDefault="006C4582" w:rsidP="00F13EC0">
      <w:pPr>
        <w:spacing w:line="240" w:lineRule="auto"/>
        <w:jc w:val="both"/>
        <w:rPr>
          <w:szCs w:val="22"/>
          <w:lang w:val="lv-LV"/>
        </w:rPr>
      </w:pPr>
    </w:p>
    <w:p w14:paraId="6B949C42" w14:textId="77777777" w:rsidR="001D29E6" w:rsidRPr="008C106C" w:rsidRDefault="00D56FF5" w:rsidP="00F13EC0">
      <w:pPr>
        <w:pStyle w:val="Heading2"/>
        <w:jc w:val="both"/>
        <w:rPr>
          <w:szCs w:val="22"/>
          <w:lang w:val="lv-LV"/>
        </w:rPr>
      </w:pPr>
      <w:r w:rsidRPr="008C106C">
        <w:rPr>
          <w:szCs w:val="22"/>
          <w:lang w:val="lv-LV"/>
        </w:rPr>
        <w:t>4.8</w:t>
      </w:r>
      <w:r w:rsidR="0075720E" w:rsidRPr="008C106C">
        <w:rPr>
          <w:szCs w:val="22"/>
          <w:lang w:val="lv-LV"/>
        </w:rPr>
        <w:t>.</w:t>
      </w:r>
      <w:r w:rsidRPr="008C106C">
        <w:rPr>
          <w:szCs w:val="22"/>
          <w:lang w:val="lv-LV"/>
        </w:rPr>
        <w:tab/>
      </w:r>
      <w:r w:rsidR="0075720E" w:rsidRPr="008C106C">
        <w:rPr>
          <w:bCs/>
          <w:color w:val="000000"/>
          <w:szCs w:val="22"/>
          <w:lang w:val="lv-LV"/>
        </w:rPr>
        <w:t>Nevēlamās blakusparādības</w:t>
      </w:r>
    </w:p>
    <w:p w14:paraId="3F3B810B" w14:textId="77777777" w:rsidR="001D29E6" w:rsidRPr="008C106C" w:rsidRDefault="001D29E6" w:rsidP="00F13EC0">
      <w:pPr>
        <w:spacing w:line="240" w:lineRule="auto"/>
        <w:jc w:val="both"/>
        <w:rPr>
          <w:szCs w:val="22"/>
          <w:lang w:val="lv-LV"/>
        </w:rPr>
      </w:pPr>
    </w:p>
    <w:p w14:paraId="68D26094" w14:textId="77777777" w:rsidR="0075720E" w:rsidRPr="008C106C" w:rsidRDefault="0075720E"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Informācija par blakusparādībām ir balstīta uz novērojumiem, kas iegūt</w:t>
      </w:r>
      <w:r w:rsidR="00676561">
        <w:rPr>
          <w:szCs w:val="22"/>
          <w:lang w:val="lv-LV" w:eastAsia="de-DE"/>
        </w:rPr>
        <w:t>i</w:t>
      </w:r>
      <w:r w:rsidRPr="008C106C">
        <w:rPr>
          <w:szCs w:val="22"/>
          <w:lang w:val="lv-LV" w:eastAsia="de-DE"/>
        </w:rPr>
        <w:t xml:space="preserve"> klīnisk</w:t>
      </w:r>
      <w:r w:rsidR="00F901E4" w:rsidRPr="008C106C">
        <w:rPr>
          <w:szCs w:val="22"/>
          <w:lang w:val="lv-LV" w:eastAsia="de-DE"/>
        </w:rPr>
        <w:t>ajos</w:t>
      </w:r>
      <w:r w:rsidRPr="008C106C">
        <w:rPr>
          <w:szCs w:val="22"/>
          <w:lang w:val="lv-LV" w:eastAsia="de-DE"/>
        </w:rPr>
        <w:t xml:space="preserve"> pētījum</w:t>
      </w:r>
      <w:r w:rsidR="00F901E4" w:rsidRPr="008C106C">
        <w:rPr>
          <w:szCs w:val="22"/>
          <w:lang w:val="lv-LV" w:eastAsia="de-DE"/>
        </w:rPr>
        <w:t xml:space="preserve">os, eszopiklonu lietojot, </w:t>
      </w:r>
      <w:r w:rsidRPr="008C106C">
        <w:rPr>
          <w:szCs w:val="22"/>
          <w:lang w:val="lv-LV" w:eastAsia="de-DE"/>
        </w:rPr>
        <w:t xml:space="preserve">līdz 6 mēnešiem ar 1 līdz 3 mg </w:t>
      </w:r>
      <w:r w:rsidR="00F901E4" w:rsidRPr="008C106C">
        <w:rPr>
          <w:szCs w:val="22"/>
          <w:lang w:val="lv-LV" w:eastAsia="de-DE"/>
        </w:rPr>
        <w:t xml:space="preserve">devu </w:t>
      </w:r>
      <w:r w:rsidRPr="008C106C">
        <w:rPr>
          <w:szCs w:val="22"/>
          <w:lang w:val="lv-LV" w:eastAsia="de-DE"/>
        </w:rPr>
        <w:t>eszopiklona vai placebo pieaugušiem, k</w:t>
      </w:r>
      <w:r w:rsidR="00E128A7">
        <w:rPr>
          <w:szCs w:val="22"/>
          <w:lang w:val="lv-LV" w:eastAsia="de-DE"/>
        </w:rPr>
        <w:t>uri</w:t>
      </w:r>
      <w:r w:rsidRPr="008C106C">
        <w:rPr>
          <w:szCs w:val="22"/>
          <w:lang w:val="lv-LV" w:eastAsia="de-DE"/>
        </w:rPr>
        <w:t xml:space="preserve"> nav gados vecāki cilvēki. Šajos klīniskajos pētījumos kopumā 1626 pacienti lietoja eszopiklonu un 858 cilvēki lietoja placebo. Visbiežāk novērotā nevēlamā </w:t>
      </w:r>
      <w:r w:rsidR="00F901E4" w:rsidRPr="008C106C">
        <w:rPr>
          <w:szCs w:val="22"/>
          <w:lang w:val="lv-LV" w:eastAsia="de-DE"/>
        </w:rPr>
        <w:t>blakusparādība</w:t>
      </w:r>
      <w:r w:rsidRPr="008C106C">
        <w:rPr>
          <w:szCs w:val="22"/>
          <w:lang w:val="lv-LV" w:eastAsia="de-DE"/>
        </w:rPr>
        <w:t xml:space="preserve"> bija disgeizija (nepatīkama</w:t>
      </w:r>
      <w:r w:rsidR="00F901E4" w:rsidRPr="008C106C">
        <w:rPr>
          <w:szCs w:val="22"/>
          <w:lang w:val="lv-LV" w:eastAsia="de-DE"/>
        </w:rPr>
        <w:t>/rūgta</w:t>
      </w:r>
      <w:r w:rsidRPr="008C106C">
        <w:rPr>
          <w:szCs w:val="22"/>
          <w:lang w:val="lv-LV" w:eastAsia="de-DE"/>
        </w:rPr>
        <w:t xml:space="preserve"> garša</w:t>
      </w:r>
      <w:r w:rsidR="00F901E4" w:rsidRPr="008C106C">
        <w:rPr>
          <w:szCs w:val="22"/>
          <w:lang w:val="lv-LV" w:eastAsia="de-DE"/>
        </w:rPr>
        <w:t xml:space="preserve"> mutē</w:t>
      </w:r>
      <w:r w:rsidRPr="008C106C">
        <w:rPr>
          <w:szCs w:val="22"/>
          <w:lang w:val="lv-LV" w:eastAsia="de-DE"/>
        </w:rPr>
        <w:t xml:space="preserve">). Bieži novērotas arī galvassāpes, miegainība, sausa mute, reibonis un </w:t>
      </w:r>
      <w:r w:rsidR="00F901E4" w:rsidRPr="008C106C">
        <w:rPr>
          <w:szCs w:val="22"/>
          <w:lang w:val="lv-LV" w:eastAsia="de-DE"/>
        </w:rPr>
        <w:t>slikta dūša</w:t>
      </w:r>
      <w:r w:rsidRPr="008C106C">
        <w:rPr>
          <w:szCs w:val="22"/>
          <w:lang w:val="lv-LV" w:eastAsia="de-DE"/>
        </w:rPr>
        <w:t xml:space="preserve"> (&lt;10% pacientu).</w:t>
      </w:r>
    </w:p>
    <w:p w14:paraId="69D008F2" w14:textId="77777777" w:rsidR="0075720E" w:rsidRPr="008C106C" w:rsidRDefault="0075720E" w:rsidP="00F13EC0">
      <w:pPr>
        <w:tabs>
          <w:tab w:val="clear" w:pos="567"/>
        </w:tabs>
        <w:autoSpaceDE w:val="0"/>
        <w:autoSpaceDN w:val="0"/>
        <w:adjustRightInd w:val="0"/>
        <w:spacing w:line="240" w:lineRule="auto"/>
        <w:jc w:val="both"/>
        <w:rPr>
          <w:szCs w:val="22"/>
          <w:lang w:val="lv-LV" w:eastAsia="de-DE"/>
        </w:rPr>
      </w:pPr>
    </w:p>
    <w:p w14:paraId="6CF41D6E" w14:textId="77777777" w:rsidR="00BC1A33"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Zemāk esošajā tabulā blakusparādības, kas novērotas biežāk nekā placebo un vismaz 2 pacientiem, ir uzskaitītas pēc orgānu sistēmu klasifikācijas un biežuma: ļoti bieži (≥1 / 10), bieži (≥1 / 100 līdz &lt;1/10), retāk (no ≥1 / 1000 līdz &lt;1/100), reti (no ≥1 / 10 000 līdz &lt;1/1000)</w:t>
      </w:r>
      <w:r w:rsidR="00C81DA6" w:rsidRPr="008C106C">
        <w:rPr>
          <w:szCs w:val="22"/>
          <w:lang w:val="lv-LV" w:eastAsia="de-DE"/>
        </w:rPr>
        <w:t xml:space="preserve">, </w:t>
      </w:r>
      <w:r w:rsidR="00C81DA6" w:rsidRPr="008C106C">
        <w:rPr>
          <w:szCs w:val="22"/>
          <w:lang w:val="lv-LV"/>
        </w:rPr>
        <w:t>ļoti reti (&lt;1/10 000)</w:t>
      </w:r>
      <w:r w:rsidRPr="008C106C">
        <w:rPr>
          <w:szCs w:val="22"/>
          <w:lang w:val="lv-LV" w:eastAsia="de-DE"/>
        </w:rPr>
        <w:t xml:space="preserve"> un nav zināms (nevar noteikt pēc pieejamiem datiem). Katrā sastopamības biežuma grupā nevēlamās blakusparādības ir sakārtotas to nopietnības samazinājuma secībā.</w:t>
      </w:r>
    </w:p>
    <w:p w14:paraId="6C19E5EA" w14:textId="77777777" w:rsidR="00A52339" w:rsidRPr="008C106C" w:rsidRDefault="00A52339" w:rsidP="00F13EC0">
      <w:pPr>
        <w:tabs>
          <w:tab w:val="clear" w:pos="567"/>
        </w:tabs>
        <w:autoSpaceDE w:val="0"/>
        <w:autoSpaceDN w:val="0"/>
        <w:adjustRightInd w:val="0"/>
        <w:spacing w:line="240" w:lineRule="auto"/>
        <w:jc w:val="both"/>
        <w:rPr>
          <w:szCs w:val="22"/>
          <w:lang w:val="lv-LV"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273"/>
      </w:tblGrid>
      <w:tr w:rsidR="001815D9" w:rsidRPr="008C106C" w14:paraId="77BBE042" w14:textId="77777777" w:rsidTr="00F13EC0">
        <w:tc>
          <w:tcPr>
            <w:tcW w:w="9071" w:type="dxa"/>
            <w:gridSpan w:val="2"/>
          </w:tcPr>
          <w:p w14:paraId="38964402" w14:textId="77777777" w:rsidR="001815D9" w:rsidRPr="008C106C" w:rsidRDefault="00F901E4" w:rsidP="001C2700">
            <w:pPr>
              <w:tabs>
                <w:tab w:val="clear" w:pos="567"/>
              </w:tabs>
              <w:autoSpaceDE w:val="0"/>
              <w:autoSpaceDN w:val="0"/>
              <w:adjustRightInd w:val="0"/>
              <w:spacing w:line="240" w:lineRule="auto"/>
              <w:jc w:val="both"/>
              <w:rPr>
                <w:szCs w:val="22"/>
                <w:lang w:val="lv-LV" w:eastAsia="de-DE"/>
              </w:rPr>
            </w:pPr>
            <w:r w:rsidRPr="008C106C">
              <w:rPr>
                <w:b/>
                <w:noProof/>
                <w:szCs w:val="22"/>
                <w:lang w:val="lv-LV"/>
              </w:rPr>
              <w:t>Infe</w:t>
            </w:r>
            <w:r w:rsidR="001C2700" w:rsidRPr="008C106C">
              <w:rPr>
                <w:b/>
                <w:noProof/>
                <w:szCs w:val="22"/>
                <w:lang w:val="lv-LV"/>
              </w:rPr>
              <w:t>k</w:t>
            </w:r>
            <w:r w:rsidRPr="008C106C">
              <w:rPr>
                <w:b/>
                <w:noProof/>
                <w:szCs w:val="22"/>
                <w:lang w:val="lv-LV"/>
              </w:rPr>
              <w:t>cijas un infestācijas</w:t>
            </w:r>
          </w:p>
        </w:tc>
      </w:tr>
      <w:tr w:rsidR="001815D9" w:rsidRPr="008C106C" w14:paraId="5BCA57A8" w14:textId="77777777" w:rsidTr="00F13EC0">
        <w:tc>
          <w:tcPr>
            <w:tcW w:w="1798" w:type="dxa"/>
          </w:tcPr>
          <w:p w14:paraId="7D973484"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r w:rsidR="001815D9" w:rsidRPr="008C106C">
              <w:rPr>
                <w:szCs w:val="22"/>
                <w:lang w:val="lv-LV" w:eastAsia="de-DE"/>
              </w:rPr>
              <w:t>:</w:t>
            </w:r>
            <w:r w:rsidRPr="008C106C">
              <w:rPr>
                <w:szCs w:val="22"/>
                <w:lang w:val="lv-LV" w:eastAsia="de-DE"/>
              </w:rPr>
              <w:t xml:space="preserve"> </w:t>
            </w:r>
          </w:p>
        </w:tc>
        <w:tc>
          <w:tcPr>
            <w:tcW w:w="7273" w:type="dxa"/>
          </w:tcPr>
          <w:p w14:paraId="2CC6A590"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infekcijas, vīrusu infekcijas.</w:t>
            </w:r>
          </w:p>
        </w:tc>
      </w:tr>
      <w:tr w:rsidR="0095673E" w:rsidRPr="008C106C" w14:paraId="32CD3B29" w14:textId="77777777" w:rsidTr="00F13EC0">
        <w:tc>
          <w:tcPr>
            <w:tcW w:w="1798" w:type="dxa"/>
          </w:tcPr>
          <w:p w14:paraId="7C91B9C5"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7D90B06D"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1815D9" w:rsidRPr="008C106C" w14:paraId="2F6FD73B" w14:textId="77777777" w:rsidTr="00F13EC0">
        <w:tc>
          <w:tcPr>
            <w:tcW w:w="9071" w:type="dxa"/>
            <w:gridSpan w:val="2"/>
          </w:tcPr>
          <w:p w14:paraId="06636D96" w14:textId="77777777" w:rsidR="001815D9" w:rsidRPr="008C106C" w:rsidRDefault="00171BE8" w:rsidP="00F13EC0">
            <w:pPr>
              <w:tabs>
                <w:tab w:val="clear" w:pos="567"/>
              </w:tabs>
              <w:autoSpaceDE w:val="0"/>
              <w:autoSpaceDN w:val="0"/>
              <w:adjustRightInd w:val="0"/>
              <w:spacing w:line="240" w:lineRule="auto"/>
              <w:jc w:val="both"/>
              <w:rPr>
                <w:b/>
                <w:szCs w:val="22"/>
                <w:lang w:val="lv-LV" w:eastAsia="de-DE"/>
              </w:rPr>
            </w:pPr>
            <w:r w:rsidRPr="008C106C">
              <w:rPr>
                <w:b/>
                <w:szCs w:val="22"/>
                <w:lang w:val="lv-LV" w:eastAsia="de-DE"/>
              </w:rPr>
              <w:t xml:space="preserve">Asins un limfātiskās sistēmas </w:t>
            </w:r>
            <w:r w:rsidRPr="008C106C">
              <w:rPr>
                <w:b/>
                <w:szCs w:val="22"/>
                <w:lang w:val="lv-LV"/>
              </w:rPr>
              <w:t>traucējumi</w:t>
            </w:r>
          </w:p>
        </w:tc>
      </w:tr>
      <w:tr w:rsidR="001815D9" w:rsidRPr="003E5C01" w14:paraId="00E5DA99" w14:textId="77777777" w:rsidTr="00F13EC0">
        <w:tc>
          <w:tcPr>
            <w:tcW w:w="1798" w:type="dxa"/>
          </w:tcPr>
          <w:p w14:paraId="70A0ADB3"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5F349FDD"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hipohroma anēmija, anēmija, leikopēnija, eozinofīlija.</w:t>
            </w:r>
          </w:p>
        </w:tc>
      </w:tr>
      <w:tr w:rsidR="0095673E" w:rsidRPr="003E5C01" w14:paraId="796E83E3" w14:textId="77777777" w:rsidTr="00F13EC0">
        <w:tc>
          <w:tcPr>
            <w:tcW w:w="1798" w:type="dxa"/>
          </w:tcPr>
          <w:p w14:paraId="0CFFD5FC"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4DC0D314"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1815D9" w:rsidRPr="008C106C" w14:paraId="1E3284C5" w14:textId="77777777" w:rsidTr="00F13EC0">
        <w:tc>
          <w:tcPr>
            <w:tcW w:w="9071" w:type="dxa"/>
            <w:gridSpan w:val="2"/>
          </w:tcPr>
          <w:p w14:paraId="1FC686EA" w14:textId="77777777" w:rsidR="001815D9" w:rsidRPr="008C106C" w:rsidRDefault="001815D9"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Im</w:t>
            </w:r>
            <w:r w:rsidR="00C81DA6" w:rsidRPr="008C106C">
              <w:rPr>
                <w:b/>
                <w:szCs w:val="22"/>
                <w:lang w:val="lv-LV"/>
              </w:rPr>
              <w:t>ūnās sistēmas traucējumi</w:t>
            </w:r>
          </w:p>
        </w:tc>
      </w:tr>
      <w:tr w:rsidR="001815D9" w:rsidRPr="008C106C" w14:paraId="278AC980" w14:textId="77777777" w:rsidTr="00F13EC0">
        <w:tc>
          <w:tcPr>
            <w:tcW w:w="1798" w:type="dxa"/>
          </w:tcPr>
          <w:p w14:paraId="131C312B"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r w:rsidR="001815D9" w:rsidRPr="008C106C">
              <w:rPr>
                <w:szCs w:val="22"/>
                <w:lang w:val="lv-LV"/>
              </w:rPr>
              <w:tab/>
            </w:r>
          </w:p>
        </w:tc>
        <w:tc>
          <w:tcPr>
            <w:tcW w:w="7273" w:type="dxa"/>
          </w:tcPr>
          <w:p w14:paraId="3B96E98E"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rPr>
              <w:t>alerģiskas reakcijas.</w:t>
            </w:r>
          </w:p>
        </w:tc>
      </w:tr>
      <w:tr w:rsidR="008F37D3" w:rsidRPr="008C106C" w14:paraId="35F81C0B" w14:textId="77777777" w:rsidTr="00F13EC0">
        <w:tc>
          <w:tcPr>
            <w:tcW w:w="1798" w:type="dxa"/>
          </w:tcPr>
          <w:p w14:paraId="1260EFF8" w14:textId="77777777" w:rsidR="008F37D3" w:rsidRPr="008C106C" w:rsidRDefault="00C81DA6" w:rsidP="00F13EC0">
            <w:pPr>
              <w:tabs>
                <w:tab w:val="clear" w:pos="567"/>
              </w:tabs>
              <w:autoSpaceDE w:val="0"/>
              <w:autoSpaceDN w:val="0"/>
              <w:adjustRightInd w:val="0"/>
              <w:spacing w:line="240" w:lineRule="auto"/>
              <w:jc w:val="both"/>
              <w:rPr>
                <w:szCs w:val="22"/>
                <w:lang w:val="lv-LV"/>
              </w:rPr>
            </w:pPr>
            <w:r w:rsidRPr="008C106C">
              <w:rPr>
                <w:color w:val="000000"/>
                <w:szCs w:val="22"/>
                <w:lang w:val="lv-LV"/>
              </w:rPr>
              <w:t>Reti</w:t>
            </w:r>
            <w:r w:rsidR="008F37D3" w:rsidRPr="008C106C">
              <w:rPr>
                <w:color w:val="000000"/>
                <w:szCs w:val="22"/>
                <w:lang w:val="lv-LV"/>
              </w:rPr>
              <w:t xml:space="preserve">: </w:t>
            </w:r>
          </w:p>
        </w:tc>
        <w:tc>
          <w:tcPr>
            <w:tcW w:w="7273" w:type="dxa"/>
          </w:tcPr>
          <w:p w14:paraId="2BE2C6F9" w14:textId="77777777" w:rsidR="008F37D3" w:rsidRPr="008C106C" w:rsidRDefault="00171BE8" w:rsidP="00F13EC0">
            <w:pPr>
              <w:tabs>
                <w:tab w:val="clear" w:pos="567"/>
              </w:tabs>
              <w:autoSpaceDE w:val="0"/>
              <w:autoSpaceDN w:val="0"/>
              <w:adjustRightInd w:val="0"/>
              <w:spacing w:line="240" w:lineRule="auto"/>
              <w:jc w:val="both"/>
              <w:rPr>
                <w:szCs w:val="22"/>
                <w:lang w:val="lv-LV"/>
              </w:rPr>
            </w:pPr>
            <w:r w:rsidRPr="008C106C">
              <w:rPr>
                <w:szCs w:val="22"/>
                <w:lang w:val="lv-LV"/>
              </w:rPr>
              <w:t>angioedēma</w:t>
            </w:r>
            <w:r w:rsidR="008F37D3" w:rsidRPr="008C106C">
              <w:rPr>
                <w:color w:val="000000"/>
                <w:szCs w:val="22"/>
                <w:lang w:val="lv-LV"/>
              </w:rPr>
              <w:t xml:space="preserve">*, </w:t>
            </w:r>
            <w:r w:rsidRPr="008C106C">
              <w:rPr>
                <w:szCs w:val="22"/>
                <w:lang w:val="lv-LV"/>
              </w:rPr>
              <w:t>anafilaktiskas reakcijas</w:t>
            </w:r>
            <w:r w:rsidR="008F37D3" w:rsidRPr="008C106C">
              <w:rPr>
                <w:color w:val="000000"/>
                <w:szCs w:val="22"/>
                <w:lang w:val="lv-LV"/>
              </w:rPr>
              <w:t>*</w:t>
            </w:r>
            <w:r w:rsidRPr="008C106C">
              <w:rPr>
                <w:color w:val="000000"/>
                <w:szCs w:val="22"/>
                <w:lang w:val="lv-LV"/>
              </w:rPr>
              <w:t>.</w:t>
            </w:r>
          </w:p>
        </w:tc>
      </w:tr>
      <w:tr w:rsidR="0074667F" w:rsidRPr="008C106C" w14:paraId="06046B15" w14:textId="77777777" w:rsidTr="00F13EC0">
        <w:tc>
          <w:tcPr>
            <w:tcW w:w="9071" w:type="dxa"/>
            <w:gridSpan w:val="2"/>
          </w:tcPr>
          <w:p w14:paraId="0A58A6D2" w14:textId="77777777" w:rsidR="0074667F" w:rsidRPr="008C106C" w:rsidRDefault="0074667F" w:rsidP="00F13EC0">
            <w:pPr>
              <w:tabs>
                <w:tab w:val="clear" w:pos="567"/>
              </w:tabs>
              <w:autoSpaceDE w:val="0"/>
              <w:autoSpaceDN w:val="0"/>
              <w:adjustRightInd w:val="0"/>
              <w:spacing w:line="240" w:lineRule="auto"/>
              <w:jc w:val="both"/>
              <w:rPr>
                <w:b/>
                <w:szCs w:val="22"/>
                <w:lang w:val="lv-LV"/>
              </w:rPr>
            </w:pPr>
          </w:p>
        </w:tc>
      </w:tr>
      <w:tr w:rsidR="001815D9" w:rsidRPr="008C106C" w14:paraId="1C90C932" w14:textId="77777777" w:rsidTr="00F13EC0">
        <w:tc>
          <w:tcPr>
            <w:tcW w:w="9071" w:type="dxa"/>
            <w:gridSpan w:val="2"/>
          </w:tcPr>
          <w:p w14:paraId="728CBF38" w14:textId="77777777" w:rsidR="001815D9" w:rsidRPr="008C106C" w:rsidRDefault="001815D9"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Endo</w:t>
            </w:r>
            <w:r w:rsidR="00C81DA6" w:rsidRPr="008C106C">
              <w:rPr>
                <w:b/>
                <w:szCs w:val="22"/>
                <w:lang w:val="lv-LV"/>
              </w:rPr>
              <w:t>krīnās sistēmas traucējumi</w:t>
            </w:r>
          </w:p>
        </w:tc>
      </w:tr>
      <w:tr w:rsidR="001815D9" w:rsidRPr="008C106C" w14:paraId="401FCFB0" w14:textId="77777777" w:rsidTr="00F13EC0">
        <w:tc>
          <w:tcPr>
            <w:tcW w:w="1798" w:type="dxa"/>
          </w:tcPr>
          <w:p w14:paraId="798354C2"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3E578F43"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hipertireoze.</w:t>
            </w:r>
          </w:p>
        </w:tc>
      </w:tr>
      <w:tr w:rsidR="0095673E" w:rsidRPr="008C106C" w14:paraId="30030B39" w14:textId="77777777" w:rsidTr="00F13EC0">
        <w:tc>
          <w:tcPr>
            <w:tcW w:w="1798" w:type="dxa"/>
          </w:tcPr>
          <w:p w14:paraId="1F6F5E51"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0E8218EE"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1815D9" w:rsidRPr="008C106C" w14:paraId="442DCFF2" w14:textId="77777777" w:rsidTr="00F13EC0">
        <w:tc>
          <w:tcPr>
            <w:tcW w:w="9071" w:type="dxa"/>
            <w:gridSpan w:val="2"/>
          </w:tcPr>
          <w:p w14:paraId="7FD25C59"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Vielmaiņas un uztures traucējumi</w:t>
            </w:r>
          </w:p>
        </w:tc>
      </w:tr>
      <w:tr w:rsidR="0013384E" w:rsidRPr="003E5C01" w14:paraId="58E0F85A" w14:textId="77777777" w:rsidTr="00F13EC0">
        <w:tc>
          <w:tcPr>
            <w:tcW w:w="1798" w:type="dxa"/>
          </w:tcPr>
          <w:p w14:paraId="2C8F5C72" w14:textId="77777777" w:rsidR="0013384E"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12DA399D" w14:textId="77777777" w:rsidR="0013384E"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 xml:space="preserve">perifēra </w:t>
            </w:r>
            <w:r w:rsidR="00E128A7">
              <w:rPr>
                <w:szCs w:val="22"/>
                <w:lang w:val="lv-LV" w:eastAsia="de-DE"/>
              </w:rPr>
              <w:t>tūska</w:t>
            </w:r>
            <w:r w:rsidRPr="008C106C">
              <w:rPr>
                <w:szCs w:val="22"/>
                <w:lang w:val="lv-LV" w:eastAsia="de-DE"/>
              </w:rPr>
              <w:t>, anoreksija, slāpes, palielināta ēstgriba, hipokaliēmija.</w:t>
            </w:r>
          </w:p>
        </w:tc>
      </w:tr>
      <w:tr w:rsidR="0095673E" w:rsidRPr="003E5C01" w14:paraId="5FD63915" w14:textId="77777777" w:rsidTr="00F13EC0">
        <w:tc>
          <w:tcPr>
            <w:tcW w:w="1798" w:type="dxa"/>
          </w:tcPr>
          <w:p w14:paraId="49A47700"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457620D4"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1815D9" w:rsidRPr="008C106C" w14:paraId="42AABC3E" w14:textId="77777777" w:rsidTr="00F13EC0">
        <w:tc>
          <w:tcPr>
            <w:tcW w:w="9071" w:type="dxa"/>
            <w:gridSpan w:val="2"/>
          </w:tcPr>
          <w:p w14:paraId="3858D330" w14:textId="77777777" w:rsidR="001815D9" w:rsidRPr="008C106C" w:rsidRDefault="001815D9"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lastRenderedPageBreak/>
              <w:t>P</w:t>
            </w:r>
            <w:r w:rsidR="00C81DA6" w:rsidRPr="008C106C">
              <w:rPr>
                <w:b/>
                <w:szCs w:val="22"/>
                <w:lang w:val="lv-LV"/>
              </w:rPr>
              <w:t>sihiskie traucējumi</w:t>
            </w:r>
          </w:p>
        </w:tc>
      </w:tr>
      <w:tr w:rsidR="001815D9" w:rsidRPr="008C106C" w14:paraId="79F4D9F4" w14:textId="77777777" w:rsidTr="00F13EC0">
        <w:tc>
          <w:tcPr>
            <w:tcW w:w="1798" w:type="dxa"/>
          </w:tcPr>
          <w:p w14:paraId="2B046E44"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6406F514"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rPr>
              <w:t>nervozitāte, depresija</w:t>
            </w:r>
            <w:r w:rsidR="001D2FB4" w:rsidRPr="008C106C">
              <w:rPr>
                <w:szCs w:val="22"/>
                <w:lang w:val="lv-LV"/>
              </w:rPr>
              <w:t xml:space="preserve">, </w:t>
            </w:r>
            <w:r w:rsidRPr="008C106C">
              <w:rPr>
                <w:szCs w:val="22"/>
                <w:lang w:val="lv-LV"/>
              </w:rPr>
              <w:t>trauksme.</w:t>
            </w:r>
          </w:p>
        </w:tc>
      </w:tr>
      <w:tr w:rsidR="001815D9" w:rsidRPr="003E5C01" w14:paraId="0402F5BA" w14:textId="77777777" w:rsidTr="00F13EC0">
        <w:tc>
          <w:tcPr>
            <w:tcW w:w="1798" w:type="dxa"/>
          </w:tcPr>
          <w:p w14:paraId="415A4FBD"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40B1E74B"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emocionālā labilitāte, samazināts libido, apjukums, uzbudinājums, halucinācijas, bezmiegs, apātija, eiforija.</w:t>
            </w:r>
          </w:p>
        </w:tc>
      </w:tr>
      <w:tr w:rsidR="008F37D3" w:rsidRPr="003E5C01" w14:paraId="63CFC493" w14:textId="77777777" w:rsidTr="00F13EC0">
        <w:tc>
          <w:tcPr>
            <w:tcW w:w="1798" w:type="dxa"/>
          </w:tcPr>
          <w:p w14:paraId="00998D02" w14:textId="77777777" w:rsidR="008F37D3" w:rsidRPr="008C106C" w:rsidRDefault="00C81DA6" w:rsidP="00F13EC0">
            <w:pPr>
              <w:tabs>
                <w:tab w:val="clear" w:pos="567"/>
              </w:tabs>
              <w:autoSpaceDE w:val="0"/>
              <w:autoSpaceDN w:val="0"/>
              <w:adjustRightInd w:val="0"/>
              <w:spacing w:line="240" w:lineRule="auto"/>
              <w:jc w:val="both"/>
              <w:rPr>
                <w:szCs w:val="22"/>
                <w:lang w:val="lv-LV"/>
              </w:rPr>
            </w:pPr>
            <w:r w:rsidRPr="008C106C">
              <w:rPr>
                <w:color w:val="000000"/>
                <w:szCs w:val="22"/>
                <w:lang w:val="lv-LV"/>
              </w:rPr>
              <w:t>Reti:</w:t>
            </w:r>
          </w:p>
        </w:tc>
        <w:tc>
          <w:tcPr>
            <w:tcW w:w="7273" w:type="dxa"/>
          </w:tcPr>
          <w:p w14:paraId="1DC32E31" w14:textId="77777777" w:rsidR="008F37D3" w:rsidRPr="008C106C" w:rsidRDefault="00171BE8" w:rsidP="00F13EC0">
            <w:pPr>
              <w:tabs>
                <w:tab w:val="left" w:pos="1276"/>
              </w:tabs>
              <w:autoSpaceDE w:val="0"/>
              <w:autoSpaceDN w:val="0"/>
              <w:adjustRightInd w:val="0"/>
              <w:spacing w:line="240" w:lineRule="auto"/>
              <w:jc w:val="both"/>
              <w:rPr>
                <w:color w:val="000000"/>
                <w:szCs w:val="22"/>
                <w:lang w:val="lv-LV"/>
              </w:rPr>
            </w:pPr>
            <w:r w:rsidRPr="008C106C">
              <w:rPr>
                <w:color w:val="000000"/>
                <w:szCs w:val="22"/>
                <w:lang w:val="lv-LV"/>
              </w:rPr>
              <w:t xml:space="preserve">uzbudināmība*, agresija*, nemiers*, maldi*, dusmas*, </w:t>
            </w:r>
            <w:r w:rsidRPr="008C106C">
              <w:rPr>
                <w:szCs w:val="22"/>
                <w:lang w:val="lv-LV"/>
              </w:rPr>
              <w:t xml:space="preserve">patoloģiska </w:t>
            </w:r>
            <w:r w:rsidRPr="008C106C">
              <w:rPr>
                <w:color w:val="000000"/>
                <w:szCs w:val="22"/>
                <w:lang w:val="lv-LV"/>
              </w:rPr>
              <w:t>uzvedība (iespējams, saistīta ar amnēziju)* un somnambulisms (skatīt 4.4. apakšpunktu).</w:t>
            </w:r>
          </w:p>
        </w:tc>
      </w:tr>
      <w:tr w:rsidR="008F37D3" w:rsidRPr="003E5C01" w14:paraId="6A155130" w14:textId="77777777" w:rsidTr="00F13EC0">
        <w:tc>
          <w:tcPr>
            <w:tcW w:w="1798" w:type="dxa"/>
          </w:tcPr>
          <w:p w14:paraId="34B51847" w14:textId="77777777" w:rsidR="008F37D3" w:rsidRPr="008C106C" w:rsidRDefault="00C81DA6" w:rsidP="00F13EC0">
            <w:pPr>
              <w:tabs>
                <w:tab w:val="clear" w:pos="567"/>
              </w:tabs>
              <w:autoSpaceDE w:val="0"/>
              <w:autoSpaceDN w:val="0"/>
              <w:adjustRightInd w:val="0"/>
              <w:spacing w:line="240" w:lineRule="auto"/>
              <w:jc w:val="both"/>
              <w:rPr>
                <w:szCs w:val="22"/>
                <w:lang w:val="lv-LV"/>
              </w:rPr>
            </w:pPr>
            <w:r w:rsidRPr="008C106C">
              <w:rPr>
                <w:szCs w:val="22"/>
                <w:lang w:val="lv-LV"/>
              </w:rPr>
              <w:t>Nav zināms:</w:t>
            </w:r>
          </w:p>
        </w:tc>
        <w:tc>
          <w:tcPr>
            <w:tcW w:w="7273" w:type="dxa"/>
          </w:tcPr>
          <w:p w14:paraId="227127EC" w14:textId="77777777" w:rsidR="008F37D3"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rPr>
              <w:t>atkarība (skatīt 4.4. apakšpunktu), atcelšanas sindroms*</w:t>
            </w:r>
            <w:r w:rsidR="008F37D3" w:rsidRPr="008C106C">
              <w:rPr>
                <w:color w:val="000000"/>
                <w:szCs w:val="22"/>
                <w:lang w:val="lv-LV"/>
              </w:rPr>
              <w:t xml:space="preserve">, </w:t>
            </w:r>
            <w:r w:rsidRPr="008C106C">
              <w:rPr>
                <w:color w:val="000000"/>
                <w:szCs w:val="22"/>
                <w:lang w:val="lv-LV"/>
              </w:rPr>
              <w:t>slāpētas emocijas*.</w:t>
            </w:r>
          </w:p>
        </w:tc>
      </w:tr>
      <w:tr w:rsidR="0095673E" w:rsidRPr="003E5C01" w14:paraId="439B516E" w14:textId="77777777" w:rsidTr="00F13EC0">
        <w:tc>
          <w:tcPr>
            <w:tcW w:w="1798" w:type="dxa"/>
          </w:tcPr>
          <w:p w14:paraId="4ED89114"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654282A8"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1815D9" w:rsidRPr="008C106C" w14:paraId="7DC988CC" w14:textId="77777777" w:rsidTr="00F13EC0">
        <w:tc>
          <w:tcPr>
            <w:tcW w:w="9071" w:type="dxa"/>
            <w:gridSpan w:val="2"/>
          </w:tcPr>
          <w:p w14:paraId="388FC01A" w14:textId="77777777" w:rsidR="001815D9" w:rsidRPr="008C106C" w:rsidRDefault="001815D9"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N</w:t>
            </w:r>
            <w:r w:rsidR="00C81DA6" w:rsidRPr="008C106C">
              <w:rPr>
                <w:b/>
                <w:szCs w:val="22"/>
                <w:lang w:val="lv-LV"/>
              </w:rPr>
              <w:t>ervu sistēmas traucējumi</w:t>
            </w:r>
          </w:p>
        </w:tc>
      </w:tr>
      <w:tr w:rsidR="001815D9" w:rsidRPr="003E5C01" w14:paraId="2E9769A6" w14:textId="77777777" w:rsidTr="00F13EC0">
        <w:tc>
          <w:tcPr>
            <w:tcW w:w="1798" w:type="dxa"/>
          </w:tcPr>
          <w:p w14:paraId="3791F4C5"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Ļoti bieži:</w:t>
            </w:r>
          </w:p>
        </w:tc>
        <w:tc>
          <w:tcPr>
            <w:tcW w:w="7273" w:type="dxa"/>
          </w:tcPr>
          <w:p w14:paraId="7567EA60" w14:textId="77777777" w:rsidR="001815D9"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disgeizija (nepatīkama/rūgta garša mutē).</w:t>
            </w:r>
          </w:p>
        </w:tc>
      </w:tr>
      <w:tr w:rsidR="001815D9" w:rsidRPr="003E5C01" w14:paraId="0EC4F15D" w14:textId="77777777" w:rsidTr="00F13EC0">
        <w:tc>
          <w:tcPr>
            <w:tcW w:w="1798" w:type="dxa"/>
          </w:tcPr>
          <w:p w14:paraId="01BCDA0D"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4505E8E8" w14:textId="77777777" w:rsidR="001D2FB4" w:rsidRPr="008C106C" w:rsidRDefault="00171BE8" w:rsidP="00F13EC0">
            <w:pPr>
              <w:tabs>
                <w:tab w:val="clear" w:pos="567"/>
              </w:tabs>
              <w:autoSpaceDE w:val="0"/>
              <w:autoSpaceDN w:val="0"/>
              <w:adjustRightInd w:val="0"/>
              <w:spacing w:line="240" w:lineRule="auto"/>
              <w:jc w:val="both"/>
              <w:rPr>
                <w:szCs w:val="22"/>
                <w:lang w:val="lv-LV" w:eastAsia="de-DE"/>
              </w:rPr>
            </w:pPr>
            <w:r w:rsidRPr="008C106C">
              <w:rPr>
                <w:szCs w:val="22"/>
                <w:lang w:val="lv-LV"/>
              </w:rPr>
              <w:t>galvassāpes, miegainība, reibonis, neparasti sapņi, atmiņas traucējumi, patoloģiska domāšana.</w:t>
            </w:r>
          </w:p>
        </w:tc>
      </w:tr>
      <w:tr w:rsidR="001815D9" w:rsidRPr="003E5C01" w14:paraId="4082ED0E" w14:textId="77777777" w:rsidTr="00F13EC0">
        <w:tc>
          <w:tcPr>
            <w:tcW w:w="1798" w:type="dxa"/>
          </w:tcPr>
          <w:p w14:paraId="346C488A" w14:textId="77777777" w:rsidR="001815D9" w:rsidRPr="008C106C" w:rsidRDefault="00F901E4" w:rsidP="00F13EC0">
            <w:pPr>
              <w:tabs>
                <w:tab w:val="clear" w:pos="567"/>
              </w:tabs>
              <w:autoSpaceDE w:val="0"/>
              <w:autoSpaceDN w:val="0"/>
              <w:adjustRightInd w:val="0"/>
              <w:spacing w:line="240" w:lineRule="auto"/>
              <w:jc w:val="both"/>
              <w:rPr>
                <w:szCs w:val="22"/>
                <w:lang w:val="lv-LV"/>
              </w:rPr>
            </w:pPr>
            <w:r w:rsidRPr="008C106C">
              <w:rPr>
                <w:szCs w:val="22"/>
                <w:lang w:val="lv-LV" w:eastAsia="de-DE"/>
              </w:rPr>
              <w:t>Retāk:</w:t>
            </w:r>
          </w:p>
        </w:tc>
        <w:tc>
          <w:tcPr>
            <w:tcW w:w="7273" w:type="dxa"/>
          </w:tcPr>
          <w:p w14:paraId="3927A21C" w14:textId="77777777" w:rsidR="001815D9" w:rsidRPr="008C106C" w:rsidRDefault="00171BE8" w:rsidP="00F13EC0">
            <w:pPr>
              <w:tabs>
                <w:tab w:val="clear" w:pos="567"/>
              </w:tabs>
              <w:autoSpaceDE w:val="0"/>
              <w:autoSpaceDN w:val="0"/>
              <w:adjustRightInd w:val="0"/>
              <w:spacing w:line="240" w:lineRule="auto"/>
              <w:jc w:val="both"/>
              <w:rPr>
                <w:szCs w:val="22"/>
                <w:lang w:val="lv-LV"/>
              </w:rPr>
            </w:pPr>
            <w:r w:rsidRPr="008C106C">
              <w:rPr>
                <w:szCs w:val="22"/>
                <w:lang w:val="lv-LV"/>
              </w:rPr>
              <w:t>v</w:t>
            </w:r>
            <w:r w:rsidR="0032720A" w:rsidRPr="008C106C">
              <w:rPr>
                <w:szCs w:val="22"/>
                <w:lang w:val="lv-LV"/>
              </w:rPr>
              <w:t>ertigo</w:t>
            </w:r>
            <w:r w:rsidR="006949C2" w:rsidRPr="008C106C">
              <w:rPr>
                <w:szCs w:val="22"/>
                <w:lang w:val="lv-LV"/>
              </w:rPr>
              <w:t>,</w:t>
            </w:r>
            <w:r w:rsidRPr="008C106C">
              <w:rPr>
                <w:szCs w:val="22"/>
                <w:lang w:val="lv-LV"/>
              </w:rPr>
              <w:t xml:space="preserve"> ataksija</w:t>
            </w:r>
            <w:r w:rsidR="00A358E5" w:rsidRPr="008C106C">
              <w:rPr>
                <w:szCs w:val="22"/>
                <w:lang w:val="lv-LV"/>
              </w:rPr>
              <w:t>,</w:t>
            </w:r>
            <w:r w:rsidR="006949C2" w:rsidRPr="008C106C">
              <w:rPr>
                <w:szCs w:val="22"/>
                <w:lang w:val="lv-LV"/>
              </w:rPr>
              <w:t xml:space="preserve"> </w:t>
            </w:r>
            <w:r w:rsidRPr="008C106C">
              <w:rPr>
                <w:szCs w:val="22"/>
                <w:lang w:val="lv-LV"/>
              </w:rPr>
              <w:t>patoloģiska gaita, koordinācijas traucējumi, hipokinēzija, parestēzija, stupors, trīce.</w:t>
            </w:r>
          </w:p>
        </w:tc>
      </w:tr>
      <w:tr w:rsidR="001815D9" w:rsidRPr="008C106C" w14:paraId="4AEC84CB" w14:textId="77777777" w:rsidTr="00F13EC0">
        <w:tc>
          <w:tcPr>
            <w:tcW w:w="1798" w:type="dxa"/>
          </w:tcPr>
          <w:p w14:paraId="79CD069A" w14:textId="77777777" w:rsidR="001815D9" w:rsidRPr="008C106C" w:rsidRDefault="00C81DA6" w:rsidP="00F13EC0">
            <w:pPr>
              <w:tabs>
                <w:tab w:val="clear" w:pos="567"/>
              </w:tabs>
              <w:autoSpaceDE w:val="0"/>
              <w:autoSpaceDN w:val="0"/>
              <w:adjustRightInd w:val="0"/>
              <w:spacing w:line="240" w:lineRule="auto"/>
              <w:jc w:val="both"/>
              <w:rPr>
                <w:szCs w:val="22"/>
                <w:lang w:val="lv-LV"/>
              </w:rPr>
            </w:pPr>
            <w:r w:rsidRPr="008C106C">
              <w:rPr>
                <w:szCs w:val="22"/>
                <w:lang w:val="lv-LV"/>
              </w:rPr>
              <w:t>Nav zināms:</w:t>
            </w:r>
          </w:p>
        </w:tc>
        <w:tc>
          <w:tcPr>
            <w:tcW w:w="7273" w:type="dxa"/>
          </w:tcPr>
          <w:p w14:paraId="49833DF4" w14:textId="77777777" w:rsidR="001815D9" w:rsidRPr="008C106C" w:rsidRDefault="00171BE8" w:rsidP="00F13EC0">
            <w:pPr>
              <w:tabs>
                <w:tab w:val="clear" w:pos="567"/>
              </w:tabs>
              <w:autoSpaceDE w:val="0"/>
              <w:autoSpaceDN w:val="0"/>
              <w:adjustRightInd w:val="0"/>
              <w:spacing w:line="240" w:lineRule="auto"/>
              <w:jc w:val="both"/>
              <w:rPr>
                <w:szCs w:val="22"/>
                <w:lang w:val="lv-LV"/>
              </w:rPr>
            </w:pPr>
            <w:r w:rsidRPr="008C106C">
              <w:rPr>
                <w:szCs w:val="22"/>
                <w:lang w:val="lv-LV"/>
              </w:rPr>
              <w:t>dizosmija, uzmanības traucējumi*, pagarināts reakcijas laiks*.</w:t>
            </w:r>
          </w:p>
        </w:tc>
      </w:tr>
      <w:tr w:rsidR="0095673E" w:rsidRPr="008C106C" w14:paraId="6BF7CD55" w14:textId="77777777" w:rsidTr="00F13EC0">
        <w:tc>
          <w:tcPr>
            <w:tcW w:w="1798" w:type="dxa"/>
          </w:tcPr>
          <w:p w14:paraId="6EAF40B3"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545214E1"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1815D9" w:rsidRPr="008C106C" w14:paraId="6F44021A" w14:textId="77777777" w:rsidTr="00F13EC0">
        <w:tc>
          <w:tcPr>
            <w:tcW w:w="9071" w:type="dxa"/>
            <w:gridSpan w:val="2"/>
          </w:tcPr>
          <w:p w14:paraId="1C8D2EAA"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Acu bojājumi</w:t>
            </w:r>
          </w:p>
        </w:tc>
      </w:tr>
      <w:tr w:rsidR="008F37D3" w:rsidRPr="008C106C" w14:paraId="75525F0D" w14:textId="77777777" w:rsidTr="00F13EC0">
        <w:tc>
          <w:tcPr>
            <w:tcW w:w="1798" w:type="dxa"/>
          </w:tcPr>
          <w:p w14:paraId="1F119130" w14:textId="77777777" w:rsidR="008F37D3" w:rsidRPr="008C106C" w:rsidRDefault="00C81DA6" w:rsidP="00F13EC0">
            <w:pPr>
              <w:tabs>
                <w:tab w:val="clear" w:pos="567"/>
              </w:tabs>
              <w:autoSpaceDE w:val="0"/>
              <w:autoSpaceDN w:val="0"/>
              <w:adjustRightInd w:val="0"/>
              <w:spacing w:line="240" w:lineRule="auto"/>
              <w:jc w:val="both"/>
              <w:rPr>
                <w:szCs w:val="22"/>
                <w:lang w:val="lv-LV"/>
              </w:rPr>
            </w:pPr>
            <w:r w:rsidRPr="008C106C">
              <w:rPr>
                <w:szCs w:val="22"/>
                <w:lang w:val="lv-LV"/>
              </w:rPr>
              <w:t>Bieži:</w:t>
            </w:r>
          </w:p>
        </w:tc>
        <w:tc>
          <w:tcPr>
            <w:tcW w:w="7273" w:type="dxa"/>
          </w:tcPr>
          <w:p w14:paraId="7FFBAE15" w14:textId="77777777" w:rsidR="008F37D3"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neskaidra redze (galvenokārt gados vecākiem pacientiem).</w:t>
            </w:r>
          </w:p>
        </w:tc>
      </w:tr>
      <w:tr w:rsidR="008D0B80" w:rsidRPr="008C106C" w14:paraId="0F779B36" w14:textId="77777777" w:rsidTr="00F13EC0">
        <w:tc>
          <w:tcPr>
            <w:tcW w:w="1798" w:type="dxa"/>
          </w:tcPr>
          <w:p w14:paraId="741566A3" w14:textId="77777777" w:rsidR="008D0B80" w:rsidRPr="008C106C" w:rsidRDefault="00F901E4" w:rsidP="00F13EC0">
            <w:pPr>
              <w:tabs>
                <w:tab w:val="clear" w:pos="567"/>
              </w:tabs>
              <w:autoSpaceDE w:val="0"/>
              <w:autoSpaceDN w:val="0"/>
              <w:adjustRightInd w:val="0"/>
              <w:spacing w:line="240" w:lineRule="auto"/>
              <w:jc w:val="both"/>
              <w:rPr>
                <w:szCs w:val="22"/>
                <w:lang w:val="lv-LV"/>
              </w:rPr>
            </w:pPr>
            <w:r w:rsidRPr="008C106C">
              <w:rPr>
                <w:szCs w:val="22"/>
                <w:lang w:val="lv-LV" w:eastAsia="de-DE"/>
              </w:rPr>
              <w:t>Retāk:</w:t>
            </w:r>
          </w:p>
        </w:tc>
        <w:tc>
          <w:tcPr>
            <w:tcW w:w="7273" w:type="dxa"/>
          </w:tcPr>
          <w:p w14:paraId="740F7139" w14:textId="77777777" w:rsidR="008D0B80"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sausas acis.</w:t>
            </w:r>
          </w:p>
        </w:tc>
      </w:tr>
      <w:tr w:rsidR="0095673E" w:rsidRPr="008C106C" w14:paraId="32A06E1D" w14:textId="77777777" w:rsidTr="00F13EC0">
        <w:tc>
          <w:tcPr>
            <w:tcW w:w="1798" w:type="dxa"/>
          </w:tcPr>
          <w:p w14:paraId="7A8A11B3" w14:textId="77777777" w:rsidR="0095673E"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Nav zināms:</w:t>
            </w:r>
          </w:p>
        </w:tc>
        <w:tc>
          <w:tcPr>
            <w:tcW w:w="7273" w:type="dxa"/>
          </w:tcPr>
          <w:p w14:paraId="1DD5EAE1" w14:textId="77777777" w:rsidR="0095673E"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diplopija</w:t>
            </w:r>
            <w:r w:rsidR="003D6DE8" w:rsidRPr="008C106C">
              <w:rPr>
                <w:color w:val="000000"/>
                <w:szCs w:val="22"/>
                <w:lang w:val="lv-LV"/>
              </w:rPr>
              <w:t>*</w:t>
            </w:r>
            <w:r w:rsidR="001C2700" w:rsidRPr="008C106C">
              <w:rPr>
                <w:color w:val="000000"/>
                <w:szCs w:val="22"/>
                <w:lang w:val="lv-LV"/>
              </w:rPr>
              <w:t>.</w:t>
            </w:r>
          </w:p>
        </w:tc>
      </w:tr>
      <w:tr w:rsidR="008F37D3" w:rsidRPr="008C106C" w14:paraId="688B181B" w14:textId="77777777" w:rsidTr="00F13EC0">
        <w:tc>
          <w:tcPr>
            <w:tcW w:w="1798" w:type="dxa"/>
          </w:tcPr>
          <w:p w14:paraId="4FAD271A" w14:textId="77777777" w:rsidR="008F37D3" w:rsidRPr="008C106C" w:rsidRDefault="008F37D3" w:rsidP="00F13EC0">
            <w:pPr>
              <w:tabs>
                <w:tab w:val="clear" w:pos="567"/>
              </w:tabs>
              <w:autoSpaceDE w:val="0"/>
              <w:autoSpaceDN w:val="0"/>
              <w:adjustRightInd w:val="0"/>
              <w:spacing w:line="240" w:lineRule="auto"/>
              <w:jc w:val="both"/>
              <w:rPr>
                <w:color w:val="000000"/>
                <w:szCs w:val="22"/>
                <w:lang w:val="lv-LV"/>
              </w:rPr>
            </w:pPr>
          </w:p>
        </w:tc>
        <w:tc>
          <w:tcPr>
            <w:tcW w:w="7273" w:type="dxa"/>
          </w:tcPr>
          <w:p w14:paraId="40C1DEBF" w14:textId="77777777" w:rsidR="008F37D3" w:rsidRPr="008C106C" w:rsidRDefault="008F37D3" w:rsidP="00F13EC0">
            <w:pPr>
              <w:tabs>
                <w:tab w:val="clear" w:pos="567"/>
              </w:tabs>
              <w:autoSpaceDE w:val="0"/>
              <w:autoSpaceDN w:val="0"/>
              <w:adjustRightInd w:val="0"/>
              <w:spacing w:line="240" w:lineRule="auto"/>
              <w:jc w:val="both"/>
              <w:rPr>
                <w:color w:val="000000"/>
                <w:szCs w:val="22"/>
                <w:lang w:val="lv-LV"/>
              </w:rPr>
            </w:pPr>
          </w:p>
        </w:tc>
      </w:tr>
      <w:tr w:rsidR="001815D9" w:rsidRPr="008C106C" w14:paraId="234297CD" w14:textId="77777777" w:rsidTr="00F13EC0">
        <w:tc>
          <w:tcPr>
            <w:tcW w:w="9071" w:type="dxa"/>
            <w:gridSpan w:val="2"/>
          </w:tcPr>
          <w:p w14:paraId="3B28B207" w14:textId="77777777" w:rsidR="001815D9"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Ausu un labirinta bojājumi</w:t>
            </w:r>
          </w:p>
        </w:tc>
      </w:tr>
      <w:tr w:rsidR="001815D9" w:rsidRPr="008C106C" w14:paraId="668FA196" w14:textId="77777777" w:rsidTr="00F13EC0">
        <w:tc>
          <w:tcPr>
            <w:tcW w:w="1798" w:type="dxa"/>
          </w:tcPr>
          <w:p w14:paraId="4CC66478" w14:textId="77777777" w:rsidR="001815D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720936FE" w14:textId="77777777" w:rsidR="001815D9"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troksnis ausīs, ausu sāpes.</w:t>
            </w:r>
          </w:p>
        </w:tc>
      </w:tr>
      <w:tr w:rsidR="0095673E" w:rsidRPr="008C106C" w14:paraId="54D97AFF" w14:textId="77777777" w:rsidTr="00F13EC0">
        <w:tc>
          <w:tcPr>
            <w:tcW w:w="1798" w:type="dxa"/>
          </w:tcPr>
          <w:p w14:paraId="2F36E650"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682E5756"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8D2D2B" w:rsidRPr="008C106C" w14:paraId="4759F769" w14:textId="77777777" w:rsidTr="00F13EC0">
        <w:tc>
          <w:tcPr>
            <w:tcW w:w="9071" w:type="dxa"/>
            <w:gridSpan w:val="2"/>
          </w:tcPr>
          <w:p w14:paraId="36507309"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Asinsvadu sistēmas traucējumi</w:t>
            </w:r>
          </w:p>
        </w:tc>
      </w:tr>
      <w:tr w:rsidR="008D2D2B" w:rsidRPr="008C106C" w14:paraId="04ADB6DA" w14:textId="77777777" w:rsidTr="00F13EC0">
        <w:tc>
          <w:tcPr>
            <w:tcW w:w="1798" w:type="dxa"/>
          </w:tcPr>
          <w:p w14:paraId="61755A7F"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6E1DB4CB"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migrēna.</w:t>
            </w:r>
            <w:r w:rsidR="008D2D2B" w:rsidRPr="008C106C">
              <w:rPr>
                <w:szCs w:val="22"/>
                <w:lang w:val="lv-LV"/>
              </w:rPr>
              <w:t xml:space="preserve"> </w:t>
            </w:r>
          </w:p>
        </w:tc>
      </w:tr>
      <w:tr w:rsidR="008D2D2B" w:rsidRPr="008C106C" w14:paraId="30742F6C" w14:textId="77777777" w:rsidTr="00F13EC0">
        <w:tc>
          <w:tcPr>
            <w:tcW w:w="1798" w:type="dxa"/>
          </w:tcPr>
          <w:p w14:paraId="174C7A47"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6BFBA84B"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hipertensija, sinkope.</w:t>
            </w:r>
          </w:p>
        </w:tc>
      </w:tr>
      <w:tr w:rsidR="0095673E" w:rsidRPr="008C106C" w14:paraId="651FBD1F" w14:textId="77777777" w:rsidTr="00F13EC0">
        <w:tc>
          <w:tcPr>
            <w:tcW w:w="1798" w:type="dxa"/>
          </w:tcPr>
          <w:p w14:paraId="744C048B"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23573F2F"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8D2D2B" w:rsidRPr="008C106C" w14:paraId="645AB558" w14:textId="77777777" w:rsidTr="00F13EC0">
        <w:tc>
          <w:tcPr>
            <w:tcW w:w="9071" w:type="dxa"/>
            <w:gridSpan w:val="2"/>
          </w:tcPr>
          <w:p w14:paraId="0DA7404E" w14:textId="77777777" w:rsidR="008D2D2B" w:rsidRPr="008C106C" w:rsidRDefault="00C81DA6" w:rsidP="00F13EC0">
            <w:pPr>
              <w:pStyle w:val="Default"/>
              <w:jc w:val="both"/>
              <w:rPr>
                <w:b/>
                <w:bCs/>
                <w:sz w:val="22"/>
                <w:szCs w:val="22"/>
                <w:lang w:val="lv-LV"/>
              </w:rPr>
            </w:pPr>
            <w:r w:rsidRPr="008C106C">
              <w:rPr>
                <w:b/>
                <w:bCs/>
                <w:sz w:val="22"/>
                <w:szCs w:val="22"/>
                <w:lang w:val="lv-LV"/>
              </w:rPr>
              <w:t>Elpošanas sistēmas traucējumi, krūšu kurvja un videnes slimības</w:t>
            </w:r>
          </w:p>
        </w:tc>
      </w:tr>
      <w:tr w:rsidR="008D2D2B" w:rsidRPr="008C106C" w14:paraId="641E3E1C" w14:textId="77777777" w:rsidTr="00F13EC0">
        <w:tc>
          <w:tcPr>
            <w:tcW w:w="1798" w:type="dxa"/>
          </w:tcPr>
          <w:p w14:paraId="06EBD5FA"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207C859B"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faringīts.</w:t>
            </w:r>
            <w:r w:rsidR="0076464F" w:rsidRPr="008C106C">
              <w:rPr>
                <w:szCs w:val="22"/>
                <w:lang w:val="lv-LV" w:eastAsia="de-DE"/>
              </w:rPr>
              <w:t xml:space="preserve"> </w:t>
            </w:r>
          </w:p>
        </w:tc>
      </w:tr>
      <w:tr w:rsidR="008D2D2B" w:rsidRPr="008C106C" w14:paraId="79CDABB3" w14:textId="77777777" w:rsidTr="00F13EC0">
        <w:tc>
          <w:tcPr>
            <w:tcW w:w="1798" w:type="dxa"/>
          </w:tcPr>
          <w:p w14:paraId="774197DA"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2A6B84AD"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aizdusa, rinīts, žagas.</w:t>
            </w:r>
          </w:p>
        </w:tc>
      </w:tr>
      <w:tr w:rsidR="003D6DE8" w:rsidRPr="008C106C" w14:paraId="7C827839" w14:textId="77777777" w:rsidTr="00F13EC0">
        <w:tc>
          <w:tcPr>
            <w:tcW w:w="1798" w:type="dxa"/>
          </w:tcPr>
          <w:p w14:paraId="6240DD79" w14:textId="77777777" w:rsidR="003D6DE8"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Nav zināms:</w:t>
            </w:r>
          </w:p>
        </w:tc>
        <w:tc>
          <w:tcPr>
            <w:tcW w:w="7273" w:type="dxa"/>
          </w:tcPr>
          <w:p w14:paraId="6D7D5713" w14:textId="77777777" w:rsidR="003D6DE8"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elpošanas nomākums (skatīt 4.4. apakšpunktu)</w:t>
            </w:r>
            <w:r w:rsidR="003D6DE8" w:rsidRPr="008C106C">
              <w:rPr>
                <w:color w:val="000000"/>
                <w:szCs w:val="22"/>
                <w:lang w:val="lv-LV"/>
              </w:rPr>
              <w:t>*</w:t>
            </w:r>
            <w:r w:rsidRPr="008C106C">
              <w:rPr>
                <w:color w:val="000000"/>
                <w:szCs w:val="22"/>
                <w:lang w:val="lv-LV"/>
              </w:rPr>
              <w:t>.</w:t>
            </w:r>
          </w:p>
        </w:tc>
      </w:tr>
      <w:tr w:rsidR="0095673E" w:rsidRPr="008C106C" w14:paraId="37A486EF" w14:textId="77777777" w:rsidTr="00F13EC0">
        <w:tc>
          <w:tcPr>
            <w:tcW w:w="1798" w:type="dxa"/>
          </w:tcPr>
          <w:p w14:paraId="344B1A85"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404524E0"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8D2D2B" w:rsidRPr="008C106C" w14:paraId="5345A4CB" w14:textId="77777777" w:rsidTr="00F13EC0">
        <w:tc>
          <w:tcPr>
            <w:tcW w:w="9071" w:type="dxa"/>
            <w:gridSpan w:val="2"/>
          </w:tcPr>
          <w:p w14:paraId="3DD94555" w14:textId="77777777" w:rsidR="008D2D2B" w:rsidRPr="008C106C" w:rsidRDefault="00C81DA6" w:rsidP="00F13EC0">
            <w:pPr>
              <w:pStyle w:val="Default"/>
              <w:jc w:val="both"/>
              <w:rPr>
                <w:b/>
                <w:sz w:val="22"/>
                <w:szCs w:val="22"/>
                <w:lang w:val="lv-LV"/>
              </w:rPr>
            </w:pPr>
            <w:r w:rsidRPr="008C106C">
              <w:rPr>
                <w:b/>
                <w:sz w:val="22"/>
                <w:szCs w:val="22"/>
                <w:lang w:val="lv-LV"/>
              </w:rPr>
              <w:t>Kuņģa</w:t>
            </w:r>
            <w:r w:rsidRPr="008C106C">
              <w:rPr>
                <w:b/>
                <w:sz w:val="22"/>
                <w:szCs w:val="22"/>
                <w:lang w:val="lv-LV"/>
              </w:rPr>
              <w:noBreakHyphen/>
              <w:t>zarnu trakta traucējumi</w:t>
            </w:r>
          </w:p>
        </w:tc>
      </w:tr>
      <w:tr w:rsidR="008D2D2B" w:rsidRPr="003E5C01" w14:paraId="3D990A49" w14:textId="77777777" w:rsidTr="00F13EC0">
        <w:tc>
          <w:tcPr>
            <w:tcW w:w="1798" w:type="dxa"/>
          </w:tcPr>
          <w:p w14:paraId="31CFF48F"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11E5F29C"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sausa mute, caureja, slikta dūša, dispepsija, sāpes vēderā, vemšana.</w:t>
            </w:r>
          </w:p>
        </w:tc>
      </w:tr>
      <w:tr w:rsidR="00031340" w:rsidRPr="008C106C" w14:paraId="6854A330" w14:textId="77777777" w:rsidTr="00F13EC0">
        <w:tc>
          <w:tcPr>
            <w:tcW w:w="1798" w:type="dxa"/>
          </w:tcPr>
          <w:p w14:paraId="332C7487" w14:textId="77777777" w:rsidR="00031340" w:rsidRPr="008C106C" w:rsidRDefault="00F901E4" w:rsidP="00F13EC0">
            <w:pPr>
              <w:tabs>
                <w:tab w:val="clear" w:pos="567"/>
              </w:tabs>
              <w:autoSpaceDE w:val="0"/>
              <w:autoSpaceDN w:val="0"/>
              <w:adjustRightInd w:val="0"/>
              <w:spacing w:line="240" w:lineRule="auto"/>
              <w:jc w:val="both"/>
              <w:rPr>
                <w:szCs w:val="22"/>
                <w:lang w:val="lv-LV"/>
              </w:rPr>
            </w:pPr>
            <w:r w:rsidRPr="008C106C">
              <w:rPr>
                <w:szCs w:val="22"/>
                <w:lang w:val="lv-LV" w:eastAsia="de-DE"/>
              </w:rPr>
              <w:t>Retāk:</w:t>
            </w:r>
          </w:p>
        </w:tc>
        <w:tc>
          <w:tcPr>
            <w:tcW w:w="7273" w:type="dxa"/>
          </w:tcPr>
          <w:p w14:paraId="4B7F28FF" w14:textId="77777777" w:rsidR="00031340" w:rsidRPr="008C106C" w:rsidRDefault="00C95F08" w:rsidP="00F13EC0">
            <w:pPr>
              <w:tabs>
                <w:tab w:val="clear" w:pos="567"/>
              </w:tabs>
              <w:autoSpaceDE w:val="0"/>
              <w:autoSpaceDN w:val="0"/>
              <w:adjustRightInd w:val="0"/>
              <w:spacing w:line="240" w:lineRule="auto"/>
              <w:jc w:val="both"/>
              <w:rPr>
                <w:szCs w:val="22"/>
                <w:lang w:val="lv-LV"/>
              </w:rPr>
            </w:pPr>
            <w:r w:rsidRPr="008C106C">
              <w:rPr>
                <w:szCs w:val="22"/>
                <w:lang w:val="lv-LV"/>
              </w:rPr>
              <w:t xml:space="preserve">halitoze, čūlas mutē, kolīts, gastroenterīts, mēles </w:t>
            </w:r>
            <w:r w:rsidR="00D35DE1">
              <w:rPr>
                <w:szCs w:val="22"/>
                <w:lang w:val="lv-LV"/>
              </w:rPr>
              <w:t>tūska</w:t>
            </w:r>
            <w:r w:rsidRPr="008C106C">
              <w:rPr>
                <w:szCs w:val="22"/>
                <w:lang w:val="lv-LV"/>
              </w:rPr>
              <w:t>.</w:t>
            </w:r>
          </w:p>
        </w:tc>
      </w:tr>
      <w:tr w:rsidR="0095673E" w:rsidRPr="008C106C" w14:paraId="332252FB" w14:textId="77777777" w:rsidTr="00F13EC0">
        <w:tc>
          <w:tcPr>
            <w:tcW w:w="1798" w:type="dxa"/>
          </w:tcPr>
          <w:p w14:paraId="12055F80"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732D7D06"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3D6DE8" w:rsidRPr="008C106C" w14:paraId="21B4F572" w14:textId="77777777" w:rsidTr="00F13EC0">
        <w:tc>
          <w:tcPr>
            <w:tcW w:w="9071" w:type="dxa"/>
            <w:gridSpan w:val="2"/>
          </w:tcPr>
          <w:p w14:paraId="46D62E24" w14:textId="77777777" w:rsidR="003D6DE8" w:rsidRPr="008C106C" w:rsidRDefault="00C81DA6" w:rsidP="00F13EC0">
            <w:pPr>
              <w:pStyle w:val="Default"/>
              <w:jc w:val="both"/>
              <w:rPr>
                <w:b/>
                <w:bCs/>
                <w:sz w:val="22"/>
                <w:szCs w:val="22"/>
                <w:lang w:val="lv-LV"/>
              </w:rPr>
            </w:pPr>
            <w:r w:rsidRPr="008C106C">
              <w:rPr>
                <w:b/>
                <w:bCs/>
                <w:sz w:val="22"/>
                <w:szCs w:val="22"/>
                <w:lang w:val="lv-LV"/>
              </w:rPr>
              <w:t xml:space="preserve">Aknu un/vai žults izvades sistēmas traucējumi </w:t>
            </w:r>
          </w:p>
        </w:tc>
      </w:tr>
      <w:tr w:rsidR="003D6DE8" w:rsidRPr="003E5C01" w14:paraId="56D4CD9C" w14:textId="77777777" w:rsidTr="00F13EC0">
        <w:tc>
          <w:tcPr>
            <w:tcW w:w="1798" w:type="dxa"/>
          </w:tcPr>
          <w:p w14:paraId="3638CC23" w14:textId="77777777" w:rsidR="003D6DE8" w:rsidRPr="008C106C" w:rsidRDefault="00C81DA6" w:rsidP="00F13EC0">
            <w:pPr>
              <w:tabs>
                <w:tab w:val="clear" w:pos="567"/>
              </w:tabs>
              <w:autoSpaceDE w:val="0"/>
              <w:autoSpaceDN w:val="0"/>
              <w:adjustRightInd w:val="0"/>
              <w:spacing w:line="240" w:lineRule="auto"/>
              <w:jc w:val="both"/>
              <w:rPr>
                <w:szCs w:val="22"/>
                <w:lang w:val="lv-LV"/>
              </w:rPr>
            </w:pPr>
            <w:r w:rsidRPr="008C106C">
              <w:rPr>
                <w:color w:val="000000"/>
                <w:szCs w:val="22"/>
                <w:lang w:val="lv-LV"/>
              </w:rPr>
              <w:t>Ļoti reti:</w:t>
            </w:r>
          </w:p>
        </w:tc>
        <w:tc>
          <w:tcPr>
            <w:tcW w:w="7273" w:type="dxa"/>
          </w:tcPr>
          <w:p w14:paraId="3BFC3D9F" w14:textId="77777777" w:rsidR="003D6DE8" w:rsidRPr="008C106C" w:rsidRDefault="00C95F08" w:rsidP="00F13EC0">
            <w:pPr>
              <w:tabs>
                <w:tab w:val="clear" w:pos="567"/>
              </w:tabs>
              <w:autoSpaceDE w:val="0"/>
              <w:autoSpaceDN w:val="0"/>
              <w:adjustRightInd w:val="0"/>
              <w:spacing w:line="240" w:lineRule="auto"/>
              <w:jc w:val="both"/>
              <w:rPr>
                <w:szCs w:val="22"/>
                <w:lang w:val="lv-LV"/>
              </w:rPr>
            </w:pPr>
            <w:r w:rsidRPr="008C106C">
              <w:rPr>
                <w:szCs w:val="22"/>
                <w:lang w:val="lv-LV"/>
              </w:rPr>
              <w:t>nedaudz vai vidēji paaugstināts transamināžu un/vai sārmainās fosfatāzes līmenis asinīs</w:t>
            </w:r>
            <w:r w:rsidR="00412E4E" w:rsidRPr="008C106C">
              <w:rPr>
                <w:color w:val="000000"/>
                <w:szCs w:val="22"/>
                <w:lang w:val="lv-LV"/>
              </w:rPr>
              <w:t>*</w:t>
            </w:r>
            <w:r w:rsidRPr="008C106C">
              <w:rPr>
                <w:color w:val="000000"/>
                <w:szCs w:val="22"/>
                <w:lang w:val="lv-LV"/>
              </w:rPr>
              <w:t>.</w:t>
            </w:r>
          </w:p>
        </w:tc>
      </w:tr>
      <w:tr w:rsidR="003D6DE8" w:rsidRPr="003E5C01" w14:paraId="5D262446" w14:textId="77777777" w:rsidTr="00F13EC0">
        <w:tc>
          <w:tcPr>
            <w:tcW w:w="1798" w:type="dxa"/>
          </w:tcPr>
          <w:p w14:paraId="3CE0B323" w14:textId="77777777" w:rsidR="003D6DE8" w:rsidRPr="008C106C" w:rsidRDefault="003D6DE8" w:rsidP="00F13EC0">
            <w:pPr>
              <w:tabs>
                <w:tab w:val="clear" w:pos="567"/>
              </w:tabs>
              <w:autoSpaceDE w:val="0"/>
              <w:autoSpaceDN w:val="0"/>
              <w:adjustRightInd w:val="0"/>
              <w:spacing w:line="240" w:lineRule="auto"/>
              <w:jc w:val="both"/>
              <w:rPr>
                <w:szCs w:val="22"/>
                <w:lang w:val="lv-LV"/>
              </w:rPr>
            </w:pPr>
          </w:p>
        </w:tc>
        <w:tc>
          <w:tcPr>
            <w:tcW w:w="7273" w:type="dxa"/>
          </w:tcPr>
          <w:p w14:paraId="13451AE9" w14:textId="77777777" w:rsidR="003D6DE8" w:rsidRPr="008C106C" w:rsidRDefault="003D6DE8" w:rsidP="00F13EC0">
            <w:pPr>
              <w:tabs>
                <w:tab w:val="clear" w:pos="567"/>
              </w:tabs>
              <w:autoSpaceDE w:val="0"/>
              <w:autoSpaceDN w:val="0"/>
              <w:adjustRightInd w:val="0"/>
              <w:spacing w:line="240" w:lineRule="auto"/>
              <w:jc w:val="both"/>
              <w:rPr>
                <w:szCs w:val="22"/>
                <w:lang w:val="lv-LV"/>
              </w:rPr>
            </w:pPr>
          </w:p>
        </w:tc>
      </w:tr>
      <w:tr w:rsidR="008D2D2B" w:rsidRPr="008C106C" w14:paraId="14BC5CCE" w14:textId="77777777" w:rsidTr="00F13EC0">
        <w:tc>
          <w:tcPr>
            <w:tcW w:w="9071" w:type="dxa"/>
            <w:gridSpan w:val="2"/>
          </w:tcPr>
          <w:p w14:paraId="1B4A8426" w14:textId="77777777" w:rsidR="008D2D2B" w:rsidRPr="008C106C" w:rsidRDefault="00C81DA6" w:rsidP="00F13EC0">
            <w:pPr>
              <w:pStyle w:val="Default"/>
              <w:jc w:val="both"/>
              <w:outlineLvl w:val="0"/>
              <w:rPr>
                <w:b/>
                <w:sz w:val="22"/>
                <w:szCs w:val="22"/>
                <w:lang w:val="lv-LV"/>
              </w:rPr>
            </w:pPr>
            <w:r w:rsidRPr="008C106C">
              <w:rPr>
                <w:b/>
                <w:sz w:val="22"/>
                <w:szCs w:val="22"/>
                <w:lang w:val="lv-LV"/>
              </w:rPr>
              <w:t>Ādas un zemādas audu bojājumi</w:t>
            </w:r>
          </w:p>
        </w:tc>
      </w:tr>
      <w:tr w:rsidR="0005596F" w:rsidRPr="008C106C" w14:paraId="74F5F389" w14:textId="77777777" w:rsidTr="00F13EC0">
        <w:tc>
          <w:tcPr>
            <w:tcW w:w="1798" w:type="dxa"/>
          </w:tcPr>
          <w:p w14:paraId="19410AC1" w14:textId="77777777" w:rsidR="0005596F" w:rsidRPr="008C106C" w:rsidRDefault="00C81DA6" w:rsidP="00F13EC0">
            <w:pPr>
              <w:tabs>
                <w:tab w:val="clear" w:pos="567"/>
              </w:tabs>
              <w:autoSpaceDE w:val="0"/>
              <w:autoSpaceDN w:val="0"/>
              <w:adjustRightInd w:val="0"/>
              <w:spacing w:line="240" w:lineRule="auto"/>
              <w:jc w:val="both"/>
              <w:rPr>
                <w:szCs w:val="22"/>
                <w:lang w:val="lv-LV"/>
              </w:rPr>
            </w:pPr>
            <w:r w:rsidRPr="008C106C">
              <w:rPr>
                <w:szCs w:val="22"/>
                <w:lang w:val="lv-LV"/>
              </w:rPr>
              <w:t>Bieži:</w:t>
            </w:r>
          </w:p>
        </w:tc>
        <w:tc>
          <w:tcPr>
            <w:tcW w:w="7273" w:type="dxa"/>
          </w:tcPr>
          <w:p w14:paraId="6F463F44" w14:textId="77777777" w:rsidR="0005596F" w:rsidRPr="008C106C" w:rsidRDefault="00C95F08" w:rsidP="00F13EC0">
            <w:pPr>
              <w:tabs>
                <w:tab w:val="clear" w:pos="567"/>
              </w:tabs>
              <w:autoSpaceDE w:val="0"/>
              <w:autoSpaceDN w:val="0"/>
              <w:adjustRightInd w:val="0"/>
              <w:spacing w:line="240" w:lineRule="auto"/>
              <w:jc w:val="both"/>
              <w:rPr>
                <w:szCs w:val="22"/>
                <w:lang w:val="lv-LV"/>
              </w:rPr>
            </w:pPr>
            <w:r w:rsidRPr="008C106C">
              <w:rPr>
                <w:szCs w:val="22"/>
                <w:lang w:val="lv-LV"/>
              </w:rPr>
              <w:t>izsitumi.</w:t>
            </w:r>
          </w:p>
        </w:tc>
      </w:tr>
      <w:tr w:rsidR="008D2D2B" w:rsidRPr="008C106C" w14:paraId="0442D14D" w14:textId="77777777" w:rsidTr="00F13EC0">
        <w:tc>
          <w:tcPr>
            <w:tcW w:w="1798" w:type="dxa"/>
          </w:tcPr>
          <w:p w14:paraId="1A8CB4E6"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2304A536"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fotosensitivitātes reakcija, svīšana, pūtītes, sausa āda, ekzēma.</w:t>
            </w:r>
          </w:p>
        </w:tc>
      </w:tr>
      <w:tr w:rsidR="003D6DE8" w:rsidRPr="008C106C" w14:paraId="5B925173" w14:textId="77777777" w:rsidTr="00F13EC0">
        <w:tc>
          <w:tcPr>
            <w:tcW w:w="1798" w:type="dxa"/>
          </w:tcPr>
          <w:p w14:paraId="126431CB" w14:textId="77777777" w:rsidR="003D6DE8" w:rsidRPr="008C106C" w:rsidRDefault="00C81DA6" w:rsidP="00F13EC0">
            <w:pPr>
              <w:tabs>
                <w:tab w:val="clear" w:pos="567"/>
              </w:tabs>
              <w:autoSpaceDE w:val="0"/>
              <w:autoSpaceDN w:val="0"/>
              <w:adjustRightInd w:val="0"/>
              <w:spacing w:line="240" w:lineRule="auto"/>
              <w:jc w:val="both"/>
              <w:rPr>
                <w:szCs w:val="22"/>
                <w:lang w:val="lv-LV"/>
              </w:rPr>
            </w:pPr>
            <w:r w:rsidRPr="008C106C">
              <w:rPr>
                <w:color w:val="000000"/>
                <w:szCs w:val="22"/>
                <w:lang w:val="lv-LV"/>
              </w:rPr>
              <w:t>Reti:</w:t>
            </w:r>
          </w:p>
        </w:tc>
        <w:tc>
          <w:tcPr>
            <w:tcW w:w="7273" w:type="dxa"/>
          </w:tcPr>
          <w:p w14:paraId="28D702C7" w14:textId="77777777" w:rsidR="003D6DE8" w:rsidRPr="008C106C" w:rsidRDefault="00C95F08" w:rsidP="00F13EC0">
            <w:pPr>
              <w:tabs>
                <w:tab w:val="clear" w:pos="567"/>
              </w:tabs>
              <w:autoSpaceDE w:val="0"/>
              <w:autoSpaceDN w:val="0"/>
              <w:adjustRightInd w:val="0"/>
              <w:spacing w:line="240" w:lineRule="auto"/>
              <w:jc w:val="both"/>
              <w:rPr>
                <w:szCs w:val="22"/>
                <w:lang w:val="lv-LV"/>
              </w:rPr>
            </w:pPr>
            <w:r w:rsidRPr="008C106C">
              <w:rPr>
                <w:color w:val="000000"/>
                <w:szCs w:val="22"/>
                <w:lang w:val="lv-LV"/>
              </w:rPr>
              <w:t>nieze (bieži gados vecākiem pacientiem).</w:t>
            </w:r>
          </w:p>
        </w:tc>
      </w:tr>
      <w:tr w:rsidR="0095673E" w:rsidRPr="008C106C" w14:paraId="3793524D" w14:textId="77777777" w:rsidTr="00F13EC0">
        <w:tc>
          <w:tcPr>
            <w:tcW w:w="1798" w:type="dxa"/>
          </w:tcPr>
          <w:p w14:paraId="174B9BB8"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4AA1ADBF"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8D2D2B" w:rsidRPr="008C106C" w14:paraId="25C1584E" w14:textId="77777777" w:rsidTr="00F13EC0">
        <w:tc>
          <w:tcPr>
            <w:tcW w:w="9071" w:type="dxa"/>
            <w:gridSpan w:val="2"/>
          </w:tcPr>
          <w:p w14:paraId="29C92C9D" w14:textId="77777777" w:rsidR="008D2D2B" w:rsidRPr="008C106C" w:rsidRDefault="00C81DA6" w:rsidP="00F13EC0">
            <w:pPr>
              <w:pStyle w:val="Default"/>
              <w:jc w:val="both"/>
              <w:rPr>
                <w:b/>
                <w:sz w:val="22"/>
                <w:szCs w:val="22"/>
                <w:lang w:val="lv-LV"/>
              </w:rPr>
            </w:pPr>
            <w:r w:rsidRPr="008C106C">
              <w:rPr>
                <w:b/>
                <w:sz w:val="22"/>
                <w:szCs w:val="22"/>
                <w:lang w:val="lv-LV"/>
              </w:rPr>
              <w:t>Skeleta</w:t>
            </w:r>
            <w:r w:rsidRPr="008C106C">
              <w:rPr>
                <w:b/>
                <w:sz w:val="22"/>
                <w:szCs w:val="22"/>
                <w:lang w:val="lv-LV"/>
              </w:rPr>
              <w:noBreakHyphen/>
              <w:t>muskuļu un saistaudu sistēmas bojājumi</w:t>
            </w:r>
          </w:p>
        </w:tc>
      </w:tr>
      <w:tr w:rsidR="008D2D2B" w:rsidRPr="008C106C" w14:paraId="66F3EF9B" w14:textId="77777777" w:rsidTr="00F13EC0">
        <w:tc>
          <w:tcPr>
            <w:tcW w:w="1798" w:type="dxa"/>
          </w:tcPr>
          <w:p w14:paraId="056576F1"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20909D6C"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 xml:space="preserve">muguras </w:t>
            </w:r>
            <w:r w:rsidR="00665FF9" w:rsidRPr="008C106C">
              <w:rPr>
                <w:szCs w:val="22"/>
                <w:lang w:val="lv-LV"/>
              </w:rPr>
              <w:t>s</w:t>
            </w:r>
            <w:r w:rsidRPr="008C106C">
              <w:rPr>
                <w:szCs w:val="22"/>
                <w:lang w:val="lv-LV"/>
              </w:rPr>
              <w:t>āpes, mialģija.</w:t>
            </w:r>
          </w:p>
        </w:tc>
      </w:tr>
      <w:tr w:rsidR="008D2D2B" w:rsidRPr="003E5C01" w14:paraId="639950B2" w14:textId="77777777" w:rsidTr="00F13EC0">
        <w:tc>
          <w:tcPr>
            <w:tcW w:w="1798" w:type="dxa"/>
          </w:tcPr>
          <w:p w14:paraId="373BF011"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11757F17"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krampji kājās, muskuļu raustīšanās, miastēnija, locītavu darbības traucējumi.</w:t>
            </w:r>
          </w:p>
        </w:tc>
      </w:tr>
      <w:tr w:rsidR="003D6DE8" w:rsidRPr="008C106C" w14:paraId="66EDF50C" w14:textId="77777777" w:rsidTr="00F13EC0">
        <w:tc>
          <w:tcPr>
            <w:tcW w:w="1798" w:type="dxa"/>
          </w:tcPr>
          <w:p w14:paraId="0BB9B77A" w14:textId="77777777" w:rsidR="003D6DE8"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Nav zināms:</w:t>
            </w:r>
          </w:p>
        </w:tc>
        <w:tc>
          <w:tcPr>
            <w:tcW w:w="7273" w:type="dxa"/>
          </w:tcPr>
          <w:p w14:paraId="6EC06BA1" w14:textId="77777777" w:rsidR="003D6DE8" w:rsidRPr="008C106C" w:rsidRDefault="00C95F08" w:rsidP="00F13EC0">
            <w:pPr>
              <w:tabs>
                <w:tab w:val="clear" w:pos="567"/>
              </w:tabs>
              <w:autoSpaceDE w:val="0"/>
              <w:autoSpaceDN w:val="0"/>
              <w:adjustRightInd w:val="0"/>
              <w:spacing w:line="240" w:lineRule="auto"/>
              <w:jc w:val="both"/>
              <w:rPr>
                <w:szCs w:val="22"/>
                <w:lang w:val="lv-LV"/>
              </w:rPr>
            </w:pPr>
            <w:r w:rsidRPr="008C106C">
              <w:rPr>
                <w:szCs w:val="22"/>
                <w:lang w:val="lv-LV"/>
              </w:rPr>
              <w:t>muskuļu vājums</w:t>
            </w:r>
            <w:r w:rsidR="003D6DE8" w:rsidRPr="008C106C">
              <w:rPr>
                <w:color w:val="000000"/>
                <w:szCs w:val="22"/>
                <w:lang w:val="lv-LV"/>
              </w:rPr>
              <w:t>*</w:t>
            </w:r>
            <w:r w:rsidRPr="008C106C">
              <w:rPr>
                <w:color w:val="000000"/>
                <w:szCs w:val="22"/>
                <w:lang w:val="lv-LV"/>
              </w:rPr>
              <w:t>.</w:t>
            </w:r>
          </w:p>
        </w:tc>
      </w:tr>
      <w:tr w:rsidR="0095673E" w:rsidRPr="008C106C" w14:paraId="6D6A6F27" w14:textId="77777777" w:rsidTr="00F13EC0">
        <w:tc>
          <w:tcPr>
            <w:tcW w:w="1798" w:type="dxa"/>
          </w:tcPr>
          <w:p w14:paraId="51DECD69"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c>
          <w:tcPr>
            <w:tcW w:w="7273" w:type="dxa"/>
          </w:tcPr>
          <w:p w14:paraId="6B7B1F3E"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8D2D2B" w:rsidRPr="008C106C" w14:paraId="08B04279" w14:textId="77777777" w:rsidTr="00F13EC0">
        <w:tc>
          <w:tcPr>
            <w:tcW w:w="9071" w:type="dxa"/>
            <w:gridSpan w:val="2"/>
          </w:tcPr>
          <w:p w14:paraId="27371F15"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Nieru un urīnizvades sistēmas traucējumi</w:t>
            </w:r>
          </w:p>
        </w:tc>
      </w:tr>
      <w:tr w:rsidR="008D2D2B" w:rsidRPr="003E5C01" w14:paraId="1E744805" w14:textId="77777777" w:rsidTr="00F13EC0">
        <w:tc>
          <w:tcPr>
            <w:tcW w:w="1798" w:type="dxa"/>
          </w:tcPr>
          <w:p w14:paraId="6CF2C743"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38D35518"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palielināts urinācijas biežums, urīnceļu infekcija, sāpes nierēs, urīna nesaturēšana, nieru akmeņi, albumīnūrija.</w:t>
            </w:r>
          </w:p>
        </w:tc>
      </w:tr>
      <w:tr w:rsidR="0095673E" w:rsidRPr="003E5C01" w14:paraId="66AF563D" w14:textId="77777777" w:rsidTr="00F13EC0">
        <w:tc>
          <w:tcPr>
            <w:tcW w:w="1798" w:type="dxa"/>
          </w:tcPr>
          <w:p w14:paraId="6DFBBA89"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6D3007FD" w14:textId="77777777" w:rsidR="0095673E" w:rsidRPr="008C106C" w:rsidRDefault="0095673E" w:rsidP="00F13EC0">
            <w:pPr>
              <w:tabs>
                <w:tab w:val="clear" w:pos="567"/>
              </w:tabs>
              <w:autoSpaceDE w:val="0"/>
              <w:autoSpaceDN w:val="0"/>
              <w:adjustRightInd w:val="0"/>
              <w:spacing w:line="240" w:lineRule="auto"/>
              <w:jc w:val="both"/>
              <w:rPr>
                <w:szCs w:val="22"/>
                <w:lang w:val="lv-LV" w:eastAsia="de-DE"/>
              </w:rPr>
            </w:pPr>
          </w:p>
        </w:tc>
      </w:tr>
      <w:tr w:rsidR="008D2D2B" w:rsidRPr="008C106C" w14:paraId="77615E8F" w14:textId="77777777" w:rsidTr="00F13EC0">
        <w:tc>
          <w:tcPr>
            <w:tcW w:w="9071" w:type="dxa"/>
            <w:gridSpan w:val="2"/>
          </w:tcPr>
          <w:p w14:paraId="6F8C6090"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Reproduktīvās sistēmas traucējumi un krūts slimības</w:t>
            </w:r>
          </w:p>
        </w:tc>
      </w:tr>
      <w:tr w:rsidR="00372F1A" w:rsidRPr="008C106C" w14:paraId="1D1F8A7F" w14:textId="77777777" w:rsidTr="00F13EC0">
        <w:tc>
          <w:tcPr>
            <w:tcW w:w="1798" w:type="dxa"/>
          </w:tcPr>
          <w:p w14:paraId="6D7583AA" w14:textId="77777777" w:rsidR="00372F1A" w:rsidRPr="008C106C" w:rsidRDefault="00F901E4" w:rsidP="00F13EC0">
            <w:pPr>
              <w:tabs>
                <w:tab w:val="clear" w:pos="567"/>
              </w:tabs>
              <w:autoSpaceDE w:val="0"/>
              <w:autoSpaceDN w:val="0"/>
              <w:adjustRightInd w:val="0"/>
              <w:spacing w:line="240" w:lineRule="auto"/>
              <w:jc w:val="both"/>
              <w:rPr>
                <w:szCs w:val="22"/>
                <w:lang w:val="lv-LV"/>
              </w:rPr>
            </w:pPr>
            <w:r w:rsidRPr="008C106C">
              <w:rPr>
                <w:szCs w:val="22"/>
                <w:lang w:val="lv-LV" w:eastAsia="de-DE"/>
              </w:rPr>
              <w:t>Retāk:</w:t>
            </w:r>
          </w:p>
        </w:tc>
        <w:tc>
          <w:tcPr>
            <w:tcW w:w="7273" w:type="dxa"/>
          </w:tcPr>
          <w:p w14:paraId="50490A5E" w14:textId="77777777" w:rsidR="00372F1A" w:rsidRPr="008C106C" w:rsidRDefault="00C95F08" w:rsidP="00F13EC0">
            <w:pPr>
              <w:tabs>
                <w:tab w:val="clear" w:pos="567"/>
              </w:tabs>
              <w:autoSpaceDE w:val="0"/>
              <w:autoSpaceDN w:val="0"/>
              <w:adjustRightInd w:val="0"/>
              <w:spacing w:line="240" w:lineRule="auto"/>
              <w:jc w:val="both"/>
              <w:rPr>
                <w:szCs w:val="22"/>
                <w:lang w:val="lv-LV"/>
              </w:rPr>
            </w:pPr>
            <w:r w:rsidRPr="008C106C">
              <w:rPr>
                <w:szCs w:val="22"/>
                <w:lang w:val="lv-LV"/>
              </w:rPr>
              <w:t>dismenoreja, metrorāģija, sāpes krūtīs, hipomenoreja, impotence.</w:t>
            </w:r>
          </w:p>
        </w:tc>
      </w:tr>
      <w:tr w:rsidR="0095673E" w:rsidRPr="008C106C" w14:paraId="77906943" w14:textId="77777777" w:rsidTr="00F13EC0">
        <w:tc>
          <w:tcPr>
            <w:tcW w:w="1798" w:type="dxa"/>
          </w:tcPr>
          <w:p w14:paraId="5E10F583"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c>
          <w:tcPr>
            <w:tcW w:w="7273" w:type="dxa"/>
          </w:tcPr>
          <w:p w14:paraId="4BA79874" w14:textId="77777777" w:rsidR="0095673E" w:rsidRPr="008C106C" w:rsidRDefault="0095673E" w:rsidP="00F13EC0">
            <w:pPr>
              <w:tabs>
                <w:tab w:val="clear" w:pos="567"/>
              </w:tabs>
              <w:autoSpaceDE w:val="0"/>
              <w:autoSpaceDN w:val="0"/>
              <w:adjustRightInd w:val="0"/>
              <w:spacing w:line="240" w:lineRule="auto"/>
              <w:jc w:val="both"/>
              <w:rPr>
                <w:szCs w:val="22"/>
                <w:lang w:val="lv-LV"/>
              </w:rPr>
            </w:pPr>
          </w:p>
        </w:tc>
      </w:tr>
      <w:tr w:rsidR="008D2D2B" w:rsidRPr="008C106C" w14:paraId="31CFC5A9" w14:textId="77777777" w:rsidTr="00F13EC0">
        <w:tc>
          <w:tcPr>
            <w:tcW w:w="9071" w:type="dxa"/>
            <w:gridSpan w:val="2"/>
          </w:tcPr>
          <w:p w14:paraId="7A232859" w14:textId="77777777" w:rsidR="008D2D2B" w:rsidRPr="008C106C" w:rsidRDefault="00C81DA6" w:rsidP="00F13EC0">
            <w:pPr>
              <w:pStyle w:val="Default"/>
              <w:jc w:val="both"/>
              <w:rPr>
                <w:b/>
                <w:bCs/>
                <w:sz w:val="22"/>
                <w:szCs w:val="22"/>
                <w:lang w:val="lv-LV"/>
              </w:rPr>
            </w:pPr>
            <w:r w:rsidRPr="008C106C">
              <w:rPr>
                <w:b/>
                <w:bCs/>
                <w:sz w:val="22"/>
                <w:szCs w:val="22"/>
                <w:lang w:val="lv-LV"/>
              </w:rPr>
              <w:t xml:space="preserve">Vispārēji traucējumi un reakcijas ievadīšanas vietā </w:t>
            </w:r>
          </w:p>
        </w:tc>
      </w:tr>
      <w:tr w:rsidR="008D2D2B" w:rsidRPr="008C106C" w14:paraId="335102D9" w14:textId="77777777" w:rsidTr="00F13EC0">
        <w:tc>
          <w:tcPr>
            <w:tcW w:w="1798" w:type="dxa"/>
          </w:tcPr>
          <w:p w14:paraId="0ADEAA75" w14:textId="77777777" w:rsidR="008D2D2B"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szCs w:val="22"/>
                <w:lang w:val="lv-LV"/>
              </w:rPr>
              <w:t>Bieži:</w:t>
            </w:r>
          </w:p>
        </w:tc>
        <w:tc>
          <w:tcPr>
            <w:tcW w:w="7273" w:type="dxa"/>
          </w:tcPr>
          <w:p w14:paraId="1B3DF79D"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astēnija, sāpes.</w:t>
            </w:r>
          </w:p>
        </w:tc>
      </w:tr>
      <w:tr w:rsidR="008D2D2B" w:rsidRPr="008C106C" w14:paraId="60992340" w14:textId="77777777" w:rsidTr="00F13EC0">
        <w:tc>
          <w:tcPr>
            <w:tcW w:w="1798" w:type="dxa"/>
          </w:tcPr>
          <w:p w14:paraId="45E71D3E" w14:textId="77777777" w:rsidR="008D2D2B"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4E59A844" w14:textId="77777777" w:rsidR="008D2D2B" w:rsidRPr="008C106C" w:rsidRDefault="00C95F08" w:rsidP="00F13EC0">
            <w:pPr>
              <w:tabs>
                <w:tab w:val="clear" w:pos="567"/>
              </w:tabs>
              <w:autoSpaceDE w:val="0"/>
              <w:autoSpaceDN w:val="0"/>
              <w:adjustRightInd w:val="0"/>
              <w:spacing w:line="240" w:lineRule="auto"/>
              <w:jc w:val="both"/>
              <w:rPr>
                <w:szCs w:val="22"/>
                <w:lang w:val="lv-LV" w:eastAsia="de-DE"/>
              </w:rPr>
            </w:pPr>
            <w:r w:rsidRPr="008C106C">
              <w:rPr>
                <w:szCs w:val="22"/>
                <w:lang w:val="lv-LV"/>
              </w:rPr>
              <w:t>drudzis, nogurums*.</w:t>
            </w:r>
          </w:p>
        </w:tc>
      </w:tr>
      <w:tr w:rsidR="00F10D71" w:rsidRPr="008C106C" w14:paraId="7BB20D87" w14:textId="77777777" w:rsidTr="00F13EC0">
        <w:tc>
          <w:tcPr>
            <w:tcW w:w="1798" w:type="dxa"/>
          </w:tcPr>
          <w:p w14:paraId="6DEA3353" w14:textId="77777777" w:rsidR="00F10D71" w:rsidRPr="008C106C" w:rsidRDefault="00F10D71" w:rsidP="00F13EC0">
            <w:pPr>
              <w:tabs>
                <w:tab w:val="clear" w:pos="567"/>
              </w:tabs>
              <w:autoSpaceDE w:val="0"/>
              <w:autoSpaceDN w:val="0"/>
              <w:adjustRightInd w:val="0"/>
              <w:spacing w:line="240" w:lineRule="auto"/>
              <w:jc w:val="both"/>
              <w:rPr>
                <w:szCs w:val="22"/>
                <w:lang w:val="lv-LV"/>
              </w:rPr>
            </w:pPr>
          </w:p>
        </w:tc>
        <w:tc>
          <w:tcPr>
            <w:tcW w:w="7273" w:type="dxa"/>
          </w:tcPr>
          <w:p w14:paraId="4CBFF8A1" w14:textId="77777777" w:rsidR="00F10D71" w:rsidRPr="008C106C" w:rsidRDefault="00F10D71" w:rsidP="00F13EC0">
            <w:pPr>
              <w:tabs>
                <w:tab w:val="clear" w:pos="567"/>
              </w:tabs>
              <w:autoSpaceDE w:val="0"/>
              <w:autoSpaceDN w:val="0"/>
              <w:adjustRightInd w:val="0"/>
              <w:spacing w:line="240" w:lineRule="auto"/>
              <w:jc w:val="both"/>
              <w:rPr>
                <w:szCs w:val="22"/>
                <w:lang w:val="lv-LV"/>
              </w:rPr>
            </w:pPr>
          </w:p>
        </w:tc>
      </w:tr>
      <w:tr w:rsidR="00646A69" w:rsidRPr="008C106C" w14:paraId="2B3E7BFA" w14:textId="77777777" w:rsidTr="00F13EC0">
        <w:tc>
          <w:tcPr>
            <w:tcW w:w="9071" w:type="dxa"/>
            <w:gridSpan w:val="2"/>
          </w:tcPr>
          <w:p w14:paraId="78BDFA76" w14:textId="77777777" w:rsidR="00646A69" w:rsidRPr="008C106C" w:rsidRDefault="00646A69" w:rsidP="00F13EC0">
            <w:pPr>
              <w:tabs>
                <w:tab w:val="clear" w:pos="567"/>
              </w:tabs>
              <w:autoSpaceDE w:val="0"/>
              <w:autoSpaceDN w:val="0"/>
              <w:adjustRightInd w:val="0"/>
              <w:spacing w:line="240" w:lineRule="auto"/>
              <w:jc w:val="both"/>
              <w:rPr>
                <w:szCs w:val="22"/>
                <w:lang w:val="lv-LV" w:eastAsia="de-DE"/>
              </w:rPr>
            </w:pPr>
            <w:r w:rsidRPr="008C106C">
              <w:rPr>
                <w:b/>
                <w:szCs w:val="22"/>
                <w:lang w:val="lv-LV"/>
              </w:rPr>
              <w:t>I</w:t>
            </w:r>
            <w:r w:rsidR="00C81DA6" w:rsidRPr="008C106C">
              <w:rPr>
                <w:b/>
                <w:szCs w:val="22"/>
                <w:lang w:val="lv-LV"/>
              </w:rPr>
              <w:t>zmeklējumi</w:t>
            </w:r>
          </w:p>
        </w:tc>
      </w:tr>
      <w:tr w:rsidR="00646A69" w:rsidRPr="008C106C" w14:paraId="4B12ED0E" w14:textId="77777777" w:rsidTr="00F13EC0">
        <w:tc>
          <w:tcPr>
            <w:tcW w:w="1798" w:type="dxa"/>
          </w:tcPr>
          <w:p w14:paraId="1726EA15" w14:textId="77777777" w:rsidR="00646A69" w:rsidRPr="008C106C" w:rsidRDefault="00F901E4"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Retāk:</w:t>
            </w:r>
          </w:p>
        </w:tc>
        <w:tc>
          <w:tcPr>
            <w:tcW w:w="7273" w:type="dxa"/>
          </w:tcPr>
          <w:p w14:paraId="4AEEED50" w14:textId="77777777" w:rsidR="00646A69" w:rsidRPr="008C106C" w:rsidRDefault="00D35DE1" w:rsidP="00F13EC0">
            <w:pPr>
              <w:tabs>
                <w:tab w:val="clear" w:pos="567"/>
              </w:tabs>
              <w:autoSpaceDE w:val="0"/>
              <w:autoSpaceDN w:val="0"/>
              <w:adjustRightInd w:val="0"/>
              <w:spacing w:line="240" w:lineRule="auto"/>
              <w:jc w:val="both"/>
              <w:rPr>
                <w:szCs w:val="22"/>
                <w:lang w:val="lv-LV" w:eastAsia="de-DE"/>
              </w:rPr>
            </w:pPr>
            <w:r>
              <w:rPr>
                <w:szCs w:val="22"/>
                <w:lang w:val="lv-LV"/>
              </w:rPr>
              <w:t>Ķermeņa masas</w:t>
            </w:r>
            <w:r w:rsidR="00C95F08" w:rsidRPr="008C106C">
              <w:rPr>
                <w:szCs w:val="22"/>
                <w:lang w:val="lv-LV"/>
              </w:rPr>
              <w:t xml:space="preserve"> pieaugums, </w:t>
            </w:r>
            <w:r>
              <w:rPr>
                <w:szCs w:val="22"/>
                <w:lang w:val="lv-LV"/>
              </w:rPr>
              <w:t>ķermeņa masas samazināšanās</w:t>
            </w:r>
            <w:r w:rsidR="009054B9" w:rsidRPr="008C106C">
              <w:rPr>
                <w:szCs w:val="22"/>
                <w:lang w:val="lv-LV"/>
              </w:rPr>
              <w:t>.</w:t>
            </w:r>
          </w:p>
        </w:tc>
      </w:tr>
      <w:tr w:rsidR="00646A69" w:rsidRPr="008C106C" w14:paraId="2B097B69" w14:textId="77777777" w:rsidTr="00F13EC0">
        <w:tc>
          <w:tcPr>
            <w:tcW w:w="1798" w:type="dxa"/>
          </w:tcPr>
          <w:p w14:paraId="301D0781" w14:textId="77777777" w:rsidR="00646A69" w:rsidRPr="008C106C" w:rsidRDefault="00646A69" w:rsidP="00F13EC0">
            <w:pPr>
              <w:tabs>
                <w:tab w:val="clear" w:pos="567"/>
              </w:tabs>
              <w:autoSpaceDE w:val="0"/>
              <w:autoSpaceDN w:val="0"/>
              <w:adjustRightInd w:val="0"/>
              <w:spacing w:line="240" w:lineRule="auto"/>
              <w:jc w:val="both"/>
              <w:rPr>
                <w:szCs w:val="22"/>
                <w:lang w:val="lv-LV"/>
              </w:rPr>
            </w:pPr>
          </w:p>
        </w:tc>
        <w:tc>
          <w:tcPr>
            <w:tcW w:w="7273" w:type="dxa"/>
          </w:tcPr>
          <w:p w14:paraId="64B5BC66" w14:textId="77777777" w:rsidR="00646A69" w:rsidRPr="008C106C" w:rsidRDefault="00646A69" w:rsidP="00F13EC0">
            <w:pPr>
              <w:tabs>
                <w:tab w:val="clear" w:pos="567"/>
              </w:tabs>
              <w:autoSpaceDE w:val="0"/>
              <w:autoSpaceDN w:val="0"/>
              <w:adjustRightInd w:val="0"/>
              <w:spacing w:line="240" w:lineRule="auto"/>
              <w:jc w:val="both"/>
              <w:rPr>
                <w:szCs w:val="22"/>
                <w:lang w:val="lv-LV"/>
              </w:rPr>
            </w:pPr>
          </w:p>
        </w:tc>
      </w:tr>
      <w:tr w:rsidR="00F10D71" w:rsidRPr="008C106C" w14:paraId="3CE5C36A" w14:textId="77777777" w:rsidTr="00F13EC0">
        <w:tc>
          <w:tcPr>
            <w:tcW w:w="9071" w:type="dxa"/>
            <w:gridSpan w:val="2"/>
          </w:tcPr>
          <w:p w14:paraId="25D02345" w14:textId="77777777" w:rsidR="00F10D71" w:rsidRPr="008C106C" w:rsidRDefault="00C81DA6" w:rsidP="00F13EC0">
            <w:pPr>
              <w:pStyle w:val="Default"/>
              <w:jc w:val="both"/>
              <w:rPr>
                <w:b/>
                <w:bCs/>
                <w:sz w:val="22"/>
                <w:szCs w:val="22"/>
                <w:lang w:val="lv-LV"/>
              </w:rPr>
            </w:pPr>
            <w:r w:rsidRPr="008C106C">
              <w:rPr>
                <w:b/>
                <w:bCs/>
                <w:sz w:val="22"/>
                <w:szCs w:val="22"/>
                <w:lang w:val="lv-LV"/>
              </w:rPr>
              <w:t xml:space="preserve">Traumas, saindēšanās un ar manipulācijām saistītas komplikācijas </w:t>
            </w:r>
          </w:p>
        </w:tc>
      </w:tr>
      <w:tr w:rsidR="00F10D71" w:rsidRPr="008C106C" w14:paraId="61E37062" w14:textId="77777777" w:rsidTr="00F13EC0">
        <w:tc>
          <w:tcPr>
            <w:tcW w:w="1798" w:type="dxa"/>
          </w:tcPr>
          <w:p w14:paraId="55869FEF" w14:textId="77777777" w:rsidR="00F10D71" w:rsidRPr="008C106C" w:rsidRDefault="00C81DA6" w:rsidP="00F13EC0">
            <w:pPr>
              <w:tabs>
                <w:tab w:val="clear" w:pos="567"/>
              </w:tabs>
              <w:autoSpaceDE w:val="0"/>
              <w:autoSpaceDN w:val="0"/>
              <w:adjustRightInd w:val="0"/>
              <w:spacing w:line="240" w:lineRule="auto"/>
              <w:jc w:val="both"/>
              <w:rPr>
                <w:szCs w:val="22"/>
                <w:lang w:val="lv-LV" w:eastAsia="de-DE"/>
              </w:rPr>
            </w:pPr>
            <w:r w:rsidRPr="008C106C">
              <w:rPr>
                <w:color w:val="000000"/>
                <w:szCs w:val="22"/>
                <w:lang w:val="lv-LV"/>
              </w:rPr>
              <w:t>Reti:</w:t>
            </w:r>
          </w:p>
        </w:tc>
        <w:tc>
          <w:tcPr>
            <w:tcW w:w="7273" w:type="dxa"/>
          </w:tcPr>
          <w:p w14:paraId="28B27947" w14:textId="77777777" w:rsidR="00F10D71" w:rsidRPr="008C106C" w:rsidRDefault="009054B9" w:rsidP="00F13EC0">
            <w:pPr>
              <w:tabs>
                <w:tab w:val="clear" w:pos="567"/>
              </w:tabs>
              <w:autoSpaceDE w:val="0"/>
              <w:autoSpaceDN w:val="0"/>
              <w:adjustRightInd w:val="0"/>
              <w:spacing w:line="240" w:lineRule="auto"/>
              <w:jc w:val="both"/>
              <w:rPr>
                <w:szCs w:val="22"/>
                <w:lang w:val="lv-LV" w:eastAsia="de-DE"/>
              </w:rPr>
            </w:pPr>
            <w:r w:rsidRPr="008C106C">
              <w:rPr>
                <w:szCs w:val="22"/>
                <w:lang w:val="lv-LV"/>
              </w:rPr>
              <w:t>krišana</w:t>
            </w:r>
            <w:r w:rsidR="00F10D71" w:rsidRPr="008C106C">
              <w:rPr>
                <w:szCs w:val="22"/>
                <w:lang w:val="lv-LV"/>
              </w:rPr>
              <w:t xml:space="preserve"> </w:t>
            </w:r>
            <w:r w:rsidRPr="008C106C">
              <w:rPr>
                <w:szCs w:val="22"/>
                <w:lang w:val="lv-LV"/>
              </w:rPr>
              <w:t>(galvenokārt gados vecākiem pacientiem)</w:t>
            </w:r>
            <w:r w:rsidR="00072802" w:rsidRPr="008C106C">
              <w:rPr>
                <w:szCs w:val="22"/>
                <w:lang w:val="lv-LV"/>
              </w:rPr>
              <w:t>.</w:t>
            </w:r>
          </w:p>
        </w:tc>
      </w:tr>
    </w:tbl>
    <w:p w14:paraId="6D5B4667" w14:textId="77777777" w:rsidR="004B29CB" w:rsidRPr="008C106C" w:rsidRDefault="004B29CB" w:rsidP="00F13EC0">
      <w:pPr>
        <w:tabs>
          <w:tab w:val="clear" w:pos="567"/>
        </w:tabs>
        <w:autoSpaceDE w:val="0"/>
        <w:autoSpaceDN w:val="0"/>
        <w:adjustRightInd w:val="0"/>
        <w:spacing w:line="240" w:lineRule="auto"/>
        <w:jc w:val="both"/>
        <w:rPr>
          <w:szCs w:val="22"/>
          <w:lang w:val="lv-LV"/>
        </w:rPr>
      </w:pPr>
    </w:p>
    <w:p w14:paraId="61A8BF59" w14:textId="77777777" w:rsidR="008F37D3" w:rsidRPr="008C106C" w:rsidRDefault="008F37D3" w:rsidP="00F13EC0">
      <w:pPr>
        <w:tabs>
          <w:tab w:val="clear" w:pos="567"/>
        </w:tabs>
        <w:autoSpaceDE w:val="0"/>
        <w:autoSpaceDN w:val="0"/>
        <w:adjustRightInd w:val="0"/>
        <w:spacing w:line="240" w:lineRule="auto"/>
        <w:jc w:val="both"/>
        <w:rPr>
          <w:szCs w:val="22"/>
          <w:lang w:val="lv-LV"/>
        </w:rPr>
      </w:pPr>
      <w:r w:rsidRPr="008C106C">
        <w:rPr>
          <w:szCs w:val="22"/>
          <w:lang w:val="lv-LV"/>
        </w:rPr>
        <w:t>*</w:t>
      </w:r>
      <w:r w:rsidR="009054B9" w:rsidRPr="008C106C">
        <w:rPr>
          <w:szCs w:val="22"/>
          <w:lang w:val="lv-LV"/>
        </w:rPr>
        <w:t xml:space="preserve"> Nevēlamās blakusparādības, par kurām nav ziņots par eszopiklonu, bet </w:t>
      </w:r>
      <w:r w:rsidR="00072802" w:rsidRPr="008C106C">
        <w:rPr>
          <w:szCs w:val="22"/>
          <w:lang w:val="lv-LV"/>
        </w:rPr>
        <w:t>p</w:t>
      </w:r>
      <w:r w:rsidR="009054B9" w:rsidRPr="008C106C">
        <w:rPr>
          <w:szCs w:val="22"/>
          <w:lang w:val="lv-LV"/>
        </w:rPr>
        <w:t>ar racēmisko zopiklonu.</w:t>
      </w:r>
    </w:p>
    <w:p w14:paraId="21C1A2C2" w14:textId="77777777" w:rsidR="009054B9" w:rsidRPr="008C106C" w:rsidRDefault="009054B9" w:rsidP="00F13EC0">
      <w:pPr>
        <w:spacing w:line="240" w:lineRule="auto"/>
        <w:jc w:val="both"/>
        <w:rPr>
          <w:szCs w:val="22"/>
          <w:lang w:val="lv-LV"/>
        </w:rPr>
      </w:pPr>
    </w:p>
    <w:p w14:paraId="1C8DB5C2" w14:textId="77777777" w:rsidR="004E2C93" w:rsidRPr="008C106C" w:rsidRDefault="009054B9" w:rsidP="00F13EC0">
      <w:pPr>
        <w:spacing w:line="240" w:lineRule="auto"/>
        <w:jc w:val="both"/>
        <w:rPr>
          <w:i/>
          <w:szCs w:val="22"/>
          <w:u w:val="single"/>
          <w:lang w:val="lv-LV"/>
        </w:rPr>
      </w:pPr>
      <w:r w:rsidRPr="008C106C">
        <w:rPr>
          <w:i/>
          <w:szCs w:val="22"/>
          <w:lang w:val="lv-LV"/>
        </w:rPr>
        <w:t>Amnēzija</w:t>
      </w:r>
    </w:p>
    <w:p w14:paraId="03829FAF" w14:textId="77777777" w:rsidR="009054B9" w:rsidRPr="008C106C" w:rsidRDefault="00665FF9" w:rsidP="00F13EC0">
      <w:pPr>
        <w:spacing w:line="240" w:lineRule="auto"/>
        <w:jc w:val="both"/>
        <w:rPr>
          <w:szCs w:val="22"/>
          <w:lang w:val="lv-LV"/>
        </w:rPr>
      </w:pPr>
      <w:r w:rsidRPr="008C106C">
        <w:rPr>
          <w:szCs w:val="22"/>
          <w:lang w:val="lv-LV"/>
        </w:rPr>
        <w:t>Anterogrād</w:t>
      </w:r>
      <w:r w:rsidR="009054B9" w:rsidRPr="008C106C">
        <w:rPr>
          <w:szCs w:val="22"/>
          <w:lang w:val="lv-LV"/>
        </w:rPr>
        <w:t xml:space="preserve">a amnēzija var rasties, lietojot ieteicamās terapeitiskās devas. Risks palielinās, lietojot lielākas devas. Amnēzija var būt saistīta ar neatbilstošu izturēšanos (skatīt </w:t>
      </w:r>
      <w:r w:rsidR="00C211F2">
        <w:rPr>
          <w:szCs w:val="22"/>
          <w:lang w:val="lv-LV"/>
        </w:rPr>
        <w:t xml:space="preserve">4.4. </w:t>
      </w:r>
      <w:r w:rsidR="009054B9" w:rsidRPr="008C106C">
        <w:rPr>
          <w:szCs w:val="22"/>
          <w:lang w:val="lv-LV"/>
        </w:rPr>
        <w:t>apakšpunktu).</w:t>
      </w:r>
    </w:p>
    <w:p w14:paraId="4534A5A3" w14:textId="77777777" w:rsidR="009054B9" w:rsidRPr="008C106C" w:rsidRDefault="009054B9" w:rsidP="00F13EC0">
      <w:pPr>
        <w:tabs>
          <w:tab w:val="clear" w:pos="567"/>
        </w:tabs>
        <w:autoSpaceDE w:val="0"/>
        <w:autoSpaceDN w:val="0"/>
        <w:adjustRightInd w:val="0"/>
        <w:spacing w:line="240" w:lineRule="auto"/>
        <w:jc w:val="both"/>
        <w:rPr>
          <w:szCs w:val="22"/>
          <w:lang w:val="lv-LV"/>
        </w:rPr>
      </w:pPr>
    </w:p>
    <w:p w14:paraId="0FC32660" w14:textId="77777777" w:rsidR="006F3899" w:rsidRPr="008C106C" w:rsidRDefault="009054B9" w:rsidP="00F13EC0">
      <w:pPr>
        <w:tabs>
          <w:tab w:val="clear" w:pos="567"/>
        </w:tabs>
        <w:autoSpaceDE w:val="0"/>
        <w:autoSpaceDN w:val="0"/>
        <w:adjustRightInd w:val="0"/>
        <w:spacing w:line="240" w:lineRule="auto"/>
        <w:jc w:val="both"/>
        <w:rPr>
          <w:i/>
          <w:szCs w:val="22"/>
          <w:lang w:val="lv-LV"/>
        </w:rPr>
      </w:pPr>
      <w:r w:rsidRPr="008C106C">
        <w:rPr>
          <w:i/>
          <w:szCs w:val="22"/>
          <w:lang w:val="lv-LV"/>
        </w:rPr>
        <w:t>Depresija</w:t>
      </w:r>
    </w:p>
    <w:p w14:paraId="4CA3E147" w14:textId="77777777" w:rsidR="009054B9" w:rsidRPr="008C106C" w:rsidRDefault="009054B9"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Lietojot benzodiazepīnu vai benzodiazepīniem līdzīgus līdzekļus, var atklāt iepriekšējo depresiju.</w:t>
      </w:r>
    </w:p>
    <w:p w14:paraId="460647AB" w14:textId="77777777" w:rsidR="006336E0" w:rsidRPr="008C106C" w:rsidRDefault="006336E0" w:rsidP="00F13EC0">
      <w:pPr>
        <w:tabs>
          <w:tab w:val="clear" w:pos="567"/>
        </w:tabs>
        <w:autoSpaceDE w:val="0"/>
        <w:autoSpaceDN w:val="0"/>
        <w:adjustRightInd w:val="0"/>
        <w:spacing w:line="240" w:lineRule="auto"/>
        <w:jc w:val="both"/>
        <w:rPr>
          <w:szCs w:val="22"/>
          <w:lang w:val="lv-LV" w:eastAsia="de-DE"/>
        </w:rPr>
      </w:pPr>
    </w:p>
    <w:p w14:paraId="79F85404" w14:textId="77777777" w:rsidR="009054B9" w:rsidRPr="008C106C" w:rsidRDefault="009054B9" w:rsidP="00F13EC0">
      <w:pPr>
        <w:tabs>
          <w:tab w:val="clear" w:pos="567"/>
        </w:tabs>
        <w:autoSpaceDE w:val="0"/>
        <w:autoSpaceDN w:val="0"/>
        <w:adjustRightInd w:val="0"/>
        <w:spacing w:line="240" w:lineRule="auto"/>
        <w:jc w:val="both"/>
        <w:rPr>
          <w:i/>
          <w:szCs w:val="22"/>
          <w:lang w:val="lv-LV" w:eastAsia="de-DE"/>
        </w:rPr>
      </w:pPr>
      <w:r w:rsidRPr="008C106C">
        <w:rPr>
          <w:i/>
          <w:szCs w:val="22"/>
          <w:lang w:val="lv-LV" w:eastAsia="de-DE"/>
        </w:rPr>
        <w:t>Psihiskās un “paradoksālās” reakcijas</w:t>
      </w:r>
    </w:p>
    <w:p w14:paraId="46BC290B" w14:textId="77777777" w:rsidR="009054B9" w:rsidRPr="008C106C" w:rsidRDefault="009054B9"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Ir zināms, ka, lietojot benzodiazepīnus</w:t>
      </w:r>
      <w:r w:rsidR="00FF4B5A" w:rsidRPr="008C106C">
        <w:rPr>
          <w:szCs w:val="22"/>
          <w:lang w:val="lv-LV" w:eastAsia="de-DE"/>
        </w:rPr>
        <w:t xml:space="preserve"> un</w:t>
      </w:r>
      <w:r w:rsidRPr="008C106C">
        <w:rPr>
          <w:szCs w:val="22"/>
          <w:lang w:val="lv-LV" w:eastAsia="de-DE"/>
        </w:rPr>
        <w:t xml:space="preserve"> benzodiazepīniem līdzīgas vielas</w:t>
      </w:r>
      <w:r w:rsidR="00C211F2">
        <w:rPr>
          <w:szCs w:val="22"/>
          <w:lang w:val="lv-LV" w:eastAsia="de-DE"/>
        </w:rPr>
        <w:t>,</w:t>
      </w:r>
      <w:r w:rsidRPr="008C106C">
        <w:rPr>
          <w:szCs w:val="22"/>
          <w:lang w:val="lv-LV" w:eastAsia="de-DE"/>
        </w:rPr>
        <w:t xml:space="preserve"> var rasties tādas reakcijas kā nemierīgums, uzbudinājums, aizkaitināmība, samazināta kavēšana, agresivitāte, neparasta domāšana, maldi, niknums, </w:t>
      </w:r>
      <w:r w:rsidR="00C211F2">
        <w:rPr>
          <w:szCs w:val="22"/>
          <w:lang w:val="lv-LV" w:eastAsia="de-DE"/>
        </w:rPr>
        <w:t xml:space="preserve">nakts </w:t>
      </w:r>
      <w:r w:rsidRPr="008C106C">
        <w:rPr>
          <w:szCs w:val="22"/>
          <w:lang w:val="lv-LV" w:eastAsia="de-DE"/>
        </w:rPr>
        <w:t>murgi, depersonalizācija, halucinācijas, psihozes, neatbilstoša uzvedība, ekstraversija, kas šķietami neatbilst raksturam, un citas nelabvēlīgas uzvedības reakcijas. Šādas reakcijas biežāk rodas gados vecākiem cilvēkiem.</w:t>
      </w:r>
    </w:p>
    <w:p w14:paraId="3B7F741F" w14:textId="77777777" w:rsidR="006F3899" w:rsidRPr="008C106C" w:rsidRDefault="006F3899" w:rsidP="00F13EC0">
      <w:pPr>
        <w:tabs>
          <w:tab w:val="clear" w:pos="567"/>
        </w:tabs>
        <w:autoSpaceDE w:val="0"/>
        <w:autoSpaceDN w:val="0"/>
        <w:adjustRightInd w:val="0"/>
        <w:spacing w:line="240" w:lineRule="auto"/>
        <w:jc w:val="both"/>
        <w:rPr>
          <w:szCs w:val="22"/>
          <w:lang w:val="lv-LV" w:eastAsia="de-DE"/>
        </w:rPr>
      </w:pPr>
    </w:p>
    <w:p w14:paraId="23969D09" w14:textId="77777777" w:rsidR="00F92DFE" w:rsidRPr="008C106C" w:rsidRDefault="00F92DFE" w:rsidP="00F13EC0">
      <w:pPr>
        <w:tabs>
          <w:tab w:val="clear" w:pos="567"/>
        </w:tabs>
        <w:autoSpaceDE w:val="0"/>
        <w:autoSpaceDN w:val="0"/>
        <w:adjustRightInd w:val="0"/>
        <w:spacing w:line="240" w:lineRule="auto"/>
        <w:jc w:val="both"/>
        <w:rPr>
          <w:i/>
          <w:szCs w:val="22"/>
          <w:lang w:val="lv-LV" w:eastAsia="de-DE"/>
        </w:rPr>
      </w:pPr>
      <w:r w:rsidRPr="008C106C">
        <w:rPr>
          <w:i/>
          <w:szCs w:val="22"/>
          <w:lang w:val="lv-LV" w:eastAsia="de-DE"/>
        </w:rPr>
        <w:t>Atkarība</w:t>
      </w:r>
    </w:p>
    <w:p w14:paraId="64131897" w14:textId="77777777" w:rsidR="00F92DFE" w:rsidRPr="008C106C" w:rsidRDefault="00F92DFE"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 xml:space="preserve">Benzodiazepīnu un benzodiazepīniem līdzīgu vielu lietošana (pat terapeitiskās devās) var izraisīt fiziskas atkarības attīstību: terapijas pārtraukšana var izraisīt abstinences vai atcelšanas parādības (skatīt </w:t>
      </w:r>
      <w:r w:rsidR="00FF4B5A" w:rsidRPr="008C106C">
        <w:rPr>
          <w:szCs w:val="22"/>
          <w:lang w:val="lv-LV" w:eastAsia="de-DE"/>
        </w:rPr>
        <w:t xml:space="preserve">4.4. </w:t>
      </w:r>
      <w:r w:rsidRPr="008C106C">
        <w:rPr>
          <w:szCs w:val="22"/>
          <w:lang w:val="lv-LV" w:eastAsia="de-DE"/>
        </w:rPr>
        <w:t>apakšpunktu). Var rasties psiholoģiska atkarība. Ziņots par benzodiazepīnu un benzodiazepīniem līdzīgu vielu ļaunprātīgu izmantošanu.</w:t>
      </w:r>
    </w:p>
    <w:p w14:paraId="4BA34D25" w14:textId="77777777" w:rsidR="006F3899" w:rsidRPr="008C106C" w:rsidRDefault="006F3899" w:rsidP="00F13EC0">
      <w:pPr>
        <w:spacing w:line="240" w:lineRule="auto"/>
        <w:jc w:val="both"/>
        <w:rPr>
          <w:szCs w:val="22"/>
          <w:u w:val="single"/>
          <w:lang w:val="lv-LV"/>
        </w:rPr>
      </w:pPr>
    </w:p>
    <w:p w14:paraId="52D35AAF" w14:textId="77777777" w:rsidR="00F92DFE" w:rsidRPr="008C106C" w:rsidRDefault="00F92DFE" w:rsidP="00F13EC0">
      <w:pPr>
        <w:spacing w:line="240" w:lineRule="auto"/>
        <w:jc w:val="both"/>
        <w:rPr>
          <w:i/>
          <w:szCs w:val="22"/>
          <w:u w:val="single"/>
          <w:lang w:val="lv-LV"/>
        </w:rPr>
      </w:pPr>
      <w:r w:rsidRPr="008C106C">
        <w:rPr>
          <w:i/>
          <w:szCs w:val="22"/>
          <w:u w:val="single"/>
          <w:lang w:val="lv-LV"/>
        </w:rPr>
        <w:t>Gados vecāki cilvēki</w:t>
      </w:r>
    </w:p>
    <w:p w14:paraId="114AC80A" w14:textId="77777777" w:rsidR="00F92DFE" w:rsidRPr="008C106C" w:rsidRDefault="00F92DFE" w:rsidP="00F13EC0">
      <w:pPr>
        <w:spacing w:line="240" w:lineRule="auto"/>
        <w:jc w:val="both"/>
        <w:rPr>
          <w:szCs w:val="22"/>
          <w:lang w:val="lv-LV"/>
        </w:rPr>
      </w:pPr>
      <w:r w:rsidRPr="008C106C">
        <w:rPr>
          <w:szCs w:val="22"/>
          <w:lang w:val="lv-LV"/>
        </w:rPr>
        <w:t>Nevēlamo blakusparādību profils klīniskajos pētījumos ar gados vecākiem pacientiem ar bezmiegu bija līdzīgs profilam, kāds novērots klīniskajos pētījumos a</w:t>
      </w:r>
      <w:r w:rsidR="00FF4B5A" w:rsidRPr="008C106C">
        <w:rPr>
          <w:szCs w:val="22"/>
          <w:lang w:val="lv-LV"/>
        </w:rPr>
        <w:t>r pacientiem, kas nav gados vecāki</w:t>
      </w:r>
      <w:r w:rsidRPr="008C106C">
        <w:rPr>
          <w:szCs w:val="22"/>
          <w:lang w:val="lv-LV"/>
        </w:rPr>
        <w:t xml:space="preserve"> cilvēki ar bezmiegu. Papildu nevēlama blakusparādība, par kuru ziņots gados vecākiem cilvēkiem, </w:t>
      </w:r>
      <w:r w:rsidR="00FF4B5A" w:rsidRPr="008C106C">
        <w:rPr>
          <w:szCs w:val="22"/>
          <w:lang w:val="lv-LV"/>
        </w:rPr>
        <w:t xml:space="preserve">bieži </w:t>
      </w:r>
      <w:r w:rsidRPr="008C106C">
        <w:rPr>
          <w:szCs w:val="22"/>
          <w:lang w:val="lv-LV"/>
        </w:rPr>
        <w:t xml:space="preserve">bija neskaidra redze </w:t>
      </w:r>
      <w:r w:rsidR="00FF4B5A" w:rsidRPr="008C106C">
        <w:rPr>
          <w:szCs w:val="22"/>
          <w:lang w:val="lv-LV"/>
        </w:rPr>
        <w:t>un</w:t>
      </w:r>
      <w:r w:rsidRPr="008C106C">
        <w:rPr>
          <w:szCs w:val="22"/>
          <w:lang w:val="lv-LV"/>
        </w:rPr>
        <w:t xml:space="preserve"> nieze.</w:t>
      </w:r>
    </w:p>
    <w:p w14:paraId="7CE8E0A6" w14:textId="77777777" w:rsidR="00E549E1" w:rsidRPr="008C106C" w:rsidRDefault="00E549E1" w:rsidP="00F13EC0">
      <w:pPr>
        <w:jc w:val="both"/>
        <w:rPr>
          <w:szCs w:val="22"/>
          <w:lang w:val="lv-LV"/>
        </w:rPr>
      </w:pPr>
    </w:p>
    <w:p w14:paraId="0CFF4947" w14:textId="77777777" w:rsidR="00F92DFE" w:rsidRPr="008C106C" w:rsidRDefault="00F92DFE" w:rsidP="00F13EC0">
      <w:pPr>
        <w:pStyle w:val="Default"/>
        <w:jc w:val="both"/>
        <w:rPr>
          <w:bCs/>
          <w:sz w:val="22"/>
          <w:szCs w:val="22"/>
          <w:u w:val="single"/>
          <w:lang w:val="lv-LV"/>
        </w:rPr>
      </w:pPr>
      <w:r w:rsidRPr="008C106C">
        <w:rPr>
          <w:bCs/>
          <w:sz w:val="22"/>
          <w:szCs w:val="22"/>
          <w:u w:val="single"/>
          <w:lang w:val="lv-LV"/>
        </w:rPr>
        <w:t xml:space="preserve">Ziņošana par iespējamām nevēlamām blakusparādībām </w:t>
      </w:r>
    </w:p>
    <w:p w14:paraId="38AADDC5" w14:textId="77777777" w:rsidR="00F92DFE" w:rsidRPr="008C106C" w:rsidRDefault="00F92DFE" w:rsidP="00F13EC0">
      <w:pPr>
        <w:pStyle w:val="Default"/>
        <w:jc w:val="both"/>
        <w:rPr>
          <w:bCs/>
          <w:sz w:val="22"/>
          <w:szCs w:val="22"/>
          <w:lang w:val="lv-LV"/>
        </w:rPr>
      </w:pPr>
      <w:r w:rsidRPr="008C106C">
        <w:rPr>
          <w:bCs/>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LV-1003. Tīmekļa vietne: </w:t>
      </w:r>
      <w:hyperlink r:id="rId12" w:history="1">
        <w:r w:rsidRPr="008C106C">
          <w:rPr>
            <w:rStyle w:val="Hyperlink"/>
            <w:bCs/>
            <w:sz w:val="22"/>
            <w:szCs w:val="22"/>
            <w:lang w:val="lv-LV"/>
          </w:rPr>
          <w:t>www.zva.gov.lv</w:t>
        </w:r>
      </w:hyperlink>
    </w:p>
    <w:p w14:paraId="0E0A9228" w14:textId="77777777" w:rsidR="00F00876" w:rsidRPr="008C106C" w:rsidRDefault="00F00876" w:rsidP="00F13EC0">
      <w:pPr>
        <w:autoSpaceDE w:val="0"/>
        <w:autoSpaceDN w:val="0"/>
        <w:adjustRightInd w:val="0"/>
        <w:spacing w:line="240" w:lineRule="auto"/>
        <w:jc w:val="both"/>
        <w:rPr>
          <w:szCs w:val="22"/>
          <w:lang w:val="lv-LV"/>
        </w:rPr>
      </w:pPr>
    </w:p>
    <w:p w14:paraId="4695B5DD" w14:textId="77777777" w:rsidR="00DC1818" w:rsidRPr="008C106C" w:rsidRDefault="00DC1818" w:rsidP="00F13EC0">
      <w:pPr>
        <w:spacing w:line="240" w:lineRule="auto"/>
        <w:jc w:val="both"/>
        <w:rPr>
          <w:b/>
          <w:szCs w:val="22"/>
          <w:lang w:val="lv-LV"/>
        </w:rPr>
      </w:pPr>
    </w:p>
    <w:p w14:paraId="786EB500" w14:textId="77777777" w:rsidR="001D29E6" w:rsidRPr="008C106C" w:rsidRDefault="001D29E6" w:rsidP="00F13EC0">
      <w:pPr>
        <w:pStyle w:val="Heading2"/>
        <w:jc w:val="both"/>
        <w:rPr>
          <w:szCs w:val="22"/>
          <w:lang w:val="lv-LV"/>
        </w:rPr>
      </w:pPr>
      <w:r w:rsidRPr="008C106C">
        <w:rPr>
          <w:szCs w:val="22"/>
          <w:lang w:val="lv-LV"/>
        </w:rPr>
        <w:t>4.9</w:t>
      </w:r>
      <w:r w:rsidR="00F92DFE" w:rsidRPr="008C106C">
        <w:rPr>
          <w:szCs w:val="22"/>
          <w:lang w:val="lv-LV"/>
        </w:rPr>
        <w:t>.</w:t>
      </w:r>
      <w:r w:rsidRPr="008C106C">
        <w:rPr>
          <w:szCs w:val="22"/>
          <w:lang w:val="lv-LV"/>
        </w:rPr>
        <w:tab/>
      </w:r>
      <w:r w:rsidR="00F92DFE" w:rsidRPr="008C106C">
        <w:rPr>
          <w:bCs/>
          <w:szCs w:val="22"/>
          <w:lang w:val="lv-LV"/>
        </w:rPr>
        <w:t>Pārdozēšana</w:t>
      </w:r>
    </w:p>
    <w:p w14:paraId="4A22B969" w14:textId="77777777" w:rsidR="001D29E6" w:rsidRPr="008C106C" w:rsidRDefault="001D29E6" w:rsidP="00F13EC0">
      <w:pPr>
        <w:spacing w:line="240" w:lineRule="auto"/>
        <w:jc w:val="both"/>
        <w:rPr>
          <w:szCs w:val="22"/>
          <w:lang w:val="lv-LV"/>
        </w:rPr>
      </w:pPr>
    </w:p>
    <w:p w14:paraId="312FC717" w14:textId="77777777" w:rsidR="007F5145" w:rsidRPr="008C106C" w:rsidRDefault="00FF4B5A" w:rsidP="00F13EC0">
      <w:pPr>
        <w:tabs>
          <w:tab w:val="clear" w:pos="567"/>
        </w:tabs>
        <w:spacing w:line="240" w:lineRule="auto"/>
        <w:jc w:val="both"/>
        <w:rPr>
          <w:noProof/>
          <w:szCs w:val="22"/>
          <w:lang w:val="lv-LV"/>
        </w:rPr>
      </w:pPr>
      <w:r w:rsidRPr="008C106C">
        <w:rPr>
          <w:noProof/>
          <w:szCs w:val="22"/>
          <w:lang w:val="lv-LV"/>
        </w:rPr>
        <w:t>Atkarībā no uzņemtā zāļu daudzuma, p</w:t>
      </w:r>
      <w:r w:rsidR="007F5145" w:rsidRPr="008C106C">
        <w:rPr>
          <w:noProof/>
          <w:szCs w:val="22"/>
          <w:lang w:val="lv-LV"/>
        </w:rPr>
        <w:t>ārdozēšana parasti izpaužas dažādās centrālās nervu sistēmas nomākuma pakāpēs, sākot no miegainības līdz komai.</w:t>
      </w:r>
    </w:p>
    <w:p w14:paraId="10F57DF2" w14:textId="77777777" w:rsidR="007F5145" w:rsidRPr="008C106C" w:rsidRDefault="007F5145" w:rsidP="00F13EC0">
      <w:pPr>
        <w:tabs>
          <w:tab w:val="clear" w:pos="567"/>
        </w:tabs>
        <w:spacing w:line="240" w:lineRule="auto"/>
        <w:jc w:val="both"/>
        <w:rPr>
          <w:noProof/>
          <w:szCs w:val="22"/>
          <w:lang w:val="lv-LV"/>
        </w:rPr>
      </w:pPr>
      <w:r w:rsidRPr="008C106C">
        <w:rPr>
          <w:noProof/>
          <w:szCs w:val="22"/>
          <w:lang w:val="lv-LV"/>
        </w:rPr>
        <w:t>Atbilstošā klīniskajā vidē ir indicēta simptomātiska un atbalstoša ārstēšana. Īpaša uzmanība jāpievērš sirds un asinsvadu</w:t>
      </w:r>
      <w:r w:rsidR="00FF4B5A" w:rsidRPr="008C106C">
        <w:rPr>
          <w:noProof/>
          <w:szCs w:val="22"/>
          <w:lang w:val="lv-LV"/>
        </w:rPr>
        <w:t>,</w:t>
      </w:r>
      <w:r w:rsidRPr="008C106C">
        <w:rPr>
          <w:noProof/>
          <w:szCs w:val="22"/>
          <w:lang w:val="lv-LV"/>
        </w:rPr>
        <w:t xml:space="preserve"> un elpošanas funkcijām. Kuņģa skalošana ir noderīga tikai tad, ja to veic drīz pēc zāļu norīšanas. Lai arī tā nav novērtēta, nav gaidāms, ka hemodialīzei būs liela nozīme eszopiklona lielā izkliedes apjoma dēļ. Flumazenils var būt noderīgs antidots.</w:t>
      </w:r>
    </w:p>
    <w:p w14:paraId="34ED766B" w14:textId="77777777" w:rsidR="00CD37CD" w:rsidRPr="008C106C" w:rsidRDefault="00CD37CD" w:rsidP="00F13EC0">
      <w:pPr>
        <w:tabs>
          <w:tab w:val="clear" w:pos="567"/>
        </w:tabs>
        <w:spacing w:line="240" w:lineRule="auto"/>
        <w:jc w:val="both"/>
        <w:rPr>
          <w:noProof/>
          <w:szCs w:val="22"/>
          <w:lang w:val="lv-LV"/>
        </w:rPr>
      </w:pPr>
    </w:p>
    <w:p w14:paraId="14E4C7FB" w14:textId="77777777" w:rsidR="00B43849" w:rsidRPr="008C106C" w:rsidRDefault="00B43849" w:rsidP="00F13EC0">
      <w:pPr>
        <w:tabs>
          <w:tab w:val="clear" w:pos="567"/>
        </w:tabs>
        <w:spacing w:line="240" w:lineRule="auto"/>
        <w:jc w:val="both"/>
        <w:rPr>
          <w:noProof/>
          <w:szCs w:val="22"/>
          <w:lang w:val="lv-LV"/>
        </w:rPr>
      </w:pPr>
      <w:r w:rsidRPr="008C106C">
        <w:rPr>
          <w:noProof/>
          <w:szCs w:val="22"/>
          <w:lang w:val="lv-LV"/>
        </w:rPr>
        <w:lastRenderedPageBreak/>
        <w:t>Klīnisk</w:t>
      </w:r>
      <w:r w:rsidR="00C211F2">
        <w:rPr>
          <w:noProof/>
          <w:szCs w:val="22"/>
          <w:lang w:val="lv-LV"/>
        </w:rPr>
        <w:t>aj</w:t>
      </w:r>
      <w:r w:rsidRPr="008C106C">
        <w:rPr>
          <w:noProof/>
          <w:szCs w:val="22"/>
          <w:lang w:val="lv-LV"/>
        </w:rPr>
        <w:t xml:space="preserve">os pētījumos ar eszopiklonu tika ziņots par </w:t>
      </w:r>
      <w:r w:rsidR="00FF4B5A" w:rsidRPr="008C106C">
        <w:rPr>
          <w:noProof/>
          <w:szCs w:val="22"/>
          <w:lang w:val="lv-LV"/>
        </w:rPr>
        <w:t>vienu</w:t>
      </w:r>
      <w:r w:rsidRPr="008C106C">
        <w:rPr>
          <w:noProof/>
          <w:szCs w:val="22"/>
          <w:lang w:val="lv-LV"/>
        </w:rPr>
        <w:t xml:space="preserve"> pārdozēšanas gadījumu</w:t>
      </w:r>
      <w:r w:rsidR="00FF4B5A" w:rsidRPr="008C106C">
        <w:rPr>
          <w:noProof/>
          <w:szCs w:val="22"/>
          <w:lang w:val="lv-LV"/>
        </w:rPr>
        <w:t xml:space="preserve"> (līdz 36 mg eszopiklona)</w:t>
      </w:r>
      <w:r w:rsidRPr="008C106C">
        <w:rPr>
          <w:noProof/>
          <w:szCs w:val="22"/>
          <w:lang w:val="lv-LV"/>
        </w:rPr>
        <w:t>, kurā subjekts pilnībā atveseļojās. Kopš tirdzniecības uzsākšanas ziņots par spontāniem pārdozēšanas gadījumiem</w:t>
      </w:r>
      <w:r w:rsidR="00FF4B5A" w:rsidRPr="008C106C">
        <w:rPr>
          <w:noProof/>
          <w:szCs w:val="22"/>
          <w:lang w:val="lv-LV"/>
        </w:rPr>
        <w:t>,</w:t>
      </w:r>
      <w:r w:rsidRPr="008C106C">
        <w:rPr>
          <w:noProof/>
          <w:szCs w:val="22"/>
          <w:lang w:val="lv-LV"/>
        </w:rPr>
        <w:t xml:space="preserve"> </w:t>
      </w:r>
      <w:r w:rsidR="00FF4B5A" w:rsidRPr="008C106C">
        <w:rPr>
          <w:noProof/>
          <w:szCs w:val="22"/>
          <w:lang w:val="lv-LV"/>
        </w:rPr>
        <w:t xml:space="preserve">lietojot </w:t>
      </w:r>
      <w:r w:rsidRPr="008C106C">
        <w:rPr>
          <w:noProof/>
          <w:szCs w:val="22"/>
          <w:lang w:val="lv-LV"/>
        </w:rPr>
        <w:t>līdz 270 mg</w:t>
      </w:r>
      <w:r w:rsidR="007F5145" w:rsidRPr="008C106C">
        <w:rPr>
          <w:noProof/>
          <w:szCs w:val="22"/>
          <w:lang w:val="lv-LV"/>
        </w:rPr>
        <w:t xml:space="preserve"> eszopiklona</w:t>
      </w:r>
      <w:r w:rsidRPr="008C106C">
        <w:rPr>
          <w:noProof/>
          <w:szCs w:val="22"/>
          <w:lang w:val="lv-LV"/>
        </w:rPr>
        <w:t>.</w:t>
      </w:r>
    </w:p>
    <w:p w14:paraId="27D8AB3F" w14:textId="77777777" w:rsidR="00B43849" w:rsidRPr="008C106C" w:rsidRDefault="00B43849" w:rsidP="00F13EC0">
      <w:pPr>
        <w:tabs>
          <w:tab w:val="clear" w:pos="567"/>
        </w:tabs>
        <w:spacing w:line="240" w:lineRule="auto"/>
        <w:jc w:val="both"/>
        <w:rPr>
          <w:noProof/>
          <w:szCs w:val="22"/>
          <w:lang w:val="lv-LV"/>
        </w:rPr>
      </w:pPr>
      <w:r w:rsidRPr="008C106C">
        <w:rPr>
          <w:noProof/>
          <w:szCs w:val="22"/>
          <w:lang w:val="lv-LV"/>
        </w:rPr>
        <w:t xml:space="preserve">Letāla pārdozēšana, visticamāk, rodas, lietojot eszopiklonu kopā ar citiem CNS nomācošiem līdzekļiem, ieskaitot alkoholu. Pacienti ir atguvušies no pārdozēšanas, </w:t>
      </w:r>
      <w:r w:rsidR="007F5145" w:rsidRPr="008C106C">
        <w:rPr>
          <w:noProof/>
          <w:szCs w:val="22"/>
          <w:lang w:val="lv-LV"/>
        </w:rPr>
        <w:t xml:space="preserve">bija </w:t>
      </w:r>
      <w:r w:rsidRPr="008C106C">
        <w:rPr>
          <w:noProof/>
          <w:szCs w:val="22"/>
          <w:lang w:val="lv-LV"/>
        </w:rPr>
        <w:t>lietoj</w:t>
      </w:r>
      <w:r w:rsidR="007F5145" w:rsidRPr="008C106C">
        <w:rPr>
          <w:noProof/>
          <w:szCs w:val="22"/>
          <w:lang w:val="lv-LV"/>
        </w:rPr>
        <w:t xml:space="preserve">uši </w:t>
      </w:r>
      <w:r w:rsidR="00FF4B5A" w:rsidRPr="008C106C">
        <w:rPr>
          <w:noProof/>
          <w:szCs w:val="22"/>
          <w:lang w:val="lv-LV"/>
        </w:rPr>
        <w:t>l</w:t>
      </w:r>
      <w:r w:rsidR="007F5145" w:rsidRPr="008C106C">
        <w:rPr>
          <w:noProof/>
          <w:szCs w:val="22"/>
          <w:lang w:val="lv-LV"/>
        </w:rPr>
        <w:t>īdz 270 mg eszopiklona</w:t>
      </w:r>
      <w:r w:rsidRPr="008C106C">
        <w:rPr>
          <w:noProof/>
          <w:szCs w:val="22"/>
          <w:lang w:val="lv-LV"/>
        </w:rPr>
        <w:t>.</w:t>
      </w:r>
    </w:p>
    <w:p w14:paraId="3E2E592B" w14:textId="77777777" w:rsidR="001D29E6" w:rsidRPr="008C106C" w:rsidRDefault="001D29E6" w:rsidP="00F13EC0">
      <w:pPr>
        <w:spacing w:line="240" w:lineRule="auto"/>
        <w:jc w:val="both"/>
        <w:rPr>
          <w:szCs w:val="22"/>
          <w:lang w:val="lv-LV"/>
        </w:rPr>
      </w:pPr>
    </w:p>
    <w:p w14:paraId="131F92D4" w14:textId="77777777" w:rsidR="00EF5E3C" w:rsidRPr="008C106C" w:rsidRDefault="00EF5E3C" w:rsidP="00F13EC0">
      <w:pPr>
        <w:spacing w:line="240" w:lineRule="auto"/>
        <w:jc w:val="both"/>
        <w:rPr>
          <w:szCs w:val="22"/>
          <w:lang w:val="lv-LV"/>
        </w:rPr>
      </w:pPr>
    </w:p>
    <w:p w14:paraId="3D507814" w14:textId="77777777" w:rsidR="001D29E6" w:rsidRPr="008C106C" w:rsidRDefault="001D29E6" w:rsidP="00F13EC0">
      <w:pPr>
        <w:pStyle w:val="Heading1"/>
        <w:jc w:val="both"/>
        <w:rPr>
          <w:szCs w:val="22"/>
          <w:lang w:val="lv-LV"/>
        </w:rPr>
      </w:pPr>
      <w:r w:rsidRPr="008C106C">
        <w:rPr>
          <w:szCs w:val="22"/>
          <w:lang w:val="lv-LV"/>
        </w:rPr>
        <w:t>5.</w:t>
      </w:r>
      <w:r w:rsidRPr="008C106C">
        <w:rPr>
          <w:szCs w:val="22"/>
          <w:lang w:val="lv-LV"/>
        </w:rPr>
        <w:tab/>
      </w:r>
      <w:r w:rsidR="007F5145" w:rsidRPr="008C106C">
        <w:rPr>
          <w:bCs/>
          <w:szCs w:val="22"/>
          <w:lang w:val="lv-LV"/>
        </w:rPr>
        <w:t>FARMAKOLOĢISKĀS ĪPAŠĪBAS</w:t>
      </w:r>
    </w:p>
    <w:p w14:paraId="531B5F6C" w14:textId="77777777" w:rsidR="001D29E6" w:rsidRPr="008C106C" w:rsidRDefault="001D29E6" w:rsidP="00F13EC0">
      <w:pPr>
        <w:spacing w:line="240" w:lineRule="auto"/>
        <w:jc w:val="both"/>
        <w:rPr>
          <w:b/>
          <w:szCs w:val="22"/>
          <w:lang w:val="lv-LV"/>
        </w:rPr>
      </w:pPr>
    </w:p>
    <w:p w14:paraId="5C288900" w14:textId="77777777" w:rsidR="001D29E6" w:rsidRPr="008C106C" w:rsidRDefault="001D29E6" w:rsidP="00F13EC0">
      <w:pPr>
        <w:pStyle w:val="Heading2"/>
        <w:jc w:val="both"/>
        <w:rPr>
          <w:szCs w:val="22"/>
          <w:lang w:val="lv-LV"/>
        </w:rPr>
      </w:pPr>
      <w:r w:rsidRPr="008C106C">
        <w:rPr>
          <w:szCs w:val="22"/>
          <w:lang w:val="lv-LV"/>
        </w:rPr>
        <w:t>5.1</w:t>
      </w:r>
      <w:r w:rsidR="007F5145" w:rsidRPr="008C106C">
        <w:rPr>
          <w:szCs w:val="22"/>
          <w:lang w:val="lv-LV"/>
        </w:rPr>
        <w:t>.</w:t>
      </w:r>
      <w:r w:rsidRPr="008C106C">
        <w:rPr>
          <w:szCs w:val="22"/>
          <w:lang w:val="lv-LV"/>
        </w:rPr>
        <w:tab/>
      </w:r>
      <w:r w:rsidR="007F5145" w:rsidRPr="008C106C">
        <w:rPr>
          <w:bCs/>
          <w:szCs w:val="22"/>
          <w:lang w:val="lv-LV"/>
        </w:rPr>
        <w:t>Farmakodinamiskās īpašības</w:t>
      </w:r>
    </w:p>
    <w:p w14:paraId="1A1CABE1" w14:textId="77777777" w:rsidR="001D29E6" w:rsidRPr="008C106C" w:rsidRDefault="001D29E6" w:rsidP="00F13EC0">
      <w:pPr>
        <w:spacing w:line="240" w:lineRule="auto"/>
        <w:jc w:val="both"/>
        <w:rPr>
          <w:szCs w:val="22"/>
          <w:lang w:val="lv-LV"/>
        </w:rPr>
      </w:pPr>
    </w:p>
    <w:p w14:paraId="58FA9946" w14:textId="77777777" w:rsidR="00575454" w:rsidRPr="008C106C" w:rsidRDefault="007F5145" w:rsidP="00F13EC0">
      <w:pPr>
        <w:spacing w:line="240" w:lineRule="auto"/>
        <w:jc w:val="both"/>
        <w:rPr>
          <w:szCs w:val="22"/>
          <w:lang w:val="lv-LV"/>
        </w:rPr>
      </w:pPr>
      <w:r w:rsidRPr="008C106C">
        <w:rPr>
          <w:szCs w:val="22"/>
          <w:lang w:val="lv-LV"/>
        </w:rPr>
        <w:t>Farmakoterapeitiskā grupa</w:t>
      </w:r>
      <w:r w:rsidR="001D29E6" w:rsidRPr="008C106C">
        <w:rPr>
          <w:szCs w:val="22"/>
          <w:lang w:val="lv-LV"/>
        </w:rPr>
        <w:t xml:space="preserve">: </w:t>
      </w:r>
      <w:r w:rsidRPr="008C106C">
        <w:rPr>
          <w:szCs w:val="22"/>
          <w:lang w:val="lv-LV"/>
        </w:rPr>
        <w:t>nervu sistēma; psiholeptiskie līdzekļi; miega līdzekļi un nomierinoši līdzekļi; ar benzodiazepīnu saistītas zāles.</w:t>
      </w:r>
    </w:p>
    <w:p w14:paraId="20D6F7A9" w14:textId="77777777" w:rsidR="001D29E6" w:rsidRPr="008C106C" w:rsidRDefault="007F5145" w:rsidP="00F13EC0">
      <w:pPr>
        <w:spacing w:line="240" w:lineRule="auto"/>
        <w:jc w:val="both"/>
        <w:rPr>
          <w:noProof/>
          <w:szCs w:val="22"/>
          <w:lang w:val="lv-LV"/>
        </w:rPr>
      </w:pPr>
      <w:r w:rsidRPr="008C106C">
        <w:rPr>
          <w:szCs w:val="22"/>
          <w:lang w:val="lv-LV"/>
        </w:rPr>
        <w:t>ATĶ kods:</w:t>
      </w:r>
      <w:r w:rsidR="00CB1F55" w:rsidRPr="008C106C">
        <w:rPr>
          <w:szCs w:val="22"/>
          <w:lang w:val="lv-LV"/>
        </w:rPr>
        <w:t xml:space="preserve"> N05CF04</w:t>
      </w:r>
    </w:p>
    <w:p w14:paraId="71E7D114" w14:textId="77777777" w:rsidR="00777769" w:rsidRPr="008C106C" w:rsidRDefault="00777769" w:rsidP="00F13EC0">
      <w:pPr>
        <w:spacing w:line="240" w:lineRule="auto"/>
        <w:jc w:val="both"/>
        <w:rPr>
          <w:szCs w:val="22"/>
          <w:lang w:val="lv-LV"/>
        </w:rPr>
      </w:pPr>
    </w:p>
    <w:p w14:paraId="654CDF6E" w14:textId="77777777" w:rsidR="007F5145" w:rsidRPr="008C106C" w:rsidRDefault="007F5145" w:rsidP="00F13EC0">
      <w:pPr>
        <w:pStyle w:val="Default"/>
        <w:ind w:right="-108"/>
        <w:jc w:val="both"/>
        <w:rPr>
          <w:i/>
          <w:sz w:val="22"/>
          <w:szCs w:val="22"/>
          <w:lang w:val="lv-LV"/>
        </w:rPr>
      </w:pPr>
      <w:r w:rsidRPr="008C106C">
        <w:rPr>
          <w:i/>
          <w:sz w:val="22"/>
          <w:szCs w:val="22"/>
          <w:lang w:val="lv-LV"/>
        </w:rPr>
        <w:t>Darbības mehānisms</w:t>
      </w:r>
    </w:p>
    <w:p w14:paraId="51245FD8" w14:textId="77777777" w:rsidR="004E48E6" w:rsidRPr="008C106C" w:rsidRDefault="004E48E6" w:rsidP="00F13EC0">
      <w:pPr>
        <w:tabs>
          <w:tab w:val="clear" w:pos="567"/>
        </w:tabs>
        <w:autoSpaceDE w:val="0"/>
        <w:autoSpaceDN w:val="0"/>
        <w:adjustRightInd w:val="0"/>
        <w:spacing w:line="240" w:lineRule="auto"/>
        <w:jc w:val="both"/>
        <w:rPr>
          <w:szCs w:val="22"/>
          <w:lang w:val="lv-LV"/>
        </w:rPr>
      </w:pPr>
      <w:r w:rsidRPr="008C106C">
        <w:rPr>
          <w:szCs w:val="22"/>
          <w:lang w:val="lv-LV"/>
        </w:rPr>
        <w:t>Eszopiklons ir ne-benzodiazepīnu veida miega līdzeklis- ciklopirolona grupas pirolpirazīna atvasinājums. Tā ķīmiskā struktūra nav radniecīga pirazolpirimidīniem, imidazopiridīniem, benzodiazepīniem vai barbiturātiem. Precīzs eszopiklona darbības mehānisms nav zināms, taču uzskata, ka tā iedarbību nodrošina alfa-1, alfa-2, alfa-3 un alfa-5 apakšvienības saturošo gamma aminosviestskābes (GASS)-A receptora makromolekulāro kompleksu modulācija. Uzskata, ka tas pastiprina GASS ierosināto hlorīdjonu pārvadi, kā rezultātā notiek neironu hiperpolarizācija un līdz ar to tiek nomākta impulsu pārvade pa neironiem</w:t>
      </w:r>
      <w:r w:rsidR="00973061">
        <w:rPr>
          <w:szCs w:val="22"/>
          <w:lang w:val="lv-LV"/>
        </w:rPr>
        <w:t>,</w:t>
      </w:r>
      <w:r w:rsidRPr="008C106C">
        <w:rPr>
          <w:szCs w:val="22"/>
          <w:lang w:val="lv-LV"/>
        </w:rPr>
        <w:t xml:space="preserve"> un iestājas miegs.</w:t>
      </w:r>
    </w:p>
    <w:p w14:paraId="7B7DB5FC" w14:textId="77777777" w:rsidR="00CB1F55" w:rsidRPr="008C106C" w:rsidRDefault="00CB1F55" w:rsidP="00F13EC0">
      <w:pPr>
        <w:tabs>
          <w:tab w:val="clear" w:pos="567"/>
        </w:tabs>
        <w:autoSpaceDE w:val="0"/>
        <w:autoSpaceDN w:val="0"/>
        <w:adjustRightInd w:val="0"/>
        <w:spacing w:line="240" w:lineRule="auto"/>
        <w:jc w:val="both"/>
        <w:rPr>
          <w:szCs w:val="22"/>
          <w:u w:val="single"/>
          <w:lang w:val="lv-LV"/>
        </w:rPr>
      </w:pPr>
    </w:p>
    <w:p w14:paraId="20BB808E" w14:textId="77777777" w:rsidR="004E48E6" w:rsidRPr="008C106C" w:rsidRDefault="004E48E6" w:rsidP="00F13EC0">
      <w:pPr>
        <w:tabs>
          <w:tab w:val="clear" w:pos="567"/>
        </w:tabs>
        <w:autoSpaceDE w:val="0"/>
        <w:autoSpaceDN w:val="0"/>
        <w:adjustRightInd w:val="0"/>
        <w:spacing w:line="240" w:lineRule="auto"/>
        <w:jc w:val="both"/>
        <w:rPr>
          <w:i/>
          <w:szCs w:val="22"/>
          <w:lang w:val="lv-LV"/>
        </w:rPr>
      </w:pPr>
      <w:r w:rsidRPr="008C106C">
        <w:rPr>
          <w:i/>
          <w:szCs w:val="22"/>
          <w:lang w:val="lv-LV"/>
        </w:rPr>
        <w:t>Īslaicīgs bezmiegs</w:t>
      </w:r>
    </w:p>
    <w:p w14:paraId="543F92BD" w14:textId="77777777" w:rsidR="004E48E6" w:rsidRPr="008C106C" w:rsidRDefault="004E48E6" w:rsidP="00F13EC0">
      <w:pPr>
        <w:tabs>
          <w:tab w:val="clear" w:pos="567"/>
        </w:tabs>
        <w:autoSpaceDE w:val="0"/>
        <w:autoSpaceDN w:val="0"/>
        <w:adjustRightInd w:val="0"/>
        <w:spacing w:line="240" w:lineRule="auto"/>
        <w:jc w:val="both"/>
        <w:rPr>
          <w:szCs w:val="22"/>
          <w:lang w:val="lv-LV"/>
        </w:rPr>
      </w:pPr>
      <w:r w:rsidRPr="008C106C">
        <w:rPr>
          <w:szCs w:val="22"/>
          <w:lang w:val="lv-LV"/>
        </w:rPr>
        <w:t>Īslaicīga bezmiega vienas nakts modelī veseliem pieaugušiem brīvprātīgajiem eszopiklona 3 mg deva bija pārāka par placebo, vērtējot miega iestāšanos un miega turpināšanos ar objektīvu polisomnogrāfijas metodi. Turklāt eszopiklonam pašu pacientu ziņotais miega kvalitātes un miega dziļuma vērtējums bija nozīmīgi labāks nekā placebo.</w:t>
      </w:r>
    </w:p>
    <w:p w14:paraId="25ED3D9F" w14:textId="77777777" w:rsidR="00CB1F55" w:rsidRPr="008C106C" w:rsidRDefault="00CB1F55" w:rsidP="00F13EC0">
      <w:pPr>
        <w:tabs>
          <w:tab w:val="clear" w:pos="567"/>
        </w:tabs>
        <w:autoSpaceDE w:val="0"/>
        <w:autoSpaceDN w:val="0"/>
        <w:adjustRightInd w:val="0"/>
        <w:spacing w:line="240" w:lineRule="auto"/>
        <w:jc w:val="both"/>
        <w:rPr>
          <w:szCs w:val="22"/>
          <w:lang w:val="lv-LV"/>
        </w:rPr>
      </w:pPr>
    </w:p>
    <w:p w14:paraId="1961B1E3" w14:textId="77777777" w:rsidR="004E48E6" w:rsidRPr="008C106C" w:rsidRDefault="004E48E6" w:rsidP="00F13EC0">
      <w:pPr>
        <w:tabs>
          <w:tab w:val="clear" w:pos="567"/>
        </w:tabs>
        <w:autoSpaceDE w:val="0"/>
        <w:autoSpaceDN w:val="0"/>
        <w:adjustRightInd w:val="0"/>
        <w:spacing w:line="240" w:lineRule="auto"/>
        <w:jc w:val="both"/>
        <w:rPr>
          <w:szCs w:val="22"/>
          <w:lang w:val="lv-LV"/>
        </w:rPr>
      </w:pPr>
      <w:r w:rsidRPr="008C106C">
        <w:rPr>
          <w:i/>
          <w:szCs w:val="22"/>
          <w:lang w:val="lv-LV"/>
        </w:rPr>
        <w:t>Primārs bezmiegs</w:t>
      </w:r>
    </w:p>
    <w:p w14:paraId="53F222FC" w14:textId="77777777" w:rsidR="004E48E6" w:rsidRPr="008C106C" w:rsidRDefault="004E48E6" w:rsidP="00F13EC0">
      <w:pPr>
        <w:tabs>
          <w:tab w:val="clear" w:pos="567"/>
        </w:tabs>
        <w:autoSpaceDE w:val="0"/>
        <w:autoSpaceDN w:val="0"/>
        <w:adjustRightInd w:val="0"/>
        <w:spacing w:line="240" w:lineRule="auto"/>
        <w:jc w:val="both"/>
        <w:rPr>
          <w:szCs w:val="22"/>
          <w:lang w:val="lv-LV"/>
        </w:rPr>
      </w:pPr>
      <w:r w:rsidRPr="008C106C">
        <w:rPr>
          <w:szCs w:val="22"/>
          <w:lang w:val="lv-LV"/>
        </w:rPr>
        <w:t xml:space="preserve">Līdz 6 mēnešiem ilgos ar placebo kontrolētos pētījumos pētāmām personām ar hronisku bezmiegu eszopiklons nodrošināja noturīgu iemigšanas un pamošanās naktī rādītāju uzlabojumu, kopējā miega ilguma un miega kvalitātes (spēkus atjaunojoša miega) uzlabošanos visu ārstēšanas laiku, vērtēšanai izmantojot objektīvu polisomnogrāfijas metodi un subjektīvus iznākumu rādītājus. Vērtējot pēc vairākiem rādītājiem, eszopiklona lietošanas gadījumā uzlabojās funkcionālās spējas nākamajā dienā. Ar placebo kontrolētos pētījumos pētāmām personām ar hronisku bezmiegu, kuras ārstēja ar eszopiklonu līdz 6 mēnešiem ilgi, un </w:t>
      </w:r>
      <w:bookmarkStart w:id="0" w:name="_Hlk23144871"/>
      <w:r w:rsidRPr="008C106C">
        <w:rPr>
          <w:szCs w:val="22"/>
          <w:lang w:val="lv-LV"/>
        </w:rPr>
        <w:t>pētāmām personām ar bezmiegu vai tādu blakusslimību kā depresija</w:t>
      </w:r>
      <w:bookmarkEnd w:id="0"/>
      <w:r w:rsidRPr="008C106C">
        <w:rPr>
          <w:szCs w:val="22"/>
          <w:lang w:val="lv-LV"/>
        </w:rPr>
        <w:t>, trauksme vai sāpes, kuras ar eszopiklonu ārstēja līdz 8 nedēļām ilgi, pierašanas veidošanos nekonstatēja. Jāatzīmē, ka 1 mg devas efektivitāte</w:t>
      </w:r>
      <w:r w:rsidR="00FF4B5A" w:rsidRPr="008C106C">
        <w:rPr>
          <w:szCs w:val="22"/>
          <w:lang w:val="lv-LV"/>
        </w:rPr>
        <w:t xml:space="preserve"> </w:t>
      </w:r>
      <w:r w:rsidRPr="008C106C">
        <w:rPr>
          <w:szCs w:val="22"/>
          <w:lang w:val="lv-LV"/>
        </w:rPr>
        <w:t>pieaugušajiem, uzlabojot iemigšanas vai pamošanās naktī rādītājus, nebija viennozīmīga, un šī deva nevienā pētījumā neuzlaboja kopējo miega ilgumu. Tādējādi sagaidāms, ka parastā efektīvā deva pieaugušajiem būs 2 mg vai 3 mg.</w:t>
      </w:r>
    </w:p>
    <w:p w14:paraId="0B350F5E" w14:textId="77777777" w:rsidR="00CB1F55" w:rsidRPr="008C106C" w:rsidRDefault="00CB1F55" w:rsidP="00F13EC0">
      <w:pPr>
        <w:tabs>
          <w:tab w:val="clear" w:pos="567"/>
        </w:tabs>
        <w:autoSpaceDE w:val="0"/>
        <w:autoSpaceDN w:val="0"/>
        <w:adjustRightInd w:val="0"/>
        <w:spacing w:line="240" w:lineRule="auto"/>
        <w:jc w:val="both"/>
        <w:rPr>
          <w:szCs w:val="22"/>
          <w:lang w:val="lv-LV"/>
        </w:rPr>
      </w:pPr>
    </w:p>
    <w:p w14:paraId="0D9B3941" w14:textId="77777777" w:rsidR="004E48E6" w:rsidRPr="008C106C" w:rsidRDefault="004E48E6" w:rsidP="00F13EC0">
      <w:pPr>
        <w:tabs>
          <w:tab w:val="clear" w:pos="567"/>
        </w:tabs>
        <w:autoSpaceDE w:val="0"/>
        <w:autoSpaceDN w:val="0"/>
        <w:adjustRightInd w:val="0"/>
        <w:spacing w:line="240" w:lineRule="auto"/>
        <w:jc w:val="both"/>
        <w:rPr>
          <w:i/>
          <w:szCs w:val="22"/>
          <w:lang w:val="lv-LV"/>
        </w:rPr>
      </w:pPr>
      <w:r w:rsidRPr="008C106C">
        <w:rPr>
          <w:i/>
          <w:szCs w:val="22"/>
          <w:lang w:val="lv-LV"/>
        </w:rPr>
        <w:t>Bezmiegs un blakusslimības</w:t>
      </w:r>
    </w:p>
    <w:p w14:paraId="16F03D9F" w14:textId="77777777" w:rsidR="004E48E6" w:rsidRPr="008C106C" w:rsidRDefault="004E48E6" w:rsidP="00F13EC0">
      <w:pPr>
        <w:tabs>
          <w:tab w:val="clear" w:pos="567"/>
        </w:tabs>
        <w:autoSpaceDE w:val="0"/>
        <w:autoSpaceDN w:val="0"/>
        <w:adjustRightInd w:val="0"/>
        <w:spacing w:line="240" w:lineRule="auto"/>
        <w:jc w:val="both"/>
        <w:rPr>
          <w:szCs w:val="22"/>
          <w:lang w:val="lv-LV"/>
        </w:rPr>
      </w:pPr>
      <w:r w:rsidRPr="008C106C">
        <w:rPr>
          <w:szCs w:val="22"/>
          <w:lang w:val="lv-LV"/>
        </w:rPr>
        <w:t>Pētāmajām personām ar bezmiegu un vienlaikus depresiju vai trauksmi, 8 nedēļas lietojot eszopiklonu vienlaicīgi ar selektīvu serotonīna atpakaļsaistes inhibitoru (SSAI), salīdzinājumā ar SSAI monoterapiju konstatēja nozīmīgu miega rādītāju uzlabošanos, kā arī noteiktu klīniski nozīmīgu atbildes reakcijas pret depresiju un trauksmi mazinošiem līdzekļiem rādītāju (piemēram, Hamiltona depresijas un trauksmes vērtēšanas skalās iegūto punktu skaita) uzlabošanos. Četras nedēļas ilgos pētījumos par bezmiegu vienlaicīgi ar reimatoīdo artrītu vai perimenopauzes simptomiem, eszopiklons nodrošināja nozīmīgu miega rādītāju (iemigšanas un miega turpināšanās) uzlabošanos visu pētījuma laiku. Šajos pētījumos, ārstēšanai izmantojot eszopiklonu, konstatēja arī sāpju uztveres uzlabošanos pētāmajām personām ar reimatoīdo artrītu, kā arī garastāvokļa un ar menopauzi saistīto simptomu uzlabošanos perimenopauzes un menopauzes vecuma sievietēm.</w:t>
      </w:r>
    </w:p>
    <w:p w14:paraId="1978A96C" w14:textId="77777777" w:rsidR="005847F2" w:rsidRPr="008C106C" w:rsidRDefault="005847F2" w:rsidP="00F13EC0">
      <w:pPr>
        <w:tabs>
          <w:tab w:val="clear" w:pos="567"/>
        </w:tabs>
        <w:autoSpaceDE w:val="0"/>
        <w:autoSpaceDN w:val="0"/>
        <w:adjustRightInd w:val="0"/>
        <w:spacing w:line="240" w:lineRule="auto"/>
        <w:jc w:val="both"/>
        <w:rPr>
          <w:szCs w:val="22"/>
          <w:lang w:val="lv-LV"/>
        </w:rPr>
      </w:pPr>
    </w:p>
    <w:p w14:paraId="4508519A" w14:textId="77777777" w:rsidR="00AA7FD7" w:rsidRPr="008C106C" w:rsidRDefault="00AA7FD7" w:rsidP="00F13EC0">
      <w:pPr>
        <w:tabs>
          <w:tab w:val="clear" w:pos="567"/>
        </w:tabs>
        <w:autoSpaceDE w:val="0"/>
        <w:autoSpaceDN w:val="0"/>
        <w:adjustRightInd w:val="0"/>
        <w:spacing w:line="240" w:lineRule="auto"/>
        <w:jc w:val="both"/>
        <w:rPr>
          <w:i/>
          <w:szCs w:val="22"/>
          <w:lang w:val="lv-LV"/>
        </w:rPr>
      </w:pPr>
      <w:r w:rsidRPr="008C106C">
        <w:rPr>
          <w:i/>
          <w:szCs w:val="22"/>
          <w:lang w:val="lv-LV"/>
        </w:rPr>
        <w:t>Gados vecāki cilvēki</w:t>
      </w:r>
    </w:p>
    <w:p w14:paraId="6B2F51B7" w14:textId="77777777" w:rsidR="00AA7FD7" w:rsidRPr="008C106C" w:rsidRDefault="00AA7FD7" w:rsidP="00F13EC0">
      <w:pPr>
        <w:tabs>
          <w:tab w:val="clear" w:pos="567"/>
        </w:tabs>
        <w:autoSpaceDE w:val="0"/>
        <w:autoSpaceDN w:val="0"/>
        <w:adjustRightInd w:val="0"/>
        <w:spacing w:line="240" w:lineRule="auto"/>
        <w:jc w:val="both"/>
        <w:rPr>
          <w:szCs w:val="22"/>
          <w:lang w:val="lv-LV"/>
        </w:rPr>
      </w:pPr>
      <w:r w:rsidRPr="008C106C">
        <w:rPr>
          <w:szCs w:val="22"/>
          <w:lang w:val="lv-LV"/>
        </w:rPr>
        <w:lastRenderedPageBreak/>
        <w:t>Eszopiklona iedarbība ir paaugstināta gados vecākiem pacientiem (sākot no 65 gadu vecuma) (skatīt 5.2. apakšpunktu), un gados vecākiem cilvēkiem kopējā eszopiklona dienas deva</w:t>
      </w:r>
      <w:r w:rsidR="00FF4B5A" w:rsidRPr="008C106C">
        <w:rPr>
          <w:szCs w:val="22"/>
          <w:lang w:val="lv-LV"/>
        </w:rPr>
        <w:t xml:space="preserve"> nedrīkst pārsniegt 2 </w:t>
      </w:r>
      <w:r w:rsidRPr="008C106C">
        <w:rPr>
          <w:szCs w:val="22"/>
          <w:lang w:val="lv-LV"/>
        </w:rPr>
        <w:t>mg. Randomizētos dubultmaskētos placebo kontrolētos pētījumos gados vecākiem pacientiem ar hronisku bezmiegu, līdz 12 nedēļu ilgumam, 2 mg eszopiklona vienu reizi dienā pirms gulētiešanas pētījuma laikā tika novēroti ievērojami uzlabojumi miega rādītājos (aizmigšana un miega uzturēšana).</w:t>
      </w:r>
    </w:p>
    <w:p w14:paraId="115ED258" w14:textId="77777777" w:rsidR="00AA7FD7" w:rsidRPr="008C106C" w:rsidRDefault="00AA7FD7" w:rsidP="00F13EC0">
      <w:pPr>
        <w:tabs>
          <w:tab w:val="clear" w:pos="567"/>
        </w:tabs>
        <w:autoSpaceDE w:val="0"/>
        <w:autoSpaceDN w:val="0"/>
        <w:adjustRightInd w:val="0"/>
        <w:spacing w:line="240" w:lineRule="auto"/>
        <w:jc w:val="both"/>
        <w:rPr>
          <w:szCs w:val="22"/>
          <w:lang w:val="lv-LV"/>
        </w:rPr>
      </w:pPr>
    </w:p>
    <w:p w14:paraId="7DB82CFE" w14:textId="77777777" w:rsidR="007F5145" w:rsidRPr="008C106C" w:rsidRDefault="007F5145" w:rsidP="00F13EC0">
      <w:pPr>
        <w:spacing w:line="240" w:lineRule="auto"/>
        <w:jc w:val="both"/>
        <w:rPr>
          <w:i/>
          <w:szCs w:val="22"/>
          <w:lang w:val="lv-LV"/>
        </w:rPr>
      </w:pPr>
      <w:r w:rsidRPr="008C106C">
        <w:rPr>
          <w:i/>
          <w:szCs w:val="22"/>
          <w:lang w:val="lv-LV"/>
        </w:rPr>
        <w:t>Pediatriskā populācija</w:t>
      </w:r>
    </w:p>
    <w:p w14:paraId="1DA300DD" w14:textId="77777777" w:rsidR="00E82DD0" w:rsidRPr="008C106C" w:rsidRDefault="007F5145" w:rsidP="00F13EC0">
      <w:pPr>
        <w:spacing w:line="240" w:lineRule="auto"/>
        <w:jc w:val="both"/>
        <w:rPr>
          <w:szCs w:val="22"/>
          <w:lang w:val="lv-LV"/>
        </w:rPr>
      </w:pPr>
      <w:r w:rsidRPr="008C106C">
        <w:rPr>
          <w:szCs w:val="22"/>
          <w:lang w:val="lv-LV"/>
        </w:rPr>
        <w:t xml:space="preserve">Eiropas Zāļu aģentūra ir atlikusi pienākumu iesniegt pētījumu rezultātus </w:t>
      </w:r>
      <w:r w:rsidR="00AA7FD7" w:rsidRPr="008C106C">
        <w:rPr>
          <w:szCs w:val="22"/>
          <w:lang w:val="lv-LV"/>
        </w:rPr>
        <w:t xml:space="preserve">bezmiega ārstēšanā </w:t>
      </w:r>
      <w:r w:rsidRPr="008C106C">
        <w:rPr>
          <w:szCs w:val="22"/>
          <w:lang w:val="lv-LV"/>
        </w:rPr>
        <w:t xml:space="preserve">par eszopiklonu visās bērnu populācijas apakšgrupās. Informāciju par lietošanu bērniem skatīt </w:t>
      </w:r>
      <w:r w:rsidR="00AA7FD7" w:rsidRPr="008C106C">
        <w:rPr>
          <w:szCs w:val="22"/>
          <w:lang w:val="lv-LV"/>
        </w:rPr>
        <w:t xml:space="preserve">4.2. </w:t>
      </w:r>
      <w:r w:rsidRPr="008C106C">
        <w:rPr>
          <w:szCs w:val="22"/>
          <w:lang w:val="lv-LV"/>
        </w:rPr>
        <w:t>apakšpunktā.</w:t>
      </w:r>
    </w:p>
    <w:p w14:paraId="1164EA0A" w14:textId="77777777" w:rsidR="00EF5E3C" w:rsidRPr="008C106C" w:rsidRDefault="00EF5E3C" w:rsidP="00F13EC0">
      <w:pPr>
        <w:spacing w:line="240" w:lineRule="auto"/>
        <w:jc w:val="both"/>
        <w:rPr>
          <w:szCs w:val="22"/>
          <w:lang w:val="lv-LV"/>
        </w:rPr>
      </w:pPr>
    </w:p>
    <w:p w14:paraId="67734D9C" w14:textId="77777777" w:rsidR="001D29E6" w:rsidRPr="008C106C" w:rsidRDefault="001D29E6" w:rsidP="00F13EC0">
      <w:pPr>
        <w:pStyle w:val="Heading2"/>
        <w:jc w:val="both"/>
        <w:rPr>
          <w:szCs w:val="22"/>
          <w:lang w:val="lv-LV"/>
        </w:rPr>
      </w:pPr>
      <w:r w:rsidRPr="008C106C">
        <w:rPr>
          <w:szCs w:val="22"/>
          <w:lang w:val="lv-LV"/>
        </w:rPr>
        <w:t>5.2</w:t>
      </w:r>
      <w:r w:rsidR="00AA7FD7" w:rsidRPr="008C106C">
        <w:rPr>
          <w:szCs w:val="22"/>
          <w:lang w:val="lv-LV"/>
        </w:rPr>
        <w:t>.</w:t>
      </w:r>
      <w:r w:rsidRPr="008C106C">
        <w:rPr>
          <w:szCs w:val="22"/>
          <w:lang w:val="lv-LV"/>
        </w:rPr>
        <w:tab/>
      </w:r>
      <w:r w:rsidR="00AA7FD7" w:rsidRPr="008C106C">
        <w:rPr>
          <w:bCs/>
          <w:szCs w:val="22"/>
          <w:lang w:val="lv-LV"/>
        </w:rPr>
        <w:t>Farmakokinētiskās īpašības</w:t>
      </w:r>
    </w:p>
    <w:p w14:paraId="4D753A8E" w14:textId="77777777" w:rsidR="00C53ACC" w:rsidRPr="008C106C" w:rsidRDefault="00C53ACC" w:rsidP="00F13EC0">
      <w:pPr>
        <w:spacing w:line="240" w:lineRule="auto"/>
        <w:jc w:val="both"/>
        <w:rPr>
          <w:szCs w:val="22"/>
          <w:lang w:val="lv-LV"/>
        </w:rPr>
      </w:pPr>
    </w:p>
    <w:p w14:paraId="25542E1B" w14:textId="77777777" w:rsidR="00AA7FD7" w:rsidRPr="008C106C" w:rsidRDefault="00AA7FD7" w:rsidP="00F13EC0">
      <w:pPr>
        <w:pStyle w:val="Default"/>
        <w:jc w:val="both"/>
        <w:outlineLvl w:val="0"/>
        <w:rPr>
          <w:sz w:val="22"/>
          <w:szCs w:val="22"/>
          <w:lang w:val="lv-LV"/>
        </w:rPr>
      </w:pPr>
      <w:r w:rsidRPr="008C106C">
        <w:rPr>
          <w:sz w:val="22"/>
          <w:szCs w:val="22"/>
          <w:u w:val="single"/>
          <w:lang w:val="lv-LV"/>
        </w:rPr>
        <w:t>Uzsūkšanās</w:t>
      </w:r>
    </w:p>
    <w:p w14:paraId="29799774" w14:textId="77777777" w:rsidR="00777769" w:rsidRPr="008C106C" w:rsidRDefault="00FF4B5A" w:rsidP="00F13EC0">
      <w:pPr>
        <w:numPr>
          <w:ilvl w:val="12"/>
          <w:numId w:val="0"/>
        </w:numPr>
        <w:spacing w:line="240" w:lineRule="auto"/>
        <w:ind w:right="-2"/>
        <w:jc w:val="both"/>
        <w:rPr>
          <w:iCs/>
          <w:noProof/>
          <w:szCs w:val="22"/>
          <w:u w:val="single"/>
          <w:lang w:val="lv-LV"/>
        </w:rPr>
      </w:pPr>
      <w:r w:rsidRPr="008C106C">
        <w:rPr>
          <w:szCs w:val="22"/>
          <w:lang w:val="lv-LV"/>
        </w:rPr>
        <w:t>Lietojot perorāli, e</w:t>
      </w:r>
      <w:r w:rsidR="00AA7FD7" w:rsidRPr="008C106C">
        <w:rPr>
          <w:szCs w:val="22"/>
          <w:lang w:val="lv-LV"/>
        </w:rPr>
        <w:t>szopiklons uzsūcas ātri. Maksimālā koncentrācija plazmā tiek sasniegta 1 stundu pēc perorālas lietošanas.</w:t>
      </w:r>
    </w:p>
    <w:p w14:paraId="38B40838" w14:textId="77777777" w:rsidR="00FA3116" w:rsidRPr="008C106C" w:rsidRDefault="00FA3116" w:rsidP="00F13EC0">
      <w:pPr>
        <w:numPr>
          <w:ilvl w:val="12"/>
          <w:numId w:val="0"/>
        </w:numPr>
        <w:spacing w:line="240" w:lineRule="auto"/>
        <w:ind w:right="-2"/>
        <w:jc w:val="both"/>
        <w:rPr>
          <w:iCs/>
          <w:noProof/>
          <w:szCs w:val="22"/>
          <w:u w:val="single"/>
          <w:lang w:val="lv-LV"/>
        </w:rPr>
      </w:pPr>
    </w:p>
    <w:p w14:paraId="6DAC2655" w14:textId="77777777" w:rsidR="00AA7FD7" w:rsidRPr="008C106C" w:rsidRDefault="00AA7FD7" w:rsidP="00F13EC0">
      <w:pPr>
        <w:pStyle w:val="Default"/>
        <w:jc w:val="both"/>
        <w:outlineLvl w:val="0"/>
        <w:rPr>
          <w:sz w:val="22"/>
          <w:szCs w:val="22"/>
          <w:lang w:val="lv-LV"/>
        </w:rPr>
      </w:pPr>
      <w:r w:rsidRPr="008C106C">
        <w:rPr>
          <w:sz w:val="22"/>
          <w:szCs w:val="22"/>
          <w:u w:val="single"/>
          <w:lang w:val="lv-LV"/>
        </w:rPr>
        <w:t>Izkliede</w:t>
      </w:r>
    </w:p>
    <w:p w14:paraId="00476A7E" w14:textId="77777777" w:rsidR="004E48E6" w:rsidRPr="008C106C" w:rsidRDefault="004E48E6" w:rsidP="00F13EC0">
      <w:pPr>
        <w:numPr>
          <w:ilvl w:val="12"/>
          <w:numId w:val="0"/>
        </w:numPr>
        <w:spacing w:line="240" w:lineRule="auto"/>
        <w:ind w:right="-2"/>
        <w:jc w:val="both"/>
        <w:rPr>
          <w:iCs/>
          <w:noProof/>
          <w:szCs w:val="22"/>
          <w:lang w:val="lv-LV"/>
        </w:rPr>
      </w:pPr>
      <w:r w:rsidRPr="008C106C">
        <w:rPr>
          <w:szCs w:val="22"/>
          <w:lang w:val="lv-LV"/>
        </w:rPr>
        <w:t>Eszopiklons vāji saistās ar plazmas olbaltumvielām (52-59%). Tādēļ maz ticams, ka zāļu savstarpējā mijiedarbība, ko izraisa saistīšanās ar olbaltumvielām, ietekmēs eszopiklona izkliedi. Attiecība starp eszopiklona daudzumu asinīs un plazmā ir mazāka par viens, kas liecina, ka nenotiek selektīva saistīšanās pie sarkanajām asins šūnām.</w:t>
      </w:r>
    </w:p>
    <w:p w14:paraId="4ECD0E8F" w14:textId="77777777" w:rsidR="00FA3116" w:rsidRPr="008C106C" w:rsidRDefault="00FA3116" w:rsidP="00F13EC0">
      <w:pPr>
        <w:numPr>
          <w:ilvl w:val="12"/>
          <w:numId w:val="0"/>
        </w:numPr>
        <w:spacing w:line="240" w:lineRule="auto"/>
        <w:ind w:right="-2"/>
        <w:jc w:val="both"/>
        <w:rPr>
          <w:iCs/>
          <w:noProof/>
          <w:szCs w:val="22"/>
          <w:u w:val="single"/>
          <w:lang w:val="lv-LV"/>
        </w:rPr>
      </w:pPr>
    </w:p>
    <w:p w14:paraId="2BB452ED" w14:textId="77777777" w:rsidR="004106B7" w:rsidRPr="008C106C" w:rsidRDefault="004106B7" w:rsidP="00F13EC0">
      <w:pPr>
        <w:pStyle w:val="Default"/>
        <w:jc w:val="both"/>
        <w:outlineLvl w:val="0"/>
        <w:rPr>
          <w:sz w:val="22"/>
          <w:szCs w:val="22"/>
          <w:lang w:val="lv-LV"/>
        </w:rPr>
      </w:pPr>
      <w:r w:rsidRPr="008C106C">
        <w:rPr>
          <w:sz w:val="22"/>
          <w:szCs w:val="22"/>
          <w:u w:val="single"/>
          <w:lang w:val="lv-LV"/>
        </w:rPr>
        <w:t>Biotransformācija</w:t>
      </w:r>
    </w:p>
    <w:p w14:paraId="3FDE2132" w14:textId="77777777" w:rsidR="00AA7FD7" w:rsidRPr="008C106C" w:rsidRDefault="00AA7FD7"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Pēc iekšķīgas lietošanas eszopiklons tiek plaši metabolizēts oksidācijas un demetilēšanas ceļā. Primārie plazmas metabolīti ir (S) -zopiklons-N-oksīds un (S) -N-desmetil-zopiklons.</w:t>
      </w:r>
    </w:p>
    <w:p w14:paraId="47AC3F80" w14:textId="77777777" w:rsidR="00AA7FD7" w:rsidRPr="008C106C" w:rsidRDefault="00AA7FD7" w:rsidP="00F13EC0">
      <w:pPr>
        <w:tabs>
          <w:tab w:val="clear" w:pos="567"/>
        </w:tabs>
        <w:autoSpaceDE w:val="0"/>
        <w:autoSpaceDN w:val="0"/>
        <w:adjustRightInd w:val="0"/>
        <w:spacing w:line="240" w:lineRule="auto"/>
        <w:jc w:val="both"/>
        <w:rPr>
          <w:szCs w:val="22"/>
          <w:lang w:val="lv-LV" w:eastAsia="de-DE"/>
        </w:rPr>
      </w:pPr>
      <w:r w:rsidRPr="008C106C">
        <w:rPr>
          <w:i/>
          <w:szCs w:val="22"/>
          <w:lang w:val="lv-LV" w:eastAsia="de-DE"/>
        </w:rPr>
        <w:t xml:space="preserve">In vitro </w:t>
      </w:r>
      <w:r w:rsidRPr="008C106C">
        <w:rPr>
          <w:szCs w:val="22"/>
          <w:lang w:val="lv-LV" w:eastAsia="de-DE"/>
        </w:rPr>
        <w:t xml:space="preserve">pētījumi parādīja, ka CYP3A4 un CYP2E1 fermenti ir iesaistīti eszopiklona metabolismā. </w:t>
      </w:r>
      <w:r w:rsidRPr="008C106C">
        <w:rPr>
          <w:i/>
          <w:szCs w:val="22"/>
          <w:lang w:val="lv-LV" w:eastAsia="de-DE"/>
        </w:rPr>
        <w:t>In vitro</w:t>
      </w:r>
      <w:r w:rsidRPr="008C106C">
        <w:rPr>
          <w:szCs w:val="22"/>
          <w:lang w:val="lv-LV" w:eastAsia="de-DE"/>
        </w:rPr>
        <w:t xml:space="preserve"> pētījumu rezultāti par cilvēka hepatocītiem ar eszopiklonu parādīja, ka fermentu CYP450 1A2, 2A6, 2C9, 2C19, 2D6, 2E1 un 3A4 nomākums netika novērots. Cilvēkiem vienlaicīga lietošana ar ketokonazolu palielināja eszopiklona iedarbību. Paredzams, ka spēcīgi CYP3A4 induktori mazinās eszopiklona sistēmisko iedarbību.</w:t>
      </w:r>
    </w:p>
    <w:p w14:paraId="360CDE27" w14:textId="77777777" w:rsidR="00FA3116" w:rsidRPr="008C106C" w:rsidRDefault="00FA3116" w:rsidP="00F13EC0">
      <w:pPr>
        <w:tabs>
          <w:tab w:val="clear" w:pos="567"/>
        </w:tabs>
        <w:autoSpaceDE w:val="0"/>
        <w:autoSpaceDN w:val="0"/>
        <w:adjustRightInd w:val="0"/>
        <w:spacing w:line="240" w:lineRule="auto"/>
        <w:jc w:val="both"/>
        <w:rPr>
          <w:szCs w:val="22"/>
          <w:lang w:val="lv-LV" w:eastAsia="de-DE"/>
        </w:rPr>
      </w:pPr>
    </w:p>
    <w:p w14:paraId="26B3510A" w14:textId="77777777" w:rsidR="004106B7" w:rsidRPr="008C106C" w:rsidRDefault="004106B7" w:rsidP="00F13EC0">
      <w:pPr>
        <w:pStyle w:val="Default"/>
        <w:jc w:val="both"/>
        <w:outlineLvl w:val="0"/>
        <w:rPr>
          <w:sz w:val="22"/>
          <w:szCs w:val="22"/>
          <w:lang w:val="lv-LV"/>
        </w:rPr>
      </w:pPr>
      <w:r w:rsidRPr="008C106C">
        <w:rPr>
          <w:sz w:val="22"/>
          <w:szCs w:val="22"/>
          <w:u w:val="single"/>
          <w:lang w:val="lv-LV"/>
        </w:rPr>
        <w:t>Eliminācija</w:t>
      </w:r>
    </w:p>
    <w:p w14:paraId="4838C26D" w14:textId="77777777" w:rsidR="005A1886" w:rsidRPr="008C106C" w:rsidRDefault="004106B7" w:rsidP="00F13EC0">
      <w:pPr>
        <w:numPr>
          <w:ilvl w:val="12"/>
          <w:numId w:val="0"/>
        </w:numPr>
        <w:spacing w:line="240" w:lineRule="auto"/>
        <w:ind w:right="-2"/>
        <w:jc w:val="both"/>
        <w:rPr>
          <w:iCs/>
          <w:noProof/>
          <w:szCs w:val="22"/>
          <w:lang w:val="lv-LV"/>
        </w:rPr>
      </w:pPr>
      <w:r w:rsidRPr="008C106C">
        <w:rPr>
          <w:iCs/>
          <w:noProof/>
          <w:szCs w:val="22"/>
          <w:lang w:val="lv-LV"/>
        </w:rPr>
        <w:t>Pēc iekšķīgas lietošanas eszopiklons tiek izvadīts ar vidējo t</w:t>
      </w:r>
      <w:r w:rsidR="00940B64" w:rsidRPr="008C106C">
        <w:rPr>
          <w:iCs/>
          <w:noProof/>
          <w:szCs w:val="22"/>
          <w:lang w:val="lv-LV"/>
        </w:rPr>
        <w:t>½</w:t>
      </w:r>
      <w:r w:rsidRPr="008C106C">
        <w:rPr>
          <w:iCs/>
          <w:noProof/>
          <w:szCs w:val="22"/>
          <w:lang w:val="lv-LV"/>
        </w:rPr>
        <w:t xml:space="preserve"> apmēram 6 stundās. Līdz 75% no perorālās racēmiskā zopiklona devas izdalās ar urīnu galvenokārt metabolītu veidā. Līdzīgs izvadīšanās profils būtu sagaidāms arī eszopiklonam, kas ir racēmiskā zopiklona S-izomērs. Mazāk nekā 10% no perorāli lietotās eszopiklona devas izdalās ar urīnu kā sākotnējās zāles.</w:t>
      </w:r>
    </w:p>
    <w:p w14:paraId="4487A89D" w14:textId="77777777" w:rsidR="005A1886" w:rsidRPr="008C106C" w:rsidRDefault="005A1886" w:rsidP="00F13EC0">
      <w:pPr>
        <w:numPr>
          <w:ilvl w:val="12"/>
          <w:numId w:val="0"/>
        </w:numPr>
        <w:spacing w:line="240" w:lineRule="auto"/>
        <w:ind w:right="-2"/>
        <w:jc w:val="both"/>
        <w:rPr>
          <w:iCs/>
          <w:noProof/>
          <w:szCs w:val="22"/>
          <w:lang w:val="lv-LV"/>
        </w:rPr>
      </w:pPr>
    </w:p>
    <w:p w14:paraId="235C60C9" w14:textId="77777777" w:rsidR="004106B7" w:rsidRPr="008C106C" w:rsidRDefault="004106B7" w:rsidP="00F13EC0">
      <w:pPr>
        <w:numPr>
          <w:ilvl w:val="12"/>
          <w:numId w:val="0"/>
        </w:numPr>
        <w:spacing w:line="240" w:lineRule="auto"/>
        <w:ind w:right="-2"/>
        <w:jc w:val="both"/>
        <w:rPr>
          <w:iCs/>
          <w:noProof/>
          <w:szCs w:val="22"/>
          <w:u w:val="single"/>
          <w:lang w:val="lv-LV"/>
        </w:rPr>
      </w:pPr>
      <w:r w:rsidRPr="008C106C">
        <w:rPr>
          <w:iCs/>
          <w:noProof/>
          <w:szCs w:val="22"/>
          <w:u w:val="single"/>
          <w:lang w:val="lv-LV"/>
        </w:rPr>
        <w:t>Pārtikas ietekme</w:t>
      </w:r>
    </w:p>
    <w:p w14:paraId="29F9B904" w14:textId="77777777" w:rsidR="004106B7" w:rsidRPr="008C106C" w:rsidRDefault="004106B7" w:rsidP="00F13EC0">
      <w:pPr>
        <w:numPr>
          <w:ilvl w:val="12"/>
          <w:numId w:val="0"/>
        </w:numPr>
        <w:spacing w:line="240" w:lineRule="auto"/>
        <w:ind w:right="-2"/>
        <w:jc w:val="both"/>
        <w:rPr>
          <w:iCs/>
          <w:noProof/>
          <w:szCs w:val="22"/>
          <w:lang w:val="lv-LV"/>
        </w:rPr>
      </w:pPr>
      <w:r w:rsidRPr="008C106C">
        <w:rPr>
          <w:iCs/>
          <w:noProof/>
          <w:szCs w:val="22"/>
          <w:lang w:val="lv-LV"/>
        </w:rPr>
        <w:t>Veseliem pieaugušajiem eszopiklona lietošana pēc ēdienreizes ar augstu tauku saturu nemainīja AUC, vidējā C</w:t>
      </w:r>
      <w:r w:rsidRPr="008C106C">
        <w:rPr>
          <w:iCs/>
          <w:noProof/>
          <w:szCs w:val="22"/>
          <w:vertAlign w:val="subscript"/>
          <w:lang w:val="lv-LV"/>
        </w:rPr>
        <w:t>max</w:t>
      </w:r>
      <w:r w:rsidRPr="008C106C">
        <w:rPr>
          <w:iCs/>
          <w:noProof/>
          <w:szCs w:val="22"/>
          <w:lang w:val="lv-LV"/>
        </w:rPr>
        <w:t xml:space="preserve"> samazinājās par 21% un t</w:t>
      </w:r>
      <w:r w:rsidRPr="008C106C">
        <w:rPr>
          <w:iCs/>
          <w:noProof/>
          <w:szCs w:val="22"/>
          <w:vertAlign w:val="subscript"/>
          <w:lang w:val="lv-LV"/>
        </w:rPr>
        <w:t>max</w:t>
      </w:r>
      <w:r w:rsidRPr="008C106C">
        <w:rPr>
          <w:iCs/>
          <w:noProof/>
          <w:szCs w:val="22"/>
          <w:lang w:val="lv-LV"/>
        </w:rPr>
        <w:t xml:space="preserve"> aizkavējās par aptuveni 1 stundu. Pusperiods palika nemainīgs, aptuveni 6 stundas. Eszopiklona ietekme uz aizmigšanu var nedaudz samazināties, ja to lieto kopā ar treknu vai smagu maltīti vai tūlīt pēc tās.</w:t>
      </w:r>
    </w:p>
    <w:p w14:paraId="6C3B988E" w14:textId="77777777" w:rsidR="004F4965" w:rsidRPr="008C106C" w:rsidRDefault="004F4965" w:rsidP="00F13EC0">
      <w:pPr>
        <w:numPr>
          <w:ilvl w:val="12"/>
          <w:numId w:val="0"/>
        </w:numPr>
        <w:spacing w:line="240" w:lineRule="auto"/>
        <w:ind w:right="-2"/>
        <w:jc w:val="both"/>
        <w:rPr>
          <w:iCs/>
          <w:noProof/>
          <w:szCs w:val="22"/>
          <w:lang w:val="lv-LV"/>
        </w:rPr>
      </w:pPr>
    </w:p>
    <w:p w14:paraId="45587214" w14:textId="77777777" w:rsidR="004106B7" w:rsidRPr="008C106C" w:rsidRDefault="004106B7" w:rsidP="00F13EC0">
      <w:pPr>
        <w:numPr>
          <w:ilvl w:val="12"/>
          <w:numId w:val="0"/>
        </w:numPr>
        <w:spacing w:line="240" w:lineRule="auto"/>
        <w:ind w:right="-2"/>
        <w:jc w:val="both"/>
        <w:rPr>
          <w:iCs/>
          <w:noProof/>
          <w:szCs w:val="22"/>
          <w:u w:val="single"/>
          <w:lang w:val="lv-LV"/>
        </w:rPr>
      </w:pPr>
      <w:r w:rsidRPr="008C106C">
        <w:rPr>
          <w:iCs/>
          <w:noProof/>
          <w:szCs w:val="22"/>
          <w:u w:val="single"/>
          <w:lang w:val="lv-LV"/>
        </w:rPr>
        <w:t>Linearitāte / nelinearitāte</w:t>
      </w:r>
    </w:p>
    <w:p w14:paraId="6D1D31B8" w14:textId="77777777" w:rsidR="004106B7" w:rsidRPr="008C106C" w:rsidRDefault="004106B7" w:rsidP="00F13EC0">
      <w:pPr>
        <w:numPr>
          <w:ilvl w:val="12"/>
          <w:numId w:val="0"/>
        </w:numPr>
        <w:spacing w:line="240" w:lineRule="auto"/>
        <w:ind w:right="-2"/>
        <w:jc w:val="both"/>
        <w:rPr>
          <w:iCs/>
          <w:noProof/>
          <w:szCs w:val="22"/>
          <w:lang w:val="lv-LV"/>
        </w:rPr>
      </w:pPr>
      <w:r w:rsidRPr="008C106C">
        <w:rPr>
          <w:iCs/>
          <w:noProof/>
          <w:szCs w:val="22"/>
          <w:lang w:val="lv-LV"/>
        </w:rPr>
        <w:t>Veseliem pieaugušajiem eszopiklons neuzkrājas, lietojot vienreiz dienā, un tā iedarbība ir proporcionāla devai diapazonā no 1 līdz 6 mg.</w:t>
      </w:r>
    </w:p>
    <w:p w14:paraId="1409527D" w14:textId="77777777" w:rsidR="004106B7" w:rsidRPr="008C106C" w:rsidRDefault="004106B7" w:rsidP="00F13EC0">
      <w:pPr>
        <w:numPr>
          <w:ilvl w:val="12"/>
          <w:numId w:val="0"/>
        </w:numPr>
        <w:spacing w:line="240" w:lineRule="auto"/>
        <w:ind w:right="-2"/>
        <w:jc w:val="both"/>
        <w:rPr>
          <w:iCs/>
          <w:noProof/>
          <w:szCs w:val="22"/>
          <w:lang w:val="lv-LV"/>
        </w:rPr>
      </w:pPr>
    </w:p>
    <w:p w14:paraId="44AE3597" w14:textId="77777777" w:rsidR="004106B7" w:rsidRPr="008C106C" w:rsidRDefault="004106B7" w:rsidP="00F13EC0">
      <w:pPr>
        <w:pStyle w:val="Default"/>
        <w:jc w:val="both"/>
        <w:outlineLvl w:val="0"/>
        <w:rPr>
          <w:sz w:val="22"/>
          <w:szCs w:val="22"/>
          <w:u w:val="single"/>
          <w:lang w:val="lv-LV"/>
        </w:rPr>
      </w:pPr>
      <w:r w:rsidRPr="008C106C">
        <w:rPr>
          <w:sz w:val="22"/>
          <w:szCs w:val="22"/>
          <w:u w:val="single"/>
          <w:lang w:val="lv-LV"/>
        </w:rPr>
        <w:t>Īpašas pacientu grupas</w:t>
      </w:r>
    </w:p>
    <w:p w14:paraId="6A4AB3D3" w14:textId="77777777" w:rsidR="004106B7" w:rsidRPr="008C106C" w:rsidRDefault="004106B7" w:rsidP="00F13EC0">
      <w:pPr>
        <w:pStyle w:val="Default"/>
        <w:jc w:val="both"/>
        <w:rPr>
          <w:i/>
          <w:sz w:val="22"/>
          <w:szCs w:val="22"/>
          <w:lang w:val="lv-LV"/>
        </w:rPr>
      </w:pPr>
      <w:r w:rsidRPr="008C106C">
        <w:rPr>
          <w:i/>
          <w:sz w:val="22"/>
          <w:szCs w:val="22"/>
          <w:lang w:val="lv-LV"/>
        </w:rPr>
        <w:t>Gados vecāki pacienti</w:t>
      </w:r>
    </w:p>
    <w:p w14:paraId="4EE19AEA" w14:textId="77777777" w:rsidR="004106B7" w:rsidRPr="008C106C" w:rsidRDefault="004106B7" w:rsidP="00F13EC0">
      <w:pPr>
        <w:pStyle w:val="Default"/>
        <w:jc w:val="both"/>
        <w:rPr>
          <w:sz w:val="22"/>
          <w:szCs w:val="22"/>
          <w:lang w:val="lv-LV"/>
        </w:rPr>
      </w:pPr>
      <w:r w:rsidRPr="008C106C">
        <w:rPr>
          <w:sz w:val="22"/>
          <w:szCs w:val="22"/>
          <w:lang w:val="lv-LV"/>
        </w:rPr>
        <w:t>Salīdzinājumā ar pieaugušajiem, kas nav vecāka gadagājuma cilvēki, 65 gadus veciem un vecākiem cilvēkiem ekspozīcija (AUC) palielinājās par 41% un nedaudz pagarinājās eszopiklona eliminācija (t</w:t>
      </w:r>
      <w:r w:rsidR="00940B64" w:rsidRPr="008C106C">
        <w:rPr>
          <w:sz w:val="22"/>
          <w:szCs w:val="22"/>
          <w:lang w:val="lv-LV"/>
        </w:rPr>
        <w:t>½</w:t>
      </w:r>
      <w:r w:rsidRPr="008C106C">
        <w:rPr>
          <w:sz w:val="22"/>
          <w:szCs w:val="22"/>
          <w:lang w:val="lv-LV"/>
        </w:rPr>
        <w:t xml:space="preserve"> aptuveni 9 stundas), C</w:t>
      </w:r>
      <w:r w:rsidRPr="008C106C">
        <w:rPr>
          <w:sz w:val="22"/>
          <w:szCs w:val="22"/>
          <w:vertAlign w:val="subscript"/>
          <w:lang w:val="lv-LV"/>
        </w:rPr>
        <w:t>max</w:t>
      </w:r>
      <w:r w:rsidRPr="008C106C">
        <w:rPr>
          <w:sz w:val="22"/>
          <w:szCs w:val="22"/>
          <w:lang w:val="lv-LV"/>
        </w:rPr>
        <w:t xml:space="preserve"> neizmainījās. Tādēļ gados vecākiem pacientiem eszopiklona deva nedrīkst pārsniegt 2 mg.</w:t>
      </w:r>
    </w:p>
    <w:p w14:paraId="4000E71D" w14:textId="77777777" w:rsidR="003964AC" w:rsidRPr="008C106C" w:rsidRDefault="003964AC" w:rsidP="00F13EC0">
      <w:pPr>
        <w:spacing w:line="240" w:lineRule="auto"/>
        <w:jc w:val="both"/>
        <w:rPr>
          <w:iCs/>
          <w:noProof/>
          <w:szCs w:val="22"/>
          <w:lang w:val="lv-LV"/>
        </w:rPr>
      </w:pPr>
    </w:p>
    <w:p w14:paraId="7DAF10C8" w14:textId="77777777" w:rsidR="004106B7" w:rsidRPr="008C106C" w:rsidRDefault="004106B7" w:rsidP="00F13EC0">
      <w:pPr>
        <w:spacing w:line="240" w:lineRule="auto"/>
        <w:jc w:val="both"/>
        <w:rPr>
          <w:i/>
          <w:iCs/>
          <w:noProof/>
          <w:szCs w:val="22"/>
          <w:lang w:val="lv-LV"/>
        </w:rPr>
      </w:pPr>
      <w:r w:rsidRPr="008C106C">
        <w:rPr>
          <w:i/>
          <w:iCs/>
          <w:noProof/>
          <w:szCs w:val="22"/>
          <w:lang w:val="lv-LV"/>
        </w:rPr>
        <w:t>Dzimums</w:t>
      </w:r>
    </w:p>
    <w:p w14:paraId="4023D346" w14:textId="77777777" w:rsidR="004106B7" w:rsidRPr="008C106C" w:rsidRDefault="004106B7" w:rsidP="00F13EC0">
      <w:pPr>
        <w:spacing w:line="240" w:lineRule="auto"/>
        <w:jc w:val="both"/>
        <w:rPr>
          <w:iCs/>
          <w:noProof/>
          <w:szCs w:val="22"/>
          <w:lang w:val="lv-LV"/>
        </w:rPr>
      </w:pPr>
      <w:r w:rsidRPr="008C106C">
        <w:rPr>
          <w:iCs/>
          <w:noProof/>
          <w:szCs w:val="22"/>
          <w:lang w:val="lv-LV"/>
        </w:rPr>
        <w:t>Eszopiklona farmakokinētika vīriešiem un sievietēm ir līdzīga.</w:t>
      </w:r>
    </w:p>
    <w:p w14:paraId="396CFFC5" w14:textId="77777777" w:rsidR="004106B7" w:rsidRPr="008C106C" w:rsidRDefault="004106B7" w:rsidP="00F13EC0">
      <w:pPr>
        <w:spacing w:line="240" w:lineRule="auto"/>
        <w:jc w:val="both"/>
        <w:rPr>
          <w:i/>
          <w:iCs/>
          <w:noProof/>
          <w:szCs w:val="22"/>
          <w:lang w:val="lv-LV"/>
        </w:rPr>
      </w:pPr>
    </w:p>
    <w:p w14:paraId="259CEC27" w14:textId="77777777" w:rsidR="004106B7" w:rsidRPr="008C106C" w:rsidRDefault="004106B7" w:rsidP="00F13EC0">
      <w:pPr>
        <w:spacing w:line="240" w:lineRule="auto"/>
        <w:jc w:val="both"/>
        <w:rPr>
          <w:i/>
          <w:iCs/>
          <w:noProof/>
          <w:szCs w:val="22"/>
          <w:lang w:val="lv-LV"/>
        </w:rPr>
      </w:pPr>
      <w:r w:rsidRPr="008C106C">
        <w:rPr>
          <w:i/>
          <w:iCs/>
          <w:noProof/>
          <w:szCs w:val="22"/>
          <w:lang w:val="lv-LV"/>
        </w:rPr>
        <w:t>Etniskā piederība</w:t>
      </w:r>
    </w:p>
    <w:p w14:paraId="101C67DE" w14:textId="77777777" w:rsidR="007D317B" w:rsidRPr="008C106C" w:rsidRDefault="004106B7" w:rsidP="00F13EC0">
      <w:pPr>
        <w:spacing w:line="240" w:lineRule="auto"/>
        <w:jc w:val="both"/>
        <w:rPr>
          <w:iCs/>
          <w:noProof/>
          <w:szCs w:val="22"/>
          <w:lang w:val="lv-LV"/>
        </w:rPr>
      </w:pPr>
      <w:r w:rsidRPr="008C106C">
        <w:rPr>
          <w:iCs/>
          <w:noProof/>
          <w:szCs w:val="22"/>
          <w:lang w:val="lv-LV"/>
        </w:rPr>
        <w:t>Visu pētīto etnisko grupu farmakokinētika šķiet līdzīga.</w:t>
      </w:r>
    </w:p>
    <w:p w14:paraId="2CC95F01" w14:textId="77777777" w:rsidR="004106B7" w:rsidRPr="008C106C" w:rsidRDefault="004106B7" w:rsidP="00F13EC0">
      <w:pPr>
        <w:spacing w:line="240" w:lineRule="auto"/>
        <w:jc w:val="both"/>
        <w:rPr>
          <w:iCs/>
          <w:noProof/>
          <w:szCs w:val="22"/>
          <w:lang w:val="lv-LV"/>
        </w:rPr>
      </w:pPr>
    </w:p>
    <w:p w14:paraId="444E7B69" w14:textId="77777777" w:rsidR="004106B7" w:rsidRPr="008C106C" w:rsidRDefault="004106B7" w:rsidP="00F13EC0">
      <w:pPr>
        <w:spacing w:line="240" w:lineRule="auto"/>
        <w:jc w:val="both"/>
        <w:rPr>
          <w:i/>
          <w:iCs/>
          <w:noProof/>
          <w:szCs w:val="22"/>
          <w:lang w:val="lv-LV"/>
        </w:rPr>
      </w:pPr>
      <w:r w:rsidRPr="008C106C">
        <w:rPr>
          <w:i/>
          <w:iCs/>
          <w:noProof/>
          <w:szCs w:val="22"/>
          <w:lang w:val="lv-LV"/>
        </w:rPr>
        <w:t>Aknu darbības traucējumi</w:t>
      </w:r>
    </w:p>
    <w:p w14:paraId="11E14104" w14:textId="77777777" w:rsidR="004106B7" w:rsidRPr="008C106C" w:rsidRDefault="004106B7" w:rsidP="00F13EC0">
      <w:pPr>
        <w:spacing w:line="240" w:lineRule="auto"/>
        <w:jc w:val="both"/>
        <w:rPr>
          <w:iCs/>
          <w:noProof/>
          <w:szCs w:val="22"/>
          <w:lang w:val="lv-LV"/>
        </w:rPr>
      </w:pPr>
      <w:r w:rsidRPr="008C106C">
        <w:rPr>
          <w:iCs/>
          <w:noProof/>
          <w:szCs w:val="22"/>
          <w:lang w:val="lv-LV"/>
        </w:rPr>
        <w:t>2 mg devas farmakokinētika tika novērtēta pacientiem ar vieglu, vidēji smagu un smagu aknu slimību un salīdzinā</w:t>
      </w:r>
      <w:r w:rsidR="00E718E0">
        <w:rPr>
          <w:iCs/>
          <w:noProof/>
          <w:szCs w:val="22"/>
          <w:lang w:val="lv-LV"/>
        </w:rPr>
        <w:t>t</w:t>
      </w:r>
      <w:r w:rsidRPr="008C106C">
        <w:rPr>
          <w:iCs/>
          <w:noProof/>
          <w:szCs w:val="22"/>
          <w:lang w:val="lv-LV"/>
        </w:rPr>
        <w:t>a ar veseliem brīvprātīgajiem. Eszopiklona iedarbība pacientiem ar smagiem traucējumiem tika palielināta divreiz, salīdzinot ar veseliem brīvprātīgajiem. Novērotā maksimālā koncentrācija (C</w:t>
      </w:r>
      <w:r w:rsidRPr="008C106C">
        <w:rPr>
          <w:iCs/>
          <w:noProof/>
          <w:szCs w:val="22"/>
          <w:vertAlign w:val="subscript"/>
          <w:lang w:val="lv-LV"/>
        </w:rPr>
        <w:t>max</w:t>
      </w:r>
      <w:r w:rsidRPr="008C106C">
        <w:rPr>
          <w:iCs/>
          <w:noProof/>
          <w:szCs w:val="22"/>
          <w:lang w:val="lv-LV"/>
        </w:rPr>
        <w:t>) un tās rašanās laiks (t</w:t>
      </w:r>
      <w:r w:rsidRPr="008C106C">
        <w:rPr>
          <w:iCs/>
          <w:noProof/>
          <w:szCs w:val="22"/>
          <w:vertAlign w:val="subscript"/>
          <w:lang w:val="lv-LV"/>
        </w:rPr>
        <w:t>max</w:t>
      </w:r>
      <w:r w:rsidRPr="008C106C">
        <w:rPr>
          <w:iCs/>
          <w:noProof/>
          <w:szCs w:val="22"/>
          <w:lang w:val="lv-LV"/>
        </w:rPr>
        <w:t>) nemainījās. Eszopiklons ir kontrindicēts pacientiem ar smagiem aknu darbības traucējumiem. Pacientiem ar viegliem vai vidēji smagiem aknu darbības traucējumiem deva nav jāpielāgo.</w:t>
      </w:r>
    </w:p>
    <w:p w14:paraId="0987F014" w14:textId="77777777" w:rsidR="003964AC" w:rsidRPr="008C106C" w:rsidRDefault="003964AC" w:rsidP="00F13EC0">
      <w:pPr>
        <w:spacing w:line="240" w:lineRule="auto"/>
        <w:jc w:val="both"/>
        <w:rPr>
          <w:iCs/>
          <w:noProof/>
          <w:szCs w:val="22"/>
          <w:lang w:val="lv-LV"/>
        </w:rPr>
      </w:pPr>
    </w:p>
    <w:p w14:paraId="3F11D687" w14:textId="77777777" w:rsidR="00AC482F" w:rsidRPr="008C106C" w:rsidRDefault="00AC482F" w:rsidP="00F13EC0">
      <w:pPr>
        <w:spacing w:line="240" w:lineRule="auto"/>
        <w:jc w:val="both"/>
        <w:rPr>
          <w:i/>
          <w:iCs/>
          <w:noProof/>
          <w:szCs w:val="22"/>
          <w:lang w:val="lv-LV"/>
        </w:rPr>
      </w:pPr>
      <w:r w:rsidRPr="008C106C">
        <w:rPr>
          <w:i/>
          <w:iCs/>
          <w:noProof/>
          <w:szCs w:val="22"/>
          <w:lang w:val="lv-LV"/>
        </w:rPr>
        <w:t>Nieru darbības traucējumi</w:t>
      </w:r>
    </w:p>
    <w:p w14:paraId="2A5FD9C7" w14:textId="77777777" w:rsidR="00AC482F" w:rsidRPr="008C106C" w:rsidRDefault="00AC482F" w:rsidP="00F13EC0">
      <w:pPr>
        <w:spacing w:line="240" w:lineRule="auto"/>
        <w:jc w:val="both"/>
        <w:rPr>
          <w:iCs/>
          <w:noProof/>
          <w:szCs w:val="22"/>
          <w:lang w:val="lv-LV"/>
        </w:rPr>
      </w:pPr>
      <w:r w:rsidRPr="008C106C">
        <w:rPr>
          <w:iCs/>
          <w:noProof/>
          <w:szCs w:val="22"/>
          <w:lang w:val="lv-LV"/>
        </w:rPr>
        <w:t>Eszopiklona farmakokinētika tika pētīta cilvēkiem ar viegliem, vidēji smagiem vai smagiem nieru darbības traucējumiem. Salīdzinot ar veseliem cilvēkiem, subjektiem ar smagiem nieru darbības traucējumiem ekspozīcija (AUC) palielinājās par 47%. Maksimālā ieteicamā eszopiklona deva pacientiem ar smagiem nieru darbības traucējumiem ir 2 mg. Pacientiem ar viegliem vai vidēji smagiem nieru darbības traucējumiem deva nav jāpielāgo.</w:t>
      </w:r>
    </w:p>
    <w:p w14:paraId="3A326DE0" w14:textId="77777777" w:rsidR="001D29E6" w:rsidRPr="008C106C" w:rsidRDefault="001D29E6" w:rsidP="00F13EC0">
      <w:pPr>
        <w:spacing w:line="240" w:lineRule="auto"/>
        <w:jc w:val="both"/>
        <w:rPr>
          <w:b/>
          <w:szCs w:val="22"/>
          <w:lang w:val="lv-LV"/>
        </w:rPr>
      </w:pPr>
    </w:p>
    <w:p w14:paraId="3BAE0843" w14:textId="77777777" w:rsidR="001D29E6" w:rsidRPr="008C106C" w:rsidRDefault="001D29E6" w:rsidP="00F13EC0">
      <w:pPr>
        <w:pStyle w:val="Heading2"/>
        <w:jc w:val="both"/>
        <w:rPr>
          <w:szCs w:val="22"/>
          <w:lang w:val="lv-LV"/>
        </w:rPr>
      </w:pPr>
      <w:r w:rsidRPr="008C106C">
        <w:rPr>
          <w:szCs w:val="22"/>
          <w:lang w:val="lv-LV"/>
        </w:rPr>
        <w:t>5.3</w:t>
      </w:r>
      <w:r w:rsidR="00AC482F" w:rsidRPr="008C106C">
        <w:rPr>
          <w:szCs w:val="22"/>
          <w:lang w:val="lv-LV"/>
        </w:rPr>
        <w:t>.</w:t>
      </w:r>
      <w:r w:rsidRPr="008C106C">
        <w:rPr>
          <w:szCs w:val="22"/>
          <w:lang w:val="lv-LV"/>
        </w:rPr>
        <w:tab/>
      </w:r>
      <w:r w:rsidR="00AC482F" w:rsidRPr="008C106C">
        <w:rPr>
          <w:bCs/>
          <w:szCs w:val="22"/>
          <w:lang w:val="lv-LV"/>
        </w:rPr>
        <w:t>Preklīniskie dati par drošumu</w:t>
      </w:r>
    </w:p>
    <w:p w14:paraId="1E7FBCAC" w14:textId="77777777" w:rsidR="001D29E6" w:rsidRPr="008C106C" w:rsidRDefault="001D29E6" w:rsidP="00F13EC0">
      <w:pPr>
        <w:spacing w:line="240" w:lineRule="auto"/>
        <w:jc w:val="both"/>
        <w:rPr>
          <w:szCs w:val="22"/>
          <w:lang w:val="lv-LV"/>
        </w:rPr>
      </w:pPr>
    </w:p>
    <w:p w14:paraId="2575CD28" w14:textId="77777777" w:rsidR="004E48E6" w:rsidRPr="008C106C" w:rsidRDefault="004E48E6" w:rsidP="00F13EC0">
      <w:pPr>
        <w:tabs>
          <w:tab w:val="clear" w:pos="567"/>
        </w:tabs>
        <w:spacing w:line="240" w:lineRule="auto"/>
        <w:jc w:val="both"/>
        <w:rPr>
          <w:szCs w:val="22"/>
          <w:lang w:val="lv-LV"/>
        </w:rPr>
      </w:pPr>
      <w:r w:rsidRPr="008C106C">
        <w:rPr>
          <w:szCs w:val="22"/>
          <w:lang w:val="lv-LV"/>
        </w:rPr>
        <w:t>Ietekmi neklīniskajos pētījumos novēroja vienīgi tad, ja kopējā iedarbība pietiekami</w:t>
      </w:r>
      <w:r w:rsidR="00940B64" w:rsidRPr="008C106C">
        <w:rPr>
          <w:szCs w:val="22"/>
          <w:lang w:val="lv-LV"/>
        </w:rPr>
        <w:t xml:space="preserve"> </w:t>
      </w:r>
      <w:r w:rsidRPr="008C106C">
        <w:rPr>
          <w:szCs w:val="22"/>
          <w:lang w:val="lv-LV"/>
        </w:rPr>
        <w:t>pārsniedza maksimālo kopējo iedarbību cilvēkam, tādēļ šai informācijai ir maza nozīme attiecībā uz klīnisku lietošanu.</w:t>
      </w:r>
    </w:p>
    <w:p w14:paraId="334C33A0" w14:textId="77777777" w:rsidR="00046093" w:rsidRPr="008C106C" w:rsidRDefault="00046093" w:rsidP="00F13EC0">
      <w:pPr>
        <w:jc w:val="both"/>
        <w:rPr>
          <w:szCs w:val="22"/>
          <w:u w:val="single"/>
          <w:lang w:val="lv-LV"/>
        </w:rPr>
      </w:pPr>
    </w:p>
    <w:p w14:paraId="0D654E88" w14:textId="77777777" w:rsidR="00AC482F" w:rsidRPr="008C106C" w:rsidRDefault="00AC482F" w:rsidP="00F13EC0">
      <w:pPr>
        <w:jc w:val="both"/>
        <w:rPr>
          <w:szCs w:val="22"/>
          <w:u w:val="single"/>
          <w:lang w:val="lv-LV"/>
        </w:rPr>
      </w:pPr>
      <w:r w:rsidRPr="008C106C">
        <w:rPr>
          <w:szCs w:val="22"/>
          <w:u w:val="single"/>
          <w:lang w:val="lv-LV"/>
        </w:rPr>
        <w:t>Genotoksicitāte un kancerogenitāte</w:t>
      </w:r>
    </w:p>
    <w:p w14:paraId="02825CE0" w14:textId="77777777" w:rsidR="00BB443C" w:rsidRPr="008C106C" w:rsidRDefault="00AC482F" w:rsidP="00F13EC0">
      <w:pPr>
        <w:jc w:val="both"/>
        <w:rPr>
          <w:szCs w:val="22"/>
          <w:lang w:val="lv-LV"/>
        </w:rPr>
      </w:pPr>
      <w:r w:rsidRPr="008C106C">
        <w:rPr>
          <w:szCs w:val="22"/>
          <w:lang w:val="lv-LV"/>
        </w:rPr>
        <w:t>Eszopiklons un tā farmakoloģiski aktīvais metabolīts (S) -DMZ pētījumos ar dzīvniekiem neuzrāda mutagēnu vai kancerogēnu risku.</w:t>
      </w:r>
    </w:p>
    <w:p w14:paraId="5E31A9F5" w14:textId="77777777" w:rsidR="00AC482F" w:rsidRPr="008C106C" w:rsidRDefault="00AC482F" w:rsidP="00F13EC0">
      <w:pPr>
        <w:jc w:val="both"/>
        <w:rPr>
          <w:b/>
          <w:szCs w:val="22"/>
          <w:lang w:val="lv-LV"/>
        </w:rPr>
      </w:pPr>
    </w:p>
    <w:p w14:paraId="3251F8C5" w14:textId="77777777" w:rsidR="004E48E6" w:rsidRPr="008C106C" w:rsidRDefault="004E48E6" w:rsidP="00F13EC0">
      <w:pPr>
        <w:jc w:val="both"/>
        <w:rPr>
          <w:szCs w:val="22"/>
          <w:u w:val="single"/>
          <w:lang w:val="lv-LV"/>
        </w:rPr>
      </w:pPr>
      <w:r w:rsidRPr="008C106C">
        <w:rPr>
          <w:szCs w:val="22"/>
          <w:u w:val="single"/>
          <w:lang w:val="lv-LV"/>
        </w:rPr>
        <w:t>Toksiska ietekme uz reproduktīvo funkciju un attīstību</w:t>
      </w:r>
    </w:p>
    <w:p w14:paraId="0DC1631A" w14:textId="77777777" w:rsidR="004E48E6" w:rsidRPr="008C106C" w:rsidRDefault="004E48E6" w:rsidP="00F13EC0">
      <w:pPr>
        <w:jc w:val="both"/>
        <w:rPr>
          <w:szCs w:val="22"/>
          <w:lang w:val="lv-LV"/>
        </w:rPr>
      </w:pPr>
      <w:r w:rsidRPr="008C106C">
        <w:rPr>
          <w:szCs w:val="22"/>
          <w:lang w:val="lv-LV"/>
        </w:rPr>
        <w:t>Eszopiklons nebija teratogēns atkārtotu devu toksicitātes pētījumos un reproduktīvās spējas un attīstības pētījumos attiecīgi pelēm, žurkām, trušiem un suņiem. Tika novērots, ka eszopiklons un tā farmakoloģiski aktīvais metabolīts (S)-N-dezmetilzopiklons izraisa vīrišķo reproduktīvo orgānu (sēklinieku, sēklinieku piedēkļu) deģenerāciju, samazinātus fertilitātes rādītājus abu dzimumu pārstāvjiem, pārošanās cikliskuma traucējumus (žurkām) un ātrāku reproduktīvo novecošanu (žurkām), lietojot devas, kas pārsniedz maksimālo klīnisko devu (16 x tēviņiem un 13 x mātītēm, pamatojoties uz ķermeņa virsmas laukumu). Konstatēts, ka visas izmaiņas pēc atlabšanas izzūd.</w:t>
      </w:r>
    </w:p>
    <w:p w14:paraId="4F03A580" w14:textId="77777777" w:rsidR="004E48E6" w:rsidRPr="008C106C" w:rsidRDefault="004E48E6" w:rsidP="00F13EC0">
      <w:pPr>
        <w:jc w:val="both"/>
        <w:rPr>
          <w:szCs w:val="22"/>
          <w:lang w:val="lv-LV"/>
        </w:rPr>
      </w:pPr>
      <w:r w:rsidRPr="008C106C">
        <w:rPr>
          <w:szCs w:val="22"/>
          <w:lang w:val="lv-LV"/>
        </w:rPr>
        <w:t>Novēroja aizkavētu augļa intrauterīno attīstību žurkām un trušiem un samazinātu dzīvildzi pēc piedzimšanas līdz atšķiršanai no mātes žurkām, kā arī toksisku ietekmi uz mātīti.</w:t>
      </w:r>
    </w:p>
    <w:p w14:paraId="59F0FD29" w14:textId="77777777" w:rsidR="00F72C28" w:rsidRPr="008C106C" w:rsidRDefault="00F72C28" w:rsidP="00F13EC0">
      <w:pPr>
        <w:spacing w:line="240" w:lineRule="auto"/>
        <w:jc w:val="both"/>
        <w:rPr>
          <w:szCs w:val="22"/>
          <w:lang w:val="lv-LV"/>
        </w:rPr>
      </w:pPr>
    </w:p>
    <w:p w14:paraId="0D2CE9AF" w14:textId="77777777" w:rsidR="003964AC" w:rsidRPr="008C106C" w:rsidRDefault="003964AC" w:rsidP="00F13EC0">
      <w:pPr>
        <w:spacing w:line="240" w:lineRule="auto"/>
        <w:jc w:val="both"/>
        <w:rPr>
          <w:szCs w:val="22"/>
          <w:lang w:val="lv-LV"/>
        </w:rPr>
      </w:pPr>
    </w:p>
    <w:p w14:paraId="0F0DA59C" w14:textId="77777777" w:rsidR="001D29E6" w:rsidRPr="008C106C" w:rsidRDefault="001D29E6" w:rsidP="00F13EC0">
      <w:pPr>
        <w:pStyle w:val="Heading1"/>
        <w:jc w:val="both"/>
        <w:rPr>
          <w:szCs w:val="22"/>
          <w:lang w:val="lv-LV"/>
        </w:rPr>
      </w:pPr>
      <w:r w:rsidRPr="008C106C">
        <w:rPr>
          <w:szCs w:val="22"/>
          <w:lang w:val="lv-LV"/>
        </w:rPr>
        <w:t>6.</w:t>
      </w:r>
      <w:r w:rsidRPr="008C106C">
        <w:rPr>
          <w:szCs w:val="22"/>
          <w:lang w:val="lv-LV"/>
        </w:rPr>
        <w:tab/>
      </w:r>
      <w:r w:rsidR="00AC482F" w:rsidRPr="008C106C">
        <w:rPr>
          <w:bCs/>
          <w:szCs w:val="22"/>
          <w:lang w:val="lv-LV"/>
        </w:rPr>
        <w:t>FARMACEITISKĀ INFORMĀCIJA</w:t>
      </w:r>
    </w:p>
    <w:p w14:paraId="19970CA5" w14:textId="77777777" w:rsidR="001D29E6" w:rsidRPr="008C106C" w:rsidRDefault="001D29E6" w:rsidP="00F13EC0">
      <w:pPr>
        <w:spacing w:line="240" w:lineRule="auto"/>
        <w:jc w:val="both"/>
        <w:rPr>
          <w:szCs w:val="22"/>
          <w:lang w:val="lv-LV"/>
        </w:rPr>
      </w:pPr>
    </w:p>
    <w:p w14:paraId="52CCC78B" w14:textId="77777777" w:rsidR="001D29E6" w:rsidRPr="008C106C" w:rsidRDefault="001D29E6" w:rsidP="00F13EC0">
      <w:pPr>
        <w:pStyle w:val="Heading2"/>
        <w:jc w:val="both"/>
        <w:rPr>
          <w:szCs w:val="22"/>
          <w:lang w:val="lv-LV"/>
        </w:rPr>
      </w:pPr>
      <w:r w:rsidRPr="008C106C">
        <w:rPr>
          <w:szCs w:val="22"/>
          <w:lang w:val="lv-LV"/>
        </w:rPr>
        <w:t>6.1</w:t>
      </w:r>
      <w:r w:rsidR="00AC482F" w:rsidRPr="008C106C">
        <w:rPr>
          <w:szCs w:val="22"/>
          <w:lang w:val="lv-LV"/>
        </w:rPr>
        <w:t>.</w:t>
      </w:r>
      <w:r w:rsidRPr="008C106C">
        <w:rPr>
          <w:szCs w:val="22"/>
          <w:lang w:val="lv-LV"/>
        </w:rPr>
        <w:tab/>
      </w:r>
      <w:r w:rsidR="00AC482F" w:rsidRPr="008C106C">
        <w:rPr>
          <w:bCs/>
          <w:szCs w:val="22"/>
          <w:lang w:val="lv-LV"/>
        </w:rPr>
        <w:t>Palīgvielu saraksts</w:t>
      </w:r>
    </w:p>
    <w:p w14:paraId="151002C7" w14:textId="77777777" w:rsidR="001D29E6" w:rsidRPr="008C106C" w:rsidRDefault="001D29E6" w:rsidP="00F13EC0">
      <w:pPr>
        <w:spacing w:line="240" w:lineRule="auto"/>
        <w:jc w:val="both"/>
        <w:rPr>
          <w:szCs w:val="22"/>
          <w:lang w:val="lv-LV"/>
        </w:rPr>
      </w:pPr>
    </w:p>
    <w:p w14:paraId="2247599F" w14:textId="77777777" w:rsidR="00AC482F" w:rsidRPr="008C106C" w:rsidRDefault="00AC482F" w:rsidP="00F13EC0">
      <w:pPr>
        <w:pStyle w:val="Default"/>
        <w:ind w:right="27"/>
        <w:jc w:val="both"/>
        <w:outlineLvl w:val="0"/>
        <w:rPr>
          <w:i/>
          <w:sz w:val="22"/>
          <w:szCs w:val="22"/>
          <w:lang w:val="lv-LV"/>
        </w:rPr>
      </w:pPr>
      <w:r w:rsidRPr="008C106C">
        <w:rPr>
          <w:bCs/>
          <w:i/>
          <w:sz w:val="22"/>
          <w:szCs w:val="22"/>
          <w:lang w:val="lv-LV"/>
        </w:rPr>
        <w:t>Tabletes kodols</w:t>
      </w:r>
    </w:p>
    <w:p w14:paraId="2645ED9F" w14:textId="77777777" w:rsidR="00AC482F" w:rsidRPr="008C106C" w:rsidRDefault="00AC482F" w:rsidP="00F13EC0">
      <w:pPr>
        <w:spacing w:line="240" w:lineRule="auto"/>
        <w:jc w:val="both"/>
        <w:rPr>
          <w:noProof/>
          <w:szCs w:val="22"/>
          <w:lang w:val="lv-LV"/>
        </w:rPr>
      </w:pPr>
      <w:r w:rsidRPr="008C106C">
        <w:rPr>
          <w:szCs w:val="22"/>
          <w:lang w:val="lv-LV"/>
        </w:rPr>
        <w:t>Mikrokristāl</w:t>
      </w:r>
      <w:r w:rsidRPr="008C106C">
        <w:rPr>
          <w:spacing w:val="-1"/>
          <w:szCs w:val="22"/>
          <w:lang w:val="lv-LV"/>
        </w:rPr>
        <w:t>i</w:t>
      </w:r>
      <w:r w:rsidRPr="008C106C">
        <w:rPr>
          <w:szCs w:val="22"/>
          <w:lang w:val="lv-LV"/>
        </w:rPr>
        <w:t>s</w:t>
      </w:r>
      <w:r w:rsidRPr="008C106C">
        <w:rPr>
          <w:spacing w:val="1"/>
          <w:szCs w:val="22"/>
          <w:lang w:val="lv-LV"/>
        </w:rPr>
        <w:t>k</w:t>
      </w:r>
      <w:r w:rsidRPr="008C106C">
        <w:rPr>
          <w:szCs w:val="22"/>
          <w:lang w:val="lv-LV"/>
        </w:rPr>
        <w:t>ā</w:t>
      </w:r>
      <w:r w:rsidRPr="008C106C">
        <w:rPr>
          <w:spacing w:val="-15"/>
          <w:szCs w:val="22"/>
          <w:lang w:val="lv-LV"/>
        </w:rPr>
        <w:t xml:space="preserve"> </w:t>
      </w:r>
      <w:r w:rsidRPr="008C106C">
        <w:rPr>
          <w:szCs w:val="22"/>
          <w:lang w:val="lv-LV"/>
        </w:rPr>
        <w:t>celuloze</w:t>
      </w:r>
      <w:r w:rsidRPr="008C106C">
        <w:rPr>
          <w:noProof/>
          <w:szCs w:val="22"/>
          <w:lang w:val="lv-LV"/>
        </w:rPr>
        <w:t xml:space="preserve"> </w:t>
      </w:r>
    </w:p>
    <w:p w14:paraId="63B9C3D4" w14:textId="77777777" w:rsidR="00AC482F" w:rsidRPr="008C106C" w:rsidRDefault="00AC482F" w:rsidP="00F13EC0">
      <w:pPr>
        <w:spacing w:before="1" w:line="254" w:lineRule="exact"/>
        <w:ind w:right="-59"/>
        <w:jc w:val="both"/>
        <w:rPr>
          <w:szCs w:val="22"/>
          <w:lang w:val="lv-LV"/>
        </w:rPr>
      </w:pPr>
      <w:r w:rsidRPr="008C106C">
        <w:rPr>
          <w:szCs w:val="22"/>
          <w:lang w:val="lv-LV"/>
        </w:rPr>
        <w:t>Kalcija</w:t>
      </w:r>
      <w:r w:rsidRPr="008C106C">
        <w:rPr>
          <w:spacing w:val="-5"/>
          <w:szCs w:val="22"/>
          <w:lang w:val="lv-LV"/>
        </w:rPr>
        <w:t xml:space="preserve"> </w:t>
      </w:r>
      <w:r w:rsidRPr="008C106C">
        <w:rPr>
          <w:szCs w:val="22"/>
          <w:lang w:val="lv-LV"/>
        </w:rPr>
        <w:t>hidrogēnfosfāts</w:t>
      </w:r>
      <w:r w:rsidRPr="008C106C">
        <w:rPr>
          <w:spacing w:val="-14"/>
          <w:szCs w:val="22"/>
          <w:lang w:val="lv-LV"/>
        </w:rPr>
        <w:t xml:space="preserve"> </w:t>
      </w:r>
    </w:p>
    <w:p w14:paraId="689A7866" w14:textId="77777777" w:rsidR="00AC482F" w:rsidRPr="008C106C" w:rsidRDefault="00907EF4" w:rsidP="00F13EC0">
      <w:pPr>
        <w:spacing w:before="1" w:line="254" w:lineRule="exact"/>
        <w:ind w:right="-59"/>
        <w:jc w:val="both"/>
        <w:rPr>
          <w:szCs w:val="22"/>
          <w:lang w:val="lv-LV"/>
        </w:rPr>
      </w:pPr>
      <w:r>
        <w:rPr>
          <w:szCs w:val="22"/>
          <w:lang w:val="lv-LV"/>
        </w:rPr>
        <w:t>K</w:t>
      </w:r>
      <w:r w:rsidR="00AC482F" w:rsidRPr="008C106C">
        <w:rPr>
          <w:szCs w:val="22"/>
          <w:lang w:val="lv-LV"/>
        </w:rPr>
        <w:t>roskar</w:t>
      </w:r>
      <w:r w:rsidR="00AC482F" w:rsidRPr="008C106C">
        <w:rPr>
          <w:spacing w:val="-2"/>
          <w:szCs w:val="22"/>
          <w:lang w:val="lv-LV"/>
        </w:rPr>
        <w:t>m</w:t>
      </w:r>
      <w:r w:rsidR="00AC482F" w:rsidRPr="008C106C">
        <w:rPr>
          <w:szCs w:val="22"/>
          <w:lang w:val="lv-LV"/>
        </w:rPr>
        <w:t>eloze</w:t>
      </w:r>
      <w:r>
        <w:rPr>
          <w:szCs w:val="22"/>
          <w:lang w:val="lv-LV"/>
        </w:rPr>
        <w:t>s nātrija sāls</w:t>
      </w:r>
    </w:p>
    <w:p w14:paraId="0909DFD6" w14:textId="77777777" w:rsidR="00AC482F" w:rsidRPr="008C106C" w:rsidRDefault="00AC482F" w:rsidP="00F13EC0">
      <w:pPr>
        <w:pStyle w:val="Default"/>
        <w:ind w:right="27"/>
        <w:jc w:val="both"/>
        <w:rPr>
          <w:sz w:val="22"/>
          <w:szCs w:val="22"/>
          <w:lang w:val="lv-LV"/>
        </w:rPr>
      </w:pPr>
      <w:r w:rsidRPr="008C106C">
        <w:rPr>
          <w:sz w:val="22"/>
          <w:szCs w:val="22"/>
          <w:lang w:val="lv-LV"/>
        </w:rPr>
        <w:t xml:space="preserve">Koloidāls bezūdens silīcija dioksīds </w:t>
      </w:r>
    </w:p>
    <w:p w14:paraId="5ADCD51B" w14:textId="77777777" w:rsidR="00AC482F" w:rsidRPr="008C106C" w:rsidRDefault="00AC482F" w:rsidP="00F13EC0">
      <w:pPr>
        <w:pStyle w:val="Default"/>
        <w:ind w:right="27"/>
        <w:jc w:val="both"/>
        <w:rPr>
          <w:sz w:val="22"/>
          <w:szCs w:val="22"/>
          <w:lang w:val="lv-LV"/>
        </w:rPr>
      </w:pPr>
      <w:r w:rsidRPr="008C106C">
        <w:rPr>
          <w:sz w:val="22"/>
          <w:szCs w:val="22"/>
          <w:lang w:val="lv-LV"/>
        </w:rPr>
        <w:t>Magnija stearāts</w:t>
      </w:r>
    </w:p>
    <w:p w14:paraId="64E847C5" w14:textId="77777777" w:rsidR="00772128" w:rsidRPr="008C106C" w:rsidRDefault="00772128" w:rsidP="00F13EC0">
      <w:pPr>
        <w:spacing w:line="240" w:lineRule="auto"/>
        <w:jc w:val="both"/>
        <w:rPr>
          <w:szCs w:val="22"/>
          <w:lang w:val="lv-LV" w:eastAsia="de-DE"/>
        </w:rPr>
      </w:pPr>
    </w:p>
    <w:p w14:paraId="3E163E09" w14:textId="77777777" w:rsidR="00AC482F" w:rsidRPr="008C106C" w:rsidRDefault="00AC482F" w:rsidP="00F13EC0">
      <w:pPr>
        <w:tabs>
          <w:tab w:val="clear" w:pos="567"/>
        </w:tabs>
        <w:autoSpaceDE w:val="0"/>
        <w:autoSpaceDN w:val="0"/>
        <w:adjustRightInd w:val="0"/>
        <w:spacing w:line="240" w:lineRule="auto"/>
        <w:jc w:val="both"/>
        <w:rPr>
          <w:bCs/>
          <w:i/>
          <w:szCs w:val="22"/>
          <w:lang w:val="lv-LV"/>
        </w:rPr>
      </w:pPr>
      <w:r w:rsidRPr="008C106C">
        <w:rPr>
          <w:bCs/>
          <w:i/>
          <w:szCs w:val="22"/>
          <w:lang w:val="lv-LV"/>
        </w:rPr>
        <w:t>Tabletes apvalks</w:t>
      </w:r>
    </w:p>
    <w:p w14:paraId="7656C791" w14:textId="77777777" w:rsidR="00772128" w:rsidRPr="008C106C" w:rsidRDefault="00AF231A" w:rsidP="00F13EC0">
      <w:pPr>
        <w:tabs>
          <w:tab w:val="clear" w:pos="567"/>
        </w:tabs>
        <w:autoSpaceDE w:val="0"/>
        <w:autoSpaceDN w:val="0"/>
        <w:adjustRightInd w:val="0"/>
        <w:spacing w:line="240" w:lineRule="auto"/>
        <w:jc w:val="both"/>
        <w:rPr>
          <w:szCs w:val="22"/>
          <w:lang w:val="lv-LV" w:eastAsia="de-DE"/>
        </w:rPr>
      </w:pPr>
      <w:r w:rsidRPr="008C106C">
        <w:rPr>
          <w:szCs w:val="22"/>
          <w:lang w:val="lv-LV"/>
        </w:rPr>
        <w:t>Hipromeloze</w:t>
      </w:r>
    </w:p>
    <w:p w14:paraId="7A32FFE1" w14:textId="77777777" w:rsidR="002F0392" w:rsidRPr="008C106C" w:rsidRDefault="00AC482F"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Talks</w:t>
      </w:r>
    </w:p>
    <w:p w14:paraId="118F64D6" w14:textId="77777777" w:rsidR="00AC482F" w:rsidRPr="008C106C" w:rsidRDefault="00AC482F" w:rsidP="00F13EC0">
      <w:pPr>
        <w:tabs>
          <w:tab w:val="clear" w:pos="567"/>
        </w:tabs>
        <w:autoSpaceDE w:val="0"/>
        <w:autoSpaceDN w:val="0"/>
        <w:adjustRightInd w:val="0"/>
        <w:spacing w:line="240" w:lineRule="auto"/>
        <w:jc w:val="both"/>
        <w:rPr>
          <w:szCs w:val="22"/>
          <w:lang w:val="lv-LV"/>
        </w:rPr>
      </w:pPr>
      <w:r w:rsidRPr="008C106C">
        <w:rPr>
          <w:szCs w:val="22"/>
          <w:lang w:val="lv-LV"/>
        </w:rPr>
        <w:t>Titāna dioksīd</w:t>
      </w:r>
      <w:r w:rsidR="00907EF4">
        <w:rPr>
          <w:szCs w:val="22"/>
          <w:lang w:val="lv-LV"/>
        </w:rPr>
        <w:t>s</w:t>
      </w:r>
      <w:r w:rsidRPr="008C106C">
        <w:rPr>
          <w:szCs w:val="22"/>
          <w:lang w:val="lv-LV"/>
        </w:rPr>
        <w:t xml:space="preserve"> (E 171)</w:t>
      </w:r>
    </w:p>
    <w:p w14:paraId="451C103A" w14:textId="77777777" w:rsidR="00AC482F" w:rsidRPr="008C106C" w:rsidRDefault="00AC482F" w:rsidP="00F13EC0">
      <w:pPr>
        <w:tabs>
          <w:tab w:val="clear" w:pos="567"/>
        </w:tabs>
        <w:autoSpaceDE w:val="0"/>
        <w:autoSpaceDN w:val="0"/>
        <w:adjustRightInd w:val="0"/>
        <w:spacing w:line="240" w:lineRule="auto"/>
        <w:jc w:val="both"/>
        <w:rPr>
          <w:szCs w:val="22"/>
          <w:lang w:val="lv-LV" w:eastAsia="de-DE"/>
        </w:rPr>
      </w:pPr>
      <w:r w:rsidRPr="008C106C">
        <w:rPr>
          <w:szCs w:val="22"/>
          <w:lang w:val="lv-LV" w:eastAsia="de-DE"/>
        </w:rPr>
        <w:t>Makrogols</w:t>
      </w:r>
      <w:r w:rsidR="00772128" w:rsidRPr="008C106C">
        <w:rPr>
          <w:szCs w:val="22"/>
          <w:lang w:val="lv-LV" w:eastAsia="de-DE"/>
        </w:rPr>
        <w:t xml:space="preserve"> </w:t>
      </w:r>
      <w:r w:rsidR="00DE4D68" w:rsidRPr="008C106C">
        <w:rPr>
          <w:szCs w:val="22"/>
          <w:lang w:val="lv-LV" w:eastAsia="de-DE"/>
        </w:rPr>
        <w:t>3350</w:t>
      </w:r>
    </w:p>
    <w:p w14:paraId="60A75A88" w14:textId="77777777" w:rsidR="00AC482F" w:rsidRPr="008C106C" w:rsidRDefault="00AC482F" w:rsidP="00F13EC0">
      <w:pPr>
        <w:spacing w:before="15" w:line="240" w:lineRule="exact"/>
        <w:ind w:right="-59"/>
        <w:jc w:val="both"/>
        <w:rPr>
          <w:szCs w:val="22"/>
          <w:lang w:val="lv-LV"/>
        </w:rPr>
      </w:pPr>
      <w:r w:rsidRPr="008C106C">
        <w:rPr>
          <w:szCs w:val="22"/>
          <w:lang w:val="lv-LV"/>
        </w:rPr>
        <w:lastRenderedPageBreak/>
        <w:t xml:space="preserve">Indigokarmīna </w:t>
      </w:r>
      <w:r w:rsidR="00907EF4">
        <w:rPr>
          <w:szCs w:val="22"/>
          <w:lang w:val="lv-LV"/>
        </w:rPr>
        <w:t xml:space="preserve">alumīnija </w:t>
      </w:r>
      <w:r w:rsidRPr="008C106C">
        <w:rPr>
          <w:szCs w:val="22"/>
          <w:lang w:val="lv-LV"/>
        </w:rPr>
        <w:t>laka (E132) (1 mg un 3 mg)</w:t>
      </w:r>
    </w:p>
    <w:p w14:paraId="0F490EF7" w14:textId="77777777" w:rsidR="00EF5E3C" w:rsidRPr="008C106C" w:rsidRDefault="00EF5E3C" w:rsidP="00F13EC0">
      <w:pPr>
        <w:spacing w:line="240" w:lineRule="auto"/>
        <w:jc w:val="both"/>
        <w:rPr>
          <w:szCs w:val="22"/>
          <w:lang w:val="lv-LV"/>
        </w:rPr>
      </w:pPr>
    </w:p>
    <w:p w14:paraId="00CFE15E" w14:textId="77777777" w:rsidR="001D29E6" w:rsidRPr="008C106C" w:rsidRDefault="001D29E6" w:rsidP="00F13EC0">
      <w:pPr>
        <w:pStyle w:val="Heading2"/>
        <w:jc w:val="both"/>
        <w:rPr>
          <w:szCs w:val="22"/>
          <w:lang w:val="lv-LV"/>
        </w:rPr>
      </w:pPr>
      <w:r w:rsidRPr="008C106C">
        <w:rPr>
          <w:szCs w:val="22"/>
          <w:lang w:val="lv-LV"/>
        </w:rPr>
        <w:t>6.2</w:t>
      </w:r>
      <w:r w:rsidR="00AC482F" w:rsidRPr="008C106C">
        <w:rPr>
          <w:szCs w:val="22"/>
          <w:lang w:val="lv-LV"/>
        </w:rPr>
        <w:t>.</w:t>
      </w:r>
      <w:r w:rsidRPr="008C106C">
        <w:rPr>
          <w:szCs w:val="22"/>
          <w:lang w:val="lv-LV"/>
        </w:rPr>
        <w:tab/>
      </w:r>
      <w:r w:rsidR="00AC482F" w:rsidRPr="008C106C">
        <w:rPr>
          <w:bCs/>
          <w:szCs w:val="22"/>
          <w:lang w:val="lv-LV"/>
        </w:rPr>
        <w:t>Nesaderība</w:t>
      </w:r>
    </w:p>
    <w:p w14:paraId="42057923" w14:textId="77777777" w:rsidR="001D29E6" w:rsidRPr="008C106C" w:rsidRDefault="001D29E6" w:rsidP="00F13EC0">
      <w:pPr>
        <w:spacing w:line="240" w:lineRule="auto"/>
        <w:jc w:val="both"/>
        <w:rPr>
          <w:szCs w:val="22"/>
          <w:lang w:val="lv-LV"/>
        </w:rPr>
      </w:pPr>
    </w:p>
    <w:p w14:paraId="67051113" w14:textId="77777777" w:rsidR="00AC482F" w:rsidRPr="008C106C" w:rsidRDefault="00AC482F" w:rsidP="00F13EC0">
      <w:pPr>
        <w:pStyle w:val="Default"/>
        <w:jc w:val="both"/>
        <w:outlineLvl w:val="0"/>
        <w:rPr>
          <w:sz w:val="22"/>
          <w:szCs w:val="22"/>
          <w:lang w:val="lv-LV"/>
        </w:rPr>
      </w:pPr>
      <w:r w:rsidRPr="008C106C">
        <w:rPr>
          <w:sz w:val="22"/>
          <w:szCs w:val="22"/>
          <w:lang w:val="lv-LV"/>
        </w:rPr>
        <w:t>Nav piemērojama.</w:t>
      </w:r>
    </w:p>
    <w:p w14:paraId="486CF7A5" w14:textId="77777777" w:rsidR="00EF5E3C" w:rsidRPr="008C106C" w:rsidRDefault="00EF5E3C" w:rsidP="00F13EC0">
      <w:pPr>
        <w:spacing w:line="240" w:lineRule="auto"/>
        <w:jc w:val="both"/>
        <w:rPr>
          <w:szCs w:val="22"/>
          <w:lang w:val="lv-LV"/>
        </w:rPr>
      </w:pPr>
    </w:p>
    <w:p w14:paraId="17654471" w14:textId="77777777" w:rsidR="001D29E6" w:rsidRPr="008C106C" w:rsidRDefault="001D29E6" w:rsidP="00F13EC0">
      <w:pPr>
        <w:pStyle w:val="Heading2"/>
        <w:jc w:val="both"/>
        <w:rPr>
          <w:szCs w:val="22"/>
          <w:lang w:val="lv-LV"/>
        </w:rPr>
      </w:pPr>
      <w:r w:rsidRPr="008C106C">
        <w:rPr>
          <w:szCs w:val="22"/>
          <w:lang w:val="lv-LV"/>
        </w:rPr>
        <w:t>6.3</w:t>
      </w:r>
      <w:r w:rsidR="00AC482F" w:rsidRPr="008C106C">
        <w:rPr>
          <w:szCs w:val="22"/>
          <w:lang w:val="lv-LV"/>
        </w:rPr>
        <w:t>.</w:t>
      </w:r>
      <w:r w:rsidRPr="008C106C">
        <w:rPr>
          <w:szCs w:val="22"/>
          <w:lang w:val="lv-LV"/>
        </w:rPr>
        <w:tab/>
      </w:r>
      <w:r w:rsidR="00AC482F" w:rsidRPr="008C106C">
        <w:rPr>
          <w:bCs/>
          <w:szCs w:val="22"/>
          <w:lang w:val="lv-LV"/>
        </w:rPr>
        <w:t>Uzglabāšanas laiks</w:t>
      </w:r>
    </w:p>
    <w:p w14:paraId="22FF722D" w14:textId="77777777" w:rsidR="001D29E6" w:rsidRPr="008C106C" w:rsidRDefault="001D29E6" w:rsidP="00F13EC0">
      <w:pPr>
        <w:spacing w:line="240" w:lineRule="auto"/>
        <w:jc w:val="both"/>
        <w:rPr>
          <w:szCs w:val="22"/>
          <w:lang w:val="lv-LV"/>
        </w:rPr>
      </w:pPr>
    </w:p>
    <w:p w14:paraId="3CCBFAFE" w14:textId="34D37A21" w:rsidR="009755DA" w:rsidRPr="008C106C" w:rsidRDefault="003E5C01" w:rsidP="00F13EC0">
      <w:pPr>
        <w:spacing w:line="240" w:lineRule="auto"/>
        <w:jc w:val="both"/>
        <w:rPr>
          <w:szCs w:val="22"/>
          <w:lang w:val="lv-LV"/>
        </w:rPr>
      </w:pPr>
      <w:bookmarkStart w:id="1" w:name="_Hlk19698082"/>
      <w:r>
        <w:rPr>
          <w:iCs/>
          <w:szCs w:val="22"/>
          <w:lang w:val="lv-LV"/>
        </w:rPr>
        <w:t>3</w:t>
      </w:r>
      <w:r w:rsidR="00DC74BE" w:rsidRPr="008C106C">
        <w:rPr>
          <w:iCs/>
          <w:szCs w:val="22"/>
          <w:lang w:val="lv-LV"/>
        </w:rPr>
        <w:t xml:space="preserve"> </w:t>
      </w:r>
      <w:r w:rsidR="00AC482F" w:rsidRPr="008C106C">
        <w:rPr>
          <w:iCs/>
          <w:szCs w:val="22"/>
          <w:lang w:val="lv-LV"/>
        </w:rPr>
        <w:t>gadi.</w:t>
      </w:r>
    </w:p>
    <w:bookmarkEnd w:id="1"/>
    <w:p w14:paraId="7868C986" w14:textId="77777777" w:rsidR="005F0956" w:rsidRPr="008C106C" w:rsidRDefault="005F0956" w:rsidP="00F13EC0">
      <w:pPr>
        <w:spacing w:line="240" w:lineRule="auto"/>
        <w:jc w:val="both"/>
        <w:rPr>
          <w:szCs w:val="22"/>
          <w:lang w:val="lv-LV"/>
        </w:rPr>
      </w:pPr>
    </w:p>
    <w:p w14:paraId="6707FF0E" w14:textId="77777777" w:rsidR="001D29E6" w:rsidRPr="008C106C" w:rsidRDefault="001D29E6" w:rsidP="00F13EC0">
      <w:pPr>
        <w:pStyle w:val="Heading2"/>
        <w:jc w:val="both"/>
        <w:rPr>
          <w:szCs w:val="22"/>
          <w:lang w:val="lv-LV"/>
        </w:rPr>
      </w:pPr>
      <w:r w:rsidRPr="008C106C">
        <w:rPr>
          <w:szCs w:val="22"/>
          <w:lang w:val="lv-LV"/>
        </w:rPr>
        <w:t>6.4</w:t>
      </w:r>
      <w:r w:rsidR="008F3216" w:rsidRPr="008C106C">
        <w:rPr>
          <w:szCs w:val="22"/>
          <w:lang w:val="lv-LV"/>
        </w:rPr>
        <w:t>.</w:t>
      </w:r>
      <w:r w:rsidRPr="008C106C">
        <w:rPr>
          <w:szCs w:val="22"/>
          <w:lang w:val="lv-LV"/>
        </w:rPr>
        <w:tab/>
      </w:r>
      <w:r w:rsidR="008F3216" w:rsidRPr="008C106C">
        <w:rPr>
          <w:bCs/>
          <w:szCs w:val="22"/>
          <w:lang w:val="lv-LV"/>
        </w:rPr>
        <w:t>Īpaši uzglabāšanas nosacījumi</w:t>
      </w:r>
    </w:p>
    <w:p w14:paraId="38D0B326" w14:textId="77777777" w:rsidR="00665FF9" w:rsidRPr="008C106C" w:rsidRDefault="00665FF9" w:rsidP="00F13EC0">
      <w:pPr>
        <w:spacing w:line="240" w:lineRule="auto"/>
        <w:jc w:val="both"/>
        <w:rPr>
          <w:iCs/>
          <w:szCs w:val="22"/>
          <w:lang w:val="lv-LV"/>
        </w:rPr>
      </w:pPr>
    </w:p>
    <w:p w14:paraId="39758455" w14:textId="77777777" w:rsidR="00665FF9" w:rsidRPr="008C106C" w:rsidRDefault="00665FF9" w:rsidP="00F13EC0">
      <w:pPr>
        <w:spacing w:line="240" w:lineRule="auto"/>
        <w:jc w:val="both"/>
        <w:rPr>
          <w:i/>
          <w:szCs w:val="22"/>
          <w:lang w:val="lv-LV"/>
        </w:rPr>
      </w:pPr>
      <w:r w:rsidRPr="008C106C">
        <w:rPr>
          <w:i/>
          <w:iCs/>
          <w:szCs w:val="22"/>
          <w:lang w:val="lv-LV"/>
        </w:rPr>
        <w:t xml:space="preserve">1 mg </w:t>
      </w:r>
      <w:r w:rsidRPr="008C106C">
        <w:rPr>
          <w:i/>
          <w:szCs w:val="22"/>
          <w:lang w:val="lv-LV"/>
        </w:rPr>
        <w:t>PVH/P</w:t>
      </w:r>
      <w:r w:rsidR="00907EF4">
        <w:rPr>
          <w:i/>
          <w:szCs w:val="22"/>
          <w:lang w:val="lv-LV"/>
        </w:rPr>
        <w:t>H</w:t>
      </w:r>
      <w:r w:rsidRPr="008C106C">
        <w:rPr>
          <w:i/>
          <w:szCs w:val="22"/>
          <w:lang w:val="lv-LV"/>
        </w:rPr>
        <w:t>TFE– Alumīnija blisteris vai OPA/AL/PVH- Alumīnija blisteris</w:t>
      </w:r>
    </w:p>
    <w:p w14:paraId="6C628E50" w14:textId="77777777" w:rsidR="00665FF9" w:rsidRPr="008C106C" w:rsidRDefault="00665FF9" w:rsidP="00F13EC0">
      <w:pPr>
        <w:spacing w:line="240" w:lineRule="auto"/>
        <w:jc w:val="both"/>
        <w:rPr>
          <w:i/>
          <w:szCs w:val="22"/>
          <w:lang w:val="lv-LV"/>
        </w:rPr>
      </w:pPr>
      <w:r w:rsidRPr="008C106C">
        <w:rPr>
          <w:i/>
          <w:szCs w:val="22"/>
          <w:lang w:val="lv-LV"/>
        </w:rPr>
        <w:t>2 mg un 3 mg PVH/PVdH/PV</w:t>
      </w:r>
      <w:r w:rsidR="006F225B">
        <w:rPr>
          <w:i/>
          <w:szCs w:val="22"/>
          <w:lang w:val="lv-LV"/>
        </w:rPr>
        <w:t>H</w:t>
      </w:r>
      <w:r w:rsidRPr="008C106C">
        <w:rPr>
          <w:i/>
          <w:szCs w:val="22"/>
          <w:lang w:val="lv-LV"/>
        </w:rPr>
        <w:t>–Alumīnija blisteris, PVH/P</w:t>
      </w:r>
      <w:r w:rsidR="00907EF4">
        <w:rPr>
          <w:i/>
          <w:szCs w:val="22"/>
          <w:lang w:val="lv-LV"/>
        </w:rPr>
        <w:t>H</w:t>
      </w:r>
      <w:r w:rsidRPr="008C106C">
        <w:rPr>
          <w:i/>
          <w:szCs w:val="22"/>
          <w:lang w:val="lv-LV"/>
        </w:rPr>
        <w:t>TFE– Alumīnija blisteris vai OPA/AL/PVH- Alumīnija blisteris.</w:t>
      </w:r>
    </w:p>
    <w:p w14:paraId="1BFA804F" w14:textId="77777777" w:rsidR="00665FF9" w:rsidRPr="008C106C" w:rsidRDefault="00665FF9" w:rsidP="00F13EC0">
      <w:pPr>
        <w:widowControl w:val="0"/>
        <w:spacing w:line="240" w:lineRule="auto"/>
        <w:jc w:val="both"/>
        <w:rPr>
          <w:szCs w:val="22"/>
          <w:lang w:val="lv-LV"/>
        </w:rPr>
      </w:pPr>
      <w:r w:rsidRPr="008C106C">
        <w:rPr>
          <w:szCs w:val="22"/>
          <w:lang w:val="lv-LV"/>
        </w:rPr>
        <w:t>Šīm zālēm nav nepieciešam</w:t>
      </w:r>
      <w:r w:rsidR="00907EF4">
        <w:rPr>
          <w:szCs w:val="22"/>
          <w:lang w:val="lv-LV"/>
        </w:rPr>
        <w:t>i</w:t>
      </w:r>
      <w:r w:rsidRPr="008C106C">
        <w:rPr>
          <w:szCs w:val="22"/>
          <w:lang w:val="lv-LV"/>
        </w:rPr>
        <w:t xml:space="preserve"> īpaš</w:t>
      </w:r>
      <w:r w:rsidR="00173D88" w:rsidRPr="008C106C">
        <w:rPr>
          <w:szCs w:val="22"/>
          <w:lang w:val="lv-LV"/>
        </w:rPr>
        <w:t>i</w:t>
      </w:r>
      <w:r w:rsidRPr="008C106C">
        <w:rPr>
          <w:szCs w:val="22"/>
          <w:lang w:val="lv-LV"/>
        </w:rPr>
        <w:t xml:space="preserve"> uzglabāšanas apstākļi.</w:t>
      </w:r>
    </w:p>
    <w:p w14:paraId="74192A3E" w14:textId="77777777" w:rsidR="005115CE" w:rsidRPr="008C106C" w:rsidRDefault="005115CE" w:rsidP="00F13EC0">
      <w:pPr>
        <w:spacing w:line="240" w:lineRule="auto"/>
        <w:jc w:val="both"/>
        <w:rPr>
          <w:i/>
          <w:iCs/>
          <w:szCs w:val="22"/>
          <w:highlight w:val="green"/>
          <w:lang w:val="lv-LV"/>
        </w:rPr>
      </w:pPr>
    </w:p>
    <w:p w14:paraId="04767AAC" w14:textId="77777777" w:rsidR="003820DE" w:rsidRPr="008C106C" w:rsidRDefault="003820DE" w:rsidP="00F13EC0">
      <w:pPr>
        <w:spacing w:line="240" w:lineRule="auto"/>
        <w:jc w:val="both"/>
        <w:rPr>
          <w:szCs w:val="22"/>
          <w:lang w:val="lv-LV"/>
        </w:rPr>
      </w:pPr>
      <w:r w:rsidRPr="008C106C">
        <w:rPr>
          <w:i/>
          <w:iCs/>
          <w:szCs w:val="22"/>
          <w:lang w:val="lv-LV"/>
        </w:rPr>
        <w:t xml:space="preserve">1 mg </w:t>
      </w:r>
      <w:r w:rsidR="008F3216" w:rsidRPr="008C106C">
        <w:rPr>
          <w:i/>
          <w:iCs/>
          <w:szCs w:val="22"/>
          <w:lang w:val="lv-LV"/>
        </w:rPr>
        <w:t>iepakojumam PVH/PVdH</w:t>
      </w:r>
      <w:r w:rsidRPr="008C106C">
        <w:rPr>
          <w:i/>
          <w:iCs/>
          <w:szCs w:val="22"/>
          <w:lang w:val="lv-LV"/>
        </w:rPr>
        <w:t>/PV</w:t>
      </w:r>
      <w:r w:rsidR="006F225B">
        <w:rPr>
          <w:i/>
          <w:iCs/>
          <w:szCs w:val="22"/>
          <w:lang w:val="lv-LV"/>
        </w:rPr>
        <w:t>H</w:t>
      </w:r>
      <w:r w:rsidRPr="008C106C">
        <w:rPr>
          <w:i/>
          <w:iCs/>
          <w:szCs w:val="22"/>
          <w:lang w:val="lv-LV"/>
        </w:rPr>
        <w:t>-</w:t>
      </w:r>
      <w:r w:rsidR="008F3216" w:rsidRPr="008C106C">
        <w:rPr>
          <w:szCs w:val="22"/>
          <w:lang w:val="lv-LV"/>
        </w:rPr>
        <w:t xml:space="preserve"> Alumīnija blisteris</w:t>
      </w:r>
    </w:p>
    <w:p w14:paraId="504CCC8F" w14:textId="77777777" w:rsidR="008F3216" w:rsidRPr="008C106C" w:rsidRDefault="008F3216" w:rsidP="00F13EC0">
      <w:pPr>
        <w:autoSpaceDE w:val="0"/>
        <w:autoSpaceDN w:val="0"/>
        <w:adjustRightInd w:val="0"/>
        <w:jc w:val="both"/>
        <w:rPr>
          <w:szCs w:val="22"/>
          <w:lang w:val="lv-LV"/>
        </w:rPr>
      </w:pPr>
      <w:r w:rsidRPr="008C106C">
        <w:rPr>
          <w:szCs w:val="22"/>
          <w:lang w:val="lv-LV"/>
        </w:rPr>
        <w:t xml:space="preserve">Uzglabāt temperatūrā līdz 30°C. </w:t>
      </w:r>
    </w:p>
    <w:p w14:paraId="2D506D02" w14:textId="77777777" w:rsidR="000F1EB8" w:rsidRPr="008C106C" w:rsidRDefault="000F1EB8" w:rsidP="00F13EC0">
      <w:pPr>
        <w:spacing w:line="240" w:lineRule="auto"/>
        <w:jc w:val="both"/>
        <w:rPr>
          <w:szCs w:val="22"/>
          <w:lang w:val="lv-LV"/>
        </w:rPr>
      </w:pPr>
    </w:p>
    <w:p w14:paraId="01729E27" w14:textId="77777777" w:rsidR="001D29E6" w:rsidRPr="008C106C" w:rsidRDefault="00D56FF5" w:rsidP="00F13EC0">
      <w:pPr>
        <w:pStyle w:val="Heading2"/>
        <w:jc w:val="both"/>
        <w:rPr>
          <w:szCs w:val="22"/>
          <w:lang w:val="lv-LV"/>
        </w:rPr>
      </w:pPr>
      <w:r w:rsidRPr="008C106C">
        <w:rPr>
          <w:szCs w:val="22"/>
          <w:lang w:val="lv-LV"/>
        </w:rPr>
        <w:t>6.5</w:t>
      </w:r>
      <w:r w:rsidR="008F3216" w:rsidRPr="008C106C">
        <w:rPr>
          <w:szCs w:val="22"/>
          <w:lang w:val="lv-LV"/>
        </w:rPr>
        <w:t>.</w:t>
      </w:r>
      <w:r w:rsidRPr="008C106C">
        <w:rPr>
          <w:szCs w:val="22"/>
          <w:lang w:val="lv-LV"/>
        </w:rPr>
        <w:tab/>
      </w:r>
      <w:r w:rsidR="008F3216" w:rsidRPr="008C106C">
        <w:rPr>
          <w:bCs/>
          <w:szCs w:val="22"/>
          <w:lang w:val="lv-LV"/>
        </w:rPr>
        <w:t>Iepakojuma veids un saturs</w:t>
      </w:r>
    </w:p>
    <w:p w14:paraId="2529E907" w14:textId="77777777" w:rsidR="001D29E6" w:rsidRPr="008C106C" w:rsidRDefault="001D29E6" w:rsidP="00F13EC0">
      <w:pPr>
        <w:spacing w:line="240" w:lineRule="auto"/>
        <w:jc w:val="both"/>
        <w:rPr>
          <w:szCs w:val="22"/>
          <w:lang w:val="lv-LV"/>
        </w:rPr>
      </w:pPr>
    </w:p>
    <w:p w14:paraId="53DD877C" w14:textId="77777777" w:rsidR="00144ED0" w:rsidRPr="008C106C" w:rsidRDefault="008F3216" w:rsidP="00F13EC0">
      <w:pPr>
        <w:spacing w:line="240" w:lineRule="auto"/>
        <w:jc w:val="both"/>
        <w:rPr>
          <w:szCs w:val="22"/>
          <w:lang w:val="lv-LV"/>
        </w:rPr>
      </w:pPr>
      <w:r w:rsidRPr="008C106C">
        <w:rPr>
          <w:szCs w:val="22"/>
          <w:lang w:val="lv-LV"/>
        </w:rPr>
        <w:t>PVH/PVdH</w:t>
      </w:r>
      <w:r w:rsidR="00144ED0" w:rsidRPr="008C106C">
        <w:rPr>
          <w:szCs w:val="22"/>
          <w:lang w:val="lv-LV"/>
        </w:rPr>
        <w:t>/PV</w:t>
      </w:r>
      <w:r w:rsidR="00907EF4">
        <w:rPr>
          <w:szCs w:val="22"/>
          <w:lang w:val="lv-LV"/>
        </w:rPr>
        <w:t>H</w:t>
      </w:r>
      <w:r w:rsidR="00144ED0" w:rsidRPr="008C106C">
        <w:rPr>
          <w:szCs w:val="22"/>
          <w:lang w:val="lv-LV"/>
        </w:rPr>
        <w:t>–</w:t>
      </w:r>
      <w:r w:rsidRPr="008C106C">
        <w:rPr>
          <w:szCs w:val="22"/>
          <w:lang w:val="lv-LV"/>
        </w:rPr>
        <w:t>Alumīnija</w:t>
      </w:r>
      <w:r w:rsidR="00144ED0" w:rsidRPr="008C106C">
        <w:rPr>
          <w:szCs w:val="22"/>
          <w:lang w:val="lv-LV"/>
        </w:rPr>
        <w:t xml:space="preserve"> </w:t>
      </w:r>
      <w:r w:rsidRPr="008C106C">
        <w:rPr>
          <w:szCs w:val="22"/>
          <w:lang w:val="lv-LV"/>
        </w:rPr>
        <w:t>b</w:t>
      </w:r>
      <w:r w:rsidR="005D6847" w:rsidRPr="008C106C">
        <w:rPr>
          <w:szCs w:val="22"/>
          <w:lang w:val="lv-LV"/>
        </w:rPr>
        <w:t>lister</w:t>
      </w:r>
      <w:r w:rsidRPr="008C106C">
        <w:rPr>
          <w:szCs w:val="22"/>
          <w:lang w:val="lv-LV"/>
        </w:rPr>
        <w:t>i</w:t>
      </w:r>
      <w:r w:rsidR="005D6847" w:rsidRPr="008C106C">
        <w:rPr>
          <w:szCs w:val="22"/>
          <w:lang w:val="lv-LV"/>
        </w:rPr>
        <w:t>s</w:t>
      </w:r>
      <w:r w:rsidR="00F85A91" w:rsidRPr="008C106C">
        <w:rPr>
          <w:szCs w:val="22"/>
          <w:lang w:val="lv-LV"/>
        </w:rPr>
        <w:t>,</w:t>
      </w:r>
      <w:r w:rsidR="005F0956" w:rsidRPr="008C106C">
        <w:rPr>
          <w:szCs w:val="22"/>
          <w:lang w:val="lv-LV"/>
        </w:rPr>
        <w:t xml:space="preserve"> </w:t>
      </w:r>
      <w:r w:rsidR="00144ED0" w:rsidRPr="008C106C">
        <w:rPr>
          <w:szCs w:val="22"/>
          <w:lang w:val="lv-LV"/>
        </w:rPr>
        <w:t>PV</w:t>
      </w:r>
      <w:r w:rsidRPr="008C106C">
        <w:rPr>
          <w:szCs w:val="22"/>
          <w:lang w:val="lv-LV"/>
        </w:rPr>
        <w:t>H</w:t>
      </w:r>
      <w:r w:rsidR="00144ED0" w:rsidRPr="008C106C">
        <w:rPr>
          <w:szCs w:val="22"/>
          <w:lang w:val="lv-LV"/>
        </w:rPr>
        <w:t>/P</w:t>
      </w:r>
      <w:r w:rsidR="00907EF4">
        <w:rPr>
          <w:szCs w:val="22"/>
          <w:lang w:val="lv-LV"/>
        </w:rPr>
        <w:t>H</w:t>
      </w:r>
      <w:r w:rsidR="00144ED0" w:rsidRPr="008C106C">
        <w:rPr>
          <w:szCs w:val="22"/>
          <w:lang w:val="lv-LV"/>
        </w:rPr>
        <w:t>TFE–</w:t>
      </w:r>
      <w:r w:rsidRPr="008C106C">
        <w:rPr>
          <w:szCs w:val="22"/>
          <w:lang w:val="lv-LV"/>
        </w:rPr>
        <w:t xml:space="preserve"> Alumīnija blisteris</w:t>
      </w:r>
      <w:r w:rsidR="00F85A91" w:rsidRPr="008C106C">
        <w:rPr>
          <w:szCs w:val="22"/>
          <w:lang w:val="lv-LV"/>
        </w:rPr>
        <w:t xml:space="preserve"> </w:t>
      </w:r>
      <w:r w:rsidRPr="008C106C">
        <w:rPr>
          <w:szCs w:val="22"/>
          <w:lang w:val="lv-LV"/>
        </w:rPr>
        <w:t>vai OPA/AL/PVH</w:t>
      </w:r>
      <w:r w:rsidR="00144ED0" w:rsidRPr="008C106C">
        <w:rPr>
          <w:szCs w:val="22"/>
          <w:lang w:val="lv-LV"/>
        </w:rPr>
        <w:t>-</w:t>
      </w:r>
      <w:r w:rsidRPr="008C106C">
        <w:rPr>
          <w:szCs w:val="22"/>
          <w:lang w:val="lv-LV"/>
        </w:rPr>
        <w:t xml:space="preserve"> Alumīnija blisteris</w:t>
      </w:r>
      <w:r w:rsidR="00EA3636" w:rsidRPr="008C106C">
        <w:rPr>
          <w:szCs w:val="22"/>
          <w:lang w:val="lv-LV"/>
        </w:rPr>
        <w:t>.</w:t>
      </w:r>
    </w:p>
    <w:p w14:paraId="74A3927F" w14:textId="77777777" w:rsidR="00F85A91" w:rsidRPr="008C106C" w:rsidRDefault="00F85A91" w:rsidP="00F13EC0">
      <w:pPr>
        <w:spacing w:line="240" w:lineRule="auto"/>
        <w:jc w:val="both"/>
        <w:rPr>
          <w:szCs w:val="22"/>
          <w:lang w:val="lv-LV"/>
        </w:rPr>
      </w:pPr>
    </w:p>
    <w:p w14:paraId="4238109E" w14:textId="77777777" w:rsidR="002E3A4D" w:rsidRPr="008C106C" w:rsidRDefault="008F3216" w:rsidP="00F13EC0">
      <w:pPr>
        <w:spacing w:line="240" w:lineRule="auto"/>
        <w:jc w:val="both"/>
        <w:rPr>
          <w:szCs w:val="22"/>
          <w:lang w:val="lv-LV"/>
        </w:rPr>
      </w:pPr>
      <w:r w:rsidRPr="008C106C">
        <w:rPr>
          <w:szCs w:val="22"/>
          <w:lang w:val="lv-LV"/>
        </w:rPr>
        <w:t>Iepakojuma lielums:</w:t>
      </w:r>
      <w:r w:rsidR="00F85A91" w:rsidRPr="008C106C">
        <w:rPr>
          <w:szCs w:val="22"/>
          <w:lang w:val="lv-LV"/>
        </w:rPr>
        <w:t xml:space="preserve"> </w:t>
      </w:r>
      <w:r w:rsidR="002922FE" w:rsidRPr="008C106C">
        <w:rPr>
          <w:szCs w:val="22"/>
          <w:lang w:val="lv-LV" w:eastAsia="de-DE"/>
        </w:rPr>
        <w:t>7, 1</w:t>
      </w:r>
      <w:r w:rsidRPr="008C106C">
        <w:rPr>
          <w:szCs w:val="22"/>
          <w:lang w:val="lv-LV" w:eastAsia="de-DE"/>
        </w:rPr>
        <w:t>0, 14, 20, 28, 30, 50, 56, 98 vai</w:t>
      </w:r>
      <w:r w:rsidR="002922FE" w:rsidRPr="008C106C">
        <w:rPr>
          <w:szCs w:val="22"/>
          <w:lang w:val="lv-LV" w:eastAsia="de-DE"/>
        </w:rPr>
        <w:t xml:space="preserve"> 100 </w:t>
      </w:r>
      <w:r w:rsidRPr="008C106C">
        <w:rPr>
          <w:szCs w:val="22"/>
          <w:lang w:val="lv-LV" w:eastAsia="de-DE"/>
        </w:rPr>
        <w:t>apvalkotās tabletes</w:t>
      </w:r>
      <w:r w:rsidR="002922FE" w:rsidRPr="008C106C">
        <w:rPr>
          <w:szCs w:val="22"/>
          <w:lang w:val="lv-LV" w:eastAsia="de-DE"/>
        </w:rPr>
        <w:t>.</w:t>
      </w:r>
    </w:p>
    <w:p w14:paraId="7BE24840" w14:textId="77777777" w:rsidR="008F3216" w:rsidRPr="008C106C" w:rsidRDefault="008F3216" w:rsidP="00F13EC0">
      <w:pPr>
        <w:autoSpaceDE w:val="0"/>
        <w:autoSpaceDN w:val="0"/>
        <w:adjustRightInd w:val="0"/>
        <w:jc w:val="both"/>
        <w:rPr>
          <w:color w:val="000000"/>
          <w:szCs w:val="22"/>
          <w:lang w:val="lv-LV"/>
        </w:rPr>
      </w:pPr>
      <w:r w:rsidRPr="008C106C">
        <w:rPr>
          <w:color w:val="000000"/>
          <w:szCs w:val="22"/>
          <w:lang w:val="lv-LV"/>
        </w:rPr>
        <w:t>Visi iepakojuma lielumi tirgū var nebūt pieejami.</w:t>
      </w:r>
    </w:p>
    <w:p w14:paraId="32FAAAB3" w14:textId="77777777" w:rsidR="001D29E6" w:rsidRPr="008C106C" w:rsidRDefault="001D29E6" w:rsidP="00F13EC0">
      <w:pPr>
        <w:spacing w:line="240" w:lineRule="auto"/>
        <w:jc w:val="both"/>
        <w:rPr>
          <w:szCs w:val="22"/>
          <w:lang w:val="lv-LV"/>
        </w:rPr>
      </w:pPr>
    </w:p>
    <w:p w14:paraId="55735AC9" w14:textId="77777777" w:rsidR="001D29E6" w:rsidRPr="008C106C" w:rsidRDefault="001D29E6" w:rsidP="00F13EC0">
      <w:pPr>
        <w:pStyle w:val="Heading2"/>
        <w:jc w:val="both"/>
        <w:rPr>
          <w:szCs w:val="22"/>
          <w:lang w:val="lv-LV"/>
        </w:rPr>
      </w:pPr>
      <w:r w:rsidRPr="008C106C">
        <w:rPr>
          <w:szCs w:val="22"/>
          <w:lang w:val="lv-LV"/>
        </w:rPr>
        <w:t>6.6</w:t>
      </w:r>
      <w:r w:rsidR="008F3216" w:rsidRPr="008C106C">
        <w:rPr>
          <w:szCs w:val="22"/>
          <w:lang w:val="lv-LV"/>
        </w:rPr>
        <w:t>.</w:t>
      </w:r>
      <w:r w:rsidRPr="008C106C">
        <w:rPr>
          <w:szCs w:val="22"/>
          <w:lang w:val="lv-LV"/>
        </w:rPr>
        <w:tab/>
      </w:r>
      <w:r w:rsidR="008F3216" w:rsidRPr="008C106C">
        <w:rPr>
          <w:bCs/>
          <w:szCs w:val="22"/>
          <w:lang w:val="lv-LV"/>
        </w:rPr>
        <w:t>Īpaši norādījumi atkritumu likvidēšanai un citi norādījumi par rīkošanos</w:t>
      </w:r>
      <w:r w:rsidRPr="008C106C">
        <w:rPr>
          <w:szCs w:val="22"/>
          <w:lang w:val="lv-LV"/>
        </w:rPr>
        <w:t xml:space="preserve"> </w:t>
      </w:r>
    </w:p>
    <w:p w14:paraId="456EAEFB" w14:textId="77777777" w:rsidR="001D29E6" w:rsidRPr="008C106C" w:rsidRDefault="001D29E6" w:rsidP="00F13EC0">
      <w:pPr>
        <w:spacing w:line="240" w:lineRule="auto"/>
        <w:jc w:val="both"/>
        <w:rPr>
          <w:szCs w:val="22"/>
          <w:lang w:val="lv-LV"/>
        </w:rPr>
      </w:pPr>
    </w:p>
    <w:p w14:paraId="423BA47B" w14:textId="77777777" w:rsidR="008F3216" w:rsidRPr="008C106C" w:rsidRDefault="008F3216" w:rsidP="00F13EC0">
      <w:pPr>
        <w:autoSpaceDE w:val="0"/>
        <w:autoSpaceDN w:val="0"/>
        <w:adjustRightInd w:val="0"/>
        <w:jc w:val="both"/>
        <w:rPr>
          <w:b/>
          <w:bCs/>
          <w:color w:val="000000"/>
          <w:szCs w:val="22"/>
          <w:lang w:val="lv-LV"/>
        </w:rPr>
      </w:pPr>
      <w:r w:rsidRPr="008C106C">
        <w:rPr>
          <w:bCs/>
          <w:color w:val="000000"/>
          <w:szCs w:val="22"/>
          <w:lang w:val="lv-LV"/>
        </w:rPr>
        <w:t>Neizlietotās zāles jāiznīcina atbilstoši vietējām prasībām</w:t>
      </w:r>
      <w:r w:rsidRPr="008C106C">
        <w:rPr>
          <w:b/>
          <w:bCs/>
          <w:color w:val="000000"/>
          <w:szCs w:val="22"/>
          <w:lang w:val="lv-LV"/>
        </w:rPr>
        <w:t xml:space="preserve">. </w:t>
      </w:r>
    </w:p>
    <w:p w14:paraId="0521DF99" w14:textId="77777777" w:rsidR="001D29E6" w:rsidRPr="008C106C" w:rsidRDefault="001D29E6" w:rsidP="00F13EC0">
      <w:pPr>
        <w:spacing w:line="240" w:lineRule="auto"/>
        <w:jc w:val="both"/>
        <w:rPr>
          <w:szCs w:val="22"/>
          <w:lang w:val="lv-LV"/>
        </w:rPr>
      </w:pPr>
    </w:p>
    <w:p w14:paraId="7F8BAD0C" w14:textId="77777777" w:rsidR="007A7609" w:rsidRPr="008C106C" w:rsidRDefault="007A7609" w:rsidP="00F13EC0">
      <w:pPr>
        <w:spacing w:line="240" w:lineRule="auto"/>
        <w:jc w:val="both"/>
        <w:rPr>
          <w:szCs w:val="22"/>
          <w:lang w:val="lv-LV"/>
        </w:rPr>
      </w:pPr>
    </w:p>
    <w:p w14:paraId="2C7A959A" w14:textId="77777777" w:rsidR="001D29E6" w:rsidRPr="008C106C" w:rsidRDefault="001D29E6" w:rsidP="00F13EC0">
      <w:pPr>
        <w:pStyle w:val="Heading1"/>
        <w:jc w:val="both"/>
        <w:rPr>
          <w:szCs w:val="22"/>
          <w:lang w:val="lv-LV"/>
        </w:rPr>
      </w:pPr>
      <w:r w:rsidRPr="008C106C">
        <w:rPr>
          <w:szCs w:val="22"/>
          <w:lang w:val="lv-LV"/>
        </w:rPr>
        <w:t>7.</w:t>
      </w:r>
      <w:r w:rsidRPr="008C106C">
        <w:rPr>
          <w:szCs w:val="22"/>
          <w:lang w:val="lv-LV"/>
        </w:rPr>
        <w:tab/>
      </w:r>
      <w:r w:rsidR="008F3216" w:rsidRPr="008C106C">
        <w:rPr>
          <w:bCs/>
          <w:szCs w:val="22"/>
          <w:lang w:val="lv-LV"/>
        </w:rPr>
        <w:t>REĢISTRĀCIJAS APLIECĪBAS ĪPAŠNIEKS</w:t>
      </w:r>
    </w:p>
    <w:p w14:paraId="75CA12AD" w14:textId="77777777" w:rsidR="004E48E6" w:rsidRPr="008C106C" w:rsidRDefault="004E48E6" w:rsidP="00F13EC0">
      <w:pPr>
        <w:numPr>
          <w:ilvl w:val="12"/>
          <w:numId w:val="0"/>
        </w:numPr>
        <w:tabs>
          <w:tab w:val="clear" w:pos="567"/>
        </w:tabs>
        <w:spacing w:line="240" w:lineRule="auto"/>
        <w:ind w:right="-2"/>
        <w:jc w:val="both"/>
        <w:rPr>
          <w:szCs w:val="22"/>
          <w:lang w:val="lv-LV"/>
        </w:rPr>
      </w:pPr>
    </w:p>
    <w:p w14:paraId="643B7FF7" w14:textId="77777777" w:rsidR="004E48E6" w:rsidRPr="008C106C" w:rsidRDefault="004E48E6" w:rsidP="00F13EC0">
      <w:pPr>
        <w:numPr>
          <w:ilvl w:val="12"/>
          <w:numId w:val="0"/>
        </w:numPr>
        <w:tabs>
          <w:tab w:val="clear" w:pos="567"/>
        </w:tabs>
        <w:spacing w:line="240" w:lineRule="auto"/>
        <w:ind w:right="-2"/>
        <w:jc w:val="both"/>
        <w:rPr>
          <w:noProof/>
          <w:szCs w:val="22"/>
          <w:lang w:val="lv-LV"/>
        </w:rPr>
      </w:pPr>
      <w:r w:rsidRPr="008C106C">
        <w:rPr>
          <w:szCs w:val="22"/>
          <w:lang w:val="lv-LV"/>
        </w:rPr>
        <w:t>G. L. Pharma GmbH</w:t>
      </w:r>
      <w:r w:rsidRPr="008C106C">
        <w:rPr>
          <w:noProof/>
          <w:szCs w:val="22"/>
          <w:lang w:val="lv-LV"/>
        </w:rPr>
        <w:t xml:space="preserve">, </w:t>
      </w:r>
      <w:r w:rsidRPr="008C106C">
        <w:rPr>
          <w:szCs w:val="22"/>
          <w:lang w:val="lv-LV"/>
        </w:rPr>
        <w:t>Schlossplatz 1,</w:t>
      </w:r>
      <w:r w:rsidRPr="008C106C">
        <w:rPr>
          <w:noProof/>
          <w:szCs w:val="22"/>
          <w:lang w:val="lv-LV"/>
        </w:rPr>
        <w:t xml:space="preserve"> 8502 Lannach, Austrija.</w:t>
      </w:r>
    </w:p>
    <w:p w14:paraId="59A91027" w14:textId="77777777" w:rsidR="001D29E6" w:rsidRPr="008C106C" w:rsidRDefault="001D29E6" w:rsidP="00F13EC0">
      <w:pPr>
        <w:spacing w:line="240" w:lineRule="auto"/>
        <w:jc w:val="both"/>
        <w:rPr>
          <w:szCs w:val="22"/>
          <w:lang w:val="lv-LV"/>
        </w:rPr>
      </w:pPr>
    </w:p>
    <w:p w14:paraId="45DD97D0" w14:textId="77777777" w:rsidR="001D29E6" w:rsidRPr="008C106C" w:rsidRDefault="001D29E6" w:rsidP="00F13EC0">
      <w:pPr>
        <w:spacing w:line="240" w:lineRule="auto"/>
        <w:jc w:val="both"/>
        <w:rPr>
          <w:szCs w:val="22"/>
          <w:lang w:val="lv-LV"/>
        </w:rPr>
      </w:pPr>
    </w:p>
    <w:p w14:paraId="6115D2C3" w14:textId="77777777" w:rsidR="001D29E6" w:rsidRPr="008C106C" w:rsidRDefault="001D29E6" w:rsidP="00F13EC0">
      <w:pPr>
        <w:pStyle w:val="Heading1"/>
        <w:jc w:val="both"/>
        <w:rPr>
          <w:szCs w:val="22"/>
          <w:lang w:val="lv-LV"/>
        </w:rPr>
      </w:pPr>
      <w:r w:rsidRPr="008C106C">
        <w:rPr>
          <w:szCs w:val="22"/>
          <w:lang w:val="lv-LV"/>
        </w:rPr>
        <w:t>8.</w:t>
      </w:r>
      <w:r w:rsidRPr="008C106C">
        <w:rPr>
          <w:szCs w:val="22"/>
          <w:lang w:val="lv-LV"/>
        </w:rPr>
        <w:tab/>
      </w:r>
      <w:r w:rsidR="008F3216" w:rsidRPr="008C106C">
        <w:rPr>
          <w:bCs/>
          <w:szCs w:val="22"/>
          <w:lang w:val="lv-LV"/>
        </w:rPr>
        <w:t>REĢISTRĀCIJAS APLIECĪBAS NUMURS(-I)</w:t>
      </w:r>
    </w:p>
    <w:p w14:paraId="1D4378A1" w14:textId="77777777" w:rsidR="001D29E6" w:rsidRPr="008C106C" w:rsidRDefault="001D29E6" w:rsidP="00F13EC0">
      <w:pPr>
        <w:spacing w:line="240" w:lineRule="auto"/>
        <w:jc w:val="both"/>
        <w:rPr>
          <w:i/>
          <w:szCs w:val="22"/>
          <w:lang w:val="lv-LV"/>
        </w:rPr>
      </w:pPr>
    </w:p>
    <w:p w14:paraId="407780A5" w14:textId="77777777" w:rsidR="001D29E6" w:rsidRPr="008C106C" w:rsidRDefault="001D29E6" w:rsidP="00F13EC0">
      <w:pPr>
        <w:spacing w:line="240" w:lineRule="auto"/>
        <w:jc w:val="both"/>
        <w:rPr>
          <w:szCs w:val="22"/>
          <w:lang w:val="lv-LV"/>
        </w:rPr>
      </w:pPr>
    </w:p>
    <w:p w14:paraId="438F10B5" w14:textId="77777777" w:rsidR="001D29E6" w:rsidRPr="008C106C" w:rsidRDefault="001D29E6" w:rsidP="00F13EC0">
      <w:pPr>
        <w:pStyle w:val="Heading1"/>
        <w:jc w:val="both"/>
        <w:rPr>
          <w:szCs w:val="22"/>
          <w:lang w:val="lv-LV"/>
        </w:rPr>
      </w:pPr>
      <w:r w:rsidRPr="008C106C">
        <w:rPr>
          <w:szCs w:val="22"/>
          <w:lang w:val="lv-LV"/>
        </w:rPr>
        <w:t>9.</w:t>
      </w:r>
      <w:r w:rsidRPr="008C106C">
        <w:rPr>
          <w:szCs w:val="22"/>
          <w:lang w:val="lv-LV"/>
        </w:rPr>
        <w:tab/>
      </w:r>
      <w:r w:rsidR="008F3216" w:rsidRPr="008C106C">
        <w:rPr>
          <w:bCs/>
          <w:szCs w:val="22"/>
          <w:lang w:val="lv-LV"/>
        </w:rPr>
        <w:t>PIRMĀS REĢISTRĀCIJAS/PĀRREĢISTRĀCIJAS DATUMS</w:t>
      </w:r>
    </w:p>
    <w:p w14:paraId="6280D6A1" w14:textId="77777777" w:rsidR="001D29E6" w:rsidRPr="008C106C" w:rsidRDefault="001D29E6" w:rsidP="00F13EC0">
      <w:pPr>
        <w:spacing w:line="240" w:lineRule="auto"/>
        <w:jc w:val="both"/>
        <w:rPr>
          <w:i/>
          <w:szCs w:val="22"/>
          <w:lang w:val="lv-LV"/>
        </w:rPr>
      </w:pPr>
    </w:p>
    <w:p w14:paraId="03B6C764" w14:textId="77777777" w:rsidR="001D29E6" w:rsidRPr="008C106C" w:rsidRDefault="001D29E6" w:rsidP="00F13EC0">
      <w:pPr>
        <w:spacing w:line="240" w:lineRule="auto"/>
        <w:jc w:val="both"/>
        <w:rPr>
          <w:szCs w:val="22"/>
          <w:lang w:val="lv-LV"/>
        </w:rPr>
      </w:pPr>
    </w:p>
    <w:p w14:paraId="160C0632" w14:textId="77777777" w:rsidR="001D29E6" w:rsidRPr="008C106C" w:rsidRDefault="001D29E6" w:rsidP="00F13EC0">
      <w:pPr>
        <w:pStyle w:val="Heading1"/>
        <w:jc w:val="both"/>
        <w:rPr>
          <w:szCs w:val="22"/>
          <w:lang w:val="lv-LV"/>
        </w:rPr>
      </w:pPr>
      <w:r w:rsidRPr="008C106C">
        <w:rPr>
          <w:szCs w:val="22"/>
          <w:lang w:val="lv-LV"/>
        </w:rPr>
        <w:t>10.</w:t>
      </w:r>
      <w:r w:rsidRPr="008C106C">
        <w:rPr>
          <w:szCs w:val="22"/>
          <w:lang w:val="lv-LV"/>
        </w:rPr>
        <w:tab/>
      </w:r>
      <w:r w:rsidR="008F3216" w:rsidRPr="008C106C">
        <w:rPr>
          <w:bCs/>
          <w:szCs w:val="22"/>
          <w:lang w:val="lv-LV"/>
        </w:rPr>
        <w:t>TEKSTA PĀRSKATĪŠANAS DATUMS</w:t>
      </w:r>
    </w:p>
    <w:p w14:paraId="66566ED9" w14:textId="77777777" w:rsidR="00F13EC0" w:rsidRPr="008C106C" w:rsidRDefault="00F13EC0" w:rsidP="00F13EC0">
      <w:pPr>
        <w:numPr>
          <w:ilvl w:val="12"/>
          <w:numId w:val="0"/>
        </w:numPr>
        <w:spacing w:line="240" w:lineRule="auto"/>
        <w:ind w:right="-2"/>
        <w:jc w:val="both"/>
        <w:rPr>
          <w:iCs/>
          <w:szCs w:val="22"/>
          <w:lang w:val="lv-LV"/>
        </w:rPr>
      </w:pPr>
    </w:p>
    <w:p w14:paraId="1CE76E00" w14:textId="7701E304" w:rsidR="001D29E6" w:rsidRPr="008C106C" w:rsidRDefault="006E76B9" w:rsidP="00F13EC0">
      <w:pPr>
        <w:numPr>
          <w:ilvl w:val="12"/>
          <w:numId w:val="0"/>
        </w:numPr>
        <w:spacing w:line="240" w:lineRule="auto"/>
        <w:ind w:right="-2"/>
        <w:jc w:val="both"/>
        <w:rPr>
          <w:iCs/>
          <w:szCs w:val="22"/>
          <w:lang w:val="lv-LV"/>
        </w:rPr>
      </w:pPr>
      <w:r>
        <w:rPr>
          <w:iCs/>
          <w:szCs w:val="22"/>
          <w:lang w:val="lv-LV"/>
        </w:rPr>
        <w:t>12</w:t>
      </w:r>
      <w:r w:rsidR="003E5C01">
        <w:rPr>
          <w:iCs/>
          <w:szCs w:val="22"/>
          <w:lang w:val="lv-LV"/>
        </w:rPr>
        <w:t>/2021</w:t>
      </w:r>
    </w:p>
    <w:p w14:paraId="7573B071" w14:textId="77777777" w:rsidR="001D29E6" w:rsidRPr="008C106C" w:rsidRDefault="001D29E6" w:rsidP="00F13EC0">
      <w:pPr>
        <w:numPr>
          <w:ilvl w:val="12"/>
          <w:numId w:val="0"/>
        </w:numPr>
        <w:spacing w:line="240" w:lineRule="auto"/>
        <w:ind w:right="-2"/>
        <w:jc w:val="both"/>
        <w:rPr>
          <w:iCs/>
          <w:szCs w:val="22"/>
          <w:lang w:val="lv-LV"/>
        </w:rPr>
      </w:pPr>
    </w:p>
    <w:p w14:paraId="7244D2F6" w14:textId="77777777" w:rsidR="001D29E6" w:rsidRPr="008C106C" w:rsidRDefault="001D29E6" w:rsidP="00F13EC0">
      <w:pPr>
        <w:tabs>
          <w:tab w:val="clear" w:pos="567"/>
        </w:tabs>
        <w:spacing w:line="240" w:lineRule="auto"/>
        <w:jc w:val="both"/>
        <w:rPr>
          <w:noProof/>
          <w:szCs w:val="22"/>
          <w:lang w:val="lv-LV"/>
        </w:rPr>
      </w:pPr>
    </w:p>
    <w:sectPr w:rsidR="001D29E6" w:rsidRPr="008C106C" w:rsidSect="000704D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0041" w14:textId="77777777" w:rsidR="005E4B8D" w:rsidRDefault="005E4B8D">
      <w:r>
        <w:separator/>
      </w:r>
    </w:p>
  </w:endnote>
  <w:endnote w:type="continuationSeparator" w:id="0">
    <w:p w14:paraId="2E66E465" w14:textId="77777777" w:rsidR="005E4B8D" w:rsidRDefault="005E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D032" w14:textId="77777777" w:rsidR="00A0634E" w:rsidRDefault="00A06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E832" w14:textId="33464AF1" w:rsidR="00C0661B" w:rsidRPr="000C1913" w:rsidRDefault="00545963" w:rsidP="00897182">
    <w:pPr>
      <w:pStyle w:val="Footer"/>
      <w:pBdr>
        <w:top w:val="double" w:sz="4" w:space="1" w:color="auto"/>
      </w:pBdr>
      <w:tabs>
        <w:tab w:val="clear" w:pos="8930"/>
        <w:tab w:val="right" w:pos="8931"/>
      </w:tabs>
      <w:ind w:right="96"/>
      <w:jc w:val="center"/>
      <w:rPr>
        <w:rFonts w:ascii="Arial" w:hAnsi="Arial" w:cs="Arial"/>
      </w:rPr>
    </w:pPr>
    <w:r w:rsidRPr="000C1913">
      <w:rPr>
        <w:rFonts w:ascii="Arial" w:hAnsi="Arial" w:cs="Arial"/>
      </w:rPr>
      <w:fldChar w:fldCharType="begin"/>
    </w:r>
    <w:r w:rsidR="00C0661B" w:rsidRPr="000C1913">
      <w:rPr>
        <w:rFonts w:ascii="Arial" w:hAnsi="Arial" w:cs="Arial"/>
      </w:rPr>
      <w:instrText xml:space="preserve"> EQ </w:instrText>
    </w:r>
    <w:r w:rsidRPr="000C1913">
      <w:rPr>
        <w:rFonts w:ascii="Arial" w:hAnsi="Arial" w:cs="Arial"/>
      </w:rPr>
      <w:fldChar w:fldCharType="end"/>
    </w:r>
    <w:r>
      <w:rPr>
        <w:lang w:val="lv-LV"/>
      </w:rPr>
      <w:fldChar w:fldCharType="begin"/>
    </w:r>
    <w:r w:rsidR="00C0661B">
      <w:rPr>
        <w:lang w:val="lv-LV"/>
      </w:rPr>
      <w:instrText xml:space="preserve"> FILENAME </w:instrText>
    </w:r>
    <w:r>
      <w:rPr>
        <w:lang w:val="lv-LV"/>
      </w:rPr>
      <w:fldChar w:fldCharType="separate"/>
    </w:r>
    <w:r w:rsidR="007D2957">
      <w:rPr>
        <w:noProof/>
        <w:lang w:val="lv-LV"/>
      </w:rPr>
      <w:t>Esogno_ZA_30-07-2021.docx</w:t>
    </w:r>
    <w:r>
      <w:rPr>
        <w:lang w:val="lv-LV"/>
      </w:rPr>
      <w:fldChar w:fldCharType="end"/>
    </w:r>
    <w:r w:rsidR="00C0661B" w:rsidRPr="00586944">
      <w:rPr>
        <w:rFonts w:ascii="Times New Roman" w:hAnsi="Times New Roman"/>
      </w:rPr>
      <w:tab/>
    </w:r>
    <w:r w:rsidR="00C0661B" w:rsidRPr="00856BB5">
      <w:rPr>
        <w:lang w:val="it-IT"/>
      </w:rPr>
      <w:tab/>
    </w:r>
    <w:r w:rsidRPr="00A30106">
      <w:fldChar w:fldCharType="begin"/>
    </w:r>
    <w:r w:rsidR="00C0661B" w:rsidRPr="00856BB5">
      <w:rPr>
        <w:lang w:val="it-IT"/>
      </w:rPr>
      <w:instrText xml:space="preserve"> PAGE </w:instrText>
    </w:r>
    <w:r w:rsidRPr="00A30106">
      <w:fldChar w:fldCharType="separate"/>
    </w:r>
    <w:r w:rsidR="0022293F">
      <w:rPr>
        <w:noProof/>
        <w:lang w:val="it-IT"/>
      </w:rPr>
      <w:t>1</w:t>
    </w:r>
    <w:r w:rsidRPr="00A30106">
      <w:fldChar w:fldCharType="end"/>
    </w:r>
    <w:r w:rsidR="00C0661B">
      <w:rPr>
        <w:lang w:val="it-IT"/>
      </w:rPr>
      <w:t>/</w:t>
    </w:r>
    <w:r w:rsidRPr="00A30106">
      <w:fldChar w:fldCharType="begin"/>
    </w:r>
    <w:r w:rsidR="00C0661B" w:rsidRPr="00856BB5">
      <w:rPr>
        <w:lang w:val="it-IT"/>
      </w:rPr>
      <w:instrText xml:space="preserve"> NUMPAGES </w:instrText>
    </w:r>
    <w:r w:rsidRPr="00A30106">
      <w:fldChar w:fldCharType="separate"/>
    </w:r>
    <w:r w:rsidR="0022293F">
      <w:rPr>
        <w:noProof/>
        <w:lang w:val="it-IT"/>
      </w:rPr>
      <w:t>12</w:t>
    </w:r>
    <w:r w:rsidRPr="00A301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619B" w14:textId="77777777" w:rsidR="00C0661B" w:rsidRPr="000C1913" w:rsidRDefault="00545963" w:rsidP="00897182">
    <w:pPr>
      <w:pStyle w:val="Footer"/>
      <w:pBdr>
        <w:top w:val="double" w:sz="4" w:space="1" w:color="auto"/>
      </w:pBdr>
      <w:tabs>
        <w:tab w:val="clear" w:pos="8930"/>
        <w:tab w:val="right" w:pos="8931"/>
      </w:tabs>
      <w:ind w:right="96"/>
      <w:jc w:val="center"/>
      <w:rPr>
        <w:rFonts w:ascii="Arial" w:hAnsi="Arial" w:cs="Arial"/>
      </w:rPr>
    </w:pPr>
    <w:r w:rsidRPr="000C1913">
      <w:rPr>
        <w:rFonts w:ascii="Arial" w:hAnsi="Arial" w:cs="Arial"/>
      </w:rPr>
      <w:fldChar w:fldCharType="begin"/>
    </w:r>
    <w:r w:rsidR="00C0661B" w:rsidRPr="000C1913">
      <w:rPr>
        <w:rFonts w:ascii="Arial" w:hAnsi="Arial" w:cs="Arial"/>
      </w:rPr>
      <w:instrText xml:space="preserve"> EQ </w:instrText>
    </w:r>
    <w:r w:rsidRPr="000C1913">
      <w:rPr>
        <w:rFonts w:ascii="Arial" w:hAnsi="Arial" w:cs="Arial"/>
      </w:rPr>
      <w:fldChar w:fldCharType="end"/>
    </w:r>
    <w:r>
      <w:fldChar w:fldCharType="begin"/>
    </w:r>
    <w:r w:rsidR="00C0661B">
      <w:instrText xml:space="preserve"> FILENAME </w:instrText>
    </w:r>
    <w:r>
      <w:fldChar w:fldCharType="separate"/>
    </w:r>
    <w:r w:rsidR="00C0661B">
      <w:rPr>
        <w:noProof/>
      </w:rPr>
      <w:t>ZA_Esogno_17.11.2019.docx</w:t>
    </w:r>
    <w:r>
      <w:fldChar w:fldCharType="end"/>
    </w:r>
    <w:r w:rsidR="00C0661B">
      <w:tab/>
    </w:r>
    <w:r w:rsidR="00C0661B">
      <w:tab/>
    </w:r>
    <w:r>
      <w:rPr>
        <w:rStyle w:val="PageNumber"/>
      </w:rPr>
      <w:fldChar w:fldCharType="begin"/>
    </w:r>
    <w:r w:rsidR="00C0661B">
      <w:rPr>
        <w:rStyle w:val="PageNumber"/>
      </w:rPr>
      <w:instrText xml:space="preserve"> PAGE </w:instrText>
    </w:r>
    <w:r>
      <w:rPr>
        <w:rStyle w:val="PageNumber"/>
      </w:rPr>
      <w:fldChar w:fldCharType="separate"/>
    </w:r>
    <w:r w:rsidR="000704D1">
      <w:rPr>
        <w:rStyle w:val="PageNumber"/>
        <w:noProof/>
      </w:rPr>
      <w:t>1</w:t>
    </w:r>
    <w:r>
      <w:rPr>
        <w:rStyle w:val="PageNumber"/>
      </w:rPr>
      <w:fldChar w:fldCharType="end"/>
    </w:r>
    <w:r w:rsidR="00C0661B">
      <w:rPr>
        <w:rStyle w:val="PageNumber"/>
      </w:rPr>
      <w:t>/</w:t>
    </w:r>
    <w:r>
      <w:rPr>
        <w:rStyle w:val="PageNumber"/>
      </w:rPr>
      <w:fldChar w:fldCharType="begin"/>
    </w:r>
    <w:r w:rsidR="00C0661B">
      <w:rPr>
        <w:rStyle w:val="PageNumber"/>
      </w:rPr>
      <w:instrText xml:space="preserve"> NUMPAGES </w:instrText>
    </w:r>
    <w:r>
      <w:rPr>
        <w:rStyle w:val="PageNumber"/>
      </w:rPr>
      <w:fldChar w:fldCharType="separate"/>
    </w:r>
    <w:r w:rsidR="000704D1">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3B5F" w14:textId="77777777" w:rsidR="005E4B8D" w:rsidRDefault="005E4B8D">
      <w:r>
        <w:separator/>
      </w:r>
    </w:p>
  </w:footnote>
  <w:footnote w:type="continuationSeparator" w:id="0">
    <w:p w14:paraId="6F3C4D76" w14:textId="77777777" w:rsidR="005E4B8D" w:rsidRDefault="005E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A44D" w14:textId="77777777" w:rsidR="00A0634E" w:rsidRDefault="00A0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842B" w14:textId="39EDE89F" w:rsidR="000704D1" w:rsidRPr="00A0634E" w:rsidRDefault="00A0634E" w:rsidP="000704D1">
    <w:pPr>
      <w:pStyle w:val="Header"/>
      <w:jc w:val="right"/>
      <w:rPr>
        <w:rFonts w:ascii="Times New Roman" w:hAnsi="Times New Roman"/>
        <w:sz w:val="24"/>
        <w:szCs w:val="24"/>
        <w:lang w:val="en-US"/>
      </w:rPr>
    </w:pPr>
    <w:r>
      <w:rPr>
        <w:rFonts w:ascii="Times New Roman" w:hAnsi="Times New Roman"/>
        <w:sz w:val="24"/>
        <w:szCs w:val="24"/>
        <w:lang w:val="en-US"/>
      </w:rPr>
      <w:t>SASKAŅOTS ZVA 07-12-2021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13C1" w14:textId="77777777" w:rsidR="00A0634E" w:rsidRDefault="00A0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96643CA"/>
    <w:multiLevelType w:val="hybridMultilevel"/>
    <w:tmpl w:val="B01CC174"/>
    <w:lvl w:ilvl="0" w:tplc="D32E4A1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0B6E92"/>
    <w:multiLevelType w:val="hybridMultilevel"/>
    <w:tmpl w:val="46EE7EBA"/>
    <w:lvl w:ilvl="0" w:tplc="D32E4A1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8" w15:restartNumberingAfterBreak="0">
    <w:nsid w:val="1AE20ED6"/>
    <w:multiLevelType w:val="hybridMultilevel"/>
    <w:tmpl w:val="3A5C4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743C09"/>
    <w:multiLevelType w:val="hybridMultilevel"/>
    <w:tmpl w:val="A1942442"/>
    <w:lvl w:ilvl="0" w:tplc="6D3289C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98537C"/>
    <w:multiLevelType w:val="hybridMultilevel"/>
    <w:tmpl w:val="22300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27E9F"/>
    <w:multiLevelType w:val="hybridMultilevel"/>
    <w:tmpl w:val="D36A0AC2"/>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A7843C1"/>
    <w:multiLevelType w:val="hybridMultilevel"/>
    <w:tmpl w:val="E89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C7D518F"/>
    <w:multiLevelType w:val="hybridMultilevel"/>
    <w:tmpl w:val="0CCC3A7C"/>
    <w:lvl w:ilvl="0" w:tplc="D32E4A1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0"/>
  </w:num>
  <w:num w:numId="4">
    <w:abstractNumId w:val="38"/>
  </w:num>
  <w:num w:numId="5">
    <w:abstractNumId w:val="15"/>
  </w:num>
  <w:num w:numId="6">
    <w:abstractNumId w:val="26"/>
  </w:num>
  <w:num w:numId="7">
    <w:abstractNumId w:val="25"/>
  </w:num>
  <w:num w:numId="8">
    <w:abstractNumId w:val="10"/>
  </w:num>
  <w:num w:numId="9">
    <w:abstractNumId w:val="35"/>
  </w:num>
  <w:num w:numId="10">
    <w:abstractNumId w:val="37"/>
  </w:num>
  <w:num w:numId="11">
    <w:abstractNumId w:val="21"/>
  </w:num>
  <w:num w:numId="12">
    <w:abstractNumId w:val="17"/>
  </w:num>
  <w:num w:numId="13">
    <w:abstractNumId w:val="2"/>
  </w:num>
  <w:num w:numId="14">
    <w:abstractNumId w:val="34"/>
  </w:num>
  <w:num w:numId="15">
    <w:abstractNumId w:val="23"/>
  </w:num>
  <w:num w:numId="16">
    <w:abstractNumId w:val="41"/>
  </w:num>
  <w:num w:numId="17">
    <w:abstractNumId w:val="11"/>
  </w:num>
  <w:num w:numId="18">
    <w:abstractNumId w:val="1"/>
  </w:num>
  <w:num w:numId="19">
    <w:abstractNumId w:val="22"/>
  </w:num>
  <w:num w:numId="20">
    <w:abstractNumId w:val="3"/>
  </w:num>
  <w:num w:numId="21">
    <w:abstractNumId w:val="7"/>
  </w:num>
  <w:num w:numId="22">
    <w:abstractNumId w:val="29"/>
  </w:num>
  <w:num w:numId="23">
    <w:abstractNumId w:val="33"/>
  </w:num>
  <w:num w:numId="24">
    <w:abstractNumId w:val="28"/>
  </w:num>
  <w:num w:numId="25">
    <w:abstractNumId w:val="16"/>
  </w:num>
  <w:num w:numId="26">
    <w:abstractNumId w:val="13"/>
  </w:num>
  <w:num w:numId="27">
    <w:abstractNumId w:val="24"/>
  </w:num>
  <w:num w:numId="28">
    <w:abstractNumId w:val="27"/>
  </w:num>
  <w:num w:numId="29">
    <w:abstractNumId w:val="18"/>
  </w:num>
  <w:num w:numId="30">
    <w:abstractNumId w:val="12"/>
  </w:num>
  <w:num w:numId="31">
    <w:abstractNumId w:val="31"/>
  </w:num>
  <w:num w:numId="32">
    <w:abstractNumId w:val="32"/>
  </w:num>
  <w:num w:numId="33">
    <w:abstractNumId w:val="30"/>
  </w:num>
  <w:num w:numId="34">
    <w:abstractNumId w:val="19"/>
  </w:num>
  <w:num w:numId="35">
    <w:abstractNumId w:val="4"/>
  </w:num>
  <w:num w:numId="36">
    <w:abstractNumId w:val="42"/>
  </w:num>
  <w:num w:numId="37">
    <w:abstractNumId w:val="0"/>
    <w:lvlOverride w:ilvl="0">
      <w:lvl w:ilvl="0">
        <w:start w:val="1"/>
        <w:numFmt w:val="bullet"/>
        <w:lvlText w:val="-"/>
        <w:legacy w:legacy="1" w:legacySpace="0" w:legacyIndent="360"/>
        <w:lvlJc w:val="left"/>
        <w:pPr>
          <w:ind w:left="360" w:hanging="360"/>
        </w:pPr>
      </w:lvl>
    </w:lvlOverride>
  </w:num>
  <w:num w:numId="38">
    <w:abstractNumId w:val="39"/>
  </w:num>
  <w:num w:numId="39">
    <w:abstractNumId w:val="5"/>
  </w:num>
  <w:num w:numId="40">
    <w:abstractNumId w:val="6"/>
  </w:num>
  <w:num w:numId="41">
    <w:abstractNumId w:val="14"/>
  </w:num>
  <w:num w:numId="42">
    <w:abstractNumId w:val="36"/>
  </w:num>
  <w:num w:numId="43">
    <w:abstractNumId w:val="9"/>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53ACC"/>
    <w:rsid w:val="00001844"/>
    <w:rsid w:val="000064E6"/>
    <w:rsid w:val="00007758"/>
    <w:rsid w:val="000131C2"/>
    <w:rsid w:val="00020561"/>
    <w:rsid w:val="00021C84"/>
    <w:rsid w:val="000244A6"/>
    <w:rsid w:val="00030C96"/>
    <w:rsid w:val="00031340"/>
    <w:rsid w:val="00034DD2"/>
    <w:rsid w:val="00037676"/>
    <w:rsid w:val="00040D61"/>
    <w:rsid w:val="000416E8"/>
    <w:rsid w:val="00041B3D"/>
    <w:rsid w:val="00041DA7"/>
    <w:rsid w:val="000425D4"/>
    <w:rsid w:val="00043B8F"/>
    <w:rsid w:val="000442A6"/>
    <w:rsid w:val="00046093"/>
    <w:rsid w:val="00053137"/>
    <w:rsid w:val="0005596F"/>
    <w:rsid w:val="00057E35"/>
    <w:rsid w:val="00061E2F"/>
    <w:rsid w:val="000673AD"/>
    <w:rsid w:val="0006763A"/>
    <w:rsid w:val="00067D17"/>
    <w:rsid w:val="000704D1"/>
    <w:rsid w:val="00072802"/>
    <w:rsid w:val="00072FDF"/>
    <w:rsid w:val="00074387"/>
    <w:rsid w:val="00074AFF"/>
    <w:rsid w:val="000801E7"/>
    <w:rsid w:val="000802DD"/>
    <w:rsid w:val="000810DB"/>
    <w:rsid w:val="0008296F"/>
    <w:rsid w:val="00083518"/>
    <w:rsid w:val="00084488"/>
    <w:rsid w:val="00084F5D"/>
    <w:rsid w:val="00086803"/>
    <w:rsid w:val="0009129B"/>
    <w:rsid w:val="00093AEE"/>
    <w:rsid w:val="00095C1C"/>
    <w:rsid w:val="000A1E8F"/>
    <w:rsid w:val="000A4447"/>
    <w:rsid w:val="000B5951"/>
    <w:rsid w:val="000C1913"/>
    <w:rsid w:val="000C593C"/>
    <w:rsid w:val="000D15E9"/>
    <w:rsid w:val="000D3AC6"/>
    <w:rsid w:val="000D3DCD"/>
    <w:rsid w:val="000D3EE1"/>
    <w:rsid w:val="000D42EB"/>
    <w:rsid w:val="000D7AA6"/>
    <w:rsid w:val="000F06B0"/>
    <w:rsid w:val="000F1EB8"/>
    <w:rsid w:val="000F39DD"/>
    <w:rsid w:val="00101258"/>
    <w:rsid w:val="00101D15"/>
    <w:rsid w:val="00107CFF"/>
    <w:rsid w:val="001122C1"/>
    <w:rsid w:val="00112847"/>
    <w:rsid w:val="00113517"/>
    <w:rsid w:val="001144CE"/>
    <w:rsid w:val="001166A5"/>
    <w:rsid w:val="0012589A"/>
    <w:rsid w:val="001319C8"/>
    <w:rsid w:val="001326DA"/>
    <w:rsid w:val="00133171"/>
    <w:rsid w:val="0013384E"/>
    <w:rsid w:val="001416A7"/>
    <w:rsid w:val="00142116"/>
    <w:rsid w:val="00144ED0"/>
    <w:rsid w:val="00146F00"/>
    <w:rsid w:val="00147DAA"/>
    <w:rsid w:val="001520C4"/>
    <w:rsid w:val="00152CC5"/>
    <w:rsid w:val="00152E50"/>
    <w:rsid w:val="00157551"/>
    <w:rsid w:val="00161AC1"/>
    <w:rsid w:val="00162AAE"/>
    <w:rsid w:val="001659FC"/>
    <w:rsid w:val="00167629"/>
    <w:rsid w:val="00171BE8"/>
    <w:rsid w:val="00172388"/>
    <w:rsid w:val="0017243E"/>
    <w:rsid w:val="00172DFA"/>
    <w:rsid w:val="00173D88"/>
    <w:rsid w:val="00174869"/>
    <w:rsid w:val="00174DE8"/>
    <w:rsid w:val="00177084"/>
    <w:rsid w:val="001808BE"/>
    <w:rsid w:val="001815D9"/>
    <w:rsid w:val="00185256"/>
    <w:rsid w:val="00197D0B"/>
    <w:rsid w:val="001A107C"/>
    <w:rsid w:val="001A1CBB"/>
    <w:rsid w:val="001A5866"/>
    <w:rsid w:val="001A5CAB"/>
    <w:rsid w:val="001B53D9"/>
    <w:rsid w:val="001B5ACE"/>
    <w:rsid w:val="001B7372"/>
    <w:rsid w:val="001C15F8"/>
    <w:rsid w:val="001C2700"/>
    <w:rsid w:val="001C3B29"/>
    <w:rsid w:val="001C7A30"/>
    <w:rsid w:val="001C7B14"/>
    <w:rsid w:val="001D0922"/>
    <w:rsid w:val="001D139A"/>
    <w:rsid w:val="001D215E"/>
    <w:rsid w:val="001D29E6"/>
    <w:rsid w:val="001D2F20"/>
    <w:rsid w:val="001D2FB4"/>
    <w:rsid w:val="001E3123"/>
    <w:rsid w:val="001E58BE"/>
    <w:rsid w:val="001E7299"/>
    <w:rsid w:val="001F3539"/>
    <w:rsid w:val="001F69D3"/>
    <w:rsid w:val="0020074E"/>
    <w:rsid w:val="00202168"/>
    <w:rsid w:val="0020656F"/>
    <w:rsid w:val="002071D1"/>
    <w:rsid w:val="002074BB"/>
    <w:rsid w:val="00211969"/>
    <w:rsid w:val="00211F4D"/>
    <w:rsid w:val="002171D6"/>
    <w:rsid w:val="002175C2"/>
    <w:rsid w:val="00221A31"/>
    <w:rsid w:val="0022293F"/>
    <w:rsid w:val="0022295C"/>
    <w:rsid w:val="00222E95"/>
    <w:rsid w:val="00224308"/>
    <w:rsid w:val="002257AA"/>
    <w:rsid w:val="00232029"/>
    <w:rsid w:val="0023263E"/>
    <w:rsid w:val="00233B2F"/>
    <w:rsid w:val="0023799A"/>
    <w:rsid w:val="00242FBE"/>
    <w:rsid w:val="00244DF9"/>
    <w:rsid w:val="00246C7F"/>
    <w:rsid w:val="00251790"/>
    <w:rsid w:val="00251FAF"/>
    <w:rsid w:val="002541E4"/>
    <w:rsid w:val="002578BA"/>
    <w:rsid w:val="002607FA"/>
    <w:rsid w:val="00261343"/>
    <w:rsid w:val="00264854"/>
    <w:rsid w:val="00276569"/>
    <w:rsid w:val="002826DD"/>
    <w:rsid w:val="002836E2"/>
    <w:rsid w:val="002839CF"/>
    <w:rsid w:val="00284354"/>
    <w:rsid w:val="002922FE"/>
    <w:rsid w:val="00292751"/>
    <w:rsid w:val="0029721A"/>
    <w:rsid w:val="002A13EE"/>
    <w:rsid w:val="002A1404"/>
    <w:rsid w:val="002A5586"/>
    <w:rsid w:val="002B0AE1"/>
    <w:rsid w:val="002B4F9D"/>
    <w:rsid w:val="002B57B9"/>
    <w:rsid w:val="002B6CA3"/>
    <w:rsid w:val="002C2D1A"/>
    <w:rsid w:val="002C6743"/>
    <w:rsid w:val="002D013D"/>
    <w:rsid w:val="002D17EC"/>
    <w:rsid w:val="002D4551"/>
    <w:rsid w:val="002D50B1"/>
    <w:rsid w:val="002D7050"/>
    <w:rsid w:val="002E1F29"/>
    <w:rsid w:val="002E3A4D"/>
    <w:rsid w:val="002E7B0B"/>
    <w:rsid w:val="002F0392"/>
    <w:rsid w:val="002F18E6"/>
    <w:rsid w:val="002F20FB"/>
    <w:rsid w:val="00303190"/>
    <w:rsid w:val="00303EA3"/>
    <w:rsid w:val="003102F5"/>
    <w:rsid w:val="0031220F"/>
    <w:rsid w:val="00320D40"/>
    <w:rsid w:val="0032286E"/>
    <w:rsid w:val="00323D49"/>
    <w:rsid w:val="00324A74"/>
    <w:rsid w:val="0032701D"/>
    <w:rsid w:val="003271A1"/>
    <w:rsid w:val="0032720A"/>
    <w:rsid w:val="00327566"/>
    <w:rsid w:val="00332D51"/>
    <w:rsid w:val="00334E98"/>
    <w:rsid w:val="00336BE6"/>
    <w:rsid w:val="0034005B"/>
    <w:rsid w:val="003412BF"/>
    <w:rsid w:val="00351922"/>
    <w:rsid w:val="003521B2"/>
    <w:rsid w:val="00356E3C"/>
    <w:rsid w:val="00357CB1"/>
    <w:rsid w:val="00360D3F"/>
    <w:rsid w:val="00360E03"/>
    <w:rsid w:val="003627CD"/>
    <w:rsid w:val="00366F40"/>
    <w:rsid w:val="00367129"/>
    <w:rsid w:val="003715F5"/>
    <w:rsid w:val="00372F1A"/>
    <w:rsid w:val="00373718"/>
    <w:rsid w:val="003820DE"/>
    <w:rsid w:val="00385947"/>
    <w:rsid w:val="003964AC"/>
    <w:rsid w:val="003A52F7"/>
    <w:rsid w:val="003A5872"/>
    <w:rsid w:val="003A6134"/>
    <w:rsid w:val="003B2FF3"/>
    <w:rsid w:val="003B3D77"/>
    <w:rsid w:val="003B3FFA"/>
    <w:rsid w:val="003B5FF8"/>
    <w:rsid w:val="003B78D9"/>
    <w:rsid w:val="003C1974"/>
    <w:rsid w:val="003C5400"/>
    <w:rsid w:val="003C570D"/>
    <w:rsid w:val="003C5EFD"/>
    <w:rsid w:val="003D212C"/>
    <w:rsid w:val="003D6DE8"/>
    <w:rsid w:val="003D7032"/>
    <w:rsid w:val="003E355A"/>
    <w:rsid w:val="003E3C52"/>
    <w:rsid w:val="003E4A44"/>
    <w:rsid w:val="003E5C01"/>
    <w:rsid w:val="003E72DE"/>
    <w:rsid w:val="00402B93"/>
    <w:rsid w:val="00406D92"/>
    <w:rsid w:val="004106B7"/>
    <w:rsid w:val="00412E4E"/>
    <w:rsid w:val="004158DF"/>
    <w:rsid w:val="00415992"/>
    <w:rsid w:val="00415E11"/>
    <w:rsid w:val="00417F1C"/>
    <w:rsid w:val="00421A9E"/>
    <w:rsid w:val="0042330A"/>
    <w:rsid w:val="004272B1"/>
    <w:rsid w:val="0043538D"/>
    <w:rsid w:val="004364A1"/>
    <w:rsid w:val="00450595"/>
    <w:rsid w:val="004640E0"/>
    <w:rsid w:val="00466491"/>
    <w:rsid w:val="00473FEC"/>
    <w:rsid w:val="00476D44"/>
    <w:rsid w:val="00482C2C"/>
    <w:rsid w:val="00493AB5"/>
    <w:rsid w:val="00495170"/>
    <w:rsid w:val="00496C6E"/>
    <w:rsid w:val="004A5069"/>
    <w:rsid w:val="004B29CB"/>
    <w:rsid w:val="004B2A5D"/>
    <w:rsid w:val="004B39E5"/>
    <w:rsid w:val="004B4AC3"/>
    <w:rsid w:val="004C04C9"/>
    <w:rsid w:val="004C33C5"/>
    <w:rsid w:val="004C408E"/>
    <w:rsid w:val="004C582F"/>
    <w:rsid w:val="004D062F"/>
    <w:rsid w:val="004D108E"/>
    <w:rsid w:val="004E02A0"/>
    <w:rsid w:val="004E2106"/>
    <w:rsid w:val="004E2759"/>
    <w:rsid w:val="004E2C93"/>
    <w:rsid w:val="004E48E6"/>
    <w:rsid w:val="004E675C"/>
    <w:rsid w:val="004F27A8"/>
    <w:rsid w:val="004F4965"/>
    <w:rsid w:val="005022DB"/>
    <w:rsid w:val="005062DB"/>
    <w:rsid w:val="00510625"/>
    <w:rsid w:val="005115CE"/>
    <w:rsid w:val="0051722D"/>
    <w:rsid w:val="005176AC"/>
    <w:rsid w:val="00521F11"/>
    <w:rsid w:val="005234D1"/>
    <w:rsid w:val="005429D3"/>
    <w:rsid w:val="00545963"/>
    <w:rsid w:val="00546729"/>
    <w:rsid w:val="00546E2D"/>
    <w:rsid w:val="00547410"/>
    <w:rsid w:val="0055213F"/>
    <w:rsid w:val="00557B66"/>
    <w:rsid w:val="00565CE0"/>
    <w:rsid w:val="0056769B"/>
    <w:rsid w:val="00567735"/>
    <w:rsid w:val="0057238E"/>
    <w:rsid w:val="00575454"/>
    <w:rsid w:val="0058029D"/>
    <w:rsid w:val="00581ED5"/>
    <w:rsid w:val="005847F2"/>
    <w:rsid w:val="00587689"/>
    <w:rsid w:val="005932C4"/>
    <w:rsid w:val="00593400"/>
    <w:rsid w:val="0059608B"/>
    <w:rsid w:val="005A099B"/>
    <w:rsid w:val="005A1886"/>
    <w:rsid w:val="005A37D4"/>
    <w:rsid w:val="005A5397"/>
    <w:rsid w:val="005A54C8"/>
    <w:rsid w:val="005C298D"/>
    <w:rsid w:val="005C3041"/>
    <w:rsid w:val="005C3279"/>
    <w:rsid w:val="005C6B1C"/>
    <w:rsid w:val="005D5343"/>
    <w:rsid w:val="005D60A5"/>
    <w:rsid w:val="005D6847"/>
    <w:rsid w:val="005E4B8D"/>
    <w:rsid w:val="005E6A94"/>
    <w:rsid w:val="005F0956"/>
    <w:rsid w:val="005F1231"/>
    <w:rsid w:val="005F3604"/>
    <w:rsid w:val="005F6A4B"/>
    <w:rsid w:val="005F7B5B"/>
    <w:rsid w:val="006009ED"/>
    <w:rsid w:val="006035D4"/>
    <w:rsid w:val="00607091"/>
    <w:rsid w:val="006077D3"/>
    <w:rsid w:val="00610A79"/>
    <w:rsid w:val="00610B88"/>
    <w:rsid w:val="00613EA2"/>
    <w:rsid w:val="00616BCA"/>
    <w:rsid w:val="00626181"/>
    <w:rsid w:val="00626DB8"/>
    <w:rsid w:val="0062768C"/>
    <w:rsid w:val="0063119E"/>
    <w:rsid w:val="006336E0"/>
    <w:rsid w:val="006348AB"/>
    <w:rsid w:val="0063641C"/>
    <w:rsid w:val="00636483"/>
    <w:rsid w:val="00642E0C"/>
    <w:rsid w:val="00646A69"/>
    <w:rsid w:val="00650F74"/>
    <w:rsid w:val="00651587"/>
    <w:rsid w:val="00651AE1"/>
    <w:rsid w:val="00653420"/>
    <w:rsid w:val="00656DE4"/>
    <w:rsid w:val="00661426"/>
    <w:rsid w:val="00665FF9"/>
    <w:rsid w:val="00670C59"/>
    <w:rsid w:val="00672B80"/>
    <w:rsid w:val="006731C7"/>
    <w:rsid w:val="00674393"/>
    <w:rsid w:val="006759BA"/>
    <w:rsid w:val="00676561"/>
    <w:rsid w:val="006835B8"/>
    <w:rsid w:val="00685AA6"/>
    <w:rsid w:val="00691AA9"/>
    <w:rsid w:val="006949C2"/>
    <w:rsid w:val="00695381"/>
    <w:rsid w:val="006A0CD6"/>
    <w:rsid w:val="006A3174"/>
    <w:rsid w:val="006A5078"/>
    <w:rsid w:val="006A7175"/>
    <w:rsid w:val="006B24F4"/>
    <w:rsid w:val="006B3373"/>
    <w:rsid w:val="006B34C1"/>
    <w:rsid w:val="006C4582"/>
    <w:rsid w:val="006C5957"/>
    <w:rsid w:val="006C6238"/>
    <w:rsid w:val="006E76B9"/>
    <w:rsid w:val="006F225B"/>
    <w:rsid w:val="006F3899"/>
    <w:rsid w:val="006F7BC3"/>
    <w:rsid w:val="00713B52"/>
    <w:rsid w:val="007140B5"/>
    <w:rsid w:val="007220C0"/>
    <w:rsid w:val="007229D1"/>
    <w:rsid w:val="0072727D"/>
    <w:rsid w:val="0073003D"/>
    <w:rsid w:val="00731E34"/>
    <w:rsid w:val="00733F58"/>
    <w:rsid w:val="00744840"/>
    <w:rsid w:val="0074667F"/>
    <w:rsid w:val="00746CCF"/>
    <w:rsid w:val="0075720E"/>
    <w:rsid w:val="00760459"/>
    <w:rsid w:val="0076464F"/>
    <w:rsid w:val="007710EC"/>
    <w:rsid w:val="00772128"/>
    <w:rsid w:val="007723E4"/>
    <w:rsid w:val="0077461E"/>
    <w:rsid w:val="007772C9"/>
    <w:rsid w:val="00777769"/>
    <w:rsid w:val="00782755"/>
    <w:rsid w:val="00787F28"/>
    <w:rsid w:val="00791312"/>
    <w:rsid w:val="00792E53"/>
    <w:rsid w:val="0079363C"/>
    <w:rsid w:val="00794C87"/>
    <w:rsid w:val="007A0234"/>
    <w:rsid w:val="007A49EF"/>
    <w:rsid w:val="007A7609"/>
    <w:rsid w:val="007B33CE"/>
    <w:rsid w:val="007C128A"/>
    <w:rsid w:val="007C272B"/>
    <w:rsid w:val="007C67BC"/>
    <w:rsid w:val="007C7BA3"/>
    <w:rsid w:val="007C7C46"/>
    <w:rsid w:val="007D2957"/>
    <w:rsid w:val="007D2EBD"/>
    <w:rsid w:val="007D317B"/>
    <w:rsid w:val="007D3298"/>
    <w:rsid w:val="007D3315"/>
    <w:rsid w:val="007D34E2"/>
    <w:rsid w:val="007D4FEA"/>
    <w:rsid w:val="007D57AC"/>
    <w:rsid w:val="007D7286"/>
    <w:rsid w:val="007D7403"/>
    <w:rsid w:val="007E1D86"/>
    <w:rsid w:val="007E213F"/>
    <w:rsid w:val="007E74E3"/>
    <w:rsid w:val="007E76E2"/>
    <w:rsid w:val="007F0479"/>
    <w:rsid w:val="007F42B2"/>
    <w:rsid w:val="007F4DC2"/>
    <w:rsid w:val="007F5145"/>
    <w:rsid w:val="007F5C25"/>
    <w:rsid w:val="007F7E38"/>
    <w:rsid w:val="008024BE"/>
    <w:rsid w:val="008032EB"/>
    <w:rsid w:val="0080583A"/>
    <w:rsid w:val="00814509"/>
    <w:rsid w:val="00815E6E"/>
    <w:rsid w:val="00822ACD"/>
    <w:rsid w:val="008238CA"/>
    <w:rsid w:val="00825CF6"/>
    <w:rsid w:val="008328C2"/>
    <w:rsid w:val="00834B21"/>
    <w:rsid w:val="0083673C"/>
    <w:rsid w:val="0084157A"/>
    <w:rsid w:val="0084172C"/>
    <w:rsid w:val="0084213D"/>
    <w:rsid w:val="00842FB6"/>
    <w:rsid w:val="008436EA"/>
    <w:rsid w:val="008446A7"/>
    <w:rsid w:val="0084485A"/>
    <w:rsid w:val="00847026"/>
    <w:rsid w:val="0085380E"/>
    <w:rsid w:val="008603BB"/>
    <w:rsid w:val="00867B16"/>
    <w:rsid w:val="008700CA"/>
    <w:rsid w:val="00870AF3"/>
    <w:rsid w:val="00873477"/>
    <w:rsid w:val="00873B06"/>
    <w:rsid w:val="0087542F"/>
    <w:rsid w:val="008807F8"/>
    <w:rsid w:val="008834FA"/>
    <w:rsid w:val="008849BD"/>
    <w:rsid w:val="008854C8"/>
    <w:rsid w:val="0088556E"/>
    <w:rsid w:val="00887CC8"/>
    <w:rsid w:val="008903B0"/>
    <w:rsid w:val="00892AF0"/>
    <w:rsid w:val="00893649"/>
    <w:rsid w:val="00897182"/>
    <w:rsid w:val="008A07A3"/>
    <w:rsid w:val="008A25A6"/>
    <w:rsid w:val="008A3D6B"/>
    <w:rsid w:val="008A66FA"/>
    <w:rsid w:val="008B25D2"/>
    <w:rsid w:val="008B2D42"/>
    <w:rsid w:val="008B50D5"/>
    <w:rsid w:val="008B5FBB"/>
    <w:rsid w:val="008B7A41"/>
    <w:rsid w:val="008C106C"/>
    <w:rsid w:val="008C1BCA"/>
    <w:rsid w:val="008C1F23"/>
    <w:rsid w:val="008C24B6"/>
    <w:rsid w:val="008C3B1D"/>
    <w:rsid w:val="008C3DC6"/>
    <w:rsid w:val="008C533C"/>
    <w:rsid w:val="008C5649"/>
    <w:rsid w:val="008D0B80"/>
    <w:rsid w:val="008D1214"/>
    <w:rsid w:val="008D28AD"/>
    <w:rsid w:val="008D2D2B"/>
    <w:rsid w:val="008D4234"/>
    <w:rsid w:val="008E42B7"/>
    <w:rsid w:val="008E48A8"/>
    <w:rsid w:val="008F3216"/>
    <w:rsid w:val="008F37D3"/>
    <w:rsid w:val="008F7943"/>
    <w:rsid w:val="009004CC"/>
    <w:rsid w:val="009054B9"/>
    <w:rsid w:val="009066CE"/>
    <w:rsid w:val="00907EF4"/>
    <w:rsid w:val="009122C5"/>
    <w:rsid w:val="00913844"/>
    <w:rsid w:val="00915EB7"/>
    <w:rsid w:val="0092273B"/>
    <w:rsid w:val="00923816"/>
    <w:rsid w:val="00926C31"/>
    <w:rsid w:val="00927036"/>
    <w:rsid w:val="00930293"/>
    <w:rsid w:val="009339FC"/>
    <w:rsid w:val="009373DF"/>
    <w:rsid w:val="00940B64"/>
    <w:rsid w:val="00942D16"/>
    <w:rsid w:val="00945AED"/>
    <w:rsid w:val="009473C1"/>
    <w:rsid w:val="00947B5C"/>
    <w:rsid w:val="009520FE"/>
    <w:rsid w:val="009528C7"/>
    <w:rsid w:val="0095673E"/>
    <w:rsid w:val="00962267"/>
    <w:rsid w:val="009623D3"/>
    <w:rsid w:val="00964E3D"/>
    <w:rsid w:val="009667E4"/>
    <w:rsid w:val="009724BE"/>
    <w:rsid w:val="00972A76"/>
    <w:rsid w:val="00973061"/>
    <w:rsid w:val="009755DA"/>
    <w:rsid w:val="00977C24"/>
    <w:rsid w:val="0098250B"/>
    <w:rsid w:val="00984261"/>
    <w:rsid w:val="00984DE0"/>
    <w:rsid w:val="009914FC"/>
    <w:rsid w:val="0099472E"/>
    <w:rsid w:val="00995160"/>
    <w:rsid w:val="009964FD"/>
    <w:rsid w:val="0099714A"/>
    <w:rsid w:val="009A170F"/>
    <w:rsid w:val="009A675C"/>
    <w:rsid w:val="009B1418"/>
    <w:rsid w:val="009B25D4"/>
    <w:rsid w:val="009B3E34"/>
    <w:rsid w:val="009B4F61"/>
    <w:rsid w:val="009B6FAB"/>
    <w:rsid w:val="009C5AD6"/>
    <w:rsid w:val="009D147D"/>
    <w:rsid w:val="009F189A"/>
    <w:rsid w:val="009F3DD5"/>
    <w:rsid w:val="009F4A01"/>
    <w:rsid w:val="009F4BA4"/>
    <w:rsid w:val="009F7AD2"/>
    <w:rsid w:val="009F7C3C"/>
    <w:rsid w:val="00A0248D"/>
    <w:rsid w:val="00A049FF"/>
    <w:rsid w:val="00A0634E"/>
    <w:rsid w:val="00A12F66"/>
    <w:rsid w:val="00A1568F"/>
    <w:rsid w:val="00A2041C"/>
    <w:rsid w:val="00A20993"/>
    <w:rsid w:val="00A24F3D"/>
    <w:rsid w:val="00A2555C"/>
    <w:rsid w:val="00A302E3"/>
    <w:rsid w:val="00A358E5"/>
    <w:rsid w:val="00A359C3"/>
    <w:rsid w:val="00A364B2"/>
    <w:rsid w:val="00A412A9"/>
    <w:rsid w:val="00A45EBE"/>
    <w:rsid w:val="00A50657"/>
    <w:rsid w:val="00A52339"/>
    <w:rsid w:val="00A527AC"/>
    <w:rsid w:val="00A54618"/>
    <w:rsid w:val="00A56E9E"/>
    <w:rsid w:val="00A57054"/>
    <w:rsid w:val="00A616D3"/>
    <w:rsid w:val="00A61D57"/>
    <w:rsid w:val="00A62132"/>
    <w:rsid w:val="00A700BD"/>
    <w:rsid w:val="00A70596"/>
    <w:rsid w:val="00A70A18"/>
    <w:rsid w:val="00A70B50"/>
    <w:rsid w:val="00A76A64"/>
    <w:rsid w:val="00A811D2"/>
    <w:rsid w:val="00A8254A"/>
    <w:rsid w:val="00A8317C"/>
    <w:rsid w:val="00A831A5"/>
    <w:rsid w:val="00A85A85"/>
    <w:rsid w:val="00A86889"/>
    <w:rsid w:val="00A87CD8"/>
    <w:rsid w:val="00A92DA2"/>
    <w:rsid w:val="00A9344B"/>
    <w:rsid w:val="00A94CCE"/>
    <w:rsid w:val="00AA3FD5"/>
    <w:rsid w:val="00AA7FD7"/>
    <w:rsid w:val="00AB25A7"/>
    <w:rsid w:val="00AB26E1"/>
    <w:rsid w:val="00AB7199"/>
    <w:rsid w:val="00AB768F"/>
    <w:rsid w:val="00AC2464"/>
    <w:rsid w:val="00AC3E02"/>
    <w:rsid w:val="00AC482F"/>
    <w:rsid w:val="00AD02D8"/>
    <w:rsid w:val="00AD052A"/>
    <w:rsid w:val="00AD18C2"/>
    <w:rsid w:val="00AD3566"/>
    <w:rsid w:val="00AD4E7C"/>
    <w:rsid w:val="00AD6C39"/>
    <w:rsid w:val="00AE192C"/>
    <w:rsid w:val="00AE6ECD"/>
    <w:rsid w:val="00AF0A54"/>
    <w:rsid w:val="00AF1343"/>
    <w:rsid w:val="00AF231A"/>
    <w:rsid w:val="00AF48FD"/>
    <w:rsid w:val="00AF50CD"/>
    <w:rsid w:val="00AF7490"/>
    <w:rsid w:val="00B00610"/>
    <w:rsid w:val="00B019D5"/>
    <w:rsid w:val="00B02B79"/>
    <w:rsid w:val="00B0393A"/>
    <w:rsid w:val="00B04141"/>
    <w:rsid w:val="00B11BEA"/>
    <w:rsid w:val="00B1348C"/>
    <w:rsid w:val="00B16EFB"/>
    <w:rsid w:val="00B2696C"/>
    <w:rsid w:val="00B31967"/>
    <w:rsid w:val="00B33940"/>
    <w:rsid w:val="00B34869"/>
    <w:rsid w:val="00B36F31"/>
    <w:rsid w:val="00B41BA2"/>
    <w:rsid w:val="00B43849"/>
    <w:rsid w:val="00B461D0"/>
    <w:rsid w:val="00B5169A"/>
    <w:rsid w:val="00B51EDF"/>
    <w:rsid w:val="00B52856"/>
    <w:rsid w:val="00B54AFE"/>
    <w:rsid w:val="00B550FC"/>
    <w:rsid w:val="00B560C5"/>
    <w:rsid w:val="00B57E6F"/>
    <w:rsid w:val="00B607C6"/>
    <w:rsid w:val="00B61CB3"/>
    <w:rsid w:val="00B620F0"/>
    <w:rsid w:val="00B63D0E"/>
    <w:rsid w:val="00B663D1"/>
    <w:rsid w:val="00B806BF"/>
    <w:rsid w:val="00B81426"/>
    <w:rsid w:val="00B85AEA"/>
    <w:rsid w:val="00B904CD"/>
    <w:rsid w:val="00B92A25"/>
    <w:rsid w:val="00B93404"/>
    <w:rsid w:val="00B9535F"/>
    <w:rsid w:val="00BA257C"/>
    <w:rsid w:val="00BA6F17"/>
    <w:rsid w:val="00BB215C"/>
    <w:rsid w:val="00BB443C"/>
    <w:rsid w:val="00BB4C55"/>
    <w:rsid w:val="00BB4DD3"/>
    <w:rsid w:val="00BC006C"/>
    <w:rsid w:val="00BC0DE9"/>
    <w:rsid w:val="00BC1A33"/>
    <w:rsid w:val="00BC3662"/>
    <w:rsid w:val="00BC6BC1"/>
    <w:rsid w:val="00BD1081"/>
    <w:rsid w:val="00BD4F80"/>
    <w:rsid w:val="00BD58D6"/>
    <w:rsid w:val="00BE14C0"/>
    <w:rsid w:val="00BE69D3"/>
    <w:rsid w:val="00BE70B9"/>
    <w:rsid w:val="00BF06E5"/>
    <w:rsid w:val="00BF0E70"/>
    <w:rsid w:val="00BF2886"/>
    <w:rsid w:val="00BF68E3"/>
    <w:rsid w:val="00C01983"/>
    <w:rsid w:val="00C05071"/>
    <w:rsid w:val="00C05D4F"/>
    <w:rsid w:val="00C0661B"/>
    <w:rsid w:val="00C1337A"/>
    <w:rsid w:val="00C15226"/>
    <w:rsid w:val="00C154E1"/>
    <w:rsid w:val="00C16953"/>
    <w:rsid w:val="00C20479"/>
    <w:rsid w:val="00C211F2"/>
    <w:rsid w:val="00C2397E"/>
    <w:rsid w:val="00C30A5C"/>
    <w:rsid w:val="00C31259"/>
    <w:rsid w:val="00C320C1"/>
    <w:rsid w:val="00C32ADA"/>
    <w:rsid w:val="00C33A8F"/>
    <w:rsid w:val="00C33D5F"/>
    <w:rsid w:val="00C342B0"/>
    <w:rsid w:val="00C353F6"/>
    <w:rsid w:val="00C405A1"/>
    <w:rsid w:val="00C40C6B"/>
    <w:rsid w:val="00C423E4"/>
    <w:rsid w:val="00C44DA4"/>
    <w:rsid w:val="00C450C0"/>
    <w:rsid w:val="00C45C2C"/>
    <w:rsid w:val="00C53ACC"/>
    <w:rsid w:val="00C56AB5"/>
    <w:rsid w:val="00C60C48"/>
    <w:rsid w:val="00C620A3"/>
    <w:rsid w:val="00C75789"/>
    <w:rsid w:val="00C7713C"/>
    <w:rsid w:val="00C807FB"/>
    <w:rsid w:val="00C815C0"/>
    <w:rsid w:val="00C81DA6"/>
    <w:rsid w:val="00C82BE1"/>
    <w:rsid w:val="00C90543"/>
    <w:rsid w:val="00C91148"/>
    <w:rsid w:val="00C9145E"/>
    <w:rsid w:val="00C9230B"/>
    <w:rsid w:val="00C93260"/>
    <w:rsid w:val="00C94844"/>
    <w:rsid w:val="00C95F08"/>
    <w:rsid w:val="00C96FB0"/>
    <w:rsid w:val="00CA084A"/>
    <w:rsid w:val="00CA0980"/>
    <w:rsid w:val="00CA1ED1"/>
    <w:rsid w:val="00CA41EA"/>
    <w:rsid w:val="00CA5DA0"/>
    <w:rsid w:val="00CB087F"/>
    <w:rsid w:val="00CB0CD8"/>
    <w:rsid w:val="00CB1F55"/>
    <w:rsid w:val="00CB327B"/>
    <w:rsid w:val="00CB4576"/>
    <w:rsid w:val="00CC7459"/>
    <w:rsid w:val="00CD37CD"/>
    <w:rsid w:val="00CD494C"/>
    <w:rsid w:val="00CD66FC"/>
    <w:rsid w:val="00CD6CB9"/>
    <w:rsid w:val="00CD758F"/>
    <w:rsid w:val="00CE55B1"/>
    <w:rsid w:val="00CE5E4E"/>
    <w:rsid w:val="00CF17C3"/>
    <w:rsid w:val="00D02A15"/>
    <w:rsid w:val="00D02BD3"/>
    <w:rsid w:val="00D03050"/>
    <w:rsid w:val="00D0498C"/>
    <w:rsid w:val="00D116BA"/>
    <w:rsid w:val="00D160C3"/>
    <w:rsid w:val="00D16BB2"/>
    <w:rsid w:val="00D20048"/>
    <w:rsid w:val="00D21BC6"/>
    <w:rsid w:val="00D224E3"/>
    <w:rsid w:val="00D259FB"/>
    <w:rsid w:val="00D272D3"/>
    <w:rsid w:val="00D33CE7"/>
    <w:rsid w:val="00D35DE1"/>
    <w:rsid w:val="00D37718"/>
    <w:rsid w:val="00D37B85"/>
    <w:rsid w:val="00D40189"/>
    <w:rsid w:val="00D4345C"/>
    <w:rsid w:val="00D43772"/>
    <w:rsid w:val="00D452CE"/>
    <w:rsid w:val="00D455C7"/>
    <w:rsid w:val="00D45674"/>
    <w:rsid w:val="00D50CB0"/>
    <w:rsid w:val="00D51F7C"/>
    <w:rsid w:val="00D52919"/>
    <w:rsid w:val="00D5355D"/>
    <w:rsid w:val="00D53E04"/>
    <w:rsid w:val="00D56578"/>
    <w:rsid w:val="00D569C1"/>
    <w:rsid w:val="00D56FF5"/>
    <w:rsid w:val="00D570BC"/>
    <w:rsid w:val="00D61681"/>
    <w:rsid w:val="00D720AA"/>
    <w:rsid w:val="00D74541"/>
    <w:rsid w:val="00D748F6"/>
    <w:rsid w:val="00D77AB8"/>
    <w:rsid w:val="00D85D87"/>
    <w:rsid w:val="00D863AC"/>
    <w:rsid w:val="00D9705B"/>
    <w:rsid w:val="00DA0A96"/>
    <w:rsid w:val="00DA2FDF"/>
    <w:rsid w:val="00DA38D5"/>
    <w:rsid w:val="00DA529D"/>
    <w:rsid w:val="00DA54B3"/>
    <w:rsid w:val="00DA7A8E"/>
    <w:rsid w:val="00DB7FF7"/>
    <w:rsid w:val="00DC0989"/>
    <w:rsid w:val="00DC1818"/>
    <w:rsid w:val="00DC18CD"/>
    <w:rsid w:val="00DC1E0C"/>
    <w:rsid w:val="00DC2D03"/>
    <w:rsid w:val="00DC3835"/>
    <w:rsid w:val="00DC74BE"/>
    <w:rsid w:val="00DD1D4F"/>
    <w:rsid w:val="00DD3124"/>
    <w:rsid w:val="00DD49C5"/>
    <w:rsid w:val="00DD5336"/>
    <w:rsid w:val="00DE012E"/>
    <w:rsid w:val="00DE4D68"/>
    <w:rsid w:val="00DE5133"/>
    <w:rsid w:val="00DE6422"/>
    <w:rsid w:val="00DF1F16"/>
    <w:rsid w:val="00DF4CFC"/>
    <w:rsid w:val="00DF6B18"/>
    <w:rsid w:val="00DF7D34"/>
    <w:rsid w:val="00E044A8"/>
    <w:rsid w:val="00E04EA0"/>
    <w:rsid w:val="00E128A7"/>
    <w:rsid w:val="00E1335F"/>
    <w:rsid w:val="00E1376F"/>
    <w:rsid w:val="00E14F00"/>
    <w:rsid w:val="00E20F55"/>
    <w:rsid w:val="00E21F1C"/>
    <w:rsid w:val="00E23968"/>
    <w:rsid w:val="00E26E06"/>
    <w:rsid w:val="00E270B0"/>
    <w:rsid w:val="00E272CB"/>
    <w:rsid w:val="00E351F9"/>
    <w:rsid w:val="00E4120D"/>
    <w:rsid w:val="00E41667"/>
    <w:rsid w:val="00E428F2"/>
    <w:rsid w:val="00E43E06"/>
    <w:rsid w:val="00E463DC"/>
    <w:rsid w:val="00E478E2"/>
    <w:rsid w:val="00E52D3D"/>
    <w:rsid w:val="00E532EE"/>
    <w:rsid w:val="00E53ED4"/>
    <w:rsid w:val="00E549E1"/>
    <w:rsid w:val="00E56A13"/>
    <w:rsid w:val="00E64E3C"/>
    <w:rsid w:val="00E65EF4"/>
    <w:rsid w:val="00E67E54"/>
    <w:rsid w:val="00E70E83"/>
    <w:rsid w:val="00E718E0"/>
    <w:rsid w:val="00E74980"/>
    <w:rsid w:val="00E75995"/>
    <w:rsid w:val="00E814CF"/>
    <w:rsid w:val="00E82DD0"/>
    <w:rsid w:val="00E8472E"/>
    <w:rsid w:val="00E912EE"/>
    <w:rsid w:val="00E94C73"/>
    <w:rsid w:val="00EA195F"/>
    <w:rsid w:val="00EA3636"/>
    <w:rsid w:val="00EA553E"/>
    <w:rsid w:val="00EA6E0E"/>
    <w:rsid w:val="00EA76AE"/>
    <w:rsid w:val="00EB07AB"/>
    <w:rsid w:val="00EB20FC"/>
    <w:rsid w:val="00EB4CB3"/>
    <w:rsid w:val="00EB68FF"/>
    <w:rsid w:val="00EB7E21"/>
    <w:rsid w:val="00EC655A"/>
    <w:rsid w:val="00ED04A2"/>
    <w:rsid w:val="00ED0811"/>
    <w:rsid w:val="00ED440A"/>
    <w:rsid w:val="00EE0264"/>
    <w:rsid w:val="00EE02C4"/>
    <w:rsid w:val="00EE1A32"/>
    <w:rsid w:val="00EE33C0"/>
    <w:rsid w:val="00EE6140"/>
    <w:rsid w:val="00EF04B5"/>
    <w:rsid w:val="00EF5E3C"/>
    <w:rsid w:val="00F00876"/>
    <w:rsid w:val="00F01A6D"/>
    <w:rsid w:val="00F029B6"/>
    <w:rsid w:val="00F10D71"/>
    <w:rsid w:val="00F13EC0"/>
    <w:rsid w:val="00F150BE"/>
    <w:rsid w:val="00F16E0F"/>
    <w:rsid w:val="00F210F9"/>
    <w:rsid w:val="00F21E8C"/>
    <w:rsid w:val="00F22F77"/>
    <w:rsid w:val="00F264A0"/>
    <w:rsid w:val="00F331F2"/>
    <w:rsid w:val="00F33228"/>
    <w:rsid w:val="00F339BB"/>
    <w:rsid w:val="00F352A0"/>
    <w:rsid w:val="00F37A43"/>
    <w:rsid w:val="00F408D6"/>
    <w:rsid w:val="00F42CEA"/>
    <w:rsid w:val="00F44ABC"/>
    <w:rsid w:val="00F451F6"/>
    <w:rsid w:val="00F4616F"/>
    <w:rsid w:val="00F5191E"/>
    <w:rsid w:val="00F52235"/>
    <w:rsid w:val="00F52A8E"/>
    <w:rsid w:val="00F63D30"/>
    <w:rsid w:val="00F63D62"/>
    <w:rsid w:val="00F706D8"/>
    <w:rsid w:val="00F70FF0"/>
    <w:rsid w:val="00F72C28"/>
    <w:rsid w:val="00F72DA8"/>
    <w:rsid w:val="00F72E52"/>
    <w:rsid w:val="00F73C14"/>
    <w:rsid w:val="00F77001"/>
    <w:rsid w:val="00F7756A"/>
    <w:rsid w:val="00F843C6"/>
    <w:rsid w:val="00F846E3"/>
    <w:rsid w:val="00F84D44"/>
    <w:rsid w:val="00F85A91"/>
    <w:rsid w:val="00F87E05"/>
    <w:rsid w:val="00F901E4"/>
    <w:rsid w:val="00F92DFE"/>
    <w:rsid w:val="00F96B2D"/>
    <w:rsid w:val="00FA2782"/>
    <w:rsid w:val="00FA3116"/>
    <w:rsid w:val="00FA36CA"/>
    <w:rsid w:val="00FA5574"/>
    <w:rsid w:val="00FA68D6"/>
    <w:rsid w:val="00FB22BA"/>
    <w:rsid w:val="00FB4225"/>
    <w:rsid w:val="00FB4BB4"/>
    <w:rsid w:val="00FB7397"/>
    <w:rsid w:val="00FC0A45"/>
    <w:rsid w:val="00FD2140"/>
    <w:rsid w:val="00FD258E"/>
    <w:rsid w:val="00FD319C"/>
    <w:rsid w:val="00FD4510"/>
    <w:rsid w:val="00FE3A9B"/>
    <w:rsid w:val="00FF094E"/>
    <w:rsid w:val="00FF1CA9"/>
    <w:rsid w:val="00FF4B5A"/>
    <w:rsid w:val="00FF7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893A98"/>
  <w15:docId w15:val="{1ACDD69E-D2F0-4BBA-8F13-E589B316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63"/>
    <w:pPr>
      <w:tabs>
        <w:tab w:val="left" w:pos="567"/>
      </w:tabs>
      <w:spacing w:line="260" w:lineRule="exact"/>
    </w:pPr>
    <w:rPr>
      <w:sz w:val="22"/>
      <w:lang w:val="en-GB" w:eastAsia="en-US"/>
    </w:rPr>
  </w:style>
  <w:style w:type="paragraph" w:styleId="Heading1">
    <w:name w:val="heading 1"/>
    <w:basedOn w:val="Normal"/>
    <w:next w:val="Normal"/>
    <w:qFormat/>
    <w:rsid w:val="00D56FF5"/>
    <w:pPr>
      <w:ind w:left="357" w:hanging="357"/>
      <w:outlineLvl w:val="0"/>
    </w:pPr>
    <w:rPr>
      <w:b/>
      <w:caps/>
      <w:lang w:val="en-US"/>
    </w:rPr>
  </w:style>
  <w:style w:type="paragraph" w:styleId="Heading2">
    <w:name w:val="heading 2"/>
    <w:basedOn w:val="Normal"/>
    <w:next w:val="Normal"/>
    <w:qFormat/>
    <w:rsid w:val="00D56FF5"/>
    <w:pPr>
      <w:keepNext/>
      <w:spacing w:line="240" w:lineRule="auto"/>
      <w:outlineLvl w:val="1"/>
    </w:pPr>
    <w:rPr>
      <w:b/>
    </w:rPr>
  </w:style>
  <w:style w:type="paragraph" w:styleId="Heading3">
    <w:name w:val="heading 3"/>
    <w:basedOn w:val="Normal"/>
    <w:next w:val="Normal"/>
    <w:qFormat/>
    <w:rsid w:val="00545963"/>
    <w:pPr>
      <w:keepNext/>
      <w:keepLines/>
      <w:spacing w:before="120" w:after="80"/>
      <w:outlineLvl w:val="2"/>
    </w:pPr>
    <w:rPr>
      <w:b/>
      <w:kern w:val="28"/>
      <w:sz w:val="24"/>
      <w:lang w:val="en-US"/>
    </w:rPr>
  </w:style>
  <w:style w:type="paragraph" w:styleId="Heading4">
    <w:name w:val="heading 4"/>
    <w:basedOn w:val="Normal"/>
    <w:next w:val="Normal"/>
    <w:qFormat/>
    <w:rsid w:val="00545963"/>
    <w:pPr>
      <w:keepNext/>
      <w:jc w:val="both"/>
      <w:outlineLvl w:val="3"/>
    </w:pPr>
    <w:rPr>
      <w:b/>
      <w:noProof/>
    </w:rPr>
  </w:style>
  <w:style w:type="paragraph" w:styleId="Heading5">
    <w:name w:val="heading 5"/>
    <w:basedOn w:val="Normal"/>
    <w:next w:val="Normal"/>
    <w:qFormat/>
    <w:rsid w:val="00545963"/>
    <w:pPr>
      <w:keepNext/>
      <w:jc w:val="both"/>
      <w:outlineLvl w:val="4"/>
    </w:pPr>
    <w:rPr>
      <w:noProof/>
    </w:rPr>
  </w:style>
  <w:style w:type="paragraph" w:styleId="Heading6">
    <w:name w:val="heading 6"/>
    <w:basedOn w:val="Normal"/>
    <w:next w:val="Normal"/>
    <w:qFormat/>
    <w:rsid w:val="00545963"/>
    <w:pPr>
      <w:keepNext/>
      <w:tabs>
        <w:tab w:val="left" w:pos="-720"/>
        <w:tab w:val="left" w:pos="4536"/>
      </w:tabs>
      <w:suppressAutoHyphens/>
      <w:outlineLvl w:val="5"/>
    </w:pPr>
    <w:rPr>
      <w:i/>
    </w:rPr>
  </w:style>
  <w:style w:type="paragraph" w:styleId="Heading7">
    <w:name w:val="heading 7"/>
    <w:basedOn w:val="Normal"/>
    <w:next w:val="Normal"/>
    <w:qFormat/>
    <w:rsid w:val="00545963"/>
    <w:pPr>
      <w:keepNext/>
      <w:tabs>
        <w:tab w:val="left" w:pos="-720"/>
        <w:tab w:val="left" w:pos="4536"/>
      </w:tabs>
      <w:suppressAutoHyphens/>
      <w:jc w:val="both"/>
      <w:outlineLvl w:val="6"/>
    </w:pPr>
    <w:rPr>
      <w:i/>
    </w:rPr>
  </w:style>
  <w:style w:type="paragraph" w:styleId="Heading8">
    <w:name w:val="heading 8"/>
    <w:basedOn w:val="Normal"/>
    <w:next w:val="Normal"/>
    <w:qFormat/>
    <w:rsid w:val="00545963"/>
    <w:pPr>
      <w:keepNext/>
      <w:ind w:left="567" w:hanging="567"/>
      <w:jc w:val="both"/>
      <w:outlineLvl w:val="7"/>
    </w:pPr>
    <w:rPr>
      <w:b/>
      <w:i/>
    </w:rPr>
  </w:style>
  <w:style w:type="paragraph" w:styleId="Heading9">
    <w:name w:val="heading 9"/>
    <w:basedOn w:val="Normal"/>
    <w:next w:val="Normal"/>
    <w:qFormat/>
    <w:rsid w:val="00545963"/>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963"/>
    <w:pPr>
      <w:tabs>
        <w:tab w:val="center" w:pos="4153"/>
        <w:tab w:val="right" w:pos="8306"/>
      </w:tabs>
      <w:spacing w:line="240" w:lineRule="auto"/>
    </w:pPr>
    <w:rPr>
      <w:rFonts w:ascii="Helvetica" w:hAnsi="Helvetica"/>
      <w:sz w:val="20"/>
    </w:rPr>
  </w:style>
  <w:style w:type="paragraph" w:styleId="Footer">
    <w:name w:val="footer"/>
    <w:basedOn w:val="Normal"/>
    <w:rsid w:val="00545963"/>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545963"/>
  </w:style>
  <w:style w:type="paragraph" w:styleId="BodyTextIndent">
    <w:name w:val="Body Text Indent"/>
    <w:basedOn w:val="Normal"/>
    <w:rsid w:val="00545963"/>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rsid w:val="00545963"/>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rsid w:val="00545963"/>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rsid w:val="00545963"/>
    <w:pPr>
      <w:tabs>
        <w:tab w:val="clear" w:pos="567"/>
      </w:tabs>
      <w:spacing w:line="240" w:lineRule="auto"/>
    </w:pPr>
    <w:rPr>
      <w:i/>
      <w:color w:val="008000"/>
    </w:rPr>
  </w:style>
  <w:style w:type="paragraph" w:styleId="BodyText2">
    <w:name w:val="Body Text 2"/>
    <w:basedOn w:val="Normal"/>
    <w:rsid w:val="00545963"/>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sid w:val="00545963"/>
    <w:rPr>
      <w:sz w:val="16"/>
      <w:szCs w:val="16"/>
    </w:rPr>
  </w:style>
  <w:style w:type="paragraph" w:styleId="CommentText">
    <w:name w:val="annotation text"/>
    <w:basedOn w:val="Normal"/>
    <w:link w:val="CommentTextChar"/>
    <w:rsid w:val="00545963"/>
    <w:rPr>
      <w:sz w:val="20"/>
    </w:rPr>
  </w:style>
  <w:style w:type="paragraph" w:customStyle="1" w:styleId="EMEAEnBodyText">
    <w:name w:val="EMEA En Body Text"/>
    <w:basedOn w:val="Normal"/>
    <w:rsid w:val="00545963"/>
    <w:pPr>
      <w:tabs>
        <w:tab w:val="clear" w:pos="567"/>
      </w:tabs>
      <w:spacing w:before="120" w:after="120" w:line="240" w:lineRule="auto"/>
      <w:jc w:val="both"/>
    </w:pPr>
    <w:rPr>
      <w:lang w:val="en-US"/>
    </w:rPr>
  </w:style>
  <w:style w:type="paragraph" w:styleId="DocumentMap">
    <w:name w:val="Document Map"/>
    <w:basedOn w:val="Normal"/>
    <w:semiHidden/>
    <w:rsid w:val="00545963"/>
    <w:pPr>
      <w:shd w:val="clear" w:color="auto" w:fill="000080"/>
    </w:pPr>
    <w:rPr>
      <w:rFonts w:ascii="Tahoma" w:hAnsi="Tahoma" w:cs="Tahoma"/>
    </w:rPr>
  </w:style>
  <w:style w:type="character" w:styleId="Hyperlink">
    <w:name w:val="Hyperlink"/>
    <w:rsid w:val="00545963"/>
    <w:rPr>
      <w:color w:val="0000FF"/>
      <w:u w:val="single"/>
    </w:rPr>
  </w:style>
  <w:style w:type="paragraph" w:customStyle="1" w:styleId="AHeader1">
    <w:name w:val="AHeader 1"/>
    <w:basedOn w:val="Normal"/>
    <w:rsid w:val="00545963"/>
    <w:pPr>
      <w:numPr>
        <w:numId w:val="30"/>
      </w:numPr>
      <w:tabs>
        <w:tab w:val="clear" w:pos="567"/>
      </w:tabs>
      <w:spacing w:after="120" w:line="240" w:lineRule="auto"/>
    </w:pPr>
    <w:rPr>
      <w:rFonts w:ascii="Arial" w:hAnsi="Arial" w:cs="Arial"/>
      <w:b/>
      <w:bCs/>
      <w:sz w:val="24"/>
    </w:rPr>
  </w:style>
  <w:style w:type="paragraph" w:customStyle="1" w:styleId="AHeader2">
    <w:name w:val="AHeader 2"/>
    <w:basedOn w:val="AHeader1"/>
    <w:rsid w:val="00545963"/>
    <w:pPr>
      <w:numPr>
        <w:ilvl w:val="1"/>
      </w:numPr>
      <w:tabs>
        <w:tab w:val="clear" w:pos="709"/>
        <w:tab w:val="num" w:pos="360"/>
      </w:tabs>
    </w:pPr>
    <w:rPr>
      <w:sz w:val="22"/>
    </w:rPr>
  </w:style>
  <w:style w:type="paragraph" w:customStyle="1" w:styleId="AHeader3">
    <w:name w:val="AHeader 3"/>
    <w:basedOn w:val="AHeader2"/>
    <w:rsid w:val="00545963"/>
    <w:pPr>
      <w:numPr>
        <w:ilvl w:val="2"/>
      </w:numPr>
      <w:tabs>
        <w:tab w:val="clear" w:pos="1276"/>
        <w:tab w:val="num" w:pos="360"/>
      </w:tabs>
    </w:pPr>
  </w:style>
  <w:style w:type="paragraph" w:customStyle="1" w:styleId="AHeader2abc">
    <w:name w:val="AHeader 2 abc"/>
    <w:basedOn w:val="AHeader3"/>
    <w:rsid w:val="00545963"/>
    <w:pPr>
      <w:numPr>
        <w:ilvl w:val="3"/>
      </w:numPr>
      <w:tabs>
        <w:tab w:val="clear" w:pos="1276"/>
        <w:tab w:val="num" w:pos="360"/>
      </w:tabs>
      <w:jc w:val="both"/>
    </w:pPr>
    <w:rPr>
      <w:b w:val="0"/>
      <w:bCs w:val="0"/>
    </w:rPr>
  </w:style>
  <w:style w:type="paragraph" w:customStyle="1" w:styleId="AHeader3abc">
    <w:name w:val="AHeader 3 abc"/>
    <w:basedOn w:val="AHeader2abc"/>
    <w:rsid w:val="00545963"/>
    <w:pPr>
      <w:numPr>
        <w:ilvl w:val="4"/>
      </w:numPr>
      <w:tabs>
        <w:tab w:val="clear" w:pos="1701"/>
        <w:tab w:val="num" w:pos="360"/>
      </w:tabs>
    </w:pPr>
  </w:style>
  <w:style w:type="paragraph" w:styleId="BodyTextIndent3">
    <w:name w:val="Body Text Indent 3"/>
    <w:basedOn w:val="Normal"/>
    <w:rsid w:val="00545963"/>
    <w:pPr>
      <w:tabs>
        <w:tab w:val="left" w:pos="1134"/>
      </w:tabs>
      <w:autoSpaceDE w:val="0"/>
      <w:autoSpaceDN w:val="0"/>
      <w:adjustRightInd w:val="0"/>
      <w:ind w:left="633"/>
      <w:jc w:val="both"/>
    </w:pPr>
    <w:rPr>
      <w:szCs w:val="21"/>
    </w:rPr>
  </w:style>
  <w:style w:type="character" w:styleId="FollowedHyperlink">
    <w:name w:val="FollowedHyperlink"/>
    <w:rsid w:val="00545963"/>
    <w:rPr>
      <w:color w:val="800080"/>
      <w:u w:val="single"/>
    </w:rPr>
  </w:style>
  <w:style w:type="paragraph" w:customStyle="1" w:styleId="Default">
    <w:name w:val="Default"/>
    <w:rsid w:val="00545963"/>
    <w:pPr>
      <w:autoSpaceDE w:val="0"/>
      <w:autoSpaceDN w:val="0"/>
      <w:adjustRightInd w:val="0"/>
    </w:pPr>
    <w:rPr>
      <w:lang w:val="en-US" w:eastAsia="en-US"/>
    </w:rPr>
  </w:style>
  <w:style w:type="paragraph" w:styleId="BalloonText">
    <w:name w:val="Balloon Text"/>
    <w:basedOn w:val="Normal"/>
    <w:semiHidden/>
    <w:rsid w:val="00545963"/>
    <w:rPr>
      <w:rFonts w:ascii="Tahoma" w:hAnsi="Tahoma" w:cs="Tahoma"/>
      <w:sz w:val="16"/>
      <w:szCs w:val="16"/>
    </w:rPr>
  </w:style>
  <w:style w:type="paragraph" w:styleId="CommentSubject">
    <w:name w:val="annotation subject"/>
    <w:basedOn w:val="CommentText"/>
    <w:next w:val="CommentText"/>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styleId="Revision">
    <w:name w:val="Revision"/>
    <w:hidden/>
    <w:uiPriority w:val="99"/>
    <w:semiHidden/>
    <w:rsid w:val="004272B1"/>
    <w:rPr>
      <w:sz w:val="22"/>
      <w:lang w:val="en-GB" w:eastAsia="en-US"/>
    </w:rPr>
  </w:style>
  <w:style w:type="paragraph" w:styleId="ListParagraph">
    <w:name w:val="List Paragraph"/>
    <w:basedOn w:val="Normal"/>
    <w:uiPriority w:val="34"/>
    <w:qFormat/>
    <w:rsid w:val="00093AEE"/>
    <w:pPr>
      <w:ind w:left="720"/>
      <w:contextualSpacing/>
    </w:pPr>
  </w:style>
  <w:style w:type="table" w:styleId="TableGrid">
    <w:name w:val="Table Grid"/>
    <w:basedOn w:val="TableNormal"/>
    <w:rsid w:val="0018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GTextLeft">
    <w:name w:val="MGG Text Left"/>
    <w:basedOn w:val="BodyText"/>
    <w:rsid w:val="00977C24"/>
    <w:rPr>
      <w:i w:val="0"/>
      <w:color w:val="auto"/>
      <w:szCs w:val="24"/>
    </w:rPr>
  </w:style>
  <w:style w:type="character" w:customStyle="1" w:styleId="CommentTextChar">
    <w:name w:val="Comment Text Char"/>
    <w:link w:val="CommentText"/>
    <w:rsid w:val="008D28AD"/>
    <w:rPr>
      <w:lang w:val="en-GB" w:eastAsia="en-US"/>
    </w:rPr>
  </w:style>
  <w:style w:type="paragraph" w:styleId="HTMLPreformatted">
    <w:name w:val="HTML Preformatted"/>
    <w:basedOn w:val="Normal"/>
    <w:link w:val="HTMLPreformattedChar"/>
    <w:uiPriority w:val="99"/>
    <w:unhideWhenUsed/>
    <w:rsid w:val="00E4120D"/>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E4120D"/>
    <w:rPr>
      <w:rFonts w:ascii="Courier New" w:hAnsi="Courier New" w:cs="Courier New"/>
      <w:lang w:val="en-GB" w:eastAsia="en-GB"/>
    </w:rPr>
  </w:style>
  <w:style w:type="paragraph" w:customStyle="1" w:styleId="BodyText1">
    <w:name w:val="Body Text1"/>
    <w:rsid w:val="00ED0811"/>
    <w:pPr>
      <w:ind w:firstLine="198"/>
      <w:jc w:val="both"/>
    </w:pPr>
    <w:rPr>
      <w:rFonts w:ascii="RimTimes" w:hAnsi="RimTimes"/>
      <w:color w:val="000000"/>
      <w:sz w:val="13"/>
      <w:lang w:val="en-GB" w:eastAsia="lv-LV"/>
    </w:rPr>
  </w:style>
  <w:style w:type="character" w:styleId="Emphasis">
    <w:name w:val="Emphasis"/>
    <w:basedOn w:val="DefaultParagraphFont"/>
    <w:uiPriority w:val="20"/>
    <w:qFormat/>
    <w:rsid w:val="004D0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339964682">
      <w:bodyDiv w:val="1"/>
      <w:marLeft w:val="0"/>
      <w:marRight w:val="0"/>
      <w:marTop w:val="0"/>
      <w:marBottom w:val="0"/>
      <w:divBdr>
        <w:top w:val="none" w:sz="0" w:space="0" w:color="auto"/>
        <w:left w:val="none" w:sz="0" w:space="0" w:color="auto"/>
        <w:bottom w:val="none" w:sz="0" w:space="0" w:color="auto"/>
        <w:right w:val="none" w:sz="0" w:space="0" w:color="auto"/>
      </w:divBdr>
      <w:divsChild>
        <w:div w:id="397558714">
          <w:marLeft w:val="0"/>
          <w:marRight w:val="0"/>
          <w:marTop w:val="0"/>
          <w:marBottom w:val="0"/>
          <w:divBdr>
            <w:top w:val="none" w:sz="0" w:space="0" w:color="auto"/>
            <w:left w:val="none" w:sz="0" w:space="0" w:color="auto"/>
            <w:bottom w:val="none" w:sz="0" w:space="0" w:color="auto"/>
            <w:right w:val="none" w:sz="0" w:space="0" w:color="auto"/>
          </w:divBdr>
          <w:divsChild>
            <w:div w:id="2025207088">
              <w:marLeft w:val="0"/>
              <w:marRight w:val="0"/>
              <w:marTop w:val="0"/>
              <w:marBottom w:val="0"/>
              <w:divBdr>
                <w:top w:val="none" w:sz="0" w:space="0" w:color="auto"/>
                <w:left w:val="none" w:sz="0" w:space="0" w:color="auto"/>
                <w:bottom w:val="none" w:sz="0" w:space="0" w:color="auto"/>
                <w:right w:val="none" w:sz="0" w:space="0" w:color="auto"/>
              </w:divBdr>
              <w:divsChild>
                <w:div w:id="385226506">
                  <w:marLeft w:val="0"/>
                  <w:marRight w:val="0"/>
                  <w:marTop w:val="0"/>
                  <w:marBottom w:val="0"/>
                  <w:divBdr>
                    <w:top w:val="none" w:sz="0" w:space="0" w:color="auto"/>
                    <w:left w:val="none" w:sz="0" w:space="0" w:color="auto"/>
                    <w:bottom w:val="none" w:sz="0" w:space="0" w:color="auto"/>
                    <w:right w:val="none" w:sz="0" w:space="0" w:color="auto"/>
                  </w:divBdr>
                  <w:divsChild>
                    <w:div w:id="2057654618">
                      <w:marLeft w:val="0"/>
                      <w:marRight w:val="0"/>
                      <w:marTop w:val="0"/>
                      <w:marBottom w:val="0"/>
                      <w:divBdr>
                        <w:top w:val="none" w:sz="0" w:space="0" w:color="auto"/>
                        <w:left w:val="none" w:sz="0" w:space="0" w:color="auto"/>
                        <w:bottom w:val="none" w:sz="0" w:space="0" w:color="auto"/>
                        <w:right w:val="none" w:sz="0" w:space="0" w:color="auto"/>
                      </w:divBdr>
                      <w:divsChild>
                        <w:div w:id="71201356">
                          <w:marLeft w:val="0"/>
                          <w:marRight w:val="0"/>
                          <w:marTop w:val="0"/>
                          <w:marBottom w:val="0"/>
                          <w:divBdr>
                            <w:top w:val="none" w:sz="0" w:space="0" w:color="auto"/>
                            <w:left w:val="none" w:sz="0" w:space="0" w:color="auto"/>
                            <w:bottom w:val="none" w:sz="0" w:space="0" w:color="auto"/>
                            <w:right w:val="none" w:sz="0" w:space="0" w:color="auto"/>
                          </w:divBdr>
                          <w:divsChild>
                            <w:div w:id="271791078">
                              <w:marLeft w:val="0"/>
                              <w:marRight w:val="300"/>
                              <w:marTop w:val="180"/>
                              <w:marBottom w:val="0"/>
                              <w:divBdr>
                                <w:top w:val="none" w:sz="0" w:space="0" w:color="auto"/>
                                <w:left w:val="none" w:sz="0" w:space="0" w:color="auto"/>
                                <w:bottom w:val="none" w:sz="0" w:space="0" w:color="auto"/>
                                <w:right w:val="none" w:sz="0" w:space="0" w:color="auto"/>
                              </w:divBdr>
                              <w:divsChild>
                                <w:div w:id="6583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435634">
          <w:marLeft w:val="0"/>
          <w:marRight w:val="0"/>
          <w:marTop w:val="0"/>
          <w:marBottom w:val="0"/>
          <w:divBdr>
            <w:top w:val="none" w:sz="0" w:space="0" w:color="auto"/>
            <w:left w:val="none" w:sz="0" w:space="0" w:color="auto"/>
            <w:bottom w:val="none" w:sz="0" w:space="0" w:color="auto"/>
            <w:right w:val="none" w:sz="0" w:space="0" w:color="auto"/>
          </w:divBdr>
          <w:divsChild>
            <w:div w:id="73821146">
              <w:marLeft w:val="0"/>
              <w:marRight w:val="0"/>
              <w:marTop w:val="0"/>
              <w:marBottom w:val="0"/>
              <w:divBdr>
                <w:top w:val="none" w:sz="0" w:space="0" w:color="auto"/>
                <w:left w:val="none" w:sz="0" w:space="0" w:color="auto"/>
                <w:bottom w:val="none" w:sz="0" w:space="0" w:color="auto"/>
                <w:right w:val="none" w:sz="0" w:space="0" w:color="auto"/>
              </w:divBdr>
              <w:divsChild>
                <w:div w:id="659193565">
                  <w:marLeft w:val="0"/>
                  <w:marRight w:val="0"/>
                  <w:marTop w:val="0"/>
                  <w:marBottom w:val="0"/>
                  <w:divBdr>
                    <w:top w:val="none" w:sz="0" w:space="0" w:color="auto"/>
                    <w:left w:val="none" w:sz="0" w:space="0" w:color="auto"/>
                    <w:bottom w:val="none" w:sz="0" w:space="0" w:color="auto"/>
                    <w:right w:val="none" w:sz="0" w:space="0" w:color="auto"/>
                  </w:divBdr>
                  <w:divsChild>
                    <w:div w:id="38475395">
                      <w:marLeft w:val="0"/>
                      <w:marRight w:val="0"/>
                      <w:marTop w:val="0"/>
                      <w:marBottom w:val="0"/>
                      <w:divBdr>
                        <w:top w:val="none" w:sz="0" w:space="0" w:color="auto"/>
                        <w:left w:val="none" w:sz="0" w:space="0" w:color="auto"/>
                        <w:bottom w:val="none" w:sz="0" w:space="0" w:color="auto"/>
                        <w:right w:val="none" w:sz="0" w:space="0" w:color="auto"/>
                      </w:divBdr>
                      <w:divsChild>
                        <w:div w:id="1274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726063">
      <w:bodyDiv w:val="1"/>
      <w:marLeft w:val="0"/>
      <w:marRight w:val="0"/>
      <w:marTop w:val="0"/>
      <w:marBottom w:val="0"/>
      <w:divBdr>
        <w:top w:val="none" w:sz="0" w:space="0" w:color="auto"/>
        <w:left w:val="none" w:sz="0" w:space="0" w:color="auto"/>
        <w:bottom w:val="none" w:sz="0" w:space="0" w:color="auto"/>
        <w:right w:val="none" w:sz="0" w:space="0" w:color="auto"/>
      </w:divBdr>
    </w:div>
    <w:div w:id="773328481">
      <w:bodyDiv w:val="1"/>
      <w:marLeft w:val="0"/>
      <w:marRight w:val="0"/>
      <w:marTop w:val="0"/>
      <w:marBottom w:val="0"/>
      <w:divBdr>
        <w:top w:val="none" w:sz="0" w:space="0" w:color="auto"/>
        <w:left w:val="none" w:sz="0" w:space="0" w:color="auto"/>
        <w:bottom w:val="none" w:sz="0" w:space="0" w:color="auto"/>
        <w:right w:val="none" w:sz="0" w:space="0" w:color="auto"/>
      </w:divBdr>
      <w:divsChild>
        <w:div w:id="80178580">
          <w:marLeft w:val="0"/>
          <w:marRight w:val="0"/>
          <w:marTop w:val="0"/>
          <w:marBottom w:val="0"/>
          <w:divBdr>
            <w:top w:val="none" w:sz="0" w:space="0" w:color="auto"/>
            <w:left w:val="none" w:sz="0" w:space="0" w:color="auto"/>
            <w:bottom w:val="none" w:sz="0" w:space="0" w:color="auto"/>
            <w:right w:val="none" w:sz="0" w:space="0" w:color="auto"/>
          </w:divBdr>
        </w:div>
        <w:div w:id="2127114168">
          <w:marLeft w:val="0"/>
          <w:marRight w:val="0"/>
          <w:marTop w:val="0"/>
          <w:marBottom w:val="0"/>
          <w:divBdr>
            <w:top w:val="none" w:sz="0" w:space="0" w:color="auto"/>
            <w:left w:val="none" w:sz="0" w:space="0" w:color="auto"/>
            <w:bottom w:val="none" w:sz="0" w:space="0" w:color="auto"/>
            <w:right w:val="none" w:sz="0" w:space="0" w:color="auto"/>
          </w:divBdr>
        </w:div>
        <w:div w:id="1000499758">
          <w:marLeft w:val="0"/>
          <w:marRight w:val="0"/>
          <w:marTop w:val="0"/>
          <w:marBottom w:val="0"/>
          <w:divBdr>
            <w:top w:val="none" w:sz="0" w:space="0" w:color="auto"/>
            <w:left w:val="none" w:sz="0" w:space="0" w:color="auto"/>
            <w:bottom w:val="none" w:sz="0" w:space="0" w:color="auto"/>
            <w:right w:val="none" w:sz="0" w:space="0" w:color="auto"/>
          </w:divBdr>
        </w:div>
        <w:div w:id="281348463">
          <w:marLeft w:val="0"/>
          <w:marRight w:val="0"/>
          <w:marTop w:val="0"/>
          <w:marBottom w:val="0"/>
          <w:divBdr>
            <w:top w:val="none" w:sz="0" w:space="0" w:color="auto"/>
            <w:left w:val="none" w:sz="0" w:space="0" w:color="auto"/>
            <w:bottom w:val="none" w:sz="0" w:space="0" w:color="auto"/>
            <w:right w:val="none" w:sz="0" w:space="0" w:color="auto"/>
          </w:divBdr>
        </w:div>
        <w:div w:id="22025042">
          <w:marLeft w:val="0"/>
          <w:marRight w:val="0"/>
          <w:marTop w:val="0"/>
          <w:marBottom w:val="0"/>
          <w:divBdr>
            <w:top w:val="none" w:sz="0" w:space="0" w:color="auto"/>
            <w:left w:val="none" w:sz="0" w:space="0" w:color="auto"/>
            <w:bottom w:val="none" w:sz="0" w:space="0" w:color="auto"/>
            <w:right w:val="none" w:sz="0" w:space="0" w:color="auto"/>
          </w:divBdr>
        </w:div>
      </w:divsChild>
    </w:div>
    <w:div w:id="1650859015">
      <w:bodyDiv w:val="1"/>
      <w:marLeft w:val="0"/>
      <w:marRight w:val="0"/>
      <w:marTop w:val="0"/>
      <w:marBottom w:val="0"/>
      <w:divBdr>
        <w:top w:val="none" w:sz="0" w:space="0" w:color="auto"/>
        <w:left w:val="none" w:sz="0" w:space="0" w:color="auto"/>
        <w:bottom w:val="none" w:sz="0" w:space="0" w:color="auto"/>
        <w:right w:val="none" w:sz="0" w:space="0" w:color="auto"/>
      </w:divBdr>
    </w:div>
    <w:div w:id="1743914132">
      <w:bodyDiv w:val="1"/>
      <w:marLeft w:val="0"/>
      <w:marRight w:val="0"/>
      <w:marTop w:val="0"/>
      <w:marBottom w:val="0"/>
      <w:divBdr>
        <w:top w:val="none" w:sz="0" w:space="0" w:color="auto"/>
        <w:left w:val="none" w:sz="0" w:space="0" w:color="auto"/>
        <w:bottom w:val="none" w:sz="0" w:space="0" w:color="auto"/>
        <w:right w:val="none" w:sz="0" w:space="0" w:color="auto"/>
      </w:divBdr>
    </w:div>
    <w:div w:id="21409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va.gov.lv/../?id=613&amp;sa=613&amp;top=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50441C0BDD2C4794B5427F3AF27ABA" ma:contentTypeVersion="0" ma:contentTypeDescription="Create a new document." ma:contentTypeScope="" ma:versionID="d63cd3ad74a83850b0e24f1a7d72ea4e">
  <xsd:schema xmlns:xsd="http://www.w3.org/2001/XMLSchema" xmlns:xs="http://www.w3.org/2001/XMLSchema" xmlns:p="http://schemas.microsoft.com/office/2006/metadata/properties" xmlns:ns2="79fb0f74-f3a3-46af-b26f-c89feccff915" targetNamespace="http://schemas.microsoft.com/office/2006/metadata/properties" ma:root="true" ma:fieldsID="02c2e9eb0904ee70e80c847a510fd6ef" ns2:_="">
    <xsd:import namespace="79fb0f74-f3a3-46af-b26f-c89feccff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0f74-f3a3-46af-b26f-c89feccff9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9fb0f74-f3a3-46af-b26f-c89feccff915">AETFIRM-86-2230</_dlc_DocId>
    <_dlc_DocIdUrl xmlns="79fb0f74-f3a3-46af-b26f-c89feccff915">
      <Url>https://myaet.com/firm/_layouts/DocIdRedir.aspx?ID=AETFIRM-86-2230</Url>
      <Description>AETFIRM-86-2230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61092-85EC-4094-8530-F3E83575F44F}">
  <ds:schemaRefs>
    <ds:schemaRef ds:uri="http://schemas.microsoft.com/sharepoint/events"/>
  </ds:schemaRefs>
</ds:datastoreItem>
</file>

<file path=customXml/itemProps2.xml><?xml version="1.0" encoding="utf-8"?>
<ds:datastoreItem xmlns:ds="http://schemas.openxmlformats.org/officeDocument/2006/customXml" ds:itemID="{719B3343-8C58-4179-97DF-6C034861EFD2}">
  <ds:schemaRefs>
    <ds:schemaRef ds:uri="http://schemas.openxmlformats.org/officeDocument/2006/bibliography"/>
  </ds:schemaRefs>
</ds:datastoreItem>
</file>

<file path=customXml/itemProps3.xml><?xml version="1.0" encoding="utf-8"?>
<ds:datastoreItem xmlns:ds="http://schemas.openxmlformats.org/officeDocument/2006/customXml" ds:itemID="{76BC9DA9-99F3-4918-B35D-88A362DC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0f74-f3a3-46af-b26f-c89feccff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54416-3D28-4ED0-8EB8-B71C0206BF92}">
  <ds:schemaRefs>
    <ds:schemaRef ds:uri="http://schemas.microsoft.com/office/2006/metadata/properties"/>
    <ds:schemaRef ds:uri="http://schemas.microsoft.com/office/infopath/2007/PartnerControls"/>
    <ds:schemaRef ds:uri="79fb0f74-f3a3-46af-b26f-c89feccff915"/>
  </ds:schemaRefs>
</ds:datastoreItem>
</file>

<file path=customXml/itemProps5.xml><?xml version="1.0" encoding="utf-8"?>
<ds:datastoreItem xmlns:ds="http://schemas.openxmlformats.org/officeDocument/2006/customXml" ds:itemID="{59C12A17-84EC-46AE-97EC-4C92038CD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4103</Words>
  <Characters>29637</Characters>
  <Application>Microsoft Office Word</Application>
  <DocSecurity>0</DocSecurity>
  <Lines>246</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EMEA</Company>
  <LinksUpToDate>false</LinksUpToDate>
  <CharactersWithSpaces>33673</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General-EMA/53548/2010</dc:subject>
  <dc:creator>European Medicines Agency</dc:creator>
  <cp:lastModifiedBy>Skaidrīte Lapsenīte</cp:lastModifiedBy>
  <cp:revision>6</cp:revision>
  <cp:lastPrinted>2019-05-12T16:31:00Z</cp:lastPrinted>
  <dcterms:created xsi:type="dcterms:W3CDTF">2021-07-30T07:29:00Z</dcterms:created>
  <dcterms:modified xsi:type="dcterms:W3CDTF">2021-12-03T09:26:00Z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y fmtid="{D5CDD505-2E9C-101B-9397-08002B2CF9AE}" pid="43" name="ContentTypeId">
    <vt:lpwstr>0x0101006950441C0BDD2C4794B5427F3AF27ABA</vt:lpwstr>
  </property>
  <property fmtid="{D5CDD505-2E9C-101B-9397-08002B2CF9AE}" pid="44" name="_dlc_DocIdItemGuid">
    <vt:lpwstr>8657bebf-78b6-4e8c-98e3-dba17c776cb7</vt:lpwstr>
  </property>
</Properties>
</file>