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D483" w14:textId="77777777" w:rsidR="001E1FD4" w:rsidRPr="00E83219" w:rsidRDefault="001E1FD4" w:rsidP="00A5555F">
      <w:pPr>
        <w:spacing w:line="240" w:lineRule="auto"/>
        <w:jc w:val="center"/>
        <w:outlineLvl w:val="0"/>
        <w:rPr>
          <w:b/>
          <w:color w:val="auto"/>
          <w:szCs w:val="22"/>
          <w:lang w:val="lv-LV"/>
        </w:rPr>
      </w:pPr>
      <w:r w:rsidRPr="00E83219">
        <w:rPr>
          <w:b/>
          <w:color w:val="auto"/>
          <w:szCs w:val="22"/>
          <w:lang w:val="lv-LV"/>
        </w:rPr>
        <w:t>ZĀĻU APRAKSTS</w:t>
      </w:r>
    </w:p>
    <w:p w14:paraId="438D850C" w14:textId="77777777" w:rsidR="001E1FD4" w:rsidRPr="00E83219" w:rsidRDefault="001E1FD4" w:rsidP="00A5555F">
      <w:pPr>
        <w:spacing w:line="240" w:lineRule="auto"/>
        <w:jc w:val="center"/>
        <w:outlineLvl w:val="0"/>
        <w:rPr>
          <w:b/>
          <w:color w:val="auto"/>
          <w:szCs w:val="22"/>
          <w:lang w:val="lv-LV"/>
        </w:rPr>
      </w:pPr>
    </w:p>
    <w:p w14:paraId="273606EF" w14:textId="77777777" w:rsidR="001E1FD4" w:rsidRPr="00E83219" w:rsidRDefault="001E1FD4" w:rsidP="00844FD8">
      <w:pPr>
        <w:rPr>
          <w:color w:val="auto"/>
          <w:szCs w:val="22"/>
          <w:lang w:val="lv-LV"/>
        </w:rPr>
      </w:pPr>
    </w:p>
    <w:p w14:paraId="5EB4D60A" w14:textId="77777777" w:rsidR="001E1FD4" w:rsidRPr="00E83219" w:rsidRDefault="001E1FD4" w:rsidP="007A1B17">
      <w:pPr>
        <w:tabs>
          <w:tab w:val="left" w:pos="567"/>
        </w:tabs>
        <w:rPr>
          <w:b/>
          <w:color w:val="auto"/>
          <w:szCs w:val="22"/>
          <w:lang w:val="lv-LV"/>
        </w:rPr>
      </w:pPr>
      <w:r w:rsidRPr="00E83219">
        <w:rPr>
          <w:b/>
          <w:color w:val="auto"/>
          <w:szCs w:val="22"/>
          <w:lang w:val="lv-LV"/>
        </w:rPr>
        <w:t>1.</w:t>
      </w:r>
      <w:r w:rsidRPr="00E83219">
        <w:rPr>
          <w:b/>
          <w:color w:val="auto"/>
          <w:szCs w:val="22"/>
          <w:lang w:val="lv-LV"/>
        </w:rPr>
        <w:tab/>
        <w:t>ZĀĻU NOSAUKUMS</w:t>
      </w:r>
    </w:p>
    <w:p w14:paraId="5A8427F4" w14:textId="77777777" w:rsidR="001E1FD4" w:rsidRPr="00E83219" w:rsidRDefault="001E1FD4" w:rsidP="007A1B17">
      <w:pPr>
        <w:ind w:firstLine="567"/>
        <w:rPr>
          <w:color w:val="auto"/>
          <w:szCs w:val="22"/>
          <w:lang w:val="lv-LV"/>
        </w:rPr>
      </w:pPr>
    </w:p>
    <w:p w14:paraId="1AFDB22E" w14:textId="3FE76115" w:rsidR="001E1FD4" w:rsidRPr="00E83219" w:rsidRDefault="007A1B17" w:rsidP="007A1B17">
      <w:pPr>
        <w:ind w:firstLine="567"/>
        <w:rPr>
          <w:color w:val="auto"/>
          <w:szCs w:val="22"/>
          <w:lang w:val="lv-LV"/>
        </w:rPr>
      </w:pPr>
      <w:r w:rsidRPr="00E83219">
        <w:rPr>
          <w:color w:val="auto"/>
          <w:szCs w:val="22"/>
          <w:lang w:val="lv-LV"/>
        </w:rPr>
        <w:t>Magnesium Diasporal direct</w:t>
      </w:r>
      <w:r w:rsidR="00AD197A" w:rsidRPr="00E83219">
        <w:rPr>
          <w:color w:val="auto"/>
          <w:szCs w:val="22"/>
          <w:lang w:val="lv-LV"/>
        </w:rPr>
        <w:t xml:space="preserve"> 400 mg granulas</w:t>
      </w:r>
      <w:r w:rsidR="00EE0ABC" w:rsidRPr="00E83219">
        <w:rPr>
          <w:color w:val="auto"/>
          <w:szCs w:val="22"/>
          <w:lang w:val="lv-LV"/>
        </w:rPr>
        <w:t xml:space="preserve"> paciņā</w:t>
      </w:r>
    </w:p>
    <w:p w14:paraId="11A94FD4" w14:textId="77777777" w:rsidR="001E1FD4" w:rsidRPr="00E83219" w:rsidRDefault="001E1FD4">
      <w:pPr>
        <w:rPr>
          <w:color w:val="auto"/>
          <w:lang w:val="lv-LV"/>
        </w:rPr>
      </w:pPr>
    </w:p>
    <w:p w14:paraId="27682593" w14:textId="77777777" w:rsidR="004A442F" w:rsidRPr="00E83219" w:rsidRDefault="004A442F">
      <w:pPr>
        <w:rPr>
          <w:color w:val="auto"/>
          <w:lang w:val="lv-LV"/>
        </w:rPr>
      </w:pPr>
    </w:p>
    <w:p w14:paraId="61763CA9" w14:textId="77777777" w:rsidR="001E1FD4" w:rsidRPr="00E83219" w:rsidRDefault="001E1FD4" w:rsidP="007A1B17">
      <w:pPr>
        <w:tabs>
          <w:tab w:val="left" w:pos="567"/>
        </w:tabs>
        <w:rPr>
          <w:b/>
          <w:color w:val="auto"/>
          <w:szCs w:val="22"/>
          <w:lang w:val="lv-LV"/>
        </w:rPr>
      </w:pPr>
      <w:r w:rsidRPr="00E83219">
        <w:rPr>
          <w:b/>
          <w:color w:val="auto"/>
          <w:szCs w:val="22"/>
          <w:lang w:val="lv-LV"/>
        </w:rPr>
        <w:t>2.</w:t>
      </w:r>
      <w:r w:rsidRPr="00E83219">
        <w:rPr>
          <w:b/>
          <w:color w:val="auto"/>
          <w:szCs w:val="22"/>
          <w:lang w:val="lv-LV"/>
        </w:rPr>
        <w:tab/>
        <w:t>KVALITATĪVAIS UN KVANTITATĪVAIS SASTĀVS</w:t>
      </w:r>
    </w:p>
    <w:p w14:paraId="10020B72" w14:textId="77777777" w:rsidR="001E1FD4" w:rsidRPr="00E83219" w:rsidRDefault="001E1FD4" w:rsidP="007A1B17">
      <w:pPr>
        <w:ind w:left="567" w:firstLine="25"/>
        <w:rPr>
          <w:color w:val="auto"/>
          <w:szCs w:val="22"/>
          <w:lang w:val="lv-LV"/>
        </w:rPr>
      </w:pPr>
    </w:p>
    <w:p w14:paraId="397DC50B" w14:textId="20DD1876" w:rsidR="004000D6" w:rsidRPr="00E83219" w:rsidRDefault="00E6426D" w:rsidP="007A1B17">
      <w:pPr>
        <w:keepNext/>
        <w:tabs>
          <w:tab w:val="left" w:pos="567"/>
        </w:tabs>
        <w:spacing w:line="260" w:lineRule="exact"/>
        <w:ind w:left="567"/>
        <w:rPr>
          <w:strike/>
          <w:color w:val="auto"/>
          <w:lang w:val="lv-LV"/>
        </w:rPr>
      </w:pPr>
      <w:r w:rsidRPr="00E83219">
        <w:rPr>
          <w:color w:val="auto"/>
          <w:lang w:val="lv-LV"/>
        </w:rPr>
        <w:t xml:space="preserve">Viena paciņa (2,22 g) satur </w:t>
      </w:r>
      <w:r w:rsidR="003E3240" w:rsidRPr="00E83219">
        <w:rPr>
          <w:color w:val="auto"/>
          <w:lang w:val="lv-LV"/>
        </w:rPr>
        <w:t>400 mg magnija</w:t>
      </w:r>
      <w:r w:rsidR="003E3240">
        <w:rPr>
          <w:color w:val="auto"/>
          <w:lang w:val="lv-LV"/>
        </w:rPr>
        <w:t xml:space="preserve"> (</w:t>
      </w:r>
      <w:r w:rsidR="00FC24D6" w:rsidRPr="00087340">
        <w:rPr>
          <w:i/>
          <w:iCs/>
          <w:color w:val="auto"/>
          <w:lang w:val="lv-LV"/>
        </w:rPr>
        <w:t>Magnesium</w:t>
      </w:r>
      <w:r w:rsidR="003E3240">
        <w:rPr>
          <w:color w:val="auto"/>
          <w:lang w:val="lv-LV"/>
        </w:rPr>
        <w:t>) (</w:t>
      </w:r>
      <w:r w:rsidRPr="00E83219">
        <w:rPr>
          <w:color w:val="auto"/>
          <w:lang w:val="lv-LV"/>
        </w:rPr>
        <w:t>magnija hidrogēncitrāt</w:t>
      </w:r>
      <w:r w:rsidR="00FC24D6">
        <w:rPr>
          <w:color w:val="auto"/>
          <w:lang w:val="lv-LV"/>
        </w:rPr>
        <w:t>a</w:t>
      </w:r>
      <w:r w:rsidRPr="00E83219">
        <w:rPr>
          <w:color w:val="auto"/>
          <w:lang w:val="lv-LV"/>
        </w:rPr>
        <w:t xml:space="preserve"> un magnija oksīd</w:t>
      </w:r>
      <w:r w:rsidR="00FC24D6">
        <w:rPr>
          <w:color w:val="auto"/>
          <w:lang w:val="lv-LV"/>
        </w:rPr>
        <w:t>a veidā</w:t>
      </w:r>
      <w:r w:rsidR="003E3240">
        <w:rPr>
          <w:color w:val="auto"/>
          <w:lang w:val="lv-LV"/>
        </w:rPr>
        <w:t>)</w:t>
      </w:r>
      <w:r w:rsidRPr="00E83219">
        <w:rPr>
          <w:color w:val="auto"/>
          <w:lang w:val="lv-LV"/>
        </w:rPr>
        <w:t>.</w:t>
      </w:r>
    </w:p>
    <w:p w14:paraId="28FD0C6B" w14:textId="77777777" w:rsidR="001E1FD4" w:rsidRPr="00E83219" w:rsidRDefault="001E1FD4" w:rsidP="007A1B17">
      <w:pPr>
        <w:ind w:left="567" w:firstLine="25"/>
        <w:rPr>
          <w:color w:val="auto"/>
          <w:szCs w:val="22"/>
          <w:lang w:val="lv-LV"/>
        </w:rPr>
      </w:pPr>
    </w:p>
    <w:p w14:paraId="0ED21B0C" w14:textId="77777777" w:rsidR="00E6426D" w:rsidRPr="00E83219" w:rsidRDefault="001E1FD4" w:rsidP="007A1B17">
      <w:pPr>
        <w:tabs>
          <w:tab w:val="left" w:pos="2977"/>
          <w:tab w:val="left" w:pos="4962"/>
        </w:tabs>
        <w:ind w:left="567"/>
        <w:jc w:val="both"/>
        <w:rPr>
          <w:color w:val="auto"/>
          <w:szCs w:val="22"/>
          <w:lang w:val="lv-LV"/>
        </w:rPr>
      </w:pPr>
      <w:r w:rsidRPr="00E83219">
        <w:rPr>
          <w:color w:val="auto"/>
          <w:szCs w:val="22"/>
          <w:lang w:val="lv-LV"/>
        </w:rPr>
        <w:t>Palīgviela ar zināmu iedarbību:</w:t>
      </w:r>
    </w:p>
    <w:p w14:paraId="2D645B59" w14:textId="096134D7" w:rsidR="001E1FD4" w:rsidRPr="00E83219" w:rsidRDefault="00E6426D" w:rsidP="007A1B17">
      <w:pPr>
        <w:tabs>
          <w:tab w:val="left" w:pos="2977"/>
          <w:tab w:val="left" w:pos="4962"/>
        </w:tabs>
        <w:ind w:left="567"/>
        <w:jc w:val="both"/>
        <w:rPr>
          <w:color w:val="auto"/>
          <w:szCs w:val="22"/>
          <w:lang w:val="lv-LV"/>
        </w:rPr>
      </w:pPr>
      <w:r w:rsidRPr="00E83219">
        <w:rPr>
          <w:color w:val="auto"/>
          <w:szCs w:val="22"/>
          <w:lang w:val="lv-LV"/>
        </w:rPr>
        <w:t>929,44 mg sorbīta paciņā.</w:t>
      </w:r>
    </w:p>
    <w:p w14:paraId="7E1143D0" w14:textId="77777777" w:rsidR="001E1FD4" w:rsidRPr="00E83219" w:rsidRDefault="001E1FD4" w:rsidP="007A1B17">
      <w:pPr>
        <w:tabs>
          <w:tab w:val="left" w:pos="2977"/>
          <w:tab w:val="left" w:pos="4962"/>
        </w:tabs>
        <w:ind w:left="567" w:firstLine="25"/>
        <w:rPr>
          <w:color w:val="auto"/>
          <w:szCs w:val="22"/>
          <w:lang w:val="lv-LV"/>
        </w:rPr>
      </w:pPr>
    </w:p>
    <w:p w14:paraId="776384A3" w14:textId="77777777" w:rsidR="00E6426D" w:rsidRPr="00E83219" w:rsidRDefault="001E1FD4" w:rsidP="007A1B17">
      <w:pPr>
        <w:tabs>
          <w:tab w:val="left" w:pos="2977"/>
          <w:tab w:val="left" w:pos="4962"/>
        </w:tabs>
        <w:ind w:left="567" w:firstLine="25"/>
        <w:rPr>
          <w:color w:val="auto"/>
          <w:szCs w:val="22"/>
          <w:lang w:val="lv-LV"/>
        </w:rPr>
      </w:pPr>
      <w:r w:rsidRPr="00E83219">
        <w:rPr>
          <w:color w:val="auto"/>
          <w:szCs w:val="22"/>
          <w:lang w:val="lv-LV"/>
        </w:rPr>
        <w:t>Pilnu palīgvielu sarakstu skatīt 6.1. apakšpunktā.</w:t>
      </w:r>
    </w:p>
    <w:p w14:paraId="3FE447A4" w14:textId="77777777" w:rsidR="001E1FD4" w:rsidRPr="00E83219" w:rsidRDefault="001E1FD4" w:rsidP="007A1B17">
      <w:pPr>
        <w:tabs>
          <w:tab w:val="left" w:pos="2977"/>
          <w:tab w:val="left" w:pos="4962"/>
        </w:tabs>
        <w:ind w:left="567" w:firstLine="25"/>
        <w:rPr>
          <w:color w:val="auto"/>
          <w:szCs w:val="22"/>
          <w:lang w:val="lv-LV"/>
        </w:rPr>
      </w:pPr>
    </w:p>
    <w:p w14:paraId="339D441B" w14:textId="77777777" w:rsidR="004A442F" w:rsidRPr="00E83219" w:rsidRDefault="004A442F" w:rsidP="007A1B17">
      <w:pPr>
        <w:tabs>
          <w:tab w:val="left" w:pos="2977"/>
        </w:tabs>
        <w:ind w:left="567" w:firstLine="25"/>
        <w:rPr>
          <w:color w:val="auto"/>
          <w:szCs w:val="22"/>
          <w:lang w:val="lv-LV"/>
        </w:rPr>
      </w:pPr>
    </w:p>
    <w:p w14:paraId="334A9E5F" w14:textId="77777777" w:rsidR="00E6426D" w:rsidRPr="00E83219" w:rsidRDefault="001E1FD4" w:rsidP="007A1B17">
      <w:pPr>
        <w:tabs>
          <w:tab w:val="left" w:pos="567"/>
        </w:tabs>
        <w:rPr>
          <w:b/>
          <w:color w:val="auto"/>
          <w:szCs w:val="22"/>
          <w:lang w:val="lv-LV"/>
        </w:rPr>
      </w:pPr>
      <w:r w:rsidRPr="00E83219">
        <w:rPr>
          <w:b/>
          <w:color w:val="auto"/>
          <w:szCs w:val="22"/>
          <w:lang w:val="lv-LV"/>
        </w:rPr>
        <w:t>3.</w:t>
      </w:r>
      <w:r w:rsidRPr="00E83219">
        <w:rPr>
          <w:b/>
          <w:color w:val="auto"/>
          <w:szCs w:val="22"/>
          <w:lang w:val="lv-LV"/>
        </w:rPr>
        <w:tab/>
        <w:t>ZĀĻU FORMA</w:t>
      </w:r>
    </w:p>
    <w:p w14:paraId="50AA5ED4" w14:textId="77777777" w:rsidR="001E1FD4" w:rsidRPr="00E83219" w:rsidRDefault="001E1FD4" w:rsidP="007A1B17">
      <w:pPr>
        <w:ind w:left="567"/>
        <w:rPr>
          <w:color w:val="auto"/>
          <w:szCs w:val="22"/>
          <w:lang w:val="lv-LV"/>
        </w:rPr>
      </w:pPr>
    </w:p>
    <w:p w14:paraId="6A297B81" w14:textId="77777777" w:rsidR="007A1B17" w:rsidRPr="00E83219" w:rsidRDefault="004000D6" w:rsidP="007A1B17">
      <w:pPr>
        <w:ind w:left="567"/>
        <w:rPr>
          <w:color w:val="auto"/>
          <w:szCs w:val="22"/>
          <w:lang w:val="lv-LV"/>
        </w:rPr>
      </w:pPr>
      <w:r w:rsidRPr="00E83219">
        <w:rPr>
          <w:color w:val="auto"/>
          <w:szCs w:val="22"/>
          <w:lang w:val="lv-LV"/>
        </w:rPr>
        <w:t>Granulas paciņā</w:t>
      </w:r>
    </w:p>
    <w:p w14:paraId="7F76ECBE" w14:textId="77777777" w:rsidR="007A1B17" w:rsidRPr="00E83219" w:rsidRDefault="007A1B17" w:rsidP="007A1B17">
      <w:pPr>
        <w:ind w:left="567"/>
        <w:rPr>
          <w:color w:val="auto"/>
          <w:szCs w:val="22"/>
          <w:lang w:val="lv-LV"/>
        </w:rPr>
      </w:pPr>
    </w:p>
    <w:p w14:paraId="3D628978" w14:textId="5473F47B" w:rsidR="001E1FD4" w:rsidRPr="00E83219" w:rsidRDefault="00F9068A" w:rsidP="007A1B17">
      <w:pPr>
        <w:ind w:left="567"/>
        <w:rPr>
          <w:color w:val="auto"/>
          <w:szCs w:val="22"/>
          <w:lang w:val="lv-LV"/>
        </w:rPr>
      </w:pPr>
      <w:r w:rsidRPr="00E83219">
        <w:rPr>
          <w:color w:val="auto"/>
          <w:szCs w:val="22"/>
          <w:lang w:val="lv-LV"/>
        </w:rPr>
        <w:t>Oranžas granulas</w:t>
      </w:r>
    </w:p>
    <w:p w14:paraId="084092CB" w14:textId="77777777" w:rsidR="001E1FD4" w:rsidRPr="00E83219" w:rsidRDefault="001E1FD4">
      <w:pPr>
        <w:rPr>
          <w:color w:val="auto"/>
          <w:lang w:val="lv-LV"/>
        </w:rPr>
      </w:pPr>
    </w:p>
    <w:p w14:paraId="304C3330" w14:textId="77777777" w:rsidR="004A442F" w:rsidRPr="00E83219" w:rsidRDefault="004A442F">
      <w:pPr>
        <w:rPr>
          <w:color w:val="auto"/>
          <w:lang w:val="lv-LV"/>
        </w:rPr>
      </w:pPr>
    </w:p>
    <w:p w14:paraId="7654902D" w14:textId="77777777" w:rsidR="001E1FD4" w:rsidRPr="00E83219" w:rsidRDefault="001E1FD4" w:rsidP="007A1B17">
      <w:pPr>
        <w:tabs>
          <w:tab w:val="left" w:pos="567"/>
        </w:tabs>
        <w:rPr>
          <w:b/>
          <w:color w:val="auto"/>
          <w:szCs w:val="22"/>
          <w:lang w:val="lv-LV"/>
        </w:rPr>
      </w:pPr>
      <w:r w:rsidRPr="00E83219">
        <w:rPr>
          <w:b/>
          <w:color w:val="auto"/>
          <w:szCs w:val="22"/>
          <w:lang w:val="lv-LV"/>
        </w:rPr>
        <w:t>4.</w:t>
      </w:r>
      <w:r w:rsidRPr="00E83219">
        <w:rPr>
          <w:b/>
          <w:color w:val="auto"/>
          <w:szCs w:val="22"/>
          <w:lang w:val="lv-LV"/>
        </w:rPr>
        <w:tab/>
        <w:t>KLĪNISKĀ INFORMĀCIJA</w:t>
      </w:r>
    </w:p>
    <w:p w14:paraId="252C0317" w14:textId="77777777" w:rsidR="001E1FD4" w:rsidRPr="00E83219" w:rsidRDefault="001E1FD4" w:rsidP="00844FD8">
      <w:pPr>
        <w:rPr>
          <w:color w:val="auto"/>
          <w:szCs w:val="22"/>
          <w:lang w:val="lv-LV"/>
        </w:rPr>
      </w:pPr>
    </w:p>
    <w:p w14:paraId="247F3CD5" w14:textId="77777777" w:rsidR="001E1FD4" w:rsidRPr="00E83219" w:rsidRDefault="001E1FD4" w:rsidP="007A1B17">
      <w:pPr>
        <w:tabs>
          <w:tab w:val="left" w:pos="567"/>
        </w:tabs>
        <w:rPr>
          <w:b/>
          <w:color w:val="auto"/>
          <w:szCs w:val="22"/>
          <w:lang w:val="lv-LV"/>
        </w:rPr>
      </w:pPr>
      <w:r w:rsidRPr="00E83219">
        <w:rPr>
          <w:b/>
          <w:color w:val="auto"/>
          <w:szCs w:val="22"/>
          <w:lang w:val="lv-LV"/>
        </w:rPr>
        <w:t>4.1.</w:t>
      </w:r>
      <w:r w:rsidRPr="00E83219">
        <w:rPr>
          <w:b/>
          <w:color w:val="auto"/>
          <w:szCs w:val="22"/>
          <w:lang w:val="lv-LV"/>
        </w:rPr>
        <w:tab/>
        <w:t>Terapeitiskās indikācijas</w:t>
      </w:r>
    </w:p>
    <w:p w14:paraId="404D890D" w14:textId="77777777" w:rsidR="001E1FD4" w:rsidRPr="00E83219" w:rsidRDefault="001E1FD4" w:rsidP="007A1B17">
      <w:pPr>
        <w:tabs>
          <w:tab w:val="left" w:pos="567"/>
        </w:tabs>
        <w:ind w:left="567" w:right="-1"/>
        <w:rPr>
          <w:color w:val="auto"/>
          <w:szCs w:val="22"/>
          <w:lang w:val="lv-LV"/>
        </w:rPr>
      </w:pPr>
    </w:p>
    <w:p w14:paraId="798F911C" w14:textId="77777777" w:rsidR="001E1FD4" w:rsidRPr="00E83219" w:rsidRDefault="001E1FD4" w:rsidP="007A1B17">
      <w:pPr>
        <w:tabs>
          <w:tab w:val="left" w:pos="567"/>
        </w:tabs>
        <w:ind w:left="567" w:right="-1"/>
        <w:jc w:val="both"/>
        <w:rPr>
          <w:color w:val="auto"/>
          <w:szCs w:val="22"/>
          <w:lang w:val="lv-LV"/>
        </w:rPr>
      </w:pPr>
      <w:r w:rsidRPr="00E83219">
        <w:rPr>
          <w:color w:val="auto"/>
          <w:szCs w:val="22"/>
          <w:lang w:val="lv-LV"/>
        </w:rPr>
        <w:t>Magnija deficīta ārstēšana un profilakse pieaugušajiem.</w:t>
      </w:r>
    </w:p>
    <w:p w14:paraId="13BED3C3" w14:textId="77777777" w:rsidR="001E1FD4" w:rsidRPr="00E83219" w:rsidRDefault="001E1FD4" w:rsidP="007A1B17">
      <w:pPr>
        <w:tabs>
          <w:tab w:val="left" w:pos="567"/>
        </w:tabs>
        <w:ind w:left="567" w:right="-1"/>
        <w:jc w:val="both"/>
        <w:rPr>
          <w:strike/>
          <w:color w:val="auto"/>
          <w:szCs w:val="22"/>
          <w:lang w:val="lv-LV"/>
        </w:rPr>
      </w:pPr>
    </w:p>
    <w:p w14:paraId="1ACEAB98" w14:textId="77777777" w:rsidR="001E1FD4" w:rsidRPr="00E83219" w:rsidRDefault="001E1FD4" w:rsidP="007A1B17">
      <w:pPr>
        <w:tabs>
          <w:tab w:val="left" w:pos="567"/>
        </w:tabs>
        <w:rPr>
          <w:b/>
          <w:color w:val="auto"/>
          <w:szCs w:val="22"/>
          <w:lang w:val="lv-LV"/>
        </w:rPr>
      </w:pPr>
      <w:r w:rsidRPr="00E83219">
        <w:rPr>
          <w:b/>
          <w:color w:val="auto"/>
          <w:szCs w:val="22"/>
          <w:lang w:val="lv-LV"/>
        </w:rPr>
        <w:t>4.2.</w:t>
      </w:r>
      <w:r w:rsidRPr="00E83219">
        <w:rPr>
          <w:b/>
          <w:color w:val="auto"/>
          <w:szCs w:val="22"/>
          <w:lang w:val="lv-LV"/>
        </w:rPr>
        <w:tab/>
        <w:t>Devas un lietošanas veids</w:t>
      </w:r>
    </w:p>
    <w:p w14:paraId="0599B233" w14:textId="77777777" w:rsidR="001E1FD4" w:rsidRPr="00E83219" w:rsidRDefault="001E1FD4" w:rsidP="007A1B17">
      <w:pPr>
        <w:pStyle w:val="knZulassung01"/>
        <w:ind w:left="567" w:right="0" w:firstLine="0"/>
        <w:rPr>
          <w:color w:val="auto"/>
          <w:szCs w:val="22"/>
          <w:u w:val="single"/>
          <w:lang w:val="lv-LV"/>
        </w:rPr>
      </w:pPr>
    </w:p>
    <w:p w14:paraId="7456090B" w14:textId="77777777" w:rsidR="001E1FD4" w:rsidRPr="00E83219" w:rsidRDefault="001E1FD4" w:rsidP="007A1B17">
      <w:pPr>
        <w:pStyle w:val="knZulassung01"/>
        <w:ind w:left="567" w:right="0" w:firstLine="0"/>
        <w:jc w:val="both"/>
        <w:rPr>
          <w:color w:val="auto"/>
          <w:szCs w:val="22"/>
          <w:u w:val="single"/>
          <w:lang w:val="lv-LV"/>
        </w:rPr>
      </w:pPr>
      <w:r w:rsidRPr="00E83219">
        <w:rPr>
          <w:color w:val="auto"/>
          <w:szCs w:val="22"/>
          <w:u w:val="single"/>
          <w:lang w:val="lv-LV"/>
        </w:rPr>
        <w:t>Devas</w:t>
      </w:r>
    </w:p>
    <w:p w14:paraId="2E70BE62" w14:textId="585D3B4E" w:rsidR="00E6426D" w:rsidRPr="00E83219" w:rsidRDefault="00B97885" w:rsidP="007A1B17">
      <w:pPr>
        <w:pStyle w:val="knZulassung01"/>
        <w:ind w:left="567" w:right="0" w:firstLine="0"/>
        <w:jc w:val="both"/>
        <w:rPr>
          <w:color w:val="auto"/>
          <w:szCs w:val="22"/>
          <w:lang w:val="lv-LV"/>
        </w:rPr>
      </w:pPr>
      <w:r w:rsidRPr="00E83219">
        <w:rPr>
          <w:color w:val="auto"/>
          <w:szCs w:val="22"/>
          <w:lang w:val="lv-LV"/>
        </w:rPr>
        <w:t>Pieaugušie</w:t>
      </w:r>
      <w:r w:rsidR="00EE0ABC" w:rsidRPr="00E83219">
        <w:rPr>
          <w:color w:val="auto"/>
          <w:szCs w:val="22"/>
          <w:lang w:val="lv-LV"/>
        </w:rPr>
        <w:t>:</w:t>
      </w:r>
      <w:r w:rsidR="001C5023" w:rsidRPr="00E83219">
        <w:rPr>
          <w:color w:val="auto"/>
          <w:szCs w:val="22"/>
          <w:lang w:val="lv-LV"/>
        </w:rPr>
        <w:t xml:space="preserve"> </w:t>
      </w:r>
      <w:r w:rsidR="001E1FD4" w:rsidRPr="00E83219">
        <w:rPr>
          <w:color w:val="auto"/>
          <w:szCs w:val="22"/>
          <w:lang w:val="lv-LV"/>
        </w:rPr>
        <w:t xml:space="preserve">1 paciņa </w:t>
      </w:r>
      <w:r w:rsidR="00223B90" w:rsidRPr="00E83219">
        <w:rPr>
          <w:color w:val="auto"/>
          <w:szCs w:val="22"/>
          <w:lang w:val="lv-LV"/>
        </w:rPr>
        <w:t xml:space="preserve">granulu </w:t>
      </w:r>
      <w:r w:rsidR="001E1FD4" w:rsidRPr="00E83219">
        <w:rPr>
          <w:color w:val="auto"/>
          <w:szCs w:val="22"/>
          <w:lang w:val="lv-LV"/>
        </w:rPr>
        <w:t>dienā (400 mg magnija).</w:t>
      </w:r>
    </w:p>
    <w:p w14:paraId="364480AE" w14:textId="77777777" w:rsidR="001E1FD4" w:rsidRPr="00E83219" w:rsidRDefault="001E1FD4" w:rsidP="007A1B17">
      <w:pPr>
        <w:pStyle w:val="knZulassung01"/>
        <w:ind w:left="567" w:right="0" w:firstLine="0"/>
        <w:jc w:val="both"/>
        <w:rPr>
          <w:color w:val="auto"/>
          <w:szCs w:val="22"/>
          <w:lang w:val="lv-LV"/>
        </w:rPr>
      </w:pPr>
    </w:p>
    <w:p w14:paraId="7D096D32" w14:textId="77777777" w:rsidR="00E6426D" w:rsidRPr="00E83219" w:rsidRDefault="001E1FD4" w:rsidP="007A1B17">
      <w:pPr>
        <w:pStyle w:val="knZulassung01"/>
        <w:ind w:left="567" w:right="0" w:firstLine="0"/>
        <w:jc w:val="both"/>
        <w:rPr>
          <w:i/>
          <w:color w:val="auto"/>
          <w:szCs w:val="22"/>
          <w:lang w:val="lv-LV"/>
        </w:rPr>
      </w:pPr>
      <w:r w:rsidRPr="00E83219">
        <w:rPr>
          <w:i/>
          <w:color w:val="auto"/>
          <w:szCs w:val="22"/>
          <w:lang w:val="lv-LV"/>
        </w:rPr>
        <w:t>Pediatriskā populācija</w:t>
      </w:r>
    </w:p>
    <w:p w14:paraId="6DAF1D22" w14:textId="564CAD35" w:rsidR="00E6426D" w:rsidRPr="00E83219" w:rsidRDefault="004416C4" w:rsidP="007A1B17">
      <w:pPr>
        <w:pStyle w:val="knZulassung01"/>
        <w:ind w:left="567" w:right="0" w:firstLine="0"/>
        <w:jc w:val="both"/>
        <w:rPr>
          <w:color w:val="auto"/>
          <w:szCs w:val="22"/>
          <w:lang w:val="lv-LV"/>
        </w:rPr>
      </w:pPr>
      <w:r>
        <w:rPr>
          <w:color w:val="auto"/>
          <w:szCs w:val="22"/>
          <w:lang w:val="lv-LV"/>
        </w:rPr>
        <w:t>Magnesium Diasporal direct</w:t>
      </w:r>
      <w:r w:rsidR="001E1FD4" w:rsidRPr="00E83219">
        <w:rPr>
          <w:color w:val="auto"/>
          <w:szCs w:val="22"/>
          <w:lang w:val="lv-LV"/>
        </w:rPr>
        <w:t xml:space="preserve"> drošums un efektivitāte, lietojot bērniem un pusaudžiem, nav pierādīta.</w:t>
      </w:r>
      <w:r w:rsidR="00EE0ABC" w:rsidRPr="00E83219">
        <w:rPr>
          <w:color w:val="auto"/>
          <w:szCs w:val="22"/>
          <w:lang w:val="lv-LV"/>
        </w:rPr>
        <w:t xml:space="preserve"> Tāpēc t</w:t>
      </w:r>
      <w:r w:rsidR="00B4507A" w:rsidRPr="00E83219">
        <w:rPr>
          <w:color w:val="auto"/>
          <w:szCs w:val="22"/>
          <w:lang w:val="lv-LV"/>
        </w:rPr>
        <w:t>ās</w:t>
      </w:r>
      <w:r w:rsidR="00EE0ABC" w:rsidRPr="00E83219">
        <w:rPr>
          <w:color w:val="auto"/>
          <w:szCs w:val="22"/>
          <w:lang w:val="lv-LV"/>
        </w:rPr>
        <w:t xml:space="preserve"> nav ieteicams lietot bērniem un pusaudžiem.</w:t>
      </w:r>
    </w:p>
    <w:p w14:paraId="71FD98DC" w14:textId="77777777" w:rsidR="001E1FD4" w:rsidRPr="00E83219" w:rsidRDefault="001E1FD4" w:rsidP="007A1B17">
      <w:pPr>
        <w:pStyle w:val="knZulassung01"/>
        <w:ind w:left="567" w:right="0" w:firstLine="0"/>
        <w:rPr>
          <w:color w:val="auto"/>
          <w:szCs w:val="22"/>
          <w:lang w:val="lv-LV"/>
        </w:rPr>
      </w:pPr>
    </w:p>
    <w:p w14:paraId="28DE2556" w14:textId="77777777" w:rsidR="001E1FD4" w:rsidRPr="00E83219" w:rsidRDefault="001E1FD4" w:rsidP="007A1B17">
      <w:pPr>
        <w:pStyle w:val="knZulassung01"/>
        <w:ind w:left="567" w:right="0" w:firstLine="0"/>
        <w:rPr>
          <w:i/>
          <w:color w:val="auto"/>
          <w:szCs w:val="22"/>
          <w:lang w:val="lv-LV"/>
        </w:rPr>
      </w:pPr>
      <w:r w:rsidRPr="00E83219">
        <w:rPr>
          <w:i/>
          <w:color w:val="auto"/>
          <w:szCs w:val="22"/>
          <w:lang w:val="lv-LV"/>
        </w:rPr>
        <w:t>Nieru darbības traucējumi</w:t>
      </w:r>
    </w:p>
    <w:p w14:paraId="6D4B1FFE" w14:textId="6570E9F7" w:rsidR="00E6426D" w:rsidRDefault="004416C4" w:rsidP="007A1B17">
      <w:pPr>
        <w:ind w:left="567"/>
        <w:rPr>
          <w:color w:val="auto"/>
          <w:szCs w:val="22"/>
          <w:lang w:val="lv-LV"/>
        </w:rPr>
      </w:pPr>
      <w:r>
        <w:rPr>
          <w:color w:val="auto"/>
          <w:szCs w:val="22"/>
          <w:lang w:val="lv-LV"/>
        </w:rPr>
        <w:t>Magnesium Diasporal direct</w:t>
      </w:r>
      <w:r w:rsidR="00AD197A" w:rsidRPr="00E83219">
        <w:rPr>
          <w:color w:val="auto"/>
          <w:szCs w:val="22"/>
          <w:lang w:val="lv-LV"/>
        </w:rPr>
        <w:t xml:space="preserve"> ir kontrindicētas pacientiem ar smagiem nieru darbības traucējumiem (skatīt 4.3. apakšpunktu).</w:t>
      </w:r>
    </w:p>
    <w:p w14:paraId="37CC8CC3" w14:textId="6A0E7407" w:rsidR="00121A85" w:rsidRDefault="00121A85" w:rsidP="007A1B17">
      <w:pPr>
        <w:ind w:left="567"/>
        <w:rPr>
          <w:color w:val="auto"/>
          <w:szCs w:val="22"/>
          <w:lang w:val="lv-LV"/>
        </w:rPr>
      </w:pPr>
    </w:p>
    <w:p w14:paraId="7D239971" w14:textId="1555CF01" w:rsidR="00121A85" w:rsidRPr="00121A85" w:rsidRDefault="00121A85" w:rsidP="00121A85">
      <w:pPr>
        <w:pStyle w:val="CommentText"/>
        <w:ind w:left="567"/>
        <w:rPr>
          <w:i/>
          <w:iCs/>
          <w:sz w:val="22"/>
          <w:szCs w:val="22"/>
          <w:u w:val="single"/>
          <w:lang w:val="lv-LV"/>
        </w:rPr>
      </w:pPr>
      <w:r w:rsidRPr="00121A85">
        <w:rPr>
          <w:i/>
          <w:iCs/>
          <w:sz w:val="22"/>
          <w:szCs w:val="22"/>
          <w:u w:val="single"/>
          <w:lang w:val="lv-LV"/>
        </w:rPr>
        <w:t>Aknu darbības traucējumi</w:t>
      </w:r>
    </w:p>
    <w:p w14:paraId="47861014" w14:textId="5D001E9D" w:rsidR="00121A85" w:rsidRPr="00E83219" w:rsidRDefault="009C0638" w:rsidP="009C0638">
      <w:pPr>
        <w:ind w:left="567"/>
        <w:rPr>
          <w:color w:val="auto"/>
          <w:szCs w:val="22"/>
          <w:lang w:val="lv-LV"/>
        </w:rPr>
      </w:pPr>
      <w:r w:rsidRPr="009732E9">
        <w:rPr>
          <w:lang w:val="lv-LV"/>
        </w:rPr>
        <w:t>Devas pielāgošana nav nepieciešama</w:t>
      </w:r>
      <w:r w:rsidR="001A3B32">
        <w:rPr>
          <w:lang w:val="lv-LV"/>
        </w:rPr>
        <w:t>.</w:t>
      </w:r>
      <w:r>
        <w:rPr>
          <w:lang w:val="lv-LV"/>
        </w:rPr>
        <w:t xml:space="preserve"> </w:t>
      </w:r>
      <w:r w:rsidR="00121A85" w:rsidRPr="00121A85">
        <w:rPr>
          <w:szCs w:val="22"/>
          <w:lang w:val="lv-LV"/>
        </w:rPr>
        <w:t>(</w:t>
      </w:r>
      <w:r w:rsidR="001A3B32">
        <w:rPr>
          <w:szCs w:val="22"/>
          <w:lang w:val="lv-LV"/>
        </w:rPr>
        <w:t>S</w:t>
      </w:r>
      <w:r w:rsidR="00121A85" w:rsidRPr="00121A85">
        <w:rPr>
          <w:szCs w:val="22"/>
          <w:lang w:val="lv-LV"/>
        </w:rPr>
        <w:t xml:space="preserve">katīt 5.2. apakšpunktu: </w:t>
      </w:r>
      <w:r w:rsidR="00FF0B0B">
        <w:rPr>
          <w:szCs w:val="22"/>
          <w:lang w:val="lv-LV"/>
        </w:rPr>
        <w:t>m</w:t>
      </w:r>
      <w:r w:rsidR="00121A85" w:rsidRPr="00121A85">
        <w:rPr>
          <w:szCs w:val="22"/>
          <w:lang w:val="lv-LV"/>
        </w:rPr>
        <w:t>agnijs, kas uzsūcies organismā, izdalās praktiski tikai caur nierēm sekrēcijas veidā</w:t>
      </w:r>
      <w:r w:rsidR="001A3B32">
        <w:rPr>
          <w:szCs w:val="22"/>
          <w:lang w:val="lv-LV"/>
        </w:rPr>
        <w:t>.</w:t>
      </w:r>
      <w:r w:rsidR="00121A85" w:rsidRPr="00121A85">
        <w:rPr>
          <w:szCs w:val="22"/>
          <w:lang w:val="lv-LV"/>
        </w:rPr>
        <w:t>)</w:t>
      </w:r>
    </w:p>
    <w:p w14:paraId="7617459C" w14:textId="4D9EEE69" w:rsidR="001E1FD4" w:rsidRPr="00F46A27" w:rsidRDefault="001E1FD4" w:rsidP="007A1B17">
      <w:pPr>
        <w:pStyle w:val="knZulassung01"/>
        <w:ind w:left="567" w:right="0" w:firstLine="0"/>
        <w:rPr>
          <w:color w:val="auto"/>
          <w:szCs w:val="22"/>
          <w:u w:val="single"/>
          <w:lang w:val="lv-LV"/>
        </w:rPr>
      </w:pPr>
    </w:p>
    <w:p w14:paraId="75D67910" w14:textId="77777777" w:rsidR="001E1FD4" w:rsidRPr="00E83219" w:rsidRDefault="001E1FD4" w:rsidP="007A1B17">
      <w:pPr>
        <w:tabs>
          <w:tab w:val="left" w:pos="567"/>
          <w:tab w:val="left" w:pos="1843"/>
        </w:tabs>
        <w:ind w:left="567"/>
        <w:jc w:val="both"/>
        <w:textAlignment w:val="auto"/>
        <w:rPr>
          <w:color w:val="auto"/>
          <w:szCs w:val="22"/>
          <w:u w:val="single"/>
          <w:lang w:val="lv-LV"/>
        </w:rPr>
      </w:pPr>
      <w:r w:rsidRPr="00E83219">
        <w:rPr>
          <w:color w:val="auto"/>
          <w:szCs w:val="22"/>
          <w:u w:val="single"/>
          <w:lang w:val="lv-LV"/>
        </w:rPr>
        <w:t>Lietošanas veids</w:t>
      </w:r>
    </w:p>
    <w:p w14:paraId="3FEF63B5" w14:textId="77777777" w:rsidR="00E6426D" w:rsidRPr="00E83219" w:rsidRDefault="004000D6" w:rsidP="007A1B17">
      <w:pPr>
        <w:tabs>
          <w:tab w:val="left" w:pos="567"/>
          <w:tab w:val="left" w:pos="1843"/>
        </w:tabs>
        <w:ind w:left="567"/>
        <w:jc w:val="both"/>
        <w:textAlignment w:val="auto"/>
        <w:rPr>
          <w:color w:val="auto"/>
          <w:szCs w:val="22"/>
          <w:lang w:val="lv-LV"/>
        </w:rPr>
      </w:pPr>
      <w:r w:rsidRPr="00E83219">
        <w:rPr>
          <w:color w:val="auto"/>
          <w:szCs w:val="22"/>
          <w:lang w:val="lv-LV"/>
        </w:rPr>
        <w:t>Iekšķīgai lietošanai.</w:t>
      </w:r>
    </w:p>
    <w:p w14:paraId="5DD0EB32" w14:textId="2BAA9214" w:rsidR="001E1FD4" w:rsidRPr="00E83219" w:rsidRDefault="004416C4" w:rsidP="007A1B17">
      <w:pPr>
        <w:tabs>
          <w:tab w:val="left" w:pos="567"/>
          <w:tab w:val="left" w:pos="1843"/>
        </w:tabs>
        <w:ind w:left="567"/>
        <w:jc w:val="both"/>
        <w:textAlignment w:val="auto"/>
        <w:rPr>
          <w:color w:val="auto"/>
          <w:szCs w:val="22"/>
          <w:lang w:val="lv-LV"/>
        </w:rPr>
      </w:pPr>
      <w:r>
        <w:rPr>
          <w:color w:val="auto"/>
          <w:szCs w:val="22"/>
          <w:lang w:val="lv-LV"/>
        </w:rPr>
        <w:t>Magnesium Diasporal direct</w:t>
      </w:r>
      <w:r w:rsidR="00AD197A" w:rsidRPr="00E83219">
        <w:rPr>
          <w:color w:val="auto"/>
          <w:szCs w:val="22"/>
          <w:lang w:val="lv-LV"/>
        </w:rPr>
        <w:t xml:space="preserve"> jāieber tieši mutē, uz mēles un jānorij, neuzdzerot ūdeni, neilgi pirms ēdienreizes.</w:t>
      </w:r>
    </w:p>
    <w:p w14:paraId="32DBD234" w14:textId="77777777" w:rsidR="00B97885" w:rsidRPr="00E83219" w:rsidRDefault="00B97885" w:rsidP="007A1B17">
      <w:pPr>
        <w:tabs>
          <w:tab w:val="left" w:pos="567"/>
          <w:tab w:val="left" w:pos="1843"/>
        </w:tabs>
        <w:ind w:left="567"/>
        <w:jc w:val="both"/>
        <w:textAlignment w:val="auto"/>
        <w:rPr>
          <w:color w:val="auto"/>
          <w:szCs w:val="22"/>
          <w:lang w:val="lv-LV"/>
        </w:rPr>
      </w:pPr>
    </w:p>
    <w:p w14:paraId="361BE417" w14:textId="6F733336" w:rsidR="00B97885" w:rsidRPr="00E83219" w:rsidRDefault="00006B4A" w:rsidP="00E83219">
      <w:pPr>
        <w:tabs>
          <w:tab w:val="left" w:pos="567"/>
          <w:tab w:val="left" w:pos="1843"/>
        </w:tabs>
        <w:ind w:left="567"/>
        <w:jc w:val="both"/>
        <w:textAlignment w:val="auto"/>
        <w:rPr>
          <w:color w:val="auto"/>
          <w:szCs w:val="22"/>
          <w:u w:val="single"/>
          <w:lang w:val="lv-LV"/>
        </w:rPr>
      </w:pPr>
      <w:r w:rsidRPr="00E83219">
        <w:rPr>
          <w:color w:val="auto"/>
          <w:szCs w:val="22"/>
          <w:u w:val="single"/>
          <w:lang w:val="lv-LV"/>
        </w:rPr>
        <w:t>Ārstēšanas ilgums</w:t>
      </w:r>
    </w:p>
    <w:p w14:paraId="670A1FF8" w14:textId="6E8E76AD" w:rsidR="00B97885" w:rsidRPr="00E83219" w:rsidRDefault="00B97885" w:rsidP="007A1B17">
      <w:pPr>
        <w:tabs>
          <w:tab w:val="left" w:pos="567"/>
          <w:tab w:val="left" w:pos="709"/>
          <w:tab w:val="left" w:pos="1843"/>
        </w:tabs>
        <w:ind w:left="567"/>
        <w:jc w:val="both"/>
        <w:textAlignment w:val="auto"/>
        <w:rPr>
          <w:color w:val="auto"/>
          <w:szCs w:val="22"/>
          <w:lang w:val="lv-LV"/>
        </w:rPr>
      </w:pPr>
      <w:r w:rsidRPr="00E83219">
        <w:rPr>
          <w:color w:val="auto"/>
          <w:szCs w:val="22"/>
          <w:lang w:val="lv-LV"/>
        </w:rPr>
        <w:lastRenderedPageBreak/>
        <w:t>Ārstēšanas ilgums ir atkarīgs no magnija deficīta smaguma, un to nosaka ārsts. Ir pieejami drošuma dati no klīniskajiem pētījumiem par līdzvērtīgu magnija preparātu lietošanu</w:t>
      </w:r>
      <w:r w:rsidR="00B60AF3">
        <w:rPr>
          <w:color w:val="auto"/>
          <w:szCs w:val="22"/>
          <w:lang w:val="lv-LV"/>
        </w:rPr>
        <w:t xml:space="preserve"> </w:t>
      </w:r>
      <w:r w:rsidRPr="00E83219">
        <w:rPr>
          <w:color w:val="auto"/>
          <w:szCs w:val="22"/>
          <w:lang w:val="lv-LV"/>
        </w:rPr>
        <w:t>no 4 nedēļām līdz 6 mēnešiem.</w:t>
      </w:r>
    </w:p>
    <w:p w14:paraId="0A79503A" w14:textId="77777777" w:rsidR="00B97885" w:rsidRPr="00E83219" w:rsidRDefault="00B97885" w:rsidP="00B97885">
      <w:pPr>
        <w:tabs>
          <w:tab w:val="left" w:pos="567"/>
          <w:tab w:val="left" w:pos="1843"/>
        </w:tabs>
        <w:jc w:val="both"/>
        <w:textAlignment w:val="auto"/>
        <w:rPr>
          <w:color w:val="auto"/>
          <w:szCs w:val="22"/>
          <w:lang w:val="lv-LV"/>
        </w:rPr>
      </w:pPr>
    </w:p>
    <w:p w14:paraId="6B078075" w14:textId="181F61A5" w:rsidR="001E1FD4" w:rsidRPr="00E83219" w:rsidRDefault="001E1FD4" w:rsidP="00D313A6">
      <w:pPr>
        <w:keepNext/>
        <w:tabs>
          <w:tab w:val="left" w:pos="567"/>
        </w:tabs>
        <w:rPr>
          <w:b/>
          <w:color w:val="auto"/>
          <w:szCs w:val="22"/>
          <w:lang w:val="lv-LV"/>
        </w:rPr>
      </w:pPr>
      <w:r w:rsidRPr="00E83219">
        <w:rPr>
          <w:b/>
          <w:color w:val="auto"/>
          <w:szCs w:val="22"/>
          <w:lang w:val="lv-LV"/>
        </w:rPr>
        <w:t>4.3.</w:t>
      </w:r>
      <w:r w:rsidRPr="00E83219">
        <w:rPr>
          <w:b/>
          <w:color w:val="auto"/>
          <w:szCs w:val="22"/>
          <w:lang w:val="lv-LV"/>
        </w:rPr>
        <w:tab/>
        <w:t>Kontrindikācijas</w:t>
      </w:r>
    </w:p>
    <w:p w14:paraId="06F1BEF4" w14:textId="77777777" w:rsidR="007A1B17" w:rsidRPr="00E83219" w:rsidRDefault="007A1B17" w:rsidP="007A1B17">
      <w:pPr>
        <w:tabs>
          <w:tab w:val="left" w:pos="567"/>
        </w:tabs>
        <w:rPr>
          <w:b/>
          <w:color w:val="auto"/>
          <w:szCs w:val="22"/>
          <w:lang w:val="lv-LV"/>
        </w:rPr>
      </w:pPr>
    </w:p>
    <w:p w14:paraId="19D7FBF9" w14:textId="77777777" w:rsidR="00E6426D" w:rsidRPr="00E83219" w:rsidRDefault="001E1FD4" w:rsidP="007A1B17">
      <w:pPr>
        <w:pStyle w:val="knZulassung01"/>
        <w:widowControl w:val="0"/>
        <w:numPr>
          <w:ilvl w:val="0"/>
          <w:numId w:val="1"/>
        </w:numPr>
        <w:ind w:right="0" w:hanging="513"/>
        <w:jc w:val="both"/>
        <w:textAlignment w:val="auto"/>
        <w:rPr>
          <w:color w:val="auto"/>
          <w:szCs w:val="22"/>
          <w:lang w:val="lv-LV"/>
        </w:rPr>
      </w:pPr>
      <w:r w:rsidRPr="00E83219">
        <w:rPr>
          <w:color w:val="auto"/>
          <w:szCs w:val="22"/>
          <w:lang w:val="lv-LV"/>
        </w:rPr>
        <w:t>paaugstināta jutība pret aktīvo vielu vai jebkuru no 6.1. apakšpunktā uzskaitītajām palīgvielām;</w:t>
      </w:r>
    </w:p>
    <w:p w14:paraId="0DEA2F7D" w14:textId="77777777" w:rsidR="001E1FD4" w:rsidRPr="00E83219" w:rsidRDefault="001E1FD4" w:rsidP="007A1B17">
      <w:pPr>
        <w:pStyle w:val="knZulassung01"/>
        <w:widowControl w:val="0"/>
        <w:numPr>
          <w:ilvl w:val="0"/>
          <w:numId w:val="1"/>
        </w:numPr>
        <w:ind w:right="0" w:hanging="513"/>
        <w:jc w:val="both"/>
        <w:textAlignment w:val="auto"/>
        <w:rPr>
          <w:color w:val="auto"/>
          <w:szCs w:val="22"/>
          <w:lang w:val="lv-LV"/>
        </w:rPr>
      </w:pPr>
      <w:r w:rsidRPr="00E83219">
        <w:rPr>
          <w:color w:val="auto"/>
          <w:szCs w:val="22"/>
          <w:lang w:val="lv-LV"/>
        </w:rPr>
        <w:t>smagi nieru darbības traucējumi (glomerulārās filtrācijas ātrums &lt; 30 ml/min);</w:t>
      </w:r>
    </w:p>
    <w:p w14:paraId="6C2C9271" w14:textId="77777777" w:rsidR="001E1FD4" w:rsidRPr="00E83219" w:rsidRDefault="00F200DC" w:rsidP="007A1B17">
      <w:pPr>
        <w:pStyle w:val="ListParagraph"/>
        <w:numPr>
          <w:ilvl w:val="0"/>
          <w:numId w:val="1"/>
        </w:numPr>
        <w:ind w:hanging="513"/>
        <w:rPr>
          <w:color w:val="auto"/>
          <w:szCs w:val="22"/>
          <w:lang w:val="lv-LV"/>
        </w:rPr>
      </w:pPr>
      <w:r w:rsidRPr="00E83219">
        <w:rPr>
          <w:color w:val="auto"/>
          <w:szCs w:val="22"/>
          <w:lang w:val="lv-LV"/>
        </w:rPr>
        <w:t>sirds vadīšanas sistēmas traucējumi, kas izraisa lēnu sirdsdarbību (bradikardija).</w:t>
      </w:r>
    </w:p>
    <w:p w14:paraId="04FAF68F" w14:textId="77777777" w:rsidR="001E1FD4" w:rsidRPr="00E83219" w:rsidRDefault="001E1FD4" w:rsidP="00844FD8">
      <w:pPr>
        <w:rPr>
          <w:color w:val="auto"/>
          <w:szCs w:val="22"/>
          <w:lang w:val="lv-LV"/>
        </w:rPr>
      </w:pPr>
    </w:p>
    <w:p w14:paraId="2AD18904" w14:textId="77777777" w:rsidR="001E1FD4" w:rsidRPr="00E83219" w:rsidRDefault="001E1FD4" w:rsidP="007A1B17">
      <w:pPr>
        <w:tabs>
          <w:tab w:val="left" w:pos="567"/>
        </w:tabs>
        <w:rPr>
          <w:b/>
          <w:color w:val="auto"/>
          <w:szCs w:val="22"/>
          <w:lang w:val="lv-LV"/>
        </w:rPr>
      </w:pPr>
      <w:r w:rsidRPr="00E83219">
        <w:rPr>
          <w:b/>
          <w:color w:val="auto"/>
          <w:szCs w:val="22"/>
          <w:lang w:val="lv-LV"/>
        </w:rPr>
        <w:t>4.4.</w:t>
      </w:r>
      <w:r w:rsidRPr="00E83219">
        <w:rPr>
          <w:b/>
          <w:color w:val="auto"/>
          <w:szCs w:val="22"/>
          <w:lang w:val="lv-LV"/>
        </w:rPr>
        <w:tab/>
        <w:t>Īpaši brīdinājumi un piesardzība lietošanā</w:t>
      </w:r>
    </w:p>
    <w:p w14:paraId="438239B7" w14:textId="77777777" w:rsidR="001E1FD4" w:rsidRPr="00E83219" w:rsidRDefault="001E1FD4" w:rsidP="00844FD8">
      <w:pPr>
        <w:outlineLvl w:val="0"/>
        <w:rPr>
          <w:b/>
          <w:color w:val="auto"/>
          <w:szCs w:val="22"/>
          <w:lang w:val="lv-LV"/>
        </w:rPr>
      </w:pPr>
    </w:p>
    <w:p w14:paraId="75ED0475" w14:textId="3180A198" w:rsidR="001E1FD4" w:rsidRPr="00E83219" w:rsidRDefault="00C21989" w:rsidP="007A1B17">
      <w:pPr>
        <w:pStyle w:val="knZulassung01"/>
        <w:widowControl w:val="0"/>
        <w:ind w:left="567" w:firstLine="0"/>
        <w:rPr>
          <w:color w:val="auto"/>
          <w:szCs w:val="22"/>
          <w:lang w:val="lv-LV"/>
        </w:rPr>
      </w:pPr>
      <w:r w:rsidRPr="00E83219">
        <w:rPr>
          <w:color w:val="auto"/>
          <w:szCs w:val="22"/>
          <w:lang w:val="lv-LV"/>
        </w:rPr>
        <w:t xml:space="preserve">Šīs zāles satur </w:t>
      </w:r>
      <w:r w:rsidR="00EE0ABC" w:rsidRPr="00D313A6">
        <w:rPr>
          <w:color w:val="auto"/>
          <w:szCs w:val="22"/>
          <w:lang w:val="lv-LV"/>
        </w:rPr>
        <w:t xml:space="preserve">929,44 mg </w:t>
      </w:r>
      <w:r w:rsidRPr="00E83219">
        <w:rPr>
          <w:color w:val="auto"/>
          <w:szCs w:val="22"/>
          <w:lang w:val="lv-LV"/>
        </w:rPr>
        <w:t>sorbīt</w:t>
      </w:r>
      <w:r w:rsidR="00EE0ABC" w:rsidRPr="00E83219">
        <w:rPr>
          <w:color w:val="auto"/>
          <w:szCs w:val="22"/>
          <w:lang w:val="lv-LV"/>
        </w:rPr>
        <w:t>a katrā devas vien</w:t>
      </w:r>
      <w:r w:rsidR="00B8093B" w:rsidRPr="00E83219">
        <w:rPr>
          <w:color w:val="auto"/>
          <w:szCs w:val="22"/>
          <w:lang w:val="lv-LV"/>
        </w:rPr>
        <w:t>ībā</w:t>
      </w:r>
      <w:r w:rsidRPr="00E83219">
        <w:rPr>
          <w:color w:val="auto"/>
          <w:szCs w:val="22"/>
          <w:lang w:val="lv-LV"/>
        </w:rPr>
        <w:t>. Pacienti ar retu iedzimtu fruktozes nepanesību nedrīkst lietot šīs zāles.</w:t>
      </w:r>
    </w:p>
    <w:p w14:paraId="20D0FAAF" w14:textId="77777777" w:rsidR="00C21989" w:rsidRPr="00E83219" w:rsidRDefault="00C21989" w:rsidP="007A1B17">
      <w:pPr>
        <w:pStyle w:val="knZulassung01"/>
        <w:widowControl w:val="0"/>
        <w:ind w:left="567" w:firstLine="0"/>
        <w:rPr>
          <w:color w:val="auto"/>
          <w:szCs w:val="22"/>
          <w:lang w:val="lv-LV"/>
        </w:rPr>
      </w:pPr>
    </w:p>
    <w:p w14:paraId="0C2DE0EC" w14:textId="77777777" w:rsidR="001E1FD4" w:rsidRPr="00E83219" w:rsidRDefault="001E1FD4" w:rsidP="007A1B17">
      <w:pPr>
        <w:pStyle w:val="knZulassung01"/>
        <w:widowControl w:val="0"/>
        <w:ind w:left="567" w:firstLine="0"/>
        <w:rPr>
          <w:color w:val="auto"/>
          <w:szCs w:val="22"/>
          <w:lang w:val="lv-LV"/>
        </w:rPr>
      </w:pPr>
      <w:r w:rsidRPr="00E83219">
        <w:rPr>
          <w:color w:val="auto"/>
          <w:szCs w:val="22"/>
          <w:lang w:val="lv-LV"/>
        </w:rPr>
        <w:t>Ja parādās nevēlamas blakusparādības, ārstēšana uz laiku jāpārtrauc, pēc simptomu mazināšanās un/vai izzušanas terapiju var pielāgot, samazinot devu.</w:t>
      </w:r>
    </w:p>
    <w:p w14:paraId="571A6CF0" w14:textId="77777777" w:rsidR="001E1FD4" w:rsidRPr="00E83219" w:rsidRDefault="001E1FD4" w:rsidP="00844FD8">
      <w:pPr>
        <w:rPr>
          <w:color w:val="auto"/>
          <w:szCs w:val="22"/>
          <w:lang w:val="lv-LV"/>
        </w:rPr>
      </w:pPr>
    </w:p>
    <w:p w14:paraId="2BD21DAA" w14:textId="77777777" w:rsidR="001E1FD4" w:rsidRPr="00E83219" w:rsidRDefault="001E1FD4" w:rsidP="007A1B17">
      <w:pPr>
        <w:tabs>
          <w:tab w:val="left" w:pos="567"/>
        </w:tabs>
        <w:rPr>
          <w:b/>
          <w:color w:val="auto"/>
          <w:szCs w:val="22"/>
          <w:lang w:val="lv-LV"/>
        </w:rPr>
      </w:pPr>
      <w:r w:rsidRPr="00E83219">
        <w:rPr>
          <w:b/>
          <w:color w:val="auto"/>
          <w:szCs w:val="22"/>
          <w:lang w:val="lv-LV"/>
        </w:rPr>
        <w:t>4.5.</w:t>
      </w:r>
      <w:r w:rsidRPr="00E83219">
        <w:rPr>
          <w:b/>
          <w:color w:val="auto"/>
          <w:szCs w:val="22"/>
          <w:lang w:val="lv-LV"/>
        </w:rPr>
        <w:tab/>
        <w:t>Mijiedarbība ar citām zālēm un citi mijiedarbības veidi</w:t>
      </w:r>
    </w:p>
    <w:p w14:paraId="36C8BA81" w14:textId="77777777" w:rsidR="001E1FD4" w:rsidRPr="00E83219" w:rsidRDefault="001E1FD4" w:rsidP="00844FD8">
      <w:pPr>
        <w:outlineLvl w:val="0"/>
        <w:rPr>
          <w:b/>
          <w:color w:val="auto"/>
          <w:szCs w:val="22"/>
          <w:lang w:val="lv-LV"/>
        </w:rPr>
      </w:pPr>
    </w:p>
    <w:p w14:paraId="4DA7C619" w14:textId="77777777" w:rsidR="00E6426D" w:rsidRPr="00E83219" w:rsidRDefault="001E1FD4" w:rsidP="007A1B17">
      <w:pPr>
        <w:ind w:left="567"/>
        <w:rPr>
          <w:color w:val="auto"/>
          <w:szCs w:val="22"/>
          <w:lang w:val="lv-LV"/>
        </w:rPr>
      </w:pPr>
      <w:r w:rsidRPr="00E83219">
        <w:rPr>
          <w:color w:val="auto"/>
          <w:szCs w:val="22"/>
          <w:lang w:val="lv-LV"/>
        </w:rPr>
        <w:t>Tā kā magnijs un citas zāles var savstarpēji ietekmēt viens otra uzsūkšanos, parasti starp lietošanas reizēm jāievēro 2 līdz 3 stundu pārtraukums, ja vien iespējams.</w:t>
      </w:r>
    </w:p>
    <w:p w14:paraId="386781C0" w14:textId="77777777" w:rsidR="001E1FD4" w:rsidRPr="00E83219" w:rsidRDefault="001E1FD4" w:rsidP="007A1B17">
      <w:pPr>
        <w:ind w:left="567"/>
        <w:rPr>
          <w:color w:val="auto"/>
          <w:szCs w:val="22"/>
          <w:lang w:val="lv-LV"/>
        </w:rPr>
      </w:pPr>
    </w:p>
    <w:p w14:paraId="75E98654" w14:textId="77777777" w:rsidR="001E1FD4" w:rsidRPr="00E83219" w:rsidRDefault="001E1FD4" w:rsidP="007A1B17">
      <w:pPr>
        <w:ind w:left="567"/>
        <w:rPr>
          <w:color w:val="auto"/>
          <w:szCs w:val="22"/>
          <w:lang w:val="lv-LV"/>
        </w:rPr>
      </w:pPr>
      <w:r w:rsidRPr="00E83219">
        <w:rPr>
          <w:color w:val="auto"/>
          <w:szCs w:val="22"/>
          <w:lang w:val="lv-LV"/>
        </w:rPr>
        <w:t>It īpaši tas attiecas uz fluorīdiem un tetraciklīnu, kad starp lietošanas reizēm stingri jāievēro 2 līdz 3 stundu pārtraukums.</w:t>
      </w:r>
    </w:p>
    <w:p w14:paraId="1AD32DB8" w14:textId="77777777" w:rsidR="001E1FD4" w:rsidRPr="00E83219" w:rsidRDefault="001E1FD4" w:rsidP="007A1B17">
      <w:pPr>
        <w:ind w:left="567"/>
        <w:rPr>
          <w:color w:val="auto"/>
          <w:szCs w:val="22"/>
          <w:lang w:val="lv-LV"/>
        </w:rPr>
      </w:pPr>
    </w:p>
    <w:p w14:paraId="328DA038" w14:textId="77777777" w:rsidR="001E1FD4" w:rsidRPr="00E83219" w:rsidRDefault="001E1FD4" w:rsidP="007A1B17">
      <w:pPr>
        <w:ind w:left="567"/>
        <w:rPr>
          <w:color w:val="auto"/>
          <w:szCs w:val="22"/>
          <w:lang w:val="lv-LV"/>
        </w:rPr>
      </w:pPr>
      <w:r w:rsidRPr="00E83219">
        <w:rPr>
          <w:color w:val="auto"/>
          <w:szCs w:val="22"/>
          <w:lang w:val="lv-LV"/>
        </w:rPr>
        <w:t>Aminoglikozīdu grupas antibiotikas, cisplatīns un ciklosporīns A paātrina magnija sekrēciju. Diurētiskie līdzekļi (piem., tiazīds un furosemīds), EGF receptora antagonisti (piem., cetuksimabs un erlotinibs), protonu sūkņa inhibitori (piem., omeprazols un pantoprazols), vīrusu DNS polimerāzes inhibitori — foskarnets, pentamidīns, rapamicīns un amfotericīns B, var izraisīt magnija deficītu. Lietojot iepriekš minētās vielas, var būt nepieciešama magnija devas pielāgošana palielināta magnija zuduma dēļ.</w:t>
      </w:r>
    </w:p>
    <w:p w14:paraId="7E485CE8" w14:textId="77777777" w:rsidR="001E1FD4" w:rsidRPr="00E83219" w:rsidRDefault="001E1FD4" w:rsidP="00844FD8">
      <w:pPr>
        <w:rPr>
          <w:color w:val="auto"/>
          <w:lang w:val="lv-LV"/>
        </w:rPr>
      </w:pPr>
    </w:p>
    <w:p w14:paraId="392124F2" w14:textId="77777777" w:rsidR="001E1FD4" w:rsidRPr="00E83219" w:rsidRDefault="001E1FD4" w:rsidP="007A1B17">
      <w:pPr>
        <w:tabs>
          <w:tab w:val="left" w:pos="567"/>
        </w:tabs>
        <w:rPr>
          <w:color w:val="auto"/>
          <w:szCs w:val="22"/>
          <w:lang w:val="lv-LV"/>
        </w:rPr>
      </w:pPr>
      <w:r w:rsidRPr="00E83219">
        <w:rPr>
          <w:b/>
          <w:color w:val="auto"/>
          <w:szCs w:val="22"/>
          <w:lang w:val="lv-LV"/>
        </w:rPr>
        <w:t>4.6.</w:t>
      </w:r>
      <w:r w:rsidRPr="00E83219">
        <w:rPr>
          <w:b/>
          <w:color w:val="auto"/>
          <w:szCs w:val="22"/>
          <w:lang w:val="lv-LV"/>
        </w:rPr>
        <w:tab/>
        <w:t>Fertilitāte, grūtniecība un barošana ar krūti</w:t>
      </w:r>
    </w:p>
    <w:p w14:paraId="47932AB6" w14:textId="77777777" w:rsidR="001E1FD4" w:rsidRPr="00E83219" w:rsidRDefault="001E1FD4" w:rsidP="00844FD8">
      <w:pPr>
        <w:pStyle w:val="knZulassung01"/>
        <w:widowControl w:val="0"/>
        <w:tabs>
          <w:tab w:val="clear" w:pos="567"/>
          <w:tab w:val="left" w:pos="709"/>
        </w:tabs>
        <w:ind w:left="0" w:right="0" w:firstLine="0"/>
        <w:outlineLvl w:val="0"/>
        <w:rPr>
          <w:b/>
          <w:color w:val="auto"/>
          <w:szCs w:val="22"/>
          <w:lang w:val="lv-LV"/>
        </w:rPr>
      </w:pPr>
    </w:p>
    <w:p w14:paraId="73DA56F0" w14:textId="77777777" w:rsidR="001E1FD4" w:rsidRPr="00E83219" w:rsidRDefault="001E1FD4" w:rsidP="007A1B17">
      <w:pPr>
        <w:keepNext/>
        <w:ind w:left="567"/>
        <w:rPr>
          <w:color w:val="auto"/>
          <w:szCs w:val="22"/>
          <w:u w:val="single"/>
          <w:lang w:val="lv-LV"/>
        </w:rPr>
      </w:pPr>
      <w:r w:rsidRPr="00E83219">
        <w:rPr>
          <w:color w:val="auto"/>
          <w:szCs w:val="22"/>
          <w:u w:val="single"/>
          <w:lang w:val="lv-LV"/>
        </w:rPr>
        <w:t>Grūtniecība</w:t>
      </w:r>
    </w:p>
    <w:p w14:paraId="1A4638B0" w14:textId="43486FAE" w:rsidR="001E1FD4" w:rsidRPr="00E83219" w:rsidRDefault="004416C4" w:rsidP="007A1B17">
      <w:pPr>
        <w:keepNext/>
        <w:ind w:left="567"/>
        <w:rPr>
          <w:color w:val="auto"/>
          <w:szCs w:val="22"/>
          <w:lang w:val="lv-LV"/>
        </w:rPr>
      </w:pPr>
      <w:r>
        <w:rPr>
          <w:color w:val="auto"/>
          <w:szCs w:val="22"/>
          <w:lang w:val="lv-LV"/>
        </w:rPr>
        <w:t>Magnesium Diasporal direct</w:t>
      </w:r>
      <w:r w:rsidR="00AD197A" w:rsidRPr="00E83219">
        <w:rPr>
          <w:color w:val="auto"/>
          <w:szCs w:val="22"/>
          <w:lang w:val="lv-LV"/>
        </w:rPr>
        <w:t xml:space="preserve"> var lietot grūtniecības laikā.</w:t>
      </w:r>
    </w:p>
    <w:p w14:paraId="12F98963" w14:textId="4F299F5F" w:rsidR="001E1FD4" w:rsidRPr="00E83219" w:rsidRDefault="001E1FD4" w:rsidP="007A1B17">
      <w:pPr>
        <w:ind w:left="567"/>
        <w:rPr>
          <w:color w:val="auto"/>
          <w:szCs w:val="22"/>
          <w:lang w:val="lv-LV"/>
        </w:rPr>
      </w:pPr>
      <w:r w:rsidRPr="00E83219">
        <w:rPr>
          <w:color w:val="auto"/>
          <w:szCs w:val="22"/>
          <w:lang w:val="lv-LV"/>
        </w:rPr>
        <w:t>Pierādījumi par malformāciju risku nav iegūti. Tomēr dokumentēta pieredze par lietošanu cilvēkiem agrīnā grūtniecības laikā ir neliela.</w:t>
      </w:r>
      <w:r w:rsidR="00214D22" w:rsidRPr="00E83219">
        <w:rPr>
          <w:color w:val="auto"/>
          <w:szCs w:val="22"/>
          <w:lang w:val="lv-LV"/>
        </w:rPr>
        <w:t xml:space="preserve"> Pētījumi ar dzīvniekiem, kas pierāda reproduktīvo toksicitāti, nav pietiekami (skatīt 5.3. apakšpunktu).</w:t>
      </w:r>
    </w:p>
    <w:p w14:paraId="0A185F74" w14:textId="77777777" w:rsidR="001E1FD4" w:rsidRPr="00E83219" w:rsidRDefault="001E1FD4" w:rsidP="007A1B17">
      <w:pPr>
        <w:ind w:left="567"/>
        <w:rPr>
          <w:color w:val="auto"/>
          <w:szCs w:val="22"/>
          <w:lang w:val="lv-LV"/>
        </w:rPr>
      </w:pPr>
    </w:p>
    <w:p w14:paraId="6412995D" w14:textId="2EC40B2D" w:rsidR="001E1FD4" w:rsidRPr="00E83219" w:rsidRDefault="00214D22" w:rsidP="007A1B17">
      <w:pPr>
        <w:keepNext/>
        <w:keepLines/>
        <w:ind w:left="567"/>
        <w:rPr>
          <w:color w:val="auto"/>
          <w:szCs w:val="22"/>
          <w:u w:val="single"/>
          <w:lang w:val="lv-LV"/>
        </w:rPr>
      </w:pPr>
      <w:r w:rsidRPr="00E83219">
        <w:rPr>
          <w:color w:val="auto"/>
          <w:szCs w:val="22"/>
          <w:u w:val="single"/>
          <w:lang w:val="lv-LV"/>
        </w:rPr>
        <w:t>Barošana ar krūti</w:t>
      </w:r>
    </w:p>
    <w:p w14:paraId="389275C7" w14:textId="1AED98AB" w:rsidR="00E6426D" w:rsidRPr="00E83219" w:rsidRDefault="004416C4" w:rsidP="007A1B17">
      <w:pPr>
        <w:keepNext/>
        <w:keepLines/>
        <w:ind w:left="567"/>
        <w:rPr>
          <w:color w:val="auto"/>
          <w:szCs w:val="22"/>
          <w:lang w:val="lv-LV"/>
        </w:rPr>
      </w:pPr>
      <w:r>
        <w:rPr>
          <w:color w:val="auto"/>
          <w:szCs w:val="22"/>
          <w:lang w:val="lv-LV"/>
        </w:rPr>
        <w:t>Magnesium Diasporal direct</w:t>
      </w:r>
      <w:r w:rsidR="00AD197A" w:rsidRPr="00E83219">
        <w:rPr>
          <w:color w:val="auto"/>
          <w:szCs w:val="22"/>
          <w:lang w:val="lv-LV"/>
        </w:rPr>
        <w:t xml:space="preserve"> var lietot krūts barošanas laikā. </w:t>
      </w:r>
      <w:r w:rsidR="00AD197A" w:rsidRPr="00E83219">
        <w:rPr>
          <w:rFonts w:eastAsia="SimSun"/>
          <w:color w:val="auto"/>
          <w:szCs w:val="22"/>
          <w:lang w:val="lv-LV"/>
        </w:rPr>
        <w:t xml:space="preserve">Magnija citrāts/metabolīti un/vai magnija oksīds/metabolīti izdalās </w:t>
      </w:r>
      <w:bookmarkStart w:id="0" w:name="_Hlk57183956"/>
      <w:r w:rsidR="00C14CAB">
        <w:rPr>
          <w:rFonts w:eastAsia="SimSun"/>
          <w:color w:val="auto"/>
          <w:szCs w:val="22"/>
          <w:lang w:val="lv-LV"/>
        </w:rPr>
        <w:t xml:space="preserve">mātes </w:t>
      </w:r>
      <w:bookmarkEnd w:id="0"/>
      <w:r w:rsidR="00AD197A" w:rsidRPr="00E83219">
        <w:rPr>
          <w:rFonts w:eastAsia="SimSun"/>
          <w:color w:val="auto"/>
          <w:szCs w:val="22"/>
          <w:lang w:val="lv-LV"/>
        </w:rPr>
        <w:t xml:space="preserve">pienā, bet, lietojot </w:t>
      </w:r>
      <w:r>
        <w:rPr>
          <w:rFonts w:eastAsia="SimSun"/>
          <w:color w:val="auto"/>
          <w:szCs w:val="22"/>
          <w:lang w:val="lv-LV"/>
        </w:rPr>
        <w:t>Magnesium Diasporal direct</w:t>
      </w:r>
      <w:r w:rsidR="00AD197A" w:rsidRPr="00E83219">
        <w:rPr>
          <w:rFonts w:eastAsia="SimSun"/>
          <w:color w:val="auto"/>
          <w:szCs w:val="22"/>
          <w:lang w:val="lv-LV"/>
        </w:rPr>
        <w:t xml:space="preserve"> terapeitiskās devās, ietekme uz jaundzimušajiem/zīdaiņiem, ko baro ar krūti, nav paredzama.</w:t>
      </w:r>
    </w:p>
    <w:p w14:paraId="65BD29D5" w14:textId="77777777" w:rsidR="001E1FD4" w:rsidRPr="00E83219" w:rsidRDefault="001E1FD4" w:rsidP="007A1B17">
      <w:pPr>
        <w:ind w:left="567"/>
        <w:rPr>
          <w:color w:val="auto"/>
          <w:szCs w:val="22"/>
          <w:u w:val="single"/>
          <w:lang w:val="lv-LV"/>
        </w:rPr>
      </w:pPr>
    </w:p>
    <w:p w14:paraId="24FAC8B7" w14:textId="77777777" w:rsidR="001E1FD4" w:rsidRPr="00E83219" w:rsidRDefault="001E1FD4" w:rsidP="007A1B17">
      <w:pPr>
        <w:keepNext/>
        <w:keepLines/>
        <w:ind w:left="567"/>
        <w:rPr>
          <w:color w:val="auto"/>
          <w:szCs w:val="22"/>
          <w:u w:val="single"/>
          <w:lang w:val="lv-LV"/>
        </w:rPr>
      </w:pPr>
      <w:r w:rsidRPr="00E83219">
        <w:rPr>
          <w:color w:val="auto"/>
          <w:szCs w:val="22"/>
          <w:u w:val="single"/>
          <w:lang w:val="lv-LV"/>
        </w:rPr>
        <w:t>Fertilitāte</w:t>
      </w:r>
    </w:p>
    <w:p w14:paraId="43F2E361" w14:textId="77777777" w:rsidR="001E1FD4" w:rsidRPr="00E83219" w:rsidRDefault="001E1FD4" w:rsidP="007A1B17">
      <w:pPr>
        <w:keepNext/>
        <w:keepLines/>
        <w:ind w:left="567"/>
        <w:rPr>
          <w:color w:val="auto"/>
          <w:szCs w:val="22"/>
          <w:lang w:val="lv-LV"/>
        </w:rPr>
      </w:pPr>
      <w:r w:rsidRPr="00E83219">
        <w:rPr>
          <w:color w:val="auto"/>
          <w:szCs w:val="22"/>
          <w:lang w:val="lv-LV"/>
        </w:rPr>
        <w:t>Pamatojoties uz ilgstošo pieredzi, magnija citrāta un/vai magnija oksīda ietekme uz vīriešu un sieviešu fertilitāti nav paredzama.</w:t>
      </w:r>
    </w:p>
    <w:p w14:paraId="4B9228E8" w14:textId="77777777" w:rsidR="00214D22" w:rsidRPr="00E83219" w:rsidRDefault="00214D22" w:rsidP="007A1B17">
      <w:pPr>
        <w:keepNext/>
        <w:keepLines/>
        <w:ind w:left="567"/>
        <w:rPr>
          <w:color w:val="auto"/>
          <w:szCs w:val="22"/>
          <w:lang w:val="lv-LV"/>
        </w:rPr>
      </w:pPr>
    </w:p>
    <w:p w14:paraId="5809E457" w14:textId="77777777" w:rsidR="00B52DB4" w:rsidRPr="00E83219" w:rsidRDefault="00B52DB4" w:rsidP="00844FD8">
      <w:pPr>
        <w:outlineLvl w:val="0"/>
        <w:rPr>
          <w:b/>
          <w:color w:val="auto"/>
          <w:szCs w:val="22"/>
          <w:lang w:val="lv-LV"/>
        </w:rPr>
      </w:pPr>
    </w:p>
    <w:p w14:paraId="0E89D139" w14:textId="77777777" w:rsidR="001E1FD4" w:rsidRPr="00E83219" w:rsidRDefault="001E1FD4" w:rsidP="007A1B17">
      <w:pPr>
        <w:tabs>
          <w:tab w:val="left" w:pos="567"/>
        </w:tabs>
        <w:rPr>
          <w:b/>
          <w:color w:val="auto"/>
          <w:szCs w:val="22"/>
          <w:lang w:val="lv-LV"/>
        </w:rPr>
      </w:pPr>
      <w:r w:rsidRPr="00E83219">
        <w:rPr>
          <w:b/>
          <w:color w:val="auto"/>
          <w:szCs w:val="22"/>
          <w:lang w:val="lv-LV"/>
        </w:rPr>
        <w:t>4.7.</w:t>
      </w:r>
      <w:r w:rsidRPr="00E83219">
        <w:rPr>
          <w:b/>
          <w:color w:val="auto"/>
          <w:szCs w:val="22"/>
          <w:lang w:val="lv-LV"/>
        </w:rPr>
        <w:tab/>
        <w:t>Ietekme uz spēju vadīt transportlīdzekļus un apkalpot mehānismus</w:t>
      </w:r>
    </w:p>
    <w:p w14:paraId="582C3599" w14:textId="77777777" w:rsidR="001E1FD4" w:rsidRPr="00E83219" w:rsidRDefault="001E1FD4" w:rsidP="009B6DCA">
      <w:pPr>
        <w:keepNext/>
        <w:keepLines/>
        <w:outlineLvl w:val="0"/>
        <w:rPr>
          <w:b/>
          <w:color w:val="auto"/>
          <w:szCs w:val="22"/>
          <w:lang w:val="lv-LV"/>
        </w:rPr>
      </w:pPr>
    </w:p>
    <w:p w14:paraId="331109C5" w14:textId="191FACEE" w:rsidR="001E1FD4" w:rsidRPr="00E83219" w:rsidRDefault="004416C4" w:rsidP="007A1B17">
      <w:pPr>
        <w:ind w:left="567"/>
        <w:rPr>
          <w:color w:val="auto"/>
          <w:szCs w:val="22"/>
          <w:lang w:val="lv-LV"/>
        </w:rPr>
      </w:pPr>
      <w:r>
        <w:rPr>
          <w:color w:val="auto"/>
          <w:szCs w:val="22"/>
          <w:lang w:val="lv-LV"/>
        </w:rPr>
        <w:t>Magnesium Diasporal direct</w:t>
      </w:r>
      <w:r w:rsidR="00AD197A" w:rsidRPr="00E83219">
        <w:rPr>
          <w:color w:val="auto"/>
          <w:szCs w:val="22"/>
          <w:lang w:val="lv-LV"/>
        </w:rPr>
        <w:t xml:space="preserve"> neietekmē vai nenozīmīgi ietekmē spēju vadīt transportlīdzekļus un apkalpot mehānismus.</w:t>
      </w:r>
    </w:p>
    <w:p w14:paraId="2FB0A694" w14:textId="77777777" w:rsidR="001E1FD4" w:rsidRPr="00E83219" w:rsidRDefault="001E1FD4" w:rsidP="00844FD8">
      <w:pPr>
        <w:outlineLvl w:val="0"/>
        <w:rPr>
          <w:b/>
          <w:color w:val="auto"/>
          <w:szCs w:val="22"/>
          <w:lang w:val="lv-LV"/>
        </w:rPr>
      </w:pPr>
    </w:p>
    <w:p w14:paraId="26F357B4" w14:textId="77777777" w:rsidR="001E1FD4" w:rsidRPr="00E83219" w:rsidRDefault="001E1FD4" w:rsidP="00D313A6">
      <w:pPr>
        <w:keepNext/>
        <w:tabs>
          <w:tab w:val="left" w:pos="567"/>
        </w:tabs>
        <w:outlineLvl w:val="0"/>
        <w:rPr>
          <w:b/>
          <w:color w:val="auto"/>
          <w:szCs w:val="22"/>
          <w:lang w:val="lv-LV"/>
        </w:rPr>
      </w:pPr>
      <w:r w:rsidRPr="00E83219">
        <w:rPr>
          <w:b/>
          <w:color w:val="auto"/>
          <w:szCs w:val="22"/>
          <w:lang w:val="lv-LV"/>
        </w:rPr>
        <w:t>4.8.</w:t>
      </w:r>
      <w:r w:rsidRPr="00E83219">
        <w:rPr>
          <w:b/>
          <w:color w:val="auto"/>
          <w:szCs w:val="22"/>
          <w:lang w:val="lv-LV"/>
        </w:rPr>
        <w:tab/>
        <w:t>Nevēlamās blakusparādības</w:t>
      </w:r>
    </w:p>
    <w:p w14:paraId="6078695C" w14:textId="77777777" w:rsidR="001E1FD4" w:rsidRPr="00E83219" w:rsidRDefault="001E1FD4" w:rsidP="00D313A6">
      <w:pPr>
        <w:keepNext/>
        <w:ind w:left="567"/>
        <w:outlineLvl w:val="0"/>
        <w:rPr>
          <w:color w:val="auto"/>
          <w:szCs w:val="22"/>
          <w:lang w:val="lv-LV"/>
        </w:rPr>
      </w:pPr>
    </w:p>
    <w:p w14:paraId="066EC784" w14:textId="77777777" w:rsidR="001E1FD4" w:rsidRPr="00E83219" w:rsidRDefault="001E1FD4" w:rsidP="00345A36">
      <w:pPr>
        <w:ind w:left="567"/>
        <w:outlineLvl w:val="0"/>
        <w:rPr>
          <w:color w:val="auto"/>
          <w:szCs w:val="22"/>
          <w:lang w:val="lv-LV"/>
        </w:rPr>
      </w:pPr>
      <w:r w:rsidRPr="00E83219">
        <w:rPr>
          <w:color w:val="auto"/>
          <w:szCs w:val="22"/>
          <w:lang w:val="lv-LV"/>
        </w:rPr>
        <w:t>Nevēlamo blakusparādību novērtēšanai ir izmantots šāds sastopamības biežums:</w:t>
      </w:r>
    </w:p>
    <w:p w14:paraId="62E8C54E" w14:textId="77777777" w:rsidR="001E1FD4" w:rsidRPr="00E83219" w:rsidRDefault="001E1FD4" w:rsidP="00345A36">
      <w:pPr>
        <w:ind w:left="567"/>
        <w:outlineLvl w:val="0"/>
        <w:rPr>
          <w:color w:val="auto"/>
          <w:szCs w:val="22"/>
          <w:lang w:val="lv-LV"/>
        </w:rPr>
      </w:pPr>
      <w:r w:rsidRPr="00E83219">
        <w:rPr>
          <w:color w:val="auto"/>
          <w:szCs w:val="22"/>
          <w:lang w:val="lv-LV"/>
        </w:rPr>
        <w:t xml:space="preserve">ļoti bieži (≥ 1/10), bieži (≥ 1/100 līdz &lt; 1/10), retāk (≥ 1/1 000 līdz &lt; 1/100), reti (≥ 1/10 000 līdz &lt; 1/1 000), ļoti reti (&lt; 1/10 000), nav zināmi </w:t>
      </w:r>
      <w:r w:rsidRPr="00E83219">
        <w:rPr>
          <w:noProof/>
          <w:color w:val="auto"/>
          <w:szCs w:val="22"/>
          <w:lang w:val="lv-LV"/>
        </w:rPr>
        <w:t>(nevar noteikt pēc pieejamiem datiem)</w:t>
      </w:r>
      <w:r w:rsidRPr="00E83219">
        <w:rPr>
          <w:color w:val="auto"/>
          <w:szCs w:val="22"/>
          <w:lang w:val="lv-LV"/>
        </w:rPr>
        <w:t>.</w:t>
      </w:r>
    </w:p>
    <w:p w14:paraId="16E61D93" w14:textId="77777777" w:rsidR="001E1FD4" w:rsidRPr="00E83219" w:rsidRDefault="001E1FD4" w:rsidP="00345A36">
      <w:pPr>
        <w:ind w:left="567"/>
        <w:outlineLvl w:val="0"/>
        <w:rPr>
          <w:color w:val="auto"/>
          <w:szCs w:val="22"/>
          <w:lang w:val="lv-LV"/>
        </w:rPr>
      </w:pPr>
    </w:p>
    <w:p w14:paraId="15095AE2" w14:textId="77777777" w:rsidR="001E1FD4" w:rsidRPr="00E83219" w:rsidRDefault="001E1FD4" w:rsidP="00345A36">
      <w:pPr>
        <w:ind w:left="567"/>
        <w:rPr>
          <w:color w:val="auto"/>
          <w:szCs w:val="22"/>
          <w:lang w:val="lv-LV"/>
        </w:rPr>
      </w:pPr>
      <w:r w:rsidRPr="00E83219">
        <w:rPr>
          <w:b/>
          <w:noProof/>
          <w:color w:val="auto"/>
          <w:szCs w:val="22"/>
          <w:lang w:val="lv-LV"/>
        </w:rPr>
        <w:t>Kuņģa-zarnu trakta traucējumi</w:t>
      </w:r>
    </w:p>
    <w:p w14:paraId="22F058B6" w14:textId="77777777" w:rsidR="001E1FD4" w:rsidRPr="00E83219" w:rsidRDefault="001E1FD4" w:rsidP="00345A36">
      <w:pPr>
        <w:ind w:left="567"/>
        <w:rPr>
          <w:color w:val="auto"/>
          <w:szCs w:val="22"/>
          <w:lang w:val="lv-LV"/>
        </w:rPr>
      </w:pPr>
      <w:r w:rsidRPr="00E83219">
        <w:rPr>
          <w:i/>
          <w:color w:val="auto"/>
          <w:szCs w:val="22"/>
          <w:lang w:val="lv-LV"/>
        </w:rPr>
        <w:t>Retāk:</w:t>
      </w:r>
      <w:r w:rsidRPr="00E83219">
        <w:rPr>
          <w:color w:val="auto"/>
          <w:szCs w:val="22"/>
          <w:lang w:val="lv-LV"/>
        </w:rPr>
        <w:t xml:space="preserve"> mīkstas fēces vai caureja ārstēšanas sākumā (nekaitīga un pārejoša blakusparādība).</w:t>
      </w:r>
    </w:p>
    <w:p w14:paraId="7987F1F7" w14:textId="77777777" w:rsidR="00EB113B" w:rsidRPr="00E83219" w:rsidRDefault="00EB113B" w:rsidP="00345A36">
      <w:pPr>
        <w:ind w:left="567"/>
        <w:rPr>
          <w:color w:val="auto"/>
          <w:szCs w:val="22"/>
          <w:lang w:val="lv-LV"/>
        </w:rPr>
      </w:pPr>
    </w:p>
    <w:p w14:paraId="6F5A853E" w14:textId="77777777" w:rsidR="001E1FD4" w:rsidRPr="00E83219" w:rsidRDefault="001E1FD4" w:rsidP="00345A36">
      <w:pPr>
        <w:ind w:left="567"/>
        <w:rPr>
          <w:color w:val="auto"/>
          <w:szCs w:val="22"/>
          <w:lang w:val="lv-LV"/>
        </w:rPr>
      </w:pPr>
      <w:r w:rsidRPr="00E83219">
        <w:rPr>
          <w:color w:val="auto"/>
          <w:szCs w:val="22"/>
          <w:lang w:val="lv-LV"/>
        </w:rPr>
        <w:t>Informāciju par rīcību nevēlamas blakusparādības gadījumā, lūdzu, skatīt 4.4. apakšpunktā.</w:t>
      </w:r>
    </w:p>
    <w:p w14:paraId="7EB686BE" w14:textId="77777777" w:rsidR="001E1FD4" w:rsidRPr="00E83219" w:rsidRDefault="001E1FD4" w:rsidP="00345A36">
      <w:pPr>
        <w:ind w:left="567"/>
        <w:rPr>
          <w:color w:val="auto"/>
          <w:szCs w:val="22"/>
          <w:lang w:val="lv-LV"/>
        </w:rPr>
      </w:pPr>
    </w:p>
    <w:p w14:paraId="3B5C2487" w14:textId="77777777" w:rsidR="001E1FD4" w:rsidRPr="00E83219" w:rsidRDefault="001E1FD4" w:rsidP="00345A36">
      <w:pPr>
        <w:ind w:left="567"/>
        <w:outlineLvl w:val="0"/>
        <w:rPr>
          <w:b/>
          <w:color w:val="auto"/>
          <w:szCs w:val="22"/>
          <w:lang w:val="lv-LV"/>
        </w:rPr>
      </w:pPr>
      <w:r w:rsidRPr="00E83219">
        <w:rPr>
          <w:b/>
          <w:color w:val="auto"/>
          <w:szCs w:val="22"/>
          <w:lang w:val="lv-LV"/>
        </w:rPr>
        <w:t>Ziņošana par iespējamām nevēlamām blakusparādībām</w:t>
      </w:r>
    </w:p>
    <w:p w14:paraId="58F23279" w14:textId="12CA913B" w:rsidR="00E6426D" w:rsidRPr="00E83219" w:rsidRDefault="001E1FD4" w:rsidP="00345A36">
      <w:pPr>
        <w:ind w:left="567"/>
        <w:outlineLvl w:val="0"/>
        <w:rPr>
          <w:color w:val="auto"/>
          <w:szCs w:val="22"/>
          <w:lang w:val="lv-LV"/>
        </w:rPr>
      </w:pPr>
      <w:r w:rsidRPr="00E83219">
        <w:rPr>
          <w:color w:val="auto"/>
          <w:szCs w:val="22"/>
          <w:lang w:val="lv-LV"/>
        </w:rPr>
        <w:t xml:space="preserve">Ir svarīgi ziņot par iespējamām nevēlamām blakusparādībām pēc zāļu reģistrācijas. Tādējādi zāļu ieguvuma/riska attiecība tiek nepārtraukti uzraudzīta. </w:t>
      </w:r>
      <w:r w:rsidR="007A1B17" w:rsidRPr="00E83219">
        <w:rPr>
          <w:color w:val="auto"/>
          <w:szCs w:val="22"/>
          <w:lang w:val="lv-LV"/>
        </w:rPr>
        <w:t>Veselības aprūpes speciālisti tiek lūgti ziņot par jebkādām iespējamām nevēlamām blakusparādībām Zāļu valsts aģentūrai, Jersikas ielā 15, Rīgā, LV 1003. Tīmekļa vietne: www.zva.gov.lv</w:t>
      </w:r>
    </w:p>
    <w:p w14:paraId="5E872738" w14:textId="77777777" w:rsidR="001E1FD4" w:rsidRPr="00E83219" w:rsidRDefault="001E1FD4" w:rsidP="00844FD8">
      <w:pPr>
        <w:rPr>
          <w:color w:val="auto"/>
          <w:lang w:val="lv-LV"/>
        </w:rPr>
      </w:pPr>
    </w:p>
    <w:p w14:paraId="01F87254"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4.9.</w:t>
      </w:r>
      <w:r w:rsidRPr="00E83219">
        <w:rPr>
          <w:b/>
          <w:color w:val="auto"/>
          <w:szCs w:val="22"/>
          <w:lang w:val="lv-LV"/>
        </w:rPr>
        <w:tab/>
        <w:t>Pārdozēšana</w:t>
      </w:r>
    </w:p>
    <w:p w14:paraId="3346B1F8" w14:textId="77777777" w:rsidR="001E1FD4" w:rsidRPr="00E83219" w:rsidRDefault="001E1FD4" w:rsidP="00844FD8">
      <w:pPr>
        <w:outlineLvl w:val="0"/>
        <w:rPr>
          <w:b/>
          <w:color w:val="auto"/>
          <w:szCs w:val="22"/>
          <w:lang w:val="lv-LV"/>
        </w:rPr>
      </w:pPr>
    </w:p>
    <w:p w14:paraId="3A264C71" w14:textId="77777777" w:rsidR="001E1FD4" w:rsidRPr="00E83219" w:rsidRDefault="001E1FD4" w:rsidP="00345A36">
      <w:pPr>
        <w:ind w:left="567"/>
        <w:rPr>
          <w:color w:val="auto"/>
          <w:szCs w:val="22"/>
          <w:lang w:val="lv-LV"/>
        </w:rPr>
      </w:pPr>
      <w:r w:rsidRPr="00E83219">
        <w:rPr>
          <w:color w:val="auto"/>
          <w:szCs w:val="22"/>
          <w:lang w:val="lv-LV"/>
        </w:rPr>
        <w:t>Ja nieru darbība nav traucēta, perorālas pārdozēšanas gadījumā toksiska magnija iedarbība nav paredzama. Tikai smagas nieru mazspējas gadījumā iespējama magnija uzkrāšanās un intoksikācijas simptomu parādīšanās.</w:t>
      </w:r>
    </w:p>
    <w:p w14:paraId="02A3DE09" w14:textId="050FD2E4" w:rsidR="001E1FD4" w:rsidRPr="00E83219" w:rsidRDefault="001E1FD4" w:rsidP="00345A36">
      <w:pPr>
        <w:ind w:left="567"/>
        <w:rPr>
          <w:color w:val="auto"/>
          <w:szCs w:val="22"/>
          <w:lang w:val="lv-LV"/>
        </w:rPr>
      </w:pPr>
    </w:p>
    <w:tbl>
      <w:tblPr>
        <w:tblW w:w="49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398"/>
        <w:gridCol w:w="2552"/>
      </w:tblGrid>
      <w:tr w:rsidR="00214D22" w:rsidRPr="00E83219" w14:paraId="58728581" w14:textId="77777777" w:rsidTr="004D5D26">
        <w:trPr>
          <w:gridBefore w:val="1"/>
          <w:wBefore w:w="11" w:type="dxa"/>
        </w:trPr>
        <w:tc>
          <w:tcPr>
            <w:tcW w:w="2398" w:type="dxa"/>
          </w:tcPr>
          <w:p w14:paraId="06459FE2" w14:textId="4653D136" w:rsidR="00214D22" w:rsidRPr="00E83219" w:rsidRDefault="00214D22">
            <w:pPr>
              <w:ind w:left="709"/>
              <w:rPr>
                <w:color w:val="auto"/>
                <w:szCs w:val="22"/>
                <w:lang w:val="lv-LV"/>
              </w:rPr>
            </w:pPr>
            <w:r w:rsidRPr="00E83219">
              <w:rPr>
                <w:color w:val="auto"/>
                <w:szCs w:val="22"/>
                <w:lang w:val="lv-LV"/>
              </w:rPr>
              <w:t>Mg koncentrācija plazmā (mmol/l)</w:t>
            </w:r>
          </w:p>
        </w:tc>
        <w:tc>
          <w:tcPr>
            <w:tcW w:w="2552" w:type="dxa"/>
          </w:tcPr>
          <w:p w14:paraId="38135361" w14:textId="24C7C19C" w:rsidR="00214D22" w:rsidRPr="00E83219" w:rsidRDefault="00214D22" w:rsidP="004D5D26">
            <w:pPr>
              <w:ind w:left="709"/>
              <w:rPr>
                <w:color w:val="auto"/>
                <w:szCs w:val="22"/>
                <w:lang w:val="lv-LV"/>
              </w:rPr>
            </w:pPr>
            <w:r w:rsidRPr="00E83219">
              <w:rPr>
                <w:color w:val="auto"/>
                <w:szCs w:val="22"/>
                <w:lang w:val="lv-LV"/>
              </w:rPr>
              <w:t>Simptomi un nevēlamās blakusparādības</w:t>
            </w:r>
          </w:p>
        </w:tc>
      </w:tr>
      <w:tr w:rsidR="00214D22" w:rsidRPr="00382C05" w14:paraId="019671A0" w14:textId="77777777" w:rsidTr="004D5D26">
        <w:tc>
          <w:tcPr>
            <w:tcW w:w="2409" w:type="dxa"/>
            <w:gridSpan w:val="2"/>
          </w:tcPr>
          <w:p w14:paraId="3C789AD4" w14:textId="07B337C6" w:rsidR="00214D22" w:rsidRPr="00E83219" w:rsidRDefault="00214D22" w:rsidP="004D5D26">
            <w:pPr>
              <w:ind w:left="709"/>
              <w:rPr>
                <w:color w:val="auto"/>
                <w:szCs w:val="22"/>
                <w:lang w:val="lv-LV"/>
              </w:rPr>
            </w:pPr>
            <w:r w:rsidRPr="00E83219">
              <w:rPr>
                <w:color w:val="auto"/>
                <w:szCs w:val="22"/>
                <w:lang w:val="lv-LV"/>
              </w:rPr>
              <w:t>&gt; 1,5</w:t>
            </w:r>
          </w:p>
        </w:tc>
        <w:tc>
          <w:tcPr>
            <w:tcW w:w="2552" w:type="dxa"/>
          </w:tcPr>
          <w:p w14:paraId="79D87F3E" w14:textId="64986F2F" w:rsidR="00214D22" w:rsidRPr="00E83219" w:rsidRDefault="00214D22" w:rsidP="004D5D26">
            <w:pPr>
              <w:ind w:left="709"/>
              <w:rPr>
                <w:color w:val="auto"/>
                <w:szCs w:val="22"/>
                <w:lang w:val="lv-LV"/>
              </w:rPr>
            </w:pPr>
            <w:r w:rsidRPr="00E83219">
              <w:rPr>
                <w:color w:val="auto"/>
                <w:szCs w:val="22"/>
                <w:lang w:val="lv-LV"/>
              </w:rPr>
              <w:t>asinsspiediena samazināšanās, slikta dūša, vemšana</w:t>
            </w:r>
          </w:p>
        </w:tc>
      </w:tr>
      <w:tr w:rsidR="00214D22" w:rsidRPr="00E83219" w14:paraId="25EB702B" w14:textId="77777777" w:rsidTr="004D5D26">
        <w:tc>
          <w:tcPr>
            <w:tcW w:w="2409" w:type="dxa"/>
            <w:gridSpan w:val="2"/>
          </w:tcPr>
          <w:p w14:paraId="0391C399" w14:textId="2611CECB" w:rsidR="00214D22" w:rsidRPr="00E83219" w:rsidRDefault="00214D22" w:rsidP="004D5D26">
            <w:pPr>
              <w:ind w:left="709"/>
              <w:rPr>
                <w:color w:val="auto"/>
                <w:szCs w:val="22"/>
                <w:lang w:val="lv-LV"/>
              </w:rPr>
            </w:pPr>
            <w:r w:rsidRPr="00E83219">
              <w:rPr>
                <w:color w:val="auto"/>
                <w:szCs w:val="22"/>
                <w:lang w:val="lv-LV"/>
              </w:rPr>
              <w:t>&gt; 2,5</w:t>
            </w:r>
          </w:p>
        </w:tc>
        <w:tc>
          <w:tcPr>
            <w:tcW w:w="2552" w:type="dxa"/>
          </w:tcPr>
          <w:p w14:paraId="0A09681A" w14:textId="2F20A411" w:rsidR="00214D22" w:rsidRPr="00E83219" w:rsidRDefault="00214D22">
            <w:pPr>
              <w:ind w:left="709"/>
              <w:rPr>
                <w:color w:val="auto"/>
                <w:szCs w:val="22"/>
                <w:lang w:val="lv-LV"/>
              </w:rPr>
            </w:pPr>
            <w:r w:rsidRPr="00E83219">
              <w:rPr>
                <w:color w:val="auto"/>
                <w:szCs w:val="22"/>
                <w:lang w:val="lv-LV"/>
              </w:rPr>
              <w:t>CNS nomākums</w:t>
            </w:r>
          </w:p>
        </w:tc>
      </w:tr>
      <w:tr w:rsidR="00214D22" w:rsidRPr="00E83219" w14:paraId="67DC9B0B" w14:textId="77777777" w:rsidTr="004D5D26">
        <w:tc>
          <w:tcPr>
            <w:tcW w:w="2409" w:type="dxa"/>
            <w:gridSpan w:val="2"/>
          </w:tcPr>
          <w:p w14:paraId="543AD71A" w14:textId="1F8399AE" w:rsidR="00214D22" w:rsidRPr="00E83219" w:rsidRDefault="00214D22" w:rsidP="004D5D26">
            <w:pPr>
              <w:ind w:left="709"/>
              <w:rPr>
                <w:color w:val="auto"/>
                <w:szCs w:val="22"/>
                <w:lang w:val="lv-LV"/>
              </w:rPr>
            </w:pPr>
            <w:r w:rsidRPr="00E83219">
              <w:rPr>
                <w:color w:val="auto"/>
                <w:szCs w:val="22"/>
                <w:lang w:val="lv-LV"/>
              </w:rPr>
              <w:t>&gt; 3,5</w:t>
            </w:r>
          </w:p>
        </w:tc>
        <w:tc>
          <w:tcPr>
            <w:tcW w:w="2552" w:type="dxa"/>
          </w:tcPr>
          <w:p w14:paraId="705AD64F" w14:textId="055F6084" w:rsidR="00214D22" w:rsidRPr="00E83219" w:rsidRDefault="00214D22" w:rsidP="004D5D26">
            <w:pPr>
              <w:ind w:left="709"/>
              <w:rPr>
                <w:color w:val="auto"/>
                <w:szCs w:val="22"/>
                <w:lang w:val="lv-LV"/>
              </w:rPr>
            </w:pPr>
            <w:r w:rsidRPr="00E83219">
              <w:rPr>
                <w:color w:val="auto"/>
                <w:szCs w:val="22"/>
                <w:lang w:val="lv-LV"/>
              </w:rPr>
              <w:t>hiporefleksija, izmaiņas elektrokardiogrammā</w:t>
            </w:r>
          </w:p>
        </w:tc>
      </w:tr>
      <w:tr w:rsidR="00214D22" w:rsidRPr="00E83219" w14:paraId="3CEDB6A1" w14:textId="77777777" w:rsidTr="004D5D26">
        <w:tc>
          <w:tcPr>
            <w:tcW w:w="2409" w:type="dxa"/>
            <w:gridSpan w:val="2"/>
          </w:tcPr>
          <w:p w14:paraId="1534E910" w14:textId="47D665F1" w:rsidR="00214D22" w:rsidRPr="00E83219" w:rsidRDefault="00214D22" w:rsidP="004D5D26">
            <w:pPr>
              <w:ind w:left="709"/>
              <w:rPr>
                <w:color w:val="auto"/>
                <w:szCs w:val="22"/>
                <w:lang w:val="lv-LV"/>
              </w:rPr>
            </w:pPr>
            <w:r w:rsidRPr="00E83219">
              <w:rPr>
                <w:color w:val="auto"/>
                <w:szCs w:val="22"/>
                <w:lang w:val="lv-LV"/>
              </w:rPr>
              <w:t>&gt; 5,0</w:t>
            </w:r>
          </w:p>
        </w:tc>
        <w:tc>
          <w:tcPr>
            <w:tcW w:w="2552" w:type="dxa"/>
          </w:tcPr>
          <w:p w14:paraId="29DDCC27" w14:textId="7ED64280" w:rsidR="00214D22" w:rsidRPr="00E83219" w:rsidRDefault="00214D22" w:rsidP="004D5D26">
            <w:pPr>
              <w:ind w:left="709"/>
              <w:rPr>
                <w:color w:val="auto"/>
                <w:szCs w:val="22"/>
                <w:lang w:val="lv-LV"/>
              </w:rPr>
            </w:pPr>
            <w:r w:rsidRPr="00E83219">
              <w:rPr>
                <w:color w:val="auto"/>
                <w:szCs w:val="22"/>
                <w:lang w:val="lv-LV"/>
              </w:rPr>
              <w:t>elpošanas nomākuma sākums</w:t>
            </w:r>
          </w:p>
        </w:tc>
      </w:tr>
      <w:tr w:rsidR="00214D22" w:rsidRPr="00E83219" w14:paraId="2E681261" w14:textId="77777777" w:rsidTr="004D5D26">
        <w:tc>
          <w:tcPr>
            <w:tcW w:w="2409" w:type="dxa"/>
            <w:gridSpan w:val="2"/>
          </w:tcPr>
          <w:p w14:paraId="06841CC0" w14:textId="494F5EBA" w:rsidR="00214D22" w:rsidRPr="00E83219" w:rsidRDefault="00214D22" w:rsidP="004D5D26">
            <w:pPr>
              <w:ind w:left="709"/>
              <w:rPr>
                <w:color w:val="auto"/>
                <w:szCs w:val="22"/>
                <w:lang w:val="lv-LV"/>
              </w:rPr>
            </w:pPr>
            <w:r w:rsidRPr="00E83219">
              <w:rPr>
                <w:color w:val="auto"/>
                <w:szCs w:val="22"/>
                <w:lang w:val="lv-LV"/>
              </w:rPr>
              <w:t>&gt; 5,5</w:t>
            </w:r>
          </w:p>
        </w:tc>
        <w:tc>
          <w:tcPr>
            <w:tcW w:w="2552" w:type="dxa"/>
          </w:tcPr>
          <w:p w14:paraId="154FB88F" w14:textId="3FE82FD4" w:rsidR="00214D22" w:rsidRPr="00E83219" w:rsidRDefault="00214D22" w:rsidP="004D5D26">
            <w:pPr>
              <w:ind w:left="709"/>
              <w:rPr>
                <w:color w:val="auto"/>
                <w:szCs w:val="22"/>
                <w:lang w:val="lv-LV"/>
              </w:rPr>
            </w:pPr>
            <w:r w:rsidRPr="00E83219">
              <w:rPr>
                <w:color w:val="auto"/>
                <w:szCs w:val="22"/>
                <w:lang w:val="lv-LV"/>
              </w:rPr>
              <w:t>koma</w:t>
            </w:r>
          </w:p>
        </w:tc>
      </w:tr>
      <w:tr w:rsidR="00214D22" w:rsidRPr="00382C05" w14:paraId="742D963F" w14:textId="77777777" w:rsidTr="004D5D26">
        <w:tc>
          <w:tcPr>
            <w:tcW w:w="2409" w:type="dxa"/>
            <w:gridSpan w:val="2"/>
          </w:tcPr>
          <w:p w14:paraId="6995D134" w14:textId="50C671C7" w:rsidR="00214D22" w:rsidRPr="00E83219" w:rsidRDefault="00214D22" w:rsidP="004D5D26">
            <w:pPr>
              <w:ind w:left="709"/>
              <w:rPr>
                <w:color w:val="auto"/>
                <w:szCs w:val="22"/>
                <w:lang w:val="lv-LV"/>
              </w:rPr>
            </w:pPr>
            <w:r w:rsidRPr="00E83219">
              <w:rPr>
                <w:color w:val="auto"/>
                <w:szCs w:val="22"/>
                <w:lang w:val="lv-LV"/>
              </w:rPr>
              <w:t>&gt; 7,0</w:t>
            </w:r>
          </w:p>
        </w:tc>
        <w:tc>
          <w:tcPr>
            <w:tcW w:w="2552" w:type="dxa"/>
          </w:tcPr>
          <w:p w14:paraId="33879A0C" w14:textId="42285B9E" w:rsidR="00214D22" w:rsidRPr="00E83219" w:rsidRDefault="00214D22" w:rsidP="004D5D26">
            <w:pPr>
              <w:ind w:left="709"/>
              <w:rPr>
                <w:color w:val="auto"/>
                <w:szCs w:val="22"/>
                <w:lang w:val="lv-LV"/>
              </w:rPr>
            </w:pPr>
            <w:r w:rsidRPr="00E83219">
              <w:rPr>
                <w:color w:val="auto"/>
                <w:szCs w:val="22"/>
                <w:lang w:val="lv-LV"/>
              </w:rPr>
              <w:t>sirdsdarbības apstāšanās un elpošanas paralīze</w:t>
            </w:r>
          </w:p>
        </w:tc>
      </w:tr>
    </w:tbl>
    <w:p w14:paraId="6CFECE84" w14:textId="77777777" w:rsidR="00214D22" w:rsidRPr="00E83219" w:rsidRDefault="00214D22" w:rsidP="00345A36">
      <w:pPr>
        <w:ind w:left="567"/>
        <w:rPr>
          <w:color w:val="auto"/>
          <w:szCs w:val="22"/>
          <w:lang w:val="lv-LV"/>
        </w:rPr>
      </w:pPr>
    </w:p>
    <w:p w14:paraId="3610CA40" w14:textId="77777777" w:rsidR="001E1FD4" w:rsidRPr="00E83219" w:rsidRDefault="001E1FD4" w:rsidP="00345A36">
      <w:pPr>
        <w:keepNext/>
        <w:ind w:left="567"/>
        <w:rPr>
          <w:color w:val="auto"/>
          <w:szCs w:val="22"/>
          <w:lang w:val="lv-LV"/>
        </w:rPr>
      </w:pPr>
      <w:r w:rsidRPr="00E83219">
        <w:rPr>
          <w:i/>
          <w:color w:val="auto"/>
          <w:szCs w:val="22"/>
          <w:lang w:val="lv-LV"/>
        </w:rPr>
        <w:t>Intoksikācijas terapija:</w:t>
      </w:r>
    </w:p>
    <w:p w14:paraId="3D2BC4A1" w14:textId="77777777" w:rsidR="00E6426D" w:rsidRPr="00E83219" w:rsidRDefault="001E1FD4" w:rsidP="00345A36">
      <w:pPr>
        <w:keepNext/>
        <w:ind w:left="567"/>
        <w:rPr>
          <w:color w:val="auto"/>
          <w:szCs w:val="22"/>
          <w:lang w:val="lv-LV"/>
        </w:rPr>
      </w:pPr>
      <w:r w:rsidRPr="00E83219">
        <w:rPr>
          <w:color w:val="auto"/>
          <w:szCs w:val="22"/>
          <w:lang w:val="lv-LV"/>
        </w:rPr>
        <w:t>intravenoza kalcija ievadīšana un lēna intravenoza 0,5</w:t>
      </w:r>
      <w:r w:rsidRPr="00E83219">
        <w:rPr>
          <w:color w:val="auto"/>
          <w:szCs w:val="22"/>
          <w:lang w:val="lv-LV"/>
        </w:rPr>
        <w:noBreakHyphen/>
        <w:t>2 mg neostigmīna metilsulfāta ievadīšana;</w:t>
      </w:r>
    </w:p>
    <w:p w14:paraId="532323FD" w14:textId="77777777" w:rsidR="001E1FD4" w:rsidRPr="00E83219" w:rsidRDefault="001E1FD4" w:rsidP="00345A36">
      <w:pPr>
        <w:keepNext/>
        <w:ind w:left="567"/>
        <w:rPr>
          <w:color w:val="auto"/>
          <w:szCs w:val="22"/>
          <w:lang w:val="lv-LV"/>
        </w:rPr>
      </w:pPr>
      <w:r w:rsidRPr="00E83219">
        <w:rPr>
          <w:color w:val="auto"/>
          <w:szCs w:val="22"/>
          <w:lang w:val="lv-LV"/>
        </w:rPr>
        <w:t>izotoniska nātrija hlorīda šķīduma intravenoza un perorāla lietošana, elpošanas un asins cirkulācijas atbalsts;</w:t>
      </w:r>
    </w:p>
    <w:p w14:paraId="0628700A" w14:textId="77777777" w:rsidR="001E1FD4" w:rsidRPr="00E83219" w:rsidRDefault="001E1FD4" w:rsidP="00345A36">
      <w:pPr>
        <w:pStyle w:val="knZulassung02"/>
        <w:ind w:left="567" w:right="0"/>
        <w:rPr>
          <w:color w:val="auto"/>
          <w:szCs w:val="22"/>
          <w:lang w:val="lv-LV"/>
        </w:rPr>
      </w:pPr>
      <w:r w:rsidRPr="00E83219">
        <w:rPr>
          <w:color w:val="auto"/>
          <w:szCs w:val="22"/>
          <w:lang w:val="lv-LV"/>
        </w:rPr>
        <w:t>hemodialīze nieru mazspējas gadījumā.</w:t>
      </w:r>
    </w:p>
    <w:p w14:paraId="7F144EB2" w14:textId="77777777" w:rsidR="001C5023" w:rsidRPr="00E83219" w:rsidRDefault="001C5023" w:rsidP="00345A36">
      <w:pPr>
        <w:pStyle w:val="knZulassung02"/>
        <w:ind w:left="567" w:right="0"/>
        <w:rPr>
          <w:color w:val="auto"/>
          <w:lang w:val="lv-LV"/>
        </w:rPr>
      </w:pPr>
    </w:p>
    <w:p w14:paraId="585EDBEA" w14:textId="77777777" w:rsidR="001E1FD4" w:rsidRPr="00E83219" w:rsidRDefault="001E1FD4">
      <w:pPr>
        <w:overflowPunct/>
        <w:autoSpaceDE/>
        <w:autoSpaceDN/>
        <w:adjustRightInd/>
        <w:spacing w:after="200" w:line="276" w:lineRule="auto"/>
        <w:textAlignment w:val="auto"/>
        <w:rPr>
          <w:b/>
          <w:color w:val="auto"/>
          <w:szCs w:val="22"/>
          <w:lang w:val="lv-LV"/>
        </w:rPr>
      </w:pPr>
    </w:p>
    <w:p w14:paraId="4A278742" w14:textId="77777777" w:rsidR="00E6426D" w:rsidRPr="00E83219" w:rsidRDefault="001E1FD4" w:rsidP="00D313A6">
      <w:pPr>
        <w:keepNext/>
        <w:tabs>
          <w:tab w:val="left" w:pos="567"/>
        </w:tabs>
        <w:rPr>
          <w:b/>
          <w:color w:val="auto"/>
          <w:szCs w:val="22"/>
          <w:lang w:val="lv-LV"/>
        </w:rPr>
      </w:pPr>
      <w:r w:rsidRPr="00E83219">
        <w:rPr>
          <w:b/>
          <w:color w:val="auto"/>
          <w:szCs w:val="22"/>
          <w:lang w:val="lv-LV"/>
        </w:rPr>
        <w:lastRenderedPageBreak/>
        <w:t>5.</w:t>
      </w:r>
      <w:r w:rsidRPr="00E83219">
        <w:rPr>
          <w:b/>
          <w:color w:val="auto"/>
          <w:szCs w:val="22"/>
          <w:lang w:val="lv-LV"/>
        </w:rPr>
        <w:tab/>
        <w:t>FARMAKOLOĢISKĀS ĪPAŠĪBAS</w:t>
      </w:r>
    </w:p>
    <w:p w14:paraId="697CD45A" w14:textId="19F1022E" w:rsidR="001E1FD4" w:rsidRPr="00E83219" w:rsidRDefault="001E1FD4" w:rsidP="00D313A6">
      <w:pPr>
        <w:keepNext/>
        <w:tabs>
          <w:tab w:val="left" w:pos="567"/>
        </w:tabs>
        <w:rPr>
          <w:b/>
          <w:color w:val="auto"/>
          <w:szCs w:val="22"/>
          <w:lang w:val="lv-LV"/>
        </w:rPr>
      </w:pPr>
    </w:p>
    <w:p w14:paraId="74EB77AE" w14:textId="77777777" w:rsidR="001E1FD4" w:rsidRPr="00E83219" w:rsidRDefault="001E1FD4" w:rsidP="00D313A6">
      <w:pPr>
        <w:keepNext/>
        <w:tabs>
          <w:tab w:val="left" w:pos="567"/>
        </w:tabs>
        <w:outlineLvl w:val="0"/>
        <w:rPr>
          <w:b/>
          <w:color w:val="auto"/>
          <w:szCs w:val="22"/>
          <w:lang w:val="lv-LV"/>
        </w:rPr>
      </w:pPr>
      <w:r w:rsidRPr="00E83219">
        <w:rPr>
          <w:b/>
          <w:color w:val="auto"/>
          <w:szCs w:val="22"/>
          <w:lang w:val="lv-LV"/>
        </w:rPr>
        <w:t>5.1.</w:t>
      </w:r>
      <w:r w:rsidRPr="00E83219">
        <w:rPr>
          <w:b/>
          <w:color w:val="auto"/>
          <w:szCs w:val="22"/>
          <w:lang w:val="lv-LV"/>
        </w:rPr>
        <w:tab/>
        <w:t>Farmakodinamiskās īpašības</w:t>
      </w:r>
    </w:p>
    <w:p w14:paraId="2784A9EF" w14:textId="77777777" w:rsidR="00345A36" w:rsidRPr="00E83219" w:rsidRDefault="00345A36" w:rsidP="00D313A6">
      <w:pPr>
        <w:pStyle w:val="knZulassung01"/>
        <w:keepNext/>
        <w:tabs>
          <w:tab w:val="clear" w:pos="567"/>
        </w:tabs>
        <w:ind w:left="567" w:right="0" w:firstLine="0"/>
        <w:rPr>
          <w:color w:val="auto"/>
          <w:szCs w:val="22"/>
          <w:lang w:val="lv-LV"/>
        </w:rPr>
      </w:pPr>
    </w:p>
    <w:p w14:paraId="085B3923" w14:textId="437F4AEA" w:rsidR="001E1FD4" w:rsidRPr="00E83219" w:rsidRDefault="001E1FD4" w:rsidP="00C14CAB">
      <w:pPr>
        <w:pStyle w:val="knZulassung01"/>
        <w:tabs>
          <w:tab w:val="clear" w:pos="567"/>
        </w:tabs>
        <w:ind w:left="567" w:right="0" w:firstLine="0"/>
        <w:rPr>
          <w:color w:val="auto"/>
          <w:szCs w:val="22"/>
          <w:lang w:val="lv-LV"/>
        </w:rPr>
      </w:pPr>
      <w:r w:rsidRPr="00E83219">
        <w:rPr>
          <w:color w:val="auto"/>
          <w:szCs w:val="22"/>
          <w:lang w:val="lv-LV"/>
        </w:rPr>
        <w:t xml:space="preserve">Farmakoterapeitiskā grupa: gremošanas trakts un vielmaiņa, </w:t>
      </w:r>
      <w:r w:rsidR="00C14CAB" w:rsidRPr="00D16689">
        <w:rPr>
          <w:color w:val="auto"/>
          <w:szCs w:val="22"/>
          <w:lang w:val="lv-LV"/>
        </w:rPr>
        <w:t>cit</w:t>
      </w:r>
      <w:r w:rsidR="00C14CAB">
        <w:rPr>
          <w:color w:val="auto"/>
          <w:szCs w:val="22"/>
          <w:lang w:val="lv-LV"/>
        </w:rPr>
        <w:t>as minerālvielu piedevas</w:t>
      </w:r>
      <w:r w:rsidR="00C14CAB" w:rsidRPr="00D16689">
        <w:rPr>
          <w:color w:val="auto"/>
          <w:szCs w:val="22"/>
          <w:lang w:val="lv-LV"/>
        </w:rPr>
        <w:t>, magnijs, dažādu sāļu kombinācijas</w:t>
      </w:r>
    </w:p>
    <w:p w14:paraId="2EABAEFC" w14:textId="77777777" w:rsidR="001E1FD4" w:rsidRPr="00E83219" w:rsidRDefault="001E1FD4" w:rsidP="004C1A0F">
      <w:pPr>
        <w:pStyle w:val="knZulassung01"/>
        <w:tabs>
          <w:tab w:val="clear" w:pos="567"/>
        </w:tabs>
        <w:ind w:left="567" w:right="0" w:firstLine="0"/>
        <w:rPr>
          <w:color w:val="auto"/>
          <w:szCs w:val="22"/>
          <w:lang w:val="lv-LV"/>
        </w:rPr>
      </w:pPr>
      <w:r w:rsidRPr="00E83219">
        <w:rPr>
          <w:color w:val="auto"/>
          <w:szCs w:val="22"/>
          <w:lang w:val="lv-LV"/>
        </w:rPr>
        <w:t>ATĶ kods: A12CC30</w:t>
      </w:r>
    </w:p>
    <w:p w14:paraId="0B64C707" w14:textId="77777777" w:rsidR="001E1FD4" w:rsidRPr="00E83219" w:rsidRDefault="001E1FD4" w:rsidP="004C1A0F">
      <w:pPr>
        <w:ind w:left="567"/>
        <w:rPr>
          <w:color w:val="auto"/>
          <w:szCs w:val="22"/>
          <w:lang w:val="lv-LV"/>
        </w:rPr>
      </w:pPr>
    </w:p>
    <w:p w14:paraId="343403FA" w14:textId="77777777" w:rsidR="001E1FD4" w:rsidRPr="00E83219" w:rsidRDefault="001E1FD4" w:rsidP="004C1A0F">
      <w:pPr>
        <w:ind w:left="567"/>
        <w:rPr>
          <w:color w:val="auto"/>
          <w:szCs w:val="22"/>
          <w:lang w:val="lv-LV"/>
        </w:rPr>
      </w:pPr>
      <w:r w:rsidRPr="00E83219">
        <w:rPr>
          <w:color w:val="auto"/>
          <w:szCs w:val="22"/>
          <w:lang w:val="lv-LV"/>
        </w:rPr>
        <w:t>Magnijs:</w:t>
      </w:r>
    </w:p>
    <w:p w14:paraId="4A895CA5" w14:textId="77777777" w:rsidR="001E1FD4" w:rsidRPr="00E83219" w:rsidRDefault="001E1FD4" w:rsidP="004C1A0F">
      <w:pPr>
        <w:numPr>
          <w:ilvl w:val="0"/>
          <w:numId w:val="2"/>
        </w:numPr>
        <w:tabs>
          <w:tab w:val="left" w:pos="567"/>
        </w:tabs>
        <w:overflowPunct/>
        <w:autoSpaceDE/>
        <w:autoSpaceDN/>
        <w:adjustRightInd/>
        <w:spacing w:line="260" w:lineRule="exact"/>
        <w:ind w:left="567" w:firstLine="0"/>
        <w:textAlignment w:val="auto"/>
        <w:rPr>
          <w:color w:val="auto"/>
          <w:szCs w:val="22"/>
          <w:lang w:val="lv-LV"/>
        </w:rPr>
      </w:pPr>
      <w:r w:rsidRPr="00E83219">
        <w:rPr>
          <w:color w:val="auto"/>
          <w:szCs w:val="22"/>
          <w:lang w:val="lv-LV"/>
        </w:rPr>
        <w:t xml:space="preserve"> darbojas kā fizioloģisks kalcija antagonists;</w:t>
      </w:r>
    </w:p>
    <w:p w14:paraId="12B40315" w14:textId="77777777" w:rsidR="001E1FD4" w:rsidRPr="00E83219" w:rsidRDefault="001E1FD4" w:rsidP="004C1A0F">
      <w:pPr>
        <w:numPr>
          <w:ilvl w:val="0"/>
          <w:numId w:val="2"/>
        </w:numPr>
        <w:tabs>
          <w:tab w:val="left" w:pos="567"/>
        </w:tabs>
        <w:overflowPunct/>
        <w:autoSpaceDE/>
        <w:autoSpaceDN/>
        <w:adjustRightInd/>
        <w:spacing w:line="260" w:lineRule="exact"/>
        <w:ind w:left="567" w:firstLine="0"/>
        <w:textAlignment w:val="auto"/>
        <w:rPr>
          <w:color w:val="auto"/>
          <w:szCs w:val="22"/>
          <w:lang w:val="lv-LV"/>
        </w:rPr>
      </w:pPr>
      <w:r w:rsidRPr="00E83219">
        <w:rPr>
          <w:color w:val="auto"/>
          <w:szCs w:val="22"/>
          <w:lang w:val="lv-LV"/>
        </w:rPr>
        <w:t xml:space="preserve"> stabilizē šūnu membrānas fosfolipīdus;</w:t>
      </w:r>
    </w:p>
    <w:p w14:paraId="1EE6E7A4" w14:textId="77777777" w:rsidR="001E1FD4" w:rsidRPr="00E83219" w:rsidRDefault="001E1FD4" w:rsidP="004C1A0F">
      <w:pPr>
        <w:pStyle w:val="knZulassung02"/>
        <w:numPr>
          <w:ilvl w:val="0"/>
          <w:numId w:val="2"/>
        </w:numPr>
        <w:spacing w:line="240" w:lineRule="auto"/>
        <w:ind w:left="567" w:right="0" w:firstLine="0"/>
        <w:rPr>
          <w:color w:val="auto"/>
          <w:szCs w:val="22"/>
          <w:lang w:val="lv-LV"/>
        </w:rPr>
      </w:pPr>
      <w:r w:rsidRPr="00E83219">
        <w:rPr>
          <w:color w:val="auto"/>
          <w:szCs w:val="22"/>
          <w:lang w:val="lv-LV"/>
        </w:rPr>
        <w:t xml:space="preserve"> inhibē pārvadi neiromuskulārajās sinapsēs.</w:t>
      </w:r>
    </w:p>
    <w:p w14:paraId="1B513C19" w14:textId="77777777" w:rsidR="001E1FD4" w:rsidRPr="00E83219" w:rsidRDefault="001E1FD4" w:rsidP="00844FD8">
      <w:pPr>
        <w:rPr>
          <w:color w:val="auto"/>
          <w:lang w:val="lv-LV"/>
        </w:rPr>
      </w:pPr>
    </w:p>
    <w:p w14:paraId="167B436E"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5.2.</w:t>
      </w:r>
      <w:r w:rsidRPr="00E83219">
        <w:rPr>
          <w:b/>
          <w:color w:val="auto"/>
          <w:szCs w:val="22"/>
          <w:lang w:val="lv-LV"/>
        </w:rPr>
        <w:tab/>
        <w:t>Farmakokinētiskās īpašības</w:t>
      </w:r>
    </w:p>
    <w:p w14:paraId="11D69D38" w14:textId="77777777" w:rsidR="001E1FD4" w:rsidRPr="00E83219" w:rsidRDefault="001E1FD4" w:rsidP="004C1A0F">
      <w:pPr>
        <w:ind w:left="567"/>
        <w:rPr>
          <w:color w:val="auto"/>
          <w:szCs w:val="22"/>
          <w:lang w:val="lv-LV"/>
        </w:rPr>
      </w:pPr>
    </w:p>
    <w:p w14:paraId="715A210B" w14:textId="77777777" w:rsidR="001E1FD4" w:rsidRPr="00E83219" w:rsidRDefault="001E1FD4" w:rsidP="004C1A0F">
      <w:pPr>
        <w:ind w:left="567"/>
        <w:rPr>
          <w:i/>
          <w:color w:val="auto"/>
          <w:szCs w:val="22"/>
          <w:lang w:val="lv-LV"/>
        </w:rPr>
      </w:pPr>
      <w:r w:rsidRPr="00E83219">
        <w:rPr>
          <w:i/>
          <w:color w:val="auto"/>
          <w:szCs w:val="22"/>
          <w:lang w:val="lv-LV"/>
        </w:rPr>
        <w:t>Uzsūkšanās</w:t>
      </w:r>
    </w:p>
    <w:p w14:paraId="29B28993" w14:textId="44A3145B" w:rsidR="00E6426D" w:rsidRPr="00E83219" w:rsidRDefault="001E1FD4" w:rsidP="004C1A0F">
      <w:pPr>
        <w:ind w:left="567"/>
        <w:rPr>
          <w:color w:val="auto"/>
          <w:szCs w:val="22"/>
          <w:lang w:val="lv-LV"/>
        </w:rPr>
      </w:pPr>
      <w:bookmarkStart w:id="1" w:name="_Hlk56088699"/>
      <w:r w:rsidRPr="00E83219">
        <w:rPr>
          <w:color w:val="auto"/>
          <w:szCs w:val="22"/>
          <w:lang w:val="lv-LV"/>
        </w:rPr>
        <w:t>Magnijs uzsūcas lēnām un nepilnīgi — galvenokārt tievajās zarnās</w:t>
      </w:r>
      <w:bookmarkEnd w:id="1"/>
      <w:r w:rsidRPr="00E83219">
        <w:rPr>
          <w:color w:val="auto"/>
          <w:szCs w:val="22"/>
          <w:lang w:val="lv-LV"/>
        </w:rPr>
        <w:t>. Neuzsūkusies daļa var radīt laksatīvu iedarbību.</w:t>
      </w:r>
    </w:p>
    <w:p w14:paraId="41549981" w14:textId="77777777" w:rsidR="001E1FD4" w:rsidRPr="00E83219" w:rsidRDefault="001E1FD4" w:rsidP="004C1A0F">
      <w:pPr>
        <w:ind w:left="567"/>
        <w:rPr>
          <w:color w:val="auto"/>
          <w:lang w:val="lv-LV"/>
        </w:rPr>
      </w:pPr>
    </w:p>
    <w:p w14:paraId="6591C02E" w14:textId="77777777" w:rsidR="00E6426D" w:rsidRPr="00E83219" w:rsidRDefault="001E1FD4" w:rsidP="004C1A0F">
      <w:pPr>
        <w:ind w:left="567"/>
        <w:rPr>
          <w:color w:val="auto"/>
          <w:szCs w:val="22"/>
          <w:lang w:val="lv-LV"/>
        </w:rPr>
      </w:pPr>
      <w:r w:rsidRPr="00E83219">
        <w:rPr>
          <w:i/>
          <w:color w:val="auto"/>
          <w:szCs w:val="22"/>
          <w:lang w:val="lv-LV"/>
        </w:rPr>
        <w:t>Izkliede orgānos un audos</w:t>
      </w:r>
    </w:p>
    <w:p w14:paraId="23868825" w14:textId="36AF4FA7" w:rsidR="001E1FD4" w:rsidRPr="00E83219" w:rsidRDefault="00214D22" w:rsidP="004C1A0F">
      <w:pPr>
        <w:ind w:left="567"/>
        <w:rPr>
          <w:color w:val="auto"/>
          <w:szCs w:val="22"/>
          <w:lang w:val="lv-LV"/>
        </w:rPr>
      </w:pPr>
      <w:r w:rsidRPr="00E83219">
        <w:rPr>
          <w:color w:val="auto"/>
          <w:szCs w:val="22"/>
          <w:lang w:val="lv-LV"/>
        </w:rPr>
        <w:t>Magnija izkliede organismā</w:t>
      </w:r>
      <w:r w:rsidR="00AD1E1E" w:rsidRPr="00E83219">
        <w:rPr>
          <w:color w:val="auto"/>
          <w:szCs w:val="22"/>
          <w:lang w:val="lv-LV"/>
        </w:rPr>
        <w:t xml:space="preserve"> ir atkarīga no magnija līmeņa piepildījuma stāvokļa katrā individuālā gadījumā. </w:t>
      </w:r>
      <w:r w:rsidR="001E1FD4" w:rsidRPr="00E83219">
        <w:rPr>
          <w:color w:val="auto"/>
          <w:szCs w:val="22"/>
          <w:lang w:val="lv-LV"/>
        </w:rPr>
        <w:t>Attiecībā uz magniju nevar izmantot klasisko biopieejamības aprēķināšanas metodi, izmantojot koncentrācijas plazmā līknes.</w:t>
      </w:r>
    </w:p>
    <w:p w14:paraId="7E8F7B9A" w14:textId="6E8E6006" w:rsidR="00AD1E1E" w:rsidRPr="00E83219" w:rsidRDefault="00AD1E1E" w:rsidP="004C1A0F">
      <w:pPr>
        <w:ind w:left="567"/>
        <w:rPr>
          <w:color w:val="auto"/>
          <w:szCs w:val="22"/>
          <w:lang w:val="lv-LV"/>
        </w:rPr>
      </w:pPr>
      <w:r w:rsidRPr="00E83219">
        <w:rPr>
          <w:color w:val="auto"/>
          <w:szCs w:val="22"/>
          <w:lang w:val="lv-LV"/>
        </w:rPr>
        <w:t>Pirms magnija terapeitiskās lietderības noteikšanas, magnija līmenim jābūt pēc iespējas pilnākam, jo nieru ekskrēcija korelē ar absorbciju līdzsvara stāvoklī.</w:t>
      </w:r>
    </w:p>
    <w:p w14:paraId="7B21A856" w14:textId="77777777" w:rsidR="001E1FD4" w:rsidRPr="00E83219" w:rsidRDefault="001E1FD4" w:rsidP="004C1A0F">
      <w:pPr>
        <w:ind w:left="567"/>
        <w:rPr>
          <w:color w:val="auto"/>
          <w:szCs w:val="22"/>
          <w:lang w:val="lv-LV"/>
        </w:rPr>
      </w:pPr>
    </w:p>
    <w:p w14:paraId="5543F496" w14:textId="77777777" w:rsidR="001E1FD4" w:rsidRPr="00E83219" w:rsidRDefault="001E1FD4" w:rsidP="004C1A0F">
      <w:pPr>
        <w:ind w:left="567"/>
        <w:rPr>
          <w:color w:val="auto"/>
          <w:szCs w:val="22"/>
          <w:lang w:val="lv-LV"/>
        </w:rPr>
      </w:pPr>
      <w:r w:rsidRPr="00E83219">
        <w:rPr>
          <w:color w:val="auto"/>
          <w:szCs w:val="22"/>
          <w:lang w:val="lv-LV"/>
        </w:rPr>
        <w:t>Asins serums satur tikai aptuveni 1% no kopējām magnija rezervēm, t.i., no 0,8 līdz 1,0 mmol/l (atbilst no 1,6 līdz 2,0 meq/l). Aptuveni 45% no šīm rezervēm ir piesaistītas albumīnam vai citiem ligandiem. Atlikušais jonizētais magnijs veido fizioloģiski aktīvo daļu.</w:t>
      </w:r>
    </w:p>
    <w:p w14:paraId="2B0AF662" w14:textId="77777777" w:rsidR="001E1FD4" w:rsidRPr="00E83219" w:rsidRDefault="001E1FD4" w:rsidP="004C1A0F">
      <w:pPr>
        <w:ind w:left="567"/>
        <w:rPr>
          <w:color w:val="auto"/>
          <w:szCs w:val="22"/>
          <w:lang w:val="lv-LV"/>
        </w:rPr>
      </w:pPr>
      <w:r w:rsidRPr="00E83219">
        <w:rPr>
          <w:color w:val="auto"/>
          <w:szCs w:val="22"/>
          <w:lang w:val="lv-LV"/>
        </w:rPr>
        <w:t>Aptuveni puse no kopējām magnija rezervēm atrodas šūnās. Pārējais magnija daudzums atrodas kaulos. Magnija daudzums, kas uzsūcas zarnu virsmā, atrodas līdzsvarā ar magnija daudzumu asins serumā.</w:t>
      </w:r>
    </w:p>
    <w:p w14:paraId="5E9AE9E9" w14:textId="65634ADB" w:rsidR="00E6426D" w:rsidRPr="00E83219" w:rsidRDefault="00AD1E1E" w:rsidP="004C1A0F">
      <w:pPr>
        <w:pStyle w:val="knZulassung01"/>
        <w:ind w:left="567" w:right="0" w:firstLine="0"/>
        <w:rPr>
          <w:rFonts w:cs="Arial"/>
          <w:color w:val="auto"/>
          <w:szCs w:val="24"/>
          <w:lang w:val="lv-LV"/>
        </w:rPr>
      </w:pPr>
      <w:r w:rsidRPr="00E83219">
        <w:rPr>
          <w:rFonts w:cs="Arial"/>
          <w:color w:val="auto"/>
          <w:szCs w:val="24"/>
          <w:lang w:val="lv-LV"/>
        </w:rPr>
        <w:t>Magnija koncentrācija asins serumā dienas laikā mainās. Tā kā pastāv līdzsvars starp magnija koncentrāciju asins serumā un tā rezervēm kaulos, no magnija koncentrācijas asins serumā nav iespējams izdarīt secinājumus par tā rezervēm organismā. Neiromuskulāra hiperuzbudināmība</w:t>
      </w:r>
      <w:r w:rsidR="004C1A0F" w:rsidRPr="00E83219">
        <w:rPr>
          <w:rFonts w:cs="Arial"/>
          <w:color w:val="auto"/>
          <w:szCs w:val="24"/>
          <w:lang w:val="lv-LV"/>
        </w:rPr>
        <w:t xml:space="preserve"> </w:t>
      </w:r>
      <w:r w:rsidRPr="00E83219">
        <w:rPr>
          <w:rFonts w:cs="Arial"/>
          <w:color w:val="auto"/>
          <w:szCs w:val="24"/>
          <w:lang w:val="lv-LV"/>
        </w:rPr>
        <w:t>var būt magnija deficīta indikators.</w:t>
      </w:r>
    </w:p>
    <w:p w14:paraId="780C8774" w14:textId="77777777" w:rsidR="00F30E98" w:rsidRPr="00E83219" w:rsidRDefault="00F30E98" w:rsidP="004C1A0F">
      <w:pPr>
        <w:pStyle w:val="knZulassung01"/>
        <w:ind w:left="567" w:right="0" w:firstLine="0"/>
        <w:rPr>
          <w:i/>
          <w:color w:val="auto"/>
          <w:szCs w:val="22"/>
          <w:lang w:val="lv-LV"/>
        </w:rPr>
      </w:pPr>
    </w:p>
    <w:p w14:paraId="13B557FE" w14:textId="77777777" w:rsidR="001E1FD4" w:rsidRPr="00E83219" w:rsidRDefault="001E1FD4" w:rsidP="004C1A0F">
      <w:pPr>
        <w:pStyle w:val="knZulassung01"/>
        <w:ind w:left="567" w:right="0" w:firstLine="0"/>
        <w:rPr>
          <w:i/>
          <w:color w:val="auto"/>
          <w:szCs w:val="22"/>
          <w:lang w:val="lv-LV"/>
        </w:rPr>
      </w:pPr>
      <w:r w:rsidRPr="00E83219">
        <w:rPr>
          <w:i/>
          <w:color w:val="auto"/>
          <w:szCs w:val="22"/>
          <w:lang w:val="lv-LV"/>
        </w:rPr>
        <w:t>Eliminācija</w:t>
      </w:r>
    </w:p>
    <w:p w14:paraId="2EFD5FA6" w14:textId="2D3BA4B4" w:rsidR="001E1FD4" w:rsidRPr="00E83219" w:rsidRDefault="001E1FD4" w:rsidP="004C1A0F">
      <w:pPr>
        <w:ind w:left="567"/>
        <w:rPr>
          <w:color w:val="auto"/>
          <w:szCs w:val="22"/>
          <w:lang w:val="lv-LV"/>
        </w:rPr>
      </w:pPr>
      <w:bookmarkStart w:id="2" w:name="_Hlk56088779"/>
      <w:r w:rsidRPr="00E83219">
        <w:rPr>
          <w:color w:val="auto"/>
          <w:szCs w:val="22"/>
          <w:lang w:val="lv-LV"/>
        </w:rPr>
        <w:t>Magnijs, kas uzsūcies organismā, izdalās praktiski tikai caur nierēm sekrēcijas veidā</w:t>
      </w:r>
      <w:bookmarkEnd w:id="2"/>
      <w:r w:rsidRPr="00E83219">
        <w:rPr>
          <w:color w:val="auto"/>
          <w:szCs w:val="22"/>
          <w:lang w:val="lv-LV"/>
        </w:rPr>
        <w:t xml:space="preserve">. </w:t>
      </w:r>
    </w:p>
    <w:p w14:paraId="494B3BDF" w14:textId="77777777" w:rsidR="001E1FD4" w:rsidRPr="00E83219" w:rsidRDefault="001E1FD4" w:rsidP="004C1A0F">
      <w:pPr>
        <w:ind w:left="567"/>
        <w:rPr>
          <w:b/>
          <w:color w:val="auto"/>
          <w:szCs w:val="22"/>
          <w:lang w:val="lv-LV"/>
        </w:rPr>
      </w:pPr>
    </w:p>
    <w:p w14:paraId="6644A84F" w14:textId="77777777" w:rsidR="001E1FD4" w:rsidRPr="00E83219" w:rsidRDefault="001E1FD4" w:rsidP="004C1A0F">
      <w:pPr>
        <w:ind w:left="567"/>
        <w:rPr>
          <w:i/>
          <w:color w:val="auto"/>
          <w:szCs w:val="22"/>
          <w:lang w:val="lv-LV"/>
        </w:rPr>
      </w:pPr>
      <w:r w:rsidRPr="00E83219">
        <w:rPr>
          <w:i/>
          <w:color w:val="auto"/>
          <w:szCs w:val="22"/>
          <w:lang w:val="lv-LV"/>
        </w:rPr>
        <w:t>Citu zāļu ietekme uz magnija homeostāzi</w:t>
      </w:r>
    </w:p>
    <w:p w14:paraId="72F9D7C8" w14:textId="77777777" w:rsidR="00B97885" w:rsidRPr="00E83219" w:rsidRDefault="00B97885" w:rsidP="004C1A0F">
      <w:pPr>
        <w:ind w:left="567"/>
        <w:rPr>
          <w:color w:val="auto"/>
          <w:szCs w:val="22"/>
          <w:lang w:val="lv-LV" w:eastAsia="en-GB"/>
        </w:rPr>
      </w:pPr>
      <w:r w:rsidRPr="00E83219">
        <w:rPr>
          <w:color w:val="auto"/>
          <w:szCs w:val="22"/>
          <w:lang w:val="lv-LV"/>
        </w:rPr>
        <w:t>Citas zāles var inhibēt magnija uzsūkšanos zarnu traktā vai palielināt renālo ekskrēciju (skatīt 4.5. apakšpunktu).</w:t>
      </w:r>
    </w:p>
    <w:p w14:paraId="75D801DF" w14:textId="77777777" w:rsidR="001E1FD4" w:rsidRPr="00E83219" w:rsidRDefault="001E1FD4" w:rsidP="004C1A0F">
      <w:pPr>
        <w:ind w:left="567"/>
        <w:rPr>
          <w:color w:val="auto"/>
          <w:szCs w:val="22"/>
          <w:lang w:val="lv-LV"/>
        </w:rPr>
      </w:pPr>
    </w:p>
    <w:p w14:paraId="7ACCCFB4" w14:textId="77777777" w:rsidR="001E1FD4" w:rsidRPr="00E83219" w:rsidRDefault="001E1FD4" w:rsidP="004C1A0F">
      <w:pPr>
        <w:ind w:left="567"/>
        <w:rPr>
          <w:i/>
          <w:color w:val="auto"/>
          <w:szCs w:val="22"/>
          <w:lang w:val="lv-LV"/>
        </w:rPr>
      </w:pPr>
      <w:r w:rsidRPr="00E83219">
        <w:rPr>
          <w:i/>
          <w:color w:val="auto"/>
          <w:szCs w:val="22"/>
          <w:lang w:val="lv-LV"/>
        </w:rPr>
        <w:t>Slimību ietekme uz magnija homeostāzi</w:t>
      </w:r>
    </w:p>
    <w:p w14:paraId="1E492ACC" w14:textId="26A6DF15" w:rsidR="001E1FD4" w:rsidRPr="00E83219" w:rsidRDefault="001E1FD4" w:rsidP="004C1A0F">
      <w:pPr>
        <w:ind w:left="567"/>
        <w:rPr>
          <w:color w:val="auto"/>
          <w:szCs w:val="22"/>
          <w:lang w:val="lv-LV"/>
        </w:rPr>
      </w:pPr>
      <w:r w:rsidRPr="00E83219">
        <w:rPr>
          <w:color w:val="auto"/>
          <w:szCs w:val="22"/>
          <w:lang w:val="lv-LV"/>
        </w:rPr>
        <w:t xml:space="preserve">Magnija deficītu izraisa pārmērīga magnija izdalīšanās ar urīnu. Magnija deficītu var izraisīt osmotiskā diurēze glikozūrijas dēļ (piem., </w:t>
      </w:r>
      <w:r w:rsidR="00C22BE3">
        <w:rPr>
          <w:color w:val="auto"/>
          <w:szCs w:val="22"/>
          <w:lang w:val="lv-LV"/>
        </w:rPr>
        <w:t xml:space="preserve">cukura </w:t>
      </w:r>
      <w:r w:rsidRPr="00E83219">
        <w:rPr>
          <w:color w:val="auto"/>
          <w:szCs w:val="22"/>
          <w:lang w:val="lv-LV"/>
        </w:rPr>
        <w:t>diabēta pacientiem). Tāpēc diabēta pacientiem ir nepieciešams lielāks magnija daudzums.</w:t>
      </w:r>
    </w:p>
    <w:p w14:paraId="0A05BAB7" w14:textId="77777777" w:rsidR="00B97885" w:rsidRPr="00E83219" w:rsidRDefault="00B97885" w:rsidP="004C1A0F">
      <w:pPr>
        <w:ind w:left="567"/>
        <w:rPr>
          <w:color w:val="auto"/>
          <w:lang w:val="lv-LV"/>
        </w:rPr>
      </w:pPr>
    </w:p>
    <w:p w14:paraId="17A5A271" w14:textId="4325D94E" w:rsidR="00AD1E1E" w:rsidRPr="00E83219" w:rsidRDefault="00AD1E1E" w:rsidP="004C1A0F">
      <w:pPr>
        <w:ind w:left="567"/>
        <w:rPr>
          <w:color w:val="auto"/>
          <w:lang w:val="lv-LV"/>
        </w:rPr>
      </w:pPr>
      <w:r w:rsidRPr="00E83219">
        <w:rPr>
          <w:color w:val="auto"/>
          <w:lang w:val="lv-LV"/>
        </w:rPr>
        <w:t xml:space="preserve">Ir pierādīts, ka magnija deficīts izraisa sirds-asinsvadu </w:t>
      </w:r>
      <w:r w:rsidR="004C1A0F" w:rsidRPr="00E83219">
        <w:rPr>
          <w:color w:val="auto"/>
          <w:lang w:val="lv-LV"/>
        </w:rPr>
        <w:t xml:space="preserve">sistēmas </w:t>
      </w:r>
      <w:r w:rsidRPr="00E83219">
        <w:rPr>
          <w:color w:val="auto"/>
          <w:lang w:val="lv-LV"/>
        </w:rPr>
        <w:t xml:space="preserve">traucējumus, piemēram, sirds disritmijas, kas var izpausties kā ātra sirdsdarbība (tahikardija), </w:t>
      </w:r>
      <w:r w:rsidR="004A7606" w:rsidRPr="00E83219">
        <w:rPr>
          <w:color w:val="auto"/>
          <w:lang w:val="lv-LV"/>
        </w:rPr>
        <w:t>sirds pārsitieni (ekstrasistole) vai pilnīgi neregulārs sirds ritms (fibrilācija).</w:t>
      </w:r>
    </w:p>
    <w:p w14:paraId="4CDCF502" w14:textId="73179A54" w:rsidR="004A7606" w:rsidRPr="00E83219" w:rsidRDefault="004A7606" w:rsidP="004C1A0F">
      <w:pPr>
        <w:ind w:left="567"/>
        <w:rPr>
          <w:color w:val="auto"/>
          <w:lang w:val="lv-LV"/>
        </w:rPr>
      </w:pPr>
      <w:r w:rsidRPr="00E83219">
        <w:rPr>
          <w:color w:val="auto"/>
          <w:lang w:val="lv-LV"/>
        </w:rPr>
        <w:t>Zema magnija līmeņa stāvoklis izraisa arteriālu vazokonstrikciju un trombocītu agregāciju. Pacientiem ar migrēnu bieži ir zems magnija līmenis, tāpēc šķiet, ka magnija deficītam ir nozīme migrēnas patoģenēzē. Magnija piedevu lietošana bija efektīva migrēnas profilaksē.</w:t>
      </w:r>
    </w:p>
    <w:p w14:paraId="48558871" w14:textId="77777777" w:rsidR="00AD1E1E" w:rsidRPr="00E83219" w:rsidRDefault="00AD1E1E" w:rsidP="004C1A0F">
      <w:pPr>
        <w:ind w:left="567"/>
        <w:rPr>
          <w:color w:val="auto"/>
          <w:lang w:val="lv-LV"/>
        </w:rPr>
      </w:pPr>
    </w:p>
    <w:p w14:paraId="18D8BFBF" w14:textId="77777777" w:rsidR="001E1FD4" w:rsidRPr="00E83219" w:rsidRDefault="001E1375" w:rsidP="00345A36">
      <w:pPr>
        <w:tabs>
          <w:tab w:val="left" w:pos="567"/>
        </w:tabs>
        <w:outlineLvl w:val="0"/>
        <w:rPr>
          <w:b/>
          <w:color w:val="auto"/>
          <w:szCs w:val="22"/>
          <w:lang w:val="lv-LV"/>
        </w:rPr>
      </w:pPr>
      <w:r w:rsidRPr="00E83219">
        <w:rPr>
          <w:b/>
          <w:color w:val="auto"/>
          <w:szCs w:val="22"/>
          <w:lang w:val="lv-LV"/>
        </w:rPr>
        <w:lastRenderedPageBreak/>
        <w:t>5.3.</w:t>
      </w:r>
      <w:r w:rsidRPr="00E83219">
        <w:rPr>
          <w:b/>
          <w:color w:val="auto"/>
          <w:szCs w:val="22"/>
          <w:lang w:val="lv-LV"/>
        </w:rPr>
        <w:tab/>
        <w:t>Preklīniskie dati par drošumu</w:t>
      </w:r>
    </w:p>
    <w:p w14:paraId="4E40BDE1" w14:textId="77777777" w:rsidR="001E1FD4" w:rsidRPr="00E83219" w:rsidRDefault="001E1FD4" w:rsidP="001C5023">
      <w:pPr>
        <w:tabs>
          <w:tab w:val="left" w:pos="709"/>
        </w:tabs>
        <w:outlineLvl w:val="0"/>
        <w:rPr>
          <w:b/>
          <w:color w:val="auto"/>
          <w:szCs w:val="22"/>
          <w:lang w:val="lv-LV"/>
        </w:rPr>
      </w:pPr>
    </w:p>
    <w:p w14:paraId="24C1431F" w14:textId="77777777" w:rsidR="001E1FD4" w:rsidRPr="00E83219" w:rsidRDefault="008A4E16" w:rsidP="004C1A0F">
      <w:pPr>
        <w:ind w:left="567"/>
        <w:rPr>
          <w:noProof/>
          <w:color w:val="auto"/>
          <w:lang w:val="lv-LV"/>
        </w:rPr>
      </w:pPr>
      <w:r w:rsidRPr="00E83219">
        <w:rPr>
          <w:noProof/>
          <w:color w:val="auto"/>
          <w:lang w:val="lv-LV"/>
        </w:rPr>
        <w:t>Pētījumi par magnija hidrogēncitrātu vai magnija oksīdu nav pieejami. Neklīniskajos standartpētījumos ar dažādiem magnija sāļiem iegūtie dati par farmakoloģisko drošumu un atkārtotu devu toksicitāti neliecina par īpašu risku cilvēkam. Pētījumi par genotoksicitāti, iespējamu kancerogenitāti un toksisku ietekmi uz reproduktivitāti un attīstību nav veikti.</w:t>
      </w:r>
    </w:p>
    <w:p w14:paraId="2538C2B2" w14:textId="77777777" w:rsidR="001E1FD4" w:rsidRPr="00E83219" w:rsidRDefault="001E1FD4" w:rsidP="00844FD8">
      <w:pPr>
        <w:rPr>
          <w:color w:val="auto"/>
          <w:lang w:val="lv-LV"/>
        </w:rPr>
      </w:pPr>
    </w:p>
    <w:p w14:paraId="0D91F69E" w14:textId="77777777" w:rsidR="00AD197A" w:rsidRPr="00E83219" w:rsidRDefault="00AD197A" w:rsidP="00844FD8">
      <w:pPr>
        <w:rPr>
          <w:color w:val="auto"/>
          <w:lang w:val="lv-LV"/>
        </w:rPr>
      </w:pPr>
    </w:p>
    <w:p w14:paraId="33AEB79B" w14:textId="77777777" w:rsidR="001E1FD4" w:rsidRPr="00E83219" w:rsidRDefault="001E1FD4" w:rsidP="00345A36">
      <w:pPr>
        <w:tabs>
          <w:tab w:val="left" w:pos="567"/>
        </w:tabs>
        <w:rPr>
          <w:b/>
          <w:color w:val="auto"/>
          <w:szCs w:val="22"/>
          <w:lang w:val="lv-LV"/>
        </w:rPr>
      </w:pPr>
      <w:r w:rsidRPr="00E83219">
        <w:rPr>
          <w:b/>
          <w:color w:val="auto"/>
          <w:szCs w:val="22"/>
          <w:lang w:val="lv-LV"/>
        </w:rPr>
        <w:t>6.</w:t>
      </w:r>
      <w:r w:rsidRPr="00E83219">
        <w:rPr>
          <w:b/>
          <w:color w:val="auto"/>
          <w:szCs w:val="22"/>
          <w:lang w:val="lv-LV"/>
        </w:rPr>
        <w:tab/>
        <w:t>FARMACEITISKĀ INFORMĀCIJA</w:t>
      </w:r>
    </w:p>
    <w:p w14:paraId="50C69597" w14:textId="77777777" w:rsidR="001E1FD4" w:rsidRPr="00E83219" w:rsidRDefault="001E1FD4" w:rsidP="00AE7F52">
      <w:pPr>
        <w:keepNext/>
        <w:keepLines/>
        <w:rPr>
          <w:color w:val="auto"/>
          <w:szCs w:val="22"/>
          <w:lang w:val="lv-LV"/>
        </w:rPr>
      </w:pPr>
    </w:p>
    <w:p w14:paraId="6D65AB5A"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6.1.</w:t>
      </w:r>
      <w:r w:rsidRPr="00E83219">
        <w:rPr>
          <w:b/>
          <w:color w:val="auto"/>
          <w:szCs w:val="22"/>
          <w:lang w:val="lv-LV"/>
        </w:rPr>
        <w:tab/>
        <w:t>Palīgvielu saraksts</w:t>
      </w:r>
    </w:p>
    <w:p w14:paraId="706B924E" w14:textId="77777777" w:rsidR="001E1FD4" w:rsidRPr="00E83219" w:rsidRDefault="001E1FD4" w:rsidP="00345A36">
      <w:pPr>
        <w:keepNext/>
        <w:keepLines/>
        <w:tabs>
          <w:tab w:val="left" w:pos="2977"/>
          <w:tab w:val="left" w:pos="4962"/>
        </w:tabs>
        <w:ind w:left="567"/>
        <w:rPr>
          <w:color w:val="auto"/>
          <w:szCs w:val="22"/>
          <w:lang w:val="lv-LV"/>
        </w:rPr>
      </w:pPr>
    </w:p>
    <w:p w14:paraId="69D8A8DA" w14:textId="7134D712" w:rsidR="00FF675D" w:rsidRPr="00E83219" w:rsidRDefault="00FF675D" w:rsidP="00345A36">
      <w:pPr>
        <w:ind w:left="567"/>
        <w:outlineLvl w:val="0"/>
        <w:rPr>
          <w:color w:val="auto"/>
          <w:szCs w:val="22"/>
          <w:lang w:val="lv-LV"/>
        </w:rPr>
      </w:pPr>
      <w:r w:rsidRPr="00E83219">
        <w:rPr>
          <w:color w:val="auto"/>
          <w:szCs w:val="22"/>
          <w:lang w:val="lv-LV"/>
        </w:rPr>
        <w:t xml:space="preserve">Sorbīts </w:t>
      </w:r>
    </w:p>
    <w:p w14:paraId="37D2B067" w14:textId="77777777" w:rsidR="00FF675D" w:rsidRPr="00E83219" w:rsidRDefault="00FF675D" w:rsidP="00345A36">
      <w:pPr>
        <w:ind w:left="567"/>
        <w:outlineLvl w:val="0"/>
        <w:rPr>
          <w:color w:val="auto"/>
          <w:szCs w:val="22"/>
          <w:lang w:val="lv-LV"/>
        </w:rPr>
      </w:pPr>
      <w:r w:rsidRPr="00E83219">
        <w:rPr>
          <w:color w:val="auto"/>
          <w:szCs w:val="22"/>
          <w:lang w:val="lv-LV"/>
        </w:rPr>
        <w:t>Apelsīnu pulveris</w:t>
      </w:r>
    </w:p>
    <w:p w14:paraId="28C626E7" w14:textId="77777777" w:rsidR="00FF675D" w:rsidRPr="00E83219" w:rsidRDefault="00FF675D" w:rsidP="00345A36">
      <w:pPr>
        <w:ind w:left="567"/>
        <w:outlineLvl w:val="0"/>
        <w:rPr>
          <w:color w:val="auto"/>
          <w:szCs w:val="22"/>
          <w:lang w:val="lv-LV"/>
        </w:rPr>
      </w:pPr>
      <w:r w:rsidRPr="00E83219">
        <w:rPr>
          <w:color w:val="auto"/>
          <w:szCs w:val="22"/>
          <w:lang w:val="lv-LV"/>
        </w:rPr>
        <w:t>Dzelzs oksīds (E172)</w:t>
      </w:r>
    </w:p>
    <w:p w14:paraId="54CF2A55" w14:textId="72BF611F" w:rsidR="00FF675D" w:rsidRPr="00E83219" w:rsidRDefault="00FF675D" w:rsidP="00345A36">
      <w:pPr>
        <w:ind w:left="567"/>
        <w:outlineLvl w:val="0"/>
        <w:rPr>
          <w:color w:val="auto"/>
          <w:szCs w:val="22"/>
          <w:lang w:val="lv-LV"/>
        </w:rPr>
      </w:pPr>
      <w:r w:rsidRPr="00E83219">
        <w:rPr>
          <w:color w:val="auto"/>
          <w:szCs w:val="22"/>
          <w:lang w:val="lv-LV"/>
        </w:rPr>
        <w:t>Kalcija stearāts</w:t>
      </w:r>
      <w:r w:rsidR="001C18B9">
        <w:rPr>
          <w:color w:val="auto"/>
          <w:szCs w:val="22"/>
          <w:lang w:val="lv-LV"/>
        </w:rPr>
        <w:t xml:space="preserve"> </w:t>
      </w:r>
      <w:r w:rsidR="00C03D71">
        <w:rPr>
          <w:color w:val="auto"/>
          <w:szCs w:val="22"/>
          <w:lang w:val="lv-LV"/>
        </w:rPr>
        <w:t>(</w:t>
      </w:r>
      <w:r w:rsidR="00121A85">
        <w:rPr>
          <w:color w:val="auto"/>
          <w:szCs w:val="22"/>
          <w:lang w:val="lv-LV"/>
        </w:rPr>
        <w:t>augu izcelsmes</w:t>
      </w:r>
      <w:r w:rsidR="00C03D71">
        <w:rPr>
          <w:color w:val="auto"/>
          <w:szCs w:val="22"/>
          <w:lang w:val="lv-LV"/>
        </w:rPr>
        <w:t>)</w:t>
      </w:r>
    </w:p>
    <w:p w14:paraId="2A97E47C" w14:textId="3A206ACE" w:rsidR="00FF675D" w:rsidRPr="00121A85" w:rsidRDefault="00FF675D" w:rsidP="00345A36">
      <w:pPr>
        <w:ind w:left="567"/>
        <w:outlineLvl w:val="0"/>
        <w:rPr>
          <w:color w:val="auto"/>
          <w:szCs w:val="22"/>
          <w:lang w:val="lv-LV"/>
        </w:rPr>
      </w:pPr>
      <w:r w:rsidRPr="00E83219">
        <w:rPr>
          <w:color w:val="auto"/>
          <w:szCs w:val="22"/>
          <w:lang w:val="lv-LV"/>
        </w:rPr>
        <w:t>Apelsīna aromatizētājs</w:t>
      </w:r>
      <w:r w:rsidR="00121A85">
        <w:rPr>
          <w:color w:val="auto"/>
          <w:szCs w:val="22"/>
          <w:lang w:val="lv-LV"/>
        </w:rPr>
        <w:t xml:space="preserve"> </w:t>
      </w:r>
    </w:p>
    <w:p w14:paraId="20252837" w14:textId="77777777" w:rsidR="001E1FD4" w:rsidRPr="00E83219" w:rsidRDefault="00FF675D" w:rsidP="00345A36">
      <w:pPr>
        <w:ind w:left="567"/>
        <w:outlineLvl w:val="0"/>
        <w:rPr>
          <w:color w:val="auto"/>
          <w:szCs w:val="22"/>
          <w:lang w:val="lv-LV"/>
        </w:rPr>
      </w:pPr>
      <w:r w:rsidRPr="00E83219">
        <w:rPr>
          <w:color w:val="auto"/>
          <w:szCs w:val="22"/>
          <w:lang w:val="lv-LV"/>
        </w:rPr>
        <w:t>Apelsīnu sulas aromatizētājs</w:t>
      </w:r>
    </w:p>
    <w:p w14:paraId="4C847E2D" w14:textId="77777777" w:rsidR="00FF675D" w:rsidRPr="00E83219" w:rsidRDefault="00FF675D" w:rsidP="00345A36">
      <w:pPr>
        <w:ind w:left="567"/>
        <w:outlineLvl w:val="0"/>
        <w:rPr>
          <w:b/>
          <w:color w:val="auto"/>
          <w:szCs w:val="22"/>
          <w:lang w:val="lv-LV"/>
        </w:rPr>
      </w:pPr>
    </w:p>
    <w:p w14:paraId="11E96708" w14:textId="77777777" w:rsidR="001E1FD4" w:rsidRPr="00E83219" w:rsidRDefault="001E1FD4" w:rsidP="00345A36">
      <w:pPr>
        <w:keepNext/>
        <w:keepLines/>
        <w:tabs>
          <w:tab w:val="left" w:pos="567"/>
        </w:tabs>
        <w:outlineLvl w:val="0"/>
        <w:rPr>
          <w:b/>
          <w:color w:val="auto"/>
          <w:szCs w:val="22"/>
          <w:lang w:val="lv-LV"/>
        </w:rPr>
      </w:pPr>
      <w:r w:rsidRPr="00E83219">
        <w:rPr>
          <w:b/>
          <w:color w:val="auto"/>
          <w:szCs w:val="22"/>
          <w:lang w:val="lv-LV"/>
        </w:rPr>
        <w:t>6.2.</w:t>
      </w:r>
      <w:r w:rsidRPr="00E83219">
        <w:rPr>
          <w:b/>
          <w:color w:val="auto"/>
          <w:szCs w:val="22"/>
          <w:lang w:val="lv-LV"/>
        </w:rPr>
        <w:tab/>
        <w:t>Nesaderība</w:t>
      </w:r>
    </w:p>
    <w:p w14:paraId="422259D9" w14:textId="77777777" w:rsidR="001E1FD4" w:rsidRPr="00E83219" w:rsidRDefault="001E1FD4" w:rsidP="00345A36">
      <w:pPr>
        <w:keepNext/>
        <w:keepLines/>
        <w:ind w:left="567"/>
        <w:rPr>
          <w:color w:val="auto"/>
          <w:szCs w:val="22"/>
          <w:lang w:val="lv-LV"/>
        </w:rPr>
      </w:pPr>
    </w:p>
    <w:p w14:paraId="3ADDBFA9" w14:textId="77777777" w:rsidR="006D12F8" w:rsidRPr="00E83219" w:rsidRDefault="001E1FD4" w:rsidP="00345A36">
      <w:pPr>
        <w:keepNext/>
        <w:keepLines/>
        <w:ind w:left="567"/>
        <w:rPr>
          <w:color w:val="auto"/>
          <w:szCs w:val="22"/>
          <w:lang w:val="lv-LV"/>
        </w:rPr>
      </w:pPr>
      <w:r w:rsidRPr="00E83219">
        <w:rPr>
          <w:color w:val="auto"/>
          <w:szCs w:val="22"/>
          <w:lang w:val="lv-LV"/>
        </w:rPr>
        <w:t>Nav piemērojama.</w:t>
      </w:r>
    </w:p>
    <w:p w14:paraId="680E8A76" w14:textId="77777777" w:rsidR="001E1FD4" w:rsidRPr="00E83219" w:rsidRDefault="001E1FD4" w:rsidP="00345A36">
      <w:pPr>
        <w:ind w:left="567"/>
        <w:rPr>
          <w:color w:val="auto"/>
          <w:szCs w:val="22"/>
          <w:lang w:val="lv-LV"/>
        </w:rPr>
      </w:pPr>
    </w:p>
    <w:p w14:paraId="10E2C96E"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6.3.</w:t>
      </w:r>
      <w:r w:rsidRPr="00E83219">
        <w:rPr>
          <w:b/>
          <w:color w:val="auto"/>
          <w:szCs w:val="22"/>
          <w:lang w:val="lv-LV"/>
        </w:rPr>
        <w:tab/>
        <w:t>Uzglabāšanas laiks</w:t>
      </w:r>
    </w:p>
    <w:p w14:paraId="67563E66" w14:textId="77777777" w:rsidR="001E1FD4" w:rsidRPr="00E83219" w:rsidRDefault="001E1FD4" w:rsidP="00345A36">
      <w:pPr>
        <w:ind w:left="567"/>
        <w:rPr>
          <w:color w:val="auto"/>
          <w:szCs w:val="22"/>
          <w:lang w:val="lv-LV"/>
        </w:rPr>
      </w:pPr>
    </w:p>
    <w:p w14:paraId="72A4CD28" w14:textId="77777777" w:rsidR="001E1FD4" w:rsidRPr="00E83219" w:rsidRDefault="00680C0C" w:rsidP="00345A36">
      <w:pPr>
        <w:ind w:left="567"/>
        <w:rPr>
          <w:color w:val="auto"/>
          <w:szCs w:val="22"/>
          <w:lang w:val="lv-LV"/>
        </w:rPr>
      </w:pPr>
      <w:r w:rsidRPr="00E83219">
        <w:rPr>
          <w:color w:val="auto"/>
          <w:szCs w:val="22"/>
          <w:lang w:val="lv-LV"/>
        </w:rPr>
        <w:t>3 gadi</w:t>
      </w:r>
    </w:p>
    <w:p w14:paraId="375F6C45" w14:textId="77777777" w:rsidR="00D160C4" w:rsidRPr="00E83219" w:rsidRDefault="00D160C4" w:rsidP="00345A36">
      <w:pPr>
        <w:ind w:left="567"/>
        <w:rPr>
          <w:color w:val="auto"/>
          <w:szCs w:val="22"/>
          <w:lang w:val="lv-LV"/>
        </w:rPr>
      </w:pPr>
    </w:p>
    <w:p w14:paraId="62C96CE7"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6.4.</w:t>
      </w:r>
      <w:r w:rsidRPr="00E83219">
        <w:rPr>
          <w:b/>
          <w:color w:val="auto"/>
          <w:szCs w:val="22"/>
          <w:lang w:val="lv-LV"/>
        </w:rPr>
        <w:tab/>
        <w:t>Īpaši uzglabāšanas nosacījumi</w:t>
      </w:r>
    </w:p>
    <w:p w14:paraId="6463D1F4" w14:textId="77777777" w:rsidR="001E1FD4" w:rsidRPr="00E83219" w:rsidRDefault="001E1FD4" w:rsidP="00345A36">
      <w:pPr>
        <w:ind w:left="567"/>
        <w:rPr>
          <w:color w:val="auto"/>
          <w:szCs w:val="22"/>
          <w:lang w:val="lv-LV"/>
        </w:rPr>
      </w:pPr>
    </w:p>
    <w:p w14:paraId="647A5707" w14:textId="77777777" w:rsidR="001E1FD4" w:rsidRPr="00E83219" w:rsidRDefault="001E1FD4" w:rsidP="00345A36">
      <w:pPr>
        <w:ind w:left="567"/>
        <w:rPr>
          <w:color w:val="auto"/>
          <w:lang w:val="lv-LV"/>
        </w:rPr>
      </w:pPr>
      <w:r w:rsidRPr="00E83219">
        <w:rPr>
          <w:color w:val="auto"/>
          <w:lang w:val="lv-LV"/>
        </w:rPr>
        <w:t>Šīm zālēm nav nepieciešami īpaši uzglabāšanas apstākļi.</w:t>
      </w:r>
    </w:p>
    <w:p w14:paraId="44699C22" w14:textId="77777777" w:rsidR="00B208D7" w:rsidRPr="00E83219" w:rsidRDefault="00B208D7" w:rsidP="00844FD8">
      <w:pPr>
        <w:outlineLvl w:val="0"/>
        <w:rPr>
          <w:b/>
          <w:color w:val="auto"/>
          <w:szCs w:val="22"/>
          <w:lang w:val="lv-LV"/>
        </w:rPr>
      </w:pPr>
    </w:p>
    <w:p w14:paraId="2297901B"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6.5.</w:t>
      </w:r>
      <w:r w:rsidRPr="00E83219">
        <w:rPr>
          <w:b/>
          <w:color w:val="auto"/>
          <w:szCs w:val="22"/>
          <w:lang w:val="lv-LV"/>
        </w:rPr>
        <w:tab/>
        <w:t>Iepakojuma veids un saturs</w:t>
      </w:r>
    </w:p>
    <w:p w14:paraId="2B8027CA" w14:textId="77777777" w:rsidR="001E1FD4" w:rsidRPr="00E83219" w:rsidRDefault="001E1FD4" w:rsidP="00345A36">
      <w:pPr>
        <w:ind w:left="567"/>
        <w:rPr>
          <w:color w:val="auto"/>
          <w:szCs w:val="22"/>
          <w:lang w:val="lv-LV"/>
        </w:rPr>
      </w:pPr>
    </w:p>
    <w:p w14:paraId="6E832AE6" w14:textId="77777777" w:rsidR="001E1FD4" w:rsidRPr="00E83219" w:rsidRDefault="001E1FD4" w:rsidP="00345A36">
      <w:pPr>
        <w:ind w:left="567"/>
        <w:rPr>
          <w:color w:val="auto"/>
          <w:szCs w:val="22"/>
          <w:lang w:val="lv-LV"/>
        </w:rPr>
      </w:pPr>
      <w:r w:rsidRPr="00E83219">
        <w:rPr>
          <w:color w:val="auto"/>
          <w:szCs w:val="22"/>
          <w:lang w:val="lv-LV"/>
        </w:rPr>
        <w:t>Paciņas</w:t>
      </w:r>
    </w:p>
    <w:p w14:paraId="3911B470" w14:textId="77777777" w:rsidR="001E1FD4" w:rsidRPr="00E83219" w:rsidRDefault="00FF675D" w:rsidP="00345A36">
      <w:pPr>
        <w:ind w:left="567"/>
        <w:rPr>
          <w:color w:val="auto"/>
          <w:szCs w:val="22"/>
          <w:lang w:val="lv-LV"/>
        </w:rPr>
      </w:pPr>
      <w:r w:rsidRPr="00E83219">
        <w:rPr>
          <w:color w:val="auto"/>
          <w:szCs w:val="22"/>
          <w:lang w:val="lv-LV"/>
        </w:rPr>
        <w:t>Laminēta folija (papīrs/alumīnijs/polietilēna kopolimērs).</w:t>
      </w:r>
    </w:p>
    <w:p w14:paraId="77440254" w14:textId="77777777" w:rsidR="001E1FD4" w:rsidRPr="00E83219" w:rsidRDefault="00E6426D" w:rsidP="00345A36">
      <w:pPr>
        <w:numPr>
          <w:ilvl w:val="12"/>
          <w:numId w:val="0"/>
        </w:numPr>
        <w:ind w:left="567" w:right="-2"/>
        <w:rPr>
          <w:color w:val="auto"/>
          <w:szCs w:val="22"/>
          <w:lang w:val="lv-LV"/>
        </w:rPr>
      </w:pPr>
      <w:r w:rsidRPr="00E83219">
        <w:rPr>
          <w:color w:val="auto"/>
          <w:szCs w:val="22"/>
          <w:lang w:val="lv-LV"/>
        </w:rPr>
        <w:t>20, 50 vai 100 paciņas ar 2,22 g granulu.</w:t>
      </w:r>
    </w:p>
    <w:p w14:paraId="071A41F6" w14:textId="77777777" w:rsidR="001E1FD4" w:rsidRPr="00E83219" w:rsidRDefault="00E6426D" w:rsidP="00345A36">
      <w:pPr>
        <w:numPr>
          <w:ilvl w:val="12"/>
          <w:numId w:val="0"/>
        </w:numPr>
        <w:ind w:left="567" w:right="-2"/>
        <w:rPr>
          <w:color w:val="auto"/>
          <w:szCs w:val="22"/>
          <w:lang w:val="lv-LV"/>
        </w:rPr>
      </w:pPr>
      <w:r w:rsidRPr="00E83219">
        <w:rPr>
          <w:color w:val="auto"/>
          <w:szCs w:val="22"/>
          <w:lang w:val="lv-LV"/>
        </w:rPr>
        <w:t>Vairāku kastīšu iepakojums, kas satur 200 paciņas ar 2,22 g granulu (10 iepakojumi ar 20 paciņām vai 4 iepakojumi ar 50 paciņām, vai 2 iepakojumi ar 100 paciņām, kurus nedrīkst pārdot atsevišķi).</w:t>
      </w:r>
    </w:p>
    <w:p w14:paraId="15612E25" w14:textId="77777777" w:rsidR="00AD197A" w:rsidRPr="00E83219" w:rsidRDefault="00AD197A" w:rsidP="00345A36">
      <w:pPr>
        <w:numPr>
          <w:ilvl w:val="12"/>
          <w:numId w:val="0"/>
        </w:numPr>
        <w:ind w:left="567" w:right="-2"/>
        <w:rPr>
          <w:color w:val="auto"/>
          <w:szCs w:val="22"/>
          <w:lang w:val="lv-LV"/>
        </w:rPr>
      </w:pPr>
    </w:p>
    <w:p w14:paraId="4C34089F" w14:textId="77777777" w:rsidR="00E6426D" w:rsidRPr="00E83219" w:rsidRDefault="001E1FD4" w:rsidP="00345A36">
      <w:pPr>
        <w:numPr>
          <w:ilvl w:val="12"/>
          <w:numId w:val="0"/>
        </w:numPr>
        <w:ind w:left="567" w:right="-2"/>
        <w:rPr>
          <w:color w:val="auto"/>
          <w:szCs w:val="22"/>
          <w:lang w:val="lv-LV"/>
        </w:rPr>
      </w:pPr>
      <w:r w:rsidRPr="00E83219">
        <w:rPr>
          <w:color w:val="auto"/>
          <w:szCs w:val="22"/>
          <w:lang w:val="lv-LV"/>
        </w:rPr>
        <w:t>Visi iepakojuma lielumi tirgū var nebūt pieejami.</w:t>
      </w:r>
    </w:p>
    <w:p w14:paraId="033BAB09" w14:textId="77777777" w:rsidR="001E1FD4" w:rsidRPr="00E83219" w:rsidRDefault="001E1FD4" w:rsidP="00844FD8">
      <w:pPr>
        <w:rPr>
          <w:color w:val="auto"/>
          <w:szCs w:val="22"/>
          <w:lang w:val="lv-LV"/>
        </w:rPr>
      </w:pPr>
    </w:p>
    <w:p w14:paraId="231D21A2" w14:textId="77777777" w:rsidR="001E1FD4" w:rsidRPr="00E83219" w:rsidRDefault="001E1FD4" w:rsidP="00345A36">
      <w:pPr>
        <w:tabs>
          <w:tab w:val="left" w:pos="567"/>
        </w:tabs>
        <w:outlineLvl w:val="0"/>
        <w:rPr>
          <w:b/>
          <w:color w:val="auto"/>
          <w:szCs w:val="22"/>
          <w:lang w:val="lv-LV"/>
        </w:rPr>
      </w:pPr>
      <w:r w:rsidRPr="00E83219">
        <w:rPr>
          <w:b/>
          <w:color w:val="auto"/>
          <w:szCs w:val="22"/>
          <w:lang w:val="lv-LV"/>
        </w:rPr>
        <w:t>6.6.</w:t>
      </w:r>
      <w:r w:rsidRPr="00E83219">
        <w:rPr>
          <w:b/>
          <w:color w:val="auto"/>
          <w:szCs w:val="22"/>
          <w:lang w:val="lv-LV"/>
        </w:rPr>
        <w:tab/>
        <w:t>Īpaši norādījumi atkritumu likvidēšanai</w:t>
      </w:r>
    </w:p>
    <w:p w14:paraId="2FA00185" w14:textId="77777777" w:rsidR="001E1FD4" w:rsidRPr="00E83219" w:rsidRDefault="001E1FD4" w:rsidP="00345A36">
      <w:pPr>
        <w:tabs>
          <w:tab w:val="left" w:pos="567"/>
        </w:tabs>
        <w:outlineLvl w:val="0"/>
        <w:rPr>
          <w:color w:val="auto"/>
          <w:szCs w:val="22"/>
          <w:lang w:val="lv-LV"/>
        </w:rPr>
      </w:pPr>
    </w:p>
    <w:p w14:paraId="2867289B" w14:textId="77777777" w:rsidR="001E1FD4" w:rsidRPr="00E83219" w:rsidRDefault="001E1FD4" w:rsidP="00345A36">
      <w:pPr>
        <w:ind w:left="567"/>
        <w:rPr>
          <w:color w:val="auto"/>
          <w:szCs w:val="22"/>
          <w:lang w:val="lv-LV"/>
        </w:rPr>
      </w:pPr>
      <w:r w:rsidRPr="00E83219">
        <w:rPr>
          <w:color w:val="auto"/>
          <w:szCs w:val="22"/>
          <w:lang w:val="lv-LV"/>
        </w:rPr>
        <w:t>Nav īpašu prasību.</w:t>
      </w:r>
    </w:p>
    <w:p w14:paraId="188D7B42" w14:textId="77777777" w:rsidR="001E1FD4" w:rsidRPr="00E83219" w:rsidRDefault="001E1FD4" w:rsidP="00345A36">
      <w:pPr>
        <w:ind w:left="567"/>
        <w:rPr>
          <w:color w:val="auto"/>
          <w:szCs w:val="22"/>
          <w:lang w:val="lv-LV"/>
        </w:rPr>
      </w:pPr>
    </w:p>
    <w:p w14:paraId="06BE4841" w14:textId="77777777" w:rsidR="00AD197A" w:rsidRPr="00E83219" w:rsidRDefault="00AD197A" w:rsidP="00345A36">
      <w:pPr>
        <w:ind w:left="567"/>
        <w:rPr>
          <w:color w:val="auto"/>
          <w:szCs w:val="22"/>
          <w:lang w:val="lv-LV"/>
        </w:rPr>
      </w:pPr>
    </w:p>
    <w:p w14:paraId="4CE69EB5" w14:textId="77777777" w:rsidR="001E1FD4" w:rsidRPr="00E83219" w:rsidRDefault="001E1FD4" w:rsidP="00345A36">
      <w:pPr>
        <w:ind w:left="567" w:hanging="567"/>
        <w:outlineLvl w:val="0"/>
        <w:rPr>
          <w:b/>
          <w:color w:val="auto"/>
          <w:szCs w:val="22"/>
          <w:lang w:val="lv-LV"/>
        </w:rPr>
      </w:pPr>
      <w:r w:rsidRPr="00E83219">
        <w:rPr>
          <w:b/>
          <w:color w:val="auto"/>
          <w:szCs w:val="22"/>
          <w:lang w:val="lv-LV"/>
        </w:rPr>
        <w:t>7.</w:t>
      </w:r>
      <w:r w:rsidRPr="00E83219">
        <w:rPr>
          <w:b/>
          <w:color w:val="auto"/>
          <w:szCs w:val="22"/>
          <w:lang w:val="lv-LV"/>
        </w:rPr>
        <w:tab/>
        <w:t>REĢISTRĀCIJAS APLIECĪBAS ĪPAŠNIEKS</w:t>
      </w:r>
    </w:p>
    <w:p w14:paraId="46636F54" w14:textId="77777777" w:rsidR="001E1FD4" w:rsidRPr="00E83219" w:rsidRDefault="001E1FD4" w:rsidP="00345A36">
      <w:pPr>
        <w:ind w:left="567"/>
        <w:rPr>
          <w:color w:val="auto"/>
          <w:szCs w:val="22"/>
          <w:lang w:val="lv-LV"/>
        </w:rPr>
      </w:pPr>
    </w:p>
    <w:p w14:paraId="6FB2C0BB" w14:textId="77777777" w:rsidR="001E1FD4" w:rsidRPr="00E83219" w:rsidRDefault="001E1FD4" w:rsidP="00345A36">
      <w:pPr>
        <w:ind w:left="567"/>
        <w:rPr>
          <w:color w:val="auto"/>
          <w:szCs w:val="22"/>
          <w:lang w:val="lv-LV"/>
        </w:rPr>
      </w:pPr>
      <w:r w:rsidRPr="00E83219">
        <w:rPr>
          <w:color w:val="auto"/>
          <w:szCs w:val="22"/>
          <w:lang w:val="lv-LV"/>
        </w:rPr>
        <w:t>Protina Pharmazeutische Gesellschaft mbH</w:t>
      </w:r>
    </w:p>
    <w:p w14:paraId="3798B042" w14:textId="77777777" w:rsidR="00E6426D" w:rsidRPr="00E83219" w:rsidRDefault="001E1FD4" w:rsidP="00345A36">
      <w:pPr>
        <w:ind w:left="567"/>
        <w:rPr>
          <w:color w:val="auto"/>
          <w:szCs w:val="22"/>
          <w:lang w:val="lv-LV"/>
        </w:rPr>
      </w:pPr>
      <w:r w:rsidRPr="00E83219">
        <w:rPr>
          <w:color w:val="auto"/>
          <w:szCs w:val="22"/>
          <w:lang w:val="lv-LV"/>
        </w:rPr>
        <w:t>Adalperostraße 37</w:t>
      </w:r>
    </w:p>
    <w:p w14:paraId="5BA5F477" w14:textId="77777777" w:rsidR="007A1B17" w:rsidRPr="00E83219" w:rsidRDefault="001E1FD4" w:rsidP="00345A36">
      <w:pPr>
        <w:ind w:left="567"/>
        <w:rPr>
          <w:color w:val="auto"/>
          <w:szCs w:val="22"/>
          <w:lang w:val="lv-LV"/>
        </w:rPr>
      </w:pPr>
      <w:r w:rsidRPr="00E83219">
        <w:rPr>
          <w:color w:val="auto"/>
          <w:szCs w:val="22"/>
          <w:lang w:val="lv-LV"/>
        </w:rPr>
        <w:t>85737 Ismaning</w:t>
      </w:r>
    </w:p>
    <w:p w14:paraId="01DF0D28" w14:textId="06D95BDD" w:rsidR="001E1FD4" w:rsidRPr="00E83219" w:rsidRDefault="001E1FD4" w:rsidP="00345A36">
      <w:pPr>
        <w:ind w:left="567"/>
        <w:rPr>
          <w:color w:val="auto"/>
          <w:szCs w:val="22"/>
          <w:lang w:val="lv-LV"/>
        </w:rPr>
      </w:pPr>
      <w:r w:rsidRPr="00E83219">
        <w:rPr>
          <w:color w:val="auto"/>
          <w:szCs w:val="22"/>
          <w:lang w:val="lv-LV"/>
        </w:rPr>
        <w:t>Vācija</w:t>
      </w:r>
    </w:p>
    <w:p w14:paraId="6508611D" w14:textId="77777777" w:rsidR="001E1FD4" w:rsidRPr="00E83219" w:rsidRDefault="001E1FD4" w:rsidP="00844FD8">
      <w:pPr>
        <w:ind w:left="709" w:hanging="709"/>
        <w:rPr>
          <w:color w:val="auto"/>
          <w:szCs w:val="22"/>
          <w:lang w:val="lv-LV"/>
        </w:rPr>
      </w:pPr>
    </w:p>
    <w:p w14:paraId="0D828E7A" w14:textId="77777777" w:rsidR="00AD197A" w:rsidRPr="00E83219" w:rsidRDefault="00AD197A" w:rsidP="00844FD8">
      <w:pPr>
        <w:ind w:left="709" w:hanging="709"/>
        <w:rPr>
          <w:color w:val="auto"/>
          <w:szCs w:val="22"/>
          <w:lang w:val="lv-LV"/>
        </w:rPr>
      </w:pPr>
    </w:p>
    <w:p w14:paraId="64A088E1" w14:textId="77777777" w:rsidR="001E1FD4" w:rsidRPr="00E83219" w:rsidRDefault="001E1FD4" w:rsidP="00D313A6">
      <w:pPr>
        <w:keepNext/>
        <w:ind w:left="624" w:hanging="624"/>
        <w:outlineLvl w:val="0"/>
        <w:rPr>
          <w:b/>
          <w:color w:val="auto"/>
          <w:szCs w:val="22"/>
          <w:lang w:val="lv-LV"/>
        </w:rPr>
      </w:pPr>
      <w:r w:rsidRPr="00E83219">
        <w:rPr>
          <w:b/>
          <w:color w:val="auto"/>
          <w:szCs w:val="22"/>
          <w:lang w:val="lv-LV"/>
        </w:rPr>
        <w:lastRenderedPageBreak/>
        <w:t>8.</w:t>
      </w:r>
      <w:r w:rsidRPr="00E83219">
        <w:rPr>
          <w:b/>
          <w:color w:val="auto"/>
          <w:szCs w:val="22"/>
          <w:lang w:val="lv-LV"/>
        </w:rPr>
        <w:tab/>
        <w:t>REĢISTRĀCIJAS APLIECĪBAS NUMURS</w:t>
      </w:r>
    </w:p>
    <w:p w14:paraId="7DB0002B" w14:textId="77777777" w:rsidR="001E1FD4" w:rsidRPr="00E83219" w:rsidRDefault="001E1FD4" w:rsidP="00345A36">
      <w:pPr>
        <w:ind w:left="567"/>
        <w:rPr>
          <w:color w:val="auto"/>
          <w:szCs w:val="22"/>
          <w:lang w:val="lv-LV"/>
        </w:rPr>
      </w:pPr>
    </w:p>
    <w:p w14:paraId="71E22C9A" w14:textId="5224676F" w:rsidR="001E1FD4" w:rsidRPr="00E83219" w:rsidRDefault="00A21551" w:rsidP="00345A36">
      <w:pPr>
        <w:ind w:left="567"/>
        <w:rPr>
          <w:color w:val="auto"/>
          <w:szCs w:val="22"/>
          <w:lang w:val="lv-LV"/>
        </w:rPr>
      </w:pPr>
      <w:r>
        <w:rPr>
          <w:color w:val="auto"/>
          <w:szCs w:val="22"/>
          <w:lang w:val="lv-LV"/>
        </w:rPr>
        <w:t>19-0171</w:t>
      </w:r>
    </w:p>
    <w:p w14:paraId="0CD60D14" w14:textId="6D25656F" w:rsidR="00AD197A" w:rsidRDefault="00AD197A" w:rsidP="00345A36">
      <w:pPr>
        <w:ind w:left="567"/>
        <w:rPr>
          <w:color w:val="auto"/>
          <w:szCs w:val="22"/>
          <w:lang w:val="lv-LV"/>
        </w:rPr>
      </w:pPr>
    </w:p>
    <w:p w14:paraId="4EB14271" w14:textId="77777777" w:rsidR="00C2672C" w:rsidRPr="00E83219" w:rsidRDefault="00C2672C" w:rsidP="00345A36">
      <w:pPr>
        <w:ind w:left="567"/>
        <w:rPr>
          <w:color w:val="auto"/>
          <w:szCs w:val="22"/>
          <w:lang w:val="lv-LV"/>
        </w:rPr>
      </w:pPr>
    </w:p>
    <w:p w14:paraId="0AC078EF" w14:textId="77777777" w:rsidR="001E1FD4" w:rsidRPr="00E83219" w:rsidRDefault="001E1FD4" w:rsidP="00345A36">
      <w:pPr>
        <w:ind w:left="567" w:hanging="567"/>
        <w:outlineLvl w:val="0"/>
        <w:rPr>
          <w:b/>
          <w:color w:val="auto"/>
          <w:szCs w:val="22"/>
          <w:lang w:val="lv-LV"/>
        </w:rPr>
      </w:pPr>
      <w:r w:rsidRPr="00E83219">
        <w:rPr>
          <w:b/>
          <w:color w:val="auto"/>
          <w:szCs w:val="22"/>
          <w:lang w:val="lv-LV"/>
        </w:rPr>
        <w:t>9.</w:t>
      </w:r>
      <w:r w:rsidRPr="00E83219">
        <w:rPr>
          <w:b/>
          <w:color w:val="auto"/>
          <w:szCs w:val="22"/>
          <w:lang w:val="lv-LV"/>
        </w:rPr>
        <w:tab/>
        <w:t>PIRMĀS REĢISTRĀCIJAS/PĀRREĢISTRĀCIJAS DATUMS</w:t>
      </w:r>
    </w:p>
    <w:p w14:paraId="14EC12F0" w14:textId="77777777" w:rsidR="001E1FD4" w:rsidRPr="00E83219" w:rsidRDefault="001E1FD4" w:rsidP="00345A36">
      <w:pPr>
        <w:ind w:left="567"/>
        <w:rPr>
          <w:color w:val="auto"/>
          <w:szCs w:val="22"/>
          <w:lang w:val="lv-LV"/>
        </w:rPr>
      </w:pPr>
    </w:p>
    <w:p w14:paraId="3F9F37D0" w14:textId="6F39E88C" w:rsidR="001E1FD4" w:rsidRPr="00E83219" w:rsidRDefault="007A1B17" w:rsidP="00345A36">
      <w:pPr>
        <w:ind w:left="567"/>
        <w:rPr>
          <w:color w:val="auto"/>
          <w:szCs w:val="22"/>
          <w:lang w:val="lv-LV"/>
        </w:rPr>
      </w:pPr>
      <w:r w:rsidRPr="00E83219">
        <w:rPr>
          <w:color w:val="auto"/>
          <w:szCs w:val="22"/>
          <w:lang w:val="lv-LV"/>
        </w:rPr>
        <w:t>Reģistrācijas datums:</w:t>
      </w:r>
      <w:r w:rsidR="00A21551">
        <w:rPr>
          <w:color w:val="auto"/>
          <w:szCs w:val="22"/>
          <w:lang w:val="lv-LV"/>
        </w:rPr>
        <w:t xml:space="preserve"> </w:t>
      </w:r>
      <w:r w:rsidR="00C2672C">
        <w:rPr>
          <w:color w:val="auto"/>
          <w:szCs w:val="22"/>
          <w:lang w:val="lv-LV"/>
        </w:rPr>
        <w:t>2019. gada 25. oktobris</w:t>
      </w:r>
    </w:p>
    <w:p w14:paraId="5A2CE9FF" w14:textId="77777777" w:rsidR="001E1FD4" w:rsidRPr="00E83219" w:rsidRDefault="001E1FD4" w:rsidP="00345A36">
      <w:pPr>
        <w:ind w:left="567"/>
        <w:rPr>
          <w:color w:val="auto"/>
          <w:szCs w:val="22"/>
          <w:lang w:val="lv-LV"/>
        </w:rPr>
      </w:pPr>
    </w:p>
    <w:p w14:paraId="0819C7C3" w14:textId="77777777" w:rsidR="00AD197A" w:rsidRPr="00E83219" w:rsidRDefault="00AD197A" w:rsidP="00345A36">
      <w:pPr>
        <w:ind w:left="567"/>
        <w:rPr>
          <w:color w:val="auto"/>
          <w:szCs w:val="22"/>
          <w:lang w:val="lv-LV"/>
        </w:rPr>
      </w:pPr>
    </w:p>
    <w:p w14:paraId="60113B6F" w14:textId="77777777" w:rsidR="001E1FD4" w:rsidRPr="00E83219" w:rsidRDefault="001E1FD4" w:rsidP="00345A36">
      <w:pPr>
        <w:ind w:left="567" w:hanging="567"/>
        <w:outlineLvl w:val="0"/>
        <w:rPr>
          <w:b/>
          <w:color w:val="auto"/>
          <w:szCs w:val="22"/>
          <w:lang w:val="lv-LV"/>
        </w:rPr>
      </w:pPr>
      <w:r w:rsidRPr="00E83219">
        <w:rPr>
          <w:b/>
          <w:color w:val="auto"/>
          <w:szCs w:val="22"/>
          <w:lang w:val="lv-LV"/>
        </w:rPr>
        <w:t>10.</w:t>
      </w:r>
      <w:r w:rsidRPr="00E83219">
        <w:rPr>
          <w:b/>
          <w:color w:val="auto"/>
          <w:szCs w:val="22"/>
          <w:lang w:val="lv-LV"/>
        </w:rPr>
        <w:tab/>
        <w:t>TEKSTA PĀRSKATĪŠANAS DATUMS</w:t>
      </w:r>
    </w:p>
    <w:p w14:paraId="102208FD" w14:textId="77777777" w:rsidR="001E1FD4" w:rsidRPr="00E83219" w:rsidRDefault="001E1FD4" w:rsidP="00345A36">
      <w:pPr>
        <w:ind w:left="567"/>
        <w:rPr>
          <w:color w:val="auto"/>
          <w:szCs w:val="22"/>
          <w:lang w:val="lv-LV"/>
        </w:rPr>
      </w:pPr>
    </w:p>
    <w:p w14:paraId="04BF8876" w14:textId="132BCBDF" w:rsidR="001E1FD4" w:rsidRPr="00E83219" w:rsidRDefault="003E3240" w:rsidP="00345A36">
      <w:pPr>
        <w:ind w:left="567"/>
        <w:rPr>
          <w:color w:val="auto"/>
          <w:szCs w:val="22"/>
          <w:lang w:val="lv-LV"/>
        </w:rPr>
      </w:pPr>
      <w:r>
        <w:rPr>
          <w:color w:val="auto"/>
          <w:szCs w:val="22"/>
          <w:lang w:val="lv-LV"/>
        </w:rPr>
        <w:t>11</w:t>
      </w:r>
      <w:r w:rsidR="004528F6" w:rsidRPr="00E83219">
        <w:rPr>
          <w:color w:val="auto"/>
          <w:szCs w:val="22"/>
          <w:lang w:val="lv-LV"/>
        </w:rPr>
        <w:t>/</w:t>
      </w:r>
      <w:r w:rsidR="004416C4">
        <w:rPr>
          <w:color w:val="auto"/>
          <w:szCs w:val="22"/>
          <w:lang w:val="lv-LV"/>
        </w:rPr>
        <w:t>2020</w:t>
      </w:r>
    </w:p>
    <w:p w14:paraId="42E2D356" w14:textId="77777777" w:rsidR="001E1FD4" w:rsidRPr="00E83219" w:rsidRDefault="001E1FD4" w:rsidP="00345A36">
      <w:pPr>
        <w:ind w:left="567"/>
        <w:rPr>
          <w:color w:val="auto"/>
          <w:szCs w:val="22"/>
          <w:lang w:val="lv-LV"/>
        </w:rPr>
      </w:pPr>
    </w:p>
    <w:sectPr w:rsidR="001E1FD4" w:rsidRPr="00E83219" w:rsidSect="00A465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8830" w14:textId="77777777" w:rsidR="00A6304A" w:rsidRDefault="00A6304A" w:rsidP="00EE54A9">
      <w:pPr>
        <w:spacing w:line="240" w:lineRule="auto"/>
      </w:pPr>
      <w:r>
        <w:separator/>
      </w:r>
    </w:p>
  </w:endnote>
  <w:endnote w:type="continuationSeparator" w:id="0">
    <w:p w14:paraId="76753B6D" w14:textId="77777777" w:rsidR="00A6304A" w:rsidRDefault="00A6304A" w:rsidP="00EE5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C928" w14:textId="77777777" w:rsidR="00B53E87" w:rsidRDefault="00B5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E738" w14:textId="77777777" w:rsidR="00B53E87" w:rsidRDefault="00B53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A41A1" w14:textId="77777777" w:rsidR="00B53E87" w:rsidRDefault="00B5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4E08" w14:textId="77777777" w:rsidR="00A6304A" w:rsidRDefault="00A6304A" w:rsidP="00EE54A9">
      <w:pPr>
        <w:spacing w:line="240" w:lineRule="auto"/>
      </w:pPr>
      <w:r>
        <w:separator/>
      </w:r>
    </w:p>
  </w:footnote>
  <w:footnote w:type="continuationSeparator" w:id="0">
    <w:p w14:paraId="4A649B18" w14:textId="77777777" w:rsidR="00A6304A" w:rsidRDefault="00A6304A" w:rsidP="00EE5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E7BF" w14:textId="77777777" w:rsidR="00B53E87" w:rsidRDefault="00B53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F5D6" w14:textId="11451E52" w:rsidR="00B53E87" w:rsidRPr="00B53E87" w:rsidRDefault="00B53E87" w:rsidP="00B53E87">
    <w:pPr>
      <w:pStyle w:val="Header"/>
      <w:jc w:val="right"/>
      <w:rPr>
        <w:sz w:val="24"/>
        <w:szCs w:val="24"/>
        <w:lang w:val="en-US"/>
      </w:rPr>
    </w:pPr>
    <w:r>
      <w:rPr>
        <w:sz w:val="24"/>
        <w:szCs w:val="24"/>
        <w:lang w:val="en-US"/>
      </w:rPr>
      <w:t>SASKAŅOTS ZVA 10-12-2020</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ED4F" w14:textId="77777777" w:rsidR="00B53E87" w:rsidRDefault="00B5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3DC3A30"/>
    <w:multiLevelType w:val="hybridMultilevel"/>
    <w:tmpl w:val="ADB6901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38240CD"/>
    <w:multiLevelType w:val="hybridMultilevel"/>
    <w:tmpl w:val="C2C0C9C6"/>
    <w:lvl w:ilvl="0" w:tplc="49108206">
      <w:start w:val="1"/>
      <w:numFmt w:val="bullet"/>
      <w:lvlText w:val="-"/>
      <w:lvlJc w:val="left"/>
      <w:pPr>
        <w:ind w:left="927" w:hanging="360"/>
      </w:pPr>
      <w:rPr>
        <w:rFonts w:hint="default"/>
        <w:color w:val="auto"/>
      </w:rPr>
    </w:lvl>
    <w:lvl w:ilvl="1" w:tplc="04070019">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FD8"/>
    <w:rsid w:val="00006B4A"/>
    <w:rsid w:val="000151D3"/>
    <w:rsid w:val="00071DE6"/>
    <w:rsid w:val="00077A5F"/>
    <w:rsid w:val="00084C3D"/>
    <w:rsid w:val="00086E20"/>
    <w:rsid w:val="00087340"/>
    <w:rsid w:val="000B6A28"/>
    <w:rsid w:val="000B6A37"/>
    <w:rsid w:val="000C3DE3"/>
    <w:rsid w:val="001007EF"/>
    <w:rsid w:val="00105324"/>
    <w:rsid w:val="00121A85"/>
    <w:rsid w:val="00127A6A"/>
    <w:rsid w:val="001739A3"/>
    <w:rsid w:val="001A3B32"/>
    <w:rsid w:val="001A50C7"/>
    <w:rsid w:val="001A6131"/>
    <w:rsid w:val="001B4CBE"/>
    <w:rsid w:val="001B6E8E"/>
    <w:rsid w:val="001B7060"/>
    <w:rsid w:val="001C18B9"/>
    <w:rsid w:val="001C5023"/>
    <w:rsid w:val="001D402C"/>
    <w:rsid w:val="001E1375"/>
    <w:rsid w:val="001E1FD4"/>
    <w:rsid w:val="0020292D"/>
    <w:rsid w:val="00207344"/>
    <w:rsid w:val="00213092"/>
    <w:rsid w:val="00214D22"/>
    <w:rsid w:val="00214DED"/>
    <w:rsid w:val="00223B90"/>
    <w:rsid w:val="00266BC4"/>
    <w:rsid w:val="00272902"/>
    <w:rsid w:val="0027489B"/>
    <w:rsid w:val="002A654F"/>
    <w:rsid w:val="002B2C47"/>
    <w:rsid w:val="002C73B9"/>
    <w:rsid w:val="002D4EA8"/>
    <w:rsid w:val="002F0A82"/>
    <w:rsid w:val="00345A36"/>
    <w:rsid w:val="003766D1"/>
    <w:rsid w:val="00382C05"/>
    <w:rsid w:val="003C3295"/>
    <w:rsid w:val="003E3240"/>
    <w:rsid w:val="003F4CB7"/>
    <w:rsid w:val="004000D6"/>
    <w:rsid w:val="00412188"/>
    <w:rsid w:val="004416C4"/>
    <w:rsid w:val="00444B9D"/>
    <w:rsid w:val="004528F6"/>
    <w:rsid w:val="00460F96"/>
    <w:rsid w:val="004626B0"/>
    <w:rsid w:val="00463661"/>
    <w:rsid w:val="00476D14"/>
    <w:rsid w:val="004A442F"/>
    <w:rsid w:val="004A7606"/>
    <w:rsid w:val="004A7624"/>
    <w:rsid w:val="004B3B0E"/>
    <w:rsid w:val="004C1A0F"/>
    <w:rsid w:val="004E18AC"/>
    <w:rsid w:val="004E5072"/>
    <w:rsid w:val="005177AD"/>
    <w:rsid w:val="00517930"/>
    <w:rsid w:val="00521123"/>
    <w:rsid w:val="00523CD4"/>
    <w:rsid w:val="00547F83"/>
    <w:rsid w:val="0055280C"/>
    <w:rsid w:val="00562C25"/>
    <w:rsid w:val="00574A27"/>
    <w:rsid w:val="005A2DC2"/>
    <w:rsid w:val="005B4BFD"/>
    <w:rsid w:val="005B53DC"/>
    <w:rsid w:val="0063670E"/>
    <w:rsid w:val="00637E30"/>
    <w:rsid w:val="006744CB"/>
    <w:rsid w:val="00680C0C"/>
    <w:rsid w:val="006D12F8"/>
    <w:rsid w:val="006E1063"/>
    <w:rsid w:val="006E49CE"/>
    <w:rsid w:val="007429C0"/>
    <w:rsid w:val="007610C6"/>
    <w:rsid w:val="007750BE"/>
    <w:rsid w:val="007A1B17"/>
    <w:rsid w:val="00801F0E"/>
    <w:rsid w:val="00803CD8"/>
    <w:rsid w:val="0080431F"/>
    <w:rsid w:val="0081468D"/>
    <w:rsid w:val="00817F3B"/>
    <w:rsid w:val="008209E2"/>
    <w:rsid w:val="008404F2"/>
    <w:rsid w:val="00844FD8"/>
    <w:rsid w:val="00871046"/>
    <w:rsid w:val="00873928"/>
    <w:rsid w:val="008A4E16"/>
    <w:rsid w:val="008B28F6"/>
    <w:rsid w:val="008E1862"/>
    <w:rsid w:val="008E3BF2"/>
    <w:rsid w:val="008F7FD1"/>
    <w:rsid w:val="00907377"/>
    <w:rsid w:val="00922294"/>
    <w:rsid w:val="00932EDD"/>
    <w:rsid w:val="009376E7"/>
    <w:rsid w:val="00952E46"/>
    <w:rsid w:val="00954C87"/>
    <w:rsid w:val="009568E2"/>
    <w:rsid w:val="0097408E"/>
    <w:rsid w:val="009A5527"/>
    <w:rsid w:val="009B33B9"/>
    <w:rsid w:val="009B44DD"/>
    <w:rsid w:val="009B6DCA"/>
    <w:rsid w:val="009C0638"/>
    <w:rsid w:val="009F5A91"/>
    <w:rsid w:val="00A21551"/>
    <w:rsid w:val="00A25404"/>
    <w:rsid w:val="00A359B8"/>
    <w:rsid w:val="00A43DC1"/>
    <w:rsid w:val="00A46528"/>
    <w:rsid w:val="00A52FDE"/>
    <w:rsid w:val="00A5555F"/>
    <w:rsid w:val="00A6304A"/>
    <w:rsid w:val="00A8003D"/>
    <w:rsid w:val="00AA1F84"/>
    <w:rsid w:val="00AA7D74"/>
    <w:rsid w:val="00AB0992"/>
    <w:rsid w:val="00AC0E37"/>
    <w:rsid w:val="00AD0801"/>
    <w:rsid w:val="00AD197A"/>
    <w:rsid w:val="00AD1E1E"/>
    <w:rsid w:val="00AE7F52"/>
    <w:rsid w:val="00B00BCA"/>
    <w:rsid w:val="00B208D7"/>
    <w:rsid w:val="00B23B51"/>
    <w:rsid w:val="00B24E11"/>
    <w:rsid w:val="00B3066B"/>
    <w:rsid w:val="00B341B4"/>
    <w:rsid w:val="00B4507A"/>
    <w:rsid w:val="00B52DB4"/>
    <w:rsid w:val="00B53E87"/>
    <w:rsid w:val="00B60AF3"/>
    <w:rsid w:val="00B8093B"/>
    <w:rsid w:val="00B97885"/>
    <w:rsid w:val="00BA2AFC"/>
    <w:rsid w:val="00BA37C3"/>
    <w:rsid w:val="00BB45FF"/>
    <w:rsid w:val="00BB73C7"/>
    <w:rsid w:val="00BE0511"/>
    <w:rsid w:val="00C03D71"/>
    <w:rsid w:val="00C14CAB"/>
    <w:rsid w:val="00C16CC3"/>
    <w:rsid w:val="00C21989"/>
    <w:rsid w:val="00C22A65"/>
    <w:rsid w:val="00C22BE3"/>
    <w:rsid w:val="00C2672C"/>
    <w:rsid w:val="00C72E6F"/>
    <w:rsid w:val="00C73A03"/>
    <w:rsid w:val="00CA0CAB"/>
    <w:rsid w:val="00CC2109"/>
    <w:rsid w:val="00CD0D3E"/>
    <w:rsid w:val="00CE3D4F"/>
    <w:rsid w:val="00CF68DA"/>
    <w:rsid w:val="00CF7D4B"/>
    <w:rsid w:val="00D02257"/>
    <w:rsid w:val="00D07034"/>
    <w:rsid w:val="00D160C4"/>
    <w:rsid w:val="00D16689"/>
    <w:rsid w:val="00D2472B"/>
    <w:rsid w:val="00D313A6"/>
    <w:rsid w:val="00D31A21"/>
    <w:rsid w:val="00D61C38"/>
    <w:rsid w:val="00D90A5C"/>
    <w:rsid w:val="00D95787"/>
    <w:rsid w:val="00D97F30"/>
    <w:rsid w:val="00DA6921"/>
    <w:rsid w:val="00DB5B7A"/>
    <w:rsid w:val="00DC5232"/>
    <w:rsid w:val="00DC6ABC"/>
    <w:rsid w:val="00DE76FF"/>
    <w:rsid w:val="00E11B66"/>
    <w:rsid w:val="00E4116E"/>
    <w:rsid w:val="00E63339"/>
    <w:rsid w:val="00E6426D"/>
    <w:rsid w:val="00E67798"/>
    <w:rsid w:val="00E83219"/>
    <w:rsid w:val="00E87BD2"/>
    <w:rsid w:val="00E96735"/>
    <w:rsid w:val="00EB113B"/>
    <w:rsid w:val="00EE0ABC"/>
    <w:rsid w:val="00EE3287"/>
    <w:rsid w:val="00EE54A9"/>
    <w:rsid w:val="00EE74CB"/>
    <w:rsid w:val="00F06821"/>
    <w:rsid w:val="00F200DC"/>
    <w:rsid w:val="00F30E98"/>
    <w:rsid w:val="00F32C77"/>
    <w:rsid w:val="00F3670E"/>
    <w:rsid w:val="00F4027C"/>
    <w:rsid w:val="00F45A39"/>
    <w:rsid w:val="00F46A27"/>
    <w:rsid w:val="00F86C6B"/>
    <w:rsid w:val="00F9068A"/>
    <w:rsid w:val="00F916BE"/>
    <w:rsid w:val="00FC14F2"/>
    <w:rsid w:val="00FC24D6"/>
    <w:rsid w:val="00FE16C3"/>
    <w:rsid w:val="00FF0B0B"/>
    <w:rsid w:val="00FF6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4A974"/>
  <w14:defaultImageDpi w14:val="0"/>
  <w15:docId w15:val="{581D2C30-CEAE-4B13-BAB3-BD6AB59E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D8"/>
    <w:pPr>
      <w:overflowPunct w:val="0"/>
      <w:autoSpaceDE w:val="0"/>
      <w:autoSpaceDN w:val="0"/>
      <w:adjustRightInd w:val="0"/>
      <w:spacing w:line="240" w:lineRule="atLeast"/>
      <w:textAlignment w:val="baseline"/>
    </w:pPr>
    <w:rPr>
      <w:rFonts w:ascii="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nZulassung01">
    <w:name w:val="knZulassung01"/>
    <w:basedOn w:val="Normal"/>
    <w:uiPriority w:val="99"/>
    <w:rsid w:val="00844FD8"/>
    <w:pPr>
      <w:tabs>
        <w:tab w:val="left" w:pos="567"/>
        <w:tab w:val="left" w:pos="1843"/>
      </w:tabs>
      <w:ind w:left="1843" w:right="284" w:hanging="1843"/>
    </w:pPr>
  </w:style>
  <w:style w:type="paragraph" w:customStyle="1" w:styleId="knZulassung02">
    <w:name w:val="knZulassung02"/>
    <w:basedOn w:val="Normal"/>
    <w:uiPriority w:val="99"/>
    <w:rsid w:val="00844FD8"/>
    <w:pPr>
      <w:ind w:left="1843" w:right="284"/>
    </w:pPr>
  </w:style>
  <w:style w:type="paragraph" w:styleId="ListParagraph">
    <w:name w:val="List Paragraph"/>
    <w:basedOn w:val="Normal"/>
    <w:uiPriority w:val="99"/>
    <w:qFormat/>
    <w:rsid w:val="00844FD8"/>
    <w:pPr>
      <w:ind w:left="720"/>
      <w:contextualSpacing/>
    </w:pPr>
  </w:style>
  <w:style w:type="paragraph" w:styleId="Header">
    <w:name w:val="header"/>
    <w:basedOn w:val="Normal"/>
    <w:link w:val="HeaderChar"/>
    <w:uiPriority w:val="99"/>
    <w:rsid w:val="00EE54A9"/>
    <w:pPr>
      <w:tabs>
        <w:tab w:val="center" w:pos="4536"/>
        <w:tab w:val="right" w:pos="9072"/>
      </w:tabs>
      <w:spacing w:line="240" w:lineRule="auto"/>
    </w:pPr>
  </w:style>
  <w:style w:type="character" w:customStyle="1" w:styleId="HeaderChar">
    <w:name w:val="Header Char"/>
    <w:link w:val="Header"/>
    <w:uiPriority w:val="99"/>
    <w:locked/>
    <w:rsid w:val="00EE54A9"/>
    <w:rPr>
      <w:rFonts w:ascii="Times New Roman" w:hAnsi="Times New Roman" w:cs="Times New Roman"/>
      <w:color w:val="000000"/>
      <w:sz w:val="20"/>
      <w:szCs w:val="20"/>
    </w:rPr>
  </w:style>
  <w:style w:type="paragraph" w:styleId="Footer">
    <w:name w:val="footer"/>
    <w:basedOn w:val="Normal"/>
    <w:link w:val="FooterChar"/>
    <w:uiPriority w:val="99"/>
    <w:rsid w:val="00EE54A9"/>
    <w:pPr>
      <w:tabs>
        <w:tab w:val="center" w:pos="4536"/>
        <w:tab w:val="right" w:pos="9072"/>
      </w:tabs>
      <w:spacing w:line="240" w:lineRule="auto"/>
    </w:pPr>
  </w:style>
  <w:style w:type="character" w:customStyle="1" w:styleId="FooterChar">
    <w:name w:val="Footer Char"/>
    <w:link w:val="Footer"/>
    <w:uiPriority w:val="99"/>
    <w:locked/>
    <w:rsid w:val="00EE54A9"/>
    <w:rPr>
      <w:rFonts w:ascii="Times New Roman" w:hAnsi="Times New Roman" w:cs="Times New Roman"/>
      <w:color w:val="000000"/>
      <w:sz w:val="20"/>
      <w:szCs w:val="20"/>
    </w:rPr>
  </w:style>
  <w:style w:type="character" w:styleId="PageNumber">
    <w:name w:val="page number"/>
    <w:uiPriority w:val="99"/>
    <w:rsid w:val="00EE54A9"/>
    <w:rPr>
      <w:rFonts w:ascii="Calibri" w:hAnsi="Calibri" w:cs="Times New Roman"/>
    </w:rPr>
  </w:style>
  <w:style w:type="paragraph" w:styleId="BalloonText">
    <w:name w:val="Balloon Text"/>
    <w:basedOn w:val="Normal"/>
    <w:link w:val="BalloonTextChar"/>
    <w:uiPriority w:val="99"/>
    <w:semiHidden/>
    <w:rsid w:val="006D12F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character" w:styleId="CommentReference">
    <w:name w:val="annotation reference"/>
    <w:uiPriority w:val="99"/>
    <w:semiHidden/>
    <w:unhideWhenUsed/>
    <w:rsid w:val="000B6A28"/>
    <w:rPr>
      <w:sz w:val="16"/>
      <w:szCs w:val="16"/>
    </w:rPr>
  </w:style>
  <w:style w:type="paragraph" w:styleId="CommentText">
    <w:name w:val="annotation text"/>
    <w:basedOn w:val="Normal"/>
    <w:link w:val="CommentTextChar"/>
    <w:uiPriority w:val="99"/>
    <w:unhideWhenUsed/>
    <w:rsid w:val="000B6A28"/>
    <w:rPr>
      <w:sz w:val="20"/>
    </w:rPr>
  </w:style>
  <w:style w:type="character" w:customStyle="1" w:styleId="CommentTextChar">
    <w:name w:val="Comment Text Char"/>
    <w:link w:val="CommentText"/>
    <w:uiPriority w:val="99"/>
    <w:rsid w:val="000B6A28"/>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6A28"/>
    <w:rPr>
      <w:b/>
      <w:bCs/>
    </w:rPr>
  </w:style>
  <w:style w:type="character" w:customStyle="1" w:styleId="CommentSubjectChar">
    <w:name w:val="Comment Subject Char"/>
    <w:link w:val="CommentSubject"/>
    <w:uiPriority w:val="99"/>
    <w:semiHidden/>
    <w:rsid w:val="000B6A28"/>
    <w:rPr>
      <w:rFonts w:ascii="Times New Roman" w:hAnsi="Times New Roman" w:cs="Times New Roman"/>
      <w:b/>
      <w:bCs/>
      <w:color w:val="000000"/>
      <w:sz w:val="20"/>
      <w:szCs w:val="20"/>
    </w:rPr>
  </w:style>
  <w:style w:type="character" w:styleId="SubtleReference">
    <w:name w:val="Subtle Reference"/>
    <w:uiPriority w:val="31"/>
    <w:qFormat/>
    <w:rsid w:val="00521123"/>
    <w:rPr>
      <w:smallCaps/>
      <w:color w:val="C0504D"/>
      <w:u w:val="single"/>
    </w:rPr>
  </w:style>
  <w:style w:type="paragraph" w:styleId="Revision">
    <w:name w:val="Revision"/>
    <w:hidden/>
    <w:uiPriority w:val="99"/>
    <w:semiHidden/>
    <w:rsid w:val="001C5023"/>
    <w:rPr>
      <w:rFonts w:ascii="Times New Roman" w:hAnsi="Times New Roman" w:cs="Times New Roman"/>
      <w:color w:val="000000"/>
      <w:sz w:val="22"/>
    </w:rPr>
  </w:style>
  <w:style w:type="character" w:customStyle="1" w:styleId="tlid-translation">
    <w:name w:val="tlid-translation"/>
    <w:basedOn w:val="DefaultParagraphFont"/>
    <w:rsid w:val="00B24E11"/>
  </w:style>
  <w:style w:type="character" w:customStyle="1" w:styleId="alt-edited">
    <w:name w:val="alt-edited"/>
    <w:basedOn w:val="DefaultParagraphFont"/>
    <w:rsid w:val="00B24E11"/>
  </w:style>
  <w:style w:type="character" w:styleId="Hyperlink">
    <w:name w:val="Hyperlink"/>
    <w:rsid w:val="00C14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B3A8-B9A6-4E63-BBB9-99465246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6314</Words>
  <Characters>3599</Characters>
  <Application>Microsoft Office Word</Application>
  <DocSecurity>0</DocSecurity>
  <Lines>29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mt-g</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dc:creator>
  <cp:lastModifiedBy>Skaidrīte Lapsenīte</cp:lastModifiedBy>
  <cp:revision>4</cp:revision>
  <cp:lastPrinted>2015-03-13T08:46:00Z</cp:lastPrinted>
  <dcterms:created xsi:type="dcterms:W3CDTF">2020-12-07T13:13:00Z</dcterms:created>
  <dcterms:modified xsi:type="dcterms:W3CDTF">2020-12-09T11:36:00Z</dcterms:modified>
</cp:coreProperties>
</file>