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94E7B" w14:textId="77777777" w:rsidR="00CD57CB" w:rsidRDefault="00CD57CB" w:rsidP="00A77DDF">
      <w:pPr>
        <w:tabs>
          <w:tab w:val="center" w:pos="1617"/>
        </w:tabs>
        <w:spacing w:after="11" w:line="251" w:lineRule="auto"/>
        <w:ind w:left="-13" w:firstLine="0"/>
        <w:rPr>
          <w:b/>
          <w:lang w:val="lv-LV"/>
        </w:rPr>
      </w:pPr>
    </w:p>
    <w:p w14:paraId="1774BA53" w14:textId="77777777" w:rsidR="00CD57CB" w:rsidRDefault="00CD57CB" w:rsidP="00A77DDF">
      <w:pPr>
        <w:tabs>
          <w:tab w:val="center" w:pos="1617"/>
        </w:tabs>
        <w:spacing w:after="11" w:line="251" w:lineRule="auto"/>
        <w:ind w:left="-13" w:firstLine="0"/>
        <w:rPr>
          <w:b/>
          <w:lang w:val="lv-LV"/>
        </w:rPr>
      </w:pPr>
    </w:p>
    <w:p w14:paraId="706B3C4F" w14:textId="1624A904" w:rsidR="00A77DDF" w:rsidRPr="00087F50" w:rsidRDefault="00A77DDF" w:rsidP="00A77DDF">
      <w:pPr>
        <w:tabs>
          <w:tab w:val="center" w:pos="1617"/>
        </w:tabs>
        <w:spacing w:after="11" w:line="251" w:lineRule="auto"/>
        <w:ind w:left="-13" w:firstLine="0"/>
        <w:rPr>
          <w:lang w:val="lv-LV"/>
        </w:rPr>
      </w:pPr>
      <w:r w:rsidRPr="00087F50">
        <w:rPr>
          <w:b/>
          <w:lang w:val="lv-LV"/>
        </w:rPr>
        <w:t xml:space="preserve">1. </w:t>
      </w:r>
      <w:r w:rsidRPr="00087F50">
        <w:rPr>
          <w:b/>
          <w:lang w:val="lv-LV"/>
        </w:rPr>
        <w:tab/>
        <w:t>ZĀĻU NOSAUKUMS</w:t>
      </w:r>
      <w:r w:rsidRPr="00087F50">
        <w:rPr>
          <w:lang w:val="lv-LV"/>
        </w:rPr>
        <w:t xml:space="preserve"> </w:t>
      </w:r>
    </w:p>
    <w:p w14:paraId="5CF5A719" w14:textId="77777777" w:rsidR="00A77DDF" w:rsidRPr="00087F50" w:rsidRDefault="00A77DDF" w:rsidP="00A77DDF">
      <w:pPr>
        <w:spacing w:after="0" w:line="259" w:lineRule="auto"/>
        <w:ind w:left="1" w:firstLine="0"/>
        <w:rPr>
          <w:lang w:val="lv-LV"/>
        </w:rPr>
      </w:pPr>
      <w:r w:rsidRPr="00087F50">
        <w:rPr>
          <w:lang w:val="lv-LV"/>
        </w:rPr>
        <w:t xml:space="preserve"> </w:t>
      </w:r>
    </w:p>
    <w:p w14:paraId="5718426C" w14:textId="0454C459" w:rsidR="00A77DDF" w:rsidRPr="00087F50" w:rsidRDefault="00997BE3" w:rsidP="00A77DDF">
      <w:pPr>
        <w:ind w:left="-3" w:right="9"/>
        <w:rPr>
          <w:lang w:val="lv-LV"/>
        </w:rPr>
      </w:pPr>
      <w:proofErr w:type="spellStart"/>
      <w:r w:rsidRPr="008F0783">
        <w:rPr>
          <w:lang w:val="lv-LV"/>
        </w:rPr>
        <w:t>Febuxostat</w:t>
      </w:r>
      <w:proofErr w:type="spellEnd"/>
      <w:r w:rsidRPr="008F0783">
        <w:rPr>
          <w:lang w:val="lv-LV"/>
        </w:rPr>
        <w:t xml:space="preserve"> </w:t>
      </w:r>
      <w:proofErr w:type="spellStart"/>
      <w:r w:rsidRPr="008F0783">
        <w:rPr>
          <w:lang w:val="lv-LV"/>
        </w:rPr>
        <w:t>Zentiva</w:t>
      </w:r>
      <w:proofErr w:type="spellEnd"/>
      <w:r w:rsidRPr="00087F50">
        <w:rPr>
          <w:b/>
          <w:bCs/>
          <w:lang w:val="lv-LV"/>
        </w:rPr>
        <w:t xml:space="preserve"> </w:t>
      </w:r>
      <w:r w:rsidR="00A77DDF" w:rsidRPr="00087F50">
        <w:rPr>
          <w:lang w:val="lv-LV"/>
        </w:rPr>
        <w:t xml:space="preserve"> 120 mg </w:t>
      </w:r>
      <w:proofErr w:type="spellStart"/>
      <w:r w:rsidR="00A77DDF" w:rsidRPr="00087F50">
        <w:rPr>
          <w:lang w:val="lv-LV"/>
        </w:rPr>
        <w:t>apvalkotās</w:t>
      </w:r>
      <w:proofErr w:type="spellEnd"/>
      <w:r w:rsidR="00A77DDF" w:rsidRPr="00087F50">
        <w:rPr>
          <w:lang w:val="lv-LV"/>
        </w:rPr>
        <w:t xml:space="preserve"> tabletes </w:t>
      </w:r>
    </w:p>
    <w:p w14:paraId="58B908FE" w14:textId="77777777" w:rsidR="00A77DDF" w:rsidRPr="00087F50" w:rsidRDefault="00A77DDF" w:rsidP="00A77DDF">
      <w:pPr>
        <w:spacing w:after="0" w:line="259" w:lineRule="auto"/>
        <w:ind w:left="1" w:firstLine="0"/>
        <w:rPr>
          <w:lang w:val="lv-LV"/>
        </w:rPr>
      </w:pPr>
      <w:r w:rsidRPr="00087F50">
        <w:rPr>
          <w:lang w:val="lv-LV"/>
        </w:rPr>
        <w:t xml:space="preserve"> </w:t>
      </w:r>
    </w:p>
    <w:p w14:paraId="4D9AD75B" w14:textId="77777777" w:rsidR="00A77DDF" w:rsidRPr="00087F50" w:rsidRDefault="00A77DDF" w:rsidP="00A77DDF">
      <w:pPr>
        <w:spacing w:after="14" w:line="259" w:lineRule="auto"/>
        <w:ind w:left="1" w:firstLine="0"/>
        <w:rPr>
          <w:lang w:val="lv-LV"/>
        </w:rPr>
      </w:pPr>
      <w:r w:rsidRPr="00087F50">
        <w:rPr>
          <w:lang w:val="lv-LV"/>
        </w:rPr>
        <w:t xml:space="preserve"> </w:t>
      </w:r>
    </w:p>
    <w:p w14:paraId="4844AB27" w14:textId="77777777" w:rsidR="00A77DDF" w:rsidRPr="00087F50" w:rsidRDefault="00A77DDF" w:rsidP="00A77DDF">
      <w:pPr>
        <w:pStyle w:val="Heading2"/>
        <w:tabs>
          <w:tab w:val="center" w:pos="3167"/>
        </w:tabs>
        <w:ind w:left="-13" w:right="0" w:firstLine="0"/>
        <w:rPr>
          <w:lang w:val="lv-LV"/>
        </w:rPr>
      </w:pPr>
      <w:r w:rsidRPr="00087F50">
        <w:rPr>
          <w:lang w:val="lv-LV"/>
        </w:rPr>
        <w:t xml:space="preserve">2. </w:t>
      </w:r>
      <w:r w:rsidRPr="00087F50">
        <w:rPr>
          <w:lang w:val="lv-LV"/>
        </w:rPr>
        <w:tab/>
        <w:t>KVALITATĪVAIS UN KVANTITATĪVAIS SASTĀVS</w:t>
      </w:r>
      <w:r w:rsidRPr="00087F50">
        <w:rPr>
          <w:b w:val="0"/>
          <w:lang w:val="lv-LV"/>
        </w:rPr>
        <w:t xml:space="preserve"> </w:t>
      </w:r>
    </w:p>
    <w:p w14:paraId="0D66E2FE" w14:textId="77777777" w:rsidR="00A77DDF" w:rsidRPr="00087F50" w:rsidRDefault="00A77DDF" w:rsidP="00A77DDF">
      <w:pPr>
        <w:spacing w:after="0" w:line="259" w:lineRule="auto"/>
        <w:ind w:left="1" w:firstLine="0"/>
        <w:rPr>
          <w:lang w:val="lv-LV"/>
        </w:rPr>
      </w:pPr>
      <w:r w:rsidRPr="00087F50">
        <w:rPr>
          <w:i/>
          <w:lang w:val="lv-LV"/>
        </w:rPr>
        <w:t xml:space="preserve"> </w:t>
      </w:r>
    </w:p>
    <w:p w14:paraId="3F1EEC5C" w14:textId="77777777" w:rsidR="00A77DDF" w:rsidRPr="00087F50" w:rsidRDefault="00A77DDF" w:rsidP="00A77DDF">
      <w:pPr>
        <w:ind w:left="-3" w:right="9"/>
      </w:pPr>
      <w:proofErr w:type="spellStart"/>
      <w:r w:rsidRPr="00087F50">
        <w:t>Katra</w:t>
      </w:r>
      <w:proofErr w:type="spellEnd"/>
      <w:r w:rsidRPr="00087F50">
        <w:t xml:space="preserve"> </w:t>
      </w:r>
      <w:proofErr w:type="spellStart"/>
      <w:r w:rsidRPr="00087F50">
        <w:t>tablete</w:t>
      </w:r>
      <w:proofErr w:type="spellEnd"/>
      <w:r w:rsidRPr="00087F50">
        <w:t xml:space="preserve"> </w:t>
      </w:r>
      <w:proofErr w:type="spellStart"/>
      <w:r w:rsidRPr="00087F50">
        <w:t>satur</w:t>
      </w:r>
      <w:proofErr w:type="spellEnd"/>
      <w:r w:rsidRPr="00087F50">
        <w:t xml:space="preserve"> 120 mg </w:t>
      </w:r>
      <w:proofErr w:type="spellStart"/>
      <w:r w:rsidRPr="00087F50">
        <w:t>febuksostata</w:t>
      </w:r>
      <w:proofErr w:type="spellEnd"/>
      <w:r w:rsidRPr="00087F50">
        <w:t xml:space="preserve"> (</w:t>
      </w:r>
      <w:proofErr w:type="spellStart"/>
      <w:r w:rsidRPr="00087F50">
        <w:t>Febuxostatum</w:t>
      </w:r>
      <w:proofErr w:type="spellEnd"/>
      <w:r w:rsidRPr="00087F50">
        <w:t>)</w:t>
      </w:r>
      <w:r w:rsidR="00D0453F" w:rsidRPr="00087F50">
        <w:t xml:space="preserve"> (</w:t>
      </w:r>
      <w:proofErr w:type="spellStart"/>
      <w:r w:rsidR="00D0453F" w:rsidRPr="00087F50">
        <w:t>hemihidrāta</w:t>
      </w:r>
      <w:proofErr w:type="spellEnd"/>
      <w:r w:rsidR="00D0453F" w:rsidRPr="00087F50">
        <w:t xml:space="preserve"> </w:t>
      </w:r>
      <w:proofErr w:type="spellStart"/>
      <w:r w:rsidR="00D0453F" w:rsidRPr="00087F50">
        <w:t>veidā</w:t>
      </w:r>
      <w:proofErr w:type="spellEnd"/>
      <w:r w:rsidR="00D0453F" w:rsidRPr="00087F50">
        <w:t>)</w:t>
      </w:r>
      <w:r w:rsidRPr="00087F50">
        <w:t xml:space="preserve">. </w:t>
      </w:r>
    </w:p>
    <w:p w14:paraId="205E6735" w14:textId="77777777" w:rsidR="00A77DDF" w:rsidRPr="00087F50" w:rsidRDefault="00A77DDF" w:rsidP="00A77DDF">
      <w:pPr>
        <w:spacing w:after="0" w:line="259" w:lineRule="auto"/>
        <w:ind w:left="1" w:firstLine="0"/>
      </w:pPr>
      <w:r w:rsidRPr="00087F50">
        <w:t xml:space="preserve"> </w:t>
      </w:r>
    </w:p>
    <w:p w14:paraId="60AA114D" w14:textId="7F85730B" w:rsidR="00FC1D6B" w:rsidRPr="00087F50" w:rsidRDefault="00A77DDF" w:rsidP="00A77DDF">
      <w:pPr>
        <w:ind w:left="-3" w:right="3844"/>
      </w:pPr>
      <w:proofErr w:type="spellStart"/>
      <w:r w:rsidRPr="00087F50">
        <w:rPr>
          <w:u w:val="single" w:color="000000"/>
        </w:rPr>
        <w:t>Palīgviela</w:t>
      </w:r>
      <w:proofErr w:type="spellEnd"/>
      <w:r w:rsidR="00F90942">
        <w:rPr>
          <w:u w:val="single" w:color="000000"/>
        </w:rPr>
        <w:t>(-s)</w:t>
      </w:r>
      <w:r w:rsidRPr="00087F50">
        <w:rPr>
          <w:u w:val="single" w:color="000000"/>
        </w:rPr>
        <w:t xml:space="preserve"> ar </w:t>
      </w:r>
      <w:proofErr w:type="spellStart"/>
      <w:r w:rsidRPr="00087F50">
        <w:rPr>
          <w:u w:val="single" w:color="000000"/>
        </w:rPr>
        <w:t>zināmu</w:t>
      </w:r>
      <w:proofErr w:type="spellEnd"/>
      <w:r w:rsidRPr="00087F50">
        <w:rPr>
          <w:u w:val="single" w:color="000000"/>
        </w:rPr>
        <w:t xml:space="preserve"> </w:t>
      </w:r>
      <w:proofErr w:type="spellStart"/>
      <w:r w:rsidRPr="00087F50">
        <w:rPr>
          <w:u w:val="single" w:color="000000"/>
        </w:rPr>
        <w:t>iedarbību</w:t>
      </w:r>
      <w:proofErr w:type="spellEnd"/>
      <w:r w:rsidRPr="00087F50">
        <w:t xml:space="preserve"> </w:t>
      </w:r>
    </w:p>
    <w:p w14:paraId="7766A7E3" w14:textId="603FF783" w:rsidR="00A77DDF" w:rsidRPr="00087F50" w:rsidRDefault="00FC1D6B" w:rsidP="00F15733">
      <w:pPr>
        <w:ind w:left="-3" w:right="2550"/>
      </w:pPr>
      <w:proofErr w:type="spellStart"/>
      <w:r w:rsidRPr="00087F50">
        <w:t>K</w:t>
      </w:r>
      <w:r w:rsidR="00A77DDF" w:rsidRPr="00087F50">
        <w:t>atra</w:t>
      </w:r>
      <w:proofErr w:type="spellEnd"/>
      <w:r w:rsidR="00A77DDF" w:rsidRPr="00087F50">
        <w:t xml:space="preserve"> </w:t>
      </w:r>
      <w:proofErr w:type="spellStart"/>
      <w:r w:rsidR="00A77DDF" w:rsidRPr="00087F50">
        <w:t>tablete</w:t>
      </w:r>
      <w:proofErr w:type="spellEnd"/>
      <w:r w:rsidR="00A77DDF" w:rsidRPr="00087F50">
        <w:t xml:space="preserve"> </w:t>
      </w:r>
      <w:proofErr w:type="spellStart"/>
      <w:r w:rsidR="00A77DDF" w:rsidRPr="00087F50">
        <w:t>satur</w:t>
      </w:r>
      <w:proofErr w:type="spellEnd"/>
      <w:r w:rsidR="00A77DDF" w:rsidRPr="00087F50">
        <w:t xml:space="preserve"> 1</w:t>
      </w:r>
      <w:r w:rsidR="00BD1B08">
        <w:t>09</w:t>
      </w:r>
      <w:r w:rsidR="00A77DDF" w:rsidRPr="00087F50">
        <w:t>,</w:t>
      </w:r>
      <w:r w:rsidR="00903392">
        <w:t>0</w:t>
      </w:r>
      <w:r w:rsidR="00A77DDF" w:rsidRPr="00087F50">
        <w:t xml:space="preserve"> mg </w:t>
      </w:r>
      <w:proofErr w:type="spellStart"/>
      <w:r w:rsidR="00A77DDF" w:rsidRPr="00087F50">
        <w:t>laktozes</w:t>
      </w:r>
      <w:proofErr w:type="spellEnd"/>
      <w:r w:rsidR="00A77DDF" w:rsidRPr="00087F50">
        <w:t xml:space="preserve"> </w:t>
      </w:r>
      <w:r w:rsidR="00903392">
        <w:t>(</w:t>
      </w:r>
      <w:proofErr w:type="spellStart"/>
      <w:r w:rsidR="00A77DDF" w:rsidRPr="00087F50">
        <w:t>monohidrāta</w:t>
      </w:r>
      <w:proofErr w:type="spellEnd"/>
      <w:r w:rsidR="00903392">
        <w:t xml:space="preserve"> </w:t>
      </w:r>
      <w:proofErr w:type="spellStart"/>
      <w:r w:rsidR="00903392">
        <w:t>veidā</w:t>
      </w:r>
      <w:proofErr w:type="spellEnd"/>
      <w:r w:rsidR="00903392">
        <w:t>)</w:t>
      </w:r>
      <w:r w:rsidR="00A77DDF" w:rsidRPr="00087F50">
        <w:t xml:space="preserve">. </w:t>
      </w:r>
    </w:p>
    <w:p w14:paraId="3843A567" w14:textId="77777777" w:rsidR="00A77DDF" w:rsidRPr="00087F50" w:rsidRDefault="00A77DDF" w:rsidP="00A77DDF">
      <w:pPr>
        <w:spacing w:after="0" w:line="259" w:lineRule="auto"/>
        <w:ind w:left="1" w:firstLine="0"/>
      </w:pPr>
      <w:r w:rsidRPr="00087F50">
        <w:t xml:space="preserve"> </w:t>
      </w:r>
    </w:p>
    <w:p w14:paraId="162D36AA" w14:textId="77777777" w:rsidR="00A77DDF" w:rsidRPr="00087F50" w:rsidRDefault="00A77DDF" w:rsidP="00A77DDF">
      <w:pPr>
        <w:ind w:left="-3" w:right="9"/>
      </w:pPr>
      <w:proofErr w:type="spellStart"/>
      <w:r w:rsidRPr="00087F50">
        <w:t>Pilnu</w:t>
      </w:r>
      <w:proofErr w:type="spellEnd"/>
      <w:r w:rsidRPr="00087F50">
        <w:t xml:space="preserve"> </w:t>
      </w:r>
      <w:proofErr w:type="spellStart"/>
      <w:r w:rsidRPr="00087F50">
        <w:t>palīgvielu</w:t>
      </w:r>
      <w:proofErr w:type="spellEnd"/>
      <w:r w:rsidRPr="00087F50">
        <w:t xml:space="preserve"> </w:t>
      </w:r>
      <w:proofErr w:type="spellStart"/>
      <w:r w:rsidRPr="00087F50">
        <w:t>sarakstu</w:t>
      </w:r>
      <w:proofErr w:type="spellEnd"/>
      <w:r w:rsidRPr="00087F50">
        <w:t xml:space="preserve"> </w:t>
      </w:r>
      <w:proofErr w:type="spellStart"/>
      <w:r w:rsidRPr="00087F50">
        <w:t>skatīt</w:t>
      </w:r>
      <w:proofErr w:type="spellEnd"/>
      <w:r w:rsidRPr="00087F50">
        <w:t xml:space="preserve"> 6.1. </w:t>
      </w:r>
      <w:proofErr w:type="spellStart"/>
      <w:r w:rsidRPr="00087F50">
        <w:t>apakšpunktā</w:t>
      </w:r>
      <w:proofErr w:type="spellEnd"/>
      <w:r w:rsidRPr="00087F50">
        <w:t xml:space="preserve">. </w:t>
      </w:r>
    </w:p>
    <w:p w14:paraId="5F96CDDB" w14:textId="77777777" w:rsidR="00A77DDF" w:rsidRPr="00087F50" w:rsidRDefault="00A77DDF" w:rsidP="00A77DDF">
      <w:pPr>
        <w:spacing w:after="0" w:line="259" w:lineRule="auto"/>
        <w:ind w:left="1" w:firstLine="0"/>
      </w:pPr>
      <w:r w:rsidRPr="00087F50">
        <w:t xml:space="preserve"> </w:t>
      </w:r>
    </w:p>
    <w:p w14:paraId="376429F1" w14:textId="77777777" w:rsidR="00A77DDF" w:rsidRPr="00087F50" w:rsidRDefault="00A77DDF" w:rsidP="00A77DDF">
      <w:pPr>
        <w:spacing w:after="13" w:line="259" w:lineRule="auto"/>
        <w:ind w:left="1" w:firstLine="0"/>
      </w:pPr>
      <w:r w:rsidRPr="00087F50">
        <w:t xml:space="preserve"> </w:t>
      </w:r>
    </w:p>
    <w:p w14:paraId="18A9E529" w14:textId="77777777" w:rsidR="00A77DDF" w:rsidRPr="00087F50" w:rsidRDefault="00A77DDF" w:rsidP="00A77DDF">
      <w:pPr>
        <w:pStyle w:val="Heading2"/>
        <w:tabs>
          <w:tab w:val="center" w:pos="1318"/>
        </w:tabs>
        <w:ind w:left="-13" w:right="0" w:firstLine="0"/>
      </w:pPr>
      <w:r w:rsidRPr="00087F50">
        <w:t xml:space="preserve">3. </w:t>
      </w:r>
      <w:r w:rsidRPr="00087F50">
        <w:tab/>
        <w:t>ZĀĻU FORMA</w:t>
      </w:r>
      <w:r w:rsidRPr="00087F50">
        <w:rPr>
          <w:b w:val="0"/>
        </w:rPr>
        <w:t xml:space="preserve"> </w:t>
      </w:r>
    </w:p>
    <w:p w14:paraId="48C90ADE" w14:textId="0D314A80" w:rsidR="00A77DDF" w:rsidRPr="00087F50" w:rsidRDefault="00A77DDF" w:rsidP="00CD57CB">
      <w:pPr>
        <w:tabs>
          <w:tab w:val="left" w:pos="5745"/>
          <w:tab w:val="left" w:pos="7635"/>
        </w:tabs>
        <w:spacing w:after="0" w:line="259" w:lineRule="auto"/>
        <w:ind w:left="1" w:firstLine="0"/>
      </w:pPr>
      <w:r w:rsidRPr="00087F50">
        <w:t xml:space="preserve"> </w:t>
      </w:r>
      <w:r w:rsidR="00CD57CB">
        <w:tab/>
      </w:r>
      <w:r w:rsidR="00CD57CB">
        <w:tab/>
      </w:r>
    </w:p>
    <w:p w14:paraId="63B2D098" w14:textId="77777777" w:rsidR="00A77DDF" w:rsidRPr="00087F50" w:rsidRDefault="00A77DDF" w:rsidP="00A77DDF">
      <w:pPr>
        <w:ind w:left="-3" w:right="9"/>
      </w:pPr>
      <w:proofErr w:type="spellStart"/>
      <w:r w:rsidRPr="00087F50">
        <w:t>Apvalkotā</w:t>
      </w:r>
      <w:proofErr w:type="spellEnd"/>
      <w:r w:rsidRPr="00087F50">
        <w:t xml:space="preserve"> </w:t>
      </w:r>
      <w:proofErr w:type="spellStart"/>
      <w:r w:rsidRPr="00087F50">
        <w:t>tablete</w:t>
      </w:r>
      <w:proofErr w:type="spellEnd"/>
      <w:r w:rsidRPr="00087F50">
        <w:t xml:space="preserve"> (</w:t>
      </w:r>
      <w:proofErr w:type="spellStart"/>
      <w:r w:rsidRPr="00087F50">
        <w:t>tablete</w:t>
      </w:r>
      <w:proofErr w:type="spellEnd"/>
      <w:r w:rsidRPr="00087F50">
        <w:t xml:space="preserve">). </w:t>
      </w:r>
    </w:p>
    <w:p w14:paraId="5DF95147" w14:textId="77777777" w:rsidR="00A77DDF" w:rsidRPr="00087F50" w:rsidRDefault="00A77DDF" w:rsidP="00A77DDF">
      <w:pPr>
        <w:spacing w:after="0" w:line="259" w:lineRule="auto"/>
        <w:ind w:left="1" w:firstLine="0"/>
      </w:pPr>
      <w:r w:rsidRPr="00087F50">
        <w:t xml:space="preserve"> </w:t>
      </w:r>
    </w:p>
    <w:p w14:paraId="40AFE683" w14:textId="06FCCE1A" w:rsidR="0035774B" w:rsidRPr="00087F50" w:rsidRDefault="0035774B" w:rsidP="0035774B">
      <w:pPr>
        <w:spacing w:after="0" w:line="259" w:lineRule="auto"/>
        <w:ind w:left="1" w:firstLine="0"/>
        <w:rPr>
          <w:lang w:val="lv-LV"/>
        </w:rPr>
      </w:pPr>
      <w:r w:rsidRPr="00087F50">
        <w:rPr>
          <w:lang w:val="lv-LV"/>
        </w:rPr>
        <w:t xml:space="preserve">Gaiši dzeltenas, iegarenas formas </w:t>
      </w:r>
      <w:proofErr w:type="spellStart"/>
      <w:r w:rsidRPr="00087F50">
        <w:rPr>
          <w:lang w:val="lv-LV"/>
        </w:rPr>
        <w:t>apvalkotās</w:t>
      </w:r>
      <w:proofErr w:type="spellEnd"/>
      <w:r w:rsidRPr="00087F50">
        <w:rPr>
          <w:lang w:val="lv-LV"/>
        </w:rPr>
        <w:t xml:space="preserve"> tabletes ar </w:t>
      </w:r>
      <w:r w:rsidR="00F6593E" w:rsidRPr="00087F50">
        <w:rPr>
          <w:lang w:val="lv-LV"/>
        </w:rPr>
        <w:t>dalījuma līniju vienā pusē. A</w:t>
      </w:r>
      <w:r w:rsidRPr="00087F50">
        <w:rPr>
          <w:lang w:val="lv-LV"/>
        </w:rPr>
        <w:t>ptuven</w:t>
      </w:r>
      <w:r w:rsidR="00F6593E" w:rsidRPr="00087F50">
        <w:rPr>
          <w:lang w:val="lv-LV"/>
        </w:rPr>
        <w:t>ais izmērs ir</w:t>
      </w:r>
      <w:r w:rsidRPr="00087F50">
        <w:rPr>
          <w:lang w:val="lv-LV"/>
        </w:rPr>
        <w:t xml:space="preserve"> 19 x 8 mm</w:t>
      </w:r>
      <w:r w:rsidR="00DA5147" w:rsidRPr="00087F50">
        <w:rPr>
          <w:lang w:val="lv-LV"/>
        </w:rPr>
        <w:t>.</w:t>
      </w:r>
    </w:p>
    <w:p w14:paraId="372B01A3" w14:textId="77777777" w:rsidR="00A77DDF" w:rsidRPr="00087F50" w:rsidRDefault="00F6593E" w:rsidP="00A77DDF">
      <w:pPr>
        <w:spacing w:after="0" w:line="259" w:lineRule="auto"/>
        <w:ind w:left="1" w:firstLine="0"/>
        <w:rPr>
          <w:lang w:val="lv-LV"/>
        </w:rPr>
      </w:pPr>
      <w:r w:rsidRPr="00087F50">
        <w:rPr>
          <w:lang w:val="lv-LV"/>
        </w:rPr>
        <w:t>Dalījuma līnija paredzēta tikai tabletes salaušanai, lai atvieglotu tās norīšanu, nevis tabletes dalīšanai vienādās devās.</w:t>
      </w:r>
      <w:r w:rsidR="00A77DDF" w:rsidRPr="00087F50">
        <w:rPr>
          <w:lang w:val="lv-LV"/>
        </w:rPr>
        <w:t xml:space="preserve"> </w:t>
      </w:r>
    </w:p>
    <w:p w14:paraId="07EAA016" w14:textId="77777777" w:rsidR="00A77DDF" w:rsidRPr="00087F50" w:rsidRDefault="00A77DDF" w:rsidP="00A77DDF">
      <w:pPr>
        <w:spacing w:after="11" w:line="259" w:lineRule="auto"/>
        <w:ind w:left="1" w:firstLine="0"/>
        <w:rPr>
          <w:lang w:val="lv-LV"/>
        </w:rPr>
      </w:pPr>
      <w:r w:rsidRPr="00087F50">
        <w:rPr>
          <w:lang w:val="lv-LV"/>
        </w:rPr>
        <w:t xml:space="preserve"> </w:t>
      </w:r>
    </w:p>
    <w:p w14:paraId="4F0C259D" w14:textId="77777777" w:rsidR="00A77DDF" w:rsidRPr="00087F50" w:rsidRDefault="00A77DDF" w:rsidP="00A77DDF">
      <w:pPr>
        <w:pStyle w:val="Heading2"/>
        <w:tabs>
          <w:tab w:val="center" w:pos="1941"/>
        </w:tabs>
        <w:ind w:left="-13" w:right="0" w:firstLine="0"/>
        <w:rPr>
          <w:lang w:val="lv-LV"/>
        </w:rPr>
      </w:pPr>
      <w:r w:rsidRPr="00087F50">
        <w:rPr>
          <w:lang w:val="lv-LV"/>
        </w:rPr>
        <w:t xml:space="preserve">4. </w:t>
      </w:r>
      <w:r w:rsidRPr="00087F50">
        <w:rPr>
          <w:lang w:val="lv-LV"/>
        </w:rPr>
        <w:tab/>
        <w:t>KLĪNISKĀ INFORMĀCIJA</w:t>
      </w:r>
      <w:r w:rsidRPr="00087F50">
        <w:rPr>
          <w:b w:val="0"/>
          <w:lang w:val="lv-LV"/>
        </w:rPr>
        <w:t xml:space="preserve"> </w:t>
      </w:r>
    </w:p>
    <w:p w14:paraId="200BC5AA" w14:textId="77777777" w:rsidR="00A77DDF" w:rsidRPr="00087F50" w:rsidRDefault="00A77DDF" w:rsidP="00A77DDF">
      <w:pPr>
        <w:spacing w:after="11" w:line="259" w:lineRule="auto"/>
        <w:ind w:left="1" w:firstLine="0"/>
        <w:rPr>
          <w:lang w:val="lv-LV"/>
        </w:rPr>
      </w:pPr>
      <w:r w:rsidRPr="00087F50">
        <w:rPr>
          <w:lang w:val="lv-LV"/>
        </w:rPr>
        <w:t xml:space="preserve"> </w:t>
      </w:r>
    </w:p>
    <w:p w14:paraId="7EAAC520" w14:textId="77777777" w:rsidR="00A77DDF" w:rsidRPr="00087F50" w:rsidRDefault="00A77DDF" w:rsidP="00A77DDF">
      <w:pPr>
        <w:pStyle w:val="Heading3"/>
        <w:tabs>
          <w:tab w:val="center" w:pos="1746"/>
        </w:tabs>
        <w:ind w:left="-13" w:right="0" w:firstLine="0"/>
        <w:rPr>
          <w:lang w:val="lv-LV"/>
        </w:rPr>
      </w:pPr>
      <w:r w:rsidRPr="00087F50">
        <w:rPr>
          <w:lang w:val="lv-LV"/>
        </w:rPr>
        <w:t xml:space="preserve">4.1. </w:t>
      </w:r>
      <w:r w:rsidRPr="00087F50">
        <w:rPr>
          <w:lang w:val="lv-LV"/>
        </w:rPr>
        <w:tab/>
        <w:t>Terapeitiskās indikācijas</w:t>
      </w:r>
      <w:r w:rsidRPr="00087F50">
        <w:rPr>
          <w:b w:val="0"/>
          <w:lang w:val="lv-LV"/>
        </w:rPr>
        <w:t xml:space="preserve"> </w:t>
      </w:r>
    </w:p>
    <w:p w14:paraId="78594991" w14:textId="77777777" w:rsidR="00A77DDF" w:rsidRPr="00087F50" w:rsidRDefault="00A77DDF" w:rsidP="00A77DDF">
      <w:pPr>
        <w:spacing w:after="0" w:line="259" w:lineRule="auto"/>
        <w:ind w:left="1" w:firstLine="0"/>
        <w:rPr>
          <w:lang w:val="lv-LV"/>
        </w:rPr>
      </w:pPr>
      <w:r w:rsidRPr="00087F50">
        <w:rPr>
          <w:lang w:val="lv-LV"/>
        </w:rPr>
        <w:t xml:space="preserve"> </w:t>
      </w:r>
    </w:p>
    <w:p w14:paraId="14684414" w14:textId="2B7B676E" w:rsidR="00A77DDF" w:rsidRPr="00087F50" w:rsidRDefault="00A77DDF" w:rsidP="00A77DDF">
      <w:pPr>
        <w:ind w:left="-3" w:right="9"/>
        <w:rPr>
          <w:lang w:val="lv-LV"/>
        </w:rPr>
      </w:pPr>
      <w:proofErr w:type="spellStart"/>
      <w:r w:rsidRPr="00087F50">
        <w:rPr>
          <w:lang w:val="lv-LV"/>
        </w:rPr>
        <w:t>Febuxostat</w:t>
      </w:r>
      <w:proofErr w:type="spellEnd"/>
      <w:r w:rsidRPr="00087F50">
        <w:rPr>
          <w:lang w:val="lv-LV"/>
        </w:rPr>
        <w:t xml:space="preserve"> </w:t>
      </w:r>
      <w:proofErr w:type="spellStart"/>
      <w:r w:rsidR="00997BE3" w:rsidRPr="00087F50">
        <w:rPr>
          <w:lang w:val="lv-LV"/>
        </w:rPr>
        <w:t>Zentiva</w:t>
      </w:r>
      <w:proofErr w:type="spellEnd"/>
      <w:r w:rsidRPr="00087F50">
        <w:rPr>
          <w:lang w:val="lv-LV"/>
        </w:rPr>
        <w:t xml:space="preserve"> paredzēts hroniskas </w:t>
      </w:r>
      <w:proofErr w:type="spellStart"/>
      <w:r w:rsidRPr="00087F50">
        <w:rPr>
          <w:lang w:val="lv-LV"/>
        </w:rPr>
        <w:t>hiperurikēmijas</w:t>
      </w:r>
      <w:proofErr w:type="spellEnd"/>
      <w:r w:rsidRPr="00087F50">
        <w:rPr>
          <w:lang w:val="lv-LV"/>
        </w:rPr>
        <w:t xml:space="preserve"> (paaugstināta urīnskābes līmeņa asinīs) ārstēšanai, ja urīnskābe jau uzkrājas organismā (tai skaitā, ja pacientam ir konstatēti urīnskābes depozīti un/vai podagra</w:t>
      </w:r>
      <w:r w:rsidR="00D66671" w:rsidRPr="00087F50">
        <w:rPr>
          <w:lang w:val="lv-LV"/>
        </w:rPr>
        <w:t>s artrīts</w:t>
      </w:r>
      <w:r w:rsidRPr="00087F50">
        <w:rPr>
          <w:lang w:val="lv-LV"/>
        </w:rPr>
        <w:t xml:space="preserve">). </w:t>
      </w:r>
    </w:p>
    <w:p w14:paraId="7F08653D" w14:textId="77777777" w:rsidR="00A77DDF" w:rsidRPr="00087F50" w:rsidRDefault="00A77DDF" w:rsidP="00A77DDF">
      <w:pPr>
        <w:spacing w:after="0" w:line="259" w:lineRule="auto"/>
        <w:ind w:left="1" w:firstLine="0"/>
        <w:rPr>
          <w:lang w:val="lv-LV"/>
        </w:rPr>
      </w:pPr>
      <w:r w:rsidRPr="00087F50">
        <w:rPr>
          <w:lang w:val="lv-LV"/>
        </w:rPr>
        <w:t xml:space="preserve"> </w:t>
      </w:r>
    </w:p>
    <w:p w14:paraId="0020DB49" w14:textId="383BB257" w:rsidR="00A77DDF" w:rsidRPr="00087F50" w:rsidRDefault="00A77DDF" w:rsidP="00A77DDF">
      <w:pPr>
        <w:ind w:left="-3" w:right="9"/>
        <w:rPr>
          <w:lang w:val="lv-LV"/>
        </w:rPr>
      </w:pPr>
      <w:proofErr w:type="spellStart"/>
      <w:r w:rsidRPr="00087F50">
        <w:rPr>
          <w:lang w:val="lv-LV"/>
        </w:rPr>
        <w:t>Febuxostat</w:t>
      </w:r>
      <w:proofErr w:type="spellEnd"/>
      <w:r w:rsidRPr="00087F50">
        <w:rPr>
          <w:lang w:val="lv-LV"/>
        </w:rPr>
        <w:t xml:space="preserve"> </w:t>
      </w:r>
      <w:proofErr w:type="spellStart"/>
      <w:r w:rsidR="00997BE3" w:rsidRPr="00087F50">
        <w:rPr>
          <w:lang w:val="lv-LV"/>
        </w:rPr>
        <w:t>Zentiva</w:t>
      </w:r>
      <w:proofErr w:type="spellEnd"/>
      <w:r w:rsidRPr="00087F50">
        <w:rPr>
          <w:lang w:val="lv-LV"/>
        </w:rPr>
        <w:t xml:space="preserve"> paredzēts </w:t>
      </w:r>
      <w:proofErr w:type="spellStart"/>
      <w:r w:rsidRPr="00087F50">
        <w:rPr>
          <w:lang w:val="lv-LV"/>
        </w:rPr>
        <w:t>hiperurikēmijas</w:t>
      </w:r>
      <w:proofErr w:type="spellEnd"/>
      <w:r w:rsidRPr="00087F50">
        <w:rPr>
          <w:lang w:val="lv-LV"/>
        </w:rPr>
        <w:t xml:space="preserve"> profilaksei un ārstēšanai pieaugušiem pacientiem, kuriem veic ļaundabīga asins šūnu audzēja (ar vidēju vai lielu </w:t>
      </w:r>
      <w:proofErr w:type="spellStart"/>
      <w:r w:rsidRPr="00087F50">
        <w:rPr>
          <w:lang w:val="lv-LV"/>
        </w:rPr>
        <w:t>tumora</w:t>
      </w:r>
      <w:proofErr w:type="spellEnd"/>
      <w:r w:rsidRPr="00087F50">
        <w:rPr>
          <w:lang w:val="lv-LV"/>
        </w:rPr>
        <w:t xml:space="preserve"> </w:t>
      </w:r>
      <w:proofErr w:type="spellStart"/>
      <w:r w:rsidRPr="00087F50">
        <w:rPr>
          <w:lang w:val="lv-LV"/>
        </w:rPr>
        <w:t>līzes</w:t>
      </w:r>
      <w:proofErr w:type="spellEnd"/>
      <w:r w:rsidRPr="00087F50">
        <w:rPr>
          <w:lang w:val="lv-LV"/>
        </w:rPr>
        <w:t xml:space="preserve"> sindroma (TLS) risku) ķīmijterapiju. </w:t>
      </w:r>
    </w:p>
    <w:p w14:paraId="07893865" w14:textId="77777777" w:rsidR="00A77DDF" w:rsidRPr="00087F50" w:rsidRDefault="00A77DDF" w:rsidP="00A77DDF">
      <w:pPr>
        <w:spacing w:after="0" w:line="259" w:lineRule="auto"/>
        <w:ind w:left="1" w:firstLine="0"/>
        <w:rPr>
          <w:lang w:val="lv-LV"/>
        </w:rPr>
      </w:pPr>
      <w:r w:rsidRPr="00087F50">
        <w:rPr>
          <w:lang w:val="lv-LV"/>
        </w:rPr>
        <w:t xml:space="preserve"> </w:t>
      </w:r>
    </w:p>
    <w:p w14:paraId="36452900" w14:textId="6535831A" w:rsidR="00A77DDF" w:rsidRPr="00087F50" w:rsidRDefault="00A77DDF" w:rsidP="00A77DDF">
      <w:pPr>
        <w:ind w:left="-3" w:right="9"/>
      </w:pPr>
      <w:proofErr w:type="spellStart"/>
      <w:r w:rsidRPr="00087F50">
        <w:t>Febuxostat</w:t>
      </w:r>
      <w:proofErr w:type="spellEnd"/>
      <w:r w:rsidRPr="00087F50">
        <w:t xml:space="preserve"> </w:t>
      </w:r>
      <w:r w:rsidR="00997BE3" w:rsidRPr="00087F50">
        <w:t>Zentiva</w:t>
      </w:r>
      <w:r w:rsidRPr="00087F50">
        <w:t xml:space="preserve"> ir </w:t>
      </w:r>
      <w:proofErr w:type="spellStart"/>
      <w:r w:rsidRPr="00087F50">
        <w:t>paredzēts</w:t>
      </w:r>
      <w:proofErr w:type="spellEnd"/>
      <w:r w:rsidRPr="00087F50">
        <w:t xml:space="preserve"> </w:t>
      </w:r>
      <w:proofErr w:type="spellStart"/>
      <w:r w:rsidRPr="00087F50">
        <w:t>lietošanai</w:t>
      </w:r>
      <w:proofErr w:type="spellEnd"/>
      <w:r w:rsidRPr="00087F50">
        <w:t xml:space="preserve"> </w:t>
      </w:r>
      <w:proofErr w:type="spellStart"/>
      <w:r w:rsidRPr="00087F50">
        <w:t>pieaugušajiem</w:t>
      </w:r>
      <w:proofErr w:type="spellEnd"/>
      <w:r w:rsidRPr="00087F50">
        <w:t>.</w:t>
      </w:r>
      <w:r w:rsidRPr="00087F50">
        <w:rPr>
          <w:i/>
        </w:rPr>
        <w:t xml:space="preserve"> </w:t>
      </w:r>
    </w:p>
    <w:p w14:paraId="1642B099" w14:textId="77777777" w:rsidR="00A77DDF" w:rsidRPr="00087F50" w:rsidRDefault="00A77DDF" w:rsidP="00A77DDF">
      <w:pPr>
        <w:spacing w:after="13" w:line="259" w:lineRule="auto"/>
        <w:ind w:left="1" w:firstLine="0"/>
      </w:pPr>
      <w:r w:rsidRPr="00087F50">
        <w:t xml:space="preserve"> </w:t>
      </w:r>
    </w:p>
    <w:p w14:paraId="177D8C57" w14:textId="77777777" w:rsidR="00A77DDF" w:rsidRPr="00087F50" w:rsidRDefault="00A77DDF" w:rsidP="00A77DDF">
      <w:pPr>
        <w:tabs>
          <w:tab w:val="center" w:pos="1751"/>
        </w:tabs>
        <w:spacing w:after="11" w:line="251" w:lineRule="auto"/>
        <w:ind w:left="-13" w:firstLine="0"/>
      </w:pPr>
      <w:r w:rsidRPr="00087F50">
        <w:rPr>
          <w:b/>
        </w:rPr>
        <w:t xml:space="preserve">4.2. </w:t>
      </w:r>
      <w:r w:rsidRPr="00087F50">
        <w:rPr>
          <w:b/>
        </w:rPr>
        <w:tab/>
      </w:r>
      <w:proofErr w:type="spellStart"/>
      <w:r w:rsidRPr="00087F50">
        <w:rPr>
          <w:b/>
        </w:rPr>
        <w:t>Devas</w:t>
      </w:r>
      <w:proofErr w:type="spellEnd"/>
      <w:r w:rsidRPr="00087F50">
        <w:rPr>
          <w:b/>
        </w:rPr>
        <w:t xml:space="preserve"> un </w:t>
      </w:r>
      <w:proofErr w:type="spellStart"/>
      <w:r w:rsidRPr="00087F50">
        <w:rPr>
          <w:b/>
        </w:rPr>
        <w:t>lietošanas</w:t>
      </w:r>
      <w:proofErr w:type="spellEnd"/>
      <w:r w:rsidRPr="00087F50">
        <w:rPr>
          <w:b/>
        </w:rPr>
        <w:t xml:space="preserve"> </w:t>
      </w:r>
      <w:proofErr w:type="spellStart"/>
      <w:r w:rsidRPr="00087F50">
        <w:rPr>
          <w:b/>
        </w:rPr>
        <w:t>veids</w:t>
      </w:r>
      <w:proofErr w:type="spellEnd"/>
      <w:r w:rsidRPr="00087F50">
        <w:t xml:space="preserve"> </w:t>
      </w:r>
    </w:p>
    <w:p w14:paraId="467DA645" w14:textId="77777777" w:rsidR="00A77DDF" w:rsidRPr="00087F50" w:rsidRDefault="00A77DDF" w:rsidP="00A77DDF">
      <w:pPr>
        <w:spacing w:after="0" w:line="259" w:lineRule="auto"/>
        <w:ind w:left="1" w:firstLine="0"/>
      </w:pPr>
      <w:r w:rsidRPr="00087F50">
        <w:t xml:space="preserve"> </w:t>
      </w:r>
    </w:p>
    <w:p w14:paraId="5D60758A" w14:textId="77777777" w:rsidR="00A77DDF" w:rsidRPr="00087F50" w:rsidRDefault="00A77DDF" w:rsidP="00A77DDF">
      <w:pPr>
        <w:pStyle w:val="Heading2"/>
        <w:spacing w:after="0" w:line="259" w:lineRule="auto"/>
        <w:ind w:left="-3" w:right="0"/>
      </w:pPr>
      <w:proofErr w:type="spellStart"/>
      <w:r w:rsidRPr="00087F50">
        <w:rPr>
          <w:b w:val="0"/>
          <w:u w:val="single" w:color="000000"/>
        </w:rPr>
        <w:t>Devas</w:t>
      </w:r>
      <w:proofErr w:type="spellEnd"/>
      <w:r w:rsidRPr="00087F50">
        <w:rPr>
          <w:b w:val="0"/>
        </w:rPr>
        <w:t xml:space="preserve"> </w:t>
      </w:r>
    </w:p>
    <w:p w14:paraId="588A0C1E" w14:textId="77777777" w:rsidR="00A77DDF" w:rsidRPr="00087F50" w:rsidRDefault="00A77DDF" w:rsidP="00A77DDF">
      <w:pPr>
        <w:spacing w:after="0" w:line="259" w:lineRule="auto"/>
        <w:ind w:left="1" w:firstLine="0"/>
      </w:pPr>
      <w:r w:rsidRPr="00087F50">
        <w:t xml:space="preserve"> </w:t>
      </w:r>
    </w:p>
    <w:p w14:paraId="0CA7220B" w14:textId="57134112" w:rsidR="00612C5E" w:rsidRDefault="00A77DDF" w:rsidP="00A77DDF">
      <w:pPr>
        <w:ind w:left="-3" w:right="9"/>
        <w:rPr>
          <w:i/>
        </w:rPr>
      </w:pPr>
      <w:r w:rsidRPr="00E96FD9">
        <w:rPr>
          <w:i/>
          <w:u w:val="single"/>
        </w:rPr>
        <w:t>Podagra</w:t>
      </w:r>
      <w:r w:rsidRPr="00087F50">
        <w:rPr>
          <w:i/>
        </w:rPr>
        <w:t xml:space="preserve"> </w:t>
      </w:r>
    </w:p>
    <w:p w14:paraId="42FFC4B3" w14:textId="3DF21F4A" w:rsidR="00A77DDF" w:rsidRPr="00087F50" w:rsidRDefault="00A77DDF" w:rsidP="00A77DDF">
      <w:pPr>
        <w:ind w:left="-3" w:right="9"/>
      </w:pPr>
      <w:proofErr w:type="spellStart"/>
      <w:r w:rsidRPr="00087F50">
        <w:t>Febuxostat</w:t>
      </w:r>
      <w:proofErr w:type="spellEnd"/>
      <w:r w:rsidRPr="00087F50">
        <w:t xml:space="preserve"> </w:t>
      </w:r>
      <w:r w:rsidR="00997BE3" w:rsidRPr="00087F50">
        <w:t>Zentiva</w:t>
      </w:r>
      <w:r w:rsidRPr="00087F50">
        <w:t xml:space="preserve"> </w:t>
      </w:r>
      <w:proofErr w:type="spellStart"/>
      <w:r w:rsidRPr="00087F50">
        <w:t>ieteicamā</w:t>
      </w:r>
      <w:proofErr w:type="spellEnd"/>
      <w:r w:rsidRPr="00087F50">
        <w:t xml:space="preserve"> </w:t>
      </w:r>
      <w:proofErr w:type="spellStart"/>
      <w:r w:rsidRPr="00087F50">
        <w:t>deva</w:t>
      </w:r>
      <w:proofErr w:type="spellEnd"/>
      <w:r w:rsidRPr="00087F50">
        <w:t xml:space="preserve"> ir 80 mg </w:t>
      </w:r>
      <w:proofErr w:type="spellStart"/>
      <w:r w:rsidRPr="00087F50">
        <w:t>vienu</w:t>
      </w:r>
      <w:proofErr w:type="spellEnd"/>
      <w:r w:rsidRPr="00087F50">
        <w:t xml:space="preserve"> </w:t>
      </w:r>
      <w:proofErr w:type="spellStart"/>
      <w:r w:rsidRPr="00087F50">
        <w:t>reizi</w:t>
      </w:r>
      <w:proofErr w:type="spellEnd"/>
      <w:r w:rsidRPr="00087F50">
        <w:t xml:space="preserve"> </w:t>
      </w:r>
      <w:proofErr w:type="spellStart"/>
      <w:r w:rsidRPr="00087F50">
        <w:t>dienā</w:t>
      </w:r>
      <w:proofErr w:type="spellEnd"/>
      <w:r w:rsidRPr="00087F50">
        <w:t xml:space="preserve">, </w:t>
      </w:r>
      <w:proofErr w:type="spellStart"/>
      <w:r w:rsidRPr="00087F50">
        <w:t>neatkarīgi</w:t>
      </w:r>
      <w:proofErr w:type="spellEnd"/>
      <w:r w:rsidRPr="00087F50">
        <w:t xml:space="preserve"> no </w:t>
      </w:r>
      <w:proofErr w:type="spellStart"/>
      <w:r w:rsidRPr="00087F50">
        <w:t>ēšanas</w:t>
      </w:r>
      <w:proofErr w:type="spellEnd"/>
      <w:r w:rsidRPr="00087F50">
        <w:t xml:space="preserve">. Ja </w:t>
      </w:r>
      <w:proofErr w:type="spellStart"/>
      <w:r w:rsidRPr="00087F50">
        <w:t>urīnskābes</w:t>
      </w:r>
      <w:proofErr w:type="spellEnd"/>
      <w:r w:rsidRPr="00087F50">
        <w:t xml:space="preserve"> </w:t>
      </w:r>
      <w:proofErr w:type="spellStart"/>
      <w:r w:rsidRPr="00087F50">
        <w:t>līmenis</w:t>
      </w:r>
      <w:proofErr w:type="spellEnd"/>
      <w:r w:rsidRPr="00087F50">
        <w:t xml:space="preserve"> </w:t>
      </w:r>
      <w:proofErr w:type="spellStart"/>
      <w:r w:rsidRPr="00087F50">
        <w:t>serumā</w:t>
      </w:r>
      <w:proofErr w:type="spellEnd"/>
      <w:r w:rsidRPr="00087F50">
        <w:t xml:space="preserve"> </w:t>
      </w:r>
      <w:proofErr w:type="spellStart"/>
      <w:r w:rsidRPr="00087F50">
        <w:t>pēc</w:t>
      </w:r>
      <w:proofErr w:type="spellEnd"/>
      <w:r w:rsidRPr="00087F50">
        <w:t xml:space="preserve"> 2-4 </w:t>
      </w:r>
      <w:proofErr w:type="spellStart"/>
      <w:r w:rsidRPr="00087F50">
        <w:t>nedēļām</w:t>
      </w:r>
      <w:proofErr w:type="spellEnd"/>
      <w:r w:rsidRPr="00087F50">
        <w:t xml:space="preserve"> ir &gt; 6 mg/dl (357 µmol/l), </w:t>
      </w:r>
      <w:proofErr w:type="spellStart"/>
      <w:r w:rsidRPr="00087F50">
        <w:t>var</w:t>
      </w:r>
      <w:proofErr w:type="spellEnd"/>
      <w:r w:rsidRPr="00087F50">
        <w:t xml:space="preserve"> </w:t>
      </w:r>
      <w:proofErr w:type="spellStart"/>
      <w:r w:rsidRPr="00087F50">
        <w:t>apsvērt</w:t>
      </w:r>
      <w:proofErr w:type="spellEnd"/>
      <w:r w:rsidRPr="00087F50">
        <w:t xml:space="preserve"> 120 mg </w:t>
      </w:r>
      <w:proofErr w:type="spellStart"/>
      <w:r w:rsidRPr="00087F50">
        <w:t>Febuxostat</w:t>
      </w:r>
      <w:proofErr w:type="spellEnd"/>
      <w:r w:rsidRPr="00087F50">
        <w:t xml:space="preserve"> </w:t>
      </w:r>
      <w:r w:rsidR="00997BE3" w:rsidRPr="00087F50">
        <w:t>Zentiva</w:t>
      </w:r>
      <w:r w:rsidRPr="00087F50">
        <w:t xml:space="preserve"> </w:t>
      </w:r>
      <w:proofErr w:type="spellStart"/>
      <w:r w:rsidRPr="00087F50">
        <w:t>lietošanu</w:t>
      </w:r>
      <w:proofErr w:type="spellEnd"/>
      <w:r w:rsidRPr="00087F50">
        <w:t xml:space="preserve"> </w:t>
      </w:r>
      <w:proofErr w:type="spellStart"/>
      <w:r w:rsidRPr="00087F50">
        <w:t>vienu</w:t>
      </w:r>
      <w:proofErr w:type="spellEnd"/>
      <w:r w:rsidRPr="00087F50">
        <w:t xml:space="preserve"> </w:t>
      </w:r>
      <w:proofErr w:type="spellStart"/>
      <w:r w:rsidRPr="00087F50">
        <w:t>reizi</w:t>
      </w:r>
      <w:proofErr w:type="spellEnd"/>
      <w:r w:rsidRPr="00087F50">
        <w:t xml:space="preserve"> </w:t>
      </w:r>
      <w:proofErr w:type="spellStart"/>
      <w:r w:rsidRPr="00087F50">
        <w:t>dienā</w:t>
      </w:r>
      <w:proofErr w:type="spellEnd"/>
      <w:r w:rsidRPr="00087F50">
        <w:t xml:space="preserve">. </w:t>
      </w:r>
    </w:p>
    <w:p w14:paraId="6929CCC9" w14:textId="77777777" w:rsidR="00A77DDF" w:rsidRPr="00087F50" w:rsidRDefault="00A77DDF" w:rsidP="00A77DDF">
      <w:pPr>
        <w:spacing w:after="0" w:line="259" w:lineRule="auto"/>
        <w:ind w:left="1" w:firstLine="0"/>
      </w:pPr>
      <w:r w:rsidRPr="00087F50">
        <w:t xml:space="preserve"> </w:t>
      </w:r>
    </w:p>
    <w:p w14:paraId="03A218FC" w14:textId="4C8CD2D8" w:rsidR="00A77DDF" w:rsidRPr="00087F50" w:rsidRDefault="00A77DDF" w:rsidP="00A77DDF">
      <w:pPr>
        <w:ind w:left="-3" w:right="9"/>
      </w:pPr>
      <w:proofErr w:type="spellStart"/>
      <w:r w:rsidRPr="00087F50">
        <w:lastRenderedPageBreak/>
        <w:t>Febuxostat</w:t>
      </w:r>
      <w:proofErr w:type="spellEnd"/>
      <w:r w:rsidRPr="00087F50">
        <w:t xml:space="preserve"> </w:t>
      </w:r>
      <w:r w:rsidR="00997BE3" w:rsidRPr="00087F50">
        <w:t>Zentiva</w:t>
      </w:r>
      <w:r w:rsidRPr="00087F50">
        <w:t xml:space="preserve"> </w:t>
      </w:r>
      <w:proofErr w:type="spellStart"/>
      <w:r w:rsidRPr="00087F50">
        <w:t>darbojas</w:t>
      </w:r>
      <w:proofErr w:type="spellEnd"/>
      <w:r w:rsidRPr="00087F50">
        <w:t xml:space="preserve"> </w:t>
      </w:r>
      <w:proofErr w:type="spellStart"/>
      <w:r w:rsidRPr="00087F50">
        <w:t>pietiekami</w:t>
      </w:r>
      <w:proofErr w:type="spellEnd"/>
      <w:r w:rsidRPr="00087F50">
        <w:t xml:space="preserve"> </w:t>
      </w:r>
      <w:proofErr w:type="spellStart"/>
      <w:r w:rsidRPr="00087F50">
        <w:t>ātri</w:t>
      </w:r>
      <w:proofErr w:type="spellEnd"/>
      <w:r w:rsidRPr="00087F50">
        <w:t xml:space="preserve">, </w:t>
      </w:r>
      <w:proofErr w:type="spellStart"/>
      <w:r w:rsidRPr="00087F50">
        <w:t>lai</w:t>
      </w:r>
      <w:proofErr w:type="spellEnd"/>
      <w:r w:rsidRPr="00087F50">
        <w:t xml:space="preserve"> </w:t>
      </w:r>
      <w:proofErr w:type="spellStart"/>
      <w:r w:rsidRPr="00087F50">
        <w:t>urīnskābes</w:t>
      </w:r>
      <w:proofErr w:type="spellEnd"/>
      <w:r w:rsidRPr="00087F50">
        <w:t xml:space="preserve"> </w:t>
      </w:r>
      <w:proofErr w:type="spellStart"/>
      <w:r w:rsidRPr="00087F50">
        <w:t>līmeni</w:t>
      </w:r>
      <w:proofErr w:type="spellEnd"/>
      <w:r w:rsidRPr="00087F50">
        <w:t xml:space="preserve"> </w:t>
      </w:r>
      <w:proofErr w:type="spellStart"/>
      <w:r w:rsidRPr="00087F50">
        <w:t>serumā</w:t>
      </w:r>
      <w:proofErr w:type="spellEnd"/>
      <w:r w:rsidRPr="00087F50">
        <w:t xml:space="preserve"> </w:t>
      </w:r>
      <w:proofErr w:type="spellStart"/>
      <w:r w:rsidRPr="00087F50">
        <w:t>varētu</w:t>
      </w:r>
      <w:proofErr w:type="spellEnd"/>
      <w:r w:rsidRPr="00087F50">
        <w:t xml:space="preserve"> </w:t>
      </w:r>
      <w:proofErr w:type="spellStart"/>
      <w:r w:rsidRPr="00087F50">
        <w:t>pārbaudīt</w:t>
      </w:r>
      <w:proofErr w:type="spellEnd"/>
      <w:r w:rsidRPr="00087F50">
        <w:t xml:space="preserve"> </w:t>
      </w:r>
      <w:proofErr w:type="spellStart"/>
      <w:r w:rsidRPr="00087F50">
        <w:t>pēc</w:t>
      </w:r>
      <w:proofErr w:type="spellEnd"/>
      <w:r w:rsidRPr="00087F50">
        <w:t xml:space="preserve"> 2 </w:t>
      </w:r>
      <w:proofErr w:type="spellStart"/>
      <w:r w:rsidRPr="00087F50">
        <w:t>nedēļām</w:t>
      </w:r>
      <w:proofErr w:type="spellEnd"/>
      <w:r w:rsidRPr="00087F50">
        <w:t xml:space="preserve">. </w:t>
      </w:r>
      <w:proofErr w:type="spellStart"/>
      <w:r w:rsidRPr="00087F50">
        <w:t>Terapijas</w:t>
      </w:r>
      <w:proofErr w:type="spellEnd"/>
      <w:r w:rsidRPr="00087F50">
        <w:t xml:space="preserve"> </w:t>
      </w:r>
      <w:proofErr w:type="spellStart"/>
      <w:r w:rsidRPr="00087F50">
        <w:t>mērķis</w:t>
      </w:r>
      <w:proofErr w:type="spellEnd"/>
      <w:r w:rsidRPr="00087F50">
        <w:t xml:space="preserve"> ir </w:t>
      </w:r>
      <w:proofErr w:type="spellStart"/>
      <w:r w:rsidRPr="00087F50">
        <w:t>samazināt</w:t>
      </w:r>
      <w:proofErr w:type="spellEnd"/>
      <w:r w:rsidRPr="00087F50">
        <w:t xml:space="preserve"> </w:t>
      </w:r>
      <w:proofErr w:type="spellStart"/>
      <w:r w:rsidRPr="00087F50">
        <w:t>urīnskābes</w:t>
      </w:r>
      <w:proofErr w:type="spellEnd"/>
      <w:r w:rsidRPr="00087F50">
        <w:t xml:space="preserve"> </w:t>
      </w:r>
      <w:proofErr w:type="spellStart"/>
      <w:r w:rsidRPr="00087F50">
        <w:t>līmeni</w:t>
      </w:r>
      <w:proofErr w:type="spellEnd"/>
      <w:r w:rsidRPr="00087F50">
        <w:t xml:space="preserve"> </w:t>
      </w:r>
      <w:proofErr w:type="spellStart"/>
      <w:r w:rsidRPr="00087F50">
        <w:t>serumā</w:t>
      </w:r>
      <w:proofErr w:type="spellEnd"/>
      <w:r w:rsidRPr="00087F50">
        <w:t xml:space="preserve"> un </w:t>
      </w:r>
      <w:proofErr w:type="spellStart"/>
      <w:r w:rsidRPr="00087F50">
        <w:t>neļaut</w:t>
      </w:r>
      <w:proofErr w:type="spellEnd"/>
      <w:r w:rsidRPr="00087F50">
        <w:t xml:space="preserve"> </w:t>
      </w:r>
      <w:proofErr w:type="spellStart"/>
      <w:r w:rsidRPr="00087F50">
        <w:t>tam</w:t>
      </w:r>
      <w:proofErr w:type="spellEnd"/>
      <w:r w:rsidRPr="00087F50">
        <w:t xml:space="preserve"> </w:t>
      </w:r>
      <w:proofErr w:type="spellStart"/>
      <w:r w:rsidRPr="00087F50">
        <w:t>paaugstināties</w:t>
      </w:r>
      <w:proofErr w:type="spellEnd"/>
      <w:r w:rsidRPr="00087F50">
        <w:t xml:space="preserve"> </w:t>
      </w:r>
      <w:proofErr w:type="spellStart"/>
      <w:r w:rsidRPr="00087F50">
        <w:t>virs</w:t>
      </w:r>
      <w:proofErr w:type="spellEnd"/>
      <w:r w:rsidRPr="00087F50">
        <w:t xml:space="preserve"> 6</w:t>
      </w:r>
      <w:r w:rsidRPr="00087F50">
        <w:rPr>
          <w:sz w:val="24"/>
        </w:rPr>
        <w:t xml:space="preserve"> </w:t>
      </w:r>
      <w:r w:rsidRPr="00087F50">
        <w:t xml:space="preserve">mg/dl (357 µmol/l). </w:t>
      </w:r>
    </w:p>
    <w:p w14:paraId="7CA5267A" w14:textId="77777777" w:rsidR="00A77DDF" w:rsidRPr="00087F50" w:rsidRDefault="00A77DDF" w:rsidP="00A77DDF">
      <w:pPr>
        <w:spacing w:after="0" w:line="259" w:lineRule="auto"/>
        <w:ind w:left="1" w:firstLine="0"/>
      </w:pPr>
      <w:r w:rsidRPr="00087F50">
        <w:t xml:space="preserve"> </w:t>
      </w:r>
    </w:p>
    <w:p w14:paraId="66C21998" w14:textId="77777777" w:rsidR="00A77DDF" w:rsidRPr="00087F50" w:rsidRDefault="00A77DDF" w:rsidP="00A77DDF">
      <w:pPr>
        <w:ind w:left="-3" w:right="9"/>
      </w:pPr>
      <w:r w:rsidRPr="00087F50">
        <w:t xml:space="preserve">Ir </w:t>
      </w:r>
      <w:proofErr w:type="spellStart"/>
      <w:r w:rsidRPr="00087F50">
        <w:t>ieteicama</w:t>
      </w:r>
      <w:proofErr w:type="spellEnd"/>
      <w:r w:rsidRPr="00087F50">
        <w:t xml:space="preserve"> </w:t>
      </w:r>
      <w:proofErr w:type="spellStart"/>
      <w:r w:rsidRPr="00087F50">
        <w:t>vismaz</w:t>
      </w:r>
      <w:proofErr w:type="spellEnd"/>
      <w:r w:rsidRPr="00087F50">
        <w:t xml:space="preserve"> 6 </w:t>
      </w:r>
      <w:proofErr w:type="spellStart"/>
      <w:r w:rsidRPr="00087F50">
        <w:t>mēnešus</w:t>
      </w:r>
      <w:proofErr w:type="spellEnd"/>
      <w:r w:rsidRPr="00087F50">
        <w:t xml:space="preserve"> </w:t>
      </w:r>
      <w:proofErr w:type="spellStart"/>
      <w:r w:rsidRPr="00087F50">
        <w:t>ilga</w:t>
      </w:r>
      <w:proofErr w:type="spellEnd"/>
      <w:r w:rsidRPr="00087F50">
        <w:t xml:space="preserve"> podagras </w:t>
      </w:r>
      <w:proofErr w:type="spellStart"/>
      <w:r w:rsidRPr="00087F50">
        <w:t>saasinājuma</w:t>
      </w:r>
      <w:proofErr w:type="spellEnd"/>
      <w:r w:rsidRPr="00087F50">
        <w:t xml:space="preserve"> </w:t>
      </w:r>
      <w:proofErr w:type="spellStart"/>
      <w:r w:rsidRPr="00087F50">
        <w:t>profilakse</w:t>
      </w:r>
      <w:proofErr w:type="spellEnd"/>
      <w:r w:rsidRPr="00087F50">
        <w:t xml:space="preserve"> (</w:t>
      </w:r>
      <w:proofErr w:type="spellStart"/>
      <w:r w:rsidRPr="00087F50">
        <w:t>skatīt</w:t>
      </w:r>
      <w:proofErr w:type="spellEnd"/>
      <w:r w:rsidRPr="00087F50">
        <w:t xml:space="preserve"> 4.4. </w:t>
      </w:r>
      <w:proofErr w:type="spellStart"/>
      <w:r w:rsidRPr="00087F50">
        <w:t>apakšpunktu</w:t>
      </w:r>
      <w:proofErr w:type="spellEnd"/>
      <w:r w:rsidRPr="00087F50">
        <w:t xml:space="preserve">). </w:t>
      </w:r>
    </w:p>
    <w:p w14:paraId="3F5CBF0D" w14:textId="77777777" w:rsidR="00A77DDF" w:rsidRPr="00087F50" w:rsidRDefault="00A77DDF" w:rsidP="00A77DDF">
      <w:pPr>
        <w:spacing w:after="0" w:line="259" w:lineRule="auto"/>
        <w:ind w:left="1" w:firstLine="0"/>
      </w:pPr>
      <w:r w:rsidRPr="00087F50">
        <w:t xml:space="preserve"> </w:t>
      </w:r>
    </w:p>
    <w:p w14:paraId="0251EB2C" w14:textId="0C04E311" w:rsidR="00F832B5" w:rsidRPr="00E96FD9" w:rsidRDefault="00A77DDF" w:rsidP="00A77DDF">
      <w:pPr>
        <w:ind w:left="-3" w:right="9"/>
        <w:rPr>
          <w:i/>
          <w:u w:val="single"/>
        </w:rPr>
      </w:pPr>
      <w:proofErr w:type="spellStart"/>
      <w:r w:rsidRPr="00E96FD9">
        <w:rPr>
          <w:i/>
          <w:u w:val="single"/>
        </w:rPr>
        <w:t>Tumora</w:t>
      </w:r>
      <w:proofErr w:type="spellEnd"/>
      <w:r w:rsidRPr="00E96FD9">
        <w:rPr>
          <w:i/>
          <w:u w:val="single"/>
        </w:rPr>
        <w:t xml:space="preserve"> </w:t>
      </w:r>
      <w:proofErr w:type="spellStart"/>
      <w:r w:rsidRPr="00E96FD9">
        <w:rPr>
          <w:i/>
          <w:u w:val="single"/>
        </w:rPr>
        <w:t>līzes</w:t>
      </w:r>
      <w:proofErr w:type="spellEnd"/>
      <w:r w:rsidRPr="00E96FD9">
        <w:rPr>
          <w:i/>
          <w:u w:val="single"/>
        </w:rPr>
        <w:t xml:space="preserve"> </w:t>
      </w:r>
      <w:proofErr w:type="spellStart"/>
      <w:r w:rsidRPr="00E96FD9">
        <w:rPr>
          <w:i/>
          <w:u w:val="single"/>
        </w:rPr>
        <w:t>sindrom</w:t>
      </w:r>
      <w:r w:rsidR="00F832B5" w:rsidRPr="00E96FD9">
        <w:rPr>
          <w:i/>
          <w:u w:val="single"/>
        </w:rPr>
        <w:t>s</w:t>
      </w:r>
      <w:proofErr w:type="spellEnd"/>
      <w:r w:rsidR="00F832B5" w:rsidRPr="00E96FD9">
        <w:rPr>
          <w:i/>
          <w:u w:val="single"/>
        </w:rPr>
        <w:t xml:space="preserve"> (TLS)</w:t>
      </w:r>
    </w:p>
    <w:p w14:paraId="641A1F9A" w14:textId="3287BE72" w:rsidR="00A77DDF" w:rsidRPr="00087F50" w:rsidRDefault="00A77DDF" w:rsidP="00A77DDF">
      <w:pPr>
        <w:ind w:left="-3" w:right="9"/>
      </w:pPr>
      <w:proofErr w:type="spellStart"/>
      <w:r w:rsidRPr="00087F50">
        <w:t>Febuxostat</w:t>
      </w:r>
      <w:proofErr w:type="spellEnd"/>
      <w:r w:rsidRPr="00087F50">
        <w:t xml:space="preserve"> </w:t>
      </w:r>
      <w:r w:rsidR="00997BE3" w:rsidRPr="00087F50">
        <w:t>Zentiva</w:t>
      </w:r>
      <w:r w:rsidRPr="00087F50">
        <w:t xml:space="preserve"> </w:t>
      </w:r>
      <w:proofErr w:type="spellStart"/>
      <w:r w:rsidRPr="00087F50">
        <w:t>ieteicamā</w:t>
      </w:r>
      <w:proofErr w:type="spellEnd"/>
      <w:r w:rsidRPr="00087F50">
        <w:t xml:space="preserve"> </w:t>
      </w:r>
      <w:proofErr w:type="spellStart"/>
      <w:r w:rsidRPr="00087F50">
        <w:t>deva</w:t>
      </w:r>
      <w:proofErr w:type="spellEnd"/>
      <w:r w:rsidRPr="00087F50">
        <w:t xml:space="preserve"> ir 120 mg </w:t>
      </w:r>
      <w:proofErr w:type="spellStart"/>
      <w:r w:rsidRPr="00087F50">
        <w:t>vienu</w:t>
      </w:r>
      <w:proofErr w:type="spellEnd"/>
      <w:r w:rsidRPr="00087F50">
        <w:t xml:space="preserve"> </w:t>
      </w:r>
      <w:proofErr w:type="spellStart"/>
      <w:r w:rsidRPr="00087F50">
        <w:t>reizi</w:t>
      </w:r>
      <w:proofErr w:type="spellEnd"/>
      <w:r w:rsidRPr="00087F50">
        <w:t xml:space="preserve"> </w:t>
      </w:r>
      <w:proofErr w:type="spellStart"/>
      <w:r w:rsidRPr="00087F50">
        <w:t>dienā</w:t>
      </w:r>
      <w:proofErr w:type="spellEnd"/>
      <w:r w:rsidRPr="00087F50">
        <w:t xml:space="preserve"> </w:t>
      </w:r>
      <w:proofErr w:type="spellStart"/>
      <w:r w:rsidRPr="00087F50">
        <w:t>neatkarīgi</w:t>
      </w:r>
      <w:proofErr w:type="spellEnd"/>
      <w:r w:rsidRPr="00087F50">
        <w:t xml:space="preserve"> no </w:t>
      </w:r>
      <w:proofErr w:type="spellStart"/>
      <w:r w:rsidRPr="00087F50">
        <w:t>ēšanas</w:t>
      </w:r>
      <w:proofErr w:type="spellEnd"/>
      <w:r w:rsidRPr="00087F50">
        <w:t xml:space="preserve">. </w:t>
      </w:r>
    </w:p>
    <w:p w14:paraId="593B3488" w14:textId="0A7045A1" w:rsidR="00A77DDF" w:rsidRPr="00087F50" w:rsidRDefault="00A77DDF" w:rsidP="00A77DDF">
      <w:pPr>
        <w:ind w:left="-3" w:right="397"/>
      </w:pPr>
      <w:proofErr w:type="spellStart"/>
      <w:r w:rsidRPr="00087F50">
        <w:t>Febuxostat</w:t>
      </w:r>
      <w:proofErr w:type="spellEnd"/>
      <w:r w:rsidRPr="00087F50">
        <w:t xml:space="preserve"> </w:t>
      </w:r>
      <w:r w:rsidR="00997BE3" w:rsidRPr="00087F50">
        <w:t>Zentiva</w:t>
      </w:r>
      <w:r w:rsidRPr="00087F50">
        <w:t xml:space="preserve"> </w:t>
      </w:r>
      <w:proofErr w:type="spellStart"/>
      <w:r w:rsidRPr="00087F50">
        <w:t>jāsāk</w:t>
      </w:r>
      <w:proofErr w:type="spellEnd"/>
      <w:r w:rsidRPr="00087F50">
        <w:t xml:space="preserve"> </w:t>
      </w:r>
      <w:proofErr w:type="spellStart"/>
      <w:r w:rsidRPr="00087F50">
        <w:t>lietot</w:t>
      </w:r>
      <w:proofErr w:type="spellEnd"/>
      <w:r w:rsidRPr="00087F50">
        <w:t xml:space="preserve"> </w:t>
      </w:r>
      <w:r w:rsidR="00F832B5" w:rsidRPr="00087F50">
        <w:t xml:space="preserve">2 </w:t>
      </w:r>
      <w:proofErr w:type="spellStart"/>
      <w:r w:rsidRPr="00087F50">
        <w:t>dienas</w:t>
      </w:r>
      <w:proofErr w:type="spellEnd"/>
      <w:r w:rsidRPr="00087F50">
        <w:t xml:space="preserve"> </w:t>
      </w:r>
      <w:proofErr w:type="spellStart"/>
      <w:r w:rsidRPr="00087F50">
        <w:t>pirms</w:t>
      </w:r>
      <w:proofErr w:type="spellEnd"/>
      <w:r w:rsidRPr="00087F50">
        <w:t xml:space="preserve"> </w:t>
      </w:r>
      <w:proofErr w:type="spellStart"/>
      <w:r w:rsidRPr="00087F50">
        <w:t>citotoksiskās</w:t>
      </w:r>
      <w:proofErr w:type="spellEnd"/>
      <w:r w:rsidRPr="00087F50">
        <w:t xml:space="preserve"> </w:t>
      </w:r>
      <w:proofErr w:type="spellStart"/>
      <w:r w:rsidRPr="00087F50">
        <w:t>terapijas</w:t>
      </w:r>
      <w:proofErr w:type="spellEnd"/>
      <w:r w:rsidRPr="00087F50">
        <w:t xml:space="preserve"> </w:t>
      </w:r>
      <w:proofErr w:type="spellStart"/>
      <w:r w:rsidRPr="00087F50">
        <w:t>sākšanas</w:t>
      </w:r>
      <w:proofErr w:type="spellEnd"/>
      <w:r w:rsidRPr="00087F50">
        <w:t xml:space="preserve"> un </w:t>
      </w:r>
      <w:proofErr w:type="spellStart"/>
      <w:r w:rsidRPr="00087F50">
        <w:t>jāturpina</w:t>
      </w:r>
      <w:proofErr w:type="spellEnd"/>
      <w:r w:rsidRPr="00087F50">
        <w:t xml:space="preserve"> </w:t>
      </w:r>
      <w:proofErr w:type="spellStart"/>
      <w:r w:rsidRPr="00087F50">
        <w:t>vismaz</w:t>
      </w:r>
      <w:proofErr w:type="spellEnd"/>
      <w:r w:rsidRPr="00087F50">
        <w:t xml:space="preserve"> 7 </w:t>
      </w:r>
      <w:proofErr w:type="spellStart"/>
      <w:r w:rsidRPr="00087F50">
        <w:t>dienas</w:t>
      </w:r>
      <w:proofErr w:type="spellEnd"/>
      <w:r w:rsidRPr="00087F50">
        <w:t xml:space="preserve">; </w:t>
      </w:r>
      <w:proofErr w:type="spellStart"/>
      <w:r w:rsidRPr="00087F50">
        <w:t>ārstēšanu</w:t>
      </w:r>
      <w:proofErr w:type="spellEnd"/>
      <w:r w:rsidRPr="00087F50">
        <w:t xml:space="preserve"> </w:t>
      </w:r>
      <w:proofErr w:type="spellStart"/>
      <w:r w:rsidRPr="00087F50">
        <w:t>var</w:t>
      </w:r>
      <w:proofErr w:type="spellEnd"/>
      <w:r w:rsidRPr="00087F50">
        <w:t xml:space="preserve"> </w:t>
      </w:r>
      <w:proofErr w:type="spellStart"/>
      <w:r w:rsidRPr="00087F50">
        <w:t>pagarināt</w:t>
      </w:r>
      <w:proofErr w:type="spellEnd"/>
      <w:r w:rsidRPr="00087F50">
        <w:t xml:space="preserve"> </w:t>
      </w:r>
      <w:proofErr w:type="spellStart"/>
      <w:r w:rsidRPr="00087F50">
        <w:t>līdz</w:t>
      </w:r>
      <w:proofErr w:type="spellEnd"/>
      <w:r w:rsidRPr="00087F50">
        <w:t xml:space="preserve"> 9 </w:t>
      </w:r>
      <w:proofErr w:type="spellStart"/>
      <w:r w:rsidRPr="00087F50">
        <w:t>dienām</w:t>
      </w:r>
      <w:proofErr w:type="spellEnd"/>
      <w:r w:rsidRPr="00087F50">
        <w:t xml:space="preserve"> </w:t>
      </w:r>
      <w:proofErr w:type="spellStart"/>
      <w:r w:rsidRPr="00087F50">
        <w:t>saskaņā</w:t>
      </w:r>
      <w:proofErr w:type="spellEnd"/>
      <w:r w:rsidRPr="00087F50">
        <w:t xml:space="preserve"> ar </w:t>
      </w:r>
      <w:proofErr w:type="spellStart"/>
      <w:r w:rsidRPr="00087F50">
        <w:t>klīniski</w:t>
      </w:r>
      <w:proofErr w:type="spellEnd"/>
      <w:r w:rsidRPr="00087F50">
        <w:t xml:space="preserve"> </w:t>
      </w:r>
      <w:proofErr w:type="spellStart"/>
      <w:r w:rsidRPr="00087F50">
        <w:t>novērtēto</w:t>
      </w:r>
      <w:proofErr w:type="spellEnd"/>
      <w:r w:rsidRPr="00087F50">
        <w:t xml:space="preserve"> </w:t>
      </w:r>
      <w:proofErr w:type="spellStart"/>
      <w:r w:rsidRPr="00087F50">
        <w:t>ķīmijterapijas</w:t>
      </w:r>
      <w:proofErr w:type="spellEnd"/>
      <w:r w:rsidRPr="00087F50">
        <w:t xml:space="preserve"> </w:t>
      </w:r>
      <w:proofErr w:type="spellStart"/>
      <w:r w:rsidRPr="00087F50">
        <w:t>ilgumu</w:t>
      </w:r>
      <w:proofErr w:type="spellEnd"/>
      <w:r w:rsidRPr="00087F50">
        <w:t xml:space="preserve">. </w:t>
      </w:r>
    </w:p>
    <w:p w14:paraId="4F5B1A39" w14:textId="77777777" w:rsidR="00A77DDF" w:rsidRPr="00087F50" w:rsidRDefault="00A77DDF" w:rsidP="00A77DDF">
      <w:pPr>
        <w:spacing w:after="0" w:line="259" w:lineRule="auto"/>
        <w:ind w:left="1" w:firstLine="0"/>
      </w:pPr>
      <w:r w:rsidRPr="00087F50">
        <w:rPr>
          <w:i/>
        </w:rPr>
        <w:t xml:space="preserve"> </w:t>
      </w:r>
    </w:p>
    <w:p w14:paraId="7509EE38" w14:textId="77777777" w:rsidR="00A77DDF" w:rsidRPr="00087F50" w:rsidRDefault="00A77DDF" w:rsidP="00A77DDF">
      <w:pPr>
        <w:spacing w:after="13" w:line="249" w:lineRule="auto"/>
        <w:ind w:left="-3" w:hanging="10"/>
      </w:pPr>
      <w:r w:rsidRPr="00087F50">
        <w:rPr>
          <w:i/>
        </w:rPr>
        <w:t xml:space="preserve">Gados </w:t>
      </w:r>
      <w:proofErr w:type="spellStart"/>
      <w:r w:rsidRPr="00087F50">
        <w:rPr>
          <w:i/>
        </w:rPr>
        <w:t>vecāki</w:t>
      </w:r>
      <w:proofErr w:type="spellEnd"/>
      <w:r w:rsidRPr="00087F50">
        <w:rPr>
          <w:i/>
        </w:rPr>
        <w:t xml:space="preserve"> </w:t>
      </w:r>
      <w:proofErr w:type="spellStart"/>
      <w:r w:rsidRPr="00087F50">
        <w:rPr>
          <w:i/>
        </w:rPr>
        <w:t>cilvēki</w:t>
      </w:r>
      <w:proofErr w:type="spellEnd"/>
      <w:r w:rsidRPr="00087F50">
        <w:rPr>
          <w:i/>
        </w:rPr>
        <w:t xml:space="preserve"> </w:t>
      </w:r>
    </w:p>
    <w:p w14:paraId="1904E1AB" w14:textId="77777777" w:rsidR="00A77DDF" w:rsidRPr="00087F50" w:rsidRDefault="00A77DDF" w:rsidP="00A77DDF">
      <w:pPr>
        <w:ind w:left="-3" w:right="9"/>
      </w:pPr>
      <w:r w:rsidRPr="00087F50">
        <w:t xml:space="preserve">Gados </w:t>
      </w:r>
      <w:proofErr w:type="spellStart"/>
      <w:r w:rsidRPr="00087F50">
        <w:t>vecākiem</w:t>
      </w:r>
      <w:proofErr w:type="spellEnd"/>
      <w:r w:rsidRPr="00087F50">
        <w:t xml:space="preserve"> </w:t>
      </w:r>
      <w:proofErr w:type="spellStart"/>
      <w:r w:rsidRPr="00087F50">
        <w:t>cilvēkiem</w:t>
      </w:r>
      <w:proofErr w:type="spellEnd"/>
      <w:r w:rsidRPr="00087F50">
        <w:t xml:space="preserve"> </w:t>
      </w:r>
      <w:proofErr w:type="spellStart"/>
      <w:r w:rsidRPr="00087F50">
        <w:t>deva</w:t>
      </w:r>
      <w:proofErr w:type="spellEnd"/>
      <w:r w:rsidRPr="00087F50">
        <w:t xml:space="preserve"> </w:t>
      </w:r>
      <w:proofErr w:type="spellStart"/>
      <w:r w:rsidRPr="00087F50">
        <w:t>nav</w:t>
      </w:r>
      <w:proofErr w:type="spellEnd"/>
      <w:r w:rsidRPr="00087F50">
        <w:t xml:space="preserve"> </w:t>
      </w:r>
      <w:proofErr w:type="spellStart"/>
      <w:r w:rsidRPr="00087F50">
        <w:t>jāpielāgo</w:t>
      </w:r>
      <w:proofErr w:type="spellEnd"/>
      <w:r w:rsidRPr="00087F50">
        <w:t xml:space="preserve"> (</w:t>
      </w:r>
      <w:proofErr w:type="spellStart"/>
      <w:r w:rsidRPr="00087F50">
        <w:t>skatīt</w:t>
      </w:r>
      <w:proofErr w:type="spellEnd"/>
      <w:r w:rsidRPr="00087F50">
        <w:t xml:space="preserve"> 5.2. </w:t>
      </w:r>
      <w:proofErr w:type="spellStart"/>
      <w:r w:rsidRPr="00087F50">
        <w:t>apakšpunktu</w:t>
      </w:r>
      <w:proofErr w:type="spellEnd"/>
      <w:r w:rsidRPr="00087F50">
        <w:t xml:space="preserve">). </w:t>
      </w:r>
    </w:p>
    <w:p w14:paraId="6B521265" w14:textId="77777777" w:rsidR="00A77DDF" w:rsidRPr="00087F50" w:rsidRDefault="00A77DDF" w:rsidP="00A77DDF">
      <w:pPr>
        <w:spacing w:after="0" w:line="259" w:lineRule="auto"/>
        <w:ind w:left="1" w:firstLine="0"/>
      </w:pPr>
      <w:r w:rsidRPr="00087F50">
        <w:t xml:space="preserve"> </w:t>
      </w:r>
    </w:p>
    <w:p w14:paraId="46988C26" w14:textId="77777777" w:rsidR="00A77DDF" w:rsidRPr="00087F50" w:rsidRDefault="00A77DDF" w:rsidP="00A77DDF">
      <w:pPr>
        <w:spacing w:after="13" w:line="249" w:lineRule="auto"/>
        <w:ind w:left="-3" w:hanging="10"/>
      </w:pPr>
      <w:proofErr w:type="spellStart"/>
      <w:r w:rsidRPr="00087F50">
        <w:rPr>
          <w:i/>
        </w:rPr>
        <w:t>Nieru</w:t>
      </w:r>
      <w:proofErr w:type="spellEnd"/>
      <w:r w:rsidRPr="00087F50">
        <w:rPr>
          <w:i/>
        </w:rPr>
        <w:t xml:space="preserve"> </w:t>
      </w:r>
      <w:proofErr w:type="spellStart"/>
      <w:r w:rsidRPr="00087F50">
        <w:rPr>
          <w:i/>
        </w:rPr>
        <w:t>darbības</w:t>
      </w:r>
      <w:proofErr w:type="spellEnd"/>
      <w:r w:rsidRPr="00087F50">
        <w:rPr>
          <w:i/>
        </w:rPr>
        <w:t xml:space="preserve"> </w:t>
      </w:r>
      <w:proofErr w:type="spellStart"/>
      <w:r w:rsidRPr="00087F50">
        <w:rPr>
          <w:i/>
        </w:rPr>
        <w:t>traucējumi</w:t>
      </w:r>
      <w:proofErr w:type="spellEnd"/>
      <w:r w:rsidRPr="00087F50">
        <w:rPr>
          <w:i/>
        </w:rPr>
        <w:t xml:space="preserve"> </w:t>
      </w:r>
    </w:p>
    <w:p w14:paraId="65457787" w14:textId="77777777" w:rsidR="00A77DDF" w:rsidRPr="00087F50" w:rsidRDefault="00A77DDF" w:rsidP="00A77DDF">
      <w:pPr>
        <w:ind w:left="-3" w:right="9"/>
      </w:pPr>
      <w:proofErr w:type="spellStart"/>
      <w:r w:rsidRPr="00087F50">
        <w:t>Zāļu</w:t>
      </w:r>
      <w:proofErr w:type="spellEnd"/>
      <w:r w:rsidRPr="00087F50">
        <w:t xml:space="preserve"> </w:t>
      </w:r>
      <w:proofErr w:type="spellStart"/>
      <w:r w:rsidRPr="00087F50">
        <w:t>efektivitāte</w:t>
      </w:r>
      <w:proofErr w:type="spellEnd"/>
      <w:r w:rsidRPr="00087F50">
        <w:t xml:space="preserve"> un </w:t>
      </w:r>
      <w:proofErr w:type="spellStart"/>
      <w:r w:rsidRPr="00087F50">
        <w:t>drošums</w:t>
      </w:r>
      <w:proofErr w:type="spellEnd"/>
      <w:r w:rsidRPr="00087F50">
        <w:t xml:space="preserve"> </w:t>
      </w:r>
      <w:proofErr w:type="spellStart"/>
      <w:r w:rsidRPr="00087F50">
        <w:t>pacientiem</w:t>
      </w:r>
      <w:proofErr w:type="spellEnd"/>
      <w:r w:rsidRPr="00087F50">
        <w:t xml:space="preserve"> ar </w:t>
      </w:r>
      <w:proofErr w:type="spellStart"/>
      <w:r w:rsidRPr="00087F50">
        <w:t>smagiem</w:t>
      </w:r>
      <w:proofErr w:type="spellEnd"/>
      <w:r w:rsidRPr="00087F50">
        <w:t xml:space="preserve"> </w:t>
      </w:r>
      <w:proofErr w:type="spellStart"/>
      <w:r w:rsidRPr="00087F50">
        <w:t>nieru</w:t>
      </w:r>
      <w:proofErr w:type="spellEnd"/>
      <w:r w:rsidRPr="00087F50">
        <w:t xml:space="preserve"> </w:t>
      </w:r>
      <w:proofErr w:type="spellStart"/>
      <w:r w:rsidRPr="00087F50">
        <w:t>darbības</w:t>
      </w:r>
      <w:proofErr w:type="spellEnd"/>
      <w:r w:rsidRPr="00087F50">
        <w:t xml:space="preserve"> </w:t>
      </w:r>
      <w:proofErr w:type="spellStart"/>
      <w:r w:rsidRPr="00087F50">
        <w:t>traucējumiem</w:t>
      </w:r>
      <w:proofErr w:type="spellEnd"/>
      <w:r w:rsidRPr="00087F50">
        <w:t xml:space="preserve"> (</w:t>
      </w:r>
      <w:proofErr w:type="spellStart"/>
      <w:r w:rsidRPr="00087F50">
        <w:t>kreatinīna</w:t>
      </w:r>
      <w:proofErr w:type="spellEnd"/>
      <w:r w:rsidRPr="00087F50">
        <w:t xml:space="preserve"> </w:t>
      </w:r>
      <w:proofErr w:type="spellStart"/>
      <w:r w:rsidRPr="00087F50">
        <w:t>klīrenss</w:t>
      </w:r>
      <w:proofErr w:type="spellEnd"/>
      <w:r w:rsidRPr="00087F50">
        <w:t xml:space="preserve"> &lt; 30 ml/min, </w:t>
      </w:r>
      <w:proofErr w:type="spellStart"/>
      <w:r w:rsidRPr="00087F50">
        <w:t>skatīt</w:t>
      </w:r>
      <w:proofErr w:type="spellEnd"/>
      <w:r w:rsidRPr="00087F50">
        <w:t xml:space="preserve"> 5.2. </w:t>
      </w:r>
      <w:proofErr w:type="spellStart"/>
      <w:r w:rsidRPr="00087F50">
        <w:t>apakšpunktu</w:t>
      </w:r>
      <w:proofErr w:type="spellEnd"/>
      <w:r w:rsidRPr="00087F50">
        <w:t xml:space="preserve">) </w:t>
      </w:r>
      <w:proofErr w:type="spellStart"/>
      <w:r w:rsidRPr="00087F50">
        <w:t>vēl</w:t>
      </w:r>
      <w:proofErr w:type="spellEnd"/>
      <w:r w:rsidRPr="00087F50">
        <w:t xml:space="preserve"> </w:t>
      </w:r>
      <w:proofErr w:type="spellStart"/>
      <w:r w:rsidRPr="00087F50">
        <w:t>nav</w:t>
      </w:r>
      <w:proofErr w:type="spellEnd"/>
      <w:r w:rsidRPr="00087F50">
        <w:t xml:space="preserve"> </w:t>
      </w:r>
      <w:proofErr w:type="spellStart"/>
      <w:r w:rsidRPr="00087F50">
        <w:t>pilnībā</w:t>
      </w:r>
      <w:proofErr w:type="spellEnd"/>
      <w:r w:rsidRPr="00087F50">
        <w:t xml:space="preserve"> </w:t>
      </w:r>
      <w:proofErr w:type="spellStart"/>
      <w:r w:rsidRPr="00087F50">
        <w:t>novērtēts</w:t>
      </w:r>
      <w:proofErr w:type="spellEnd"/>
      <w:r w:rsidRPr="00087F50">
        <w:t xml:space="preserve">. </w:t>
      </w:r>
    </w:p>
    <w:p w14:paraId="35075B32" w14:textId="77777777" w:rsidR="00A77DDF" w:rsidRPr="00087F50" w:rsidRDefault="00A77DDF" w:rsidP="00A77DDF">
      <w:pPr>
        <w:ind w:left="-3" w:right="9"/>
      </w:pPr>
      <w:r w:rsidRPr="00087F50">
        <w:t xml:space="preserve">Ja </w:t>
      </w:r>
      <w:proofErr w:type="spellStart"/>
      <w:r w:rsidRPr="00087F50">
        <w:t>pacientam</w:t>
      </w:r>
      <w:proofErr w:type="spellEnd"/>
      <w:r w:rsidRPr="00087F50">
        <w:t xml:space="preserve"> ir </w:t>
      </w:r>
      <w:proofErr w:type="spellStart"/>
      <w:r w:rsidRPr="00087F50">
        <w:t>viegli</w:t>
      </w:r>
      <w:proofErr w:type="spellEnd"/>
      <w:r w:rsidRPr="00087F50">
        <w:t xml:space="preserve"> </w:t>
      </w:r>
      <w:proofErr w:type="spellStart"/>
      <w:r w:rsidRPr="00087F50">
        <w:t>vai</w:t>
      </w:r>
      <w:proofErr w:type="spellEnd"/>
      <w:r w:rsidRPr="00087F50">
        <w:t xml:space="preserve"> </w:t>
      </w:r>
      <w:proofErr w:type="spellStart"/>
      <w:r w:rsidRPr="00087F50">
        <w:t>vidēji</w:t>
      </w:r>
      <w:proofErr w:type="spellEnd"/>
      <w:r w:rsidRPr="00087F50">
        <w:t xml:space="preserve"> </w:t>
      </w:r>
      <w:proofErr w:type="spellStart"/>
      <w:r w:rsidRPr="00087F50">
        <w:t>smagi</w:t>
      </w:r>
      <w:proofErr w:type="spellEnd"/>
      <w:r w:rsidRPr="00087F50">
        <w:t xml:space="preserve"> </w:t>
      </w:r>
      <w:proofErr w:type="spellStart"/>
      <w:r w:rsidRPr="00087F50">
        <w:t>nieru</w:t>
      </w:r>
      <w:proofErr w:type="spellEnd"/>
      <w:r w:rsidRPr="00087F50">
        <w:t xml:space="preserve"> </w:t>
      </w:r>
      <w:proofErr w:type="spellStart"/>
      <w:r w:rsidRPr="00087F50">
        <w:t>darbības</w:t>
      </w:r>
      <w:proofErr w:type="spellEnd"/>
      <w:r w:rsidRPr="00087F50">
        <w:t xml:space="preserve"> </w:t>
      </w:r>
      <w:proofErr w:type="spellStart"/>
      <w:r w:rsidRPr="00087F50">
        <w:t>traucējumi</w:t>
      </w:r>
      <w:proofErr w:type="spellEnd"/>
      <w:r w:rsidRPr="00087F50">
        <w:t xml:space="preserve">, </w:t>
      </w:r>
      <w:proofErr w:type="spellStart"/>
      <w:r w:rsidRPr="00087F50">
        <w:t>devu</w:t>
      </w:r>
      <w:proofErr w:type="spellEnd"/>
      <w:r w:rsidRPr="00087F50">
        <w:t xml:space="preserve"> </w:t>
      </w:r>
      <w:proofErr w:type="spellStart"/>
      <w:r w:rsidRPr="00087F50">
        <w:t>koriģēt</w:t>
      </w:r>
      <w:proofErr w:type="spellEnd"/>
      <w:r w:rsidRPr="00087F50">
        <w:t xml:space="preserve"> </w:t>
      </w:r>
      <w:proofErr w:type="spellStart"/>
      <w:r w:rsidRPr="00087F50">
        <w:t>nav</w:t>
      </w:r>
      <w:proofErr w:type="spellEnd"/>
      <w:r w:rsidRPr="00087F50">
        <w:t xml:space="preserve"> </w:t>
      </w:r>
      <w:proofErr w:type="spellStart"/>
      <w:r w:rsidRPr="00087F50">
        <w:t>nepieciešams</w:t>
      </w:r>
      <w:proofErr w:type="spellEnd"/>
      <w:r w:rsidRPr="00087F50">
        <w:t xml:space="preserve">. </w:t>
      </w:r>
    </w:p>
    <w:p w14:paraId="76426F3E" w14:textId="77777777" w:rsidR="00A77DDF" w:rsidRPr="00087F50" w:rsidRDefault="00A77DDF" w:rsidP="00A77DDF">
      <w:pPr>
        <w:spacing w:after="0" w:line="259" w:lineRule="auto"/>
        <w:ind w:left="1" w:firstLine="0"/>
      </w:pPr>
      <w:r w:rsidRPr="00087F50">
        <w:rPr>
          <w:i/>
        </w:rPr>
        <w:t xml:space="preserve"> </w:t>
      </w:r>
    </w:p>
    <w:p w14:paraId="6DB294CF" w14:textId="77777777" w:rsidR="00A77DDF" w:rsidRPr="00087F50" w:rsidRDefault="00A77DDF" w:rsidP="00A77DDF">
      <w:pPr>
        <w:spacing w:after="13" w:line="249" w:lineRule="auto"/>
        <w:ind w:left="-3" w:hanging="10"/>
      </w:pPr>
      <w:proofErr w:type="spellStart"/>
      <w:r w:rsidRPr="00087F50">
        <w:rPr>
          <w:i/>
        </w:rPr>
        <w:t>Aknu</w:t>
      </w:r>
      <w:proofErr w:type="spellEnd"/>
      <w:r w:rsidRPr="00087F50">
        <w:rPr>
          <w:i/>
        </w:rPr>
        <w:t xml:space="preserve"> </w:t>
      </w:r>
      <w:proofErr w:type="spellStart"/>
      <w:r w:rsidRPr="00087F50">
        <w:rPr>
          <w:i/>
        </w:rPr>
        <w:t>darbības</w:t>
      </w:r>
      <w:proofErr w:type="spellEnd"/>
      <w:r w:rsidRPr="00087F50">
        <w:rPr>
          <w:i/>
        </w:rPr>
        <w:t xml:space="preserve"> </w:t>
      </w:r>
      <w:proofErr w:type="spellStart"/>
      <w:r w:rsidRPr="00087F50">
        <w:rPr>
          <w:i/>
        </w:rPr>
        <w:t>traucējumi</w:t>
      </w:r>
      <w:proofErr w:type="spellEnd"/>
      <w:r w:rsidRPr="00087F50">
        <w:rPr>
          <w:i/>
        </w:rPr>
        <w:t xml:space="preserve"> </w:t>
      </w:r>
    </w:p>
    <w:p w14:paraId="7703A9A1" w14:textId="77777777" w:rsidR="00A77DDF" w:rsidRPr="00087F50" w:rsidRDefault="00A77DDF" w:rsidP="00A77DDF">
      <w:pPr>
        <w:ind w:left="-3" w:right="9"/>
      </w:pPr>
      <w:proofErr w:type="spellStart"/>
      <w:r w:rsidRPr="00087F50">
        <w:t>Febuksostata</w:t>
      </w:r>
      <w:proofErr w:type="spellEnd"/>
      <w:r w:rsidRPr="00087F50">
        <w:t xml:space="preserve"> </w:t>
      </w:r>
      <w:proofErr w:type="spellStart"/>
      <w:r w:rsidRPr="00087F50">
        <w:t>efektivitāte</w:t>
      </w:r>
      <w:proofErr w:type="spellEnd"/>
      <w:r w:rsidRPr="00087F50">
        <w:t xml:space="preserve"> un </w:t>
      </w:r>
      <w:proofErr w:type="spellStart"/>
      <w:r w:rsidRPr="00087F50">
        <w:t>drošums</w:t>
      </w:r>
      <w:proofErr w:type="spellEnd"/>
      <w:r w:rsidRPr="00087F50">
        <w:t xml:space="preserve"> </w:t>
      </w:r>
      <w:proofErr w:type="spellStart"/>
      <w:r w:rsidRPr="00087F50">
        <w:t>pacientiem</w:t>
      </w:r>
      <w:proofErr w:type="spellEnd"/>
      <w:r w:rsidRPr="00087F50">
        <w:t xml:space="preserve"> ar </w:t>
      </w:r>
      <w:proofErr w:type="spellStart"/>
      <w:r w:rsidRPr="00087F50">
        <w:t>smagiem</w:t>
      </w:r>
      <w:proofErr w:type="spellEnd"/>
      <w:r w:rsidRPr="00087F50">
        <w:t xml:space="preserve"> </w:t>
      </w:r>
      <w:proofErr w:type="spellStart"/>
      <w:r w:rsidRPr="00087F50">
        <w:t>aknu</w:t>
      </w:r>
      <w:proofErr w:type="spellEnd"/>
      <w:r w:rsidRPr="00087F50">
        <w:t xml:space="preserve"> </w:t>
      </w:r>
      <w:proofErr w:type="spellStart"/>
      <w:r w:rsidRPr="00087F50">
        <w:t>darbības</w:t>
      </w:r>
      <w:proofErr w:type="spellEnd"/>
      <w:r w:rsidRPr="00087F50">
        <w:t xml:space="preserve"> </w:t>
      </w:r>
      <w:proofErr w:type="spellStart"/>
      <w:r w:rsidRPr="00087F50">
        <w:t>traucējumiem</w:t>
      </w:r>
      <w:proofErr w:type="spellEnd"/>
      <w:r w:rsidRPr="00087F50">
        <w:t xml:space="preserve"> (Child Pugh C </w:t>
      </w:r>
      <w:proofErr w:type="spellStart"/>
      <w:r w:rsidRPr="00087F50">
        <w:t>klase</w:t>
      </w:r>
      <w:proofErr w:type="spellEnd"/>
      <w:r w:rsidRPr="00087F50">
        <w:t xml:space="preserve">) </w:t>
      </w:r>
      <w:proofErr w:type="spellStart"/>
      <w:r w:rsidRPr="00087F50">
        <w:t>nav</w:t>
      </w:r>
      <w:proofErr w:type="spellEnd"/>
      <w:r w:rsidRPr="00087F50">
        <w:t xml:space="preserve"> </w:t>
      </w:r>
      <w:proofErr w:type="spellStart"/>
      <w:r w:rsidRPr="00087F50">
        <w:t>pētīts</w:t>
      </w:r>
      <w:proofErr w:type="spellEnd"/>
      <w:r w:rsidRPr="00087F50">
        <w:t xml:space="preserve">. </w:t>
      </w:r>
    </w:p>
    <w:p w14:paraId="628F7CFF" w14:textId="77777777" w:rsidR="00A77DDF" w:rsidRPr="00087F50" w:rsidRDefault="00A77DDF" w:rsidP="00A77DDF">
      <w:pPr>
        <w:spacing w:after="0" w:line="259" w:lineRule="auto"/>
        <w:ind w:left="2" w:firstLine="0"/>
      </w:pPr>
      <w:r w:rsidRPr="00087F50">
        <w:rPr>
          <w:i/>
        </w:rPr>
        <w:t xml:space="preserve"> </w:t>
      </w:r>
    </w:p>
    <w:p w14:paraId="35BB380D" w14:textId="77777777" w:rsidR="00A77DDF" w:rsidRPr="00087F50" w:rsidRDefault="00A77DDF" w:rsidP="00A77DDF">
      <w:pPr>
        <w:ind w:left="-3" w:right="9"/>
      </w:pPr>
      <w:r w:rsidRPr="00087F50">
        <w:t xml:space="preserve">Podagras </w:t>
      </w:r>
      <w:proofErr w:type="spellStart"/>
      <w:r w:rsidRPr="00087F50">
        <w:t>gadījumā</w:t>
      </w:r>
      <w:proofErr w:type="spellEnd"/>
      <w:r w:rsidRPr="00087F50">
        <w:t xml:space="preserve"> </w:t>
      </w:r>
      <w:proofErr w:type="spellStart"/>
      <w:r w:rsidRPr="00087F50">
        <w:t>pacientiem</w:t>
      </w:r>
      <w:proofErr w:type="spellEnd"/>
      <w:r w:rsidRPr="00087F50">
        <w:t xml:space="preserve"> ar </w:t>
      </w:r>
      <w:proofErr w:type="spellStart"/>
      <w:r w:rsidRPr="00087F50">
        <w:t>viegliem</w:t>
      </w:r>
      <w:proofErr w:type="spellEnd"/>
      <w:r w:rsidRPr="00087F50">
        <w:t xml:space="preserve"> </w:t>
      </w:r>
      <w:proofErr w:type="spellStart"/>
      <w:r w:rsidRPr="00087F50">
        <w:t>aknu</w:t>
      </w:r>
      <w:proofErr w:type="spellEnd"/>
      <w:r w:rsidRPr="00087F50">
        <w:t xml:space="preserve"> </w:t>
      </w:r>
      <w:proofErr w:type="spellStart"/>
      <w:r w:rsidRPr="00087F50">
        <w:t>darbības</w:t>
      </w:r>
      <w:proofErr w:type="spellEnd"/>
      <w:r w:rsidRPr="00087F50">
        <w:t xml:space="preserve"> </w:t>
      </w:r>
      <w:proofErr w:type="spellStart"/>
      <w:r w:rsidRPr="00087F50">
        <w:t>traucējumiem</w:t>
      </w:r>
      <w:proofErr w:type="spellEnd"/>
      <w:r w:rsidRPr="00087F50">
        <w:t xml:space="preserve"> </w:t>
      </w:r>
      <w:proofErr w:type="spellStart"/>
      <w:r w:rsidRPr="00087F50">
        <w:t>ieteicamā</w:t>
      </w:r>
      <w:proofErr w:type="spellEnd"/>
      <w:r w:rsidRPr="00087F50">
        <w:t xml:space="preserve"> </w:t>
      </w:r>
      <w:proofErr w:type="spellStart"/>
      <w:r w:rsidRPr="00087F50">
        <w:t>deva</w:t>
      </w:r>
      <w:proofErr w:type="spellEnd"/>
      <w:r w:rsidRPr="00087F50">
        <w:t xml:space="preserve"> ir 80 mg. </w:t>
      </w:r>
      <w:proofErr w:type="spellStart"/>
      <w:r w:rsidRPr="00087F50">
        <w:t>Dati</w:t>
      </w:r>
      <w:proofErr w:type="spellEnd"/>
      <w:r w:rsidRPr="00087F50">
        <w:t xml:space="preserve"> par </w:t>
      </w:r>
      <w:proofErr w:type="spellStart"/>
      <w:r w:rsidRPr="00087F50">
        <w:t>pacientiem</w:t>
      </w:r>
      <w:proofErr w:type="spellEnd"/>
      <w:r w:rsidRPr="00087F50">
        <w:t xml:space="preserve"> ar </w:t>
      </w:r>
      <w:proofErr w:type="spellStart"/>
      <w:r w:rsidRPr="00087F50">
        <w:t>vidēji</w:t>
      </w:r>
      <w:proofErr w:type="spellEnd"/>
      <w:r w:rsidRPr="00087F50">
        <w:t xml:space="preserve"> </w:t>
      </w:r>
      <w:proofErr w:type="spellStart"/>
      <w:r w:rsidRPr="00087F50">
        <w:t>smagiem</w:t>
      </w:r>
      <w:proofErr w:type="spellEnd"/>
      <w:r w:rsidRPr="00087F50">
        <w:t xml:space="preserve"> </w:t>
      </w:r>
      <w:proofErr w:type="spellStart"/>
      <w:r w:rsidRPr="00087F50">
        <w:t>aknu</w:t>
      </w:r>
      <w:proofErr w:type="spellEnd"/>
      <w:r w:rsidRPr="00087F50">
        <w:t xml:space="preserve"> </w:t>
      </w:r>
      <w:proofErr w:type="spellStart"/>
      <w:r w:rsidRPr="00087F50">
        <w:t>darbības</w:t>
      </w:r>
      <w:proofErr w:type="spellEnd"/>
      <w:r w:rsidRPr="00087F50">
        <w:t xml:space="preserve"> </w:t>
      </w:r>
      <w:proofErr w:type="spellStart"/>
      <w:r w:rsidRPr="00087F50">
        <w:t>traucējumiem</w:t>
      </w:r>
      <w:proofErr w:type="spellEnd"/>
      <w:r w:rsidRPr="00087F50">
        <w:t xml:space="preserve"> ir </w:t>
      </w:r>
      <w:proofErr w:type="spellStart"/>
      <w:r w:rsidRPr="00087F50">
        <w:t>ierobežoti</w:t>
      </w:r>
      <w:proofErr w:type="spellEnd"/>
      <w:r w:rsidRPr="00087F50">
        <w:t xml:space="preserve">. </w:t>
      </w:r>
    </w:p>
    <w:p w14:paraId="6A621666" w14:textId="77777777" w:rsidR="00A77DDF" w:rsidRPr="00087F50" w:rsidRDefault="00A77DDF" w:rsidP="00A77DDF">
      <w:pPr>
        <w:spacing w:after="0" w:line="259" w:lineRule="auto"/>
        <w:ind w:left="2" w:firstLine="0"/>
      </w:pPr>
      <w:r w:rsidRPr="00087F50">
        <w:t xml:space="preserve"> </w:t>
      </w:r>
    </w:p>
    <w:p w14:paraId="5002326D" w14:textId="102BD9F4" w:rsidR="00A77DDF" w:rsidRPr="00087F50" w:rsidRDefault="009623CE" w:rsidP="00A77DDF">
      <w:pPr>
        <w:spacing w:after="7" w:line="233" w:lineRule="auto"/>
        <w:ind w:left="-3" w:right="505" w:hanging="10"/>
        <w:jc w:val="both"/>
      </w:pPr>
      <w:r w:rsidRPr="00087F50">
        <w:t>TLS</w:t>
      </w:r>
      <w:r w:rsidR="00A77DDF" w:rsidRPr="00087F50">
        <w:t xml:space="preserve"> </w:t>
      </w:r>
      <w:proofErr w:type="spellStart"/>
      <w:r w:rsidR="00A77DDF" w:rsidRPr="00087F50">
        <w:t>gadījumā</w:t>
      </w:r>
      <w:proofErr w:type="spellEnd"/>
      <w:r w:rsidR="00A77DDF" w:rsidRPr="00087F50">
        <w:t xml:space="preserve"> no </w:t>
      </w:r>
      <w:proofErr w:type="spellStart"/>
      <w:r w:rsidR="00A77DDF" w:rsidRPr="00087F50">
        <w:t>dalības</w:t>
      </w:r>
      <w:proofErr w:type="spellEnd"/>
      <w:r w:rsidR="00A77DDF" w:rsidRPr="00087F50">
        <w:t xml:space="preserve"> 3. </w:t>
      </w:r>
      <w:proofErr w:type="spellStart"/>
      <w:r w:rsidR="00A77DDF" w:rsidRPr="00087F50">
        <w:t>fāzes</w:t>
      </w:r>
      <w:proofErr w:type="spellEnd"/>
      <w:r w:rsidR="00A77DDF" w:rsidRPr="00087F50">
        <w:t xml:space="preserve"> </w:t>
      </w:r>
      <w:proofErr w:type="spellStart"/>
      <w:r w:rsidR="00A77DDF" w:rsidRPr="00087F50">
        <w:t>klīniskajā</w:t>
      </w:r>
      <w:proofErr w:type="spellEnd"/>
      <w:r w:rsidR="00A77DDF" w:rsidRPr="00087F50">
        <w:t xml:space="preserve"> </w:t>
      </w:r>
      <w:proofErr w:type="spellStart"/>
      <w:r w:rsidR="00A77DDF" w:rsidRPr="00087F50">
        <w:t>pamatpētījumā</w:t>
      </w:r>
      <w:proofErr w:type="spellEnd"/>
      <w:r w:rsidR="00A77DDF" w:rsidRPr="00087F50">
        <w:t xml:space="preserve"> (FLORENCE) </w:t>
      </w:r>
      <w:proofErr w:type="spellStart"/>
      <w:r w:rsidR="00A77DDF" w:rsidRPr="00087F50">
        <w:t>tika</w:t>
      </w:r>
      <w:proofErr w:type="spellEnd"/>
      <w:r w:rsidR="00A77DDF" w:rsidRPr="00087F50">
        <w:t xml:space="preserve"> </w:t>
      </w:r>
      <w:proofErr w:type="spellStart"/>
      <w:r w:rsidR="00A77DDF" w:rsidRPr="00087F50">
        <w:t>izslēgtas</w:t>
      </w:r>
      <w:proofErr w:type="spellEnd"/>
      <w:r w:rsidR="00A77DDF" w:rsidRPr="00087F50">
        <w:t xml:space="preserve"> </w:t>
      </w:r>
      <w:proofErr w:type="spellStart"/>
      <w:r w:rsidR="00A77DDF" w:rsidRPr="00087F50">
        <w:t>tikai</w:t>
      </w:r>
      <w:proofErr w:type="spellEnd"/>
      <w:r w:rsidR="00A77DDF" w:rsidRPr="00087F50">
        <w:t xml:space="preserve"> </w:t>
      </w:r>
      <w:proofErr w:type="spellStart"/>
      <w:r w:rsidR="00A77DDF" w:rsidRPr="00087F50">
        <w:t>pētāmās</w:t>
      </w:r>
      <w:proofErr w:type="spellEnd"/>
      <w:r w:rsidR="00A77DDF" w:rsidRPr="00087F50">
        <w:t xml:space="preserve"> personas ar </w:t>
      </w:r>
      <w:proofErr w:type="spellStart"/>
      <w:r w:rsidR="00A77DDF" w:rsidRPr="00087F50">
        <w:t>smagu</w:t>
      </w:r>
      <w:proofErr w:type="spellEnd"/>
      <w:r w:rsidR="00A77DDF" w:rsidRPr="00087F50">
        <w:t xml:space="preserve"> </w:t>
      </w:r>
      <w:proofErr w:type="spellStart"/>
      <w:r w:rsidR="00A77DDF" w:rsidRPr="00087F50">
        <w:t>aknu</w:t>
      </w:r>
      <w:proofErr w:type="spellEnd"/>
      <w:r w:rsidR="00A77DDF" w:rsidRPr="00087F50">
        <w:t xml:space="preserve"> </w:t>
      </w:r>
      <w:proofErr w:type="spellStart"/>
      <w:r w:rsidR="00A77DDF" w:rsidRPr="00087F50">
        <w:t>mazspēju</w:t>
      </w:r>
      <w:proofErr w:type="spellEnd"/>
      <w:r w:rsidR="00A77DDF" w:rsidRPr="00087F50">
        <w:t xml:space="preserve">. </w:t>
      </w:r>
      <w:proofErr w:type="spellStart"/>
      <w:r w:rsidR="00A77DDF" w:rsidRPr="00087F50">
        <w:t>Aknu</w:t>
      </w:r>
      <w:proofErr w:type="spellEnd"/>
      <w:r w:rsidR="00A77DDF" w:rsidRPr="00087F50">
        <w:t xml:space="preserve"> </w:t>
      </w:r>
      <w:proofErr w:type="spellStart"/>
      <w:r w:rsidR="00A77DDF" w:rsidRPr="00087F50">
        <w:t>darbības</w:t>
      </w:r>
      <w:proofErr w:type="spellEnd"/>
      <w:r w:rsidR="00A77DDF" w:rsidRPr="00087F50">
        <w:t xml:space="preserve"> </w:t>
      </w:r>
      <w:proofErr w:type="spellStart"/>
      <w:r w:rsidR="00A77DDF" w:rsidRPr="00087F50">
        <w:t>pārmaiņu</w:t>
      </w:r>
      <w:proofErr w:type="spellEnd"/>
      <w:r w:rsidR="00A77DDF" w:rsidRPr="00087F50">
        <w:t xml:space="preserve"> </w:t>
      </w:r>
      <w:proofErr w:type="spellStart"/>
      <w:r w:rsidR="00A77DDF" w:rsidRPr="00087F50">
        <w:t>dēļ</w:t>
      </w:r>
      <w:proofErr w:type="spellEnd"/>
      <w:r w:rsidR="00A77DDF" w:rsidRPr="00087F50">
        <w:t xml:space="preserve"> </w:t>
      </w:r>
      <w:proofErr w:type="spellStart"/>
      <w:r w:rsidR="00A77DDF" w:rsidRPr="00087F50">
        <w:t>pētījumā</w:t>
      </w:r>
      <w:proofErr w:type="spellEnd"/>
      <w:r w:rsidR="00A77DDF" w:rsidRPr="00087F50">
        <w:t xml:space="preserve"> </w:t>
      </w:r>
      <w:proofErr w:type="spellStart"/>
      <w:r w:rsidR="00A77DDF" w:rsidRPr="00087F50">
        <w:t>iekļautajiem</w:t>
      </w:r>
      <w:proofErr w:type="spellEnd"/>
      <w:r w:rsidR="00A77DDF" w:rsidRPr="00087F50">
        <w:t xml:space="preserve"> </w:t>
      </w:r>
      <w:proofErr w:type="spellStart"/>
      <w:r w:rsidR="00A77DDF" w:rsidRPr="00087F50">
        <w:t>pacientiem</w:t>
      </w:r>
      <w:proofErr w:type="spellEnd"/>
      <w:r w:rsidR="00A77DDF" w:rsidRPr="00087F50">
        <w:t xml:space="preserve"> </w:t>
      </w:r>
      <w:proofErr w:type="spellStart"/>
      <w:r w:rsidR="00A77DDF" w:rsidRPr="00087F50">
        <w:t>deva</w:t>
      </w:r>
      <w:proofErr w:type="spellEnd"/>
      <w:r w:rsidR="00A77DDF" w:rsidRPr="00087F50">
        <w:t xml:space="preserve"> </w:t>
      </w:r>
      <w:proofErr w:type="spellStart"/>
      <w:r w:rsidR="00A77DDF" w:rsidRPr="00087F50">
        <w:t>nebija</w:t>
      </w:r>
      <w:proofErr w:type="spellEnd"/>
      <w:r w:rsidR="00A77DDF" w:rsidRPr="00087F50">
        <w:t xml:space="preserve"> </w:t>
      </w:r>
      <w:proofErr w:type="spellStart"/>
      <w:r w:rsidR="00A77DDF" w:rsidRPr="00087F50">
        <w:t>jāpielāgo</w:t>
      </w:r>
      <w:proofErr w:type="spellEnd"/>
      <w:r w:rsidR="00A77DDF" w:rsidRPr="00087F50">
        <w:t xml:space="preserve">. </w:t>
      </w:r>
    </w:p>
    <w:p w14:paraId="7F556499" w14:textId="77777777" w:rsidR="00A77DDF" w:rsidRPr="00087F50" w:rsidRDefault="00A77DDF" w:rsidP="00A77DDF">
      <w:pPr>
        <w:spacing w:after="0" w:line="259" w:lineRule="auto"/>
        <w:ind w:left="1" w:firstLine="0"/>
      </w:pPr>
      <w:r w:rsidRPr="00087F50">
        <w:t xml:space="preserve"> </w:t>
      </w:r>
    </w:p>
    <w:p w14:paraId="0A013C18" w14:textId="77777777" w:rsidR="00A77DDF" w:rsidRPr="00087F50" w:rsidRDefault="00A77DDF" w:rsidP="00A77DDF">
      <w:pPr>
        <w:spacing w:after="13" w:line="249" w:lineRule="auto"/>
        <w:ind w:left="-3" w:hanging="10"/>
      </w:pPr>
      <w:proofErr w:type="spellStart"/>
      <w:r w:rsidRPr="00087F50">
        <w:rPr>
          <w:i/>
        </w:rPr>
        <w:t>Pediatriskā</w:t>
      </w:r>
      <w:proofErr w:type="spellEnd"/>
      <w:r w:rsidRPr="00087F50">
        <w:rPr>
          <w:i/>
        </w:rPr>
        <w:t xml:space="preserve"> </w:t>
      </w:r>
      <w:proofErr w:type="spellStart"/>
      <w:r w:rsidRPr="00087F50">
        <w:rPr>
          <w:i/>
        </w:rPr>
        <w:t>populācija</w:t>
      </w:r>
      <w:proofErr w:type="spellEnd"/>
      <w:r w:rsidRPr="00087F50">
        <w:rPr>
          <w:i/>
        </w:rPr>
        <w:t xml:space="preserve"> </w:t>
      </w:r>
    </w:p>
    <w:p w14:paraId="6C6B1798" w14:textId="452FDFE1" w:rsidR="00A77DDF" w:rsidRPr="00087F50" w:rsidRDefault="009623CE" w:rsidP="00A77DDF">
      <w:pPr>
        <w:ind w:left="-3" w:right="9"/>
      </w:pPr>
      <w:proofErr w:type="spellStart"/>
      <w:r w:rsidRPr="00087F50">
        <w:t>Febuksostata</w:t>
      </w:r>
      <w:proofErr w:type="spellEnd"/>
      <w:r w:rsidR="00A77DDF" w:rsidRPr="00087F50">
        <w:t xml:space="preserve"> </w:t>
      </w:r>
      <w:proofErr w:type="spellStart"/>
      <w:r w:rsidR="00A77DDF" w:rsidRPr="00087F50">
        <w:t>drošums</w:t>
      </w:r>
      <w:proofErr w:type="spellEnd"/>
      <w:r w:rsidR="00A77DDF" w:rsidRPr="00087F50">
        <w:t xml:space="preserve"> un </w:t>
      </w:r>
      <w:proofErr w:type="spellStart"/>
      <w:r w:rsidR="00A77DDF" w:rsidRPr="00087F50">
        <w:t>efektivitāte</w:t>
      </w:r>
      <w:proofErr w:type="spellEnd"/>
      <w:r w:rsidR="00A77DDF" w:rsidRPr="00087F50">
        <w:t xml:space="preserve">, </w:t>
      </w:r>
      <w:proofErr w:type="spellStart"/>
      <w:r w:rsidR="00A77DDF" w:rsidRPr="00087F50">
        <w:t>lietojot</w:t>
      </w:r>
      <w:proofErr w:type="spellEnd"/>
      <w:r w:rsidR="00A77DDF" w:rsidRPr="00087F50">
        <w:t xml:space="preserve"> </w:t>
      </w:r>
      <w:proofErr w:type="spellStart"/>
      <w:r w:rsidR="00A77DDF" w:rsidRPr="00087F50">
        <w:t>bērniem</w:t>
      </w:r>
      <w:proofErr w:type="spellEnd"/>
      <w:r w:rsidR="00A77DDF" w:rsidRPr="00087F50">
        <w:t xml:space="preserve"> </w:t>
      </w:r>
      <w:proofErr w:type="spellStart"/>
      <w:r w:rsidR="00A77DDF" w:rsidRPr="00087F50">
        <w:t>līdz</w:t>
      </w:r>
      <w:proofErr w:type="spellEnd"/>
      <w:r w:rsidR="00A77DDF" w:rsidRPr="00087F50">
        <w:t xml:space="preserve"> 18 </w:t>
      </w:r>
      <w:proofErr w:type="spellStart"/>
      <w:r w:rsidR="00A77DDF" w:rsidRPr="00087F50">
        <w:t>gadu</w:t>
      </w:r>
      <w:proofErr w:type="spellEnd"/>
      <w:r w:rsidR="00A77DDF" w:rsidRPr="00087F50">
        <w:t xml:space="preserve"> </w:t>
      </w:r>
      <w:proofErr w:type="spellStart"/>
      <w:r w:rsidR="00A77DDF" w:rsidRPr="00087F50">
        <w:t>vecumam</w:t>
      </w:r>
      <w:proofErr w:type="spellEnd"/>
      <w:r w:rsidR="00A77DDF" w:rsidRPr="00087F50">
        <w:t xml:space="preserve">, </w:t>
      </w:r>
      <w:proofErr w:type="spellStart"/>
      <w:r w:rsidR="00A77DDF" w:rsidRPr="00087F50">
        <w:t>nav</w:t>
      </w:r>
      <w:proofErr w:type="spellEnd"/>
      <w:r w:rsidR="00A77DDF" w:rsidRPr="00087F50">
        <w:t xml:space="preserve"> </w:t>
      </w:r>
      <w:proofErr w:type="spellStart"/>
      <w:r w:rsidR="00A77DDF" w:rsidRPr="00087F50">
        <w:t>pierādīta</w:t>
      </w:r>
      <w:proofErr w:type="spellEnd"/>
      <w:r w:rsidR="00A77DDF" w:rsidRPr="00087F50">
        <w:t xml:space="preserve">. </w:t>
      </w:r>
      <w:proofErr w:type="spellStart"/>
      <w:r w:rsidR="00A77DDF" w:rsidRPr="00087F50">
        <w:t>Dati</w:t>
      </w:r>
      <w:proofErr w:type="spellEnd"/>
      <w:r w:rsidR="00A77DDF" w:rsidRPr="00087F50">
        <w:t xml:space="preserve"> </w:t>
      </w:r>
      <w:proofErr w:type="spellStart"/>
      <w:r w:rsidR="00A77DDF" w:rsidRPr="00087F50">
        <w:t>nav</w:t>
      </w:r>
      <w:proofErr w:type="spellEnd"/>
      <w:r w:rsidR="00A77DDF" w:rsidRPr="00087F50">
        <w:t xml:space="preserve"> </w:t>
      </w:r>
      <w:proofErr w:type="spellStart"/>
      <w:r w:rsidR="00A77DDF" w:rsidRPr="00087F50">
        <w:t>pieejami</w:t>
      </w:r>
      <w:proofErr w:type="spellEnd"/>
      <w:r w:rsidR="00A77DDF" w:rsidRPr="00087F50">
        <w:t xml:space="preserve">. </w:t>
      </w:r>
    </w:p>
    <w:p w14:paraId="637508DE" w14:textId="77777777" w:rsidR="00A77DDF" w:rsidRPr="00087F50" w:rsidRDefault="00A77DDF" w:rsidP="00A77DDF">
      <w:pPr>
        <w:spacing w:after="0" w:line="259" w:lineRule="auto"/>
        <w:ind w:left="1" w:firstLine="0"/>
      </w:pPr>
      <w:r w:rsidRPr="00087F50">
        <w:t xml:space="preserve"> </w:t>
      </w:r>
    </w:p>
    <w:p w14:paraId="1BE22729" w14:textId="77777777" w:rsidR="00A77DDF" w:rsidRPr="00087F50" w:rsidRDefault="00A77DDF" w:rsidP="00A77DDF">
      <w:pPr>
        <w:pStyle w:val="Heading2"/>
        <w:spacing w:after="0" w:line="259" w:lineRule="auto"/>
        <w:ind w:left="-3" w:right="0"/>
      </w:pPr>
      <w:proofErr w:type="spellStart"/>
      <w:r w:rsidRPr="00087F50">
        <w:rPr>
          <w:b w:val="0"/>
          <w:u w:val="single" w:color="000000"/>
        </w:rPr>
        <w:t>Lietošanas</w:t>
      </w:r>
      <w:proofErr w:type="spellEnd"/>
      <w:r w:rsidRPr="00087F50">
        <w:rPr>
          <w:b w:val="0"/>
          <w:u w:val="single" w:color="000000"/>
        </w:rPr>
        <w:t xml:space="preserve"> </w:t>
      </w:r>
      <w:proofErr w:type="spellStart"/>
      <w:r w:rsidRPr="00087F50">
        <w:rPr>
          <w:b w:val="0"/>
          <w:u w:val="single" w:color="000000"/>
        </w:rPr>
        <w:t>veids</w:t>
      </w:r>
      <w:proofErr w:type="spellEnd"/>
      <w:r w:rsidRPr="00087F50">
        <w:rPr>
          <w:b w:val="0"/>
        </w:rPr>
        <w:t xml:space="preserve"> </w:t>
      </w:r>
    </w:p>
    <w:p w14:paraId="4E0502B2" w14:textId="77777777" w:rsidR="00A77DDF" w:rsidRPr="00087F50" w:rsidRDefault="00A77DDF" w:rsidP="00A77DDF">
      <w:pPr>
        <w:ind w:left="-3" w:right="9"/>
      </w:pPr>
      <w:proofErr w:type="spellStart"/>
      <w:r w:rsidRPr="00087F50">
        <w:t>Iekšķīgai</w:t>
      </w:r>
      <w:proofErr w:type="spellEnd"/>
      <w:r w:rsidRPr="00087F50">
        <w:t xml:space="preserve"> </w:t>
      </w:r>
      <w:proofErr w:type="spellStart"/>
      <w:r w:rsidRPr="00087F50">
        <w:t>lietošanai</w:t>
      </w:r>
      <w:proofErr w:type="spellEnd"/>
      <w:r w:rsidRPr="00087F50">
        <w:t xml:space="preserve">. </w:t>
      </w:r>
    </w:p>
    <w:p w14:paraId="31454659" w14:textId="58AC9EC4" w:rsidR="00A77DDF" w:rsidRPr="00087F50" w:rsidRDefault="00A77DDF" w:rsidP="00A77DDF">
      <w:pPr>
        <w:ind w:left="-3" w:right="9"/>
      </w:pPr>
      <w:proofErr w:type="spellStart"/>
      <w:r w:rsidRPr="00087F50">
        <w:t>Febuxostat</w:t>
      </w:r>
      <w:proofErr w:type="spellEnd"/>
      <w:r w:rsidRPr="00087F50">
        <w:t xml:space="preserve"> </w:t>
      </w:r>
      <w:r w:rsidR="00997BE3" w:rsidRPr="00087F50">
        <w:t>Zentiva</w:t>
      </w:r>
      <w:r w:rsidRPr="00087F50">
        <w:t xml:space="preserve"> </w:t>
      </w:r>
      <w:proofErr w:type="spellStart"/>
      <w:r w:rsidRPr="00087F50">
        <w:t>jālieto</w:t>
      </w:r>
      <w:proofErr w:type="spellEnd"/>
      <w:r w:rsidRPr="00087F50">
        <w:t xml:space="preserve"> </w:t>
      </w:r>
      <w:proofErr w:type="spellStart"/>
      <w:r w:rsidRPr="00087F50">
        <w:t>perorāli</w:t>
      </w:r>
      <w:proofErr w:type="spellEnd"/>
      <w:r w:rsidRPr="00087F50">
        <w:t xml:space="preserve">, </w:t>
      </w:r>
      <w:proofErr w:type="spellStart"/>
      <w:r w:rsidRPr="00087F50">
        <w:t>to</w:t>
      </w:r>
      <w:proofErr w:type="spellEnd"/>
      <w:r w:rsidRPr="00087F50">
        <w:t xml:space="preserve"> </w:t>
      </w:r>
      <w:proofErr w:type="spellStart"/>
      <w:r w:rsidRPr="00087F50">
        <w:t>var</w:t>
      </w:r>
      <w:proofErr w:type="spellEnd"/>
      <w:r w:rsidRPr="00087F50">
        <w:t xml:space="preserve"> </w:t>
      </w:r>
      <w:proofErr w:type="spellStart"/>
      <w:r w:rsidRPr="00087F50">
        <w:t>lietot</w:t>
      </w:r>
      <w:proofErr w:type="spellEnd"/>
      <w:r w:rsidRPr="00087F50">
        <w:t xml:space="preserve"> </w:t>
      </w:r>
      <w:proofErr w:type="spellStart"/>
      <w:r w:rsidRPr="00087F50">
        <w:t>gan</w:t>
      </w:r>
      <w:proofErr w:type="spellEnd"/>
      <w:r w:rsidRPr="00087F50">
        <w:t xml:space="preserve"> </w:t>
      </w:r>
      <w:proofErr w:type="spellStart"/>
      <w:r w:rsidRPr="00087F50">
        <w:t>ēšanas</w:t>
      </w:r>
      <w:proofErr w:type="spellEnd"/>
      <w:r w:rsidRPr="00087F50">
        <w:t xml:space="preserve"> </w:t>
      </w:r>
      <w:proofErr w:type="spellStart"/>
      <w:r w:rsidRPr="00087F50">
        <w:t>laikā</w:t>
      </w:r>
      <w:proofErr w:type="spellEnd"/>
      <w:r w:rsidRPr="00087F50">
        <w:t xml:space="preserve">, </w:t>
      </w:r>
      <w:proofErr w:type="spellStart"/>
      <w:r w:rsidRPr="00087F50">
        <w:t>gan</w:t>
      </w:r>
      <w:proofErr w:type="spellEnd"/>
      <w:r w:rsidRPr="00087F50">
        <w:t xml:space="preserve"> </w:t>
      </w:r>
      <w:proofErr w:type="spellStart"/>
      <w:r w:rsidRPr="00087F50">
        <w:t>tukšā</w:t>
      </w:r>
      <w:proofErr w:type="spellEnd"/>
      <w:r w:rsidRPr="00087F50">
        <w:t xml:space="preserve"> </w:t>
      </w:r>
      <w:proofErr w:type="spellStart"/>
      <w:r w:rsidRPr="00087F50">
        <w:t>dūšā</w:t>
      </w:r>
      <w:proofErr w:type="spellEnd"/>
      <w:r w:rsidRPr="00087F50">
        <w:t xml:space="preserve">. </w:t>
      </w:r>
    </w:p>
    <w:p w14:paraId="49A89C73" w14:textId="77777777" w:rsidR="00A77DDF" w:rsidRPr="00087F50" w:rsidRDefault="00A77DDF" w:rsidP="00A77DDF">
      <w:pPr>
        <w:spacing w:after="11" w:line="259" w:lineRule="auto"/>
        <w:ind w:left="1" w:firstLine="0"/>
      </w:pPr>
      <w:r w:rsidRPr="00087F50">
        <w:t xml:space="preserve"> </w:t>
      </w:r>
    </w:p>
    <w:p w14:paraId="6486B2A1" w14:textId="77777777" w:rsidR="00A77DDF" w:rsidRPr="00087F50" w:rsidRDefault="00A77DDF" w:rsidP="00A77DDF">
      <w:pPr>
        <w:pStyle w:val="Heading3"/>
        <w:tabs>
          <w:tab w:val="center" w:pos="1369"/>
        </w:tabs>
        <w:ind w:left="-13" w:right="0" w:firstLine="0"/>
      </w:pPr>
      <w:r w:rsidRPr="00087F50">
        <w:t xml:space="preserve">4.3. </w:t>
      </w:r>
      <w:r w:rsidRPr="00087F50">
        <w:tab/>
      </w:r>
      <w:proofErr w:type="spellStart"/>
      <w:r w:rsidRPr="00087F50">
        <w:t>Kontrindikācijas</w:t>
      </w:r>
      <w:proofErr w:type="spellEnd"/>
      <w:r w:rsidRPr="00087F50">
        <w:rPr>
          <w:b w:val="0"/>
        </w:rPr>
        <w:t xml:space="preserve"> </w:t>
      </w:r>
    </w:p>
    <w:p w14:paraId="1E7FB5F0" w14:textId="77777777" w:rsidR="00A77DDF" w:rsidRPr="00087F50" w:rsidRDefault="00A77DDF" w:rsidP="00A77DDF">
      <w:pPr>
        <w:spacing w:after="0" w:line="259" w:lineRule="auto"/>
        <w:ind w:left="1" w:firstLine="0"/>
      </w:pPr>
      <w:r w:rsidRPr="00087F50">
        <w:t xml:space="preserve"> </w:t>
      </w:r>
    </w:p>
    <w:p w14:paraId="24737DCC" w14:textId="77777777" w:rsidR="00A77DDF" w:rsidRPr="00087F50" w:rsidRDefault="00A77DDF" w:rsidP="00A77DDF">
      <w:pPr>
        <w:ind w:left="-3" w:right="9"/>
      </w:pPr>
      <w:proofErr w:type="spellStart"/>
      <w:r w:rsidRPr="00087F50">
        <w:t>Paaugstināta</w:t>
      </w:r>
      <w:proofErr w:type="spellEnd"/>
      <w:r w:rsidRPr="00087F50">
        <w:t xml:space="preserve"> </w:t>
      </w:r>
      <w:proofErr w:type="spellStart"/>
      <w:r w:rsidRPr="00087F50">
        <w:t>jutība</w:t>
      </w:r>
      <w:proofErr w:type="spellEnd"/>
      <w:r w:rsidRPr="00087F50">
        <w:t xml:space="preserve"> </w:t>
      </w:r>
      <w:proofErr w:type="spellStart"/>
      <w:r w:rsidRPr="00087F50">
        <w:t>pret</w:t>
      </w:r>
      <w:proofErr w:type="spellEnd"/>
      <w:r w:rsidRPr="00087F50">
        <w:t xml:space="preserve"> </w:t>
      </w:r>
      <w:proofErr w:type="spellStart"/>
      <w:r w:rsidRPr="00087F50">
        <w:t>aktīvo</w:t>
      </w:r>
      <w:proofErr w:type="spellEnd"/>
      <w:r w:rsidRPr="00087F50">
        <w:t xml:space="preserve"> </w:t>
      </w:r>
      <w:proofErr w:type="spellStart"/>
      <w:r w:rsidRPr="00087F50">
        <w:t>vielu</w:t>
      </w:r>
      <w:proofErr w:type="spellEnd"/>
      <w:r w:rsidRPr="00087F50">
        <w:t xml:space="preserve"> </w:t>
      </w:r>
      <w:proofErr w:type="spellStart"/>
      <w:r w:rsidRPr="00087F50">
        <w:t>vai</w:t>
      </w:r>
      <w:proofErr w:type="spellEnd"/>
      <w:r w:rsidRPr="00087F50">
        <w:t xml:space="preserve"> </w:t>
      </w:r>
      <w:proofErr w:type="spellStart"/>
      <w:r w:rsidRPr="00087F50">
        <w:t>jebkuru</w:t>
      </w:r>
      <w:proofErr w:type="spellEnd"/>
      <w:r w:rsidRPr="00087F50">
        <w:t xml:space="preserve"> no 6.1. </w:t>
      </w:r>
      <w:proofErr w:type="spellStart"/>
      <w:r w:rsidRPr="00087F50">
        <w:t>apakšpunktā</w:t>
      </w:r>
      <w:proofErr w:type="spellEnd"/>
      <w:r w:rsidRPr="00087F50">
        <w:t xml:space="preserve"> </w:t>
      </w:r>
      <w:proofErr w:type="spellStart"/>
      <w:r w:rsidRPr="00087F50">
        <w:t>uzskaitītajām</w:t>
      </w:r>
      <w:proofErr w:type="spellEnd"/>
      <w:r w:rsidRPr="00087F50">
        <w:t xml:space="preserve"> </w:t>
      </w:r>
      <w:proofErr w:type="spellStart"/>
      <w:r w:rsidRPr="00087F50">
        <w:t>palīgvielām</w:t>
      </w:r>
      <w:proofErr w:type="spellEnd"/>
      <w:r w:rsidRPr="00087F50">
        <w:t xml:space="preserve"> (</w:t>
      </w:r>
      <w:proofErr w:type="spellStart"/>
      <w:r w:rsidRPr="00087F50">
        <w:t>skatīt</w:t>
      </w:r>
      <w:proofErr w:type="spellEnd"/>
      <w:r w:rsidRPr="00087F50">
        <w:t xml:space="preserve"> </w:t>
      </w:r>
      <w:proofErr w:type="spellStart"/>
      <w:r w:rsidRPr="00087F50">
        <w:t>arī</w:t>
      </w:r>
      <w:proofErr w:type="spellEnd"/>
      <w:r w:rsidRPr="00087F50">
        <w:t xml:space="preserve"> 4.8. </w:t>
      </w:r>
      <w:proofErr w:type="spellStart"/>
      <w:r w:rsidRPr="00087F50">
        <w:t>apakšpunktu</w:t>
      </w:r>
      <w:proofErr w:type="spellEnd"/>
      <w:r w:rsidRPr="00087F50">
        <w:t xml:space="preserve">). </w:t>
      </w:r>
    </w:p>
    <w:p w14:paraId="7DADCB21" w14:textId="77777777" w:rsidR="00A77DDF" w:rsidRPr="00087F50" w:rsidRDefault="00A77DDF" w:rsidP="00A77DDF">
      <w:pPr>
        <w:spacing w:after="11" w:line="259" w:lineRule="auto"/>
        <w:ind w:left="1" w:firstLine="0"/>
      </w:pPr>
      <w:r w:rsidRPr="00087F50">
        <w:t xml:space="preserve"> </w:t>
      </w:r>
    </w:p>
    <w:p w14:paraId="0F56B0E5" w14:textId="77777777" w:rsidR="00A77DDF" w:rsidRPr="00087F50" w:rsidRDefault="00A77DDF" w:rsidP="00A77DDF">
      <w:pPr>
        <w:pStyle w:val="Heading3"/>
        <w:tabs>
          <w:tab w:val="center" w:pos="2562"/>
        </w:tabs>
        <w:ind w:left="-13" w:right="0" w:firstLine="0"/>
      </w:pPr>
      <w:r w:rsidRPr="00087F50">
        <w:t xml:space="preserve">4.4. </w:t>
      </w:r>
      <w:r w:rsidRPr="00087F50">
        <w:tab/>
      </w:r>
      <w:proofErr w:type="spellStart"/>
      <w:r w:rsidRPr="00087F50">
        <w:t>Īpaši</w:t>
      </w:r>
      <w:proofErr w:type="spellEnd"/>
      <w:r w:rsidRPr="00087F50">
        <w:t xml:space="preserve"> </w:t>
      </w:r>
      <w:proofErr w:type="spellStart"/>
      <w:r w:rsidRPr="00087F50">
        <w:t>brīdinājumi</w:t>
      </w:r>
      <w:proofErr w:type="spellEnd"/>
      <w:r w:rsidRPr="00087F50">
        <w:t xml:space="preserve"> un </w:t>
      </w:r>
      <w:proofErr w:type="spellStart"/>
      <w:r w:rsidRPr="00087F50">
        <w:t>piesardzība</w:t>
      </w:r>
      <w:proofErr w:type="spellEnd"/>
      <w:r w:rsidRPr="00087F50">
        <w:t xml:space="preserve"> </w:t>
      </w:r>
      <w:proofErr w:type="spellStart"/>
      <w:r w:rsidRPr="00087F50">
        <w:t>lietošanā</w:t>
      </w:r>
      <w:proofErr w:type="spellEnd"/>
      <w:r w:rsidRPr="00087F50">
        <w:rPr>
          <w:b w:val="0"/>
        </w:rPr>
        <w:t xml:space="preserve"> </w:t>
      </w:r>
    </w:p>
    <w:p w14:paraId="0BCCF712" w14:textId="77777777" w:rsidR="00A77DDF" w:rsidRPr="00087F50" w:rsidRDefault="00A77DDF" w:rsidP="00A77DDF">
      <w:pPr>
        <w:spacing w:after="0" w:line="259" w:lineRule="auto"/>
        <w:ind w:left="1" w:firstLine="0"/>
      </w:pPr>
      <w:r w:rsidRPr="00087F50">
        <w:t xml:space="preserve"> </w:t>
      </w:r>
    </w:p>
    <w:p w14:paraId="512F11A7" w14:textId="77777777" w:rsidR="00A77DDF" w:rsidRPr="00E96FD9" w:rsidRDefault="00A77DDF" w:rsidP="00A77DDF">
      <w:pPr>
        <w:spacing w:after="13" w:line="249" w:lineRule="auto"/>
        <w:ind w:left="-3" w:hanging="10"/>
        <w:rPr>
          <w:iCs/>
          <w:u w:val="single"/>
        </w:rPr>
      </w:pPr>
      <w:proofErr w:type="spellStart"/>
      <w:r w:rsidRPr="00E96FD9">
        <w:rPr>
          <w:iCs/>
          <w:u w:val="single"/>
        </w:rPr>
        <w:t>Sirds</w:t>
      </w:r>
      <w:proofErr w:type="spellEnd"/>
      <w:r w:rsidRPr="00E96FD9">
        <w:rPr>
          <w:iCs/>
          <w:u w:val="single"/>
        </w:rPr>
        <w:t xml:space="preserve"> un </w:t>
      </w:r>
      <w:proofErr w:type="spellStart"/>
      <w:r w:rsidRPr="00E96FD9">
        <w:rPr>
          <w:iCs/>
          <w:u w:val="single"/>
        </w:rPr>
        <w:t>asinsvadu</w:t>
      </w:r>
      <w:proofErr w:type="spellEnd"/>
      <w:r w:rsidRPr="00E96FD9">
        <w:rPr>
          <w:iCs/>
          <w:u w:val="single"/>
        </w:rPr>
        <w:t xml:space="preserve"> </w:t>
      </w:r>
      <w:proofErr w:type="spellStart"/>
      <w:r w:rsidRPr="00E96FD9">
        <w:rPr>
          <w:iCs/>
          <w:u w:val="single"/>
        </w:rPr>
        <w:t>sistēmas</w:t>
      </w:r>
      <w:proofErr w:type="spellEnd"/>
      <w:r w:rsidRPr="00E96FD9">
        <w:rPr>
          <w:iCs/>
          <w:u w:val="single"/>
        </w:rPr>
        <w:t xml:space="preserve"> </w:t>
      </w:r>
      <w:proofErr w:type="spellStart"/>
      <w:r w:rsidRPr="00E96FD9">
        <w:rPr>
          <w:iCs/>
          <w:u w:val="single"/>
        </w:rPr>
        <w:t>traucējumi</w:t>
      </w:r>
      <w:proofErr w:type="spellEnd"/>
      <w:r w:rsidRPr="00E96FD9">
        <w:rPr>
          <w:iCs/>
          <w:u w:val="single"/>
        </w:rPr>
        <w:t xml:space="preserve"> </w:t>
      </w:r>
    </w:p>
    <w:p w14:paraId="15C522A4" w14:textId="0832281D" w:rsidR="00A77DDF" w:rsidRPr="00E96FD9" w:rsidRDefault="00A77DDF" w:rsidP="00A77DDF">
      <w:pPr>
        <w:spacing w:after="0" w:line="259" w:lineRule="auto"/>
        <w:ind w:left="-3" w:hanging="10"/>
        <w:rPr>
          <w:i/>
          <w:u w:val="single"/>
        </w:rPr>
      </w:pPr>
      <w:proofErr w:type="spellStart"/>
      <w:r w:rsidRPr="003479BE">
        <w:rPr>
          <w:i/>
          <w:u w:val="single" w:color="000000"/>
        </w:rPr>
        <w:t>Hroniskas</w:t>
      </w:r>
      <w:proofErr w:type="spellEnd"/>
      <w:r w:rsidRPr="003479BE">
        <w:rPr>
          <w:i/>
          <w:u w:val="single" w:color="000000"/>
        </w:rPr>
        <w:t xml:space="preserve"> </w:t>
      </w:r>
      <w:proofErr w:type="spellStart"/>
      <w:r w:rsidRPr="003479BE">
        <w:rPr>
          <w:i/>
          <w:u w:val="single" w:color="000000"/>
        </w:rPr>
        <w:t>hiperurikēmijas</w:t>
      </w:r>
      <w:proofErr w:type="spellEnd"/>
      <w:r w:rsidRPr="003479BE">
        <w:rPr>
          <w:i/>
          <w:u w:val="single" w:color="000000"/>
        </w:rPr>
        <w:t xml:space="preserve"> </w:t>
      </w:r>
      <w:proofErr w:type="spellStart"/>
      <w:r w:rsidRPr="003479BE">
        <w:rPr>
          <w:i/>
          <w:u w:val="single" w:color="000000"/>
        </w:rPr>
        <w:t>ārstēšana</w:t>
      </w:r>
      <w:proofErr w:type="spellEnd"/>
      <w:r w:rsidRPr="00E96FD9">
        <w:rPr>
          <w:i/>
          <w:u w:val="single"/>
        </w:rPr>
        <w:t xml:space="preserve"> </w:t>
      </w:r>
    </w:p>
    <w:p w14:paraId="7CBE3DF5" w14:textId="77777777" w:rsidR="008200C3" w:rsidRPr="00087F50" w:rsidRDefault="008200C3" w:rsidP="008200C3">
      <w:pPr>
        <w:autoSpaceDE w:val="0"/>
        <w:autoSpaceDN w:val="0"/>
        <w:adjustRightInd w:val="0"/>
        <w:spacing w:after="0" w:line="240" w:lineRule="auto"/>
        <w:ind w:left="0" w:firstLine="0"/>
        <w:rPr>
          <w:rFonts w:eastAsia="TimesNewRomanPSMT"/>
          <w:color w:val="auto"/>
          <w:lang w:val="lv-LV" w:eastAsia="en-US"/>
        </w:rPr>
      </w:pPr>
      <w:r w:rsidRPr="00087F50">
        <w:rPr>
          <w:rFonts w:eastAsia="TimesNewRomanPSMT"/>
          <w:color w:val="auto"/>
          <w:lang w:val="lv-LV" w:eastAsia="en-US"/>
        </w:rPr>
        <w:t xml:space="preserve">Pacientiem ar nozīmīgām </w:t>
      </w:r>
      <w:proofErr w:type="spellStart"/>
      <w:r w:rsidRPr="00087F50">
        <w:rPr>
          <w:rFonts w:eastAsia="TimesNewRomanPSMT"/>
          <w:color w:val="auto"/>
          <w:lang w:val="lv-LV" w:eastAsia="en-US"/>
        </w:rPr>
        <w:t>kardiovaskulārām</w:t>
      </w:r>
      <w:proofErr w:type="spellEnd"/>
      <w:r w:rsidRPr="00087F50">
        <w:rPr>
          <w:rFonts w:eastAsia="TimesNewRomanPSMT"/>
          <w:color w:val="auto"/>
          <w:lang w:val="lv-LV" w:eastAsia="en-US"/>
        </w:rPr>
        <w:t xml:space="preserve"> slimībām (piemēram, miokarda infarktu, insultu vai</w:t>
      </w:r>
    </w:p>
    <w:p w14:paraId="4172EEA6" w14:textId="77777777" w:rsidR="00091EE1" w:rsidRDefault="008200C3" w:rsidP="007E3E09">
      <w:pPr>
        <w:autoSpaceDE w:val="0"/>
        <w:autoSpaceDN w:val="0"/>
        <w:adjustRightInd w:val="0"/>
        <w:spacing w:after="0" w:line="240" w:lineRule="auto"/>
        <w:ind w:left="0" w:firstLine="0"/>
      </w:pPr>
      <w:r w:rsidRPr="00087F50">
        <w:rPr>
          <w:rFonts w:eastAsia="TimesNewRomanPSMT"/>
          <w:color w:val="auto"/>
          <w:lang w:val="lv-LV" w:eastAsia="en-US"/>
        </w:rPr>
        <w:lastRenderedPageBreak/>
        <w:t xml:space="preserve">nestabilu stenokardiju) </w:t>
      </w:r>
      <w:proofErr w:type="spellStart"/>
      <w:r w:rsidR="007E3E09">
        <w:t>zāļu</w:t>
      </w:r>
      <w:proofErr w:type="spellEnd"/>
      <w:r w:rsidR="007E3E09">
        <w:t xml:space="preserve"> </w:t>
      </w:r>
      <w:proofErr w:type="spellStart"/>
      <w:r w:rsidR="007E3E09">
        <w:t>izstrādes</w:t>
      </w:r>
      <w:proofErr w:type="spellEnd"/>
      <w:r w:rsidR="007E3E09">
        <w:t xml:space="preserve"> </w:t>
      </w:r>
      <w:proofErr w:type="spellStart"/>
      <w:r w:rsidR="007E3E09">
        <w:t>laikā</w:t>
      </w:r>
      <w:proofErr w:type="spellEnd"/>
      <w:r w:rsidR="007E3E09">
        <w:t xml:space="preserve"> un </w:t>
      </w:r>
      <w:proofErr w:type="spellStart"/>
      <w:r w:rsidR="007E3E09">
        <w:t>vienā</w:t>
      </w:r>
      <w:proofErr w:type="spellEnd"/>
      <w:r w:rsidR="007E3E09">
        <w:t xml:space="preserve"> </w:t>
      </w:r>
      <w:proofErr w:type="spellStart"/>
      <w:r w:rsidR="007E3E09">
        <w:t>pēcreģistrācijas</w:t>
      </w:r>
      <w:proofErr w:type="spellEnd"/>
      <w:r w:rsidR="007E3E09">
        <w:t xml:space="preserve"> </w:t>
      </w:r>
      <w:proofErr w:type="spellStart"/>
      <w:r w:rsidR="007E3E09">
        <w:t>pētījumā</w:t>
      </w:r>
      <w:proofErr w:type="spellEnd"/>
      <w:r w:rsidR="007E3E09">
        <w:t xml:space="preserve"> (CARES) </w:t>
      </w:r>
      <w:proofErr w:type="spellStart"/>
      <w:r w:rsidR="007E3E09">
        <w:t>febuksostata</w:t>
      </w:r>
      <w:proofErr w:type="spellEnd"/>
      <w:r w:rsidR="007E3E09">
        <w:t xml:space="preserve"> </w:t>
      </w:r>
      <w:proofErr w:type="spellStart"/>
      <w:r w:rsidR="007E3E09">
        <w:t>lietošanas</w:t>
      </w:r>
      <w:proofErr w:type="spellEnd"/>
      <w:r w:rsidR="007E3E09">
        <w:t xml:space="preserve"> </w:t>
      </w:r>
      <w:proofErr w:type="spellStart"/>
      <w:r w:rsidR="007E3E09">
        <w:t>gadījumā</w:t>
      </w:r>
      <w:proofErr w:type="spellEnd"/>
      <w:r w:rsidR="007E3E09">
        <w:t xml:space="preserve"> </w:t>
      </w:r>
      <w:proofErr w:type="spellStart"/>
      <w:r w:rsidR="007E3E09">
        <w:t>novērots</w:t>
      </w:r>
      <w:proofErr w:type="spellEnd"/>
      <w:r w:rsidR="007E3E09">
        <w:t xml:space="preserve"> </w:t>
      </w:r>
      <w:proofErr w:type="spellStart"/>
      <w:r w:rsidR="007E3E09">
        <w:t>lielāks</w:t>
      </w:r>
      <w:proofErr w:type="spellEnd"/>
      <w:r w:rsidR="007E3E09">
        <w:t xml:space="preserve"> </w:t>
      </w:r>
      <w:proofErr w:type="spellStart"/>
      <w:r w:rsidR="007E3E09">
        <w:t>letālu</w:t>
      </w:r>
      <w:proofErr w:type="spellEnd"/>
      <w:r w:rsidR="007E3E09">
        <w:t xml:space="preserve"> </w:t>
      </w:r>
      <w:proofErr w:type="spellStart"/>
      <w:r w:rsidR="007E3E09">
        <w:t>kardiovaskulāru</w:t>
      </w:r>
      <w:proofErr w:type="spellEnd"/>
      <w:r w:rsidR="007E3E09">
        <w:t xml:space="preserve"> </w:t>
      </w:r>
      <w:proofErr w:type="spellStart"/>
      <w:r w:rsidR="007E3E09">
        <w:t>gadījumu</w:t>
      </w:r>
      <w:proofErr w:type="spellEnd"/>
      <w:r w:rsidR="007E3E09">
        <w:t xml:space="preserve"> </w:t>
      </w:r>
      <w:proofErr w:type="spellStart"/>
      <w:r w:rsidR="007E3E09">
        <w:t>skaits</w:t>
      </w:r>
      <w:proofErr w:type="spellEnd"/>
      <w:r w:rsidR="007E3E09">
        <w:t xml:space="preserve"> </w:t>
      </w:r>
      <w:proofErr w:type="spellStart"/>
      <w:r w:rsidR="007E3E09">
        <w:t>salīdzinājumā</w:t>
      </w:r>
      <w:proofErr w:type="spellEnd"/>
      <w:r w:rsidR="007E3E09">
        <w:t xml:space="preserve"> ar </w:t>
      </w:r>
      <w:proofErr w:type="spellStart"/>
      <w:r w:rsidR="007E3E09">
        <w:t>allopurinola</w:t>
      </w:r>
      <w:proofErr w:type="spellEnd"/>
      <w:r w:rsidR="007E3E09">
        <w:t xml:space="preserve"> </w:t>
      </w:r>
      <w:proofErr w:type="spellStart"/>
      <w:r w:rsidR="007E3E09">
        <w:t>lietošanu</w:t>
      </w:r>
      <w:proofErr w:type="spellEnd"/>
      <w:r w:rsidR="007E3E09">
        <w:t xml:space="preserve">. </w:t>
      </w:r>
    </w:p>
    <w:p w14:paraId="5D678EDE" w14:textId="77777777" w:rsidR="00091EE1" w:rsidRDefault="007E3E09" w:rsidP="007E3E09">
      <w:pPr>
        <w:autoSpaceDE w:val="0"/>
        <w:autoSpaceDN w:val="0"/>
        <w:adjustRightInd w:val="0"/>
        <w:spacing w:after="0" w:line="240" w:lineRule="auto"/>
        <w:ind w:left="0" w:firstLine="0"/>
      </w:pPr>
      <w:proofErr w:type="spellStart"/>
      <w:r>
        <w:t>Taču</w:t>
      </w:r>
      <w:proofErr w:type="spellEnd"/>
      <w:r>
        <w:t xml:space="preserve"> </w:t>
      </w:r>
      <w:proofErr w:type="spellStart"/>
      <w:r>
        <w:t>turpmākā</w:t>
      </w:r>
      <w:proofErr w:type="spellEnd"/>
      <w:r>
        <w:t xml:space="preserve"> </w:t>
      </w:r>
      <w:proofErr w:type="spellStart"/>
      <w:r>
        <w:t>pēcreģistrācijas</w:t>
      </w:r>
      <w:proofErr w:type="spellEnd"/>
      <w:r>
        <w:t xml:space="preserve"> </w:t>
      </w:r>
      <w:proofErr w:type="spellStart"/>
      <w:r>
        <w:t>pētījumā</w:t>
      </w:r>
      <w:proofErr w:type="spellEnd"/>
      <w:r>
        <w:t xml:space="preserve"> (FAST) </w:t>
      </w:r>
      <w:proofErr w:type="spellStart"/>
      <w:r>
        <w:t>febuksostata</w:t>
      </w:r>
      <w:proofErr w:type="spellEnd"/>
      <w:r>
        <w:t xml:space="preserve"> </w:t>
      </w:r>
      <w:proofErr w:type="spellStart"/>
      <w:r>
        <w:t>lietošana</w:t>
      </w:r>
      <w:proofErr w:type="spellEnd"/>
      <w:r>
        <w:t xml:space="preserve"> </w:t>
      </w:r>
      <w:proofErr w:type="spellStart"/>
      <w:r>
        <w:t>salīdzinājumā</w:t>
      </w:r>
      <w:proofErr w:type="spellEnd"/>
      <w:r>
        <w:t xml:space="preserve"> ar </w:t>
      </w:r>
      <w:proofErr w:type="spellStart"/>
      <w:r>
        <w:t>allopurinola</w:t>
      </w:r>
      <w:proofErr w:type="spellEnd"/>
      <w:r>
        <w:t xml:space="preserve"> </w:t>
      </w:r>
      <w:proofErr w:type="spellStart"/>
      <w:r>
        <w:t>lietošanu</w:t>
      </w:r>
      <w:proofErr w:type="spellEnd"/>
      <w:r>
        <w:t xml:space="preserve"> </w:t>
      </w:r>
      <w:proofErr w:type="spellStart"/>
      <w:r>
        <w:t>nebija</w:t>
      </w:r>
      <w:proofErr w:type="spellEnd"/>
      <w:r>
        <w:t xml:space="preserve"> </w:t>
      </w:r>
      <w:proofErr w:type="spellStart"/>
      <w:r>
        <w:t>saistīta</w:t>
      </w:r>
      <w:proofErr w:type="spellEnd"/>
      <w:r>
        <w:t xml:space="preserve"> ar </w:t>
      </w:r>
      <w:proofErr w:type="spellStart"/>
      <w:r>
        <w:t>biežākiem</w:t>
      </w:r>
      <w:proofErr w:type="spellEnd"/>
      <w:r>
        <w:t xml:space="preserve"> </w:t>
      </w:r>
      <w:proofErr w:type="spellStart"/>
      <w:r>
        <w:t>gan</w:t>
      </w:r>
      <w:proofErr w:type="spellEnd"/>
      <w:r>
        <w:t xml:space="preserve"> </w:t>
      </w:r>
      <w:proofErr w:type="spellStart"/>
      <w:r>
        <w:t>letāliem</w:t>
      </w:r>
      <w:proofErr w:type="spellEnd"/>
      <w:r>
        <w:t xml:space="preserve">, </w:t>
      </w:r>
      <w:proofErr w:type="spellStart"/>
      <w:r>
        <w:t>gan</w:t>
      </w:r>
      <w:proofErr w:type="spellEnd"/>
      <w:r>
        <w:t xml:space="preserve"> </w:t>
      </w:r>
      <w:proofErr w:type="spellStart"/>
      <w:r>
        <w:t>neletāliem</w:t>
      </w:r>
      <w:proofErr w:type="spellEnd"/>
      <w:r>
        <w:t xml:space="preserve"> </w:t>
      </w:r>
      <w:proofErr w:type="spellStart"/>
      <w:r>
        <w:t>kardiovaskulāriem</w:t>
      </w:r>
      <w:proofErr w:type="spellEnd"/>
      <w:r>
        <w:t xml:space="preserve"> </w:t>
      </w:r>
      <w:proofErr w:type="spellStart"/>
      <w:r>
        <w:t>gadījumiem</w:t>
      </w:r>
      <w:proofErr w:type="spellEnd"/>
      <w:r>
        <w:t xml:space="preserve">. </w:t>
      </w:r>
    </w:p>
    <w:p w14:paraId="11CA6853" w14:textId="508DC859" w:rsidR="00A77DDF" w:rsidRPr="00087F50" w:rsidRDefault="007E3E09" w:rsidP="00F948E4">
      <w:pPr>
        <w:spacing w:after="0" w:line="259" w:lineRule="auto"/>
        <w:ind w:left="2" w:firstLine="0"/>
      </w:pPr>
      <w:proofErr w:type="spellStart"/>
      <w:r>
        <w:t>Šī</w:t>
      </w:r>
      <w:proofErr w:type="spellEnd"/>
      <w:r>
        <w:t xml:space="preserve"> </w:t>
      </w:r>
      <w:proofErr w:type="spellStart"/>
      <w:r>
        <w:t>pacientu</w:t>
      </w:r>
      <w:proofErr w:type="spellEnd"/>
      <w:r>
        <w:t xml:space="preserve"> grupa </w:t>
      </w:r>
      <w:proofErr w:type="spellStart"/>
      <w:r>
        <w:t>jāārstē</w:t>
      </w:r>
      <w:proofErr w:type="spellEnd"/>
      <w:r>
        <w:t xml:space="preserve"> </w:t>
      </w:r>
      <w:proofErr w:type="spellStart"/>
      <w:r>
        <w:t>uzmanīgi</w:t>
      </w:r>
      <w:proofErr w:type="spellEnd"/>
      <w:r>
        <w:t xml:space="preserve">, </w:t>
      </w:r>
      <w:proofErr w:type="spellStart"/>
      <w:r>
        <w:t>pacienti</w:t>
      </w:r>
      <w:proofErr w:type="spellEnd"/>
      <w:r>
        <w:t xml:space="preserve"> </w:t>
      </w:r>
      <w:proofErr w:type="spellStart"/>
      <w:r>
        <w:t>regulāri</w:t>
      </w:r>
      <w:proofErr w:type="spellEnd"/>
      <w:r>
        <w:t xml:space="preserve"> </w:t>
      </w:r>
      <w:proofErr w:type="spellStart"/>
      <w:r>
        <w:t>jākontrolē</w:t>
      </w:r>
      <w:proofErr w:type="spellEnd"/>
      <w:r>
        <w:t xml:space="preserve">. </w:t>
      </w:r>
      <w:proofErr w:type="spellStart"/>
      <w:r>
        <w:t>Vairāk</w:t>
      </w:r>
      <w:proofErr w:type="spellEnd"/>
      <w:r>
        <w:t xml:space="preserve"> </w:t>
      </w:r>
      <w:proofErr w:type="spellStart"/>
      <w:r>
        <w:t>informācijas</w:t>
      </w:r>
      <w:proofErr w:type="spellEnd"/>
      <w:r>
        <w:t xml:space="preserve"> par </w:t>
      </w:r>
      <w:proofErr w:type="spellStart"/>
      <w:r>
        <w:t>febuksostata</w:t>
      </w:r>
      <w:proofErr w:type="spellEnd"/>
      <w:r>
        <w:t xml:space="preserve"> </w:t>
      </w:r>
      <w:proofErr w:type="spellStart"/>
      <w:r>
        <w:t>lietošanas</w:t>
      </w:r>
      <w:proofErr w:type="spellEnd"/>
      <w:r>
        <w:t xml:space="preserve"> </w:t>
      </w:r>
      <w:proofErr w:type="spellStart"/>
      <w:r>
        <w:t>drošumu</w:t>
      </w:r>
      <w:proofErr w:type="spellEnd"/>
      <w:r>
        <w:t xml:space="preserve"> </w:t>
      </w:r>
      <w:proofErr w:type="spellStart"/>
      <w:r>
        <w:t>saistībā</w:t>
      </w:r>
      <w:proofErr w:type="spellEnd"/>
      <w:r>
        <w:t xml:space="preserve"> ar </w:t>
      </w:r>
      <w:proofErr w:type="spellStart"/>
      <w:r>
        <w:t>kardiovaskulāro</w:t>
      </w:r>
      <w:proofErr w:type="spellEnd"/>
      <w:r>
        <w:t xml:space="preserve"> </w:t>
      </w:r>
      <w:proofErr w:type="spellStart"/>
      <w:r>
        <w:t>sistēmu</w:t>
      </w:r>
      <w:proofErr w:type="spellEnd"/>
      <w:r>
        <w:t xml:space="preserve"> </w:t>
      </w:r>
      <w:proofErr w:type="spellStart"/>
      <w:r>
        <w:t>skatīt</w:t>
      </w:r>
      <w:proofErr w:type="spellEnd"/>
      <w:r>
        <w:t xml:space="preserve"> 4.8. un 5.1. </w:t>
      </w:r>
      <w:proofErr w:type="spellStart"/>
      <w:r>
        <w:t>apakšpunktā</w:t>
      </w:r>
      <w:proofErr w:type="spellEnd"/>
      <w:r>
        <w:t>.</w:t>
      </w:r>
    </w:p>
    <w:p w14:paraId="6D3AA051" w14:textId="77777777" w:rsidR="00401B40" w:rsidRDefault="00401B40" w:rsidP="00A77DDF">
      <w:pPr>
        <w:spacing w:after="0" w:line="259" w:lineRule="auto"/>
        <w:ind w:left="-3" w:hanging="10"/>
        <w:rPr>
          <w:i/>
          <w:u w:val="single" w:color="000000"/>
        </w:rPr>
      </w:pPr>
    </w:p>
    <w:p w14:paraId="1D10E1E4" w14:textId="198DBA8E" w:rsidR="00A77DDF" w:rsidRPr="00E96FD9" w:rsidRDefault="00A77DDF" w:rsidP="00A77DDF">
      <w:pPr>
        <w:spacing w:after="0" w:line="259" w:lineRule="auto"/>
        <w:ind w:left="-3" w:hanging="10"/>
        <w:rPr>
          <w:i/>
        </w:rPr>
      </w:pPr>
      <w:proofErr w:type="spellStart"/>
      <w:r w:rsidRPr="003479BE">
        <w:rPr>
          <w:i/>
          <w:u w:val="single" w:color="000000"/>
        </w:rPr>
        <w:t>H</w:t>
      </w:r>
      <w:r w:rsidRPr="00AB1A83">
        <w:rPr>
          <w:i/>
          <w:u w:val="single" w:color="000000"/>
        </w:rPr>
        <w:t>iperurikēmijas</w:t>
      </w:r>
      <w:proofErr w:type="spellEnd"/>
      <w:r w:rsidRPr="00AB1A83">
        <w:rPr>
          <w:i/>
          <w:u w:val="single" w:color="000000"/>
        </w:rPr>
        <w:t xml:space="preserve"> </w:t>
      </w:r>
      <w:proofErr w:type="spellStart"/>
      <w:r w:rsidRPr="00AB1A83">
        <w:rPr>
          <w:i/>
          <w:u w:val="single" w:color="000000"/>
        </w:rPr>
        <w:t>profilakse</w:t>
      </w:r>
      <w:proofErr w:type="spellEnd"/>
      <w:r w:rsidRPr="00AB1A83">
        <w:rPr>
          <w:i/>
          <w:u w:val="single" w:color="000000"/>
        </w:rPr>
        <w:t xml:space="preserve"> un </w:t>
      </w:r>
      <w:proofErr w:type="spellStart"/>
      <w:r w:rsidRPr="00AB1A83">
        <w:rPr>
          <w:i/>
          <w:u w:val="single" w:color="000000"/>
        </w:rPr>
        <w:t>ārstēšana</w:t>
      </w:r>
      <w:proofErr w:type="spellEnd"/>
      <w:r w:rsidRPr="00AB1A83">
        <w:rPr>
          <w:i/>
          <w:u w:val="single" w:color="000000"/>
        </w:rPr>
        <w:t xml:space="preserve"> </w:t>
      </w:r>
      <w:proofErr w:type="spellStart"/>
      <w:r w:rsidRPr="00AB1A83">
        <w:rPr>
          <w:i/>
          <w:u w:val="single" w:color="000000"/>
        </w:rPr>
        <w:t>pacientiem</w:t>
      </w:r>
      <w:proofErr w:type="spellEnd"/>
      <w:r w:rsidRPr="00AB1A83">
        <w:rPr>
          <w:i/>
          <w:u w:val="single" w:color="000000"/>
        </w:rPr>
        <w:t xml:space="preserve"> ar TLS </w:t>
      </w:r>
      <w:proofErr w:type="spellStart"/>
      <w:r w:rsidRPr="00AB1A83">
        <w:rPr>
          <w:i/>
          <w:u w:val="single" w:color="000000"/>
        </w:rPr>
        <w:t>risku</w:t>
      </w:r>
      <w:proofErr w:type="spellEnd"/>
      <w:r w:rsidRPr="003479BE">
        <w:rPr>
          <w:i/>
        </w:rPr>
        <w:t xml:space="preserve"> </w:t>
      </w:r>
    </w:p>
    <w:p w14:paraId="2BB6AFA1" w14:textId="3FD021C1" w:rsidR="00A77DDF" w:rsidRPr="00087F50" w:rsidRDefault="00A77DDF" w:rsidP="00A77DDF">
      <w:pPr>
        <w:ind w:left="-3" w:right="9"/>
      </w:pPr>
      <w:proofErr w:type="spellStart"/>
      <w:r w:rsidRPr="00087F50">
        <w:t>Pacientiem</w:t>
      </w:r>
      <w:proofErr w:type="spellEnd"/>
      <w:r w:rsidRPr="00087F50">
        <w:t xml:space="preserve">, </w:t>
      </w:r>
      <w:proofErr w:type="spellStart"/>
      <w:r w:rsidRPr="00087F50">
        <w:t>kam</w:t>
      </w:r>
      <w:proofErr w:type="spellEnd"/>
      <w:r w:rsidRPr="00087F50">
        <w:t xml:space="preserve"> </w:t>
      </w:r>
      <w:proofErr w:type="spellStart"/>
      <w:r w:rsidRPr="00087F50">
        <w:t>veic</w:t>
      </w:r>
      <w:proofErr w:type="spellEnd"/>
      <w:r w:rsidRPr="00087F50">
        <w:t xml:space="preserve"> </w:t>
      </w:r>
      <w:proofErr w:type="spellStart"/>
      <w:r w:rsidRPr="00087F50">
        <w:t>ļaundabīga</w:t>
      </w:r>
      <w:proofErr w:type="spellEnd"/>
      <w:r w:rsidRPr="00087F50">
        <w:t xml:space="preserve"> </w:t>
      </w:r>
      <w:proofErr w:type="spellStart"/>
      <w:r w:rsidRPr="00087F50">
        <w:t>asins</w:t>
      </w:r>
      <w:proofErr w:type="spellEnd"/>
      <w:r w:rsidRPr="00087F50">
        <w:t xml:space="preserve"> </w:t>
      </w:r>
      <w:proofErr w:type="spellStart"/>
      <w:r w:rsidRPr="00087F50">
        <w:t>šūnu</w:t>
      </w:r>
      <w:proofErr w:type="spellEnd"/>
      <w:r w:rsidRPr="00087F50">
        <w:t xml:space="preserve"> </w:t>
      </w:r>
      <w:proofErr w:type="spellStart"/>
      <w:r w:rsidRPr="00087F50">
        <w:t>audzēja</w:t>
      </w:r>
      <w:proofErr w:type="spellEnd"/>
      <w:r w:rsidRPr="00087F50">
        <w:t xml:space="preserve"> (ar </w:t>
      </w:r>
      <w:proofErr w:type="spellStart"/>
      <w:r w:rsidRPr="00087F50">
        <w:t>vidēju</w:t>
      </w:r>
      <w:proofErr w:type="spellEnd"/>
      <w:r w:rsidRPr="00087F50">
        <w:t xml:space="preserve"> </w:t>
      </w:r>
      <w:proofErr w:type="spellStart"/>
      <w:r w:rsidRPr="00087F50">
        <w:t>vai</w:t>
      </w:r>
      <w:proofErr w:type="spellEnd"/>
      <w:r w:rsidRPr="00087F50">
        <w:t xml:space="preserve"> </w:t>
      </w:r>
      <w:proofErr w:type="spellStart"/>
      <w:r w:rsidRPr="00087F50">
        <w:t>lielu</w:t>
      </w:r>
      <w:proofErr w:type="spellEnd"/>
      <w:r w:rsidRPr="00087F50">
        <w:t xml:space="preserve"> </w:t>
      </w:r>
      <w:r w:rsidR="00F948E4" w:rsidRPr="00087F50">
        <w:t>TLS</w:t>
      </w:r>
      <w:r w:rsidRPr="00087F50">
        <w:t xml:space="preserve"> </w:t>
      </w:r>
      <w:proofErr w:type="spellStart"/>
      <w:r w:rsidRPr="00087F50">
        <w:t>risku</w:t>
      </w:r>
      <w:proofErr w:type="spellEnd"/>
      <w:r w:rsidRPr="00087F50">
        <w:t xml:space="preserve">) </w:t>
      </w:r>
      <w:proofErr w:type="spellStart"/>
      <w:r w:rsidRPr="00087F50">
        <w:t>ķīmijterapiju</w:t>
      </w:r>
      <w:proofErr w:type="spellEnd"/>
      <w:r w:rsidRPr="00087F50">
        <w:t xml:space="preserve"> un </w:t>
      </w:r>
      <w:proofErr w:type="spellStart"/>
      <w:r w:rsidRPr="00087F50">
        <w:t>kas</w:t>
      </w:r>
      <w:proofErr w:type="spellEnd"/>
      <w:r w:rsidRPr="00087F50">
        <w:t xml:space="preserve"> </w:t>
      </w:r>
      <w:proofErr w:type="spellStart"/>
      <w:r w:rsidRPr="00087F50">
        <w:t>tiek</w:t>
      </w:r>
      <w:proofErr w:type="spellEnd"/>
      <w:r w:rsidRPr="00087F50">
        <w:t xml:space="preserve"> </w:t>
      </w:r>
      <w:proofErr w:type="spellStart"/>
      <w:r w:rsidRPr="00087F50">
        <w:t>ārstēti</w:t>
      </w:r>
      <w:proofErr w:type="spellEnd"/>
      <w:r w:rsidRPr="00087F50">
        <w:t xml:space="preserve"> ar </w:t>
      </w:r>
      <w:proofErr w:type="spellStart"/>
      <w:r w:rsidRPr="00087F50">
        <w:t>Febuxostat</w:t>
      </w:r>
      <w:proofErr w:type="spellEnd"/>
      <w:r w:rsidRPr="00087F50">
        <w:t xml:space="preserve"> </w:t>
      </w:r>
      <w:r w:rsidR="00997BE3" w:rsidRPr="00087F50">
        <w:t>Zentiva</w:t>
      </w:r>
      <w:r w:rsidRPr="00087F50">
        <w:t xml:space="preserve">, </w:t>
      </w:r>
      <w:proofErr w:type="spellStart"/>
      <w:r w:rsidRPr="00087F50">
        <w:t>atbilstoši</w:t>
      </w:r>
      <w:proofErr w:type="spellEnd"/>
      <w:r w:rsidRPr="00087F50">
        <w:t xml:space="preserve"> </w:t>
      </w:r>
      <w:proofErr w:type="spellStart"/>
      <w:r w:rsidRPr="00087F50">
        <w:t>klīniskai</w:t>
      </w:r>
      <w:proofErr w:type="spellEnd"/>
      <w:r w:rsidRPr="00087F50">
        <w:t xml:space="preserve"> </w:t>
      </w:r>
      <w:proofErr w:type="spellStart"/>
      <w:r w:rsidRPr="00087F50">
        <w:t>nepieciešamībai</w:t>
      </w:r>
      <w:proofErr w:type="spellEnd"/>
      <w:r w:rsidRPr="00087F50">
        <w:t xml:space="preserve"> </w:t>
      </w:r>
      <w:proofErr w:type="spellStart"/>
      <w:r w:rsidRPr="00087F50">
        <w:t>jāveic</w:t>
      </w:r>
      <w:proofErr w:type="spellEnd"/>
      <w:r w:rsidRPr="00087F50">
        <w:t xml:space="preserve"> </w:t>
      </w:r>
      <w:proofErr w:type="spellStart"/>
      <w:r w:rsidRPr="00087F50">
        <w:t>sirdsdarbības</w:t>
      </w:r>
      <w:proofErr w:type="spellEnd"/>
      <w:r w:rsidRPr="00087F50">
        <w:t xml:space="preserve"> </w:t>
      </w:r>
      <w:proofErr w:type="spellStart"/>
      <w:r w:rsidRPr="00087F50">
        <w:t>uzraudzība</w:t>
      </w:r>
      <w:proofErr w:type="spellEnd"/>
      <w:r w:rsidRPr="00087F50">
        <w:t xml:space="preserve">. </w:t>
      </w:r>
    </w:p>
    <w:p w14:paraId="1A7C85E9" w14:textId="77777777" w:rsidR="00A77DDF" w:rsidRPr="00087F50" w:rsidRDefault="00A77DDF" w:rsidP="00A77DDF">
      <w:pPr>
        <w:spacing w:after="0" w:line="259" w:lineRule="auto"/>
        <w:ind w:left="1" w:firstLine="0"/>
      </w:pPr>
      <w:r w:rsidRPr="00087F50">
        <w:rPr>
          <w:i/>
        </w:rPr>
        <w:t xml:space="preserve"> </w:t>
      </w:r>
    </w:p>
    <w:p w14:paraId="362A0DFE" w14:textId="77777777" w:rsidR="00A77DDF" w:rsidRPr="00401B40" w:rsidRDefault="00A77DDF" w:rsidP="00A77DDF">
      <w:pPr>
        <w:spacing w:after="13" w:line="249" w:lineRule="auto"/>
        <w:ind w:left="-3" w:hanging="10"/>
        <w:rPr>
          <w:iCs/>
          <w:u w:val="single"/>
        </w:rPr>
      </w:pPr>
      <w:proofErr w:type="spellStart"/>
      <w:r w:rsidRPr="00E96FD9">
        <w:rPr>
          <w:iCs/>
          <w:u w:val="single"/>
        </w:rPr>
        <w:t>Alerģija</w:t>
      </w:r>
      <w:proofErr w:type="spellEnd"/>
      <w:r w:rsidRPr="00E96FD9">
        <w:rPr>
          <w:iCs/>
          <w:u w:val="single"/>
        </w:rPr>
        <w:t xml:space="preserve"> </w:t>
      </w:r>
      <w:proofErr w:type="spellStart"/>
      <w:r w:rsidRPr="00E96FD9">
        <w:rPr>
          <w:iCs/>
          <w:u w:val="single"/>
        </w:rPr>
        <w:t>pret</w:t>
      </w:r>
      <w:proofErr w:type="spellEnd"/>
      <w:r w:rsidRPr="00E96FD9">
        <w:rPr>
          <w:iCs/>
          <w:u w:val="single"/>
        </w:rPr>
        <w:t xml:space="preserve"> </w:t>
      </w:r>
      <w:proofErr w:type="spellStart"/>
      <w:r w:rsidRPr="00E96FD9">
        <w:rPr>
          <w:iCs/>
          <w:u w:val="single"/>
        </w:rPr>
        <w:t>zālēm</w:t>
      </w:r>
      <w:proofErr w:type="spellEnd"/>
      <w:r w:rsidRPr="00E96FD9">
        <w:rPr>
          <w:iCs/>
          <w:u w:val="single"/>
        </w:rPr>
        <w:t xml:space="preserve"> / </w:t>
      </w:r>
      <w:proofErr w:type="spellStart"/>
      <w:r w:rsidRPr="00E96FD9">
        <w:rPr>
          <w:iCs/>
          <w:u w:val="single"/>
        </w:rPr>
        <w:t>paaugstināta</w:t>
      </w:r>
      <w:proofErr w:type="spellEnd"/>
      <w:r w:rsidRPr="00E96FD9">
        <w:rPr>
          <w:iCs/>
          <w:u w:val="single"/>
        </w:rPr>
        <w:t xml:space="preserve"> </w:t>
      </w:r>
      <w:proofErr w:type="spellStart"/>
      <w:r w:rsidRPr="00E96FD9">
        <w:rPr>
          <w:iCs/>
          <w:u w:val="single"/>
        </w:rPr>
        <w:t>jutība</w:t>
      </w:r>
      <w:proofErr w:type="spellEnd"/>
      <w:r w:rsidRPr="00E96FD9">
        <w:rPr>
          <w:iCs/>
          <w:u w:val="single"/>
        </w:rPr>
        <w:t xml:space="preserve"> </w:t>
      </w:r>
    </w:p>
    <w:p w14:paraId="066794A8" w14:textId="77777777" w:rsidR="00A77DDF" w:rsidRPr="00087F50" w:rsidRDefault="00A77DDF" w:rsidP="00A77DDF">
      <w:pPr>
        <w:ind w:left="-3" w:right="9"/>
      </w:pPr>
      <w:proofErr w:type="spellStart"/>
      <w:r w:rsidRPr="00087F50">
        <w:t>Pēcreģistrācijas</w:t>
      </w:r>
      <w:proofErr w:type="spellEnd"/>
      <w:r w:rsidRPr="00087F50">
        <w:t xml:space="preserve"> </w:t>
      </w:r>
      <w:proofErr w:type="spellStart"/>
      <w:r w:rsidRPr="00087F50">
        <w:t>periodā</w:t>
      </w:r>
      <w:proofErr w:type="spellEnd"/>
      <w:r w:rsidRPr="00087F50">
        <w:t xml:space="preserve"> </w:t>
      </w:r>
      <w:proofErr w:type="spellStart"/>
      <w:r w:rsidRPr="00087F50">
        <w:t>reti</w:t>
      </w:r>
      <w:proofErr w:type="spellEnd"/>
      <w:r w:rsidRPr="00087F50">
        <w:t xml:space="preserve"> ir </w:t>
      </w:r>
      <w:proofErr w:type="spellStart"/>
      <w:r w:rsidRPr="00087F50">
        <w:t>saņemti</w:t>
      </w:r>
      <w:proofErr w:type="spellEnd"/>
      <w:r w:rsidRPr="00087F50">
        <w:t xml:space="preserve"> </w:t>
      </w:r>
      <w:proofErr w:type="spellStart"/>
      <w:r w:rsidRPr="00087F50">
        <w:t>ziņojumi</w:t>
      </w:r>
      <w:proofErr w:type="spellEnd"/>
      <w:r w:rsidRPr="00087F50">
        <w:t xml:space="preserve"> par </w:t>
      </w:r>
      <w:proofErr w:type="spellStart"/>
      <w:r w:rsidRPr="00087F50">
        <w:t>smagām</w:t>
      </w:r>
      <w:proofErr w:type="spellEnd"/>
      <w:r w:rsidRPr="00087F50">
        <w:t xml:space="preserve"> </w:t>
      </w:r>
      <w:proofErr w:type="spellStart"/>
      <w:r w:rsidRPr="00087F50">
        <w:t>alerģiskām</w:t>
      </w:r>
      <w:proofErr w:type="spellEnd"/>
      <w:r w:rsidRPr="00087F50">
        <w:t>/</w:t>
      </w:r>
      <w:proofErr w:type="spellStart"/>
      <w:r w:rsidRPr="00087F50">
        <w:t>paaugstinātas</w:t>
      </w:r>
      <w:proofErr w:type="spellEnd"/>
      <w:r w:rsidRPr="00087F50">
        <w:t xml:space="preserve"> </w:t>
      </w:r>
      <w:proofErr w:type="spellStart"/>
      <w:r w:rsidRPr="00087F50">
        <w:t>jutības</w:t>
      </w:r>
      <w:proofErr w:type="spellEnd"/>
      <w:r w:rsidRPr="00087F50">
        <w:t xml:space="preserve"> </w:t>
      </w:r>
      <w:proofErr w:type="spellStart"/>
      <w:r w:rsidRPr="00087F50">
        <w:t>reakcijām</w:t>
      </w:r>
      <w:proofErr w:type="spellEnd"/>
      <w:r w:rsidRPr="00087F50">
        <w:t xml:space="preserve">, </w:t>
      </w:r>
      <w:proofErr w:type="spellStart"/>
      <w:r w:rsidRPr="00087F50">
        <w:t>arī</w:t>
      </w:r>
      <w:proofErr w:type="spellEnd"/>
      <w:r w:rsidRPr="00087F50">
        <w:t xml:space="preserve"> par </w:t>
      </w:r>
      <w:proofErr w:type="spellStart"/>
      <w:r w:rsidRPr="00087F50">
        <w:t>dzīvībai</w:t>
      </w:r>
      <w:proofErr w:type="spellEnd"/>
      <w:r w:rsidRPr="00087F50">
        <w:t xml:space="preserve"> </w:t>
      </w:r>
      <w:proofErr w:type="spellStart"/>
      <w:r w:rsidRPr="00087F50">
        <w:t>bīstamo</w:t>
      </w:r>
      <w:proofErr w:type="spellEnd"/>
      <w:r w:rsidRPr="00087F50">
        <w:t xml:space="preserve"> </w:t>
      </w:r>
      <w:proofErr w:type="spellStart"/>
      <w:r w:rsidRPr="00087F50">
        <w:t>Stīvensa-Džonsona</w:t>
      </w:r>
      <w:proofErr w:type="spellEnd"/>
      <w:r w:rsidRPr="00087F50">
        <w:t xml:space="preserve"> </w:t>
      </w:r>
      <w:proofErr w:type="spellStart"/>
      <w:r w:rsidRPr="00087F50">
        <w:t>sindromu</w:t>
      </w:r>
      <w:proofErr w:type="spellEnd"/>
      <w:r w:rsidRPr="00087F50">
        <w:t xml:space="preserve">, </w:t>
      </w:r>
      <w:proofErr w:type="spellStart"/>
      <w:r w:rsidRPr="00087F50">
        <w:t>toksisku</w:t>
      </w:r>
      <w:proofErr w:type="spellEnd"/>
      <w:r w:rsidRPr="00087F50">
        <w:t xml:space="preserve"> </w:t>
      </w:r>
      <w:proofErr w:type="spellStart"/>
      <w:r w:rsidRPr="00087F50">
        <w:t>epidermas</w:t>
      </w:r>
      <w:proofErr w:type="spellEnd"/>
      <w:r w:rsidRPr="00087F50">
        <w:t xml:space="preserve"> </w:t>
      </w:r>
      <w:proofErr w:type="spellStart"/>
      <w:r w:rsidRPr="00087F50">
        <w:t>nekrolīzi</w:t>
      </w:r>
      <w:proofErr w:type="spellEnd"/>
      <w:r w:rsidRPr="00087F50">
        <w:t xml:space="preserve"> un </w:t>
      </w:r>
      <w:proofErr w:type="spellStart"/>
      <w:r w:rsidRPr="00087F50">
        <w:t>akūtām</w:t>
      </w:r>
      <w:proofErr w:type="spellEnd"/>
      <w:r w:rsidRPr="00087F50">
        <w:t xml:space="preserve"> </w:t>
      </w:r>
      <w:proofErr w:type="spellStart"/>
      <w:r w:rsidRPr="00087F50">
        <w:t>anafilaktiskām</w:t>
      </w:r>
      <w:proofErr w:type="spellEnd"/>
      <w:r w:rsidRPr="00087F50">
        <w:t xml:space="preserve"> </w:t>
      </w:r>
      <w:proofErr w:type="spellStart"/>
      <w:r w:rsidRPr="00087F50">
        <w:t>reakcijām</w:t>
      </w:r>
      <w:proofErr w:type="spellEnd"/>
      <w:r w:rsidRPr="00087F50">
        <w:t>/</w:t>
      </w:r>
      <w:proofErr w:type="spellStart"/>
      <w:r w:rsidRPr="00087F50">
        <w:t>šoku</w:t>
      </w:r>
      <w:proofErr w:type="spellEnd"/>
      <w:r w:rsidRPr="00087F50">
        <w:t xml:space="preserve">. </w:t>
      </w:r>
      <w:proofErr w:type="spellStart"/>
      <w:r w:rsidRPr="00087F50">
        <w:t>Lielākajā</w:t>
      </w:r>
      <w:proofErr w:type="spellEnd"/>
      <w:r w:rsidRPr="00087F50">
        <w:t xml:space="preserve"> </w:t>
      </w:r>
      <w:proofErr w:type="spellStart"/>
      <w:r w:rsidRPr="00087F50">
        <w:t>daļā</w:t>
      </w:r>
      <w:proofErr w:type="spellEnd"/>
      <w:r w:rsidRPr="00087F50">
        <w:t xml:space="preserve"> </w:t>
      </w:r>
      <w:proofErr w:type="spellStart"/>
      <w:r w:rsidRPr="00087F50">
        <w:t>gadījumu</w:t>
      </w:r>
      <w:proofErr w:type="spellEnd"/>
      <w:r w:rsidRPr="00087F50">
        <w:t xml:space="preserve"> </w:t>
      </w:r>
      <w:proofErr w:type="spellStart"/>
      <w:r w:rsidRPr="00087F50">
        <w:t>šīs</w:t>
      </w:r>
      <w:proofErr w:type="spellEnd"/>
      <w:r w:rsidRPr="00087F50">
        <w:t xml:space="preserve"> </w:t>
      </w:r>
      <w:proofErr w:type="spellStart"/>
      <w:r w:rsidRPr="00087F50">
        <w:t>reakcijas</w:t>
      </w:r>
      <w:proofErr w:type="spellEnd"/>
      <w:r w:rsidRPr="00087F50">
        <w:t xml:space="preserve"> </w:t>
      </w:r>
      <w:proofErr w:type="spellStart"/>
      <w:r w:rsidRPr="00087F50">
        <w:t>novēroja</w:t>
      </w:r>
      <w:proofErr w:type="spellEnd"/>
      <w:r w:rsidRPr="00087F50">
        <w:t xml:space="preserve"> </w:t>
      </w:r>
      <w:proofErr w:type="spellStart"/>
      <w:r w:rsidRPr="00087F50">
        <w:t>pirmajā</w:t>
      </w:r>
      <w:proofErr w:type="spellEnd"/>
      <w:r w:rsidRPr="00087F50">
        <w:t xml:space="preserve"> </w:t>
      </w:r>
      <w:proofErr w:type="spellStart"/>
      <w:r w:rsidRPr="00087F50">
        <w:t>febuksostata</w:t>
      </w:r>
      <w:proofErr w:type="spellEnd"/>
      <w:r w:rsidRPr="00087F50">
        <w:t xml:space="preserve"> </w:t>
      </w:r>
      <w:proofErr w:type="spellStart"/>
      <w:r w:rsidRPr="00087F50">
        <w:t>terapijas</w:t>
      </w:r>
      <w:proofErr w:type="spellEnd"/>
      <w:r w:rsidRPr="00087F50">
        <w:t xml:space="preserve"> </w:t>
      </w:r>
      <w:proofErr w:type="spellStart"/>
      <w:r w:rsidRPr="00087F50">
        <w:t>mēnesī</w:t>
      </w:r>
      <w:proofErr w:type="spellEnd"/>
      <w:r w:rsidRPr="00087F50">
        <w:t xml:space="preserve">. </w:t>
      </w:r>
      <w:proofErr w:type="spellStart"/>
      <w:r w:rsidRPr="00087F50">
        <w:t>Daži</w:t>
      </w:r>
      <w:proofErr w:type="spellEnd"/>
      <w:r w:rsidRPr="00087F50">
        <w:t xml:space="preserve"> no </w:t>
      </w:r>
      <w:proofErr w:type="spellStart"/>
      <w:r w:rsidRPr="00087F50">
        <w:t>šiem</w:t>
      </w:r>
      <w:proofErr w:type="spellEnd"/>
      <w:r w:rsidRPr="00087F50">
        <w:t xml:space="preserve"> </w:t>
      </w:r>
      <w:proofErr w:type="spellStart"/>
      <w:r w:rsidRPr="00087F50">
        <w:t>pacientiem</w:t>
      </w:r>
      <w:proofErr w:type="spellEnd"/>
      <w:r w:rsidRPr="00087F50">
        <w:t xml:space="preserve">, </w:t>
      </w:r>
      <w:proofErr w:type="spellStart"/>
      <w:r w:rsidRPr="00087F50">
        <w:t>bet</w:t>
      </w:r>
      <w:proofErr w:type="spellEnd"/>
      <w:r w:rsidRPr="00087F50">
        <w:t xml:space="preserve"> </w:t>
      </w:r>
      <w:proofErr w:type="spellStart"/>
      <w:r w:rsidRPr="00087F50">
        <w:t>ne</w:t>
      </w:r>
      <w:proofErr w:type="spellEnd"/>
      <w:r w:rsidRPr="00087F50">
        <w:t xml:space="preserve"> </w:t>
      </w:r>
      <w:proofErr w:type="spellStart"/>
      <w:r w:rsidRPr="00087F50">
        <w:t>visi</w:t>
      </w:r>
      <w:proofErr w:type="spellEnd"/>
      <w:r w:rsidRPr="00087F50">
        <w:t xml:space="preserve">, </w:t>
      </w:r>
      <w:proofErr w:type="spellStart"/>
      <w:r w:rsidRPr="00087F50">
        <w:t>ziņoja</w:t>
      </w:r>
      <w:proofErr w:type="spellEnd"/>
      <w:r w:rsidRPr="00087F50">
        <w:t xml:space="preserve"> par </w:t>
      </w:r>
      <w:proofErr w:type="spellStart"/>
      <w:r w:rsidRPr="00087F50">
        <w:t>nieru</w:t>
      </w:r>
      <w:proofErr w:type="spellEnd"/>
      <w:r w:rsidRPr="00087F50">
        <w:t xml:space="preserve"> </w:t>
      </w:r>
      <w:proofErr w:type="spellStart"/>
      <w:r w:rsidRPr="00087F50">
        <w:t>darbības</w:t>
      </w:r>
      <w:proofErr w:type="spellEnd"/>
      <w:r w:rsidRPr="00087F50">
        <w:t xml:space="preserve"> </w:t>
      </w:r>
      <w:proofErr w:type="spellStart"/>
      <w:r w:rsidRPr="00087F50">
        <w:t>traucējumiem</w:t>
      </w:r>
      <w:proofErr w:type="spellEnd"/>
      <w:r w:rsidRPr="00087F50">
        <w:t xml:space="preserve"> un/</w:t>
      </w:r>
      <w:proofErr w:type="spellStart"/>
      <w:r w:rsidRPr="00087F50">
        <w:t>vai</w:t>
      </w:r>
      <w:proofErr w:type="spellEnd"/>
      <w:r w:rsidRPr="00087F50">
        <w:t xml:space="preserve"> </w:t>
      </w:r>
      <w:proofErr w:type="spellStart"/>
      <w:r w:rsidRPr="00087F50">
        <w:t>paaugstinātu</w:t>
      </w:r>
      <w:proofErr w:type="spellEnd"/>
      <w:r w:rsidRPr="00087F50">
        <w:t xml:space="preserve"> </w:t>
      </w:r>
      <w:proofErr w:type="spellStart"/>
      <w:r w:rsidRPr="00087F50">
        <w:t>jutību</w:t>
      </w:r>
      <w:proofErr w:type="spellEnd"/>
      <w:r w:rsidRPr="00087F50">
        <w:t xml:space="preserve"> </w:t>
      </w:r>
      <w:proofErr w:type="spellStart"/>
      <w:r w:rsidRPr="00087F50">
        <w:t>pret</w:t>
      </w:r>
      <w:proofErr w:type="spellEnd"/>
      <w:r w:rsidRPr="00087F50">
        <w:t xml:space="preserve"> </w:t>
      </w:r>
      <w:proofErr w:type="spellStart"/>
      <w:r w:rsidRPr="00087F50">
        <w:t>allopurinolu</w:t>
      </w:r>
      <w:proofErr w:type="spellEnd"/>
      <w:r w:rsidRPr="00087F50">
        <w:t xml:space="preserve"> </w:t>
      </w:r>
      <w:proofErr w:type="spellStart"/>
      <w:r w:rsidRPr="00087F50">
        <w:t>anamnēzē</w:t>
      </w:r>
      <w:proofErr w:type="spellEnd"/>
      <w:r w:rsidRPr="00087F50">
        <w:t xml:space="preserve">. </w:t>
      </w:r>
      <w:proofErr w:type="spellStart"/>
      <w:r w:rsidRPr="00087F50">
        <w:t>Atsevišķos</w:t>
      </w:r>
      <w:proofErr w:type="spellEnd"/>
      <w:r w:rsidRPr="00087F50">
        <w:t xml:space="preserve"> </w:t>
      </w:r>
      <w:proofErr w:type="spellStart"/>
      <w:r w:rsidRPr="00087F50">
        <w:t>gadījumos</w:t>
      </w:r>
      <w:proofErr w:type="spellEnd"/>
      <w:r w:rsidRPr="00087F50">
        <w:t xml:space="preserve"> </w:t>
      </w:r>
      <w:proofErr w:type="spellStart"/>
      <w:r w:rsidRPr="00087F50">
        <w:t>smagas</w:t>
      </w:r>
      <w:proofErr w:type="spellEnd"/>
      <w:r w:rsidRPr="00087F50">
        <w:t xml:space="preserve"> </w:t>
      </w:r>
      <w:proofErr w:type="spellStart"/>
      <w:r w:rsidRPr="00087F50">
        <w:t>paaugstinātas</w:t>
      </w:r>
      <w:proofErr w:type="spellEnd"/>
      <w:r w:rsidRPr="00087F50">
        <w:t xml:space="preserve"> </w:t>
      </w:r>
      <w:proofErr w:type="spellStart"/>
      <w:r w:rsidRPr="00087F50">
        <w:t>jutības</w:t>
      </w:r>
      <w:proofErr w:type="spellEnd"/>
      <w:r w:rsidRPr="00087F50">
        <w:t xml:space="preserve"> </w:t>
      </w:r>
      <w:proofErr w:type="spellStart"/>
      <w:r w:rsidRPr="00087F50">
        <w:t>reakcijas</w:t>
      </w:r>
      <w:proofErr w:type="spellEnd"/>
      <w:r w:rsidRPr="00087F50">
        <w:t xml:space="preserve">, </w:t>
      </w:r>
      <w:proofErr w:type="spellStart"/>
      <w:r w:rsidRPr="00087F50">
        <w:t>arī</w:t>
      </w:r>
      <w:proofErr w:type="spellEnd"/>
      <w:r w:rsidRPr="00087F50">
        <w:t xml:space="preserve"> </w:t>
      </w:r>
      <w:proofErr w:type="spellStart"/>
      <w:r w:rsidRPr="00087F50">
        <w:t>reakcija</w:t>
      </w:r>
      <w:proofErr w:type="spellEnd"/>
      <w:r w:rsidRPr="00087F50">
        <w:t xml:space="preserve"> </w:t>
      </w:r>
      <w:proofErr w:type="spellStart"/>
      <w:r w:rsidRPr="00087F50">
        <w:t>pret</w:t>
      </w:r>
      <w:proofErr w:type="spellEnd"/>
      <w:r w:rsidRPr="00087F50">
        <w:t xml:space="preserve"> </w:t>
      </w:r>
      <w:proofErr w:type="spellStart"/>
      <w:r w:rsidRPr="00087F50">
        <w:t>zālēm</w:t>
      </w:r>
      <w:proofErr w:type="spellEnd"/>
      <w:r w:rsidRPr="00087F50">
        <w:t xml:space="preserve"> ar </w:t>
      </w:r>
      <w:proofErr w:type="spellStart"/>
      <w:r w:rsidRPr="00087F50">
        <w:t>eozinofiliju</w:t>
      </w:r>
      <w:proofErr w:type="spellEnd"/>
      <w:r w:rsidRPr="00087F50">
        <w:t xml:space="preserve"> un </w:t>
      </w:r>
      <w:proofErr w:type="spellStart"/>
      <w:r w:rsidRPr="00087F50">
        <w:t>sistēmiskiem</w:t>
      </w:r>
      <w:proofErr w:type="spellEnd"/>
      <w:r w:rsidRPr="00087F50">
        <w:t xml:space="preserve"> </w:t>
      </w:r>
      <w:proofErr w:type="spellStart"/>
      <w:r w:rsidRPr="00087F50">
        <w:t>simptomiem</w:t>
      </w:r>
      <w:proofErr w:type="spellEnd"/>
      <w:r w:rsidRPr="00087F50">
        <w:t xml:space="preserve"> (DRESS), bija </w:t>
      </w:r>
      <w:proofErr w:type="spellStart"/>
      <w:r w:rsidRPr="00087F50">
        <w:t>saistītas</w:t>
      </w:r>
      <w:proofErr w:type="spellEnd"/>
      <w:r w:rsidRPr="00087F50">
        <w:t xml:space="preserve"> ar </w:t>
      </w:r>
      <w:proofErr w:type="spellStart"/>
      <w:r w:rsidRPr="00087F50">
        <w:t>drudzi</w:t>
      </w:r>
      <w:proofErr w:type="spellEnd"/>
      <w:r w:rsidRPr="00087F50">
        <w:t xml:space="preserve">, </w:t>
      </w:r>
      <w:proofErr w:type="spellStart"/>
      <w:r w:rsidRPr="00087F50">
        <w:t>hematoloģiskiem</w:t>
      </w:r>
      <w:proofErr w:type="spellEnd"/>
      <w:r w:rsidRPr="00087F50">
        <w:t xml:space="preserve">, </w:t>
      </w:r>
      <w:proofErr w:type="spellStart"/>
      <w:r w:rsidRPr="00087F50">
        <w:t>nieru</w:t>
      </w:r>
      <w:proofErr w:type="spellEnd"/>
      <w:r w:rsidRPr="00087F50">
        <w:t xml:space="preserve"> </w:t>
      </w:r>
      <w:proofErr w:type="spellStart"/>
      <w:r w:rsidRPr="00087F50">
        <w:t>vai</w:t>
      </w:r>
      <w:proofErr w:type="spellEnd"/>
      <w:r w:rsidRPr="00087F50">
        <w:t xml:space="preserve"> </w:t>
      </w:r>
      <w:proofErr w:type="spellStart"/>
      <w:r w:rsidRPr="00087F50">
        <w:t>aknu</w:t>
      </w:r>
      <w:proofErr w:type="spellEnd"/>
      <w:r w:rsidRPr="00087F50">
        <w:t xml:space="preserve"> </w:t>
      </w:r>
      <w:proofErr w:type="spellStart"/>
      <w:r w:rsidRPr="00087F50">
        <w:t>darbības</w:t>
      </w:r>
      <w:proofErr w:type="spellEnd"/>
      <w:r w:rsidRPr="00087F50">
        <w:t xml:space="preserve"> </w:t>
      </w:r>
      <w:proofErr w:type="spellStart"/>
      <w:r w:rsidRPr="00087F50">
        <w:t>traucējumiem</w:t>
      </w:r>
      <w:proofErr w:type="spellEnd"/>
      <w:r w:rsidRPr="00087F50">
        <w:t xml:space="preserve">. </w:t>
      </w:r>
    </w:p>
    <w:p w14:paraId="4EBE9A2B" w14:textId="77777777" w:rsidR="00A77DDF" w:rsidRPr="00087F50" w:rsidRDefault="00A77DDF" w:rsidP="00A77DDF">
      <w:pPr>
        <w:ind w:left="-3" w:right="9"/>
      </w:pPr>
      <w:proofErr w:type="spellStart"/>
      <w:r w:rsidRPr="00087F50">
        <w:t>Alerģisku</w:t>
      </w:r>
      <w:proofErr w:type="spellEnd"/>
      <w:r w:rsidRPr="00087F50">
        <w:t>/</w:t>
      </w:r>
      <w:proofErr w:type="spellStart"/>
      <w:r w:rsidRPr="00087F50">
        <w:t>paaugstinātas</w:t>
      </w:r>
      <w:proofErr w:type="spellEnd"/>
      <w:r w:rsidRPr="00087F50">
        <w:t xml:space="preserve"> </w:t>
      </w:r>
      <w:proofErr w:type="spellStart"/>
      <w:r w:rsidRPr="00087F50">
        <w:t>jutības</w:t>
      </w:r>
      <w:proofErr w:type="spellEnd"/>
      <w:r w:rsidRPr="00087F50">
        <w:t xml:space="preserve"> </w:t>
      </w:r>
      <w:proofErr w:type="spellStart"/>
      <w:r w:rsidRPr="00087F50">
        <w:t>reakciju</w:t>
      </w:r>
      <w:proofErr w:type="spellEnd"/>
      <w:r w:rsidRPr="00087F50">
        <w:t xml:space="preserve"> (</w:t>
      </w:r>
      <w:proofErr w:type="spellStart"/>
      <w:r w:rsidRPr="00087F50">
        <w:t>skatīt</w:t>
      </w:r>
      <w:proofErr w:type="spellEnd"/>
      <w:r w:rsidRPr="00087F50">
        <w:t xml:space="preserve"> 4.8. </w:t>
      </w:r>
      <w:proofErr w:type="spellStart"/>
      <w:r w:rsidRPr="00087F50">
        <w:t>apakšpunktu</w:t>
      </w:r>
      <w:proofErr w:type="spellEnd"/>
      <w:r w:rsidRPr="00087F50">
        <w:t xml:space="preserve">) </w:t>
      </w:r>
      <w:proofErr w:type="spellStart"/>
      <w:r w:rsidRPr="00087F50">
        <w:t>pazīmes</w:t>
      </w:r>
      <w:proofErr w:type="spellEnd"/>
      <w:r w:rsidRPr="00087F50">
        <w:t xml:space="preserve"> un </w:t>
      </w:r>
      <w:proofErr w:type="spellStart"/>
      <w:r w:rsidRPr="00087F50">
        <w:t>simptomi</w:t>
      </w:r>
      <w:proofErr w:type="spellEnd"/>
      <w:r w:rsidRPr="00087F50">
        <w:t xml:space="preserve"> </w:t>
      </w:r>
      <w:proofErr w:type="spellStart"/>
      <w:r w:rsidRPr="00087F50">
        <w:t>jādara</w:t>
      </w:r>
      <w:proofErr w:type="spellEnd"/>
      <w:r w:rsidRPr="00087F50">
        <w:t xml:space="preserve"> </w:t>
      </w:r>
      <w:proofErr w:type="spellStart"/>
      <w:r w:rsidRPr="00087F50">
        <w:t>zināmi</w:t>
      </w:r>
      <w:proofErr w:type="spellEnd"/>
      <w:r w:rsidRPr="00087F50">
        <w:t xml:space="preserve"> </w:t>
      </w:r>
      <w:proofErr w:type="spellStart"/>
      <w:r w:rsidRPr="00087F50">
        <w:t>pacientiem</w:t>
      </w:r>
      <w:proofErr w:type="spellEnd"/>
      <w:r w:rsidRPr="00087F50">
        <w:t xml:space="preserve">, </w:t>
      </w:r>
      <w:proofErr w:type="spellStart"/>
      <w:r w:rsidRPr="00087F50">
        <w:t>kā</w:t>
      </w:r>
      <w:proofErr w:type="spellEnd"/>
      <w:r w:rsidRPr="00087F50">
        <w:t xml:space="preserve"> </w:t>
      </w:r>
      <w:proofErr w:type="spellStart"/>
      <w:r w:rsidRPr="00087F50">
        <w:t>arī</w:t>
      </w:r>
      <w:proofErr w:type="spellEnd"/>
      <w:r w:rsidRPr="00087F50">
        <w:t xml:space="preserve"> </w:t>
      </w:r>
      <w:proofErr w:type="spellStart"/>
      <w:r w:rsidRPr="00087F50">
        <w:t>jāveic</w:t>
      </w:r>
      <w:proofErr w:type="spellEnd"/>
      <w:r w:rsidRPr="00087F50">
        <w:t xml:space="preserve"> </w:t>
      </w:r>
      <w:proofErr w:type="spellStart"/>
      <w:r w:rsidRPr="00087F50">
        <w:t>rūpīga</w:t>
      </w:r>
      <w:proofErr w:type="spellEnd"/>
      <w:r w:rsidRPr="00087F50">
        <w:t xml:space="preserve"> </w:t>
      </w:r>
      <w:proofErr w:type="spellStart"/>
      <w:r w:rsidRPr="00087F50">
        <w:t>to</w:t>
      </w:r>
      <w:proofErr w:type="spellEnd"/>
      <w:r w:rsidRPr="00087F50">
        <w:t xml:space="preserve"> </w:t>
      </w:r>
      <w:proofErr w:type="spellStart"/>
      <w:r w:rsidRPr="00087F50">
        <w:t>novērošana</w:t>
      </w:r>
      <w:proofErr w:type="spellEnd"/>
      <w:r w:rsidRPr="00087F50">
        <w:t xml:space="preserve">. </w:t>
      </w:r>
      <w:proofErr w:type="spellStart"/>
      <w:r w:rsidRPr="00087F50">
        <w:t>Ārstēšana</w:t>
      </w:r>
      <w:proofErr w:type="spellEnd"/>
      <w:r w:rsidRPr="00087F50">
        <w:t xml:space="preserve"> ar </w:t>
      </w:r>
      <w:proofErr w:type="spellStart"/>
      <w:r w:rsidRPr="00087F50">
        <w:t>febuksostatu</w:t>
      </w:r>
      <w:proofErr w:type="spellEnd"/>
      <w:r w:rsidRPr="00087F50">
        <w:t xml:space="preserve"> </w:t>
      </w:r>
      <w:proofErr w:type="spellStart"/>
      <w:r w:rsidRPr="00087F50">
        <w:t>nekavējoties</w:t>
      </w:r>
      <w:proofErr w:type="spellEnd"/>
      <w:r w:rsidRPr="00087F50">
        <w:t xml:space="preserve"> </w:t>
      </w:r>
      <w:proofErr w:type="spellStart"/>
      <w:r w:rsidRPr="00087F50">
        <w:t>jāpārtrauc</w:t>
      </w:r>
      <w:proofErr w:type="spellEnd"/>
      <w:r w:rsidRPr="00087F50">
        <w:t xml:space="preserve">, ja rodas </w:t>
      </w:r>
      <w:proofErr w:type="spellStart"/>
      <w:r w:rsidRPr="00087F50">
        <w:t>smagas</w:t>
      </w:r>
      <w:proofErr w:type="spellEnd"/>
      <w:r w:rsidRPr="00087F50">
        <w:t xml:space="preserve"> </w:t>
      </w:r>
      <w:proofErr w:type="spellStart"/>
      <w:r w:rsidRPr="00087F50">
        <w:t>alerģiskas</w:t>
      </w:r>
      <w:proofErr w:type="spellEnd"/>
      <w:r w:rsidRPr="00087F50">
        <w:t>/</w:t>
      </w:r>
      <w:proofErr w:type="spellStart"/>
      <w:r w:rsidRPr="00087F50">
        <w:t>paaugstinātas</w:t>
      </w:r>
      <w:proofErr w:type="spellEnd"/>
      <w:r w:rsidRPr="00087F50">
        <w:t xml:space="preserve"> </w:t>
      </w:r>
      <w:proofErr w:type="spellStart"/>
      <w:r w:rsidRPr="00087F50">
        <w:t>jutības</w:t>
      </w:r>
      <w:proofErr w:type="spellEnd"/>
      <w:r w:rsidRPr="00087F50">
        <w:t xml:space="preserve"> </w:t>
      </w:r>
      <w:proofErr w:type="spellStart"/>
      <w:r w:rsidRPr="00087F50">
        <w:t>reakcijas</w:t>
      </w:r>
      <w:proofErr w:type="spellEnd"/>
      <w:r w:rsidRPr="00087F50">
        <w:t xml:space="preserve">, </w:t>
      </w:r>
      <w:proofErr w:type="spellStart"/>
      <w:r w:rsidRPr="00087F50">
        <w:t>arī</w:t>
      </w:r>
      <w:proofErr w:type="spellEnd"/>
      <w:r w:rsidRPr="00087F50">
        <w:t xml:space="preserve"> </w:t>
      </w:r>
      <w:proofErr w:type="spellStart"/>
      <w:r w:rsidRPr="00087F50">
        <w:t>Stīvensa-Džonsona</w:t>
      </w:r>
      <w:proofErr w:type="spellEnd"/>
      <w:r w:rsidRPr="00087F50">
        <w:t xml:space="preserve"> </w:t>
      </w:r>
      <w:proofErr w:type="spellStart"/>
      <w:r w:rsidRPr="00087F50">
        <w:t>sindroms</w:t>
      </w:r>
      <w:proofErr w:type="spellEnd"/>
      <w:r w:rsidRPr="00087F50">
        <w:t xml:space="preserve">, </w:t>
      </w:r>
      <w:proofErr w:type="spellStart"/>
      <w:r w:rsidRPr="00087F50">
        <w:t>jo</w:t>
      </w:r>
      <w:proofErr w:type="spellEnd"/>
      <w:r w:rsidRPr="00087F50">
        <w:t xml:space="preserve">, </w:t>
      </w:r>
      <w:proofErr w:type="spellStart"/>
      <w:r w:rsidRPr="00087F50">
        <w:t>laikus</w:t>
      </w:r>
      <w:proofErr w:type="spellEnd"/>
      <w:r w:rsidRPr="00087F50">
        <w:t xml:space="preserve"> </w:t>
      </w:r>
      <w:proofErr w:type="spellStart"/>
      <w:r w:rsidRPr="00087F50">
        <w:t>pārtraucot</w:t>
      </w:r>
      <w:proofErr w:type="spellEnd"/>
      <w:r w:rsidRPr="00087F50">
        <w:t xml:space="preserve"> </w:t>
      </w:r>
      <w:proofErr w:type="spellStart"/>
      <w:r w:rsidRPr="00087F50">
        <w:t>zāļu</w:t>
      </w:r>
      <w:proofErr w:type="spellEnd"/>
      <w:r w:rsidRPr="00087F50">
        <w:t xml:space="preserve"> </w:t>
      </w:r>
      <w:proofErr w:type="spellStart"/>
      <w:r w:rsidRPr="00087F50">
        <w:t>lietošanu</w:t>
      </w:r>
      <w:proofErr w:type="spellEnd"/>
      <w:r w:rsidRPr="00087F50">
        <w:t xml:space="preserve">, </w:t>
      </w:r>
      <w:proofErr w:type="spellStart"/>
      <w:r w:rsidRPr="00087F50">
        <w:t>pacientam</w:t>
      </w:r>
      <w:proofErr w:type="spellEnd"/>
      <w:r w:rsidRPr="00087F50">
        <w:t xml:space="preserve"> ir </w:t>
      </w:r>
      <w:proofErr w:type="spellStart"/>
      <w:r w:rsidRPr="00087F50">
        <w:t>labāka</w:t>
      </w:r>
      <w:proofErr w:type="spellEnd"/>
      <w:r w:rsidRPr="00087F50">
        <w:t xml:space="preserve"> </w:t>
      </w:r>
      <w:proofErr w:type="spellStart"/>
      <w:r w:rsidRPr="00087F50">
        <w:t>prognoze</w:t>
      </w:r>
      <w:proofErr w:type="spellEnd"/>
      <w:r w:rsidRPr="00087F50">
        <w:t xml:space="preserve">. </w:t>
      </w:r>
      <w:proofErr w:type="spellStart"/>
      <w:r w:rsidRPr="00087F50">
        <w:t>Febuksostatu</w:t>
      </w:r>
      <w:proofErr w:type="spellEnd"/>
      <w:r w:rsidRPr="00087F50">
        <w:t xml:space="preserve"> </w:t>
      </w:r>
      <w:proofErr w:type="spellStart"/>
      <w:r w:rsidRPr="00087F50">
        <w:t>nedrīkst</w:t>
      </w:r>
      <w:proofErr w:type="spellEnd"/>
      <w:r w:rsidRPr="00087F50">
        <w:t xml:space="preserve"> </w:t>
      </w:r>
      <w:proofErr w:type="spellStart"/>
      <w:r w:rsidRPr="00087F50">
        <w:t>atkārtoti</w:t>
      </w:r>
      <w:proofErr w:type="spellEnd"/>
      <w:r w:rsidRPr="00087F50">
        <w:t xml:space="preserve"> </w:t>
      </w:r>
      <w:proofErr w:type="spellStart"/>
      <w:r w:rsidRPr="00087F50">
        <w:t>lietot</w:t>
      </w:r>
      <w:proofErr w:type="spellEnd"/>
      <w:r w:rsidRPr="00087F50">
        <w:t xml:space="preserve"> </w:t>
      </w:r>
      <w:proofErr w:type="spellStart"/>
      <w:r w:rsidRPr="00087F50">
        <w:t>pacienti</w:t>
      </w:r>
      <w:proofErr w:type="spellEnd"/>
      <w:r w:rsidRPr="00087F50">
        <w:t xml:space="preserve">, </w:t>
      </w:r>
      <w:proofErr w:type="spellStart"/>
      <w:r w:rsidRPr="00087F50">
        <w:t>kuriem</w:t>
      </w:r>
      <w:proofErr w:type="spellEnd"/>
      <w:r w:rsidRPr="00087F50">
        <w:t xml:space="preserve"> </w:t>
      </w:r>
      <w:proofErr w:type="spellStart"/>
      <w:r w:rsidRPr="00087F50">
        <w:t>radušās</w:t>
      </w:r>
      <w:proofErr w:type="spellEnd"/>
      <w:r w:rsidRPr="00087F50">
        <w:t xml:space="preserve"> </w:t>
      </w:r>
      <w:proofErr w:type="spellStart"/>
      <w:r w:rsidRPr="00087F50">
        <w:t>alerģiskas</w:t>
      </w:r>
      <w:proofErr w:type="spellEnd"/>
      <w:r w:rsidRPr="00087F50">
        <w:t>/</w:t>
      </w:r>
      <w:proofErr w:type="spellStart"/>
      <w:r w:rsidRPr="00087F50">
        <w:t>paaugstinātas</w:t>
      </w:r>
      <w:proofErr w:type="spellEnd"/>
      <w:r w:rsidRPr="00087F50">
        <w:t xml:space="preserve"> </w:t>
      </w:r>
      <w:proofErr w:type="spellStart"/>
      <w:r w:rsidRPr="00087F50">
        <w:t>jutības</w:t>
      </w:r>
      <w:proofErr w:type="spellEnd"/>
      <w:r w:rsidRPr="00087F50">
        <w:t xml:space="preserve"> </w:t>
      </w:r>
      <w:proofErr w:type="spellStart"/>
      <w:r w:rsidRPr="00087F50">
        <w:t>reakcijas</w:t>
      </w:r>
      <w:proofErr w:type="spellEnd"/>
      <w:r w:rsidRPr="00087F50">
        <w:t xml:space="preserve">, </w:t>
      </w:r>
      <w:proofErr w:type="spellStart"/>
      <w:r w:rsidRPr="00087F50">
        <w:t>arī</w:t>
      </w:r>
      <w:proofErr w:type="spellEnd"/>
      <w:r w:rsidRPr="00087F50">
        <w:t xml:space="preserve"> </w:t>
      </w:r>
      <w:proofErr w:type="spellStart"/>
      <w:r w:rsidRPr="00087F50">
        <w:t>Stīvensa-Džonsona</w:t>
      </w:r>
      <w:proofErr w:type="spellEnd"/>
      <w:r w:rsidRPr="00087F50">
        <w:t xml:space="preserve"> </w:t>
      </w:r>
      <w:proofErr w:type="spellStart"/>
      <w:r w:rsidRPr="00087F50">
        <w:t>sindroms</w:t>
      </w:r>
      <w:proofErr w:type="spellEnd"/>
      <w:r w:rsidRPr="00087F50">
        <w:t xml:space="preserve"> un </w:t>
      </w:r>
      <w:proofErr w:type="spellStart"/>
      <w:r w:rsidRPr="00087F50">
        <w:t>akūtas</w:t>
      </w:r>
      <w:proofErr w:type="spellEnd"/>
      <w:r w:rsidRPr="00087F50">
        <w:t xml:space="preserve"> </w:t>
      </w:r>
      <w:proofErr w:type="spellStart"/>
      <w:r w:rsidRPr="00087F50">
        <w:t>anafilaktiskas</w:t>
      </w:r>
      <w:proofErr w:type="spellEnd"/>
      <w:r w:rsidRPr="00087F50">
        <w:t xml:space="preserve"> </w:t>
      </w:r>
      <w:proofErr w:type="spellStart"/>
      <w:r w:rsidRPr="00087F50">
        <w:t>reakcijas</w:t>
      </w:r>
      <w:proofErr w:type="spellEnd"/>
      <w:r w:rsidRPr="00087F50">
        <w:t>/</w:t>
      </w:r>
      <w:proofErr w:type="spellStart"/>
      <w:r w:rsidRPr="00087F50">
        <w:t>šoks</w:t>
      </w:r>
      <w:proofErr w:type="spellEnd"/>
      <w:r w:rsidRPr="00087F50">
        <w:t xml:space="preserve">. </w:t>
      </w:r>
    </w:p>
    <w:p w14:paraId="012D32C0" w14:textId="77777777" w:rsidR="00A77DDF" w:rsidRPr="00087F50" w:rsidRDefault="00A77DDF" w:rsidP="00A77DDF">
      <w:pPr>
        <w:spacing w:after="0" w:line="259" w:lineRule="auto"/>
        <w:ind w:left="2" w:firstLine="0"/>
      </w:pPr>
      <w:r w:rsidRPr="00087F50">
        <w:rPr>
          <w:i/>
        </w:rPr>
        <w:t xml:space="preserve"> </w:t>
      </w:r>
    </w:p>
    <w:p w14:paraId="3E009C08" w14:textId="77777777" w:rsidR="00A77DDF" w:rsidRPr="00401B40" w:rsidRDefault="00A77DDF" w:rsidP="00A77DDF">
      <w:pPr>
        <w:spacing w:after="13" w:line="249" w:lineRule="auto"/>
        <w:ind w:left="-3" w:hanging="10"/>
        <w:rPr>
          <w:iCs/>
          <w:u w:val="single"/>
        </w:rPr>
      </w:pPr>
      <w:proofErr w:type="spellStart"/>
      <w:r w:rsidRPr="00401B40">
        <w:rPr>
          <w:iCs/>
          <w:u w:val="single"/>
        </w:rPr>
        <w:t>Akūtas</w:t>
      </w:r>
      <w:proofErr w:type="spellEnd"/>
      <w:r w:rsidRPr="00401B40">
        <w:rPr>
          <w:iCs/>
          <w:u w:val="single"/>
        </w:rPr>
        <w:t xml:space="preserve"> podagras </w:t>
      </w:r>
      <w:proofErr w:type="spellStart"/>
      <w:r w:rsidRPr="00401B40">
        <w:rPr>
          <w:iCs/>
          <w:u w:val="single"/>
        </w:rPr>
        <w:t>lēkmes</w:t>
      </w:r>
      <w:proofErr w:type="spellEnd"/>
      <w:r w:rsidRPr="00401B40">
        <w:rPr>
          <w:iCs/>
          <w:u w:val="single"/>
        </w:rPr>
        <w:t xml:space="preserve"> (podagras </w:t>
      </w:r>
      <w:proofErr w:type="spellStart"/>
      <w:r w:rsidRPr="00401B40">
        <w:rPr>
          <w:iCs/>
          <w:u w:val="single"/>
        </w:rPr>
        <w:t>saasinājumi</w:t>
      </w:r>
      <w:proofErr w:type="spellEnd"/>
      <w:r w:rsidRPr="00401B40">
        <w:rPr>
          <w:iCs/>
          <w:u w:val="single"/>
        </w:rPr>
        <w:t xml:space="preserve">) </w:t>
      </w:r>
    </w:p>
    <w:p w14:paraId="386EC629" w14:textId="77777777" w:rsidR="00A77DDF" w:rsidRPr="00087F50" w:rsidRDefault="00A77DDF" w:rsidP="00A77DDF">
      <w:pPr>
        <w:ind w:left="-3" w:right="9"/>
      </w:pPr>
      <w:proofErr w:type="spellStart"/>
      <w:r w:rsidRPr="00087F50">
        <w:t>Febuksostatu</w:t>
      </w:r>
      <w:proofErr w:type="spellEnd"/>
      <w:r w:rsidRPr="00087F50">
        <w:t xml:space="preserve"> </w:t>
      </w:r>
      <w:proofErr w:type="spellStart"/>
      <w:r w:rsidRPr="00087F50">
        <w:t>drīkst</w:t>
      </w:r>
      <w:proofErr w:type="spellEnd"/>
      <w:r w:rsidRPr="00087F50">
        <w:t xml:space="preserve"> </w:t>
      </w:r>
      <w:proofErr w:type="spellStart"/>
      <w:r w:rsidRPr="00087F50">
        <w:t>sākt</w:t>
      </w:r>
      <w:proofErr w:type="spellEnd"/>
      <w:r w:rsidRPr="00087F50">
        <w:t xml:space="preserve"> </w:t>
      </w:r>
      <w:proofErr w:type="spellStart"/>
      <w:r w:rsidRPr="00087F50">
        <w:t>lietot</w:t>
      </w:r>
      <w:proofErr w:type="spellEnd"/>
      <w:r w:rsidRPr="00087F50">
        <w:t xml:space="preserve"> </w:t>
      </w:r>
      <w:proofErr w:type="spellStart"/>
      <w:r w:rsidRPr="00087F50">
        <w:t>tikai</w:t>
      </w:r>
      <w:proofErr w:type="spellEnd"/>
      <w:r w:rsidRPr="00087F50">
        <w:t xml:space="preserve"> </w:t>
      </w:r>
      <w:proofErr w:type="spellStart"/>
      <w:r w:rsidRPr="00087F50">
        <w:t>pēc</w:t>
      </w:r>
      <w:proofErr w:type="spellEnd"/>
      <w:r w:rsidRPr="00087F50">
        <w:t xml:space="preserve"> </w:t>
      </w:r>
      <w:proofErr w:type="spellStart"/>
      <w:r w:rsidRPr="00087F50">
        <w:t>tam</w:t>
      </w:r>
      <w:proofErr w:type="spellEnd"/>
      <w:r w:rsidRPr="00087F50">
        <w:t xml:space="preserve">, </w:t>
      </w:r>
      <w:proofErr w:type="spellStart"/>
      <w:r w:rsidRPr="00087F50">
        <w:t>kad</w:t>
      </w:r>
      <w:proofErr w:type="spellEnd"/>
      <w:r w:rsidRPr="00087F50">
        <w:t xml:space="preserve"> </w:t>
      </w:r>
      <w:proofErr w:type="spellStart"/>
      <w:r w:rsidRPr="00087F50">
        <w:t>akūta</w:t>
      </w:r>
      <w:proofErr w:type="spellEnd"/>
      <w:r w:rsidRPr="00087F50">
        <w:t xml:space="preserve"> podagras </w:t>
      </w:r>
      <w:proofErr w:type="spellStart"/>
      <w:r w:rsidRPr="00087F50">
        <w:t>lēkme</w:t>
      </w:r>
      <w:proofErr w:type="spellEnd"/>
      <w:r w:rsidRPr="00087F50">
        <w:t xml:space="preserve"> ir </w:t>
      </w:r>
      <w:proofErr w:type="spellStart"/>
      <w:r w:rsidRPr="00087F50">
        <w:t>pilnībā</w:t>
      </w:r>
      <w:proofErr w:type="spellEnd"/>
      <w:r w:rsidRPr="00087F50">
        <w:t xml:space="preserve"> </w:t>
      </w:r>
      <w:proofErr w:type="spellStart"/>
      <w:r w:rsidRPr="00087F50">
        <w:t>norimusi</w:t>
      </w:r>
      <w:proofErr w:type="spellEnd"/>
      <w:r w:rsidRPr="00087F50">
        <w:t xml:space="preserve">. </w:t>
      </w:r>
    </w:p>
    <w:p w14:paraId="0CB4DD60" w14:textId="77777777" w:rsidR="00A77DDF" w:rsidRPr="00087F50" w:rsidRDefault="00A77DDF" w:rsidP="00A77DDF">
      <w:pPr>
        <w:ind w:left="-3" w:right="9"/>
      </w:pPr>
      <w:proofErr w:type="spellStart"/>
      <w:r w:rsidRPr="00087F50">
        <w:t>Febuksostata</w:t>
      </w:r>
      <w:proofErr w:type="spellEnd"/>
      <w:r w:rsidRPr="00087F50">
        <w:t xml:space="preserve"> </w:t>
      </w:r>
      <w:proofErr w:type="spellStart"/>
      <w:r w:rsidRPr="00087F50">
        <w:t>terapijas</w:t>
      </w:r>
      <w:proofErr w:type="spellEnd"/>
      <w:r w:rsidRPr="00087F50">
        <w:t xml:space="preserve"> </w:t>
      </w:r>
      <w:proofErr w:type="spellStart"/>
      <w:r w:rsidRPr="00087F50">
        <w:t>sākumā</w:t>
      </w:r>
      <w:proofErr w:type="spellEnd"/>
      <w:r w:rsidRPr="00087F50">
        <w:t xml:space="preserve">, </w:t>
      </w:r>
      <w:proofErr w:type="spellStart"/>
      <w:r w:rsidRPr="00087F50">
        <w:t>kad</w:t>
      </w:r>
      <w:proofErr w:type="spellEnd"/>
      <w:r w:rsidRPr="00087F50">
        <w:t xml:space="preserve"> </w:t>
      </w:r>
      <w:proofErr w:type="spellStart"/>
      <w:r w:rsidRPr="00087F50">
        <w:t>mainās</w:t>
      </w:r>
      <w:proofErr w:type="spellEnd"/>
      <w:r w:rsidRPr="00087F50">
        <w:t xml:space="preserve"> </w:t>
      </w:r>
      <w:proofErr w:type="spellStart"/>
      <w:r w:rsidRPr="00087F50">
        <w:t>urīnskābes</w:t>
      </w:r>
      <w:proofErr w:type="spellEnd"/>
      <w:r w:rsidRPr="00087F50">
        <w:t xml:space="preserve"> </w:t>
      </w:r>
      <w:proofErr w:type="spellStart"/>
      <w:r w:rsidRPr="00087F50">
        <w:t>līmenis</w:t>
      </w:r>
      <w:proofErr w:type="spellEnd"/>
      <w:r w:rsidRPr="00087F50">
        <w:t xml:space="preserve"> </w:t>
      </w:r>
      <w:proofErr w:type="spellStart"/>
      <w:r w:rsidRPr="00087F50">
        <w:t>serumā</w:t>
      </w:r>
      <w:proofErr w:type="spellEnd"/>
      <w:r w:rsidRPr="00087F50">
        <w:t xml:space="preserve"> un </w:t>
      </w:r>
      <w:proofErr w:type="spellStart"/>
      <w:r w:rsidRPr="00087F50">
        <w:t>tā</w:t>
      </w:r>
      <w:proofErr w:type="spellEnd"/>
      <w:r w:rsidRPr="00087F50">
        <w:t xml:space="preserve"> </w:t>
      </w:r>
      <w:proofErr w:type="spellStart"/>
      <w:r w:rsidRPr="00087F50">
        <w:t>rezultātā</w:t>
      </w:r>
      <w:proofErr w:type="spellEnd"/>
      <w:r w:rsidRPr="00087F50">
        <w:t xml:space="preserve"> </w:t>
      </w:r>
      <w:proofErr w:type="spellStart"/>
      <w:r w:rsidRPr="00087F50">
        <w:t>tiek</w:t>
      </w:r>
      <w:proofErr w:type="spellEnd"/>
      <w:r w:rsidRPr="00087F50">
        <w:t xml:space="preserve"> </w:t>
      </w:r>
      <w:proofErr w:type="spellStart"/>
      <w:r w:rsidRPr="00087F50">
        <w:t>mobilizēta</w:t>
      </w:r>
      <w:proofErr w:type="spellEnd"/>
      <w:r w:rsidRPr="00087F50">
        <w:t xml:space="preserve"> </w:t>
      </w:r>
      <w:proofErr w:type="spellStart"/>
      <w:r w:rsidRPr="00087F50">
        <w:t>audos</w:t>
      </w:r>
      <w:proofErr w:type="spellEnd"/>
      <w:r w:rsidRPr="00087F50">
        <w:t xml:space="preserve"> </w:t>
      </w:r>
      <w:proofErr w:type="spellStart"/>
      <w:r w:rsidRPr="00087F50">
        <w:t>izgulsnējusies</w:t>
      </w:r>
      <w:proofErr w:type="spellEnd"/>
      <w:r w:rsidRPr="00087F50">
        <w:t xml:space="preserve"> </w:t>
      </w:r>
      <w:proofErr w:type="spellStart"/>
      <w:r w:rsidRPr="00087F50">
        <w:t>urīnskābe</w:t>
      </w:r>
      <w:proofErr w:type="spellEnd"/>
      <w:r w:rsidRPr="00087F50">
        <w:t xml:space="preserve">, </w:t>
      </w:r>
      <w:proofErr w:type="spellStart"/>
      <w:r w:rsidRPr="00087F50">
        <w:t>var</w:t>
      </w:r>
      <w:proofErr w:type="spellEnd"/>
      <w:r w:rsidRPr="00087F50">
        <w:t xml:space="preserve"> </w:t>
      </w:r>
      <w:proofErr w:type="spellStart"/>
      <w:r w:rsidRPr="00087F50">
        <w:t>attīstīties</w:t>
      </w:r>
      <w:proofErr w:type="spellEnd"/>
      <w:r w:rsidRPr="00087F50">
        <w:t xml:space="preserve"> podagras </w:t>
      </w:r>
      <w:proofErr w:type="spellStart"/>
      <w:r w:rsidRPr="00087F50">
        <w:t>saasinājumi</w:t>
      </w:r>
      <w:proofErr w:type="spellEnd"/>
      <w:r w:rsidRPr="00087F50">
        <w:t xml:space="preserve"> (</w:t>
      </w:r>
      <w:proofErr w:type="spellStart"/>
      <w:r w:rsidRPr="00087F50">
        <w:t>skatīt</w:t>
      </w:r>
      <w:proofErr w:type="spellEnd"/>
      <w:r w:rsidRPr="00087F50">
        <w:t xml:space="preserve"> 4.8. un 5.1. </w:t>
      </w:r>
      <w:proofErr w:type="spellStart"/>
      <w:r w:rsidRPr="00087F50">
        <w:t>apakšpunktu</w:t>
      </w:r>
      <w:proofErr w:type="spellEnd"/>
      <w:r w:rsidRPr="00087F50">
        <w:t xml:space="preserve">). </w:t>
      </w:r>
      <w:proofErr w:type="spellStart"/>
      <w:r w:rsidRPr="00087F50">
        <w:t>Pirms</w:t>
      </w:r>
      <w:proofErr w:type="spellEnd"/>
      <w:r w:rsidRPr="00087F50">
        <w:t xml:space="preserve"> </w:t>
      </w:r>
      <w:proofErr w:type="spellStart"/>
      <w:r w:rsidRPr="00087F50">
        <w:t>febuksostata</w:t>
      </w:r>
      <w:proofErr w:type="spellEnd"/>
      <w:r w:rsidRPr="00087F50">
        <w:t xml:space="preserve"> </w:t>
      </w:r>
      <w:proofErr w:type="spellStart"/>
      <w:r w:rsidRPr="00087F50">
        <w:t>terapijas</w:t>
      </w:r>
      <w:proofErr w:type="spellEnd"/>
      <w:r w:rsidRPr="00087F50">
        <w:t xml:space="preserve"> ir </w:t>
      </w:r>
      <w:proofErr w:type="spellStart"/>
      <w:r w:rsidRPr="00087F50">
        <w:t>ieteicama</w:t>
      </w:r>
      <w:proofErr w:type="spellEnd"/>
      <w:r w:rsidRPr="00087F50">
        <w:t xml:space="preserve"> </w:t>
      </w:r>
      <w:proofErr w:type="spellStart"/>
      <w:r w:rsidRPr="00087F50">
        <w:t>vismaz</w:t>
      </w:r>
      <w:proofErr w:type="spellEnd"/>
      <w:r w:rsidRPr="00087F50">
        <w:t xml:space="preserve"> 6 </w:t>
      </w:r>
      <w:proofErr w:type="spellStart"/>
      <w:r w:rsidRPr="00087F50">
        <w:t>mēnešus</w:t>
      </w:r>
      <w:proofErr w:type="spellEnd"/>
      <w:r w:rsidRPr="00087F50">
        <w:t xml:space="preserve"> </w:t>
      </w:r>
      <w:proofErr w:type="spellStart"/>
      <w:r w:rsidRPr="00087F50">
        <w:t>ilga</w:t>
      </w:r>
      <w:proofErr w:type="spellEnd"/>
      <w:r w:rsidRPr="00087F50">
        <w:t xml:space="preserve"> podagras </w:t>
      </w:r>
      <w:proofErr w:type="spellStart"/>
      <w:r w:rsidRPr="00087F50">
        <w:t>saasinājuma</w:t>
      </w:r>
      <w:proofErr w:type="spellEnd"/>
      <w:r w:rsidRPr="00087F50">
        <w:t xml:space="preserve"> </w:t>
      </w:r>
      <w:proofErr w:type="spellStart"/>
      <w:r w:rsidRPr="00087F50">
        <w:t>profilakse</w:t>
      </w:r>
      <w:proofErr w:type="spellEnd"/>
      <w:r w:rsidRPr="00087F50">
        <w:t xml:space="preserve">, </w:t>
      </w:r>
      <w:proofErr w:type="spellStart"/>
      <w:r w:rsidRPr="00087F50">
        <w:t>lietojot</w:t>
      </w:r>
      <w:proofErr w:type="spellEnd"/>
      <w:r w:rsidRPr="00087F50">
        <w:t xml:space="preserve"> NPL (</w:t>
      </w:r>
      <w:proofErr w:type="spellStart"/>
      <w:r w:rsidRPr="00087F50">
        <w:t>nesteroīdos</w:t>
      </w:r>
      <w:proofErr w:type="spellEnd"/>
      <w:r w:rsidRPr="00087F50">
        <w:t xml:space="preserve"> </w:t>
      </w:r>
      <w:proofErr w:type="spellStart"/>
      <w:r w:rsidRPr="00087F50">
        <w:t>pretiekaisuma</w:t>
      </w:r>
      <w:proofErr w:type="spellEnd"/>
      <w:r w:rsidRPr="00087F50">
        <w:t xml:space="preserve"> </w:t>
      </w:r>
      <w:proofErr w:type="spellStart"/>
      <w:r w:rsidRPr="00087F50">
        <w:t>līdzekļus</w:t>
      </w:r>
      <w:proofErr w:type="spellEnd"/>
      <w:r w:rsidRPr="00087F50">
        <w:t xml:space="preserve">) </w:t>
      </w:r>
      <w:proofErr w:type="spellStart"/>
      <w:r w:rsidRPr="00087F50">
        <w:t>vai</w:t>
      </w:r>
      <w:proofErr w:type="spellEnd"/>
      <w:r w:rsidRPr="00087F50">
        <w:t xml:space="preserve"> </w:t>
      </w:r>
      <w:proofErr w:type="spellStart"/>
      <w:r w:rsidRPr="00087F50">
        <w:t>kolhicīnu</w:t>
      </w:r>
      <w:proofErr w:type="spellEnd"/>
      <w:r w:rsidRPr="00087F50">
        <w:t xml:space="preserve"> (</w:t>
      </w:r>
      <w:proofErr w:type="spellStart"/>
      <w:r w:rsidRPr="00087F50">
        <w:t>skatīt</w:t>
      </w:r>
      <w:proofErr w:type="spellEnd"/>
      <w:r w:rsidRPr="00087F50">
        <w:t xml:space="preserve"> 4.2. </w:t>
      </w:r>
      <w:proofErr w:type="spellStart"/>
      <w:r w:rsidRPr="00087F50">
        <w:t>apakšpunktu</w:t>
      </w:r>
      <w:proofErr w:type="spellEnd"/>
      <w:r w:rsidRPr="00087F50">
        <w:t xml:space="preserve">). </w:t>
      </w:r>
    </w:p>
    <w:p w14:paraId="119D747C" w14:textId="77777777" w:rsidR="00A77DDF" w:rsidRPr="00087F50" w:rsidRDefault="00A77DDF" w:rsidP="00A77DDF">
      <w:pPr>
        <w:ind w:left="-3" w:right="9"/>
      </w:pPr>
      <w:r w:rsidRPr="00087F50">
        <w:t xml:space="preserve">Ja podagras </w:t>
      </w:r>
      <w:proofErr w:type="spellStart"/>
      <w:r w:rsidRPr="00087F50">
        <w:t>saasinājums</w:t>
      </w:r>
      <w:proofErr w:type="spellEnd"/>
      <w:r w:rsidRPr="00087F50">
        <w:t xml:space="preserve"> </w:t>
      </w:r>
      <w:proofErr w:type="spellStart"/>
      <w:r w:rsidRPr="00087F50">
        <w:t>attīstās</w:t>
      </w:r>
      <w:proofErr w:type="spellEnd"/>
      <w:r w:rsidRPr="00087F50">
        <w:t xml:space="preserve"> </w:t>
      </w:r>
      <w:proofErr w:type="spellStart"/>
      <w:r w:rsidRPr="00087F50">
        <w:t>febuksostata</w:t>
      </w:r>
      <w:proofErr w:type="spellEnd"/>
      <w:r w:rsidRPr="00087F50">
        <w:t xml:space="preserve"> </w:t>
      </w:r>
      <w:proofErr w:type="spellStart"/>
      <w:r w:rsidRPr="00087F50">
        <w:t>terapijas</w:t>
      </w:r>
      <w:proofErr w:type="spellEnd"/>
      <w:r w:rsidRPr="00087F50">
        <w:t xml:space="preserve"> </w:t>
      </w:r>
      <w:proofErr w:type="spellStart"/>
      <w:r w:rsidRPr="00087F50">
        <w:t>laikā</w:t>
      </w:r>
      <w:proofErr w:type="spellEnd"/>
      <w:r w:rsidRPr="00087F50">
        <w:t xml:space="preserve">, </w:t>
      </w:r>
      <w:proofErr w:type="spellStart"/>
      <w:r w:rsidRPr="00087F50">
        <w:t>preparāta</w:t>
      </w:r>
      <w:proofErr w:type="spellEnd"/>
      <w:r w:rsidRPr="00087F50">
        <w:t xml:space="preserve"> </w:t>
      </w:r>
      <w:proofErr w:type="spellStart"/>
      <w:r w:rsidRPr="00087F50">
        <w:t>lietošana</w:t>
      </w:r>
      <w:proofErr w:type="spellEnd"/>
      <w:r w:rsidRPr="00087F50">
        <w:t xml:space="preserve"> </w:t>
      </w:r>
      <w:proofErr w:type="spellStart"/>
      <w:r w:rsidRPr="00087F50">
        <w:t>nav</w:t>
      </w:r>
      <w:proofErr w:type="spellEnd"/>
      <w:r w:rsidRPr="00087F50">
        <w:t xml:space="preserve"> </w:t>
      </w:r>
      <w:proofErr w:type="spellStart"/>
      <w:r w:rsidRPr="00087F50">
        <w:t>jāpārtrauc</w:t>
      </w:r>
      <w:proofErr w:type="spellEnd"/>
      <w:r w:rsidRPr="00087F50">
        <w:t xml:space="preserve">. Podagras </w:t>
      </w:r>
      <w:proofErr w:type="spellStart"/>
      <w:r w:rsidRPr="00087F50">
        <w:t>saasinājums</w:t>
      </w:r>
      <w:proofErr w:type="spellEnd"/>
      <w:r w:rsidRPr="00087F50">
        <w:t xml:space="preserve"> ir </w:t>
      </w:r>
      <w:proofErr w:type="spellStart"/>
      <w:r w:rsidRPr="00087F50">
        <w:t>jākontrolē</w:t>
      </w:r>
      <w:proofErr w:type="spellEnd"/>
      <w:r w:rsidRPr="00087F50">
        <w:t xml:space="preserve"> </w:t>
      </w:r>
      <w:proofErr w:type="spellStart"/>
      <w:r w:rsidRPr="00087F50">
        <w:t>ārstēšanas</w:t>
      </w:r>
      <w:proofErr w:type="spellEnd"/>
      <w:r w:rsidRPr="00087F50">
        <w:t xml:space="preserve"> </w:t>
      </w:r>
      <w:proofErr w:type="spellStart"/>
      <w:r w:rsidRPr="00087F50">
        <w:t>gaitā</w:t>
      </w:r>
      <w:proofErr w:type="spellEnd"/>
      <w:r w:rsidRPr="00087F50">
        <w:t xml:space="preserve">, </w:t>
      </w:r>
      <w:proofErr w:type="spellStart"/>
      <w:r w:rsidRPr="00087F50">
        <w:t>atbilstoši</w:t>
      </w:r>
      <w:proofErr w:type="spellEnd"/>
      <w:r w:rsidRPr="00087F50">
        <w:t xml:space="preserve"> </w:t>
      </w:r>
      <w:proofErr w:type="spellStart"/>
      <w:r w:rsidRPr="00087F50">
        <w:t>katra</w:t>
      </w:r>
      <w:proofErr w:type="spellEnd"/>
      <w:r w:rsidRPr="00087F50">
        <w:t xml:space="preserve"> </w:t>
      </w:r>
      <w:proofErr w:type="spellStart"/>
      <w:r w:rsidRPr="00087F50">
        <w:t>pacienta</w:t>
      </w:r>
      <w:proofErr w:type="spellEnd"/>
      <w:r w:rsidRPr="00087F50">
        <w:t xml:space="preserve"> </w:t>
      </w:r>
      <w:proofErr w:type="spellStart"/>
      <w:r w:rsidRPr="00087F50">
        <w:t>stāvoklim</w:t>
      </w:r>
      <w:proofErr w:type="spellEnd"/>
      <w:r w:rsidRPr="00087F50">
        <w:t xml:space="preserve">. </w:t>
      </w:r>
      <w:proofErr w:type="spellStart"/>
      <w:r w:rsidRPr="00087F50">
        <w:t>Ilgstoši</w:t>
      </w:r>
      <w:proofErr w:type="spellEnd"/>
      <w:r w:rsidRPr="00087F50">
        <w:t xml:space="preserve"> </w:t>
      </w:r>
      <w:proofErr w:type="spellStart"/>
      <w:r w:rsidRPr="00087F50">
        <w:t>lietojot</w:t>
      </w:r>
      <w:proofErr w:type="spellEnd"/>
      <w:r w:rsidRPr="00087F50">
        <w:t xml:space="preserve"> </w:t>
      </w:r>
      <w:proofErr w:type="spellStart"/>
      <w:r w:rsidRPr="00087F50">
        <w:t>febuksostatu</w:t>
      </w:r>
      <w:proofErr w:type="spellEnd"/>
      <w:r w:rsidRPr="00087F50">
        <w:t xml:space="preserve">, podagras </w:t>
      </w:r>
      <w:proofErr w:type="spellStart"/>
      <w:r w:rsidRPr="00087F50">
        <w:t>saasinājumu</w:t>
      </w:r>
      <w:proofErr w:type="spellEnd"/>
      <w:r w:rsidRPr="00087F50">
        <w:t xml:space="preserve"> </w:t>
      </w:r>
      <w:proofErr w:type="spellStart"/>
      <w:r w:rsidRPr="00087F50">
        <w:t>biežums</w:t>
      </w:r>
      <w:proofErr w:type="spellEnd"/>
      <w:r w:rsidRPr="00087F50">
        <w:t xml:space="preserve"> un </w:t>
      </w:r>
      <w:proofErr w:type="spellStart"/>
      <w:r w:rsidRPr="00087F50">
        <w:t>intensitāte</w:t>
      </w:r>
      <w:proofErr w:type="spellEnd"/>
      <w:r w:rsidRPr="00087F50">
        <w:t xml:space="preserve"> </w:t>
      </w:r>
      <w:proofErr w:type="spellStart"/>
      <w:r w:rsidRPr="00087F50">
        <w:t>samazinās</w:t>
      </w:r>
      <w:proofErr w:type="spellEnd"/>
      <w:r w:rsidRPr="00087F50">
        <w:t xml:space="preserve">. </w:t>
      </w:r>
    </w:p>
    <w:p w14:paraId="608A6CE5" w14:textId="77777777" w:rsidR="00A77DDF" w:rsidRPr="00087F50" w:rsidRDefault="00A77DDF" w:rsidP="00A77DDF">
      <w:pPr>
        <w:spacing w:after="0" w:line="259" w:lineRule="auto"/>
        <w:ind w:left="2" w:firstLine="0"/>
      </w:pPr>
      <w:r w:rsidRPr="00087F50">
        <w:rPr>
          <w:i/>
        </w:rPr>
        <w:t xml:space="preserve"> </w:t>
      </w:r>
    </w:p>
    <w:p w14:paraId="398081B5" w14:textId="77777777" w:rsidR="00A77DDF" w:rsidRPr="00401B40" w:rsidRDefault="00A77DDF" w:rsidP="00A77DDF">
      <w:pPr>
        <w:spacing w:after="13" w:line="249" w:lineRule="auto"/>
        <w:ind w:left="-3" w:hanging="10"/>
        <w:rPr>
          <w:iCs/>
          <w:u w:val="single"/>
        </w:rPr>
      </w:pPr>
      <w:proofErr w:type="spellStart"/>
      <w:r w:rsidRPr="00401B40">
        <w:rPr>
          <w:iCs/>
          <w:u w:val="single"/>
        </w:rPr>
        <w:t>Ksantīna</w:t>
      </w:r>
      <w:proofErr w:type="spellEnd"/>
      <w:r w:rsidRPr="00401B40">
        <w:rPr>
          <w:iCs/>
          <w:u w:val="single"/>
        </w:rPr>
        <w:t xml:space="preserve"> </w:t>
      </w:r>
      <w:proofErr w:type="spellStart"/>
      <w:r w:rsidRPr="00401B40">
        <w:rPr>
          <w:iCs/>
          <w:u w:val="single"/>
        </w:rPr>
        <w:t>uzkrāšanās</w:t>
      </w:r>
      <w:proofErr w:type="spellEnd"/>
      <w:r w:rsidRPr="00401B40">
        <w:rPr>
          <w:iCs/>
          <w:u w:val="single"/>
        </w:rPr>
        <w:t xml:space="preserve"> </w:t>
      </w:r>
    </w:p>
    <w:p w14:paraId="11FCC18B" w14:textId="2EABAD4D" w:rsidR="00A77DDF" w:rsidRPr="00087F50" w:rsidRDefault="00A77DDF" w:rsidP="00A77DDF">
      <w:pPr>
        <w:ind w:left="-3" w:right="9"/>
      </w:pPr>
      <w:proofErr w:type="spellStart"/>
      <w:r w:rsidRPr="00087F50">
        <w:t>Pacientiem</w:t>
      </w:r>
      <w:proofErr w:type="spellEnd"/>
      <w:r w:rsidRPr="00087F50">
        <w:t xml:space="preserve"> ar </w:t>
      </w:r>
      <w:proofErr w:type="spellStart"/>
      <w:r w:rsidRPr="00087F50">
        <w:t>izteikti</w:t>
      </w:r>
      <w:proofErr w:type="spellEnd"/>
      <w:r w:rsidRPr="00087F50">
        <w:t xml:space="preserve"> </w:t>
      </w:r>
      <w:proofErr w:type="spellStart"/>
      <w:r w:rsidRPr="00087F50">
        <w:t>pastiprinātu</w:t>
      </w:r>
      <w:proofErr w:type="spellEnd"/>
      <w:r w:rsidRPr="00087F50">
        <w:t xml:space="preserve"> </w:t>
      </w:r>
      <w:proofErr w:type="spellStart"/>
      <w:r w:rsidRPr="00087F50">
        <w:t>urīnskābes</w:t>
      </w:r>
      <w:proofErr w:type="spellEnd"/>
      <w:r w:rsidRPr="00087F50">
        <w:t xml:space="preserve"> </w:t>
      </w:r>
      <w:proofErr w:type="spellStart"/>
      <w:r w:rsidRPr="00087F50">
        <w:t>veidošanās</w:t>
      </w:r>
      <w:proofErr w:type="spellEnd"/>
      <w:r w:rsidRPr="00087F50">
        <w:t xml:space="preserve"> </w:t>
      </w:r>
      <w:proofErr w:type="spellStart"/>
      <w:r w:rsidRPr="00087F50">
        <w:t>intensitāti</w:t>
      </w:r>
      <w:proofErr w:type="spellEnd"/>
      <w:r w:rsidRPr="00087F50">
        <w:t xml:space="preserve"> (</w:t>
      </w:r>
      <w:proofErr w:type="spellStart"/>
      <w:r w:rsidRPr="00087F50">
        <w:t>piemēram</w:t>
      </w:r>
      <w:proofErr w:type="spellEnd"/>
      <w:r w:rsidRPr="00087F50">
        <w:t xml:space="preserve">, </w:t>
      </w:r>
      <w:proofErr w:type="spellStart"/>
      <w:r w:rsidRPr="00087F50">
        <w:t>ļaundabīgo</w:t>
      </w:r>
      <w:proofErr w:type="spellEnd"/>
      <w:r w:rsidRPr="00087F50">
        <w:t xml:space="preserve"> </w:t>
      </w:r>
      <w:proofErr w:type="spellStart"/>
      <w:r w:rsidRPr="00087F50">
        <w:t>slimību</w:t>
      </w:r>
      <w:proofErr w:type="spellEnd"/>
      <w:r w:rsidRPr="00087F50">
        <w:t xml:space="preserve"> un </w:t>
      </w:r>
      <w:proofErr w:type="spellStart"/>
      <w:r w:rsidRPr="00087F50">
        <w:t>to</w:t>
      </w:r>
      <w:proofErr w:type="spellEnd"/>
      <w:r w:rsidRPr="00087F50">
        <w:t xml:space="preserve"> </w:t>
      </w:r>
      <w:proofErr w:type="spellStart"/>
      <w:r w:rsidRPr="00087F50">
        <w:t>ārstēšanas</w:t>
      </w:r>
      <w:proofErr w:type="spellEnd"/>
      <w:r w:rsidRPr="00087F50">
        <w:t xml:space="preserve"> </w:t>
      </w:r>
      <w:proofErr w:type="spellStart"/>
      <w:r w:rsidRPr="00087F50">
        <w:t>laikā</w:t>
      </w:r>
      <w:proofErr w:type="spellEnd"/>
      <w:r w:rsidRPr="00087F50">
        <w:t xml:space="preserve"> </w:t>
      </w:r>
      <w:proofErr w:type="spellStart"/>
      <w:r w:rsidRPr="00087F50">
        <w:t>vai</w:t>
      </w:r>
      <w:proofErr w:type="spellEnd"/>
      <w:r w:rsidRPr="00087F50">
        <w:t xml:space="preserve"> </w:t>
      </w:r>
      <w:proofErr w:type="spellStart"/>
      <w:r w:rsidRPr="00087F50">
        <w:t>slimojot</w:t>
      </w:r>
      <w:proofErr w:type="spellEnd"/>
      <w:r w:rsidRPr="00087F50">
        <w:t xml:space="preserve"> ar </w:t>
      </w:r>
      <w:proofErr w:type="spellStart"/>
      <w:r w:rsidRPr="00087F50">
        <w:t>Leša-Nihana</w:t>
      </w:r>
      <w:proofErr w:type="spellEnd"/>
      <w:r w:rsidRPr="00087F50">
        <w:t xml:space="preserve"> </w:t>
      </w:r>
      <w:proofErr w:type="spellStart"/>
      <w:r w:rsidRPr="00087F50">
        <w:t>sindromu</w:t>
      </w:r>
      <w:proofErr w:type="spellEnd"/>
      <w:r w:rsidRPr="00087F50">
        <w:t xml:space="preserve">) </w:t>
      </w:r>
      <w:proofErr w:type="spellStart"/>
      <w:r w:rsidRPr="00087F50">
        <w:t>ksantīna</w:t>
      </w:r>
      <w:proofErr w:type="spellEnd"/>
      <w:r w:rsidRPr="00087F50">
        <w:t xml:space="preserve"> </w:t>
      </w:r>
      <w:proofErr w:type="spellStart"/>
      <w:r w:rsidRPr="00087F50">
        <w:t>absolūtā</w:t>
      </w:r>
      <w:proofErr w:type="spellEnd"/>
      <w:r w:rsidRPr="00087F50">
        <w:t xml:space="preserve"> </w:t>
      </w:r>
      <w:proofErr w:type="spellStart"/>
      <w:r w:rsidRPr="00087F50">
        <w:t>koncentrācija</w:t>
      </w:r>
      <w:proofErr w:type="spellEnd"/>
      <w:r w:rsidRPr="00087F50">
        <w:t xml:space="preserve"> </w:t>
      </w:r>
      <w:proofErr w:type="spellStart"/>
      <w:r w:rsidRPr="00087F50">
        <w:t>urīnā</w:t>
      </w:r>
      <w:proofErr w:type="spellEnd"/>
      <w:r w:rsidRPr="00087F50">
        <w:t xml:space="preserve"> retos </w:t>
      </w:r>
      <w:proofErr w:type="spellStart"/>
      <w:r w:rsidRPr="00087F50">
        <w:t>gadījumos</w:t>
      </w:r>
      <w:proofErr w:type="spellEnd"/>
      <w:r w:rsidRPr="00087F50">
        <w:t xml:space="preserve"> </w:t>
      </w:r>
      <w:proofErr w:type="spellStart"/>
      <w:r w:rsidRPr="00087F50">
        <w:t>var</w:t>
      </w:r>
      <w:proofErr w:type="spellEnd"/>
      <w:r w:rsidRPr="00087F50">
        <w:t xml:space="preserve"> </w:t>
      </w:r>
      <w:proofErr w:type="spellStart"/>
      <w:r w:rsidRPr="00087F50">
        <w:t>pieaugt</w:t>
      </w:r>
      <w:proofErr w:type="spellEnd"/>
      <w:r w:rsidRPr="00087F50">
        <w:t xml:space="preserve"> </w:t>
      </w:r>
      <w:proofErr w:type="spellStart"/>
      <w:r w:rsidRPr="00087F50">
        <w:t>līdz</w:t>
      </w:r>
      <w:proofErr w:type="spellEnd"/>
      <w:r w:rsidRPr="00087F50">
        <w:t xml:space="preserve"> </w:t>
      </w:r>
      <w:proofErr w:type="spellStart"/>
      <w:r w:rsidRPr="00087F50">
        <w:t>līmenim</w:t>
      </w:r>
      <w:proofErr w:type="spellEnd"/>
      <w:r w:rsidRPr="00087F50">
        <w:t xml:space="preserve">, pie </w:t>
      </w:r>
      <w:proofErr w:type="spellStart"/>
      <w:r w:rsidRPr="00087F50">
        <w:t>kura</w:t>
      </w:r>
      <w:proofErr w:type="spellEnd"/>
      <w:r w:rsidRPr="00087F50">
        <w:t xml:space="preserve"> </w:t>
      </w:r>
      <w:proofErr w:type="spellStart"/>
      <w:r w:rsidRPr="00087F50">
        <w:t>notiek</w:t>
      </w:r>
      <w:proofErr w:type="spellEnd"/>
      <w:r w:rsidRPr="00087F50">
        <w:t xml:space="preserve"> </w:t>
      </w:r>
      <w:proofErr w:type="spellStart"/>
      <w:r w:rsidRPr="00087F50">
        <w:t>šīs</w:t>
      </w:r>
      <w:proofErr w:type="spellEnd"/>
      <w:r w:rsidRPr="00087F50">
        <w:t xml:space="preserve"> </w:t>
      </w:r>
      <w:proofErr w:type="spellStart"/>
      <w:r w:rsidRPr="00087F50">
        <w:t>vielas</w:t>
      </w:r>
      <w:proofErr w:type="spellEnd"/>
      <w:r w:rsidRPr="00087F50">
        <w:t xml:space="preserve"> </w:t>
      </w:r>
      <w:proofErr w:type="spellStart"/>
      <w:r w:rsidRPr="00087F50">
        <w:t>uzkrāšanās</w:t>
      </w:r>
      <w:proofErr w:type="spellEnd"/>
      <w:r w:rsidRPr="00087F50">
        <w:t xml:space="preserve"> </w:t>
      </w:r>
      <w:proofErr w:type="spellStart"/>
      <w:r w:rsidRPr="00087F50">
        <w:t>urīnceļos</w:t>
      </w:r>
      <w:proofErr w:type="spellEnd"/>
      <w:r w:rsidRPr="00087F50">
        <w:t xml:space="preserve">. Tas </w:t>
      </w:r>
      <w:proofErr w:type="spellStart"/>
      <w:r w:rsidRPr="00087F50">
        <w:t>netika</w:t>
      </w:r>
      <w:proofErr w:type="spellEnd"/>
      <w:r w:rsidRPr="00087F50">
        <w:t xml:space="preserve"> </w:t>
      </w:r>
      <w:proofErr w:type="spellStart"/>
      <w:r w:rsidRPr="00087F50">
        <w:t>novērots</w:t>
      </w:r>
      <w:proofErr w:type="spellEnd"/>
      <w:r w:rsidRPr="00087F50">
        <w:t xml:space="preserve"> </w:t>
      </w:r>
      <w:proofErr w:type="spellStart"/>
      <w:r w:rsidRPr="00087F50">
        <w:t>Febuxostat</w:t>
      </w:r>
      <w:proofErr w:type="spellEnd"/>
      <w:r w:rsidRPr="00087F50">
        <w:t xml:space="preserve"> </w:t>
      </w:r>
      <w:r w:rsidR="00997BE3" w:rsidRPr="00087F50">
        <w:t>Zentiva</w:t>
      </w:r>
      <w:r w:rsidRPr="00087F50">
        <w:t xml:space="preserve"> </w:t>
      </w:r>
      <w:proofErr w:type="spellStart"/>
      <w:r w:rsidRPr="00087F50">
        <w:t>klīniskajā</w:t>
      </w:r>
      <w:proofErr w:type="spellEnd"/>
      <w:r w:rsidRPr="00087F50">
        <w:t xml:space="preserve"> </w:t>
      </w:r>
      <w:proofErr w:type="spellStart"/>
      <w:r w:rsidRPr="00087F50">
        <w:t>pamatpētījumā</w:t>
      </w:r>
      <w:proofErr w:type="spellEnd"/>
      <w:r w:rsidRPr="00087F50">
        <w:t xml:space="preserve">, </w:t>
      </w:r>
      <w:proofErr w:type="spellStart"/>
      <w:r w:rsidRPr="00087F50">
        <w:t>ārstējot</w:t>
      </w:r>
      <w:proofErr w:type="spellEnd"/>
      <w:r w:rsidRPr="00087F50">
        <w:t xml:space="preserve"> </w:t>
      </w:r>
      <w:proofErr w:type="spellStart"/>
      <w:r w:rsidRPr="00087F50">
        <w:t>tumora</w:t>
      </w:r>
      <w:proofErr w:type="spellEnd"/>
      <w:r w:rsidRPr="00087F50">
        <w:t xml:space="preserve"> </w:t>
      </w:r>
      <w:proofErr w:type="spellStart"/>
      <w:r w:rsidRPr="00087F50">
        <w:t>līzes</w:t>
      </w:r>
      <w:proofErr w:type="spellEnd"/>
      <w:r w:rsidRPr="00087F50">
        <w:t xml:space="preserve"> </w:t>
      </w:r>
      <w:proofErr w:type="spellStart"/>
      <w:r w:rsidRPr="00087F50">
        <w:t>sindromu</w:t>
      </w:r>
      <w:proofErr w:type="spellEnd"/>
      <w:r w:rsidRPr="00087F50">
        <w:t xml:space="preserve">. </w:t>
      </w:r>
      <w:proofErr w:type="spellStart"/>
      <w:r w:rsidRPr="00087F50">
        <w:t>Tā</w:t>
      </w:r>
      <w:proofErr w:type="spellEnd"/>
      <w:r w:rsidRPr="00087F50">
        <w:t xml:space="preserve"> </w:t>
      </w:r>
      <w:proofErr w:type="spellStart"/>
      <w:r w:rsidRPr="00087F50">
        <w:t>kā</w:t>
      </w:r>
      <w:proofErr w:type="spellEnd"/>
      <w:r w:rsidRPr="00087F50">
        <w:t xml:space="preserve"> </w:t>
      </w:r>
      <w:proofErr w:type="spellStart"/>
      <w:r w:rsidRPr="00087F50">
        <w:t>pieredzes</w:t>
      </w:r>
      <w:proofErr w:type="spellEnd"/>
      <w:r w:rsidRPr="00087F50">
        <w:t xml:space="preserve"> par </w:t>
      </w:r>
      <w:proofErr w:type="spellStart"/>
      <w:r w:rsidRPr="00087F50">
        <w:t>febuksostata</w:t>
      </w:r>
      <w:proofErr w:type="spellEnd"/>
      <w:r w:rsidRPr="00087F50">
        <w:t xml:space="preserve"> </w:t>
      </w:r>
      <w:proofErr w:type="spellStart"/>
      <w:r w:rsidRPr="00087F50">
        <w:t>lietošanu</w:t>
      </w:r>
      <w:proofErr w:type="spellEnd"/>
      <w:r w:rsidRPr="00087F50">
        <w:t xml:space="preserve"> </w:t>
      </w:r>
      <w:proofErr w:type="spellStart"/>
      <w:r w:rsidRPr="00087F50">
        <w:t>nav</w:t>
      </w:r>
      <w:proofErr w:type="spellEnd"/>
      <w:r w:rsidRPr="00087F50">
        <w:t xml:space="preserve">, </w:t>
      </w:r>
      <w:proofErr w:type="spellStart"/>
      <w:r w:rsidRPr="00087F50">
        <w:t>ārstējot</w:t>
      </w:r>
      <w:proofErr w:type="spellEnd"/>
      <w:r w:rsidRPr="00087F50">
        <w:t xml:space="preserve"> </w:t>
      </w:r>
      <w:proofErr w:type="spellStart"/>
      <w:r w:rsidRPr="00087F50">
        <w:t>pacientus</w:t>
      </w:r>
      <w:proofErr w:type="spellEnd"/>
      <w:r w:rsidRPr="00087F50">
        <w:t xml:space="preserve"> ar </w:t>
      </w:r>
      <w:proofErr w:type="spellStart"/>
      <w:r w:rsidRPr="00087F50">
        <w:t>Leša-Nihana</w:t>
      </w:r>
      <w:proofErr w:type="spellEnd"/>
      <w:r w:rsidRPr="00087F50">
        <w:t xml:space="preserve"> </w:t>
      </w:r>
      <w:proofErr w:type="spellStart"/>
      <w:r w:rsidRPr="00087F50">
        <w:t>sindromu</w:t>
      </w:r>
      <w:proofErr w:type="spellEnd"/>
      <w:r w:rsidRPr="00087F50">
        <w:t xml:space="preserve">, </w:t>
      </w:r>
      <w:proofErr w:type="spellStart"/>
      <w:r w:rsidRPr="00087F50">
        <w:t>zāles</w:t>
      </w:r>
      <w:proofErr w:type="spellEnd"/>
      <w:r w:rsidRPr="00087F50">
        <w:t xml:space="preserve"> </w:t>
      </w:r>
      <w:proofErr w:type="spellStart"/>
      <w:r w:rsidRPr="00087F50">
        <w:t>izmantot</w:t>
      </w:r>
      <w:proofErr w:type="spellEnd"/>
      <w:r w:rsidRPr="00087F50">
        <w:t xml:space="preserve"> </w:t>
      </w:r>
      <w:proofErr w:type="spellStart"/>
      <w:r w:rsidRPr="00087F50">
        <w:t>nav</w:t>
      </w:r>
      <w:proofErr w:type="spellEnd"/>
      <w:r w:rsidRPr="00087F50">
        <w:t xml:space="preserve"> </w:t>
      </w:r>
      <w:proofErr w:type="spellStart"/>
      <w:r w:rsidRPr="00087F50">
        <w:t>ieteicams</w:t>
      </w:r>
      <w:proofErr w:type="spellEnd"/>
      <w:r w:rsidRPr="00087F50">
        <w:t xml:space="preserve">. </w:t>
      </w:r>
    </w:p>
    <w:p w14:paraId="28999B3C" w14:textId="77777777" w:rsidR="00A77DDF" w:rsidRPr="00087F50" w:rsidRDefault="00A77DDF" w:rsidP="00A77DDF">
      <w:pPr>
        <w:spacing w:after="0" w:line="259" w:lineRule="auto"/>
        <w:ind w:left="2" w:firstLine="0"/>
      </w:pPr>
      <w:r w:rsidRPr="00087F50">
        <w:rPr>
          <w:i/>
        </w:rPr>
        <w:t xml:space="preserve"> </w:t>
      </w:r>
    </w:p>
    <w:p w14:paraId="27E506F1" w14:textId="1F012239" w:rsidR="00A77DDF" w:rsidRDefault="00A77DDF" w:rsidP="00A77DDF">
      <w:pPr>
        <w:spacing w:after="13" w:line="249" w:lineRule="auto"/>
        <w:ind w:left="-3" w:hanging="10"/>
        <w:rPr>
          <w:iCs/>
          <w:u w:val="single"/>
        </w:rPr>
      </w:pPr>
      <w:proofErr w:type="spellStart"/>
      <w:r w:rsidRPr="00401B40">
        <w:rPr>
          <w:iCs/>
          <w:u w:val="single"/>
        </w:rPr>
        <w:t>Merkaptopurīns</w:t>
      </w:r>
      <w:proofErr w:type="spellEnd"/>
      <w:r w:rsidRPr="00401B40">
        <w:rPr>
          <w:iCs/>
          <w:u w:val="single"/>
        </w:rPr>
        <w:t>/</w:t>
      </w:r>
      <w:proofErr w:type="spellStart"/>
      <w:r w:rsidRPr="00401B40">
        <w:rPr>
          <w:iCs/>
          <w:u w:val="single"/>
        </w:rPr>
        <w:t>azatioprīns</w:t>
      </w:r>
      <w:proofErr w:type="spellEnd"/>
      <w:r w:rsidRPr="00401B40">
        <w:rPr>
          <w:iCs/>
          <w:u w:val="single"/>
        </w:rPr>
        <w:t xml:space="preserve"> </w:t>
      </w:r>
    </w:p>
    <w:p w14:paraId="353B134F" w14:textId="77777777" w:rsidR="00E16618" w:rsidRPr="00087F50" w:rsidRDefault="00A77DDF" w:rsidP="00E16618">
      <w:pPr>
        <w:autoSpaceDE w:val="0"/>
        <w:autoSpaceDN w:val="0"/>
        <w:adjustRightInd w:val="0"/>
        <w:spacing w:after="0" w:line="240" w:lineRule="auto"/>
        <w:ind w:left="0" w:firstLine="0"/>
        <w:rPr>
          <w:rFonts w:eastAsia="TimesNewRomanPSMT"/>
          <w:color w:val="auto"/>
          <w:lang w:val="lv-LV" w:eastAsia="en-US"/>
        </w:rPr>
      </w:pPr>
      <w:proofErr w:type="spellStart"/>
      <w:r w:rsidRPr="00087F50">
        <w:lastRenderedPageBreak/>
        <w:t>Febuksostatu</w:t>
      </w:r>
      <w:proofErr w:type="spellEnd"/>
      <w:r w:rsidRPr="00087F50">
        <w:t xml:space="preserve"> </w:t>
      </w:r>
      <w:proofErr w:type="spellStart"/>
      <w:r w:rsidRPr="00087F50">
        <w:t>nav</w:t>
      </w:r>
      <w:proofErr w:type="spellEnd"/>
      <w:r w:rsidRPr="00087F50">
        <w:t xml:space="preserve"> </w:t>
      </w:r>
      <w:proofErr w:type="spellStart"/>
      <w:r w:rsidRPr="00087F50">
        <w:t>ieteicams</w:t>
      </w:r>
      <w:proofErr w:type="spellEnd"/>
      <w:r w:rsidRPr="00087F50">
        <w:t xml:space="preserve"> </w:t>
      </w:r>
      <w:proofErr w:type="spellStart"/>
      <w:r w:rsidRPr="00087F50">
        <w:t>lietot</w:t>
      </w:r>
      <w:proofErr w:type="spellEnd"/>
      <w:r w:rsidRPr="00087F50">
        <w:t xml:space="preserve"> </w:t>
      </w:r>
      <w:proofErr w:type="spellStart"/>
      <w:r w:rsidRPr="00087F50">
        <w:t>pacientiem</w:t>
      </w:r>
      <w:proofErr w:type="spellEnd"/>
      <w:r w:rsidRPr="00087F50">
        <w:t xml:space="preserve">, </w:t>
      </w:r>
      <w:proofErr w:type="spellStart"/>
      <w:r w:rsidRPr="00087F50">
        <w:t>kas</w:t>
      </w:r>
      <w:proofErr w:type="spellEnd"/>
      <w:r w:rsidRPr="00087F50">
        <w:t xml:space="preserve"> </w:t>
      </w:r>
      <w:proofErr w:type="spellStart"/>
      <w:r w:rsidRPr="00087F50">
        <w:t>vienlaicīgi</w:t>
      </w:r>
      <w:proofErr w:type="spellEnd"/>
      <w:r w:rsidRPr="00087F50">
        <w:t xml:space="preserve"> </w:t>
      </w:r>
      <w:proofErr w:type="spellStart"/>
      <w:r w:rsidRPr="00087F50">
        <w:t>tiek</w:t>
      </w:r>
      <w:proofErr w:type="spellEnd"/>
      <w:r w:rsidRPr="00087F50">
        <w:t xml:space="preserve"> </w:t>
      </w:r>
      <w:proofErr w:type="spellStart"/>
      <w:r w:rsidRPr="00087F50">
        <w:t>ārstēti</w:t>
      </w:r>
      <w:proofErr w:type="spellEnd"/>
      <w:r w:rsidRPr="00087F50">
        <w:t xml:space="preserve"> ar </w:t>
      </w:r>
      <w:proofErr w:type="spellStart"/>
      <w:r w:rsidRPr="00087F50">
        <w:t>merkaptopurīnu</w:t>
      </w:r>
      <w:proofErr w:type="spellEnd"/>
      <w:r w:rsidRPr="00087F50">
        <w:t>/</w:t>
      </w:r>
      <w:proofErr w:type="spellStart"/>
      <w:r w:rsidRPr="00087F50">
        <w:t>azatioprīnu</w:t>
      </w:r>
      <w:proofErr w:type="spellEnd"/>
      <w:r w:rsidR="00E16618" w:rsidRPr="00087F50">
        <w:t xml:space="preserve">, </w:t>
      </w:r>
      <w:r w:rsidR="00E16618" w:rsidRPr="00087F50">
        <w:rPr>
          <w:rFonts w:eastAsia="TimesNewRomanPSMT"/>
          <w:color w:val="auto"/>
          <w:lang w:val="lv-LV" w:eastAsia="en-US"/>
        </w:rPr>
        <w:t xml:space="preserve">jo </w:t>
      </w:r>
      <w:proofErr w:type="spellStart"/>
      <w:r w:rsidR="00E16618" w:rsidRPr="00087F50">
        <w:rPr>
          <w:rFonts w:eastAsia="TimesNewRomanPSMT"/>
          <w:color w:val="auto"/>
          <w:lang w:val="lv-LV" w:eastAsia="en-US"/>
        </w:rPr>
        <w:t>ksantīna</w:t>
      </w:r>
      <w:proofErr w:type="spellEnd"/>
      <w:r w:rsidR="00E16618" w:rsidRPr="00087F50">
        <w:rPr>
          <w:rFonts w:eastAsia="TimesNewRomanPSMT"/>
          <w:color w:val="auto"/>
          <w:lang w:val="lv-LV" w:eastAsia="en-US"/>
        </w:rPr>
        <w:t xml:space="preserve"> </w:t>
      </w:r>
      <w:proofErr w:type="spellStart"/>
      <w:r w:rsidR="00E16618" w:rsidRPr="00087F50">
        <w:rPr>
          <w:rFonts w:eastAsia="TimesNewRomanPSMT"/>
          <w:color w:val="auto"/>
          <w:lang w:val="lv-LV" w:eastAsia="en-US"/>
        </w:rPr>
        <w:t>oksidāzes</w:t>
      </w:r>
      <w:proofErr w:type="spellEnd"/>
      <w:r w:rsidR="00E16618" w:rsidRPr="00087F50">
        <w:rPr>
          <w:rFonts w:eastAsia="TimesNewRomanPSMT"/>
          <w:color w:val="auto"/>
          <w:lang w:val="lv-LV" w:eastAsia="en-US"/>
        </w:rPr>
        <w:t xml:space="preserve"> </w:t>
      </w:r>
      <w:proofErr w:type="spellStart"/>
      <w:r w:rsidR="00E16618" w:rsidRPr="00087F50">
        <w:rPr>
          <w:rFonts w:eastAsia="TimesNewRomanPSMT"/>
          <w:color w:val="auto"/>
          <w:lang w:val="lv-LV" w:eastAsia="en-US"/>
        </w:rPr>
        <w:t>inhibēšana</w:t>
      </w:r>
      <w:proofErr w:type="spellEnd"/>
      <w:r w:rsidR="00E16618" w:rsidRPr="00087F50">
        <w:rPr>
          <w:rFonts w:eastAsia="TimesNewRomanPSMT"/>
          <w:color w:val="auto"/>
          <w:lang w:val="lv-LV" w:eastAsia="en-US"/>
        </w:rPr>
        <w:t xml:space="preserve">, </w:t>
      </w:r>
      <w:proofErr w:type="spellStart"/>
      <w:r w:rsidR="00E16618" w:rsidRPr="00087F50">
        <w:rPr>
          <w:rFonts w:eastAsia="TimesNewRomanPSMT"/>
          <w:color w:val="auto"/>
          <w:lang w:val="lv-LV" w:eastAsia="en-US"/>
        </w:rPr>
        <w:t>febuksostata</w:t>
      </w:r>
      <w:proofErr w:type="spellEnd"/>
      <w:r w:rsidR="00E16618" w:rsidRPr="00087F50">
        <w:rPr>
          <w:rFonts w:eastAsia="TimesNewRomanPSMT"/>
          <w:color w:val="auto"/>
          <w:lang w:val="lv-LV" w:eastAsia="en-US"/>
        </w:rPr>
        <w:t xml:space="preserve"> dēļ, var paaugstināt</w:t>
      </w:r>
    </w:p>
    <w:p w14:paraId="331B1560" w14:textId="0A55E0F9" w:rsidR="00E16618" w:rsidRPr="00087F50" w:rsidRDefault="00E16618" w:rsidP="00E16618">
      <w:pPr>
        <w:autoSpaceDE w:val="0"/>
        <w:autoSpaceDN w:val="0"/>
        <w:adjustRightInd w:val="0"/>
        <w:spacing w:after="0" w:line="240" w:lineRule="auto"/>
        <w:ind w:left="0" w:firstLine="0"/>
        <w:rPr>
          <w:rFonts w:eastAsia="TimesNewRomanPSMT"/>
          <w:color w:val="auto"/>
          <w:lang w:val="lv-LV" w:eastAsia="en-US"/>
        </w:rPr>
      </w:pPr>
      <w:proofErr w:type="spellStart"/>
      <w:r w:rsidRPr="00087F50">
        <w:rPr>
          <w:rFonts w:eastAsia="TimesNewRomanPSMT"/>
          <w:color w:val="auto"/>
          <w:lang w:val="lv-LV" w:eastAsia="en-US"/>
        </w:rPr>
        <w:t>merkaptopurīna</w:t>
      </w:r>
      <w:proofErr w:type="spellEnd"/>
      <w:r w:rsidRPr="00087F50">
        <w:rPr>
          <w:rFonts w:eastAsia="TimesNewRomanPSMT"/>
          <w:color w:val="auto"/>
          <w:lang w:val="lv-LV" w:eastAsia="en-US"/>
        </w:rPr>
        <w:t>/</w:t>
      </w:r>
      <w:proofErr w:type="spellStart"/>
      <w:r w:rsidRPr="00087F50">
        <w:rPr>
          <w:rFonts w:eastAsia="TimesNewRomanPSMT"/>
          <w:color w:val="auto"/>
          <w:lang w:val="lv-LV" w:eastAsia="en-US"/>
        </w:rPr>
        <w:t>azatioprīna</w:t>
      </w:r>
      <w:proofErr w:type="spellEnd"/>
      <w:r w:rsidRPr="00087F50">
        <w:rPr>
          <w:rFonts w:eastAsia="TimesNewRomanPSMT"/>
          <w:color w:val="auto"/>
          <w:lang w:val="lv-LV" w:eastAsia="en-US"/>
        </w:rPr>
        <w:t xml:space="preserve"> plazmas koncentrāciju, kas var izraisīt smagu </w:t>
      </w:r>
      <w:proofErr w:type="spellStart"/>
      <w:r w:rsidRPr="00087F50">
        <w:rPr>
          <w:rFonts w:eastAsia="TimesNewRomanPSMT"/>
          <w:color w:val="auto"/>
          <w:lang w:val="lv-LV" w:eastAsia="en-US"/>
        </w:rPr>
        <w:t>toksicitāti</w:t>
      </w:r>
      <w:proofErr w:type="spellEnd"/>
      <w:r w:rsidRPr="00087F50">
        <w:rPr>
          <w:rFonts w:eastAsia="TimesNewRomanPSMT"/>
          <w:color w:val="auto"/>
          <w:lang w:val="lv-LV" w:eastAsia="en-US"/>
        </w:rPr>
        <w:t xml:space="preserve">. </w:t>
      </w:r>
    </w:p>
    <w:p w14:paraId="5F1091AF" w14:textId="2309633C" w:rsidR="00A77DDF" w:rsidRDefault="00E16618" w:rsidP="00087F50">
      <w:pPr>
        <w:autoSpaceDE w:val="0"/>
        <w:autoSpaceDN w:val="0"/>
        <w:adjustRightInd w:val="0"/>
        <w:spacing w:after="0" w:line="240" w:lineRule="auto"/>
        <w:ind w:left="0" w:firstLine="0"/>
      </w:pPr>
      <w:r w:rsidRPr="00087F50">
        <w:rPr>
          <w:rFonts w:eastAsia="TimesNewRomanPSMT"/>
          <w:color w:val="auto"/>
          <w:lang w:val="lv-LV" w:eastAsia="en-US"/>
        </w:rPr>
        <w:t xml:space="preserve">Gadījumos, ja nav iespējams izvairīties no vienlaicīgas lietošanas, </w:t>
      </w:r>
      <w:proofErr w:type="spellStart"/>
      <w:r w:rsidRPr="00087F50">
        <w:rPr>
          <w:rFonts w:eastAsia="TimesNewRomanPSMT"/>
          <w:color w:val="auto"/>
          <w:lang w:val="lv-LV" w:eastAsia="en-US"/>
        </w:rPr>
        <w:t>merkaptopurīna</w:t>
      </w:r>
      <w:proofErr w:type="spellEnd"/>
      <w:r w:rsidRPr="00087F50">
        <w:rPr>
          <w:rFonts w:eastAsia="TimesNewRomanPSMT"/>
          <w:color w:val="auto"/>
          <w:lang w:val="lv-LV" w:eastAsia="en-US"/>
        </w:rPr>
        <w:t>/</w:t>
      </w:r>
      <w:proofErr w:type="spellStart"/>
      <w:r w:rsidRPr="00087F50">
        <w:rPr>
          <w:rFonts w:eastAsia="TimesNewRomanPSMT"/>
          <w:color w:val="auto"/>
          <w:lang w:val="lv-LV" w:eastAsia="en-US"/>
        </w:rPr>
        <w:t>azatioprīna</w:t>
      </w:r>
      <w:proofErr w:type="spellEnd"/>
      <w:r w:rsidRPr="00087F50">
        <w:rPr>
          <w:rFonts w:eastAsia="TimesNewRomanPSMT"/>
          <w:color w:val="auto"/>
          <w:lang w:val="lv-LV" w:eastAsia="en-US"/>
        </w:rPr>
        <w:t xml:space="preserve"> dev</w:t>
      </w:r>
      <w:r w:rsidR="002E1A0B">
        <w:rPr>
          <w:rFonts w:eastAsia="TimesNewRomanPSMT"/>
          <w:color w:val="auto"/>
          <w:lang w:val="lv-LV" w:eastAsia="en-US"/>
        </w:rPr>
        <w:t>u</w:t>
      </w:r>
      <w:r w:rsidR="0085777F" w:rsidRPr="00087F50">
        <w:rPr>
          <w:rFonts w:eastAsia="TimesNewRomanPSMT"/>
          <w:color w:val="auto"/>
          <w:lang w:val="lv-LV" w:eastAsia="en-US"/>
        </w:rPr>
        <w:t xml:space="preserve"> </w:t>
      </w:r>
      <w:r w:rsidRPr="00087F50">
        <w:rPr>
          <w:rFonts w:eastAsia="TimesNewRomanPSMT"/>
          <w:color w:val="auto"/>
          <w:lang w:val="lv-LV" w:eastAsia="en-US"/>
        </w:rPr>
        <w:t xml:space="preserve">ieteicams </w:t>
      </w:r>
      <w:proofErr w:type="spellStart"/>
      <w:r w:rsidRPr="00087F50">
        <w:rPr>
          <w:rFonts w:eastAsia="TimesNewRomanPSMT"/>
          <w:color w:val="auto"/>
          <w:lang w:val="lv-LV" w:eastAsia="en-US"/>
        </w:rPr>
        <w:t>samazinātlīdz</w:t>
      </w:r>
      <w:proofErr w:type="spellEnd"/>
      <w:r w:rsidRPr="00087F50">
        <w:rPr>
          <w:rFonts w:eastAsia="TimesNewRomanPSMT"/>
          <w:color w:val="auto"/>
          <w:lang w:val="lv-LV" w:eastAsia="en-US"/>
        </w:rPr>
        <w:t xml:space="preserve"> 20 % vai</w:t>
      </w:r>
      <w:r w:rsidR="0085777F" w:rsidRPr="00087F50">
        <w:rPr>
          <w:rFonts w:eastAsia="TimesNewRomanPSMT"/>
          <w:color w:val="auto"/>
          <w:lang w:val="lv-LV" w:eastAsia="en-US"/>
        </w:rPr>
        <w:t xml:space="preserve"> </w:t>
      </w:r>
      <w:r w:rsidRPr="00087F50">
        <w:rPr>
          <w:rFonts w:eastAsia="TimesNewRomanPSMT"/>
          <w:color w:val="auto"/>
          <w:lang w:val="lv-LV" w:eastAsia="en-US"/>
        </w:rPr>
        <w:t xml:space="preserve">mazāk no iepriekš izrakstītās devas, lai izvairītos no iespējamām </w:t>
      </w:r>
      <w:proofErr w:type="spellStart"/>
      <w:r w:rsidRPr="00087F50">
        <w:rPr>
          <w:rFonts w:eastAsia="TimesNewRomanPSMT"/>
          <w:color w:val="auto"/>
          <w:lang w:val="lv-LV" w:eastAsia="en-US"/>
        </w:rPr>
        <w:t>hematoloģiska</w:t>
      </w:r>
      <w:proofErr w:type="spellEnd"/>
      <w:r w:rsidRPr="00087F50">
        <w:rPr>
          <w:rFonts w:eastAsia="TimesNewRomanPSMT"/>
          <w:color w:val="auto"/>
          <w:lang w:val="lv-LV" w:eastAsia="en-US"/>
        </w:rPr>
        <w:t xml:space="preserve"> rakstura izmaiņām</w:t>
      </w:r>
      <w:r w:rsidR="0085777F" w:rsidRPr="00087F50">
        <w:rPr>
          <w:rFonts w:eastAsia="TimesNewRomanPSMT"/>
          <w:color w:val="auto"/>
          <w:lang w:val="lv-LV" w:eastAsia="en-US"/>
        </w:rPr>
        <w:t xml:space="preserve"> </w:t>
      </w:r>
      <w:r w:rsidRPr="00087F50">
        <w:rPr>
          <w:rFonts w:eastAsia="TimesNewRomanPSMT"/>
          <w:color w:val="auto"/>
          <w:lang w:val="lv-LV" w:eastAsia="en-US"/>
        </w:rPr>
        <w:t>(skatīt 4.5. un 5.3. apakšpunktu)</w:t>
      </w:r>
      <w:r w:rsidR="009C6116" w:rsidRPr="00087F50">
        <w:t xml:space="preserve">. </w:t>
      </w:r>
    </w:p>
    <w:p w14:paraId="6A85921C" w14:textId="24640765" w:rsidR="00FA372C" w:rsidRPr="00087F50" w:rsidRDefault="00FA372C" w:rsidP="00087F50">
      <w:pPr>
        <w:autoSpaceDE w:val="0"/>
        <w:autoSpaceDN w:val="0"/>
        <w:adjustRightInd w:val="0"/>
        <w:spacing w:after="0" w:line="240" w:lineRule="auto"/>
        <w:ind w:left="0" w:firstLine="0"/>
      </w:pPr>
      <w:proofErr w:type="spellStart"/>
      <w:r>
        <w:t>Pacienti</w:t>
      </w:r>
      <w:proofErr w:type="spellEnd"/>
      <w:r>
        <w:t xml:space="preserve"> ir </w:t>
      </w:r>
      <w:proofErr w:type="spellStart"/>
      <w:r>
        <w:t>rūpīgi</w:t>
      </w:r>
      <w:proofErr w:type="spellEnd"/>
      <w:r>
        <w:t xml:space="preserve"> </w:t>
      </w:r>
      <w:proofErr w:type="spellStart"/>
      <w:r>
        <w:t>jānovēro</w:t>
      </w:r>
      <w:proofErr w:type="spellEnd"/>
      <w:r>
        <w:t xml:space="preserve"> un </w:t>
      </w:r>
      <w:proofErr w:type="spellStart"/>
      <w:r>
        <w:rPr>
          <w:rStyle w:val="tlid-translation"/>
          <w:lang w:val="lv-LV"/>
        </w:rPr>
        <w:t>merkaptopurīna</w:t>
      </w:r>
      <w:proofErr w:type="spellEnd"/>
      <w:r>
        <w:rPr>
          <w:rStyle w:val="tlid-translation"/>
          <w:lang w:val="lv-LV"/>
        </w:rPr>
        <w:t>/</w:t>
      </w:r>
      <w:proofErr w:type="spellStart"/>
      <w:r>
        <w:rPr>
          <w:rStyle w:val="tlid-translation"/>
          <w:lang w:val="lv-LV"/>
        </w:rPr>
        <w:t>azatioprīna</w:t>
      </w:r>
      <w:proofErr w:type="spellEnd"/>
      <w:r>
        <w:rPr>
          <w:rStyle w:val="tlid-translation"/>
          <w:lang w:val="lv-LV"/>
        </w:rPr>
        <w:t xml:space="preserve">  deva jāpielāgo, pamatojoties uz terapeitiskās atbildes novērtējumu un iespējamo toksiskās ietekmes sākumu.</w:t>
      </w:r>
    </w:p>
    <w:p w14:paraId="19B1E07C" w14:textId="77777777" w:rsidR="00A77DDF" w:rsidRPr="00087F50" w:rsidRDefault="00A77DDF" w:rsidP="00A77DDF">
      <w:pPr>
        <w:spacing w:after="0" w:line="259" w:lineRule="auto"/>
        <w:ind w:left="1" w:firstLine="0"/>
      </w:pPr>
      <w:r w:rsidRPr="00087F50">
        <w:rPr>
          <w:i/>
        </w:rPr>
        <w:t xml:space="preserve"> </w:t>
      </w:r>
    </w:p>
    <w:p w14:paraId="57FDBCD4" w14:textId="77777777" w:rsidR="00A77DDF" w:rsidRPr="00401B40" w:rsidRDefault="00A77DDF" w:rsidP="00A77DDF">
      <w:pPr>
        <w:spacing w:after="13" w:line="249" w:lineRule="auto"/>
        <w:ind w:left="-3" w:hanging="10"/>
        <w:rPr>
          <w:iCs/>
          <w:u w:val="single"/>
        </w:rPr>
      </w:pPr>
      <w:proofErr w:type="spellStart"/>
      <w:r w:rsidRPr="00401B40">
        <w:rPr>
          <w:iCs/>
          <w:u w:val="single"/>
        </w:rPr>
        <w:t>Orgānu</w:t>
      </w:r>
      <w:proofErr w:type="spellEnd"/>
      <w:r w:rsidRPr="00401B40">
        <w:rPr>
          <w:iCs/>
          <w:u w:val="single"/>
        </w:rPr>
        <w:t xml:space="preserve"> </w:t>
      </w:r>
      <w:proofErr w:type="spellStart"/>
      <w:r w:rsidRPr="00401B40">
        <w:rPr>
          <w:iCs/>
          <w:u w:val="single"/>
        </w:rPr>
        <w:t>transplantātu</w:t>
      </w:r>
      <w:proofErr w:type="spellEnd"/>
      <w:r w:rsidRPr="00401B40">
        <w:rPr>
          <w:iCs/>
          <w:u w:val="single"/>
        </w:rPr>
        <w:t xml:space="preserve"> </w:t>
      </w:r>
      <w:proofErr w:type="spellStart"/>
      <w:r w:rsidRPr="00401B40">
        <w:rPr>
          <w:iCs/>
          <w:u w:val="single"/>
        </w:rPr>
        <w:t>recipienti</w:t>
      </w:r>
      <w:proofErr w:type="spellEnd"/>
      <w:r w:rsidRPr="00401B40">
        <w:rPr>
          <w:iCs/>
          <w:u w:val="single"/>
        </w:rPr>
        <w:t xml:space="preserve"> </w:t>
      </w:r>
    </w:p>
    <w:p w14:paraId="3C41EB4E" w14:textId="77777777" w:rsidR="00A77DDF" w:rsidRPr="00087F50" w:rsidRDefault="00A77DDF" w:rsidP="00A77DDF">
      <w:pPr>
        <w:ind w:left="-3" w:right="9"/>
      </w:pPr>
      <w:proofErr w:type="spellStart"/>
      <w:r w:rsidRPr="00087F50">
        <w:t>Nav</w:t>
      </w:r>
      <w:proofErr w:type="spellEnd"/>
      <w:r w:rsidRPr="00087F50">
        <w:t xml:space="preserve"> </w:t>
      </w:r>
      <w:proofErr w:type="spellStart"/>
      <w:r w:rsidRPr="00087F50">
        <w:t>pieredzes</w:t>
      </w:r>
      <w:proofErr w:type="spellEnd"/>
      <w:r w:rsidRPr="00087F50">
        <w:t xml:space="preserve">, </w:t>
      </w:r>
      <w:proofErr w:type="spellStart"/>
      <w:r w:rsidRPr="00087F50">
        <w:t>lietojot</w:t>
      </w:r>
      <w:proofErr w:type="spellEnd"/>
      <w:r w:rsidRPr="00087F50">
        <w:t xml:space="preserve"> </w:t>
      </w:r>
      <w:proofErr w:type="spellStart"/>
      <w:r w:rsidRPr="00087F50">
        <w:t>orgānu</w:t>
      </w:r>
      <w:proofErr w:type="spellEnd"/>
      <w:r w:rsidRPr="00087F50">
        <w:t xml:space="preserve"> </w:t>
      </w:r>
      <w:proofErr w:type="spellStart"/>
      <w:r w:rsidRPr="00087F50">
        <w:t>transplantātu</w:t>
      </w:r>
      <w:proofErr w:type="spellEnd"/>
      <w:r w:rsidRPr="00087F50">
        <w:t xml:space="preserve"> </w:t>
      </w:r>
      <w:proofErr w:type="spellStart"/>
      <w:r w:rsidRPr="00087F50">
        <w:t>recipientiem</w:t>
      </w:r>
      <w:proofErr w:type="spellEnd"/>
      <w:r w:rsidRPr="00087F50">
        <w:t xml:space="preserve">, </w:t>
      </w:r>
      <w:proofErr w:type="spellStart"/>
      <w:r w:rsidRPr="00087F50">
        <w:t>tāpēc</w:t>
      </w:r>
      <w:proofErr w:type="spellEnd"/>
      <w:r w:rsidRPr="00087F50">
        <w:t xml:space="preserve"> </w:t>
      </w:r>
      <w:proofErr w:type="spellStart"/>
      <w:r w:rsidRPr="00087F50">
        <w:t>febuksostata</w:t>
      </w:r>
      <w:proofErr w:type="spellEnd"/>
      <w:r w:rsidRPr="00087F50">
        <w:t xml:space="preserve"> </w:t>
      </w:r>
      <w:proofErr w:type="spellStart"/>
      <w:r w:rsidRPr="00087F50">
        <w:t>lietošana</w:t>
      </w:r>
      <w:proofErr w:type="spellEnd"/>
      <w:r w:rsidRPr="00087F50">
        <w:t xml:space="preserve"> </w:t>
      </w:r>
      <w:proofErr w:type="spellStart"/>
      <w:r w:rsidRPr="00087F50">
        <w:t>šai</w:t>
      </w:r>
      <w:proofErr w:type="spellEnd"/>
      <w:r w:rsidRPr="00087F50">
        <w:t xml:space="preserve"> </w:t>
      </w:r>
      <w:proofErr w:type="spellStart"/>
      <w:r w:rsidRPr="00087F50">
        <w:t>pacientu</w:t>
      </w:r>
      <w:proofErr w:type="spellEnd"/>
      <w:r w:rsidRPr="00087F50">
        <w:t xml:space="preserve"> </w:t>
      </w:r>
      <w:proofErr w:type="spellStart"/>
      <w:r w:rsidRPr="00087F50">
        <w:t>grupai</w:t>
      </w:r>
      <w:proofErr w:type="spellEnd"/>
      <w:r w:rsidRPr="00087F50">
        <w:t xml:space="preserve"> </w:t>
      </w:r>
      <w:proofErr w:type="spellStart"/>
      <w:r w:rsidRPr="00087F50">
        <w:t>nav</w:t>
      </w:r>
      <w:proofErr w:type="spellEnd"/>
      <w:r w:rsidRPr="00087F50">
        <w:t xml:space="preserve"> </w:t>
      </w:r>
      <w:proofErr w:type="spellStart"/>
      <w:r w:rsidRPr="00087F50">
        <w:t>ieteicama</w:t>
      </w:r>
      <w:proofErr w:type="spellEnd"/>
      <w:r w:rsidRPr="00087F50">
        <w:t xml:space="preserve"> (</w:t>
      </w:r>
      <w:proofErr w:type="spellStart"/>
      <w:r w:rsidRPr="00087F50">
        <w:t>skatīt</w:t>
      </w:r>
      <w:proofErr w:type="spellEnd"/>
      <w:r w:rsidRPr="00087F50">
        <w:t xml:space="preserve"> 5.1. </w:t>
      </w:r>
      <w:proofErr w:type="spellStart"/>
      <w:r w:rsidRPr="00087F50">
        <w:t>apakšpunktu</w:t>
      </w:r>
      <w:proofErr w:type="spellEnd"/>
      <w:r w:rsidRPr="00087F50">
        <w:t>).</w:t>
      </w:r>
      <w:r w:rsidRPr="00087F50">
        <w:rPr>
          <w:sz w:val="24"/>
        </w:rPr>
        <w:t xml:space="preserve"> </w:t>
      </w:r>
    </w:p>
    <w:p w14:paraId="47ECE474" w14:textId="77777777" w:rsidR="00A77DDF" w:rsidRPr="00087F50" w:rsidRDefault="00A77DDF" w:rsidP="00A77DDF">
      <w:pPr>
        <w:spacing w:after="0" w:line="259" w:lineRule="auto"/>
        <w:ind w:left="1" w:firstLine="0"/>
      </w:pPr>
      <w:r w:rsidRPr="00087F50">
        <w:rPr>
          <w:i/>
        </w:rPr>
        <w:t xml:space="preserve"> </w:t>
      </w:r>
    </w:p>
    <w:p w14:paraId="66051D2A" w14:textId="77777777" w:rsidR="00A77DDF" w:rsidRPr="00401B40" w:rsidRDefault="00A77DDF" w:rsidP="00A77DDF">
      <w:pPr>
        <w:spacing w:after="13" w:line="249" w:lineRule="auto"/>
        <w:ind w:left="-3" w:hanging="10"/>
        <w:rPr>
          <w:iCs/>
          <w:u w:val="single"/>
        </w:rPr>
      </w:pPr>
      <w:proofErr w:type="spellStart"/>
      <w:r w:rsidRPr="00401B40">
        <w:rPr>
          <w:iCs/>
          <w:u w:val="single"/>
        </w:rPr>
        <w:t>Teofilīns</w:t>
      </w:r>
      <w:proofErr w:type="spellEnd"/>
      <w:r w:rsidRPr="00401B40">
        <w:rPr>
          <w:iCs/>
          <w:u w:val="single"/>
        </w:rPr>
        <w:t xml:space="preserve"> </w:t>
      </w:r>
    </w:p>
    <w:p w14:paraId="6D3CCB17" w14:textId="77777777" w:rsidR="00A77DDF" w:rsidRPr="00087F50" w:rsidRDefault="00A77DDF" w:rsidP="00A77DDF">
      <w:pPr>
        <w:ind w:left="-3" w:right="9"/>
      </w:pPr>
      <w:proofErr w:type="spellStart"/>
      <w:r w:rsidRPr="00087F50">
        <w:t>Vienlaicīgas</w:t>
      </w:r>
      <w:proofErr w:type="spellEnd"/>
      <w:r w:rsidRPr="00087F50">
        <w:t xml:space="preserve"> 80 mg </w:t>
      </w:r>
      <w:proofErr w:type="spellStart"/>
      <w:r w:rsidRPr="00087F50">
        <w:t>febuksostata</w:t>
      </w:r>
      <w:proofErr w:type="spellEnd"/>
      <w:r w:rsidRPr="00087F50">
        <w:t xml:space="preserve"> un </w:t>
      </w:r>
      <w:proofErr w:type="spellStart"/>
      <w:r w:rsidRPr="00087F50">
        <w:t>vienas</w:t>
      </w:r>
      <w:proofErr w:type="spellEnd"/>
      <w:r w:rsidRPr="00087F50">
        <w:t xml:space="preserve"> 400 mg </w:t>
      </w:r>
      <w:proofErr w:type="spellStart"/>
      <w:r w:rsidRPr="00087F50">
        <w:t>teofilīna</w:t>
      </w:r>
      <w:proofErr w:type="spellEnd"/>
      <w:r w:rsidRPr="00087F50">
        <w:t xml:space="preserve"> </w:t>
      </w:r>
      <w:proofErr w:type="spellStart"/>
      <w:r w:rsidRPr="00087F50">
        <w:t>devas</w:t>
      </w:r>
      <w:proofErr w:type="spellEnd"/>
      <w:r w:rsidRPr="00087F50">
        <w:t xml:space="preserve"> </w:t>
      </w:r>
      <w:proofErr w:type="spellStart"/>
      <w:r w:rsidRPr="00087F50">
        <w:t>lietošanas</w:t>
      </w:r>
      <w:proofErr w:type="spellEnd"/>
      <w:r w:rsidRPr="00087F50">
        <w:t xml:space="preserve"> </w:t>
      </w:r>
      <w:proofErr w:type="spellStart"/>
      <w:r w:rsidRPr="00087F50">
        <w:t>gadījumā</w:t>
      </w:r>
      <w:proofErr w:type="spellEnd"/>
      <w:r w:rsidRPr="00087F50">
        <w:t xml:space="preserve"> </w:t>
      </w:r>
      <w:proofErr w:type="spellStart"/>
      <w:r w:rsidRPr="00087F50">
        <w:t>veselām</w:t>
      </w:r>
      <w:proofErr w:type="spellEnd"/>
      <w:r w:rsidRPr="00087F50">
        <w:t xml:space="preserve"> </w:t>
      </w:r>
      <w:proofErr w:type="spellStart"/>
      <w:r w:rsidRPr="00087F50">
        <w:t>pētāmām</w:t>
      </w:r>
      <w:proofErr w:type="spellEnd"/>
      <w:r w:rsidRPr="00087F50">
        <w:t xml:space="preserve"> </w:t>
      </w:r>
      <w:proofErr w:type="spellStart"/>
      <w:r w:rsidRPr="00087F50">
        <w:t>personām</w:t>
      </w:r>
      <w:proofErr w:type="spellEnd"/>
      <w:r w:rsidRPr="00087F50">
        <w:t xml:space="preserve"> </w:t>
      </w:r>
      <w:proofErr w:type="spellStart"/>
      <w:r w:rsidRPr="00087F50">
        <w:t>nekonstatēja</w:t>
      </w:r>
      <w:proofErr w:type="spellEnd"/>
      <w:r w:rsidRPr="00087F50">
        <w:t xml:space="preserve"> </w:t>
      </w:r>
      <w:proofErr w:type="spellStart"/>
      <w:r w:rsidRPr="00087F50">
        <w:t>nekādu</w:t>
      </w:r>
      <w:proofErr w:type="spellEnd"/>
      <w:r w:rsidRPr="00087F50">
        <w:t xml:space="preserve"> </w:t>
      </w:r>
      <w:proofErr w:type="spellStart"/>
      <w:r w:rsidRPr="00087F50">
        <w:t>farmakokinētisku</w:t>
      </w:r>
      <w:proofErr w:type="spellEnd"/>
      <w:r w:rsidRPr="00087F50">
        <w:t xml:space="preserve"> </w:t>
      </w:r>
      <w:proofErr w:type="spellStart"/>
      <w:r w:rsidRPr="00087F50">
        <w:t>mijiedarbību</w:t>
      </w:r>
      <w:proofErr w:type="spellEnd"/>
      <w:r w:rsidRPr="00087F50">
        <w:rPr>
          <w:color w:val="0000FF"/>
        </w:rPr>
        <w:t xml:space="preserve"> </w:t>
      </w:r>
      <w:r w:rsidRPr="00087F50">
        <w:t>(</w:t>
      </w:r>
      <w:proofErr w:type="spellStart"/>
      <w:r w:rsidRPr="00087F50">
        <w:t>skatīt</w:t>
      </w:r>
      <w:proofErr w:type="spellEnd"/>
      <w:r w:rsidRPr="00087F50">
        <w:t xml:space="preserve"> 4.5. </w:t>
      </w:r>
      <w:proofErr w:type="spellStart"/>
      <w:r w:rsidRPr="00087F50">
        <w:t>apakšpunktu</w:t>
      </w:r>
      <w:proofErr w:type="spellEnd"/>
      <w:r w:rsidRPr="00087F50">
        <w:t xml:space="preserve">). </w:t>
      </w:r>
      <w:proofErr w:type="spellStart"/>
      <w:r w:rsidRPr="00087F50">
        <w:t>Pacientiem</w:t>
      </w:r>
      <w:proofErr w:type="spellEnd"/>
      <w:r w:rsidRPr="00087F50">
        <w:t xml:space="preserve">, </w:t>
      </w:r>
      <w:proofErr w:type="spellStart"/>
      <w:r w:rsidRPr="00087F50">
        <w:t>kas</w:t>
      </w:r>
      <w:proofErr w:type="spellEnd"/>
      <w:r w:rsidRPr="00087F50">
        <w:t xml:space="preserve"> </w:t>
      </w:r>
      <w:proofErr w:type="spellStart"/>
      <w:r w:rsidRPr="00087F50">
        <w:t>tiek</w:t>
      </w:r>
      <w:proofErr w:type="spellEnd"/>
      <w:r w:rsidRPr="00087F50">
        <w:t xml:space="preserve"> </w:t>
      </w:r>
      <w:proofErr w:type="spellStart"/>
      <w:r w:rsidRPr="00087F50">
        <w:t>ārstēti</w:t>
      </w:r>
      <w:proofErr w:type="spellEnd"/>
      <w:r w:rsidRPr="00087F50">
        <w:t xml:space="preserve"> ar </w:t>
      </w:r>
      <w:proofErr w:type="spellStart"/>
      <w:r w:rsidRPr="00087F50">
        <w:t>teofilīnu</w:t>
      </w:r>
      <w:proofErr w:type="spellEnd"/>
      <w:r w:rsidRPr="00087F50">
        <w:t xml:space="preserve">, 80 mg </w:t>
      </w:r>
      <w:proofErr w:type="spellStart"/>
      <w:r w:rsidRPr="00087F50">
        <w:t>febuksostata</w:t>
      </w:r>
      <w:proofErr w:type="spellEnd"/>
      <w:r w:rsidRPr="00087F50">
        <w:t xml:space="preserve"> </w:t>
      </w:r>
      <w:proofErr w:type="spellStart"/>
      <w:r w:rsidRPr="00087F50">
        <w:t>var</w:t>
      </w:r>
      <w:proofErr w:type="spellEnd"/>
      <w:r w:rsidRPr="00087F50">
        <w:t xml:space="preserve"> </w:t>
      </w:r>
      <w:proofErr w:type="spellStart"/>
      <w:r w:rsidRPr="00087F50">
        <w:t>lietot</w:t>
      </w:r>
      <w:proofErr w:type="spellEnd"/>
      <w:r w:rsidRPr="00087F50">
        <w:t xml:space="preserve">, </w:t>
      </w:r>
      <w:proofErr w:type="spellStart"/>
      <w:r w:rsidRPr="00087F50">
        <w:t>nebaidoties</w:t>
      </w:r>
      <w:proofErr w:type="spellEnd"/>
      <w:r w:rsidRPr="00087F50">
        <w:t xml:space="preserve"> no </w:t>
      </w:r>
      <w:proofErr w:type="spellStart"/>
      <w:r w:rsidRPr="00087F50">
        <w:t>teofilīna</w:t>
      </w:r>
      <w:proofErr w:type="spellEnd"/>
      <w:r w:rsidRPr="00087F50">
        <w:t xml:space="preserve"> </w:t>
      </w:r>
      <w:proofErr w:type="spellStart"/>
      <w:r w:rsidRPr="00087F50">
        <w:t>līmeņa</w:t>
      </w:r>
      <w:proofErr w:type="spellEnd"/>
      <w:r w:rsidRPr="00087F50">
        <w:t xml:space="preserve"> </w:t>
      </w:r>
      <w:proofErr w:type="spellStart"/>
      <w:r w:rsidRPr="00087F50">
        <w:t>paaugstināšanās</w:t>
      </w:r>
      <w:proofErr w:type="spellEnd"/>
      <w:r w:rsidRPr="00087F50">
        <w:t xml:space="preserve"> </w:t>
      </w:r>
      <w:proofErr w:type="spellStart"/>
      <w:r w:rsidRPr="00087F50">
        <w:t>plazmā</w:t>
      </w:r>
      <w:proofErr w:type="spellEnd"/>
      <w:r w:rsidRPr="00087F50">
        <w:t xml:space="preserve">. Par 120 mg </w:t>
      </w:r>
      <w:proofErr w:type="spellStart"/>
      <w:r w:rsidRPr="00087F50">
        <w:t>febuksostata</w:t>
      </w:r>
      <w:proofErr w:type="spellEnd"/>
      <w:r w:rsidRPr="00087F50">
        <w:t xml:space="preserve"> </w:t>
      </w:r>
      <w:proofErr w:type="spellStart"/>
      <w:r w:rsidRPr="00087F50">
        <w:t>dati</w:t>
      </w:r>
      <w:proofErr w:type="spellEnd"/>
      <w:r w:rsidRPr="00087F50">
        <w:t xml:space="preserve"> </w:t>
      </w:r>
      <w:proofErr w:type="spellStart"/>
      <w:r w:rsidRPr="00087F50">
        <w:t>nav</w:t>
      </w:r>
      <w:proofErr w:type="spellEnd"/>
      <w:r w:rsidRPr="00087F50">
        <w:t xml:space="preserve"> </w:t>
      </w:r>
      <w:proofErr w:type="spellStart"/>
      <w:r w:rsidRPr="00087F50">
        <w:t>pieejami</w:t>
      </w:r>
      <w:proofErr w:type="spellEnd"/>
      <w:r w:rsidRPr="00087F50">
        <w:t xml:space="preserve">. </w:t>
      </w:r>
    </w:p>
    <w:p w14:paraId="504834B4" w14:textId="77777777" w:rsidR="00A77DDF" w:rsidRPr="00087F50" w:rsidRDefault="00A77DDF" w:rsidP="00A77DDF">
      <w:pPr>
        <w:spacing w:after="0" w:line="259" w:lineRule="auto"/>
        <w:ind w:left="1" w:firstLine="0"/>
      </w:pPr>
      <w:r w:rsidRPr="00087F50">
        <w:t xml:space="preserve"> </w:t>
      </w:r>
    </w:p>
    <w:p w14:paraId="7D1AC743" w14:textId="77777777" w:rsidR="00A77DDF" w:rsidRPr="00401B40" w:rsidRDefault="00A77DDF" w:rsidP="00A77DDF">
      <w:pPr>
        <w:spacing w:after="13" w:line="249" w:lineRule="auto"/>
        <w:ind w:left="-3" w:hanging="10"/>
        <w:rPr>
          <w:iCs/>
          <w:u w:val="single"/>
        </w:rPr>
      </w:pPr>
      <w:proofErr w:type="spellStart"/>
      <w:r w:rsidRPr="00401B40">
        <w:rPr>
          <w:iCs/>
          <w:u w:val="single"/>
        </w:rPr>
        <w:t>Aknu</w:t>
      </w:r>
      <w:proofErr w:type="spellEnd"/>
      <w:r w:rsidRPr="00401B40">
        <w:rPr>
          <w:iCs/>
          <w:u w:val="single"/>
        </w:rPr>
        <w:t xml:space="preserve"> </w:t>
      </w:r>
      <w:proofErr w:type="spellStart"/>
      <w:r w:rsidRPr="00401B40">
        <w:rPr>
          <w:iCs/>
          <w:u w:val="single"/>
        </w:rPr>
        <w:t>darbības</w:t>
      </w:r>
      <w:proofErr w:type="spellEnd"/>
      <w:r w:rsidRPr="00401B40">
        <w:rPr>
          <w:iCs/>
          <w:u w:val="single"/>
        </w:rPr>
        <w:t xml:space="preserve"> </w:t>
      </w:r>
      <w:proofErr w:type="spellStart"/>
      <w:r w:rsidRPr="00401B40">
        <w:rPr>
          <w:iCs/>
          <w:u w:val="single"/>
        </w:rPr>
        <w:t>traucējumi</w:t>
      </w:r>
      <w:proofErr w:type="spellEnd"/>
      <w:r w:rsidRPr="00401B40">
        <w:rPr>
          <w:iCs/>
          <w:u w:val="single"/>
        </w:rPr>
        <w:t xml:space="preserve"> </w:t>
      </w:r>
    </w:p>
    <w:p w14:paraId="075B486F" w14:textId="77777777" w:rsidR="00A77DDF" w:rsidRPr="00087F50" w:rsidRDefault="00A77DDF" w:rsidP="00A77DDF">
      <w:pPr>
        <w:ind w:left="-3" w:right="9"/>
      </w:pPr>
      <w:proofErr w:type="spellStart"/>
      <w:r w:rsidRPr="00087F50">
        <w:t>Apvienoto</w:t>
      </w:r>
      <w:proofErr w:type="spellEnd"/>
      <w:r w:rsidRPr="00087F50">
        <w:t xml:space="preserve"> 3. </w:t>
      </w:r>
      <w:proofErr w:type="spellStart"/>
      <w:r w:rsidRPr="00087F50">
        <w:t>fāzes</w:t>
      </w:r>
      <w:proofErr w:type="spellEnd"/>
      <w:r w:rsidRPr="00087F50">
        <w:t xml:space="preserve"> </w:t>
      </w:r>
      <w:proofErr w:type="spellStart"/>
      <w:r w:rsidRPr="00087F50">
        <w:t>klīnisko</w:t>
      </w:r>
      <w:proofErr w:type="spellEnd"/>
      <w:r w:rsidRPr="00087F50">
        <w:t xml:space="preserve"> </w:t>
      </w:r>
      <w:proofErr w:type="spellStart"/>
      <w:r w:rsidRPr="00087F50">
        <w:t>pētījumu</w:t>
      </w:r>
      <w:proofErr w:type="spellEnd"/>
      <w:r w:rsidRPr="00087F50">
        <w:t xml:space="preserve"> </w:t>
      </w:r>
      <w:proofErr w:type="spellStart"/>
      <w:r w:rsidRPr="00087F50">
        <w:t>laikā</w:t>
      </w:r>
      <w:proofErr w:type="spellEnd"/>
      <w:r w:rsidRPr="00087F50">
        <w:t xml:space="preserve"> </w:t>
      </w:r>
      <w:proofErr w:type="spellStart"/>
      <w:r w:rsidRPr="00087F50">
        <w:t>pacientiem</w:t>
      </w:r>
      <w:proofErr w:type="spellEnd"/>
      <w:r w:rsidRPr="00087F50">
        <w:t xml:space="preserve">, </w:t>
      </w:r>
      <w:proofErr w:type="spellStart"/>
      <w:r w:rsidRPr="00087F50">
        <w:t>kurus</w:t>
      </w:r>
      <w:proofErr w:type="spellEnd"/>
      <w:r w:rsidRPr="00087F50">
        <w:t xml:space="preserve"> </w:t>
      </w:r>
      <w:proofErr w:type="spellStart"/>
      <w:r w:rsidRPr="00087F50">
        <w:t>ārstēja</w:t>
      </w:r>
      <w:proofErr w:type="spellEnd"/>
      <w:r w:rsidRPr="00087F50">
        <w:t xml:space="preserve"> ar </w:t>
      </w:r>
      <w:proofErr w:type="spellStart"/>
      <w:r w:rsidRPr="00087F50">
        <w:t>febuksostatu</w:t>
      </w:r>
      <w:proofErr w:type="spellEnd"/>
      <w:r w:rsidRPr="00087F50">
        <w:t xml:space="preserve"> (5,0 %), </w:t>
      </w:r>
      <w:proofErr w:type="spellStart"/>
      <w:r w:rsidRPr="00087F50">
        <w:t>tika</w:t>
      </w:r>
      <w:proofErr w:type="spellEnd"/>
      <w:r w:rsidRPr="00087F50">
        <w:t xml:space="preserve"> </w:t>
      </w:r>
      <w:proofErr w:type="spellStart"/>
      <w:r w:rsidRPr="00087F50">
        <w:t>konstatētas</w:t>
      </w:r>
      <w:proofErr w:type="spellEnd"/>
      <w:r w:rsidRPr="00087F50">
        <w:t xml:space="preserve"> </w:t>
      </w:r>
      <w:proofErr w:type="spellStart"/>
      <w:r w:rsidRPr="00087F50">
        <w:t>nelielas</w:t>
      </w:r>
      <w:proofErr w:type="spellEnd"/>
      <w:r w:rsidRPr="00087F50">
        <w:t xml:space="preserve"> </w:t>
      </w:r>
      <w:proofErr w:type="spellStart"/>
      <w:r w:rsidRPr="00087F50">
        <w:t>patoloģiskas</w:t>
      </w:r>
      <w:proofErr w:type="spellEnd"/>
      <w:r w:rsidRPr="00087F50">
        <w:t xml:space="preserve"> </w:t>
      </w:r>
      <w:proofErr w:type="spellStart"/>
      <w:r w:rsidRPr="00087F50">
        <w:t>izmaiņas</w:t>
      </w:r>
      <w:proofErr w:type="spellEnd"/>
      <w:r w:rsidRPr="00087F50">
        <w:t xml:space="preserve"> </w:t>
      </w:r>
      <w:proofErr w:type="spellStart"/>
      <w:r w:rsidRPr="00087F50">
        <w:t>aknu</w:t>
      </w:r>
      <w:proofErr w:type="spellEnd"/>
      <w:r w:rsidRPr="00087F50">
        <w:t xml:space="preserve"> </w:t>
      </w:r>
      <w:proofErr w:type="spellStart"/>
      <w:r w:rsidRPr="00087F50">
        <w:t>funkciju</w:t>
      </w:r>
      <w:proofErr w:type="spellEnd"/>
      <w:r w:rsidRPr="00087F50">
        <w:t xml:space="preserve"> </w:t>
      </w:r>
      <w:proofErr w:type="spellStart"/>
      <w:r w:rsidRPr="00087F50">
        <w:t>testu</w:t>
      </w:r>
      <w:proofErr w:type="spellEnd"/>
      <w:r w:rsidRPr="00087F50">
        <w:t xml:space="preserve"> </w:t>
      </w:r>
      <w:proofErr w:type="spellStart"/>
      <w:r w:rsidRPr="00087F50">
        <w:t>rezultātos</w:t>
      </w:r>
      <w:proofErr w:type="spellEnd"/>
      <w:r w:rsidRPr="00087F50">
        <w:t xml:space="preserve">. </w:t>
      </w:r>
      <w:proofErr w:type="spellStart"/>
      <w:r w:rsidRPr="00087F50">
        <w:t>Aknu</w:t>
      </w:r>
      <w:proofErr w:type="spellEnd"/>
      <w:r w:rsidRPr="00087F50">
        <w:t xml:space="preserve"> </w:t>
      </w:r>
      <w:proofErr w:type="spellStart"/>
      <w:r w:rsidRPr="00087F50">
        <w:t>funkciju</w:t>
      </w:r>
      <w:proofErr w:type="spellEnd"/>
      <w:r w:rsidRPr="00087F50">
        <w:t xml:space="preserve"> </w:t>
      </w:r>
      <w:proofErr w:type="spellStart"/>
      <w:r w:rsidRPr="00087F50">
        <w:t>testu</w:t>
      </w:r>
      <w:proofErr w:type="spellEnd"/>
      <w:r w:rsidRPr="00087F50">
        <w:t xml:space="preserve"> ir </w:t>
      </w:r>
      <w:proofErr w:type="spellStart"/>
      <w:r w:rsidRPr="00087F50">
        <w:t>ieteicams</w:t>
      </w:r>
      <w:proofErr w:type="spellEnd"/>
      <w:r w:rsidRPr="00087F50">
        <w:t xml:space="preserve"> </w:t>
      </w:r>
      <w:proofErr w:type="spellStart"/>
      <w:r w:rsidRPr="00087F50">
        <w:t>veikt</w:t>
      </w:r>
      <w:proofErr w:type="spellEnd"/>
      <w:r w:rsidRPr="00087F50">
        <w:t xml:space="preserve"> </w:t>
      </w:r>
      <w:proofErr w:type="spellStart"/>
      <w:r w:rsidRPr="00087F50">
        <w:t>pirms</w:t>
      </w:r>
      <w:proofErr w:type="spellEnd"/>
      <w:r w:rsidRPr="00087F50">
        <w:t xml:space="preserve"> </w:t>
      </w:r>
      <w:proofErr w:type="spellStart"/>
      <w:r w:rsidRPr="00087F50">
        <w:t>febuksostata</w:t>
      </w:r>
      <w:proofErr w:type="spellEnd"/>
      <w:r w:rsidRPr="00087F50">
        <w:t xml:space="preserve"> </w:t>
      </w:r>
      <w:proofErr w:type="spellStart"/>
      <w:r w:rsidRPr="00087F50">
        <w:t>terapijas</w:t>
      </w:r>
      <w:proofErr w:type="spellEnd"/>
      <w:r w:rsidRPr="00087F50">
        <w:t xml:space="preserve"> </w:t>
      </w:r>
      <w:proofErr w:type="spellStart"/>
      <w:r w:rsidRPr="00087F50">
        <w:t>uzsākšanas</w:t>
      </w:r>
      <w:proofErr w:type="spellEnd"/>
      <w:r w:rsidRPr="00087F50">
        <w:t xml:space="preserve">, </w:t>
      </w:r>
      <w:proofErr w:type="spellStart"/>
      <w:r w:rsidRPr="00087F50">
        <w:t>pēc</w:t>
      </w:r>
      <w:proofErr w:type="spellEnd"/>
      <w:r w:rsidRPr="00087F50">
        <w:t xml:space="preserve"> </w:t>
      </w:r>
      <w:proofErr w:type="spellStart"/>
      <w:r w:rsidRPr="00087F50">
        <w:t>tam</w:t>
      </w:r>
      <w:proofErr w:type="spellEnd"/>
      <w:r w:rsidRPr="00087F50">
        <w:t xml:space="preserve"> </w:t>
      </w:r>
      <w:proofErr w:type="spellStart"/>
      <w:r w:rsidRPr="00087F50">
        <w:t>to</w:t>
      </w:r>
      <w:proofErr w:type="spellEnd"/>
      <w:r w:rsidRPr="00087F50">
        <w:t xml:space="preserve"> </w:t>
      </w:r>
      <w:proofErr w:type="spellStart"/>
      <w:r w:rsidRPr="00087F50">
        <w:t>periodiski</w:t>
      </w:r>
      <w:proofErr w:type="spellEnd"/>
      <w:r w:rsidRPr="00087F50">
        <w:t xml:space="preserve">, </w:t>
      </w:r>
      <w:proofErr w:type="spellStart"/>
      <w:r w:rsidRPr="00087F50">
        <w:t>atkarībā</w:t>
      </w:r>
      <w:proofErr w:type="spellEnd"/>
      <w:r w:rsidRPr="00087F50">
        <w:t xml:space="preserve"> no </w:t>
      </w:r>
      <w:proofErr w:type="spellStart"/>
      <w:r w:rsidRPr="00087F50">
        <w:t>ārsta</w:t>
      </w:r>
      <w:proofErr w:type="spellEnd"/>
      <w:r w:rsidRPr="00087F50">
        <w:t xml:space="preserve"> </w:t>
      </w:r>
      <w:proofErr w:type="spellStart"/>
      <w:r w:rsidRPr="00087F50">
        <w:t>viedokļa</w:t>
      </w:r>
      <w:proofErr w:type="spellEnd"/>
      <w:r w:rsidRPr="00087F50">
        <w:t xml:space="preserve">, </w:t>
      </w:r>
      <w:proofErr w:type="spellStart"/>
      <w:r w:rsidRPr="00087F50">
        <w:t>atkārtojot</w:t>
      </w:r>
      <w:proofErr w:type="spellEnd"/>
      <w:r w:rsidRPr="00087F50">
        <w:t xml:space="preserve"> (</w:t>
      </w:r>
      <w:proofErr w:type="spellStart"/>
      <w:r w:rsidRPr="00087F50">
        <w:t>skatīt</w:t>
      </w:r>
      <w:proofErr w:type="spellEnd"/>
      <w:r w:rsidRPr="00087F50">
        <w:t xml:space="preserve"> 5.1. </w:t>
      </w:r>
      <w:proofErr w:type="spellStart"/>
      <w:r w:rsidRPr="00087F50">
        <w:t>apakšpunktu</w:t>
      </w:r>
      <w:proofErr w:type="spellEnd"/>
      <w:r w:rsidRPr="00087F50">
        <w:t xml:space="preserve">). </w:t>
      </w:r>
    </w:p>
    <w:p w14:paraId="53F67DCD" w14:textId="77777777" w:rsidR="00A77DDF" w:rsidRPr="00087F50" w:rsidRDefault="00A77DDF" w:rsidP="00A77DDF">
      <w:pPr>
        <w:spacing w:after="0" w:line="259" w:lineRule="auto"/>
        <w:ind w:left="1" w:firstLine="0"/>
      </w:pPr>
      <w:r w:rsidRPr="00087F50">
        <w:t xml:space="preserve"> </w:t>
      </w:r>
    </w:p>
    <w:p w14:paraId="3244F325" w14:textId="77777777" w:rsidR="00A77DDF" w:rsidRPr="00401B40" w:rsidRDefault="00A77DDF" w:rsidP="00A77DDF">
      <w:pPr>
        <w:spacing w:after="13" w:line="249" w:lineRule="auto"/>
        <w:ind w:left="-3" w:hanging="10"/>
        <w:rPr>
          <w:iCs/>
          <w:u w:val="single"/>
        </w:rPr>
      </w:pPr>
      <w:proofErr w:type="spellStart"/>
      <w:r w:rsidRPr="00401B40">
        <w:rPr>
          <w:iCs/>
          <w:u w:val="single"/>
        </w:rPr>
        <w:t>Vairogdziedzera</w:t>
      </w:r>
      <w:proofErr w:type="spellEnd"/>
      <w:r w:rsidRPr="00401B40">
        <w:rPr>
          <w:iCs/>
          <w:u w:val="single"/>
        </w:rPr>
        <w:t xml:space="preserve"> </w:t>
      </w:r>
      <w:proofErr w:type="spellStart"/>
      <w:r w:rsidRPr="00401B40">
        <w:rPr>
          <w:iCs/>
          <w:u w:val="single"/>
        </w:rPr>
        <w:t>darbības</w:t>
      </w:r>
      <w:proofErr w:type="spellEnd"/>
      <w:r w:rsidRPr="00401B40">
        <w:rPr>
          <w:iCs/>
          <w:u w:val="single"/>
        </w:rPr>
        <w:t xml:space="preserve"> </w:t>
      </w:r>
      <w:proofErr w:type="spellStart"/>
      <w:r w:rsidRPr="00401B40">
        <w:rPr>
          <w:iCs/>
          <w:u w:val="single"/>
        </w:rPr>
        <w:t>traucējumi</w:t>
      </w:r>
      <w:proofErr w:type="spellEnd"/>
      <w:r w:rsidRPr="00401B40">
        <w:rPr>
          <w:iCs/>
          <w:u w:val="single"/>
        </w:rPr>
        <w:t xml:space="preserve">  </w:t>
      </w:r>
    </w:p>
    <w:p w14:paraId="1A30ABD5" w14:textId="77777777" w:rsidR="00A77DDF" w:rsidRPr="00087F50" w:rsidRDefault="00A77DDF" w:rsidP="00A77DDF">
      <w:pPr>
        <w:ind w:left="-3" w:right="9"/>
      </w:pPr>
      <w:proofErr w:type="spellStart"/>
      <w:r w:rsidRPr="00087F50">
        <w:t>Paaugstināts</w:t>
      </w:r>
      <w:proofErr w:type="spellEnd"/>
      <w:r w:rsidRPr="00087F50">
        <w:t xml:space="preserve"> TSH </w:t>
      </w:r>
      <w:proofErr w:type="spellStart"/>
      <w:r w:rsidRPr="00087F50">
        <w:t>līmenis</w:t>
      </w:r>
      <w:proofErr w:type="spellEnd"/>
      <w:r w:rsidRPr="00087F50">
        <w:t xml:space="preserve"> (&gt; 5.5 µIU/m) </w:t>
      </w:r>
      <w:proofErr w:type="spellStart"/>
      <w:r w:rsidRPr="00087F50">
        <w:t>tika</w:t>
      </w:r>
      <w:proofErr w:type="spellEnd"/>
      <w:r w:rsidRPr="00087F50">
        <w:t xml:space="preserve"> </w:t>
      </w:r>
      <w:proofErr w:type="spellStart"/>
      <w:r w:rsidRPr="00087F50">
        <w:t>konstatēts</w:t>
      </w:r>
      <w:proofErr w:type="spellEnd"/>
      <w:r w:rsidRPr="00087F50">
        <w:t xml:space="preserve"> </w:t>
      </w:r>
      <w:proofErr w:type="spellStart"/>
      <w:r w:rsidRPr="00087F50">
        <w:t>pacientiem</w:t>
      </w:r>
      <w:proofErr w:type="spellEnd"/>
      <w:r w:rsidRPr="00087F50">
        <w:t xml:space="preserve">, </w:t>
      </w:r>
      <w:proofErr w:type="spellStart"/>
      <w:r w:rsidRPr="00087F50">
        <w:t>kas</w:t>
      </w:r>
      <w:proofErr w:type="spellEnd"/>
      <w:r w:rsidRPr="00087F50">
        <w:t xml:space="preserve"> </w:t>
      </w:r>
      <w:proofErr w:type="spellStart"/>
      <w:r w:rsidRPr="00087F50">
        <w:t>febuksostatu</w:t>
      </w:r>
      <w:proofErr w:type="spellEnd"/>
      <w:r w:rsidRPr="00087F50">
        <w:t xml:space="preserve"> bija </w:t>
      </w:r>
      <w:proofErr w:type="spellStart"/>
      <w:r w:rsidRPr="00087F50">
        <w:t>lietojuši</w:t>
      </w:r>
      <w:proofErr w:type="spellEnd"/>
      <w:r w:rsidRPr="00087F50">
        <w:t xml:space="preserve"> </w:t>
      </w:r>
      <w:proofErr w:type="spellStart"/>
      <w:r w:rsidRPr="00087F50">
        <w:t>ilgstoši</w:t>
      </w:r>
      <w:proofErr w:type="spellEnd"/>
      <w:r w:rsidRPr="00087F50">
        <w:t xml:space="preserve"> (5,5 %) </w:t>
      </w:r>
      <w:proofErr w:type="spellStart"/>
      <w:r w:rsidRPr="00087F50">
        <w:t>ilglaicīgos</w:t>
      </w:r>
      <w:proofErr w:type="spellEnd"/>
      <w:r w:rsidRPr="00087F50">
        <w:t xml:space="preserve"> </w:t>
      </w:r>
      <w:proofErr w:type="spellStart"/>
      <w:r w:rsidRPr="00087F50">
        <w:t>atklātos</w:t>
      </w:r>
      <w:proofErr w:type="spellEnd"/>
      <w:r w:rsidRPr="00087F50">
        <w:t xml:space="preserve"> </w:t>
      </w:r>
      <w:proofErr w:type="spellStart"/>
      <w:r w:rsidRPr="00087F50">
        <w:t>pagarinājuma</w:t>
      </w:r>
      <w:proofErr w:type="spellEnd"/>
      <w:r w:rsidRPr="00087F50">
        <w:t xml:space="preserve"> </w:t>
      </w:r>
      <w:proofErr w:type="spellStart"/>
      <w:r w:rsidRPr="00087F50">
        <w:t>pētījumos</w:t>
      </w:r>
      <w:proofErr w:type="spellEnd"/>
      <w:r w:rsidRPr="00087F50">
        <w:t>.</w:t>
      </w:r>
      <w:r w:rsidRPr="00087F50">
        <w:rPr>
          <w:i/>
        </w:rPr>
        <w:t xml:space="preserve"> </w:t>
      </w:r>
      <w:proofErr w:type="spellStart"/>
      <w:r w:rsidRPr="00087F50">
        <w:t>Pacientiem</w:t>
      </w:r>
      <w:proofErr w:type="spellEnd"/>
      <w:r w:rsidRPr="00087F50">
        <w:t xml:space="preserve"> ar </w:t>
      </w:r>
      <w:proofErr w:type="spellStart"/>
      <w:r w:rsidRPr="00087F50">
        <w:t>izmainītu</w:t>
      </w:r>
      <w:proofErr w:type="spellEnd"/>
      <w:r w:rsidRPr="00087F50">
        <w:t xml:space="preserve"> </w:t>
      </w:r>
      <w:proofErr w:type="spellStart"/>
      <w:r w:rsidRPr="00087F50">
        <w:t>vairogdziedzera</w:t>
      </w:r>
      <w:proofErr w:type="spellEnd"/>
      <w:r w:rsidRPr="00087F50">
        <w:t xml:space="preserve"> </w:t>
      </w:r>
      <w:proofErr w:type="spellStart"/>
      <w:r w:rsidRPr="00087F50">
        <w:t>darbību</w:t>
      </w:r>
      <w:proofErr w:type="spellEnd"/>
      <w:r w:rsidRPr="00087F50">
        <w:t xml:space="preserve"> </w:t>
      </w:r>
      <w:proofErr w:type="spellStart"/>
      <w:r w:rsidRPr="00087F50">
        <w:t>febuksostats</w:t>
      </w:r>
      <w:proofErr w:type="spellEnd"/>
      <w:r w:rsidRPr="00087F50">
        <w:t xml:space="preserve"> ir </w:t>
      </w:r>
      <w:proofErr w:type="spellStart"/>
      <w:r w:rsidRPr="00087F50">
        <w:t>jālieto</w:t>
      </w:r>
      <w:proofErr w:type="spellEnd"/>
      <w:r w:rsidRPr="00087F50">
        <w:t xml:space="preserve"> </w:t>
      </w:r>
      <w:proofErr w:type="spellStart"/>
      <w:r w:rsidRPr="00087F50">
        <w:t>piesardzīgi</w:t>
      </w:r>
      <w:proofErr w:type="spellEnd"/>
      <w:r w:rsidRPr="00087F50">
        <w:t xml:space="preserve"> (</w:t>
      </w:r>
      <w:proofErr w:type="spellStart"/>
      <w:r w:rsidRPr="00087F50">
        <w:t>skatīt</w:t>
      </w:r>
      <w:proofErr w:type="spellEnd"/>
      <w:r w:rsidRPr="00087F50">
        <w:t xml:space="preserve"> 5.1. </w:t>
      </w:r>
      <w:proofErr w:type="spellStart"/>
      <w:r w:rsidRPr="00087F50">
        <w:t>apakšpunktu</w:t>
      </w:r>
      <w:proofErr w:type="spellEnd"/>
      <w:r w:rsidRPr="00087F50">
        <w:t xml:space="preserve">). </w:t>
      </w:r>
    </w:p>
    <w:p w14:paraId="583CD89A" w14:textId="77777777" w:rsidR="00A77DDF" w:rsidRPr="00087F50" w:rsidRDefault="00A77DDF" w:rsidP="00A77DDF">
      <w:pPr>
        <w:spacing w:after="0" w:line="259" w:lineRule="auto"/>
        <w:ind w:left="1" w:firstLine="0"/>
      </w:pPr>
      <w:r w:rsidRPr="00087F50">
        <w:t xml:space="preserve"> </w:t>
      </w:r>
    </w:p>
    <w:p w14:paraId="314E7E10" w14:textId="77777777" w:rsidR="00A77DDF" w:rsidRPr="00401B40" w:rsidRDefault="00A77DDF" w:rsidP="00A77DDF">
      <w:pPr>
        <w:spacing w:after="13" w:line="249" w:lineRule="auto"/>
        <w:ind w:left="-3" w:hanging="10"/>
        <w:rPr>
          <w:iCs/>
          <w:u w:val="single"/>
        </w:rPr>
      </w:pPr>
      <w:proofErr w:type="spellStart"/>
      <w:r w:rsidRPr="00401B40">
        <w:rPr>
          <w:iCs/>
          <w:u w:val="single"/>
        </w:rPr>
        <w:t>Laktoze</w:t>
      </w:r>
      <w:proofErr w:type="spellEnd"/>
      <w:r w:rsidRPr="00401B40">
        <w:rPr>
          <w:iCs/>
          <w:u w:val="single"/>
        </w:rPr>
        <w:t xml:space="preserve"> </w:t>
      </w:r>
    </w:p>
    <w:p w14:paraId="2B46F7CB" w14:textId="5202BEA7" w:rsidR="00A77DDF" w:rsidRPr="00087F50" w:rsidRDefault="00725EE1" w:rsidP="00A77DDF">
      <w:pPr>
        <w:ind w:left="-3" w:right="9"/>
      </w:pPr>
      <w:proofErr w:type="spellStart"/>
      <w:r w:rsidRPr="00087F50">
        <w:t>Šīs</w:t>
      </w:r>
      <w:proofErr w:type="spellEnd"/>
      <w:r w:rsidRPr="00087F50">
        <w:t xml:space="preserve"> </w:t>
      </w:r>
      <w:proofErr w:type="spellStart"/>
      <w:r w:rsidRPr="00087F50">
        <w:t>zāles</w:t>
      </w:r>
      <w:proofErr w:type="spellEnd"/>
      <w:r w:rsidR="00A77DDF" w:rsidRPr="00087F50">
        <w:t xml:space="preserve"> </w:t>
      </w:r>
      <w:proofErr w:type="spellStart"/>
      <w:r w:rsidR="00A77DDF" w:rsidRPr="00087F50">
        <w:t>satur</w:t>
      </w:r>
      <w:proofErr w:type="spellEnd"/>
      <w:r w:rsidR="00A77DDF" w:rsidRPr="00087F50">
        <w:t xml:space="preserve"> </w:t>
      </w:r>
      <w:proofErr w:type="spellStart"/>
      <w:r w:rsidR="00A77DDF" w:rsidRPr="00087F50">
        <w:t>laktozi</w:t>
      </w:r>
      <w:proofErr w:type="spellEnd"/>
      <w:r w:rsidR="00A77DDF" w:rsidRPr="00087F50">
        <w:t xml:space="preserve">. </w:t>
      </w:r>
      <w:proofErr w:type="spellStart"/>
      <w:r w:rsidR="00A77DDF" w:rsidRPr="00087F50">
        <w:t>Šīs</w:t>
      </w:r>
      <w:proofErr w:type="spellEnd"/>
      <w:r w:rsidR="00A77DDF" w:rsidRPr="00087F50">
        <w:t xml:space="preserve"> </w:t>
      </w:r>
      <w:proofErr w:type="spellStart"/>
      <w:r w:rsidR="00A77DDF" w:rsidRPr="00087F50">
        <w:t>zāles</w:t>
      </w:r>
      <w:proofErr w:type="spellEnd"/>
      <w:r w:rsidR="00A77DDF" w:rsidRPr="00087F50">
        <w:t xml:space="preserve"> </w:t>
      </w:r>
      <w:proofErr w:type="spellStart"/>
      <w:r w:rsidR="00A77DDF" w:rsidRPr="00087F50">
        <w:t>nevajadzētu</w:t>
      </w:r>
      <w:proofErr w:type="spellEnd"/>
      <w:r w:rsidR="00A77DDF" w:rsidRPr="00087F50">
        <w:t xml:space="preserve"> </w:t>
      </w:r>
      <w:proofErr w:type="spellStart"/>
      <w:r w:rsidR="00A77DDF" w:rsidRPr="00087F50">
        <w:t>lietot</w:t>
      </w:r>
      <w:proofErr w:type="spellEnd"/>
      <w:r w:rsidR="00A77DDF" w:rsidRPr="00087F50">
        <w:t xml:space="preserve"> </w:t>
      </w:r>
      <w:proofErr w:type="spellStart"/>
      <w:r w:rsidR="00A77DDF" w:rsidRPr="00087F50">
        <w:t>pacientiem</w:t>
      </w:r>
      <w:proofErr w:type="spellEnd"/>
      <w:r w:rsidR="00A77DDF" w:rsidRPr="00087F50">
        <w:t xml:space="preserve"> ar </w:t>
      </w:r>
      <w:proofErr w:type="spellStart"/>
      <w:r w:rsidR="005E4CB8">
        <w:t>retu</w:t>
      </w:r>
      <w:proofErr w:type="spellEnd"/>
      <w:r w:rsidR="005E4CB8">
        <w:t xml:space="preserve"> </w:t>
      </w:r>
      <w:proofErr w:type="spellStart"/>
      <w:r w:rsidR="005E4CB8">
        <w:t>iedzimtu</w:t>
      </w:r>
      <w:proofErr w:type="spellEnd"/>
      <w:r w:rsidR="00A77DDF" w:rsidRPr="00087F50">
        <w:t xml:space="preserve"> </w:t>
      </w:r>
      <w:proofErr w:type="spellStart"/>
      <w:r w:rsidR="00A77DDF" w:rsidRPr="00087F50">
        <w:t>galaktozes</w:t>
      </w:r>
      <w:proofErr w:type="spellEnd"/>
      <w:r w:rsidR="00A77DDF" w:rsidRPr="00087F50">
        <w:t xml:space="preserve"> </w:t>
      </w:r>
      <w:proofErr w:type="spellStart"/>
      <w:r w:rsidR="00A77DDF" w:rsidRPr="00087F50">
        <w:t>nepanesība</w:t>
      </w:r>
      <w:proofErr w:type="spellEnd"/>
      <w:r w:rsidR="00A77DDF" w:rsidRPr="00087F50">
        <w:t xml:space="preserve">, </w:t>
      </w:r>
      <w:r w:rsidR="005E4CB8">
        <w:t xml:space="preserve">ar </w:t>
      </w:r>
      <w:proofErr w:type="spellStart"/>
      <w:r w:rsidR="005E4CB8">
        <w:t>pilnīgu</w:t>
      </w:r>
      <w:proofErr w:type="spellEnd"/>
      <w:r w:rsidR="00A77DDF" w:rsidRPr="00087F50">
        <w:t xml:space="preserve"> </w:t>
      </w:r>
      <w:proofErr w:type="spellStart"/>
      <w:r w:rsidR="00A77DDF" w:rsidRPr="00087F50">
        <w:t>laktāzes</w:t>
      </w:r>
      <w:proofErr w:type="spellEnd"/>
      <w:r w:rsidR="00A77DDF" w:rsidRPr="00087F50">
        <w:t xml:space="preserve"> </w:t>
      </w:r>
      <w:proofErr w:type="spellStart"/>
      <w:r w:rsidR="00A77DDF" w:rsidRPr="00087F50">
        <w:t>deficīt</w:t>
      </w:r>
      <w:r w:rsidR="005E4CB8">
        <w:t>u</w:t>
      </w:r>
      <w:proofErr w:type="spellEnd"/>
      <w:r w:rsidR="00A77DDF" w:rsidRPr="00087F50">
        <w:t xml:space="preserve"> </w:t>
      </w:r>
      <w:proofErr w:type="spellStart"/>
      <w:r w:rsidR="00A77DDF" w:rsidRPr="00087F50">
        <w:t>vai</w:t>
      </w:r>
      <w:proofErr w:type="spellEnd"/>
      <w:r w:rsidR="00A77DDF" w:rsidRPr="00087F50">
        <w:t xml:space="preserve"> </w:t>
      </w:r>
      <w:proofErr w:type="spellStart"/>
      <w:r w:rsidR="00A77DDF" w:rsidRPr="00087F50">
        <w:t>glikozes</w:t>
      </w:r>
      <w:proofErr w:type="spellEnd"/>
      <w:r w:rsidR="005E4CB8">
        <w:t xml:space="preserve"> - </w:t>
      </w:r>
      <w:proofErr w:type="spellStart"/>
      <w:r w:rsidR="00A77DDF" w:rsidRPr="00087F50">
        <w:t>galaktozes</w:t>
      </w:r>
      <w:proofErr w:type="spellEnd"/>
      <w:r w:rsidR="00A77DDF" w:rsidRPr="00087F50">
        <w:t xml:space="preserve"> </w:t>
      </w:r>
      <w:proofErr w:type="spellStart"/>
      <w:r w:rsidR="00A77DDF" w:rsidRPr="00087F50">
        <w:t>malabsorbcij</w:t>
      </w:r>
      <w:r w:rsidR="005E4CB8">
        <w:t>u</w:t>
      </w:r>
      <w:proofErr w:type="spellEnd"/>
      <w:r w:rsidR="00A77DDF" w:rsidRPr="00087F50">
        <w:t xml:space="preserve">. </w:t>
      </w:r>
    </w:p>
    <w:p w14:paraId="1F95FFD3" w14:textId="588411D3" w:rsidR="00B360DE" w:rsidRPr="00087F50" w:rsidRDefault="00B360DE" w:rsidP="00A77DDF">
      <w:pPr>
        <w:ind w:left="-3" w:right="9"/>
      </w:pPr>
    </w:p>
    <w:p w14:paraId="4560CCE8" w14:textId="18E77BF7" w:rsidR="00B360DE" w:rsidRPr="00087F50" w:rsidRDefault="00B360DE" w:rsidP="00B360DE">
      <w:pPr>
        <w:ind w:left="-3" w:right="9"/>
        <w:rPr>
          <w:lang w:val="lv-LV"/>
        </w:rPr>
      </w:pPr>
      <w:r w:rsidRPr="00401B40">
        <w:rPr>
          <w:rStyle w:val="tlid-translation"/>
          <w:u w:val="single"/>
          <w:lang w:val="lv-LV"/>
        </w:rPr>
        <w:t>Nātrijs</w:t>
      </w:r>
      <w:r w:rsidRPr="00087F50">
        <w:rPr>
          <w:lang w:val="lv-LV"/>
        </w:rPr>
        <w:br/>
      </w:r>
      <w:r w:rsidRPr="00087F50">
        <w:rPr>
          <w:rStyle w:val="tlid-translation"/>
          <w:lang w:val="lv-LV"/>
        </w:rPr>
        <w:t xml:space="preserve">Šīs zāles satur mazāk par 1 </w:t>
      </w:r>
      <w:proofErr w:type="spellStart"/>
      <w:r w:rsidRPr="00087F50">
        <w:rPr>
          <w:rStyle w:val="tlid-translation"/>
          <w:lang w:val="lv-LV"/>
        </w:rPr>
        <w:t>mmol</w:t>
      </w:r>
      <w:proofErr w:type="spellEnd"/>
      <w:r w:rsidRPr="00087F50">
        <w:rPr>
          <w:rStyle w:val="tlid-translation"/>
          <w:lang w:val="lv-LV"/>
        </w:rPr>
        <w:t xml:space="preserve"> nātrija (23 mg) vienā tabletē, būtībā tās ir </w:t>
      </w:r>
      <w:r w:rsidR="00426578">
        <w:rPr>
          <w:rStyle w:val="tlid-translation"/>
          <w:lang w:val="lv-LV"/>
        </w:rPr>
        <w:t>“</w:t>
      </w:r>
      <w:r w:rsidRPr="00087F50">
        <w:rPr>
          <w:rStyle w:val="tlid-translation"/>
          <w:lang w:val="lv-LV"/>
        </w:rPr>
        <w:t>nātriju nesaturošas</w:t>
      </w:r>
      <w:r w:rsidR="00426578">
        <w:rPr>
          <w:rStyle w:val="tlid-translation"/>
          <w:lang w:val="lv-LV"/>
        </w:rPr>
        <w:t>”</w:t>
      </w:r>
      <w:r w:rsidRPr="00087F50">
        <w:rPr>
          <w:rStyle w:val="tlid-translation"/>
          <w:lang w:val="lv-LV"/>
        </w:rPr>
        <w:t>.</w:t>
      </w:r>
    </w:p>
    <w:p w14:paraId="5C9CE144" w14:textId="2A6D7845" w:rsidR="00A77DDF" w:rsidRPr="00087F50" w:rsidRDefault="00A77DDF" w:rsidP="00A77DDF">
      <w:pPr>
        <w:spacing w:after="11" w:line="259" w:lineRule="auto"/>
        <w:ind w:left="1" w:firstLine="0"/>
      </w:pPr>
    </w:p>
    <w:p w14:paraId="097AC23A" w14:textId="77777777" w:rsidR="00A77DDF" w:rsidRPr="00087F50" w:rsidRDefault="00A77DDF" w:rsidP="00A77DDF">
      <w:pPr>
        <w:pStyle w:val="Heading3"/>
        <w:tabs>
          <w:tab w:val="center" w:pos="3175"/>
        </w:tabs>
        <w:ind w:left="-13" w:right="0" w:firstLine="0"/>
      </w:pPr>
      <w:r w:rsidRPr="00087F50">
        <w:t xml:space="preserve">4.5. </w:t>
      </w:r>
      <w:r w:rsidRPr="00087F50">
        <w:tab/>
      </w:r>
      <w:proofErr w:type="spellStart"/>
      <w:r w:rsidRPr="00087F50">
        <w:t>Mijiedarbība</w:t>
      </w:r>
      <w:proofErr w:type="spellEnd"/>
      <w:r w:rsidRPr="00087F50">
        <w:t xml:space="preserve"> ar </w:t>
      </w:r>
      <w:proofErr w:type="spellStart"/>
      <w:r w:rsidRPr="00087F50">
        <w:t>citām</w:t>
      </w:r>
      <w:proofErr w:type="spellEnd"/>
      <w:r w:rsidRPr="00087F50">
        <w:t xml:space="preserve"> </w:t>
      </w:r>
      <w:proofErr w:type="spellStart"/>
      <w:r w:rsidRPr="00087F50">
        <w:t>zālēm</w:t>
      </w:r>
      <w:proofErr w:type="spellEnd"/>
      <w:r w:rsidRPr="00087F50">
        <w:t xml:space="preserve"> un </w:t>
      </w:r>
      <w:proofErr w:type="spellStart"/>
      <w:r w:rsidRPr="00087F50">
        <w:t>citi</w:t>
      </w:r>
      <w:proofErr w:type="spellEnd"/>
      <w:r w:rsidRPr="00087F50">
        <w:t xml:space="preserve"> </w:t>
      </w:r>
      <w:proofErr w:type="spellStart"/>
      <w:r w:rsidRPr="00087F50">
        <w:t>mijiedarbības</w:t>
      </w:r>
      <w:proofErr w:type="spellEnd"/>
      <w:r w:rsidRPr="00087F50">
        <w:t xml:space="preserve"> </w:t>
      </w:r>
      <w:proofErr w:type="spellStart"/>
      <w:r w:rsidRPr="00087F50">
        <w:t>veidi</w:t>
      </w:r>
      <w:proofErr w:type="spellEnd"/>
      <w:r w:rsidRPr="00087F50">
        <w:rPr>
          <w:b w:val="0"/>
        </w:rPr>
        <w:t xml:space="preserve"> </w:t>
      </w:r>
    </w:p>
    <w:p w14:paraId="4579DA5A" w14:textId="77777777" w:rsidR="00A77DDF" w:rsidRPr="00087F50" w:rsidRDefault="00A77DDF" w:rsidP="00A77DDF">
      <w:pPr>
        <w:spacing w:after="0" w:line="259" w:lineRule="auto"/>
        <w:ind w:left="1" w:firstLine="0"/>
      </w:pPr>
      <w:r w:rsidRPr="00087F50">
        <w:t xml:space="preserve"> </w:t>
      </w:r>
    </w:p>
    <w:p w14:paraId="6EBA79C5" w14:textId="77777777" w:rsidR="00A77DDF" w:rsidRPr="00612C5E" w:rsidRDefault="00A77DDF" w:rsidP="00A77DDF">
      <w:pPr>
        <w:spacing w:after="13" w:line="249" w:lineRule="auto"/>
        <w:ind w:left="-3" w:hanging="10"/>
        <w:rPr>
          <w:iCs/>
          <w:u w:val="single"/>
        </w:rPr>
      </w:pPr>
      <w:proofErr w:type="spellStart"/>
      <w:r w:rsidRPr="00401B40">
        <w:rPr>
          <w:iCs/>
          <w:u w:val="single"/>
        </w:rPr>
        <w:t>Merkaptopurīns</w:t>
      </w:r>
      <w:proofErr w:type="spellEnd"/>
      <w:r w:rsidRPr="00401B40">
        <w:rPr>
          <w:iCs/>
          <w:u w:val="single"/>
        </w:rPr>
        <w:t>/</w:t>
      </w:r>
      <w:proofErr w:type="spellStart"/>
      <w:r w:rsidRPr="00401B40">
        <w:rPr>
          <w:iCs/>
          <w:u w:val="single"/>
        </w:rPr>
        <w:t>azatioprīns</w:t>
      </w:r>
      <w:proofErr w:type="spellEnd"/>
      <w:r w:rsidRPr="00401B40">
        <w:rPr>
          <w:iCs/>
          <w:u w:val="single"/>
        </w:rPr>
        <w:t xml:space="preserve"> </w:t>
      </w:r>
    </w:p>
    <w:p w14:paraId="25B11635" w14:textId="0D8A13F0" w:rsidR="00A77DDF" w:rsidRDefault="00A77DDF" w:rsidP="002171AE">
      <w:pPr>
        <w:ind w:left="-3" w:right="9"/>
        <w:rPr>
          <w:rFonts w:eastAsia="TimesNewRomanPSMT"/>
          <w:color w:val="auto"/>
          <w:lang w:val="lv-LV" w:eastAsia="en-US"/>
        </w:rPr>
      </w:pPr>
      <w:proofErr w:type="spellStart"/>
      <w:r w:rsidRPr="00087F50">
        <w:t>Ņemot</w:t>
      </w:r>
      <w:proofErr w:type="spellEnd"/>
      <w:r w:rsidRPr="00087F50">
        <w:t xml:space="preserve"> </w:t>
      </w:r>
      <w:proofErr w:type="spellStart"/>
      <w:r w:rsidRPr="00087F50">
        <w:t>vērā</w:t>
      </w:r>
      <w:proofErr w:type="spellEnd"/>
      <w:r w:rsidRPr="00087F50">
        <w:t xml:space="preserve"> </w:t>
      </w:r>
      <w:proofErr w:type="spellStart"/>
      <w:r w:rsidRPr="00087F50">
        <w:t>febuksostata</w:t>
      </w:r>
      <w:proofErr w:type="spellEnd"/>
      <w:r w:rsidRPr="00087F50">
        <w:t xml:space="preserve"> </w:t>
      </w:r>
      <w:proofErr w:type="spellStart"/>
      <w:r w:rsidRPr="00087F50">
        <w:t>ietekmi</w:t>
      </w:r>
      <w:proofErr w:type="spellEnd"/>
      <w:r w:rsidRPr="00087F50">
        <w:t xml:space="preserve"> </w:t>
      </w:r>
      <w:proofErr w:type="spellStart"/>
      <w:r w:rsidRPr="00087F50">
        <w:t>uz</w:t>
      </w:r>
      <w:proofErr w:type="spellEnd"/>
      <w:r w:rsidRPr="00087F50">
        <w:t xml:space="preserve"> </w:t>
      </w:r>
      <w:proofErr w:type="spellStart"/>
      <w:r w:rsidRPr="00087F50">
        <w:t>ksantīna</w:t>
      </w:r>
      <w:proofErr w:type="spellEnd"/>
      <w:r w:rsidRPr="00087F50">
        <w:t xml:space="preserve"> </w:t>
      </w:r>
      <w:proofErr w:type="spellStart"/>
      <w:r w:rsidRPr="00087F50">
        <w:t>oksidāzes</w:t>
      </w:r>
      <w:proofErr w:type="spellEnd"/>
      <w:r w:rsidRPr="00087F50">
        <w:t xml:space="preserve"> (XO) </w:t>
      </w:r>
      <w:proofErr w:type="spellStart"/>
      <w:r w:rsidRPr="00087F50">
        <w:t>inhibīciju</w:t>
      </w:r>
      <w:proofErr w:type="spellEnd"/>
      <w:r w:rsidRPr="00087F50">
        <w:t xml:space="preserve">, </w:t>
      </w:r>
      <w:proofErr w:type="spellStart"/>
      <w:r w:rsidRPr="00087F50">
        <w:t>zāļu</w:t>
      </w:r>
      <w:proofErr w:type="spellEnd"/>
      <w:r w:rsidRPr="00087F50">
        <w:t xml:space="preserve"> </w:t>
      </w:r>
      <w:proofErr w:type="spellStart"/>
      <w:r w:rsidRPr="00087F50">
        <w:t>vienlaicīga</w:t>
      </w:r>
      <w:proofErr w:type="spellEnd"/>
      <w:r w:rsidRPr="00087F50">
        <w:t xml:space="preserve"> </w:t>
      </w:r>
      <w:proofErr w:type="spellStart"/>
      <w:r w:rsidRPr="00087F50">
        <w:t>lietošana</w:t>
      </w:r>
      <w:proofErr w:type="spellEnd"/>
      <w:r w:rsidRPr="00087F50">
        <w:t xml:space="preserve"> </w:t>
      </w:r>
      <w:proofErr w:type="spellStart"/>
      <w:r w:rsidRPr="00087F50">
        <w:t>nav</w:t>
      </w:r>
      <w:proofErr w:type="spellEnd"/>
      <w:r w:rsidRPr="00087F50">
        <w:t xml:space="preserve"> </w:t>
      </w:r>
      <w:proofErr w:type="spellStart"/>
      <w:r w:rsidRPr="00087F50">
        <w:t>ieteicama</w:t>
      </w:r>
      <w:proofErr w:type="spellEnd"/>
      <w:r w:rsidRPr="00087F50">
        <w:t xml:space="preserve">. XO </w:t>
      </w:r>
      <w:proofErr w:type="spellStart"/>
      <w:r w:rsidRPr="00087F50">
        <w:t>inhibīcija</w:t>
      </w:r>
      <w:proofErr w:type="spellEnd"/>
      <w:r w:rsidRPr="00087F50">
        <w:t xml:space="preserve"> </w:t>
      </w:r>
      <w:proofErr w:type="spellStart"/>
      <w:r w:rsidRPr="00087F50">
        <w:t>febuksostata</w:t>
      </w:r>
      <w:proofErr w:type="spellEnd"/>
      <w:r w:rsidRPr="00087F50">
        <w:t xml:space="preserve"> </w:t>
      </w:r>
      <w:proofErr w:type="spellStart"/>
      <w:r w:rsidRPr="00087F50">
        <w:t>ietekmē</w:t>
      </w:r>
      <w:proofErr w:type="spellEnd"/>
      <w:r w:rsidRPr="00087F50">
        <w:t xml:space="preserve"> </w:t>
      </w:r>
      <w:proofErr w:type="spellStart"/>
      <w:r w:rsidRPr="00087F50">
        <w:t>var</w:t>
      </w:r>
      <w:proofErr w:type="spellEnd"/>
      <w:r w:rsidRPr="00087F50">
        <w:t xml:space="preserve"> </w:t>
      </w:r>
      <w:proofErr w:type="spellStart"/>
      <w:r w:rsidRPr="00087F50">
        <w:t>izsaukt</w:t>
      </w:r>
      <w:proofErr w:type="spellEnd"/>
      <w:r w:rsidRPr="00087F50">
        <w:t xml:space="preserve"> </w:t>
      </w:r>
      <w:proofErr w:type="spellStart"/>
      <w:r w:rsidRPr="00087F50">
        <w:t>šo</w:t>
      </w:r>
      <w:proofErr w:type="spellEnd"/>
      <w:r w:rsidRPr="00087F50">
        <w:t xml:space="preserve"> </w:t>
      </w:r>
      <w:proofErr w:type="spellStart"/>
      <w:r w:rsidRPr="00087F50">
        <w:t>zāļu</w:t>
      </w:r>
      <w:proofErr w:type="spellEnd"/>
      <w:r w:rsidRPr="00087F50">
        <w:t xml:space="preserve"> </w:t>
      </w:r>
      <w:proofErr w:type="spellStart"/>
      <w:r w:rsidRPr="00087F50">
        <w:t>koncentrācijas</w:t>
      </w:r>
      <w:proofErr w:type="spellEnd"/>
      <w:r w:rsidRPr="00087F50">
        <w:t xml:space="preserve"> </w:t>
      </w:r>
      <w:proofErr w:type="spellStart"/>
      <w:r w:rsidRPr="00087F50">
        <w:t>pieaugumu</w:t>
      </w:r>
      <w:proofErr w:type="spellEnd"/>
      <w:r w:rsidRPr="00087F50">
        <w:t xml:space="preserve"> </w:t>
      </w:r>
      <w:proofErr w:type="spellStart"/>
      <w:r w:rsidRPr="00087F50">
        <w:t>plazmā</w:t>
      </w:r>
      <w:proofErr w:type="spellEnd"/>
      <w:r w:rsidRPr="00087F50">
        <w:t xml:space="preserve"> un </w:t>
      </w:r>
      <w:proofErr w:type="spellStart"/>
      <w:r w:rsidRPr="00087F50">
        <w:t>izraisīt</w:t>
      </w:r>
      <w:proofErr w:type="spellEnd"/>
      <w:r w:rsidRPr="00087F50">
        <w:t xml:space="preserve"> </w:t>
      </w:r>
      <w:proofErr w:type="spellStart"/>
      <w:r w:rsidR="00415DAA">
        <w:t>mielo</w:t>
      </w:r>
      <w:r w:rsidRPr="00087F50">
        <w:t>toksicitāti</w:t>
      </w:r>
      <w:proofErr w:type="spellEnd"/>
      <w:r w:rsidRPr="00087F50">
        <w:t xml:space="preserve">. </w:t>
      </w:r>
    </w:p>
    <w:p w14:paraId="457B9FCC" w14:textId="2E31C920" w:rsidR="00B83AA7" w:rsidRPr="00087F50" w:rsidRDefault="00B83AA7" w:rsidP="008A0CDC">
      <w:pPr>
        <w:ind w:left="-3" w:right="9"/>
      </w:pPr>
      <w:proofErr w:type="spellStart"/>
      <w:r>
        <w:t>Vienlaikus</w:t>
      </w:r>
      <w:proofErr w:type="spellEnd"/>
      <w:r>
        <w:t xml:space="preserve"> </w:t>
      </w:r>
      <w:proofErr w:type="spellStart"/>
      <w:r>
        <w:t>lietojot</w:t>
      </w:r>
      <w:proofErr w:type="spellEnd"/>
      <w:r>
        <w:t xml:space="preserve"> </w:t>
      </w:r>
      <w:proofErr w:type="spellStart"/>
      <w:r>
        <w:t>febuksostatu</w:t>
      </w:r>
      <w:proofErr w:type="spellEnd"/>
      <w:r>
        <w:t xml:space="preserve">, </w:t>
      </w:r>
      <w:proofErr w:type="spellStart"/>
      <w:r>
        <w:t>merkaptopurīna</w:t>
      </w:r>
      <w:proofErr w:type="spellEnd"/>
      <w:r>
        <w:t>/</w:t>
      </w:r>
      <w:proofErr w:type="spellStart"/>
      <w:r>
        <w:t>azatioprīna</w:t>
      </w:r>
      <w:proofErr w:type="spellEnd"/>
      <w:r>
        <w:t xml:space="preserve"> </w:t>
      </w:r>
      <w:proofErr w:type="spellStart"/>
      <w:r>
        <w:t>deva</w:t>
      </w:r>
      <w:proofErr w:type="spellEnd"/>
      <w:r>
        <w:t xml:space="preserve"> </w:t>
      </w:r>
      <w:proofErr w:type="spellStart"/>
      <w:r>
        <w:t>jāsamazina</w:t>
      </w:r>
      <w:proofErr w:type="spellEnd"/>
      <w:r>
        <w:t xml:space="preserve"> </w:t>
      </w:r>
      <w:proofErr w:type="spellStart"/>
      <w:r>
        <w:t>līdz</w:t>
      </w:r>
      <w:proofErr w:type="spellEnd"/>
      <w:r>
        <w:t xml:space="preserve"> 20 % </w:t>
      </w:r>
      <w:proofErr w:type="spellStart"/>
      <w:r>
        <w:t>vai</w:t>
      </w:r>
      <w:proofErr w:type="spellEnd"/>
      <w:r>
        <w:t xml:space="preserve"> </w:t>
      </w:r>
      <w:proofErr w:type="spellStart"/>
      <w:r>
        <w:t>mazāk</w:t>
      </w:r>
      <w:proofErr w:type="spellEnd"/>
      <w:r>
        <w:t xml:space="preserve"> no </w:t>
      </w:r>
      <w:proofErr w:type="spellStart"/>
      <w:r>
        <w:t>iepriekš</w:t>
      </w:r>
      <w:proofErr w:type="spellEnd"/>
      <w:r>
        <w:t xml:space="preserve"> </w:t>
      </w:r>
      <w:proofErr w:type="spellStart"/>
      <w:r>
        <w:t>izrakstītās</w:t>
      </w:r>
      <w:proofErr w:type="spellEnd"/>
      <w:r>
        <w:t xml:space="preserve"> </w:t>
      </w:r>
      <w:proofErr w:type="spellStart"/>
      <w:r>
        <w:t>devas</w:t>
      </w:r>
      <w:proofErr w:type="spellEnd"/>
      <w:r>
        <w:t xml:space="preserve"> (</w:t>
      </w:r>
      <w:proofErr w:type="spellStart"/>
      <w:r>
        <w:t>skatīt</w:t>
      </w:r>
      <w:proofErr w:type="spellEnd"/>
      <w:r>
        <w:t xml:space="preserve"> 4.4. un 5.3. </w:t>
      </w:r>
      <w:proofErr w:type="spellStart"/>
      <w:r>
        <w:t>apakšpunktu</w:t>
      </w:r>
      <w:proofErr w:type="spellEnd"/>
      <w:r>
        <w:t xml:space="preserve">). </w:t>
      </w:r>
      <w:proofErr w:type="spellStart"/>
      <w:r>
        <w:t>Piedāvātās</w:t>
      </w:r>
      <w:proofErr w:type="spellEnd"/>
      <w:r>
        <w:t xml:space="preserve"> </w:t>
      </w:r>
      <w:proofErr w:type="spellStart"/>
      <w:r>
        <w:t>devas</w:t>
      </w:r>
      <w:proofErr w:type="spellEnd"/>
      <w:r>
        <w:t xml:space="preserve"> </w:t>
      </w:r>
      <w:proofErr w:type="spellStart"/>
      <w:r>
        <w:t>pielāgošanas</w:t>
      </w:r>
      <w:proofErr w:type="spellEnd"/>
      <w:r>
        <w:t xml:space="preserve"> </w:t>
      </w:r>
      <w:proofErr w:type="spellStart"/>
      <w:r>
        <w:t>atbilstību</w:t>
      </w:r>
      <w:proofErr w:type="spellEnd"/>
      <w:r>
        <w:t xml:space="preserve">, </w:t>
      </w:r>
      <w:proofErr w:type="spellStart"/>
      <w:r>
        <w:t>pamatojoties</w:t>
      </w:r>
      <w:proofErr w:type="spellEnd"/>
      <w:r>
        <w:t xml:space="preserve"> </w:t>
      </w:r>
      <w:proofErr w:type="spellStart"/>
      <w:r>
        <w:t>uz</w:t>
      </w:r>
      <w:proofErr w:type="spellEnd"/>
      <w:r>
        <w:t xml:space="preserve"> </w:t>
      </w:r>
      <w:proofErr w:type="spellStart"/>
      <w:r>
        <w:t>žurkām</w:t>
      </w:r>
      <w:proofErr w:type="spellEnd"/>
      <w:r>
        <w:t xml:space="preserve"> </w:t>
      </w:r>
      <w:proofErr w:type="spellStart"/>
      <w:r>
        <w:t>veikto</w:t>
      </w:r>
      <w:proofErr w:type="spellEnd"/>
      <w:r>
        <w:t xml:space="preserve"> </w:t>
      </w:r>
      <w:proofErr w:type="spellStart"/>
      <w:r>
        <w:t>pirmsklīnisko</w:t>
      </w:r>
      <w:proofErr w:type="spellEnd"/>
      <w:r>
        <w:t xml:space="preserve"> </w:t>
      </w:r>
      <w:proofErr w:type="spellStart"/>
      <w:r>
        <w:t>datu</w:t>
      </w:r>
      <w:proofErr w:type="spellEnd"/>
      <w:r>
        <w:t xml:space="preserve"> </w:t>
      </w:r>
      <w:proofErr w:type="spellStart"/>
      <w:r>
        <w:t>modelēšanas</w:t>
      </w:r>
      <w:proofErr w:type="spellEnd"/>
      <w:r>
        <w:t xml:space="preserve"> un </w:t>
      </w:r>
      <w:proofErr w:type="spellStart"/>
      <w:r>
        <w:t>simulācijas</w:t>
      </w:r>
      <w:proofErr w:type="spellEnd"/>
      <w:r>
        <w:t xml:space="preserve"> </w:t>
      </w:r>
      <w:proofErr w:type="spellStart"/>
      <w:r>
        <w:t>analīzi</w:t>
      </w:r>
      <w:proofErr w:type="spellEnd"/>
      <w:r>
        <w:t xml:space="preserve">, </w:t>
      </w:r>
      <w:proofErr w:type="spellStart"/>
      <w:r>
        <w:t>apstiprināja</w:t>
      </w:r>
      <w:proofErr w:type="spellEnd"/>
      <w:r>
        <w:t xml:space="preserve"> </w:t>
      </w:r>
      <w:proofErr w:type="spellStart"/>
      <w:r>
        <w:t>klīniskā</w:t>
      </w:r>
      <w:proofErr w:type="spellEnd"/>
      <w:r>
        <w:t xml:space="preserve"> </w:t>
      </w:r>
      <w:proofErr w:type="spellStart"/>
      <w:r>
        <w:t>zāļu-zāļu</w:t>
      </w:r>
      <w:proofErr w:type="spellEnd"/>
      <w:r>
        <w:t xml:space="preserve"> </w:t>
      </w:r>
      <w:proofErr w:type="spellStart"/>
      <w:r>
        <w:t>mijiedarbības</w:t>
      </w:r>
      <w:proofErr w:type="spellEnd"/>
      <w:r>
        <w:t xml:space="preserve"> </w:t>
      </w:r>
      <w:proofErr w:type="spellStart"/>
      <w:r>
        <w:t>pētījuma</w:t>
      </w:r>
      <w:proofErr w:type="spellEnd"/>
      <w:r>
        <w:t xml:space="preserve"> </w:t>
      </w:r>
      <w:proofErr w:type="spellStart"/>
      <w:r>
        <w:t>rezultāti</w:t>
      </w:r>
      <w:proofErr w:type="spellEnd"/>
      <w:r>
        <w:t xml:space="preserve"> </w:t>
      </w:r>
      <w:proofErr w:type="spellStart"/>
      <w:r>
        <w:t>veseliem</w:t>
      </w:r>
      <w:proofErr w:type="spellEnd"/>
      <w:r>
        <w:t xml:space="preserve"> </w:t>
      </w:r>
      <w:proofErr w:type="spellStart"/>
      <w:r>
        <w:t>brīvprātīgajiem</w:t>
      </w:r>
      <w:proofErr w:type="spellEnd"/>
      <w:r>
        <w:t xml:space="preserve">, </w:t>
      </w:r>
      <w:proofErr w:type="spellStart"/>
      <w:r>
        <w:t>kuri</w:t>
      </w:r>
      <w:proofErr w:type="spellEnd"/>
      <w:r>
        <w:t xml:space="preserve"> </w:t>
      </w:r>
      <w:proofErr w:type="spellStart"/>
      <w:r>
        <w:t>saņēma</w:t>
      </w:r>
      <w:proofErr w:type="spellEnd"/>
      <w:r>
        <w:t xml:space="preserve"> </w:t>
      </w:r>
      <w:proofErr w:type="spellStart"/>
      <w:r>
        <w:t>tikai</w:t>
      </w:r>
      <w:proofErr w:type="spellEnd"/>
      <w:r>
        <w:t xml:space="preserve"> 100 mg </w:t>
      </w:r>
      <w:proofErr w:type="spellStart"/>
      <w:r>
        <w:t>azatioprīna</w:t>
      </w:r>
      <w:proofErr w:type="spellEnd"/>
      <w:r>
        <w:t xml:space="preserve"> </w:t>
      </w:r>
      <w:proofErr w:type="spellStart"/>
      <w:r>
        <w:t>vai</w:t>
      </w:r>
      <w:proofErr w:type="spellEnd"/>
      <w:r>
        <w:t xml:space="preserve"> </w:t>
      </w:r>
      <w:proofErr w:type="spellStart"/>
      <w:r>
        <w:t>samazinātu</w:t>
      </w:r>
      <w:proofErr w:type="spellEnd"/>
      <w:r>
        <w:t xml:space="preserve"> </w:t>
      </w:r>
      <w:proofErr w:type="spellStart"/>
      <w:r>
        <w:t>azatioprīna</w:t>
      </w:r>
      <w:proofErr w:type="spellEnd"/>
      <w:r>
        <w:t xml:space="preserve"> </w:t>
      </w:r>
      <w:proofErr w:type="spellStart"/>
      <w:r>
        <w:t>devu</w:t>
      </w:r>
      <w:proofErr w:type="spellEnd"/>
      <w:r>
        <w:t xml:space="preserve"> (25 mg) </w:t>
      </w:r>
      <w:proofErr w:type="spellStart"/>
      <w:r>
        <w:t>kombinācijā</w:t>
      </w:r>
      <w:proofErr w:type="spellEnd"/>
      <w:r>
        <w:t xml:space="preserve"> ar </w:t>
      </w:r>
      <w:proofErr w:type="spellStart"/>
      <w:r>
        <w:t>febuksostatu</w:t>
      </w:r>
      <w:proofErr w:type="spellEnd"/>
      <w:r>
        <w:t xml:space="preserve"> (40 </w:t>
      </w:r>
      <w:proofErr w:type="spellStart"/>
      <w:r>
        <w:t>vai</w:t>
      </w:r>
      <w:proofErr w:type="spellEnd"/>
      <w:r>
        <w:t xml:space="preserve"> 120 mg).</w:t>
      </w:r>
    </w:p>
    <w:p w14:paraId="15ADAAC0" w14:textId="0682D44F" w:rsidR="00A77DDF" w:rsidRPr="00087F50" w:rsidRDefault="00A77DDF" w:rsidP="00A77DDF">
      <w:pPr>
        <w:ind w:left="-3" w:right="9"/>
      </w:pPr>
      <w:proofErr w:type="spellStart"/>
      <w:r w:rsidRPr="00087F50">
        <w:t>Pētījumi</w:t>
      </w:r>
      <w:proofErr w:type="spellEnd"/>
      <w:r w:rsidRPr="00087F50">
        <w:t xml:space="preserve"> par </w:t>
      </w:r>
      <w:proofErr w:type="spellStart"/>
      <w:r w:rsidRPr="00087F50">
        <w:t>febuksostata</w:t>
      </w:r>
      <w:proofErr w:type="spellEnd"/>
      <w:r w:rsidRPr="00087F50">
        <w:t xml:space="preserve"> </w:t>
      </w:r>
      <w:proofErr w:type="spellStart"/>
      <w:r w:rsidRPr="00087F50">
        <w:t>mijiedarbību</w:t>
      </w:r>
      <w:proofErr w:type="spellEnd"/>
      <w:r w:rsidRPr="00087F50">
        <w:t xml:space="preserve"> ar </w:t>
      </w:r>
      <w:proofErr w:type="spellStart"/>
      <w:r w:rsidRPr="00087F50">
        <w:t>citiem</w:t>
      </w:r>
      <w:proofErr w:type="spellEnd"/>
      <w:r w:rsidRPr="00087F50">
        <w:t xml:space="preserve"> </w:t>
      </w:r>
      <w:proofErr w:type="spellStart"/>
      <w:r w:rsidRPr="00087F50">
        <w:t>citotoksiskiem</w:t>
      </w:r>
      <w:proofErr w:type="spellEnd"/>
      <w:r w:rsidRPr="00087F50">
        <w:t xml:space="preserve"> </w:t>
      </w:r>
      <w:proofErr w:type="spellStart"/>
      <w:r w:rsidRPr="00087F50">
        <w:t>ķīmijterapijas</w:t>
      </w:r>
      <w:proofErr w:type="spellEnd"/>
      <w:r w:rsidRPr="00087F50">
        <w:t xml:space="preserve"> </w:t>
      </w:r>
      <w:proofErr w:type="spellStart"/>
      <w:r w:rsidRPr="00087F50">
        <w:t>līdzekļiem</w:t>
      </w:r>
      <w:proofErr w:type="spellEnd"/>
      <w:r w:rsidRPr="00087F50">
        <w:t xml:space="preserve"> </w:t>
      </w:r>
      <w:proofErr w:type="spellStart"/>
      <w:r w:rsidRPr="00087F50">
        <w:t>nav</w:t>
      </w:r>
      <w:proofErr w:type="spellEnd"/>
      <w:r w:rsidRPr="00087F50">
        <w:t xml:space="preserve"> </w:t>
      </w:r>
      <w:proofErr w:type="spellStart"/>
      <w:r w:rsidRPr="00087F50">
        <w:t>veikti</w:t>
      </w:r>
      <w:proofErr w:type="spellEnd"/>
      <w:r w:rsidRPr="00087F50">
        <w:t xml:space="preserve">. </w:t>
      </w:r>
      <w:r w:rsidR="00C16EBC" w:rsidRPr="00087F50">
        <w:t>TLS</w:t>
      </w:r>
      <w:r w:rsidRPr="00087F50">
        <w:t xml:space="preserve"> </w:t>
      </w:r>
      <w:proofErr w:type="spellStart"/>
      <w:r w:rsidRPr="00087F50">
        <w:t>pamatpētījumā</w:t>
      </w:r>
      <w:proofErr w:type="spellEnd"/>
      <w:r w:rsidRPr="00087F50">
        <w:t xml:space="preserve"> </w:t>
      </w:r>
      <w:proofErr w:type="spellStart"/>
      <w:r w:rsidRPr="00087F50">
        <w:t>pacienti</w:t>
      </w:r>
      <w:proofErr w:type="spellEnd"/>
      <w:r w:rsidRPr="00087F50">
        <w:t xml:space="preserve">, </w:t>
      </w:r>
      <w:proofErr w:type="spellStart"/>
      <w:r w:rsidRPr="00087F50">
        <w:t>kuriem</w:t>
      </w:r>
      <w:proofErr w:type="spellEnd"/>
      <w:r w:rsidRPr="00087F50">
        <w:t xml:space="preserve"> </w:t>
      </w:r>
      <w:proofErr w:type="spellStart"/>
      <w:r w:rsidRPr="00087F50">
        <w:t>tika</w:t>
      </w:r>
      <w:proofErr w:type="spellEnd"/>
      <w:r w:rsidRPr="00087F50">
        <w:t xml:space="preserve"> </w:t>
      </w:r>
      <w:proofErr w:type="spellStart"/>
      <w:r w:rsidRPr="00087F50">
        <w:t>veikta</w:t>
      </w:r>
      <w:proofErr w:type="spellEnd"/>
      <w:r w:rsidRPr="00087F50">
        <w:t xml:space="preserve"> </w:t>
      </w:r>
      <w:proofErr w:type="spellStart"/>
      <w:r w:rsidRPr="00087F50">
        <w:t>dažādu</w:t>
      </w:r>
      <w:proofErr w:type="spellEnd"/>
      <w:r w:rsidRPr="00087F50">
        <w:t xml:space="preserve"> </w:t>
      </w:r>
      <w:proofErr w:type="spellStart"/>
      <w:r w:rsidRPr="00087F50">
        <w:t>shēmu</w:t>
      </w:r>
      <w:proofErr w:type="spellEnd"/>
      <w:r w:rsidRPr="00087F50">
        <w:t xml:space="preserve"> </w:t>
      </w:r>
      <w:proofErr w:type="spellStart"/>
      <w:r w:rsidRPr="00087F50">
        <w:t>ķīmijterapija</w:t>
      </w:r>
      <w:proofErr w:type="spellEnd"/>
      <w:r w:rsidRPr="00087F50">
        <w:t xml:space="preserve">, </w:t>
      </w:r>
      <w:proofErr w:type="spellStart"/>
      <w:r w:rsidRPr="00087F50">
        <w:t>arī</w:t>
      </w:r>
      <w:proofErr w:type="spellEnd"/>
      <w:r w:rsidRPr="00087F50">
        <w:t xml:space="preserve"> ar </w:t>
      </w:r>
      <w:proofErr w:type="spellStart"/>
      <w:r w:rsidRPr="00087F50">
        <w:lastRenderedPageBreak/>
        <w:t>monoklonālām</w:t>
      </w:r>
      <w:proofErr w:type="spellEnd"/>
      <w:r w:rsidRPr="00087F50">
        <w:t xml:space="preserve"> </w:t>
      </w:r>
      <w:proofErr w:type="spellStart"/>
      <w:r w:rsidRPr="00087F50">
        <w:t>antivielām</w:t>
      </w:r>
      <w:proofErr w:type="spellEnd"/>
      <w:r w:rsidRPr="00087F50">
        <w:t xml:space="preserve">, </w:t>
      </w:r>
      <w:proofErr w:type="spellStart"/>
      <w:r w:rsidRPr="00087F50">
        <w:t>saņēma</w:t>
      </w:r>
      <w:proofErr w:type="spellEnd"/>
      <w:r w:rsidRPr="00087F50">
        <w:t xml:space="preserve"> 120 mg </w:t>
      </w:r>
      <w:proofErr w:type="spellStart"/>
      <w:r w:rsidRPr="00087F50">
        <w:t>febuksostata</w:t>
      </w:r>
      <w:proofErr w:type="spellEnd"/>
      <w:r w:rsidRPr="00087F50">
        <w:t xml:space="preserve"> </w:t>
      </w:r>
      <w:proofErr w:type="spellStart"/>
      <w:r w:rsidRPr="00087F50">
        <w:t>dienā</w:t>
      </w:r>
      <w:proofErr w:type="spellEnd"/>
      <w:r w:rsidRPr="00087F50">
        <w:t xml:space="preserve">. </w:t>
      </w:r>
      <w:proofErr w:type="spellStart"/>
      <w:r w:rsidRPr="00087F50">
        <w:t>Taču</w:t>
      </w:r>
      <w:proofErr w:type="spellEnd"/>
      <w:r w:rsidRPr="00087F50">
        <w:t xml:space="preserve"> </w:t>
      </w:r>
      <w:proofErr w:type="spellStart"/>
      <w:r w:rsidRPr="00087F50">
        <w:t>zāļu-zāļu</w:t>
      </w:r>
      <w:proofErr w:type="spellEnd"/>
      <w:r w:rsidRPr="00087F50">
        <w:t xml:space="preserve"> un </w:t>
      </w:r>
      <w:proofErr w:type="spellStart"/>
      <w:r w:rsidRPr="00087F50">
        <w:t>zāļu-slimības</w:t>
      </w:r>
      <w:proofErr w:type="spellEnd"/>
      <w:r w:rsidRPr="00087F50">
        <w:t xml:space="preserve"> </w:t>
      </w:r>
      <w:proofErr w:type="spellStart"/>
      <w:r w:rsidRPr="00087F50">
        <w:t>mijiedarbība</w:t>
      </w:r>
      <w:proofErr w:type="spellEnd"/>
      <w:r w:rsidRPr="00087F50">
        <w:t xml:space="preserve"> </w:t>
      </w:r>
      <w:proofErr w:type="spellStart"/>
      <w:r w:rsidRPr="00087F50">
        <w:t>šajā</w:t>
      </w:r>
      <w:proofErr w:type="spellEnd"/>
      <w:r w:rsidRPr="00087F50">
        <w:t xml:space="preserve"> </w:t>
      </w:r>
      <w:proofErr w:type="spellStart"/>
      <w:r w:rsidRPr="00087F50">
        <w:t>pētījumā</w:t>
      </w:r>
      <w:proofErr w:type="spellEnd"/>
      <w:r w:rsidRPr="00087F50">
        <w:t xml:space="preserve"> </w:t>
      </w:r>
      <w:proofErr w:type="spellStart"/>
      <w:r w:rsidRPr="00087F50">
        <w:t>netika</w:t>
      </w:r>
      <w:proofErr w:type="spellEnd"/>
      <w:r w:rsidRPr="00087F50">
        <w:t xml:space="preserve"> </w:t>
      </w:r>
      <w:proofErr w:type="spellStart"/>
      <w:r w:rsidRPr="00087F50">
        <w:t>pārbaudīta</w:t>
      </w:r>
      <w:proofErr w:type="spellEnd"/>
      <w:r w:rsidRPr="00087F50">
        <w:t xml:space="preserve">. </w:t>
      </w:r>
      <w:proofErr w:type="spellStart"/>
      <w:r w:rsidRPr="00087F50">
        <w:t>Tāpēc</w:t>
      </w:r>
      <w:proofErr w:type="spellEnd"/>
      <w:r w:rsidRPr="00087F50">
        <w:t xml:space="preserve"> nevar </w:t>
      </w:r>
      <w:proofErr w:type="spellStart"/>
      <w:r w:rsidRPr="00087F50">
        <w:t>izslēgt</w:t>
      </w:r>
      <w:proofErr w:type="spellEnd"/>
      <w:r w:rsidRPr="00087F50">
        <w:t xml:space="preserve"> </w:t>
      </w:r>
      <w:proofErr w:type="spellStart"/>
      <w:r w:rsidRPr="00087F50">
        <w:t>iespējamu</w:t>
      </w:r>
      <w:proofErr w:type="spellEnd"/>
      <w:r w:rsidRPr="00087F50">
        <w:t xml:space="preserve"> </w:t>
      </w:r>
      <w:proofErr w:type="spellStart"/>
      <w:r w:rsidRPr="00087F50">
        <w:t>mijiedarbību</w:t>
      </w:r>
      <w:proofErr w:type="spellEnd"/>
      <w:r w:rsidRPr="00087F50">
        <w:t xml:space="preserve"> ar </w:t>
      </w:r>
      <w:proofErr w:type="spellStart"/>
      <w:r w:rsidRPr="00087F50">
        <w:t>jebkuru</w:t>
      </w:r>
      <w:proofErr w:type="spellEnd"/>
      <w:r w:rsidRPr="00087F50">
        <w:t xml:space="preserve"> </w:t>
      </w:r>
      <w:proofErr w:type="spellStart"/>
      <w:r w:rsidRPr="00087F50">
        <w:t>vienlaikus</w:t>
      </w:r>
      <w:proofErr w:type="spellEnd"/>
      <w:r w:rsidRPr="00087F50">
        <w:t xml:space="preserve"> </w:t>
      </w:r>
      <w:proofErr w:type="spellStart"/>
      <w:r w:rsidRPr="00087F50">
        <w:t>lietotu</w:t>
      </w:r>
      <w:proofErr w:type="spellEnd"/>
      <w:r w:rsidRPr="00087F50">
        <w:t xml:space="preserve"> </w:t>
      </w:r>
      <w:proofErr w:type="spellStart"/>
      <w:r w:rsidRPr="00087F50">
        <w:t>citotoksisku</w:t>
      </w:r>
      <w:proofErr w:type="spellEnd"/>
      <w:r w:rsidRPr="00087F50">
        <w:t xml:space="preserve"> </w:t>
      </w:r>
      <w:proofErr w:type="spellStart"/>
      <w:r w:rsidRPr="00087F50">
        <w:t>līdzekli</w:t>
      </w:r>
      <w:proofErr w:type="spellEnd"/>
      <w:r w:rsidRPr="00087F50">
        <w:t xml:space="preserve">. </w:t>
      </w:r>
    </w:p>
    <w:p w14:paraId="427C43C5" w14:textId="77777777" w:rsidR="00A77DDF" w:rsidRPr="00087F50" w:rsidRDefault="00A77DDF" w:rsidP="00A77DDF">
      <w:pPr>
        <w:spacing w:after="0" w:line="259" w:lineRule="auto"/>
        <w:ind w:left="1" w:firstLine="0"/>
      </w:pPr>
      <w:r w:rsidRPr="00087F50">
        <w:rPr>
          <w:b/>
        </w:rPr>
        <w:t xml:space="preserve"> </w:t>
      </w:r>
    </w:p>
    <w:p w14:paraId="3440A300" w14:textId="77777777" w:rsidR="00A77DDF" w:rsidRPr="00B56137" w:rsidRDefault="00A77DDF" w:rsidP="00A77DDF">
      <w:pPr>
        <w:spacing w:after="13" w:line="249" w:lineRule="auto"/>
        <w:ind w:left="-3" w:hanging="10"/>
        <w:rPr>
          <w:iCs/>
          <w:u w:val="single"/>
        </w:rPr>
      </w:pPr>
      <w:proofErr w:type="spellStart"/>
      <w:r w:rsidRPr="00B56137">
        <w:rPr>
          <w:iCs/>
          <w:u w:val="single"/>
        </w:rPr>
        <w:t>Rosiglitazons</w:t>
      </w:r>
      <w:proofErr w:type="spellEnd"/>
      <w:r w:rsidRPr="00B56137">
        <w:rPr>
          <w:iCs/>
          <w:u w:val="single"/>
        </w:rPr>
        <w:t xml:space="preserve">/CYP2C8 </w:t>
      </w:r>
      <w:proofErr w:type="spellStart"/>
      <w:r w:rsidRPr="00B56137">
        <w:rPr>
          <w:iCs/>
          <w:u w:val="single"/>
        </w:rPr>
        <w:t>substrāti</w:t>
      </w:r>
      <w:proofErr w:type="spellEnd"/>
      <w:r w:rsidRPr="00B56137">
        <w:rPr>
          <w:iCs/>
          <w:u w:val="single"/>
        </w:rPr>
        <w:t xml:space="preserve"> </w:t>
      </w:r>
    </w:p>
    <w:p w14:paraId="2EBA06F3" w14:textId="77777777" w:rsidR="00A77DDF" w:rsidRPr="00087F50" w:rsidRDefault="00A77DDF" w:rsidP="00A77DDF">
      <w:pPr>
        <w:ind w:left="-3" w:right="9"/>
      </w:pPr>
      <w:proofErr w:type="spellStart"/>
      <w:r w:rsidRPr="00087F50">
        <w:t>Pierādīts</w:t>
      </w:r>
      <w:proofErr w:type="spellEnd"/>
      <w:r w:rsidRPr="00087F50">
        <w:t xml:space="preserve">, </w:t>
      </w:r>
      <w:proofErr w:type="spellStart"/>
      <w:r w:rsidRPr="00087F50">
        <w:t>ka</w:t>
      </w:r>
      <w:proofErr w:type="spellEnd"/>
      <w:r w:rsidRPr="00087F50">
        <w:t xml:space="preserve"> </w:t>
      </w:r>
      <w:r w:rsidRPr="00087F50">
        <w:rPr>
          <w:i/>
        </w:rPr>
        <w:t>in vitro</w:t>
      </w:r>
      <w:r w:rsidRPr="00087F50">
        <w:t xml:space="preserve"> </w:t>
      </w:r>
      <w:proofErr w:type="spellStart"/>
      <w:r w:rsidRPr="00087F50">
        <w:t>febuksostats</w:t>
      </w:r>
      <w:proofErr w:type="spellEnd"/>
      <w:r w:rsidRPr="00087F50">
        <w:t xml:space="preserve"> ir </w:t>
      </w:r>
      <w:proofErr w:type="spellStart"/>
      <w:r w:rsidRPr="00087F50">
        <w:t>vājš</w:t>
      </w:r>
      <w:proofErr w:type="spellEnd"/>
      <w:r w:rsidRPr="00087F50">
        <w:t xml:space="preserve"> CYP2C8 </w:t>
      </w:r>
      <w:proofErr w:type="spellStart"/>
      <w:r w:rsidRPr="00087F50">
        <w:t>inhibitors</w:t>
      </w:r>
      <w:proofErr w:type="spellEnd"/>
      <w:r w:rsidRPr="00087F50">
        <w:t xml:space="preserve">. </w:t>
      </w:r>
      <w:proofErr w:type="spellStart"/>
      <w:r w:rsidRPr="00087F50">
        <w:t>Pētījumā</w:t>
      </w:r>
      <w:proofErr w:type="spellEnd"/>
      <w:r w:rsidRPr="00087F50">
        <w:t xml:space="preserve"> </w:t>
      </w:r>
      <w:proofErr w:type="spellStart"/>
      <w:r w:rsidRPr="00087F50">
        <w:t>veselām</w:t>
      </w:r>
      <w:proofErr w:type="spellEnd"/>
      <w:r w:rsidRPr="00087F50">
        <w:t xml:space="preserve"> </w:t>
      </w:r>
      <w:proofErr w:type="spellStart"/>
      <w:r w:rsidRPr="00087F50">
        <w:t>pētāmām</w:t>
      </w:r>
      <w:proofErr w:type="spellEnd"/>
      <w:r w:rsidRPr="00087F50">
        <w:t xml:space="preserve"> </w:t>
      </w:r>
      <w:proofErr w:type="spellStart"/>
      <w:r w:rsidRPr="00087F50">
        <w:t>personām</w:t>
      </w:r>
      <w:proofErr w:type="spellEnd"/>
      <w:r w:rsidRPr="00087F50">
        <w:t xml:space="preserve"> </w:t>
      </w:r>
      <w:proofErr w:type="spellStart"/>
      <w:r w:rsidRPr="00087F50">
        <w:t>vienlaikus</w:t>
      </w:r>
      <w:proofErr w:type="spellEnd"/>
      <w:r w:rsidRPr="00087F50">
        <w:t xml:space="preserve"> </w:t>
      </w:r>
      <w:proofErr w:type="spellStart"/>
      <w:r w:rsidRPr="00087F50">
        <w:t>lietojot</w:t>
      </w:r>
      <w:proofErr w:type="spellEnd"/>
      <w:r w:rsidRPr="00087F50">
        <w:t xml:space="preserve"> 120 mg </w:t>
      </w:r>
      <w:proofErr w:type="spellStart"/>
      <w:r w:rsidRPr="00087F50">
        <w:t>febuksostata</w:t>
      </w:r>
      <w:proofErr w:type="spellEnd"/>
      <w:r w:rsidRPr="00087F50">
        <w:t xml:space="preserve"> </w:t>
      </w:r>
      <w:proofErr w:type="spellStart"/>
      <w:r w:rsidRPr="00087F50">
        <w:t>reizi</w:t>
      </w:r>
      <w:proofErr w:type="spellEnd"/>
      <w:r w:rsidRPr="00087F50">
        <w:t xml:space="preserve"> </w:t>
      </w:r>
      <w:proofErr w:type="spellStart"/>
      <w:r w:rsidRPr="00087F50">
        <w:t>dienā</w:t>
      </w:r>
      <w:proofErr w:type="spellEnd"/>
      <w:r w:rsidRPr="00087F50">
        <w:t xml:space="preserve"> un </w:t>
      </w:r>
      <w:proofErr w:type="spellStart"/>
      <w:r w:rsidRPr="00087F50">
        <w:t>vienu</w:t>
      </w:r>
      <w:proofErr w:type="spellEnd"/>
      <w:r w:rsidRPr="00087F50">
        <w:t xml:space="preserve"> 4 mg </w:t>
      </w:r>
      <w:proofErr w:type="spellStart"/>
      <w:r w:rsidRPr="00087F50">
        <w:t>perorālu</w:t>
      </w:r>
      <w:proofErr w:type="spellEnd"/>
      <w:r w:rsidRPr="00087F50">
        <w:t xml:space="preserve"> </w:t>
      </w:r>
      <w:proofErr w:type="spellStart"/>
      <w:r w:rsidRPr="00087F50">
        <w:t>rosiglitazona</w:t>
      </w:r>
      <w:proofErr w:type="spellEnd"/>
      <w:r w:rsidRPr="00087F50">
        <w:t xml:space="preserve"> </w:t>
      </w:r>
      <w:proofErr w:type="spellStart"/>
      <w:r w:rsidRPr="00087F50">
        <w:t>devu</w:t>
      </w:r>
      <w:proofErr w:type="spellEnd"/>
      <w:r w:rsidRPr="00087F50">
        <w:t xml:space="preserve">, </w:t>
      </w:r>
      <w:proofErr w:type="spellStart"/>
      <w:r w:rsidRPr="00087F50">
        <w:t>nekonstatēja</w:t>
      </w:r>
      <w:proofErr w:type="spellEnd"/>
      <w:r w:rsidRPr="00087F50">
        <w:t xml:space="preserve"> </w:t>
      </w:r>
      <w:proofErr w:type="spellStart"/>
      <w:r w:rsidRPr="00087F50">
        <w:t>nekādu</w:t>
      </w:r>
      <w:proofErr w:type="spellEnd"/>
      <w:r w:rsidRPr="00087F50">
        <w:t xml:space="preserve"> </w:t>
      </w:r>
      <w:proofErr w:type="spellStart"/>
      <w:r w:rsidRPr="00087F50">
        <w:t>ietekmi</w:t>
      </w:r>
      <w:proofErr w:type="spellEnd"/>
      <w:r w:rsidRPr="00087F50">
        <w:t xml:space="preserve"> </w:t>
      </w:r>
      <w:proofErr w:type="spellStart"/>
      <w:r w:rsidRPr="00087F50">
        <w:t>uz</w:t>
      </w:r>
      <w:proofErr w:type="spellEnd"/>
      <w:r w:rsidRPr="00087F50">
        <w:t xml:space="preserve"> </w:t>
      </w:r>
      <w:proofErr w:type="spellStart"/>
      <w:r w:rsidRPr="00087F50">
        <w:t>rosiglitazona</w:t>
      </w:r>
      <w:proofErr w:type="spellEnd"/>
      <w:r w:rsidRPr="00087F50">
        <w:t xml:space="preserve"> un </w:t>
      </w:r>
      <w:proofErr w:type="spellStart"/>
      <w:r w:rsidRPr="00087F50">
        <w:t>tā</w:t>
      </w:r>
      <w:proofErr w:type="spellEnd"/>
      <w:r w:rsidRPr="00087F50">
        <w:t xml:space="preserve"> </w:t>
      </w:r>
      <w:proofErr w:type="spellStart"/>
      <w:r w:rsidRPr="00087F50">
        <w:t>metabolīta</w:t>
      </w:r>
      <w:proofErr w:type="spellEnd"/>
      <w:r w:rsidRPr="00087F50">
        <w:t xml:space="preserve"> N-</w:t>
      </w:r>
      <w:proofErr w:type="spellStart"/>
      <w:r w:rsidRPr="00087F50">
        <w:t>dezmetilrosiglitazona</w:t>
      </w:r>
      <w:proofErr w:type="spellEnd"/>
      <w:r w:rsidRPr="00087F50">
        <w:t xml:space="preserve"> </w:t>
      </w:r>
      <w:proofErr w:type="spellStart"/>
      <w:r w:rsidRPr="00087F50">
        <w:t>farmakokinētiku</w:t>
      </w:r>
      <w:proofErr w:type="spellEnd"/>
      <w:r w:rsidRPr="00087F50">
        <w:t xml:space="preserve">, </w:t>
      </w:r>
      <w:proofErr w:type="spellStart"/>
      <w:r w:rsidRPr="00087F50">
        <w:t>kas</w:t>
      </w:r>
      <w:proofErr w:type="spellEnd"/>
      <w:r w:rsidRPr="00087F50">
        <w:t xml:space="preserve"> </w:t>
      </w:r>
      <w:proofErr w:type="spellStart"/>
      <w:r w:rsidRPr="00087F50">
        <w:t>liecina</w:t>
      </w:r>
      <w:proofErr w:type="spellEnd"/>
      <w:r w:rsidRPr="00087F50">
        <w:t xml:space="preserve">, </w:t>
      </w:r>
      <w:proofErr w:type="spellStart"/>
      <w:r w:rsidRPr="00087F50">
        <w:t>ka</w:t>
      </w:r>
      <w:proofErr w:type="spellEnd"/>
      <w:r w:rsidRPr="00087F50">
        <w:t xml:space="preserve"> </w:t>
      </w:r>
      <w:r w:rsidRPr="00087F50">
        <w:rPr>
          <w:i/>
        </w:rPr>
        <w:t>in vivo</w:t>
      </w:r>
      <w:r w:rsidRPr="00087F50">
        <w:t xml:space="preserve"> </w:t>
      </w:r>
      <w:proofErr w:type="spellStart"/>
      <w:r w:rsidRPr="00087F50">
        <w:t>febuksostats</w:t>
      </w:r>
      <w:proofErr w:type="spellEnd"/>
      <w:r w:rsidRPr="00087F50">
        <w:t xml:space="preserve"> </w:t>
      </w:r>
      <w:proofErr w:type="spellStart"/>
      <w:r w:rsidRPr="00087F50">
        <w:t>nav</w:t>
      </w:r>
      <w:proofErr w:type="spellEnd"/>
      <w:r w:rsidRPr="00087F50">
        <w:t xml:space="preserve"> CYP2C8 </w:t>
      </w:r>
      <w:proofErr w:type="spellStart"/>
      <w:r w:rsidRPr="00087F50">
        <w:t>enzīma</w:t>
      </w:r>
      <w:proofErr w:type="spellEnd"/>
      <w:r w:rsidRPr="00087F50">
        <w:t xml:space="preserve"> </w:t>
      </w:r>
      <w:proofErr w:type="spellStart"/>
      <w:r w:rsidRPr="00087F50">
        <w:t>inhibitors</w:t>
      </w:r>
      <w:proofErr w:type="spellEnd"/>
      <w:r w:rsidRPr="00087F50">
        <w:t xml:space="preserve">. </w:t>
      </w:r>
      <w:proofErr w:type="spellStart"/>
      <w:r w:rsidRPr="00087F50">
        <w:t>Tāpēc</w:t>
      </w:r>
      <w:proofErr w:type="spellEnd"/>
      <w:r w:rsidRPr="00087F50">
        <w:t xml:space="preserve"> </w:t>
      </w:r>
      <w:proofErr w:type="spellStart"/>
      <w:r w:rsidRPr="00087F50">
        <w:t>nav</w:t>
      </w:r>
      <w:proofErr w:type="spellEnd"/>
      <w:r w:rsidRPr="00087F50">
        <w:t xml:space="preserve"> </w:t>
      </w:r>
      <w:proofErr w:type="spellStart"/>
      <w:r w:rsidRPr="00087F50">
        <w:t>paredzams</w:t>
      </w:r>
      <w:proofErr w:type="spellEnd"/>
      <w:r w:rsidRPr="00087F50">
        <w:t xml:space="preserve">, </w:t>
      </w:r>
      <w:proofErr w:type="spellStart"/>
      <w:r w:rsidRPr="00087F50">
        <w:t>ka</w:t>
      </w:r>
      <w:proofErr w:type="spellEnd"/>
      <w:r w:rsidRPr="00087F50">
        <w:t xml:space="preserve"> </w:t>
      </w:r>
      <w:proofErr w:type="spellStart"/>
      <w:r w:rsidRPr="00087F50">
        <w:t>vienlaicīgas</w:t>
      </w:r>
      <w:proofErr w:type="spellEnd"/>
      <w:r w:rsidRPr="00087F50">
        <w:t xml:space="preserve"> </w:t>
      </w:r>
      <w:proofErr w:type="spellStart"/>
      <w:r w:rsidRPr="00087F50">
        <w:t>febuksostata</w:t>
      </w:r>
      <w:proofErr w:type="spellEnd"/>
      <w:r w:rsidRPr="00087F50">
        <w:t xml:space="preserve"> un </w:t>
      </w:r>
      <w:proofErr w:type="spellStart"/>
      <w:r w:rsidRPr="00087F50">
        <w:t>rosiglitazona</w:t>
      </w:r>
      <w:proofErr w:type="spellEnd"/>
      <w:r w:rsidRPr="00087F50">
        <w:t xml:space="preserve"> </w:t>
      </w:r>
      <w:proofErr w:type="spellStart"/>
      <w:r w:rsidRPr="00087F50">
        <w:t>vai</w:t>
      </w:r>
      <w:proofErr w:type="spellEnd"/>
      <w:r w:rsidRPr="00087F50">
        <w:t xml:space="preserve"> </w:t>
      </w:r>
      <w:proofErr w:type="spellStart"/>
      <w:r w:rsidRPr="00087F50">
        <w:t>citu</w:t>
      </w:r>
      <w:proofErr w:type="spellEnd"/>
      <w:r w:rsidRPr="00087F50">
        <w:t xml:space="preserve"> CYP2C8 </w:t>
      </w:r>
      <w:proofErr w:type="spellStart"/>
      <w:r w:rsidRPr="00087F50">
        <w:t>substrātu</w:t>
      </w:r>
      <w:proofErr w:type="spellEnd"/>
      <w:r w:rsidRPr="00087F50">
        <w:t xml:space="preserve"> </w:t>
      </w:r>
      <w:proofErr w:type="spellStart"/>
      <w:r w:rsidRPr="00087F50">
        <w:t>lietošanas</w:t>
      </w:r>
      <w:proofErr w:type="spellEnd"/>
      <w:r w:rsidRPr="00087F50">
        <w:t xml:space="preserve"> </w:t>
      </w:r>
      <w:proofErr w:type="spellStart"/>
      <w:r w:rsidRPr="00087F50">
        <w:t>gadījumā</w:t>
      </w:r>
      <w:proofErr w:type="spellEnd"/>
      <w:r w:rsidRPr="00087F50">
        <w:t xml:space="preserve"> </w:t>
      </w:r>
      <w:proofErr w:type="spellStart"/>
      <w:r w:rsidRPr="00087F50">
        <w:t>būs</w:t>
      </w:r>
      <w:proofErr w:type="spellEnd"/>
      <w:r w:rsidRPr="00087F50">
        <w:t xml:space="preserve"> </w:t>
      </w:r>
      <w:proofErr w:type="spellStart"/>
      <w:r w:rsidRPr="00087F50">
        <w:t>nepieciešama</w:t>
      </w:r>
      <w:proofErr w:type="spellEnd"/>
      <w:r w:rsidRPr="00087F50">
        <w:t xml:space="preserve"> </w:t>
      </w:r>
      <w:proofErr w:type="spellStart"/>
      <w:r w:rsidRPr="00087F50">
        <w:t>šo</w:t>
      </w:r>
      <w:proofErr w:type="spellEnd"/>
      <w:r w:rsidRPr="00087F50">
        <w:t xml:space="preserve"> </w:t>
      </w:r>
      <w:proofErr w:type="spellStart"/>
      <w:r w:rsidRPr="00087F50">
        <w:t>zāļu</w:t>
      </w:r>
      <w:proofErr w:type="spellEnd"/>
      <w:r w:rsidRPr="00087F50">
        <w:t xml:space="preserve"> </w:t>
      </w:r>
      <w:proofErr w:type="spellStart"/>
      <w:r w:rsidRPr="00087F50">
        <w:t>devas</w:t>
      </w:r>
      <w:proofErr w:type="spellEnd"/>
      <w:r w:rsidRPr="00087F50">
        <w:t xml:space="preserve"> </w:t>
      </w:r>
      <w:proofErr w:type="spellStart"/>
      <w:r w:rsidRPr="00087F50">
        <w:t>pielāgošana</w:t>
      </w:r>
      <w:proofErr w:type="spellEnd"/>
      <w:r w:rsidRPr="00087F50">
        <w:t xml:space="preserve">. </w:t>
      </w:r>
    </w:p>
    <w:p w14:paraId="31A96AD9" w14:textId="77777777" w:rsidR="00A77DDF" w:rsidRPr="00087F50" w:rsidRDefault="00A77DDF" w:rsidP="00A77DDF">
      <w:pPr>
        <w:spacing w:after="0" w:line="259" w:lineRule="auto"/>
        <w:ind w:left="2" w:firstLine="0"/>
      </w:pPr>
      <w:r w:rsidRPr="00087F50">
        <w:rPr>
          <w:b/>
        </w:rPr>
        <w:t xml:space="preserve"> </w:t>
      </w:r>
    </w:p>
    <w:p w14:paraId="4B74E71D" w14:textId="77777777" w:rsidR="00A77DDF" w:rsidRPr="00B56137" w:rsidRDefault="00A77DDF" w:rsidP="00A77DDF">
      <w:pPr>
        <w:spacing w:after="13" w:line="249" w:lineRule="auto"/>
        <w:ind w:left="-3" w:hanging="10"/>
        <w:rPr>
          <w:iCs/>
          <w:u w:val="single"/>
        </w:rPr>
      </w:pPr>
      <w:proofErr w:type="spellStart"/>
      <w:r w:rsidRPr="00B56137">
        <w:rPr>
          <w:iCs/>
          <w:u w:val="single"/>
        </w:rPr>
        <w:t>Teofilīns</w:t>
      </w:r>
      <w:proofErr w:type="spellEnd"/>
      <w:r w:rsidRPr="00B56137">
        <w:rPr>
          <w:iCs/>
          <w:u w:val="single"/>
        </w:rPr>
        <w:t xml:space="preserve"> </w:t>
      </w:r>
    </w:p>
    <w:p w14:paraId="5ED32D08" w14:textId="77777777" w:rsidR="00A77DDF" w:rsidRPr="00087F50" w:rsidRDefault="00A77DDF" w:rsidP="00A77DDF">
      <w:pPr>
        <w:ind w:left="-3" w:right="9"/>
      </w:pPr>
      <w:proofErr w:type="spellStart"/>
      <w:r w:rsidRPr="00087F50">
        <w:t>Veikts</w:t>
      </w:r>
      <w:proofErr w:type="spellEnd"/>
      <w:r w:rsidRPr="00087F50">
        <w:t xml:space="preserve"> </w:t>
      </w:r>
      <w:proofErr w:type="spellStart"/>
      <w:r w:rsidRPr="00087F50">
        <w:t>pētījums</w:t>
      </w:r>
      <w:proofErr w:type="spellEnd"/>
      <w:r w:rsidRPr="00087F50">
        <w:t xml:space="preserve"> </w:t>
      </w:r>
      <w:proofErr w:type="spellStart"/>
      <w:r w:rsidRPr="00087F50">
        <w:t>veselām</w:t>
      </w:r>
      <w:proofErr w:type="spellEnd"/>
      <w:r w:rsidRPr="00087F50">
        <w:t xml:space="preserve"> </w:t>
      </w:r>
      <w:proofErr w:type="spellStart"/>
      <w:r w:rsidRPr="00087F50">
        <w:t>pētāmām</w:t>
      </w:r>
      <w:proofErr w:type="spellEnd"/>
      <w:r w:rsidRPr="00087F50">
        <w:t xml:space="preserve"> </w:t>
      </w:r>
      <w:proofErr w:type="spellStart"/>
      <w:r w:rsidRPr="00087F50">
        <w:t>personām</w:t>
      </w:r>
      <w:proofErr w:type="spellEnd"/>
      <w:r w:rsidRPr="00087F50">
        <w:t xml:space="preserve"> par </w:t>
      </w:r>
      <w:proofErr w:type="spellStart"/>
      <w:r w:rsidRPr="00087F50">
        <w:t>mijiedarbību</w:t>
      </w:r>
      <w:proofErr w:type="spellEnd"/>
      <w:r w:rsidRPr="00087F50">
        <w:t xml:space="preserve"> ar </w:t>
      </w:r>
      <w:proofErr w:type="spellStart"/>
      <w:r w:rsidRPr="00087F50">
        <w:t>febuksostatu</w:t>
      </w:r>
      <w:proofErr w:type="spellEnd"/>
      <w:r w:rsidRPr="00087F50">
        <w:t xml:space="preserve">, </w:t>
      </w:r>
      <w:proofErr w:type="spellStart"/>
      <w:r w:rsidRPr="00087F50">
        <w:t>lai</w:t>
      </w:r>
      <w:proofErr w:type="spellEnd"/>
      <w:r w:rsidRPr="00087F50">
        <w:t xml:space="preserve"> </w:t>
      </w:r>
      <w:proofErr w:type="spellStart"/>
      <w:r w:rsidRPr="00087F50">
        <w:t>novērtētu</w:t>
      </w:r>
      <w:proofErr w:type="spellEnd"/>
      <w:r w:rsidRPr="00087F50">
        <w:t xml:space="preserve">, </w:t>
      </w:r>
      <w:proofErr w:type="spellStart"/>
      <w:r w:rsidRPr="00087F50">
        <w:t>vai</w:t>
      </w:r>
      <w:proofErr w:type="spellEnd"/>
      <w:r w:rsidRPr="00087F50">
        <w:t xml:space="preserve"> XO </w:t>
      </w:r>
      <w:proofErr w:type="spellStart"/>
      <w:r w:rsidRPr="00087F50">
        <w:t>inhibīcija</w:t>
      </w:r>
      <w:proofErr w:type="spellEnd"/>
      <w:r w:rsidRPr="00087F50">
        <w:t xml:space="preserve"> </w:t>
      </w:r>
      <w:proofErr w:type="spellStart"/>
      <w:r w:rsidRPr="00087F50">
        <w:t>var</w:t>
      </w:r>
      <w:proofErr w:type="spellEnd"/>
      <w:r w:rsidRPr="00087F50">
        <w:t xml:space="preserve"> </w:t>
      </w:r>
      <w:proofErr w:type="spellStart"/>
      <w:r w:rsidRPr="00087F50">
        <w:t>paaugstināt</w:t>
      </w:r>
      <w:proofErr w:type="spellEnd"/>
      <w:r w:rsidRPr="00087F50">
        <w:t xml:space="preserve"> </w:t>
      </w:r>
      <w:proofErr w:type="spellStart"/>
      <w:r w:rsidRPr="00087F50">
        <w:t>teofilīna</w:t>
      </w:r>
      <w:proofErr w:type="spellEnd"/>
      <w:r w:rsidRPr="00087F50">
        <w:t xml:space="preserve"> </w:t>
      </w:r>
      <w:proofErr w:type="spellStart"/>
      <w:r w:rsidRPr="00087F50">
        <w:t>līmeni</w:t>
      </w:r>
      <w:proofErr w:type="spellEnd"/>
      <w:r w:rsidRPr="00087F50">
        <w:t xml:space="preserve"> </w:t>
      </w:r>
      <w:proofErr w:type="spellStart"/>
      <w:r w:rsidRPr="00087F50">
        <w:t>asinsritē</w:t>
      </w:r>
      <w:proofErr w:type="spellEnd"/>
      <w:r w:rsidRPr="00087F50">
        <w:t xml:space="preserve">, </w:t>
      </w:r>
      <w:proofErr w:type="spellStart"/>
      <w:r w:rsidRPr="00087F50">
        <w:t>kā</w:t>
      </w:r>
      <w:proofErr w:type="spellEnd"/>
      <w:r w:rsidRPr="00087F50">
        <w:t xml:space="preserve"> tas </w:t>
      </w:r>
      <w:proofErr w:type="spellStart"/>
      <w:r w:rsidRPr="00087F50">
        <w:t>ziņots</w:t>
      </w:r>
      <w:proofErr w:type="spellEnd"/>
      <w:r w:rsidRPr="00087F50">
        <w:t xml:space="preserve"> </w:t>
      </w:r>
      <w:proofErr w:type="spellStart"/>
      <w:r w:rsidRPr="00087F50">
        <w:t>citu</w:t>
      </w:r>
      <w:proofErr w:type="spellEnd"/>
      <w:r w:rsidRPr="00087F50">
        <w:t xml:space="preserve"> XO </w:t>
      </w:r>
      <w:proofErr w:type="spellStart"/>
      <w:r w:rsidRPr="00087F50">
        <w:t>inhibitoru</w:t>
      </w:r>
      <w:proofErr w:type="spellEnd"/>
      <w:r w:rsidRPr="00087F50">
        <w:t xml:space="preserve"> </w:t>
      </w:r>
      <w:proofErr w:type="spellStart"/>
      <w:r w:rsidRPr="00087F50">
        <w:t>lietošanas</w:t>
      </w:r>
      <w:proofErr w:type="spellEnd"/>
      <w:r w:rsidRPr="00087F50">
        <w:t xml:space="preserve"> </w:t>
      </w:r>
      <w:proofErr w:type="spellStart"/>
      <w:r w:rsidRPr="00087F50">
        <w:t>gadījumā</w:t>
      </w:r>
      <w:proofErr w:type="spellEnd"/>
      <w:r w:rsidRPr="00087F50">
        <w:t xml:space="preserve">. </w:t>
      </w:r>
      <w:proofErr w:type="spellStart"/>
      <w:r w:rsidRPr="00087F50">
        <w:t>Pētījuma</w:t>
      </w:r>
      <w:proofErr w:type="spellEnd"/>
      <w:r w:rsidRPr="00087F50">
        <w:t xml:space="preserve"> </w:t>
      </w:r>
      <w:proofErr w:type="spellStart"/>
      <w:r w:rsidRPr="00087F50">
        <w:t>rezultāti</w:t>
      </w:r>
      <w:proofErr w:type="spellEnd"/>
      <w:r w:rsidRPr="00087F50">
        <w:t xml:space="preserve"> </w:t>
      </w:r>
      <w:proofErr w:type="spellStart"/>
      <w:r w:rsidRPr="00087F50">
        <w:t>parādīja</w:t>
      </w:r>
      <w:proofErr w:type="spellEnd"/>
      <w:r w:rsidRPr="00087F50">
        <w:t xml:space="preserve">, </w:t>
      </w:r>
      <w:proofErr w:type="spellStart"/>
      <w:r w:rsidRPr="00087F50">
        <w:t>ka</w:t>
      </w:r>
      <w:proofErr w:type="spellEnd"/>
      <w:r w:rsidRPr="00087F50">
        <w:t xml:space="preserve"> 80 mg </w:t>
      </w:r>
      <w:proofErr w:type="spellStart"/>
      <w:r w:rsidRPr="00087F50">
        <w:t>febuksostata</w:t>
      </w:r>
      <w:proofErr w:type="spellEnd"/>
      <w:r w:rsidRPr="00087F50">
        <w:t xml:space="preserve"> </w:t>
      </w:r>
      <w:proofErr w:type="spellStart"/>
      <w:r w:rsidRPr="00087F50">
        <w:t>lietošana</w:t>
      </w:r>
      <w:proofErr w:type="spellEnd"/>
      <w:r w:rsidRPr="00087F50">
        <w:t xml:space="preserve"> </w:t>
      </w:r>
      <w:proofErr w:type="spellStart"/>
      <w:r w:rsidRPr="00087F50">
        <w:t>vienreiz</w:t>
      </w:r>
      <w:proofErr w:type="spellEnd"/>
      <w:r w:rsidRPr="00087F50">
        <w:t xml:space="preserve"> </w:t>
      </w:r>
      <w:proofErr w:type="spellStart"/>
      <w:r w:rsidRPr="00087F50">
        <w:t>dienā</w:t>
      </w:r>
      <w:proofErr w:type="spellEnd"/>
      <w:r w:rsidRPr="00087F50">
        <w:t xml:space="preserve"> </w:t>
      </w:r>
      <w:proofErr w:type="spellStart"/>
      <w:r w:rsidRPr="00087F50">
        <w:t>kopā</w:t>
      </w:r>
      <w:proofErr w:type="spellEnd"/>
      <w:r w:rsidRPr="00087F50">
        <w:t xml:space="preserve"> ar </w:t>
      </w:r>
      <w:proofErr w:type="spellStart"/>
      <w:r w:rsidRPr="00087F50">
        <w:t>vienu</w:t>
      </w:r>
      <w:proofErr w:type="spellEnd"/>
      <w:r w:rsidRPr="00087F50">
        <w:t xml:space="preserve"> 400 mg </w:t>
      </w:r>
      <w:proofErr w:type="spellStart"/>
      <w:r w:rsidRPr="00087F50">
        <w:t>teofilīna</w:t>
      </w:r>
      <w:proofErr w:type="spellEnd"/>
      <w:r w:rsidRPr="00087F50">
        <w:t xml:space="preserve"> </w:t>
      </w:r>
      <w:proofErr w:type="spellStart"/>
      <w:r w:rsidRPr="00087F50">
        <w:t>devu</w:t>
      </w:r>
      <w:proofErr w:type="spellEnd"/>
      <w:r w:rsidRPr="00087F50">
        <w:t xml:space="preserve"> </w:t>
      </w:r>
      <w:proofErr w:type="spellStart"/>
      <w:r w:rsidRPr="00087F50">
        <w:t>neietekmē</w:t>
      </w:r>
      <w:proofErr w:type="spellEnd"/>
      <w:r w:rsidRPr="00087F50">
        <w:t xml:space="preserve"> </w:t>
      </w:r>
      <w:proofErr w:type="spellStart"/>
      <w:r w:rsidRPr="00087F50">
        <w:t>teofilīna</w:t>
      </w:r>
      <w:proofErr w:type="spellEnd"/>
      <w:r w:rsidRPr="00087F50">
        <w:t xml:space="preserve"> </w:t>
      </w:r>
      <w:proofErr w:type="spellStart"/>
      <w:r w:rsidRPr="00087F50">
        <w:t>farmakokinētiku</w:t>
      </w:r>
      <w:proofErr w:type="spellEnd"/>
      <w:r w:rsidRPr="00087F50">
        <w:t xml:space="preserve"> </w:t>
      </w:r>
      <w:proofErr w:type="spellStart"/>
      <w:r w:rsidRPr="00087F50">
        <w:t>vai</w:t>
      </w:r>
      <w:proofErr w:type="spellEnd"/>
      <w:r w:rsidRPr="00087F50">
        <w:t xml:space="preserve"> </w:t>
      </w:r>
      <w:proofErr w:type="spellStart"/>
      <w:r w:rsidRPr="00087F50">
        <w:t>lietošanas</w:t>
      </w:r>
      <w:proofErr w:type="spellEnd"/>
      <w:r w:rsidRPr="00087F50">
        <w:t xml:space="preserve"> </w:t>
      </w:r>
      <w:proofErr w:type="spellStart"/>
      <w:r w:rsidRPr="00087F50">
        <w:t>drošumu</w:t>
      </w:r>
      <w:proofErr w:type="spellEnd"/>
      <w:r w:rsidRPr="00087F50">
        <w:t xml:space="preserve">. </w:t>
      </w:r>
      <w:proofErr w:type="spellStart"/>
      <w:r w:rsidRPr="00087F50">
        <w:t>Tāpēc</w:t>
      </w:r>
      <w:proofErr w:type="spellEnd"/>
      <w:r w:rsidRPr="00087F50">
        <w:t xml:space="preserve">, 80 mg </w:t>
      </w:r>
      <w:proofErr w:type="spellStart"/>
      <w:r w:rsidRPr="00087F50">
        <w:t>febuksostata</w:t>
      </w:r>
      <w:proofErr w:type="spellEnd"/>
      <w:r w:rsidRPr="00087F50">
        <w:t xml:space="preserve"> un </w:t>
      </w:r>
      <w:proofErr w:type="spellStart"/>
      <w:r w:rsidRPr="00087F50">
        <w:t>teofilīnu</w:t>
      </w:r>
      <w:proofErr w:type="spellEnd"/>
      <w:r w:rsidRPr="00087F50">
        <w:t xml:space="preserve"> </w:t>
      </w:r>
      <w:proofErr w:type="spellStart"/>
      <w:r w:rsidRPr="00087F50">
        <w:t>lietojot</w:t>
      </w:r>
      <w:proofErr w:type="spellEnd"/>
      <w:r w:rsidRPr="00087F50">
        <w:t xml:space="preserve"> </w:t>
      </w:r>
      <w:proofErr w:type="spellStart"/>
      <w:r w:rsidRPr="00087F50">
        <w:t>vienlaicīgi</w:t>
      </w:r>
      <w:proofErr w:type="spellEnd"/>
      <w:r w:rsidRPr="00087F50">
        <w:t xml:space="preserve">, </w:t>
      </w:r>
      <w:proofErr w:type="spellStart"/>
      <w:r w:rsidRPr="00087F50">
        <w:t>īpaša</w:t>
      </w:r>
      <w:proofErr w:type="spellEnd"/>
      <w:r w:rsidRPr="00087F50">
        <w:t xml:space="preserve"> </w:t>
      </w:r>
      <w:proofErr w:type="spellStart"/>
      <w:r w:rsidRPr="00087F50">
        <w:t>piesardzība</w:t>
      </w:r>
      <w:proofErr w:type="spellEnd"/>
      <w:r w:rsidRPr="00087F50">
        <w:t xml:space="preserve"> </w:t>
      </w:r>
      <w:proofErr w:type="spellStart"/>
      <w:r w:rsidRPr="00087F50">
        <w:t>nav</w:t>
      </w:r>
      <w:proofErr w:type="spellEnd"/>
      <w:r w:rsidRPr="00087F50">
        <w:t xml:space="preserve"> </w:t>
      </w:r>
      <w:proofErr w:type="spellStart"/>
      <w:r w:rsidRPr="00087F50">
        <w:t>nepieciešama</w:t>
      </w:r>
      <w:proofErr w:type="spellEnd"/>
      <w:r w:rsidRPr="00087F50">
        <w:t xml:space="preserve">. Par 120 mg </w:t>
      </w:r>
      <w:proofErr w:type="spellStart"/>
      <w:r w:rsidRPr="00087F50">
        <w:t>febuksostata</w:t>
      </w:r>
      <w:proofErr w:type="spellEnd"/>
      <w:r w:rsidRPr="00087F50">
        <w:t xml:space="preserve"> </w:t>
      </w:r>
      <w:proofErr w:type="spellStart"/>
      <w:r w:rsidRPr="00087F50">
        <w:t>dati</w:t>
      </w:r>
      <w:proofErr w:type="spellEnd"/>
      <w:r w:rsidRPr="00087F50">
        <w:t xml:space="preserve"> </w:t>
      </w:r>
      <w:proofErr w:type="spellStart"/>
      <w:r w:rsidRPr="00087F50">
        <w:t>nav</w:t>
      </w:r>
      <w:proofErr w:type="spellEnd"/>
      <w:r w:rsidRPr="00087F50">
        <w:t xml:space="preserve"> </w:t>
      </w:r>
      <w:proofErr w:type="spellStart"/>
      <w:r w:rsidRPr="00087F50">
        <w:t>pieejami</w:t>
      </w:r>
      <w:proofErr w:type="spellEnd"/>
      <w:r w:rsidRPr="00087F50">
        <w:t xml:space="preserve">. </w:t>
      </w:r>
    </w:p>
    <w:p w14:paraId="66738284" w14:textId="77777777" w:rsidR="00A77DDF" w:rsidRPr="00087F50" w:rsidRDefault="00A77DDF" w:rsidP="00A77DDF">
      <w:pPr>
        <w:spacing w:after="0" w:line="259" w:lineRule="auto"/>
        <w:ind w:left="2" w:firstLine="0"/>
      </w:pPr>
      <w:r w:rsidRPr="00087F50">
        <w:t xml:space="preserve"> </w:t>
      </w:r>
    </w:p>
    <w:p w14:paraId="7862F065" w14:textId="77777777" w:rsidR="00A77DDF" w:rsidRPr="00B56137" w:rsidRDefault="00A77DDF" w:rsidP="00A77DDF">
      <w:pPr>
        <w:spacing w:after="13" w:line="249" w:lineRule="auto"/>
        <w:ind w:left="-3" w:hanging="10"/>
        <w:rPr>
          <w:iCs/>
          <w:u w:val="single"/>
        </w:rPr>
      </w:pPr>
      <w:proofErr w:type="spellStart"/>
      <w:r w:rsidRPr="00B56137">
        <w:rPr>
          <w:iCs/>
          <w:u w:val="single"/>
        </w:rPr>
        <w:t>Naproksēns</w:t>
      </w:r>
      <w:proofErr w:type="spellEnd"/>
      <w:r w:rsidRPr="00B56137">
        <w:rPr>
          <w:iCs/>
          <w:u w:val="single"/>
        </w:rPr>
        <w:t xml:space="preserve"> un </w:t>
      </w:r>
      <w:proofErr w:type="spellStart"/>
      <w:r w:rsidRPr="00B56137">
        <w:rPr>
          <w:iCs/>
          <w:u w:val="single"/>
        </w:rPr>
        <w:t>citi</w:t>
      </w:r>
      <w:proofErr w:type="spellEnd"/>
      <w:r w:rsidRPr="00B56137">
        <w:rPr>
          <w:iCs/>
          <w:u w:val="single"/>
        </w:rPr>
        <w:t xml:space="preserve"> </w:t>
      </w:r>
      <w:proofErr w:type="spellStart"/>
      <w:r w:rsidRPr="00B56137">
        <w:rPr>
          <w:iCs/>
          <w:u w:val="single"/>
        </w:rPr>
        <w:t>glikuronizācijas</w:t>
      </w:r>
      <w:proofErr w:type="spellEnd"/>
      <w:r w:rsidRPr="00B56137">
        <w:rPr>
          <w:iCs/>
          <w:u w:val="single"/>
        </w:rPr>
        <w:t xml:space="preserve"> </w:t>
      </w:r>
      <w:proofErr w:type="spellStart"/>
      <w:r w:rsidRPr="00B56137">
        <w:rPr>
          <w:iCs/>
          <w:u w:val="single"/>
        </w:rPr>
        <w:t>inhibitori</w:t>
      </w:r>
      <w:proofErr w:type="spellEnd"/>
      <w:r w:rsidRPr="00B56137">
        <w:rPr>
          <w:iCs/>
          <w:u w:val="single"/>
        </w:rPr>
        <w:t xml:space="preserve"> </w:t>
      </w:r>
    </w:p>
    <w:p w14:paraId="06AD48DB" w14:textId="0491CD0B" w:rsidR="00A77DDF" w:rsidRPr="00087F50" w:rsidRDefault="00A77DDF" w:rsidP="00A77DDF">
      <w:pPr>
        <w:ind w:left="-3" w:right="9"/>
      </w:pPr>
      <w:proofErr w:type="spellStart"/>
      <w:r w:rsidRPr="00087F50">
        <w:t>Febuksostata</w:t>
      </w:r>
      <w:proofErr w:type="spellEnd"/>
      <w:r w:rsidRPr="00087F50">
        <w:t xml:space="preserve"> </w:t>
      </w:r>
      <w:proofErr w:type="spellStart"/>
      <w:r w:rsidRPr="00087F50">
        <w:t>metabolisms</w:t>
      </w:r>
      <w:proofErr w:type="spellEnd"/>
      <w:r w:rsidRPr="00087F50">
        <w:t xml:space="preserve"> ir </w:t>
      </w:r>
      <w:proofErr w:type="spellStart"/>
      <w:r w:rsidRPr="00087F50">
        <w:t>atkarīgs</w:t>
      </w:r>
      <w:proofErr w:type="spellEnd"/>
      <w:r w:rsidRPr="00087F50">
        <w:t xml:space="preserve"> no </w:t>
      </w:r>
      <w:proofErr w:type="spellStart"/>
      <w:r w:rsidRPr="00087F50">
        <w:t>bilirubīna</w:t>
      </w:r>
      <w:proofErr w:type="spellEnd"/>
      <w:r w:rsidRPr="00087F50">
        <w:t xml:space="preserve">-UDP </w:t>
      </w:r>
      <w:proofErr w:type="spellStart"/>
      <w:r w:rsidRPr="00087F50">
        <w:t>glikuronoziltransferāzes</w:t>
      </w:r>
      <w:proofErr w:type="spellEnd"/>
      <w:r w:rsidRPr="00087F50">
        <w:rPr>
          <w:sz w:val="24"/>
        </w:rPr>
        <w:t xml:space="preserve"> (</w:t>
      </w:r>
      <w:r w:rsidRPr="00087F50">
        <w:t xml:space="preserve">UGT) </w:t>
      </w:r>
      <w:proofErr w:type="spellStart"/>
      <w:r w:rsidRPr="00087F50">
        <w:t>enzīmiem</w:t>
      </w:r>
      <w:proofErr w:type="spellEnd"/>
      <w:r w:rsidRPr="00087F50">
        <w:t xml:space="preserve">. </w:t>
      </w:r>
      <w:proofErr w:type="spellStart"/>
      <w:r w:rsidRPr="00087F50">
        <w:t>Zāles</w:t>
      </w:r>
      <w:proofErr w:type="spellEnd"/>
      <w:r w:rsidRPr="00087F50">
        <w:t xml:space="preserve">, </w:t>
      </w:r>
      <w:proofErr w:type="spellStart"/>
      <w:r w:rsidRPr="00087F50">
        <w:t>kas</w:t>
      </w:r>
      <w:proofErr w:type="spellEnd"/>
      <w:r w:rsidRPr="00087F50">
        <w:t xml:space="preserve"> </w:t>
      </w:r>
      <w:proofErr w:type="spellStart"/>
      <w:r w:rsidRPr="00087F50">
        <w:t>inhibē</w:t>
      </w:r>
      <w:proofErr w:type="spellEnd"/>
      <w:r w:rsidRPr="00087F50">
        <w:t xml:space="preserve"> </w:t>
      </w:r>
      <w:proofErr w:type="spellStart"/>
      <w:r w:rsidRPr="00087F50">
        <w:t>glikuronizāciju</w:t>
      </w:r>
      <w:proofErr w:type="spellEnd"/>
      <w:r w:rsidRPr="00087F50">
        <w:t xml:space="preserve">, </w:t>
      </w:r>
      <w:proofErr w:type="spellStart"/>
      <w:r w:rsidRPr="00087F50">
        <w:t>kā</w:t>
      </w:r>
      <w:proofErr w:type="spellEnd"/>
      <w:r w:rsidRPr="00087F50">
        <w:t xml:space="preserve">, </w:t>
      </w:r>
      <w:proofErr w:type="spellStart"/>
      <w:r w:rsidRPr="00087F50">
        <w:t>piemēram</w:t>
      </w:r>
      <w:proofErr w:type="spellEnd"/>
      <w:r w:rsidRPr="00087F50">
        <w:t xml:space="preserve">, NPL un </w:t>
      </w:r>
      <w:proofErr w:type="spellStart"/>
      <w:r w:rsidRPr="00087F50">
        <w:t>probenecīds</w:t>
      </w:r>
      <w:proofErr w:type="spellEnd"/>
      <w:r w:rsidRPr="00087F50">
        <w:t xml:space="preserve">, </w:t>
      </w:r>
      <w:proofErr w:type="spellStart"/>
      <w:r w:rsidRPr="00087F50">
        <w:t>teorētiski</w:t>
      </w:r>
      <w:proofErr w:type="spellEnd"/>
      <w:r w:rsidRPr="00087F50">
        <w:t xml:space="preserve"> </w:t>
      </w:r>
      <w:proofErr w:type="spellStart"/>
      <w:r w:rsidRPr="00087F50">
        <w:t>var</w:t>
      </w:r>
      <w:proofErr w:type="spellEnd"/>
      <w:r w:rsidRPr="00087F50">
        <w:t xml:space="preserve"> </w:t>
      </w:r>
      <w:proofErr w:type="spellStart"/>
      <w:r w:rsidRPr="00087F50">
        <w:t>ietekmēt</w:t>
      </w:r>
      <w:proofErr w:type="spellEnd"/>
      <w:r w:rsidRPr="00087F50">
        <w:t xml:space="preserve"> </w:t>
      </w:r>
      <w:proofErr w:type="spellStart"/>
      <w:r w:rsidRPr="00087F50">
        <w:t>febuksostata</w:t>
      </w:r>
      <w:proofErr w:type="spellEnd"/>
      <w:r w:rsidRPr="00087F50">
        <w:t xml:space="preserve"> </w:t>
      </w:r>
      <w:proofErr w:type="spellStart"/>
      <w:r w:rsidRPr="00087F50">
        <w:t>elimināciju</w:t>
      </w:r>
      <w:proofErr w:type="spellEnd"/>
      <w:r w:rsidRPr="00087F50">
        <w:t xml:space="preserve">. </w:t>
      </w:r>
      <w:proofErr w:type="spellStart"/>
      <w:r w:rsidRPr="00087F50">
        <w:t>Veselīgiem</w:t>
      </w:r>
      <w:proofErr w:type="spellEnd"/>
      <w:r w:rsidRPr="00087F50">
        <w:t xml:space="preserve"> </w:t>
      </w:r>
      <w:proofErr w:type="spellStart"/>
      <w:r w:rsidRPr="00087F50">
        <w:t>indivīdiem</w:t>
      </w:r>
      <w:proofErr w:type="spellEnd"/>
      <w:r w:rsidRPr="00087F50">
        <w:t xml:space="preserve">, </w:t>
      </w:r>
      <w:proofErr w:type="spellStart"/>
      <w:r w:rsidRPr="00087F50">
        <w:t>kas</w:t>
      </w:r>
      <w:proofErr w:type="spellEnd"/>
      <w:r w:rsidRPr="00087F50">
        <w:t xml:space="preserve"> </w:t>
      </w:r>
      <w:proofErr w:type="spellStart"/>
      <w:r w:rsidRPr="00087F50">
        <w:t>vienlaicīgi</w:t>
      </w:r>
      <w:proofErr w:type="spellEnd"/>
      <w:r w:rsidRPr="00087F50">
        <w:t xml:space="preserve"> </w:t>
      </w:r>
      <w:proofErr w:type="spellStart"/>
      <w:r w:rsidRPr="00087F50">
        <w:t>lietoja</w:t>
      </w:r>
      <w:proofErr w:type="spellEnd"/>
      <w:r w:rsidRPr="00087F50">
        <w:t xml:space="preserve"> </w:t>
      </w:r>
      <w:proofErr w:type="spellStart"/>
      <w:r w:rsidRPr="00087F50">
        <w:t>febuksostatu</w:t>
      </w:r>
      <w:proofErr w:type="spellEnd"/>
      <w:r w:rsidRPr="00087F50">
        <w:t xml:space="preserve"> un 250 mg </w:t>
      </w:r>
      <w:proofErr w:type="spellStart"/>
      <w:r w:rsidRPr="00087F50">
        <w:t>naproksēna</w:t>
      </w:r>
      <w:proofErr w:type="spellEnd"/>
      <w:r w:rsidRPr="00087F50">
        <w:t xml:space="preserve"> 2 </w:t>
      </w:r>
      <w:proofErr w:type="spellStart"/>
      <w:r w:rsidRPr="00087F50">
        <w:t>reizes</w:t>
      </w:r>
      <w:proofErr w:type="spellEnd"/>
      <w:r w:rsidRPr="00087F50">
        <w:t xml:space="preserve"> </w:t>
      </w:r>
      <w:proofErr w:type="spellStart"/>
      <w:r w:rsidRPr="00087F50">
        <w:t>dienā</w:t>
      </w:r>
      <w:proofErr w:type="spellEnd"/>
      <w:r w:rsidRPr="00087F50">
        <w:t xml:space="preserve">, </w:t>
      </w:r>
      <w:proofErr w:type="spellStart"/>
      <w:r w:rsidRPr="00087F50">
        <w:t>pieauga</w:t>
      </w:r>
      <w:proofErr w:type="spellEnd"/>
      <w:r w:rsidRPr="00087F50">
        <w:t xml:space="preserve"> </w:t>
      </w:r>
      <w:proofErr w:type="spellStart"/>
      <w:r w:rsidRPr="00087F50">
        <w:t>febuksostata</w:t>
      </w:r>
      <w:proofErr w:type="spellEnd"/>
      <w:r w:rsidRPr="00087F50">
        <w:t xml:space="preserve"> </w:t>
      </w:r>
      <w:proofErr w:type="spellStart"/>
      <w:r w:rsidRPr="00087F50">
        <w:t>iedarbība</w:t>
      </w:r>
      <w:proofErr w:type="spellEnd"/>
      <w:r w:rsidRPr="00087F50">
        <w:t xml:space="preserve"> </w:t>
      </w:r>
      <w:proofErr w:type="spellStart"/>
      <w:r w:rsidRPr="00087F50">
        <w:t>uz</w:t>
      </w:r>
      <w:proofErr w:type="spellEnd"/>
      <w:r w:rsidRPr="00087F50">
        <w:t xml:space="preserve"> </w:t>
      </w:r>
      <w:proofErr w:type="spellStart"/>
      <w:r w:rsidRPr="00087F50">
        <w:t>organismu</w:t>
      </w:r>
      <w:proofErr w:type="spellEnd"/>
      <w:r w:rsidRPr="00087F50">
        <w:t xml:space="preserve"> (</w:t>
      </w:r>
      <w:proofErr w:type="spellStart"/>
      <w:r w:rsidRPr="00087F50">
        <w:t>C</w:t>
      </w:r>
      <w:r w:rsidRPr="00087F50">
        <w:rPr>
          <w:vertAlign w:val="subscript"/>
        </w:rPr>
        <w:t>max</w:t>
      </w:r>
      <w:proofErr w:type="spellEnd"/>
      <w:r w:rsidRPr="00087F50">
        <w:t xml:space="preserve"> 28 %, AUC 41 % un t</w:t>
      </w:r>
      <w:r w:rsidRPr="00087F50">
        <w:rPr>
          <w:vertAlign w:val="subscript"/>
        </w:rPr>
        <w:t>1/2</w:t>
      </w:r>
      <w:r w:rsidRPr="00087F50">
        <w:t xml:space="preserve"> 26 %). </w:t>
      </w:r>
      <w:proofErr w:type="spellStart"/>
      <w:r w:rsidRPr="00087F50">
        <w:t>Klīniskajos</w:t>
      </w:r>
      <w:proofErr w:type="spellEnd"/>
      <w:r w:rsidRPr="00087F50">
        <w:t xml:space="preserve"> </w:t>
      </w:r>
      <w:proofErr w:type="spellStart"/>
      <w:r w:rsidRPr="00087F50">
        <w:t>pētījumos</w:t>
      </w:r>
      <w:proofErr w:type="spellEnd"/>
      <w:r w:rsidRPr="00087F50">
        <w:t xml:space="preserve"> </w:t>
      </w:r>
      <w:proofErr w:type="spellStart"/>
      <w:r w:rsidRPr="00087F50">
        <w:t>naproksēna</w:t>
      </w:r>
      <w:proofErr w:type="spellEnd"/>
      <w:r w:rsidRPr="00087F50">
        <w:t xml:space="preserve"> </w:t>
      </w:r>
      <w:proofErr w:type="spellStart"/>
      <w:r w:rsidRPr="00087F50">
        <w:t>vai</w:t>
      </w:r>
      <w:proofErr w:type="spellEnd"/>
      <w:r w:rsidRPr="00087F50">
        <w:t xml:space="preserve"> </w:t>
      </w:r>
      <w:proofErr w:type="spellStart"/>
      <w:r w:rsidRPr="00087F50">
        <w:t>citu</w:t>
      </w:r>
      <w:proofErr w:type="spellEnd"/>
      <w:r w:rsidRPr="00087F50">
        <w:t xml:space="preserve"> NPL/Cox-2 </w:t>
      </w:r>
      <w:proofErr w:type="spellStart"/>
      <w:r w:rsidRPr="00087F50">
        <w:t>inhibitoru</w:t>
      </w:r>
      <w:proofErr w:type="spellEnd"/>
      <w:r w:rsidRPr="00087F50">
        <w:t xml:space="preserve"> </w:t>
      </w:r>
      <w:proofErr w:type="spellStart"/>
      <w:r w:rsidRPr="00087F50">
        <w:t>lietošana</w:t>
      </w:r>
      <w:proofErr w:type="spellEnd"/>
      <w:r w:rsidRPr="00087F50">
        <w:t xml:space="preserve"> </w:t>
      </w:r>
      <w:proofErr w:type="spellStart"/>
      <w:r w:rsidRPr="00087F50">
        <w:t>netika</w:t>
      </w:r>
      <w:proofErr w:type="spellEnd"/>
      <w:r w:rsidRPr="00087F50">
        <w:t xml:space="preserve"> </w:t>
      </w:r>
      <w:proofErr w:type="spellStart"/>
      <w:r w:rsidRPr="00087F50">
        <w:t>saistīta</w:t>
      </w:r>
      <w:proofErr w:type="spellEnd"/>
      <w:r w:rsidRPr="00087F50">
        <w:t xml:space="preserve"> ar </w:t>
      </w:r>
      <w:proofErr w:type="spellStart"/>
      <w:r w:rsidRPr="00087F50">
        <w:t>klīniski</w:t>
      </w:r>
      <w:proofErr w:type="spellEnd"/>
      <w:r w:rsidRPr="00087F50">
        <w:t xml:space="preserve"> </w:t>
      </w:r>
      <w:proofErr w:type="spellStart"/>
      <w:r w:rsidRPr="00087F50">
        <w:t>nozīmīgu</w:t>
      </w:r>
      <w:proofErr w:type="spellEnd"/>
      <w:r w:rsidRPr="00087F50">
        <w:t xml:space="preserve"> </w:t>
      </w:r>
      <w:proofErr w:type="spellStart"/>
      <w:r w:rsidRPr="00087F50">
        <w:t>nevēlamu</w:t>
      </w:r>
      <w:proofErr w:type="spellEnd"/>
      <w:r w:rsidRPr="00087F50">
        <w:t xml:space="preserve"> </w:t>
      </w:r>
      <w:proofErr w:type="spellStart"/>
      <w:r w:rsidR="003B1342" w:rsidRPr="00087F50">
        <w:t>blakus</w:t>
      </w:r>
      <w:r w:rsidRPr="00087F50">
        <w:t>parādību</w:t>
      </w:r>
      <w:proofErr w:type="spellEnd"/>
      <w:r w:rsidRPr="00087F50">
        <w:t xml:space="preserve"> </w:t>
      </w:r>
      <w:proofErr w:type="spellStart"/>
      <w:r w:rsidRPr="00087F50">
        <w:t>sastopamības</w:t>
      </w:r>
      <w:proofErr w:type="spellEnd"/>
      <w:r w:rsidRPr="00087F50">
        <w:t xml:space="preserve"> </w:t>
      </w:r>
      <w:proofErr w:type="spellStart"/>
      <w:r w:rsidRPr="00087F50">
        <w:t>pieaugumu</w:t>
      </w:r>
      <w:proofErr w:type="spellEnd"/>
      <w:r w:rsidRPr="00087F50">
        <w:t xml:space="preserve">. </w:t>
      </w:r>
    </w:p>
    <w:p w14:paraId="23202633" w14:textId="540C8A67" w:rsidR="00A77DDF" w:rsidRPr="00087F50" w:rsidRDefault="00A77DDF" w:rsidP="00890F7A">
      <w:pPr>
        <w:spacing w:after="0" w:line="259" w:lineRule="auto"/>
        <w:ind w:left="2" w:firstLine="0"/>
      </w:pPr>
      <w:r w:rsidRPr="00087F50">
        <w:t xml:space="preserve"> </w:t>
      </w:r>
      <w:proofErr w:type="spellStart"/>
      <w:r w:rsidRPr="00087F50">
        <w:t>Febuksostatu</w:t>
      </w:r>
      <w:proofErr w:type="spellEnd"/>
      <w:r w:rsidRPr="00087F50">
        <w:t xml:space="preserve"> </w:t>
      </w:r>
      <w:proofErr w:type="spellStart"/>
      <w:r w:rsidRPr="00087F50">
        <w:t>var</w:t>
      </w:r>
      <w:proofErr w:type="spellEnd"/>
      <w:r w:rsidRPr="00087F50">
        <w:t xml:space="preserve"> </w:t>
      </w:r>
      <w:proofErr w:type="spellStart"/>
      <w:r w:rsidRPr="00087F50">
        <w:t>lietot</w:t>
      </w:r>
      <w:proofErr w:type="spellEnd"/>
      <w:r w:rsidRPr="00087F50">
        <w:t xml:space="preserve"> </w:t>
      </w:r>
      <w:proofErr w:type="spellStart"/>
      <w:r w:rsidRPr="00087F50">
        <w:t>vienlaicīgi</w:t>
      </w:r>
      <w:proofErr w:type="spellEnd"/>
      <w:r w:rsidRPr="00087F50">
        <w:t xml:space="preserve"> ar </w:t>
      </w:r>
      <w:proofErr w:type="spellStart"/>
      <w:r w:rsidRPr="00087F50">
        <w:t>naproksēnu</w:t>
      </w:r>
      <w:proofErr w:type="spellEnd"/>
      <w:r w:rsidRPr="00087F50">
        <w:t xml:space="preserve">, </w:t>
      </w:r>
      <w:proofErr w:type="spellStart"/>
      <w:r w:rsidRPr="00087F50">
        <w:t>nemainot</w:t>
      </w:r>
      <w:proofErr w:type="spellEnd"/>
      <w:r w:rsidRPr="00087F50">
        <w:t xml:space="preserve"> </w:t>
      </w:r>
      <w:proofErr w:type="spellStart"/>
      <w:r w:rsidRPr="00087F50">
        <w:t>ne</w:t>
      </w:r>
      <w:proofErr w:type="spellEnd"/>
      <w:r w:rsidRPr="00087F50">
        <w:t xml:space="preserve"> </w:t>
      </w:r>
      <w:proofErr w:type="spellStart"/>
      <w:r w:rsidRPr="00087F50">
        <w:t>febuksostata</w:t>
      </w:r>
      <w:proofErr w:type="spellEnd"/>
      <w:r w:rsidRPr="00087F50">
        <w:t xml:space="preserve">, </w:t>
      </w:r>
      <w:proofErr w:type="spellStart"/>
      <w:r w:rsidRPr="00087F50">
        <w:t>ne</w:t>
      </w:r>
      <w:proofErr w:type="spellEnd"/>
      <w:r w:rsidRPr="00087F50">
        <w:t xml:space="preserve"> </w:t>
      </w:r>
      <w:proofErr w:type="spellStart"/>
      <w:r w:rsidRPr="00087F50">
        <w:t>naproksēna</w:t>
      </w:r>
      <w:proofErr w:type="spellEnd"/>
      <w:r w:rsidRPr="00087F50">
        <w:t xml:space="preserve"> </w:t>
      </w:r>
      <w:proofErr w:type="spellStart"/>
      <w:r w:rsidRPr="00087F50">
        <w:t>devu</w:t>
      </w:r>
      <w:proofErr w:type="spellEnd"/>
      <w:r w:rsidRPr="00087F50">
        <w:t xml:space="preserve">. </w:t>
      </w:r>
    </w:p>
    <w:p w14:paraId="236630CB" w14:textId="77777777" w:rsidR="00A77DDF" w:rsidRPr="00087F50" w:rsidRDefault="00A77DDF" w:rsidP="00A77DDF">
      <w:pPr>
        <w:spacing w:after="0" w:line="259" w:lineRule="auto"/>
        <w:ind w:left="2" w:firstLine="0"/>
      </w:pPr>
      <w:r w:rsidRPr="00087F50">
        <w:t xml:space="preserve"> </w:t>
      </w:r>
    </w:p>
    <w:p w14:paraId="226AB36A" w14:textId="77777777" w:rsidR="00A77DDF" w:rsidRPr="00B56137" w:rsidRDefault="00A77DDF" w:rsidP="00A77DDF">
      <w:pPr>
        <w:spacing w:after="13" w:line="249" w:lineRule="auto"/>
        <w:ind w:left="-3" w:hanging="10"/>
        <w:rPr>
          <w:iCs/>
          <w:u w:val="single"/>
        </w:rPr>
      </w:pPr>
      <w:proofErr w:type="spellStart"/>
      <w:r w:rsidRPr="00B56137">
        <w:rPr>
          <w:iCs/>
          <w:u w:val="single"/>
        </w:rPr>
        <w:t>Glikuronizācijas</w:t>
      </w:r>
      <w:proofErr w:type="spellEnd"/>
      <w:r w:rsidRPr="00B56137">
        <w:rPr>
          <w:iCs/>
          <w:u w:val="single"/>
        </w:rPr>
        <w:t xml:space="preserve"> </w:t>
      </w:r>
      <w:proofErr w:type="spellStart"/>
      <w:r w:rsidRPr="00B56137">
        <w:rPr>
          <w:iCs/>
          <w:u w:val="single"/>
        </w:rPr>
        <w:t>inducētāji</w:t>
      </w:r>
      <w:proofErr w:type="spellEnd"/>
      <w:r w:rsidRPr="00B56137">
        <w:rPr>
          <w:iCs/>
          <w:u w:val="single"/>
        </w:rPr>
        <w:t xml:space="preserve"> </w:t>
      </w:r>
    </w:p>
    <w:p w14:paraId="7271B0E9" w14:textId="77777777" w:rsidR="00A77DDF" w:rsidRPr="00087F50" w:rsidRDefault="00A77DDF" w:rsidP="00A77DDF">
      <w:pPr>
        <w:ind w:left="-3" w:right="9"/>
      </w:pPr>
      <w:proofErr w:type="spellStart"/>
      <w:r w:rsidRPr="00087F50">
        <w:t>Spēcīgi</w:t>
      </w:r>
      <w:proofErr w:type="spellEnd"/>
      <w:r w:rsidRPr="00087F50">
        <w:t xml:space="preserve"> UGT </w:t>
      </w:r>
      <w:proofErr w:type="spellStart"/>
      <w:r w:rsidRPr="00087F50">
        <w:t>enzīmu</w:t>
      </w:r>
      <w:proofErr w:type="spellEnd"/>
      <w:r w:rsidRPr="00087F50">
        <w:t xml:space="preserve"> </w:t>
      </w:r>
      <w:proofErr w:type="spellStart"/>
      <w:r w:rsidRPr="00087F50">
        <w:t>inducētāji</w:t>
      </w:r>
      <w:proofErr w:type="spellEnd"/>
      <w:r w:rsidRPr="00087F50">
        <w:t xml:space="preserve"> </w:t>
      </w:r>
      <w:proofErr w:type="spellStart"/>
      <w:r w:rsidRPr="00087F50">
        <w:t>var</w:t>
      </w:r>
      <w:proofErr w:type="spellEnd"/>
      <w:r w:rsidRPr="00087F50">
        <w:t xml:space="preserve"> </w:t>
      </w:r>
      <w:proofErr w:type="spellStart"/>
      <w:r w:rsidRPr="00087F50">
        <w:t>pastiprināt</w:t>
      </w:r>
      <w:proofErr w:type="spellEnd"/>
      <w:r w:rsidRPr="00087F50">
        <w:t xml:space="preserve"> </w:t>
      </w:r>
      <w:proofErr w:type="spellStart"/>
      <w:r w:rsidRPr="00087F50">
        <w:t>febuksostata</w:t>
      </w:r>
      <w:proofErr w:type="spellEnd"/>
      <w:r w:rsidRPr="00087F50">
        <w:t xml:space="preserve"> </w:t>
      </w:r>
      <w:proofErr w:type="spellStart"/>
      <w:r w:rsidRPr="00087F50">
        <w:t>metabolismu</w:t>
      </w:r>
      <w:proofErr w:type="spellEnd"/>
      <w:r w:rsidRPr="00087F50">
        <w:t xml:space="preserve"> un </w:t>
      </w:r>
      <w:proofErr w:type="spellStart"/>
      <w:r w:rsidRPr="00087F50">
        <w:t>samazināt</w:t>
      </w:r>
      <w:proofErr w:type="spellEnd"/>
      <w:r w:rsidRPr="00087F50">
        <w:t xml:space="preserve"> </w:t>
      </w:r>
      <w:proofErr w:type="spellStart"/>
      <w:r w:rsidRPr="00087F50">
        <w:t>tā</w:t>
      </w:r>
      <w:proofErr w:type="spellEnd"/>
      <w:r w:rsidRPr="00087F50">
        <w:t xml:space="preserve"> </w:t>
      </w:r>
      <w:proofErr w:type="spellStart"/>
      <w:r w:rsidRPr="00087F50">
        <w:t>efektivitāti</w:t>
      </w:r>
      <w:proofErr w:type="spellEnd"/>
      <w:r w:rsidRPr="00087F50">
        <w:t xml:space="preserve">. </w:t>
      </w:r>
    </w:p>
    <w:p w14:paraId="0E9CDED2" w14:textId="77777777" w:rsidR="00A77DDF" w:rsidRPr="00087F50" w:rsidRDefault="00A77DDF" w:rsidP="00A77DDF">
      <w:pPr>
        <w:ind w:left="-3" w:right="9"/>
      </w:pPr>
      <w:proofErr w:type="spellStart"/>
      <w:r w:rsidRPr="00087F50">
        <w:t>Tāpēc</w:t>
      </w:r>
      <w:proofErr w:type="spellEnd"/>
      <w:r w:rsidRPr="00087F50">
        <w:t xml:space="preserve"> 1-2 </w:t>
      </w:r>
      <w:proofErr w:type="spellStart"/>
      <w:r w:rsidRPr="00087F50">
        <w:t>nedēļas</w:t>
      </w:r>
      <w:proofErr w:type="spellEnd"/>
      <w:r w:rsidRPr="00087F50">
        <w:t xml:space="preserve"> </w:t>
      </w:r>
      <w:proofErr w:type="spellStart"/>
      <w:r w:rsidRPr="00087F50">
        <w:t>pēc</w:t>
      </w:r>
      <w:proofErr w:type="spellEnd"/>
      <w:r w:rsidRPr="00087F50">
        <w:t xml:space="preserve"> </w:t>
      </w:r>
      <w:proofErr w:type="spellStart"/>
      <w:r w:rsidRPr="00087F50">
        <w:t>spēcīga</w:t>
      </w:r>
      <w:proofErr w:type="spellEnd"/>
      <w:r w:rsidRPr="00087F50">
        <w:t xml:space="preserve"> </w:t>
      </w:r>
      <w:proofErr w:type="spellStart"/>
      <w:r w:rsidRPr="00087F50">
        <w:t>glikuronizācijas</w:t>
      </w:r>
      <w:proofErr w:type="spellEnd"/>
      <w:r w:rsidRPr="00087F50">
        <w:t xml:space="preserve"> </w:t>
      </w:r>
      <w:proofErr w:type="spellStart"/>
      <w:r w:rsidRPr="00087F50">
        <w:t>inducētāja</w:t>
      </w:r>
      <w:proofErr w:type="spellEnd"/>
      <w:r w:rsidRPr="00087F50">
        <w:t xml:space="preserve"> </w:t>
      </w:r>
      <w:proofErr w:type="spellStart"/>
      <w:r w:rsidRPr="00087F50">
        <w:t>lietošanas</w:t>
      </w:r>
      <w:proofErr w:type="spellEnd"/>
      <w:r w:rsidRPr="00087F50">
        <w:t xml:space="preserve"> </w:t>
      </w:r>
      <w:proofErr w:type="spellStart"/>
      <w:r w:rsidRPr="00087F50">
        <w:t>sākuma</w:t>
      </w:r>
      <w:proofErr w:type="spellEnd"/>
      <w:r w:rsidRPr="00087F50">
        <w:t xml:space="preserve"> ir </w:t>
      </w:r>
      <w:proofErr w:type="spellStart"/>
      <w:r w:rsidRPr="00087F50">
        <w:t>ieteicams</w:t>
      </w:r>
      <w:proofErr w:type="spellEnd"/>
      <w:r w:rsidRPr="00087F50">
        <w:t xml:space="preserve"> </w:t>
      </w:r>
      <w:proofErr w:type="spellStart"/>
      <w:r w:rsidRPr="00087F50">
        <w:t>pārbaudīt</w:t>
      </w:r>
      <w:proofErr w:type="spellEnd"/>
      <w:r w:rsidRPr="00087F50">
        <w:t xml:space="preserve"> </w:t>
      </w:r>
      <w:proofErr w:type="spellStart"/>
      <w:r w:rsidRPr="00087F50">
        <w:t>urīnskābes</w:t>
      </w:r>
      <w:proofErr w:type="spellEnd"/>
      <w:r w:rsidRPr="00087F50">
        <w:t xml:space="preserve"> </w:t>
      </w:r>
      <w:proofErr w:type="spellStart"/>
      <w:r w:rsidRPr="00087F50">
        <w:t>līmeni</w:t>
      </w:r>
      <w:proofErr w:type="spellEnd"/>
      <w:r w:rsidRPr="00087F50">
        <w:t xml:space="preserve"> </w:t>
      </w:r>
      <w:proofErr w:type="spellStart"/>
      <w:r w:rsidRPr="00087F50">
        <w:t>serumā</w:t>
      </w:r>
      <w:proofErr w:type="spellEnd"/>
      <w:r w:rsidRPr="00087F50">
        <w:t xml:space="preserve">. </w:t>
      </w:r>
      <w:proofErr w:type="spellStart"/>
      <w:r w:rsidRPr="00087F50">
        <w:t>Savukārt</w:t>
      </w:r>
      <w:proofErr w:type="spellEnd"/>
      <w:r w:rsidRPr="00087F50">
        <w:t xml:space="preserve">, </w:t>
      </w:r>
      <w:proofErr w:type="spellStart"/>
      <w:r w:rsidRPr="00087F50">
        <w:t>pārtraucot</w:t>
      </w:r>
      <w:proofErr w:type="spellEnd"/>
      <w:r w:rsidRPr="00087F50">
        <w:t xml:space="preserve"> </w:t>
      </w:r>
      <w:proofErr w:type="spellStart"/>
      <w:r w:rsidRPr="00087F50">
        <w:t>inducētāja</w:t>
      </w:r>
      <w:proofErr w:type="spellEnd"/>
      <w:r w:rsidRPr="00087F50">
        <w:t xml:space="preserve"> </w:t>
      </w:r>
      <w:proofErr w:type="spellStart"/>
      <w:r w:rsidRPr="00087F50">
        <w:t>lietošanu</w:t>
      </w:r>
      <w:proofErr w:type="spellEnd"/>
      <w:r w:rsidRPr="00087F50">
        <w:t xml:space="preserve">, </w:t>
      </w:r>
      <w:proofErr w:type="spellStart"/>
      <w:r w:rsidRPr="00087F50">
        <w:t>var</w:t>
      </w:r>
      <w:proofErr w:type="spellEnd"/>
      <w:r w:rsidRPr="00087F50">
        <w:t xml:space="preserve"> </w:t>
      </w:r>
      <w:proofErr w:type="spellStart"/>
      <w:r w:rsidRPr="00087F50">
        <w:t>paaugstināties</w:t>
      </w:r>
      <w:proofErr w:type="spellEnd"/>
      <w:r w:rsidRPr="00087F50">
        <w:t xml:space="preserve"> </w:t>
      </w:r>
      <w:proofErr w:type="spellStart"/>
      <w:r w:rsidRPr="00087F50">
        <w:t>febuksostata</w:t>
      </w:r>
      <w:proofErr w:type="spellEnd"/>
      <w:r w:rsidRPr="00087F50">
        <w:t xml:space="preserve"> </w:t>
      </w:r>
      <w:proofErr w:type="spellStart"/>
      <w:r w:rsidRPr="00087F50">
        <w:t>līmenis</w:t>
      </w:r>
      <w:proofErr w:type="spellEnd"/>
      <w:r w:rsidRPr="00087F50">
        <w:t xml:space="preserve"> </w:t>
      </w:r>
      <w:proofErr w:type="spellStart"/>
      <w:r w:rsidRPr="00087F50">
        <w:t>plazmā</w:t>
      </w:r>
      <w:proofErr w:type="spellEnd"/>
      <w:r w:rsidRPr="00087F50">
        <w:t xml:space="preserve">. </w:t>
      </w:r>
    </w:p>
    <w:p w14:paraId="331CE1A7" w14:textId="77777777" w:rsidR="00A77DDF" w:rsidRPr="00087F50" w:rsidRDefault="00A77DDF" w:rsidP="00A77DDF">
      <w:pPr>
        <w:spacing w:after="0" w:line="259" w:lineRule="auto"/>
        <w:ind w:left="1" w:firstLine="0"/>
      </w:pPr>
      <w:r w:rsidRPr="00087F50">
        <w:rPr>
          <w:i/>
        </w:rPr>
        <w:t xml:space="preserve"> </w:t>
      </w:r>
    </w:p>
    <w:p w14:paraId="76098274" w14:textId="77777777" w:rsidR="00A77DDF" w:rsidRPr="00B56137" w:rsidRDefault="00A77DDF" w:rsidP="00A77DDF">
      <w:pPr>
        <w:spacing w:after="13" w:line="249" w:lineRule="auto"/>
        <w:ind w:left="-3" w:hanging="10"/>
        <w:rPr>
          <w:iCs/>
          <w:u w:val="single"/>
        </w:rPr>
      </w:pPr>
      <w:proofErr w:type="spellStart"/>
      <w:r w:rsidRPr="00B56137">
        <w:rPr>
          <w:iCs/>
          <w:u w:val="single"/>
        </w:rPr>
        <w:t>Kolhicīns</w:t>
      </w:r>
      <w:proofErr w:type="spellEnd"/>
      <w:r w:rsidRPr="00B56137">
        <w:rPr>
          <w:iCs/>
          <w:u w:val="single"/>
        </w:rPr>
        <w:t>/</w:t>
      </w:r>
      <w:proofErr w:type="spellStart"/>
      <w:r w:rsidRPr="00B56137">
        <w:rPr>
          <w:iCs/>
          <w:u w:val="single"/>
        </w:rPr>
        <w:t>indometacīns</w:t>
      </w:r>
      <w:proofErr w:type="spellEnd"/>
      <w:r w:rsidRPr="00B56137">
        <w:rPr>
          <w:iCs/>
          <w:u w:val="single"/>
        </w:rPr>
        <w:t>/</w:t>
      </w:r>
      <w:proofErr w:type="spellStart"/>
      <w:r w:rsidRPr="00B56137">
        <w:rPr>
          <w:iCs/>
          <w:u w:val="single"/>
        </w:rPr>
        <w:t>hidrohlorotiazīds</w:t>
      </w:r>
      <w:proofErr w:type="spellEnd"/>
      <w:r w:rsidRPr="00B56137">
        <w:rPr>
          <w:iCs/>
          <w:u w:val="single"/>
        </w:rPr>
        <w:t>/</w:t>
      </w:r>
      <w:proofErr w:type="spellStart"/>
      <w:r w:rsidRPr="00B56137">
        <w:rPr>
          <w:iCs/>
          <w:u w:val="single"/>
        </w:rPr>
        <w:t>varfarīns</w:t>
      </w:r>
      <w:proofErr w:type="spellEnd"/>
      <w:r w:rsidRPr="00B56137">
        <w:rPr>
          <w:iCs/>
          <w:u w:val="single"/>
        </w:rPr>
        <w:t xml:space="preserve"> </w:t>
      </w:r>
    </w:p>
    <w:p w14:paraId="65DEA495" w14:textId="77777777" w:rsidR="00A77DDF" w:rsidRPr="00087F50" w:rsidRDefault="00A77DDF" w:rsidP="00A77DDF">
      <w:pPr>
        <w:ind w:left="-3" w:right="9"/>
      </w:pPr>
      <w:proofErr w:type="spellStart"/>
      <w:r w:rsidRPr="00087F50">
        <w:t>Febuksostatu</w:t>
      </w:r>
      <w:proofErr w:type="spellEnd"/>
      <w:r w:rsidRPr="00087F50">
        <w:t xml:space="preserve"> </w:t>
      </w:r>
      <w:proofErr w:type="spellStart"/>
      <w:r w:rsidRPr="00087F50">
        <w:t>var</w:t>
      </w:r>
      <w:proofErr w:type="spellEnd"/>
      <w:r w:rsidRPr="00087F50">
        <w:t xml:space="preserve"> </w:t>
      </w:r>
      <w:proofErr w:type="spellStart"/>
      <w:r w:rsidRPr="00087F50">
        <w:t>lietot</w:t>
      </w:r>
      <w:proofErr w:type="spellEnd"/>
      <w:r w:rsidRPr="00087F50">
        <w:t xml:space="preserve"> </w:t>
      </w:r>
      <w:proofErr w:type="spellStart"/>
      <w:r w:rsidRPr="00087F50">
        <w:t>vienlaicīgi</w:t>
      </w:r>
      <w:proofErr w:type="spellEnd"/>
      <w:r w:rsidRPr="00087F50">
        <w:t xml:space="preserve"> ar </w:t>
      </w:r>
      <w:proofErr w:type="spellStart"/>
      <w:r w:rsidRPr="00087F50">
        <w:t>kolhicīnu</w:t>
      </w:r>
      <w:proofErr w:type="spellEnd"/>
      <w:r w:rsidRPr="00087F50">
        <w:t xml:space="preserve"> </w:t>
      </w:r>
      <w:proofErr w:type="spellStart"/>
      <w:r w:rsidRPr="00087F50">
        <w:t>vai</w:t>
      </w:r>
      <w:proofErr w:type="spellEnd"/>
      <w:r w:rsidRPr="00087F50">
        <w:t xml:space="preserve"> </w:t>
      </w:r>
      <w:proofErr w:type="spellStart"/>
      <w:r w:rsidRPr="00087F50">
        <w:t>indometacīnu</w:t>
      </w:r>
      <w:proofErr w:type="spellEnd"/>
      <w:r w:rsidRPr="00087F50">
        <w:t xml:space="preserve">, </w:t>
      </w:r>
      <w:proofErr w:type="spellStart"/>
      <w:r w:rsidRPr="00087F50">
        <w:t>nemainot</w:t>
      </w:r>
      <w:proofErr w:type="spellEnd"/>
      <w:r w:rsidRPr="00087F50">
        <w:t xml:space="preserve"> </w:t>
      </w:r>
      <w:proofErr w:type="spellStart"/>
      <w:r w:rsidRPr="00087F50">
        <w:t>ne</w:t>
      </w:r>
      <w:proofErr w:type="spellEnd"/>
      <w:r w:rsidRPr="00087F50">
        <w:t xml:space="preserve"> </w:t>
      </w:r>
      <w:proofErr w:type="spellStart"/>
      <w:r w:rsidRPr="00087F50">
        <w:t>febuksostata</w:t>
      </w:r>
      <w:proofErr w:type="spellEnd"/>
      <w:r w:rsidRPr="00087F50">
        <w:t xml:space="preserve">, </w:t>
      </w:r>
      <w:proofErr w:type="spellStart"/>
      <w:r w:rsidRPr="00087F50">
        <w:t>ne</w:t>
      </w:r>
      <w:proofErr w:type="spellEnd"/>
      <w:r w:rsidRPr="00087F50">
        <w:t xml:space="preserve"> </w:t>
      </w:r>
      <w:proofErr w:type="spellStart"/>
      <w:r w:rsidRPr="00087F50">
        <w:t>otru</w:t>
      </w:r>
      <w:proofErr w:type="spellEnd"/>
      <w:r w:rsidRPr="00087F50">
        <w:t xml:space="preserve"> </w:t>
      </w:r>
      <w:proofErr w:type="spellStart"/>
      <w:r w:rsidRPr="00087F50">
        <w:t>zāļu</w:t>
      </w:r>
      <w:proofErr w:type="spellEnd"/>
      <w:r w:rsidRPr="00087F50">
        <w:t xml:space="preserve"> </w:t>
      </w:r>
      <w:proofErr w:type="spellStart"/>
      <w:r w:rsidRPr="00087F50">
        <w:t>devu</w:t>
      </w:r>
      <w:proofErr w:type="spellEnd"/>
      <w:r w:rsidRPr="00087F50">
        <w:t xml:space="preserve">.  </w:t>
      </w:r>
    </w:p>
    <w:p w14:paraId="6AF6A5CF" w14:textId="77777777" w:rsidR="00A77DDF" w:rsidRPr="00087F50" w:rsidRDefault="00A77DDF" w:rsidP="00B56137">
      <w:pPr>
        <w:spacing w:after="0" w:line="259" w:lineRule="auto"/>
        <w:ind w:left="2" w:firstLine="0"/>
      </w:pPr>
      <w:proofErr w:type="spellStart"/>
      <w:r w:rsidRPr="00087F50">
        <w:t>Febuksostatu</w:t>
      </w:r>
      <w:proofErr w:type="spellEnd"/>
      <w:r w:rsidRPr="00087F50">
        <w:t xml:space="preserve"> </w:t>
      </w:r>
      <w:proofErr w:type="spellStart"/>
      <w:r w:rsidRPr="00087F50">
        <w:t>lietojot</w:t>
      </w:r>
      <w:proofErr w:type="spellEnd"/>
      <w:r w:rsidRPr="00087F50">
        <w:t xml:space="preserve"> </w:t>
      </w:r>
      <w:proofErr w:type="spellStart"/>
      <w:r w:rsidRPr="00087F50">
        <w:t>kopā</w:t>
      </w:r>
      <w:proofErr w:type="spellEnd"/>
      <w:r w:rsidRPr="00087F50">
        <w:t xml:space="preserve"> ar </w:t>
      </w:r>
      <w:proofErr w:type="spellStart"/>
      <w:r w:rsidRPr="00087F50">
        <w:t>hidrohlorotiazīdu</w:t>
      </w:r>
      <w:proofErr w:type="spellEnd"/>
      <w:r w:rsidRPr="00087F50">
        <w:t xml:space="preserve">, </w:t>
      </w:r>
      <w:proofErr w:type="spellStart"/>
      <w:r w:rsidRPr="00087F50">
        <w:t>febuksostata</w:t>
      </w:r>
      <w:proofErr w:type="spellEnd"/>
      <w:r w:rsidRPr="00087F50">
        <w:t xml:space="preserve"> </w:t>
      </w:r>
      <w:proofErr w:type="spellStart"/>
      <w:r w:rsidRPr="00087F50">
        <w:t>devu</w:t>
      </w:r>
      <w:proofErr w:type="spellEnd"/>
      <w:r w:rsidRPr="00087F50">
        <w:t xml:space="preserve"> </w:t>
      </w:r>
      <w:proofErr w:type="spellStart"/>
      <w:r w:rsidRPr="00087F50">
        <w:t>koriģēt</w:t>
      </w:r>
      <w:proofErr w:type="spellEnd"/>
      <w:r w:rsidRPr="00087F50">
        <w:t xml:space="preserve"> </w:t>
      </w:r>
      <w:proofErr w:type="spellStart"/>
      <w:r w:rsidRPr="00087F50">
        <w:t>nav</w:t>
      </w:r>
      <w:proofErr w:type="spellEnd"/>
      <w:r w:rsidRPr="00087F50">
        <w:t xml:space="preserve"> </w:t>
      </w:r>
      <w:proofErr w:type="spellStart"/>
      <w:r w:rsidRPr="00087F50">
        <w:t>nepieciešams</w:t>
      </w:r>
      <w:proofErr w:type="spellEnd"/>
      <w:r w:rsidRPr="00087F50">
        <w:t xml:space="preserve">. </w:t>
      </w:r>
    </w:p>
    <w:p w14:paraId="2F623569" w14:textId="77777777" w:rsidR="00A77DDF" w:rsidRPr="00087F50" w:rsidRDefault="00A77DDF" w:rsidP="00B56137">
      <w:pPr>
        <w:spacing w:after="0" w:line="259" w:lineRule="auto"/>
        <w:ind w:left="1" w:firstLine="0"/>
      </w:pPr>
      <w:proofErr w:type="spellStart"/>
      <w:r w:rsidRPr="00087F50">
        <w:t>Febuksostatu</w:t>
      </w:r>
      <w:proofErr w:type="spellEnd"/>
      <w:r w:rsidRPr="00087F50">
        <w:t xml:space="preserve"> </w:t>
      </w:r>
      <w:proofErr w:type="spellStart"/>
      <w:r w:rsidRPr="00087F50">
        <w:t>lietojot</w:t>
      </w:r>
      <w:proofErr w:type="spellEnd"/>
      <w:r w:rsidRPr="00087F50">
        <w:t xml:space="preserve"> </w:t>
      </w:r>
      <w:proofErr w:type="spellStart"/>
      <w:r w:rsidRPr="00087F50">
        <w:t>kopā</w:t>
      </w:r>
      <w:proofErr w:type="spellEnd"/>
      <w:r w:rsidRPr="00087F50">
        <w:t xml:space="preserve"> ar </w:t>
      </w:r>
      <w:proofErr w:type="spellStart"/>
      <w:r w:rsidRPr="00087F50">
        <w:t>varfarīnu</w:t>
      </w:r>
      <w:proofErr w:type="spellEnd"/>
      <w:r w:rsidRPr="00087F50">
        <w:t xml:space="preserve">, </w:t>
      </w:r>
      <w:proofErr w:type="spellStart"/>
      <w:r w:rsidRPr="00087F50">
        <w:t>varfarīna</w:t>
      </w:r>
      <w:proofErr w:type="spellEnd"/>
      <w:r w:rsidRPr="00087F50">
        <w:t xml:space="preserve"> </w:t>
      </w:r>
      <w:proofErr w:type="spellStart"/>
      <w:r w:rsidRPr="00087F50">
        <w:t>devu</w:t>
      </w:r>
      <w:proofErr w:type="spellEnd"/>
      <w:r w:rsidRPr="00087F50">
        <w:t xml:space="preserve"> </w:t>
      </w:r>
      <w:proofErr w:type="spellStart"/>
      <w:r w:rsidRPr="00087F50">
        <w:t>koriģēt</w:t>
      </w:r>
      <w:proofErr w:type="spellEnd"/>
      <w:r w:rsidRPr="00087F50">
        <w:t xml:space="preserve"> </w:t>
      </w:r>
      <w:proofErr w:type="spellStart"/>
      <w:r w:rsidRPr="00087F50">
        <w:t>nav</w:t>
      </w:r>
      <w:proofErr w:type="spellEnd"/>
      <w:r w:rsidRPr="00087F50">
        <w:t xml:space="preserve"> </w:t>
      </w:r>
      <w:proofErr w:type="spellStart"/>
      <w:r w:rsidRPr="00087F50">
        <w:t>nepieciešams</w:t>
      </w:r>
      <w:proofErr w:type="spellEnd"/>
      <w:r w:rsidRPr="00087F50">
        <w:t xml:space="preserve">. </w:t>
      </w:r>
      <w:proofErr w:type="spellStart"/>
      <w:r w:rsidRPr="00087F50">
        <w:t>Febuksostata</w:t>
      </w:r>
      <w:proofErr w:type="spellEnd"/>
      <w:r w:rsidRPr="00087F50">
        <w:t xml:space="preserve"> (80 mg </w:t>
      </w:r>
      <w:proofErr w:type="spellStart"/>
      <w:r w:rsidRPr="00087F50">
        <w:t>vai</w:t>
      </w:r>
      <w:proofErr w:type="spellEnd"/>
      <w:r w:rsidRPr="00087F50">
        <w:t xml:space="preserve"> 120 mg 1 </w:t>
      </w:r>
      <w:proofErr w:type="spellStart"/>
      <w:r w:rsidRPr="00087F50">
        <w:t>reizi</w:t>
      </w:r>
      <w:proofErr w:type="spellEnd"/>
      <w:r w:rsidRPr="00087F50">
        <w:t xml:space="preserve"> </w:t>
      </w:r>
      <w:proofErr w:type="spellStart"/>
      <w:r w:rsidRPr="00087F50">
        <w:t>dienā</w:t>
      </w:r>
      <w:proofErr w:type="spellEnd"/>
      <w:r w:rsidRPr="00087F50">
        <w:t xml:space="preserve">) </w:t>
      </w:r>
      <w:proofErr w:type="spellStart"/>
      <w:r w:rsidRPr="00087F50">
        <w:t>lietošana</w:t>
      </w:r>
      <w:proofErr w:type="spellEnd"/>
      <w:r w:rsidRPr="00087F50">
        <w:t xml:space="preserve"> </w:t>
      </w:r>
      <w:proofErr w:type="spellStart"/>
      <w:r w:rsidRPr="00087F50">
        <w:t>vienlaikus</w:t>
      </w:r>
      <w:proofErr w:type="spellEnd"/>
      <w:r w:rsidRPr="00087F50">
        <w:t xml:space="preserve"> ar </w:t>
      </w:r>
      <w:proofErr w:type="spellStart"/>
      <w:r w:rsidRPr="00087F50">
        <w:t>varfarīnu</w:t>
      </w:r>
      <w:proofErr w:type="spellEnd"/>
      <w:r w:rsidRPr="00087F50">
        <w:t xml:space="preserve"> </w:t>
      </w:r>
      <w:proofErr w:type="spellStart"/>
      <w:r w:rsidRPr="00087F50">
        <w:t>veseliem</w:t>
      </w:r>
      <w:proofErr w:type="spellEnd"/>
      <w:r w:rsidRPr="00087F50">
        <w:t xml:space="preserve"> </w:t>
      </w:r>
      <w:proofErr w:type="spellStart"/>
      <w:r w:rsidRPr="00087F50">
        <w:t>cilvēkiem</w:t>
      </w:r>
      <w:proofErr w:type="spellEnd"/>
      <w:r w:rsidRPr="00087F50">
        <w:t xml:space="preserve"> </w:t>
      </w:r>
      <w:proofErr w:type="spellStart"/>
      <w:r w:rsidRPr="00087F50">
        <w:t>neietekmēja</w:t>
      </w:r>
      <w:proofErr w:type="spellEnd"/>
      <w:r w:rsidRPr="00087F50">
        <w:t xml:space="preserve"> </w:t>
      </w:r>
      <w:proofErr w:type="spellStart"/>
      <w:r w:rsidRPr="00087F50">
        <w:t>varfarīna</w:t>
      </w:r>
      <w:proofErr w:type="spellEnd"/>
      <w:r w:rsidRPr="00087F50">
        <w:t xml:space="preserve"> </w:t>
      </w:r>
      <w:proofErr w:type="spellStart"/>
      <w:r w:rsidRPr="00087F50">
        <w:t>farmakokinētiku</w:t>
      </w:r>
      <w:proofErr w:type="spellEnd"/>
      <w:r w:rsidRPr="00087F50">
        <w:t xml:space="preserve">. </w:t>
      </w:r>
      <w:proofErr w:type="spellStart"/>
      <w:r w:rsidRPr="00087F50">
        <w:t>Vienlaicīga</w:t>
      </w:r>
      <w:proofErr w:type="spellEnd"/>
      <w:r w:rsidRPr="00087F50">
        <w:t xml:space="preserve"> </w:t>
      </w:r>
      <w:proofErr w:type="spellStart"/>
      <w:r w:rsidRPr="00087F50">
        <w:t>febuksostata</w:t>
      </w:r>
      <w:proofErr w:type="spellEnd"/>
      <w:r w:rsidRPr="00087F50">
        <w:t xml:space="preserve"> </w:t>
      </w:r>
      <w:proofErr w:type="spellStart"/>
      <w:r w:rsidRPr="00087F50">
        <w:t>lietošana</w:t>
      </w:r>
      <w:proofErr w:type="spellEnd"/>
      <w:r w:rsidRPr="00087F50">
        <w:t xml:space="preserve"> </w:t>
      </w:r>
      <w:proofErr w:type="spellStart"/>
      <w:r w:rsidRPr="00087F50">
        <w:t>neietekmēja</w:t>
      </w:r>
      <w:proofErr w:type="spellEnd"/>
      <w:r w:rsidRPr="00087F50">
        <w:t xml:space="preserve"> </w:t>
      </w:r>
      <w:proofErr w:type="spellStart"/>
      <w:r w:rsidRPr="00087F50">
        <w:t>arī</w:t>
      </w:r>
      <w:proofErr w:type="spellEnd"/>
      <w:r w:rsidRPr="00087F50">
        <w:t xml:space="preserve"> INR un VII </w:t>
      </w:r>
      <w:proofErr w:type="spellStart"/>
      <w:r w:rsidRPr="00087F50">
        <w:t>faktora</w:t>
      </w:r>
      <w:proofErr w:type="spellEnd"/>
      <w:r w:rsidRPr="00087F50">
        <w:t xml:space="preserve"> </w:t>
      </w:r>
      <w:proofErr w:type="spellStart"/>
      <w:r w:rsidRPr="00087F50">
        <w:t>aktivitāti</w:t>
      </w:r>
      <w:proofErr w:type="spellEnd"/>
      <w:r w:rsidRPr="00087F50">
        <w:t xml:space="preserve">. </w:t>
      </w:r>
    </w:p>
    <w:p w14:paraId="65A7C96B" w14:textId="77777777" w:rsidR="00A77DDF" w:rsidRPr="00087F50" w:rsidRDefault="00A77DDF" w:rsidP="00A77DDF">
      <w:pPr>
        <w:spacing w:after="0" w:line="259" w:lineRule="auto"/>
        <w:ind w:left="1" w:firstLine="0"/>
      </w:pPr>
      <w:r w:rsidRPr="00087F50">
        <w:t xml:space="preserve"> </w:t>
      </w:r>
    </w:p>
    <w:p w14:paraId="70E70AA0" w14:textId="77777777" w:rsidR="00A77DDF" w:rsidRPr="00087F50" w:rsidRDefault="00A77DDF" w:rsidP="00A77DDF">
      <w:pPr>
        <w:spacing w:after="13" w:line="249" w:lineRule="auto"/>
        <w:ind w:left="-3" w:hanging="10"/>
      </w:pPr>
      <w:proofErr w:type="spellStart"/>
      <w:r w:rsidRPr="00B56137">
        <w:rPr>
          <w:iCs/>
          <w:u w:val="single"/>
        </w:rPr>
        <w:t>Desipramīns</w:t>
      </w:r>
      <w:proofErr w:type="spellEnd"/>
      <w:r w:rsidRPr="00B56137">
        <w:rPr>
          <w:iCs/>
          <w:u w:val="single"/>
        </w:rPr>
        <w:t xml:space="preserve">/CYP2D6 </w:t>
      </w:r>
      <w:proofErr w:type="spellStart"/>
      <w:r w:rsidRPr="00B56137">
        <w:rPr>
          <w:iCs/>
          <w:u w:val="single"/>
        </w:rPr>
        <w:t>substrāti</w:t>
      </w:r>
      <w:proofErr w:type="spellEnd"/>
      <w:r w:rsidRPr="00087F50">
        <w:rPr>
          <w:i/>
        </w:rPr>
        <w:t xml:space="preserve">. </w:t>
      </w:r>
    </w:p>
    <w:p w14:paraId="6A8F8685" w14:textId="42C297CF" w:rsidR="00A77DDF" w:rsidRPr="00087F50" w:rsidRDefault="00A77DDF" w:rsidP="00A77DDF">
      <w:pPr>
        <w:ind w:left="-3" w:right="329"/>
      </w:pPr>
      <w:r w:rsidRPr="00087F50">
        <w:rPr>
          <w:i/>
        </w:rPr>
        <w:t xml:space="preserve">In vitro </w:t>
      </w:r>
      <w:proofErr w:type="spellStart"/>
      <w:r w:rsidRPr="00087F50">
        <w:t>konstatēts</w:t>
      </w:r>
      <w:proofErr w:type="spellEnd"/>
      <w:r w:rsidRPr="00087F50">
        <w:t xml:space="preserve">, </w:t>
      </w:r>
      <w:proofErr w:type="spellStart"/>
      <w:r w:rsidRPr="00087F50">
        <w:t>ka</w:t>
      </w:r>
      <w:proofErr w:type="spellEnd"/>
      <w:r w:rsidRPr="00087F50">
        <w:t xml:space="preserve"> </w:t>
      </w:r>
      <w:proofErr w:type="spellStart"/>
      <w:r w:rsidRPr="00087F50">
        <w:t>febuksostats</w:t>
      </w:r>
      <w:proofErr w:type="spellEnd"/>
      <w:r w:rsidRPr="00087F50">
        <w:t xml:space="preserve"> ir </w:t>
      </w:r>
      <w:proofErr w:type="spellStart"/>
      <w:r w:rsidRPr="00087F50">
        <w:t>vājš</w:t>
      </w:r>
      <w:proofErr w:type="spellEnd"/>
      <w:r w:rsidRPr="00087F50">
        <w:t xml:space="preserve"> CYP2D6 </w:t>
      </w:r>
      <w:proofErr w:type="spellStart"/>
      <w:r w:rsidRPr="00087F50">
        <w:t>inhibitors</w:t>
      </w:r>
      <w:proofErr w:type="spellEnd"/>
      <w:r w:rsidRPr="00087F50">
        <w:rPr>
          <w:i/>
        </w:rPr>
        <w:t xml:space="preserve">. </w:t>
      </w:r>
      <w:proofErr w:type="spellStart"/>
      <w:r w:rsidRPr="00087F50">
        <w:t>Veseliem</w:t>
      </w:r>
      <w:proofErr w:type="spellEnd"/>
      <w:r w:rsidRPr="00087F50">
        <w:t xml:space="preserve"> </w:t>
      </w:r>
      <w:proofErr w:type="spellStart"/>
      <w:r w:rsidRPr="00087F50">
        <w:t>indivīdiem</w:t>
      </w:r>
      <w:proofErr w:type="spellEnd"/>
      <w:r w:rsidRPr="00087F50">
        <w:t xml:space="preserve">, </w:t>
      </w:r>
      <w:proofErr w:type="spellStart"/>
      <w:r w:rsidRPr="00087F50">
        <w:t>kas</w:t>
      </w:r>
      <w:proofErr w:type="spellEnd"/>
      <w:r w:rsidRPr="00087F50">
        <w:t xml:space="preserve"> </w:t>
      </w:r>
      <w:proofErr w:type="spellStart"/>
      <w:r w:rsidRPr="00087F50">
        <w:t>lietoja</w:t>
      </w:r>
      <w:proofErr w:type="spellEnd"/>
      <w:r w:rsidRPr="00087F50">
        <w:t xml:space="preserve"> 120 mg </w:t>
      </w:r>
      <w:proofErr w:type="spellStart"/>
      <w:r w:rsidR="003B1342" w:rsidRPr="00087F50">
        <w:rPr>
          <w:lang w:val="lv-LV"/>
        </w:rPr>
        <w:t>febuksostata</w:t>
      </w:r>
      <w:proofErr w:type="spellEnd"/>
      <w:r w:rsidR="003B1342" w:rsidRPr="00087F50">
        <w:t xml:space="preserve"> </w:t>
      </w:r>
      <w:r w:rsidRPr="00087F50">
        <w:t xml:space="preserve">QD 1 </w:t>
      </w:r>
      <w:proofErr w:type="spellStart"/>
      <w:r w:rsidRPr="00087F50">
        <w:t>reizi</w:t>
      </w:r>
      <w:proofErr w:type="spellEnd"/>
      <w:r w:rsidRPr="00087F50">
        <w:t xml:space="preserve"> </w:t>
      </w:r>
      <w:proofErr w:type="spellStart"/>
      <w:r w:rsidRPr="00087F50">
        <w:t>dienā</w:t>
      </w:r>
      <w:proofErr w:type="spellEnd"/>
      <w:r w:rsidRPr="00087F50">
        <w:t xml:space="preserve">, </w:t>
      </w:r>
      <w:proofErr w:type="spellStart"/>
      <w:r w:rsidRPr="00087F50">
        <w:t>desipramīna</w:t>
      </w:r>
      <w:proofErr w:type="spellEnd"/>
      <w:r w:rsidRPr="00087F50">
        <w:t xml:space="preserve"> (CYP2D6 </w:t>
      </w:r>
      <w:proofErr w:type="spellStart"/>
      <w:r w:rsidRPr="00087F50">
        <w:t>substrāts</w:t>
      </w:r>
      <w:proofErr w:type="spellEnd"/>
      <w:r w:rsidRPr="00087F50">
        <w:t xml:space="preserve">) AUC </w:t>
      </w:r>
      <w:proofErr w:type="spellStart"/>
      <w:r w:rsidRPr="00087F50">
        <w:t>pieauga</w:t>
      </w:r>
      <w:proofErr w:type="spellEnd"/>
      <w:r w:rsidRPr="00087F50">
        <w:t xml:space="preserve"> par 22 %, </w:t>
      </w:r>
      <w:proofErr w:type="spellStart"/>
      <w:r w:rsidRPr="00087F50">
        <w:t>tātad</w:t>
      </w:r>
      <w:proofErr w:type="spellEnd"/>
      <w:r w:rsidRPr="00087F50">
        <w:t xml:space="preserve"> </w:t>
      </w:r>
      <w:proofErr w:type="spellStart"/>
      <w:r w:rsidRPr="00087F50">
        <w:t>febuksostatu</w:t>
      </w:r>
      <w:proofErr w:type="spellEnd"/>
      <w:r w:rsidRPr="00087F50">
        <w:t xml:space="preserve"> </w:t>
      </w:r>
      <w:proofErr w:type="spellStart"/>
      <w:r w:rsidRPr="00087F50">
        <w:t>var</w:t>
      </w:r>
      <w:proofErr w:type="spellEnd"/>
      <w:r w:rsidRPr="00087F50">
        <w:t xml:space="preserve"> </w:t>
      </w:r>
      <w:proofErr w:type="spellStart"/>
      <w:r w:rsidRPr="00087F50">
        <w:t>uzskatīt</w:t>
      </w:r>
      <w:proofErr w:type="spellEnd"/>
      <w:r w:rsidRPr="00087F50">
        <w:t xml:space="preserve"> par </w:t>
      </w:r>
      <w:proofErr w:type="spellStart"/>
      <w:r w:rsidRPr="00087F50">
        <w:t>vāju</w:t>
      </w:r>
      <w:proofErr w:type="spellEnd"/>
      <w:r w:rsidRPr="00087F50">
        <w:t xml:space="preserve"> CYP2D6 </w:t>
      </w:r>
      <w:proofErr w:type="spellStart"/>
      <w:r w:rsidRPr="00087F50">
        <w:t>enzīma</w:t>
      </w:r>
      <w:proofErr w:type="spellEnd"/>
      <w:r w:rsidRPr="00087F50">
        <w:t xml:space="preserve"> </w:t>
      </w:r>
      <w:proofErr w:type="spellStart"/>
      <w:r w:rsidRPr="00087F50">
        <w:t>inhibitoru</w:t>
      </w:r>
      <w:proofErr w:type="spellEnd"/>
      <w:r w:rsidRPr="00087F50">
        <w:t xml:space="preserve"> </w:t>
      </w:r>
      <w:r w:rsidRPr="00087F50">
        <w:rPr>
          <w:i/>
        </w:rPr>
        <w:t>in vivo</w:t>
      </w:r>
      <w:r w:rsidRPr="00087F50">
        <w:t xml:space="preserve">. </w:t>
      </w:r>
      <w:proofErr w:type="spellStart"/>
      <w:r w:rsidRPr="00087F50">
        <w:t>Tāpēc</w:t>
      </w:r>
      <w:proofErr w:type="spellEnd"/>
      <w:r w:rsidRPr="00087F50">
        <w:t xml:space="preserve">, </w:t>
      </w:r>
      <w:proofErr w:type="spellStart"/>
      <w:r w:rsidRPr="00087F50">
        <w:t>febuksostatu</w:t>
      </w:r>
      <w:proofErr w:type="spellEnd"/>
      <w:r w:rsidRPr="00087F50">
        <w:t xml:space="preserve"> </w:t>
      </w:r>
      <w:proofErr w:type="spellStart"/>
      <w:r w:rsidRPr="00087F50">
        <w:t>lietojot</w:t>
      </w:r>
      <w:proofErr w:type="spellEnd"/>
      <w:r w:rsidRPr="00087F50">
        <w:t xml:space="preserve"> </w:t>
      </w:r>
      <w:proofErr w:type="spellStart"/>
      <w:r w:rsidRPr="00087F50">
        <w:t>kopā</w:t>
      </w:r>
      <w:proofErr w:type="spellEnd"/>
      <w:r w:rsidRPr="00087F50">
        <w:t xml:space="preserve"> ar </w:t>
      </w:r>
      <w:proofErr w:type="spellStart"/>
      <w:r w:rsidRPr="00087F50">
        <w:t>citiem</w:t>
      </w:r>
      <w:proofErr w:type="spellEnd"/>
      <w:r w:rsidRPr="00087F50">
        <w:t xml:space="preserve"> CYP2D6 </w:t>
      </w:r>
      <w:proofErr w:type="spellStart"/>
      <w:r w:rsidRPr="00087F50">
        <w:t>substrātiem</w:t>
      </w:r>
      <w:proofErr w:type="spellEnd"/>
      <w:r w:rsidRPr="00087F50">
        <w:t xml:space="preserve">, </w:t>
      </w:r>
      <w:proofErr w:type="spellStart"/>
      <w:r w:rsidRPr="00087F50">
        <w:t>to</w:t>
      </w:r>
      <w:proofErr w:type="spellEnd"/>
      <w:r w:rsidRPr="00087F50">
        <w:t xml:space="preserve"> </w:t>
      </w:r>
      <w:proofErr w:type="spellStart"/>
      <w:r w:rsidRPr="00087F50">
        <w:t>devas</w:t>
      </w:r>
      <w:proofErr w:type="spellEnd"/>
      <w:r w:rsidRPr="00087F50">
        <w:t xml:space="preserve"> </w:t>
      </w:r>
      <w:proofErr w:type="spellStart"/>
      <w:r w:rsidRPr="00087F50">
        <w:t>mainīt</w:t>
      </w:r>
      <w:proofErr w:type="spellEnd"/>
      <w:r w:rsidRPr="00087F50">
        <w:t xml:space="preserve"> </w:t>
      </w:r>
      <w:proofErr w:type="spellStart"/>
      <w:r w:rsidRPr="00087F50">
        <w:t>nav</w:t>
      </w:r>
      <w:proofErr w:type="spellEnd"/>
      <w:r w:rsidRPr="00087F50">
        <w:t xml:space="preserve"> </w:t>
      </w:r>
      <w:proofErr w:type="spellStart"/>
      <w:r w:rsidRPr="00087F50">
        <w:t>nepieciešams</w:t>
      </w:r>
      <w:proofErr w:type="spellEnd"/>
      <w:r w:rsidRPr="00087F50">
        <w:t xml:space="preserve">. </w:t>
      </w:r>
    </w:p>
    <w:p w14:paraId="1F2899D3" w14:textId="77777777" w:rsidR="00A77DDF" w:rsidRPr="00087F50" w:rsidRDefault="00A77DDF" w:rsidP="00A77DDF">
      <w:pPr>
        <w:spacing w:after="0" w:line="259" w:lineRule="auto"/>
        <w:ind w:left="1" w:firstLine="0"/>
      </w:pPr>
      <w:r w:rsidRPr="00087F50">
        <w:lastRenderedPageBreak/>
        <w:t xml:space="preserve"> </w:t>
      </w:r>
    </w:p>
    <w:p w14:paraId="73A1F0A4" w14:textId="77777777" w:rsidR="00A77DDF" w:rsidRPr="00B56137" w:rsidRDefault="00A77DDF" w:rsidP="00A77DDF">
      <w:pPr>
        <w:spacing w:after="13" w:line="249" w:lineRule="auto"/>
        <w:ind w:left="-3" w:hanging="10"/>
        <w:rPr>
          <w:iCs/>
          <w:u w:val="single"/>
        </w:rPr>
      </w:pPr>
      <w:proofErr w:type="spellStart"/>
      <w:r w:rsidRPr="00B56137">
        <w:rPr>
          <w:iCs/>
          <w:u w:val="single"/>
        </w:rPr>
        <w:t>Antacīdi</w:t>
      </w:r>
      <w:proofErr w:type="spellEnd"/>
      <w:r w:rsidRPr="00B56137">
        <w:rPr>
          <w:iCs/>
          <w:u w:val="single"/>
        </w:rPr>
        <w:t xml:space="preserve"> </w:t>
      </w:r>
    </w:p>
    <w:p w14:paraId="2699BE3D" w14:textId="77777777" w:rsidR="00A77DDF" w:rsidRPr="00087F50" w:rsidRDefault="00A77DDF" w:rsidP="00A77DDF">
      <w:pPr>
        <w:ind w:left="-3" w:right="9"/>
      </w:pPr>
      <w:proofErr w:type="spellStart"/>
      <w:r w:rsidRPr="00087F50">
        <w:t>Vienlaicīgi</w:t>
      </w:r>
      <w:proofErr w:type="spellEnd"/>
      <w:r w:rsidRPr="00087F50">
        <w:t xml:space="preserve"> </w:t>
      </w:r>
      <w:proofErr w:type="spellStart"/>
      <w:r w:rsidRPr="00087F50">
        <w:t>lietots</w:t>
      </w:r>
      <w:proofErr w:type="spellEnd"/>
      <w:r w:rsidRPr="00087F50">
        <w:t xml:space="preserve"> </w:t>
      </w:r>
      <w:proofErr w:type="spellStart"/>
      <w:r w:rsidRPr="00087F50">
        <w:t>magnija</w:t>
      </w:r>
      <w:proofErr w:type="spellEnd"/>
      <w:r w:rsidRPr="00087F50">
        <w:t xml:space="preserve"> </w:t>
      </w:r>
      <w:proofErr w:type="spellStart"/>
      <w:r w:rsidRPr="00087F50">
        <w:t>hidroksīdu</w:t>
      </w:r>
      <w:proofErr w:type="spellEnd"/>
      <w:r w:rsidRPr="00087F50">
        <w:t xml:space="preserve"> </w:t>
      </w:r>
      <w:proofErr w:type="spellStart"/>
      <w:r w:rsidRPr="00087F50">
        <w:t>vai</w:t>
      </w:r>
      <w:proofErr w:type="spellEnd"/>
      <w:r w:rsidRPr="00087F50">
        <w:t xml:space="preserve"> </w:t>
      </w:r>
      <w:proofErr w:type="spellStart"/>
      <w:r w:rsidRPr="00087F50">
        <w:t>alumīnija</w:t>
      </w:r>
      <w:proofErr w:type="spellEnd"/>
      <w:r w:rsidRPr="00087F50">
        <w:t xml:space="preserve"> </w:t>
      </w:r>
      <w:proofErr w:type="spellStart"/>
      <w:r w:rsidRPr="00087F50">
        <w:t>hidroksīdu</w:t>
      </w:r>
      <w:proofErr w:type="spellEnd"/>
      <w:r w:rsidRPr="00087F50">
        <w:t xml:space="preserve"> </w:t>
      </w:r>
      <w:proofErr w:type="spellStart"/>
      <w:r w:rsidRPr="00087F50">
        <w:t>saturošs</w:t>
      </w:r>
      <w:proofErr w:type="spellEnd"/>
      <w:r w:rsidRPr="00087F50">
        <w:t xml:space="preserve"> </w:t>
      </w:r>
      <w:proofErr w:type="spellStart"/>
      <w:r w:rsidRPr="00087F50">
        <w:t>antacīds</w:t>
      </w:r>
      <w:proofErr w:type="spellEnd"/>
      <w:r w:rsidRPr="00087F50">
        <w:t xml:space="preserve"> </w:t>
      </w:r>
      <w:proofErr w:type="spellStart"/>
      <w:r w:rsidRPr="00087F50">
        <w:t>aizkavē</w:t>
      </w:r>
      <w:proofErr w:type="spellEnd"/>
      <w:r w:rsidRPr="00087F50">
        <w:t xml:space="preserve"> </w:t>
      </w:r>
      <w:proofErr w:type="spellStart"/>
      <w:r w:rsidRPr="00087F50">
        <w:t>febuksostata</w:t>
      </w:r>
      <w:proofErr w:type="spellEnd"/>
      <w:r w:rsidRPr="00087F50">
        <w:t xml:space="preserve"> </w:t>
      </w:r>
      <w:proofErr w:type="spellStart"/>
      <w:r w:rsidRPr="00087F50">
        <w:t>absorbciju</w:t>
      </w:r>
      <w:proofErr w:type="spellEnd"/>
      <w:r w:rsidRPr="00087F50">
        <w:t xml:space="preserve"> (</w:t>
      </w:r>
      <w:proofErr w:type="spellStart"/>
      <w:r w:rsidRPr="00087F50">
        <w:t>apmēram</w:t>
      </w:r>
      <w:proofErr w:type="spellEnd"/>
      <w:r w:rsidRPr="00087F50">
        <w:t xml:space="preserve"> par 1 </w:t>
      </w:r>
      <w:proofErr w:type="spellStart"/>
      <w:r w:rsidRPr="00087F50">
        <w:t>stundu</w:t>
      </w:r>
      <w:proofErr w:type="spellEnd"/>
      <w:r w:rsidRPr="00087F50">
        <w:t xml:space="preserve">) un par 32 % </w:t>
      </w:r>
      <w:proofErr w:type="spellStart"/>
      <w:r w:rsidRPr="00087F50">
        <w:t>samazina</w:t>
      </w:r>
      <w:proofErr w:type="spellEnd"/>
      <w:r w:rsidRPr="00087F50">
        <w:t xml:space="preserve"> </w:t>
      </w:r>
      <w:proofErr w:type="spellStart"/>
      <w:r w:rsidRPr="00087F50">
        <w:t>C</w:t>
      </w:r>
      <w:r w:rsidRPr="00087F50">
        <w:rPr>
          <w:vertAlign w:val="subscript"/>
        </w:rPr>
        <w:t>max</w:t>
      </w:r>
      <w:proofErr w:type="spellEnd"/>
      <w:r w:rsidRPr="00087F50">
        <w:t xml:space="preserve">, </w:t>
      </w:r>
      <w:proofErr w:type="spellStart"/>
      <w:r w:rsidRPr="00087F50">
        <w:t>taču</w:t>
      </w:r>
      <w:proofErr w:type="spellEnd"/>
      <w:r w:rsidRPr="00087F50">
        <w:t xml:space="preserve"> </w:t>
      </w:r>
      <w:proofErr w:type="spellStart"/>
      <w:r w:rsidRPr="00087F50">
        <w:t>būtiskas</w:t>
      </w:r>
      <w:proofErr w:type="spellEnd"/>
      <w:r w:rsidRPr="00087F50">
        <w:t xml:space="preserve"> AUC </w:t>
      </w:r>
      <w:proofErr w:type="spellStart"/>
      <w:r w:rsidRPr="00087F50">
        <w:t>izmaiņas</w:t>
      </w:r>
      <w:proofErr w:type="spellEnd"/>
      <w:r w:rsidRPr="00087F50">
        <w:t xml:space="preserve"> </w:t>
      </w:r>
      <w:proofErr w:type="spellStart"/>
      <w:r w:rsidRPr="00087F50">
        <w:t>nav</w:t>
      </w:r>
      <w:proofErr w:type="spellEnd"/>
      <w:r w:rsidRPr="00087F50">
        <w:t xml:space="preserve"> </w:t>
      </w:r>
      <w:proofErr w:type="spellStart"/>
      <w:r w:rsidRPr="00087F50">
        <w:t>novērotas</w:t>
      </w:r>
      <w:proofErr w:type="spellEnd"/>
      <w:r w:rsidRPr="00087F50">
        <w:t xml:space="preserve">. </w:t>
      </w:r>
      <w:proofErr w:type="spellStart"/>
      <w:r w:rsidRPr="00087F50">
        <w:t>Tādēļ</w:t>
      </w:r>
      <w:proofErr w:type="spellEnd"/>
      <w:r w:rsidRPr="00087F50">
        <w:t xml:space="preserve"> </w:t>
      </w:r>
      <w:proofErr w:type="spellStart"/>
      <w:r w:rsidRPr="00087F50">
        <w:t>febuksostatu</w:t>
      </w:r>
      <w:proofErr w:type="spellEnd"/>
      <w:r w:rsidRPr="00087F50">
        <w:t xml:space="preserve"> </w:t>
      </w:r>
      <w:proofErr w:type="spellStart"/>
      <w:r w:rsidRPr="00087F50">
        <w:t>var</w:t>
      </w:r>
      <w:proofErr w:type="spellEnd"/>
      <w:r w:rsidRPr="00087F50">
        <w:t xml:space="preserve"> </w:t>
      </w:r>
      <w:proofErr w:type="spellStart"/>
      <w:r w:rsidRPr="00087F50">
        <w:t>lietot</w:t>
      </w:r>
      <w:proofErr w:type="spellEnd"/>
      <w:r w:rsidRPr="00087F50">
        <w:t xml:space="preserve"> </w:t>
      </w:r>
      <w:proofErr w:type="spellStart"/>
      <w:r w:rsidRPr="00087F50">
        <w:t>neatkarīgi</w:t>
      </w:r>
      <w:proofErr w:type="spellEnd"/>
      <w:r w:rsidRPr="00087F50">
        <w:t xml:space="preserve"> no </w:t>
      </w:r>
      <w:proofErr w:type="spellStart"/>
      <w:r w:rsidRPr="00087F50">
        <w:t>tā</w:t>
      </w:r>
      <w:proofErr w:type="spellEnd"/>
      <w:r w:rsidRPr="00087F50">
        <w:t xml:space="preserve">, </w:t>
      </w:r>
      <w:proofErr w:type="spellStart"/>
      <w:r w:rsidRPr="00087F50">
        <w:t>vai</w:t>
      </w:r>
      <w:proofErr w:type="spellEnd"/>
      <w:r w:rsidRPr="00087F50">
        <w:t xml:space="preserve"> </w:t>
      </w:r>
      <w:proofErr w:type="spellStart"/>
      <w:r w:rsidRPr="00087F50">
        <w:t>pacients</w:t>
      </w:r>
      <w:proofErr w:type="spellEnd"/>
      <w:r w:rsidRPr="00087F50">
        <w:t xml:space="preserve"> </w:t>
      </w:r>
      <w:proofErr w:type="spellStart"/>
      <w:r w:rsidRPr="00087F50">
        <w:t>lieto</w:t>
      </w:r>
      <w:proofErr w:type="spellEnd"/>
      <w:r w:rsidRPr="00087F50">
        <w:t xml:space="preserve"> </w:t>
      </w:r>
      <w:proofErr w:type="spellStart"/>
      <w:r w:rsidRPr="00087F50">
        <w:t>antacīdus</w:t>
      </w:r>
      <w:proofErr w:type="spellEnd"/>
      <w:r w:rsidRPr="00087F50">
        <w:t xml:space="preserve">. </w:t>
      </w:r>
    </w:p>
    <w:p w14:paraId="7323EAF8" w14:textId="77777777" w:rsidR="00A77DDF" w:rsidRPr="00087F50" w:rsidRDefault="00A77DDF" w:rsidP="00A77DDF">
      <w:pPr>
        <w:spacing w:after="11" w:line="259" w:lineRule="auto"/>
        <w:ind w:left="1" w:firstLine="0"/>
      </w:pPr>
      <w:r w:rsidRPr="00087F50">
        <w:t xml:space="preserve"> </w:t>
      </w:r>
    </w:p>
    <w:p w14:paraId="43FA30DE" w14:textId="77777777" w:rsidR="00A77DDF" w:rsidRPr="00087F50" w:rsidRDefault="00A77DDF" w:rsidP="00A77DDF">
      <w:pPr>
        <w:pStyle w:val="Heading3"/>
        <w:tabs>
          <w:tab w:val="center" w:pos="2641"/>
        </w:tabs>
        <w:ind w:left="-13" w:right="0" w:firstLine="0"/>
      </w:pPr>
      <w:r w:rsidRPr="00087F50">
        <w:t xml:space="preserve">4.6. </w:t>
      </w:r>
      <w:r w:rsidRPr="00087F50">
        <w:tab/>
      </w:r>
      <w:proofErr w:type="spellStart"/>
      <w:r w:rsidRPr="00087F50">
        <w:t>Fertilitāte</w:t>
      </w:r>
      <w:proofErr w:type="spellEnd"/>
      <w:r w:rsidRPr="00087F50">
        <w:t xml:space="preserve">, </w:t>
      </w:r>
      <w:proofErr w:type="spellStart"/>
      <w:r w:rsidRPr="00087F50">
        <w:t>grūtniecība</w:t>
      </w:r>
      <w:proofErr w:type="spellEnd"/>
      <w:r w:rsidRPr="00087F50">
        <w:t xml:space="preserve"> un </w:t>
      </w:r>
      <w:proofErr w:type="spellStart"/>
      <w:r w:rsidRPr="00087F50">
        <w:t>barošana</w:t>
      </w:r>
      <w:proofErr w:type="spellEnd"/>
      <w:r w:rsidRPr="00087F50">
        <w:t xml:space="preserve"> ar </w:t>
      </w:r>
      <w:proofErr w:type="spellStart"/>
      <w:r w:rsidRPr="00087F50">
        <w:t>krūti</w:t>
      </w:r>
      <w:proofErr w:type="spellEnd"/>
      <w:r w:rsidRPr="00087F50">
        <w:rPr>
          <w:b w:val="0"/>
        </w:rPr>
        <w:t xml:space="preserve"> </w:t>
      </w:r>
    </w:p>
    <w:p w14:paraId="70318964" w14:textId="77777777" w:rsidR="00A77DDF" w:rsidRPr="00087F50" w:rsidRDefault="00A77DDF" w:rsidP="00A77DDF">
      <w:pPr>
        <w:spacing w:after="0" w:line="259" w:lineRule="auto"/>
        <w:ind w:left="1" w:firstLine="0"/>
      </w:pPr>
      <w:r w:rsidRPr="00087F50">
        <w:t xml:space="preserve"> </w:t>
      </w:r>
    </w:p>
    <w:p w14:paraId="3770ABE1" w14:textId="77777777" w:rsidR="00A77DDF" w:rsidRPr="00B56137" w:rsidRDefault="00A77DDF" w:rsidP="00A77DDF">
      <w:pPr>
        <w:spacing w:after="13" w:line="249" w:lineRule="auto"/>
        <w:ind w:left="-3" w:hanging="10"/>
        <w:rPr>
          <w:iCs/>
          <w:u w:val="single"/>
        </w:rPr>
      </w:pPr>
      <w:proofErr w:type="spellStart"/>
      <w:r w:rsidRPr="00B56137">
        <w:rPr>
          <w:iCs/>
          <w:u w:val="single"/>
        </w:rPr>
        <w:t>Grūtniecība</w:t>
      </w:r>
      <w:proofErr w:type="spellEnd"/>
      <w:r w:rsidRPr="00B56137">
        <w:rPr>
          <w:iCs/>
          <w:u w:val="single"/>
        </w:rPr>
        <w:t xml:space="preserve"> </w:t>
      </w:r>
    </w:p>
    <w:p w14:paraId="787E959A" w14:textId="77777777" w:rsidR="00A77DDF" w:rsidRPr="00087F50" w:rsidRDefault="00A77DDF" w:rsidP="00A77DDF">
      <w:pPr>
        <w:ind w:left="-3" w:right="9"/>
      </w:pPr>
      <w:proofErr w:type="spellStart"/>
      <w:r w:rsidRPr="00087F50">
        <w:t>Dati</w:t>
      </w:r>
      <w:proofErr w:type="spellEnd"/>
      <w:r w:rsidRPr="00087F50">
        <w:t xml:space="preserve"> par </w:t>
      </w:r>
      <w:proofErr w:type="spellStart"/>
      <w:r w:rsidRPr="00087F50">
        <w:t>ļoti</w:t>
      </w:r>
      <w:proofErr w:type="spellEnd"/>
      <w:r w:rsidRPr="00087F50">
        <w:t xml:space="preserve"> </w:t>
      </w:r>
      <w:proofErr w:type="spellStart"/>
      <w:r w:rsidRPr="00087F50">
        <w:t>nelielu</w:t>
      </w:r>
      <w:proofErr w:type="spellEnd"/>
      <w:r w:rsidRPr="00087F50">
        <w:t xml:space="preserve"> </w:t>
      </w:r>
      <w:proofErr w:type="spellStart"/>
      <w:r w:rsidRPr="00087F50">
        <w:t>skaitu</w:t>
      </w:r>
      <w:proofErr w:type="spellEnd"/>
      <w:r w:rsidRPr="00087F50">
        <w:t xml:space="preserve"> </w:t>
      </w:r>
      <w:proofErr w:type="spellStart"/>
      <w:r w:rsidRPr="00087F50">
        <w:t>grūtniecību</w:t>
      </w:r>
      <w:proofErr w:type="spellEnd"/>
      <w:r w:rsidRPr="00087F50">
        <w:t xml:space="preserve">, </w:t>
      </w:r>
      <w:proofErr w:type="spellStart"/>
      <w:r w:rsidRPr="00087F50">
        <w:t>kuru</w:t>
      </w:r>
      <w:proofErr w:type="spellEnd"/>
      <w:r w:rsidRPr="00087F50">
        <w:t xml:space="preserve"> </w:t>
      </w:r>
      <w:proofErr w:type="spellStart"/>
      <w:r w:rsidRPr="00087F50">
        <w:t>laikā</w:t>
      </w:r>
      <w:proofErr w:type="spellEnd"/>
      <w:r w:rsidRPr="00087F50">
        <w:t xml:space="preserve"> </w:t>
      </w:r>
      <w:proofErr w:type="spellStart"/>
      <w:r w:rsidRPr="00087F50">
        <w:t>tika</w:t>
      </w:r>
      <w:proofErr w:type="spellEnd"/>
      <w:r w:rsidRPr="00087F50">
        <w:t xml:space="preserve"> </w:t>
      </w:r>
      <w:proofErr w:type="spellStart"/>
      <w:r w:rsidRPr="00087F50">
        <w:t>lietots</w:t>
      </w:r>
      <w:proofErr w:type="spellEnd"/>
      <w:r w:rsidRPr="00087F50">
        <w:t xml:space="preserve"> </w:t>
      </w:r>
      <w:proofErr w:type="spellStart"/>
      <w:r w:rsidRPr="00087F50">
        <w:t>febuksostats</w:t>
      </w:r>
      <w:proofErr w:type="spellEnd"/>
      <w:r w:rsidRPr="00087F50">
        <w:t xml:space="preserve">, </w:t>
      </w:r>
      <w:proofErr w:type="spellStart"/>
      <w:r w:rsidRPr="00087F50">
        <w:t>neliecina</w:t>
      </w:r>
      <w:proofErr w:type="spellEnd"/>
      <w:r w:rsidRPr="00087F50">
        <w:t xml:space="preserve">, </w:t>
      </w:r>
      <w:proofErr w:type="spellStart"/>
      <w:r w:rsidRPr="00087F50">
        <w:t>ka</w:t>
      </w:r>
      <w:proofErr w:type="spellEnd"/>
      <w:r w:rsidRPr="00087F50">
        <w:t xml:space="preserve"> </w:t>
      </w:r>
      <w:proofErr w:type="spellStart"/>
      <w:r w:rsidRPr="00087F50">
        <w:t>zālēm</w:t>
      </w:r>
      <w:proofErr w:type="spellEnd"/>
      <w:r w:rsidRPr="00087F50">
        <w:t xml:space="preserve"> </w:t>
      </w:r>
      <w:proofErr w:type="spellStart"/>
      <w:r w:rsidRPr="00087F50">
        <w:t>būtu</w:t>
      </w:r>
      <w:proofErr w:type="spellEnd"/>
      <w:r w:rsidRPr="00087F50">
        <w:t xml:space="preserve"> </w:t>
      </w:r>
      <w:proofErr w:type="spellStart"/>
      <w:r w:rsidRPr="00087F50">
        <w:t>nevēlama</w:t>
      </w:r>
      <w:proofErr w:type="spellEnd"/>
      <w:r w:rsidRPr="00087F50">
        <w:t xml:space="preserve"> </w:t>
      </w:r>
      <w:proofErr w:type="spellStart"/>
      <w:r w:rsidRPr="00087F50">
        <w:t>ietekme</w:t>
      </w:r>
      <w:proofErr w:type="spellEnd"/>
      <w:r w:rsidRPr="00087F50">
        <w:t xml:space="preserve"> </w:t>
      </w:r>
      <w:proofErr w:type="spellStart"/>
      <w:r w:rsidRPr="00087F50">
        <w:t>uz</w:t>
      </w:r>
      <w:proofErr w:type="spellEnd"/>
      <w:r w:rsidRPr="00087F50">
        <w:t xml:space="preserve"> </w:t>
      </w:r>
      <w:proofErr w:type="spellStart"/>
      <w:r w:rsidRPr="00087F50">
        <w:t>grūtniecību</w:t>
      </w:r>
      <w:proofErr w:type="spellEnd"/>
      <w:r w:rsidRPr="00087F50">
        <w:t xml:space="preserve"> </w:t>
      </w:r>
      <w:proofErr w:type="spellStart"/>
      <w:r w:rsidRPr="00087F50">
        <w:t>vai</w:t>
      </w:r>
      <w:proofErr w:type="spellEnd"/>
      <w:r w:rsidRPr="00087F50">
        <w:t xml:space="preserve"> </w:t>
      </w:r>
      <w:proofErr w:type="spellStart"/>
      <w:r w:rsidRPr="00087F50">
        <w:t>augļa</w:t>
      </w:r>
      <w:proofErr w:type="spellEnd"/>
      <w:r w:rsidRPr="00087F50">
        <w:t>/</w:t>
      </w:r>
      <w:proofErr w:type="spellStart"/>
      <w:r w:rsidRPr="00087F50">
        <w:t>jaundzimušā</w:t>
      </w:r>
      <w:proofErr w:type="spellEnd"/>
      <w:r w:rsidRPr="00087F50">
        <w:t xml:space="preserve"> </w:t>
      </w:r>
      <w:proofErr w:type="spellStart"/>
      <w:r w:rsidRPr="00087F50">
        <w:t>bērna</w:t>
      </w:r>
      <w:proofErr w:type="spellEnd"/>
      <w:r w:rsidRPr="00087F50">
        <w:t xml:space="preserve"> </w:t>
      </w:r>
      <w:proofErr w:type="spellStart"/>
      <w:r w:rsidRPr="00087F50">
        <w:t>veselību</w:t>
      </w:r>
      <w:proofErr w:type="spellEnd"/>
      <w:r w:rsidRPr="00087F50">
        <w:t xml:space="preserve">. </w:t>
      </w:r>
      <w:proofErr w:type="spellStart"/>
      <w:r w:rsidRPr="00087F50">
        <w:t>Pētījumi</w:t>
      </w:r>
      <w:proofErr w:type="spellEnd"/>
      <w:r w:rsidRPr="00087F50">
        <w:t xml:space="preserve"> ar </w:t>
      </w:r>
      <w:proofErr w:type="spellStart"/>
      <w:r w:rsidRPr="00087F50">
        <w:t>dzīvniekiem</w:t>
      </w:r>
      <w:proofErr w:type="spellEnd"/>
      <w:r w:rsidRPr="00087F50">
        <w:t xml:space="preserve"> </w:t>
      </w:r>
      <w:proofErr w:type="spellStart"/>
      <w:r w:rsidRPr="00087F50">
        <w:t>nav</w:t>
      </w:r>
      <w:proofErr w:type="spellEnd"/>
      <w:r w:rsidRPr="00087F50">
        <w:t xml:space="preserve"> </w:t>
      </w:r>
      <w:proofErr w:type="spellStart"/>
      <w:r w:rsidRPr="00087F50">
        <w:t>atklājuši</w:t>
      </w:r>
      <w:proofErr w:type="spellEnd"/>
      <w:r w:rsidRPr="00087F50">
        <w:t xml:space="preserve"> </w:t>
      </w:r>
      <w:proofErr w:type="spellStart"/>
      <w:r w:rsidRPr="00087F50">
        <w:t>tiešu</w:t>
      </w:r>
      <w:proofErr w:type="spellEnd"/>
      <w:r w:rsidRPr="00087F50">
        <w:t xml:space="preserve"> </w:t>
      </w:r>
      <w:proofErr w:type="spellStart"/>
      <w:r w:rsidRPr="00087F50">
        <w:t>vai</w:t>
      </w:r>
      <w:proofErr w:type="spellEnd"/>
      <w:r w:rsidRPr="00087F50">
        <w:t xml:space="preserve"> </w:t>
      </w:r>
      <w:proofErr w:type="spellStart"/>
      <w:r w:rsidRPr="00087F50">
        <w:t>netiešu</w:t>
      </w:r>
      <w:proofErr w:type="spellEnd"/>
      <w:r w:rsidRPr="00087F50">
        <w:t xml:space="preserve"> </w:t>
      </w:r>
      <w:proofErr w:type="spellStart"/>
      <w:r w:rsidRPr="00087F50">
        <w:t>kaitīgu</w:t>
      </w:r>
      <w:proofErr w:type="spellEnd"/>
      <w:r w:rsidRPr="00087F50">
        <w:t xml:space="preserve"> </w:t>
      </w:r>
      <w:proofErr w:type="spellStart"/>
      <w:r w:rsidRPr="00087F50">
        <w:t>ietekmi</w:t>
      </w:r>
      <w:proofErr w:type="spellEnd"/>
      <w:r w:rsidRPr="00087F50">
        <w:t xml:space="preserve"> </w:t>
      </w:r>
      <w:proofErr w:type="spellStart"/>
      <w:r w:rsidRPr="00087F50">
        <w:t>uz</w:t>
      </w:r>
      <w:proofErr w:type="spellEnd"/>
      <w:r w:rsidRPr="00087F50">
        <w:t xml:space="preserve"> </w:t>
      </w:r>
      <w:proofErr w:type="spellStart"/>
      <w:r w:rsidRPr="00087F50">
        <w:t>grūtniecību</w:t>
      </w:r>
      <w:proofErr w:type="spellEnd"/>
      <w:r w:rsidRPr="00087F50">
        <w:t xml:space="preserve">, </w:t>
      </w:r>
      <w:proofErr w:type="spellStart"/>
      <w:r w:rsidRPr="00087F50">
        <w:t>embrija</w:t>
      </w:r>
      <w:proofErr w:type="spellEnd"/>
      <w:r w:rsidRPr="00087F50">
        <w:t>/</w:t>
      </w:r>
      <w:proofErr w:type="spellStart"/>
      <w:r w:rsidRPr="00087F50">
        <w:t>augļa</w:t>
      </w:r>
      <w:proofErr w:type="spellEnd"/>
      <w:r w:rsidRPr="00087F50">
        <w:t xml:space="preserve"> </w:t>
      </w:r>
      <w:proofErr w:type="spellStart"/>
      <w:r w:rsidRPr="00087F50">
        <w:t>attīstību</w:t>
      </w:r>
      <w:proofErr w:type="spellEnd"/>
      <w:r w:rsidRPr="00087F50">
        <w:t xml:space="preserve"> </w:t>
      </w:r>
      <w:proofErr w:type="spellStart"/>
      <w:r w:rsidRPr="00087F50">
        <w:t>vai</w:t>
      </w:r>
      <w:proofErr w:type="spellEnd"/>
      <w:r w:rsidRPr="00087F50">
        <w:t xml:space="preserve"> </w:t>
      </w:r>
      <w:proofErr w:type="spellStart"/>
      <w:r w:rsidRPr="00087F50">
        <w:t>dzemdībām</w:t>
      </w:r>
      <w:proofErr w:type="spellEnd"/>
      <w:r w:rsidRPr="00087F50">
        <w:t xml:space="preserve"> (</w:t>
      </w:r>
      <w:proofErr w:type="spellStart"/>
      <w:r w:rsidRPr="00087F50">
        <w:t>skatīt</w:t>
      </w:r>
      <w:proofErr w:type="spellEnd"/>
      <w:r w:rsidRPr="00087F50">
        <w:t xml:space="preserve"> 5.3. </w:t>
      </w:r>
      <w:proofErr w:type="spellStart"/>
      <w:r w:rsidRPr="00087F50">
        <w:t>apakšpunktu</w:t>
      </w:r>
      <w:proofErr w:type="spellEnd"/>
      <w:r w:rsidRPr="00087F50">
        <w:t>).</w:t>
      </w:r>
      <w:r w:rsidRPr="00087F50">
        <w:rPr>
          <w:b/>
          <w:i/>
        </w:rPr>
        <w:t xml:space="preserve"> </w:t>
      </w:r>
      <w:proofErr w:type="spellStart"/>
      <w:r w:rsidRPr="00087F50">
        <w:t>Iespējamais</w:t>
      </w:r>
      <w:proofErr w:type="spellEnd"/>
      <w:r w:rsidRPr="00087F50">
        <w:t xml:space="preserve"> </w:t>
      </w:r>
      <w:proofErr w:type="spellStart"/>
      <w:r w:rsidRPr="00087F50">
        <w:t>cilvēka</w:t>
      </w:r>
      <w:proofErr w:type="spellEnd"/>
      <w:r w:rsidRPr="00087F50">
        <w:t xml:space="preserve"> </w:t>
      </w:r>
      <w:proofErr w:type="spellStart"/>
      <w:r w:rsidRPr="00087F50">
        <w:t>apdraudējums</w:t>
      </w:r>
      <w:proofErr w:type="spellEnd"/>
      <w:r w:rsidRPr="00087F50">
        <w:t xml:space="preserve"> </w:t>
      </w:r>
      <w:proofErr w:type="spellStart"/>
      <w:r w:rsidRPr="00087F50">
        <w:t>nav</w:t>
      </w:r>
      <w:proofErr w:type="spellEnd"/>
      <w:r w:rsidRPr="00087F50">
        <w:t xml:space="preserve"> </w:t>
      </w:r>
      <w:proofErr w:type="spellStart"/>
      <w:r w:rsidRPr="00087F50">
        <w:t>zināms</w:t>
      </w:r>
      <w:proofErr w:type="spellEnd"/>
      <w:r w:rsidRPr="00087F50">
        <w:t xml:space="preserve">. </w:t>
      </w:r>
      <w:proofErr w:type="spellStart"/>
      <w:r w:rsidRPr="00087F50">
        <w:t>Febuksostatu</w:t>
      </w:r>
      <w:proofErr w:type="spellEnd"/>
      <w:r w:rsidRPr="00087F50">
        <w:t xml:space="preserve"> </w:t>
      </w:r>
      <w:proofErr w:type="spellStart"/>
      <w:r w:rsidRPr="00087F50">
        <w:t>nevajadzētu</w:t>
      </w:r>
      <w:proofErr w:type="spellEnd"/>
      <w:r w:rsidRPr="00087F50">
        <w:t xml:space="preserve"> </w:t>
      </w:r>
      <w:proofErr w:type="spellStart"/>
      <w:r w:rsidRPr="00087F50">
        <w:t>lietot</w:t>
      </w:r>
      <w:proofErr w:type="spellEnd"/>
      <w:r w:rsidRPr="00087F50">
        <w:t xml:space="preserve"> </w:t>
      </w:r>
      <w:proofErr w:type="spellStart"/>
      <w:r w:rsidRPr="00087F50">
        <w:t>grūtniecības</w:t>
      </w:r>
      <w:proofErr w:type="spellEnd"/>
      <w:r w:rsidRPr="00087F50">
        <w:t xml:space="preserve"> </w:t>
      </w:r>
      <w:proofErr w:type="spellStart"/>
      <w:r w:rsidRPr="00087F50">
        <w:t>laikā</w:t>
      </w:r>
      <w:proofErr w:type="spellEnd"/>
      <w:r w:rsidRPr="00087F50">
        <w:t xml:space="preserve">. </w:t>
      </w:r>
    </w:p>
    <w:p w14:paraId="2B3E1DFF" w14:textId="77777777" w:rsidR="00A77DDF" w:rsidRPr="00087F50" w:rsidRDefault="00A77DDF" w:rsidP="00A77DDF">
      <w:pPr>
        <w:spacing w:after="0" w:line="259" w:lineRule="auto"/>
        <w:ind w:left="1" w:firstLine="0"/>
      </w:pPr>
      <w:r w:rsidRPr="00087F50">
        <w:t xml:space="preserve"> </w:t>
      </w:r>
    </w:p>
    <w:p w14:paraId="09118C97" w14:textId="77777777" w:rsidR="00A77DDF" w:rsidRPr="00B56137" w:rsidRDefault="00A77DDF" w:rsidP="00A77DDF">
      <w:pPr>
        <w:spacing w:after="13" w:line="249" w:lineRule="auto"/>
        <w:ind w:left="-3" w:hanging="10"/>
        <w:rPr>
          <w:iCs/>
          <w:u w:val="single"/>
        </w:rPr>
      </w:pPr>
      <w:proofErr w:type="spellStart"/>
      <w:r w:rsidRPr="00B56137">
        <w:rPr>
          <w:iCs/>
          <w:u w:val="single"/>
        </w:rPr>
        <w:t>Barošana</w:t>
      </w:r>
      <w:proofErr w:type="spellEnd"/>
      <w:r w:rsidRPr="00B56137">
        <w:rPr>
          <w:iCs/>
          <w:u w:val="single"/>
        </w:rPr>
        <w:t xml:space="preserve"> ar </w:t>
      </w:r>
      <w:proofErr w:type="spellStart"/>
      <w:r w:rsidRPr="00B56137">
        <w:rPr>
          <w:iCs/>
          <w:u w:val="single"/>
        </w:rPr>
        <w:t>krūti</w:t>
      </w:r>
      <w:proofErr w:type="spellEnd"/>
      <w:r w:rsidRPr="00B56137">
        <w:rPr>
          <w:iCs/>
          <w:u w:val="single"/>
        </w:rPr>
        <w:t xml:space="preserve"> </w:t>
      </w:r>
    </w:p>
    <w:p w14:paraId="014B453E" w14:textId="3E46B4CB" w:rsidR="00A77DDF" w:rsidRPr="00087F50" w:rsidRDefault="00A77DDF" w:rsidP="00A77DDF">
      <w:pPr>
        <w:ind w:left="-3" w:right="9"/>
      </w:pPr>
      <w:proofErr w:type="spellStart"/>
      <w:r w:rsidRPr="00087F50">
        <w:t>Nav</w:t>
      </w:r>
      <w:proofErr w:type="spellEnd"/>
      <w:r w:rsidRPr="00087F50">
        <w:t xml:space="preserve"> </w:t>
      </w:r>
      <w:proofErr w:type="spellStart"/>
      <w:r w:rsidRPr="00087F50">
        <w:t>zināms</w:t>
      </w:r>
      <w:proofErr w:type="spellEnd"/>
      <w:r w:rsidRPr="00087F50">
        <w:t xml:space="preserve">, </w:t>
      </w:r>
      <w:proofErr w:type="spellStart"/>
      <w:r w:rsidRPr="00087F50">
        <w:t>vai</w:t>
      </w:r>
      <w:proofErr w:type="spellEnd"/>
      <w:r w:rsidRPr="00087F50">
        <w:t xml:space="preserve"> </w:t>
      </w:r>
      <w:proofErr w:type="spellStart"/>
      <w:r w:rsidRPr="00087F50">
        <w:t>febuksostats</w:t>
      </w:r>
      <w:proofErr w:type="spellEnd"/>
      <w:r w:rsidRPr="00087F50">
        <w:t xml:space="preserve"> </w:t>
      </w:r>
      <w:proofErr w:type="spellStart"/>
      <w:r w:rsidRPr="00087F50">
        <w:t>izdalās</w:t>
      </w:r>
      <w:proofErr w:type="spellEnd"/>
      <w:r w:rsidRPr="00087F50">
        <w:t xml:space="preserve"> </w:t>
      </w:r>
      <w:proofErr w:type="spellStart"/>
      <w:r w:rsidRPr="00087F50">
        <w:t>cilvēka</w:t>
      </w:r>
      <w:proofErr w:type="spellEnd"/>
      <w:r w:rsidRPr="00087F50">
        <w:t xml:space="preserve"> </w:t>
      </w:r>
      <w:proofErr w:type="spellStart"/>
      <w:r w:rsidRPr="00087F50">
        <w:t>pienā</w:t>
      </w:r>
      <w:proofErr w:type="spellEnd"/>
      <w:r w:rsidRPr="00087F50">
        <w:t xml:space="preserve">. </w:t>
      </w:r>
      <w:proofErr w:type="spellStart"/>
      <w:r w:rsidRPr="00087F50">
        <w:t>Pētījumos</w:t>
      </w:r>
      <w:proofErr w:type="spellEnd"/>
      <w:r w:rsidRPr="00087F50">
        <w:t xml:space="preserve"> ar </w:t>
      </w:r>
      <w:proofErr w:type="spellStart"/>
      <w:r w:rsidRPr="00087F50">
        <w:t>dzīvniekiem</w:t>
      </w:r>
      <w:proofErr w:type="spellEnd"/>
      <w:r w:rsidRPr="00087F50">
        <w:t xml:space="preserve"> ir </w:t>
      </w:r>
      <w:proofErr w:type="spellStart"/>
      <w:r w:rsidRPr="00087F50">
        <w:t>konstatēts</w:t>
      </w:r>
      <w:proofErr w:type="spellEnd"/>
      <w:r w:rsidRPr="00087F50">
        <w:t xml:space="preserve">, </w:t>
      </w:r>
      <w:proofErr w:type="spellStart"/>
      <w:r w:rsidRPr="00087F50">
        <w:t>ka</w:t>
      </w:r>
      <w:proofErr w:type="spellEnd"/>
      <w:r w:rsidRPr="00087F50">
        <w:t xml:space="preserve"> </w:t>
      </w:r>
      <w:proofErr w:type="spellStart"/>
      <w:r w:rsidRPr="00087F50">
        <w:t>aktīvā</w:t>
      </w:r>
      <w:proofErr w:type="spellEnd"/>
      <w:r w:rsidRPr="00087F50">
        <w:t xml:space="preserve"> </w:t>
      </w:r>
      <w:proofErr w:type="spellStart"/>
      <w:r w:rsidRPr="00087F50">
        <w:t>viela</w:t>
      </w:r>
      <w:proofErr w:type="spellEnd"/>
      <w:r w:rsidRPr="00087F50">
        <w:t xml:space="preserve"> </w:t>
      </w:r>
      <w:proofErr w:type="spellStart"/>
      <w:r w:rsidRPr="00087F50">
        <w:t>izdalās</w:t>
      </w:r>
      <w:proofErr w:type="spellEnd"/>
      <w:r w:rsidRPr="00087F50">
        <w:t xml:space="preserve"> </w:t>
      </w:r>
      <w:proofErr w:type="spellStart"/>
      <w:r w:rsidRPr="00087F50">
        <w:t>pienā</w:t>
      </w:r>
      <w:proofErr w:type="spellEnd"/>
      <w:r w:rsidRPr="00087F50">
        <w:t xml:space="preserve"> un </w:t>
      </w:r>
      <w:proofErr w:type="spellStart"/>
      <w:r w:rsidRPr="00087F50">
        <w:t>aizkavē</w:t>
      </w:r>
      <w:proofErr w:type="spellEnd"/>
      <w:r w:rsidRPr="00087F50">
        <w:t xml:space="preserve"> </w:t>
      </w:r>
      <w:proofErr w:type="spellStart"/>
      <w:r w:rsidRPr="00087F50">
        <w:t>mazuļu</w:t>
      </w:r>
      <w:proofErr w:type="spellEnd"/>
      <w:r w:rsidRPr="00087F50">
        <w:t xml:space="preserve"> </w:t>
      </w:r>
      <w:proofErr w:type="spellStart"/>
      <w:r w:rsidRPr="00087F50">
        <w:t>attīstību</w:t>
      </w:r>
      <w:proofErr w:type="spellEnd"/>
      <w:r w:rsidRPr="00087F50">
        <w:t xml:space="preserve">. </w:t>
      </w:r>
      <w:proofErr w:type="spellStart"/>
      <w:r w:rsidRPr="00087F50">
        <w:t>Iespējams</w:t>
      </w:r>
      <w:proofErr w:type="spellEnd"/>
      <w:r w:rsidRPr="00087F50">
        <w:t xml:space="preserve">, </w:t>
      </w:r>
      <w:proofErr w:type="spellStart"/>
      <w:r w:rsidRPr="00087F50">
        <w:t>ka</w:t>
      </w:r>
      <w:proofErr w:type="spellEnd"/>
      <w:r w:rsidRPr="00087F50">
        <w:t xml:space="preserve"> </w:t>
      </w:r>
      <w:proofErr w:type="spellStart"/>
      <w:r w:rsidRPr="00087F50">
        <w:t>mātes</w:t>
      </w:r>
      <w:proofErr w:type="spellEnd"/>
      <w:r w:rsidRPr="00087F50">
        <w:t xml:space="preserve"> </w:t>
      </w:r>
      <w:proofErr w:type="spellStart"/>
      <w:r w:rsidRPr="00087F50">
        <w:t>lietotās</w:t>
      </w:r>
      <w:proofErr w:type="spellEnd"/>
      <w:r w:rsidRPr="00087F50">
        <w:t xml:space="preserve"> </w:t>
      </w:r>
      <w:proofErr w:type="spellStart"/>
      <w:r w:rsidRPr="00087F50">
        <w:t>zāles</w:t>
      </w:r>
      <w:proofErr w:type="spellEnd"/>
      <w:r w:rsidRPr="00087F50">
        <w:t xml:space="preserve"> </w:t>
      </w:r>
      <w:proofErr w:type="spellStart"/>
      <w:r w:rsidRPr="00087F50">
        <w:t>var</w:t>
      </w:r>
      <w:proofErr w:type="spellEnd"/>
      <w:r w:rsidRPr="00087F50">
        <w:t xml:space="preserve"> </w:t>
      </w:r>
      <w:proofErr w:type="spellStart"/>
      <w:r w:rsidRPr="00087F50">
        <w:t>apdraudēt</w:t>
      </w:r>
      <w:proofErr w:type="spellEnd"/>
      <w:r w:rsidRPr="00087F50">
        <w:t xml:space="preserve"> </w:t>
      </w:r>
      <w:proofErr w:type="spellStart"/>
      <w:r w:rsidRPr="00087F50">
        <w:t>zīdaini</w:t>
      </w:r>
      <w:proofErr w:type="spellEnd"/>
      <w:r w:rsidRPr="00087F50">
        <w:t xml:space="preserve">. </w:t>
      </w:r>
      <w:proofErr w:type="spellStart"/>
      <w:r w:rsidRPr="00087F50">
        <w:t>Febuksostatu</w:t>
      </w:r>
      <w:proofErr w:type="spellEnd"/>
      <w:r w:rsidRPr="00087F50">
        <w:t xml:space="preserve"> </w:t>
      </w:r>
      <w:proofErr w:type="spellStart"/>
      <w:r w:rsidRPr="00087F50">
        <w:t>nevajadzētu</w:t>
      </w:r>
      <w:proofErr w:type="spellEnd"/>
      <w:r w:rsidRPr="00087F50">
        <w:t xml:space="preserve"> </w:t>
      </w:r>
      <w:proofErr w:type="spellStart"/>
      <w:r w:rsidRPr="00087F50">
        <w:t>lietot</w:t>
      </w:r>
      <w:proofErr w:type="spellEnd"/>
      <w:r w:rsidRPr="00087F50">
        <w:t xml:space="preserve"> </w:t>
      </w:r>
      <w:proofErr w:type="spellStart"/>
      <w:r w:rsidR="00AA01F1" w:rsidRPr="00087F50">
        <w:t>barošanas</w:t>
      </w:r>
      <w:proofErr w:type="spellEnd"/>
      <w:r w:rsidR="00AA01F1" w:rsidRPr="00087F50">
        <w:t xml:space="preserve"> ar </w:t>
      </w:r>
      <w:proofErr w:type="spellStart"/>
      <w:r w:rsidR="00AA01F1" w:rsidRPr="00087F50">
        <w:t>krūti</w:t>
      </w:r>
      <w:proofErr w:type="spellEnd"/>
      <w:r w:rsidR="00AA01F1" w:rsidRPr="00087F50">
        <w:t xml:space="preserve"> </w:t>
      </w:r>
      <w:proofErr w:type="spellStart"/>
      <w:r w:rsidRPr="00087F50">
        <w:t>laikā</w:t>
      </w:r>
      <w:proofErr w:type="spellEnd"/>
      <w:r w:rsidRPr="00087F50">
        <w:t xml:space="preserve">.  </w:t>
      </w:r>
    </w:p>
    <w:p w14:paraId="3FABFA78" w14:textId="77777777" w:rsidR="00A77DDF" w:rsidRPr="00087F50" w:rsidRDefault="00A77DDF" w:rsidP="00A77DDF">
      <w:pPr>
        <w:spacing w:after="0" w:line="259" w:lineRule="auto"/>
        <w:ind w:left="1" w:firstLine="0"/>
      </w:pPr>
      <w:r w:rsidRPr="00087F50">
        <w:t xml:space="preserve"> </w:t>
      </w:r>
    </w:p>
    <w:p w14:paraId="43B4A81C" w14:textId="77777777" w:rsidR="00A77DDF" w:rsidRPr="00B56137" w:rsidRDefault="00A77DDF" w:rsidP="00A77DDF">
      <w:pPr>
        <w:spacing w:after="13" w:line="249" w:lineRule="auto"/>
        <w:ind w:left="-3" w:hanging="10"/>
        <w:rPr>
          <w:iCs/>
          <w:u w:val="single"/>
        </w:rPr>
      </w:pPr>
      <w:proofErr w:type="spellStart"/>
      <w:r w:rsidRPr="00B56137">
        <w:rPr>
          <w:iCs/>
          <w:u w:val="single"/>
        </w:rPr>
        <w:t>Fertilitāte</w:t>
      </w:r>
      <w:proofErr w:type="spellEnd"/>
      <w:r w:rsidRPr="00B56137">
        <w:rPr>
          <w:iCs/>
          <w:u w:val="single"/>
        </w:rPr>
        <w:t xml:space="preserve"> </w:t>
      </w:r>
    </w:p>
    <w:p w14:paraId="04A2094D" w14:textId="770C6DA2" w:rsidR="00A77DDF" w:rsidRPr="00087F50" w:rsidRDefault="00A77DDF" w:rsidP="00A77DDF">
      <w:pPr>
        <w:ind w:left="-3" w:right="9"/>
      </w:pPr>
      <w:proofErr w:type="spellStart"/>
      <w:r w:rsidRPr="00087F50">
        <w:t>Pētījumos</w:t>
      </w:r>
      <w:proofErr w:type="spellEnd"/>
      <w:r w:rsidRPr="00087F50">
        <w:t xml:space="preserve"> par </w:t>
      </w:r>
      <w:proofErr w:type="spellStart"/>
      <w:r w:rsidRPr="00087F50">
        <w:t>ietekmi</w:t>
      </w:r>
      <w:proofErr w:type="spellEnd"/>
      <w:r w:rsidRPr="00087F50">
        <w:t xml:space="preserve"> </w:t>
      </w:r>
      <w:proofErr w:type="spellStart"/>
      <w:r w:rsidRPr="00087F50">
        <w:t>uz</w:t>
      </w:r>
      <w:proofErr w:type="spellEnd"/>
      <w:r w:rsidRPr="00087F50">
        <w:t xml:space="preserve"> </w:t>
      </w:r>
      <w:proofErr w:type="spellStart"/>
      <w:r w:rsidRPr="00087F50">
        <w:t>vairošanos</w:t>
      </w:r>
      <w:proofErr w:type="spellEnd"/>
      <w:r w:rsidRPr="00087F50">
        <w:t xml:space="preserve"> </w:t>
      </w:r>
      <w:proofErr w:type="spellStart"/>
      <w:r w:rsidRPr="00087F50">
        <w:t>dzīvniekiem</w:t>
      </w:r>
      <w:proofErr w:type="spellEnd"/>
      <w:r w:rsidRPr="00087F50">
        <w:t xml:space="preserve"> (</w:t>
      </w:r>
      <w:proofErr w:type="spellStart"/>
      <w:r w:rsidRPr="00087F50">
        <w:t>lietotjot</w:t>
      </w:r>
      <w:proofErr w:type="spellEnd"/>
      <w:r w:rsidRPr="00087F50">
        <w:t xml:space="preserve"> </w:t>
      </w:r>
      <w:proofErr w:type="spellStart"/>
      <w:r w:rsidRPr="00087F50">
        <w:t>devas</w:t>
      </w:r>
      <w:proofErr w:type="spellEnd"/>
      <w:r w:rsidRPr="00087F50">
        <w:t xml:space="preserve"> </w:t>
      </w:r>
      <w:proofErr w:type="spellStart"/>
      <w:r w:rsidRPr="00087F50">
        <w:t>līdz</w:t>
      </w:r>
      <w:proofErr w:type="spellEnd"/>
      <w:r w:rsidRPr="00087F50">
        <w:t xml:space="preserve"> 48 mg/kg/</w:t>
      </w:r>
      <w:proofErr w:type="spellStart"/>
      <w:r w:rsidRPr="00087F50">
        <w:t>dienā</w:t>
      </w:r>
      <w:proofErr w:type="spellEnd"/>
      <w:r w:rsidRPr="00087F50">
        <w:t xml:space="preserve">) </w:t>
      </w:r>
      <w:proofErr w:type="spellStart"/>
      <w:r w:rsidRPr="00087F50">
        <w:t>nenovēroja</w:t>
      </w:r>
      <w:proofErr w:type="spellEnd"/>
      <w:r w:rsidRPr="00087F50">
        <w:t xml:space="preserve"> no </w:t>
      </w:r>
      <w:proofErr w:type="spellStart"/>
      <w:r w:rsidRPr="00087F50">
        <w:t>devas</w:t>
      </w:r>
      <w:proofErr w:type="spellEnd"/>
      <w:r w:rsidRPr="00087F50">
        <w:t xml:space="preserve"> </w:t>
      </w:r>
      <w:proofErr w:type="spellStart"/>
      <w:r w:rsidRPr="00087F50">
        <w:t>atkarīgu</w:t>
      </w:r>
      <w:proofErr w:type="spellEnd"/>
      <w:r w:rsidRPr="00087F50">
        <w:t xml:space="preserve"> </w:t>
      </w:r>
      <w:proofErr w:type="spellStart"/>
      <w:r w:rsidRPr="00087F50">
        <w:t>nevēlamu</w:t>
      </w:r>
      <w:proofErr w:type="spellEnd"/>
      <w:r w:rsidRPr="00087F50">
        <w:t xml:space="preserve"> </w:t>
      </w:r>
      <w:proofErr w:type="spellStart"/>
      <w:r w:rsidRPr="00087F50">
        <w:t>ietekmi</w:t>
      </w:r>
      <w:proofErr w:type="spellEnd"/>
      <w:r w:rsidRPr="00087F50">
        <w:t xml:space="preserve"> </w:t>
      </w:r>
      <w:proofErr w:type="spellStart"/>
      <w:r w:rsidRPr="00087F50">
        <w:t>uz</w:t>
      </w:r>
      <w:proofErr w:type="spellEnd"/>
      <w:r w:rsidRPr="00087F50">
        <w:t xml:space="preserve"> </w:t>
      </w:r>
      <w:proofErr w:type="spellStart"/>
      <w:r w:rsidRPr="00087F50">
        <w:t>fertilitāti</w:t>
      </w:r>
      <w:proofErr w:type="spellEnd"/>
      <w:r w:rsidRPr="00087F50">
        <w:t xml:space="preserve"> (</w:t>
      </w:r>
      <w:proofErr w:type="spellStart"/>
      <w:r w:rsidRPr="00087F50">
        <w:t>skatīt</w:t>
      </w:r>
      <w:proofErr w:type="spellEnd"/>
      <w:r w:rsidRPr="00087F50">
        <w:t xml:space="preserve"> 5.3. </w:t>
      </w:r>
      <w:proofErr w:type="spellStart"/>
      <w:r w:rsidRPr="00087F50">
        <w:t>apakšpunktu</w:t>
      </w:r>
      <w:proofErr w:type="spellEnd"/>
      <w:r w:rsidRPr="00087F50">
        <w:t xml:space="preserve">). </w:t>
      </w:r>
      <w:proofErr w:type="spellStart"/>
      <w:r w:rsidR="00C16EBC" w:rsidRPr="00087F50">
        <w:t>Febuksostata</w:t>
      </w:r>
      <w:proofErr w:type="spellEnd"/>
      <w:r w:rsidRPr="00087F50">
        <w:t xml:space="preserve"> </w:t>
      </w:r>
      <w:proofErr w:type="spellStart"/>
      <w:r w:rsidRPr="00087F50">
        <w:t>ietekme</w:t>
      </w:r>
      <w:proofErr w:type="spellEnd"/>
      <w:r w:rsidRPr="00087F50">
        <w:t xml:space="preserve"> </w:t>
      </w:r>
      <w:proofErr w:type="spellStart"/>
      <w:r w:rsidRPr="00087F50">
        <w:t>uz</w:t>
      </w:r>
      <w:proofErr w:type="spellEnd"/>
      <w:r w:rsidRPr="00087F50">
        <w:t xml:space="preserve"> </w:t>
      </w:r>
      <w:proofErr w:type="spellStart"/>
      <w:r w:rsidRPr="00087F50">
        <w:t>cilvēka</w:t>
      </w:r>
      <w:proofErr w:type="spellEnd"/>
      <w:r w:rsidRPr="00087F50">
        <w:t xml:space="preserve"> </w:t>
      </w:r>
      <w:proofErr w:type="spellStart"/>
      <w:r w:rsidRPr="00087F50">
        <w:t>fertilitāti</w:t>
      </w:r>
      <w:proofErr w:type="spellEnd"/>
      <w:r w:rsidRPr="00087F50">
        <w:t xml:space="preserve"> </w:t>
      </w:r>
      <w:proofErr w:type="spellStart"/>
      <w:r w:rsidRPr="00087F50">
        <w:t>nav</w:t>
      </w:r>
      <w:proofErr w:type="spellEnd"/>
      <w:r w:rsidRPr="00087F50">
        <w:t xml:space="preserve"> </w:t>
      </w:r>
      <w:proofErr w:type="spellStart"/>
      <w:r w:rsidRPr="00087F50">
        <w:t>zināma</w:t>
      </w:r>
      <w:proofErr w:type="spellEnd"/>
      <w:r w:rsidRPr="00087F50">
        <w:t xml:space="preserve">. </w:t>
      </w:r>
    </w:p>
    <w:p w14:paraId="574B7B41" w14:textId="77777777" w:rsidR="00A77DDF" w:rsidRPr="00087F50" w:rsidRDefault="00A77DDF" w:rsidP="00A77DDF">
      <w:pPr>
        <w:spacing w:after="11" w:line="259" w:lineRule="auto"/>
        <w:ind w:left="1" w:firstLine="0"/>
      </w:pPr>
      <w:r w:rsidRPr="00087F50">
        <w:t xml:space="preserve"> </w:t>
      </w:r>
    </w:p>
    <w:p w14:paraId="05C453DE" w14:textId="77777777" w:rsidR="00A77DDF" w:rsidRPr="00087F50" w:rsidRDefault="00A77DDF" w:rsidP="00A77DDF">
      <w:pPr>
        <w:pStyle w:val="Heading3"/>
        <w:tabs>
          <w:tab w:val="center" w:pos="3726"/>
        </w:tabs>
        <w:ind w:left="-13" w:right="0" w:firstLine="0"/>
      </w:pPr>
      <w:r w:rsidRPr="00087F50">
        <w:t xml:space="preserve">4.7. </w:t>
      </w:r>
      <w:r w:rsidRPr="00087F50">
        <w:tab/>
      </w:r>
      <w:proofErr w:type="spellStart"/>
      <w:r w:rsidRPr="00087F50">
        <w:t>Ietekme</w:t>
      </w:r>
      <w:proofErr w:type="spellEnd"/>
      <w:r w:rsidRPr="00087F50">
        <w:t xml:space="preserve"> </w:t>
      </w:r>
      <w:proofErr w:type="spellStart"/>
      <w:r w:rsidRPr="00087F50">
        <w:t>uz</w:t>
      </w:r>
      <w:proofErr w:type="spellEnd"/>
      <w:r w:rsidRPr="00087F50">
        <w:t xml:space="preserve"> </w:t>
      </w:r>
      <w:proofErr w:type="spellStart"/>
      <w:r w:rsidRPr="00087F50">
        <w:t>spēju</w:t>
      </w:r>
      <w:proofErr w:type="spellEnd"/>
      <w:r w:rsidRPr="00087F50">
        <w:t xml:space="preserve"> </w:t>
      </w:r>
      <w:proofErr w:type="spellStart"/>
      <w:r w:rsidRPr="00087F50">
        <w:t>vadīt</w:t>
      </w:r>
      <w:proofErr w:type="spellEnd"/>
      <w:r w:rsidRPr="00087F50">
        <w:t xml:space="preserve"> </w:t>
      </w:r>
      <w:proofErr w:type="spellStart"/>
      <w:r w:rsidRPr="00087F50">
        <w:t>transportlīdzekļus</w:t>
      </w:r>
      <w:proofErr w:type="spellEnd"/>
      <w:r w:rsidRPr="00087F50">
        <w:t xml:space="preserve"> un </w:t>
      </w:r>
      <w:proofErr w:type="spellStart"/>
      <w:r w:rsidRPr="00087F50">
        <w:t>apkalpot</w:t>
      </w:r>
      <w:proofErr w:type="spellEnd"/>
      <w:r w:rsidRPr="00087F50">
        <w:t xml:space="preserve"> </w:t>
      </w:r>
      <w:proofErr w:type="spellStart"/>
      <w:r w:rsidRPr="00087F50">
        <w:t>mehānismus</w:t>
      </w:r>
      <w:proofErr w:type="spellEnd"/>
      <w:r w:rsidRPr="00087F50">
        <w:rPr>
          <w:b w:val="0"/>
        </w:rPr>
        <w:t xml:space="preserve"> </w:t>
      </w:r>
    </w:p>
    <w:p w14:paraId="57D22AA9" w14:textId="77777777" w:rsidR="00A77DDF" w:rsidRPr="00087F50" w:rsidRDefault="00A77DDF" w:rsidP="00A77DDF">
      <w:pPr>
        <w:spacing w:after="0" w:line="259" w:lineRule="auto"/>
        <w:ind w:left="1" w:firstLine="0"/>
      </w:pPr>
      <w:r w:rsidRPr="00087F50">
        <w:t xml:space="preserve"> </w:t>
      </w:r>
    </w:p>
    <w:p w14:paraId="34BB8C62" w14:textId="32D6DE1B" w:rsidR="00A77DDF" w:rsidRPr="00087F50" w:rsidRDefault="00A77DDF" w:rsidP="00A77DDF">
      <w:pPr>
        <w:ind w:left="-3" w:right="9"/>
      </w:pPr>
      <w:proofErr w:type="spellStart"/>
      <w:r w:rsidRPr="00087F50">
        <w:t>Saistībā</w:t>
      </w:r>
      <w:proofErr w:type="spellEnd"/>
      <w:r w:rsidRPr="00087F50">
        <w:t xml:space="preserve"> ar </w:t>
      </w:r>
      <w:proofErr w:type="spellStart"/>
      <w:r w:rsidRPr="00087F50">
        <w:t>febuksostata</w:t>
      </w:r>
      <w:proofErr w:type="spellEnd"/>
      <w:r w:rsidRPr="00087F50">
        <w:t xml:space="preserve"> </w:t>
      </w:r>
      <w:proofErr w:type="spellStart"/>
      <w:r w:rsidRPr="00087F50">
        <w:t>lietošanu</w:t>
      </w:r>
      <w:proofErr w:type="spellEnd"/>
      <w:r w:rsidRPr="00087F50">
        <w:t xml:space="preserve"> </w:t>
      </w:r>
      <w:proofErr w:type="spellStart"/>
      <w:r w:rsidRPr="00087F50">
        <w:t>ziņots</w:t>
      </w:r>
      <w:proofErr w:type="spellEnd"/>
      <w:r w:rsidRPr="00087F50">
        <w:t xml:space="preserve"> par </w:t>
      </w:r>
      <w:proofErr w:type="spellStart"/>
      <w:r w:rsidRPr="00087F50">
        <w:t>miegainību</w:t>
      </w:r>
      <w:proofErr w:type="spellEnd"/>
      <w:r w:rsidRPr="00087F50">
        <w:t xml:space="preserve">, </w:t>
      </w:r>
      <w:proofErr w:type="spellStart"/>
      <w:r w:rsidRPr="00087F50">
        <w:t>reiboni</w:t>
      </w:r>
      <w:proofErr w:type="spellEnd"/>
      <w:r w:rsidRPr="00087F50">
        <w:t xml:space="preserve">, </w:t>
      </w:r>
      <w:proofErr w:type="spellStart"/>
      <w:r w:rsidRPr="00087F50">
        <w:t>parestēziju</w:t>
      </w:r>
      <w:proofErr w:type="spellEnd"/>
      <w:r w:rsidRPr="00087F50">
        <w:t xml:space="preserve"> un </w:t>
      </w:r>
      <w:proofErr w:type="spellStart"/>
      <w:r w:rsidRPr="00087F50">
        <w:t>neskaidru</w:t>
      </w:r>
      <w:proofErr w:type="spellEnd"/>
      <w:r w:rsidRPr="00087F50">
        <w:t xml:space="preserve"> </w:t>
      </w:r>
      <w:proofErr w:type="spellStart"/>
      <w:r w:rsidRPr="00087F50">
        <w:t>redzi</w:t>
      </w:r>
      <w:proofErr w:type="spellEnd"/>
      <w:r w:rsidRPr="00087F50">
        <w:t xml:space="preserve">. </w:t>
      </w:r>
      <w:proofErr w:type="spellStart"/>
      <w:r w:rsidRPr="00087F50">
        <w:t>Pacientiem</w:t>
      </w:r>
      <w:proofErr w:type="spellEnd"/>
      <w:r w:rsidRPr="00087F50">
        <w:t xml:space="preserve"> </w:t>
      </w:r>
      <w:proofErr w:type="spellStart"/>
      <w:r w:rsidRPr="00087F50">
        <w:t>nevajadzētu</w:t>
      </w:r>
      <w:proofErr w:type="spellEnd"/>
      <w:r w:rsidRPr="00087F50">
        <w:t xml:space="preserve"> </w:t>
      </w:r>
      <w:proofErr w:type="spellStart"/>
      <w:r w:rsidRPr="00087F50">
        <w:t>vadīt</w:t>
      </w:r>
      <w:proofErr w:type="spellEnd"/>
      <w:r w:rsidRPr="00087F50">
        <w:t xml:space="preserve"> </w:t>
      </w:r>
      <w:proofErr w:type="spellStart"/>
      <w:r w:rsidRPr="00087F50">
        <w:t>transportlīdzekļus</w:t>
      </w:r>
      <w:proofErr w:type="spellEnd"/>
      <w:r w:rsidRPr="00087F50">
        <w:t xml:space="preserve">, </w:t>
      </w:r>
      <w:proofErr w:type="spellStart"/>
      <w:r w:rsidRPr="00087F50">
        <w:t>apkalpot</w:t>
      </w:r>
      <w:proofErr w:type="spellEnd"/>
      <w:r w:rsidRPr="00087F50">
        <w:t xml:space="preserve"> </w:t>
      </w:r>
      <w:proofErr w:type="spellStart"/>
      <w:r w:rsidRPr="00087F50">
        <w:t>mehānismus</w:t>
      </w:r>
      <w:proofErr w:type="spellEnd"/>
      <w:r w:rsidRPr="00087F50">
        <w:t xml:space="preserve"> </w:t>
      </w:r>
      <w:proofErr w:type="spellStart"/>
      <w:r w:rsidRPr="00087F50">
        <w:t>vai</w:t>
      </w:r>
      <w:proofErr w:type="spellEnd"/>
      <w:r w:rsidRPr="00087F50">
        <w:t xml:space="preserve"> </w:t>
      </w:r>
      <w:proofErr w:type="spellStart"/>
      <w:r w:rsidRPr="00087F50">
        <w:t>piedalīties</w:t>
      </w:r>
      <w:proofErr w:type="spellEnd"/>
      <w:r w:rsidRPr="00087F50">
        <w:t xml:space="preserve"> </w:t>
      </w:r>
      <w:proofErr w:type="spellStart"/>
      <w:r w:rsidRPr="00087F50">
        <w:t>bīstamos</w:t>
      </w:r>
      <w:proofErr w:type="spellEnd"/>
      <w:r w:rsidRPr="00087F50">
        <w:t xml:space="preserve"> </w:t>
      </w:r>
      <w:proofErr w:type="spellStart"/>
      <w:r w:rsidRPr="00087F50">
        <w:t>pasākumos</w:t>
      </w:r>
      <w:proofErr w:type="spellEnd"/>
      <w:r w:rsidRPr="00087F50">
        <w:t xml:space="preserve"> </w:t>
      </w:r>
      <w:proofErr w:type="spellStart"/>
      <w:r w:rsidRPr="00087F50">
        <w:t>līdz</w:t>
      </w:r>
      <w:proofErr w:type="spellEnd"/>
      <w:r w:rsidRPr="00087F50">
        <w:t xml:space="preserve"> </w:t>
      </w:r>
      <w:proofErr w:type="spellStart"/>
      <w:r w:rsidRPr="00087F50">
        <w:t>brīdim</w:t>
      </w:r>
      <w:proofErr w:type="spellEnd"/>
      <w:r w:rsidRPr="00087F50">
        <w:t xml:space="preserve">, </w:t>
      </w:r>
      <w:proofErr w:type="spellStart"/>
      <w:r w:rsidRPr="00087F50">
        <w:t>kad</w:t>
      </w:r>
      <w:proofErr w:type="spellEnd"/>
      <w:r w:rsidRPr="00087F50">
        <w:t xml:space="preserve"> </w:t>
      </w:r>
      <w:proofErr w:type="spellStart"/>
      <w:r w:rsidRPr="00087F50">
        <w:t>viņi</w:t>
      </w:r>
      <w:proofErr w:type="spellEnd"/>
      <w:r w:rsidRPr="00087F50">
        <w:t xml:space="preserve"> ir </w:t>
      </w:r>
      <w:proofErr w:type="spellStart"/>
      <w:r w:rsidRPr="00087F50">
        <w:t>pārliecināti</w:t>
      </w:r>
      <w:proofErr w:type="spellEnd"/>
      <w:r w:rsidRPr="00087F50">
        <w:t xml:space="preserve">, </w:t>
      </w:r>
      <w:proofErr w:type="spellStart"/>
      <w:r w:rsidRPr="00087F50">
        <w:t>ka</w:t>
      </w:r>
      <w:proofErr w:type="spellEnd"/>
      <w:r w:rsidRPr="00087F50">
        <w:t xml:space="preserve"> </w:t>
      </w:r>
      <w:proofErr w:type="spellStart"/>
      <w:r w:rsidRPr="00087F50">
        <w:t>Febuxostat</w:t>
      </w:r>
      <w:proofErr w:type="spellEnd"/>
      <w:r w:rsidRPr="00087F50">
        <w:t xml:space="preserve"> </w:t>
      </w:r>
      <w:r w:rsidR="00997BE3" w:rsidRPr="00087F50">
        <w:t>Zentiva</w:t>
      </w:r>
      <w:r w:rsidRPr="00087F50">
        <w:t xml:space="preserve"> </w:t>
      </w:r>
      <w:proofErr w:type="spellStart"/>
      <w:r w:rsidRPr="00087F50">
        <w:t>neietekmēs</w:t>
      </w:r>
      <w:proofErr w:type="spellEnd"/>
      <w:r w:rsidRPr="00087F50">
        <w:t xml:space="preserve"> </w:t>
      </w:r>
      <w:proofErr w:type="spellStart"/>
      <w:r w:rsidRPr="00087F50">
        <w:t>sniegumu</w:t>
      </w:r>
      <w:proofErr w:type="spellEnd"/>
      <w:r w:rsidRPr="00087F50">
        <w:t xml:space="preserve">. </w:t>
      </w:r>
    </w:p>
    <w:p w14:paraId="1A05502A" w14:textId="77777777" w:rsidR="00A77DDF" w:rsidRPr="00087F50" w:rsidRDefault="00A77DDF" w:rsidP="00A77DDF">
      <w:pPr>
        <w:spacing w:after="6" w:line="259" w:lineRule="auto"/>
        <w:ind w:left="1" w:firstLine="0"/>
      </w:pPr>
      <w:r w:rsidRPr="00087F50">
        <w:rPr>
          <w:b/>
        </w:rPr>
        <w:t xml:space="preserve"> </w:t>
      </w:r>
    </w:p>
    <w:p w14:paraId="58E11673" w14:textId="77777777" w:rsidR="00A77DDF" w:rsidRPr="00087F50" w:rsidRDefault="00A77DDF" w:rsidP="00A77DDF">
      <w:pPr>
        <w:pStyle w:val="Heading3"/>
        <w:tabs>
          <w:tab w:val="center" w:pos="1885"/>
        </w:tabs>
        <w:ind w:left="-13" w:right="0" w:firstLine="0"/>
      </w:pPr>
      <w:r w:rsidRPr="00087F50">
        <w:t xml:space="preserve">4.8. </w:t>
      </w:r>
      <w:r w:rsidRPr="00087F50">
        <w:tab/>
      </w:r>
      <w:proofErr w:type="spellStart"/>
      <w:r w:rsidRPr="00087F50">
        <w:t>Nevēlamās</w:t>
      </w:r>
      <w:proofErr w:type="spellEnd"/>
      <w:r w:rsidRPr="00087F50">
        <w:t xml:space="preserve"> </w:t>
      </w:r>
      <w:proofErr w:type="spellStart"/>
      <w:r w:rsidRPr="00087F50">
        <w:t>blakusparādības</w:t>
      </w:r>
      <w:proofErr w:type="spellEnd"/>
      <w:r w:rsidRPr="00087F50">
        <w:t xml:space="preserve"> </w:t>
      </w:r>
    </w:p>
    <w:p w14:paraId="4E2726A6" w14:textId="77777777" w:rsidR="00A77DDF" w:rsidRPr="00087F50" w:rsidRDefault="00A77DDF" w:rsidP="00A77DDF">
      <w:pPr>
        <w:spacing w:after="0" w:line="259" w:lineRule="auto"/>
        <w:ind w:left="1" w:firstLine="0"/>
      </w:pPr>
      <w:r w:rsidRPr="00087F50">
        <w:t xml:space="preserve"> </w:t>
      </w:r>
    </w:p>
    <w:p w14:paraId="4F028539" w14:textId="77777777" w:rsidR="00A77DDF" w:rsidRPr="008A0CDC" w:rsidRDefault="00A77DDF" w:rsidP="00A77DDF">
      <w:pPr>
        <w:spacing w:after="13" w:line="249" w:lineRule="auto"/>
        <w:ind w:left="-3" w:hanging="10"/>
        <w:rPr>
          <w:iCs/>
          <w:u w:val="single"/>
        </w:rPr>
      </w:pPr>
      <w:proofErr w:type="spellStart"/>
      <w:r w:rsidRPr="008A0CDC">
        <w:rPr>
          <w:iCs/>
          <w:u w:val="single"/>
        </w:rPr>
        <w:t>Drošuma</w:t>
      </w:r>
      <w:proofErr w:type="spellEnd"/>
      <w:r w:rsidRPr="008A0CDC">
        <w:rPr>
          <w:iCs/>
          <w:u w:val="single"/>
        </w:rPr>
        <w:t xml:space="preserve"> </w:t>
      </w:r>
      <w:proofErr w:type="spellStart"/>
      <w:r w:rsidRPr="008A0CDC">
        <w:rPr>
          <w:iCs/>
          <w:u w:val="single"/>
        </w:rPr>
        <w:t>raksturojuma</w:t>
      </w:r>
      <w:proofErr w:type="spellEnd"/>
      <w:r w:rsidRPr="008A0CDC">
        <w:rPr>
          <w:iCs/>
          <w:u w:val="single"/>
        </w:rPr>
        <w:t xml:space="preserve"> </w:t>
      </w:r>
      <w:proofErr w:type="spellStart"/>
      <w:r w:rsidRPr="008A0CDC">
        <w:rPr>
          <w:iCs/>
          <w:u w:val="single"/>
        </w:rPr>
        <w:t>kopsavilkums</w:t>
      </w:r>
      <w:proofErr w:type="spellEnd"/>
      <w:r w:rsidRPr="008A0CDC">
        <w:rPr>
          <w:iCs/>
          <w:u w:val="single"/>
        </w:rPr>
        <w:t xml:space="preserve"> </w:t>
      </w:r>
    </w:p>
    <w:p w14:paraId="2EBDAA29" w14:textId="1E00594E" w:rsidR="00A77DDF" w:rsidRPr="00087F50" w:rsidRDefault="00A77DDF" w:rsidP="00A77DDF">
      <w:pPr>
        <w:ind w:left="-3" w:right="9"/>
      </w:pPr>
      <w:proofErr w:type="spellStart"/>
      <w:r w:rsidRPr="00087F50">
        <w:t>Visbiežāk</w:t>
      </w:r>
      <w:proofErr w:type="spellEnd"/>
      <w:r w:rsidRPr="00087F50">
        <w:t xml:space="preserve"> </w:t>
      </w:r>
      <w:proofErr w:type="spellStart"/>
      <w:r w:rsidRPr="00087F50">
        <w:t>sastopamās</w:t>
      </w:r>
      <w:proofErr w:type="spellEnd"/>
      <w:r w:rsidRPr="00087F50">
        <w:t xml:space="preserve"> </w:t>
      </w:r>
      <w:proofErr w:type="spellStart"/>
      <w:r w:rsidRPr="00087F50">
        <w:t>nevēlamās</w:t>
      </w:r>
      <w:proofErr w:type="spellEnd"/>
      <w:r w:rsidRPr="00087F50">
        <w:t xml:space="preserve"> </w:t>
      </w:r>
      <w:proofErr w:type="spellStart"/>
      <w:r w:rsidRPr="00087F50">
        <w:t>blakusparādības</w:t>
      </w:r>
      <w:proofErr w:type="spellEnd"/>
      <w:r w:rsidRPr="00087F50">
        <w:t xml:space="preserve"> </w:t>
      </w:r>
      <w:proofErr w:type="spellStart"/>
      <w:r w:rsidRPr="00087F50">
        <w:t>pacientiem</w:t>
      </w:r>
      <w:proofErr w:type="spellEnd"/>
      <w:r w:rsidRPr="00087F50">
        <w:t xml:space="preserve"> ar </w:t>
      </w:r>
      <w:proofErr w:type="spellStart"/>
      <w:r w:rsidRPr="00087F50">
        <w:t>podagru</w:t>
      </w:r>
      <w:proofErr w:type="spellEnd"/>
      <w:r w:rsidRPr="00087F50">
        <w:t xml:space="preserve"> </w:t>
      </w:r>
      <w:proofErr w:type="spellStart"/>
      <w:r w:rsidRPr="00087F50">
        <w:t>klīniskajos</w:t>
      </w:r>
      <w:proofErr w:type="spellEnd"/>
      <w:r w:rsidRPr="00087F50">
        <w:t xml:space="preserve"> </w:t>
      </w:r>
      <w:proofErr w:type="spellStart"/>
      <w:r w:rsidRPr="00087F50">
        <w:t>pētījumos</w:t>
      </w:r>
      <w:proofErr w:type="spellEnd"/>
      <w:r w:rsidRPr="00087F50">
        <w:t xml:space="preserve"> (4072 </w:t>
      </w:r>
      <w:proofErr w:type="spellStart"/>
      <w:r w:rsidRPr="00087F50">
        <w:t>subjekti</w:t>
      </w:r>
      <w:proofErr w:type="spellEnd"/>
      <w:r w:rsidRPr="00087F50">
        <w:t xml:space="preserve">, </w:t>
      </w:r>
      <w:proofErr w:type="spellStart"/>
      <w:r w:rsidRPr="00087F50">
        <w:t>kuri</w:t>
      </w:r>
      <w:proofErr w:type="spellEnd"/>
      <w:r w:rsidRPr="00087F50">
        <w:t xml:space="preserve"> </w:t>
      </w:r>
      <w:proofErr w:type="spellStart"/>
      <w:r w:rsidRPr="00087F50">
        <w:t>ārstēti</w:t>
      </w:r>
      <w:proofErr w:type="spellEnd"/>
      <w:r w:rsidRPr="00087F50">
        <w:t xml:space="preserve"> ar </w:t>
      </w:r>
      <w:proofErr w:type="spellStart"/>
      <w:r w:rsidRPr="00087F50">
        <w:t>vismaz</w:t>
      </w:r>
      <w:proofErr w:type="spellEnd"/>
      <w:r w:rsidRPr="00087F50">
        <w:t xml:space="preserve"> </w:t>
      </w:r>
      <w:proofErr w:type="spellStart"/>
      <w:r w:rsidRPr="00087F50">
        <w:t>vienu</w:t>
      </w:r>
      <w:proofErr w:type="spellEnd"/>
      <w:r w:rsidRPr="00087F50">
        <w:t xml:space="preserve"> </w:t>
      </w:r>
      <w:proofErr w:type="spellStart"/>
      <w:r w:rsidRPr="00087F50">
        <w:t>devu</w:t>
      </w:r>
      <w:proofErr w:type="spellEnd"/>
      <w:r w:rsidRPr="00087F50">
        <w:t xml:space="preserve"> (no 10 mg </w:t>
      </w:r>
      <w:proofErr w:type="spellStart"/>
      <w:r w:rsidRPr="00087F50">
        <w:t>līdz</w:t>
      </w:r>
      <w:proofErr w:type="spellEnd"/>
      <w:r w:rsidRPr="00087F50">
        <w:t xml:space="preserve"> 300 mg))</w:t>
      </w:r>
      <w:r w:rsidR="00D17AA5">
        <w:t>,</w:t>
      </w:r>
      <w:r w:rsidR="00D17AA5" w:rsidRPr="00D17AA5">
        <w:t xml:space="preserve"> </w:t>
      </w:r>
      <w:proofErr w:type="spellStart"/>
      <w:r w:rsidR="00D17AA5">
        <w:t>pēcreģistrācijas</w:t>
      </w:r>
      <w:proofErr w:type="spellEnd"/>
      <w:r w:rsidR="00D17AA5">
        <w:t xml:space="preserve"> </w:t>
      </w:r>
      <w:proofErr w:type="spellStart"/>
      <w:r w:rsidR="00D17AA5">
        <w:t>drošuma</w:t>
      </w:r>
      <w:proofErr w:type="spellEnd"/>
      <w:r w:rsidR="00D17AA5">
        <w:t xml:space="preserve"> </w:t>
      </w:r>
      <w:proofErr w:type="spellStart"/>
      <w:r w:rsidR="00D17AA5">
        <w:t>pētījumos</w:t>
      </w:r>
      <w:proofErr w:type="spellEnd"/>
      <w:r w:rsidR="00D17AA5">
        <w:t xml:space="preserve"> (FAST </w:t>
      </w:r>
      <w:proofErr w:type="spellStart"/>
      <w:r w:rsidR="00D17AA5">
        <w:t>pētījumā</w:t>
      </w:r>
      <w:proofErr w:type="spellEnd"/>
      <w:r w:rsidR="00D17AA5">
        <w:t xml:space="preserve">: 3001 </w:t>
      </w:r>
      <w:proofErr w:type="spellStart"/>
      <w:r w:rsidR="00D17AA5">
        <w:t>pētāmā</w:t>
      </w:r>
      <w:proofErr w:type="spellEnd"/>
      <w:r w:rsidR="00D17AA5">
        <w:t xml:space="preserve"> persona, </w:t>
      </w:r>
      <w:proofErr w:type="spellStart"/>
      <w:r w:rsidR="00D17AA5">
        <w:t>kura</w:t>
      </w:r>
      <w:proofErr w:type="spellEnd"/>
      <w:r w:rsidR="00D17AA5">
        <w:t xml:space="preserve"> </w:t>
      </w:r>
      <w:proofErr w:type="spellStart"/>
      <w:r w:rsidR="00D17AA5">
        <w:t>ārstēta</w:t>
      </w:r>
      <w:proofErr w:type="spellEnd"/>
      <w:r w:rsidR="00D17AA5">
        <w:t xml:space="preserve"> ar </w:t>
      </w:r>
      <w:proofErr w:type="spellStart"/>
      <w:r w:rsidR="00D17AA5">
        <w:t>vismaz</w:t>
      </w:r>
      <w:proofErr w:type="spellEnd"/>
      <w:r w:rsidR="00D17AA5">
        <w:t xml:space="preserve"> </w:t>
      </w:r>
      <w:proofErr w:type="spellStart"/>
      <w:r w:rsidR="00D17AA5">
        <w:t>vienu</w:t>
      </w:r>
      <w:proofErr w:type="spellEnd"/>
      <w:r w:rsidR="00D17AA5">
        <w:t xml:space="preserve"> </w:t>
      </w:r>
      <w:proofErr w:type="spellStart"/>
      <w:r w:rsidR="00D17AA5">
        <w:t>devu</w:t>
      </w:r>
      <w:proofErr w:type="spellEnd"/>
      <w:r w:rsidR="00D17AA5">
        <w:t xml:space="preserve"> (no 80 mg </w:t>
      </w:r>
      <w:proofErr w:type="spellStart"/>
      <w:r w:rsidR="00D17AA5">
        <w:t>līdz</w:t>
      </w:r>
      <w:proofErr w:type="spellEnd"/>
      <w:r w:rsidR="00D17AA5">
        <w:t xml:space="preserve"> 120 mg)</w:t>
      </w:r>
      <w:r w:rsidRPr="00087F50">
        <w:t xml:space="preserve"> un </w:t>
      </w:r>
      <w:proofErr w:type="spellStart"/>
      <w:r w:rsidRPr="00087F50">
        <w:t>pēcreģistrācijas</w:t>
      </w:r>
      <w:proofErr w:type="spellEnd"/>
      <w:r w:rsidRPr="00087F50">
        <w:t xml:space="preserve"> </w:t>
      </w:r>
      <w:proofErr w:type="spellStart"/>
      <w:r w:rsidRPr="00087F50">
        <w:t>pieredzē</w:t>
      </w:r>
      <w:proofErr w:type="spellEnd"/>
      <w:r w:rsidRPr="00087F50">
        <w:t xml:space="preserve"> ir podagras </w:t>
      </w:r>
      <w:proofErr w:type="spellStart"/>
      <w:r w:rsidR="00AA01F1" w:rsidRPr="00087F50">
        <w:t>paasinajumi</w:t>
      </w:r>
      <w:proofErr w:type="spellEnd"/>
      <w:r w:rsidRPr="00087F50">
        <w:t xml:space="preserve">, </w:t>
      </w:r>
      <w:proofErr w:type="spellStart"/>
      <w:r w:rsidRPr="00087F50">
        <w:t>aknu</w:t>
      </w:r>
      <w:proofErr w:type="spellEnd"/>
      <w:r w:rsidRPr="00087F50">
        <w:t xml:space="preserve"> </w:t>
      </w:r>
      <w:proofErr w:type="spellStart"/>
      <w:r w:rsidRPr="00087F50">
        <w:t>darbības</w:t>
      </w:r>
      <w:proofErr w:type="spellEnd"/>
      <w:r w:rsidRPr="00087F50">
        <w:t xml:space="preserve"> </w:t>
      </w:r>
      <w:proofErr w:type="spellStart"/>
      <w:r w:rsidRPr="00087F50">
        <w:t>traucējumi</w:t>
      </w:r>
      <w:proofErr w:type="spellEnd"/>
      <w:r w:rsidRPr="00087F50">
        <w:t xml:space="preserve">, </w:t>
      </w:r>
      <w:proofErr w:type="spellStart"/>
      <w:r w:rsidRPr="00087F50">
        <w:t>caureja</w:t>
      </w:r>
      <w:proofErr w:type="spellEnd"/>
      <w:r w:rsidRPr="00087F50">
        <w:t xml:space="preserve">, </w:t>
      </w:r>
      <w:proofErr w:type="spellStart"/>
      <w:r w:rsidRPr="00087F50">
        <w:t>slikta</w:t>
      </w:r>
      <w:proofErr w:type="spellEnd"/>
      <w:r w:rsidRPr="00087F50">
        <w:t xml:space="preserve"> </w:t>
      </w:r>
      <w:proofErr w:type="spellStart"/>
      <w:r w:rsidRPr="00087F50">
        <w:t>dūša</w:t>
      </w:r>
      <w:proofErr w:type="spellEnd"/>
      <w:r w:rsidRPr="00087F50">
        <w:t xml:space="preserve">, </w:t>
      </w:r>
      <w:proofErr w:type="spellStart"/>
      <w:r w:rsidRPr="00087F50">
        <w:t>galvassāpes</w:t>
      </w:r>
      <w:proofErr w:type="spellEnd"/>
      <w:r w:rsidRPr="00087F50">
        <w:t>,</w:t>
      </w:r>
      <w:r w:rsidR="009B38DE">
        <w:t xml:space="preserve"> </w:t>
      </w:r>
      <w:proofErr w:type="spellStart"/>
      <w:r w:rsidR="009B38DE">
        <w:t>reibonis</w:t>
      </w:r>
      <w:proofErr w:type="spellEnd"/>
      <w:r w:rsidR="009B38DE">
        <w:t xml:space="preserve">, </w:t>
      </w:r>
      <w:proofErr w:type="spellStart"/>
      <w:r w:rsidR="009B38DE">
        <w:t>elpas</w:t>
      </w:r>
      <w:proofErr w:type="spellEnd"/>
      <w:r w:rsidR="009B38DE">
        <w:t xml:space="preserve"> </w:t>
      </w:r>
      <w:proofErr w:type="spellStart"/>
      <w:r w:rsidR="009B38DE">
        <w:t>trūkums</w:t>
      </w:r>
      <w:proofErr w:type="spellEnd"/>
      <w:r w:rsidR="009B38DE">
        <w:t>,</w:t>
      </w:r>
      <w:r w:rsidRPr="00087F50">
        <w:t xml:space="preserve"> </w:t>
      </w:r>
      <w:proofErr w:type="spellStart"/>
      <w:r w:rsidRPr="00087F50">
        <w:t>izsitumi</w:t>
      </w:r>
      <w:proofErr w:type="spellEnd"/>
      <w:r w:rsidR="009B38DE">
        <w:t xml:space="preserve">, </w:t>
      </w:r>
      <w:proofErr w:type="spellStart"/>
      <w:r w:rsidR="009B38DE">
        <w:t>nieze</w:t>
      </w:r>
      <w:proofErr w:type="spellEnd"/>
      <w:r w:rsidR="009B38DE">
        <w:t xml:space="preserve">, </w:t>
      </w:r>
      <w:proofErr w:type="spellStart"/>
      <w:r w:rsidR="009B38DE">
        <w:t>locītavu</w:t>
      </w:r>
      <w:proofErr w:type="spellEnd"/>
      <w:r w:rsidR="009B38DE">
        <w:t xml:space="preserve"> </w:t>
      </w:r>
      <w:proofErr w:type="spellStart"/>
      <w:r w:rsidR="009B38DE">
        <w:t>sāpes</w:t>
      </w:r>
      <w:proofErr w:type="spellEnd"/>
      <w:r w:rsidR="00E36EA8">
        <w:t xml:space="preserve">, </w:t>
      </w:r>
      <w:proofErr w:type="spellStart"/>
      <w:r w:rsidR="00E36EA8">
        <w:t>mialģija</w:t>
      </w:r>
      <w:proofErr w:type="spellEnd"/>
      <w:r w:rsidR="00E36EA8">
        <w:t xml:space="preserve">, </w:t>
      </w:r>
      <w:proofErr w:type="spellStart"/>
      <w:r w:rsidR="00E36EA8">
        <w:t>sāpes</w:t>
      </w:r>
      <w:proofErr w:type="spellEnd"/>
      <w:r w:rsidR="00E36EA8">
        <w:t xml:space="preserve"> </w:t>
      </w:r>
      <w:proofErr w:type="spellStart"/>
      <w:r w:rsidR="00E36EA8">
        <w:t>ekstremitātē</w:t>
      </w:r>
      <w:proofErr w:type="spellEnd"/>
      <w:r w:rsidR="00E36EA8">
        <w:t>,</w:t>
      </w:r>
      <w:r w:rsidRPr="00087F50">
        <w:t xml:space="preserve"> </w:t>
      </w:r>
      <w:proofErr w:type="spellStart"/>
      <w:r w:rsidRPr="00087F50">
        <w:t>tūska</w:t>
      </w:r>
      <w:proofErr w:type="spellEnd"/>
      <w:r w:rsidR="00E36EA8">
        <w:t xml:space="preserve"> un </w:t>
      </w:r>
      <w:proofErr w:type="spellStart"/>
      <w:r w:rsidR="00E36EA8">
        <w:t>nogurums</w:t>
      </w:r>
      <w:proofErr w:type="spellEnd"/>
      <w:r w:rsidRPr="00087F50">
        <w:t xml:space="preserve">. </w:t>
      </w:r>
      <w:proofErr w:type="spellStart"/>
      <w:r w:rsidRPr="00087F50">
        <w:t>Šīs</w:t>
      </w:r>
      <w:proofErr w:type="spellEnd"/>
      <w:r w:rsidRPr="00087F50">
        <w:t xml:space="preserve"> </w:t>
      </w:r>
      <w:proofErr w:type="spellStart"/>
      <w:r w:rsidRPr="00087F50">
        <w:t>blakusparādības</w:t>
      </w:r>
      <w:proofErr w:type="spellEnd"/>
      <w:r w:rsidRPr="00087F50">
        <w:t xml:space="preserve"> </w:t>
      </w:r>
      <w:proofErr w:type="spellStart"/>
      <w:r w:rsidRPr="00087F50">
        <w:t>visbiežāk</w:t>
      </w:r>
      <w:proofErr w:type="spellEnd"/>
      <w:r w:rsidRPr="00087F50">
        <w:t xml:space="preserve"> bija </w:t>
      </w:r>
      <w:proofErr w:type="spellStart"/>
      <w:r w:rsidRPr="00087F50">
        <w:t>vieglas</w:t>
      </w:r>
      <w:proofErr w:type="spellEnd"/>
      <w:r w:rsidRPr="00087F50">
        <w:t xml:space="preserve"> </w:t>
      </w:r>
      <w:proofErr w:type="spellStart"/>
      <w:r w:rsidRPr="00087F50">
        <w:t>vai</w:t>
      </w:r>
      <w:proofErr w:type="spellEnd"/>
      <w:r w:rsidRPr="00087F50">
        <w:t xml:space="preserve"> </w:t>
      </w:r>
      <w:proofErr w:type="spellStart"/>
      <w:r w:rsidRPr="00087F50">
        <w:t>vidēji</w:t>
      </w:r>
      <w:proofErr w:type="spellEnd"/>
      <w:r w:rsidRPr="00087F50">
        <w:t xml:space="preserve"> </w:t>
      </w:r>
      <w:proofErr w:type="spellStart"/>
      <w:r w:rsidRPr="00087F50">
        <w:t>smagas</w:t>
      </w:r>
      <w:proofErr w:type="spellEnd"/>
      <w:r w:rsidRPr="00087F50">
        <w:t xml:space="preserve">. </w:t>
      </w:r>
      <w:proofErr w:type="spellStart"/>
      <w:r w:rsidRPr="00087F50">
        <w:t>Pēcreģistrācijas</w:t>
      </w:r>
      <w:proofErr w:type="spellEnd"/>
      <w:r w:rsidRPr="00087F50">
        <w:t xml:space="preserve"> </w:t>
      </w:r>
      <w:proofErr w:type="spellStart"/>
      <w:r w:rsidRPr="00087F50">
        <w:t>pieredzē</w:t>
      </w:r>
      <w:proofErr w:type="spellEnd"/>
      <w:r w:rsidRPr="00087F50">
        <w:t xml:space="preserve"> </w:t>
      </w:r>
      <w:proofErr w:type="spellStart"/>
      <w:r w:rsidRPr="00087F50">
        <w:t>reti</w:t>
      </w:r>
      <w:proofErr w:type="spellEnd"/>
      <w:r w:rsidRPr="00087F50">
        <w:t xml:space="preserve"> </w:t>
      </w:r>
      <w:proofErr w:type="spellStart"/>
      <w:r w:rsidRPr="00087F50">
        <w:t>novērotas</w:t>
      </w:r>
      <w:proofErr w:type="spellEnd"/>
      <w:r w:rsidRPr="00087F50">
        <w:t xml:space="preserve"> </w:t>
      </w:r>
      <w:proofErr w:type="spellStart"/>
      <w:r w:rsidRPr="00087F50">
        <w:t>smagas</w:t>
      </w:r>
      <w:proofErr w:type="spellEnd"/>
      <w:r w:rsidRPr="00087F50">
        <w:t xml:space="preserve"> </w:t>
      </w:r>
      <w:proofErr w:type="spellStart"/>
      <w:r w:rsidRPr="00087F50">
        <w:t>paaugstinātas</w:t>
      </w:r>
      <w:proofErr w:type="spellEnd"/>
      <w:r w:rsidRPr="00087F50">
        <w:t xml:space="preserve"> </w:t>
      </w:r>
      <w:proofErr w:type="spellStart"/>
      <w:r w:rsidRPr="00087F50">
        <w:t>jutības</w:t>
      </w:r>
      <w:proofErr w:type="spellEnd"/>
      <w:r w:rsidRPr="00087F50">
        <w:t xml:space="preserve"> </w:t>
      </w:r>
      <w:proofErr w:type="spellStart"/>
      <w:r w:rsidRPr="00087F50">
        <w:t>reakcijas</w:t>
      </w:r>
      <w:proofErr w:type="spellEnd"/>
      <w:r w:rsidRPr="00087F50">
        <w:t xml:space="preserve"> </w:t>
      </w:r>
      <w:proofErr w:type="spellStart"/>
      <w:r w:rsidRPr="00087F50">
        <w:t>pret</w:t>
      </w:r>
      <w:proofErr w:type="spellEnd"/>
      <w:r w:rsidRPr="00087F50">
        <w:t xml:space="preserve"> </w:t>
      </w:r>
      <w:proofErr w:type="spellStart"/>
      <w:r w:rsidRPr="00087F50">
        <w:t>febuksostatu</w:t>
      </w:r>
      <w:proofErr w:type="spellEnd"/>
      <w:r w:rsidRPr="00087F50">
        <w:t xml:space="preserve">, no </w:t>
      </w:r>
      <w:proofErr w:type="spellStart"/>
      <w:r w:rsidRPr="00087F50">
        <w:t>kurām</w:t>
      </w:r>
      <w:proofErr w:type="spellEnd"/>
      <w:r w:rsidRPr="00087F50">
        <w:t xml:space="preserve"> </w:t>
      </w:r>
      <w:proofErr w:type="spellStart"/>
      <w:r w:rsidRPr="00087F50">
        <w:t>dažas</w:t>
      </w:r>
      <w:proofErr w:type="spellEnd"/>
      <w:r w:rsidRPr="00087F50">
        <w:t xml:space="preserve"> bija </w:t>
      </w:r>
      <w:proofErr w:type="spellStart"/>
      <w:r w:rsidRPr="00087F50">
        <w:t>saistītas</w:t>
      </w:r>
      <w:proofErr w:type="spellEnd"/>
      <w:r w:rsidRPr="00087F50">
        <w:t xml:space="preserve"> ar </w:t>
      </w:r>
      <w:proofErr w:type="spellStart"/>
      <w:r w:rsidRPr="00087F50">
        <w:t>sistēmiskiem</w:t>
      </w:r>
      <w:proofErr w:type="spellEnd"/>
      <w:r w:rsidRPr="00087F50">
        <w:t xml:space="preserve"> </w:t>
      </w:r>
      <w:proofErr w:type="spellStart"/>
      <w:r w:rsidRPr="00087F50">
        <w:t>simptomiem</w:t>
      </w:r>
      <w:proofErr w:type="spellEnd"/>
      <w:r w:rsidR="002C6A44" w:rsidRPr="00087F50">
        <w:t xml:space="preserve">, </w:t>
      </w:r>
      <w:r w:rsidR="002C6A44" w:rsidRPr="00087F50">
        <w:rPr>
          <w:rFonts w:eastAsia="TimesNewRomanPSMT"/>
          <w:color w:val="auto"/>
          <w:lang w:val="lv-LV" w:eastAsia="en-US"/>
        </w:rPr>
        <w:t>un reti novēroti pēkšņas kardiālas nāves gadījumi</w:t>
      </w:r>
      <w:r w:rsidRPr="00087F50">
        <w:t xml:space="preserve">. </w:t>
      </w:r>
    </w:p>
    <w:p w14:paraId="3D35A130" w14:textId="77777777" w:rsidR="00A77DDF" w:rsidRPr="00087F50" w:rsidRDefault="00A77DDF" w:rsidP="00A77DDF">
      <w:pPr>
        <w:spacing w:after="0" w:line="259" w:lineRule="auto"/>
        <w:ind w:left="1" w:firstLine="0"/>
      </w:pPr>
      <w:r w:rsidRPr="00087F50">
        <w:rPr>
          <w:b/>
          <w:i/>
        </w:rPr>
        <w:t xml:space="preserve"> </w:t>
      </w:r>
    </w:p>
    <w:p w14:paraId="4D75946A" w14:textId="77777777" w:rsidR="00A77DDF" w:rsidRPr="008A0CDC" w:rsidRDefault="00A77DDF" w:rsidP="00A77DDF">
      <w:pPr>
        <w:spacing w:after="13" w:line="249" w:lineRule="auto"/>
        <w:ind w:left="-3" w:hanging="10"/>
        <w:rPr>
          <w:iCs/>
          <w:u w:val="single"/>
        </w:rPr>
      </w:pPr>
      <w:proofErr w:type="spellStart"/>
      <w:r w:rsidRPr="008A0CDC">
        <w:rPr>
          <w:iCs/>
          <w:u w:val="single"/>
        </w:rPr>
        <w:t>Blakusparādību</w:t>
      </w:r>
      <w:proofErr w:type="spellEnd"/>
      <w:r w:rsidRPr="008A0CDC">
        <w:rPr>
          <w:iCs/>
          <w:u w:val="single"/>
        </w:rPr>
        <w:t xml:space="preserve"> </w:t>
      </w:r>
      <w:proofErr w:type="spellStart"/>
      <w:r w:rsidRPr="008A0CDC">
        <w:rPr>
          <w:iCs/>
          <w:u w:val="single"/>
        </w:rPr>
        <w:t>saraksts</w:t>
      </w:r>
      <w:proofErr w:type="spellEnd"/>
      <w:r w:rsidRPr="008A0CDC">
        <w:rPr>
          <w:iCs/>
          <w:u w:val="single"/>
        </w:rPr>
        <w:t xml:space="preserve"> </w:t>
      </w:r>
      <w:proofErr w:type="spellStart"/>
      <w:r w:rsidRPr="008A0CDC">
        <w:rPr>
          <w:iCs/>
          <w:u w:val="single"/>
        </w:rPr>
        <w:t>tabulā</w:t>
      </w:r>
      <w:proofErr w:type="spellEnd"/>
      <w:r w:rsidRPr="008A0CDC">
        <w:rPr>
          <w:iCs/>
          <w:u w:val="single"/>
        </w:rPr>
        <w:t xml:space="preserve"> </w:t>
      </w:r>
    </w:p>
    <w:p w14:paraId="4540F9E8" w14:textId="403044E7" w:rsidR="00A77DDF" w:rsidRPr="00087F50" w:rsidRDefault="00A77DDF" w:rsidP="00A77DDF">
      <w:pPr>
        <w:ind w:left="-3" w:right="9"/>
      </w:pPr>
      <w:proofErr w:type="spellStart"/>
      <w:r w:rsidRPr="00087F50">
        <w:t>Nākamajā</w:t>
      </w:r>
      <w:proofErr w:type="spellEnd"/>
      <w:r w:rsidRPr="00087F50">
        <w:t xml:space="preserve"> </w:t>
      </w:r>
      <w:proofErr w:type="spellStart"/>
      <w:r w:rsidRPr="00087F50">
        <w:t>tabulā</w:t>
      </w:r>
      <w:proofErr w:type="spellEnd"/>
      <w:r w:rsidRPr="00087F50">
        <w:t xml:space="preserve"> ir </w:t>
      </w:r>
      <w:proofErr w:type="spellStart"/>
      <w:r w:rsidRPr="00087F50">
        <w:t>uzskaitītas</w:t>
      </w:r>
      <w:proofErr w:type="spellEnd"/>
      <w:r w:rsidRPr="00087F50">
        <w:t xml:space="preserve"> </w:t>
      </w:r>
      <w:proofErr w:type="spellStart"/>
      <w:r w:rsidRPr="00087F50">
        <w:t>bieži</w:t>
      </w:r>
      <w:proofErr w:type="spellEnd"/>
      <w:r w:rsidRPr="00087F50">
        <w:t xml:space="preserve"> </w:t>
      </w:r>
      <w:proofErr w:type="spellStart"/>
      <w:r w:rsidRPr="00087F50">
        <w:t>sastopamas</w:t>
      </w:r>
      <w:proofErr w:type="spellEnd"/>
      <w:r w:rsidRPr="00087F50">
        <w:t xml:space="preserve"> (no ≥ 1/100 </w:t>
      </w:r>
      <w:proofErr w:type="spellStart"/>
      <w:r w:rsidRPr="00087F50">
        <w:t>līdz</w:t>
      </w:r>
      <w:proofErr w:type="spellEnd"/>
      <w:r w:rsidRPr="00087F50">
        <w:t xml:space="preserve"> &lt; 1/10), </w:t>
      </w:r>
      <w:proofErr w:type="spellStart"/>
      <w:r w:rsidRPr="00087F50">
        <w:t>retākas</w:t>
      </w:r>
      <w:proofErr w:type="spellEnd"/>
      <w:r w:rsidRPr="00087F50">
        <w:t xml:space="preserve"> (no ≥ 1/1000 </w:t>
      </w:r>
      <w:proofErr w:type="spellStart"/>
      <w:r w:rsidRPr="00087F50">
        <w:t>līdz</w:t>
      </w:r>
      <w:proofErr w:type="spellEnd"/>
      <w:r w:rsidRPr="00087F50">
        <w:t xml:space="preserve"> &lt; 1/100) un retas (no </w:t>
      </w:r>
      <w:r w:rsidRPr="00087F50">
        <w:rPr>
          <w:rFonts w:ascii="Segoe UI Symbol" w:eastAsia="Segoe UI Symbol" w:hAnsi="Segoe UI Symbol" w:cs="Segoe UI Symbol"/>
        </w:rPr>
        <w:t>≥</w:t>
      </w:r>
      <w:r w:rsidRPr="00087F50">
        <w:t xml:space="preserve"> 1/10 000 </w:t>
      </w:r>
      <w:proofErr w:type="spellStart"/>
      <w:r w:rsidRPr="00087F50">
        <w:t>līdz</w:t>
      </w:r>
      <w:proofErr w:type="spellEnd"/>
      <w:r w:rsidRPr="00087F50">
        <w:t xml:space="preserve"> &lt; 1/1 000) </w:t>
      </w:r>
      <w:proofErr w:type="spellStart"/>
      <w:r w:rsidRPr="00087F50">
        <w:t>blakusparādības</w:t>
      </w:r>
      <w:proofErr w:type="spellEnd"/>
      <w:r w:rsidRPr="00087F50">
        <w:t xml:space="preserve">, </w:t>
      </w:r>
      <w:proofErr w:type="spellStart"/>
      <w:r w:rsidRPr="00087F50">
        <w:t>kas</w:t>
      </w:r>
      <w:proofErr w:type="spellEnd"/>
      <w:r w:rsidRPr="00087F50">
        <w:t xml:space="preserve"> </w:t>
      </w:r>
      <w:proofErr w:type="spellStart"/>
      <w:r w:rsidRPr="00087F50">
        <w:t>konstatētas</w:t>
      </w:r>
      <w:proofErr w:type="spellEnd"/>
      <w:r w:rsidRPr="00087F50">
        <w:t xml:space="preserve"> ar </w:t>
      </w:r>
      <w:proofErr w:type="spellStart"/>
      <w:r w:rsidRPr="00087F50">
        <w:t>febuksostatu</w:t>
      </w:r>
      <w:proofErr w:type="spellEnd"/>
      <w:r w:rsidRPr="00087F50">
        <w:t xml:space="preserve"> </w:t>
      </w:r>
      <w:proofErr w:type="spellStart"/>
      <w:r w:rsidRPr="00087F50">
        <w:t>ārstētiem</w:t>
      </w:r>
      <w:proofErr w:type="spellEnd"/>
      <w:r w:rsidRPr="00087F50">
        <w:t xml:space="preserve"> </w:t>
      </w:r>
      <w:proofErr w:type="spellStart"/>
      <w:r w:rsidRPr="00087F50">
        <w:t>pacientiem</w:t>
      </w:r>
      <w:proofErr w:type="spellEnd"/>
      <w:r w:rsidRPr="00087F50">
        <w:t xml:space="preserve">. </w:t>
      </w:r>
    </w:p>
    <w:p w14:paraId="68C01DD5" w14:textId="77777777" w:rsidR="00A77DDF" w:rsidRPr="00087F50" w:rsidRDefault="00A77DDF" w:rsidP="00A77DDF">
      <w:pPr>
        <w:ind w:left="-3" w:right="9"/>
      </w:pPr>
      <w:proofErr w:type="spellStart"/>
      <w:r w:rsidRPr="00087F50">
        <w:t>Sastopamības</w:t>
      </w:r>
      <w:proofErr w:type="spellEnd"/>
      <w:r w:rsidRPr="00087F50">
        <w:t xml:space="preserve"> </w:t>
      </w:r>
      <w:proofErr w:type="spellStart"/>
      <w:r w:rsidRPr="00087F50">
        <w:t>biežums</w:t>
      </w:r>
      <w:proofErr w:type="spellEnd"/>
      <w:r w:rsidRPr="00087F50">
        <w:t xml:space="preserve"> </w:t>
      </w:r>
      <w:proofErr w:type="spellStart"/>
      <w:r w:rsidRPr="00087F50">
        <w:t>norādīts</w:t>
      </w:r>
      <w:proofErr w:type="spellEnd"/>
      <w:r w:rsidRPr="00087F50">
        <w:t xml:space="preserve">, </w:t>
      </w:r>
      <w:proofErr w:type="spellStart"/>
      <w:r w:rsidRPr="00087F50">
        <w:t>ņemot</w:t>
      </w:r>
      <w:proofErr w:type="spellEnd"/>
      <w:r w:rsidRPr="00087F50">
        <w:t xml:space="preserve"> </w:t>
      </w:r>
      <w:proofErr w:type="spellStart"/>
      <w:r w:rsidRPr="00087F50">
        <w:t>vērā</w:t>
      </w:r>
      <w:proofErr w:type="spellEnd"/>
      <w:r w:rsidRPr="00087F50">
        <w:t xml:space="preserve"> </w:t>
      </w:r>
      <w:proofErr w:type="spellStart"/>
      <w:r w:rsidRPr="00087F50">
        <w:t>pētījumu</w:t>
      </w:r>
      <w:proofErr w:type="spellEnd"/>
      <w:r w:rsidRPr="00087F50">
        <w:t xml:space="preserve"> </w:t>
      </w:r>
      <w:proofErr w:type="spellStart"/>
      <w:r w:rsidRPr="00087F50">
        <w:t>rezultātus</w:t>
      </w:r>
      <w:proofErr w:type="spellEnd"/>
      <w:r w:rsidRPr="00087F50">
        <w:t xml:space="preserve"> un </w:t>
      </w:r>
      <w:proofErr w:type="spellStart"/>
      <w:r w:rsidRPr="00087F50">
        <w:t>pēcreģistrācijas</w:t>
      </w:r>
      <w:proofErr w:type="spellEnd"/>
      <w:r w:rsidRPr="00087F50">
        <w:t xml:space="preserve"> </w:t>
      </w:r>
      <w:proofErr w:type="spellStart"/>
      <w:r w:rsidRPr="00087F50">
        <w:t>lietošanas</w:t>
      </w:r>
      <w:proofErr w:type="spellEnd"/>
      <w:r w:rsidRPr="00087F50">
        <w:t xml:space="preserve"> </w:t>
      </w:r>
      <w:proofErr w:type="spellStart"/>
      <w:r w:rsidRPr="00087F50">
        <w:t>pieredzi</w:t>
      </w:r>
      <w:proofErr w:type="spellEnd"/>
      <w:r w:rsidRPr="00087F50">
        <w:t xml:space="preserve"> </w:t>
      </w:r>
      <w:proofErr w:type="spellStart"/>
      <w:r w:rsidRPr="00087F50">
        <w:t>pacientiem</w:t>
      </w:r>
      <w:proofErr w:type="spellEnd"/>
      <w:r w:rsidRPr="00087F50">
        <w:t xml:space="preserve"> ar </w:t>
      </w:r>
      <w:proofErr w:type="spellStart"/>
      <w:r w:rsidRPr="00087F50">
        <w:t>podagru</w:t>
      </w:r>
      <w:proofErr w:type="spellEnd"/>
      <w:r w:rsidRPr="00087F50">
        <w:t xml:space="preserve">. </w:t>
      </w:r>
    </w:p>
    <w:p w14:paraId="2D456B71" w14:textId="16D02CCF" w:rsidR="00A77DDF" w:rsidRPr="00087F50" w:rsidRDefault="00A77DDF" w:rsidP="00A77DDF">
      <w:pPr>
        <w:spacing w:after="0" w:line="259" w:lineRule="auto"/>
        <w:ind w:left="1" w:firstLine="0"/>
      </w:pPr>
    </w:p>
    <w:p w14:paraId="5B379994" w14:textId="77777777" w:rsidR="00A77DDF" w:rsidRPr="00087F50" w:rsidRDefault="00A77DDF" w:rsidP="00A77DDF">
      <w:pPr>
        <w:ind w:left="-3" w:right="9"/>
      </w:pPr>
      <w:proofErr w:type="spellStart"/>
      <w:r w:rsidRPr="00087F50">
        <w:t>Katrā</w:t>
      </w:r>
      <w:proofErr w:type="spellEnd"/>
      <w:r w:rsidRPr="00087F50">
        <w:t xml:space="preserve"> </w:t>
      </w:r>
      <w:proofErr w:type="spellStart"/>
      <w:r w:rsidRPr="00087F50">
        <w:t>sastopamības</w:t>
      </w:r>
      <w:proofErr w:type="spellEnd"/>
      <w:r w:rsidRPr="00087F50">
        <w:t xml:space="preserve"> </w:t>
      </w:r>
      <w:proofErr w:type="spellStart"/>
      <w:r w:rsidRPr="00087F50">
        <w:t>biežuma</w:t>
      </w:r>
      <w:proofErr w:type="spellEnd"/>
      <w:r w:rsidRPr="00087F50">
        <w:t xml:space="preserve"> </w:t>
      </w:r>
      <w:proofErr w:type="spellStart"/>
      <w:r w:rsidRPr="00087F50">
        <w:t>grupā</w:t>
      </w:r>
      <w:proofErr w:type="spellEnd"/>
      <w:r w:rsidRPr="00087F50">
        <w:t xml:space="preserve"> </w:t>
      </w:r>
      <w:proofErr w:type="spellStart"/>
      <w:r w:rsidRPr="00087F50">
        <w:t>blakusparādības</w:t>
      </w:r>
      <w:proofErr w:type="spellEnd"/>
      <w:r w:rsidRPr="00087F50">
        <w:t xml:space="preserve"> </w:t>
      </w:r>
      <w:proofErr w:type="spellStart"/>
      <w:r w:rsidRPr="00087F50">
        <w:t>sakārtotas</w:t>
      </w:r>
      <w:proofErr w:type="spellEnd"/>
      <w:r w:rsidRPr="00087F50">
        <w:t xml:space="preserve"> </w:t>
      </w:r>
      <w:proofErr w:type="spellStart"/>
      <w:r w:rsidRPr="00087F50">
        <w:t>to</w:t>
      </w:r>
      <w:proofErr w:type="spellEnd"/>
      <w:r w:rsidRPr="00087F50">
        <w:t xml:space="preserve"> </w:t>
      </w:r>
      <w:proofErr w:type="spellStart"/>
      <w:r w:rsidRPr="00087F50">
        <w:t>nopietnības</w:t>
      </w:r>
      <w:proofErr w:type="spellEnd"/>
      <w:r w:rsidRPr="00087F50">
        <w:t xml:space="preserve"> </w:t>
      </w:r>
      <w:proofErr w:type="spellStart"/>
      <w:r w:rsidRPr="00087F50">
        <w:t>samazinājuma</w:t>
      </w:r>
      <w:proofErr w:type="spellEnd"/>
      <w:r w:rsidRPr="00087F50">
        <w:t xml:space="preserve"> </w:t>
      </w:r>
      <w:proofErr w:type="spellStart"/>
      <w:r w:rsidRPr="00087F50">
        <w:t>secībā</w:t>
      </w:r>
      <w:proofErr w:type="spellEnd"/>
      <w:r w:rsidRPr="00087F50">
        <w:t xml:space="preserve">. </w:t>
      </w:r>
    </w:p>
    <w:p w14:paraId="7F0BA033" w14:textId="77777777" w:rsidR="00A77DDF" w:rsidRPr="00087F50" w:rsidRDefault="00A77DDF" w:rsidP="00A77DDF">
      <w:pPr>
        <w:spacing w:after="0" w:line="259" w:lineRule="auto"/>
        <w:ind w:left="1" w:firstLine="0"/>
      </w:pPr>
      <w:r w:rsidRPr="00087F50">
        <w:rPr>
          <w:i/>
        </w:rPr>
        <w:t xml:space="preserve"> </w:t>
      </w:r>
    </w:p>
    <w:p w14:paraId="7C0DB1C5" w14:textId="4B53C156" w:rsidR="00A77DDF" w:rsidRPr="00087F50" w:rsidRDefault="00A77DDF" w:rsidP="00A77DDF">
      <w:pPr>
        <w:spacing w:after="13" w:line="249" w:lineRule="auto"/>
        <w:ind w:left="-3" w:hanging="10"/>
      </w:pPr>
      <w:r w:rsidRPr="00087F50">
        <w:rPr>
          <w:i/>
        </w:rPr>
        <w:t>1. tabula</w:t>
      </w:r>
      <w:r w:rsidR="00612C5E">
        <w:rPr>
          <w:i/>
        </w:rPr>
        <w:t>.</w:t>
      </w:r>
      <w:r w:rsidRPr="00087F50">
        <w:rPr>
          <w:i/>
        </w:rPr>
        <w:t xml:space="preserve"> </w:t>
      </w:r>
      <w:proofErr w:type="spellStart"/>
      <w:r w:rsidRPr="00087F50">
        <w:rPr>
          <w:i/>
        </w:rPr>
        <w:t>Blakusparādības</w:t>
      </w:r>
      <w:proofErr w:type="spellEnd"/>
      <w:r w:rsidRPr="00087F50">
        <w:rPr>
          <w:i/>
        </w:rPr>
        <w:t xml:space="preserve">, </w:t>
      </w:r>
      <w:proofErr w:type="spellStart"/>
      <w:r w:rsidRPr="00087F50">
        <w:rPr>
          <w:i/>
        </w:rPr>
        <w:t>kas</w:t>
      </w:r>
      <w:proofErr w:type="spellEnd"/>
      <w:r w:rsidRPr="00087F50">
        <w:rPr>
          <w:i/>
        </w:rPr>
        <w:t xml:space="preserve"> </w:t>
      </w:r>
      <w:proofErr w:type="spellStart"/>
      <w:r w:rsidRPr="00087F50">
        <w:rPr>
          <w:i/>
        </w:rPr>
        <w:t>tika</w:t>
      </w:r>
      <w:proofErr w:type="spellEnd"/>
      <w:r w:rsidRPr="00087F50">
        <w:rPr>
          <w:i/>
        </w:rPr>
        <w:t xml:space="preserve"> </w:t>
      </w:r>
      <w:proofErr w:type="spellStart"/>
      <w:r w:rsidRPr="00087F50">
        <w:rPr>
          <w:i/>
        </w:rPr>
        <w:t>konstatētas</w:t>
      </w:r>
      <w:proofErr w:type="spellEnd"/>
      <w:r w:rsidRPr="00087F50">
        <w:rPr>
          <w:i/>
        </w:rPr>
        <w:t xml:space="preserve"> </w:t>
      </w:r>
      <w:proofErr w:type="spellStart"/>
      <w:r w:rsidRPr="00087F50">
        <w:rPr>
          <w:i/>
        </w:rPr>
        <w:t>apvienotajos</w:t>
      </w:r>
      <w:proofErr w:type="spellEnd"/>
      <w:r w:rsidRPr="00087F50">
        <w:rPr>
          <w:i/>
        </w:rPr>
        <w:t xml:space="preserve"> 3. </w:t>
      </w:r>
      <w:proofErr w:type="spellStart"/>
      <w:r w:rsidRPr="00087F50">
        <w:rPr>
          <w:i/>
        </w:rPr>
        <w:t>fāzes</w:t>
      </w:r>
      <w:proofErr w:type="spellEnd"/>
      <w:r w:rsidRPr="00087F50">
        <w:rPr>
          <w:i/>
        </w:rPr>
        <w:t xml:space="preserve"> </w:t>
      </w:r>
      <w:proofErr w:type="spellStart"/>
      <w:r w:rsidRPr="00087F50">
        <w:rPr>
          <w:i/>
        </w:rPr>
        <w:t>pētījumos</w:t>
      </w:r>
      <w:proofErr w:type="spellEnd"/>
      <w:r w:rsidRPr="00087F50">
        <w:rPr>
          <w:i/>
        </w:rPr>
        <w:t xml:space="preserve">, </w:t>
      </w:r>
      <w:proofErr w:type="spellStart"/>
      <w:r w:rsidRPr="00087F50">
        <w:rPr>
          <w:i/>
        </w:rPr>
        <w:t>ilglaicīgajos</w:t>
      </w:r>
      <w:proofErr w:type="spellEnd"/>
      <w:r w:rsidRPr="00087F50">
        <w:rPr>
          <w:i/>
        </w:rPr>
        <w:t xml:space="preserve"> </w:t>
      </w:r>
    </w:p>
    <w:p w14:paraId="3469CC7A" w14:textId="01A58E95" w:rsidR="00A77DDF" w:rsidRPr="00087F50" w:rsidRDefault="00A77DDF" w:rsidP="00A77DDF">
      <w:pPr>
        <w:spacing w:after="13" w:line="249" w:lineRule="auto"/>
        <w:ind w:left="-3" w:hanging="10"/>
      </w:pPr>
      <w:proofErr w:type="spellStart"/>
      <w:r w:rsidRPr="00087F50">
        <w:rPr>
          <w:i/>
        </w:rPr>
        <w:t>pagarinājuma</w:t>
      </w:r>
      <w:proofErr w:type="spellEnd"/>
      <w:r w:rsidRPr="00087F50">
        <w:rPr>
          <w:i/>
        </w:rPr>
        <w:t xml:space="preserve"> </w:t>
      </w:r>
      <w:proofErr w:type="spellStart"/>
      <w:r w:rsidRPr="00087F50">
        <w:rPr>
          <w:i/>
        </w:rPr>
        <w:t>pētījumos</w:t>
      </w:r>
      <w:proofErr w:type="spellEnd"/>
      <w:r w:rsidR="008A0CDC" w:rsidRPr="008A0CDC">
        <w:rPr>
          <w:i/>
        </w:rPr>
        <w:t xml:space="preserve">, </w:t>
      </w:r>
      <w:proofErr w:type="spellStart"/>
      <w:r w:rsidR="008A0CDC" w:rsidRPr="008A0CDC">
        <w:rPr>
          <w:i/>
        </w:rPr>
        <w:t>pēcreģistrācijas</w:t>
      </w:r>
      <w:proofErr w:type="spellEnd"/>
      <w:r w:rsidR="008A0CDC" w:rsidRPr="008A0CDC">
        <w:rPr>
          <w:i/>
        </w:rPr>
        <w:t xml:space="preserve"> </w:t>
      </w:r>
      <w:proofErr w:type="spellStart"/>
      <w:r w:rsidR="008A0CDC" w:rsidRPr="008A0CDC">
        <w:rPr>
          <w:i/>
        </w:rPr>
        <w:t>drošuma</w:t>
      </w:r>
      <w:proofErr w:type="spellEnd"/>
      <w:r w:rsidR="008A0CDC" w:rsidRPr="008A0CDC">
        <w:rPr>
          <w:i/>
        </w:rPr>
        <w:t xml:space="preserve"> </w:t>
      </w:r>
      <w:proofErr w:type="spellStart"/>
      <w:r w:rsidR="008A0CDC" w:rsidRPr="008A0CDC">
        <w:rPr>
          <w:i/>
        </w:rPr>
        <w:t>pētījumos</w:t>
      </w:r>
      <w:proofErr w:type="spellEnd"/>
      <w:r w:rsidRPr="00087F50">
        <w:rPr>
          <w:i/>
        </w:rPr>
        <w:t xml:space="preserve"> un </w:t>
      </w:r>
      <w:proofErr w:type="spellStart"/>
      <w:r w:rsidRPr="00087F50">
        <w:rPr>
          <w:i/>
        </w:rPr>
        <w:t>pēcreģistrācijas</w:t>
      </w:r>
      <w:proofErr w:type="spellEnd"/>
      <w:r w:rsidRPr="00087F50">
        <w:rPr>
          <w:i/>
        </w:rPr>
        <w:t xml:space="preserve"> </w:t>
      </w:r>
      <w:proofErr w:type="spellStart"/>
      <w:r w:rsidRPr="00087F50">
        <w:rPr>
          <w:i/>
        </w:rPr>
        <w:t>pieredzē</w:t>
      </w:r>
      <w:proofErr w:type="spellEnd"/>
      <w:r w:rsidRPr="00087F50">
        <w:rPr>
          <w:i/>
        </w:rPr>
        <w:t xml:space="preserve"> </w:t>
      </w:r>
      <w:proofErr w:type="spellStart"/>
      <w:r w:rsidRPr="00087F50">
        <w:rPr>
          <w:i/>
        </w:rPr>
        <w:t>pacientiem</w:t>
      </w:r>
      <w:proofErr w:type="spellEnd"/>
      <w:r w:rsidRPr="00087F50">
        <w:rPr>
          <w:i/>
        </w:rPr>
        <w:t xml:space="preserve"> ar </w:t>
      </w:r>
      <w:proofErr w:type="spellStart"/>
      <w:r w:rsidRPr="00087F50">
        <w:rPr>
          <w:i/>
        </w:rPr>
        <w:t>podagru</w:t>
      </w:r>
      <w:proofErr w:type="spellEnd"/>
      <w:r w:rsidRPr="00087F50">
        <w:t xml:space="preserve"> </w:t>
      </w:r>
    </w:p>
    <w:tbl>
      <w:tblPr>
        <w:tblStyle w:val="TableGrid"/>
        <w:tblW w:w="9322" w:type="dxa"/>
        <w:tblInd w:w="-107" w:type="dxa"/>
        <w:tblCellMar>
          <w:top w:w="51" w:type="dxa"/>
          <w:left w:w="105" w:type="dxa"/>
          <w:right w:w="71" w:type="dxa"/>
        </w:tblCellMar>
        <w:tblLook w:val="04A0" w:firstRow="1" w:lastRow="0" w:firstColumn="1" w:lastColumn="0" w:noHBand="0" w:noVBand="1"/>
      </w:tblPr>
      <w:tblGrid>
        <w:gridCol w:w="3228"/>
        <w:gridCol w:w="6094"/>
      </w:tblGrid>
      <w:tr w:rsidR="00A77DDF" w:rsidRPr="00087F50" w14:paraId="082C49BE" w14:textId="77777777" w:rsidTr="00A77DDF">
        <w:trPr>
          <w:trHeight w:val="516"/>
        </w:trPr>
        <w:tc>
          <w:tcPr>
            <w:tcW w:w="3228" w:type="dxa"/>
            <w:tcBorders>
              <w:top w:val="single" w:sz="4" w:space="0" w:color="000000"/>
              <w:left w:val="single" w:sz="4" w:space="0" w:color="000000"/>
              <w:bottom w:val="single" w:sz="4" w:space="0" w:color="000000"/>
              <w:right w:val="single" w:sz="4" w:space="0" w:color="000000"/>
            </w:tcBorders>
          </w:tcPr>
          <w:p w14:paraId="59D62C2D" w14:textId="77777777" w:rsidR="00A77DDF" w:rsidRPr="00087F50" w:rsidRDefault="00A77DDF" w:rsidP="00A77DDF">
            <w:pPr>
              <w:spacing w:after="0" w:line="259" w:lineRule="auto"/>
              <w:ind w:left="2" w:firstLine="0"/>
            </w:pPr>
            <w:proofErr w:type="spellStart"/>
            <w:r w:rsidRPr="00087F50">
              <w:t>Asins</w:t>
            </w:r>
            <w:proofErr w:type="spellEnd"/>
            <w:r w:rsidRPr="00087F50">
              <w:t xml:space="preserve"> un </w:t>
            </w:r>
            <w:proofErr w:type="spellStart"/>
            <w:r w:rsidRPr="00087F50">
              <w:t>limfātiskās</w:t>
            </w:r>
            <w:proofErr w:type="spellEnd"/>
            <w:r w:rsidRPr="00087F50">
              <w:t xml:space="preserve"> </w:t>
            </w:r>
            <w:proofErr w:type="spellStart"/>
            <w:r w:rsidRPr="00087F50">
              <w:t>sistēmas</w:t>
            </w:r>
            <w:proofErr w:type="spellEnd"/>
            <w:r w:rsidRPr="00087F50">
              <w:t xml:space="preserve"> </w:t>
            </w:r>
            <w:proofErr w:type="spellStart"/>
            <w:r w:rsidRPr="00087F50">
              <w:t>traucējumi</w:t>
            </w:r>
            <w:proofErr w:type="spellEnd"/>
            <w:r w:rsidRPr="00087F50">
              <w:t xml:space="preserve"> </w:t>
            </w:r>
          </w:p>
        </w:tc>
        <w:tc>
          <w:tcPr>
            <w:tcW w:w="6094" w:type="dxa"/>
            <w:tcBorders>
              <w:top w:val="single" w:sz="4" w:space="0" w:color="000000"/>
              <w:left w:val="single" w:sz="4" w:space="0" w:color="000000"/>
              <w:bottom w:val="single" w:sz="4" w:space="0" w:color="000000"/>
              <w:right w:val="single" w:sz="4" w:space="0" w:color="000000"/>
            </w:tcBorders>
          </w:tcPr>
          <w:p w14:paraId="08699B9C" w14:textId="77777777" w:rsidR="00A77DDF" w:rsidRPr="00087F50" w:rsidRDefault="00A77DDF" w:rsidP="00A77DDF">
            <w:pPr>
              <w:spacing w:after="0" w:line="259" w:lineRule="auto"/>
              <w:ind w:left="0" w:firstLine="0"/>
            </w:pPr>
            <w:proofErr w:type="spellStart"/>
            <w:r w:rsidRPr="00087F50">
              <w:rPr>
                <w:u w:val="single" w:color="000000"/>
              </w:rPr>
              <w:t>Reti</w:t>
            </w:r>
            <w:proofErr w:type="spellEnd"/>
            <w:r w:rsidRPr="00087F50">
              <w:t xml:space="preserve"> </w:t>
            </w:r>
          </w:p>
          <w:p w14:paraId="56835A4E" w14:textId="271A1548" w:rsidR="00A77DDF" w:rsidRPr="00087F50" w:rsidRDefault="00A77DDF" w:rsidP="00BB5496">
            <w:pPr>
              <w:spacing w:after="0" w:line="259" w:lineRule="auto"/>
              <w:ind w:left="0" w:firstLine="0"/>
            </w:pPr>
            <w:proofErr w:type="spellStart"/>
            <w:r w:rsidRPr="00087F50">
              <w:t>Pancitopēnija</w:t>
            </w:r>
            <w:proofErr w:type="spellEnd"/>
            <w:r w:rsidRPr="00087F50">
              <w:t xml:space="preserve">, </w:t>
            </w:r>
            <w:proofErr w:type="spellStart"/>
            <w:r w:rsidRPr="00087F50">
              <w:t>trombocitopēnija</w:t>
            </w:r>
            <w:proofErr w:type="spellEnd"/>
            <w:r w:rsidR="00E92490" w:rsidRPr="00087F50">
              <w:t xml:space="preserve">, </w:t>
            </w:r>
            <w:proofErr w:type="spellStart"/>
            <w:r w:rsidR="00E92490" w:rsidRPr="00087F50">
              <w:t>agranulocitoze</w:t>
            </w:r>
            <w:proofErr w:type="spellEnd"/>
            <w:r w:rsidR="00E92490" w:rsidRPr="00087F50">
              <w:t>*</w:t>
            </w:r>
            <w:r w:rsidR="00C25811">
              <w:t xml:space="preserve">, </w:t>
            </w:r>
            <w:proofErr w:type="spellStart"/>
            <w:r w:rsidR="00C25811">
              <w:t>anēmija</w:t>
            </w:r>
            <w:proofErr w:type="spellEnd"/>
            <w:r w:rsidR="00581E40" w:rsidRPr="00BE670A">
              <w:rPr>
                <w:rFonts w:hint="eastAsia"/>
                <w:vertAlign w:val="superscript"/>
                <w:lang w:val="en-GB"/>
              </w:rPr>
              <w:t>♯</w:t>
            </w:r>
          </w:p>
        </w:tc>
      </w:tr>
      <w:tr w:rsidR="00A77DDF" w:rsidRPr="00087F50" w14:paraId="1C7FD03A" w14:textId="77777777" w:rsidTr="00A77DDF">
        <w:trPr>
          <w:trHeight w:val="516"/>
        </w:trPr>
        <w:tc>
          <w:tcPr>
            <w:tcW w:w="3228" w:type="dxa"/>
            <w:tcBorders>
              <w:top w:val="single" w:sz="4" w:space="0" w:color="000000"/>
              <w:left w:val="single" w:sz="4" w:space="0" w:color="000000"/>
              <w:bottom w:val="single" w:sz="4" w:space="0" w:color="000000"/>
              <w:right w:val="single" w:sz="4" w:space="0" w:color="000000"/>
            </w:tcBorders>
          </w:tcPr>
          <w:p w14:paraId="2615A49D" w14:textId="77777777" w:rsidR="00A77DDF" w:rsidRPr="00087F50" w:rsidRDefault="00A77DDF" w:rsidP="00A77DDF">
            <w:pPr>
              <w:spacing w:after="0" w:line="259" w:lineRule="auto"/>
              <w:ind w:left="2" w:firstLine="0"/>
            </w:pPr>
            <w:proofErr w:type="spellStart"/>
            <w:r w:rsidRPr="00087F50">
              <w:t>Imūnās</w:t>
            </w:r>
            <w:proofErr w:type="spellEnd"/>
            <w:r w:rsidRPr="00087F50">
              <w:t xml:space="preserve"> </w:t>
            </w:r>
            <w:proofErr w:type="spellStart"/>
            <w:r w:rsidRPr="00087F50">
              <w:t>sistēmas</w:t>
            </w:r>
            <w:proofErr w:type="spellEnd"/>
            <w:r w:rsidRPr="00087F50">
              <w:t xml:space="preserve"> </w:t>
            </w:r>
            <w:proofErr w:type="spellStart"/>
            <w:r w:rsidRPr="00087F50">
              <w:t>traucējumi</w:t>
            </w:r>
            <w:proofErr w:type="spellEnd"/>
            <w:r w:rsidRPr="00087F50">
              <w:t xml:space="preserve"> </w:t>
            </w:r>
          </w:p>
        </w:tc>
        <w:tc>
          <w:tcPr>
            <w:tcW w:w="6094" w:type="dxa"/>
            <w:tcBorders>
              <w:top w:val="single" w:sz="4" w:space="0" w:color="000000"/>
              <w:left w:val="single" w:sz="4" w:space="0" w:color="000000"/>
              <w:bottom w:val="single" w:sz="4" w:space="0" w:color="000000"/>
              <w:right w:val="single" w:sz="4" w:space="0" w:color="000000"/>
            </w:tcBorders>
          </w:tcPr>
          <w:p w14:paraId="2758E36B" w14:textId="77777777" w:rsidR="00A77DDF" w:rsidRPr="00087F50" w:rsidRDefault="00A77DDF" w:rsidP="00A77DDF">
            <w:pPr>
              <w:spacing w:after="0" w:line="259" w:lineRule="auto"/>
              <w:ind w:left="0" w:firstLine="0"/>
            </w:pPr>
            <w:proofErr w:type="spellStart"/>
            <w:r w:rsidRPr="00087F50">
              <w:rPr>
                <w:u w:val="single" w:color="000000"/>
              </w:rPr>
              <w:t>Reti</w:t>
            </w:r>
            <w:proofErr w:type="spellEnd"/>
            <w:r w:rsidRPr="00087F50">
              <w:t xml:space="preserve"> </w:t>
            </w:r>
          </w:p>
          <w:p w14:paraId="1819452F" w14:textId="77777777" w:rsidR="00A77DDF" w:rsidRPr="00087F50" w:rsidRDefault="00A77DDF" w:rsidP="00A77DDF">
            <w:pPr>
              <w:spacing w:after="0" w:line="259" w:lineRule="auto"/>
              <w:ind w:left="0" w:firstLine="0"/>
            </w:pPr>
            <w:proofErr w:type="spellStart"/>
            <w:r w:rsidRPr="00087F50">
              <w:t>Anafilaktiskas</w:t>
            </w:r>
            <w:proofErr w:type="spellEnd"/>
            <w:r w:rsidRPr="00087F50">
              <w:t xml:space="preserve"> </w:t>
            </w:r>
            <w:proofErr w:type="spellStart"/>
            <w:r w:rsidRPr="00087F50">
              <w:t>reakcijas</w:t>
            </w:r>
            <w:proofErr w:type="spellEnd"/>
            <w:r w:rsidRPr="00087F50">
              <w:t xml:space="preserve">*, </w:t>
            </w:r>
            <w:proofErr w:type="spellStart"/>
            <w:r w:rsidRPr="00087F50">
              <w:t>paaugstināta</w:t>
            </w:r>
            <w:proofErr w:type="spellEnd"/>
            <w:r w:rsidRPr="00087F50">
              <w:t xml:space="preserve"> </w:t>
            </w:r>
            <w:proofErr w:type="spellStart"/>
            <w:r w:rsidRPr="00087F50">
              <w:t>jutība</w:t>
            </w:r>
            <w:proofErr w:type="spellEnd"/>
            <w:r w:rsidRPr="00087F50">
              <w:t xml:space="preserve"> </w:t>
            </w:r>
            <w:proofErr w:type="spellStart"/>
            <w:r w:rsidRPr="00087F50">
              <w:t>pret</w:t>
            </w:r>
            <w:proofErr w:type="spellEnd"/>
            <w:r w:rsidRPr="00087F50">
              <w:t xml:space="preserve"> </w:t>
            </w:r>
            <w:proofErr w:type="spellStart"/>
            <w:r w:rsidRPr="00087F50">
              <w:t>zālēm</w:t>
            </w:r>
            <w:proofErr w:type="spellEnd"/>
            <w:r w:rsidRPr="00087F50">
              <w:t xml:space="preserve">* </w:t>
            </w:r>
          </w:p>
        </w:tc>
      </w:tr>
      <w:tr w:rsidR="00A77DDF" w:rsidRPr="00087F50" w14:paraId="7CFBCDDF" w14:textId="77777777" w:rsidTr="00A77DDF">
        <w:trPr>
          <w:trHeight w:val="516"/>
        </w:trPr>
        <w:tc>
          <w:tcPr>
            <w:tcW w:w="3228" w:type="dxa"/>
            <w:tcBorders>
              <w:top w:val="single" w:sz="4" w:space="0" w:color="000000"/>
              <w:left w:val="single" w:sz="4" w:space="0" w:color="000000"/>
              <w:bottom w:val="single" w:sz="4" w:space="0" w:color="000000"/>
              <w:right w:val="single" w:sz="4" w:space="0" w:color="000000"/>
            </w:tcBorders>
          </w:tcPr>
          <w:p w14:paraId="6E6404BA" w14:textId="77777777" w:rsidR="00A77DDF" w:rsidRPr="00087F50" w:rsidRDefault="00A77DDF" w:rsidP="00A77DDF">
            <w:pPr>
              <w:spacing w:after="0" w:line="259" w:lineRule="auto"/>
              <w:ind w:left="2" w:firstLine="0"/>
            </w:pPr>
            <w:proofErr w:type="spellStart"/>
            <w:r w:rsidRPr="00087F50">
              <w:t>Endokrīnās</w:t>
            </w:r>
            <w:proofErr w:type="spellEnd"/>
            <w:r w:rsidRPr="00087F50">
              <w:t xml:space="preserve"> </w:t>
            </w:r>
            <w:proofErr w:type="spellStart"/>
            <w:r w:rsidRPr="00087F50">
              <w:t>sistēmas</w:t>
            </w:r>
            <w:proofErr w:type="spellEnd"/>
            <w:r w:rsidRPr="00087F50">
              <w:t xml:space="preserve"> </w:t>
            </w:r>
            <w:proofErr w:type="spellStart"/>
            <w:r w:rsidRPr="00087F50">
              <w:t>traucējumi</w:t>
            </w:r>
            <w:proofErr w:type="spellEnd"/>
            <w:r w:rsidRPr="00087F50">
              <w:t xml:space="preserve"> </w:t>
            </w:r>
          </w:p>
        </w:tc>
        <w:tc>
          <w:tcPr>
            <w:tcW w:w="6094" w:type="dxa"/>
            <w:tcBorders>
              <w:top w:val="single" w:sz="4" w:space="0" w:color="000000"/>
              <w:left w:val="single" w:sz="4" w:space="0" w:color="000000"/>
              <w:bottom w:val="single" w:sz="4" w:space="0" w:color="000000"/>
              <w:right w:val="single" w:sz="4" w:space="0" w:color="000000"/>
            </w:tcBorders>
          </w:tcPr>
          <w:p w14:paraId="0E16549A" w14:textId="77777777" w:rsidR="00A77DDF" w:rsidRPr="00087F50" w:rsidRDefault="00A77DDF" w:rsidP="00A77DDF">
            <w:pPr>
              <w:spacing w:after="0" w:line="259" w:lineRule="auto"/>
              <w:ind w:left="0" w:firstLine="0"/>
            </w:pPr>
            <w:proofErr w:type="spellStart"/>
            <w:r w:rsidRPr="00087F50">
              <w:rPr>
                <w:u w:val="single" w:color="000000"/>
              </w:rPr>
              <w:t>Retāk</w:t>
            </w:r>
            <w:proofErr w:type="spellEnd"/>
            <w:r w:rsidRPr="00087F50">
              <w:t xml:space="preserve"> </w:t>
            </w:r>
          </w:p>
          <w:p w14:paraId="09B84355" w14:textId="5FDD04AD" w:rsidR="00A77DDF" w:rsidRPr="00087F50" w:rsidRDefault="00A77DDF" w:rsidP="00A77DDF">
            <w:pPr>
              <w:spacing w:after="0" w:line="259" w:lineRule="auto"/>
              <w:ind w:left="0" w:firstLine="0"/>
            </w:pPr>
            <w:proofErr w:type="spellStart"/>
            <w:r w:rsidRPr="00087F50">
              <w:t>Tiroīdstimulējošā</w:t>
            </w:r>
            <w:proofErr w:type="spellEnd"/>
            <w:r w:rsidRPr="00087F50">
              <w:t xml:space="preserve"> hormona </w:t>
            </w:r>
            <w:proofErr w:type="spellStart"/>
            <w:r w:rsidRPr="00087F50">
              <w:t>līmeņa</w:t>
            </w:r>
            <w:proofErr w:type="spellEnd"/>
            <w:r w:rsidRPr="00087F50">
              <w:t xml:space="preserve"> </w:t>
            </w:r>
            <w:proofErr w:type="spellStart"/>
            <w:r w:rsidRPr="00087F50">
              <w:t>paaugstināšanās</w:t>
            </w:r>
            <w:proofErr w:type="spellEnd"/>
            <w:r w:rsidRPr="00087F50">
              <w:t xml:space="preserve"> </w:t>
            </w:r>
            <w:proofErr w:type="spellStart"/>
            <w:r w:rsidRPr="00087F50">
              <w:t>asinīs</w:t>
            </w:r>
            <w:proofErr w:type="spellEnd"/>
            <w:r w:rsidR="00581E40">
              <w:t xml:space="preserve">, </w:t>
            </w:r>
            <w:proofErr w:type="spellStart"/>
            <w:r w:rsidR="00581E40">
              <w:t>hipotireoze</w:t>
            </w:r>
            <w:proofErr w:type="spellEnd"/>
            <w:r w:rsidR="00581E40" w:rsidRPr="00BE670A">
              <w:rPr>
                <w:rFonts w:hint="eastAsia"/>
                <w:vertAlign w:val="superscript"/>
                <w:lang w:val="en-GB"/>
              </w:rPr>
              <w:t>♯</w:t>
            </w:r>
            <w:r w:rsidRPr="00087F50">
              <w:t xml:space="preserve"> </w:t>
            </w:r>
          </w:p>
        </w:tc>
      </w:tr>
      <w:tr w:rsidR="00A77DDF" w:rsidRPr="00087F50" w14:paraId="46E747FC" w14:textId="77777777" w:rsidTr="00A77DDF">
        <w:trPr>
          <w:trHeight w:val="516"/>
        </w:trPr>
        <w:tc>
          <w:tcPr>
            <w:tcW w:w="3228" w:type="dxa"/>
            <w:tcBorders>
              <w:top w:val="single" w:sz="4" w:space="0" w:color="000000"/>
              <w:left w:val="single" w:sz="4" w:space="0" w:color="000000"/>
              <w:bottom w:val="single" w:sz="4" w:space="0" w:color="000000"/>
              <w:right w:val="single" w:sz="4" w:space="0" w:color="000000"/>
            </w:tcBorders>
          </w:tcPr>
          <w:p w14:paraId="6315D47A" w14:textId="77777777" w:rsidR="00A77DDF" w:rsidRPr="00087F50" w:rsidRDefault="00A77DDF" w:rsidP="00A77DDF">
            <w:pPr>
              <w:spacing w:after="0" w:line="259" w:lineRule="auto"/>
              <w:ind w:left="2" w:firstLine="0"/>
            </w:pPr>
            <w:r w:rsidRPr="00087F50">
              <w:t xml:space="preserve">Acu </w:t>
            </w:r>
            <w:proofErr w:type="spellStart"/>
            <w:r w:rsidRPr="00087F50">
              <w:t>bojājumi</w:t>
            </w:r>
            <w:proofErr w:type="spellEnd"/>
            <w:r w:rsidRPr="00087F50">
              <w:t xml:space="preserve"> </w:t>
            </w:r>
          </w:p>
        </w:tc>
        <w:tc>
          <w:tcPr>
            <w:tcW w:w="6094" w:type="dxa"/>
            <w:tcBorders>
              <w:top w:val="single" w:sz="4" w:space="0" w:color="000000"/>
              <w:left w:val="single" w:sz="4" w:space="0" w:color="000000"/>
              <w:bottom w:val="single" w:sz="4" w:space="0" w:color="000000"/>
              <w:right w:val="single" w:sz="4" w:space="0" w:color="000000"/>
            </w:tcBorders>
          </w:tcPr>
          <w:p w14:paraId="57853EE2" w14:textId="672CECA9" w:rsidR="00A77DDF" w:rsidRPr="00087F50" w:rsidRDefault="00A77DDF" w:rsidP="00A77DDF">
            <w:pPr>
              <w:spacing w:after="0" w:line="259" w:lineRule="auto"/>
              <w:ind w:left="0" w:firstLine="0"/>
            </w:pPr>
            <w:proofErr w:type="spellStart"/>
            <w:r w:rsidRPr="00087F50">
              <w:rPr>
                <w:u w:val="single" w:color="000000"/>
              </w:rPr>
              <w:t>Ret</w:t>
            </w:r>
            <w:r w:rsidR="00D37579">
              <w:rPr>
                <w:u w:val="single" w:color="000000"/>
              </w:rPr>
              <w:t>āk</w:t>
            </w:r>
            <w:proofErr w:type="spellEnd"/>
            <w:r w:rsidRPr="00087F50">
              <w:t xml:space="preserve"> </w:t>
            </w:r>
          </w:p>
          <w:p w14:paraId="26110910" w14:textId="77777777" w:rsidR="00D37579" w:rsidRDefault="00A77DDF" w:rsidP="00A77DDF">
            <w:pPr>
              <w:spacing w:after="0" w:line="259" w:lineRule="auto"/>
              <w:ind w:left="0" w:firstLine="0"/>
            </w:pPr>
            <w:proofErr w:type="spellStart"/>
            <w:r w:rsidRPr="00087F50">
              <w:t>Neskaidra</w:t>
            </w:r>
            <w:proofErr w:type="spellEnd"/>
            <w:r w:rsidRPr="00087F50">
              <w:t xml:space="preserve"> </w:t>
            </w:r>
            <w:proofErr w:type="spellStart"/>
            <w:r w:rsidRPr="00087F50">
              <w:t>redze</w:t>
            </w:r>
            <w:proofErr w:type="spellEnd"/>
          </w:p>
          <w:p w14:paraId="59CF521A" w14:textId="77777777" w:rsidR="00D37579" w:rsidRDefault="00D37579" w:rsidP="00A77DDF">
            <w:pPr>
              <w:spacing w:after="0" w:line="259" w:lineRule="auto"/>
              <w:ind w:left="0" w:firstLine="0"/>
              <w:rPr>
                <w:u w:val="single"/>
              </w:rPr>
            </w:pPr>
            <w:proofErr w:type="spellStart"/>
            <w:r>
              <w:rPr>
                <w:u w:val="single"/>
              </w:rPr>
              <w:t>Reti</w:t>
            </w:r>
            <w:proofErr w:type="spellEnd"/>
          </w:p>
          <w:p w14:paraId="2DCA59E4" w14:textId="09F82306" w:rsidR="00A77DDF" w:rsidRPr="00087F50" w:rsidRDefault="00D37579" w:rsidP="00A77DDF">
            <w:pPr>
              <w:spacing w:after="0" w:line="259" w:lineRule="auto"/>
              <w:ind w:left="0" w:firstLine="0"/>
            </w:pPr>
            <w:proofErr w:type="spellStart"/>
            <w:r>
              <w:t>Tīklenes</w:t>
            </w:r>
            <w:proofErr w:type="spellEnd"/>
            <w:r>
              <w:t xml:space="preserve"> </w:t>
            </w:r>
            <w:proofErr w:type="spellStart"/>
            <w:r>
              <w:t>artērijas</w:t>
            </w:r>
            <w:proofErr w:type="spellEnd"/>
            <w:r>
              <w:t xml:space="preserve"> </w:t>
            </w:r>
            <w:proofErr w:type="spellStart"/>
            <w:r>
              <w:t>aizsprostojums</w:t>
            </w:r>
            <w:proofErr w:type="spellEnd"/>
            <w:r w:rsidRPr="00BE670A">
              <w:rPr>
                <w:rFonts w:hint="eastAsia"/>
                <w:vertAlign w:val="superscript"/>
                <w:lang w:val="en-GB"/>
              </w:rPr>
              <w:t>♯</w:t>
            </w:r>
            <w:r w:rsidR="00A77DDF" w:rsidRPr="00087F50">
              <w:t xml:space="preserve"> </w:t>
            </w:r>
          </w:p>
        </w:tc>
      </w:tr>
      <w:tr w:rsidR="00A77DDF" w:rsidRPr="00087F50" w14:paraId="15A2E395" w14:textId="77777777" w:rsidTr="00A77DDF">
        <w:trPr>
          <w:trHeight w:val="1781"/>
        </w:trPr>
        <w:tc>
          <w:tcPr>
            <w:tcW w:w="3228" w:type="dxa"/>
            <w:tcBorders>
              <w:top w:val="single" w:sz="4" w:space="0" w:color="000000"/>
              <w:left w:val="single" w:sz="4" w:space="0" w:color="000000"/>
              <w:bottom w:val="single" w:sz="4" w:space="0" w:color="000000"/>
              <w:right w:val="single" w:sz="4" w:space="0" w:color="000000"/>
            </w:tcBorders>
          </w:tcPr>
          <w:p w14:paraId="31C16551" w14:textId="77777777" w:rsidR="00A77DDF" w:rsidRPr="00087F50" w:rsidRDefault="00A77DDF" w:rsidP="00A77DDF">
            <w:pPr>
              <w:spacing w:after="0" w:line="259" w:lineRule="auto"/>
              <w:ind w:left="2" w:firstLine="0"/>
            </w:pPr>
            <w:proofErr w:type="spellStart"/>
            <w:r w:rsidRPr="00087F50">
              <w:t>Vielmaiņas</w:t>
            </w:r>
            <w:proofErr w:type="spellEnd"/>
            <w:r w:rsidRPr="00087F50">
              <w:t xml:space="preserve"> un </w:t>
            </w:r>
            <w:proofErr w:type="spellStart"/>
            <w:r w:rsidRPr="00087F50">
              <w:t>uztures</w:t>
            </w:r>
            <w:proofErr w:type="spellEnd"/>
            <w:r w:rsidRPr="00087F50">
              <w:t xml:space="preserve"> </w:t>
            </w:r>
            <w:proofErr w:type="spellStart"/>
            <w:r w:rsidRPr="00087F50">
              <w:t>traucējumi</w:t>
            </w:r>
            <w:proofErr w:type="spellEnd"/>
            <w:r w:rsidRPr="00087F50">
              <w:t xml:space="preserve"> </w:t>
            </w:r>
          </w:p>
        </w:tc>
        <w:tc>
          <w:tcPr>
            <w:tcW w:w="6094" w:type="dxa"/>
            <w:tcBorders>
              <w:top w:val="single" w:sz="4" w:space="0" w:color="000000"/>
              <w:left w:val="single" w:sz="4" w:space="0" w:color="000000"/>
              <w:bottom w:val="single" w:sz="4" w:space="0" w:color="000000"/>
              <w:right w:val="single" w:sz="4" w:space="0" w:color="000000"/>
            </w:tcBorders>
          </w:tcPr>
          <w:p w14:paraId="635894F0" w14:textId="77777777" w:rsidR="00A77DDF" w:rsidRPr="00087F50" w:rsidRDefault="00A77DDF" w:rsidP="00A77DDF">
            <w:pPr>
              <w:spacing w:after="0" w:line="259" w:lineRule="auto"/>
              <w:ind w:left="0" w:firstLine="0"/>
            </w:pPr>
            <w:proofErr w:type="spellStart"/>
            <w:r w:rsidRPr="00087F50">
              <w:rPr>
                <w:u w:val="single" w:color="000000"/>
              </w:rPr>
              <w:t>Bieži</w:t>
            </w:r>
            <w:proofErr w:type="spellEnd"/>
            <w:r w:rsidRPr="00087F50">
              <w:t xml:space="preserve">*** </w:t>
            </w:r>
          </w:p>
          <w:p w14:paraId="5856A416" w14:textId="53315308" w:rsidR="00A77DDF" w:rsidRPr="00087F50" w:rsidRDefault="00A77DDF" w:rsidP="00A77DDF">
            <w:pPr>
              <w:spacing w:after="0" w:line="259" w:lineRule="auto"/>
              <w:ind w:left="0" w:firstLine="0"/>
            </w:pPr>
            <w:r w:rsidRPr="00087F50">
              <w:t xml:space="preserve">Podagras </w:t>
            </w:r>
            <w:proofErr w:type="spellStart"/>
            <w:r w:rsidR="00BB5496" w:rsidRPr="00087F50">
              <w:t>paasinājumi</w:t>
            </w:r>
            <w:proofErr w:type="spellEnd"/>
          </w:p>
          <w:p w14:paraId="0EE1C539" w14:textId="77777777" w:rsidR="00A77DDF" w:rsidRPr="00087F50" w:rsidRDefault="00A77DDF" w:rsidP="00A77DDF">
            <w:pPr>
              <w:spacing w:after="0" w:line="259" w:lineRule="auto"/>
              <w:ind w:left="0" w:firstLine="0"/>
            </w:pPr>
            <w:proofErr w:type="spellStart"/>
            <w:r w:rsidRPr="00087F50">
              <w:rPr>
                <w:u w:val="single" w:color="000000"/>
              </w:rPr>
              <w:t>Retāk</w:t>
            </w:r>
            <w:proofErr w:type="spellEnd"/>
            <w:r w:rsidRPr="00087F50">
              <w:t xml:space="preserve"> </w:t>
            </w:r>
          </w:p>
          <w:p w14:paraId="6157C112" w14:textId="77777777" w:rsidR="00BB5496" w:rsidRPr="00087F50" w:rsidRDefault="00A77DDF" w:rsidP="00A77DDF">
            <w:pPr>
              <w:spacing w:after="1" w:line="237" w:lineRule="auto"/>
              <w:ind w:left="0" w:right="419" w:firstLine="0"/>
            </w:pPr>
            <w:proofErr w:type="spellStart"/>
            <w:r w:rsidRPr="00087F50">
              <w:t>Cukura</w:t>
            </w:r>
            <w:proofErr w:type="spellEnd"/>
            <w:r w:rsidRPr="00087F50">
              <w:t xml:space="preserve"> </w:t>
            </w:r>
            <w:proofErr w:type="spellStart"/>
            <w:r w:rsidRPr="00087F50">
              <w:t>diabēts</w:t>
            </w:r>
            <w:proofErr w:type="spellEnd"/>
            <w:r w:rsidRPr="00087F50">
              <w:t xml:space="preserve">, </w:t>
            </w:r>
            <w:proofErr w:type="spellStart"/>
            <w:r w:rsidRPr="00087F50">
              <w:t>hiperlipidēmija</w:t>
            </w:r>
            <w:proofErr w:type="spellEnd"/>
            <w:r w:rsidRPr="00087F50">
              <w:t xml:space="preserve">, </w:t>
            </w:r>
            <w:proofErr w:type="spellStart"/>
            <w:r w:rsidRPr="00087F50">
              <w:t>samazināta</w:t>
            </w:r>
            <w:proofErr w:type="spellEnd"/>
            <w:r w:rsidRPr="00087F50">
              <w:t xml:space="preserve"> </w:t>
            </w:r>
            <w:proofErr w:type="spellStart"/>
            <w:r w:rsidRPr="00087F50">
              <w:t>ēstgriba</w:t>
            </w:r>
            <w:proofErr w:type="spellEnd"/>
            <w:r w:rsidRPr="00087F50">
              <w:t xml:space="preserve">, </w:t>
            </w:r>
            <w:proofErr w:type="spellStart"/>
            <w:r w:rsidRPr="00087F50">
              <w:t>ķermeņa</w:t>
            </w:r>
            <w:proofErr w:type="spellEnd"/>
            <w:r w:rsidRPr="00087F50">
              <w:t xml:space="preserve"> masas </w:t>
            </w:r>
            <w:proofErr w:type="spellStart"/>
            <w:r w:rsidRPr="00087F50">
              <w:t>palielināšanās</w:t>
            </w:r>
            <w:proofErr w:type="spellEnd"/>
            <w:r w:rsidRPr="00087F50">
              <w:t xml:space="preserve">  </w:t>
            </w:r>
          </w:p>
          <w:p w14:paraId="0657DE66" w14:textId="5D3BFCA2" w:rsidR="00A77DDF" w:rsidRPr="00087F50" w:rsidRDefault="00A77DDF" w:rsidP="00A77DDF">
            <w:pPr>
              <w:spacing w:after="1" w:line="237" w:lineRule="auto"/>
              <w:ind w:left="0" w:right="419" w:firstLine="0"/>
            </w:pPr>
            <w:proofErr w:type="spellStart"/>
            <w:r w:rsidRPr="00087F50">
              <w:rPr>
                <w:u w:val="single" w:color="000000"/>
              </w:rPr>
              <w:t>Reti</w:t>
            </w:r>
            <w:proofErr w:type="spellEnd"/>
            <w:r w:rsidRPr="00087F50">
              <w:t xml:space="preserve"> </w:t>
            </w:r>
          </w:p>
          <w:p w14:paraId="73FB957D" w14:textId="77777777" w:rsidR="00A77DDF" w:rsidRPr="00087F50" w:rsidRDefault="00A77DDF" w:rsidP="00A77DDF">
            <w:pPr>
              <w:spacing w:after="0" w:line="259" w:lineRule="auto"/>
              <w:ind w:left="0" w:firstLine="0"/>
            </w:pPr>
            <w:proofErr w:type="spellStart"/>
            <w:r w:rsidRPr="00087F50">
              <w:t>Ķermeņa</w:t>
            </w:r>
            <w:proofErr w:type="spellEnd"/>
            <w:r w:rsidRPr="00087F50">
              <w:t xml:space="preserve"> masas </w:t>
            </w:r>
            <w:proofErr w:type="spellStart"/>
            <w:r w:rsidRPr="00087F50">
              <w:t>samazināšanās</w:t>
            </w:r>
            <w:proofErr w:type="spellEnd"/>
            <w:r w:rsidRPr="00087F50">
              <w:t xml:space="preserve">, </w:t>
            </w:r>
            <w:proofErr w:type="spellStart"/>
            <w:r w:rsidRPr="00087F50">
              <w:t>palielināta</w:t>
            </w:r>
            <w:proofErr w:type="spellEnd"/>
            <w:r w:rsidRPr="00087F50">
              <w:t xml:space="preserve"> </w:t>
            </w:r>
            <w:proofErr w:type="spellStart"/>
            <w:r w:rsidRPr="00087F50">
              <w:t>ēstgriba</w:t>
            </w:r>
            <w:proofErr w:type="spellEnd"/>
            <w:r w:rsidRPr="00087F50">
              <w:t xml:space="preserve">, </w:t>
            </w:r>
            <w:proofErr w:type="spellStart"/>
            <w:r w:rsidRPr="00087F50">
              <w:t>anoreksija</w:t>
            </w:r>
            <w:proofErr w:type="spellEnd"/>
            <w:r w:rsidRPr="00087F50">
              <w:t xml:space="preserve"> </w:t>
            </w:r>
          </w:p>
        </w:tc>
      </w:tr>
      <w:tr w:rsidR="00A77DDF" w:rsidRPr="00087F50" w14:paraId="0C14F1F2" w14:textId="77777777" w:rsidTr="00A77DDF">
        <w:trPr>
          <w:trHeight w:val="1022"/>
        </w:trPr>
        <w:tc>
          <w:tcPr>
            <w:tcW w:w="3228" w:type="dxa"/>
            <w:tcBorders>
              <w:top w:val="single" w:sz="4" w:space="0" w:color="000000"/>
              <w:left w:val="single" w:sz="4" w:space="0" w:color="000000"/>
              <w:bottom w:val="single" w:sz="4" w:space="0" w:color="000000"/>
              <w:right w:val="single" w:sz="4" w:space="0" w:color="000000"/>
            </w:tcBorders>
          </w:tcPr>
          <w:p w14:paraId="250198AF" w14:textId="77777777" w:rsidR="00A77DDF" w:rsidRPr="00087F50" w:rsidRDefault="00A77DDF" w:rsidP="00A77DDF">
            <w:pPr>
              <w:spacing w:after="0" w:line="259" w:lineRule="auto"/>
              <w:ind w:left="2" w:firstLine="0"/>
            </w:pPr>
            <w:proofErr w:type="spellStart"/>
            <w:r w:rsidRPr="00087F50">
              <w:t>Psihiskie</w:t>
            </w:r>
            <w:proofErr w:type="spellEnd"/>
            <w:r w:rsidRPr="00087F50">
              <w:t xml:space="preserve"> </w:t>
            </w:r>
            <w:proofErr w:type="spellStart"/>
            <w:r w:rsidRPr="00087F50">
              <w:t>traucējumi</w:t>
            </w:r>
            <w:proofErr w:type="spellEnd"/>
            <w:r w:rsidRPr="00087F50">
              <w:t xml:space="preserve">  </w:t>
            </w:r>
          </w:p>
        </w:tc>
        <w:tc>
          <w:tcPr>
            <w:tcW w:w="6094" w:type="dxa"/>
            <w:tcBorders>
              <w:top w:val="single" w:sz="4" w:space="0" w:color="000000"/>
              <w:left w:val="single" w:sz="4" w:space="0" w:color="000000"/>
              <w:bottom w:val="single" w:sz="4" w:space="0" w:color="000000"/>
              <w:right w:val="single" w:sz="4" w:space="0" w:color="000000"/>
            </w:tcBorders>
          </w:tcPr>
          <w:p w14:paraId="494B24FA" w14:textId="77777777" w:rsidR="00A77DDF" w:rsidRPr="00087F50" w:rsidRDefault="00A77DDF" w:rsidP="00A77DDF">
            <w:pPr>
              <w:spacing w:after="0" w:line="259" w:lineRule="auto"/>
              <w:ind w:left="0" w:firstLine="0"/>
            </w:pPr>
            <w:proofErr w:type="spellStart"/>
            <w:r w:rsidRPr="00087F50">
              <w:rPr>
                <w:u w:val="single" w:color="000000"/>
              </w:rPr>
              <w:t>Retāk</w:t>
            </w:r>
            <w:proofErr w:type="spellEnd"/>
            <w:r w:rsidRPr="00087F50">
              <w:t xml:space="preserve"> </w:t>
            </w:r>
          </w:p>
          <w:p w14:paraId="62D65586" w14:textId="77777777" w:rsidR="00A77DDF" w:rsidRPr="00087F50" w:rsidRDefault="00A77DDF" w:rsidP="00A77DDF">
            <w:pPr>
              <w:spacing w:after="0" w:line="259" w:lineRule="auto"/>
              <w:ind w:left="0" w:firstLine="0"/>
            </w:pPr>
            <w:proofErr w:type="spellStart"/>
            <w:r w:rsidRPr="00087F50">
              <w:t>Samazināta</w:t>
            </w:r>
            <w:proofErr w:type="spellEnd"/>
            <w:r w:rsidRPr="00087F50">
              <w:t xml:space="preserve"> </w:t>
            </w:r>
            <w:proofErr w:type="spellStart"/>
            <w:r w:rsidRPr="00087F50">
              <w:t>dzimumtieksme</w:t>
            </w:r>
            <w:proofErr w:type="spellEnd"/>
            <w:r w:rsidRPr="00087F50">
              <w:t xml:space="preserve">, </w:t>
            </w:r>
            <w:proofErr w:type="spellStart"/>
            <w:r w:rsidRPr="00087F50">
              <w:t>bezmiegs</w:t>
            </w:r>
            <w:proofErr w:type="spellEnd"/>
            <w:r w:rsidRPr="00087F50">
              <w:t xml:space="preserve"> </w:t>
            </w:r>
          </w:p>
          <w:p w14:paraId="539BD330" w14:textId="77777777" w:rsidR="00A77DDF" w:rsidRPr="00087F50" w:rsidRDefault="00A77DDF" w:rsidP="00A77DDF">
            <w:pPr>
              <w:spacing w:after="0" w:line="259" w:lineRule="auto"/>
              <w:ind w:left="0" w:firstLine="0"/>
            </w:pPr>
            <w:proofErr w:type="spellStart"/>
            <w:r w:rsidRPr="00087F50">
              <w:rPr>
                <w:u w:val="single" w:color="000000"/>
              </w:rPr>
              <w:t>Reti</w:t>
            </w:r>
            <w:proofErr w:type="spellEnd"/>
            <w:r w:rsidRPr="00087F50">
              <w:t xml:space="preserve"> </w:t>
            </w:r>
          </w:p>
          <w:p w14:paraId="1C01CCA7" w14:textId="596FB0FA" w:rsidR="00A77DDF" w:rsidRPr="00087F50" w:rsidRDefault="00A77DDF" w:rsidP="00A77DDF">
            <w:pPr>
              <w:spacing w:after="0" w:line="259" w:lineRule="auto"/>
              <w:ind w:left="0" w:firstLine="0"/>
            </w:pPr>
            <w:proofErr w:type="spellStart"/>
            <w:r w:rsidRPr="00087F50">
              <w:t>Nervozitāte</w:t>
            </w:r>
            <w:proofErr w:type="spellEnd"/>
            <w:r w:rsidR="00B81E71">
              <w:t xml:space="preserve">, </w:t>
            </w:r>
            <w:proofErr w:type="spellStart"/>
            <w:r w:rsidR="00B81E71">
              <w:t>nomākts</w:t>
            </w:r>
            <w:proofErr w:type="spellEnd"/>
            <w:r w:rsidR="00B81E71">
              <w:t xml:space="preserve"> </w:t>
            </w:r>
            <w:proofErr w:type="spellStart"/>
            <w:r w:rsidR="00B81E71">
              <w:t>garastāvoklis</w:t>
            </w:r>
            <w:proofErr w:type="spellEnd"/>
            <w:r w:rsidR="00B81E71" w:rsidRPr="00BE670A">
              <w:rPr>
                <w:rFonts w:hint="eastAsia"/>
                <w:vertAlign w:val="superscript"/>
                <w:lang w:val="en-GB"/>
              </w:rPr>
              <w:t>♯</w:t>
            </w:r>
            <w:r w:rsidR="00B81E71">
              <w:t xml:space="preserve">, </w:t>
            </w:r>
            <w:proofErr w:type="spellStart"/>
            <w:r w:rsidR="00B81E71">
              <w:t>miega</w:t>
            </w:r>
            <w:proofErr w:type="spellEnd"/>
            <w:r w:rsidR="00B81E71">
              <w:t xml:space="preserve"> </w:t>
            </w:r>
            <w:proofErr w:type="spellStart"/>
            <w:r w:rsidR="00B81E71">
              <w:t>traucējumi</w:t>
            </w:r>
            <w:proofErr w:type="spellEnd"/>
            <w:r w:rsidR="00B81E71" w:rsidRPr="00BE670A">
              <w:rPr>
                <w:rFonts w:hint="eastAsia"/>
                <w:vertAlign w:val="superscript"/>
                <w:lang w:val="en-GB"/>
              </w:rPr>
              <w:t>♯</w:t>
            </w:r>
            <w:r w:rsidRPr="00087F50">
              <w:t xml:space="preserve"> </w:t>
            </w:r>
          </w:p>
        </w:tc>
      </w:tr>
      <w:tr w:rsidR="00A77DDF" w:rsidRPr="00087F50" w14:paraId="6797F375" w14:textId="77777777" w:rsidTr="00A77DDF">
        <w:trPr>
          <w:trHeight w:val="1274"/>
        </w:trPr>
        <w:tc>
          <w:tcPr>
            <w:tcW w:w="3228" w:type="dxa"/>
            <w:tcBorders>
              <w:top w:val="single" w:sz="4" w:space="0" w:color="000000"/>
              <w:left w:val="single" w:sz="4" w:space="0" w:color="000000"/>
              <w:bottom w:val="single" w:sz="4" w:space="0" w:color="000000"/>
              <w:right w:val="single" w:sz="4" w:space="0" w:color="000000"/>
            </w:tcBorders>
          </w:tcPr>
          <w:p w14:paraId="1A928B23" w14:textId="77777777" w:rsidR="00A77DDF" w:rsidRPr="00087F50" w:rsidRDefault="00A77DDF" w:rsidP="00A77DDF">
            <w:pPr>
              <w:spacing w:after="0" w:line="259" w:lineRule="auto"/>
              <w:ind w:left="2" w:firstLine="0"/>
            </w:pPr>
            <w:proofErr w:type="spellStart"/>
            <w:r w:rsidRPr="00087F50">
              <w:t>Nervu</w:t>
            </w:r>
            <w:proofErr w:type="spellEnd"/>
            <w:r w:rsidRPr="00087F50">
              <w:t xml:space="preserve"> </w:t>
            </w:r>
            <w:proofErr w:type="spellStart"/>
            <w:r w:rsidRPr="00087F50">
              <w:t>sistēmas</w:t>
            </w:r>
            <w:proofErr w:type="spellEnd"/>
            <w:r w:rsidRPr="00087F50">
              <w:t xml:space="preserve"> </w:t>
            </w:r>
            <w:proofErr w:type="spellStart"/>
            <w:r w:rsidRPr="00087F50">
              <w:t>traucējumi</w:t>
            </w:r>
            <w:proofErr w:type="spellEnd"/>
            <w:r w:rsidRPr="00087F50">
              <w:t xml:space="preserve"> </w:t>
            </w:r>
          </w:p>
        </w:tc>
        <w:tc>
          <w:tcPr>
            <w:tcW w:w="6094" w:type="dxa"/>
            <w:tcBorders>
              <w:top w:val="single" w:sz="4" w:space="0" w:color="000000"/>
              <w:left w:val="single" w:sz="4" w:space="0" w:color="000000"/>
              <w:bottom w:val="single" w:sz="4" w:space="0" w:color="000000"/>
              <w:right w:val="single" w:sz="4" w:space="0" w:color="000000"/>
            </w:tcBorders>
          </w:tcPr>
          <w:p w14:paraId="02F0765D" w14:textId="77777777" w:rsidR="00A77DDF" w:rsidRPr="00087F50" w:rsidRDefault="00A77DDF" w:rsidP="00A77DDF">
            <w:pPr>
              <w:spacing w:after="0" w:line="259" w:lineRule="auto"/>
              <w:ind w:left="0" w:firstLine="0"/>
            </w:pPr>
            <w:proofErr w:type="spellStart"/>
            <w:r w:rsidRPr="00087F50">
              <w:rPr>
                <w:u w:val="single" w:color="000000"/>
              </w:rPr>
              <w:t>Bieži</w:t>
            </w:r>
            <w:proofErr w:type="spellEnd"/>
            <w:r w:rsidRPr="00087F50">
              <w:t xml:space="preserve"> </w:t>
            </w:r>
          </w:p>
          <w:p w14:paraId="5DF98D8C" w14:textId="13D4FBA9" w:rsidR="00A77DDF" w:rsidRPr="00087F50" w:rsidRDefault="00A77DDF" w:rsidP="00A77DDF">
            <w:pPr>
              <w:spacing w:after="0" w:line="259" w:lineRule="auto"/>
              <w:ind w:left="0" w:firstLine="0"/>
            </w:pPr>
            <w:proofErr w:type="spellStart"/>
            <w:r w:rsidRPr="00087F50">
              <w:t>Galvassāpes</w:t>
            </w:r>
            <w:proofErr w:type="spellEnd"/>
            <w:r w:rsidR="00B81E71">
              <w:t xml:space="preserve">, </w:t>
            </w:r>
            <w:proofErr w:type="spellStart"/>
            <w:r w:rsidR="00B81E71">
              <w:t>reibonis</w:t>
            </w:r>
            <w:proofErr w:type="spellEnd"/>
            <w:r w:rsidRPr="00087F50">
              <w:rPr>
                <w:b/>
              </w:rPr>
              <w:t xml:space="preserve"> </w:t>
            </w:r>
          </w:p>
          <w:p w14:paraId="49B823CE" w14:textId="77777777" w:rsidR="00A77DDF" w:rsidRPr="00087F50" w:rsidRDefault="00A77DDF" w:rsidP="00A77DDF">
            <w:pPr>
              <w:spacing w:after="0" w:line="259" w:lineRule="auto"/>
              <w:ind w:left="0" w:firstLine="0"/>
            </w:pPr>
            <w:proofErr w:type="spellStart"/>
            <w:r w:rsidRPr="00087F50">
              <w:rPr>
                <w:u w:val="single" w:color="000000"/>
              </w:rPr>
              <w:t>Retāk</w:t>
            </w:r>
            <w:proofErr w:type="spellEnd"/>
            <w:r w:rsidRPr="00087F50">
              <w:t xml:space="preserve"> </w:t>
            </w:r>
          </w:p>
          <w:p w14:paraId="59791C3B" w14:textId="67EEDD3F" w:rsidR="00A77DDF" w:rsidRDefault="00B81E71" w:rsidP="00A77DDF">
            <w:pPr>
              <w:spacing w:after="0" w:line="259" w:lineRule="auto"/>
              <w:ind w:left="0" w:firstLine="0"/>
            </w:pPr>
            <w:proofErr w:type="spellStart"/>
            <w:r>
              <w:t>P</w:t>
            </w:r>
            <w:r w:rsidR="00A77DDF" w:rsidRPr="00087F50">
              <w:t>arestēzija</w:t>
            </w:r>
            <w:proofErr w:type="spellEnd"/>
            <w:r w:rsidR="00A77DDF" w:rsidRPr="00087F50">
              <w:t xml:space="preserve">, </w:t>
            </w:r>
            <w:proofErr w:type="spellStart"/>
            <w:r w:rsidR="00A77DDF" w:rsidRPr="00087F50">
              <w:t>hemiparēze</w:t>
            </w:r>
            <w:proofErr w:type="spellEnd"/>
            <w:r w:rsidR="00A77DDF" w:rsidRPr="00087F50">
              <w:t xml:space="preserve">, </w:t>
            </w:r>
            <w:proofErr w:type="spellStart"/>
            <w:r w:rsidR="00A77DDF" w:rsidRPr="00087F50">
              <w:t>miegainība</w:t>
            </w:r>
            <w:proofErr w:type="spellEnd"/>
            <w:r w:rsidR="00A77DDF" w:rsidRPr="00087F50">
              <w:t xml:space="preserve">, </w:t>
            </w:r>
            <w:proofErr w:type="spellStart"/>
            <w:r w:rsidR="00DA4360">
              <w:t>letarģija</w:t>
            </w:r>
            <w:proofErr w:type="spellEnd"/>
            <w:r w:rsidR="00DA4360" w:rsidRPr="00BE670A">
              <w:rPr>
                <w:rFonts w:hint="eastAsia"/>
                <w:vertAlign w:val="superscript"/>
                <w:lang w:val="en-GB"/>
              </w:rPr>
              <w:t>♯</w:t>
            </w:r>
            <w:r w:rsidR="00DA4360">
              <w:rPr>
                <w:lang w:val="en-GB"/>
              </w:rPr>
              <w:t>,</w:t>
            </w:r>
            <w:r w:rsidR="00DA4360">
              <w:rPr>
                <w:vertAlign w:val="superscript"/>
                <w:lang w:val="en-GB"/>
              </w:rPr>
              <w:t xml:space="preserve"> </w:t>
            </w:r>
            <w:proofErr w:type="spellStart"/>
            <w:r w:rsidR="00A77DDF" w:rsidRPr="00087F50">
              <w:t>garšas</w:t>
            </w:r>
            <w:proofErr w:type="spellEnd"/>
            <w:r w:rsidR="00A77DDF" w:rsidRPr="00087F50">
              <w:t xml:space="preserve"> </w:t>
            </w:r>
            <w:proofErr w:type="spellStart"/>
            <w:r w:rsidR="00A77DDF" w:rsidRPr="00087F50">
              <w:t>sajūtas</w:t>
            </w:r>
            <w:proofErr w:type="spellEnd"/>
            <w:r w:rsidR="00A77DDF" w:rsidRPr="00087F50">
              <w:t xml:space="preserve"> </w:t>
            </w:r>
            <w:proofErr w:type="spellStart"/>
            <w:r w:rsidR="00A77DDF" w:rsidRPr="00087F50">
              <w:t>izmaiņas</w:t>
            </w:r>
            <w:proofErr w:type="spellEnd"/>
            <w:r w:rsidR="00A77DDF" w:rsidRPr="00087F50">
              <w:t xml:space="preserve">, </w:t>
            </w:r>
            <w:proofErr w:type="spellStart"/>
            <w:r w:rsidR="00A77DDF" w:rsidRPr="00087F50">
              <w:t>hipoestēzija</w:t>
            </w:r>
            <w:proofErr w:type="spellEnd"/>
            <w:r w:rsidR="00A77DDF" w:rsidRPr="00087F50">
              <w:t xml:space="preserve">, </w:t>
            </w:r>
            <w:proofErr w:type="spellStart"/>
            <w:r w:rsidR="00A77DDF" w:rsidRPr="00087F50">
              <w:t>hiposmija</w:t>
            </w:r>
            <w:proofErr w:type="spellEnd"/>
            <w:r w:rsidR="00A77DDF" w:rsidRPr="00087F50">
              <w:t xml:space="preserve"> </w:t>
            </w:r>
          </w:p>
          <w:p w14:paraId="6884CADC" w14:textId="77777777" w:rsidR="00DA4360" w:rsidRPr="00B56137" w:rsidRDefault="00DA4360" w:rsidP="00A77DDF">
            <w:pPr>
              <w:spacing w:after="0" w:line="259" w:lineRule="auto"/>
              <w:ind w:left="0" w:firstLine="0"/>
              <w:rPr>
                <w:u w:val="single"/>
              </w:rPr>
            </w:pPr>
            <w:proofErr w:type="spellStart"/>
            <w:r w:rsidRPr="00B56137">
              <w:rPr>
                <w:u w:val="single"/>
              </w:rPr>
              <w:t>Reti</w:t>
            </w:r>
            <w:proofErr w:type="spellEnd"/>
          </w:p>
          <w:p w14:paraId="38426E8D" w14:textId="1DDC3C96" w:rsidR="00DA4360" w:rsidRPr="00087F50" w:rsidRDefault="00594CD0" w:rsidP="00A77DDF">
            <w:pPr>
              <w:spacing w:after="0" w:line="259" w:lineRule="auto"/>
              <w:ind w:left="0" w:firstLine="0"/>
            </w:pPr>
            <w:proofErr w:type="spellStart"/>
            <w:r>
              <w:t>Ageizija</w:t>
            </w:r>
            <w:proofErr w:type="spellEnd"/>
            <w:r w:rsidRPr="00BE670A">
              <w:rPr>
                <w:rFonts w:hint="eastAsia"/>
                <w:vertAlign w:val="superscript"/>
                <w:lang w:val="en-GB"/>
              </w:rPr>
              <w:t>♯</w:t>
            </w:r>
            <w:r>
              <w:t xml:space="preserve">, </w:t>
            </w:r>
            <w:proofErr w:type="spellStart"/>
            <w:r>
              <w:t>dedzinoša</w:t>
            </w:r>
            <w:proofErr w:type="spellEnd"/>
            <w:r>
              <w:t xml:space="preserve"> </w:t>
            </w:r>
            <w:proofErr w:type="spellStart"/>
            <w:r>
              <w:t>sajūta</w:t>
            </w:r>
            <w:proofErr w:type="spellEnd"/>
            <w:r w:rsidRPr="00BE670A">
              <w:rPr>
                <w:rFonts w:hint="eastAsia"/>
                <w:vertAlign w:val="superscript"/>
                <w:lang w:val="en-GB"/>
              </w:rPr>
              <w:t>♯</w:t>
            </w:r>
          </w:p>
        </w:tc>
      </w:tr>
      <w:tr w:rsidR="00A77DDF" w:rsidRPr="00087F50" w14:paraId="53787891" w14:textId="77777777" w:rsidTr="00A77DDF">
        <w:trPr>
          <w:trHeight w:val="516"/>
        </w:trPr>
        <w:tc>
          <w:tcPr>
            <w:tcW w:w="3228" w:type="dxa"/>
            <w:tcBorders>
              <w:top w:val="single" w:sz="4" w:space="0" w:color="000000"/>
              <w:left w:val="single" w:sz="4" w:space="0" w:color="000000"/>
              <w:bottom w:val="single" w:sz="4" w:space="0" w:color="000000"/>
              <w:right w:val="single" w:sz="4" w:space="0" w:color="000000"/>
            </w:tcBorders>
          </w:tcPr>
          <w:p w14:paraId="4B63C058" w14:textId="77777777" w:rsidR="00A77DDF" w:rsidRPr="00087F50" w:rsidRDefault="00A77DDF" w:rsidP="00A77DDF">
            <w:pPr>
              <w:spacing w:after="0" w:line="259" w:lineRule="auto"/>
              <w:ind w:left="2" w:firstLine="0"/>
            </w:pPr>
            <w:proofErr w:type="spellStart"/>
            <w:r w:rsidRPr="00087F50">
              <w:t>Ausu</w:t>
            </w:r>
            <w:proofErr w:type="spellEnd"/>
            <w:r w:rsidRPr="00087F50">
              <w:t xml:space="preserve"> un </w:t>
            </w:r>
            <w:proofErr w:type="spellStart"/>
            <w:r w:rsidRPr="00087F50">
              <w:t>labirinta</w:t>
            </w:r>
            <w:proofErr w:type="spellEnd"/>
            <w:r w:rsidRPr="00087F50">
              <w:t xml:space="preserve"> </w:t>
            </w:r>
            <w:proofErr w:type="spellStart"/>
            <w:r w:rsidRPr="00087F50">
              <w:t>bojājumi</w:t>
            </w:r>
            <w:proofErr w:type="spellEnd"/>
            <w:r w:rsidRPr="00087F50">
              <w:t xml:space="preserve"> </w:t>
            </w:r>
          </w:p>
        </w:tc>
        <w:tc>
          <w:tcPr>
            <w:tcW w:w="6094" w:type="dxa"/>
            <w:tcBorders>
              <w:top w:val="single" w:sz="4" w:space="0" w:color="000000"/>
              <w:left w:val="single" w:sz="4" w:space="0" w:color="000000"/>
              <w:bottom w:val="single" w:sz="4" w:space="0" w:color="000000"/>
              <w:right w:val="single" w:sz="4" w:space="0" w:color="000000"/>
            </w:tcBorders>
          </w:tcPr>
          <w:p w14:paraId="4CD6DEF0" w14:textId="51AA984C" w:rsidR="00A77DDF" w:rsidRPr="00087F50" w:rsidRDefault="00A77DDF" w:rsidP="00A77DDF">
            <w:pPr>
              <w:spacing w:after="0" w:line="259" w:lineRule="auto"/>
              <w:ind w:left="0" w:firstLine="0"/>
            </w:pPr>
            <w:proofErr w:type="spellStart"/>
            <w:r w:rsidRPr="00087F50">
              <w:rPr>
                <w:u w:val="single" w:color="000000"/>
              </w:rPr>
              <w:t>Ret</w:t>
            </w:r>
            <w:r w:rsidR="001F4BEA">
              <w:rPr>
                <w:u w:val="single" w:color="000000"/>
              </w:rPr>
              <w:t>āk</w:t>
            </w:r>
            <w:proofErr w:type="spellEnd"/>
            <w:r w:rsidRPr="00087F50">
              <w:t xml:space="preserve"> </w:t>
            </w:r>
          </w:p>
          <w:p w14:paraId="13A9A585" w14:textId="77777777" w:rsidR="00A77DDF" w:rsidRDefault="00A77DDF" w:rsidP="00A77DDF">
            <w:pPr>
              <w:spacing w:after="0" w:line="259" w:lineRule="auto"/>
              <w:ind w:left="0" w:firstLine="0"/>
            </w:pPr>
            <w:proofErr w:type="spellStart"/>
            <w:r w:rsidRPr="00087F50">
              <w:t>Troksnis</w:t>
            </w:r>
            <w:proofErr w:type="spellEnd"/>
            <w:r w:rsidRPr="00087F50">
              <w:t xml:space="preserve"> </w:t>
            </w:r>
            <w:proofErr w:type="spellStart"/>
            <w:r w:rsidRPr="00087F50">
              <w:t>ausīs</w:t>
            </w:r>
            <w:proofErr w:type="spellEnd"/>
            <w:r w:rsidRPr="00087F50">
              <w:t xml:space="preserve"> </w:t>
            </w:r>
          </w:p>
          <w:p w14:paraId="19D35903" w14:textId="77777777" w:rsidR="001F4BEA" w:rsidRDefault="001F4BEA" w:rsidP="00A77DDF">
            <w:pPr>
              <w:spacing w:after="0" w:line="259" w:lineRule="auto"/>
              <w:ind w:left="0" w:firstLine="0"/>
              <w:rPr>
                <w:u w:val="single"/>
              </w:rPr>
            </w:pPr>
            <w:proofErr w:type="spellStart"/>
            <w:r>
              <w:rPr>
                <w:u w:val="single"/>
              </w:rPr>
              <w:t>Reti</w:t>
            </w:r>
            <w:proofErr w:type="spellEnd"/>
          </w:p>
          <w:p w14:paraId="6A337766" w14:textId="5AD27B24" w:rsidR="001F4BEA" w:rsidRPr="001F4BEA" w:rsidRDefault="001F4BEA" w:rsidP="00A77DDF">
            <w:pPr>
              <w:spacing w:after="0" w:line="259" w:lineRule="auto"/>
              <w:ind w:left="0" w:firstLine="0"/>
            </w:pPr>
            <w:proofErr w:type="spellStart"/>
            <w:r>
              <w:t>Vertigo</w:t>
            </w:r>
            <w:proofErr w:type="spellEnd"/>
            <w:r w:rsidRPr="00BE670A">
              <w:rPr>
                <w:rFonts w:hint="eastAsia"/>
                <w:vertAlign w:val="superscript"/>
                <w:lang w:val="en-GB"/>
              </w:rPr>
              <w:t>♯</w:t>
            </w:r>
          </w:p>
        </w:tc>
      </w:tr>
      <w:tr w:rsidR="00A77DDF" w:rsidRPr="00087F50" w14:paraId="122B9905" w14:textId="77777777" w:rsidTr="00A77DDF">
        <w:trPr>
          <w:trHeight w:val="1022"/>
        </w:trPr>
        <w:tc>
          <w:tcPr>
            <w:tcW w:w="3228" w:type="dxa"/>
            <w:tcBorders>
              <w:top w:val="single" w:sz="4" w:space="0" w:color="000000"/>
              <w:left w:val="single" w:sz="4" w:space="0" w:color="000000"/>
              <w:bottom w:val="single" w:sz="4" w:space="0" w:color="000000"/>
              <w:right w:val="single" w:sz="4" w:space="0" w:color="000000"/>
            </w:tcBorders>
          </w:tcPr>
          <w:p w14:paraId="4FB63DD3" w14:textId="77777777" w:rsidR="00A77DDF" w:rsidRPr="00087F50" w:rsidRDefault="00A77DDF" w:rsidP="00A77DDF">
            <w:pPr>
              <w:spacing w:after="0" w:line="259" w:lineRule="auto"/>
              <w:ind w:left="2" w:firstLine="0"/>
            </w:pPr>
            <w:proofErr w:type="spellStart"/>
            <w:r w:rsidRPr="00087F50">
              <w:t>Sirds</w:t>
            </w:r>
            <w:proofErr w:type="spellEnd"/>
            <w:r w:rsidRPr="00087F50">
              <w:t xml:space="preserve"> </w:t>
            </w:r>
            <w:proofErr w:type="spellStart"/>
            <w:r w:rsidRPr="00087F50">
              <w:t>funkcijas</w:t>
            </w:r>
            <w:proofErr w:type="spellEnd"/>
            <w:r w:rsidRPr="00087F50">
              <w:t xml:space="preserve"> </w:t>
            </w:r>
            <w:proofErr w:type="spellStart"/>
            <w:r w:rsidRPr="00087F50">
              <w:t>traucējumi</w:t>
            </w:r>
            <w:proofErr w:type="spellEnd"/>
            <w:r w:rsidRPr="00087F50">
              <w:t xml:space="preserve"> </w:t>
            </w:r>
          </w:p>
        </w:tc>
        <w:tc>
          <w:tcPr>
            <w:tcW w:w="6094" w:type="dxa"/>
            <w:tcBorders>
              <w:top w:val="single" w:sz="4" w:space="0" w:color="000000"/>
              <w:left w:val="single" w:sz="4" w:space="0" w:color="000000"/>
              <w:bottom w:val="single" w:sz="4" w:space="0" w:color="000000"/>
              <w:right w:val="single" w:sz="4" w:space="0" w:color="000000"/>
            </w:tcBorders>
          </w:tcPr>
          <w:p w14:paraId="1D6E97C1" w14:textId="77777777" w:rsidR="00A77DDF" w:rsidRPr="00087F50" w:rsidRDefault="00A77DDF" w:rsidP="00A77DDF">
            <w:pPr>
              <w:spacing w:after="0" w:line="259" w:lineRule="auto"/>
              <w:ind w:left="0" w:firstLine="0"/>
            </w:pPr>
            <w:proofErr w:type="spellStart"/>
            <w:r w:rsidRPr="00087F50">
              <w:rPr>
                <w:u w:val="single" w:color="000000"/>
              </w:rPr>
              <w:t>Retāk</w:t>
            </w:r>
            <w:proofErr w:type="spellEnd"/>
            <w:r w:rsidRPr="00087F50">
              <w:t xml:space="preserve"> </w:t>
            </w:r>
          </w:p>
          <w:p w14:paraId="2630C8DA" w14:textId="3F9D4167" w:rsidR="00E92490" w:rsidRPr="00087F50" w:rsidRDefault="00A77DDF" w:rsidP="00A77DDF">
            <w:pPr>
              <w:spacing w:after="0" w:line="259" w:lineRule="auto"/>
              <w:ind w:left="0" w:firstLine="0"/>
            </w:pPr>
            <w:proofErr w:type="spellStart"/>
            <w:r w:rsidRPr="00087F50">
              <w:t>Priekškambaru</w:t>
            </w:r>
            <w:proofErr w:type="spellEnd"/>
            <w:r w:rsidRPr="00087F50">
              <w:t xml:space="preserve"> </w:t>
            </w:r>
            <w:proofErr w:type="spellStart"/>
            <w:r w:rsidRPr="00087F50">
              <w:t>mirdzēšana</w:t>
            </w:r>
            <w:proofErr w:type="spellEnd"/>
            <w:r w:rsidRPr="00087F50">
              <w:t xml:space="preserve">, </w:t>
            </w:r>
            <w:proofErr w:type="spellStart"/>
            <w:r w:rsidRPr="00087F50">
              <w:t>sirdsklauves</w:t>
            </w:r>
            <w:proofErr w:type="spellEnd"/>
            <w:r w:rsidRPr="00087F50">
              <w:t xml:space="preserve">, EKG </w:t>
            </w:r>
            <w:proofErr w:type="spellStart"/>
            <w:r w:rsidRPr="00087F50">
              <w:t>novirzes</w:t>
            </w:r>
            <w:proofErr w:type="spellEnd"/>
            <w:r w:rsidRPr="00087F50">
              <w:t xml:space="preserve">, </w:t>
            </w:r>
            <w:proofErr w:type="spellStart"/>
            <w:r w:rsidR="001F4BEA">
              <w:t>aritmija</w:t>
            </w:r>
            <w:proofErr w:type="spellEnd"/>
            <w:r w:rsidR="001F4BEA" w:rsidRPr="00BE670A">
              <w:rPr>
                <w:rFonts w:hint="eastAsia"/>
                <w:vertAlign w:val="superscript"/>
                <w:lang w:val="en-GB"/>
              </w:rPr>
              <w:t>♯</w:t>
            </w:r>
            <w:r w:rsidR="001F4BEA">
              <w:t xml:space="preserve">, </w:t>
            </w:r>
            <w:proofErr w:type="spellStart"/>
            <w:r w:rsidRPr="00087F50">
              <w:t>kreisās</w:t>
            </w:r>
            <w:proofErr w:type="spellEnd"/>
            <w:r w:rsidRPr="00087F50">
              <w:t xml:space="preserve"> </w:t>
            </w:r>
            <w:proofErr w:type="spellStart"/>
            <w:r w:rsidRPr="00087F50">
              <w:t>kājiņas</w:t>
            </w:r>
            <w:proofErr w:type="spellEnd"/>
            <w:r w:rsidRPr="00087F50">
              <w:t xml:space="preserve"> </w:t>
            </w:r>
            <w:proofErr w:type="spellStart"/>
            <w:r w:rsidRPr="00087F50">
              <w:t>zaru</w:t>
            </w:r>
            <w:proofErr w:type="spellEnd"/>
            <w:r w:rsidRPr="00087F50">
              <w:t xml:space="preserve"> </w:t>
            </w:r>
            <w:proofErr w:type="spellStart"/>
            <w:r w:rsidRPr="00087F50">
              <w:t>blokāde</w:t>
            </w:r>
            <w:proofErr w:type="spellEnd"/>
            <w:r w:rsidRPr="00087F50">
              <w:t xml:space="preserve"> (</w:t>
            </w:r>
            <w:proofErr w:type="spellStart"/>
            <w:r w:rsidRPr="00087F50">
              <w:t>skatīt</w:t>
            </w:r>
            <w:proofErr w:type="spellEnd"/>
            <w:r w:rsidRPr="00087F50">
              <w:t xml:space="preserve"> </w:t>
            </w:r>
            <w:proofErr w:type="spellStart"/>
            <w:r w:rsidRPr="00087F50">
              <w:t>sadaļā</w:t>
            </w:r>
            <w:proofErr w:type="spellEnd"/>
            <w:r w:rsidRPr="00087F50">
              <w:t xml:space="preserve"> par </w:t>
            </w:r>
            <w:r w:rsidR="00E92490" w:rsidRPr="00087F50">
              <w:t>TLS</w:t>
            </w:r>
            <w:r w:rsidRPr="00087F50">
              <w:t xml:space="preserve">), </w:t>
            </w:r>
            <w:proofErr w:type="spellStart"/>
            <w:r w:rsidRPr="00087F50">
              <w:t>sinusa</w:t>
            </w:r>
            <w:proofErr w:type="spellEnd"/>
            <w:r w:rsidRPr="00087F50">
              <w:t xml:space="preserve"> </w:t>
            </w:r>
            <w:proofErr w:type="spellStart"/>
            <w:r w:rsidRPr="00087F50">
              <w:t>tahikardija</w:t>
            </w:r>
            <w:proofErr w:type="spellEnd"/>
            <w:r w:rsidRPr="00087F50">
              <w:t xml:space="preserve"> (</w:t>
            </w:r>
            <w:proofErr w:type="spellStart"/>
            <w:r w:rsidRPr="00087F50">
              <w:t>skatīt</w:t>
            </w:r>
            <w:proofErr w:type="spellEnd"/>
            <w:r w:rsidRPr="00087F50">
              <w:t xml:space="preserve"> </w:t>
            </w:r>
            <w:proofErr w:type="spellStart"/>
            <w:r w:rsidRPr="00087F50">
              <w:t>sadaļā</w:t>
            </w:r>
            <w:proofErr w:type="spellEnd"/>
            <w:r w:rsidRPr="00087F50">
              <w:t xml:space="preserve"> par </w:t>
            </w:r>
            <w:r w:rsidR="00E92490" w:rsidRPr="00087F50">
              <w:t>TLS</w:t>
            </w:r>
            <w:r w:rsidRPr="00087F50">
              <w:t>)</w:t>
            </w:r>
          </w:p>
          <w:p w14:paraId="5EC4A1C2" w14:textId="77777777" w:rsidR="00E92490" w:rsidRPr="00087F50" w:rsidRDefault="00E92490" w:rsidP="00A77DDF">
            <w:pPr>
              <w:spacing w:after="0" w:line="259" w:lineRule="auto"/>
              <w:ind w:left="0" w:firstLine="0"/>
              <w:rPr>
                <w:u w:val="single"/>
              </w:rPr>
            </w:pPr>
            <w:proofErr w:type="spellStart"/>
            <w:r w:rsidRPr="00087F50">
              <w:rPr>
                <w:u w:val="single"/>
              </w:rPr>
              <w:t>Reti</w:t>
            </w:r>
            <w:proofErr w:type="spellEnd"/>
          </w:p>
          <w:p w14:paraId="36C08142" w14:textId="278D4FE8" w:rsidR="00A77DDF" w:rsidRPr="00087F50" w:rsidRDefault="00E92490" w:rsidP="00A77DDF">
            <w:pPr>
              <w:spacing w:after="0" w:line="259" w:lineRule="auto"/>
              <w:ind w:left="0" w:firstLine="0"/>
            </w:pPr>
            <w:proofErr w:type="spellStart"/>
            <w:r w:rsidRPr="00087F50">
              <w:rPr>
                <w:u w:val="single"/>
              </w:rPr>
              <w:t>Pēkšņa</w:t>
            </w:r>
            <w:proofErr w:type="spellEnd"/>
            <w:r w:rsidRPr="00087F50">
              <w:rPr>
                <w:u w:val="single"/>
              </w:rPr>
              <w:t xml:space="preserve"> </w:t>
            </w:r>
            <w:proofErr w:type="spellStart"/>
            <w:r w:rsidRPr="00087F50">
              <w:rPr>
                <w:u w:val="single"/>
              </w:rPr>
              <w:t>kardiāla</w:t>
            </w:r>
            <w:proofErr w:type="spellEnd"/>
            <w:r w:rsidRPr="00087F50">
              <w:rPr>
                <w:u w:val="single"/>
              </w:rPr>
              <w:t xml:space="preserve"> nave*</w:t>
            </w:r>
            <w:r w:rsidR="00A77DDF" w:rsidRPr="00087F50">
              <w:t xml:space="preserve"> </w:t>
            </w:r>
          </w:p>
        </w:tc>
      </w:tr>
      <w:tr w:rsidR="00A77DDF" w:rsidRPr="00087F50" w14:paraId="3CC39979" w14:textId="77777777" w:rsidTr="00890F7A">
        <w:trPr>
          <w:trHeight w:val="374"/>
        </w:trPr>
        <w:tc>
          <w:tcPr>
            <w:tcW w:w="3228" w:type="dxa"/>
            <w:tcBorders>
              <w:top w:val="single" w:sz="4" w:space="0" w:color="000000"/>
              <w:left w:val="single" w:sz="4" w:space="0" w:color="000000"/>
              <w:bottom w:val="single" w:sz="4" w:space="0" w:color="000000"/>
              <w:right w:val="single" w:sz="4" w:space="0" w:color="000000"/>
            </w:tcBorders>
          </w:tcPr>
          <w:p w14:paraId="2D9A18B4" w14:textId="77777777" w:rsidR="00A77DDF" w:rsidRPr="00087F50" w:rsidRDefault="00A77DDF" w:rsidP="00A77DDF">
            <w:pPr>
              <w:spacing w:after="0" w:line="259" w:lineRule="auto"/>
              <w:ind w:left="2" w:firstLine="0"/>
            </w:pPr>
            <w:proofErr w:type="spellStart"/>
            <w:r w:rsidRPr="00087F50">
              <w:t>Asinsvadu</w:t>
            </w:r>
            <w:proofErr w:type="spellEnd"/>
            <w:r w:rsidRPr="00087F50">
              <w:t xml:space="preserve"> </w:t>
            </w:r>
            <w:proofErr w:type="spellStart"/>
            <w:r w:rsidRPr="00087F50">
              <w:t>sistēmas</w:t>
            </w:r>
            <w:proofErr w:type="spellEnd"/>
            <w:r w:rsidRPr="00087F50">
              <w:t xml:space="preserve"> </w:t>
            </w:r>
            <w:proofErr w:type="spellStart"/>
            <w:r w:rsidRPr="00087F50">
              <w:t>traucējumi</w:t>
            </w:r>
            <w:proofErr w:type="spellEnd"/>
            <w:r w:rsidRPr="00087F50">
              <w:t xml:space="preserve"> </w:t>
            </w:r>
          </w:p>
        </w:tc>
        <w:tc>
          <w:tcPr>
            <w:tcW w:w="6094" w:type="dxa"/>
            <w:tcBorders>
              <w:top w:val="single" w:sz="4" w:space="0" w:color="000000"/>
              <w:left w:val="single" w:sz="4" w:space="0" w:color="000000"/>
              <w:bottom w:val="single" w:sz="4" w:space="0" w:color="000000"/>
              <w:right w:val="single" w:sz="4" w:space="0" w:color="000000"/>
            </w:tcBorders>
          </w:tcPr>
          <w:p w14:paraId="0BB27A99" w14:textId="77777777" w:rsidR="00A77DDF" w:rsidRPr="00087F50" w:rsidRDefault="00A77DDF" w:rsidP="00A77DDF">
            <w:pPr>
              <w:spacing w:after="0" w:line="259" w:lineRule="auto"/>
              <w:ind w:left="0" w:firstLine="0"/>
            </w:pPr>
            <w:proofErr w:type="spellStart"/>
            <w:r w:rsidRPr="00087F50">
              <w:rPr>
                <w:u w:val="single" w:color="000000"/>
              </w:rPr>
              <w:t>Retāk</w:t>
            </w:r>
            <w:proofErr w:type="spellEnd"/>
            <w:r w:rsidRPr="00087F50">
              <w:t xml:space="preserve"> </w:t>
            </w:r>
          </w:p>
          <w:p w14:paraId="32F5B4A6" w14:textId="77777777" w:rsidR="00A77DDF" w:rsidRDefault="00A77DDF" w:rsidP="00A77DDF">
            <w:pPr>
              <w:spacing w:after="0" w:line="259" w:lineRule="auto"/>
              <w:ind w:left="0" w:firstLine="0"/>
            </w:pPr>
            <w:proofErr w:type="spellStart"/>
            <w:r w:rsidRPr="00087F50">
              <w:t>Hipertensija</w:t>
            </w:r>
            <w:proofErr w:type="spellEnd"/>
            <w:r w:rsidRPr="00087F50">
              <w:t xml:space="preserve">, </w:t>
            </w:r>
            <w:proofErr w:type="spellStart"/>
            <w:r w:rsidRPr="00087F50">
              <w:t>pietvīkums</w:t>
            </w:r>
            <w:proofErr w:type="spellEnd"/>
            <w:r w:rsidRPr="00087F50">
              <w:t xml:space="preserve">, </w:t>
            </w:r>
            <w:proofErr w:type="spellStart"/>
            <w:r w:rsidRPr="00087F50">
              <w:t>karstuma</w:t>
            </w:r>
            <w:proofErr w:type="spellEnd"/>
            <w:r w:rsidRPr="00087F50">
              <w:t xml:space="preserve"> </w:t>
            </w:r>
            <w:proofErr w:type="spellStart"/>
            <w:r w:rsidRPr="00087F50">
              <w:t>viļņi</w:t>
            </w:r>
            <w:proofErr w:type="spellEnd"/>
            <w:r w:rsidRPr="00087F50">
              <w:t xml:space="preserve">, </w:t>
            </w:r>
            <w:proofErr w:type="spellStart"/>
            <w:r w:rsidRPr="00087F50">
              <w:t>hemorāģija</w:t>
            </w:r>
            <w:proofErr w:type="spellEnd"/>
            <w:r w:rsidRPr="00087F50">
              <w:t xml:space="preserve"> (</w:t>
            </w:r>
            <w:proofErr w:type="spellStart"/>
            <w:r w:rsidRPr="00087F50">
              <w:t>skatīt</w:t>
            </w:r>
            <w:proofErr w:type="spellEnd"/>
            <w:r w:rsidRPr="00087F50">
              <w:t xml:space="preserve"> </w:t>
            </w:r>
            <w:proofErr w:type="spellStart"/>
            <w:r w:rsidRPr="00087F50">
              <w:t>sadaļā</w:t>
            </w:r>
            <w:proofErr w:type="spellEnd"/>
            <w:r w:rsidRPr="00087F50">
              <w:t xml:space="preserve"> par </w:t>
            </w:r>
            <w:proofErr w:type="spellStart"/>
            <w:r w:rsidRPr="00087F50">
              <w:t>tumora</w:t>
            </w:r>
            <w:proofErr w:type="spellEnd"/>
            <w:r w:rsidRPr="00087F50">
              <w:t xml:space="preserve"> </w:t>
            </w:r>
            <w:proofErr w:type="spellStart"/>
            <w:r w:rsidRPr="00087F50">
              <w:t>līzes</w:t>
            </w:r>
            <w:proofErr w:type="spellEnd"/>
            <w:r w:rsidRPr="00087F50">
              <w:t xml:space="preserve"> </w:t>
            </w:r>
            <w:proofErr w:type="spellStart"/>
            <w:r w:rsidRPr="00087F50">
              <w:t>sindromu</w:t>
            </w:r>
            <w:proofErr w:type="spellEnd"/>
            <w:r w:rsidRPr="00087F50">
              <w:t xml:space="preserve">) </w:t>
            </w:r>
          </w:p>
          <w:p w14:paraId="4DB5C9E6" w14:textId="77777777" w:rsidR="001F4BEA" w:rsidRDefault="001F4BEA" w:rsidP="00A77DDF">
            <w:pPr>
              <w:spacing w:after="0" w:line="259" w:lineRule="auto"/>
              <w:ind w:left="0" w:firstLine="0"/>
              <w:rPr>
                <w:u w:val="single"/>
              </w:rPr>
            </w:pPr>
            <w:proofErr w:type="spellStart"/>
            <w:r>
              <w:rPr>
                <w:u w:val="single"/>
              </w:rPr>
              <w:lastRenderedPageBreak/>
              <w:t>Reti</w:t>
            </w:r>
            <w:proofErr w:type="spellEnd"/>
          </w:p>
          <w:p w14:paraId="591604D1" w14:textId="25EEED97" w:rsidR="001F4BEA" w:rsidRPr="001F4BEA" w:rsidRDefault="0050071B" w:rsidP="00A77DDF">
            <w:pPr>
              <w:spacing w:after="0" w:line="259" w:lineRule="auto"/>
              <w:ind w:left="0" w:firstLine="0"/>
            </w:pPr>
            <w:proofErr w:type="spellStart"/>
            <w:r>
              <w:t>Cirkulators</w:t>
            </w:r>
            <w:proofErr w:type="spellEnd"/>
            <w:r>
              <w:t xml:space="preserve"> </w:t>
            </w:r>
            <w:proofErr w:type="spellStart"/>
            <w:r>
              <w:t>kolapss</w:t>
            </w:r>
            <w:proofErr w:type="spellEnd"/>
            <w:r w:rsidRPr="00BE670A">
              <w:rPr>
                <w:rFonts w:hint="eastAsia"/>
                <w:vertAlign w:val="superscript"/>
                <w:lang w:val="en-GB"/>
              </w:rPr>
              <w:t>♯</w:t>
            </w:r>
          </w:p>
        </w:tc>
      </w:tr>
      <w:tr w:rsidR="00A77DDF" w:rsidRPr="00087F50" w14:paraId="7F0AEEB7" w14:textId="77777777" w:rsidTr="00A77DDF">
        <w:trPr>
          <w:trHeight w:val="516"/>
        </w:trPr>
        <w:tc>
          <w:tcPr>
            <w:tcW w:w="3228" w:type="dxa"/>
            <w:tcBorders>
              <w:top w:val="single" w:sz="4" w:space="0" w:color="000000"/>
              <w:left w:val="single" w:sz="4" w:space="0" w:color="000000"/>
              <w:bottom w:val="single" w:sz="4" w:space="0" w:color="000000"/>
              <w:right w:val="single" w:sz="4" w:space="0" w:color="000000"/>
            </w:tcBorders>
          </w:tcPr>
          <w:p w14:paraId="36E37EBD" w14:textId="77777777" w:rsidR="00A77DDF" w:rsidRPr="00087F50" w:rsidRDefault="00A77DDF" w:rsidP="00A77DDF">
            <w:pPr>
              <w:spacing w:after="0" w:line="259" w:lineRule="auto"/>
              <w:ind w:left="2" w:firstLine="0"/>
            </w:pPr>
            <w:proofErr w:type="spellStart"/>
            <w:r w:rsidRPr="00087F50">
              <w:lastRenderedPageBreak/>
              <w:t>Elpošanas</w:t>
            </w:r>
            <w:proofErr w:type="spellEnd"/>
            <w:r w:rsidRPr="00087F50">
              <w:t xml:space="preserve"> </w:t>
            </w:r>
            <w:proofErr w:type="spellStart"/>
            <w:r w:rsidRPr="00087F50">
              <w:t>sistēmas</w:t>
            </w:r>
            <w:proofErr w:type="spellEnd"/>
            <w:r w:rsidRPr="00087F50">
              <w:t xml:space="preserve"> </w:t>
            </w:r>
            <w:proofErr w:type="spellStart"/>
            <w:r w:rsidRPr="00087F50">
              <w:t>traucējumi</w:t>
            </w:r>
            <w:proofErr w:type="spellEnd"/>
            <w:r w:rsidRPr="00087F50">
              <w:t xml:space="preserve"> </w:t>
            </w:r>
          </w:p>
        </w:tc>
        <w:tc>
          <w:tcPr>
            <w:tcW w:w="6094" w:type="dxa"/>
            <w:tcBorders>
              <w:top w:val="single" w:sz="4" w:space="0" w:color="000000"/>
              <w:left w:val="single" w:sz="4" w:space="0" w:color="000000"/>
              <w:bottom w:val="single" w:sz="4" w:space="0" w:color="000000"/>
              <w:right w:val="single" w:sz="4" w:space="0" w:color="000000"/>
            </w:tcBorders>
          </w:tcPr>
          <w:p w14:paraId="5081F2F3" w14:textId="0460173F" w:rsidR="00A77DDF" w:rsidRPr="00087F50" w:rsidRDefault="008A3D43" w:rsidP="00A77DDF">
            <w:pPr>
              <w:spacing w:after="0" w:line="259" w:lineRule="auto"/>
              <w:ind w:left="0" w:firstLine="0"/>
            </w:pPr>
            <w:proofErr w:type="spellStart"/>
            <w:r>
              <w:rPr>
                <w:u w:val="single" w:color="000000"/>
              </w:rPr>
              <w:t>Bieži</w:t>
            </w:r>
            <w:proofErr w:type="spellEnd"/>
          </w:p>
          <w:p w14:paraId="0434E173" w14:textId="77777777" w:rsidR="008A3D43" w:rsidRDefault="00A77DDF" w:rsidP="00A77DDF">
            <w:pPr>
              <w:spacing w:after="0" w:line="259" w:lineRule="auto"/>
              <w:ind w:left="0" w:firstLine="0"/>
              <w:rPr>
                <w:u w:val="single" w:color="000000"/>
              </w:rPr>
            </w:pPr>
            <w:proofErr w:type="spellStart"/>
            <w:r w:rsidRPr="00087F50">
              <w:t>Elpas</w:t>
            </w:r>
            <w:proofErr w:type="spellEnd"/>
            <w:r w:rsidRPr="00087F50">
              <w:t xml:space="preserve"> </w:t>
            </w:r>
            <w:proofErr w:type="spellStart"/>
            <w:r w:rsidRPr="00087F50">
              <w:t>trūkums</w:t>
            </w:r>
            <w:proofErr w:type="spellEnd"/>
            <w:r w:rsidR="008A3D43" w:rsidRPr="00087F50">
              <w:rPr>
                <w:u w:val="single" w:color="000000"/>
              </w:rPr>
              <w:t xml:space="preserve"> </w:t>
            </w:r>
          </w:p>
          <w:p w14:paraId="382B8E34" w14:textId="303534BC" w:rsidR="0050071B" w:rsidRDefault="008A3D43" w:rsidP="00A77DDF">
            <w:pPr>
              <w:spacing w:after="0" w:line="259" w:lineRule="auto"/>
              <w:ind w:left="0" w:firstLine="0"/>
            </w:pPr>
            <w:proofErr w:type="spellStart"/>
            <w:r w:rsidRPr="00087F50">
              <w:rPr>
                <w:u w:val="single" w:color="000000"/>
              </w:rPr>
              <w:t>Retāk</w:t>
            </w:r>
            <w:proofErr w:type="spellEnd"/>
          </w:p>
          <w:p w14:paraId="28BC21CB" w14:textId="75688A99" w:rsidR="007C3532" w:rsidRDefault="0050071B" w:rsidP="00A77DDF">
            <w:pPr>
              <w:spacing w:after="0" w:line="259" w:lineRule="auto"/>
              <w:ind w:left="0" w:firstLine="0"/>
              <w:rPr>
                <w:vertAlign w:val="superscript"/>
                <w:lang w:val="en-GB"/>
              </w:rPr>
            </w:pPr>
            <w:proofErr w:type="spellStart"/>
            <w:r>
              <w:t>B</w:t>
            </w:r>
            <w:r w:rsidR="00A77DDF" w:rsidRPr="00087F50">
              <w:t>ronhīts</w:t>
            </w:r>
            <w:proofErr w:type="spellEnd"/>
            <w:r w:rsidR="00A77DDF" w:rsidRPr="00087F50">
              <w:t xml:space="preserve">, </w:t>
            </w:r>
            <w:proofErr w:type="spellStart"/>
            <w:r w:rsidR="00A77DDF" w:rsidRPr="00087F50">
              <w:t>augšējo</w:t>
            </w:r>
            <w:proofErr w:type="spellEnd"/>
            <w:r w:rsidR="00A77DDF" w:rsidRPr="00087F50">
              <w:t xml:space="preserve"> </w:t>
            </w:r>
            <w:proofErr w:type="spellStart"/>
            <w:r w:rsidR="00A77DDF" w:rsidRPr="00087F50">
              <w:t>elpceļu</w:t>
            </w:r>
            <w:proofErr w:type="spellEnd"/>
            <w:r w:rsidR="00A77DDF" w:rsidRPr="00087F50">
              <w:t xml:space="preserve"> </w:t>
            </w:r>
            <w:proofErr w:type="spellStart"/>
            <w:r w:rsidR="00A77DDF" w:rsidRPr="00087F50">
              <w:t>infekcijas</w:t>
            </w:r>
            <w:proofErr w:type="spellEnd"/>
            <w:r w:rsidR="00A77DDF" w:rsidRPr="00087F50">
              <w:t xml:space="preserve">, </w:t>
            </w:r>
            <w:proofErr w:type="spellStart"/>
            <w:r w:rsidR="008A3D43">
              <w:t>dziļo</w:t>
            </w:r>
            <w:proofErr w:type="spellEnd"/>
            <w:r w:rsidR="008A3D43">
              <w:t xml:space="preserve"> </w:t>
            </w:r>
            <w:proofErr w:type="spellStart"/>
            <w:r w:rsidR="008A3D43">
              <w:t>elpceļu</w:t>
            </w:r>
            <w:proofErr w:type="spellEnd"/>
            <w:r w:rsidR="008A3D43">
              <w:t xml:space="preserve"> </w:t>
            </w:r>
            <w:proofErr w:type="spellStart"/>
            <w:r w:rsidR="008A3D43">
              <w:t>infekcija</w:t>
            </w:r>
            <w:r w:rsidR="007C3532">
              <w:t>s</w:t>
            </w:r>
            <w:proofErr w:type="spellEnd"/>
            <w:r w:rsidR="007C3532" w:rsidRPr="00BE670A">
              <w:rPr>
                <w:rFonts w:hint="eastAsia"/>
                <w:vertAlign w:val="superscript"/>
                <w:lang w:val="en-GB"/>
              </w:rPr>
              <w:t>♯</w:t>
            </w:r>
            <w:r w:rsidR="007C3532">
              <w:t xml:space="preserve">, </w:t>
            </w:r>
            <w:proofErr w:type="spellStart"/>
            <w:r w:rsidR="00A77DDF" w:rsidRPr="00087F50">
              <w:t>klepus</w:t>
            </w:r>
            <w:proofErr w:type="spellEnd"/>
            <w:r w:rsidR="007C3532">
              <w:t xml:space="preserve">, </w:t>
            </w:r>
            <w:proofErr w:type="spellStart"/>
            <w:r w:rsidR="007C3532">
              <w:t>rinoreja</w:t>
            </w:r>
            <w:proofErr w:type="spellEnd"/>
            <w:r w:rsidR="007C3532" w:rsidRPr="00BE670A">
              <w:rPr>
                <w:rFonts w:hint="eastAsia"/>
                <w:vertAlign w:val="superscript"/>
                <w:lang w:val="en-GB"/>
              </w:rPr>
              <w:t>♯</w:t>
            </w:r>
          </w:p>
          <w:p w14:paraId="10A46B80" w14:textId="77777777" w:rsidR="007C3532" w:rsidRDefault="007C3532" w:rsidP="00A77DDF">
            <w:pPr>
              <w:spacing w:after="0" w:line="259" w:lineRule="auto"/>
              <w:ind w:left="0" w:firstLine="0"/>
              <w:rPr>
                <w:u w:val="single"/>
              </w:rPr>
            </w:pPr>
            <w:proofErr w:type="spellStart"/>
            <w:r>
              <w:rPr>
                <w:u w:val="single"/>
              </w:rPr>
              <w:t>Reti</w:t>
            </w:r>
            <w:proofErr w:type="spellEnd"/>
          </w:p>
          <w:p w14:paraId="24522966" w14:textId="06EB2773" w:rsidR="00A77DDF" w:rsidRPr="00087F50" w:rsidRDefault="007C3532" w:rsidP="00A77DDF">
            <w:pPr>
              <w:spacing w:after="0" w:line="259" w:lineRule="auto"/>
              <w:ind w:left="0" w:firstLine="0"/>
            </w:pPr>
            <w:proofErr w:type="spellStart"/>
            <w:r>
              <w:t>Pneimonija</w:t>
            </w:r>
            <w:proofErr w:type="spellEnd"/>
            <w:r w:rsidRPr="00BE670A">
              <w:rPr>
                <w:rFonts w:hint="eastAsia"/>
                <w:vertAlign w:val="superscript"/>
                <w:lang w:val="en-GB"/>
              </w:rPr>
              <w:t>♯</w:t>
            </w:r>
            <w:r w:rsidR="00A77DDF" w:rsidRPr="00087F50">
              <w:t xml:space="preserve"> </w:t>
            </w:r>
          </w:p>
        </w:tc>
      </w:tr>
      <w:tr w:rsidR="00A77DDF" w:rsidRPr="00087F50" w14:paraId="59010DD7" w14:textId="77777777" w:rsidTr="00A77DDF">
        <w:trPr>
          <w:trHeight w:val="2035"/>
        </w:trPr>
        <w:tc>
          <w:tcPr>
            <w:tcW w:w="3228" w:type="dxa"/>
            <w:tcBorders>
              <w:top w:val="single" w:sz="4" w:space="0" w:color="000000"/>
              <w:left w:val="single" w:sz="4" w:space="0" w:color="000000"/>
              <w:bottom w:val="single" w:sz="4" w:space="0" w:color="000000"/>
              <w:right w:val="single" w:sz="4" w:space="0" w:color="000000"/>
            </w:tcBorders>
          </w:tcPr>
          <w:p w14:paraId="6174D951" w14:textId="77777777" w:rsidR="00A77DDF" w:rsidRPr="00087F50" w:rsidRDefault="00A77DDF" w:rsidP="00A77DDF">
            <w:pPr>
              <w:spacing w:after="0" w:line="259" w:lineRule="auto"/>
              <w:ind w:left="2" w:firstLine="0"/>
            </w:pPr>
            <w:proofErr w:type="spellStart"/>
            <w:r w:rsidRPr="00087F50">
              <w:t>Kuņģa-zarnu</w:t>
            </w:r>
            <w:proofErr w:type="spellEnd"/>
            <w:r w:rsidRPr="00087F50">
              <w:t xml:space="preserve"> </w:t>
            </w:r>
            <w:proofErr w:type="spellStart"/>
            <w:r w:rsidRPr="00087F50">
              <w:t>trakta</w:t>
            </w:r>
            <w:proofErr w:type="spellEnd"/>
            <w:r w:rsidRPr="00087F50">
              <w:t xml:space="preserve"> </w:t>
            </w:r>
            <w:proofErr w:type="spellStart"/>
            <w:r w:rsidRPr="00087F50">
              <w:t>traucējumi</w:t>
            </w:r>
            <w:proofErr w:type="spellEnd"/>
            <w:r w:rsidRPr="00087F50">
              <w:t xml:space="preserve"> </w:t>
            </w:r>
          </w:p>
        </w:tc>
        <w:tc>
          <w:tcPr>
            <w:tcW w:w="6094" w:type="dxa"/>
            <w:tcBorders>
              <w:top w:val="single" w:sz="4" w:space="0" w:color="000000"/>
              <w:left w:val="single" w:sz="4" w:space="0" w:color="000000"/>
              <w:bottom w:val="single" w:sz="4" w:space="0" w:color="000000"/>
              <w:right w:val="single" w:sz="4" w:space="0" w:color="000000"/>
            </w:tcBorders>
          </w:tcPr>
          <w:p w14:paraId="5AC1D58F" w14:textId="77777777" w:rsidR="00A77DDF" w:rsidRPr="00087F50" w:rsidRDefault="00A77DDF" w:rsidP="00A77DDF">
            <w:pPr>
              <w:spacing w:after="0" w:line="259" w:lineRule="auto"/>
              <w:ind w:left="0" w:firstLine="0"/>
            </w:pPr>
            <w:proofErr w:type="spellStart"/>
            <w:r w:rsidRPr="00087F50">
              <w:rPr>
                <w:u w:val="single" w:color="000000"/>
              </w:rPr>
              <w:t>Bieži</w:t>
            </w:r>
            <w:proofErr w:type="spellEnd"/>
            <w:r w:rsidRPr="00087F50">
              <w:t xml:space="preserve"> </w:t>
            </w:r>
          </w:p>
          <w:p w14:paraId="592AC6AF" w14:textId="77777777" w:rsidR="00A77DDF" w:rsidRPr="00087F50" w:rsidRDefault="00A77DDF" w:rsidP="00A77DDF">
            <w:pPr>
              <w:spacing w:after="0" w:line="259" w:lineRule="auto"/>
              <w:ind w:left="0" w:firstLine="0"/>
            </w:pPr>
            <w:proofErr w:type="spellStart"/>
            <w:r w:rsidRPr="00087F50">
              <w:t>Caureja</w:t>
            </w:r>
            <w:proofErr w:type="spellEnd"/>
            <w:r w:rsidRPr="00087F50">
              <w:t xml:space="preserve">**, </w:t>
            </w:r>
            <w:proofErr w:type="spellStart"/>
            <w:r w:rsidRPr="00087F50">
              <w:t>slikta</w:t>
            </w:r>
            <w:proofErr w:type="spellEnd"/>
            <w:r w:rsidRPr="00087F50">
              <w:t xml:space="preserve"> </w:t>
            </w:r>
            <w:proofErr w:type="spellStart"/>
            <w:r w:rsidRPr="00087F50">
              <w:t>dūša</w:t>
            </w:r>
            <w:proofErr w:type="spellEnd"/>
            <w:r w:rsidRPr="00087F50">
              <w:t xml:space="preserve"> </w:t>
            </w:r>
          </w:p>
          <w:p w14:paraId="59150B74" w14:textId="77777777" w:rsidR="00A77DDF" w:rsidRPr="00087F50" w:rsidRDefault="00A77DDF" w:rsidP="00A77DDF">
            <w:pPr>
              <w:spacing w:after="0" w:line="259" w:lineRule="auto"/>
              <w:ind w:left="0" w:firstLine="0"/>
            </w:pPr>
            <w:proofErr w:type="spellStart"/>
            <w:r w:rsidRPr="00087F50">
              <w:rPr>
                <w:u w:val="single" w:color="000000"/>
              </w:rPr>
              <w:t>Retāk</w:t>
            </w:r>
            <w:proofErr w:type="spellEnd"/>
            <w:r w:rsidRPr="00087F50">
              <w:t xml:space="preserve"> </w:t>
            </w:r>
          </w:p>
          <w:p w14:paraId="4680F668" w14:textId="77777777" w:rsidR="003003A5" w:rsidRDefault="00A77DDF" w:rsidP="00A77DDF">
            <w:pPr>
              <w:spacing w:after="0" w:line="237" w:lineRule="auto"/>
              <w:ind w:left="0" w:right="94" w:firstLine="0"/>
              <w:rPr>
                <w:u w:val="single" w:color="000000"/>
              </w:rPr>
            </w:pPr>
            <w:proofErr w:type="spellStart"/>
            <w:r w:rsidRPr="00087F50">
              <w:t>Sāpes</w:t>
            </w:r>
            <w:proofErr w:type="spellEnd"/>
            <w:r w:rsidRPr="00087F50">
              <w:t xml:space="preserve"> </w:t>
            </w:r>
            <w:proofErr w:type="spellStart"/>
            <w:r w:rsidRPr="00087F50">
              <w:t>vēderā</w:t>
            </w:r>
            <w:proofErr w:type="spellEnd"/>
            <w:r w:rsidRPr="00087F50">
              <w:t xml:space="preserve">, </w:t>
            </w:r>
            <w:proofErr w:type="spellStart"/>
            <w:r w:rsidR="007C3532">
              <w:t>sāpes</w:t>
            </w:r>
            <w:proofErr w:type="spellEnd"/>
            <w:r w:rsidR="007C3532">
              <w:t xml:space="preserve"> </w:t>
            </w:r>
            <w:proofErr w:type="spellStart"/>
            <w:r w:rsidR="007C3532">
              <w:t>vēdera</w:t>
            </w:r>
            <w:proofErr w:type="spellEnd"/>
            <w:r w:rsidR="007C3532">
              <w:t xml:space="preserve"> </w:t>
            </w:r>
            <w:proofErr w:type="spellStart"/>
            <w:r w:rsidR="007C3532">
              <w:t>augšdaļā</w:t>
            </w:r>
            <w:proofErr w:type="spellEnd"/>
            <w:r w:rsidR="007C3532" w:rsidRPr="00BE670A">
              <w:rPr>
                <w:rFonts w:hint="eastAsia"/>
                <w:vertAlign w:val="superscript"/>
                <w:lang w:val="en-GB"/>
              </w:rPr>
              <w:t>♯</w:t>
            </w:r>
            <w:r w:rsidR="007C3532">
              <w:t xml:space="preserve">, </w:t>
            </w:r>
            <w:proofErr w:type="spellStart"/>
            <w:r w:rsidRPr="00087F50">
              <w:t>vēdera</w:t>
            </w:r>
            <w:proofErr w:type="spellEnd"/>
            <w:r w:rsidRPr="00087F50">
              <w:t xml:space="preserve"> </w:t>
            </w:r>
            <w:proofErr w:type="spellStart"/>
            <w:r w:rsidRPr="00087F50">
              <w:t>uzpūšanās</w:t>
            </w:r>
            <w:proofErr w:type="spellEnd"/>
            <w:r w:rsidRPr="00087F50">
              <w:t xml:space="preserve">, </w:t>
            </w:r>
            <w:proofErr w:type="spellStart"/>
            <w:r w:rsidRPr="00087F50">
              <w:t>gastroezofageālā</w:t>
            </w:r>
            <w:proofErr w:type="spellEnd"/>
            <w:r w:rsidRPr="00087F50">
              <w:t xml:space="preserve"> </w:t>
            </w:r>
            <w:proofErr w:type="spellStart"/>
            <w:r w:rsidRPr="00087F50">
              <w:t>atviļņa</w:t>
            </w:r>
            <w:proofErr w:type="spellEnd"/>
            <w:r w:rsidRPr="00087F50">
              <w:t xml:space="preserve"> </w:t>
            </w:r>
            <w:proofErr w:type="spellStart"/>
            <w:r w:rsidRPr="00087F50">
              <w:t>slimība</w:t>
            </w:r>
            <w:proofErr w:type="spellEnd"/>
            <w:r w:rsidRPr="00087F50">
              <w:t xml:space="preserve">, </w:t>
            </w:r>
            <w:proofErr w:type="spellStart"/>
            <w:r w:rsidRPr="00087F50">
              <w:t>vemšana</w:t>
            </w:r>
            <w:proofErr w:type="spellEnd"/>
            <w:r w:rsidRPr="00087F50">
              <w:t xml:space="preserve">, mutes </w:t>
            </w:r>
            <w:proofErr w:type="spellStart"/>
            <w:r w:rsidRPr="00087F50">
              <w:t>sausums</w:t>
            </w:r>
            <w:proofErr w:type="spellEnd"/>
            <w:r w:rsidRPr="00087F50">
              <w:t xml:space="preserve">, </w:t>
            </w:r>
            <w:proofErr w:type="spellStart"/>
            <w:r w:rsidRPr="00087F50">
              <w:t>dispepsija</w:t>
            </w:r>
            <w:proofErr w:type="spellEnd"/>
            <w:r w:rsidRPr="00087F50">
              <w:t xml:space="preserve">, </w:t>
            </w:r>
            <w:proofErr w:type="spellStart"/>
            <w:r w:rsidRPr="00087F50">
              <w:t>aizcietējums</w:t>
            </w:r>
            <w:proofErr w:type="spellEnd"/>
            <w:r w:rsidRPr="00087F50">
              <w:t xml:space="preserve">, </w:t>
            </w:r>
            <w:proofErr w:type="spellStart"/>
            <w:r w:rsidRPr="00087F50">
              <w:t>bieža</w:t>
            </w:r>
            <w:proofErr w:type="spellEnd"/>
            <w:r w:rsidRPr="00087F50">
              <w:t xml:space="preserve"> </w:t>
            </w:r>
            <w:proofErr w:type="spellStart"/>
            <w:r w:rsidRPr="00087F50">
              <w:t>vēdera</w:t>
            </w:r>
            <w:proofErr w:type="spellEnd"/>
            <w:r w:rsidRPr="00087F50">
              <w:t xml:space="preserve"> </w:t>
            </w:r>
            <w:proofErr w:type="spellStart"/>
            <w:r w:rsidRPr="00087F50">
              <w:t>izeja</w:t>
            </w:r>
            <w:proofErr w:type="spellEnd"/>
            <w:r w:rsidRPr="00087F50">
              <w:t xml:space="preserve">, </w:t>
            </w:r>
            <w:proofErr w:type="spellStart"/>
            <w:r w:rsidRPr="00087F50">
              <w:t>meteorisms</w:t>
            </w:r>
            <w:proofErr w:type="spellEnd"/>
            <w:r w:rsidRPr="00087F50">
              <w:t xml:space="preserve">, </w:t>
            </w:r>
            <w:proofErr w:type="spellStart"/>
            <w:r w:rsidRPr="00087F50">
              <w:t>diskomforta</w:t>
            </w:r>
            <w:proofErr w:type="spellEnd"/>
            <w:r w:rsidRPr="00087F50">
              <w:t xml:space="preserve"> </w:t>
            </w:r>
            <w:proofErr w:type="spellStart"/>
            <w:r w:rsidRPr="00087F50">
              <w:t>sajūta</w:t>
            </w:r>
            <w:proofErr w:type="spellEnd"/>
            <w:r w:rsidRPr="00087F50">
              <w:t xml:space="preserve"> </w:t>
            </w:r>
            <w:proofErr w:type="spellStart"/>
            <w:r w:rsidRPr="00087F50">
              <w:t>kuņģī</w:t>
            </w:r>
            <w:proofErr w:type="spellEnd"/>
            <w:r w:rsidRPr="00087F50">
              <w:t xml:space="preserve"> un </w:t>
            </w:r>
            <w:proofErr w:type="spellStart"/>
            <w:r w:rsidRPr="00087F50">
              <w:t>zarnu</w:t>
            </w:r>
            <w:proofErr w:type="spellEnd"/>
            <w:r w:rsidRPr="00087F50">
              <w:t xml:space="preserve"> </w:t>
            </w:r>
            <w:proofErr w:type="spellStart"/>
            <w:r w:rsidRPr="00087F50">
              <w:t>traktā</w:t>
            </w:r>
            <w:proofErr w:type="spellEnd"/>
            <w:r w:rsidR="00E434B9">
              <w:t>,</w:t>
            </w:r>
            <w:r w:rsidRPr="00087F50">
              <w:t xml:space="preserve"> </w:t>
            </w:r>
            <w:proofErr w:type="spellStart"/>
            <w:r w:rsidR="00E434B9" w:rsidRPr="00087F50">
              <w:t>čūlas</w:t>
            </w:r>
            <w:proofErr w:type="spellEnd"/>
            <w:r w:rsidR="00E434B9" w:rsidRPr="00087F50">
              <w:t xml:space="preserve"> mutes </w:t>
            </w:r>
            <w:proofErr w:type="spellStart"/>
            <w:r w:rsidR="00E434B9" w:rsidRPr="00087F50">
              <w:t>dobumā</w:t>
            </w:r>
            <w:proofErr w:type="spellEnd"/>
            <w:r w:rsidR="00E434B9">
              <w:t xml:space="preserve">, </w:t>
            </w:r>
            <w:proofErr w:type="spellStart"/>
            <w:r w:rsidR="00E434B9">
              <w:t>lūpu</w:t>
            </w:r>
            <w:proofErr w:type="spellEnd"/>
            <w:r w:rsidR="00E434B9">
              <w:t xml:space="preserve"> </w:t>
            </w:r>
            <w:proofErr w:type="spellStart"/>
            <w:r w:rsidR="00E434B9">
              <w:t>pietūkums</w:t>
            </w:r>
            <w:proofErr w:type="spellEnd"/>
            <w:r w:rsidR="00E434B9" w:rsidRPr="00BE670A">
              <w:rPr>
                <w:rFonts w:hint="eastAsia"/>
                <w:vertAlign w:val="superscript"/>
                <w:lang w:val="en-GB"/>
              </w:rPr>
              <w:t>♯</w:t>
            </w:r>
            <w:r w:rsidR="00E434B9">
              <w:t xml:space="preserve">, </w:t>
            </w:r>
            <w:proofErr w:type="spellStart"/>
            <w:r w:rsidR="00E434B9">
              <w:t>p</w:t>
            </w:r>
            <w:r w:rsidR="00E434B9" w:rsidRPr="00087F50">
              <w:t>ankreatīts</w:t>
            </w:r>
            <w:proofErr w:type="spellEnd"/>
            <w:r w:rsidR="00E434B9" w:rsidRPr="00087F50">
              <w:rPr>
                <w:u w:val="single" w:color="000000"/>
              </w:rPr>
              <w:t xml:space="preserve"> </w:t>
            </w:r>
          </w:p>
          <w:p w14:paraId="17653FDA" w14:textId="0505B1C1" w:rsidR="00A77DDF" w:rsidRPr="00087F50" w:rsidRDefault="00A77DDF" w:rsidP="00A77DDF">
            <w:pPr>
              <w:spacing w:after="0" w:line="237" w:lineRule="auto"/>
              <w:ind w:left="0" w:right="94" w:firstLine="0"/>
            </w:pPr>
            <w:proofErr w:type="spellStart"/>
            <w:r w:rsidRPr="00087F50">
              <w:rPr>
                <w:u w:val="single" w:color="000000"/>
              </w:rPr>
              <w:t>Reti</w:t>
            </w:r>
            <w:proofErr w:type="spellEnd"/>
            <w:r w:rsidRPr="00087F50">
              <w:t xml:space="preserve"> </w:t>
            </w:r>
          </w:p>
          <w:p w14:paraId="224F5874" w14:textId="606D71B7" w:rsidR="00A77DDF" w:rsidRPr="00087F50" w:rsidRDefault="003003A5" w:rsidP="00A77DDF">
            <w:pPr>
              <w:spacing w:after="0" w:line="259" w:lineRule="auto"/>
              <w:ind w:left="0" w:firstLine="0"/>
            </w:pPr>
            <w:proofErr w:type="spellStart"/>
            <w:r>
              <w:t>Kuņģa-zarnu</w:t>
            </w:r>
            <w:proofErr w:type="spellEnd"/>
            <w:r>
              <w:t xml:space="preserve"> </w:t>
            </w:r>
            <w:proofErr w:type="spellStart"/>
            <w:r>
              <w:t>trakta</w:t>
            </w:r>
            <w:proofErr w:type="spellEnd"/>
            <w:r>
              <w:t xml:space="preserve"> </w:t>
            </w:r>
            <w:proofErr w:type="spellStart"/>
            <w:r>
              <w:t>perforācija</w:t>
            </w:r>
            <w:proofErr w:type="spellEnd"/>
            <w:r w:rsidRPr="00BE670A">
              <w:rPr>
                <w:rFonts w:hint="eastAsia"/>
                <w:vertAlign w:val="superscript"/>
                <w:lang w:val="en-GB"/>
              </w:rPr>
              <w:t>♯</w:t>
            </w:r>
            <w:r>
              <w:t xml:space="preserve">, </w:t>
            </w:r>
            <w:proofErr w:type="spellStart"/>
            <w:r>
              <w:t>stomatīts</w:t>
            </w:r>
            <w:proofErr w:type="spellEnd"/>
            <w:r w:rsidRPr="00BE670A">
              <w:rPr>
                <w:rFonts w:hint="eastAsia"/>
                <w:vertAlign w:val="superscript"/>
                <w:lang w:val="en-GB"/>
              </w:rPr>
              <w:t>♯</w:t>
            </w:r>
          </w:p>
        </w:tc>
      </w:tr>
      <w:tr w:rsidR="00A77DDF" w:rsidRPr="00087F50" w14:paraId="7236562F" w14:textId="77777777" w:rsidTr="00A77DDF">
        <w:trPr>
          <w:trHeight w:val="1529"/>
        </w:trPr>
        <w:tc>
          <w:tcPr>
            <w:tcW w:w="3228" w:type="dxa"/>
            <w:tcBorders>
              <w:top w:val="single" w:sz="4" w:space="0" w:color="000000"/>
              <w:left w:val="single" w:sz="4" w:space="0" w:color="000000"/>
              <w:bottom w:val="single" w:sz="4" w:space="0" w:color="000000"/>
              <w:right w:val="single" w:sz="4" w:space="0" w:color="000000"/>
            </w:tcBorders>
          </w:tcPr>
          <w:p w14:paraId="187CD7AF" w14:textId="77777777" w:rsidR="00A77DDF" w:rsidRPr="00087F50" w:rsidRDefault="00A77DDF" w:rsidP="00A77DDF">
            <w:pPr>
              <w:spacing w:after="0" w:line="259" w:lineRule="auto"/>
              <w:ind w:left="3" w:firstLine="0"/>
            </w:pPr>
            <w:proofErr w:type="spellStart"/>
            <w:r w:rsidRPr="00087F50">
              <w:t>Aknu</w:t>
            </w:r>
            <w:proofErr w:type="spellEnd"/>
            <w:r w:rsidRPr="00087F50">
              <w:t xml:space="preserve"> un/</w:t>
            </w:r>
            <w:proofErr w:type="spellStart"/>
            <w:r w:rsidRPr="00087F50">
              <w:t>vai</w:t>
            </w:r>
            <w:proofErr w:type="spellEnd"/>
            <w:r w:rsidRPr="00087F50">
              <w:t xml:space="preserve"> </w:t>
            </w:r>
            <w:proofErr w:type="spellStart"/>
            <w:r w:rsidRPr="00087F50">
              <w:t>žults</w:t>
            </w:r>
            <w:proofErr w:type="spellEnd"/>
            <w:r w:rsidRPr="00087F50">
              <w:t xml:space="preserve"> </w:t>
            </w:r>
            <w:proofErr w:type="spellStart"/>
            <w:r w:rsidRPr="00087F50">
              <w:t>izvades</w:t>
            </w:r>
            <w:proofErr w:type="spellEnd"/>
            <w:r w:rsidRPr="00087F50">
              <w:t xml:space="preserve"> </w:t>
            </w:r>
            <w:proofErr w:type="spellStart"/>
            <w:r w:rsidRPr="00087F50">
              <w:t>sistēmas</w:t>
            </w:r>
            <w:proofErr w:type="spellEnd"/>
            <w:r w:rsidRPr="00087F50">
              <w:t xml:space="preserve"> </w:t>
            </w:r>
            <w:proofErr w:type="spellStart"/>
            <w:r w:rsidRPr="00087F50">
              <w:t>traucējumi</w:t>
            </w:r>
            <w:proofErr w:type="spellEnd"/>
            <w:r w:rsidRPr="00087F50">
              <w:t xml:space="preserve"> </w:t>
            </w:r>
          </w:p>
        </w:tc>
        <w:tc>
          <w:tcPr>
            <w:tcW w:w="6094" w:type="dxa"/>
            <w:tcBorders>
              <w:top w:val="single" w:sz="4" w:space="0" w:color="000000"/>
              <w:left w:val="single" w:sz="4" w:space="0" w:color="000000"/>
              <w:bottom w:val="single" w:sz="4" w:space="0" w:color="000000"/>
              <w:right w:val="single" w:sz="4" w:space="0" w:color="000000"/>
            </w:tcBorders>
          </w:tcPr>
          <w:p w14:paraId="086B219B" w14:textId="77777777" w:rsidR="00A77DDF" w:rsidRPr="00087F50" w:rsidRDefault="00A77DDF" w:rsidP="00A77DDF">
            <w:pPr>
              <w:spacing w:after="0" w:line="259" w:lineRule="auto"/>
              <w:ind w:left="0" w:firstLine="0"/>
            </w:pPr>
            <w:proofErr w:type="spellStart"/>
            <w:r w:rsidRPr="00087F50">
              <w:rPr>
                <w:u w:val="single" w:color="000000"/>
              </w:rPr>
              <w:t>Bieži</w:t>
            </w:r>
            <w:proofErr w:type="spellEnd"/>
            <w:r w:rsidRPr="00087F50">
              <w:t xml:space="preserve"> </w:t>
            </w:r>
          </w:p>
          <w:p w14:paraId="10F4E04C" w14:textId="77777777" w:rsidR="00A77DDF" w:rsidRPr="00087F50" w:rsidRDefault="00A77DDF" w:rsidP="00A77DDF">
            <w:pPr>
              <w:spacing w:after="0" w:line="259" w:lineRule="auto"/>
              <w:ind w:left="0" w:firstLine="0"/>
            </w:pPr>
            <w:proofErr w:type="spellStart"/>
            <w:r w:rsidRPr="00087F50">
              <w:t>Aknu</w:t>
            </w:r>
            <w:proofErr w:type="spellEnd"/>
            <w:r w:rsidRPr="00087F50">
              <w:t xml:space="preserve"> </w:t>
            </w:r>
            <w:proofErr w:type="spellStart"/>
            <w:r w:rsidRPr="00087F50">
              <w:t>darbības</w:t>
            </w:r>
            <w:proofErr w:type="spellEnd"/>
            <w:r w:rsidRPr="00087F50">
              <w:t xml:space="preserve"> </w:t>
            </w:r>
            <w:proofErr w:type="spellStart"/>
            <w:r w:rsidRPr="00087F50">
              <w:t>novirzes</w:t>
            </w:r>
            <w:proofErr w:type="spellEnd"/>
            <w:r w:rsidRPr="00087F50">
              <w:t xml:space="preserve">** </w:t>
            </w:r>
          </w:p>
          <w:p w14:paraId="1D4D84CD" w14:textId="77777777" w:rsidR="00A77DDF" w:rsidRPr="00087F50" w:rsidRDefault="00A77DDF" w:rsidP="00A77DDF">
            <w:pPr>
              <w:spacing w:after="0" w:line="259" w:lineRule="auto"/>
              <w:ind w:left="0" w:firstLine="0"/>
            </w:pPr>
            <w:proofErr w:type="spellStart"/>
            <w:r w:rsidRPr="00087F50">
              <w:rPr>
                <w:u w:val="single" w:color="000000"/>
              </w:rPr>
              <w:t>Retāk</w:t>
            </w:r>
            <w:proofErr w:type="spellEnd"/>
            <w:r w:rsidRPr="00087F50">
              <w:t xml:space="preserve"> </w:t>
            </w:r>
          </w:p>
          <w:p w14:paraId="41EC60FF" w14:textId="77777777" w:rsidR="00A77DDF" w:rsidRPr="00087F50" w:rsidRDefault="00A77DDF" w:rsidP="00A77DDF">
            <w:pPr>
              <w:spacing w:after="0" w:line="259" w:lineRule="auto"/>
              <w:ind w:left="0" w:firstLine="0"/>
            </w:pPr>
            <w:proofErr w:type="spellStart"/>
            <w:r w:rsidRPr="00087F50">
              <w:t>Holelitiāze</w:t>
            </w:r>
            <w:proofErr w:type="spellEnd"/>
            <w:r w:rsidRPr="00087F50">
              <w:t xml:space="preserve"> </w:t>
            </w:r>
          </w:p>
          <w:p w14:paraId="2451FD24" w14:textId="77777777" w:rsidR="00A77DDF" w:rsidRPr="00087F50" w:rsidRDefault="00A77DDF" w:rsidP="00A77DDF">
            <w:pPr>
              <w:spacing w:after="0" w:line="259" w:lineRule="auto"/>
              <w:ind w:left="0" w:firstLine="0"/>
            </w:pPr>
            <w:proofErr w:type="spellStart"/>
            <w:r w:rsidRPr="00087F50">
              <w:rPr>
                <w:u w:val="single" w:color="000000"/>
              </w:rPr>
              <w:t>Reti</w:t>
            </w:r>
            <w:proofErr w:type="spellEnd"/>
            <w:r w:rsidRPr="00087F50">
              <w:t xml:space="preserve"> </w:t>
            </w:r>
          </w:p>
          <w:p w14:paraId="78691422" w14:textId="094FDCAD" w:rsidR="00A77DDF" w:rsidRPr="00087F50" w:rsidRDefault="00A77DDF" w:rsidP="00A77DDF">
            <w:pPr>
              <w:spacing w:after="0" w:line="259" w:lineRule="auto"/>
              <w:ind w:left="0" w:firstLine="0"/>
            </w:pPr>
            <w:proofErr w:type="spellStart"/>
            <w:r w:rsidRPr="00087F50">
              <w:t>Hepatīts</w:t>
            </w:r>
            <w:proofErr w:type="spellEnd"/>
            <w:r w:rsidRPr="00087F50">
              <w:t xml:space="preserve">, </w:t>
            </w:r>
            <w:proofErr w:type="spellStart"/>
            <w:r w:rsidRPr="00087F50">
              <w:t>dzelte</w:t>
            </w:r>
            <w:proofErr w:type="spellEnd"/>
            <w:r w:rsidRPr="00087F50">
              <w:t xml:space="preserve">*, </w:t>
            </w:r>
            <w:proofErr w:type="spellStart"/>
            <w:r w:rsidRPr="00087F50">
              <w:t>aknu</w:t>
            </w:r>
            <w:proofErr w:type="spellEnd"/>
            <w:r w:rsidRPr="00087F50">
              <w:t xml:space="preserve"> </w:t>
            </w:r>
            <w:proofErr w:type="spellStart"/>
            <w:r w:rsidRPr="00087F50">
              <w:t>bojājums</w:t>
            </w:r>
            <w:proofErr w:type="spellEnd"/>
            <w:r w:rsidRPr="00087F50">
              <w:t>*</w:t>
            </w:r>
            <w:r w:rsidR="00343149">
              <w:t xml:space="preserve">, </w:t>
            </w:r>
            <w:proofErr w:type="spellStart"/>
            <w:r w:rsidR="00343149">
              <w:t>holecistīts</w:t>
            </w:r>
            <w:proofErr w:type="spellEnd"/>
            <w:r w:rsidR="00343149" w:rsidRPr="00BE670A">
              <w:rPr>
                <w:rFonts w:hint="eastAsia"/>
                <w:vertAlign w:val="superscript"/>
                <w:lang w:val="en-GB"/>
              </w:rPr>
              <w:t>♯</w:t>
            </w:r>
            <w:r w:rsidRPr="00087F50">
              <w:t xml:space="preserve"> </w:t>
            </w:r>
          </w:p>
        </w:tc>
      </w:tr>
      <w:tr w:rsidR="00A77DDF" w:rsidRPr="00087F50" w14:paraId="75A5022A" w14:textId="77777777" w:rsidTr="00A77DDF">
        <w:trPr>
          <w:trHeight w:val="3552"/>
        </w:trPr>
        <w:tc>
          <w:tcPr>
            <w:tcW w:w="3228" w:type="dxa"/>
            <w:tcBorders>
              <w:top w:val="single" w:sz="4" w:space="0" w:color="000000"/>
              <w:left w:val="single" w:sz="4" w:space="0" w:color="000000"/>
              <w:bottom w:val="single" w:sz="4" w:space="0" w:color="000000"/>
              <w:right w:val="single" w:sz="4" w:space="0" w:color="000000"/>
            </w:tcBorders>
          </w:tcPr>
          <w:p w14:paraId="29953067" w14:textId="77777777" w:rsidR="00A77DDF" w:rsidRPr="00087F50" w:rsidRDefault="00A77DDF" w:rsidP="00A77DDF">
            <w:pPr>
              <w:spacing w:after="0" w:line="259" w:lineRule="auto"/>
              <w:ind w:left="3" w:firstLine="0"/>
            </w:pPr>
            <w:proofErr w:type="spellStart"/>
            <w:r w:rsidRPr="00087F50">
              <w:t>Ādas</w:t>
            </w:r>
            <w:proofErr w:type="spellEnd"/>
            <w:r w:rsidRPr="00087F50">
              <w:t xml:space="preserve"> un </w:t>
            </w:r>
            <w:proofErr w:type="spellStart"/>
            <w:r w:rsidRPr="00087F50">
              <w:t>zemādas</w:t>
            </w:r>
            <w:proofErr w:type="spellEnd"/>
            <w:r w:rsidRPr="00087F50">
              <w:t xml:space="preserve"> </w:t>
            </w:r>
            <w:proofErr w:type="spellStart"/>
            <w:r w:rsidRPr="00087F50">
              <w:t>audu</w:t>
            </w:r>
            <w:proofErr w:type="spellEnd"/>
            <w:r w:rsidRPr="00087F50">
              <w:t xml:space="preserve"> </w:t>
            </w:r>
            <w:proofErr w:type="spellStart"/>
            <w:r w:rsidRPr="00087F50">
              <w:t>bojājumi</w:t>
            </w:r>
            <w:proofErr w:type="spellEnd"/>
            <w:r w:rsidRPr="00087F50">
              <w:t xml:space="preserve"> </w:t>
            </w:r>
          </w:p>
        </w:tc>
        <w:tc>
          <w:tcPr>
            <w:tcW w:w="6094" w:type="dxa"/>
            <w:tcBorders>
              <w:top w:val="single" w:sz="4" w:space="0" w:color="000000"/>
              <w:left w:val="single" w:sz="4" w:space="0" w:color="000000"/>
              <w:bottom w:val="single" w:sz="4" w:space="0" w:color="000000"/>
              <w:right w:val="single" w:sz="4" w:space="0" w:color="000000"/>
            </w:tcBorders>
          </w:tcPr>
          <w:p w14:paraId="5B6EA579" w14:textId="77777777" w:rsidR="00A77DDF" w:rsidRPr="00087F50" w:rsidRDefault="00A77DDF" w:rsidP="00A77DDF">
            <w:pPr>
              <w:spacing w:after="0" w:line="259" w:lineRule="auto"/>
              <w:ind w:left="0" w:firstLine="0"/>
            </w:pPr>
            <w:proofErr w:type="spellStart"/>
            <w:r w:rsidRPr="00087F50">
              <w:rPr>
                <w:u w:val="single" w:color="000000"/>
              </w:rPr>
              <w:t>Bieži</w:t>
            </w:r>
            <w:proofErr w:type="spellEnd"/>
            <w:r w:rsidRPr="00087F50">
              <w:t xml:space="preserve"> </w:t>
            </w:r>
          </w:p>
          <w:p w14:paraId="37D121A2" w14:textId="77777777" w:rsidR="009B0235" w:rsidRDefault="00A77DDF" w:rsidP="00A77DDF">
            <w:pPr>
              <w:spacing w:after="0" w:line="237" w:lineRule="auto"/>
              <w:ind w:left="0" w:right="464" w:firstLine="0"/>
            </w:pPr>
            <w:proofErr w:type="spellStart"/>
            <w:r w:rsidRPr="00087F50">
              <w:t>Izsitumi</w:t>
            </w:r>
            <w:proofErr w:type="spellEnd"/>
            <w:r w:rsidRPr="00087F50">
              <w:t xml:space="preserve"> (</w:t>
            </w:r>
            <w:proofErr w:type="spellStart"/>
            <w:r w:rsidRPr="00087F50">
              <w:t>arī</w:t>
            </w:r>
            <w:proofErr w:type="spellEnd"/>
            <w:r w:rsidRPr="00087F50">
              <w:t xml:space="preserve"> </w:t>
            </w:r>
            <w:proofErr w:type="spellStart"/>
            <w:r w:rsidRPr="00087F50">
              <w:t>dažādi</w:t>
            </w:r>
            <w:proofErr w:type="spellEnd"/>
            <w:r w:rsidRPr="00087F50">
              <w:t xml:space="preserve"> </w:t>
            </w:r>
            <w:proofErr w:type="spellStart"/>
            <w:r w:rsidRPr="00087F50">
              <w:t>izsitumu</w:t>
            </w:r>
            <w:proofErr w:type="spellEnd"/>
            <w:r w:rsidRPr="00087F50">
              <w:t xml:space="preserve"> </w:t>
            </w:r>
            <w:proofErr w:type="spellStart"/>
            <w:r w:rsidRPr="00087F50">
              <w:t>veidi</w:t>
            </w:r>
            <w:proofErr w:type="spellEnd"/>
            <w:r w:rsidRPr="00087F50">
              <w:t xml:space="preserve">, </w:t>
            </w:r>
            <w:proofErr w:type="spellStart"/>
            <w:r w:rsidRPr="00087F50">
              <w:t>kas</w:t>
            </w:r>
            <w:proofErr w:type="spellEnd"/>
            <w:r w:rsidRPr="00087F50">
              <w:t xml:space="preserve"> </w:t>
            </w:r>
            <w:proofErr w:type="spellStart"/>
            <w:r w:rsidRPr="00087F50">
              <w:t>sastopami</w:t>
            </w:r>
            <w:proofErr w:type="spellEnd"/>
            <w:r w:rsidRPr="00087F50">
              <w:t xml:space="preserve"> </w:t>
            </w:r>
            <w:proofErr w:type="spellStart"/>
            <w:r w:rsidRPr="00087F50">
              <w:t>ne</w:t>
            </w:r>
            <w:proofErr w:type="spellEnd"/>
            <w:r w:rsidRPr="00087F50">
              <w:t xml:space="preserve"> </w:t>
            </w:r>
            <w:proofErr w:type="spellStart"/>
            <w:r w:rsidRPr="00087F50">
              <w:t>tik</w:t>
            </w:r>
            <w:proofErr w:type="spellEnd"/>
            <w:r w:rsidRPr="00087F50">
              <w:t xml:space="preserve"> </w:t>
            </w:r>
            <w:proofErr w:type="spellStart"/>
            <w:r w:rsidRPr="00087F50">
              <w:t>bieži</w:t>
            </w:r>
            <w:proofErr w:type="spellEnd"/>
            <w:r w:rsidRPr="00087F50">
              <w:t xml:space="preserve">; </w:t>
            </w:r>
            <w:proofErr w:type="spellStart"/>
            <w:r w:rsidRPr="00087F50">
              <w:t>skatīt</w:t>
            </w:r>
            <w:proofErr w:type="spellEnd"/>
            <w:r w:rsidRPr="00087F50">
              <w:t xml:space="preserve"> </w:t>
            </w:r>
            <w:proofErr w:type="spellStart"/>
            <w:r w:rsidRPr="00087F50">
              <w:t>tālāk</w:t>
            </w:r>
            <w:proofErr w:type="spellEnd"/>
            <w:r w:rsidRPr="00087F50">
              <w:t>)</w:t>
            </w:r>
            <w:r w:rsidR="009B0235">
              <w:t xml:space="preserve">, </w:t>
            </w:r>
            <w:proofErr w:type="spellStart"/>
            <w:r w:rsidR="009B0235">
              <w:t>nieze</w:t>
            </w:r>
            <w:proofErr w:type="spellEnd"/>
            <w:r w:rsidRPr="00087F50">
              <w:t xml:space="preserve"> </w:t>
            </w:r>
          </w:p>
          <w:p w14:paraId="3ECF0CCA" w14:textId="019E7A94" w:rsidR="00A77DDF" w:rsidRPr="00087F50" w:rsidRDefault="00A77DDF" w:rsidP="00A77DDF">
            <w:pPr>
              <w:spacing w:after="0" w:line="237" w:lineRule="auto"/>
              <w:ind w:left="0" w:right="464" w:firstLine="0"/>
            </w:pPr>
            <w:proofErr w:type="spellStart"/>
            <w:r w:rsidRPr="00087F50">
              <w:rPr>
                <w:u w:val="single" w:color="000000"/>
              </w:rPr>
              <w:t>Retāk</w:t>
            </w:r>
            <w:proofErr w:type="spellEnd"/>
            <w:r w:rsidRPr="00087F50">
              <w:t xml:space="preserve"> </w:t>
            </w:r>
          </w:p>
          <w:p w14:paraId="4BA06C0C" w14:textId="61B0697F" w:rsidR="00BB5496" w:rsidRPr="00087F50" w:rsidRDefault="00A77DDF" w:rsidP="00A77DDF">
            <w:pPr>
              <w:spacing w:after="2" w:line="237" w:lineRule="auto"/>
              <w:ind w:left="0" w:right="258" w:firstLine="0"/>
            </w:pPr>
            <w:proofErr w:type="spellStart"/>
            <w:r w:rsidRPr="00087F50">
              <w:t>Dermatīts</w:t>
            </w:r>
            <w:proofErr w:type="spellEnd"/>
            <w:r w:rsidRPr="00087F50">
              <w:t xml:space="preserve">, </w:t>
            </w:r>
            <w:proofErr w:type="spellStart"/>
            <w:r w:rsidRPr="00087F50">
              <w:t>nātrene</w:t>
            </w:r>
            <w:proofErr w:type="spellEnd"/>
            <w:r w:rsidRPr="00087F50">
              <w:t xml:space="preserve">, </w:t>
            </w:r>
            <w:proofErr w:type="spellStart"/>
            <w:r w:rsidRPr="00087F50">
              <w:t>ādas</w:t>
            </w:r>
            <w:proofErr w:type="spellEnd"/>
            <w:r w:rsidRPr="00087F50">
              <w:t xml:space="preserve"> </w:t>
            </w:r>
            <w:proofErr w:type="spellStart"/>
            <w:r w:rsidRPr="00087F50">
              <w:t>krāsas</w:t>
            </w:r>
            <w:proofErr w:type="spellEnd"/>
            <w:r w:rsidRPr="00087F50">
              <w:t xml:space="preserve"> </w:t>
            </w:r>
            <w:proofErr w:type="spellStart"/>
            <w:r w:rsidRPr="00087F50">
              <w:t>pārmaiņas</w:t>
            </w:r>
            <w:proofErr w:type="spellEnd"/>
            <w:r w:rsidRPr="00087F50">
              <w:t xml:space="preserve">, </w:t>
            </w:r>
            <w:proofErr w:type="spellStart"/>
            <w:r w:rsidRPr="00087F50">
              <w:t>ādas</w:t>
            </w:r>
            <w:proofErr w:type="spellEnd"/>
            <w:r w:rsidRPr="00087F50">
              <w:t xml:space="preserve"> </w:t>
            </w:r>
            <w:proofErr w:type="spellStart"/>
            <w:r w:rsidRPr="00087F50">
              <w:t>bojājumi</w:t>
            </w:r>
            <w:proofErr w:type="spellEnd"/>
            <w:r w:rsidRPr="00087F50">
              <w:t xml:space="preserve">, </w:t>
            </w:r>
            <w:proofErr w:type="spellStart"/>
            <w:r w:rsidRPr="00087F50">
              <w:t>petehijas</w:t>
            </w:r>
            <w:proofErr w:type="spellEnd"/>
            <w:r w:rsidRPr="00087F50">
              <w:t xml:space="preserve">, </w:t>
            </w:r>
            <w:proofErr w:type="spellStart"/>
            <w:r w:rsidRPr="00087F50">
              <w:t>makulozi</w:t>
            </w:r>
            <w:proofErr w:type="spellEnd"/>
            <w:r w:rsidRPr="00087F50">
              <w:t xml:space="preserve"> </w:t>
            </w:r>
            <w:proofErr w:type="spellStart"/>
            <w:r w:rsidRPr="00087F50">
              <w:t>izsitumi</w:t>
            </w:r>
            <w:proofErr w:type="spellEnd"/>
            <w:r w:rsidRPr="00087F50">
              <w:t xml:space="preserve">, </w:t>
            </w:r>
            <w:proofErr w:type="spellStart"/>
            <w:r w:rsidRPr="00087F50">
              <w:t>makulopapulozi</w:t>
            </w:r>
            <w:proofErr w:type="spellEnd"/>
            <w:r w:rsidRPr="00087F50">
              <w:t xml:space="preserve"> </w:t>
            </w:r>
            <w:proofErr w:type="spellStart"/>
            <w:r w:rsidRPr="00087F50">
              <w:t>izsitumi</w:t>
            </w:r>
            <w:proofErr w:type="spellEnd"/>
            <w:r w:rsidRPr="00087F50">
              <w:t xml:space="preserve">, </w:t>
            </w:r>
            <w:proofErr w:type="spellStart"/>
            <w:r w:rsidRPr="00087F50">
              <w:t>papulozi</w:t>
            </w:r>
            <w:proofErr w:type="spellEnd"/>
            <w:r w:rsidRPr="00087F50">
              <w:t xml:space="preserve"> </w:t>
            </w:r>
            <w:proofErr w:type="spellStart"/>
            <w:r w:rsidRPr="00087F50">
              <w:t>izsitumi</w:t>
            </w:r>
            <w:proofErr w:type="spellEnd"/>
            <w:r w:rsidR="00A4330C">
              <w:t xml:space="preserve">, </w:t>
            </w:r>
            <w:proofErr w:type="spellStart"/>
            <w:r w:rsidR="00A4330C">
              <w:t>hiperhidroze</w:t>
            </w:r>
            <w:proofErr w:type="spellEnd"/>
            <w:r w:rsidR="00A4330C">
              <w:t xml:space="preserve">, </w:t>
            </w:r>
            <w:proofErr w:type="spellStart"/>
            <w:r w:rsidR="00A4330C">
              <w:t>alopēcija</w:t>
            </w:r>
            <w:proofErr w:type="spellEnd"/>
            <w:r w:rsidR="00A4330C">
              <w:t xml:space="preserve">, </w:t>
            </w:r>
            <w:proofErr w:type="spellStart"/>
            <w:r w:rsidR="00A4330C">
              <w:t>ekzēma</w:t>
            </w:r>
            <w:proofErr w:type="spellEnd"/>
            <w:r w:rsidR="00A4330C" w:rsidRPr="00BE670A">
              <w:rPr>
                <w:rFonts w:hint="eastAsia"/>
                <w:vertAlign w:val="superscript"/>
                <w:lang w:val="en-GB"/>
              </w:rPr>
              <w:t>♯</w:t>
            </w:r>
            <w:r w:rsidR="00A4330C">
              <w:t xml:space="preserve">, </w:t>
            </w:r>
            <w:proofErr w:type="spellStart"/>
            <w:r w:rsidR="00A4330C">
              <w:t>eritēma</w:t>
            </w:r>
            <w:proofErr w:type="spellEnd"/>
            <w:r w:rsidR="00A4330C">
              <w:t xml:space="preserve">, </w:t>
            </w:r>
            <w:proofErr w:type="spellStart"/>
            <w:r w:rsidR="00A4330C">
              <w:t>svīšana</w:t>
            </w:r>
            <w:proofErr w:type="spellEnd"/>
            <w:r w:rsidR="00A4330C">
              <w:t xml:space="preserve"> </w:t>
            </w:r>
            <w:proofErr w:type="spellStart"/>
            <w:r w:rsidR="00A4330C">
              <w:t>naktī</w:t>
            </w:r>
            <w:proofErr w:type="spellEnd"/>
            <w:r w:rsidR="00A4330C" w:rsidRPr="00BE670A">
              <w:rPr>
                <w:rFonts w:hint="eastAsia"/>
                <w:vertAlign w:val="superscript"/>
                <w:lang w:val="en-GB"/>
              </w:rPr>
              <w:t>♯</w:t>
            </w:r>
            <w:r w:rsidR="00A4330C">
              <w:t xml:space="preserve">, </w:t>
            </w:r>
            <w:proofErr w:type="spellStart"/>
            <w:r w:rsidR="00A4330C">
              <w:t>psoriāze</w:t>
            </w:r>
            <w:proofErr w:type="spellEnd"/>
            <w:r w:rsidR="00A4330C" w:rsidRPr="00BE670A">
              <w:rPr>
                <w:rFonts w:hint="eastAsia"/>
                <w:vertAlign w:val="superscript"/>
                <w:lang w:val="en-GB"/>
              </w:rPr>
              <w:t>♯</w:t>
            </w:r>
            <w:r w:rsidR="00A4330C">
              <w:t xml:space="preserve">, </w:t>
            </w:r>
            <w:proofErr w:type="spellStart"/>
            <w:r w:rsidR="00A4330C">
              <w:t>niezoši</w:t>
            </w:r>
            <w:proofErr w:type="spellEnd"/>
            <w:r w:rsidR="00A4330C">
              <w:t xml:space="preserve"> </w:t>
            </w:r>
            <w:proofErr w:type="spellStart"/>
            <w:r w:rsidR="00A4330C">
              <w:t>izsitumi</w:t>
            </w:r>
            <w:proofErr w:type="spellEnd"/>
            <w:r w:rsidR="00A4330C" w:rsidRPr="00BE670A">
              <w:rPr>
                <w:rFonts w:hint="eastAsia"/>
                <w:vertAlign w:val="superscript"/>
                <w:lang w:val="en-GB"/>
              </w:rPr>
              <w:t>♯</w:t>
            </w:r>
            <w:r w:rsidR="00A4330C">
              <w:t xml:space="preserve"> </w:t>
            </w:r>
            <w:r w:rsidRPr="00087F50">
              <w:t xml:space="preserve"> </w:t>
            </w:r>
          </w:p>
          <w:p w14:paraId="282A8890" w14:textId="29CD7F7B" w:rsidR="00A77DDF" w:rsidRPr="00087F50" w:rsidRDefault="00A77DDF" w:rsidP="00A77DDF">
            <w:pPr>
              <w:spacing w:after="2" w:line="237" w:lineRule="auto"/>
              <w:ind w:left="0" w:right="258" w:firstLine="0"/>
            </w:pPr>
            <w:proofErr w:type="spellStart"/>
            <w:r w:rsidRPr="00087F50">
              <w:rPr>
                <w:u w:val="single" w:color="000000"/>
              </w:rPr>
              <w:t>Reti</w:t>
            </w:r>
            <w:proofErr w:type="spellEnd"/>
            <w:r w:rsidRPr="00087F50">
              <w:t xml:space="preserve"> </w:t>
            </w:r>
          </w:p>
          <w:p w14:paraId="02C5B45D" w14:textId="400757DE" w:rsidR="00A77DDF" w:rsidRPr="00087F50" w:rsidRDefault="00A77DDF" w:rsidP="00BB5496">
            <w:pPr>
              <w:spacing w:after="0" w:line="259" w:lineRule="auto"/>
              <w:ind w:left="0" w:firstLine="0"/>
            </w:pPr>
            <w:proofErr w:type="spellStart"/>
            <w:r w:rsidRPr="00087F50">
              <w:t>Toksisk</w:t>
            </w:r>
            <w:r w:rsidR="00426578">
              <w:t>ā</w:t>
            </w:r>
            <w:proofErr w:type="spellEnd"/>
            <w:r w:rsidRPr="00087F50">
              <w:t xml:space="preserve"> </w:t>
            </w:r>
            <w:proofErr w:type="spellStart"/>
            <w:r w:rsidRPr="00087F50">
              <w:t>epidermas</w:t>
            </w:r>
            <w:proofErr w:type="spellEnd"/>
            <w:r w:rsidRPr="00087F50">
              <w:t xml:space="preserve"> </w:t>
            </w:r>
            <w:proofErr w:type="spellStart"/>
            <w:r w:rsidRPr="00087F50">
              <w:t>nekrolīze</w:t>
            </w:r>
            <w:proofErr w:type="spellEnd"/>
            <w:r w:rsidRPr="00087F50">
              <w:t xml:space="preserve">*, </w:t>
            </w:r>
            <w:proofErr w:type="spellStart"/>
            <w:r w:rsidRPr="00087F50">
              <w:t>Stīvensa-Džonsona</w:t>
            </w:r>
            <w:proofErr w:type="spellEnd"/>
            <w:r w:rsidRPr="00087F50">
              <w:t xml:space="preserve"> </w:t>
            </w:r>
            <w:proofErr w:type="spellStart"/>
            <w:r w:rsidRPr="00087F50">
              <w:t>sindroms</w:t>
            </w:r>
            <w:proofErr w:type="spellEnd"/>
            <w:r w:rsidRPr="00087F50">
              <w:t xml:space="preserve">*, </w:t>
            </w:r>
            <w:proofErr w:type="spellStart"/>
            <w:r w:rsidRPr="00087F50">
              <w:t>angio</w:t>
            </w:r>
            <w:r w:rsidR="00BB5496" w:rsidRPr="00087F50">
              <w:t>edēma</w:t>
            </w:r>
            <w:proofErr w:type="spellEnd"/>
            <w:r w:rsidRPr="00087F50">
              <w:t xml:space="preserve">*, </w:t>
            </w:r>
            <w:proofErr w:type="spellStart"/>
            <w:r w:rsidRPr="00087F50">
              <w:t>reakcija</w:t>
            </w:r>
            <w:proofErr w:type="spellEnd"/>
            <w:r w:rsidRPr="00087F50">
              <w:t xml:space="preserve"> </w:t>
            </w:r>
            <w:proofErr w:type="spellStart"/>
            <w:r w:rsidRPr="00087F50">
              <w:t>pret</w:t>
            </w:r>
            <w:proofErr w:type="spellEnd"/>
            <w:r w:rsidRPr="00087F50">
              <w:t xml:space="preserve"> </w:t>
            </w:r>
            <w:proofErr w:type="spellStart"/>
            <w:r w:rsidRPr="00087F50">
              <w:t>zālēm</w:t>
            </w:r>
            <w:proofErr w:type="spellEnd"/>
            <w:r w:rsidRPr="00087F50">
              <w:t xml:space="preserve"> ar </w:t>
            </w:r>
            <w:proofErr w:type="spellStart"/>
            <w:r w:rsidRPr="00087F50">
              <w:t>eozinofiliju</w:t>
            </w:r>
            <w:proofErr w:type="spellEnd"/>
            <w:r w:rsidRPr="00087F50">
              <w:t xml:space="preserve"> un </w:t>
            </w:r>
            <w:proofErr w:type="spellStart"/>
            <w:r w:rsidRPr="00087F50">
              <w:t>sistēmiskiem</w:t>
            </w:r>
            <w:proofErr w:type="spellEnd"/>
            <w:r w:rsidRPr="00087F50">
              <w:t xml:space="preserve"> </w:t>
            </w:r>
            <w:proofErr w:type="spellStart"/>
            <w:r w:rsidRPr="00087F50">
              <w:t>simptomiem</w:t>
            </w:r>
            <w:proofErr w:type="spellEnd"/>
            <w:r w:rsidRPr="00087F50">
              <w:t xml:space="preserve">*, </w:t>
            </w:r>
            <w:proofErr w:type="spellStart"/>
            <w:r w:rsidRPr="00087F50">
              <w:t>ģeneralizēti</w:t>
            </w:r>
            <w:proofErr w:type="spellEnd"/>
            <w:r w:rsidRPr="00087F50">
              <w:t xml:space="preserve"> </w:t>
            </w:r>
            <w:proofErr w:type="spellStart"/>
            <w:r w:rsidRPr="00087F50">
              <w:t>izsitumi</w:t>
            </w:r>
            <w:proofErr w:type="spellEnd"/>
            <w:r w:rsidRPr="00087F50">
              <w:t xml:space="preserve"> (</w:t>
            </w:r>
            <w:proofErr w:type="spellStart"/>
            <w:r w:rsidRPr="00087F50">
              <w:t>smagi</w:t>
            </w:r>
            <w:proofErr w:type="spellEnd"/>
            <w:r w:rsidRPr="00087F50">
              <w:t xml:space="preserve">)*, </w:t>
            </w:r>
            <w:proofErr w:type="spellStart"/>
            <w:r w:rsidRPr="00087F50">
              <w:t>eksfoliatīvi</w:t>
            </w:r>
            <w:proofErr w:type="spellEnd"/>
            <w:r w:rsidRPr="00087F50">
              <w:t xml:space="preserve"> </w:t>
            </w:r>
            <w:proofErr w:type="spellStart"/>
            <w:r w:rsidRPr="00087F50">
              <w:t>izsitumi</w:t>
            </w:r>
            <w:proofErr w:type="spellEnd"/>
            <w:r w:rsidRPr="00087F50">
              <w:t xml:space="preserve">, </w:t>
            </w:r>
            <w:proofErr w:type="spellStart"/>
            <w:r w:rsidRPr="00087F50">
              <w:t>folikulāri</w:t>
            </w:r>
            <w:proofErr w:type="spellEnd"/>
            <w:r w:rsidRPr="00087F50">
              <w:t xml:space="preserve"> </w:t>
            </w:r>
            <w:proofErr w:type="spellStart"/>
            <w:r w:rsidRPr="00087F50">
              <w:t>izsitumi</w:t>
            </w:r>
            <w:proofErr w:type="spellEnd"/>
            <w:r w:rsidRPr="00087F50">
              <w:t xml:space="preserve">, </w:t>
            </w:r>
            <w:proofErr w:type="spellStart"/>
            <w:r w:rsidRPr="00087F50">
              <w:t>vezikulozi</w:t>
            </w:r>
            <w:proofErr w:type="spellEnd"/>
            <w:r w:rsidRPr="00087F50">
              <w:t xml:space="preserve"> </w:t>
            </w:r>
            <w:proofErr w:type="spellStart"/>
            <w:r w:rsidRPr="00087F50">
              <w:t>izsitumi</w:t>
            </w:r>
            <w:proofErr w:type="spellEnd"/>
            <w:r w:rsidRPr="00087F50">
              <w:t xml:space="preserve">, </w:t>
            </w:r>
            <w:proofErr w:type="spellStart"/>
            <w:r w:rsidRPr="00087F50">
              <w:t>pustulozi</w:t>
            </w:r>
            <w:proofErr w:type="spellEnd"/>
            <w:r w:rsidRPr="00087F50">
              <w:t xml:space="preserve"> </w:t>
            </w:r>
            <w:proofErr w:type="spellStart"/>
            <w:r w:rsidRPr="00087F50">
              <w:t>izsitumi</w:t>
            </w:r>
            <w:proofErr w:type="spellEnd"/>
            <w:r w:rsidRPr="00087F50">
              <w:t xml:space="preserve">, </w:t>
            </w:r>
            <w:proofErr w:type="spellStart"/>
            <w:r w:rsidRPr="00087F50">
              <w:t>eritematozi</w:t>
            </w:r>
            <w:proofErr w:type="spellEnd"/>
            <w:r w:rsidRPr="00087F50">
              <w:t xml:space="preserve"> </w:t>
            </w:r>
            <w:proofErr w:type="spellStart"/>
            <w:r w:rsidRPr="00087F50">
              <w:t>izsitumi</w:t>
            </w:r>
            <w:proofErr w:type="spellEnd"/>
            <w:r w:rsidRPr="00087F50">
              <w:t xml:space="preserve">, </w:t>
            </w:r>
            <w:proofErr w:type="spellStart"/>
            <w:r w:rsidRPr="00087F50">
              <w:t>morbiliformi</w:t>
            </w:r>
            <w:proofErr w:type="spellEnd"/>
            <w:r w:rsidRPr="00087F50">
              <w:t xml:space="preserve"> </w:t>
            </w:r>
            <w:proofErr w:type="spellStart"/>
            <w:r w:rsidRPr="00087F50">
              <w:t>izsitumi</w:t>
            </w:r>
            <w:proofErr w:type="spellEnd"/>
            <w:r w:rsidRPr="00087F50">
              <w:t xml:space="preserve">  </w:t>
            </w:r>
          </w:p>
        </w:tc>
      </w:tr>
      <w:tr w:rsidR="00A77DDF" w:rsidRPr="00087F50" w14:paraId="30A640F0" w14:textId="77777777" w:rsidTr="00A77DDF">
        <w:trPr>
          <w:trHeight w:val="1274"/>
        </w:trPr>
        <w:tc>
          <w:tcPr>
            <w:tcW w:w="3228" w:type="dxa"/>
            <w:tcBorders>
              <w:top w:val="single" w:sz="4" w:space="0" w:color="000000"/>
              <w:left w:val="single" w:sz="4" w:space="0" w:color="000000"/>
              <w:bottom w:val="single" w:sz="4" w:space="0" w:color="000000"/>
              <w:right w:val="single" w:sz="4" w:space="0" w:color="000000"/>
            </w:tcBorders>
          </w:tcPr>
          <w:p w14:paraId="5650EFCF" w14:textId="77777777" w:rsidR="00A77DDF" w:rsidRPr="00087F50" w:rsidRDefault="00A77DDF" w:rsidP="00A77DDF">
            <w:pPr>
              <w:spacing w:after="0" w:line="259" w:lineRule="auto"/>
              <w:ind w:left="3" w:firstLine="0"/>
            </w:pPr>
            <w:proofErr w:type="spellStart"/>
            <w:r w:rsidRPr="00087F50">
              <w:t>Skeleta-muskuļu</w:t>
            </w:r>
            <w:proofErr w:type="spellEnd"/>
            <w:r w:rsidRPr="00087F50">
              <w:t xml:space="preserve"> un </w:t>
            </w:r>
            <w:proofErr w:type="spellStart"/>
            <w:r w:rsidRPr="00087F50">
              <w:t>saistaudu</w:t>
            </w:r>
            <w:proofErr w:type="spellEnd"/>
            <w:r w:rsidRPr="00087F50">
              <w:t xml:space="preserve"> </w:t>
            </w:r>
            <w:proofErr w:type="spellStart"/>
            <w:r w:rsidRPr="00087F50">
              <w:t>sistēmas</w:t>
            </w:r>
            <w:proofErr w:type="spellEnd"/>
            <w:r w:rsidRPr="00087F50">
              <w:t xml:space="preserve"> </w:t>
            </w:r>
            <w:proofErr w:type="spellStart"/>
            <w:r w:rsidRPr="00087F50">
              <w:t>bojājumi</w:t>
            </w:r>
            <w:proofErr w:type="spellEnd"/>
            <w:r w:rsidRPr="00087F50">
              <w:t xml:space="preserve"> </w:t>
            </w:r>
          </w:p>
        </w:tc>
        <w:tc>
          <w:tcPr>
            <w:tcW w:w="6094" w:type="dxa"/>
            <w:tcBorders>
              <w:top w:val="single" w:sz="4" w:space="0" w:color="000000"/>
              <w:left w:val="single" w:sz="4" w:space="0" w:color="000000"/>
              <w:bottom w:val="single" w:sz="4" w:space="0" w:color="000000"/>
              <w:right w:val="single" w:sz="4" w:space="0" w:color="000000"/>
            </w:tcBorders>
          </w:tcPr>
          <w:p w14:paraId="2C6DB7A7" w14:textId="77777777" w:rsidR="00DE7911" w:rsidRDefault="00DE7911" w:rsidP="00A77DDF">
            <w:pPr>
              <w:spacing w:after="0" w:line="259" w:lineRule="auto"/>
              <w:ind w:left="0" w:firstLine="0"/>
            </w:pPr>
            <w:proofErr w:type="spellStart"/>
            <w:r w:rsidRPr="00B56137">
              <w:rPr>
                <w:u w:val="single"/>
              </w:rPr>
              <w:t>Bieži</w:t>
            </w:r>
            <w:proofErr w:type="spellEnd"/>
            <w:r>
              <w:t xml:space="preserve"> </w:t>
            </w:r>
          </w:p>
          <w:p w14:paraId="77F3ECB9" w14:textId="1E5DAA31" w:rsidR="00DE7911" w:rsidRDefault="00DE7911" w:rsidP="00A77DDF">
            <w:pPr>
              <w:spacing w:after="0" w:line="259" w:lineRule="auto"/>
              <w:ind w:left="0" w:firstLine="0"/>
              <w:rPr>
                <w:u w:val="single" w:color="000000"/>
              </w:rPr>
            </w:pPr>
            <w:proofErr w:type="spellStart"/>
            <w:r>
              <w:t>Locītavu</w:t>
            </w:r>
            <w:proofErr w:type="spellEnd"/>
            <w:r>
              <w:t xml:space="preserve"> </w:t>
            </w:r>
            <w:proofErr w:type="spellStart"/>
            <w:r>
              <w:t>sāpes</w:t>
            </w:r>
            <w:proofErr w:type="spellEnd"/>
            <w:r>
              <w:t xml:space="preserve">, </w:t>
            </w:r>
            <w:proofErr w:type="spellStart"/>
            <w:r>
              <w:t>mialģija</w:t>
            </w:r>
            <w:proofErr w:type="spellEnd"/>
            <w:r>
              <w:t xml:space="preserve">, </w:t>
            </w:r>
            <w:proofErr w:type="spellStart"/>
            <w:r>
              <w:t>sāpes</w:t>
            </w:r>
            <w:proofErr w:type="spellEnd"/>
            <w:r>
              <w:t xml:space="preserve"> </w:t>
            </w:r>
            <w:proofErr w:type="spellStart"/>
            <w:r>
              <w:t>ekstremitātē</w:t>
            </w:r>
            <w:proofErr w:type="spellEnd"/>
            <w:r w:rsidRPr="00BE670A">
              <w:rPr>
                <w:rFonts w:hint="eastAsia"/>
                <w:vertAlign w:val="superscript"/>
                <w:lang w:val="en-GB"/>
              </w:rPr>
              <w:t>♯</w:t>
            </w:r>
          </w:p>
          <w:p w14:paraId="7A0CADFD" w14:textId="4DD4CE1C" w:rsidR="00A77DDF" w:rsidRPr="00087F50" w:rsidRDefault="00A77DDF" w:rsidP="00A77DDF">
            <w:pPr>
              <w:spacing w:after="0" w:line="259" w:lineRule="auto"/>
              <w:ind w:left="0" w:firstLine="0"/>
            </w:pPr>
            <w:proofErr w:type="spellStart"/>
            <w:r w:rsidRPr="00087F50">
              <w:rPr>
                <w:u w:val="single" w:color="000000"/>
              </w:rPr>
              <w:t>Retāk</w:t>
            </w:r>
            <w:proofErr w:type="spellEnd"/>
            <w:r w:rsidRPr="00087F50">
              <w:t xml:space="preserve"> </w:t>
            </w:r>
          </w:p>
          <w:p w14:paraId="537BC24A" w14:textId="6B55F8F8" w:rsidR="00A77DDF" w:rsidRPr="00087F50" w:rsidRDefault="00DE7911" w:rsidP="00A77DDF">
            <w:pPr>
              <w:spacing w:after="0" w:line="236" w:lineRule="auto"/>
              <w:ind w:left="0" w:firstLine="0"/>
            </w:pPr>
            <w:proofErr w:type="spellStart"/>
            <w:r>
              <w:t>A</w:t>
            </w:r>
            <w:r w:rsidR="00A77DDF" w:rsidRPr="00087F50">
              <w:t>rtrīts</w:t>
            </w:r>
            <w:proofErr w:type="spellEnd"/>
            <w:r w:rsidR="00A77DDF" w:rsidRPr="00087F50">
              <w:t xml:space="preserve">, </w:t>
            </w:r>
            <w:proofErr w:type="spellStart"/>
            <w:r w:rsidR="00A77DDF" w:rsidRPr="00087F50">
              <w:t>skeleta</w:t>
            </w:r>
            <w:proofErr w:type="spellEnd"/>
            <w:r w:rsidR="00A77DDF" w:rsidRPr="00087F50">
              <w:t xml:space="preserve"> - </w:t>
            </w:r>
            <w:proofErr w:type="spellStart"/>
            <w:r w:rsidR="00A77DDF" w:rsidRPr="00087F50">
              <w:t>muskuļu</w:t>
            </w:r>
            <w:proofErr w:type="spellEnd"/>
            <w:r w:rsidR="00A77DDF" w:rsidRPr="00087F50">
              <w:t xml:space="preserve"> </w:t>
            </w:r>
            <w:proofErr w:type="spellStart"/>
            <w:r w:rsidR="00A77DDF" w:rsidRPr="00087F50">
              <w:t>sāpes</w:t>
            </w:r>
            <w:proofErr w:type="spellEnd"/>
            <w:r w:rsidR="00A77DDF" w:rsidRPr="00087F50">
              <w:t xml:space="preserve">, </w:t>
            </w:r>
            <w:proofErr w:type="spellStart"/>
            <w:r w:rsidR="00A77DDF" w:rsidRPr="00087F50">
              <w:t>muskuļu</w:t>
            </w:r>
            <w:proofErr w:type="spellEnd"/>
            <w:r w:rsidR="00A77DDF" w:rsidRPr="00087F50">
              <w:t xml:space="preserve"> </w:t>
            </w:r>
            <w:proofErr w:type="spellStart"/>
            <w:r w:rsidR="00A77DDF" w:rsidRPr="00087F50">
              <w:t>vājums</w:t>
            </w:r>
            <w:proofErr w:type="spellEnd"/>
            <w:r w:rsidR="00A77DDF" w:rsidRPr="00087F50">
              <w:t xml:space="preserve">, </w:t>
            </w:r>
            <w:proofErr w:type="spellStart"/>
            <w:r w:rsidR="00A77DDF" w:rsidRPr="00087F50">
              <w:t>muskuļu</w:t>
            </w:r>
            <w:proofErr w:type="spellEnd"/>
            <w:r w:rsidR="00A77DDF" w:rsidRPr="00087F50">
              <w:t xml:space="preserve"> </w:t>
            </w:r>
            <w:proofErr w:type="spellStart"/>
            <w:r w:rsidR="00A77DDF" w:rsidRPr="00087F50">
              <w:t>spazmas</w:t>
            </w:r>
            <w:proofErr w:type="spellEnd"/>
            <w:r w:rsidR="00A77DDF" w:rsidRPr="00087F50">
              <w:t xml:space="preserve">, </w:t>
            </w:r>
            <w:proofErr w:type="spellStart"/>
            <w:r w:rsidR="00A77DDF" w:rsidRPr="00087F50">
              <w:t>muskuļu</w:t>
            </w:r>
            <w:proofErr w:type="spellEnd"/>
            <w:r w:rsidR="00A77DDF" w:rsidRPr="00087F50">
              <w:t xml:space="preserve"> </w:t>
            </w:r>
            <w:proofErr w:type="spellStart"/>
            <w:r w:rsidR="00A77DDF" w:rsidRPr="00087F50">
              <w:t>sasprindzinājums</w:t>
            </w:r>
            <w:proofErr w:type="spellEnd"/>
            <w:r w:rsidR="00A77DDF" w:rsidRPr="00087F50">
              <w:t xml:space="preserve">, </w:t>
            </w:r>
            <w:proofErr w:type="spellStart"/>
            <w:r w:rsidR="00A77DDF" w:rsidRPr="00087F50">
              <w:t>bursīts</w:t>
            </w:r>
            <w:proofErr w:type="spellEnd"/>
            <w:r w:rsidR="00C57E3C">
              <w:t xml:space="preserve">, </w:t>
            </w:r>
            <w:proofErr w:type="spellStart"/>
            <w:r w:rsidR="00C57E3C">
              <w:t>locītavu</w:t>
            </w:r>
            <w:proofErr w:type="spellEnd"/>
            <w:r w:rsidR="00C57E3C">
              <w:t xml:space="preserve"> </w:t>
            </w:r>
            <w:proofErr w:type="spellStart"/>
            <w:r w:rsidR="00C57E3C">
              <w:t>pietūkums</w:t>
            </w:r>
            <w:proofErr w:type="spellEnd"/>
            <w:r w:rsidR="00EA6A98" w:rsidRPr="00BE670A">
              <w:rPr>
                <w:rFonts w:hint="eastAsia"/>
                <w:vertAlign w:val="superscript"/>
                <w:lang w:val="en-GB"/>
              </w:rPr>
              <w:t>♯</w:t>
            </w:r>
            <w:r w:rsidR="00C57E3C">
              <w:t xml:space="preserve">, </w:t>
            </w:r>
            <w:proofErr w:type="spellStart"/>
            <w:r w:rsidR="00C57E3C">
              <w:t>muguras</w:t>
            </w:r>
            <w:proofErr w:type="spellEnd"/>
            <w:r w:rsidR="00C57E3C">
              <w:t xml:space="preserve"> </w:t>
            </w:r>
            <w:proofErr w:type="spellStart"/>
            <w:r w:rsidR="00C57E3C">
              <w:t>sāpes</w:t>
            </w:r>
            <w:proofErr w:type="spellEnd"/>
            <w:r w:rsidR="00EA6A98" w:rsidRPr="00BE670A">
              <w:rPr>
                <w:rFonts w:hint="eastAsia"/>
                <w:vertAlign w:val="superscript"/>
                <w:lang w:val="en-GB"/>
              </w:rPr>
              <w:t>♯</w:t>
            </w:r>
            <w:r w:rsidR="00C57E3C">
              <w:t xml:space="preserve">, </w:t>
            </w:r>
            <w:proofErr w:type="spellStart"/>
            <w:r w:rsidR="00C57E3C">
              <w:t>skeleta</w:t>
            </w:r>
            <w:proofErr w:type="spellEnd"/>
            <w:r w:rsidR="00C57E3C">
              <w:t xml:space="preserve"> </w:t>
            </w:r>
            <w:proofErr w:type="spellStart"/>
            <w:r w:rsidR="00C57E3C">
              <w:t>muskuļu</w:t>
            </w:r>
            <w:proofErr w:type="spellEnd"/>
            <w:r w:rsidR="00C57E3C">
              <w:t xml:space="preserve"> </w:t>
            </w:r>
            <w:proofErr w:type="spellStart"/>
            <w:r w:rsidR="00C57E3C">
              <w:t>stīvums</w:t>
            </w:r>
            <w:proofErr w:type="spellEnd"/>
            <w:r w:rsidR="00EA6A98" w:rsidRPr="00BE670A">
              <w:rPr>
                <w:rFonts w:hint="eastAsia"/>
                <w:vertAlign w:val="superscript"/>
                <w:lang w:val="en-GB"/>
              </w:rPr>
              <w:t>♯</w:t>
            </w:r>
            <w:r w:rsidR="00C57E3C">
              <w:t xml:space="preserve">, </w:t>
            </w:r>
            <w:proofErr w:type="spellStart"/>
            <w:r w:rsidR="00C57E3C">
              <w:t>locītavu</w:t>
            </w:r>
            <w:proofErr w:type="spellEnd"/>
            <w:r w:rsidR="00C57E3C">
              <w:t xml:space="preserve"> </w:t>
            </w:r>
            <w:proofErr w:type="spellStart"/>
            <w:r w:rsidR="00C57E3C">
              <w:t>stīvums</w:t>
            </w:r>
            <w:proofErr w:type="spellEnd"/>
            <w:r w:rsidR="00A77DDF" w:rsidRPr="00087F50">
              <w:t xml:space="preserve"> </w:t>
            </w:r>
          </w:p>
          <w:p w14:paraId="4DD962A1" w14:textId="77777777" w:rsidR="00A77DDF" w:rsidRPr="00087F50" w:rsidRDefault="00A77DDF" w:rsidP="00A77DDF">
            <w:pPr>
              <w:spacing w:after="0" w:line="259" w:lineRule="auto"/>
              <w:ind w:left="0" w:firstLine="0"/>
            </w:pPr>
            <w:proofErr w:type="spellStart"/>
            <w:r w:rsidRPr="00087F50">
              <w:rPr>
                <w:u w:val="single" w:color="000000"/>
              </w:rPr>
              <w:t>Reti</w:t>
            </w:r>
            <w:proofErr w:type="spellEnd"/>
            <w:r w:rsidRPr="00087F50">
              <w:t xml:space="preserve"> </w:t>
            </w:r>
          </w:p>
          <w:p w14:paraId="27A99AD9" w14:textId="5C3D4272" w:rsidR="00A77DDF" w:rsidRPr="00087F50" w:rsidRDefault="00A77DDF" w:rsidP="00A77DDF">
            <w:pPr>
              <w:spacing w:after="0" w:line="259" w:lineRule="auto"/>
              <w:ind w:left="0" w:firstLine="0"/>
            </w:pPr>
            <w:proofErr w:type="spellStart"/>
            <w:r w:rsidRPr="00087F50">
              <w:t>Rabdomiolīze</w:t>
            </w:r>
            <w:proofErr w:type="spellEnd"/>
            <w:r w:rsidRPr="00087F50">
              <w:t xml:space="preserve">, </w:t>
            </w:r>
            <w:proofErr w:type="spellStart"/>
            <w:r w:rsidR="00EA6A98">
              <w:t>rotatoru</w:t>
            </w:r>
            <w:proofErr w:type="spellEnd"/>
            <w:r w:rsidR="00EA6A98">
              <w:t xml:space="preserve"> </w:t>
            </w:r>
            <w:proofErr w:type="spellStart"/>
            <w:r w:rsidR="00EA6A98">
              <w:t>manžetes</w:t>
            </w:r>
            <w:proofErr w:type="spellEnd"/>
            <w:r w:rsidR="00EA6A98">
              <w:t xml:space="preserve"> </w:t>
            </w:r>
            <w:proofErr w:type="spellStart"/>
            <w:r w:rsidR="00EA6A98">
              <w:t>sindroms</w:t>
            </w:r>
            <w:proofErr w:type="spellEnd"/>
            <w:r w:rsidR="00EA6A98" w:rsidRPr="00BE670A">
              <w:rPr>
                <w:rFonts w:hint="eastAsia"/>
                <w:vertAlign w:val="superscript"/>
                <w:lang w:val="en-GB"/>
              </w:rPr>
              <w:t>♯</w:t>
            </w:r>
            <w:r w:rsidR="00EA6A98">
              <w:t xml:space="preserve">, </w:t>
            </w:r>
            <w:proofErr w:type="spellStart"/>
            <w:r w:rsidR="00EA6A98">
              <w:t>reimatiska</w:t>
            </w:r>
            <w:proofErr w:type="spellEnd"/>
            <w:r w:rsidR="00EA6A98">
              <w:t xml:space="preserve"> </w:t>
            </w:r>
            <w:proofErr w:type="spellStart"/>
            <w:r w:rsidR="00EA6A98">
              <w:t>polimialģija</w:t>
            </w:r>
            <w:proofErr w:type="spellEnd"/>
            <w:r w:rsidR="00EA6A98" w:rsidRPr="00BE670A">
              <w:rPr>
                <w:rFonts w:hint="eastAsia"/>
                <w:vertAlign w:val="superscript"/>
                <w:lang w:val="en-GB"/>
              </w:rPr>
              <w:t>♯</w:t>
            </w:r>
          </w:p>
        </w:tc>
      </w:tr>
      <w:tr w:rsidR="00A77DDF" w:rsidRPr="00087F50" w14:paraId="133F58D0" w14:textId="77777777" w:rsidTr="00890F7A">
        <w:trPr>
          <w:trHeight w:val="515"/>
        </w:trPr>
        <w:tc>
          <w:tcPr>
            <w:tcW w:w="3228" w:type="dxa"/>
            <w:tcBorders>
              <w:top w:val="single" w:sz="4" w:space="0" w:color="000000"/>
              <w:left w:val="single" w:sz="4" w:space="0" w:color="000000"/>
              <w:bottom w:val="single" w:sz="4" w:space="0" w:color="000000"/>
              <w:right w:val="single" w:sz="4" w:space="0" w:color="000000"/>
            </w:tcBorders>
          </w:tcPr>
          <w:p w14:paraId="75160350" w14:textId="77777777" w:rsidR="00A77DDF" w:rsidRPr="00087F50" w:rsidRDefault="00A77DDF" w:rsidP="00A77DDF">
            <w:pPr>
              <w:spacing w:after="0" w:line="259" w:lineRule="auto"/>
              <w:ind w:left="3" w:firstLine="0"/>
            </w:pPr>
            <w:proofErr w:type="spellStart"/>
            <w:r w:rsidRPr="00087F50">
              <w:t>Nieru</w:t>
            </w:r>
            <w:proofErr w:type="spellEnd"/>
            <w:r w:rsidRPr="00087F50">
              <w:t xml:space="preserve"> un </w:t>
            </w:r>
            <w:proofErr w:type="spellStart"/>
            <w:r w:rsidRPr="00087F50">
              <w:t>urīnizvades</w:t>
            </w:r>
            <w:proofErr w:type="spellEnd"/>
            <w:r w:rsidRPr="00087F50">
              <w:t xml:space="preserve"> </w:t>
            </w:r>
            <w:proofErr w:type="spellStart"/>
            <w:r w:rsidRPr="00087F50">
              <w:t>sistēmas</w:t>
            </w:r>
            <w:proofErr w:type="spellEnd"/>
            <w:r w:rsidRPr="00087F50">
              <w:t xml:space="preserve"> </w:t>
            </w:r>
            <w:proofErr w:type="spellStart"/>
            <w:r w:rsidRPr="00087F50">
              <w:t>traucējumi</w:t>
            </w:r>
            <w:proofErr w:type="spellEnd"/>
            <w:r w:rsidRPr="00087F50">
              <w:t xml:space="preserve"> </w:t>
            </w:r>
          </w:p>
        </w:tc>
        <w:tc>
          <w:tcPr>
            <w:tcW w:w="6094" w:type="dxa"/>
            <w:tcBorders>
              <w:top w:val="single" w:sz="4" w:space="0" w:color="000000"/>
              <w:left w:val="single" w:sz="4" w:space="0" w:color="000000"/>
              <w:bottom w:val="single" w:sz="4" w:space="0" w:color="000000"/>
              <w:right w:val="single" w:sz="4" w:space="0" w:color="000000"/>
            </w:tcBorders>
          </w:tcPr>
          <w:p w14:paraId="688A02E1" w14:textId="77777777" w:rsidR="00A77DDF" w:rsidRPr="00087F50" w:rsidRDefault="00A77DDF" w:rsidP="00A77DDF">
            <w:pPr>
              <w:spacing w:after="0" w:line="259" w:lineRule="auto"/>
              <w:ind w:left="0" w:firstLine="0"/>
            </w:pPr>
            <w:proofErr w:type="spellStart"/>
            <w:r w:rsidRPr="00087F50">
              <w:rPr>
                <w:u w:val="single" w:color="000000"/>
              </w:rPr>
              <w:t>Retāk</w:t>
            </w:r>
            <w:proofErr w:type="spellEnd"/>
            <w:r w:rsidRPr="00087F50">
              <w:t xml:space="preserve"> </w:t>
            </w:r>
          </w:p>
          <w:p w14:paraId="119D6475" w14:textId="52B77FD1" w:rsidR="00A77DDF" w:rsidRPr="00087F50" w:rsidRDefault="00A77DDF" w:rsidP="00A77DDF">
            <w:pPr>
              <w:spacing w:after="0" w:line="259" w:lineRule="auto"/>
              <w:ind w:left="0" w:firstLine="0"/>
            </w:pPr>
            <w:proofErr w:type="spellStart"/>
            <w:r w:rsidRPr="00087F50">
              <w:t>Nieru</w:t>
            </w:r>
            <w:proofErr w:type="spellEnd"/>
            <w:r w:rsidRPr="00087F50">
              <w:t xml:space="preserve"> </w:t>
            </w:r>
            <w:proofErr w:type="spellStart"/>
            <w:r w:rsidRPr="00087F50">
              <w:t>mazspēja</w:t>
            </w:r>
            <w:proofErr w:type="spellEnd"/>
            <w:r w:rsidRPr="00087F50">
              <w:t xml:space="preserve">, </w:t>
            </w:r>
            <w:proofErr w:type="spellStart"/>
            <w:r w:rsidRPr="00087F50">
              <w:t>nierakmeņi</w:t>
            </w:r>
            <w:proofErr w:type="spellEnd"/>
            <w:r w:rsidRPr="00087F50">
              <w:t xml:space="preserve">, </w:t>
            </w:r>
            <w:proofErr w:type="spellStart"/>
            <w:r w:rsidRPr="00087F50">
              <w:t>hematūrija</w:t>
            </w:r>
            <w:proofErr w:type="spellEnd"/>
            <w:r w:rsidRPr="00087F50">
              <w:t xml:space="preserve">, </w:t>
            </w:r>
            <w:proofErr w:type="spellStart"/>
            <w:r w:rsidRPr="00087F50">
              <w:t>polakiūrija</w:t>
            </w:r>
            <w:proofErr w:type="spellEnd"/>
            <w:r w:rsidRPr="00087F50">
              <w:t xml:space="preserve">, </w:t>
            </w:r>
            <w:proofErr w:type="spellStart"/>
            <w:r w:rsidRPr="00087F50">
              <w:t>proteinūrija</w:t>
            </w:r>
            <w:proofErr w:type="spellEnd"/>
            <w:r w:rsidR="005325D3">
              <w:t xml:space="preserve">, </w:t>
            </w:r>
            <w:proofErr w:type="spellStart"/>
            <w:r w:rsidR="005325D3">
              <w:t>neatliekama</w:t>
            </w:r>
            <w:proofErr w:type="spellEnd"/>
            <w:r w:rsidR="005325D3">
              <w:t xml:space="preserve"> </w:t>
            </w:r>
            <w:proofErr w:type="spellStart"/>
            <w:r w:rsidR="005325D3">
              <w:t>urinācijas</w:t>
            </w:r>
            <w:proofErr w:type="spellEnd"/>
            <w:r w:rsidR="005325D3">
              <w:t xml:space="preserve"> </w:t>
            </w:r>
            <w:proofErr w:type="spellStart"/>
            <w:r w:rsidR="005325D3">
              <w:t>tieksme</w:t>
            </w:r>
            <w:proofErr w:type="spellEnd"/>
            <w:r w:rsidR="005325D3">
              <w:t xml:space="preserve">, </w:t>
            </w:r>
            <w:proofErr w:type="spellStart"/>
            <w:r w:rsidR="005325D3">
              <w:t>urīnceļu</w:t>
            </w:r>
            <w:proofErr w:type="spellEnd"/>
            <w:r w:rsidR="005325D3">
              <w:t xml:space="preserve"> </w:t>
            </w:r>
            <w:proofErr w:type="spellStart"/>
            <w:r w:rsidR="005325D3">
              <w:t>infekcija</w:t>
            </w:r>
            <w:proofErr w:type="spellEnd"/>
            <w:r w:rsidR="005325D3" w:rsidRPr="00BE670A">
              <w:rPr>
                <w:rFonts w:hint="eastAsia"/>
                <w:vertAlign w:val="superscript"/>
                <w:lang w:val="en-GB"/>
              </w:rPr>
              <w:t>♯</w:t>
            </w:r>
            <w:r w:rsidRPr="00087F50">
              <w:t xml:space="preserve"> </w:t>
            </w:r>
          </w:p>
          <w:p w14:paraId="5E239380" w14:textId="77777777" w:rsidR="00A77DDF" w:rsidRPr="00087F50" w:rsidRDefault="00A77DDF" w:rsidP="00A77DDF">
            <w:pPr>
              <w:spacing w:after="0" w:line="259" w:lineRule="auto"/>
              <w:ind w:left="0" w:firstLine="0"/>
            </w:pPr>
            <w:proofErr w:type="spellStart"/>
            <w:r w:rsidRPr="00087F50">
              <w:rPr>
                <w:u w:val="single" w:color="000000"/>
              </w:rPr>
              <w:lastRenderedPageBreak/>
              <w:t>Reti</w:t>
            </w:r>
            <w:proofErr w:type="spellEnd"/>
            <w:r w:rsidRPr="00087F50">
              <w:t xml:space="preserve"> </w:t>
            </w:r>
          </w:p>
          <w:p w14:paraId="15DE7BC8" w14:textId="352AEF19" w:rsidR="00A77DDF" w:rsidRPr="00087F50" w:rsidRDefault="00A77DDF" w:rsidP="00A77DDF">
            <w:pPr>
              <w:spacing w:after="0" w:line="259" w:lineRule="auto"/>
              <w:ind w:left="0" w:firstLine="0"/>
            </w:pPr>
            <w:proofErr w:type="spellStart"/>
            <w:r w:rsidRPr="00087F50">
              <w:t>Tubulointersticiāls</w:t>
            </w:r>
            <w:proofErr w:type="spellEnd"/>
            <w:r w:rsidRPr="00087F50">
              <w:t xml:space="preserve"> </w:t>
            </w:r>
            <w:proofErr w:type="spellStart"/>
            <w:r w:rsidRPr="00087F50">
              <w:t>nefrīts</w:t>
            </w:r>
            <w:proofErr w:type="spellEnd"/>
            <w:r w:rsidRPr="00087F50">
              <w:t xml:space="preserve">* </w:t>
            </w:r>
          </w:p>
        </w:tc>
      </w:tr>
      <w:tr w:rsidR="00A77DDF" w:rsidRPr="00087F50" w14:paraId="2C7E5D65" w14:textId="77777777" w:rsidTr="00A77DDF">
        <w:trPr>
          <w:trHeight w:val="516"/>
        </w:trPr>
        <w:tc>
          <w:tcPr>
            <w:tcW w:w="3228" w:type="dxa"/>
            <w:tcBorders>
              <w:top w:val="single" w:sz="4" w:space="0" w:color="000000"/>
              <w:left w:val="single" w:sz="4" w:space="0" w:color="000000"/>
              <w:bottom w:val="single" w:sz="4" w:space="0" w:color="000000"/>
              <w:right w:val="single" w:sz="4" w:space="0" w:color="000000"/>
            </w:tcBorders>
          </w:tcPr>
          <w:p w14:paraId="003EDD09" w14:textId="77777777" w:rsidR="00A77DDF" w:rsidRPr="00087F50" w:rsidRDefault="00A77DDF" w:rsidP="00A77DDF">
            <w:pPr>
              <w:spacing w:after="0" w:line="259" w:lineRule="auto"/>
              <w:ind w:left="3" w:firstLine="0"/>
            </w:pPr>
            <w:proofErr w:type="spellStart"/>
            <w:r w:rsidRPr="00087F50">
              <w:lastRenderedPageBreak/>
              <w:t>Reproduktīvās</w:t>
            </w:r>
            <w:proofErr w:type="spellEnd"/>
            <w:r w:rsidRPr="00087F50">
              <w:t xml:space="preserve"> </w:t>
            </w:r>
            <w:proofErr w:type="spellStart"/>
            <w:r w:rsidRPr="00087F50">
              <w:t>sistēmas</w:t>
            </w:r>
            <w:proofErr w:type="spellEnd"/>
            <w:r w:rsidRPr="00087F50">
              <w:t xml:space="preserve"> </w:t>
            </w:r>
            <w:proofErr w:type="spellStart"/>
            <w:r w:rsidRPr="00087F50">
              <w:t>traucējumi</w:t>
            </w:r>
            <w:proofErr w:type="spellEnd"/>
            <w:r w:rsidRPr="00087F50">
              <w:t xml:space="preserve"> un </w:t>
            </w:r>
            <w:proofErr w:type="spellStart"/>
            <w:r w:rsidRPr="00087F50">
              <w:t>krūts</w:t>
            </w:r>
            <w:proofErr w:type="spellEnd"/>
            <w:r w:rsidRPr="00087F50">
              <w:t xml:space="preserve"> </w:t>
            </w:r>
            <w:proofErr w:type="spellStart"/>
            <w:r w:rsidRPr="00087F50">
              <w:t>slimības</w:t>
            </w:r>
            <w:proofErr w:type="spellEnd"/>
            <w:r w:rsidRPr="00087F50">
              <w:t xml:space="preserve"> </w:t>
            </w:r>
          </w:p>
        </w:tc>
        <w:tc>
          <w:tcPr>
            <w:tcW w:w="6094" w:type="dxa"/>
            <w:tcBorders>
              <w:top w:val="single" w:sz="4" w:space="0" w:color="000000"/>
              <w:left w:val="single" w:sz="4" w:space="0" w:color="000000"/>
              <w:bottom w:val="single" w:sz="4" w:space="0" w:color="000000"/>
              <w:right w:val="single" w:sz="4" w:space="0" w:color="000000"/>
            </w:tcBorders>
          </w:tcPr>
          <w:p w14:paraId="06B261F6" w14:textId="77777777" w:rsidR="00A77DDF" w:rsidRPr="00087F50" w:rsidRDefault="00A77DDF" w:rsidP="00A77DDF">
            <w:pPr>
              <w:spacing w:after="0" w:line="259" w:lineRule="auto"/>
              <w:ind w:left="0" w:firstLine="0"/>
            </w:pPr>
            <w:proofErr w:type="spellStart"/>
            <w:r w:rsidRPr="00087F50">
              <w:rPr>
                <w:u w:val="single" w:color="000000"/>
              </w:rPr>
              <w:t>Retāk</w:t>
            </w:r>
            <w:proofErr w:type="spellEnd"/>
            <w:r w:rsidRPr="00087F50">
              <w:t xml:space="preserve"> </w:t>
            </w:r>
          </w:p>
          <w:p w14:paraId="0464DCFC" w14:textId="77777777" w:rsidR="00A77DDF" w:rsidRPr="00087F50" w:rsidRDefault="00A77DDF" w:rsidP="00A77DDF">
            <w:pPr>
              <w:spacing w:after="0" w:line="259" w:lineRule="auto"/>
              <w:ind w:left="0" w:firstLine="0"/>
            </w:pPr>
            <w:proofErr w:type="spellStart"/>
            <w:r w:rsidRPr="00087F50">
              <w:t>Erektilā</w:t>
            </w:r>
            <w:proofErr w:type="spellEnd"/>
            <w:r w:rsidRPr="00087F50">
              <w:t xml:space="preserve"> </w:t>
            </w:r>
            <w:proofErr w:type="spellStart"/>
            <w:r w:rsidRPr="00087F50">
              <w:t>disfunkcija</w:t>
            </w:r>
            <w:proofErr w:type="spellEnd"/>
            <w:r w:rsidRPr="00087F50">
              <w:t xml:space="preserve"> </w:t>
            </w:r>
          </w:p>
        </w:tc>
      </w:tr>
      <w:tr w:rsidR="00A77DDF" w:rsidRPr="00087F50" w14:paraId="2BF61028" w14:textId="77777777" w:rsidTr="00A77DDF">
        <w:trPr>
          <w:trHeight w:val="1529"/>
        </w:trPr>
        <w:tc>
          <w:tcPr>
            <w:tcW w:w="3228" w:type="dxa"/>
            <w:tcBorders>
              <w:top w:val="single" w:sz="4" w:space="0" w:color="000000"/>
              <w:left w:val="single" w:sz="4" w:space="0" w:color="000000"/>
              <w:bottom w:val="single" w:sz="4" w:space="0" w:color="000000"/>
              <w:right w:val="single" w:sz="4" w:space="0" w:color="000000"/>
            </w:tcBorders>
          </w:tcPr>
          <w:p w14:paraId="06D1BC92" w14:textId="77777777" w:rsidR="00A77DDF" w:rsidRPr="00087F50" w:rsidRDefault="00A77DDF" w:rsidP="00A77DDF">
            <w:pPr>
              <w:spacing w:after="0" w:line="259" w:lineRule="auto"/>
              <w:ind w:left="3" w:firstLine="0"/>
              <w:jc w:val="both"/>
            </w:pPr>
            <w:proofErr w:type="spellStart"/>
            <w:r w:rsidRPr="00087F50">
              <w:t>Vispārēji</w:t>
            </w:r>
            <w:proofErr w:type="spellEnd"/>
            <w:r w:rsidRPr="00087F50">
              <w:t xml:space="preserve"> </w:t>
            </w:r>
            <w:proofErr w:type="spellStart"/>
            <w:r w:rsidRPr="00087F50">
              <w:t>traucējumi</w:t>
            </w:r>
            <w:proofErr w:type="spellEnd"/>
            <w:r w:rsidRPr="00087F50">
              <w:t xml:space="preserve"> un </w:t>
            </w:r>
            <w:proofErr w:type="spellStart"/>
            <w:r w:rsidRPr="00087F50">
              <w:t>reakcijas</w:t>
            </w:r>
            <w:proofErr w:type="spellEnd"/>
            <w:r w:rsidRPr="00087F50">
              <w:t xml:space="preserve"> </w:t>
            </w:r>
            <w:proofErr w:type="spellStart"/>
            <w:r w:rsidRPr="00087F50">
              <w:t>ievadīšanas</w:t>
            </w:r>
            <w:proofErr w:type="spellEnd"/>
            <w:r w:rsidRPr="00087F50">
              <w:t xml:space="preserve"> </w:t>
            </w:r>
            <w:proofErr w:type="spellStart"/>
            <w:r w:rsidRPr="00087F50">
              <w:t>vietā</w:t>
            </w:r>
            <w:proofErr w:type="spellEnd"/>
            <w:r w:rsidRPr="00087F50">
              <w:t xml:space="preserve"> </w:t>
            </w:r>
          </w:p>
        </w:tc>
        <w:tc>
          <w:tcPr>
            <w:tcW w:w="6094" w:type="dxa"/>
            <w:tcBorders>
              <w:top w:val="single" w:sz="4" w:space="0" w:color="000000"/>
              <w:left w:val="single" w:sz="4" w:space="0" w:color="000000"/>
              <w:bottom w:val="single" w:sz="4" w:space="0" w:color="000000"/>
              <w:right w:val="single" w:sz="4" w:space="0" w:color="000000"/>
            </w:tcBorders>
          </w:tcPr>
          <w:p w14:paraId="373BE78F" w14:textId="77777777" w:rsidR="00A77DDF" w:rsidRPr="00087F50" w:rsidRDefault="00A77DDF" w:rsidP="00A77DDF">
            <w:pPr>
              <w:spacing w:after="0" w:line="259" w:lineRule="auto"/>
              <w:ind w:left="0" w:firstLine="0"/>
            </w:pPr>
            <w:proofErr w:type="spellStart"/>
            <w:r w:rsidRPr="00087F50">
              <w:rPr>
                <w:u w:val="single" w:color="000000"/>
              </w:rPr>
              <w:t>Bieži</w:t>
            </w:r>
            <w:proofErr w:type="spellEnd"/>
            <w:r w:rsidRPr="00087F50">
              <w:t xml:space="preserve"> </w:t>
            </w:r>
          </w:p>
          <w:p w14:paraId="102F2D79" w14:textId="064A55BF" w:rsidR="00A77DDF" w:rsidRPr="00087F50" w:rsidRDefault="00A77DDF" w:rsidP="00A77DDF">
            <w:pPr>
              <w:spacing w:after="0" w:line="259" w:lineRule="auto"/>
              <w:ind w:left="0" w:firstLine="0"/>
            </w:pPr>
            <w:proofErr w:type="spellStart"/>
            <w:r w:rsidRPr="00087F50">
              <w:t>Tūska</w:t>
            </w:r>
            <w:proofErr w:type="spellEnd"/>
            <w:r w:rsidR="005325D3">
              <w:t xml:space="preserve">, </w:t>
            </w:r>
            <w:proofErr w:type="spellStart"/>
            <w:r w:rsidR="005325D3">
              <w:t>n</w:t>
            </w:r>
            <w:r w:rsidR="007D181E">
              <w:t>espēks</w:t>
            </w:r>
            <w:proofErr w:type="spellEnd"/>
            <w:r w:rsidRPr="00087F50">
              <w:t xml:space="preserve"> </w:t>
            </w:r>
          </w:p>
          <w:p w14:paraId="7CF02A3C" w14:textId="77777777" w:rsidR="00A77DDF" w:rsidRPr="00087F50" w:rsidRDefault="00A77DDF" w:rsidP="00A77DDF">
            <w:pPr>
              <w:spacing w:after="0" w:line="259" w:lineRule="auto"/>
              <w:ind w:left="0" w:firstLine="0"/>
            </w:pPr>
            <w:proofErr w:type="spellStart"/>
            <w:r w:rsidRPr="00087F50">
              <w:rPr>
                <w:u w:val="single" w:color="000000"/>
              </w:rPr>
              <w:t>Retāk</w:t>
            </w:r>
            <w:proofErr w:type="spellEnd"/>
            <w:r w:rsidRPr="00087F50">
              <w:t xml:space="preserve"> </w:t>
            </w:r>
          </w:p>
          <w:p w14:paraId="7721FDB6" w14:textId="3B3DD99C" w:rsidR="007D181E" w:rsidRDefault="007D181E" w:rsidP="00A77DDF">
            <w:pPr>
              <w:spacing w:after="0" w:line="239" w:lineRule="auto"/>
              <w:ind w:left="0" w:right="238" w:firstLine="0"/>
            </w:pPr>
            <w:proofErr w:type="spellStart"/>
            <w:r>
              <w:t>S</w:t>
            </w:r>
            <w:r w:rsidR="00A77DDF" w:rsidRPr="00087F50">
              <w:t>āpes</w:t>
            </w:r>
            <w:proofErr w:type="spellEnd"/>
            <w:r w:rsidR="00A77DDF" w:rsidRPr="00087F50">
              <w:t xml:space="preserve"> </w:t>
            </w:r>
            <w:proofErr w:type="spellStart"/>
            <w:r w:rsidR="00A77DDF" w:rsidRPr="00087F50">
              <w:t>krūšu</w:t>
            </w:r>
            <w:proofErr w:type="spellEnd"/>
            <w:r w:rsidR="00A77DDF" w:rsidRPr="00087F50">
              <w:t xml:space="preserve"> </w:t>
            </w:r>
            <w:proofErr w:type="spellStart"/>
            <w:r w:rsidR="00A77DDF" w:rsidRPr="00087F50">
              <w:t>kurvī</w:t>
            </w:r>
            <w:proofErr w:type="spellEnd"/>
            <w:r w:rsidR="00A77DDF" w:rsidRPr="00087F50">
              <w:t xml:space="preserve">, </w:t>
            </w:r>
            <w:proofErr w:type="spellStart"/>
            <w:r w:rsidR="00A77DDF" w:rsidRPr="00087F50">
              <w:t>diskomforta</w:t>
            </w:r>
            <w:proofErr w:type="spellEnd"/>
            <w:r w:rsidR="00A77DDF" w:rsidRPr="00087F50">
              <w:t xml:space="preserve"> </w:t>
            </w:r>
            <w:proofErr w:type="spellStart"/>
            <w:r w:rsidR="00A77DDF" w:rsidRPr="00087F50">
              <w:t>sajūta</w:t>
            </w:r>
            <w:proofErr w:type="spellEnd"/>
            <w:r w:rsidR="00A77DDF" w:rsidRPr="00087F50">
              <w:t xml:space="preserve"> </w:t>
            </w:r>
            <w:proofErr w:type="spellStart"/>
            <w:r w:rsidR="00A77DDF" w:rsidRPr="00087F50">
              <w:t>krūšu</w:t>
            </w:r>
            <w:proofErr w:type="spellEnd"/>
            <w:r w:rsidR="00A77DDF" w:rsidRPr="00087F50">
              <w:t xml:space="preserve"> </w:t>
            </w:r>
            <w:proofErr w:type="spellStart"/>
            <w:r w:rsidR="00A77DDF" w:rsidRPr="00087F50">
              <w:t>kurvī</w:t>
            </w:r>
            <w:proofErr w:type="spellEnd"/>
            <w:r>
              <w:t xml:space="preserve">, </w:t>
            </w:r>
            <w:proofErr w:type="spellStart"/>
            <w:r>
              <w:t>sāpes</w:t>
            </w:r>
            <w:proofErr w:type="spellEnd"/>
            <w:r w:rsidR="0081696D" w:rsidRPr="00BE670A">
              <w:rPr>
                <w:rFonts w:hint="eastAsia"/>
                <w:vertAlign w:val="superscript"/>
                <w:lang w:val="en-GB"/>
              </w:rPr>
              <w:t>♯</w:t>
            </w:r>
            <w:r>
              <w:t xml:space="preserve">, </w:t>
            </w:r>
            <w:proofErr w:type="spellStart"/>
            <w:r>
              <w:t>savārgums</w:t>
            </w:r>
            <w:proofErr w:type="spellEnd"/>
            <w:r w:rsidR="0081696D" w:rsidRPr="00BE670A">
              <w:rPr>
                <w:rFonts w:hint="eastAsia"/>
                <w:vertAlign w:val="superscript"/>
                <w:lang w:val="en-GB"/>
              </w:rPr>
              <w:t>♯</w:t>
            </w:r>
            <w:r w:rsidR="00A77DDF" w:rsidRPr="00087F50">
              <w:t xml:space="preserve">  </w:t>
            </w:r>
          </w:p>
          <w:p w14:paraId="2491313E" w14:textId="60F020AA" w:rsidR="00A77DDF" w:rsidRPr="00087F50" w:rsidRDefault="00A77DDF" w:rsidP="00A77DDF">
            <w:pPr>
              <w:spacing w:after="0" w:line="239" w:lineRule="auto"/>
              <w:ind w:left="0" w:right="238" w:firstLine="0"/>
            </w:pPr>
            <w:proofErr w:type="spellStart"/>
            <w:r w:rsidRPr="00087F50">
              <w:rPr>
                <w:u w:val="single" w:color="000000"/>
              </w:rPr>
              <w:t>Reti</w:t>
            </w:r>
            <w:proofErr w:type="spellEnd"/>
            <w:r w:rsidRPr="00087F50">
              <w:t xml:space="preserve"> </w:t>
            </w:r>
          </w:p>
          <w:p w14:paraId="711ACB4C" w14:textId="26E21794" w:rsidR="00A77DDF" w:rsidRPr="00087F50" w:rsidRDefault="00A77DDF" w:rsidP="00A77DDF">
            <w:pPr>
              <w:spacing w:after="0" w:line="259" w:lineRule="auto"/>
              <w:ind w:left="0" w:firstLine="0"/>
            </w:pPr>
            <w:proofErr w:type="spellStart"/>
            <w:r w:rsidRPr="00087F50">
              <w:t>Slāpes</w:t>
            </w:r>
            <w:proofErr w:type="spellEnd"/>
            <w:r w:rsidR="0081696D">
              <w:t xml:space="preserve">, </w:t>
            </w:r>
            <w:proofErr w:type="spellStart"/>
            <w:r w:rsidR="0081696D">
              <w:t>karstuma</w:t>
            </w:r>
            <w:proofErr w:type="spellEnd"/>
            <w:r w:rsidR="0081696D">
              <w:t xml:space="preserve"> </w:t>
            </w:r>
            <w:proofErr w:type="spellStart"/>
            <w:r w:rsidR="0081696D">
              <w:t>sajūta</w:t>
            </w:r>
            <w:proofErr w:type="spellEnd"/>
            <w:r w:rsidR="0081696D" w:rsidRPr="00BE670A">
              <w:rPr>
                <w:rFonts w:hint="eastAsia"/>
                <w:vertAlign w:val="superscript"/>
                <w:lang w:val="en-GB"/>
              </w:rPr>
              <w:t>♯</w:t>
            </w:r>
            <w:r w:rsidRPr="00087F50">
              <w:t xml:space="preserve"> </w:t>
            </w:r>
          </w:p>
        </w:tc>
      </w:tr>
      <w:tr w:rsidR="00A77DDF" w:rsidRPr="00087F50" w14:paraId="6CF58A99" w14:textId="77777777" w:rsidTr="00A77DDF">
        <w:trPr>
          <w:trHeight w:val="4056"/>
        </w:trPr>
        <w:tc>
          <w:tcPr>
            <w:tcW w:w="3228" w:type="dxa"/>
            <w:tcBorders>
              <w:top w:val="single" w:sz="4" w:space="0" w:color="000000"/>
              <w:left w:val="single" w:sz="4" w:space="0" w:color="000000"/>
              <w:bottom w:val="single" w:sz="4" w:space="0" w:color="000000"/>
              <w:right w:val="single" w:sz="4" w:space="0" w:color="000000"/>
            </w:tcBorders>
          </w:tcPr>
          <w:p w14:paraId="19D69797" w14:textId="77777777" w:rsidR="00A77DDF" w:rsidRPr="00087F50" w:rsidRDefault="00A77DDF" w:rsidP="00A77DDF">
            <w:pPr>
              <w:spacing w:after="0" w:line="259" w:lineRule="auto"/>
              <w:ind w:left="3" w:firstLine="0"/>
            </w:pPr>
            <w:proofErr w:type="spellStart"/>
            <w:r w:rsidRPr="00087F50">
              <w:t>Izmeklējumi</w:t>
            </w:r>
            <w:proofErr w:type="spellEnd"/>
            <w:r w:rsidRPr="00087F50">
              <w:t xml:space="preserve"> </w:t>
            </w:r>
          </w:p>
        </w:tc>
        <w:tc>
          <w:tcPr>
            <w:tcW w:w="6094" w:type="dxa"/>
            <w:tcBorders>
              <w:top w:val="single" w:sz="4" w:space="0" w:color="000000"/>
              <w:left w:val="single" w:sz="4" w:space="0" w:color="000000"/>
              <w:bottom w:val="single" w:sz="4" w:space="0" w:color="000000"/>
              <w:right w:val="single" w:sz="4" w:space="0" w:color="000000"/>
            </w:tcBorders>
          </w:tcPr>
          <w:p w14:paraId="58823327" w14:textId="77777777" w:rsidR="00A77DDF" w:rsidRPr="00087F50" w:rsidRDefault="00A77DDF" w:rsidP="00A77DDF">
            <w:pPr>
              <w:spacing w:after="0" w:line="259" w:lineRule="auto"/>
              <w:ind w:left="0" w:firstLine="0"/>
            </w:pPr>
            <w:proofErr w:type="spellStart"/>
            <w:r w:rsidRPr="00087F50">
              <w:rPr>
                <w:u w:val="single" w:color="000000"/>
              </w:rPr>
              <w:t>Retāk</w:t>
            </w:r>
            <w:proofErr w:type="spellEnd"/>
            <w:r w:rsidRPr="00087F50">
              <w:t xml:space="preserve"> </w:t>
            </w:r>
          </w:p>
          <w:p w14:paraId="0D26FABF" w14:textId="77777777" w:rsidR="00C00126" w:rsidRDefault="00A77DDF" w:rsidP="00A77DDF">
            <w:pPr>
              <w:spacing w:after="0" w:line="237" w:lineRule="auto"/>
              <w:ind w:left="0" w:right="53" w:firstLine="0"/>
            </w:pPr>
            <w:proofErr w:type="spellStart"/>
            <w:r w:rsidRPr="00087F50">
              <w:t>Amilāzes</w:t>
            </w:r>
            <w:proofErr w:type="spellEnd"/>
            <w:r w:rsidRPr="00087F50">
              <w:t xml:space="preserve"> </w:t>
            </w:r>
            <w:proofErr w:type="spellStart"/>
            <w:r w:rsidRPr="00087F50">
              <w:t>koncentrācijas</w:t>
            </w:r>
            <w:proofErr w:type="spellEnd"/>
            <w:r w:rsidRPr="00087F50">
              <w:t xml:space="preserve"> </w:t>
            </w:r>
            <w:proofErr w:type="spellStart"/>
            <w:r w:rsidRPr="00087F50">
              <w:t>paaugstināšanās</w:t>
            </w:r>
            <w:proofErr w:type="spellEnd"/>
            <w:r w:rsidRPr="00087F50">
              <w:t xml:space="preserve"> </w:t>
            </w:r>
            <w:proofErr w:type="spellStart"/>
            <w:r w:rsidRPr="00087F50">
              <w:t>asinīs</w:t>
            </w:r>
            <w:proofErr w:type="spellEnd"/>
            <w:r w:rsidRPr="00087F50">
              <w:t xml:space="preserve">, </w:t>
            </w:r>
            <w:proofErr w:type="spellStart"/>
            <w:r w:rsidRPr="00087F50">
              <w:t>trombocītu</w:t>
            </w:r>
            <w:proofErr w:type="spellEnd"/>
            <w:r w:rsidRPr="00087F50">
              <w:t xml:space="preserve"> </w:t>
            </w:r>
            <w:proofErr w:type="spellStart"/>
            <w:r w:rsidRPr="00087F50">
              <w:t>skaita</w:t>
            </w:r>
            <w:proofErr w:type="spellEnd"/>
            <w:r w:rsidRPr="00087F50">
              <w:t xml:space="preserve"> </w:t>
            </w:r>
            <w:proofErr w:type="spellStart"/>
            <w:r w:rsidRPr="00087F50">
              <w:t>samazināšanās</w:t>
            </w:r>
            <w:proofErr w:type="spellEnd"/>
            <w:r w:rsidRPr="00087F50">
              <w:t xml:space="preserve">, </w:t>
            </w:r>
            <w:proofErr w:type="spellStart"/>
            <w:r w:rsidRPr="00087F50">
              <w:t>leikocītu</w:t>
            </w:r>
            <w:proofErr w:type="spellEnd"/>
            <w:r w:rsidRPr="00087F50">
              <w:t xml:space="preserve"> </w:t>
            </w:r>
            <w:proofErr w:type="spellStart"/>
            <w:r w:rsidRPr="00087F50">
              <w:t>skaita</w:t>
            </w:r>
            <w:proofErr w:type="spellEnd"/>
            <w:r w:rsidRPr="00087F50">
              <w:t xml:space="preserve"> </w:t>
            </w:r>
            <w:proofErr w:type="spellStart"/>
            <w:r w:rsidRPr="00087F50">
              <w:t>samazināšanās</w:t>
            </w:r>
            <w:proofErr w:type="spellEnd"/>
            <w:r w:rsidRPr="00087F50">
              <w:t xml:space="preserve">, </w:t>
            </w:r>
            <w:proofErr w:type="spellStart"/>
            <w:r w:rsidRPr="00087F50">
              <w:t>limfocītu</w:t>
            </w:r>
            <w:proofErr w:type="spellEnd"/>
            <w:r w:rsidRPr="00087F50">
              <w:t xml:space="preserve"> </w:t>
            </w:r>
            <w:proofErr w:type="spellStart"/>
            <w:r w:rsidRPr="00087F50">
              <w:t>skaita</w:t>
            </w:r>
            <w:proofErr w:type="spellEnd"/>
            <w:r w:rsidRPr="00087F50">
              <w:t xml:space="preserve"> </w:t>
            </w:r>
            <w:proofErr w:type="spellStart"/>
            <w:r w:rsidRPr="00087F50">
              <w:t>samazināšanās</w:t>
            </w:r>
            <w:proofErr w:type="spellEnd"/>
            <w:r w:rsidRPr="00087F50">
              <w:t xml:space="preserve">, </w:t>
            </w:r>
            <w:proofErr w:type="spellStart"/>
            <w:r w:rsidRPr="00087F50">
              <w:t>kreatīna</w:t>
            </w:r>
            <w:proofErr w:type="spellEnd"/>
            <w:r w:rsidRPr="00087F50">
              <w:t xml:space="preserve"> </w:t>
            </w:r>
            <w:proofErr w:type="spellStart"/>
            <w:r w:rsidRPr="00087F50">
              <w:t>koncentrācijas</w:t>
            </w:r>
            <w:proofErr w:type="spellEnd"/>
            <w:r w:rsidRPr="00087F50">
              <w:t xml:space="preserve"> </w:t>
            </w:r>
            <w:proofErr w:type="spellStart"/>
            <w:r w:rsidRPr="00087F50">
              <w:t>paaugstināšanās</w:t>
            </w:r>
            <w:proofErr w:type="spellEnd"/>
            <w:r w:rsidRPr="00087F50">
              <w:t xml:space="preserve"> </w:t>
            </w:r>
            <w:proofErr w:type="spellStart"/>
            <w:r w:rsidRPr="00087F50">
              <w:t>asinīs</w:t>
            </w:r>
            <w:proofErr w:type="spellEnd"/>
            <w:r w:rsidRPr="00087F50">
              <w:t xml:space="preserve">, </w:t>
            </w:r>
            <w:proofErr w:type="spellStart"/>
            <w:r w:rsidRPr="00087F50">
              <w:t>kreatinīna</w:t>
            </w:r>
            <w:proofErr w:type="spellEnd"/>
            <w:r w:rsidRPr="00087F50">
              <w:t xml:space="preserve"> </w:t>
            </w:r>
            <w:proofErr w:type="spellStart"/>
            <w:r w:rsidRPr="00087F50">
              <w:t>koncentrācijas</w:t>
            </w:r>
            <w:proofErr w:type="spellEnd"/>
            <w:r w:rsidRPr="00087F50">
              <w:t xml:space="preserve"> </w:t>
            </w:r>
            <w:proofErr w:type="spellStart"/>
            <w:r w:rsidRPr="00087F50">
              <w:t>paaugstināšanās</w:t>
            </w:r>
            <w:proofErr w:type="spellEnd"/>
            <w:r w:rsidRPr="00087F50">
              <w:t xml:space="preserve"> </w:t>
            </w:r>
            <w:proofErr w:type="spellStart"/>
            <w:r w:rsidRPr="00087F50">
              <w:t>asinīs</w:t>
            </w:r>
            <w:proofErr w:type="spellEnd"/>
            <w:r w:rsidRPr="00087F50">
              <w:t xml:space="preserve">, </w:t>
            </w:r>
            <w:proofErr w:type="spellStart"/>
            <w:r w:rsidRPr="00087F50">
              <w:t>hemoglobīna</w:t>
            </w:r>
            <w:proofErr w:type="spellEnd"/>
            <w:r w:rsidRPr="00087F50">
              <w:t xml:space="preserve"> </w:t>
            </w:r>
            <w:proofErr w:type="spellStart"/>
            <w:r w:rsidRPr="00087F50">
              <w:t>koncentrācijas</w:t>
            </w:r>
            <w:proofErr w:type="spellEnd"/>
            <w:r w:rsidRPr="00087F50">
              <w:t xml:space="preserve"> </w:t>
            </w:r>
            <w:proofErr w:type="spellStart"/>
            <w:r w:rsidRPr="00087F50">
              <w:t>pazemināšanās</w:t>
            </w:r>
            <w:proofErr w:type="spellEnd"/>
            <w:r w:rsidRPr="00087F50">
              <w:t xml:space="preserve">, </w:t>
            </w:r>
            <w:proofErr w:type="spellStart"/>
            <w:r w:rsidRPr="00087F50">
              <w:t>urīnvielas</w:t>
            </w:r>
            <w:proofErr w:type="spellEnd"/>
            <w:r w:rsidRPr="00087F50">
              <w:t xml:space="preserve"> </w:t>
            </w:r>
            <w:proofErr w:type="spellStart"/>
            <w:r w:rsidRPr="00087F50">
              <w:t>koncentrācijas</w:t>
            </w:r>
            <w:proofErr w:type="spellEnd"/>
            <w:r w:rsidRPr="00087F50">
              <w:t xml:space="preserve"> </w:t>
            </w:r>
            <w:proofErr w:type="spellStart"/>
            <w:r w:rsidRPr="00087F50">
              <w:t>paaugstināšanās</w:t>
            </w:r>
            <w:proofErr w:type="spellEnd"/>
            <w:r w:rsidRPr="00087F50">
              <w:t xml:space="preserve"> </w:t>
            </w:r>
            <w:proofErr w:type="spellStart"/>
            <w:r w:rsidRPr="00087F50">
              <w:t>asinīs</w:t>
            </w:r>
            <w:proofErr w:type="spellEnd"/>
            <w:r w:rsidRPr="00087F50">
              <w:t xml:space="preserve">, </w:t>
            </w:r>
            <w:proofErr w:type="spellStart"/>
            <w:r w:rsidRPr="00087F50">
              <w:t>triglicerīdu</w:t>
            </w:r>
            <w:proofErr w:type="spellEnd"/>
            <w:r w:rsidRPr="00087F50">
              <w:t xml:space="preserve"> </w:t>
            </w:r>
            <w:proofErr w:type="spellStart"/>
            <w:r w:rsidRPr="00087F50">
              <w:t>koncentrācijas</w:t>
            </w:r>
            <w:proofErr w:type="spellEnd"/>
            <w:r w:rsidRPr="00087F50">
              <w:t xml:space="preserve"> </w:t>
            </w:r>
            <w:proofErr w:type="spellStart"/>
            <w:r w:rsidRPr="00087F50">
              <w:t>paaugstināšanās</w:t>
            </w:r>
            <w:proofErr w:type="spellEnd"/>
            <w:r w:rsidRPr="00087F50">
              <w:t xml:space="preserve"> </w:t>
            </w:r>
            <w:proofErr w:type="spellStart"/>
            <w:r w:rsidRPr="00087F50">
              <w:t>asinīs</w:t>
            </w:r>
            <w:proofErr w:type="spellEnd"/>
            <w:r w:rsidRPr="00087F50">
              <w:t xml:space="preserve">, </w:t>
            </w:r>
            <w:proofErr w:type="spellStart"/>
            <w:r w:rsidRPr="00087F50">
              <w:t>holesterīna</w:t>
            </w:r>
            <w:proofErr w:type="spellEnd"/>
            <w:r w:rsidRPr="00087F50">
              <w:t xml:space="preserve"> </w:t>
            </w:r>
            <w:proofErr w:type="spellStart"/>
            <w:r w:rsidRPr="00087F50">
              <w:t>koncentrācijas</w:t>
            </w:r>
            <w:proofErr w:type="spellEnd"/>
            <w:r w:rsidRPr="00087F50">
              <w:t xml:space="preserve"> </w:t>
            </w:r>
            <w:proofErr w:type="spellStart"/>
            <w:r w:rsidRPr="00087F50">
              <w:t>paaugstināšanās</w:t>
            </w:r>
            <w:proofErr w:type="spellEnd"/>
            <w:r w:rsidRPr="00087F50">
              <w:t xml:space="preserve"> </w:t>
            </w:r>
            <w:proofErr w:type="spellStart"/>
            <w:r w:rsidRPr="00087F50">
              <w:t>asinīs</w:t>
            </w:r>
            <w:proofErr w:type="spellEnd"/>
            <w:r w:rsidRPr="00087F50">
              <w:t xml:space="preserve">, </w:t>
            </w:r>
            <w:proofErr w:type="spellStart"/>
            <w:r w:rsidRPr="00087F50">
              <w:t>hematokrīta</w:t>
            </w:r>
            <w:proofErr w:type="spellEnd"/>
            <w:r w:rsidRPr="00087F50">
              <w:t xml:space="preserve"> </w:t>
            </w:r>
            <w:proofErr w:type="spellStart"/>
            <w:r w:rsidRPr="00087F50">
              <w:t>samazināšanās</w:t>
            </w:r>
            <w:proofErr w:type="spellEnd"/>
            <w:r w:rsidRPr="00087F50">
              <w:t xml:space="preserve">, </w:t>
            </w:r>
            <w:proofErr w:type="spellStart"/>
            <w:r w:rsidRPr="00087F50">
              <w:t>laktātdehidrogenāzes</w:t>
            </w:r>
            <w:proofErr w:type="spellEnd"/>
            <w:r w:rsidRPr="00087F50">
              <w:t xml:space="preserve"> </w:t>
            </w:r>
            <w:proofErr w:type="spellStart"/>
            <w:r w:rsidRPr="00087F50">
              <w:t>koncentrācijas</w:t>
            </w:r>
            <w:proofErr w:type="spellEnd"/>
            <w:r w:rsidRPr="00087F50">
              <w:t xml:space="preserve"> </w:t>
            </w:r>
            <w:proofErr w:type="spellStart"/>
            <w:r w:rsidRPr="00087F50">
              <w:t>paaugstināšanās</w:t>
            </w:r>
            <w:proofErr w:type="spellEnd"/>
            <w:r w:rsidRPr="00087F50">
              <w:t xml:space="preserve"> </w:t>
            </w:r>
            <w:proofErr w:type="spellStart"/>
            <w:r w:rsidRPr="00087F50">
              <w:t>asinīs</w:t>
            </w:r>
            <w:proofErr w:type="spellEnd"/>
            <w:r w:rsidRPr="00087F50">
              <w:t xml:space="preserve">, </w:t>
            </w:r>
            <w:proofErr w:type="spellStart"/>
            <w:r w:rsidRPr="00087F50">
              <w:t>kālija</w:t>
            </w:r>
            <w:proofErr w:type="spellEnd"/>
            <w:r w:rsidRPr="00087F50">
              <w:t xml:space="preserve"> </w:t>
            </w:r>
            <w:proofErr w:type="spellStart"/>
            <w:r w:rsidRPr="00087F50">
              <w:t>līmeņa</w:t>
            </w:r>
            <w:proofErr w:type="spellEnd"/>
            <w:r w:rsidRPr="00087F50">
              <w:t xml:space="preserve"> </w:t>
            </w:r>
            <w:proofErr w:type="spellStart"/>
            <w:r w:rsidRPr="00087F50">
              <w:t>paaugstināšanās</w:t>
            </w:r>
            <w:proofErr w:type="spellEnd"/>
            <w:r w:rsidRPr="00087F50">
              <w:t xml:space="preserve"> </w:t>
            </w:r>
            <w:proofErr w:type="spellStart"/>
            <w:r w:rsidRPr="00087F50">
              <w:t>asinīs</w:t>
            </w:r>
            <w:proofErr w:type="spellEnd"/>
            <w:r w:rsidR="00C00126">
              <w:t xml:space="preserve">, </w:t>
            </w:r>
            <w:proofErr w:type="spellStart"/>
            <w:r w:rsidR="00C00126">
              <w:t>paaugstināts</w:t>
            </w:r>
            <w:proofErr w:type="spellEnd"/>
            <w:r w:rsidR="00C00126">
              <w:t xml:space="preserve"> INR</w:t>
            </w:r>
            <w:r w:rsidR="00C00126" w:rsidRPr="00BE670A">
              <w:rPr>
                <w:rFonts w:hint="eastAsia"/>
                <w:vertAlign w:val="superscript"/>
                <w:lang w:val="en-GB"/>
              </w:rPr>
              <w:t>♯</w:t>
            </w:r>
            <w:r w:rsidR="00C00126" w:rsidRPr="00087F50">
              <w:t xml:space="preserve"> </w:t>
            </w:r>
            <w:r w:rsidRPr="00087F50">
              <w:t xml:space="preserve"> </w:t>
            </w:r>
          </w:p>
          <w:p w14:paraId="15F13AF5" w14:textId="305A2415" w:rsidR="00A77DDF" w:rsidRPr="00087F50" w:rsidRDefault="00A77DDF" w:rsidP="00A77DDF">
            <w:pPr>
              <w:spacing w:after="0" w:line="237" w:lineRule="auto"/>
              <w:ind w:left="0" w:right="53" w:firstLine="0"/>
            </w:pPr>
            <w:proofErr w:type="spellStart"/>
            <w:r w:rsidRPr="00087F50">
              <w:rPr>
                <w:u w:val="single" w:color="000000"/>
              </w:rPr>
              <w:t>Reti</w:t>
            </w:r>
            <w:proofErr w:type="spellEnd"/>
            <w:r w:rsidRPr="00087F50">
              <w:t xml:space="preserve"> </w:t>
            </w:r>
          </w:p>
          <w:p w14:paraId="626F9009" w14:textId="4ED21A9A" w:rsidR="00A77DDF" w:rsidRPr="00087F50" w:rsidRDefault="00A77DDF" w:rsidP="00A77DDF">
            <w:pPr>
              <w:spacing w:after="0" w:line="259" w:lineRule="auto"/>
              <w:ind w:left="0" w:firstLine="0"/>
            </w:pPr>
            <w:proofErr w:type="spellStart"/>
            <w:r w:rsidRPr="00087F50">
              <w:t>Glikozes</w:t>
            </w:r>
            <w:proofErr w:type="spellEnd"/>
            <w:r w:rsidRPr="00087F50">
              <w:t xml:space="preserve"> </w:t>
            </w:r>
            <w:proofErr w:type="spellStart"/>
            <w:r w:rsidRPr="00087F50">
              <w:t>koncentrācijas</w:t>
            </w:r>
            <w:proofErr w:type="spellEnd"/>
            <w:r w:rsidRPr="00087F50">
              <w:t xml:space="preserve"> </w:t>
            </w:r>
            <w:proofErr w:type="spellStart"/>
            <w:r w:rsidRPr="00087F50">
              <w:t>paaugstināšanās</w:t>
            </w:r>
            <w:proofErr w:type="spellEnd"/>
            <w:r w:rsidRPr="00087F50">
              <w:t xml:space="preserve"> </w:t>
            </w:r>
            <w:proofErr w:type="spellStart"/>
            <w:r w:rsidRPr="00087F50">
              <w:t>asinīs</w:t>
            </w:r>
            <w:proofErr w:type="spellEnd"/>
            <w:r w:rsidRPr="00087F50">
              <w:t xml:space="preserve">, </w:t>
            </w:r>
            <w:proofErr w:type="spellStart"/>
            <w:r w:rsidRPr="00087F50">
              <w:t>parciālā</w:t>
            </w:r>
            <w:proofErr w:type="spellEnd"/>
            <w:r w:rsidRPr="00087F50">
              <w:t xml:space="preserve"> </w:t>
            </w:r>
            <w:proofErr w:type="spellStart"/>
            <w:r w:rsidRPr="00087F50">
              <w:t>aktivētā</w:t>
            </w:r>
            <w:proofErr w:type="spellEnd"/>
            <w:r w:rsidRPr="00087F50">
              <w:t xml:space="preserve"> </w:t>
            </w:r>
            <w:proofErr w:type="spellStart"/>
            <w:r w:rsidRPr="00087F50">
              <w:t>tromboplastīna</w:t>
            </w:r>
            <w:proofErr w:type="spellEnd"/>
            <w:r w:rsidRPr="00087F50">
              <w:t xml:space="preserve"> </w:t>
            </w:r>
            <w:proofErr w:type="spellStart"/>
            <w:r w:rsidRPr="00087F50">
              <w:t>laika</w:t>
            </w:r>
            <w:proofErr w:type="spellEnd"/>
            <w:r w:rsidRPr="00087F50">
              <w:t xml:space="preserve"> </w:t>
            </w:r>
            <w:proofErr w:type="spellStart"/>
            <w:r w:rsidRPr="00087F50">
              <w:t>pagarināšanās</w:t>
            </w:r>
            <w:proofErr w:type="spellEnd"/>
            <w:r w:rsidRPr="00087F50">
              <w:t xml:space="preserve">, </w:t>
            </w:r>
            <w:proofErr w:type="spellStart"/>
            <w:r w:rsidRPr="00087F50">
              <w:t>eritrocītu</w:t>
            </w:r>
            <w:proofErr w:type="spellEnd"/>
            <w:r w:rsidRPr="00087F50">
              <w:t xml:space="preserve"> </w:t>
            </w:r>
            <w:proofErr w:type="spellStart"/>
            <w:r w:rsidRPr="00087F50">
              <w:t>skaita</w:t>
            </w:r>
            <w:proofErr w:type="spellEnd"/>
            <w:r w:rsidRPr="00087F50">
              <w:t xml:space="preserve"> </w:t>
            </w:r>
            <w:proofErr w:type="spellStart"/>
            <w:r w:rsidRPr="00087F50">
              <w:t>samazināšanās</w:t>
            </w:r>
            <w:proofErr w:type="spellEnd"/>
            <w:r w:rsidRPr="00087F50">
              <w:t xml:space="preserve">, </w:t>
            </w:r>
            <w:proofErr w:type="spellStart"/>
            <w:r w:rsidRPr="00087F50">
              <w:t>sārmainās</w:t>
            </w:r>
            <w:proofErr w:type="spellEnd"/>
            <w:r w:rsidRPr="00087F50">
              <w:t xml:space="preserve"> </w:t>
            </w:r>
            <w:proofErr w:type="spellStart"/>
            <w:r w:rsidRPr="00087F50">
              <w:t>fosfatāzes</w:t>
            </w:r>
            <w:proofErr w:type="spellEnd"/>
            <w:r w:rsidRPr="00087F50">
              <w:t xml:space="preserve"> </w:t>
            </w:r>
            <w:proofErr w:type="spellStart"/>
            <w:r w:rsidRPr="00087F50">
              <w:t>koncentrācijas</w:t>
            </w:r>
            <w:proofErr w:type="spellEnd"/>
            <w:r w:rsidRPr="00087F50">
              <w:t xml:space="preserve"> </w:t>
            </w:r>
            <w:proofErr w:type="spellStart"/>
            <w:r w:rsidRPr="00087F50">
              <w:t>paaugstināšanās</w:t>
            </w:r>
            <w:proofErr w:type="spellEnd"/>
            <w:r w:rsidRPr="00087F50">
              <w:t xml:space="preserve"> </w:t>
            </w:r>
            <w:proofErr w:type="spellStart"/>
            <w:r w:rsidRPr="00087F50">
              <w:t>asinīs</w:t>
            </w:r>
            <w:proofErr w:type="spellEnd"/>
            <w:r w:rsidRPr="00087F50">
              <w:t xml:space="preserve">, </w:t>
            </w:r>
            <w:proofErr w:type="spellStart"/>
            <w:r w:rsidRPr="00087F50">
              <w:t>kreatīnfosfokināzes</w:t>
            </w:r>
            <w:proofErr w:type="spellEnd"/>
            <w:r w:rsidRPr="00087F50">
              <w:t xml:space="preserve"> </w:t>
            </w:r>
            <w:proofErr w:type="spellStart"/>
            <w:r w:rsidRPr="00087F50">
              <w:t>līmeņa</w:t>
            </w:r>
            <w:proofErr w:type="spellEnd"/>
            <w:r w:rsidRPr="00087F50">
              <w:t xml:space="preserve"> </w:t>
            </w:r>
            <w:proofErr w:type="spellStart"/>
            <w:r w:rsidRPr="00087F50">
              <w:t>paaugstināšanās</w:t>
            </w:r>
            <w:proofErr w:type="spellEnd"/>
            <w:r w:rsidRPr="00087F50">
              <w:t xml:space="preserve"> </w:t>
            </w:r>
            <w:proofErr w:type="spellStart"/>
            <w:r w:rsidRPr="00087F50">
              <w:t>asinīs</w:t>
            </w:r>
            <w:proofErr w:type="spellEnd"/>
            <w:r w:rsidRPr="00087F50">
              <w:t>*</w:t>
            </w:r>
          </w:p>
        </w:tc>
      </w:tr>
      <w:tr w:rsidR="00C00126" w:rsidRPr="00087F50" w14:paraId="7F2DB8FE" w14:textId="77777777" w:rsidTr="00890F7A">
        <w:trPr>
          <w:trHeight w:val="877"/>
        </w:trPr>
        <w:tc>
          <w:tcPr>
            <w:tcW w:w="3228" w:type="dxa"/>
            <w:tcBorders>
              <w:top w:val="single" w:sz="4" w:space="0" w:color="000000"/>
              <w:left w:val="single" w:sz="4" w:space="0" w:color="000000"/>
              <w:bottom w:val="single" w:sz="4" w:space="0" w:color="000000"/>
              <w:right w:val="single" w:sz="4" w:space="0" w:color="000000"/>
            </w:tcBorders>
          </w:tcPr>
          <w:p w14:paraId="3C948162" w14:textId="51F04A6E" w:rsidR="00C00126" w:rsidRPr="00087F50" w:rsidRDefault="00C00126" w:rsidP="00A77DDF">
            <w:pPr>
              <w:spacing w:after="0" w:line="259" w:lineRule="auto"/>
              <w:ind w:left="3" w:firstLine="0"/>
            </w:pPr>
            <w:r>
              <w:t xml:space="preserve">Traumas, </w:t>
            </w:r>
            <w:proofErr w:type="spellStart"/>
            <w:r>
              <w:t>saindēšanās</w:t>
            </w:r>
            <w:proofErr w:type="spellEnd"/>
            <w:r>
              <w:t xml:space="preserve"> un ar </w:t>
            </w:r>
            <w:proofErr w:type="spellStart"/>
            <w:r>
              <w:t>manipulācijām</w:t>
            </w:r>
            <w:proofErr w:type="spellEnd"/>
            <w:r>
              <w:t xml:space="preserve"> </w:t>
            </w:r>
            <w:proofErr w:type="spellStart"/>
            <w:r>
              <w:t>saistītas</w:t>
            </w:r>
            <w:proofErr w:type="spellEnd"/>
            <w:r>
              <w:t xml:space="preserve"> </w:t>
            </w:r>
            <w:proofErr w:type="spellStart"/>
            <w:r>
              <w:t>komplikācijas</w:t>
            </w:r>
            <w:proofErr w:type="spellEnd"/>
            <w:r>
              <w:t xml:space="preserve"> </w:t>
            </w:r>
          </w:p>
        </w:tc>
        <w:tc>
          <w:tcPr>
            <w:tcW w:w="6094" w:type="dxa"/>
            <w:tcBorders>
              <w:top w:val="single" w:sz="4" w:space="0" w:color="000000"/>
              <w:left w:val="single" w:sz="4" w:space="0" w:color="000000"/>
              <w:bottom w:val="single" w:sz="4" w:space="0" w:color="000000"/>
              <w:right w:val="single" w:sz="4" w:space="0" w:color="000000"/>
            </w:tcBorders>
          </w:tcPr>
          <w:p w14:paraId="0499E0D4" w14:textId="77777777" w:rsidR="00C00126" w:rsidRDefault="00C00126" w:rsidP="00A77DDF">
            <w:pPr>
              <w:spacing w:after="0" w:line="259" w:lineRule="auto"/>
              <w:ind w:left="0" w:firstLine="0"/>
            </w:pPr>
            <w:proofErr w:type="spellStart"/>
            <w:r w:rsidRPr="00B56137">
              <w:rPr>
                <w:u w:val="single"/>
              </w:rPr>
              <w:t>Retāk</w:t>
            </w:r>
            <w:proofErr w:type="spellEnd"/>
            <w:r>
              <w:t xml:space="preserve"> </w:t>
            </w:r>
          </w:p>
          <w:p w14:paraId="28347308" w14:textId="3779717E" w:rsidR="00C00126" w:rsidRPr="00087F50" w:rsidRDefault="00C00126" w:rsidP="00A77DDF">
            <w:pPr>
              <w:spacing w:after="0" w:line="259" w:lineRule="auto"/>
              <w:ind w:left="0" w:firstLine="0"/>
              <w:rPr>
                <w:u w:val="single" w:color="000000"/>
              </w:rPr>
            </w:pPr>
            <w:proofErr w:type="spellStart"/>
            <w:r>
              <w:t>Sasitums</w:t>
            </w:r>
            <w:proofErr w:type="spellEnd"/>
            <w:r w:rsidRPr="00BE670A">
              <w:rPr>
                <w:rFonts w:hint="eastAsia"/>
                <w:vertAlign w:val="superscript"/>
                <w:lang w:val="en-GB"/>
              </w:rPr>
              <w:t>♯</w:t>
            </w:r>
          </w:p>
        </w:tc>
      </w:tr>
    </w:tbl>
    <w:p w14:paraId="22D30DEA" w14:textId="77777777" w:rsidR="00A77DDF" w:rsidRPr="00087F50" w:rsidRDefault="00A77DDF" w:rsidP="00A77DDF">
      <w:pPr>
        <w:ind w:left="577" w:right="9"/>
      </w:pPr>
      <w:r w:rsidRPr="00087F50">
        <w:t xml:space="preserve">* </w:t>
      </w:r>
      <w:proofErr w:type="spellStart"/>
      <w:r w:rsidRPr="00087F50">
        <w:t>Zāļu</w:t>
      </w:r>
      <w:proofErr w:type="spellEnd"/>
      <w:r w:rsidRPr="00087F50">
        <w:t xml:space="preserve"> </w:t>
      </w:r>
      <w:proofErr w:type="spellStart"/>
      <w:r w:rsidRPr="00087F50">
        <w:t>lietošanas</w:t>
      </w:r>
      <w:proofErr w:type="spellEnd"/>
      <w:r w:rsidRPr="00087F50">
        <w:t xml:space="preserve"> </w:t>
      </w:r>
      <w:proofErr w:type="spellStart"/>
      <w:r w:rsidRPr="00087F50">
        <w:t>izraisītas</w:t>
      </w:r>
      <w:proofErr w:type="spellEnd"/>
      <w:r w:rsidRPr="00087F50">
        <w:t xml:space="preserve"> </w:t>
      </w:r>
      <w:proofErr w:type="spellStart"/>
      <w:r w:rsidRPr="00087F50">
        <w:t>blakusparādības</w:t>
      </w:r>
      <w:proofErr w:type="spellEnd"/>
      <w:r w:rsidRPr="00087F50">
        <w:t xml:space="preserve"> (</w:t>
      </w:r>
      <w:proofErr w:type="spellStart"/>
      <w:r w:rsidRPr="00087F50">
        <w:t>pēcreģistrācijas</w:t>
      </w:r>
      <w:proofErr w:type="spellEnd"/>
      <w:r w:rsidRPr="00087F50">
        <w:t xml:space="preserve"> </w:t>
      </w:r>
      <w:proofErr w:type="spellStart"/>
      <w:r w:rsidRPr="00087F50">
        <w:t>pieredze</w:t>
      </w:r>
      <w:proofErr w:type="spellEnd"/>
      <w:r w:rsidRPr="00087F50">
        <w:t xml:space="preserve">). </w:t>
      </w:r>
    </w:p>
    <w:p w14:paraId="15C98714" w14:textId="77777777" w:rsidR="00A77DDF" w:rsidRPr="00087F50" w:rsidRDefault="00A77DDF" w:rsidP="00A77DDF">
      <w:pPr>
        <w:spacing w:after="7" w:line="233" w:lineRule="auto"/>
        <w:ind w:left="578" w:right="119" w:hanging="10"/>
        <w:jc w:val="both"/>
      </w:pPr>
      <w:r w:rsidRPr="00087F50">
        <w:t xml:space="preserve">** </w:t>
      </w:r>
      <w:proofErr w:type="spellStart"/>
      <w:r w:rsidRPr="00087F50">
        <w:t>Apvienoto</w:t>
      </w:r>
      <w:proofErr w:type="spellEnd"/>
      <w:r w:rsidRPr="00087F50">
        <w:t xml:space="preserve"> 3. </w:t>
      </w:r>
      <w:proofErr w:type="spellStart"/>
      <w:r w:rsidRPr="00087F50">
        <w:t>fāzes</w:t>
      </w:r>
      <w:proofErr w:type="spellEnd"/>
      <w:r w:rsidRPr="00087F50">
        <w:t xml:space="preserve"> </w:t>
      </w:r>
      <w:proofErr w:type="spellStart"/>
      <w:r w:rsidRPr="00087F50">
        <w:t>pētījumu</w:t>
      </w:r>
      <w:proofErr w:type="spellEnd"/>
      <w:r w:rsidRPr="00087F50">
        <w:t xml:space="preserve"> </w:t>
      </w:r>
      <w:proofErr w:type="spellStart"/>
      <w:r w:rsidRPr="00087F50">
        <w:t>rezultāti</w:t>
      </w:r>
      <w:proofErr w:type="spellEnd"/>
      <w:r w:rsidRPr="00087F50">
        <w:t xml:space="preserve"> </w:t>
      </w:r>
      <w:proofErr w:type="spellStart"/>
      <w:r w:rsidRPr="00087F50">
        <w:t>norādīja</w:t>
      </w:r>
      <w:proofErr w:type="spellEnd"/>
      <w:r w:rsidRPr="00087F50">
        <w:t xml:space="preserve">, </w:t>
      </w:r>
      <w:proofErr w:type="spellStart"/>
      <w:r w:rsidRPr="00087F50">
        <w:t>ka</w:t>
      </w:r>
      <w:proofErr w:type="spellEnd"/>
      <w:r w:rsidRPr="00087F50">
        <w:t xml:space="preserve"> </w:t>
      </w:r>
      <w:proofErr w:type="spellStart"/>
      <w:r w:rsidRPr="00087F50">
        <w:t>starp</w:t>
      </w:r>
      <w:proofErr w:type="spellEnd"/>
      <w:r w:rsidRPr="00087F50">
        <w:t xml:space="preserve"> </w:t>
      </w:r>
      <w:proofErr w:type="spellStart"/>
      <w:r w:rsidRPr="00087F50">
        <w:t>pacientiem</w:t>
      </w:r>
      <w:proofErr w:type="spellEnd"/>
      <w:r w:rsidRPr="00087F50">
        <w:t xml:space="preserve">, </w:t>
      </w:r>
      <w:proofErr w:type="spellStart"/>
      <w:r w:rsidRPr="00087F50">
        <w:t>kuri</w:t>
      </w:r>
      <w:proofErr w:type="spellEnd"/>
      <w:r w:rsidRPr="00087F50">
        <w:t xml:space="preserve"> </w:t>
      </w:r>
      <w:proofErr w:type="spellStart"/>
      <w:r w:rsidRPr="00087F50">
        <w:t>vienlaikus</w:t>
      </w:r>
      <w:proofErr w:type="spellEnd"/>
      <w:r w:rsidRPr="00087F50">
        <w:t xml:space="preserve"> </w:t>
      </w:r>
      <w:proofErr w:type="spellStart"/>
      <w:r w:rsidRPr="00087F50">
        <w:t>ārstēti</w:t>
      </w:r>
      <w:proofErr w:type="spellEnd"/>
      <w:r w:rsidRPr="00087F50">
        <w:t xml:space="preserve"> ar </w:t>
      </w:r>
      <w:proofErr w:type="spellStart"/>
      <w:r w:rsidRPr="00087F50">
        <w:t>kolhicīnu</w:t>
      </w:r>
      <w:proofErr w:type="spellEnd"/>
      <w:r w:rsidRPr="00087F50">
        <w:t xml:space="preserve">, </w:t>
      </w:r>
      <w:proofErr w:type="spellStart"/>
      <w:r w:rsidRPr="00087F50">
        <w:t>biežāk</w:t>
      </w:r>
      <w:proofErr w:type="spellEnd"/>
      <w:r w:rsidRPr="00087F50">
        <w:t xml:space="preserve"> </w:t>
      </w:r>
      <w:proofErr w:type="spellStart"/>
      <w:r w:rsidRPr="00087F50">
        <w:t>novēro</w:t>
      </w:r>
      <w:proofErr w:type="spellEnd"/>
      <w:r w:rsidRPr="00087F50">
        <w:t xml:space="preserve"> </w:t>
      </w:r>
      <w:proofErr w:type="spellStart"/>
      <w:r w:rsidRPr="00087F50">
        <w:t>ārstēšanas</w:t>
      </w:r>
      <w:proofErr w:type="spellEnd"/>
      <w:r w:rsidRPr="00087F50">
        <w:t xml:space="preserve"> </w:t>
      </w:r>
      <w:proofErr w:type="spellStart"/>
      <w:r w:rsidRPr="00087F50">
        <w:t>izraisītas</w:t>
      </w:r>
      <w:proofErr w:type="spellEnd"/>
      <w:r w:rsidRPr="00087F50">
        <w:t xml:space="preserve"> </w:t>
      </w:r>
      <w:proofErr w:type="spellStart"/>
      <w:r w:rsidRPr="00087F50">
        <w:t>neinfekciozas</w:t>
      </w:r>
      <w:proofErr w:type="spellEnd"/>
      <w:r w:rsidRPr="00087F50">
        <w:t xml:space="preserve"> </w:t>
      </w:r>
      <w:proofErr w:type="spellStart"/>
      <w:r w:rsidRPr="00087F50">
        <w:t>caurejas</w:t>
      </w:r>
      <w:proofErr w:type="spellEnd"/>
      <w:r w:rsidRPr="00087F50">
        <w:t xml:space="preserve"> un </w:t>
      </w:r>
      <w:proofErr w:type="spellStart"/>
      <w:r w:rsidRPr="00087F50">
        <w:t>aknu</w:t>
      </w:r>
      <w:proofErr w:type="spellEnd"/>
      <w:r w:rsidRPr="00087F50">
        <w:t xml:space="preserve"> </w:t>
      </w:r>
      <w:proofErr w:type="spellStart"/>
      <w:r w:rsidRPr="00087F50">
        <w:t>funkcionālo</w:t>
      </w:r>
      <w:proofErr w:type="spellEnd"/>
      <w:r w:rsidRPr="00087F50">
        <w:t xml:space="preserve"> </w:t>
      </w:r>
      <w:proofErr w:type="spellStart"/>
      <w:r w:rsidRPr="00087F50">
        <w:t>testu</w:t>
      </w:r>
      <w:proofErr w:type="spellEnd"/>
      <w:r w:rsidRPr="00087F50">
        <w:t xml:space="preserve"> </w:t>
      </w:r>
      <w:proofErr w:type="spellStart"/>
      <w:r w:rsidRPr="00087F50">
        <w:t>rezultātu</w:t>
      </w:r>
      <w:proofErr w:type="spellEnd"/>
      <w:r w:rsidRPr="00087F50">
        <w:t xml:space="preserve"> </w:t>
      </w:r>
      <w:proofErr w:type="spellStart"/>
      <w:r w:rsidRPr="00087F50">
        <w:t>novirzes</w:t>
      </w:r>
      <w:proofErr w:type="spellEnd"/>
      <w:r w:rsidRPr="00087F50">
        <w:t xml:space="preserve">. </w:t>
      </w:r>
    </w:p>
    <w:p w14:paraId="6F4FBF2A" w14:textId="77777777" w:rsidR="00A77DDF" w:rsidRPr="00087F50" w:rsidRDefault="00A77DDF" w:rsidP="00A77DDF">
      <w:pPr>
        <w:ind w:left="577" w:right="9"/>
      </w:pPr>
      <w:r w:rsidRPr="00087F50">
        <w:t xml:space="preserve">*** </w:t>
      </w:r>
      <w:proofErr w:type="spellStart"/>
      <w:r w:rsidRPr="00087F50">
        <w:t>Informāciju</w:t>
      </w:r>
      <w:proofErr w:type="spellEnd"/>
      <w:r w:rsidRPr="00087F50">
        <w:t xml:space="preserve"> par podagras </w:t>
      </w:r>
      <w:proofErr w:type="spellStart"/>
      <w:r w:rsidRPr="00087F50">
        <w:t>uzliesmojumu</w:t>
      </w:r>
      <w:proofErr w:type="spellEnd"/>
      <w:r w:rsidRPr="00087F50">
        <w:t xml:space="preserve"> </w:t>
      </w:r>
      <w:proofErr w:type="spellStart"/>
      <w:r w:rsidRPr="00087F50">
        <w:t>sastopamību</w:t>
      </w:r>
      <w:proofErr w:type="spellEnd"/>
      <w:r w:rsidRPr="00087F50">
        <w:t xml:space="preserve"> </w:t>
      </w:r>
      <w:proofErr w:type="spellStart"/>
      <w:r w:rsidRPr="00087F50">
        <w:t>atsevišķo</w:t>
      </w:r>
      <w:proofErr w:type="spellEnd"/>
      <w:r w:rsidRPr="00087F50">
        <w:t xml:space="preserve"> 3. </w:t>
      </w:r>
      <w:proofErr w:type="spellStart"/>
      <w:r w:rsidRPr="00087F50">
        <w:t>fāzes</w:t>
      </w:r>
      <w:proofErr w:type="spellEnd"/>
      <w:r w:rsidRPr="00087F50">
        <w:t xml:space="preserve"> </w:t>
      </w:r>
      <w:proofErr w:type="spellStart"/>
      <w:r w:rsidRPr="00087F50">
        <w:t>randomizēto</w:t>
      </w:r>
      <w:proofErr w:type="spellEnd"/>
      <w:r w:rsidRPr="00087F50">
        <w:t xml:space="preserve"> </w:t>
      </w:r>
      <w:proofErr w:type="spellStart"/>
      <w:r w:rsidRPr="00087F50">
        <w:t>kontrolēto</w:t>
      </w:r>
      <w:proofErr w:type="spellEnd"/>
      <w:r w:rsidRPr="00087F50">
        <w:t xml:space="preserve"> </w:t>
      </w:r>
      <w:proofErr w:type="spellStart"/>
      <w:r w:rsidRPr="00087F50">
        <w:t>pētījumu</w:t>
      </w:r>
      <w:proofErr w:type="spellEnd"/>
      <w:r w:rsidRPr="00087F50">
        <w:t xml:space="preserve"> </w:t>
      </w:r>
      <w:proofErr w:type="spellStart"/>
      <w:r w:rsidRPr="00087F50">
        <w:t>laikā</w:t>
      </w:r>
      <w:proofErr w:type="spellEnd"/>
      <w:r w:rsidRPr="00087F50">
        <w:t xml:space="preserve"> </w:t>
      </w:r>
      <w:proofErr w:type="spellStart"/>
      <w:r w:rsidRPr="00087F50">
        <w:t>skatīt</w:t>
      </w:r>
      <w:proofErr w:type="spellEnd"/>
      <w:r w:rsidRPr="00087F50">
        <w:t xml:space="preserve"> 5.1. </w:t>
      </w:r>
      <w:proofErr w:type="spellStart"/>
      <w:r w:rsidRPr="00087F50">
        <w:t>apakšpunktā</w:t>
      </w:r>
      <w:proofErr w:type="spellEnd"/>
      <w:r w:rsidRPr="00087F50">
        <w:t xml:space="preserve">. </w:t>
      </w:r>
    </w:p>
    <w:p w14:paraId="6165913D" w14:textId="0CF3E1B5" w:rsidR="00A77DDF" w:rsidRDefault="00AB66E3" w:rsidP="00890F7A">
      <w:pPr>
        <w:spacing w:after="0" w:line="259" w:lineRule="auto"/>
        <w:ind w:left="568" w:firstLine="139"/>
      </w:pPr>
      <w:r w:rsidRPr="00BE670A">
        <w:rPr>
          <w:rFonts w:hint="eastAsia"/>
          <w:vertAlign w:val="superscript"/>
          <w:lang w:val="en-GB"/>
        </w:rPr>
        <w:t>♯</w:t>
      </w:r>
      <w:r w:rsidR="00E624C2">
        <w:rPr>
          <w:vertAlign w:val="superscript"/>
          <w:lang w:val="en-GB"/>
        </w:rPr>
        <w:t xml:space="preserve"> </w:t>
      </w:r>
      <w:proofErr w:type="spellStart"/>
      <w:r w:rsidR="00E624C2">
        <w:t>Zāļu</w:t>
      </w:r>
      <w:proofErr w:type="spellEnd"/>
      <w:r w:rsidR="00E624C2">
        <w:t xml:space="preserve"> </w:t>
      </w:r>
      <w:proofErr w:type="spellStart"/>
      <w:r w:rsidR="00E624C2">
        <w:t>lietošanas</w:t>
      </w:r>
      <w:proofErr w:type="spellEnd"/>
      <w:r w:rsidR="00E624C2">
        <w:t xml:space="preserve"> </w:t>
      </w:r>
      <w:proofErr w:type="spellStart"/>
      <w:r w:rsidR="00E624C2">
        <w:t>izraisītas</w:t>
      </w:r>
      <w:proofErr w:type="spellEnd"/>
      <w:r w:rsidR="00E624C2">
        <w:t xml:space="preserve"> </w:t>
      </w:r>
      <w:proofErr w:type="spellStart"/>
      <w:r w:rsidR="00E624C2">
        <w:t>blakusparādības</w:t>
      </w:r>
      <w:proofErr w:type="spellEnd"/>
      <w:r w:rsidR="00E624C2">
        <w:t xml:space="preserve">, </w:t>
      </w:r>
      <w:proofErr w:type="spellStart"/>
      <w:r w:rsidR="00E624C2">
        <w:t>kas</w:t>
      </w:r>
      <w:proofErr w:type="spellEnd"/>
      <w:r w:rsidR="00E624C2">
        <w:t xml:space="preserve"> </w:t>
      </w:r>
      <w:proofErr w:type="spellStart"/>
      <w:r w:rsidR="00E624C2">
        <w:t>iegūtas</w:t>
      </w:r>
      <w:proofErr w:type="spellEnd"/>
      <w:r w:rsidR="00E624C2">
        <w:t xml:space="preserve"> </w:t>
      </w:r>
      <w:proofErr w:type="spellStart"/>
      <w:r w:rsidR="00E624C2">
        <w:t>pēcreģistrācijas</w:t>
      </w:r>
      <w:proofErr w:type="spellEnd"/>
      <w:r w:rsidR="00E624C2">
        <w:t xml:space="preserve"> </w:t>
      </w:r>
      <w:proofErr w:type="spellStart"/>
      <w:r w:rsidR="00E624C2">
        <w:t>drošuma</w:t>
      </w:r>
      <w:proofErr w:type="spellEnd"/>
      <w:r w:rsidR="00E624C2">
        <w:t xml:space="preserve"> </w:t>
      </w:r>
      <w:proofErr w:type="spellStart"/>
      <w:r w:rsidR="00E624C2">
        <w:t>pētījumos</w:t>
      </w:r>
      <w:proofErr w:type="spellEnd"/>
      <w:r w:rsidR="00E624C2">
        <w:t>.</w:t>
      </w:r>
    </w:p>
    <w:p w14:paraId="40CA03D0" w14:textId="77777777" w:rsidR="00E624C2" w:rsidRPr="00087F50" w:rsidRDefault="00E624C2" w:rsidP="00A77DDF">
      <w:pPr>
        <w:spacing w:after="0" w:line="259" w:lineRule="auto"/>
        <w:ind w:left="2" w:firstLine="0"/>
      </w:pPr>
    </w:p>
    <w:p w14:paraId="1081A90E" w14:textId="77777777" w:rsidR="00A77DDF" w:rsidRPr="00B56137" w:rsidRDefault="00A77DDF" w:rsidP="00A77DDF">
      <w:pPr>
        <w:spacing w:after="13" w:line="249" w:lineRule="auto"/>
        <w:ind w:left="-3" w:hanging="10"/>
        <w:rPr>
          <w:iCs/>
          <w:u w:val="single"/>
        </w:rPr>
      </w:pPr>
      <w:proofErr w:type="spellStart"/>
      <w:r w:rsidRPr="00B56137">
        <w:rPr>
          <w:iCs/>
          <w:u w:val="single"/>
        </w:rPr>
        <w:t>Atsevišķu</w:t>
      </w:r>
      <w:proofErr w:type="spellEnd"/>
      <w:r w:rsidRPr="00B56137">
        <w:rPr>
          <w:iCs/>
          <w:u w:val="single"/>
        </w:rPr>
        <w:t xml:space="preserve"> </w:t>
      </w:r>
      <w:proofErr w:type="spellStart"/>
      <w:r w:rsidRPr="00B56137">
        <w:rPr>
          <w:iCs/>
          <w:u w:val="single"/>
        </w:rPr>
        <w:t>blakusparādību</w:t>
      </w:r>
      <w:proofErr w:type="spellEnd"/>
      <w:r w:rsidRPr="00B56137">
        <w:rPr>
          <w:iCs/>
          <w:u w:val="single"/>
        </w:rPr>
        <w:t xml:space="preserve"> </w:t>
      </w:r>
      <w:proofErr w:type="spellStart"/>
      <w:r w:rsidRPr="00B56137">
        <w:rPr>
          <w:iCs/>
          <w:u w:val="single"/>
        </w:rPr>
        <w:t>raksturojums</w:t>
      </w:r>
      <w:proofErr w:type="spellEnd"/>
      <w:r w:rsidRPr="00B56137">
        <w:rPr>
          <w:iCs/>
          <w:u w:val="single"/>
        </w:rPr>
        <w:t xml:space="preserve"> </w:t>
      </w:r>
    </w:p>
    <w:p w14:paraId="593F3408" w14:textId="77777777" w:rsidR="00A77DDF" w:rsidRPr="00087F50" w:rsidRDefault="00A77DDF" w:rsidP="00A77DDF">
      <w:pPr>
        <w:ind w:left="-3" w:right="9"/>
      </w:pPr>
      <w:proofErr w:type="spellStart"/>
      <w:r w:rsidRPr="00087F50">
        <w:t>Pēcreģistrācijas</w:t>
      </w:r>
      <w:proofErr w:type="spellEnd"/>
      <w:r w:rsidRPr="00087F50">
        <w:t xml:space="preserve"> </w:t>
      </w:r>
      <w:proofErr w:type="spellStart"/>
      <w:r w:rsidRPr="00087F50">
        <w:t>uzraudzības</w:t>
      </w:r>
      <w:proofErr w:type="spellEnd"/>
      <w:r w:rsidRPr="00087F50">
        <w:t xml:space="preserve"> </w:t>
      </w:r>
      <w:proofErr w:type="spellStart"/>
      <w:r w:rsidRPr="00087F50">
        <w:t>laikā</w:t>
      </w:r>
      <w:proofErr w:type="spellEnd"/>
      <w:r w:rsidRPr="00087F50">
        <w:t xml:space="preserve"> </w:t>
      </w:r>
      <w:proofErr w:type="spellStart"/>
      <w:r w:rsidRPr="00087F50">
        <w:t>reti</w:t>
      </w:r>
      <w:proofErr w:type="spellEnd"/>
      <w:r w:rsidRPr="00087F50">
        <w:t xml:space="preserve"> </w:t>
      </w:r>
      <w:proofErr w:type="spellStart"/>
      <w:r w:rsidRPr="00087F50">
        <w:t>novērotas</w:t>
      </w:r>
      <w:proofErr w:type="spellEnd"/>
      <w:r w:rsidRPr="00087F50">
        <w:t xml:space="preserve"> </w:t>
      </w:r>
      <w:proofErr w:type="spellStart"/>
      <w:r w:rsidRPr="00087F50">
        <w:t>smagas</w:t>
      </w:r>
      <w:proofErr w:type="spellEnd"/>
      <w:r w:rsidRPr="00087F50">
        <w:t xml:space="preserve"> </w:t>
      </w:r>
      <w:proofErr w:type="spellStart"/>
      <w:r w:rsidRPr="00087F50">
        <w:t>paaugstinātas</w:t>
      </w:r>
      <w:proofErr w:type="spellEnd"/>
      <w:r w:rsidRPr="00087F50">
        <w:t xml:space="preserve"> </w:t>
      </w:r>
      <w:proofErr w:type="spellStart"/>
      <w:r w:rsidRPr="00087F50">
        <w:t>jutības</w:t>
      </w:r>
      <w:proofErr w:type="spellEnd"/>
      <w:r w:rsidRPr="00087F50">
        <w:t xml:space="preserve"> </w:t>
      </w:r>
      <w:proofErr w:type="spellStart"/>
      <w:r w:rsidRPr="00087F50">
        <w:t>reakcijas</w:t>
      </w:r>
      <w:proofErr w:type="spellEnd"/>
      <w:r w:rsidRPr="00087F50">
        <w:t xml:space="preserve"> </w:t>
      </w:r>
      <w:proofErr w:type="spellStart"/>
      <w:r w:rsidRPr="00087F50">
        <w:t>pret</w:t>
      </w:r>
      <w:proofErr w:type="spellEnd"/>
      <w:r w:rsidRPr="00087F50">
        <w:t xml:space="preserve"> </w:t>
      </w:r>
      <w:proofErr w:type="spellStart"/>
      <w:r w:rsidRPr="00087F50">
        <w:t>febuksostatu</w:t>
      </w:r>
      <w:proofErr w:type="spellEnd"/>
      <w:r w:rsidRPr="00087F50">
        <w:t xml:space="preserve">, </w:t>
      </w:r>
      <w:proofErr w:type="spellStart"/>
      <w:r w:rsidRPr="00087F50">
        <w:t>to</w:t>
      </w:r>
      <w:proofErr w:type="spellEnd"/>
      <w:r w:rsidRPr="00087F50">
        <w:t xml:space="preserve"> </w:t>
      </w:r>
      <w:proofErr w:type="spellStart"/>
      <w:r w:rsidRPr="00087F50">
        <w:t>vidū</w:t>
      </w:r>
      <w:proofErr w:type="spellEnd"/>
      <w:r w:rsidRPr="00087F50">
        <w:t xml:space="preserve"> </w:t>
      </w:r>
      <w:proofErr w:type="spellStart"/>
      <w:r w:rsidRPr="00087F50">
        <w:t>Stīvensa-Džonsona</w:t>
      </w:r>
      <w:proofErr w:type="spellEnd"/>
      <w:r w:rsidRPr="00087F50">
        <w:t xml:space="preserve"> </w:t>
      </w:r>
      <w:proofErr w:type="spellStart"/>
      <w:r w:rsidRPr="00087F50">
        <w:t>sindroms</w:t>
      </w:r>
      <w:proofErr w:type="spellEnd"/>
      <w:r w:rsidRPr="00087F50">
        <w:t xml:space="preserve">, </w:t>
      </w:r>
      <w:proofErr w:type="spellStart"/>
      <w:r w:rsidRPr="00087F50">
        <w:t>toksiska</w:t>
      </w:r>
      <w:proofErr w:type="spellEnd"/>
      <w:r w:rsidRPr="00087F50">
        <w:t xml:space="preserve"> </w:t>
      </w:r>
      <w:proofErr w:type="spellStart"/>
      <w:r w:rsidRPr="00087F50">
        <w:t>epidermas</w:t>
      </w:r>
      <w:proofErr w:type="spellEnd"/>
      <w:r w:rsidRPr="00087F50">
        <w:t xml:space="preserve"> </w:t>
      </w:r>
      <w:proofErr w:type="spellStart"/>
      <w:r w:rsidRPr="00087F50">
        <w:t>nekrolīze</w:t>
      </w:r>
      <w:proofErr w:type="spellEnd"/>
      <w:r w:rsidRPr="00087F50">
        <w:t xml:space="preserve"> un </w:t>
      </w:r>
      <w:proofErr w:type="spellStart"/>
      <w:r w:rsidRPr="00087F50">
        <w:t>anafilaktiskas</w:t>
      </w:r>
      <w:proofErr w:type="spellEnd"/>
      <w:r w:rsidRPr="00087F50">
        <w:t xml:space="preserve"> </w:t>
      </w:r>
      <w:proofErr w:type="spellStart"/>
      <w:r w:rsidRPr="00087F50">
        <w:t>reakcijas</w:t>
      </w:r>
      <w:proofErr w:type="spellEnd"/>
      <w:r w:rsidRPr="00087F50">
        <w:t>/</w:t>
      </w:r>
      <w:proofErr w:type="spellStart"/>
      <w:r w:rsidRPr="00087F50">
        <w:t>šoks</w:t>
      </w:r>
      <w:proofErr w:type="spellEnd"/>
      <w:r w:rsidRPr="00087F50">
        <w:t xml:space="preserve">. </w:t>
      </w:r>
      <w:proofErr w:type="spellStart"/>
      <w:r w:rsidRPr="00087F50">
        <w:t>Stīvensa-Džonsona</w:t>
      </w:r>
      <w:proofErr w:type="spellEnd"/>
      <w:r w:rsidRPr="00087F50">
        <w:t xml:space="preserve"> </w:t>
      </w:r>
      <w:proofErr w:type="spellStart"/>
      <w:r w:rsidRPr="00087F50">
        <w:t>sindroms</w:t>
      </w:r>
      <w:proofErr w:type="spellEnd"/>
      <w:r w:rsidRPr="00087F50">
        <w:t xml:space="preserve"> un </w:t>
      </w:r>
      <w:proofErr w:type="spellStart"/>
      <w:r w:rsidRPr="00087F50">
        <w:t>toksiska</w:t>
      </w:r>
      <w:proofErr w:type="spellEnd"/>
      <w:r w:rsidRPr="00087F50">
        <w:t xml:space="preserve"> </w:t>
      </w:r>
      <w:proofErr w:type="spellStart"/>
      <w:r w:rsidRPr="00087F50">
        <w:t>epidermas</w:t>
      </w:r>
      <w:proofErr w:type="spellEnd"/>
      <w:r w:rsidRPr="00087F50">
        <w:t xml:space="preserve"> </w:t>
      </w:r>
      <w:proofErr w:type="spellStart"/>
      <w:r w:rsidRPr="00087F50">
        <w:t>nekrolīze</w:t>
      </w:r>
      <w:proofErr w:type="spellEnd"/>
      <w:r w:rsidRPr="00087F50">
        <w:t xml:space="preserve"> </w:t>
      </w:r>
      <w:proofErr w:type="spellStart"/>
      <w:r w:rsidRPr="00087F50">
        <w:t>izpaužas</w:t>
      </w:r>
      <w:proofErr w:type="spellEnd"/>
      <w:r w:rsidRPr="00087F50">
        <w:t xml:space="preserve"> ar </w:t>
      </w:r>
      <w:proofErr w:type="spellStart"/>
      <w:r w:rsidRPr="00087F50">
        <w:t>progresējošiem</w:t>
      </w:r>
      <w:proofErr w:type="spellEnd"/>
      <w:r w:rsidRPr="00087F50">
        <w:t xml:space="preserve"> </w:t>
      </w:r>
      <w:proofErr w:type="spellStart"/>
      <w:r w:rsidRPr="00087F50">
        <w:t>ādas</w:t>
      </w:r>
      <w:proofErr w:type="spellEnd"/>
      <w:r w:rsidRPr="00087F50">
        <w:t xml:space="preserve"> </w:t>
      </w:r>
      <w:proofErr w:type="spellStart"/>
      <w:r w:rsidRPr="00087F50">
        <w:t>izsitumiem</w:t>
      </w:r>
      <w:proofErr w:type="spellEnd"/>
      <w:r w:rsidRPr="00087F50">
        <w:t xml:space="preserve"> un </w:t>
      </w:r>
      <w:proofErr w:type="spellStart"/>
      <w:r w:rsidRPr="00087F50">
        <w:t>čūlām</w:t>
      </w:r>
      <w:proofErr w:type="spellEnd"/>
      <w:r w:rsidRPr="00087F50">
        <w:t xml:space="preserve"> </w:t>
      </w:r>
      <w:proofErr w:type="spellStart"/>
      <w:r w:rsidRPr="00087F50">
        <w:t>vai</w:t>
      </w:r>
      <w:proofErr w:type="spellEnd"/>
      <w:r w:rsidRPr="00087F50">
        <w:t xml:space="preserve"> </w:t>
      </w:r>
      <w:proofErr w:type="spellStart"/>
      <w:r w:rsidRPr="00087F50">
        <w:t>gļotādas</w:t>
      </w:r>
      <w:proofErr w:type="spellEnd"/>
      <w:r w:rsidRPr="00087F50">
        <w:t xml:space="preserve"> </w:t>
      </w:r>
      <w:proofErr w:type="spellStart"/>
      <w:r w:rsidRPr="00087F50">
        <w:t>bojājumiem</w:t>
      </w:r>
      <w:proofErr w:type="spellEnd"/>
      <w:r w:rsidRPr="00087F50">
        <w:t xml:space="preserve">, un acu </w:t>
      </w:r>
      <w:proofErr w:type="spellStart"/>
      <w:r w:rsidRPr="00087F50">
        <w:t>kairinājumu</w:t>
      </w:r>
      <w:proofErr w:type="spellEnd"/>
      <w:r w:rsidRPr="00087F50">
        <w:t xml:space="preserve">. </w:t>
      </w:r>
      <w:proofErr w:type="spellStart"/>
      <w:r w:rsidRPr="00087F50">
        <w:t>Paaugstinātas</w:t>
      </w:r>
      <w:proofErr w:type="spellEnd"/>
      <w:r w:rsidRPr="00087F50">
        <w:t xml:space="preserve"> </w:t>
      </w:r>
      <w:proofErr w:type="spellStart"/>
      <w:r w:rsidRPr="00087F50">
        <w:t>jutības</w:t>
      </w:r>
      <w:proofErr w:type="spellEnd"/>
      <w:r w:rsidRPr="00087F50">
        <w:t xml:space="preserve"> </w:t>
      </w:r>
      <w:proofErr w:type="spellStart"/>
      <w:r w:rsidRPr="00087F50">
        <w:t>reakcijas</w:t>
      </w:r>
      <w:proofErr w:type="spellEnd"/>
      <w:r w:rsidRPr="00087F50">
        <w:t xml:space="preserve"> </w:t>
      </w:r>
      <w:proofErr w:type="spellStart"/>
      <w:r w:rsidRPr="00087F50">
        <w:t>pret</w:t>
      </w:r>
      <w:proofErr w:type="spellEnd"/>
      <w:r w:rsidRPr="00087F50">
        <w:t xml:space="preserve"> </w:t>
      </w:r>
      <w:proofErr w:type="spellStart"/>
      <w:r w:rsidRPr="00087F50">
        <w:t>febuksostatu</w:t>
      </w:r>
      <w:proofErr w:type="spellEnd"/>
      <w:r w:rsidRPr="00087F50">
        <w:t xml:space="preserve"> </w:t>
      </w:r>
      <w:proofErr w:type="spellStart"/>
      <w:r w:rsidRPr="00087F50">
        <w:t>var</w:t>
      </w:r>
      <w:proofErr w:type="spellEnd"/>
      <w:r w:rsidRPr="00087F50">
        <w:t xml:space="preserve"> </w:t>
      </w:r>
      <w:proofErr w:type="spellStart"/>
      <w:r w:rsidRPr="00087F50">
        <w:t>izpausties</w:t>
      </w:r>
      <w:proofErr w:type="spellEnd"/>
      <w:r w:rsidRPr="00087F50">
        <w:t xml:space="preserve"> ar </w:t>
      </w:r>
      <w:proofErr w:type="spellStart"/>
      <w:r w:rsidRPr="00087F50">
        <w:t>šādiem</w:t>
      </w:r>
      <w:proofErr w:type="spellEnd"/>
      <w:r w:rsidRPr="00087F50">
        <w:t xml:space="preserve"> </w:t>
      </w:r>
      <w:proofErr w:type="spellStart"/>
      <w:r w:rsidRPr="00087F50">
        <w:t>simptomiem</w:t>
      </w:r>
      <w:proofErr w:type="spellEnd"/>
      <w:r w:rsidRPr="00087F50">
        <w:t xml:space="preserve">: </w:t>
      </w:r>
      <w:proofErr w:type="spellStart"/>
      <w:r w:rsidRPr="00087F50">
        <w:t>ādas</w:t>
      </w:r>
      <w:proofErr w:type="spellEnd"/>
      <w:r w:rsidRPr="00087F50">
        <w:t xml:space="preserve"> </w:t>
      </w:r>
      <w:proofErr w:type="spellStart"/>
      <w:r w:rsidRPr="00087F50">
        <w:t>reakcijas</w:t>
      </w:r>
      <w:proofErr w:type="spellEnd"/>
      <w:r w:rsidRPr="00087F50">
        <w:t xml:space="preserve">, </w:t>
      </w:r>
      <w:proofErr w:type="spellStart"/>
      <w:r w:rsidRPr="00087F50">
        <w:t>kam</w:t>
      </w:r>
      <w:proofErr w:type="spellEnd"/>
      <w:r w:rsidRPr="00087F50">
        <w:t xml:space="preserve"> </w:t>
      </w:r>
      <w:proofErr w:type="spellStart"/>
      <w:r w:rsidRPr="00087F50">
        <w:t>raksturīgi</w:t>
      </w:r>
      <w:proofErr w:type="spellEnd"/>
      <w:r w:rsidRPr="00087F50">
        <w:t xml:space="preserve"> </w:t>
      </w:r>
      <w:proofErr w:type="spellStart"/>
      <w:r w:rsidRPr="00087F50">
        <w:t>makulopapulozi</w:t>
      </w:r>
      <w:proofErr w:type="spellEnd"/>
      <w:r w:rsidRPr="00087F50">
        <w:t xml:space="preserve"> </w:t>
      </w:r>
      <w:proofErr w:type="spellStart"/>
      <w:r w:rsidRPr="00087F50">
        <w:t>izsitumi</w:t>
      </w:r>
      <w:proofErr w:type="spellEnd"/>
      <w:r w:rsidRPr="00087F50">
        <w:t xml:space="preserve"> ar </w:t>
      </w:r>
      <w:proofErr w:type="spellStart"/>
      <w:r w:rsidRPr="00087F50">
        <w:t>infiltrātiem</w:t>
      </w:r>
      <w:proofErr w:type="spellEnd"/>
      <w:r w:rsidRPr="00087F50">
        <w:t xml:space="preserve">, </w:t>
      </w:r>
      <w:proofErr w:type="spellStart"/>
      <w:r w:rsidRPr="00087F50">
        <w:t>ģeneralizēti</w:t>
      </w:r>
      <w:proofErr w:type="spellEnd"/>
      <w:r w:rsidRPr="00087F50">
        <w:t xml:space="preserve"> </w:t>
      </w:r>
      <w:proofErr w:type="spellStart"/>
      <w:r w:rsidRPr="00087F50">
        <w:t>vai</w:t>
      </w:r>
      <w:proofErr w:type="spellEnd"/>
      <w:r w:rsidRPr="00087F50">
        <w:t xml:space="preserve"> </w:t>
      </w:r>
      <w:proofErr w:type="spellStart"/>
      <w:r w:rsidRPr="00087F50">
        <w:t>eksfoliatīvi</w:t>
      </w:r>
      <w:proofErr w:type="spellEnd"/>
      <w:r w:rsidRPr="00087F50">
        <w:t xml:space="preserve"> </w:t>
      </w:r>
      <w:proofErr w:type="spellStart"/>
      <w:r w:rsidRPr="00087F50">
        <w:t>izsitumi</w:t>
      </w:r>
      <w:proofErr w:type="spellEnd"/>
      <w:r w:rsidRPr="00087F50">
        <w:t xml:space="preserve">, </w:t>
      </w:r>
      <w:proofErr w:type="spellStart"/>
      <w:r w:rsidRPr="00087F50">
        <w:t>kā</w:t>
      </w:r>
      <w:proofErr w:type="spellEnd"/>
      <w:r w:rsidRPr="00087F50">
        <w:t xml:space="preserve"> </w:t>
      </w:r>
      <w:proofErr w:type="spellStart"/>
      <w:r w:rsidRPr="00087F50">
        <w:t>arī</w:t>
      </w:r>
      <w:proofErr w:type="spellEnd"/>
      <w:r w:rsidRPr="00087F50">
        <w:t xml:space="preserve"> </w:t>
      </w:r>
      <w:proofErr w:type="spellStart"/>
      <w:r w:rsidRPr="00087F50">
        <w:t>ādas</w:t>
      </w:r>
      <w:proofErr w:type="spellEnd"/>
      <w:r w:rsidRPr="00087F50">
        <w:t xml:space="preserve"> </w:t>
      </w:r>
      <w:proofErr w:type="spellStart"/>
      <w:r w:rsidRPr="00087F50">
        <w:t>bojājumi</w:t>
      </w:r>
      <w:proofErr w:type="spellEnd"/>
      <w:r w:rsidRPr="00087F50">
        <w:t xml:space="preserve">, </w:t>
      </w:r>
      <w:proofErr w:type="spellStart"/>
      <w:r w:rsidRPr="00087F50">
        <w:t>sejas</w:t>
      </w:r>
      <w:proofErr w:type="spellEnd"/>
      <w:r w:rsidRPr="00087F50">
        <w:t xml:space="preserve"> </w:t>
      </w:r>
      <w:proofErr w:type="spellStart"/>
      <w:r w:rsidRPr="00087F50">
        <w:t>tūska</w:t>
      </w:r>
      <w:proofErr w:type="spellEnd"/>
      <w:r w:rsidRPr="00087F50">
        <w:t xml:space="preserve">, </w:t>
      </w:r>
      <w:proofErr w:type="spellStart"/>
      <w:r w:rsidRPr="00087F50">
        <w:t>drudzis</w:t>
      </w:r>
      <w:proofErr w:type="spellEnd"/>
      <w:r w:rsidRPr="00087F50">
        <w:t xml:space="preserve">, </w:t>
      </w:r>
      <w:proofErr w:type="spellStart"/>
      <w:r w:rsidRPr="00087F50">
        <w:t>hematoloģiskas</w:t>
      </w:r>
      <w:proofErr w:type="spellEnd"/>
      <w:r w:rsidRPr="00087F50">
        <w:t xml:space="preserve"> </w:t>
      </w:r>
      <w:proofErr w:type="spellStart"/>
      <w:r w:rsidRPr="00087F50">
        <w:t>novirzes</w:t>
      </w:r>
      <w:proofErr w:type="spellEnd"/>
      <w:r w:rsidRPr="00087F50">
        <w:t xml:space="preserve">, </w:t>
      </w:r>
      <w:proofErr w:type="spellStart"/>
      <w:r w:rsidRPr="00087F50">
        <w:t>piemēram</w:t>
      </w:r>
      <w:proofErr w:type="spellEnd"/>
      <w:r w:rsidRPr="00087F50">
        <w:t xml:space="preserve">, </w:t>
      </w:r>
      <w:proofErr w:type="spellStart"/>
      <w:r w:rsidRPr="00087F50">
        <w:t>trombocitopēnija</w:t>
      </w:r>
      <w:proofErr w:type="spellEnd"/>
      <w:r w:rsidRPr="00087F50">
        <w:t xml:space="preserve"> un </w:t>
      </w:r>
      <w:proofErr w:type="spellStart"/>
      <w:r w:rsidRPr="00087F50">
        <w:t>eozinofilija</w:t>
      </w:r>
      <w:proofErr w:type="spellEnd"/>
      <w:r w:rsidRPr="00087F50">
        <w:t xml:space="preserve">, un </w:t>
      </w:r>
      <w:proofErr w:type="spellStart"/>
      <w:r w:rsidRPr="00087F50">
        <w:t>viena</w:t>
      </w:r>
      <w:proofErr w:type="spellEnd"/>
      <w:r w:rsidRPr="00087F50">
        <w:t xml:space="preserve"> </w:t>
      </w:r>
      <w:proofErr w:type="spellStart"/>
      <w:r w:rsidRPr="00087F50">
        <w:t>vai</w:t>
      </w:r>
      <w:proofErr w:type="spellEnd"/>
      <w:r w:rsidRPr="00087F50">
        <w:t xml:space="preserve"> </w:t>
      </w:r>
      <w:proofErr w:type="spellStart"/>
      <w:r w:rsidRPr="00087F50">
        <w:t>vairāku</w:t>
      </w:r>
      <w:proofErr w:type="spellEnd"/>
      <w:r w:rsidRPr="00087F50">
        <w:t xml:space="preserve"> </w:t>
      </w:r>
      <w:proofErr w:type="spellStart"/>
      <w:r w:rsidRPr="00087F50">
        <w:t>orgānu</w:t>
      </w:r>
      <w:proofErr w:type="spellEnd"/>
      <w:r w:rsidRPr="00087F50">
        <w:t xml:space="preserve"> </w:t>
      </w:r>
      <w:proofErr w:type="spellStart"/>
      <w:r w:rsidRPr="00087F50">
        <w:t>bojājumi</w:t>
      </w:r>
      <w:proofErr w:type="spellEnd"/>
      <w:r w:rsidRPr="00087F50">
        <w:t xml:space="preserve"> (</w:t>
      </w:r>
      <w:proofErr w:type="spellStart"/>
      <w:r w:rsidRPr="00087F50">
        <w:t>aknu</w:t>
      </w:r>
      <w:proofErr w:type="spellEnd"/>
      <w:r w:rsidRPr="00087F50">
        <w:t xml:space="preserve"> un </w:t>
      </w:r>
      <w:proofErr w:type="spellStart"/>
      <w:r w:rsidRPr="00087F50">
        <w:t>nieru</w:t>
      </w:r>
      <w:proofErr w:type="spellEnd"/>
      <w:r w:rsidRPr="00087F50">
        <w:t xml:space="preserve"> </w:t>
      </w:r>
      <w:proofErr w:type="spellStart"/>
      <w:r w:rsidRPr="00087F50">
        <w:t>bojājumi</w:t>
      </w:r>
      <w:proofErr w:type="spellEnd"/>
      <w:r w:rsidRPr="00087F50">
        <w:t xml:space="preserve">, </w:t>
      </w:r>
      <w:proofErr w:type="spellStart"/>
      <w:r w:rsidRPr="00087F50">
        <w:t>arī</w:t>
      </w:r>
      <w:proofErr w:type="spellEnd"/>
      <w:r w:rsidRPr="00087F50">
        <w:t xml:space="preserve"> </w:t>
      </w:r>
      <w:proofErr w:type="spellStart"/>
      <w:r w:rsidRPr="00087F50">
        <w:t>tubulointersticiāls</w:t>
      </w:r>
      <w:proofErr w:type="spellEnd"/>
      <w:r w:rsidRPr="00087F50">
        <w:t xml:space="preserve"> </w:t>
      </w:r>
      <w:proofErr w:type="spellStart"/>
      <w:r w:rsidRPr="00087F50">
        <w:t>nefrīts</w:t>
      </w:r>
      <w:proofErr w:type="spellEnd"/>
      <w:r w:rsidRPr="00087F50">
        <w:t>) (</w:t>
      </w:r>
      <w:proofErr w:type="spellStart"/>
      <w:r w:rsidRPr="00087F50">
        <w:t>skatīt</w:t>
      </w:r>
      <w:proofErr w:type="spellEnd"/>
      <w:r w:rsidRPr="00087F50">
        <w:t xml:space="preserve"> 4.4. </w:t>
      </w:r>
      <w:proofErr w:type="spellStart"/>
      <w:r w:rsidRPr="00087F50">
        <w:t>apakšpunktu</w:t>
      </w:r>
      <w:proofErr w:type="spellEnd"/>
      <w:r w:rsidRPr="00087F50">
        <w:t xml:space="preserve">). </w:t>
      </w:r>
    </w:p>
    <w:p w14:paraId="68BC0EB7" w14:textId="77777777" w:rsidR="00A77DDF" w:rsidRPr="00087F50" w:rsidRDefault="00A77DDF" w:rsidP="00A77DDF">
      <w:pPr>
        <w:spacing w:after="0" w:line="259" w:lineRule="auto"/>
        <w:ind w:left="1" w:firstLine="0"/>
      </w:pPr>
      <w:r w:rsidRPr="00087F50">
        <w:t xml:space="preserve"> </w:t>
      </w:r>
    </w:p>
    <w:p w14:paraId="118D6D55" w14:textId="7F915EDD" w:rsidR="00A77DDF" w:rsidRPr="00087F50" w:rsidRDefault="00A77DDF" w:rsidP="00A77DDF">
      <w:pPr>
        <w:ind w:left="-3" w:right="9"/>
      </w:pPr>
      <w:r w:rsidRPr="00087F50">
        <w:lastRenderedPageBreak/>
        <w:t xml:space="preserve">Podagras </w:t>
      </w:r>
      <w:r w:rsidR="00B569C2" w:rsidRPr="00087F50">
        <w:rPr>
          <w:lang w:val="lv-LV"/>
        </w:rPr>
        <w:t>paasinājumus</w:t>
      </w:r>
      <w:r w:rsidR="00B569C2" w:rsidRPr="00087F50">
        <w:t xml:space="preserve"> </w:t>
      </w:r>
      <w:proofErr w:type="spellStart"/>
      <w:r w:rsidRPr="00087F50">
        <w:t>parasti</w:t>
      </w:r>
      <w:proofErr w:type="spellEnd"/>
      <w:r w:rsidRPr="00087F50">
        <w:t xml:space="preserve"> </w:t>
      </w:r>
      <w:proofErr w:type="spellStart"/>
      <w:r w:rsidRPr="00087F50">
        <w:t>novēroja</w:t>
      </w:r>
      <w:proofErr w:type="spellEnd"/>
      <w:r w:rsidRPr="00087F50">
        <w:t xml:space="preserve"> </w:t>
      </w:r>
      <w:proofErr w:type="spellStart"/>
      <w:r w:rsidRPr="00087F50">
        <w:t>neilgi</w:t>
      </w:r>
      <w:proofErr w:type="spellEnd"/>
      <w:r w:rsidRPr="00087F50">
        <w:t xml:space="preserve"> </w:t>
      </w:r>
      <w:proofErr w:type="spellStart"/>
      <w:r w:rsidRPr="00087F50">
        <w:t>pēc</w:t>
      </w:r>
      <w:proofErr w:type="spellEnd"/>
      <w:r w:rsidRPr="00087F50">
        <w:t xml:space="preserve"> </w:t>
      </w:r>
      <w:proofErr w:type="spellStart"/>
      <w:r w:rsidRPr="00087F50">
        <w:t>ārstēšanas</w:t>
      </w:r>
      <w:proofErr w:type="spellEnd"/>
      <w:r w:rsidRPr="00087F50">
        <w:t xml:space="preserve"> </w:t>
      </w:r>
      <w:proofErr w:type="spellStart"/>
      <w:r w:rsidRPr="00087F50">
        <w:t>sākšanas</w:t>
      </w:r>
      <w:proofErr w:type="spellEnd"/>
      <w:r w:rsidRPr="00087F50">
        <w:t xml:space="preserve">, </w:t>
      </w:r>
      <w:proofErr w:type="spellStart"/>
      <w:r w:rsidRPr="00087F50">
        <w:t>kā</w:t>
      </w:r>
      <w:proofErr w:type="spellEnd"/>
      <w:r w:rsidRPr="00087F50">
        <w:t xml:space="preserve"> </w:t>
      </w:r>
      <w:proofErr w:type="spellStart"/>
      <w:r w:rsidRPr="00087F50">
        <w:t>arī</w:t>
      </w:r>
      <w:proofErr w:type="spellEnd"/>
      <w:r w:rsidRPr="00087F50">
        <w:t xml:space="preserve"> </w:t>
      </w:r>
      <w:proofErr w:type="spellStart"/>
      <w:r w:rsidRPr="00087F50">
        <w:t>pirmo</w:t>
      </w:r>
      <w:proofErr w:type="spellEnd"/>
      <w:r w:rsidRPr="00087F50">
        <w:t xml:space="preserve"> </w:t>
      </w:r>
      <w:proofErr w:type="spellStart"/>
      <w:r w:rsidRPr="00087F50">
        <w:t>mēnešu</w:t>
      </w:r>
      <w:proofErr w:type="spellEnd"/>
      <w:r w:rsidRPr="00087F50">
        <w:t xml:space="preserve"> </w:t>
      </w:r>
      <w:proofErr w:type="spellStart"/>
      <w:r w:rsidRPr="00087F50">
        <w:t>laikā</w:t>
      </w:r>
      <w:proofErr w:type="spellEnd"/>
      <w:r w:rsidRPr="00087F50">
        <w:t xml:space="preserve">. </w:t>
      </w:r>
      <w:proofErr w:type="spellStart"/>
      <w:r w:rsidRPr="00087F50">
        <w:t>Pēc</w:t>
      </w:r>
      <w:proofErr w:type="spellEnd"/>
      <w:r w:rsidRPr="00087F50">
        <w:t xml:space="preserve"> </w:t>
      </w:r>
      <w:proofErr w:type="spellStart"/>
      <w:r w:rsidRPr="00087F50">
        <w:t>tam</w:t>
      </w:r>
      <w:proofErr w:type="spellEnd"/>
      <w:r w:rsidRPr="00087F50">
        <w:t xml:space="preserve"> podagras </w:t>
      </w:r>
      <w:r w:rsidR="00B569C2" w:rsidRPr="00087F50">
        <w:rPr>
          <w:lang w:val="lv-LV"/>
        </w:rPr>
        <w:t>paasinājumi</w:t>
      </w:r>
      <w:r w:rsidR="00B569C2" w:rsidRPr="00087F50">
        <w:t xml:space="preserve"> </w:t>
      </w:r>
      <w:r w:rsidRPr="00087F50">
        <w:t xml:space="preserve">ar </w:t>
      </w:r>
      <w:proofErr w:type="spellStart"/>
      <w:r w:rsidRPr="00087F50">
        <w:t>laiku</w:t>
      </w:r>
      <w:proofErr w:type="spellEnd"/>
      <w:r w:rsidRPr="00087F50">
        <w:t xml:space="preserve"> </w:t>
      </w:r>
      <w:proofErr w:type="spellStart"/>
      <w:r w:rsidRPr="00087F50">
        <w:t>kļūst</w:t>
      </w:r>
      <w:proofErr w:type="spellEnd"/>
      <w:r w:rsidRPr="00087F50">
        <w:t xml:space="preserve"> </w:t>
      </w:r>
      <w:proofErr w:type="spellStart"/>
      <w:r w:rsidRPr="00087F50">
        <w:t>retāki</w:t>
      </w:r>
      <w:proofErr w:type="spellEnd"/>
      <w:r w:rsidRPr="00087F50">
        <w:t xml:space="preserve">. </w:t>
      </w:r>
      <w:proofErr w:type="spellStart"/>
      <w:r w:rsidRPr="00087F50">
        <w:t>Ieteicama</w:t>
      </w:r>
      <w:proofErr w:type="spellEnd"/>
      <w:r w:rsidRPr="00087F50">
        <w:t xml:space="preserve"> podagras </w:t>
      </w:r>
      <w:r w:rsidR="00B569C2" w:rsidRPr="00087F50">
        <w:rPr>
          <w:lang w:val="lv-LV"/>
        </w:rPr>
        <w:t>paasinājumu</w:t>
      </w:r>
      <w:r w:rsidR="00B569C2" w:rsidRPr="00087F50">
        <w:t xml:space="preserve"> </w:t>
      </w:r>
      <w:proofErr w:type="spellStart"/>
      <w:r w:rsidRPr="00087F50">
        <w:t>profilakse</w:t>
      </w:r>
      <w:proofErr w:type="spellEnd"/>
      <w:r w:rsidRPr="00087F50">
        <w:t xml:space="preserve"> (</w:t>
      </w:r>
      <w:proofErr w:type="spellStart"/>
      <w:r w:rsidRPr="00087F50">
        <w:t>skatīt</w:t>
      </w:r>
      <w:proofErr w:type="spellEnd"/>
      <w:r w:rsidRPr="00087F50">
        <w:t xml:space="preserve"> 4.2. un 4.4. </w:t>
      </w:r>
      <w:proofErr w:type="spellStart"/>
      <w:r w:rsidRPr="00087F50">
        <w:t>apakšpunktu</w:t>
      </w:r>
      <w:proofErr w:type="spellEnd"/>
      <w:r w:rsidRPr="00087F50">
        <w:t xml:space="preserve">). </w:t>
      </w:r>
    </w:p>
    <w:p w14:paraId="17C55C3D" w14:textId="77777777" w:rsidR="00E92490" w:rsidRPr="00087F50" w:rsidRDefault="00E92490" w:rsidP="00E92490">
      <w:pPr>
        <w:spacing w:after="13" w:line="249" w:lineRule="auto"/>
        <w:ind w:left="-3" w:hanging="10"/>
      </w:pPr>
    </w:p>
    <w:p w14:paraId="786D9572" w14:textId="1F7AD07F" w:rsidR="00E92490" w:rsidRPr="00087F50" w:rsidRDefault="00E92490" w:rsidP="00E92490">
      <w:pPr>
        <w:spacing w:after="13" w:line="249" w:lineRule="auto"/>
        <w:ind w:left="-3" w:hanging="10"/>
        <w:rPr>
          <w:u w:val="single"/>
        </w:rPr>
      </w:pPr>
      <w:proofErr w:type="spellStart"/>
      <w:r w:rsidRPr="00087F50">
        <w:rPr>
          <w:u w:val="single"/>
        </w:rPr>
        <w:t>Drošuma</w:t>
      </w:r>
      <w:proofErr w:type="spellEnd"/>
      <w:r w:rsidRPr="00087F50">
        <w:rPr>
          <w:u w:val="single"/>
        </w:rPr>
        <w:t xml:space="preserve"> </w:t>
      </w:r>
      <w:proofErr w:type="spellStart"/>
      <w:r w:rsidRPr="00087F50">
        <w:rPr>
          <w:u w:val="single"/>
        </w:rPr>
        <w:t>raksturojuma</w:t>
      </w:r>
      <w:proofErr w:type="spellEnd"/>
      <w:r w:rsidRPr="00087F50">
        <w:rPr>
          <w:u w:val="single"/>
        </w:rPr>
        <w:t xml:space="preserve"> </w:t>
      </w:r>
      <w:proofErr w:type="spellStart"/>
      <w:r w:rsidRPr="00087F50">
        <w:rPr>
          <w:u w:val="single"/>
        </w:rPr>
        <w:t>kopsavilkums</w:t>
      </w:r>
      <w:proofErr w:type="spellEnd"/>
      <w:r w:rsidRPr="00087F50">
        <w:rPr>
          <w:u w:val="single"/>
        </w:rPr>
        <w:t xml:space="preserve"> </w:t>
      </w:r>
    </w:p>
    <w:p w14:paraId="3E987870" w14:textId="606CFCA2" w:rsidR="00A77DDF" w:rsidRPr="00890F7A" w:rsidRDefault="00E92490" w:rsidP="00A77DDF">
      <w:pPr>
        <w:pStyle w:val="Heading2"/>
        <w:spacing w:after="0" w:line="259" w:lineRule="auto"/>
        <w:ind w:left="-3" w:right="0"/>
        <w:rPr>
          <w:i/>
          <w:iCs/>
        </w:rPr>
      </w:pPr>
      <w:r w:rsidRPr="00890F7A">
        <w:rPr>
          <w:b w:val="0"/>
          <w:i/>
          <w:iCs/>
          <w:u w:val="single" w:color="000000"/>
        </w:rPr>
        <w:t>TLS</w:t>
      </w:r>
      <w:r w:rsidR="00A77DDF" w:rsidRPr="00890F7A">
        <w:rPr>
          <w:b w:val="0"/>
          <w:i/>
          <w:iCs/>
        </w:rPr>
        <w:t xml:space="preserve"> </w:t>
      </w:r>
    </w:p>
    <w:p w14:paraId="18C0A468" w14:textId="77777777" w:rsidR="00A77DDF" w:rsidRPr="00087F50" w:rsidRDefault="00A77DDF" w:rsidP="00A77DDF">
      <w:pPr>
        <w:ind w:left="-3" w:right="9"/>
      </w:pPr>
      <w:proofErr w:type="spellStart"/>
      <w:r w:rsidRPr="00087F50">
        <w:t>Randomizētā</w:t>
      </w:r>
      <w:proofErr w:type="spellEnd"/>
      <w:r w:rsidRPr="00087F50">
        <w:t xml:space="preserve">, </w:t>
      </w:r>
      <w:proofErr w:type="spellStart"/>
      <w:r w:rsidRPr="00087F50">
        <w:t>dubultmaskētā</w:t>
      </w:r>
      <w:proofErr w:type="spellEnd"/>
      <w:r w:rsidRPr="00087F50">
        <w:t xml:space="preserve">, 3. </w:t>
      </w:r>
      <w:proofErr w:type="spellStart"/>
      <w:r w:rsidRPr="00087F50">
        <w:t>fāzes</w:t>
      </w:r>
      <w:proofErr w:type="spellEnd"/>
      <w:r w:rsidRPr="00087F50">
        <w:t xml:space="preserve"> </w:t>
      </w:r>
      <w:proofErr w:type="spellStart"/>
      <w:r w:rsidRPr="00087F50">
        <w:t>pamatpētījumā</w:t>
      </w:r>
      <w:proofErr w:type="spellEnd"/>
      <w:r w:rsidRPr="00087F50">
        <w:t xml:space="preserve"> FLORENCE (FLO-01), kur </w:t>
      </w:r>
      <w:proofErr w:type="spellStart"/>
      <w:r w:rsidRPr="00087F50">
        <w:t>tika</w:t>
      </w:r>
      <w:proofErr w:type="spellEnd"/>
      <w:r w:rsidRPr="00087F50">
        <w:t xml:space="preserve"> </w:t>
      </w:r>
      <w:proofErr w:type="spellStart"/>
      <w:r w:rsidRPr="00087F50">
        <w:t>salīdzināts</w:t>
      </w:r>
      <w:proofErr w:type="spellEnd"/>
      <w:r w:rsidRPr="00087F50">
        <w:t xml:space="preserve"> </w:t>
      </w:r>
      <w:proofErr w:type="spellStart"/>
      <w:r w:rsidRPr="00087F50">
        <w:t>febuksostats</w:t>
      </w:r>
      <w:proofErr w:type="spellEnd"/>
      <w:r w:rsidRPr="00087F50">
        <w:t xml:space="preserve"> un </w:t>
      </w:r>
      <w:proofErr w:type="spellStart"/>
      <w:r w:rsidRPr="00087F50">
        <w:t>allopurinols</w:t>
      </w:r>
      <w:proofErr w:type="spellEnd"/>
      <w:r w:rsidRPr="00087F50">
        <w:t xml:space="preserve"> (346 </w:t>
      </w:r>
      <w:proofErr w:type="spellStart"/>
      <w:r w:rsidRPr="00087F50">
        <w:t>pacienti</w:t>
      </w:r>
      <w:proofErr w:type="spellEnd"/>
      <w:r w:rsidRPr="00087F50">
        <w:t xml:space="preserve">, </w:t>
      </w:r>
      <w:proofErr w:type="spellStart"/>
      <w:r w:rsidRPr="00087F50">
        <w:t>kuriem</w:t>
      </w:r>
      <w:proofErr w:type="spellEnd"/>
      <w:r w:rsidRPr="00087F50">
        <w:t xml:space="preserve"> </w:t>
      </w:r>
      <w:proofErr w:type="spellStart"/>
      <w:r w:rsidRPr="00087F50">
        <w:t>tika</w:t>
      </w:r>
      <w:proofErr w:type="spellEnd"/>
      <w:r w:rsidRPr="00087F50">
        <w:t xml:space="preserve"> </w:t>
      </w:r>
      <w:proofErr w:type="spellStart"/>
      <w:r w:rsidRPr="00087F50">
        <w:t>veikta</w:t>
      </w:r>
      <w:proofErr w:type="spellEnd"/>
      <w:r w:rsidRPr="00087F50">
        <w:t xml:space="preserve"> </w:t>
      </w:r>
      <w:proofErr w:type="spellStart"/>
      <w:r w:rsidRPr="00087F50">
        <w:t>ļaundabīga</w:t>
      </w:r>
      <w:proofErr w:type="spellEnd"/>
      <w:r w:rsidRPr="00087F50">
        <w:t xml:space="preserve"> </w:t>
      </w:r>
      <w:proofErr w:type="spellStart"/>
      <w:r w:rsidRPr="00087F50">
        <w:t>asins</w:t>
      </w:r>
      <w:proofErr w:type="spellEnd"/>
      <w:r w:rsidRPr="00087F50">
        <w:t xml:space="preserve"> </w:t>
      </w:r>
      <w:proofErr w:type="spellStart"/>
      <w:r w:rsidRPr="00087F50">
        <w:t>šūnu</w:t>
      </w:r>
      <w:proofErr w:type="spellEnd"/>
      <w:r w:rsidRPr="00087F50">
        <w:t xml:space="preserve"> </w:t>
      </w:r>
      <w:proofErr w:type="spellStart"/>
      <w:r w:rsidRPr="00087F50">
        <w:t>audzēja</w:t>
      </w:r>
      <w:proofErr w:type="spellEnd"/>
      <w:r w:rsidRPr="00087F50">
        <w:t xml:space="preserve"> (ar </w:t>
      </w:r>
      <w:proofErr w:type="spellStart"/>
      <w:r w:rsidRPr="00087F50">
        <w:t>vidēju</w:t>
      </w:r>
      <w:proofErr w:type="spellEnd"/>
      <w:r w:rsidRPr="00087F50">
        <w:t xml:space="preserve"> </w:t>
      </w:r>
      <w:proofErr w:type="spellStart"/>
      <w:r w:rsidRPr="00087F50">
        <w:t>vai</w:t>
      </w:r>
      <w:proofErr w:type="spellEnd"/>
      <w:r w:rsidRPr="00087F50">
        <w:t xml:space="preserve"> </w:t>
      </w:r>
      <w:proofErr w:type="spellStart"/>
      <w:r w:rsidRPr="00087F50">
        <w:t>lielu</w:t>
      </w:r>
      <w:proofErr w:type="spellEnd"/>
      <w:r w:rsidRPr="00087F50">
        <w:t xml:space="preserve"> </w:t>
      </w:r>
      <w:proofErr w:type="spellStart"/>
      <w:r w:rsidRPr="00087F50">
        <w:t>tumora</w:t>
      </w:r>
      <w:proofErr w:type="spellEnd"/>
      <w:r w:rsidRPr="00087F50">
        <w:t xml:space="preserve"> </w:t>
      </w:r>
      <w:proofErr w:type="spellStart"/>
      <w:r w:rsidRPr="00087F50">
        <w:t>līzes</w:t>
      </w:r>
      <w:proofErr w:type="spellEnd"/>
      <w:r w:rsidRPr="00087F50">
        <w:t xml:space="preserve"> sindroma (TLS) </w:t>
      </w:r>
      <w:proofErr w:type="spellStart"/>
      <w:r w:rsidRPr="00087F50">
        <w:t>risku</w:t>
      </w:r>
      <w:proofErr w:type="spellEnd"/>
      <w:r w:rsidRPr="00087F50">
        <w:t xml:space="preserve">) </w:t>
      </w:r>
      <w:proofErr w:type="spellStart"/>
      <w:r w:rsidRPr="00087F50">
        <w:t>ķīmijterapija</w:t>
      </w:r>
      <w:proofErr w:type="spellEnd"/>
      <w:r w:rsidRPr="00087F50">
        <w:t xml:space="preserve">), </w:t>
      </w:r>
      <w:proofErr w:type="spellStart"/>
      <w:r w:rsidRPr="00087F50">
        <w:t>kopumā</w:t>
      </w:r>
      <w:proofErr w:type="spellEnd"/>
      <w:r w:rsidRPr="00087F50">
        <w:t xml:space="preserve"> </w:t>
      </w:r>
      <w:proofErr w:type="spellStart"/>
      <w:r w:rsidRPr="00087F50">
        <w:t>tikai</w:t>
      </w:r>
      <w:proofErr w:type="spellEnd"/>
      <w:r w:rsidRPr="00087F50">
        <w:t xml:space="preserve"> 22 (6,4%) </w:t>
      </w:r>
      <w:proofErr w:type="spellStart"/>
      <w:r w:rsidRPr="00087F50">
        <w:t>pacientiem</w:t>
      </w:r>
      <w:proofErr w:type="spellEnd"/>
      <w:r w:rsidRPr="00087F50">
        <w:t xml:space="preserve"> bija </w:t>
      </w:r>
      <w:proofErr w:type="spellStart"/>
      <w:r w:rsidRPr="00087F50">
        <w:t>blakusparādības</w:t>
      </w:r>
      <w:proofErr w:type="spellEnd"/>
      <w:r w:rsidRPr="00087F50">
        <w:t xml:space="preserve">, </w:t>
      </w:r>
      <w:proofErr w:type="spellStart"/>
      <w:r w:rsidRPr="00087F50">
        <w:t>proti</w:t>
      </w:r>
      <w:proofErr w:type="spellEnd"/>
      <w:r w:rsidRPr="00087F50">
        <w:t xml:space="preserve">, 11 (6,4%) </w:t>
      </w:r>
      <w:proofErr w:type="spellStart"/>
      <w:r w:rsidRPr="00087F50">
        <w:t>pacientiem</w:t>
      </w:r>
      <w:proofErr w:type="spellEnd"/>
      <w:r w:rsidRPr="00087F50">
        <w:t xml:space="preserve"> </w:t>
      </w:r>
      <w:proofErr w:type="spellStart"/>
      <w:r w:rsidRPr="00087F50">
        <w:t>katrā</w:t>
      </w:r>
      <w:proofErr w:type="spellEnd"/>
      <w:r w:rsidRPr="00087F50">
        <w:t xml:space="preserve"> </w:t>
      </w:r>
      <w:proofErr w:type="spellStart"/>
      <w:r w:rsidRPr="00087F50">
        <w:t>ārstēšanas</w:t>
      </w:r>
      <w:proofErr w:type="spellEnd"/>
      <w:r w:rsidRPr="00087F50">
        <w:t xml:space="preserve"> </w:t>
      </w:r>
      <w:proofErr w:type="spellStart"/>
      <w:r w:rsidRPr="00087F50">
        <w:t>grupā</w:t>
      </w:r>
      <w:proofErr w:type="spellEnd"/>
      <w:r w:rsidRPr="00087F50">
        <w:t xml:space="preserve">. </w:t>
      </w:r>
      <w:proofErr w:type="spellStart"/>
      <w:r w:rsidRPr="00087F50">
        <w:t>Vairums</w:t>
      </w:r>
      <w:proofErr w:type="spellEnd"/>
      <w:r w:rsidRPr="00087F50">
        <w:t xml:space="preserve"> </w:t>
      </w:r>
      <w:proofErr w:type="spellStart"/>
      <w:r w:rsidRPr="00087F50">
        <w:t>blakusparādību</w:t>
      </w:r>
      <w:proofErr w:type="spellEnd"/>
      <w:r w:rsidRPr="00087F50">
        <w:t xml:space="preserve"> bija </w:t>
      </w:r>
      <w:proofErr w:type="spellStart"/>
      <w:r w:rsidRPr="00087F50">
        <w:t>vieglas</w:t>
      </w:r>
      <w:proofErr w:type="spellEnd"/>
      <w:r w:rsidRPr="00087F50">
        <w:t xml:space="preserve"> </w:t>
      </w:r>
      <w:proofErr w:type="spellStart"/>
      <w:r w:rsidRPr="00087F50">
        <w:t>vai</w:t>
      </w:r>
      <w:proofErr w:type="spellEnd"/>
      <w:r w:rsidRPr="00087F50">
        <w:t xml:space="preserve"> </w:t>
      </w:r>
      <w:proofErr w:type="spellStart"/>
      <w:r w:rsidRPr="00087F50">
        <w:t>vidēji</w:t>
      </w:r>
      <w:proofErr w:type="spellEnd"/>
      <w:r w:rsidRPr="00087F50">
        <w:t xml:space="preserve"> </w:t>
      </w:r>
      <w:proofErr w:type="spellStart"/>
      <w:r w:rsidRPr="00087F50">
        <w:t>smagas</w:t>
      </w:r>
      <w:proofErr w:type="spellEnd"/>
      <w:r w:rsidRPr="00087F50">
        <w:t xml:space="preserve">. </w:t>
      </w:r>
    </w:p>
    <w:p w14:paraId="316FF8D5" w14:textId="06F13249" w:rsidR="00A77DDF" w:rsidRPr="00087F50" w:rsidRDefault="00A77DDF" w:rsidP="00A77DDF">
      <w:pPr>
        <w:ind w:left="-3" w:right="9"/>
      </w:pPr>
      <w:r w:rsidRPr="00087F50">
        <w:t xml:space="preserve">FLORENCE </w:t>
      </w:r>
      <w:proofErr w:type="spellStart"/>
      <w:r w:rsidRPr="00087F50">
        <w:t>pētījumā</w:t>
      </w:r>
      <w:proofErr w:type="spellEnd"/>
      <w:r w:rsidRPr="00087F50">
        <w:t xml:space="preserve"> </w:t>
      </w:r>
      <w:proofErr w:type="spellStart"/>
      <w:r w:rsidRPr="00087F50">
        <w:t>kopumā</w:t>
      </w:r>
      <w:proofErr w:type="spellEnd"/>
      <w:r w:rsidRPr="00087F50">
        <w:t xml:space="preserve"> </w:t>
      </w:r>
      <w:proofErr w:type="spellStart"/>
      <w:r w:rsidRPr="00087F50">
        <w:t>netika</w:t>
      </w:r>
      <w:proofErr w:type="spellEnd"/>
      <w:r w:rsidRPr="00087F50">
        <w:t xml:space="preserve"> </w:t>
      </w:r>
      <w:proofErr w:type="spellStart"/>
      <w:r w:rsidRPr="00087F50">
        <w:t>konstatēti</w:t>
      </w:r>
      <w:proofErr w:type="spellEnd"/>
      <w:r w:rsidRPr="00087F50">
        <w:t xml:space="preserve"> </w:t>
      </w:r>
      <w:proofErr w:type="spellStart"/>
      <w:r w:rsidRPr="00087F50">
        <w:t>īpaši</w:t>
      </w:r>
      <w:proofErr w:type="spellEnd"/>
      <w:r w:rsidRPr="00087F50">
        <w:t xml:space="preserve"> ar </w:t>
      </w:r>
      <w:proofErr w:type="spellStart"/>
      <w:r w:rsidRPr="00087F50">
        <w:t>drošumu</w:t>
      </w:r>
      <w:proofErr w:type="spellEnd"/>
      <w:r w:rsidRPr="00087F50">
        <w:t xml:space="preserve"> </w:t>
      </w:r>
      <w:proofErr w:type="spellStart"/>
      <w:r w:rsidRPr="00087F50">
        <w:t>saistīti</w:t>
      </w:r>
      <w:proofErr w:type="spellEnd"/>
      <w:r w:rsidRPr="00087F50">
        <w:t xml:space="preserve"> </w:t>
      </w:r>
      <w:proofErr w:type="spellStart"/>
      <w:r w:rsidRPr="00087F50">
        <w:t>apsvērumi</w:t>
      </w:r>
      <w:proofErr w:type="spellEnd"/>
      <w:r w:rsidRPr="00087F50">
        <w:t xml:space="preserve"> </w:t>
      </w:r>
      <w:proofErr w:type="spellStart"/>
      <w:r w:rsidRPr="00087F50">
        <w:t>papildus</w:t>
      </w:r>
      <w:proofErr w:type="spellEnd"/>
      <w:r w:rsidRPr="00087F50">
        <w:t xml:space="preserve"> jau </w:t>
      </w:r>
      <w:proofErr w:type="spellStart"/>
      <w:r w:rsidRPr="00087F50">
        <w:t>iepriekš</w:t>
      </w:r>
      <w:proofErr w:type="spellEnd"/>
      <w:r w:rsidRPr="00087F50">
        <w:t xml:space="preserve"> ar </w:t>
      </w:r>
      <w:proofErr w:type="spellStart"/>
      <w:r w:rsidR="001A4280" w:rsidRPr="00087F50">
        <w:t>febuksotatu</w:t>
      </w:r>
      <w:proofErr w:type="spellEnd"/>
      <w:r w:rsidR="001A4280" w:rsidRPr="00087F50">
        <w:t xml:space="preserve"> </w:t>
      </w:r>
      <w:proofErr w:type="spellStart"/>
      <w:r w:rsidRPr="00087F50">
        <w:t>pieredzētajiem</w:t>
      </w:r>
      <w:proofErr w:type="spellEnd"/>
      <w:r w:rsidRPr="00087F50">
        <w:t xml:space="preserve">, </w:t>
      </w:r>
      <w:proofErr w:type="spellStart"/>
      <w:r w:rsidRPr="00087F50">
        <w:t>ārstējot</w:t>
      </w:r>
      <w:proofErr w:type="spellEnd"/>
      <w:r w:rsidRPr="00087F50">
        <w:t xml:space="preserve"> </w:t>
      </w:r>
      <w:proofErr w:type="spellStart"/>
      <w:r w:rsidRPr="00087F50">
        <w:t>podagru</w:t>
      </w:r>
      <w:proofErr w:type="spellEnd"/>
      <w:r w:rsidRPr="00087F50">
        <w:t xml:space="preserve">, </w:t>
      </w:r>
      <w:proofErr w:type="spellStart"/>
      <w:r w:rsidRPr="00087F50">
        <w:t>izņemot</w:t>
      </w:r>
      <w:proofErr w:type="spellEnd"/>
      <w:r w:rsidRPr="00087F50">
        <w:t xml:space="preserve"> </w:t>
      </w:r>
      <w:proofErr w:type="spellStart"/>
      <w:r w:rsidRPr="00087F50">
        <w:t>trīs</w:t>
      </w:r>
      <w:proofErr w:type="spellEnd"/>
      <w:r w:rsidRPr="00087F50">
        <w:t xml:space="preserve"> </w:t>
      </w:r>
      <w:proofErr w:type="spellStart"/>
      <w:r w:rsidRPr="00087F50">
        <w:t>blakusparādības</w:t>
      </w:r>
      <w:proofErr w:type="spellEnd"/>
      <w:r w:rsidRPr="00087F50">
        <w:t xml:space="preserve">, </w:t>
      </w:r>
      <w:proofErr w:type="spellStart"/>
      <w:r w:rsidRPr="00087F50">
        <w:t>kas</w:t>
      </w:r>
      <w:proofErr w:type="spellEnd"/>
      <w:r w:rsidRPr="00087F50">
        <w:t xml:space="preserve"> </w:t>
      </w:r>
      <w:proofErr w:type="spellStart"/>
      <w:r w:rsidRPr="00087F50">
        <w:t>minētas</w:t>
      </w:r>
      <w:proofErr w:type="spellEnd"/>
      <w:r w:rsidRPr="00087F50">
        <w:t xml:space="preserve"> 1. </w:t>
      </w:r>
      <w:proofErr w:type="spellStart"/>
      <w:r w:rsidRPr="00087F50">
        <w:t>tabulā</w:t>
      </w:r>
      <w:proofErr w:type="spellEnd"/>
      <w:r w:rsidRPr="00087F50">
        <w:t xml:space="preserve"> </w:t>
      </w:r>
      <w:proofErr w:type="spellStart"/>
      <w:r w:rsidRPr="00087F50">
        <w:t>iepriekš</w:t>
      </w:r>
      <w:proofErr w:type="spellEnd"/>
      <w:r w:rsidRPr="00087F50">
        <w:t xml:space="preserve">. </w:t>
      </w:r>
    </w:p>
    <w:p w14:paraId="085E2DBC" w14:textId="77777777" w:rsidR="00D40222" w:rsidRPr="00087F50" w:rsidRDefault="00D40222" w:rsidP="00A77DDF">
      <w:pPr>
        <w:spacing w:after="0" w:line="259" w:lineRule="auto"/>
        <w:ind w:left="1" w:firstLine="0"/>
      </w:pPr>
    </w:p>
    <w:tbl>
      <w:tblPr>
        <w:tblStyle w:val="TableGrid0"/>
        <w:tblW w:w="0" w:type="auto"/>
        <w:tblInd w:w="1" w:type="dxa"/>
        <w:tblLook w:val="04A0" w:firstRow="1" w:lastRow="0" w:firstColumn="1" w:lastColumn="0" w:noHBand="0" w:noVBand="1"/>
      </w:tblPr>
      <w:tblGrid>
        <w:gridCol w:w="4246"/>
        <w:gridCol w:w="4247"/>
      </w:tblGrid>
      <w:tr w:rsidR="00D40222" w:rsidRPr="00087F50" w14:paraId="46CB8682" w14:textId="77777777" w:rsidTr="00D40222">
        <w:tc>
          <w:tcPr>
            <w:tcW w:w="4247" w:type="dxa"/>
          </w:tcPr>
          <w:p w14:paraId="4390FE97" w14:textId="77777777" w:rsidR="00D40222" w:rsidRPr="00087F50" w:rsidRDefault="00D40222" w:rsidP="00D40222">
            <w:pPr>
              <w:ind w:left="-3" w:right="9"/>
            </w:pPr>
            <w:proofErr w:type="spellStart"/>
            <w:r w:rsidRPr="00087F50">
              <w:t>Sirds</w:t>
            </w:r>
            <w:proofErr w:type="spellEnd"/>
            <w:r w:rsidRPr="00087F50">
              <w:t xml:space="preserve"> </w:t>
            </w:r>
            <w:proofErr w:type="spellStart"/>
            <w:r w:rsidRPr="00087F50">
              <w:t>funkcijas</w:t>
            </w:r>
            <w:proofErr w:type="spellEnd"/>
            <w:r w:rsidRPr="00087F50">
              <w:t xml:space="preserve"> </w:t>
            </w:r>
            <w:proofErr w:type="spellStart"/>
            <w:r w:rsidRPr="00087F50">
              <w:t>traucējumi</w:t>
            </w:r>
            <w:proofErr w:type="spellEnd"/>
            <w:r w:rsidRPr="00087F50">
              <w:t xml:space="preserve"> </w:t>
            </w:r>
          </w:p>
          <w:p w14:paraId="0E424B96" w14:textId="77777777" w:rsidR="00D40222" w:rsidRPr="00087F50" w:rsidRDefault="00D40222" w:rsidP="00A77DDF">
            <w:pPr>
              <w:spacing w:after="0" w:line="259" w:lineRule="auto"/>
              <w:ind w:left="0" w:firstLine="0"/>
            </w:pPr>
          </w:p>
        </w:tc>
        <w:tc>
          <w:tcPr>
            <w:tcW w:w="4247" w:type="dxa"/>
          </w:tcPr>
          <w:p w14:paraId="36F8AA57" w14:textId="10C44084" w:rsidR="008C16C5" w:rsidRPr="00087F50" w:rsidRDefault="00D40222" w:rsidP="00D40222">
            <w:pPr>
              <w:ind w:left="-3" w:right="9"/>
            </w:pPr>
            <w:proofErr w:type="spellStart"/>
            <w:r w:rsidRPr="00087F50">
              <w:rPr>
                <w:u w:val="single"/>
              </w:rPr>
              <w:t>Retāk</w:t>
            </w:r>
            <w:proofErr w:type="spellEnd"/>
          </w:p>
          <w:p w14:paraId="3BA104E7" w14:textId="53EBBAD4" w:rsidR="00D40222" w:rsidRPr="00087F50" w:rsidRDefault="008C16C5" w:rsidP="008C16C5">
            <w:pPr>
              <w:ind w:left="-3" w:right="9"/>
            </w:pPr>
            <w:proofErr w:type="spellStart"/>
            <w:r w:rsidRPr="00087F50">
              <w:t>K</w:t>
            </w:r>
            <w:r w:rsidR="00D40222" w:rsidRPr="00087F50">
              <w:t>reisās</w:t>
            </w:r>
            <w:proofErr w:type="spellEnd"/>
            <w:r w:rsidR="00D40222" w:rsidRPr="00087F50">
              <w:t xml:space="preserve"> </w:t>
            </w:r>
            <w:proofErr w:type="spellStart"/>
            <w:r w:rsidR="00D40222" w:rsidRPr="00087F50">
              <w:t>kājiņas</w:t>
            </w:r>
            <w:proofErr w:type="spellEnd"/>
            <w:r w:rsidR="00D40222" w:rsidRPr="00087F50">
              <w:t xml:space="preserve"> </w:t>
            </w:r>
            <w:proofErr w:type="spellStart"/>
            <w:r w:rsidR="00D40222" w:rsidRPr="00087F50">
              <w:t>zaru</w:t>
            </w:r>
            <w:proofErr w:type="spellEnd"/>
            <w:r w:rsidR="00D40222" w:rsidRPr="00087F50">
              <w:t xml:space="preserve"> </w:t>
            </w:r>
            <w:proofErr w:type="spellStart"/>
            <w:r w:rsidR="00D40222" w:rsidRPr="00087F50">
              <w:t>blokāde</w:t>
            </w:r>
            <w:proofErr w:type="spellEnd"/>
            <w:r w:rsidR="00D40222" w:rsidRPr="00087F50">
              <w:t xml:space="preserve">, </w:t>
            </w:r>
            <w:proofErr w:type="spellStart"/>
            <w:r w:rsidR="00D40222" w:rsidRPr="00087F50">
              <w:t>sinusa</w:t>
            </w:r>
            <w:proofErr w:type="spellEnd"/>
            <w:r w:rsidR="00D40222" w:rsidRPr="00087F50">
              <w:t xml:space="preserve"> </w:t>
            </w:r>
            <w:proofErr w:type="spellStart"/>
            <w:r w:rsidR="00D40222" w:rsidRPr="00087F50">
              <w:t>tahikardija</w:t>
            </w:r>
            <w:proofErr w:type="spellEnd"/>
            <w:r w:rsidR="00D40222" w:rsidRPr="00087F50">
              <w:t xml:space="preserve"> </w:t>
            </w:r>
          </w:p>
          <w:p w14:paraId="205A646E" w14:textId="77777777" w:rsidR="00D40222" w:rsidRPr="00087F50" w:rsidRDefault="00D40222" w:rsidP="00A77DDF">
            <w:pPr>
              <w:spacing w:after="0" w:line="259" w:lineRule="auto"/>
              <w:ind w:left="0" w:firstLine="0"/>
            </w:pPr>
          </w:p>
        </w:tc>
      </w:tr>
      <w:tr w:rsidR="00D40222" w:rsidRPr="00087F50" w14:paraId="535F251A" w14:textId="77777777" w:rsidTr="00D40222">
        <w:tc>
          <w:tcPr>
            <w:tcW w:w="4247" w:type="dxa"/>
          </w:tcPr>
          <w:p w14:paraId="47247E5C" w14:textId="77777777" w:rsidR="00D40222" w:rsidRPr="00087F50" w:rsidRDefault="00D40222" w:rsidP="00D40222">
            <w:pPr>
              <w:ind w:left="-3" w:right="9"/>
            </w:pPr>
            <w:proofErr w:type="spellStart"/>
            <w:r w:rsidRPr="00087F50">
              <w:t>Asinsvadu</w:t>
            </w:r>
            <w:proofErr w:type="spellEnd"/>
            <w:r w:rsidRPr="00087F50">
              <w:t xml:space="preserve"> </w:t>
            </w:r>
            <w:proofErr w:type="spellStart"/>
            <w:r w:rsidRPr="00087F50">
              <w:t>sistēmas</w:t>
            </w:r>
            <w:proofErr w:type="spellEnd"/>
            <w:r w:rsidRPr="00087F50">
              <w:t xml:space="preserve"> </w:t>
            </w:r>
            <w:proofErr w:type="spellStart"/>
            <w:r w:rsidRPr="00087F50">
              <w:t>traucējumi</w:t>
            </w:r>
            <w:proofErr w:type="spellEnd"/>
            <w:r w:rsidRPr="00087F50">
              <w:t xml:space="preserve"> </w:t>
            </w:r>
          </w:p>
          <w:p w14:paraId="08F40C10" w14:textId="77777777" w:rsidR="00D40222" w:rsidRPr="00087F50" w:rsidRDefault="00D40222" w:rsidP="00A77DDF">
            <w:pPr>
              <w:spacing w:after="0" w:line="259" w:lineRule="auto"/>
              <w:ind w:left="0" w:firstLine="0"/>
            </w:pPr>
          </w:p>
        </w:tc>
        <w:tc>
          <w:tcPr>
            <w:tcW w:w="4247" w:type="dxa"/>
          </w:tcPr>
          <w:p w14:paraId="5D4AB6DD" w14:textId="1EDDC5A9" w:rsidR="008C16C5" w:rsidRPr="00087F50" w:rsidRDefault="00D40222" w:rsidP="00D40222">
            <w:pPr>
              <w:ind w:left="-3" w:right="9"/>
            </w:pPr>
            <w:proofErr w:type="spellStart"/>
            <w:r w:rsidRPr="00087F50">
              <w:rPr>
                <w:u w:val="single"/>
              </w:rPr>
              <w:t>Retāk</w:t>
            </w:r>
            <w:proofErr w:type="spellEnd"/>
            <w:r w:rsidRPr="00087F50">
              <w:t xml:space="preserve"> </w:t>
            </w:r>
          </w:p>
          <w:p w14:paraId="2C44FC81" w14:textId="3CF4ACC7" w:rsidR="00D40222" w:rsidRPr="00087F50" w:rsidRDefault="008C16C5" w:rsidP="00D40222">
            <w:pPr>
              <w:ind w:left="-3" w:right="9"/>
            </w:pPr>
            <w:proofErr w:type="spellStart"/>
            <w:r w:rsidRPr="00087F50">
              <w:t>H</w:t>
            </w:r>
            <w:r w:rsidR="00D40222" w:rsidRPr="00087F50">
              <w:t>emorāģija</w:t>
            </w:r>
            <w:proofErr w:type="spellEnd"/>
            <w:r w:rsidR="00D40222" w:rsidRPr="00087F50">
              <w:t xml:space="preserve"> </w:t>
            </w:r>
          </w:p>
          <w:p w14:paraId="157F6555" w14:textId="77777777" w:rsidR="00D40222" w:rsidRPr="00087F50" w:rsidRDefault="00D40222" w:rsidP="00A77DDF">
            <w:pPr>
              <w:spacing w:after="0" w:line="259" w:lineRule="auto"/>
              <w:ind w:left="0" w:firstLine="0"/>
            </w:pPr>
          </w:p>
        </w:tc>
      </w:tr>
    </w:tbl>
    <w:p w14:paraId="2FA9CF0F" w14:textId="0C753AD1" w:rsidR="00A77DDF" w:rsidRPr="00087F50" w:rsidRDefault="00A77DDF" w:rsidP="00A77DDF">
      <w:pPr>
        <w:spacing w:after="0" w:line="259" w:lineRule="auto"/>
        <w:ind w:left="1" w:firstLine="0"/>
      </w:pPr>
      <w:r w:rsidRPr="00087F50">
        <w:t xml:space="preserve"> </w:t>
      </w:r>
    </w:p>
    <w:p w14:paraId="341DD2B4" w14:textId="77777777" w:rsidR="00A77DDF" w:rsidRPr="00087F50" w:rsidRDefault="00A77DDF" w:rsidP="00A77DDF">
      <w:pPr>
        <w:pStyle w:val="Heading2"/>
        <w:spacing w:after="0" w:line="259" w:lineRule="auto"/>
        <w:ind w:left="-3" w:right="0"/>
      </w:pPr>
      <w:proofErr w:type="spellStart"/>
      <w:r w:rsidRPr="00087F50">
        <w:rPr>
          <w:b w:val="0"/>
          <w:u w:val="single" w:color="000000"/>
        </w:rPr>
        <w:t>Ziņošana</w:t>
      </w:r>
      <w:proofErr w:type="spellEnd"/>
      <w:r w:rsidRPr="00087F50">
        <w:rPr>
          <w:b w:val="0"/>
          <w:u w:val="single" w:color="000000"/>
        </w:rPr>
        <w:t xml:space="preserve"> par </w:t>
      </w:r>
      <w:proofErr w:type="spellStart"/>
      <w:r w:rsidRPr="00087F50">
        <w:rPr>
          <w:b w:val="0"/>
          <w:u w:val="single" w:color="000000"/>
        </w:rPr>
        <w:t>iespējamām</w:t>
      </w:r>
      <w:proofErr w:type="spellEnd"/>
      <w:r w:rsidRPr="00087F50">
        <w:rPr>
          <w:b w:val="0"/>
          <w:u w:val="single" w:color="000000"/>
        </w:rPr>
        <w:t xml:space="preserve"> </w:t>
      </w:r>
      <w:proofErr w:type="spellStart"/>
      <w:r w:rsidRPr="00087F50">
        <w:rPr>
          <w:b w:val="0"/>
          <w:u w:val="single" w:color="000000"/>
        </w:rPr>
        <w:t>nevēlamām</w:t>
      </w:r>
      <w:proofErr w:type="spellEnd"/>
      <w:r w:rsidRPr="00087F50">
        <w:rPr>
          <w:b w:val="0"/>
          <w:u w:val="single" w:color="000000"/>
        </w:rPr>
        <w:t xml:space="preserve"> </w:t>
      </w:r>
      <w:proofErr w:type="spellStart"/>
      <w:r w:rsidRPr="00087F50">
        <w:rPr>
          <w:b w:val="0"/>
          <w:u w:val="single" w:color="000000"/>
        </w:rPr>
        <w:t>blakusparādībām</w:t>
      </w:r>
      <w:proofErr w:type="spellEnd"/>
      <w:r w:rsidRPr="00087F50">
        <w:rPr>
          <w:b w:val="0"/>
        </w:rPr>
        <w:t xml:space="preserve"> </w:t>
      </w:r>
    </w:p>
    <w:p w14:paraId="04D9E4DC" w14:textId="66757A3E" w:rsidR="002628B1" w:rsidRPr="00087F50" w:rsidRDefault="00A77DDF" w:rsidP="002628B1">
      <w:pPr>
        <w:autoSpaceDE w:val="0"/>
        <w:autoSpaceDN w:val="0"/>
        <w:adjustRightInd w:val="0"/>
        <w:spacing w:line="240" w:lineRule="auto"/>
        <w:rPr>
          <w:rFonts w:eastAsia="SimSun"/>
          <w:lang w:eastAsia="en-GB"/>
        </w:rPr>
      </w:pPr>
      <w:r w:rsidRPr="00087F50">
        <w:t xml:space="preserve">Ir </w:t>
      </w:r>
      <w:proofErr w:type="spellStart"/>
      <w:r w:rsidRPr="00087F50">
        <w:t>svarīgi</w:t>
      </w:r>
      <w:proofErr w:type="spellEnd"/>
      <w:r w:rsidRPr="00087F50">
        <w:t xml:space="preserve"> </w:t>
      </w:r>
      <w:proofErr w:type="spellStart"/>
      <w:r w:rsidRPr="00087F50">
        <w:t>ziņot</w:t>
      </w:r>
      <w:proofErr w:type="spellEnd"/>
      <w:r w:rsidRPr="00087F50">
        <w:t xml:space="preserve"> par </w:t>
      </w:r>
      <w:proofErr w:type="spellStart"/>
      <w:r w:rsidRPr="00087F50">
        <w:t>iespējamām</w:t>
      </w:r>
      <w:proofErr w:type="spellEnd"/>
      <w:r w:rsidRPr="00087F50">
        <w:t xml:space="preserve"> </w:t>
      </w:r>
      <w:proofErr w:type="spellStart"/>
      <w:r w:rsidRPr="00087F50">
        <w:t>nevēlamām</w:t>
      </w:r>
      <w:proofErr w:type="spellEnd"/>
      <w:r w:rsidRPr="00087F50">
        <w:t xml:space="preserve"> </w:t>
      </w:r>
      <w:proofErr w:type="spellStart"/>
      <w:r w:rsidRPr="00087F50">
        <w:t>blakusparādībām</w:t>
      </w:r>
      <w:proofErr w:type="spellEnd"/>
      <w:r w:rsidRPr="00087F50">
        <w:t xml:space="preserve"> </w:t>
      </w:r>
      <w:proofErr w:type="spellStart"/>
      <w:r w:rsidRPr="00087F50">
        <w:t>pēc</w:t>
      </w:r>
      <w:proofErr w:type="spellEnd"/>
      <w:r w:rsidRPr="00087F50">
        <w:t xml:space="preserve"> </w:t>
      </w:r>
      <w:proofErr w:type="spellStart"/>
      <w:r w:rsidRPr="00087F50">
        <w:t>zāļu</w:t>
      </w:r>
      <w:proofErr w:type="spellEnd"/>
      <w:r w:rsidRPr="00087F50">
        <w:t xml:space="preserve"> </w:t>
      </w:r>
      <w:proofErr w:type="spellStart"/>
      <w:r w:rsidRPr="00087F50">
        <w:t>reģistrācijas</w:t>
      </w:r>
      <w:proofErr w:type="spellEnd"/>
      <w:r w:rsidRPr="00087F50">
        <w:t xml:space="preserve">. </w:t>
      </w:r>
      <w:proofErr w:type="spellStart"/>
      <w:r w:rsidRPr="00087F50">
        <w:t>Tādējādi</w:t>
      </w:r>
      <w:proofErr w:type="spellEnd"/>
      <w:r w:rsidRPr="00087F50">
        <w:t xml:space="preserve"> </w:t>
      </w:r>
      <w:proofErr w:type="spellStart"/>
      <w:r w:rsidRPr="00087F50">
        <w:t>zāļu</w:t>
      </w:r>
      <w:proofErr w:type="spellEnd"/>
      <w:r w:rsidRPr="00087F50">
        <w:t xml:space="preserve"> </w:t>
      </w:r>
      <w:proofErr w:type="spellStart"/>
      <w:r w:rsidRPr="00087F50">
        <w:t>ieguvuma</w:t>
      </w:r>
      <w:proofErr w:type="spellEnd"/>
      <w:r w:rsidRPr="00087F50">
        <w:t>/</w:t>
      </w:r>
      <w:proofErr w:type="spellStart"/>
      <w:r w:rsidRPr="00087F50">
        <w:t>riska</w:t>
      </w:r>
      <w:proofErr w:type="spellEnd"/>
      <w:r w:rsidRPr="00087F50">
        <w:t xml:space="preserve"> </w:t>
      </w:r>
      <w:proofErr w:type="spellStart"/>
      <w:r w:rsidRPr="00087F50">
        <w:t>attiecība</w:t>
      </w:r>
      <w:proofErr w:type="spellEnd"/>
      <w:r w:rsidRPr="00087F50">
        <w:t xml:space="preserve"> </w:t>
      </w:r>
      <w:proofErr w:type="spellStart"/>
      <w:r w:rsidRPr="00087F50">
        <w:t>tiek</w:t>
      </w:r>
      <w:proofErr w:type="spellEnd"/>
      <w:r w:rsidRPr="00087F50">
        <w:t xml:space="preserve"> </w:t>
      </w:r>
      <w:proofErr w:type="spellStart"/>
      <w:r w:rsidRPr="00087F50">
        <w:t>nepārtraukti</w:t>
      </w:r>
      <w:proofErr w:type="spellEnd"/>
      <w:r w:rsidRPr="00087F50">
        <w:t xml:space="preserve"> </w:t>
      </w:r>
      <w:proofErr w:type="spellStart"/>
      <w:r w:rsidRPr="00087F50">
        <w:t>uzraudzīta</w:t>
      </w:r>
      <w:proofErr w:type="spellEnd"/>
      <w:r w:rsidRPr="00087F50">
        <w:t xml:space="preserve">. </w:t>
      </w:r>
      <w:proofErr w:type="spellStart"/>
      <w:r w:rsidRPr="00087F50">
        <w:t>Veselības</w:t>
      </w:r>
      <w:proofErr w:type="spellEnd"/>
      <w:r w:rsidRPr="00087F50">
        <w:t xml:space="preserve"> </w:t>
      </w:r>
      <w:proofErr w:type="spellStart"/>
      <w:r w:rsidRPr="00087F50">
        <w:t>aprūpes</w:t>
      </w:r>
      <w:proofErr w:type="spellEnd"/>
      <w:r w:rsidRPr="00087F50">
        <w:t xml:space="preserve"> </w:t>
      </w:r>
      <w:proofErr w:type="spellStart"/>
      <w:r w:rsidRPr="00087F50">
        <w:t>speciālisti</w:t>
      </w:r>
      <w:proofErr w:type="spellEnd"/>
      <w:r w:rsidRPr="00087F50">
        <w:t xml:space="preserve"> </w:t>
      </w:r>
      <w:proofErr w:type="spellStart"/>
      <w:r w:rsidRPr="00087F50">
        <w:t>tiek</w:t>
      </w:r>
      <w:proofErr w:type="spellEnd"/>
      <w:r w:rsidRPr="00087F50">
        <w:t xml:space="preserve"> </w:t>
      </w:r>
      <w:proofErr w:type="spellStart"/>
      <w:r w:rsidRPr="00087F50">
        <w:t>lūgti</w:t>
      </w:r>
      <w:proofErr w:type="spellEnd"/>
      <w:r w:rsidRPr="00087F50">
        <w:t xml:space="preserve"> </w:t>
      </w:r>
      <w:proofErr w:type="spellStart"/>
      <w:r w:rsidRPr="00087F50">
        <w:t>ziņot</w:t>
      </w:r>
      <w:proofErr w:type="spellEnd"/>
      <w:r w:rsidRPr="00087F50">
        <w:t xml:space="preserve"> par </w:t>
      </w:r>
      <w:proofErr w:type="spellStart"/>
      <w:r w:rsidRPr="00087F50">
        <w:t>jebkādām</w:t>
      </w:r>
      <w:proofErr w:type="spellEnd"/>
      <w:r w:rsidRPr="00087F50">
        <w:t xml:space="preserve"> </w:t>
      </w:r>
      <w:proofErr w:type="spellStart"/>
      <w:r w:rsidRPr="00087F50">
        <w:t>iespējamām</w:t>
      </w:r>
      <w:proofErr w:type="spellEnd"/>
      <w:r w:rsidRPr="00087F50">
        <w:t xml:space="preserve"> </w:t>
      </w:r>
      <w:proofErr w:type="spellStart"/>
      <w:r w:rsidRPr="00087F50">
        <w:t>nevēlamām</w:t>
      </w:r>
      <w:proofErr w:type="spellEnd"/>
      <w:r w:rsidRPr="00087F50">
        <w:t xml:space="preserve"> </w:t>
      </w:r>
      <w:proofErr w:type="spellStart"/>
      <w:r w:rsidRPr="00087F50">
        <w:t>blakusparādībām</w:t>
      </w:r>
      <w:proofErr w:type="spellEnd"/>
      <w:r w:rsidR="002628B1" w:rsidRPr="00087F50">
        <w:rPr>
          <w:color w:val="008000"/>
        </w:rPr>
        <w:t xml:space="preserve"> </w:t>
      </w:r>
      <w:proofErr w:type="spellStart"/>
      <w:r w:rsidR="002628B1" w:rsidRPr="00087F50">
        <w:t>Zāļu</w:t>
      </w:r>
      <w:proofErr w:type="spellEnd"/>
      <w:r w:rsidR="002628B1" w:rsidRPr="00087F50">
        <w:t xml:space="preserve"> </w:t>
      </w:r>
      <w:proofErr w:type="spellStart"/>
      <w:r w:rsidR="002628B1" w:rsidRPr="00087F50">
        <w:t>valsts</w:t>
      </w:r>
      <w:proofErr w:type="spellEnd"/>
      <w:r w:rsidR="002628B1" w:rsidRPr="00087F50">
        <w:t xml:space="preserve"> </w:t>
      </w:r>
      <w:proofErr w:type="spellStart"/>
      <w:r w:rsidR="002628B1" w:rsidRPr="00087F50">
        <w:t>aģentūrai</w:t>
      </w:r>
      <w:proofErr w:type="spellEnd"/>
      <w:r w:rsidR="002628B1" w:rsidRPr="00087F50">
        <w:t xml:space="preserve">, </w:t>
      </w:r>
      <w:proofErr w:type="spellStart"/>
      <w:r w:rsidR="002628B1" w:rsidRPr="00087F50">
        <w:t>Jersikas</w:t>
      </w:r>
      <w:proofErr w:type="spellEnd"/>
      <w:r w:rsidR="002628B1" w:rsidRPr="00087F50">
        <w:t xml:space="preserve"> </w:t>
      </w:r>
      <w:proofErr w:type="spellStart"/>
      <w:r w:rsidR="002628B1" w:rsidRPr="00087F50">
        <w:t>ielā</w:t>
      </w:r>
      <w:proofErr w:type="spellEnd"/>
      <w:r w:rsidR="002628B1" w:rsidRPr="00087F50">
        <w:t xml:space="preserve"> 15, </w:t>
      </w:r>
      <w:proofErr w:type="spellStart"/>
      <w:r w:rsidR="002628B1" w:rsidRPr="00087F50">
        <w:t>Rīgā</w:t>
      </w:r>
      <w:proofErr w:type="spellEnd"/>
      <w:r w:rsidR="002628B1" w:rsidRPr="00087F50">
        <w:t xml:space="preserve">, LV-1003. </w:t>
      </w:r>
      <w:proofErr w:type="spellStart"/>
      <w:r w:rsidR="002628B1" w:rsidRPr="00087F50">
        <w:t>Tīmekļa</w:t>
      </w:r>
      <w:proofErr w:type="spellEnd"/>
      <w:r w:rsidR="002628B1" w:rsidRPr="00087F50">
        <w:t xml:space="preserve"> </w:t>
      </w:r>
      <w:proofErr w:type="spellStart"/>
      <w:r w:rsidR="002628B1" w:rsidRPr="00087F50">
        <w:t>vietne</w:t>
      </w:r>
      <w:proofErr w:type="spellEnd"/>
      <w:r w:rsidR="002628B1" w:rsidRPr="00087F50">
        <w:t>: </w:t>
      </w:r>
      <w:hyperlink r:id="rId10" w:history="1">
        <w:r w:rsidR="002628B1" w:rsidRPr="00087F50">
          <w:t>www.zva.gov.lv</w:t>
        </w:r>
      </w:hyperlink>
    </w:p>
    <w:p w14:paraId="7729046D" w14:textId="1565FE4F" w:rsidR="00A77DDF" w:rsidRPr="00087F50" w:rsidRDefault="00A77DDF" w:rsidP="00A77DDF">
      <w:pPr>
        <w:ind w:left="-3" w:right="9"/>
      </w:pPr>
      <w:r w:rsidRPr="00087F50">
        <w:t xml:space="preserve"> </w:t>
      </w:r>
    </w:p>
    <w:p w14:paraId="20AB2577" w14:textId="77777777" w:rsidR="00A77DDF" w:rsidRPr="00087F50" w:rsidRDefault="00A77DDF" w:rsidP="00A77DDF">
      <w:pPr>
        <w:tabs>
          <w:tab w:val="center" w:pos="1168"/>
        </w:tabs>
        <w:spacing w:after="11" w:line="251" w:lineRule="auto"/>
        <w:ind w:left="-13" w:firstLine="0"/>
      </w:pPr>
      <w:r w:rsidRPr="00087F50">
        <w:rPr>
          <w:b/>
        </w:rPr>
        <w:t xml:space="preserve">4.9. </w:t>
      </w:r>
      <w:r w:rsidRPr="00087F50">
        <w:rPr>
          <w:b/>
        </w:rPr>
        <w:tab/>
      </w:r>
      <w:proofErr w:type="spellStart"/>
      <w:r w:rsidRPr="00087F50">
        <w:rPr>
          <w:b/>
        </w:rPr>
        <w:t>Pārdozēšana</w:t>
      </w:r>
      <w:proofErr w:type="spellEnd"/>
      <w:r w:rsidRPr="00087F50">
        <w:t xml:space="preserve"> </w:t>
      </w:r>
    </w:p>
    <w:p w14:paraId="60C91295" w14:textId="77777777" w:rsidR="00A77DDF" w:rsidRPr="00087F50" w:rsidRDefault="00A77DDF" w:rsidP="00A77DDF">
      <w:pPr>
        <w:spacing w:after="0" w:line="259" w:lineRule="auto"/>
        <w:ind w:left="1" w:firstLine="0"/>
      </w:pPr>
      <w:r w:rsidRPr="00087F50">
        <w:t xml:space="preserve"> </w:t>
      </w:r>
    </w:p>
    <w:p w14:paraId="1CDABB7E" w14:textId="77777777" w:rsidR="00A77DDF" w:rsidRPr="00087F50" w:rsidRDefault="00A77DDF" w:rsidP="00A77DDF">
      <w:pPr>
        <w:ind w:left="-3" w:right="9"/>
      </w:pPr>
      <w:proofErr w:type="spellStart"/>
      <w:r w:rsidRPr="00087F50">
        <w:t>Zāles</w:t>
      </w:r>
      <w:proofErr w:type="spellEnd"/>
      <w:r w:rsidRPr="00087F50">
        <w:t xml:space="preserve"> </w:t>
      </w:r>
      <w:proofErr w:type="spellStart"/>
      <w:r w:rsidRPr="00087F50">
        <w:t>pārdozējušiem</w:t>
      </w:r>
      <w:proofErr w:type="spellEnd"/>
      <w:r w:rsidRPr="00087F50">
        <w:t xml:space="preserve"> </w:t>
      </w:r>
      <w:proofErr w:type="spellStart"/>
      <w:r w:rsidRPr="00087F50">
        <w:t>pacientiem</w:t>
      </w:r>
      <w:proofErr w:type="spellEnd"/>
      <w:r w:rsidRPr="00087F50">
        <w:t xml:space="preserve"> ir </w:t>
      </w:r>
      <w:proofErr w:type="spellStart"/>
      <w:r w:rsidRPr="00087F50">
        <w:t>jāsaņem</w:t>
      </w:r>
      <w:proofErr w:type="spellEnd"/>
      <w:r w:rsidRPr="00087F50">
        <w:t xml:space="preserve"> </w:t>
      </w:r>
      <w:proofErr w:type="spellStart"/>
      <w:r w:rsidRPr="00087F50">
        <w:t>simptomātiska</w:t>
      </w:r>
      <w:proofErr w:type="spellEnd"/>
      <w:r w:rsidRPr="00087F50">
        <w:t xml:space="preserve"> un </w:t>
      </w:r>
      <w:proofErr w:type="spellStart"/>
      <w:r w:rsidRPr="00087F50">
        <w:t>atbalsta</w:t>
      </w:r>
      <w:proofErr w:type="spellEnd"/>
      <w:r w:rsidRPr="00087F50">
        <w:t xml:space="preserve"> </w:t>
      </w:r>
      <w:proofErr w:type="spellStart"/>
      <w:r w:rsidRPr="00087F50">
        <w:t>terapija</w:t>
      </w:r>
      <w:proofErr w:type="spellEnd"/>
      <w:r w:rsidRPr="00087F50">
        <w:t xml:space="preserve">. </w:t>
      </w:r>
    </w:p>
    <w:p w14:paraId="0E5790B1" w14:textId="77777777" w:rsidR="00A77DDF" w:rsidRPr="00087F50" w:rsidRDefault="00A77DDF" w:rsidP="00A77DDF">
      <w:pPr>
        <w:spacing w:after="0" w:line="259" w:lineRule="auto"/>
        <w:ind w:left="1" w:firstLine="0"/>
      </w:pPr>
      <w:r w:rsidRPr="00087F50">
        <w:t xml:space="preserve"> </w:t>
      </w:r>
    </w:p>
    <w:p w14:paraId="50568774" w14:textId="77777777" w:rsidR="00A77DDF" w:rsidRPr="00087F50" w:rsidRDefault="00A77DDF" w:rsidP="00A77DDF">
      <w:pPr>
        <w:spacing w:after="11" w:line="259" w:lineRule="auto"/>
        <w:ind w:left="1" w:firstLine="0"/>
      </w:pPr>
      <w:r w:rsidRPr="00087F50">
        <w:t xml:space="preserve"> </w:t>
      </w:r>
    </w:p>
    <w:p w14:paraId="22974CFA" w14:textId="77777777" w:rsidR="00A77DDF" w:rsidRPr="00087F50" w:rsidRDefault="00A77DDF" w:rsidP="00A77DDF">
      <w:pPr>
        <w:pStyle w:val="Heading3"/>
        <w:tabs>
          <w:tab w:val="center" w:pos="2259"/>
        </w:tabs>
        <w:ind w:left="-13" w:right="0" w:firstLine="0"/>
      </w:pPr>
      <w:r w:rsidRPr="00087F50">
        <w:t xml:space="preserve">5. </w:t>
      </w:r>
      <w:r w:rsidRPr="00087F50">
        <w:tab/>
        <w:t>FARMAKOLOĢISKĀS ĪPAŠĪBAS</w:t>
      </w:r>
      <w:r w:rsidRPr="00087F50">
        <w:rPr>
          <w:b w:val="0"/>
        </w:rPr>
        <w:t xml:space="preserve"> </w:t>
      </w:r>
    </w:p>
    <w:p w14:paraId="2170D283" w14:textId="77777777" w:rsidR="00A77DDF" w:rsidRPr="00087F50" w:rsidRDefault="00A77DDF" w:rsidP="00A77DDF">
      <w:pPr>
        <w:spacing w:after="0" w:line="259" w:lineRule="auto"/>
        <w:ind w:left="1" w:firstLine="0"/>
      </w:pPr>
      <w:r w:rsidRPr="00087F50">
        <w:rPr>
          <w:b/>
        </w:rPr>
        <w:t xml:space="preserve"> </w:t>
      </w:r>
    </w:p>
    <w:p w14:paraId="0048AE35" w14:textId="77777777" w:rsidR="00A77DDF" w:rsidRPr="00087F50" w:rsidRDefault="00A77DDF" w:rsidP="00A77DDF">
      <w:pPr>
        <w:pStyle w:val="Heading4"/>
        <w:ind w:left="-3" w:right="0"/>
      </w:pPr>
      <w:r w:rsidRPr="00087F50">
        <w:t xml:space="preserve">5.1.  </w:t>
      </w:r>
      <w:proofErr w:type="spellStart"/>
      <w:r w:rsidRPr="00087F50">
        <w:t>Farmakodinamiskās</w:t>
      </w:r>
      <w:proofErr w:type="spellEnd"/>
      <w:r w:rsidRPr="00087F50">
        <w:t xml:space="preserve"> </w:t>
      </w:r>
      <w:proofErr w:type="spellStart"/>
      <w:r w:rsidRPr="00087F50">
        <w:t>īpašības</w:t>
      </w:r>
      <w:proofErr w:type="spellEnd"/>
      <w:r w:rsidRPr="00087F50">
        <w:rPr>
          <w:b w:val="0"/>
        </w:rPr>
        <w:t xml:space="preserve"> </w:t>
      </w:r>
    </w:p>
    <w:p w14:paraId="7F4FC6B8" w14:textId="77777777" w:rsidR="00A77DDF" w:rsidRPr="00087F50" w:rsidRDefault="00A77DDF" w:rsidP="00A77DDF">
      <w:pPr>
        <w:spacing w:after="0" w:line="259" w:lineRule="auto"/>
        <w:ind w:left="1" w:firstLine="0"/>
      </w:pPr>
      <w:r w:rsidRPr="00087F50">
        <w:t xml:space="preserve"> </w:t>
      </w:r>
    </w:p>
    <w:p w14:paraId="32878C23" w14:textId="77777777" w:rsidR="00A77DDF" w:rsidRPr="00087F50" w:rsidRDefault="00A77DDF" w:rsidP="00A77DDF">
      <w:pPr>
        <w:ind w:left="-3" w:right="9"/>
      </w:pPr>
      <w:proofErr w:type="spellStart"/>
      <w:r w:rsidRPr="00087F50">
        <w:t>Farmakoterapeitiskā</w:t>
      </w:r>
      <w:proofErr w:type="spellEnd"/>
      <w:r w:rsidRPr="00087F50">
        <w:t xml:space="preserve"> grupa: </w:t>
      </w:r>
      <w:proofErr w:type="spellStart"/>
      <w:r w:rsidRPr="00087F50">
        <w:t>Pretpodagras</w:t>
      </w:r>
      <w:proofErr w:type="spellEnd"/>
      <w:r w:rsidRPr="00087F50">
        <w:t xml:space="preserve"> </w:t>
      </w:r>
      <w:proofErr w:type="spellStart"/>
      <w:r w:rsidRPr="00087F50">
        <w:t>līdzekļi</w:t>
      </w:r>
      <w:proofErr w:type="spellEnd"/>
      <w:r w:rsidRPr="00087F50">
        <w:t xml:space="preserve">, </w:t>
      </w:r>
      <w:proofErr w:type="spellStart"/>
      <w:r w:rsidRPr="00087F50">
        <w:t>urīnskābes</w:t>
      </w:r>
      <w:proofErr w:type="spellEnd"/>
      <w:r w:rsidRPr="00087F50">
        <w:t xml:space="preserve"> </w:t>
      </w:r>
      <w:proofErr w:type="spellStart"/>
      <w:r w:rsidRPr="00087F50">
        <w:t>veidošanos</w:t>
      </w:r>
      <w:proofErr w:type="spellEnd"/>
      <w:r w:rsidRPr="00087F50">
        <w:t xml:space="preserve"> </w:t>
      </w:r>
      <w:proofErr w:type="spellStart"/>
      <w:r w:rsidRPr="00087F50">
        <w:t>inhibējoši</w:t>
      </w:r>
      <w:proofErr w:type="spellEnd"/>
      <w:r w:rsidRPr="00087F50">
        <w:t xml:space="preserve"> </w:t>
      </w:r>
      <w:proofErr w:type="spellStart"/>
      <w:r w:rsidRPr="00087F50">
        <w:t>līdzekļi</w:t>
      </w:r>
      <w:proofErr w:type="spellEnd"/>
      <w:r w:rsidRPr="00087F50">
        <w:t xml:space="preserve">. ATĶ </w:t>
      </w:r>
      <w:proofErr w:type="spellStart"/>
      <w:r w:rsidRPr="00087F50">
        <w:t>kods</w:t>
      </w:r>
      <w:proofErr w:type="spellEnd"/>
      <w:r w:rsidRPr="00087F50">
        <w:t xml:space="preserve">: M04AA03 </w:t>
      </w:r>
    </w:p>
    <w:p w14:paraId="1517F65B" w14:textId="77777777" w:rsidR="00A77DDF" w:rsidRPr="00087F50" w:rsidRDefault="00A77DDF" w:rsidP="00A77DDF">
      <w:pPr>
        <w:spacing w:after="0" w:line="259" w:lineRule="auto"/>
        <w:ind w:left="1" w:firstLine="0"/>
      </w:pPr>
      <w:r w:rsidRPr="00087F50">
        <w:t xml:space="preserve"> </w:t>
      </w:r>
    </w:p>
    <w:p w14:paraId="5352BA27" w14:textId="77777777" w:rsidR="00A77DDF" w:rsidRPr="00087F50" w:rsidRDefault="00A77DDF" w:rsidP="00A77DDF">
      <w:pPr>
        <w:pStyle w:val="Heading2"/>
        <w:spacing w:after="0" w:line="259" w:lineRule="auto"/>
        <w:ind w:left="-3" w:right="0"/>
      </w:pPr>
      <w:proofErr w:type="spellStart"/>
      <w:r w:rsidRPr="00087F50">
        <w:rPr>
          <w:b w:val="0"/>
          <w:u w:val="single" w:color="000000"/>
        </w:rPr>
        <w:t>Darbības</w:t>
      </w:r>
      <w:proofErr w:type="spellEnd"/>
      <w:r w:rsidRPr="00087F50">
        <w:rPr>
          <w:b w:val="0"/>
          <w:u w:val="single" w:color="000000"/>
        </w:rPr>
        <w:t xml:space="preserve"> </w:t>
      </w:r>
      <w:proofErr w:type="spellStart"/>
      <w:r w:rsidRPr="00087F50">
        <w:rPr>
          <w:b w:val="0"/>
          <w:u w:val="single" w:color="000000"/>
        </w:rPr>
        <w:t>mehānisms</w:t>
      </w:r>
      <w:proofErr w:type="spellEnd"/>
      <w:r w:rsidRPr="00087F50">
        <w:rPr>
          <w:b w:val="0"/>
        </w:rPr>
        <w:t xml:space="preserve"> </w:t>
      </w:r>
    </w:p>
    <w:p w14:paraId="7EE5773D" w14:textId="77777777" w:rsidR="00A77DDF" w:rsidRPr="00087F50" w:rsidRDefault="00A77DDF" w:rsidP="00A77DDF">
      <w:pPr>
        <w:ind w:left="-3" w:right="9"/>
      </w:pPr>
      <w:proofErr w:type="spellStart"/>
      <w:r w:rsidRPr="00087F50">
        <w:t>Urīnskābe</w:t>
      </w:r>
      <w:proofErr w:type="spellEnd"/>
      <w:r w:rsidRPr="00087F50">
        <w:t xml:space="preserve"> ir </w:t>
      </w:r>
      <w:proofErr w:type="spellStart"/>
      <w:r w:rsidRPr="00087F50">
        <w:t>purīnu</w:t>
      </w:r>
      <w:proofErr w:type="spellEnd"/>
      <w:r w:rsidRPr="00087F50">
        <w:t xml:space="preserve"> </w:t>
      </w:r>
      <w:proofErr w:type="spellStart"/>
      <w:r w:rsidRPr="00087F50">
        <w:t>metabolisma</w:t>
      </w:r>
      <w:proofErr w:type="spellEnd"/>
      <w:r w:rsidRPr="00087F50">
        <w:t xml:space="preserve"> </w:t>
      </w:r>
      <w:proofErr w:type="spellStart"/>
      <w:r w:rsidRPr="00087F50">
        <w:t>galaprodukts</w:t>
      </w:r>
      <w:proofErr w:type="spellEnd"/>
      <w:r w:rsidRPr="00087F50">
        <w:t xml:space="preserve"> </w:t>
      </w:r>
      <w:proofErr w:type="spellStart"/>
      <w:r w:rsidRPr="00087F50">
        <w:t>cilvēka</w:t>
      </w:r>
      <w:proofErr w:type="spellEnd"/>
      <w:r w:rsidRPr="00087F50">
        <w:t xml:space="preserve"> </w:t>
      </w:r>
      <w:proofErr w:type="spellStart"/>
      <w:r w:rsidRPr="00087F50">
        <w:t>organismā</w:t>
      </w:r>
      <w:proofErr w:type="spellEnd"/>
      <w:r w:rsidRPr="00087F50">
        <w:t xml:space="preserve"> un </w:t>
      </w:r>
      <w:proofErr w:type="spellStart"/>
      <w:r w:rsidRPr="00087F50">
        <w:t>veidojas</w:t>
      </w:r>
      <w:proofErr w:type="spellEnd"/>
      <w:r w:rsidRPr="00087F50">
        <w:t xml:space="preserve"> </w:t>
      </w:r>
      <w:proofErr w:type="spellStart"/>
      <w:r w:rsidRPr="00087F50">
        <w:t>kaskādē</w:t>
      </w:r>
      <w:proofErr w:type="spellEnd"/>
      <w:r w:rsidRPr="00087F50">
        <w:t xml:space="preserve">: </w:t>
      </w:r>
      <w:proofErr w:type="spellStart"/>
      <w:r w:rsidRPr="00087F50">
        <w:t>hipoksantīns</w:t>
      </w:r>
      <w:proofErr w:type="spellEnd"/>
      <w:r w:rsidRPr="00087F50">
        <w:t xml:space="preserve"> </w:t>
      </w:r>
      <w:r w:rsidRPr="00087F50">
        <w:rPr>
          <w:rFonts w:ascii="Segoe UI Symbol" w:eastAsia="Segoe UI Symbol" w:hAnsi="Segoe UI Symbol" w:cs="Segoe UI Symbol"/>
        </w:rPr>
        <w:t>→</w:t>
      </w:r>
      <w:r w:rsidRPr="00087F50">
        <w:t xml:space="preserve"> </w:t>
      </w:r>
      <w:proofErr w:type="spellStart"/>
      <w:r w:rsidRPr="00087F50">
        <w:t>ksantīns</w:t>
      </w:r>
      <w:proofErr w:type="spellEnd"/>
      <w:r w:rsidRPr="00087F50">
        <w:t xml:space="preserve"> </w:t>
      </w:r>
      <w:r w:rsidRPr="00087F50">
        <w:rPr>
          <w:rFonts w:ascii="Segoe UI Symbol" w:eastAsia="Segoe UI Symbol" w:hAnsi="Segoe UI Symbol" w:cs="Segoe UI Symbol"/>
        </w:rPr>
        <w:t>→</w:t>
      </w:r>
      <w:r w:rsidRPr="00087F50">
        <w:t xml:space="preserve"> </w:t>
      </w:r>
      <w:proofErr w:type="spellStart"/>
      <w:r w:rsidRPr="00087F50">
        <w:t>urīnskābe</w:t>
      </w:r>
      <w:proofErr w:type="spellEnd"/>
      <w:r w:rsidRPr="00087F50">
        <w:t xml:space="preserve">. </w:t>
      </w:r>
      <w:proofErr w:type="spellStart"/>
      <w:r w:rsidRPr="00087F50">
        <w:t>Abus</w:t>
      </w:r>
      <w:proofErr w:type="spellEnd"/>
      <w:r w:rsidRPr="00087F50">
        <w:t xml:space="preserve"> </w:t>
      </w:r>
      <w:proofErr w:type="spellStart"/>
      <w:r w:rsidRPr="00087F50">
        <w:t>šīs</w:t>
      </w:r>
      <w:proofErr w:type="spellEnd"/>
      <w:r w:rsidRPr="00087F50">
        <w:t xml:space="preserve"> </w:t>
      </w:r>
      <w:proofErr w:type="spellStart"/>
      <w:r w:rsidRPr="00087F50">
        <w:t>transformācijas</w:t>
      </w:r>
      <w:proofErr w:type="spellEnd"/>
      <w:r w:rsidRPr="00087F50">
        <w:t xml:space="preserve"> </w:t>
      </w:r>
      <w:proofErr w:type="spellStart"/>
      <w:r w:rsidRPr="00087F50">
        <w:t>soļus</w:t>
      </w:r>
      <w:proofErr w:type="spellEnd"/>
      <w:r w:rsidRPr="00087F50">
        <w:t xml:space="preserve"> </w:t>
      </w:r>
      <w:proofErr w:type="spellStart"/>
      <w:r w:rsidRPr="00087F50">
        <w:t>katalizē</w:t>
      </w:r>
      <w:proofErr w:type="spellEnd"/>
      <w:r w:rsidRPr="00087F50">
        <w:t xml:space="preserve"> </w:t>
      </w:r>
      <w:proofErr w:type="spellStart"/>
      <w:r w:rsidRPr="00087F50">
        <w:t>ksantīna</w:t>
      </w:r>
      <w:proofErr w:type="spellEnd"/>
      <w:r w:rsidRPr="00087F50">
        <w:t xml:space="preserve"> </w:t>
      </w:r>
      <w:proofErr w:type="spellStart"/>
      <w:r w:rsidRPr="00087F50">
        <w:t>oksidāze</w:t>
      </w:r>
      <w:proofErr w:type="spellEnd"/>
      <w:r w:rsidRPr="00087F50">
        <w:t xml:space="preserve"> (XO). </w:t>
      </w:r>
    </w:p>
    <w:p w14:paraId="441C497C" w14:textId="43DF8353" w:rsidR="00A77DDF" w:rsidRPr="00087F50" w:rsidRDefault="00A77DDF" w:rsidP="00A77DDF">
      <w:pPr>
        <w:ind w:left="-3" w:right="9"/>
      </w:pPr>
      <w:proofErr w:type="spellStart"/>
      <w:r w:rsidRPr="00087F50">
        <w:t>Febuksostats</w:t>
      </w:r>
      <w:proofErr w:type="spellEnd"/>
      <w:r w:rsidRPr="00087F50">
        <w:t xml:space="preserve"> ir 2-ariltiazola </w:t>
      </w:r>
      <w:proofErr w:type="spellStart"/>
      <w:r w:rsidRPr="00087F50">
        <w:t>atvasinājums</w:t>
      </w:r>
      <w:proofErr w:type="spellEnd"/>
      <w:r w:rsidRPr="00087F50">
        <w:t xml:space="preserve">, </w:t>
      </w:r>
      <w:proofErr w:type="spellStart"/>
      <w:r w:rsidRPr="00087F50">
        <w:t>kas</w:t>
      </w:r>
      <w:proofErr w:type="spellEnd"/>
      <w:r w:rsidRPr="00087F50">
        <w:t xml:space="preserve"> </w:t>
      </w:r>
      <w:proofErr w:type="spellStart"/>
      <w:r w:rsidRPr="00087F50">
        <w:t>terapeitisko</w:t>
      </w:r>
      <w:proofErr w:type="spellEnd"/>
      <w:r w:rsidRPr="00087F50">
        <w:t xml:space="preserve"> </w:t>
      </w:r>
      <w:proofErr w:type="spellStart"/>
      <w:r w:rsidRPr="00087F50">
        <w:t>efektu</w:t>
      </w:r>
      <w:proofErr w:type="spellEnd"/>
      <w:r w:rsidRPr="00087F50">
        <w:t xml:space="preserve"> </w:t>
      </w:r>
      <w:proofErr w:type="spellStart"/>
      <w:r w:rsidRPr="00087F50">
        <w:t>nodrošina</w:t>
      </w:r>
      <w:proofErr w:type="spellEnd"/>
      <w:r w:rsidRPr="00087F50">
        <w:t xml:space="preserve"> </w:t>
      </w:r>
      <w:proofErr w:type="spellStart"/>
      <w:r w:rsidRPr="00087F50">
        <w:t>selektīvi</w:t>
      </w:r>
      <w:proofErr w:type="spellEnd"/>
      <w:r w:rsidRPr="00087F50">
        <w:t xml:space="preserve"> </w:t>
      </w:r>
      <w:proofErr w:type="spellStart"/>
      <w:r w:rsidRPr="00087F50">
        <w:t>inhibējot</w:t>
      </w:r>
      <w:proofErr w:type="spellEnd"/>
      <w:r w:rsidRPr="00087F50">
        <w:t xml:space="preserve"> XO un </w:t>
      </w:r>
      <w:proofErr w:type="spellStart"/>
      <w:r w:rsidRPr="00087F50">
        <w:t>līdz</w:t>
      </w:r>
      <w:proofErr w:type="spellEnd"/>
      <w:r w:rsidRPr="00087F50">
        <w:t xml:space="preserve"> ar </w:t>
      </w:r>
      <w:proofErr w:type="spellStart"/>
      <w:r w:rsidRPr="00087F50">
        <w:t>to</w:t>
      </w:r>
      <w:proofErr w:type="spellEnd"/>
      <w:r w:rsidRPr="00087F50">
        <w:t xml:space="preserve"> </w:t>
      </w:r>
      <w:proofErr w:type="spellStart"/>
      <w:r w:rsidRPr="00087F50">
        <w:t>samazinot</w:t>
      </w:r>
      <w:proofErr w:type="spellEnd"/>
      <w:r w:rsidRPr="00087F50">
        <w:t xml:space="preserve"> </w:t>
      </w:r>
      <w:proofErr w:type="spellStart"/>
      <w:r w:rsidRPr="00087F50">
        <w:t>urīnskābes</w:t>
      </w:r>
      <w:proofErr w:type="spellEnd"/>
      <w:r w:rsidRPr="00087F50">
        <w:t xml:space="preserve"> </w:t>
      </w:r>
      <w:proofErr w:type="spellStart"/>
      <w:r w:rsidRPr="00087F50">
        <w:t>līmeni</w:t>
      </w:r>
      <w:proofErr w:type="spellEnd"/>
      <w:r w:rsidRPr="00087F50">
        <w:t xml:space="preserve"> </w:t>
      </w:r>
      <w:proofErr w:type="spellStart"/>
      <w:r w:rsidRPr="00087F50">
        <w:t>asinīs</w:t>
      </w:r>
      <w:proofErr w:type="spellEnd"/>
      <w:r w:rsidRPr="00087F50">
        <w:t xml:space="preserve">. </w:t>
      </w:r>
      <w:proofErr w:type="spellStart"/>
      <w:r w:rsidRPr="00087F50">
        <w:t>Febuksostats</w:t>
      </w:r>
      <w:proofErr w:type="spellEnd"/>
      <w:r w:rsidRPr="00087F50">
        <w:t xml:space="preserve"> ir </w:t>
      </w:r>
      <w:proofErr w:type="spellStart"/>
      <w:r w:rsidRPr="00087F50">
        <w:t>spēcīgs</w:t>
      </w:r>
      <w:proofErr w:type="spellEnd"/>
      <w:r w:rsidRPr="00087F50">
        <w:t xml:space="preserve"> </w:t>
      </w:r>
      <w:proofErr w:type="spellStart"/>
      <w:r w:rsidRPr="00087F50">
        <w:t>ne</w:t>
      </w:r>
      <w:proofErr w:type="spellEnd"/>
      <w:r w:rsidRPr="00087F50">
        <w:t xml:space="preserve"> </w:t>
      </w:r>
      <w:proofErr w:type="spellStart"/>
      <w:r w:rsidRPr="00087F50">
        <w:t>purīnu</w:t>
      </w:r>
      <w:proofErr w:type="spellEnd"/>
      <w:r w:rsidRPr="00087F50">
        <w:t xml:space="preserve"> </w:t>
      </w:r>
      <w:proofErr w:type="spellStart"/>
      <w:r w:rsidRPr="00087F50">
        <w:t>izcelsmes</w:t>
      </w:r>
      <w:proofErr w:type="spellEnd"/>
      <w:r w:rsidRPr="00087F50">
        <w:t xml:space="preserve"> XO (NPSIXO) </w:t>
      </w:r>
      <w:proofErr w:type="spellStart"/>
      <w:r w:rsidRPr="00087F50">
        <w:t>selektīvs</w:t>
      </w:r>
      <w:proofErr w:type="spellEnd"/>
      <w:r w:rsidRPr="00087F50">
        <w:t xml:space="preserve"> </w:t>
      </w:r>
      <w:proofErr w:type="spellStart"/>
      <w:r w:rsidRPr="00087F50">
        <w:t>inhibitors</w:t>
      </w:r>
      <w:proofErr w:type="spellEnd"/>
      <w:r w:rsidRPr="00087F50">
        <w:t xml:space="preserve">, </w:t>
      </w:r>
      <w:proofErr w:type="spellStart"/>
      <w:r w:rsidRPr="00087F50">
        <w:t>kā</w:t>
      </w:r>
      <w:proofErr w:type="spellEnd"/>
      <w:r w:rsidRPr="00087F50">
        <w:t xml:space="preserve"> </w:t>
      </w:r>
      <w:proofErr w:type="spellStart"/>
      <w:r w:rsidRPr="00087F50">
        <w:t>inhibīcijas</w:t>
      </w:r>
      <w:proofErr w:type="spellEnd"/>
      <w:r w:rsidRPr="00087F50">
        <w:t xml:space="preserve"> </w:t>
      </w:r>
      <w:proofErr w:type="spellStart"/>
      <w:r w:rsidRPr="00087F50">
        <w:t>konstante</w:t>
      </w:r>
      <w:proofErr w:type="spellEnd"/>
      <w:r w:rsidRPr="00087F50">
        <w:t xml:space="preserve"> (Ki) </w:t>
      </w:r>
      <w:r w:rsidRPr="00087F50">
        <w:rPr>
          <w:i/>
        </w:rPr>
        <w:t>in vitro</w:t>
      </w:r>
      <w:r w:rsidRPr="00087F50">
        <w:t xml:space="preserve"> ir </w:t>
      </w:r>
      <w:proofErr w:type="spellStart"/>
      <w:r w:rsidRPr="00087F50">
        <w:t>mazāka</w:t>
      </w:r>
      <w:proofErr w:type="spellEnd"/>
      <w:r w:rsidRPr="00087F50">
        <w:t xml:space="preserve"> par </w:t>
      </w:r>
      <w:proofErr w:type="spellStart"/>
      <w:r w:rsidRPr="00087F50">
        <w:t>vienu</w:t>
      </w:r>
      <w:proofErr w:type="spellEnd"/>
      <w:r w:rsidRPr="00087F50">
        <w:t xml:space="preserve"> </w:t>
      </w:r>
      <w:proofErr w:type="spellStart"/>
      <w:r w:rsidRPr="00087F50">
        <w:t>nanomolu</w:t>
      </w:r>
      <w:proofErr w:type="spellEnd"/>
      <w:r w:rsidRPr="00087F50">
        <w:t xml:space="preserve">. </w:t>
      </w:r>
      <w:proofErr w:type="spellStart"/>
      <w:r w:rsidRPr="00087F50">
        <w:t>Saskaņā</w:t>
      </w:r>
      <w:proofErr w:type="spellEnd"/>
      <w:r w:rsidRPr="00087F50">
        <w:t xml:space="preserve"> ar </w:t>
      </w:r>
      <w:proofErr w:type="spellStart"/>
      <w:r w:rsidRPr="00087F50">
        <w:t>novēroto</w:t>
      </w:r>
      <w:proofErr w:type="spellEnd"/>
      <w:r w:rsidRPr="00087F50">
        <w:t xml:space="preserve">, </w:t>
      </w:r>
      <w:proofErr w:type="spellStart"/>
      <w:r w:rsidRPr="00087F50">
        <w:t>febuksostats</w:t>
      </w:r>
      <w:proofErr w:type="spellEnd"/>
      <w:r w:rsidRPr="00087F50">
        <w:t xml:space="preserve"> </w:t>
      </w:r>
      <w:proofErr w:type="spellStart"/>
      <w:r w:rsidRPr="00087F50">
        <w:t>spēj</w:t>
      </w:r>
      <w:proofErr w:type="spellEnd"/>
      <w:r w:rsidRPr="00087F50">
        <w:t xml:space="preserve"> </w:t>
      </w:r>
      <w:proofErr w:type="spellStart"/>
      <w:r w:rsidRPr="00087F50">
        <w:t>inhibēt</w:t>
      </w:r>
      <w:proofErr w:type="spellEnd"/>
      <w:r w:rsidRPr="00087F50">
        <w:t xml:space="preserve"> </w:t>
      </w:r>
      <w:proofErr w:type="spellStart"/>
      <w:r w:rsidRPr="00087F50">
        <w:t>gan</w:t>
      </w:r>
      <w:proofErr w:type="spellEnd"/>
      <w:r w:rsidRPr="00087F50">
        <w:t xml:space="preserve"> XO </w:t>
      </w:r>
      <w:proofErr w:type="spellStart"/>
      <w:r w:rsidRPr="00087F50">
        <w:t>oksidēto</w:t>
      </w:r>
      <w:proofErr w:type="spellEnd"/>
      <w:r w:rsidRPr="00087F50">
        <w:t xml:space="preserve">, </w:t>
      </w:r>
      <w:proofErr w:type="spellStart"/>
      <w:r w:rsidRPr="00087F50">
        <w:t>gan</w:t>
      </w:r>
      <w:proofErr w:type="spellEnd"/>
      <w:r w:rsidRPr="00087F50">
        <w:t xml:space="preserve"> </w:t>
      </w:r>
      <w:proofErr w:type="spellStart"/>
      <w:r w:rsidRPr="00087F50">
        <w:t>reducēto</w:t>
      </w:r>
      <w:proofErr w:type="spellEnd"/>
      <w:r w:rsidRPr="00087F50">
        <w:t xml:space="preserve"> </w:t>
      </w:r>
      <w:proofErr w:type="spellStart"/>
      <w:r w:rsidRPr="00087F50">
        <w:t>formu</w:t>
      </w:r>
      <w:proofErr w:type="spellEnd"/>
      <w:r w:rsidRPr="00087F50">
        <w:t xml:space="preserve">. </w:t>
      </w:r>
      <w:proofErr w:type="spellStart"/>
      <w:r w:rsidRPr="00087F50">
        <w:t>Terapeitiskās</w:t>
      </w:r>
      <w:proofErr w:type="spellEnd"/>
      <w:r w:rsidRPr="00087F50">
        <w:t xml:space="preserve"> </w:t>
      </w:r>
      <w:proofErr w:type="spellStart"/>
      <w:r w:rsidRPr="00087F50">
        <w:t>koncentrācijās</w:t>
      </w:r>
      <w:proofErr w:type="spellEnd"/>
      <w:r w:rsidRPr="00087F50">
        <w:t xml:space="preserve"> </w:t>
      </w:r>
      <w:proofErr w:type="spellStart"/>
      <w:r w:rsidRPr="00087F50">
        <w:t>febuksostats</w:t>
      </w:r>
      <w:proofErr w:type="spellEnd"/>
      <w:r w:rsidRPr="00087F50">
        <w:t xml:space="preserve"> </w:t>
      </w:r>
      <w:proofErr w:type="spellStart"/>
      <w:r w:rsidRPr="00087F50">
        <w:t>neinhibē</w:t>
      </w:r>
      <w:proofErr w:type="spellEnd"/>
      <w:r w:rsidRPr="00087F50">
        <w:t xml:space="preserve"> </w:t>
      </w:r>
      <w:proofErr w:type="spellStart"/>
      <w:r w:rsidRPr="00087F50">
        <w:t>citus</w:t>
      </w:r>
      <w:proofErr w:type="spellEnd"/>
      <w:r w:rsidRPr="00087F50">
        <w:t xml:space="preserve"> </w:t>
      </w:r>
      <w:proofErr w:type="spellStart"/>
      <w:r w:rsidRPr="00087F50">
        <w:t>purīnu</w:t>
      </w:r>
      <w:proofErr w:type="spellEnd"/>
      <w:r w:rsidRPr="00087F50">
        <w:t xml:space="preserve"> </w:t>
      </w:r>
      <w:proofErr w:type="spellStart"/>
      <w:r w:rsidRPr="00087F50">
        <w:t>vai</w:t>
      </w:r>
      <w:proofErr w:type="spellEnd"/>
      <w:r w:rsidRPr="00087F50">
        <w:t xml:space="preserve"> </w:t>
      </w:r>
      <w:proofErr w:type="spellStart"/>
      <w:r w:rsidRPr="00087F50">
        <w:t>pirimidīnu</w:t>
      </w:r>
      <w:proofErr w:type="spellEnd"/>
      <w:r w:rsidRPr="00087F50">
        <w:t xml:space="preserve"> </w:t>
      </w:r>
      <w:proofErr w:type="spellStart"/>
      <w:r w:rsidRPr="00087F50">
        <w:t>metabolismā</w:t>
      </w:r>
      <w:proofErr w:type="spellEnd"/>
      <w:r w:rsidRPr="00087F50">
        <w:t xml:space="preserve"> </w:t>
      </w:r>
      <w:proofErr w:type="spellStart"/>
      <w:r w:rsidRPr="00087F50">
        <w:t>iesaistītos</w:t>
      </w:r>
      <w:proofErr w:type="spellEnd"/>
      <w:r w:rsidRPr="00087F50">
        <w:t xml:space="preserve"> </w:t>
      </w:r>
      <w:proofErr w:type="spellStart"/>
      <w:r w:rsidRPr="00087F50">
        <w:t>enzīmus</w:t>
      </w:r>
      <w:proofErr w:type="spellEnd"/>
      <w:r w:rsidRPr="00087F50">
        <w:t xml:space="preserve">, tas ir, </w:t>
      </w:r>
      <w:proofErr w:type="spellStart"/>
      <w:r w:rsidRPr="00087F50">
        <w:t>guanīna</w:t>
      </w:r>
      <w:proofErr w:type="spellEnd"/>
      <w:r w:rsidRPr="00087F50">
        <w:t xml:space="preserve"> </w:t>
      </w:r>
      <w:proofErr w:type="spellStart"/>
      <w:r w:rsidRPr="00087F50">
        <w:t>deamināzi</w:t>
      </w:r>
      <w:proofErr w:type="spellEnd"/>
      <w:r w:rsidRPr="00087F50">
        <w:t xml:space="preserve">, </w:t>
      </w:r>
      <w:proofErr w:type="spellStart"/>
      <w:r w:rsidRPr="00087F50">
        <w:t>hipoksantīna</w:t>
      </w:r>
      <w:proofErr w:type="spellEnd"/>
      <w:r w:rsidRPr="00087F50">
        <w:t xml:space="preserve"> </w:t>
      </w:r>
      <w:proofErr w:type="spellStart"/>
      <w:r w:rsidRPr="00087F50">
        <w:t>guanīna</w:t>
      </w:r>
      <w:proofErr w:type="spellEnd"/>
      <w:r w:rsidRPr="00087F50">
        <w:t xml:space="preserve"> </w:t>
      </w:r>
      <w:proofErr w:type="spellStart"/>
      <w:r w:rsidRPr="00087F50">
        <w:t>fosforiboziltransferāzi</w:t>
      </w:r>
      <w:proofErr w:type="spellEnd"/>
      <w:r w:rsidRPr="00087F50">
        <w:t xml:space="preserve">, </w:t>
      </w:r>
      <w:proofErr w:type="spellStart"/>
      <w:r w:rsidRPr="00087F50">
        <w:lastRenderedPageBreak/>
        <w:t>orotāta</w:t>
      </w:r>
      <w:proofErr w:type="spellEnd"/>
      <w:r w:rsidRPr="00087F50">
        <w:t xml:space="preserve"> </w:t>
      </w:r>
      <w:proofErr w:type="spellStart"/>
      <w:r w:rsidRPr="00087F50">
        <w:t>fosforiboziltransferāzi</w:t>
      </w:r>
      <w:proofErr w:type="spellEnd"/>
      <w:r w:rsidRPr="00087F50">
        <w:t xml:space="preserve">, </w:t>
      </w:r>
      <w:proofErr w:type="spellStart"/>
      <w:r w:rsidRPr="00087F50">
        <w:t>orotidīna</w:t>
      </w:r>
      <w:proofErr w:type="spellEnd"/>
      <w:r w:rsidRPr="00087F50">
        <w:t xml:space="preserve"> mono </w:t>
      </w:r>
      <w:proofErr w:type="spellStart"/>
      <w:r w:rsidRPr="00087F50">
        <w:t>fosfāta</w:t>
      </w:r>
      <w:proofErr w:type="spellEnd"/>
      <w:r w:rsidRPr="00087F50">
        <w:t xml:space="preserve"> </w:t>
      </w:r>
      <w:proofErr w:type="spellStart"/>
      <w:r w:rsidRPr="00087F50">
        <w:t>dekarboksilāzi</w:t>
      </w:r>
      <w:proofErr w:type="spellEnd"/>
      <w:r w:rsidRPr="00087F50">
        <w:t xml:space="preserve"> </w:t>
      </w:r>
      <w:proofErr w:type="spellStart"/>
      <w:r w:rsidR="002628B1" w:rsidRPr="00087F50">
        <w:t>vai</w:t>
      </w:r>
      <w:proofErr w:type="spellEnd"/>
      <w:r w:rsidR="002628B1" w:rsidRPr="00087F50">
        <w:t xml:space="preserve"> </w:t>
      </w:r>
      <w:proofErr w:type="spellStart"/>
      <w:r w:rsidRPr="00087F50">
        <w:t>purīna</w:t>
      </w:r>
      <w:proofErr w:type="spellEnd"/>
      <w:r w:rsidRPr="00087F50">
        <w:t xml:space="preserve"> </w:t>
      </w:r>
      <w:proofErr w:type="spellStart"/>
      <w:r w:rsidRPr="00087F50">
        <w:t>nukleozīdu</w:t>
      </w:r>
      <w:proofErr w:type="spellEnd"/>
      <w:r w:rsidRPr="00087F50">
        <w:t xml:space="preserve"> </w:t>
      </w:r>
      <w:proofErr w:type="spellStart"/>
      <w:r w:rsidRPr="00087F50">
        <w:t>fosforilāzi</w:t>
      </w:r>
      <w:proofErr w:type="spellEnd"/>
      <w:r w:rsidRPr="00087F50">
        <w:t xml:space="preserve">. </w:t>
      </w:r>
    </w:p>
    <w:p w14:paraId="0C3BEA4C" w14:textId="77777777" w:rsidR="00A77DDF" w:rsidRPr="00087F50" w:rsidRDefault="00A77DDF" w:rsidP="00A77DDF">
      <w:pPr>
        <w:spacing w:after="0" w:line="259" w:lineRule="auto"/>
        <w:ind w:left="1" w:firstLine="0"/>
      </w:pPr>
      <w:r w:rsidRPr="00087F50">
        <w:t xml:space="preserve"> </w:t>
      </w:r>
    </w:p>
    <w:p w14:paraId="761DAF19" w14:textId="77777777" w:rsidR="00A77DDF" w:rsidRPr="00087F50" w:rsidRDefault="00A77DDF" w:rsidP="00A77DDF">
      <w:pPr>
        <w:pStyle w:val="Heading2"/>
        <w:spacing w:after="0" w:line="259" w:lineRule="auto"/>
        <w:ind w:left="-3" w:right="0"/>
      </w:pPr>
      <w:proofErr w:type="spellStart"/>
      <w:r w:rsidRPr="00087F50">
        <w:rPr>
          <w:b w:val="0"/>
          <w:u w:val="single" w:color="000000"/>
        </w:rPr>
        <w:t>Klīniskā</w:t>
      </w:r>
      <w:proofErr w:type="spellEnd"/>
      <w:r w:rsidRPr="00087F50">
        <w:rPr>
          <w:b w:val="0"/>
          <w:u w:val="single" w:color="000000"/>
        </w:rPr>
        <w:t xml:space="preserve"> </w:t>
      </w:r>
      <w:proofErr w:type="spellStart"/>
      <w:r w:rsidRPr="00087F50">
        <w:rPr>
          <w:b w:val="0"/>
          <w:u w:val="single" w:color="000000"/>
        </w:rPr>
        <w:t>efektivitāte</w:t>
      </w:r>
      <w:proofErr w:type="spellEnd"/>
      <w:r w:rsidRPr="00087F50">
        <w:rPr>
          <w:b w:val="0"/>
          <w:u w:val="single" w:color="000000"/>
        </w:rPr>
        <w:t xml:space="preserve"> un </w:t>
      </w:r>
      <w:proofErr w:type="spellStart"/>
      <w:r w:rsidRPr="00087F50">
        <w:rPr>
          <w:b w:val="0"/>
          <w:u w:val="single" w:color="000000"/>
        </w:rPr>
        <w:t>drošums</w:t>
      </w:r>
      <w:proofErr w:type="spellEnd"/>
      <w:r w:rsidRPr="00087F50">
        <w:rPr>
          <w:b w:val="0"/>
        </w:rPr>
        <w:t xml:space="preserve"> </w:t>
      </w:r>
    </w:p>
    <w:p w14:paraId="21DDF0BD" w14:textId="03269434" w:rsidR="00A77DDF" w:rsidRPr="00087F50" w:rsidRDefault="00A77DDF" w:rsidP="00890F7A">
      <w:pPr>
        <w:spacing w:after="0" w:line="259" w:lineRule="auto"/>
        <w:ind w:left="1" w:firstLine="0"/>
      </w:pPr>
      <w:r w:rsidRPr="00087F50">
        <w:rPr>
          <w:i/>
          <w:u w:val="single" w:color="000000"/>
        </w:rPr>
        <w:t>Podagra</w:t>
      </w:r>
      <w:r w:rsidRPr="00087F50">
        <w:rPr>
          <w:i/>
        </w:rPr>
        <w:t xml:space="preserve"> </w:t>
      </w:r>
    </w:p>
    <w:p w14:paraId="13FACF9C" w14:textId="55E41DE1" w:rsidR="00A77DDF" w:rsidRPr="00087F50" w:rsidRDefault="00A77DDF" w:rsidP="00890F7A">
      <w:pPr>
        <w:spacing w:after="0" w:line="259" w:lineRule="auto"/>
        <w:ind w:left="1" w:firstLine="0"/>
      </w:pPr>
      <w:r w:rsidRPr="00087F50">
        <w:rPr>
          <w:i/>
        </w:rPr>
        <w:t xml:space="preserve"> </w:t>
      </w:r>
      <w:proofErr w:type="spellStart"/>
      <w:r w:rsidR="00FB25C0" w:rsidRPr="00087F50">
        <w:rPr>
          <w:lang w:val="lv-LV"/>
        </w:rPr>
        <w:t>Febuksostata</w:t>
      </w:r>
      <w:proofErr w:type="spellEnd"/>
      <w:r w:rsidR="00FB25C0" w:rsidRPr="00087F50">
        <w:rPr>
          <w:lang w:val="lv-LV"/>
        </w:rPr>
        <w:t xml:space="preserve"> </w:t>
      </w:r>
      <w:proofErr w:type="spellStart"/>
      <w:r w:rsidRPr="00087F50">
        <w:t>efektivitāte</w:t>
      </w:r>
      <w:proofErr w:type="spellEnd"/>
      <w:r w:rsidRPr="00087F50">
        <w:t xml:space="preserve"> </w:t>
      </w:r>
      <w:proofErr w:type="spellStart"/>
      <w:r w:rsidRPr="00087F50">
        <w:t>tika</w:t>
      </w:r>
      <w:proofErr w:type="spellEnd"/>
      <w:r w:rsidRPr="00087F50">
        <w:t xml:space="preserve"> </w:t>
      </w:r>
      <w:proofErr w:type="spellStart"/>
      <w:r w:rsidRPr="00087F50">
        <w:t>demonstrēta</w:t>
      </w:r>
      <w:proofErr w:type="spellEnd"/>
      <w:r w:rsidRPr="00087F50">
        <w:t xml:space="preserve"> </w:t>
      </w:r>
      <w:proofErr w:type="spellStart"/>
      <w:r w:rsidRPr="00087F50">
        <w:t>trijos</w:t>
      </w:r>
      <w:proofErr w:type="spellEnd"/>
      <w:r w:rsidRPr="00087F50">
        <w:t xml:space="preserve"> 3. </w:t>
      </w:r>
      <w:proofErr w:type="spellStart"/>
      <w:r w:rsidRPr="00087F50">
        <w:t>fāzes</w:t>
      </w:r>
      <w:proofErr w:type="spellEnd"/>
      <w:r w:rsidRPr="00087F50">
        <w:t xml:space="preserve"> </w:t>
      </w:r>
      <w:proofErr w:type="spellStart"/>
      <w:r w:rsidRPr="00087F50">
        <w:t>pamatpētījumos</w:t>
      </w:r>
      <w:proofErr w:type="spellEnd"/>
      <w:r w:rsidRPr="00087F50">
        <w:t xml:space="preserve"> (divos </w:t>
      </w:r>
      <w:proofErr w:type="spellStart"/>
      <w:r w:rsidRPr="00087F50">
        <w:t>turpmāk</w:t>
      </w:r>
      <w:proofErr w:type="spellEnd"/>
      <w:r w:rsidRPr="00087F50">
        <w:t xml:space="preserve"> </w:t>
      </w:r>
      <w:proofErr w:type="spellStart"/>
      <w:r w:rsidRPr="00087F50">
        <w:t>aprakstītajos</w:t>
      </w:r>
      <w:proofErr w:type="spellEnd"/>
      <w:r w:rsidRPr="00087F50">
        <w:t xml:space="preserve"> </w:t>
      </w:r>
      <w:proofErr w:type="spellStart"/>
      <w:r w:rsidRPr="00087F50">
        <w:t>pamatpētījumos</w:t>
      </w:r>
      <w:proofErr w:type="spellEnd"/>
      <w:r w:rsidRPr="00087F50">
        <w:t xml:space="preserve"> - APEX un FACT, </w:t>
      </w:r>
      <w:proofErr w:type="spellStart"/>
      <w:r w:rsidRPr="00087F50">
        <w:t>kā</w:t>
      </w:r>
      <w:proofErr w:type="spellEnd"/>
      <w:r w:rsidRPr="00087F50">
        <w:t xml:space="preserve"> </w:t>
      </w:r>
      <w:proofErr w:type="spellStart"/>
      <w:r w:rsidRPr="00087F50">
        <w:t>arī</w:t>
      </w:r>
      <w:proofErr w:type="spellEnd"/>
      <w:r w:rsidRPr="00087F50">
        <w:t xml:space="preserve"> </w:t>
      </w:r>
      <w:proofErr w:type="spellStart"/>
      <w:r w:rsidRPr="00087F50">
        <w:t>papildpētījumā</w:t>
      </w:r>
      <w:proofErr w:type="spellEnd"/>
      <w:r w:rsidRPr="00087F50">
        <w:t xml:space="preserve"> CONFIRMS), </w:t>
      </w:r>
      <w:proofErr w:type="spellStart"/>
      <w:r w:rsidRPr="00087F50">
        <w:t>kuros</w:t>
      </w:r>
      <w:proofErr w:type="spellEnd"/>
      <w:r w:rsidRPr="00087F50">
        <w:t xml:space="preserve"> </w:t>
      </w:r>
      <w:proofErr w:type="spellStart"/>
      <w:r w:rsidRPr="00087F50">
        <w:t>tika</w:t>
      </w:r>
      <w:proofErr w:type="spellEnd"/>
      <w:r w:rsidRPr="00087F50">
        <w:t xml:space="preserve"> </w:t>
      </w:r>
      <w:proofErr w:type="spellStart"/>
      <w:r w:rsidRPr="00087F50">
        <w:t>apsekots</w:t>
      </w:r>
      <w:proofErr w:type="spellEnd"/>
      <w:r w:rsidRPr="00087F50">
        <w:t xml:space="preserve"> 4101 </w:t>
      </w:r>
      <w:proofErr w:type="spellStart"/>
      <w:r w:rsidRPr="00087F50">
        <w:t>pacients</w:t>
      </w:r>
      <w:proofErr w:type="spellEnd"/>
      <w:r w:rsidRPr="00087F50">
        <w:t xml:space="preserve"> ar </w:t>
      </w:r>
      <w:proofErr w:type="spellStart"/>
      <w:r w:rsidRPr="00087F50">
        <w:t>hiperurikēmiju</w:t>
      </w:r>
      <w:proofErr w:type="spellEnd"/>
      <w:r w:rsidRPr="00087F50">
        <w:t xml:space="preserve"> un </w:t>
      </w:r>
      <w:proofErr w:type="spellStart"/>
      <w:r w:rsidRPr="00087F50">
        <w:t>podagru</w:t>
      </w:r>
      <w:proofErr w:type="spellEnd"/>
      <w:r w:rsidRPr="00087F50">
        <w:t xml:space="preserve">. </w:t>
      </w:r>
      <w:proofErr w:type="spellStart"/>
      <w:r w:rsidRPr="00087F50">
        <w:t>Abos</w:t>
      </w:r>
      <w:proofErr w:type="spellEnd"/>
      <w:r w:rsidRPr="00087F50">
        <w:t xml:space="preserve"> 3. </w:t>
      </w:r>
      <w:proofErr w:type="spellStart"/>
      <w:r w:rsidRPr="00087F50">
        <w:t>fāzes</w:t>
      </w:r>
      <w:proofErr w:type="spellEnd"/>
      <w:r w:rsidRPr="00087F50">
        <w:t xml:space="preserve"> </w:t>
      </w:r>
      <w:proofErr w:type="spellStart"/>
      <w:r w:rsidRPr="00087F50">
        <w:t>pamatpētījumos</w:t>
      </w:r>
      <w:proofErr w:type="spellEnd"/>
      <w:r w:rsidRPr="00087F50">
        <w:t xml:space="preserve"> </w:t>
      </w:r>
      <w:proofErr w:type="spellStart"/>
      <w:r w:rsidR="00FB25C0" w:rsidRPr="00087F50">
        <w:rPr>
          <w:lang w:val="lv-LV"/>
        </w:rPr>
        <w:t>febuksostats</w:t>
      </w:r>
      <w:proofErr w:type="spellEnd"/>
      <w:r w:rsidR="00FB25C0" w:rsidRPr="00087F50">
        <w:rPr>
          <w:lang w:val="lv-LV"/>
        </w:rPr>
        <w:t xml:space="preserve"> </w:t>
      </w:r>
      <w:proofErr w:type="spellStart"/>
      <w:r w:rsidRPr="00087F50">
        <w:t>urīnskābes</w:t>
      </w:r>
      <w:proofErr w:type="spellEnd"/>
      <w:r w:rsidRPr="00087F50">
        <w:t xml:space="preserve"> </w:t>
      </w:r>
      <w:proofErr w:type="spellStart"/>
      <w:r w:rsidRPr="00087F50">
        <w:t>līmeni</w:t>
      </w:r>
      <w:proofErr w:type="spellEnd"/>
      <w:r w:rsidRPr="00087F50">
        <w:t xml:space="preserve"> </w:t>
      </w:r>
      <w:proofErr w:type="spellStart"/>
      <w:r w:rsidRPr="00087F50">
        <w:t>asinīs</w:t>
      </w:r>
      <w:proofErr w:type="spellEnd"/>
      <w:r w:rsidRPr="00087F50">
        <w:t xml:space="preserve"> </w:t>
      </w:r>
      <w:proofErr w:type="spellStart"/>
      <w:r w:rsidRPr="00087F50">
        <w:t>spēja</w:t>
      </w:r>
      <w:proofErr w:type="spellEnd"/>
      <w:r w:rsidRPr="00087F50">
        <w:t xml:space="preserve"> </w:t>
      </w:r>
      <w:proofErr w:type="spellStart"/>
      <w:r w:rsidRPr="00087F50">
        <w:t>samazināt</w:t>
      </w:r>
      <w:proofErr w:type="spellEnd"/>
      <w:r w:rsidRPr="00087F50">
        <w:t xml:space="preserve"> un </w:t>
      </w:r>
      <w:proofErr w:type="spellStart"/>
      <w:r w:rsidRPr="00087F50">
        <w:t>saglabāt</w:t>
      </w:r>
      <w:proofErr w:type="spellEnd"/>
      <w:r w:rsidRPr="00087F50">
        <w:t xml:space="preserve"> </w:t>
      </w:r>
      <w:proofErr w:type="spellStart"/>
      <w:r w:rsidRPr="00087F50">
        <w:t>labāk</w:t>
      </w:r>
      <w:proofErr w:type="spellEnd"/>
      <w:r w:rsidRPr="00087F50">
        <w:t xml:space="preserve"> par </w:t>
      </w:r>
      <w:proofErr w:type="spellStart"/>
      <w:r w:rsidRPr="00087F50">
        <w:t>allopurinolu</w:t>
      </w:r>
      <w:proofErr w:type="spellEnd"/>
      <w:r w:rsidRPr="00087F50">
        <w:t xml:space="preserve">. </w:t>
      </w:r>
      <w:proofErr w:type="spellStart"/>
      <w:r w:rsidRPr="00087F50">
        <w:t>Primārais</w:t>
      </w:r>
      <w:proofErr w:type="spellEnd"/>
      <w:r w:rsidRPr="00087F50">
        <w:t xml:space="preserve"> </w:t>
      </w:r>
      <w:proofErr w:type="spellStart"/>
      <w:r w:rsidRPr="00087F50">
        <w:t>efektivitātes</w:t>
      </w:r>
      <w:proofErr w:type="spellEnd"/>
      <w:r w:rsidRPr="00087F50">
        <w:t xml:space="preserve"> </w:t>
      </w:r>
      <w:proofErr w:type="spellStart"/>
      <w:r w:rsidRPr="00087F50">
        <w:t>mērķa</w:t>
      </w:r>
      <w:proofErr w:type="spellEnd"/>
      <w:r w:rsidRPr="00087F50">
        <w:t xml:space="preserve"> </w:t>
      </w:r>
      <w:proofErr w:type="spellStart"/>
      <w:r w:rsidRPr="00087F50">
        <w:t>kritērijs</w:t>
      </w:r>
      <w:proofErr w:type="spellEnd"/>
      <w:r w:rsidRPr="00087F50">
        <w:t xml:space="preserve"> APEX un FACT </w:t>
      </w:r>
      <w:proofErr w:type="spellStart"/>
      <w:r w:rsidRPr="00087F50">
        <w:t>pētījumā</w:t>
      </w:r>
      <w:proofErr w:type="spellEnd"/>
      <w:r w:rsidRPr="00087F50">
        <w:t xml:space="preserve"> bija </w:t>
      </w:r>
      <w:proofErr w:type="spellStart"/>
      <w:r w:rsidRPr="00087F50">
        <w:t>to</w:t>
      </w:r>
      <w:proofErr w:type="spellEnd"/>
      <w:r w:rsidRPr="00087F50">
        <w:t xml:space="preserve"> </w:t>
      </w:r>
      <w:proofErr w:type="spellStart"/>
      <w:r w:rsidRPr="00087F50">
        <w:t>pacientu</w:t>
      </w:r>
      <w:proofErr w:type="spellEnd"/>
      <w:r w:rsidRPr="00087F50">
        <w:t xml:space="preserve"> </w:t>
      </w:r>
      <w:proofErr w:type="spellStart"/>
      <w:r w:rsidRPr="00087F50">
        <w:t>īpatsvars</w:t>
      </w:r>
      <w:proofErr w:type="spellEnd"/>
      <w:r w:rsidRPr="00087F50">
        <w:t xml:space="preserve">, </w:t>
      </w:r>
      <w:proofErr w:type="spellStart"/>
      <w:r w:rsidRPr="00087F50">
        <w:t>kuriem</w:t>
      </w:r>
      <w:proofErr w:type="spellEnd"/>
      <w:r w:rsidRPr="00087F50">
        <w:t xml:space="preserve"> </w:t>
      </w:r>
      <w:proofErr w:type="spellStart"/>
      <w:r w:rsidRPr="00087F50">
        <w:t>iepriekšējās</w:t>
      </w:r>
      <w:proofErr w:type="spellEnd"/>
      <w:r w:rsidRPr="00087F50">
        <w:t xml:space="preserve"> 3 </w:t>
      </w:r>
      <w:proofErr w:type="spellStart"/>
      <w:r w:rsidRPr="00087F50">
        <w:t>ikmēneša</w:t>
      </w:r>
      <w:proofErr w:type="spellEnd"/>
      <w:r w:rsidRPr="00087F50">
        <w:t xml:space="preserve"> </w:t>
      </w:r>
      <w:proofErr w:type="spellStart"/>
      <w:r w:rsidRPr="00087F50">
        <w:t>vizītēs</w:t>
      </w:r>
      <w:proofErr w:type="spellEnd"/>
      <w:r w:rsidRPr="00087F50">
        <w:t xml:space="preserve"> </w:t>
      </w:r>
      <w:proofErr w:type="spellStart"/>
      <w:r w:rsidRPr="00087F50">
        <w:t>serumā</w:t>
      </w:r>
      <w:proofErr w:type="spellEnd"/>
      <w:r w:rsidRPr="00087F50">
        <w:t xml:space="preserve"> </w:t>
      </w:r>
      <w:proofErr w:type="spellStart"/>
      <w:r w:rsidRPr="00087F50">
        <w:t>konstatētais</w:t>
      </w:r>
      <w:proofErr w:type="spellEnd"/>
      <w:r w:rsidRPr="00087F50">
        <w:t xml:space="preserve"> </w:t>
      </w:r>
      <w:proofErr w:type="spellStart"/>
      <w:r w:rsidRPr="00087F50">
        <w:t>urīnskābes</w:t>
      </w:r>
      <w:proofErr w:type="spellEnd"/>
      <w:r w:rsidRPr="00087F50">
        <w:t xml:space="preserve"> </w:t>
      </w:r>
      <w:proofErr w:type="spellStart"/>
      <w:r w:rsidRPr="00087F50">
        <w:t>līmenis</w:t>
      </w:r>
      <w:proofErr w:type="spellEnd"/>
      <w:r w:rsidRPr="00087F50">
        <w:t xml:space="preserve"> bija &lt; 6,0 mg/dl (357 µmol/l). 3. </w:t>
      </w:r>
      <w:proofErr w:type="spellStart"/>
      <w:r w:rsidRPr="00087F50">
        <w:t>fāzes</w:t>
      </w:r>
      <w:proofErr w:type="spellEnd"/>
      <w:r w:rsidRPr="00087F50">
        <w:t xml:space="preserve"> CONFIRMS </w:t>
      </w:r>
      <w:proofErr w:type="spellStart"/>
      <w:r w:rsidRPr="00087F50">
        <w:t>papildpētījumā</w:t>
      </w:r>
      <w:proofErr w:type="spellEnd"/>
      <w:r w:rsidRPr="00087F50">
        <w:t xml:space="preserve">, </w:t>
      </w:r>
      <w:proofErr w:type="spellStart"/>
      <w:r w:rsidRPr="00087F50">
        <w:t>kura</w:t>
      </w:r>
      <w:proofErr w:type="spellEnd"/>
      <w:r w:rsidRPr="00087F50">
        <w:t xml:space="preserve"> </w:t>
      </w:r>
      <w:proofErr w:type="spellStart"/>
      <w:r w:rsidRPr="00087F50">
        <w:t>rezultāti</w:t>
      </w:r>
      <w:proofErr w:type="spellEnd"/>
      <w:r w:rsidRPr="00087F50">
        <w:t xml:space="preserve"> </w:t>
      </w:r>
      <w:proofErr w:type="spellStart"/>
      <w:r w:rsidRPr="00087F50">
        <w:t>kļuva</w:t>
      </w:r>
      <w:proofErr w:type="spellEnd"/>
      <w:r w:rsidRPr="00087F50">
        <w:t xml:space="preserve"> </w:t>
      </w:r>
      <w:proofErr w:type="spellStart"/>
      <w:r w:rsidRPr="00087F50">
        <w:t>pieejami</w:t>
      </w:r>
      <w:proofErr w:type="spellEnd"/>
      <w:r w:rsidRPr="00087F50">
        <w:t xml:space="preserve"> </w:t>
      </w:r>
      <w:proofErr w:type="spellStart"/>
      <w:r w:rsidRPr="00087F50">
        <w:t>pēc</w:t>
      </w:r>
      <w:proofErr w:type="spellEnd"/>
      <w:r w:rsidRPr="00087F50">
        <w:t xml:space="preserve"> </w:t>
      </w:r>
      <w:proofErr w:type="spellStart"/>
      <w:r w:rsidR="00FB25C0" w:rsidRPr="00087F50">
        <w:rPr>
          <w:lang w:val="lv-LV"/>
        </w:rPr>
        <w:t>febuksostata</w:t>
      </w:r>
      <w:r w:rsidRPr="00087F50">
        <w:t>reģistrācijas</w:t>
      </w:r>
      <w:proofErr w:type="spellEnd"/>
      <w:r w:rsidRPr="00087F50">
        <w:t xml:space="preserve"> </w:t>
      </w:r>
      <w:proofErr w:type="spellStart"/>
      <w:r w:rsidRPr="00087F50">
        <w:t>apliecības</w:t>
      </w:r>
      <w:proofErr w:type="spellEnd"/>
      <w:r w:rsidRPr="00087F50">
        <w:t xml:space="preserve"> </w:t>
      </w:r>
      <w:proofErr w:type="spellStart"/>
      <w:r w:rsidRPr="00087F50">
        <w:t>izsniegšanas</w:t>
      </w:r>
      <w:proofErr w:type="spellEnd"/>
      <w:r w:rsidRPr="00087F50">
        <w:t xml:space="preserve">, </w:t>
      </w:r>
      <w:proofErr w:type="spellStart"/>
      <w:r w:rsidRPr="00087F50">
        <w:t>primārais</w:t>
      </w:r>
      <w:proofErr w:type="spellEnd"/>
      <w:r w:rsidRPr="00087F50">
        <w:t xml:space="preserve"> </w:t>
      </w:r>
      <w:proofErr w:type="spellStart"/>
      <w:r w:rsidRPr="00087F50">
        <w:t>efektivitāti</w:t>
      </w:r>
      <w:proofErr w:type="spellEnd"/>
      <w:r w:rsidRPr="00087F50">
        <w:t xml:space="preserve"> </w:t>
      </w:r>
      <w:proofErr w:type="spellStart"/>
      <w:r w:rsidRPr="00087F50">
        <w:t>raksturojošais</w:t>
      </w:r>
      <w:proofErr w:type="spellEnd"/>
      <w:r w:rsidRPr="00087F50">
        <w:t xml:space="preserve"> </w:t>
      </w:r>
      <w:proofErr w:type="spellStart"/>
      <w:r w:rsidRPr="00087F50">
        <w:t>mērķa</w:t>
      </w:r>
      <w:proofErr w:type="spellEnd"/>
      <w:r w:rsidRPr="00087F50">
        <w:t xml:space="preserve"> </w:t>
      </w:r>
      <w:proofErr w:type="spellStart"/>
      <w:r w:rsidRPr="00087F50">
        <w:t>kritērijs</w:t>
      </w:r>
      <w:proofErr w:type="spellEnd"/>
      <w:r w:rsidRPr="00087F50">
        <w:t xml:space="preserve"> bija </w:t>
      </w:r>
      <w:proofErr w:type="spellStart"/>
      <w:r w:rsidRPr="00087F50">
        <w:t>pacientu</w:t>
      </w:r>
      <w:proofErr w:type="spellEnd"/>
      <w:r w:rsidRPr="00087F50">
        <w:t xml:space="preserve"> </w:t>
      </w:r>
      <w:proofErr w:type="spellStart"/>
      <w:r w:rsidRPr="00087F50">
        <w:t>daļa</w:t>
      </w:r>
      <w:proofErr w:type="spellEnd"/>
      <w:r w:rsidRPr="00087F50">
        <w:t xml:space="preserve">, </w:t>
      </w:r>
      <w:proofErr w:type="spellStart"/>
      <w:r w:rsidRPr="00087F50">
        <w:t>kuriem</w:t>
      </w:r>
      <w:proofErr w:type="spellEnd"/>
      <w:r w:rsidRPr="00087F50">
        <w:t xml:space="preserve"> </w:t>
      </w:r>
      <w:proofErr w:type="spellStart"/>
      <w:r w:rsidRPr="00087F50">
        <w:t>pēdējās</w:t>
      </w:r>
      <w:proofErr w:type="spellEnd"/>
      <w:r w:rsidRPr="00087F50">
        <w:t xml:space="preserve"> </w:t>
      </w:r>
      <w:proofErr w:type="spellStart"/>
      <w:r w:rsidRPr="00087F50">
        <w:t>vizītes</w:t>
      </w:r>
      <w:proofErr w:type="spellEnd"/>
      <w:r w:rsidRPr="00087F50">
        <w:t xml:space="preserve"> </w:t>
      </w:r>
      <w:proofErr w:type="spellStart"/>
      <w:r w:rsidRPr="00087F50">
        <w:t>laikā</w:t>
      </w:r>
      <w:proofErr w:type="spellEnd"/>
      <w:r w:rsidRPr="00087F50">
        <w:t xml:space="preserve"> </w:t>
      </w:r>
      <w:proofErr w:type="spellStart"/>
      <w:r w:rsidRPr="00087F50">
        <w:t>urātu</w:t>
      </w:r>
      <w:proofErr w:type="spellEnd"/>
      <w:r w:rsidRPr="00087F50">
        <w:t xml:space="preserve"> </w:t>
      </w:r>
      <w:proofErr w:type="spellStart"/>
      <w:r w:rsidRPr="00087F50">
        <w:t>koncentrācija</w:t>
      </w:r>
      <w:proofErr w:type="spellEnd"/>
      <w:r w:rsidRPr="00087F50">
        <w:t xml:space="preserve"> </w:t>
      </w:r>
      <w:proofErr w:type="spellStart"/>
      <w:r w:rsidRPr="00087F50">
        <w:t>serumā</w:t>
      </w:r>
      <w:proofErr w:type="spellEnd"/>
      <w:r w:rsidRPr="00087F50">
        <w:t xml:space="preserve"> bija &lt; 6,0 mg/dl. </w:t>
      </w:r>
      <w:proofErr w:type="spellStart"/>
      <w:r w:rsidRPr="00087F50">
        <w:t>Pētījumos</w:t>
      </w:r>
      <w:proofErr w:type="spellEnd"/>
      <w:r w:rsidRPr="00087F50">
        <w:t xml:space="preserve"> </w:t>
      </w:r>
      <w:proofErr w:type="spellStart"/>
      <w:r w:rsidRPr="00087F50">
        <w:t>netika</w:t>
      </w:r>
      <w:proofErr w:type="spellEnd"/>
      <w:r w:rsidRPr="00087F50">
        <w:t xml:space="preserve"> </w:t>
      </w:r>
      <w:proofErr w:type="spellStart"/>
      <w:r w:rsidRPr="00087F50">
        <w:t>iekļauts</w:t>
      </w:r>
      <w:proofErr w:type="spellEnd"/>
      <w:r w:rsidRPr="00087F50">
        <w:t xml:space="preserve"> </w:t>
      </w:r>
      <w:proofErr w:type="spellStart"/>
      <w:r w:rsidRPr="00087F50">
        <w:t>neviens</w:t>
      </w:r>
      <w:proofErr w:type="spellEnd"/>
      <w:r w:rsidRPr="00087F50">
        <w:t xml:space="preserve"> </w:t>
      </w:r>
      <w:proofErr w:type="spellStart"/>
      <w:r w:rsidRPr="00087F50">
        <w:t>pacients</w:t>
      </w:r>
      <w:proofErr w:type="spellEnd"/>
      <w:r w:rsidRPr="00087F50">
        <w:t xml:space="preserve"> ar </w:t>
      </w:r>
      <w:proofErr w:type="spellStart"/>
      <w:r w:rsidRPr="00087F50">
        <w:t>transplantētiem</w:t>
      </w:r>
      <w:proofErr w:type="spellEnd"/>
      <w:r w:rsidRPr="00087F50">
        <w:t xml:space="preserve"> </w:t>
      </w:r>
      <w:proofErr w:type="spellStart"/>
      <w:r w:rsidRPr="00087F50">
        <w:t>orgāniem</w:t>
      </w:r>
      <w:proofErr w:type="spellEnd"/>
      <w:r w:rsidRPr="00087F50">
        <w:t xml:space="preserve"> (</w:t>
      </w:r>
      <w:proofErr w:type="spellStart"/>
      <w:r w:rsidRPr="00087F50">
        <w:t>skatīt</w:t>
      </w:r>
      <w:proofErr w:type="spellEnd"/>
      <w:r w:rsidRPr="00087F50">
        <w:t xml:space="preserve"> 4.2. </w:t>
      </w:r>
      <w:proofErr w:type="spellStart"/>
      <w:r w:rsidRPr="00087F50">
        <w:t>apakšpunktu</w:t>
      </w:r>
      <w:proofErr w:type="spellEnd"/>
      <w:r w:rsidRPr="00087F50">
        <w:t xml:space="preserve">). </w:t>
      </w:r>
    </w:p>
    <w:p w14:paraId="17FB5756" w14:textId="77777777" w:rsidR="00A77DDF" w:rsidRPr="00087F50" w:rsidRDefault="00A77DDF" w:rsidP="00A77DDF">
      <w:pPr>
        <w:spacing w:after="0" w:line="259" w:lineRule="auto"/>
        <w:ind w:left="1" w:firstLine="0"/>
      </w:pPr>
      <w:r w:rsidRPr="00087F50">
        <w:t xml:space="preserve"> </w:t>
      </w:r>
    </w:p>
    <w:p w14:paraId="2052328B" w14:textId="1993781E" w:rsidR="00A77DDF" w:rsidRPr="00087F50" w:rsidRDefault="00A77DDF" w:rsidP="00A77DDF">
      <w:pPr>
        <w:ind w:left="-3" w:right="9"/>
      </w:pPr>
      <w:r w:rsidRPr="00087F50">
        <w:rPr>
          <w:i/>
        </w:rPr>
        <w:t xml:space="preserve">APEX </w:t>
      </w:r>
      <w:proofErr w:type="spellStart"/>
      <w:r w:rsidRPr="00087F50">
        <w:rPr>
          <w:i/>
        </w:rPr>
        <w:t>pētījums</w:t>
      </w:r>
      <w:proofErr w:type="spellEnd"/>
      <w:r w:rsidRPr="00087F50">
        <w:t xml:space="preserve">: </w:t>
      </w:r>
      <w:proofErr w:type="spellStart"/>
      <w:r w:rsidRPr="00087F50">
        <w:t>allopurinola</w:t>
      </w:r>
      <w:proofErr w:type="spellEnd"/>
      <w:r w:rsidRPr="00087F50">
        <w:t xml:space="preserve"> un placebo </w:t>
      </w:r>
      <w:proofErr w:type="spellStart"/>
      <w:r w:rsidRPr="00087F50">
        <w:t>kontrolēts</w:t>
      </w:r>
      <w:proofErr w:type="spellEnd"/>
      <w:r w:rsidRPr="00087F50">
        <w:t xml:space="preserve"> </w:t>
      </w:r>
      <w:proofErr w:type="spellStart"/>
      <w:r w:rsidRPr="00087F50">
        <w:t>pētījums</w:t>
      </w:r>
      <w:proofErr w:type="spellEnd"/>
      <w:r w:rsidRPr="00087F50">
        <w:t xml:space="preserve"> par </w:t>
      </w:r>
      <w:proofErr w:type="spellStart"/>
      <w:r w:rsidRPr="00087F50">
        <w:t>febuksostata</w:t>
      </w:r>
      <w:proofErr w:type="spellEnd"/>
      <w:r w:rsidRPr="00087F50">
        <w:t xml:space="preserve"> </w:t>
      </w:r>
      <w:proofErr w:type="spellStart"/>
      <w:r w:rsidRPr="00087F50">
        <w:t>efektivitāti</w:t>
      </w:r>
      <w:proofErr w:type="spellEnd"/>
      <w:r w:rsidRPr="00087F50">
        <w:t xml:space="preserve"> (APEX) bija 3. </w:t>
      </w:r>
      <w:proofErr w:type="spellStart"/>
      <w:r w:rsidRPr="00087F50">
        <w:t>fāzes</w:t>
      </w:r>
      <w:proofErr w:type="spellEnd"/>
      <w:r w:rsidRPr="00087F50">
        <w:t xml:space="preserve"> </w:t>
      </w:r>
      <w:proofErr w:type="spellStart"/>
      <w:r w:rsidRPr="00087F50">
        <w:t>randomizēts</w:t>
      </w:r>
      <w:proofErr w:type="spellEnd"/>
      <w:r w:rsidRPr="00087F50">
        <w:t xml:space="preserve">, </w:t>
      </w:r>
      <w:proofErr w:type="spellStart"/>
      <w:r w:rsidRPr="00087F50">
        <w:t>dubultakls</w:t>
      </w:r>
      <w:proofErr w:type="spellEnd"/>
      <w:r w:rsidRPr="00087F50">
        <w:t xml:space="preserve">, </w:t>
      </w:r>
      <w:proofErr w:type="spellStart"/>
      <w:r w:rsidRPr="00087F50">
        <w:t>daudzcentru</w:t>
      </w:r>
      <w:proofErr w:type="spellEnd"/>
      <w:r w:rsidRPr="00087F50">
        <w:t xml:space="preserve">, 28 </w:t>
      </w:r>
      <w:proofErr w:type="spellStart"/>
      <w:r w:rsidRPr="00087F50">
        <w:t>nedēļas</w:t>
      </w:r>
      <w:proofErr w:type="spellEnd"/>
      <w:r w:rsidRPr="00087F50">
        <w:t xml:space="preserve"> </w:t>
      </w:r>
      <w:proofErr w:type="spellStart"/>
      <w:r w:rsidRPr="00087F50">
        <w:t>garš</w:t>
      </w:r>
      <w:proofErr w:type="spellEnd"/>
      <w:r w:rsidRPr="00087F50">
        <w:t xml:space="preserve"> </w:t>
      </w:r>
      <w:proofErr w:type="spellStart"/>
      <w:r w:rsidRPr="00087F50">
        <w:t>pētījums</w:t>
      </w:r>
      <w:proofErr w:type="spellEnd"/>
      <w:r w:rsidRPr="00087F50">
        <w:t xml:space="preserve">. </w:t>
      </w:r>
      <w:proofErr w:type="spellStart"/>
      <w:r w:rsidRPr="00087F50">
        <w:t>Pēc</w:t>
      </w:r>
      <w:proofErr w:type="spellEnd"/>
      <w:r w:rsidRPr="00087F50">
        <w:t xml:space="preserve"> </w:t>
      </w:r>
      <w:proofErr w:type="spellStart"/>
      <w:r w:rsidRPr="00087F50">
        <w:t>nejaušības</w:t>
      </w:r>
      <w:proofErr w:type="spellEnd"/>
      <w:r w:rsidRPr="00087F50">
        <w:t xml:space="preserve"> </w:t>
      </w:r>
      <w:proofErr w:type="spellStart"/>
      <w:r w:rsidRPr="00087F50">
        <w:t>principa</w:t>
      </w:r>
      <w:proofErr w:type="spellEnd"/>
      <w:r w:rsidRPr="00087F50">
        <w:t xml:space="preserve"> </w:t>
      </w:r>
      <w:proofErr w:type="spellStart"/>
      <w:r w:rsidRPr="00087F50">
        <w:t>grupās</w:t>
      </w:r>
      <w:proofErr w:type="spellEnd"/>
      <w:r w:rsidRPr="00087F50">
        <w:t xml:space="preserve"> </w:t>
      </w:r>
      <w:proofErr w:type="spellStart"/>
      <w:r w:rsidRPr="00087F50">
        <w:t>tika</w:t>
      </w:r>
      <w:proofErr w:type="spellEnd"/>
      <w:r w:rsidRPr="00087F50">
        <w:t xml:space="preserve"> </w:t>
      </w:r>
      <w:proofErr w:type="spellStart"/>
      <w:r w:rsidRPr="00087F50">
        <w:t>iedalīti</w:t>
      </w:r>
      <w:proofErr w:type="spellEnd"/>
      <w:r w:rsidRPr="00087F50">
        <w:t xml:space="preserve"> 1072 </w:t>
      </w:r>
      <w:proofErr w:type="spellStart"/>
      <w:r w:rsidRPr="00087F50">
        <w:t>pacienti</w:t>
      </w:r>
      <w:proofErr w:type="spellEnd"/>
      <w:r w:rsidRPr="00087F50">
        <w:t xml:space="preserve">: placebo (n=134), </w:t>
      </w:r>
      <w:proofErr w:type="spellStart"/>
      <w:r w:rsidR="00C6295D" w:rsidRPr="00087F50">
        <w:rPr>
          <w:lang w:val="lv-LV"/>
        </w:rPr>
        <w:t>febuksostats</w:t>
      </w:r>
      <w:proofErr w:type="spellEnd"/>
      <w:r w:rsidR="00C6295D" w:rsidRPr="00087F50">
        <w:rPr>
          <w:lang w:val="lv-LV"/>
        </w:rPr>
        <w:t xml:space="preserve"> </w:t>
      </w:r>
      <w:r w:rsidRPr="00087F50">
        <w:t xml:space="preserve">80 mg QD (1 </w:t>
      </w:r>
      <w:proofErr w:type="spellStart"/>
      <w:r w:rsidRPr="00087F50">
        <w:t>reizi</w:t>
      </w:r>
      <w:proofErr w:type="spellEnd"/>
      <w:r w:rsidRPr="00087F50">
        <w:t xml:space="preserve"> </w:t>
      </w:r>
      <w:proofErr w:type="spellStart"/>
      <w:r w:rsidRPr="00087F50">
        <w:t>dienā</w:t>
      </w:r>
      <w:proofErr w:type="spellEnd"/>
      <w:r w:rsidRPr="00087F50">
        <w:t xml:space="preserve">) (n=267), </w:t>
      </w:r>
      <w:proofErr w:type="spellStart"/>
      <w:r w:rsidR="00C6295D" w:rsidRPr="00087F50">
        <w:rPr>
          <w:lang w:val="lv-LV"/>
        </w:rPr>
        <w:t>febuksostats</w:t>
      </w:r>
      <w:proofErr w:type="spellEnd"/>
      <w:r w:rsidR="00C6295D" w:rsidRPr="00087F50">
        <w:rPr>
          <w:lang w:val="lv-LV"/>
        </w:rPr>
        <w:t xml:space="preserve"> </w:t>
      </w:r>
      <w:r w:rsidRPr="00087F50">
        <w:t xml:space="preserve">120 mg QD (n=269), </w:t>
      </w:r>
      <w:proofErr w:type="spellStart"/>
      <w:r w:rsidR="00C6295D" w:rsidRPr="00087F50">
        <w:rPr>
          <w:lang w:val="lv-LV"/>
        </w:rPr>
        <w:t>febuksostats</w:t>
      </w:r>
      <w:proofErr w:type="spellEnd"/>
      <w:r w:rsidR="00C6295D" w:rsidRPr="00087F50">
        <w:rPr>
          <w:lang w:val="lv-LV"/>
        </w:rPr>
        <w:t xml:space="preserve"> </w:t>
      </w:r>
      <w:r w:rsidRPr="00087F50">
        <w:t xml:space="preserve">240 mg QD (n=134) </w:t>
      </w:r>
      <w:proofErr w:type="spellStart"/>
      <w:r w:rsidRPr="00087F50">
        <w:t>vai</w:t>
      </w:r>
      <w:proofErr w:type="spellEnd"/>
      <w:r w:rsidRPr="00087F50">
        <w:t xml:space="preserve"> </w:t>
      </w:r>
      <w:proofErr w:type="spellStart"/>
      <w:r w:rsidRPr="00087F50">
        <w:t>allopurinols</w:t>
      </w:r>
      <w:proofErr w:type="spellEnd"/>
      <w:r w:rsidRPr="00087F50">
        <w:t xml:space="preserve"> (300 mg QD [n=258] </w:t>
      </w:r>
      <w:proofErr w:type="spellStart"/>
      <w:r w:rsidRPr="00087F50">
        <w:t>pacientiem</w:t>
      </w:r>
      <w:proofErr w:type="spellEnd"/>
      <w:r w:rsidRPr="00087F50">
        <w:t xml:space="preserve">, </w:t>
      </w:r>
      <w:proofErr w:type="spellStart"/>
      <w:r w:rsidRPr="00087F50">
        <w:t>kuru</w:t>
      </w:r>
      <w:proofErr w:type="spellEnd"/>
      <w:r w:rsidRPr="00087F50">
        <w:t xml:space="preserve"> </w:t>
      </w:r>
      <w:proofErr w:type="spellStart"/>
      <w:r w:rsidRPr="00087F50">
        <w:t>sākotnējais</w:t>
      </w:r>
      <w:proofErr w:type="spellEnd"/>
      <w:r w:rsidRPr="00087F50">
        <w:t xml:space="preserve"> </w:t>
      </w:r>
      <w:proofErr w:type="spellStart"/>
      <w:r w:rsidRPr="00087F50">
        <w:t>kreatinīna</w:t>
      </w:r>
      <w:proofErr w:type="spellEnd"/>
      <w:r w:rsidRPr="00087F50">
        <w:t xml:space="preserve"> </w:t>
      </w:r>
      <w:proofErr w:type="spellStart"/>
      <w:r w:rsidRPr="00087F50">
        <w:t>līmenis</w:t>
      </w:r>
      <w:proofErr w:type="spellEnd"/>
      <w:r w:rsidRPr="00087F50">
        <w:t xml:space="preserve"> </w:t>
      </w:r>
      <w:proofErr w:type="spellStart"/>
      <w:r w:rsidRPr="00087F50">
        <w:t>asinīs</w:t>
      </w:r>
      <w:proofErr w:type="spellEnd"/>
      <w:r w:rsidRPr="00087F50">
        <w:t xml:space="preserve"> bija </w:t>
      </w:r>
      <w:r w:rsidRPr="00087F50">
        <w:rPr>
          <w:rFonts w:ascii="Segoe UI Symbol" w:eastAsia="Segoe UI Symbol" w:hAnsi="Segoe UI Symbol" w:cs="Segoe UI Symbol"/>
        </w:rPr>
        <w:t>≤</w:t>
      </w:r>
      <w:r w:rsidRPr="00087F50">
        <w:t xml:space="preserve"> 1,5 mg/dl, </w:t>
      </w:r>
      <w:proofErr w:type="spellStart"/>
      <w:r w:rsidRPr="00087F50">
        <w:t>vai</w:t>
      </w:r>
      <w:proofErr w:type="spellEnd"/>
      <w:r w:rsidRPr="00087F50">
        <w:t xml:space="preserve"> 100 mg QD [n=10] </w:t>
      </w:r>
      <w:proofErr w:type="spellStart"/>
      <w:r w:rsidRPr="00087F50">
        <w:t>pacientiem</w:t>
      </w:r>
      <w:proofErr w:type="spellEnd"/>
      <w:r w:rsidRPr="00087F50">
        <w:t xml:space="preserve">, </w:t>
      </w:r>
      <w:proofErr w:type="spellStart"/>
      <w:r w:rsidRPr="00087F50">
        <w:t>kuru</w:t>
      </w:r>
      <w:proofErr w:type="spellEnd"/>
      <w:r w:rsidRPr="00087F50">
        <w:t xml:space="preserve"> </w:t>
      </w:r>
      <w:proofErr w:type="spellStart"/>
      <w:r w:rsidRPr="00087F50">
        <w:t>sākotnējais</w:t>
      </w:r>
      <w:proofErr w:type="spellEnd"/>
      <w:r w:rsidRPr="00087F50">
        <w:t xml:space="preserve"> </w:t>
      </w:r>
      <w:proofErr w:type="spellStart"/>
      <w:r w:rsidRPr="00087F50">
        <w:t>kreatinīna</w:t>
      </w:r>
      <w:proofErr w:type="spellEnd"/>
      <w:r w:rsidRPr="00087F50">
        <w:t xml:space="preserve"> </w:t>
      </w:r>
      <w:proofErr w:type="spellStart"/>
      <w:r w:rsidRPr="00087F50">
        <w:t>līmenis</w:t>
      </w:r>
      <w:proofErr w:type="spellEnd"/>
      <w:r w:rsidRPr="00087F50">
        <w:t xml:space="preserve"> </w:t>
      </w:r>
      <w:proofErr w:type="spellStart"/>
      <w:r w:rsidRPr="00087F50">
        <w:t>asinīs</w:t>
      </w:r>
      <w:proofErr w:type="spellEnd"/>
      <w:r w:rsidRPr="00087F50">
        <w:t xml:space="preserve"> bija &gt; 1,5 mg/dl un </w:t>
      </w:r>
      <w:r w:rsidRPr="00087F50">
        <w:rPr>
          <w:rFonts w:ascii="Segoe UI Symbol" w:eastAsia="Segoe UI Symbol" w:hAnsi="Segoe UI Symbol" w:cs="Segoe UI Symbol"/>
        </w:rPr>
        <w:t>≤</w:t>
      </w:r>
      <w:r w:rsidRPr="00087F50">
        <w:t xml:space="preserve"> 2.0 mg/dl). </w:t>
      </w:r>
      <w:proofErr w:type="spellStart"/>
      <w:r w:rsidRPr="00087F50">
        <w:t>Lai</w:t>
      </w:r>
      <w:proofErr w:type="spellEnd"/>
      <w:r w:rsidRPr="00087F50">
        <w:t xml:space="preserve"> </w:t>
      </w:r>
      <w:proofErr w:type="spellStart"/>
      <w:r w:rsidRPr="00087F50">
        <w:t>novērtētu</w:t>
      </w:r>
      <w:proofErr w:type="spellEnd"/>
      <w:r w:rsidRPr="00087F50">
        <w:t xml:space="preserve"> </w:t>
      </w:r>
      <w:proofErr w:type="spellStart"/>
      <w:r w:rsidRPr="00087F50">
        <w:t>zāļu</w:t>
      </w:r>
      <w:proofErr w:type="spellEnd"/>
      <w:r w:rsidRPr="00087F50">
        <w:t xml:space="preserve"> </w:t>
      </w:r>
      <w:proofErr w:type="spellStart"/>
      <w:r w:rsidRPr="00087F50">
        <w:t>drošumu</w:t>
      </w:r>
      <w:proofErr w:type="spellEnd"/>
      <w:r w:rsidRPr="00087F50">
        <w:t xml:space="preserve">, </w:t>
      </w:r>
      <w:proofErr w:type="spellStart"/>
      <w:r w:rsidRPr="00087F50">
        <w:t>tika</w:t>
      </w:r>
      <w:proofErr w:type="spellEnd"/>
      <w:r w:rsidRPr="00087F50">
        <w:t xml:space="preserve"> </w:t>
      </w:r>
      <w:proofErr w:type="spellStart"/>
      <w:r w:rsidRPr="00087F50">
        <w:t>izmantoti</w:t>
      </w:r>
      <w:proofErr w:type="spellEnd"/>
      <w:r w:rsidRPr="00087F50">
        <w:t xml:space="preserve"> </w:t>
      </w:r>
      <w:r w:rsidR="008C16C5" w:rsidRPr="00087F50">
        <w:t>240</w:t>
      </w:r>
      <w:r w:rsidRPr="00087F50">
        <w:t xml:space="preserve"> mg </w:t>
      </w:r>
      <w:proofErr w:type="spellStart"/>
      <w:r w:rsidRPr="00087F50">
        <w:t>febuksostata</w:t>
      </w:r>
      <w:proofErr w:type="spellEnd"/>
      <w:r w:rsidRPr="00087F50">
        <w:t xml:space="preserve"> (2 </w:t>
      </w:r>
      <w:proofErr w:type="spellStart"/>
      <w:r w:rsidRPr="00087F50">
        <w:t>reizes</w:t>
      </w:r>
      <w:proofErr w:type="spellEnd"/>
      <w:r w:rsidRPr="00087F50">
        <w:t xml:space="preserve"> </w:t>
      </w:r>
      <w:proofErr w:type="spellStart"/>
      <w:r w:rsidRPr="00087F50">
        <w:t>vairāk</w:t>
      </w:r>
      <w:proofErr w:type="spellEnd"/>
      <w:r w:rsidRPr="00087F50">
        <w:t xml:space="preserve"> par </w:t>
      </w:r>
      <w:proofErr w:type="spellStart"/>
      <w:r w:rsidRPr="00087F50">
        <w:t>ieteicamo</w:t>
      </w:r>
      <w:proofErr w:type="spellEnd"/>
      <w:r w:rsidRPr="00087F50">
        <w:t xml:space="preserve"> </w:t>
      </w:r>
      <w:proofErr w:type="spellStart"/>
      <w:r w:rsidRPr="00087F50">
        <w:t>lielāko</w:t>
      </w:r>
      <w:proofErr w:type="spellEnd"/>
      <w:r w:rsidRPr="00087F50">
        <w:t xml:space="preserve"> </w:t>
      </w:r>
      <w:proofErr w:type="spellStart"/>
      <w:r w:rsidRPr="00087F50">
        <w:t>devu</w:t>
      </w:r>
      <w:proofErr w:type="spellEnd"/>
      <w:r w:rsidRPr="00087F50">
        <w:t xml:space="preserve">). </w:t>
      </w:r>
    </w:p>
    <w:p w14:paraId="0C69D019" w14:textId="77777777" w:rsidR="00A77DDF" w:rsidRPr="00087F50" w:rsidRDefault="00A77DDF" w:rsidP="00A77DDF">
      <w:pPr>
        <w:spacing w:after="0" w:line="259" w:lineRule="auto"/>
        <w:ind w:left="1" w:firstLine="0"/>
      </w:pPr>
      <w:r w:rsidRPr="00087F50">
        <w:t xml:space="preserve"> </w:t>
      </w:r>
    </w:p>
    <w:p w14:paraId="5260FB24" w14:textId="1A5B7DC1" w:rsidR="00A77DDF" w:rsidRPr="00087F50" w:rsidRDefault="00A77DDF" w:rsidP="00A77DDF">
      <w:pPr>
        <w:ind w:left="-3" w:right="208"/>
      </w:pPr>
      <w:r w:rsidRPr="00087F50">
        <w:t xml:space="preserve">APEX </w:t>
      </w:r>
      <w:proofErr w:type="spellStart"/>
      <w:r w:rsidRPr="00087F50">
        <w:t>pētījumā</w:t>
      </w:r>
      <w:proofErr w:type="spellEnd"/>
      <w:r w:rsidRPr="00087F50">
        <w:t xml:space="preserve"> </w:t>
      </w:r>
      <w:proofErr w:type="spellStart"/>
      <w:r w:rsidRPr="00087F50">
        <w:t>gan</w:t>
      </w:r>
      <w:proofErr w:type="spellEnd"/>
      <w:r w:rsidRPr="00087F50">
        <w:t xml:space="preserve"> </w:t>
      </w:r>
      <w:proofErr w:type="spellStart"/>
      <w:r w:rsidR="00274342" w:rsidRPr="00087F50">
        <w:rPr>
          <w:lang w:val="lv-LV"/>
        </w:rPr>
        <w:t>febuksostats</w:t>
      </w:r>
      <w:proofErr w:type="spellEnd"/>
      <w:r w:rsidR="00274342" w:rsidRPr="00087F50">
        <w:t xml:space="preserve"> </w:t>
      </w:r>
      <w:r w:rsidRPr="00087F50">
        <w:t xml:space="preserve">80 mg QD, </w:t>
      </w:r>
      <w:proofErr w:type="spellStart"/>
      <w:r w:rsidRPr="00087F50">
        <w:t>gan</w:t>
      </w:r>
      <w:proofErr w:type="spellEnd"/>
      <w:r w:rsidRPr="00087F50">
        <w:t xml:space="preserve"> </w:t>
      </w:r>
      <w:proofErr w:type="spellStart"/>
      <w:r w:rsidR="00274342" w:rsidRPr="00087F50">
        <w:rPr>
          <w:lang w:val="lv-LV"/>
        </w:rPr>
        <w:t>febuksostats</w:t>
      </w:r>
      <w:proofErr w:type="spellEnd"/>
      <w:r w:rsidR="00274342" w:rsidRPr="00087F50">
        <w:t xml:space="preserve"> </w:t>
      </w:r>
      <w:r w:rsidRPr="00087F50">
        <w:t xml:space="preserve">120 mg QD </w:t>
      </w:r>
      <w:proofErr w:type="spellStart"/>
      <w:r w:rsidRPr="00087F50">
        <w:t>ļāva</w:t>
      </w:r>
      <w:proofErr w:type="spellEnd"/>
      <w:r w:rsidRPr="00087F50">
        <w:t xml:space="preserve"> </w:t>
      </w:r>
      <w:proofErr w:type="spellStart"/>
      <w:r w:rsidRPr="00087F50">
        <w:t>sasniegt</w:t>
      </w:r>
      <w:proofErr w:type="spellEnd"/>
      <w:r w:rsidRPr="00087F50">
        <w:t xml:space="preserve"> </w:t>
      </w:r>
      <w:proofErr w:type="spellStart"/>
      <w:r w:rsidRPr="00087F50">
        <w:t>statistiski</w:t>
      </w:r>
      <w:proofErr w:type="spellEnd"/>
      <w:r w:rsidRPr="00087F50">
        <w:t xml:space="preserve"> </w:t>
      </w:r>
      <w:proofErr w:type="spellStart"/>
      <w:r w:rsidRPr="00087F50">
        <w:t>nozīmīgi</w:t>
      </w:r>
      <w:proofErr w:type="spellEnd"/>
      <w:r w:rsidRPr="00087F50">
        <w:t xml:space="preserve"> </w:t>
      </w:r>
      <w:proofErr w:type="spellStart"/>
      <w:r w:rsidRPr="00087F50">
        <w:t>daudz</w:t>
      </w:r>
      <w:proofErr w:type="spellEnd"/>
      <w:r w:rsidRPr="00087F50">
        <w:t xml:space="preserve"> </w:t>
      </w:r>
      <w:proofErr w:type="spellStart"/>
      <w:r w:rsidRPr="00087F50">
        <w:t>labākus</w:t>
      </w:r>
      <w:proofErr w:type="spellEnd"/>
      <w:r w:rsidRPr="00087F50">
        <w:t xml:space="preserve"> </w:t>
      </w:r>
      <w:proofErr w:type="spellStart"/>
      <w:r w:rsidRPr="00087F50">
        <w:t>rezultātus</w:t>
      </w:r>
      <w:proofErr w:type="spellEnd"/>
      <w:r w:rsidRPr="00087F50">
        <w:t xml:space="preserve"> par </w:t>
      </w:r>
      <w:proofErr w:type="spellStart"/>
      <w:r w:rsidRPr="00087F50">
        <w:t>vispārpieņemtajām</w:t>
      </w:r>
      <w:proofErr w:type="spellEnd"/>
      <w:r w:rsidRPr="00087F50">
        <w:t xml:space="preserve"> </w:t>
      </w:r>
      <w:proofErr w:type="spellStart"/>
      <w:r w:rsidRPr="00087F50">
        <w:t>allopurinola</w:t>
      </w:r>
      <w:proofErr w:type="spellEnd"/>
      <w:r w:rsidRPr="00087F50">
        <w:t xml:space="preserve"> </w:t>
      </w:r>
      <w:proofErr w:type="spellStart"/>
      <w:r w:rsidRPr="00087F50">
        <w:t>devām</w:t>
      </w:r>
      <w:proofErr w:type="spellEnd"/>
      <w:r w:rsidRPr="00087F50">
        <w:t xml:space="preserve"> 300 mg (n = 258) /100 mg (n = 10), </w:t>
      </w:r>
      <w:proofErr w:type="spellStart"/>
      <w:r w:rsidRPr="00087F50">
        <w:t>jo</w:t>
      </w:r>
      <w:proofErr w:type="spellEnd"/>
      <w:r w:rsidRPr="00087F50">
        <w:t xml:space="preserve"> </w:t>
      </w:r>
      <w:proofErr w:type="spellStart"/>
      <w:r w:rsidRPr="00087F50">
        <w:t>labāk</w:t>
      </w:r>
      <w:proofErr w:type="spellEnd"/>
      <w:r w:rsidRPr="00087F50">
        <w:t xml:space="preserve"> </w:t>
      </w:r>
      <w:proofErr w:type="spellStart"/>
      <w:r w:rsidRPr="00087F50">
        <w:t>spēja</w:t>
      </w:r>
      <w:proofErr w:type="spellEnd"/>
      <w:r w:rsidRPr="00087F50">
        <w:t xml:space="preserve"> </w:t>
      </w:r>
      <w:proofErr w:type="spellStart"/>
      <w:r w:rsidRPr="00087F50">
        <w:t>samazināt</w:t>
      </w:r>
      <w:proofErr w:type="spellEnd"/>
      <w:r w:rsidRPr="00087F50">
        <w:t xml:space="preserve"> </w:t>
      </w:r>
      <w:proofErr w:type="spellStart"/>
      <w:r w:rsidRPr="00087F50">
        <w:t>sUA</w:t>
      </w:r>
      <w:proofErr w:type="spellEnd"/>
      <w:r w:rsidRPr="00087F50">
        <w:t xml:space="preserve"> (</w:t>
      </w:r>
      <w:proofErr w:type="spellStart"/>
      <w:r w:rsidRPr="00087F50">
        <w:t>urīnskābes</w:t>
      </w:r>
      <w:proofErr w:type="spellEnd"/>
      <w:r w:rsidRPr="00087F50">
        <w:t xml:space="preserve"> </w:t>
      </w:r>
      <w:proofErr w:type="spellStart"/>
      <w:r w:rsidRPr="00087F50">
        <w:t>līmeni</w:t>
      </w:r>
      <w:proofErr w:type="spellEnd"/>
      <w:r w:rsidRPr="00087F50">
        <w:t xml:space="preserve"> </w:t>
      </w:r>
      <w:proofErr w:type="spellStart"/>
      <w:r w:rsidRPr="00087F50">
        <w:t>serumā</w:t>
      </w:r>
      <w:proofErr w:type="spellEnd"/>
      <w:r w:rsidRPr="00087F50">
        <w:t xml:space="preserve">), </w:t>
      </w:r>
      <w:proofErr w:type="spellStart"/>
      <w:r w:rsidRPr="00087F50">
        <w:t>līdz</w:t>
      </w:r>
      <w:proofErr w:type="spellEnd"/>
      <w:r w:rsidRPr="00087F50">
        <w:t xml:space="preserve"> tas bija </w:t>
      </w:r>
      <w:proofErr w:type="spellStart"/>
      <w:r w:rsidRPr="00087F50">
        <w:t>mazāks</w:t>
      </w:r>
      <w:proofErr w:type="spellEnd"/>
      <w:r w:rsidRPr="00087F50">
        <w:t xml:space="preserve"> par 6 mg/dl (357 µmol/l) (</w:t>
      </w:r>
      <w:proofErr w:type="spellStart"/>
      <w:r w:rsidRPr="00087F50">
        <w:t>skatīt</w:t>
      </w:r>
      <w:proofErr w:type="spellEnd"/>
      <w:r w:rsidRPr="00087F50">
        <w:t xml:space="preserve"> 2.tabulu un 1. </w:t>
      </w:r>
      <w:proofErr w:type="spellStart"/>
      <w:r w:rsidRPr="00087F50">
        <w:t>attēlu</w:t>
      </w:r>
      <w:proofErr w:type="spellEnd"/>
      <w:r w:rsidRPr="00087F50">
        <w:t xml:space="preserve">). </w:t>
      </w:r>
    </w:p>
    <w:p w14:paraId="6D8F666C" w14:textId="77777777" w:rsidR="00A77DDF" w:rsidRPr="00087F50" w:rsidRDefault="00A77DDF" w:rsidP="00A77DDF">
      <w:pPr>
        <w:spacing w:after="0" w:line="259" w:lineRule="auto"/>
        <w:ind w:left="1" w:firstLine="0"/>
      </w:pPr>
      <w:r w:rsidRPr="00087F50">
        <w:t xml:space="preserve"> </w:t>
      </w:r>
    </w:p>
    <w:p w14:paraId="31592EFA" w14:textId="5519BD33" w:rsidR="00A77DDF" w:rsidRPr="00087F50" w:rsidRDefault="00A77DDF" w:rsidP="00A77DDF">
      <w:pPr>
        <w:ind w:left="-3" w:right="9"/>
      </w:pPr>
      <w:r w:rsidRPr="00087F50">
        <w:rPr>
          <w:i/>
        </w:rPr>
        <w:t xml:space="preserve">FACT </w:t>
      </w:r>
      <w:proofErr w:type="spellStart"/>
      <w:r w:rsidRPr="00087F50">
        <w:rPr>
          <w:i/>
        </w:rPr>
        <w:t>pētījums</w:t>
      </w:r>
      <w:proofErr w:type="spellEnd"/>
      <w:r w:rsidRPr="00087F50">
        <w:t xml:space="preserve">: </w:t>
      </w:r>
      <w:proofErr w:type="spellStart"/>
      <w:r w:rsidRPr="00087F50">
        <w:t>febuksostata</w:t>
      </w:r>
      <w:proofErr w:type="spellEnd"/>
      <w:r w:rsidRPr="00087F50">
        <w:t xml:space="preserve"> </w:t>
      </w:r>
      <w:proofErr w:type="spellStart"/>
      <w:r w:rsidRPr="00087F50">
        <w:t>pētījums</w:t>
      </w:r>
      <w:proofErr w:type="spellEnd"/>
      <w:r w:rsidRPr="00087F50">
        <w:t xml:space="preserve">, </w:t>
      </w:r>
      <w:proofErr w:type="spellStart"/>
      <w:r w:rsidRPr="00087F50">
        <w:t>kurā</w:t>
      </w:r>
      <w:proofErr w:type="spellEnd"/>
      <w:r w:rsidRPr="00087F50">
        <w:t xml:space="preserve"> </w:t>
      </w:r>
      <w:proofErr w:type="spellStart"/>
      <w:r w:rsidRPr="00087F50">
        <w:t>kā</w:t>
      </w:r>
      <w:proofErr w:type="spellEnd"/>
      <w:r w:rsidRPr="00087F50">
        <w:t xml:space="preserve"> </w:t>
      </w:r>
      <w:proofErr w:type="spellStart"/>
      <w:r w:rsidRPr="00087F50">
        <w:t>kontrolzāles</w:t>
      </w:r>
      <w:proofErr w:type="spellEnd"/>
      <w:r w:rsidRPr="00087F50">
        <w:t xml:space="preserve"> </w:t>
      </w:r>
      <w:proofErr w:type="spellStart"/>
      <w:r w:rsidRPr="00087F50">
        <w:t>tika</w:t>
      </w:r>
      <w:proofErr w:type="spellEnd"/>
      <w:r w:rsidRPr="00087F50">
        <w:t xml:space="preserve"> </w:t>
      </w:r>
      <w:proofErr w:type="spellStart"/>
      <w:r w:rsidRPr="00087F50">
        <w:t>izmantots</w:t>
      </w:r>
      <w:proofErr w:type="spellEnd"/>
      <w:r w:rsidRPr="00087F50">
        <w:t xml:space="preserve"> </w:t>
      </w:r>
      <w:proofErr w:type="spellStart"/>
      <w:r w:rsidRPr="00087F50">
        <w:t>allopurinols</w:t>
      </w:r>
      <w:proofErr w:type="spellEnd"/>
      <w:r w:rsidRPr="00087F50">
        <w:t xml:space="preserve"> , (FACT) bija 3. </w:t>
      </w:r>
      <w:proofErr w:type="spellStart"/>
      <w:r w:rsidRPr="00087F50">
        <w:t>fāzes</w:t>
      </w:r>
      <w:proofErr w:type="spellEnd"/>
      <w:r w:rsidRPr="00087F50">
        <w:t xml:space="preserve"> </w:t>
      </w:r>
      <w:proofErr w:type="spellStart"/>
      <w:r w:rsidRPr="00087F50">
        <w:t>randomizēts</w:t>
      </w:r>
      <w:proofErr w:type="spellEnd"/>
      <w:r w:rsidRPr="00087F50">
        <w:t xml:space="preserve">, </w:t>
      </w:r>
      <w:proofErr w:type="spellStart"/>
      <w:r w:rsidRPr="00087F50">
        <w:t>dubultakls</w:t>
      </w:r>
      <w:proofErr w:type="spellEnd"/>
      <w:r w:rsidRPr="00087F50">
        <w:t xml:space="preserve">, </w:t>
      </w:r>
      <w:proofErr w:type="spellStart"/>
      <w:r w:rsidRPr="00087F50">
        <w:t>daudzcentru</w:t>
      </w:r>
      <w:proofErr w:type="spellEnd"/>
      <w:r w:rsidRPr="00087F50">
        <w:t xml:space="preserve">, 52 </w:t>
      </w:r>
      <w:proofErr w:type="spellStart"/>
      <w:r w:rsidRPr="00087F50">
        <w:t>nedēļas</w:t>
      </w:r>
      <w:proofErr w:type="spellEnd"/>
      <w:r w:rsidRPr="00087F50">
        <w:t xml:space="preserve"> </w:t>
      </w:r>
      <w:proofErr w:type="spellStart"/>
      <w:r w:rsidRPr="00087F50">
        <w:t>garš</w:t>
      </w:r>
      <w:proofErr w:type="spellEnd"/>
      <w:r w:rsidRPr="00087F50">
        <w:t xml:space="preserve"> </w:t>
      </w:r>
      <w:proofErr w:type="spellStart"/>
      <w:r w:rsidRPr="00087F50">
        <w:t>pētījums</w:t>
      </w:r>
      <w:proofErr w:type="spellEnd"/>
      <w:r w:rsidRPr="00087F50">
        <w:t xml:space="preserve">. </w:t>
      </w:r>
      <w:proofErr w:type="spellStart"/>
      <w:r w:rsidRPr="00087F50">
        <w:t>Pēc</w:t>
      </w:r>
      <w:proofErr w:type="spellEnd"/>
      <w:r w:rsidRPr="00087F50">
        <w:t xml:space="preserve"> </w:t>
      </w:r>
      <w:proofErr w:type="spellStart"/>
      <w:r w:rsidRPr="00087F50">
        <w:t>nejaušības</w:t>
      </w:r>
      <w:proofErr w:type="spellEnd"/>
      <w:r w:rsidRPr="00087F50">
        <w:t xml:space="preserve"> </w:t>
      </w:r>
      <w:proofErr w:type="spellStart"/>
      <w:r w:rsidRPr="00087F50">
        <w:t>principa</w:t>
      </w:r>
      <w:proofErr w:type="spellEnd"/>
      <w:r w:rsidRPr="00087F50">
        <w:t xml:space="preserve"> </w:t>
      </w:r>
      <w:proofErr w:type="spellStart"/>
      <w:r w:rsidRPr="00087F50">
        <w:t>grupās</w:t>
      </w:r>
      <w:proofErr w:type="spellEnd"/>
      <w:r w:rsidRPr="00087F50">
        <w:t xml:space="preserve"> </w:t>
      </w:r>
      <w:proofErr w:type="spellStart"/>
      <w:r w:rsidRPr="00087F50">
        <w:t>tika</w:t>
      </w:r>
      <w:proofErr w:type="spellEnd"/>
      <w:r w:rsidRPr="00087F50">
        <w:t xml:space="preserve"> </w:t>
      </w:r>
      <w:proofErr w:type="spellStart"/>
      <w:r w:rsidRPr="00087F50">
        <w:t>iedalīts</w:t>
      </w:r>
      <w:proofErr w:type="spellEnd"/>
      <w:r w:rsidRPr="00087F50">
        <w:t xml:space="preserve"> 760 </w:t>
      </w:r>
      <w:proofErr w:type="spellStart"/>
      <w:r w:rsidRPr="00087F50">
        <w:t>pacientu</w:t>
      </w:r>
      <w:proofErr w:type="spellEnd"/>
      <w:r w:rsidRPr="00087F50">
        <w:t xml:space="preserve">: </w:t>
      </w:r>
      <w:proofErr w:type="spellStart"/>
      <w:r w:rsidR="00274342" w:rsidRPr="00087F50">
        <w:rPr>
          <w:lang w:val="lv-LV"/>
        </w:rPr>
        <w:t>febuksostats</w:t>
      </w:r>
      <w:proofErr w:type="spellEnd"/>
      <w:r w:rsidR="00274342" w:rsidRPr="00087F50">
        <w:rPr>
          <w:lang w:val="lv-LV"/>
        </w:rPr>
        <w:t xml:space="preserve"> </w:t>
      </w:r>
      <w:r w:rsidRPr="00087F50">
        <w:t xml:space="preserve">80 mg QD (n=256), </w:t>
      </w:r>
      <w:proofErr w:type="spellStart"/>
      <w:r w:rsidR="00274342" w:rsidRPr="00087F50">
        <w:rPr>
          <w:lang w:val="lv-LV"/>
        </w:rPr>
        <w:t>febuksostats</w:t>
      </w:r>
      <w:proofErr w:type="spellEnd"/>
      <w:r w:rsidR="00274342" w:rsidRPr="00087F50">
        <w:rPr>
          <w:lang w:val="lv-LV"/>
        </w:rPr>
        <w:t xml:space="preserve"> </w:t>
      </w:r>
      <w:r w:rsidRPr="00087F50">
        <w:t xml:space="preserve">120 mg QD (n=251) </w:t>
      </w:r>
      <w:proofErr w:type="spellStart"/>
      <w:r w:rsidRPr="00087F50">
        <w:t>vai</w:t>
      </w:r>
      <w:proofErr w:type="spellEnd"/>
      <w:r w:rsidRPr="00087F50">
        <w:t xml:space="preserve"> </w:t>
      </w:r>
      <w:proofErr w:type="spellStart"/>
      <w:r w:rsidRPr="00087F50">
        <w:t>allopurinols</w:t>
      </w:r>
      <w:proofErr w:type="spellEnd"/>
      <w:r w:rsidRPr="00087F50">
        <w:t xml:space="preserve"> 300 mg QD (n=253). </w:t>
      </w:r>
    </w:p>
    <w:p w14:paraId="456BFC78" w14:textId="77777777" w:rsidR="00A77DDF" w:rsidRPr="00087F50" w:rsidRDefault="00A77DDF" w:rsidP="00A77DDF">
      <w:pPr>
        <w:spacing w:after="0" w:line="259" w:lineRule="auto"/>
        <w:ind w:left="1" w:firstLine="0"/>
      </w:pPr>
      <w:r w:rsidRPr="00087F50">
        <w:t xml:space="preserve"> </w:t>
      </w:r>
    </w:p>
    <w:p w14:paraId="5AC164A7" w14:textId="530E3361" w:rsidR="00A77DDF" w:rsidRPr="00087F50" w:rsidRDefault="00A77DDF" w:rsidP="00A77DDF">
      <w:pPr>
        <w:ind w:left="-3" w:right="9"/>
      </w:pPr>
      <w:r w:rsidRPr="00087F50">
        <w:t xml:space="preserve">FACT </w:t>
      </w:r>
      <w:proofErr w:type="spellStart"/>
      <w:r w:rsidRPr="00087F50">
        <w:t>pētījumā</w:t>
      </w:r>
      <w:proofErr w:type="spellEnd"/>
      <w:r w:rsidRPr="00087F50">
        <w:t xml:space="preserve"> </w:t>
      </w:r>
      <w:proofErr w:type="spellStart"/>
      <w:r w:rsidRPr="00087F50">
        <w:t>gan</w:t>
      </w:r>
      <w:proofErr w:type="spellEnd"/>
      <w:r w:rsidRPr="00087F50">
        <w:t xml:space="preserve"> </w:t>
      </w:r>
      <w:proofErr w:type="spellStart"/>
      <w:r w:rsidR="00274342" w:rsidRPr="00087F50">
        <w:rPr>
          <w:lang w:val="lv-LV"/>
        </w:rPr>
        <w:t>febuksostats</w:t>
      </w:r>
      <w:proofErr w:type="spellEnd"/>
      <w:r w:rsidR="00274342" w:rsidRPr="00087F50">
        <w:rPr>
          <w:lang w:val="lv-LV"/>
        </w:rPr>
        <w:t xml:space="preserve"> </w:t>
      </w:r>
      <w:r w:rsidRPr="00087F50">
        <w:t xml:space="preserve">80 mg QD, </w:t>
      </w:r>
      <w:proofErr w:type="spellStart"/>
      <w:r w:rsidRPr="00087F50">
        <w:t>gan</w:t>
      </w:r>
      <w:proofErr w:type="spellEnd"/>
      <w:r w:rsidRPr="00087F50">
        <w:t xml:space="preserve"> </w:t>
      </w:r>
      <w:proofErr w:type="spellStart"/>
      <w:r w:rsidR="00274342" w:rsidRPr="00087F50">
        <w:rPr>
          <w:lang w:val="lv-LV"/>
        </w:rPr>
        <w:t>febuksostats</w:t>
      </w:r>
      <w:proofErr w:type="spellEnd"/>
      <w:r w:rsidR="00274342" w:rsidRPr="00087F50">
        <w:rPr>
          <w:lang w:val="lv-LV"/>
        </w:rPr>
        <w:t xml:space="preserve"> </w:t>
      </w:r>
      <w:r w:rsidR="00274342" w:rsidRPr="00087F50">
        <w:t xml:space="preserve"> </w:t>
      </w:r>
      <w:r w:rsidRPr="00087F50">
        <w:t xml:space="preserve">120 mg QD </w:t>
      </w:r>
      <w:proofErr w:type="spellStart"/>
      <w:r w:rsidRPr="00087F50">
        <w:t>ļāva</w:t>
      </w:r>
      <w:proofErr w:type="spellEnd"/>
      <w:r w:rsidRPr="00087F50">
        <w:t xml:space="preserve"> </w:t>
      </w:r>
      <w:proofErr w:type="spellStart"/>
      <w:r w:rsidRPr="00087F50">
        <w:t>sasniegt</w:t>
      </w:r>
      <w:proofErr w:type="spellEnd"/>
      <w:r w:rsidRPr="00087F50">
        <w:t xml:space="preserve"> </w:t>
      </w:r>
      <w:proofErr w:type="spellStart"/>
      <w:r w:rsidRPr="00087F50">
        <w:t>statistiski</w:t>
      </w:r>
      <w:proofErr w:type="spellEnd"/>
      <w:r w:rsidRPr="00087F50">
        <w:t xml:space="preserve"> </w:t>
      </w:r>
      <w:proofErr w:type="spellStart"/>
      <w:r w:rsidRPr="00087F50">
        <w:t>nozīmīgi</w:t>
      </w:r>
      <w:proofErr w:type="spellEnd"/>
      <w:r w:rsidRPr="00087F50">
        <w:t xml:space="preserve"> </w:t>
      </w:r>
      <w:proofErr w:type="spellStart"/>
      <w:r w:rsidRPr="00087F50">
        <w:t>daudz</w:t>
      </w:r>
      <w:proofErr w:type="spellEnd"/>
      <w:r w:rsidRPr="00087F50">
        <w:t xml:space="preserve"> </w:t>
      </w:r>
      <w:proofErr w:type="spellStart"/>
      <w:r w:rsidRPr="00087F50">
        <w:t>labākus</w:t>
      </w:r>
      <w:proofErr w:type="spellEnd"/>
      <w:r w:rsidRPr="00087F50">
        <w:t xml:space="preserve"> </w:t>
      </w:r>
      <w:proofErr w:type="spellStart"/>
      <w:r w:rsidRPr="00087F50">
        <w:t>rezultātus</w:t>
      </w:r>
      <w:proofErr w:type="spellEnd"/>
      <w:r w:rsidRPr="00087F50">
        <w:t xml:space="preserve"> par </w:t>
      </w:r>
      <w:proofErr w:type="spellStart"/>
      <w:r w:rsidRPr="00087F50">
        <w:t>vispārpieņemto</w:t>
      </w:r>
      <w:proofErr w:type="spellEnd"/>
      <w:r w:rsidRPr="00087F50">
        <w:t xml:space="preserve"> </w:t>
      </w:r>
      <w:proofErr w:type="spellStart"/>
      <w:r w:rsidRPr="00087F50">
        <w:t>allopurinola</w:t>
      </w:r>
      <w:proofErr w:type="spellEnd"/>
      <w:r w:rsidRPr="00087F50">
        <w:t xml:space="preserve"> </w:t>
      </w:r>
      <w:proofErr w:type="spellStart"/>
      <w:r w:rsidRPr="00087F50">
        <w:t>devu</w:t>
      </w:r>
      <w:proofErr w:type="spellEnd"/>
      <w:r w:rsidRPr="00087F50">
        <w:t xml:space="preserve"> 300 mg, </w:t>
      </w:r>
      <w:proofErr w:type="spellStart"/>
      <w:r w:rsidRPr="00087F50">
        <w:t>jo</w:t>
      </w:r>
      <w:proofErr w:type="spellEnd"/>
      <w:r w:rsidRPr="00087F50">
        <w:t xml:space="preserve"> </w:t>
      </w:r>
      <w:proofErr w:type="spellStart"/>
      <w:r w:rsidRPr="00087F50">
        <w:t>labāk</w:t>
      </w:r>
      <w:proofErr w:type="spellEnd"/>
      <w:r w:rsidRPr="00087F50">
        <w:t xml:space="preserve"> </w:t>
      </w:r>
      <w:proofErr w:type="spellStart"/>
      <w:r w:rsidRPr="00087F50">
        <w:t>spēja</w:t>
      </w:r>
      <w:proofErr w:type="spellEnd"/>
      <w:r w:rsidRPr="00087F50">
        <w:t xml:space="preserve"> </w:t>
      </w:r>
      <w:proofErr w:type="spellStart"/>
      <w:r w:rsidRPr="00087F50">
        <w:t>samazināt</w:t>
      </w:r>
      <w:proofErr w:type="spellEnd"/>
      <w:r w:rsidRPr="00087F50">
        <w:t xml:space="preserve"> </w:t>
      </w:r>
      <w:proofErr w:type="spellStart"/>
      <w:r w:rsidRPr="00087F50">
        <w:t>sUA</w:t>
      </w:r>
      <w:proofErr w:type="spellEnd"/>
      <w:r w:rsidRPr="00087F50">
        <w:t xml:space="preserve">, </w:t>
      </w:r>
      <w:proofErr w:type="spellStart"/>
      <w:r w:rsidRPr="00087F50">
        <w:t>līdz</w:t>
      </w:r>
      <w:proofErr w:type="spellEnd"/>
      <w:r w:rsidRPr="00087F50">
        <w:t xml:space="preserve"> tas bija </w:t>
      </w:r>
      <w:proofErr w:type="spellStart"/>
      <w:r w:rsidRPr="00087F50">
        <w:t>mazāks</w:t>
      </w:r>
      <w:proofErr w:type="spellEnd"/>
      <w:r w:rsidRPr="00087F50">
        <w:t xml:space="preserve"> par 6 mg/dl (357 µmol/l), un </w:t>
      </w:r>
      <w:proofErr w:type="spellStart"/>
      <w:r w:rsidRPr="00087F50">
        <w:t>saglabāt</w:t>
      </w:r>
      <w:proofErr w:type="spellEnd"/>
      <w:r w:rsidRPr="00087F50">
        <w:t xml:space="preserve"> </w:t>
      </w:r>
      <w:proofErr w:type="spellStart"/>
      <w:r w:rsidRPr="00087F50">
        <w:t>šādu</w:t>
      </w:r>
      <w:proofErr w:type="spellEnd"/>
      <w:r w:rsidRPr="00087F50">
        <w:t xml:space="preserve"> </w:t>
      </w:r>
      <w:proofErr w:type="spellStart"/>
      <w:r w:rsidRPr="00087F50">
        <w:t>līmeni</w:t>
      </w:r>
      <w:proofErr w:type="spellEnd"/>
      <w:r w:rsidRPr="00087F50">
        <w:t xml:space="preserve">. </w:t>
      </w:r>
    </w:p>
    <w:p w14:paraId="483F4B6F" w14:textId="77777777" w:rsidR="00A77DDF" w:rsidRPr="00087F50" w:rsidRDefault="00A77DDF" w:rsidP="00A77DDF">
      <w:pPr>
        <w:spacing w:after="0" w:line="259" w:lineRule="auto"/>
        <w:ind w:left="1" w:firstLine="0"/>
      </w:pPr>
      <w:r w:rsidRPr="00087F50">
        <w:t xml:space="preserve"> </w:t>
      </w:r>
    </w:p>
    <w:p w14:paraId="3F3DC953" w14:textId="77777777" w:rsidR="00A77DDF" w:rsidRPr="00087F50" w:rsidRDefault="00A77DDF" w:rsidP="00A77DDF">
      <w:pPr>
        <w:ind w:left="-3" w:right="9"/>
      </w:pPr>
      <w:r w:rsidRPr="00087F50">
        <w:t xml:space="preserve">2. </w:t>
      </w:r>
      <w:proofErr w:type="spellStart"/>
      <w:r w:rsidRPr="00087F50">
        <w:t>tabulā</w:t>
      </w:r>
      <w:proofErr w:type="spellEnd"/>
      <w:r w:rsidRPr="00087F50">
        <w:t xml:space="preserve"> ir </w:t>
      </w:r>
      <w:proofErr w:type="spellStart"/>
      <w:r w:rsidRPr="00087F50">
        <w:t>apkopoti</w:t>
      </w:r>
      <w:proofErr w:type="spellEnd"/>
      <w:r w:rsidRPr="00087F50">
        <w:t xml:space="preserve"> </w:t>
      </w:r>
      <w:proofErr w:type="spellStart"/>
      <w:r w:rsidRPr="00087F50">
        <w:t>primārie</w:t>
      </w:r>
      <w:proofErr w:type="spellEnd"/>
      <w:r w:rsidRPr="00087F50">
        <w:t xml:space="preserve"> </w:t>
      </w:r>
      <w:proofErr w:type="spellStart"/>
      <w:r w:rsidRPr="00087F50">
        <w:t>efektivitātes</w:t>
      </w:r>
      <w:proofErr w:type="spellEnd"/>
      <w:r w:rsidRPr="00087F50">
        <w:t xml:space="preserve"> </w:t>
      </w:r>
      <w:proofErr w:type="spellStart"/>
      <w:r w:rsidRPr="00087F50">
        <w:t>mērķa</w:t>
      </w:r>
      <w:proofErr w:type="spellEnd"/>
      <w:r w:rsidRPr="00087F50">
        <w:t xml:space="preserve"> </w:t>
      </w:r>
      <w:proofErr w:type="spellStart"/>
      <w:r w:rsidRPr="00087F50">
        <w:t>kritēriju</w:t>
      </w:r>
      <w:proofErr w:type="spellEnd"/>
      <w:r w:rsidRPr="00087F50">
        <w:t xml:space="preserve"> </w:t>
      </w:r>
      <w:proofErr w:type="spellStart"/>
      <w:r w:rsidRPr="00087F50">
        <w:t>rezultāti</w:t>
      </w:r>
      <w:proofErr w:type="spellEnd"/>
      <w:r w:rsidRPr="00087F50">
        <w:t xml:space="preserve">. </w:t>
      </w:r>
    </w:p>
    <w:p w14:paraId="42FECF51" w14:textId="75F2B0A4" w:rsidR="00A77DDF" w:rsidRPr="00087F50" w:rsidRDefault="00A77DDF" w:rsidP="00A77DDF">
      <w:pPr>
        <w:spacing w:after="0" w:line="259" w:lineRule="auto"/>
        <w:ind w:left="1" w:firstLine="0"/>
      </w:pPr>
    </w:p>
    <w:p w14:paraId="4FF610E5" w14:textId="5EED487A" w:rsidR="00A77DDF" w:rsidRPr="00890F7A" w:rsidRDefault="00A77DDF" w:rsidP="00890F7A">
      <w:pPr>
        <w:spacing w:after="11" w:line="248" w:lineRule="auto"/>
        <w:ind w:left="0" w:right="9" w:firstLine="0"/>
        <w:rPr>
          <w:bCs/>
        </w:rPr>
      </w:pPr>
      <w:r w:rsidRPr="00890F7A">
        <w:rPr>
          <w:bCs/>
        </w:rPr>
        <w:t>2. tabula</w:t>
      </w:r>
      <w:r w:rsidR="007E078A" w:rsidRPr="00890F7A">
        <w:rPr>
          <w:bCs/>
        </w:rPr>
        <w:t xml:space="preserve">. </w:t>
      </w:r>
      <w:proofErr w:type="spellStart"/>
      <w:r w:rsidRPr="00890F7A">
        <w:rPr>
          <w:bCs/>
        </w:rPr>
        <w:t>To</w:t>
      </w:r>
      <w:proofErr w:type="spellEnd"/>
      <w:r w:rsidRPr="00890F7A">
        <w:rPr>
          <w:bCs/>
        </w:rPr>
        <w:t xml:space="preserve"> </w:t>
      </w:r>
      <w:proofErr w:type="spellStart"/>
      <w:r w:rsidRPr="00890F7A">
        <w:rPr>
          <w:bCs/>
        </w:rPr>
        <w:t>pacientu</w:t>
      </w:r>
      <w:proofErr w:type="spellEnd"/>
      <w:r w:rsidRPr="00890F7A">
        <w:rPr>
          <w:bCs/>
        </w:rPr>
        <w:t xml:space="preserve"> </w:t>
      </w:r>
      <w:proofErr w:type="spellStart"/>
      <w:r w:rsidRPr="00890F7A">
        <w:rPr>
          <w:bCs/>
        </w:rPr>
        <w:t>īpatsvars</w:t>
      </w:r>
      <w:proofErr w:type="spellEnd"/>
      <w:r w:rsidRPr="00890F7A">
        <w:rPr>
          <w:bCs/>
        </w:rPr>
        <w:t xml:space="preserve">, </w:t>
      </w:r>
      <w:proofErr w:type="spellStart"/>
      <w:r w:rsidRPr="00890F7A">
        <w:rPr>
          <w:bCs/>
        </w:rPr>
        <w:t>kuriem</w:t>
      </w:r>
      <w:proofErr w:type="spellEnd"/>
      <w:r w:rsidRPr="00890F7A">
        <w:rPr>
          <w:bCs/>
        </w:rPr>
        <w:t xml:space="preserve"> </w:t>
      </w:r>
      <w:proofErr w:type="spellStart"/>
      <w:r w:rsidRPr="00890F7A">
        <w:rPr>
          <w:bCs/>
        </w:rPr>
        <w:t>iepriekšējās</w:t>
      </w:r>
      <w:proofErr w:type="spellEnd"/>
      <w:r w:rsidRPr="00890F7A">
        <w:rPr>
          <w:bCs/>
        </w:rPr>
        <w:t xml:space="preserve"> </w:t>
      </w:r>
      <w:proofErr w:type="spellStart"/>
      <w:r w:rsidRPr="00890F7A">
        <w:rPr>
          <w:bCs/>
        </w:rPr>
        <w:t>trijās</w:t>
      </w:r>
      <w:proofErr w:type="spellEnd"/>
      <w:r w:rsidRPr="00890F7A">
        <w:rPr>
          <w:bCs/>
        </w:rPr>
        <w:t xml:space="preserve"> </w:t>
      </w:r>
      <w:proofErr w:type="spellStart"/>
      <w:r w:rsidRPr="00890F7A">
        <w:rPr>
          <w:bCs/>
        </w:rPr>
        <w:t>ikmēneša</w:t>
      </w:r>
      <w:proofErr w:type="spellEnd"/>
      <w:r w:rsidRPr="00890F7A">
        <w:rPr>
          <w:bCs/>
        </w:rPr>
        <w:t xml:space="preserve"> </w:t>
      </w:r>
      <w:proofErr w:type="spellStart"/>
      <w:r w:rsidRPr="00890F7A">
        <w:rPr>
          <w:bCs/>
        </w:rPr>
        <w:t>vizītēs</w:t>
      </w:r>
      <w:proofErr w:type="spellEnd"/>
      <w:r w:rsidRPr="00890F7A">
        <w:rPr>
          <w:bCs/>
        </w:rPr>
        <w:t xml:space="preserve"> </w:t>
      </w:r>
      <w:proofErr w:type="spellStart"/>
      <w:r w:rsidRPr="00890F7A">
        <w:rPr>
          <w:bCs/>
        </w:rPr>
        <w:t>serumā</w:t>
      </w:r>
      <w:proofErr w:type="spellEnd"/>
      <w:r w:rsidRPr="00890F7A">
        <w:rPr>
          <w:bCs/>
        </w:rPr>
        <w:t xml:space="preserve"> </w:t>
      </w:r>
      <w:proofErr w:type="spellStart"/>
      <w:r w:rsidRPr="00890F7A">
        <w:rPr>
          <w:bCs/>
        </w:rPr>
        <w:t>konstatētais</w:t>
      </w:r>
      <w:proofErr w:type="spellEnd"/>
      <w:r w:rsidRPr="00890F7A">
        <w:rPr>
          <w:bCs/>
        </w:rPr>
        <w:t xml:space="preserve"> </w:t>
      </w:r>
      <w:proofErr w:type="spellStart"/>
      <w:r w:rsidRPr="00890F7A">
        <w:rPr>
          <w:bCs/>
        </w:rPr>
        <w:t>urīnskābes</w:t>
      </w:r>
      <w:proofErr w:type="spellEnd"/>
      <w:r w:rsidRPr="00890F7A">
        <w:rPr>
          <w:bCs/>
        </w:rPr>
        <w:t xml:space="preserve"> </w:t>
      </w:r>
      <w:proofErr w:type="spellStart"/>
      <w:r w:rsidRPr="00890F7A">
        <w:rPr>
          <w:bCs/>
        </w:rPr>
        <w:t>līmenis</w:t>
      </w:r>
      <w:proofErr w:type="spellEnd"/>
      <w:r w:rsidRPr="00890F7A">
        <w:rPr>
          <w:bCs/>
        </w:rPr>
        <w:t xml:space="preserve"> bija &lt; 6,0 mg/dl (357 µmol/l) </w:t>
      </w:r>
    </w:p>
    <w:tbl>
      <w:tblPr>
        <w:tblStyle w:val="TableGrid"/>
        <w:tblW w:w="7790" w:type="dxa"/>
        <w:tblInd w:w="699" w:type="dxa"/>
        <w:tblCellMar>
          <w:top w:w="9" w:type="dxa"/>
          <w:left w:w="113" w:type="dxa"/>
          <w:bottom w:w="7" w:type="dxa"/>
          <w:right w:w="84" w:type="dxa"/>
        </w:tblCellMar>
        <w:tblLook w:val="04A0" w:firstRow="1" w:lastRow="0" w:firstColumn="1" w:lastColumn="0" w:noHBand="0" w:noVBand="1"/>
      </w:tblPr>
      <w:tblGrid>
        <w:gridCol w:w="1659"/>
        <w:gridCol w:w="2435"/>
        <w:gridCol w:w="2308"/>
        <w:gridCol w:w="1388"/>
      </w:tblGrid>
      <w:tr w:rsidR="00A77DDF" w:rsidRPr="00087F50" w14:paraId="6AFDC5AE" w14:textId="77777777" w:rsidTr="00890F7A">
        <w:trPr>
          <w:trHeight w:val="770"/>
        </w:trPr>
        <w:tc>
          <w:tcPr>
            <w:tcW w:w="1659" w:type="dxa"/>
            <w:tcBorders>
              <w:top w:val="single" w:sz="4" w:space="0" w:color="000000"/>
              <w:left w:val="single" w:sz="8" w:space="0" w:color="000000"/>
              <w:bottom w:val="single" w:sz="4" w:space="0" w:color="000000"/>
              <w:right w:val="single" w:sz="4" w:space="0" w:color="000000"/>
            </w:tcBorders>
          </w:tcPr>
          <w:p w14:paraId="2DF30812" w14:textId="77777777" w:rsidR="00A77DDF" w:rsidRPr="00087F50" w:rsidRDefault="00A77DDF" w:rsidP="00A77DDF">
            <w:pPr>
              <w:spacing w:after="0" w:line="259" w:lineRule="auto"/>
              <w:ind w:left="19" w:firstLine="0"/>
              <w:jc w:val="center"/>
            </w:pPr>
            <w:r w:rsidRPr="00087F50">
              <w:rPr>
                <w:b/>
              </w:rPr>
              <w:t xml:space="preserve"> </w:t>
            </w:r>
          </w:p>
          <w:p w14:paraId="5F895D13" w14:textId="77777777" w:rsidR="00A77DDF" w:rsidRPr="00087F50" w:rsidRDefault="00A77DDF" w:rsidP="00A77DDF">
            <w:pPr>
              <w:spacing w:after="0" w:line="259" w:lineRule="auto"/>
              <w:ind w:left="0" w:right="34" w:firstLine="0"/>
              <w:jc w:val="center"/>
            </w:pPr>
            <w:proofErr w:type="spellStart"/>
            <w:r w:rsidRPr="00087F50">
              <w:rPr>
                <w:b/>
              </w:rPr>
              <w:t>Pētījums</w:t>
            </w:r>
            <w:proofErr w:type="spellEnd"/>
            <w:r w:rsidRPr="00087F50">
              <w:t xml:space="preserve"> </w:t>
            </w:r>
          </w:p>
        </w:tc>
        <w:tc>
          <w:tcPr>
            <w:tcW w:w="2435" w:type="dxa"/>
            <w:tcBorders>
              <w:top w:val="single" w:sz="4" w:space="0" w:color="000000"/>
              <w:left w:val="single" w:sz="4" w:space="0" w:color="000000"/>
              <w:bottom w:val="single" w:sz="4" w:space="0" w:color="000000"/>
              <w:right w:val="single" w:sz="4" w:space="0" w:color="000000"/>
            </w:tcBorders>
            <w:vAlign w:val="bottom"/>
          </w:tcPr>
          <w:p w14:paraId="33C48722" w14:textId="46FA0AFA" w:rsidR="00A77DDF" w:rsidRPr="00087F50" w:rsidRDefault="00940720" w:rsidP="00A77DDF">
            <w:pPr>
              <w:spacing w:after="0" w:line="259" w:lineRule="auto"/>
              <w:ind w:left="91" w:right="67" w:firstLine="0"/>
              <w:jc w:val="center"/>
            </w:pPr>
            <w:proofErr w:type="spellStart"/>
            <w:r w:rsidRPr="00087F50">
              <w:rPr>
                <w:b/>
                <w:lang w:val="lv-LV"/>
              </w:rPr>
              <w:t>Febuksostats</w:t>
            </w:r>
            <w:proofErr w:type="spellEnd"/>
            <w:r w:rsidRPr="00087F50">
              <w:t xml:space="preserve"> </w:t>
            </w:r>
            <w:r w:rsidR="00A77DDF" w:rsidRPr="00087F50">
              <w:rPr>
                <w:b/>
              </w:rPr>
              <w:t>80 mg QD</w:t>
            </w:r>
            <w:r w:rsidR="00A77DDF" w:rsidRPr="00087F50">
              <w:t xml:space="preserve"> </w:t>
            </w:r>
          </w:p>
        </w:tc>
        <w:tc>
          <w:tcPr>
            <w:tcW w:w="2308" w:type="dxa"/>
            <w:tcBorders>
              <w:top w:val="single" w:sz="4" w:space="0" w:color="000000"/>
              <w:left w:val="single" w:sz="4" w:space="0" w:color="000000"/>
              <w:bottom w:val="single" w:sz="4" w:space="0" w:color="000000"/>
              <w:right w:val="single" w:sz="4" w:space="0" w:color="000000"/>
            </w:tcBorders>
            <w:vAlign w:val="bottom"/>
          </w:tcPr>
          <w:p w14:paraId="1580E60A" w14:textId="0183EACC" w:rsidR="00A77DDF" w:rsidRPr="00087F50" w:rsidRDefault="00940720" w:rsidP="00A77DDF">
            <w:pPr>
              <w:spacing w:after="0" w:line="259" w:lineRule="auto"/>
              <w:ind w:left="0" w:firstLine="0"/>
              <w:jc w:val="center"/>
            </w:pPr>
            <w:proofErr w:type="spellStart"/>
            <w:r w:rsidRPr="00087F50">
              <w:rPr>
                <w:b/>
                <w:lang w:val="lv-LV"/>
              </w:rPr>
              <w:t>Febuksostats</w:t>
            </w:r>
            <w:proofErr w:type="spellEnd"/>
            <w:r w:rsidR="00A77DDF" w:rsidRPr="00087F50">
              <w:rPr>
                <w:b/>
              </w:rPr>
              <w:t>120 mg QD</w:t>
            </w:r>
            <w:r w:rsidR="00A77DDF" w:rsidRPr="00087F50">
              <w:t xml:space="preserve"> </w:t>
            </w:r>
          </w:p>
        </w:tc>
        <w:tc>
          <w:tcPr>
            <w:tcW w:w="1388" w:type="dxa"/>
            <w:tcBorders>
              <w:top w:val="single" w:sz="4" w:space="0" w:color="000000"/>
              <w:left w:val="single" w:sz="4" w:space="0" w:color="000000"/>
              <w:bottom w:val="single" w:sz="4" w:space="0" w:color="000000"/>
              <w:right w:val="single" w:sz="4" w:space="0" w:color="000000"/>
            </w:tcBorders>
          </w:tcPr>
          <w:p w14:paraId="0D05DA70" w14:textId="77777777" w:rsidR="00A77DDF" w:rsidRPr="00087F50" w:rsidRDefault="00A77DDF" w:rsidP="00A77DDF">
            <w:pPr>
              <w:spacing w:after="0" w:line="259" w:lineRule="auto"/>
              <w:ind w:left="0" w:right="17" w:firstLine="0"/>
              <w:jc w:val="center"/>
            </w:pPr>
            <w:proofErr w:type="spellStart"/>
            <w:r w:rsidRPr="00087F50">
              <w:rPr>
                <w:b/>
              </w:rPr>
              <w:t>Allopurinols</w:t>
            </w:r>
            <w:proofErr w:type="spellEnd"/>
            <w:r w:rsidRPr="00087F50">
              <w:rPr>
                <w:b/>
              </w:rPr>
              <w:t xml:space="preserve"> </w:t>
            </w:r>
          </w:p>
          <w:p w14:paraId="3499B522" w14:textId="77777777" w:rsidR="00A77DDF" w:rsidRPr="00087F50" w:rsidRDefault="00A77DDF" w:rsidP="00A77DDF">
            <w:pPr>
              <w:spacing w:after="0" w:line="259" w:lineRule="auto"/>
              <w:ind w:left="0" w:right="15" w:firstLine="0"/>
              <w:jc w:val="center"/>
            </w:pPr>
            <w:r w:rsidRPr="00087F50">
              <w:rPr>
                <w:b/>
              </w:rPr>
              <w:t xml:space="preserve">300 / </w:t>
            </w:r>
          </w:p>
          <w:p w14:paraId="07C6A6E8" w14:textId="77777777" w:rsidR="00A77DDF" w:rsidRPr="00087F50" w:rsidRDefault="00A77DDF" w:rsidP="00A77DDF">
            <w:pPr>
              <w:spacing w:after="0" w:line="259" w:lineRule="auto"/>
              <w:ind w:left="0" w:right="14" w:firstLine="0"/>
              <w:jc w:val="center"/>
            </w:pPr>
            <w:r w:rsidRPr="00087F50">
              <w:rPr>
                <w:b/>
              </w:rPr>
              <w:t>100 mg QD</w:t>
            </w:r>
            <w:r w:rsidRPr="00087F50">
              <w:rPr>
                <w:b/>
                <w:vertAlign w:val="superscript"/>
              </w:rPr>
              <w:t>1</w:t>
            </w:r>
            <w:r w:rsidRPr="00087F50">
              <w:t xml:space="preserve"> </w:t>
            </w:r>
          </w:p>
        </w:tc>
      </w:tr>
      <w:tr w:rsidR="00A77DDF" w:rsidRPr="00087F50" w14:paraId="77A9ADC9" w14:textId="77777777" w:rsidTr="00890F7A">
        <w:trPr>
          <w:trHeight w:val="516"/>
        </w:trPr>
        <w:tc>
          <w:tcPr>
            <w:tcW w:w="1659" w:type="dxa"/>
            <w:tcBorders>
              <w:top w:val="single" w:sz="4" w:space="0" w:color="000000"/>
              <w:left w:val="single" w:sz="8" w:space="0" w:color="000000"/>
              <w:bottom w:val="single" w:sz="4" w:space="0" w:color="000000"/>
              <w:right w:val="single" w:sz="4" w:space="0" w:color="000000"/>
            </w:tcBorders>
          </w:tcPr>
          <w:p w14:paraId="24959548" w14:textId="77777777" w:rsidR="00A77DDF" w:rsidRPr="00087F50" w:rsidRDefault="00A77DDF" w:rsidP="00A77DDF">
            <w:pPr>
              <w:spacing w:after="0" w:line="259" w:lineRule="auto"/>
              <w:ind w:left="0" w:right="38" w:firstLine="0"/>
              <w:jc w:val="center"/>
            </w:pPr>
            <w:r w:rsidRPr="00087F50">
              <w:t xml:space="preserve">APEX  </w:t>
            </w:r>
          </w:p>
          <w:p w14:paraId="198CA262" w14:textId="77777777" w:rsidR="00A77DDF" w:rsidRPr="00087F50" w:rsidRDefault="00A77DDF" w:rsidP="00A77DDF">
            <w:pPr>
              <w:spacing w:after="0" w:line="259" w:lineRule="auto"/>
              <w:ind w:left="0" w:right="32" w:firstLine="0"/>
              <w:jc w:val="center"/>
            </w:pPr>
            <w:r w:rsidRPr="00087F50">
              <w:t xml:space="preserve">(28 </w:t>
            </w:r>
            <w:proofErr w:type="spellStart"/>
            <w:r w:rsidRPr="00087F50">
              <w:t>nedēļas</w:t>
            </w:r>
            <w:proofErr w:type="spellEnd"/>
            <w:r w:rsidRPr="00087F50">
              <w:t xml:space="preserve">) </w:t>
            </w:r>
          </w:p>
        </w:tc>
        <w:tc>
          <w:tcPr>
            <w:tcW w:w="2435" w:type="dxa"/>
            <w:tcBorders>
              <w:top w:val="single" w:sz="4" w:space="0" w:color="000000"/>
              <w:left w:val="single" w:sz="4" w:space="0" w:color="000000"/>
              <w:bottom w:val="single" w:sz="4" w:space="0" w:color="000000"/>
              <w:right w:val="single" w:sz="4" w:space="0" w:color="000000"/>
            </w:tcBorders>
          </w:tcPr>
          <w:p w14:paraId="433E380F" w14:textId="77777777" w:rsidR="00A77DDF" w:rsidRPr="00087F50" w:rsidRDefault="00A77DDF" w:rsidP="00A77DDF">
            <w:pPr>
              <w:spacing w:after="0" w:line="259" w:lineRule="auto"/>
              <w:ind w:left="158" w:right="76" w:firstLine="0"/>
              <w:jc w:val="center"/>
            </w:pPr>
            <w:r w:rsidRPr="00087F50">
              <w:t>48 %</w:t>
            </w:r>
            <w:r w:rsidRPr="00087F50">
              <w:rPr>
                <w:vertAlign w:val="superscript"/>
              </w:rPr>
              <w:t xml:space="preserve"> *</w:t>
            </w:r>
            <w:r w:rsidRPr="00087F50">
              <w:t xml:space="preserve">  (n=262) </w:t>
            </w:r>
          </w:p>
        </w:tc>
        <w:tc>
          <w:tcPr>
            <w:tcW w:w="2308" w:type="dxa"/>
            <w:tcBorders>
              <w:top w:val="single" w:sz="4" w:space="0" w:color="000000"/>
              <w:left w:val="single" w:sz="4" w:space="0" w:color="000000"/>
              <w:bottom w:val="single" w:sz="4" w:space="0" w:color="000000"/>
              <w:right w:val="single" w:sz="4" w:space="0" w:color="000000"/>
            </w:tcBorders>
          </w:tcPr>
          <w:p w14:paraId="44F9629A" w14:textId="77777777" w:rsidR="00A77DDF" w:rsidRPr="00087F50" w:rsidRDefault="00A77DDF" w:rsidP="00A77DDF">
            <w:pPr>
              <w:spacing w:after="47" w:line="259" w:lineRule="auto"/>
              <w:ind w:left="0" w:right="34" w:firstLine="0"/>
              <w:jc w:val="center"/>
            </w:pPr>
            <w:r w:rsidRPr="00087F50">
              <w:t>65 %</w:t>
            </w:r>
            <w:r w:rsidRPr="00087F50">
              <w:rPr>
                <w:sz w:val="14"/>
              </w:rPr>
              <w:t xml:space="preserve"> *, #</w:t>
            </w:r>
            <w:r w:rsidRPr="00087F50">
              <w:t xml:space="preserve"> </w:t>
            </w:r>
          </w:p>
          <w:p w14:paraId="2E488EE7" w14:textId="77777777" w:rsidR="00A77DDF" w:rsidRPr="00087F50" w:rsidRDefault="00A77DDF" w:rsidP="00A77DDF">
            <w:pPr>
              <w:spacing w:after="0" w:line="259" w:lineRule="auto"/>
              <w:ind w:left="0" w:right="35" w:firstLine="0"/>
              <w:jc w:val="center"/>
            </w:pPr>
            <w:r w:rsidRPr="00087F50">
              <w:t xml:space="preserve">(n=269) </w:t>
            </w:r>
          </w:p>
        </w:tc>
        <w:tc>
          <w:tcPr>
            <w:tcW w:w="1388" w:type="dxa"/>
            <w:tcBorders>
              <w:top w:val="single" w:sz="4" w:space="0" w:color="000000"/>
              <w:left w:val="single" w:sz="4" w:space="0" w:color="000000"/>
              <w:bottom w:val="single" w:sz="4" w:space="0" w:color="000000"/>
              <w:right w:val="single" w:sz="4" w:space="0" w:color="000000"/>
            </w:tcBorders>
          </w:tcPr>
          <w:p w14:paraId="309F0F68" w14:textId="77777777" w:rsidR="00A77DDF" w:rsidRPr="00087F50" w:rsidRDefault="00A77DDF" w:rsidP="00A77DDF">
            <w:pPr>
              <w:spacing w:after="0" w:line="259" w:lineRule="auto"/>
              <w:ind w:left="0" w:right="18" w:firstLine="0"/>
              <w:jc w:val="center"/>
            </w:pPr>
            <w:r w:rsidRPr="00087F50">
              <w:t xml:space="preserve">22 % </w:t>
            </w:r>
          </w:p>
          <w:p w14:paraId="611EDA4D" w14:textId="77777777" w:rsidR="00A77DDF" w:rsidRPr="00087F50" w:rsidRDefault="00A77DDF" w:rsidP="00A77DDF">
            <w:pPr>
              <w:spacing w:after="0" w:line="259" w:lineRule="auto"/>
              <w:ind w:left="0" w:right="15" w:firstLine="0"/>
              <w:jc w:val="center"/>
            </w:pPr>
            <w:r w:rsidRPr="00087F50">
              <w:t xml:space="preserve">(n=268) </w:t>
            </w:r>
          </w:p>
        </w:tc>
      </w:tr>
      <w:tr w:rsidR="00A77DDF" w:rsidRPr="00087F50" w14:paraId="51AEED37" w14:textId="77777777" w:rsidTr="00890F7A">
        <w:trPr>
          <w:trHeight w:val="514"/>
        </w:trPr>
        <w:tc>
          <w:tcPr>
            <w:tcW w:w="1659" w:type="dxa"/>
            <w:tcBorders>
              <w:top w:val="single" w:sz="4" w:space="0" w:color="000000"/>
              <w:left w:val="single" w:sz="8" w:space="0" w:color="000000"/>
              <w:bottom w:val="single" w:sz="4" w:space="0" w:color="000000"/>
              <w:right w:val="single" w:sz="4" w:space="0" w:color="000000"/>
            </w:tcBorders>
          </w:tcPr>
          <w:p w14:paraId="437CF4DA" w14:textId="77777777" w:rsidR="00A77DDF" w:rsidRPr="00087F50" w:rsidRDefault="00A77DDF" w:rsidP="00A77DDF">
            <w:pPr>
              <w:spacing w:after="0" w:line="259" w:lineRule="auto"/>
              <w:ind w:left="0" w:right="36" w:firstLine="0"/>
              <w:jc w:val="center"/>
            </w:pPr>
            <w:r w:rsidRPr="00087F50">
              <w:lastRenderedPageBreak/>
              <w:t xml:space="preserve">FACT  </w:t>
            </w:r>
          </w:p>
          <w:p w14:paraId="2BCA1A5A" w14:textId="77777777" w:rsidR="00A77DDF" w:rsidRPr="00087F50" w:rsidRDefault="00A77DDF" w:rsidP="00A77DDF">
            <w:pPr>
              <w:spacing w:after="0" w:line="259" w:lineRule="auto"/>
              <w:ind w:left="0" w:right="32" w:firstLine="0"/>
              <w:jc w:val="center"/>
            </w:pPr>
            <w:r w:rsidRPr="00087F50">
              <w:t xml:space="preserve">(52 </w:t>
            </w:r>
            <w:proofErr w:type="spellStart"/>
            <w:r w:rsidRPr="00087F50">
              <w:t>nedēļas</w:t>
            </w:r>
            <w:proofErr w:type="spellEnd"/>
            <w:r w:rsidRPr="00087F50">
              <w:t xml:space="preserve">) </w:t>
            </w:r>
          </w:p>
        </w:tc>
        <w:tc>
          <w:tcPr>
            <w:tcW w:w="2435" w:type="dxa"/>
            <w:tcBorders>
              <w:top w:val="single" w:sz="4" w:space="0" w:color="000000"/>
              <w:left w:val="single" w:sz="4" w:space="0" w:color="000000"/>
              <w:bottom w:val="single" w:sz="4" w:space="0" w:color="000000"/>
              <w:right w:val="single" w:sz="4" w:space="0" w:color="000000"/>
            </w:tcBorders>
          </w:tcPr>
          <w:p w14:paraId="0361A94B" w14:textId="77777777" w:rsidR="00A77DDF" w:rsidRPr="00087F50" w:rsidRDefault="00A77DDF" w:rsidP="00A77DDF">
            <w:pPr>
              <w:spacing w:after="5" w:line="259" w:lineRule="auto"/>
              <w:ind w:left="0" w:right="29" w:firstLine="0"/>
              <w:jc w:val="center"/>
            </w:pPr>
            <w:r w:rsidRPr="00087F50">
              <w:t>53 %</w:t>
            </w:r>
            <w:r w:rsidRPr="00087F50">
              <w:rPr>
                <w:vertAlign w:val="superscript"/>
              </w:rPr>
              <w:t>*</w:t>
            </w:r>
            <w:r w:rsidRPr="00087F50">
              <w:t xml:space="preserve">  </w:t>
            </w:r>
          </w:p>
          <w:p w14:paraId="54A8575F" w14:textId="77777777" w:rsidR="00A77DDF" w:rsidRPr="00087F50" w:rsidRDefault="00A77DDF" w:rsidP="00A77DDF">
            <w:pPr>
              <w:spacing w:after="0" w:line="259" w:lineRule="auto"/>
              <w:ind w:left="0" w:right="30" w:firstLine="0"/>
              <w:jc w:val="center"/>
            </w:pPr>
            <w:r w:rsidRPr="00087F50">
              <w:t xml:space="preserve">(n=255) </w:t>
            </w:r>
          </w:p>
        </w:tc>
        <w:tc>
          <w:tcPr>
            <w:tcW w:w="2308" w:type="dxa"/>
            <w:tcBorders>
              <w:top w:val="single" w:sz="4" w:space="0" w:color="000000"/>
              <w:left w:val="single" w:sz="4" w:space="0" w:color="000000"/>
              <w:bottom w:val="single" w:sz="4" w:space="0" w:color="000000"/>
              <w:right w:val="single" w:sz="4" w:space="0" w:color="000000"/>
            </w:tcBorders>
          </w:tcPr>
          <w:p w14:paraId="592CA908" w14:textId="77777777" w:rsidR="00A77DDF" w:rsidRPr="00087F50" w:rsidRDefault="00A77DDF" w:rsidP="00A77DDF">
            <w:pPr>
              <w:spacing w:after="43" w:line="259" w:lineRule="auto"/>
              <w:ind w:left="0" w:right="29" w:firstLine="0"/>
              <w:jc w:val="center"/>
            </w:pPr>
            <w:r w:rsidRPr="00087F50">
              <w:t>62 %</w:t>
            </w:r>
            <w:r w:rsidRPr="00087F50">
              <w:rPr>
                <w:sz w:val="14"/>
              </w:rPr>
              <w:t xml:space="preserve">*  </w:t>
            </w:r>
          </w:p>
          <w:p w14:paraId="215D89B9" w14:textId="77777777" w:rsidR="00A77DDF" w:rsidRPr="00087F50" w:rsidRDefault="00A77DDF" w:rsidP="00A77DDF">
            <w:pPr>
              <w:spacing w:after="0" w:line="259" w:lineRule="auto"/>
              <w:ind w:left="0" w:right="35" w:firstLine="0"/>
              <w:jc w:val="center"/>
            </w:pPr>
            <w:r w:rsidRPr="00087F50">
              <w:t xml:space="preserve">(n=250)  </w:t>
            </w:r>
          </w:p>
        </w:tc>
        <w:tc>
          <w:tcPr>
            <w:tcW w:w="1388" w:type="dxa"/>
            <w:tcBorders>
              <w:top w:val="single" w:sz="4" w:space="0" w:color="000000"/>
              <w:left w:val="single" w:sz="4" w:space="0" w:color="000000"/>
              <w:bottom w:val="single" w:sz="4" w:space="0" w:color="000000"/>
              <w:right w:val="single" w:sz="4" w:space="0" w:color="000000"/>
            </w:tcBorders>
          </w:tcPr>
          <w:p w14:paraId="1C7954AD" w14:textId="77777777" w:rsidR="00A77DDF" w:rsidRPr="00087F50" w:rsidRDefault="00A77DDF" w:rsidP="00A77DDF">
            <w:pPr>
              <w:spacing w:after="0" w:line="259" w:lineRule="auto"/>
              <w:ind w:left="0" w:right="18" w:firstLine="0"/>
              <w:jc w:val="center"/>
            </w:pPr>
            <w:r w:rsidRPr="00087F50">
              <w:t xml:space="preserve">21 %  </w:t>
            </w:r>
          </w:p>
          <w:p w14:paraId="75B23BD9" w14:textId="77777777" w:rsidR="00A77DDF" w:rsidRPr="00087F50" w:rsidRDefault="00A77DDF" w:rsidP="00A77DDF">
            <w:pPr>
              <w:spacing w:after="0" w:line="259" w:lineRule="auto"/>
              <w:ind w:left="0" w:right="15" w:firstLine="0"/>
              <w:jc w:val="center"/>
            </w:pPr>
            <w:r w:rsidRPr="00087F50">
              <w:t xml:space="preserve">(n=251) </w:t>
            </w:r>
          </w:p>
        </w:tc>
      </w:tr>
      <w:tr w:rsidR="00A77DDF" w:rsidRPr="00087F50" w14:paraId="533E4D5B" w14:textId="77777777" w:rsidTr="00890F7A">
        <w:trPr>
          <w:trHeight w:val="516"/>
        </w:trPr>
        <w:tc>
          <w:tcPr>
            <w:tcW w:w="1659" w:type="dxa"/>
            <w:tcBorders>
              <w:top w:val="single" w:sz="4" w:space="0" w:color="000000"/>
              <w:left w:val="single" w:sz="8" w:space="0" w:color="000000"/>
              <w:bottom w:val="single" w:sz="4" w:space="0" w:color="000000"/>
              <w:right w:val="single" w:sz="4" w:space="0" w:color="000000"/>
            </w:tcBorders>
          </w:tcPr>
          <w:p w14:paraId="3ECF3AB6" w14:textId="77777777" w:rsidR="00A77DDF" w:rsidRPr="00087F50" w:rsidRDefault="00A77DDF" w:rsidP="00A77DDF">
            <w:pPr>
              <w:spacing w:after="0" w:line="259" w:lineRule="auto"/>
              <w:ind w:left="0" w:firstLine="0"/>
              <w:jc w:val="center"/>
            </w:pPr>
            <w:proofErr w:type="spellStart"/>
            <w:r w:rsidRPr="00087F50">
              <w:t>Kombinētie</w:t>
            </w:r>
            <w:proofErr w:type="spellEnd"/>
            <w:r w:rsidRPr="00087F50">
              <w:t xml:space="preserve"> </w:t>
            </w:r>
            <w:proofErr w:type="spellStart"/>
            <w:r w:rsidRPr="00087F50">
              <w:t>rezultāti</w:t>
            </w:r>
            <w:proofErr w:type="spellEnd"/>
            <w:r w:rsidRPr="00087F50">
              <w:t xml:space="preserve"> </w:t>
            </w:r>
          </w:p>
        </w:tc>
        <w:tc>
          <w:tcPr>
            <w:tcW w:w="2435" w:type="dxa"/>
            <w:tcBorders>
              <w:top w:val="single" w:sz="4" w:space="0" w:color="000000"/>
              <w:left w:val="single" w:sz="4" w:space="0" w:color="000000"/>
              <w:bottom w:val="single" w:sz="4" w:space="0" w:color="000000"/>
              <w:right w:val="single" w:sz="4" w:space="0" w:color="000000"/>
            </w:tcBorders>
          </w:tcPr>
          <w:p w14:paraId="2F0C28E4" w14:textId="77777777" w:rsidR="00A77DDF" w:rsidRPr="00087F50" w:rsidRDefault="00A77DDF" w:rsidP="00A77DDF">
            <w:pPr>
              <w:spacing w:after="10" w:line="259" w:lineRule="auto"/>
              <w:ind w:left="0" w:right="29" w:firstLine="0"/>
              <w:jc w:val="center"/>
            </w:pPr>
            <w:r w:rsidRPr="00087F50">
              <w:t>51 %</w:t>
            </w:r>
            <w:r w:rsidRPr="00087F50">
              <w:rPr>
                <w:vertAlign w:val="superscript"/>
              </w:rPr>
              <w:t>*</w:t>
            </w:r>
            <w:r w:rsidRPr="00087F50">
              <w:t xml:space="preserve"> </w:t>
            </w:r>
          </w:p>
          <w:p w14:paraId="00898554" w14:textId="77777777" w:rsidR="00A77DDF" w:rsidRPr="00087F50" w:rsidRDefault="00A77DDF" w:rsidP="00A77DDF">
            <w:pPr>
              <w:spacing w:after="0" w:line="259" w:lineRule="auto"/>
              <w:ind w:left="0" w:right="30" w:firstLine="0"/>
              <w:jc w:val="center"/>
            </w:pPr>
            <w:r w:rsidRPr="00087F50">
              <w:t xml:space="preserve">(n=517) </w:t>
            </w:r>
          </w:p>
        </w:tc>
        <w:tc>
          <w:tcPr>
            <w:tcW w:w="2308" w:type="dxa"/>
            <w:tcBorders>
              <w:top w:val="single" w:sz="4" w:space="0" w:color="000000"/>
              <w:left w:val="single" w:sz="4" w:space="0" w:color="000000"/>
              <w:bottom w:val="single" w:sz="4" w:space="0" w:color="000000"/>
              <w:right w:val="single" w:sz="4" w:space="0" w:color="000000"/>
            </w:tcBorders>
          </w:tcPr>
          <w:p w14:paraId="36CC9A78" w14:textId="77777777" w:rsidR="00A77DDF" w:rsidRPr="00087F50" w:rsidRDefault="00A77DDF" w:rsidP="00A77DDF">
            <w:pPr>
              <w:spacing w:after="0" w:line="259" w:lineRule="auto"/>
              <w:ind w:left="0" w:firstLine="0"/>
              <w:jc w:val="center"/>
            </w:pPr>
            <w:r w:rsidRPr="00087F50">
              <w:t>63 %</w:t>
            </w:r>
            <w:r w:rsidRPr="00087F50">
              <w:rPr>
                <w:vertAlign w:val="superscript"/>
              </w:rPr>
              <w:t>*, #</w:t>
            </w:r>
            <w:r w:rsidRPr="00087F50">
              <w:t xml:space="preserve"> (n=519) </w:t>
            </w:r>
          </w:p>
        </w:tc>
        <w:tc>
          <w:tcPr>
            <w:tcW w:w="1388" w:type="dxa"/>
            <w:tcBorders>
              <w:top w:val="single" w:sz="4" w:space="0" w:color="000000"/>
              <w:left w:val="single" w:sz="4" w:space="0" w:color="000000"/>
              <w:bottom w:val="single" w:sz="4" w:space="0" w:color="000000"/>
              <w:right w:val="single" w:sz="4" w:space="0" w:color="000000"/>
            </w:tcBorders>
          </w:tcPr>
          <w:p w14:paraId="624EB4DA" w14:textId="77777777" w:rsidR="00A77DDF" w:rsidRPr="00087F50" w:rsidRDefault="00A77DDF" w:rsidP="00A77DDF">
            <w:pPr>
              <w:spacing w:after="0" w:line="259" w:lineRule="auto"/>
              <w:ind w:left="0" w:right="18" w:firstLine="0"/>
              <w:jc w:val="center"/>
            </w:pPr>
            <w:r w:rsidRPr="00087F50">
              <w:t xml:space="preserve">22 % </w:t>
            </w:r>
          </w:p>
          <w:p w14:paraId="007CEA89" w14:textId="77777777" w:rsidR="00A77DDF" w:rsidRPr="00087F50" w:rsidRDefault="00A77DDF" w:rsidP="00A77DDF">
            <w:pPr>
              <w:spacing w:after="0" w:line="259" w:lineRule="auto"/>
              <w:ind w:left="0" w:right="15" w:firstLine="0"/>
              <w:jc w:val="center"/>
            </w:pPr>
            <w:r w:rsidRPr="00087F50">
              <w:t xml:space="preserve">(n=519) </w:t>
            </w:r>
          </w:p>
        </w:tc>
      </w:tr>
      <w:tr w:rsidR="00A77DDF" w:rsidRPr="00087F50" w14:paraId="4952D1BD" w14:textId="77777777" w:rsidTr="00890F7A">
        <w:trPr>
          <w:trHeight w:val="1039"/>
        </w:trPr>
        <w:tc>
          <w:tcPr>
            <w:tcW w:w="7790" w:type="dxa"/>
            <w:gridSpan w:val="4"/>
            <w:tcBorders>
              <w:top w:val="single" w:sz="4" w:space="0" w:color="000000"/>
              <w:left w:val="single" w:sz="8" w:space="0" w:color="000000"/>
              <w:bottom w:val="single" w:sz="4" w:space="0" w:color="000000"/>
              <w:right w:val="single" w:sz="4" w:space="0" w:color="000000"/>
            </w:tcBorders>
          </w:tcPr>
          <w:p w14:paraId="182A6FC2" w14:textId="77777777" w:rsidR="00A77DDF" w:rsidRPr="00087F50" w:rsidRDefault="00A77DDF" w:rsidP="00A77DDF">
            <w:pPr>
              <w:spacing w:after="0" w:line="259" w:lineRule="auto"/>
              <w:ind w:left="0" w:firstLine="0"/>
            </w:pPr>
            <w:r w:rsidRPr="00087F50">
              <w:rPr>
                <w:sz w:val="14"/>
              </w:rPr>
              <w:t xml:space="preserve">1 </w:t>
            </w:r>
          </w:p>
          <w:p w14:paraId="2F0E204C" w14:textId="77777777" w:rsidR="00A77DDF" w:rsidRPr="00087F50" w:rsidRDefault="00A77DDF" w:rsidP="00A77DDF">
            <w:pPr>
              <w:spacing w:after="50" w:line="228" w:lineRule="auto"/>
              <w:ind w:left="0" w:firstLine="106"/>
            </w:pPr>
            <w:proofErr w:type="spellStart"/>
            <w:r w:rsidRPr="00087F50">
              <w:t>analīzei</w:t>
            </w:r>
            <w:proofErr w:type="spellEnd"/>
            <w:r w:rsidRPr="00087F50">
              <w:t xml:space="preserve"> </w:t>
            </w:r>
            <w:proofErr w:type="spellStart"/>
            <w:r w:rsidRPr="00087F50">
              <w:t>tika</w:t>
            </w:r>
            <w:proofErr w:type="spellEnd"/>
            <w:r w:rsidRPr="00087F50">
              <w:t xml:space="preserve"> </w:t>
            </w:r>
            <w:proofErr w:type="spellStart"/>
            <w:r w:rsidRPr="00087F50">
              <w:t>apkopoti</w:t>
            </w:r>
            <w:proofErr w:type="spellEnd"/>
            <w:r w:rsidRPr="00087F50">
              <w:t xml:space="preserve"> </w:t>
            </w:r>
            <w:proofErr w:type="spellStart"/>
            <w:r w:rsidRPr="00087F50">
              <w:t>rezultāti</w:t>
            </w:r>
            <w:proofErr w:type="spellEnd"/>
            <w:r w:rsidRPr="00087F50">
              <w:t xml:space="preserve"> no </w:t>
            </w:r>
            <w:proofErr w:type="spellStart"/>
            <w:r w:rsidRPr="00087F50">
              <w:t>subjektiem</w:t>
            </w:r>
            <w:proofErr w:type="spellEnd"/>
            <w:r w:rsidRPr="00087F50">
              <w:t xml:space="preserve">, </w:t>
            </w:r>
            <w:proofErr w:type="spellStart"/>
            <w:r w:rsidRPr="00087F50">
              <w:t>kuri</w:t>
            </w:r>
            <w:proofErr w:type="spellEnd"/>
            <w:r w:rsidRPr="00087F50">
              <w:t xml:space="preserve"> </w:t>
            </w:r>
            <w:proofErr w:type="spellStart"/>
            <w:r w:rsidRPr="00087F50">
              <w:t>saņēma</w:t>
            </w:r>
            <w:proofErr w:type="spellEnd"/>
            <w:r w:rsidRPr="00087F50">
              <w:t xml:space="preserve"> </w:t>
            </w:r>
            <w:proofErr w:type="spellStart"/>
            <w:r w:rsidRPr="00087F50">
              <w:t>vai</w:t>
            </w:r>
            <w:proofErr w:type="spellEnd"/>
            <w:r w:rsidRPr="00087F50">
              <w:t xml:space="preserve"> </w:t>
            </w:r>
            <w:proofErr w:type="spellStart"/>
            <w:r w:rsidRPr="00087F50">
              <w:t>nu</w:t>
            </w:r>
            <w:proofErr w:type="spellEnd"/>
            <w:r w:rsidRPr="00087F50">
              <w:t xml:space="preserve"> 100 mg QD (n=10: </w:t>
            </w:r>
            <w:proofErr w:type="spellStart"/>
            <w:r w:rsidRPr="00087F50">
              <w:t>pacienti</w:t>
            </w:r>
            <w:proofErr w:type="spellEnd"/>
            <w:r w:rsidRPr="00087F50">
              <w:t xml:space="preserve">, </w:t>
            </w:r>
            <w:proofErr w:type="spellStart"/>
            <w:r w:rsidRPr="00087F50">
              <w:t>kuru</w:t>
            </w:r>
            <w:proofErr w:type="spellEnd"/>
            <w:r w:rsidRPr="00087F50">
              <w:t xml:space="preserve"> </w:t>
            </w:r>
            <w:proofErr w:type="spellStart"/>
            <w:r w:rsidRPr="00087F50">
              <w:t>kreatinīna</w:t>
            </w:r>
            <w:proofErr w:type="spellEnd"/>
            <w:r w:rsidRPr="00087F50">
              <w:t xml:space="preserve"> </w:t>
            </w:r>
            <w:proofErr w:type="spellStart"/>
            <w:r w:rsidRPr="00087F50">
              <w:t>līmenis</w:t>
            </w:r>
            <w:proofErr w:type="spellEnd"/>
            <w:r w:rsidRPr="00087F50">
              <w:t xml:space="preserve"> </w:t>
            </w:r>
            <w:proofErr w:type="spellStart"/>
            <w:r w:rsidRPr="00087F50">
              <w:t>serumā</w:t>
            </w:r>
            <w:proofErr w:type="spellEnd"/>
            <w:r w:rsidRPr="00087F50">
              <w:t xml:space="preserve"> bija &gt; 1,5 un </w:t>
            </w:r>
            <w:r w:rsidRPr="00087F50">
              <w:rPr>
                <w:rFonts w:ascii="Segoe UI Symbol" w:eastAsia="Segoe UI Symbol" w:hAnsi="Segoe UI Symbol" w:cs="Segoe UI Symbol"/>
              </w:rPr>
              <w:t>≤</w:t>
            </w:r>
            <w:r w:rsidRPr="00087F50">
              <w:t xml:space="preserve"> 2,0 mg/dl), </w:t>
            </w:r>
            <w:proofErr w:type="spellStart"/>
            <w:r w:rsidRPr="00087F50">
              <w:t>vai</w:t>
            </w:r>
            <w:proofErr w:type="spellEnd"/>
            <w:r w:rsidRPr="00087F50">
              <w:t xml:space="preserve"> 300 mg QD (n=509). </w:t>
            </w:r>
          </w:p>
          <w:p w14:paraId="4BF9CDA3" w14:textId="77777777" w:rsidR="00A77DDF" w:rsidRPr="00087F50" w:rsidRDefault="00A77DDF" w:rsidP="00A77DDF">
            <w:pPr>
              <w:spacing w:after="0" w:line="259" w:lineRule="auto"/>
              <w:ind w:left="0" w:firstLine="0"/>
              <w:rPr>
                <w:lang w:val="en-GB"/>
              </w:rPr>
            </w:pPr>
            <w:r w:rsidRPr="00087F50">
              <w:rPr>
                <w:lang w:val="en-GB"/>
              </w:rPr>
              <w:t xml:space="preserve">* p &lt; 0,001 </w:t>
            </w:r>
            <w:proofErr w:type="spellStart"/>
            <w:r w:rsidRPr="00087F50">
              <w:rPr>
                <w:lang w:val="en-GB"/>
              </w:rPr>
              <w:t>pret</w:t>
            </w:r>
            <w:proofErr w:type="spellEnd"/>
            <w:r w:rsidRPr="00087F50">
              <w:rPr>
                <w:lang w:val="en-GB"/>
              </w:rPr>
              <w:t xml:space="preserve"> </w:t>
            </w:r>
            <w:proofErr w:type="spellStart"/>
            <w:r w:rsidRPr="00087F50">
              <w:rPr>
                <w:lang w:val="en-GB"/>
              </w:rPr>
              <w:t>allopurinolu</w:t>
            </w:r>
            <w:proofErr w:type="spellEnd"/>
            <w:r w:rsidRPr="00087F50">
              <w:rPr>
                <w:lang w:val="en-GB"/>
              </w:rPr>
              <w:t xml:space="preserve">, </w:t>
            </w:r>
            <w:r w:rsidRPr="00087F50">
              <w:rPr>
                <w:vertAlign w:val="superscript"/>
                <w:lang w:val="en-GB"/>
              </w:rPr>
              <w:t>#</w:t>
            </w:r>
            <w:r w:rsidRPr="00087F50">
              <w:rPr>
                <w:lang w:val="en-GB"/>
              </w:rPr>
              <w:t xml:space="preserve"> p &lt; 0.001 </w:t>
            </w:r>
            <w:proofErr w:type="spellStart"/>
            <w:r w:rsidRPr="00087F50">
              <w:rPr>
                <w:lang w:val="en-GB"/>
              </w:rPr>
              <w:t>pret</w:t>
            </w:r>
            <w:proofErr w:type="spellEnd"/>
            <w:r w:rsidRPr="00087F50">
              <w:rPr>
                <w:lang w:val="en-GB"/>
              </w:rPr>
              <w:t xml:space="preserve"> 80 mg. </w:t>
            </w:r>
          </w:p>
        </w:tc>
      </w:tr>
    </w:tbl>
    <w:p w14:paraId="2D452A7C" w14:textId="77777777" w:rsidR="007E078A" w:rsidRDefault="007E078A" w:rsidP="00A77DDF">
      <w:pPr>
        <w:spacing w:after="235"/>
        <w:ind w:left="-3" w:right="9"/>
        <w:rPr>
          <w:lang w:val="lv-LV"/>
        </w:rPr>
      </w:pPr>
    </w:p>
    <w:p w14:paraId="09450C3E" w14:textId="2E59274B" w:rsidR="00A77DDF" w:rsidRPr="00087F50" w:rsidRDefault="00940720" w:rsidP="00A77DDF">
      <w:pPr>
        <w:spacing w:after="235"/>
        <w:ind w:left="-3" w:right="9"/>
      </w:pPr>
      <w:proofErr w:type="spellStart"/>
      <w:r w:rsidRPr="00087F50">
        <w:rPr>
          <w:lang w:val="lv-LV"/>
        </w:rPr>
        <w:t>Febuksostats</w:t>
      </w:r>
      <w:proofErr w:type="spellEnd"/>
      <w:r w:rsidRPr="00087F50">
        <w:t xml:space="preserve"> </w:t>
      </w:r>
      <w:proofErr w:type="spellStart"/>
      <w:r w:rsidR="00A77DDF" w:rsidRPr="00087F50">
        <w:t>urīnskābes</w:t>
      </w:r>
      <w:proofErr w:type="spellEnd"/>
      <w:r w:rsidR="00A77DDF" w:rsidRPr="00087F50">
        <w:t xml:space="preserve"> </w:t>
      </w:r>
      <w:proofErr w:type="spellStart"/>
      <w:r w:rsidR="00A77DDF" w:rsidRPr="00087F50">
        <w:t>līmeni</w:t>
      </w:r>
      <w:proofErr w:type="spellEnd"/>
      <w:r w:rsidR="00A77DDF" w:rsidRPr="00087F50">
        <w:t xml:space="preserve"> </w:t>
      </w:r>
      <w:proofErr w:type="spellStart"/>
      <w:r w:rsidR="00A77DDF" w:rsidRPr="00087F50">
        <w:t>serumā</w:t>
      </w:r>
      <w:proofErr w:type="spellEnd"/>
      <w:r w:rsidR="00A77DDF" w:rsidRPr="00087F50">
        <w:t xml:space="preserve"> </w:t>
      </w:r>
      <w:proofErr w:type="spellStart"/>
      <w:r w:rsidR="00A77DDF" w:rsidRPr="00087F50">
        <w:t>spēja</w:t>
      </w:r>
      <w:proofErr w:type="spellEnd"/>
      <w:r w:rsidR="00A77DDF" w:rsidRPr="00087F50">
        <w:t xml:space="preserve"> </w:t>
      </w:r>
      <w:proofErr w:type="spellStart"/>
      <w:r w:rsidR="00A77DDF" w:rsidRPr="00087F50">
        <w:t>samazināt</w:t>
      </w:r>
      <w:proofErr w:type="spellEnd"/>
      <w:r w:rsidR="00A77DDF" w:rsidRPr="00087F50">
        <w:t xml:space="preserve"> </w:t>
      </w:r>
      <w:proofErr w:type="spellStart"/>
      <w:r w:rsidR="00A77DDF" w:rsidRPr="00087F50">
        <w:t>strauji</w:t>
      </w:r>
      <w:proofErr w:type="spellEnd"/>
      <w:r w:rsidR="00A77DDF" w:rsidRPr="00087F50">
        <w:t xml:space="preserve"> un </w:t>
      </w:r>
      <w:proofErr w:type="spellStart"/>
      <w:r w:rsidR="00A77DDF" w:rsidRPr="00087F50">
        <w:t>uz</w:t>
      </w:r>
      <w:proofErr w:type="spellEnd"/>
      <w:r w:rsidR="00A77DDF" w:rsidRPr="00087F50">
        <w:t xml:space="preserve"> </w:t>
      </w:r>
      <w:proofErr w:type="spellStart"/>
      <w:r w:rsidR="00A77DDF" w:rsidRPr="00087F50">
        <w:t>ilgu</w:t>
      </w:r>
      <w:proofErr w:type="spellEnd"/>
      <w:r w:rsidR="00A77DDF" w:rsidRPr="00087F50">
        <w:t xml:space="preserve"> </w:t>
      </w:r>
      <w:proofErr w:type="spellStart"/>
      <w:r w:rsidR="00A77DDF" w:rsidRPr="00087F50">
        <w:t>laiku</w:t>
      </w:r>
      <w:proofErr w:type="spellEnd"/>
      <w:r w:rsidR="00A77DDF" w:rsidRPr="00087F50">
        <w:t xml:space="preserve">. </w:t>
      </w:r>
      <w:proofErr w:type="spellStart"/>
      <w:r w:rsidR="00A77DDF" w:rsidRPr="00087F50">
        <w:t>Urīnskābes</w:t>
      </w:r>
      <w:proofErr w:type="spellEnd"/>
      <w:r w:rsidR="00A77DDF" w:rsidRPr="00087F50">
        <w:t xml:space="preserve"> </w:t>
      </w:r>
      <w:proofErr w:type="spellStart"/>
      <w:r w:rsidR="00A77DDF" w:rsidRPr="00087F50">
        <w:t>līmeņa</w:t>
      </w:r>
      <w:proofErr w:type="spellEnd"/>
      <w:r w:rsidR="00A77DDF" w:rsidRPr="00087F50">
        <w:t xml:space="preserve"> </w:t>
      </w:r>
      <w:proofErr w:type="spellStart"/>
      <w:r w:rsidR="00A77DDF" w:rsidRPr="00087F50">
        <w:t>serumā</w:t>
      </w:r>
      <w:proofErr w:type="spellEnd"/>
      <w:r w:rsidR="00A77DDF" w:rsidRPr="00087F50">
        <w:t xml:space="preserve"> </w:t>
      </w:r>
      <w:proofErr w:type="spellStart"/>
      <w:r w:rsidR="00A77DDF" w:rsidRPr="00087F50">
        <w:t>samazināšanās</w:t>
      </w:r>
      <w:proofErr w:type="spellEnd"/>
      <w:r w:rsidR="00A77DDF" w:rsidRPr="00087F50">
        <w:t xml:space="preserve"> </w:t>
      </w:r>
      <w:proofErr w:type="spellStart"/>
      <w:r w:rsidR="00A77DDF" w:rsidRPr="00087F50">
        <w:t>līdz</w:t>
      </w:r>
      <w:proofErr w:type="spellEnd"/>
      <w:r w:rsidR="00A77DDF" w:rsidRPr="00087F50">
        <w:t xml:space="preserve"> &lt; 6,0 mg/dl (357 µmol/l) </w:t>
      </w:r>
      <w:proofErr w:type="spellStart"/>
      <w:r w:rsidR="00A77DDF" w:rsidRPr="00087F50">
        <w:t>tika</w:t>
      </w:r>
      <w:proofErr w:type="spellEnd"/>
      <w:r w:rsidR="00A77DDF" w:rsidRPr="00087F50">
        <w:t xml:space="preserve"> </w:t>
      </w:r>
      <w:proofErr w:type="spellStart"/>
      <w:r w:rsidR="00A77DDF" w:rsidRPr="00087F50">
        <w:t>konstatēta</w:t>
      </w:r>
      <w:proofErr w:type="spellEnd"/>
      <w:r w:rsidR="00A77DDF" w:rsidRPr="00087F50">
        <w:t xml:space="preserve"> 2. </w:t>
      </w:r>
      <w:proofErr w:type="spellStart"/>
      <w:r w:rsidR="00A77DDF" w:rsidRPr="00087F50">
        <w:t>nedēļas</w:t>
      </w:r>
      <w:proofErr w:type="spellEnd"/>
      <w:r w:rsidR="00A77DDF" w:rsidRPr="00087F50">
        <w:t xml:space="preserve"> </w:t>
      </w:r>
      <w:proofErr w:type="spellStart"/>
      <w:r w:rsidR="00A77DDF" w:rsidRPr="00087F50">
        <w:t>vizītē</w:t>
      </w:r>
      <w:proofErr w:type="spellEnd"/>
      <w:r w:rsidR="00A77DDF" w:rsidRPr="00087F50">
        <w:t xml:space="preserve"> un </w:t>
      </w:r>
      <w:proofErr w:type="spellStart"/>
      <w:r w:rsidR="00A77DDF" w:rsidRPr="00087F50">
        <w:t>saglabājās</w:t>
      </w:r>
      <w:proofErr w:type="spellEnd"/>
      <w:r w:rsidR="00A77DDF" w:rsidRPr="00087F50">
        <w:t xml:space="preserve"> visu </w:t>
      </w:r>
      <w:proofErr w:type="spellStart"/>
      <w:r w:rsidR="00A77DDF" w:rsidRPr="00087F50">
        <w:t>terapijas</w:t>
      </w:r>
      <w:proofErr w:type="spellEnd"/>
      <w:r w:rsidR="00A77DDF" w:rsidRPr="00087F50">
        <w:t xml:space="preserve"> </w:t>
      </w:r>
      <w:proofErr w:type="spellStart"/>
      <w:r w:rsidR="00A77DDF" w:rsidRPr="00087F50">
        <w:t>laiku</w:t>
      </w:r>
      <w:proofErr w:type="spellEnd"/>
      <w:r w:rsidR="00A77DDF" w:rsidRPr="00087F50">
        <w:t xml:space="preserve">. Abu 3. </w:t>
      </w:r>
      <w:proofErr w:type="spellStart"/>
      <w:r w:rsidR="00A77DDF" w:rsidRPr="00087F50">
        <w:t>fāzes</w:t>
      </w:r>
      <w:proofErr w:type="spellEnd"/>
      <w:r w:rsidR="00A77DDF" w:rsidRPr="00087F50">
        <w:t xml:space="preserve"> </w:t>
      </w:r>
      <w:proofErr w:type="spellStart"/>
      <w:r w:rsidR="00A77DDF" w:rsidRPr="00087F50">
        <w:t>pamatpētījumu</w:t>
      </w:r>
      <w:proofErr w:type="spellEnd"/>
      <w:r w:rsidR="00A77DDF" w:rsidRPr="00087F50">
        <w:t xml:space="preserve"> </w:t>
      </w:r>
      <w:proofErr w:type="spellStart"/>
      <w:r w:rsidR="00A77DDF" w:rsidRPr="00087F50">
        <w:t>gaitā</w:t>
      </w:r>
      <w:proofErr w:type="spellEnd"/>
      <w:r w:rsidR="00A77DDF" w:rsidRPr="00087F50">
        <w:t xml:space="preserve"> </w:t>
      </w:r>
      <w:proofErr w:type="spellStart"/>
      <w:r w:rsidR="00A77DDF" w:rsidRPr="00087F50">
        <w:t>konstatētie</w:t>
      </w:r>
      <w:proofErr w:type="spellEnd"/>
      <w:r w:rsidR="00A77DDF" w:rsidRPr="00087F50">
        <w:t xml:space="preserve"> </w:t>
      </w:r>
      <w:proofErr w:type="spellStart"/>
      <w:r w:rsidR="00A77DDF" w:rsidRPr="00087F50">
        <w:t>katras</w:t>
      </w:r>
      <w:proofErr w:type="spellEnd"/>
      <w:r w:rsidR="00A77DDF" w:rsidRPr="00087F50">
        <w:t xml:space="preserve"> </w:t>
      </w:r>
      <w:proofErr w:type="spellStart"/>
      <w:r w:rsidR="00A77DDF" w:rsidRPr="00087F50">
        <w:t>terapijas</w:t>
      </w:r>
      <w:proofErr w:type="spellEnd"/>
      <w:r w:rsidR="00A77DDF" w:rsidRPr="00087F50">
        <w:t xml:space="preserve"> grupas </w:t>
      </w:r>
      <w:proofErr w:type="spellStart"/>
      <w:r w:rsidR="00A77DDF" w:rsidRPr="00087F50">
        <w:t>vidējie</w:t>
      </w:r>
      <w:proofErr w:type="spellEnd"/>
      <w:r w:rsidR="00A77DDF" w:rsidRPr="00087F50">
        <w:t xml:space="preserve"> </w:t>
      </w:r>
      <w:proofErr w:type="spellStart"/>
      <w:r w:rsidR="00A77DDF" w:rsidRPr="00087F50">
        <w:t>urīnskābes</w:t>
      </w:r>
      <w:proofErr w:type="spellEnd"/>
      <w:r w:rsidR="00A77DDF" w:rsidRPr="00087F50">
        <w:t xml:space="preserve"> </w:t>
      </w:r>
      <w:proofErr w:type="spellStart"/>
      <w:r w:rsidR="00A77DDF" w:rsidRPr="00087F50">
        <w:t>līmeņi</w:t>
      </w:r>
      <w:proofErr w:type="spellEnd"/>
      <w:r w:rsidR="00A77DDF" w:rsidRPr="00087F50">
        <w:t xml:space="preserve"> </w:t>
      </w:r>
      <w:proofErr w:type="spellStart"/>
      <w:r w:rsidR="00A77DDF" w:rsidRPr="00087F50">
        <w:t>serumā</w:t>
      </w:r>
      <w:proofErr w:type="spellEnd"/>
      <w:r w:rsidR="00A77DDF" w:rsidRPr="00087F50">
        <w:t xml:space="preserve"> ir </w:t>
      </w:r>
      <w:proofErr w:type="spellStart"/>
      <w:r w:rsidR="00A77DDF" w:rsidRPr="00087F50">
        <w:t>norādīti</w:t>
      </w:r>
      <w:proofErr w:type="spellEnd"/>
      <w:r w:rsidR="00A77DDF" w:rsidRPr="00087F50">
        <w:t xml:space="preserve"> 1. </w:t>
      </w:r>
      <w:proofErr w:type="spellStart"/>
      <w:r w:rsidR="00A77DDF" w:rsidRPr="00087F50">
        <w:t>attēlā</w:t>
      </w:r>
      <w:proofErr w:type="spellEnd"/>
      <w:r w:rsidR="00A77DDF" w:rsidRPr="00087F50">
        <w:t xml:space="preserve">. </w:t>
      </w:r>
    </w:p>
    <w:p w14:paraId="38F34C10" w14:textId="517BA067" w:rsidR="00A77DDF" w:rsidRPr="00890F7A" w:rsidRDefault="00A77DDF" w:rsidP="00890F7A">
      <w:pPr>
        <w:pStyle w:val="Heading2"/>
        <w:spacing w:after="142" w:line="248" w:lineRule="auto"/>
        <w:ind w:right="8"/>
        <w:rPr>
          <w:b w:val="0"/>
          <w:bCs/>
          <w:i/>
          <w:iCs/>
        </w:rPr>
      </w:pPr>
      <w:r w:rsidRPr="00890F7A">
        <w:rPr>
          <w:b w:val="0"/>
          <w:bCs/>
          <w:i/>
          <w:iCs/>
        </w:rPr>
        <w:t xml:space="preserve">1. </w:t>
      </w:r>
      <w:proofErr w:type="spellStart"/>
      <w:r w:rsidRPr="00890F7A">
        <w:rPr>
          <w:b w:val="0"/>
          <w:bCs/>
          <w:i/>
          <w:iCs/>
        </w:rPr>
        <w:t>attēls</w:t>
      </w:r>
      <w:proofErr w:type="spellEnd"/>
      <w:r w:rsidR="007E078A" w:rsidRPr="00890F7A">
        <w:rPr>
          <w:b w:val="0"/>
          <w:bCs/>
          <w:i/>
          <w:iCs/>
        </w:rPr>
        <w:t>.</w:t>
      </w:r>
      <w:r w:rsidRPr="00890F7A">
        <w:rPr>
          <w:b w:val="0"/>
          <w:bCs/>
          <w:i/>
          <w:iCs/>
        </w:rPr>
        <w:t xml:space="preserve"> </w:t>
      </w:r>
      <w:proofErr w:type="spellStart"/>
      <w:r w:rsidRPr="00890F7A">
        <w:rPr>
          <w:b w:val="0"/>
          <w:bCs/>
          <w:i/>
          <w:iCs/>
        </w:rPr>
        <w:t>Vidējie</w:t>
      </w:r>
      <w:proofErr w:type="spellEnd"/>
      <w:r w:rsidRPr="00890F7A">
        <w:rPr>
          <w:b w:val="0"/>
          <w:bCs/>
          <w:i/>
          <w:iCs/>
        </w:rPr>
        <w:t xml:space="preserve"> </w:t>
      </w:r>
      <w:proofErr w:type="spellStart"/>
      <w:r w:rsidRPr="00890F7A">
        <w:rPr>
          <w:b w:val="0"/>
          <w:bCs/>
          <w:i/>
          <w:iCs/>
        </w:rPr>
        <w:t>urīnskābes</w:t>
      </w:r>
      <w:proofErr w:type="spellEnd"/>
      <w:r w:rsidRPr="00890F7A">
        <w:rPr>
          <w:b w:val="0"/>
          <w:bCs/>
          <w:i/>
          <w:iCs/>
        </w:rPr>
        <w:t xml:space="preserve"> </w:t>
      </w:r>
      <w:proofErr w:type="spellStart"/>
      <w:r w:rsidRPr="00890F7A">
        <w:rPr>
          <w:b w:val="0"/>
          <w:bCs/>
          <w:i/>
          <w:iCs/>
        </w:rPr>
        <w:t>līmeņi</w:t>
      </w:r>
      <w:proofErr w:type="spellEnd"/>
      <w:r w:rsidRPr="00890F7A">
        <w:rPr>
          <w:b w:val="0"/>
          <w:bCs/>
          <w:i/>
          <w:iCs/>
        </w:rPr>
        <w:t xml:space="preserve"> </w:t>
      </w:r>
      <w:proofErr w:type="spellStart"/>
      <w:r w:rsidRPr="00890F7A">
        <w:rPr>
          <w:b w:val="0"/>
          <w:bCs/>
          <w:i/>
          <w:iCs/>
        </w:rPr>
        <w:t>serumā</w:t>
      </w:r>
      <w:proofErr w:type="spellEnd"/>
      <w:r w:rsidRPr="00890F7A">
        <w:rPr>
          <w:b w:val="0"/>
          <w:bCs/>
          <w:i/>
          <w:iCs/>
        </w:rPr>
        <w:t xml:space="preserve"> </w:t>
      </w:r>
      <w:proofErr w:type="spellStart"/>
      <w:r w:rsidRPr="00890F7A">
        <w:rPr>
          <w:b w:val="0"/>
          <w:bCs/>
          <w:i/>
          <w:iCs/>
        </w:rPr>
        <w:t>kombinētajos</w:t>
      </w:r>
      <w:proofErr w:type="spellEnd"/>
      <w:r w:rsidRPr="00890F7A">
        <w:rPr>
          <w:b w:val="0"/>
          <w:bCs/>
          <w:i/>
          <w:iCs/>
        </w:rPr>
        <w:t xml:space="preserve"> 3. </w:t>
      </w:r>
      <w:proofErr w:type="spellStart"/>
      <w:r w:rsidRPr="00890F7A">
        <w:rPr>
          <w:b w:val="0"/>
          <w:bCs/>
          <w:i/>
          <w:iCs/>
        </w:rPr>
        <w:t>fāzes</w:t>
      </w:r>
      <w:proofErr w:type="spellEnd"/>
      <w:r w:rsidRPr="00890F7A">
        <w:rPr>
          <w:b w:val="0"/>
          <w:bCs/>
          <w:i/>
          <w:iCs/>
        </w:rPr>
        <w:t xml:space="preserve"> </w:t>
      </w:r>
      <w:proofErr w:type="spellStart"/>
      <w:r w:rsidRPr="00890F7A">
        <w:rPr>
          <w:b w:val="0"/>
          <w:bCs/>
          <w:i/>
          <w:iCs/>
        </w:rPr>
        <w:t>pamatpētījumos</w:t>
      </w:r>
      <w:proofErr w:type="spellEnd"/>
      <w:r w:rsidRPr="00890F7A">
        <w:rPr>
          <w:b w:val="0"/>
          <w:bCs/>
          <w:i/>
          <w:iCs/>
        </w:rPr>
        <w:t xml:space="preserve"> </w:t>
      </w:r>
    </w:p>
    <w:p w14:paraId="68B9DBB9" w14:textId="77777777" w:rsidR="00A77DDF" w:rsidRPr="00087F50" w:rsidRDefault="00A77DDF" w:rsidP="00A77DDF">
      <w:pPr>
        <w:spacing w:after="66" w:line="259" w:lineRule="auto"/>
        <w:ind w:left="1645" w:firstLine="0"/>
      </w:pPr>
      <w:r w:rsidRPr="00087F50">
        <w:rPr>
          <w:noProof/>
          <w:lang w:val="en-US" w:eastAsia="en-US"/>
        </w:rPr>
        <w:drawing>
          <wp:inline distT="0" distB="0" distL="0" distR="0" wp14:anchorId="5330CB7A" wp14:editId="11FAE38F">
            <wp:extent cx="3523488" cy="2420112"/>
            <wp:effectExtent l="0" t="0" r="0" b="0"/>
            <wp:docPr id="59636" name="Picture 59636"/>
            <wp:cNvGraphicFramePr/>
            <a:graphic xmlns:a="http://schemas.openxmlformats.org/drawingml/2006/main">
              <a:graphicData uri="http://schemas.openxmlformats.org/drawingml/2006/picture">
                <pic:pic xmlns:pic="http://schemas.openxmlformats.org/drawingml/2006/picture">
                  <pic:nvPicPr>
                    <pic:cNvPr id="59636" name="Picture 59636"/>
                    <pic:cNvPicPr/>
                  </pic:nvPicPr>
                  <pic:blipFill>
                    <a:blip r:embed="rId11"/>
                    <a:stretch>
                      <a:fillRect/>
                    </a:stretch>
                  </pic:blipFill>
                  <pic:spPr>
                    <a:xfrm>
                      <a:off x="0" y="0"/>
                      <a:ext cx="3523488" cy="2420112"/>
                    </a:xfrm>
                    <a:prstGeom prst="rect">
                      <a:avLst/>
                    </a:prstGeom>
                  </pic:spPr>
                </pic:pic>
              </a:graphicData>
            </a:graphic>
          </wp:inline>
        </w:drawing>
      </w:r>
    </w:p>
    <w:p w14:paraId="3D2F4736" w14:textId="77777777" w:rsidR="00A77DDF" w:rsidRPr="00087F50" w:rsidRDefault="00A77DDF" w:rsidP="00A77DDF">
      <w:pPr>
        <w:spacing w:after="89" w:line="259" w:lineRule="auto"/>
        <w:ind w:left="276" w:right="17" w:hanging="10"/>
        <w:jc w:val="center"/>
        <w:rPr>
          <w:lang w:val="en-GB"/>
        </w:rPr>
      </w:pPr>
      <w:r w:rsidRPr="00087F50">
        <w:rPr>
          <w:sz w:val="16"/>
          <w:lang w:val="en-GB"/>
        </w:rPr>
        <w:t>BL 2 4 6 8 12 16 20 24 28 32 36 40 44 48 52</w:t>
      </w:r>
    </w:p>
    <w:p w14:paraId="59CBB7E2" w14:textId="77777777" w:rsidR="00A77DDF" w:rsidRPr="00087F50" w:rsidRDefault="00A77DDF" w:rsidP="00A77DDF">
      <w:pPr>
        <w:spacing w:after="36" w:line="259" w:lineRule="auto"/>
        <w:ind w:left="276" w:hanging="10"/>
        <w:jc w:val="center"/>
        <w:rPr>
          <w:lang w:val="en-GB"/>
        </w:rPr>
      </w:pPr>
      <w:proofErr w:type="spellStart"/>
      <w:r w:rsidRPr="00087F50">
        <w:rPr>
          <w:sz w:val="16"/>
          <w:lang w:val="en-GB"/>
        </w:rPr>
        <w:t>Nedēļa</w:t>
      </w:r>
      <w:proofErr w:type="spellEnd"/>
    </w:p>
    <w:p w14:paraId="775A4E10" w14:textId="77777777" w:rsidR="00A77DDF" w:rsidRPr="00087F50" w:rsidRDefault="00A77DDF" w:rsidP="00A77DDF">
      <w:pPr>
        <w:spacing w:after="205" w:line="259" w:lineRule="auto"/>
        <w:ind w:left="2230" w:hanging="10"/>
        <w:rPr>
          <w:lang w:val="en-GB"/>
        </w:rPr>
      </w:pPr>
      <w:r w:rsidRPr="00087F50">
        <w:rPr>
          <w:sz w:val="12"/>
          <w:lang w:val="en-GB"/>
        </w:rPr>
        <w:t>BL=baseline      SEM=standard error of the mean</w:t>
      </w:r>
    </w:p>
    <w:p w14:paraId="5E71AA68" w14:textId="77777777" w:rsidR="00A77DDF" w:rsidRPr="00087F50" w:rsidRDefault="00A77DDF" w:rsidP="00A77DDF">
      <w:pPr>
        <w:spacing w:after="0" w:line="259" w:lineRule="auto"/>
        <w:ind w:left="0" w:right="1259" w:firstLine="0"/>
        <w:jc w:val="right"/>
        <w:rPr>
          <w:lang w:val="en-GB"/>
        </w:rPr>
      </w:pPr>
      <w:r w:rsidRPr="00087F50">
        <w:rPr>
          <w:b/>
          <w:lang w:val="en-GB"/>
        </w:rPr>
        <w:t xml:space="preserve"> </w:t>
      </w:r>
    </w:p>
    <w:p w14:paraId="49A33584" w14:textId="50025745" w:rsidR="00A77DDF" w:rsidRPr="00087F50" w:rsidRDefault="00A77DDF" w:rsidP="00890F7A">
      <w:pPr>
        <w:ind w:left="0" w:right="11" w:firstLine="0"/>
        <w:rPr>
          <w:lang w:val="en-GB"/>
        </w:rPr>
      </w:pPr>
      <w:proofErr w:type="spellStart"/>
      <w:r w:rsidRPr="00087F50">
        <w:rPr>
          <w:lang w:val="en-GB"/>
        </w:rPr>
        <w:t>Piebilde</w:t>
      </w:r>
      <w:proofErr w:type="spellEnd"/>
      <w:r w:rsidRPr="00087F50">
        <w:rPr>
          <w:lang w:val="en-GB"/>
        </w:rPr>
        <w:t>:</w:t>
      </w:r>
      <w:r w:rsidRPr="00087F50">
        <w:rPr>
          <w:b/>
          <w:lang w:val="en-GB"/>
        </w:rPr>
        <w:t xml:space="preserve"> </w:t>
      </w:r>
      <w:r w:rsidRPr="00087F50">
        <w:rPr>
          <w:lang w:val="en-GB"/>
        </w:rPr>
        <w:t xml:space="preserve">509 </w:t>
      </w:r>
      <w:proofErr w:type="spellStart"/>
      <w:r w:rsidRPr="00087F50">
        <w:rPr>
          <w:lang w:val="en-GB"/>
        </w:rPr>
        <w:t>pacienti</w:t>
      </w:r>
      <w:proofErr w:type="spellEnd"/>
      <w:r w:rsidRPr="00087F50">
        <w:rPr>
          <w:lang w:val="en-GB"/>
        </w:rPr>
        <w:t xml:space="preserve"> </w:t>
      </w:r>
      <w:proofErr w:type="spellStart"/>
      <w:r w:rsidRPr="00087F50">
        <w:rPr>
          <w:lang w:val="en-GB"/>
        </w:rPr>
        <w:t>saņēma</w:t>
      </w:r>
      <w:proofErr w:type="spellEnd"/>
      <w:r w:rsidRPr="00087F50">
        <w:rPr>
          <w:lang w:val="en-GB"/>
        </w:rPr>
        <w:t xml:space="preserve"> 300 mg </w:t>
      </w:r>
      <w:proofErr w:type="spellStart"/>
      <w:r w:rsidRPr="00087F50">
        <w:rPr>
          <w:lang w:val="en-GB"/>
        </w:rPr>
        <w:t>allopurinola</w:t>
      </w:r>
      <w:proofErr w:type="spellEnd"/>
      <w:r w:rsidRPr="00087F50">
        <w:rPr>
          <w:lang w:val="en-GB"/>
        </w:rPr>
        <w:t xml:space="preserve"> QD; 10 </w:t>
      </w:r>
      <w:proofErr w:type="spellStart"/>
      <w:r w:rsidRPr="00087F50">
        <w:rPr>
          <w:lang w:val="en-GB"/>
        </w:rPr>
        <w:t>pacientu</w:t>
      </w:r>
      <w:proofErr w:type="spellEnd"/>
      <w:r w:rsidRPr="00087F50">
        <w:rPr>
          <w:lang w:val="en-GB"/>
        </w:rPr>
        <w:t xml:space="preserve">, kuru </w:t>
      </w:r>
      <w:proofErr w:type="spellStart"/>
      <w:r w:rsidRPr="00087F50">
        <w:rPr>
          <w:lang w:val="en-GB"/>
        </w:rPr>
        <w:t>kreatinīna</w:t>
      </w:r>
      <w:proofErr w:type="spellEnd"/>
      <w:r w:rsidRPr="00087F50">
        <w:rPr>
          <w:lang w:val="en-GB"/>
        </w:rPr>
        <w:t xml:space="preserve"> </w:t>
      </w:r>
      <w:proofErr w:type="spellStart"/>
      <w:r w:rsidRPr="00087F50">
        <w:rPr>
          <w:lang w:val="en-GB"/>
        </w:rPr>
        <w:t>līmenisserumā</w:t>
      </w:r>
      <w:proofErr w:type="spellEnd"/>
      <w:r w:rsidRPr="00087F50">
        <w:rPr>
          <w:lang w:val="en-GB"/>
        </w:rPr>
        <w:t xml:space="preserve"> </w:t>
      </w:r>
      <w:proofErr w:type="spellStart"/>
      <w:r w:rsidRPr="00087F50">
        <w:rPr>
          <w:lang w:val="en-GB"/>
        </w:rPr>
        <w:t>bija</w:t>
      </w:r>
      <w:proofErr w:type="spellEnd"/>
      <w:r w:rsidRPr="00087F50">
        <w:rPr>
          <w:lang w:val="en-GB"/>
        </w:rPr>
        <w:t xml:space="preserve"> &gt; 1,5 un ≤ 2,0 mg/dl, </w:t>
      </w:r>
      <w:proofErr w:type="spellStart"/>
      <w:r w:rsidRPr="00087F50">
        <w:rPr>
          <w:lang w:val="en-GB"/>
        </w:rPr>
        <w:t>saņēma</w:t>
      </w:r>
      <w:proofErr w:type="spellEnd"/>
      <w:r w:rsidRPr="00087F50">
        <w:rPr>
          <w:lang w:val="en-GB"/>
        </w:rPr>
        <w:t xml:space="preserve"> 100 mg QD (10 no 268 </w:t>
      </w:r>
      <w:proofErr w:type="spellStart"/>
      <w:r w:rsidRPr="00087F50">
        <w:rPr>
          <w:lang w:val="en-GB"/>
        </w:rPr>
        <w:t>pacientiem</w:t>
      </w:r>
      <w:proofErr w:type="spellEnd"/>
      <w:r w:rsidRPr="00087F50">
        <w:rPr>
          <w:lang w:val="en-GB"/>
        </w:rPr>
        <w:t xml:space="preserve"> APEX </w:t>
      </w:r>
      <w:proofErr w:type="spellStart"/>
      <w:r w:rsidRPr="00087F50">
        <w:rPr>
          <w:lang w:val="en-GB"/>
        </w:rPr>
        <w:t>pētījumā</w:t>
      </w:r>
      <w:proofErr w:type="spellEnd"/>
      <w:r w:rsidRPr="00087F50">
        <w:rPr>
          <w:lang w:val="en-GB"/>
        </w:rPr>
        <w:t xml:space="preserve">). </w:t>
      </w:r>
    </w:p>
    <w:p w14:paraId="1548EBB6" w14:textId="5C1A6EEE" w:rsidR="00A77DDF" w:rsidRPr="00087F50" w:rsidRDefault="00A77DDF" w:rsidP="00890F7A">
      <w:pPr>
        <w:ind w:left="0" w:right="11" w:firstLine="0"/>
        <w:rPr>
          <w:lang w:val="en-GB"/>
        </w:rPr>
      </w:pPr>
      <w:r w:rsidRPr="00087F50">
        <w:rPr>
          <w:lang w:val="en-GB"/>
        </w:rPr>
        <w:t xml:space="preserve">Lai </w:t>
      </w:r>
      <w:proofErr w:type="spellStart"/>
      <w:r w:rsidRPr="00087F50">
        <w:rPr>
          <w:lang w:val="en-GB"/>
        </w:rPr>
        <w:t>novērtētu</w:t>
      </w:r>
      <w:proofErr w:type="spellEnd"/>
      <w:r w:rsidRPr="00087F50">
        <w:rPr>
          <w:lang w:val="en-GB"/>
        </w:rPr>
        <w:t xml:space="preserve"> </w:t>
      </w:r>
      <w:proofErr w:type="spellStart"/>
      <w:r w:rsidRPr="00087F50">
        <w:rPr>
          <w:lang w:val="en-GB"/>
        </w:rPr>
        <w:t>febuksostata</w:t>
      </w:r>
      <w:proofErr w:type="spellEnd"/>
      <w:r w:rsidRPr="00087F50">
        <w:rPr>
          <w:lang w:val="en-GB"/>
        </w:rPr>
        <w:t xml:space="preserve"> </w:t>
      </w:r>
      <w:proofErr w:type="spellStart"/>
      <w:r w:rsidRPr="00087F50">
        <w:rPr>
          <w:lang w:val="en-GB"/>
        </w:rPr>
        <w:t>drošumu</w:t>
      </w:r>
      <w:proofErr w:type="spellEnd"/>
      <w:r w:rsidRPr="00087F50">
        <w:rPr>
          <w:lang w:val="en-GB"/>
        </w:rPr>
        <w:t xml:space="preserve">, tika </w:t>
      </w:r>
      <w:proofErr w:type="spellStart"/>
      <w:r w:rsidRPr="00087F50">
        <w:rPr>
          <w:lang w:val="en-GB"/>
        </w:rPr>
        <w:t>izmantotas</w:t>
      </w:r>
      <w:proofErr w:type="spellEnd"/>
      <w:r w:rsidRPr="00087F50">
        <w:rPr>
          <w:lang w:val="en-GB"/>
        </w:rPr>
        <w:t xml:space="preserve"> 240 mg devas, kas divas </w:t>
      </w:r>
      <w:proofErr w:type="spellStart"/>
      <w:r w:rsidRPr="00087F50">
        <w:rPr>
          <w:lang w:val="en-GB"/>
        </w:rPr>
        <w:t>reizes</w:t>
      </w:r>
      <w:proofErr w:type="spellEnd"/>
      <w:r w:rsidRPr="00087F50">
        <w:rPr>
          <w:lang w:val="en-GB"/>
        </w:rPr>
        <w:t xml:space="preserve"> </w:t>
      </w:r>
      <w:proofErr w:type="spellStart"/>
      <w:r w:rsidRPr="00087F50">
        <w:rPr>
          <w:lang w:val="en-GB"/>
        </w:rPr>
        <w:t>pārsniedza</w:t>
      </w:r>
      <w:proofErr w:type="spellEnd"/>
      <w:r w:rsidRPr="00087F50">
        <w:rPr>
          <w:lang w:val="en-GB"/>
        </w:rPr>
        <w:t xml:space="preserve"> </w:t>
      </w:r>
      <w:proofErr w:type="spellStart"/>
      <w:r w:rsidRPr="00087F50">
        <w:rPr>
          <w:lang w:val="en-GB"/>
        </w:rPr>
        <w:t>lielāko</w:t>
      </w:r>
      <w:proofErr w:type="spellEnd"/>
      <w:r w:rsidRPr="00087F50">
        <w:rPr>
          <w:lang w:val="en-GB"/>
        </w:rPr>
        <w:t xml:space="preserve"> </w:t>
      </w:r>
      <w:proofErr w:type="spellStart"/>
      <w:r w:rsidRPr="00087F50">
        <w:rPr>
          <w:lang w:val="en-GB"/>
        </w:rPr>
        <w:t>ieteicamo</w:t>
      </w:r>
      <w:proofErr w:type="spellEnd"/>
      <w:r w:rsidRPr="00087F50">
        <w:rPr>
          <w:lang w:val="en-GB"/>
        </w:rPr>
        <w:t xml:space="preserve"> </w:t>
      </w:r>
      <w:proofErr w:type="spellStart"/>
      <w:r w:rsidRPr="00087F50">
        <w:rPr>
          <w:lang w:val="en-GB"/>
        </w:rPr>
        <w:t>devu</w:t>
      </w:r>
      <w:proofErr w:type="spellEnd"/>
      <w:r w:rsidRPr="00087F50">
        <w:rPr>
          <w:lang w:val="en-GB"/>
        </w:rPr>
        <w:t xml:space="preserve">. </w:t>
      </w:r>
    </w:p>
    <w:p w14:paraId="29876808" w14:textId="77777777" w:rsidR="00A77DDF" w:rsidRPr="00087F50" w:rsidRDefault="00A77DDF" w:rsidP="00A77DDF">
      <w:pPr>
        <w:spacing w:after="0" w:line="259" w:lineRule="auto"/>
        <w:ind w:left="1" w:firstLine="0"/>
        <w:rPr>
          <w:lang w:val="en-GB"/>
        </w:rPr>
      </w:pPr>
      <w:r w:rsidRPr="00087F50">
        <w:rPr>
          <w:lang w:val="en-GB"/>
        </w:rPr>
        <w:t xml:space="preserve"> </w:t>
      </w:r>
    </w:p>
    <w:p w14:paraId="4AAEB640" w14:textId="43D806CD" w:rsidR="00A77DDF" w:rsidRPr="00087F50" w:rsidRDefault="00A77DDF" w:rsidP="00A77DDF">
      <w:pPr>
        <w:ind w:left="-3" w:right="9"/>
        <w:rPr>
          <w:lang w:val="en-GB"/>
        </w:rPr>
      </w:pPr>
      <w:r w:rsidRPr="00087F50">
        <w:rPr>
          <w:lang w:val="en-GB"/>
        </w:rPr>
        <w:t xml:space="preserve">CONFIRMS </w:t>
      </w:r>
      <w:proofErr w:type="spellStart"/>
      <w:r w:rsidRPr="00087F50">
        <w:rPr>
          <w:lang w:val="en-GB"/>
        </w:rPr>
        <w:t>pētījums</w:t>
      </w:r>
      <w:proofErr w:type="spellEnd"/>
      <w:r w:rsidRPr="00087F50">
        <w:rPr>
          <w:lang w:val="en-GB"/>
        </w:rPr>
        <w:t xml:space="preserve">. </w:t>
      </w:r>
      <w:proofErr w:type="spellStart"/>
      <w:r w:rsidRPr="00087F50">
        <w:rPr>
          <w:lang w:val="en-GB"/>
        </w:rPr>
        <w:t>Šis</w:t>
      </w:r>
      <w:proofErr w:type="spellEnd"/>
      <w:r w:rsidRPr="00087F50">
        <w:rPr>
          <w:lang w:val="en-GB"/>
        </w:rPr>
        <w:t xml:space="preserve"> </w:t>
      </w:r>
      <w:proofErr w:type="spellStart"/>
      <w:r w:rsidRPr="00087F50">
        <w:rPr>
          <w:lang w:val="en-GB"/>
        </w:rPr>
        <w:t>pētījums</w:t>
      </w:r>
      <w:proofErr w:type="spellEnd"/>
      <w:r w:rsidRPr="00087F50">
        <w:rPr>
          <w:lang w:val="en-GB"/>
        </w:rPr>
        <w:t xml:space="preserve"> </w:t>
      </w:r>
      <w:proofErr w:type="spellStart"/>
      <w:r w:rsidRPr="00087F50">
        <w:rPr>
          <w:lang w:val="en-GB"/>
        </w:rPr>
        <w:t>bija</w:t>
      </w:r>
      <w:proofErr w:type="spellEnd"/>
      <w:r w:rsidRPr="00087F50">
        <w:rPr>
          <w:lang w:val="en-GB"/>
        </w:rPr>
        <w:t xml:space="preserve"> </w:t>
      </w:r>
      <w:proofErr w:type="spellStart"/>
      <w:r w:rsidRPr="00087F50">
        <w:rPr>
          <w:lang w:val="en-GB"/>
        </w:rPr>
        <w:t>randomizēts</w:t>
      </w:r>
      <w:proofErr w:type="spellEnd"/>
      <w:r w:rsidRPr="00087F50">
        <w:rPr>
          <w:lang w:val="en-GB"/>
        </w:rPr>
        <w:t xml:space="preserve">, </w:t>
      </w:r>
      <w:proofErr w:type="spellStart"/>
      <w:r w:rsidRPr="00087F50">
        <w:rPr>
          <w:lang w:val="en-GB"/>
        </w:rPr>
        <w:t>kontrolēts</w:t>
      </w:r>
      <w:proofErr w:type="spellEnd"/>
      <w:r w:rsidRPr="00087F50">
        <w:rPr>
          <w:lang w:val="en-GB"/>
        </w:rPr>
        <w:t xml:space="preserve">, 26 </w:t>
      </w:r>
      <w:proofErr w:type="spellStart"/>
      <w:r w:rsidRPr="00087F50">
        <w:rPr>
          <w:lang w:val="en-GB"/>
        </w:rPr>
        <w:t>nedēļas</w:t>
      </w:r>
      <w:proofErr w:type="spellEnd"/>
      <w:r w:rsidRPr="00087F50">
        <w:rPr>
          <w:lang w:val="en-GB"/>
        </w:rPr>
        <w:t xml:space="preserve"> </w:t>
      </w:r>
      <w:proofErr w:type="spellStart"/>
      <w:r w:rsidRPr="00087F50">
        <w:rPr>
          <w:lang w:val="en-GB"/>
        </w:rPr>
        <w:t>ilgs</w:t>
      </w:r>
      <w:proofErr w:type="spellEnd"/>
      <w:r w:rsidRPr="00087F50">
        <w:rPr>
          <w:lang w:val="en-GB"/>
        </w:rPr>
        <w:t xml:space="preserve"> 3. </w:t>
      </w:r>
      <w:proofErr w:type="spellStart"/>
      <w:r w:rsidRPr="00087F50">
        <w:rPr>
          <w:lang w:val="en-GB"/>
        </w:rPr>
        <w:t>fāzes</w:t>
      </w:r>
      <w:proofErr w:type="spellEnd"/>
      <w:r w:rsidRPr="00087F50">
        <w:rPr>
          <w:lang w:val="en-GB"/>
        </w:rPr>
        <w:t xml:space="preserve"> </w:t>
      </w:r>
      <w:proofErr w:type="spellStart"/>
      <w:r w:rsidRPr="00087F50">
        <w:rPr>
          <w:lang w:val="en-GB"/>
        </w:rPr>
        <w:t>pētījums</w:t>
      </w:r>
      <w:proofErr w:type="spellEnd"/>
      <w:r w:rsidRPr="00087F50">
        <w:rPr>
          <w:lang w:val="en-GB"/>
        </w:rPr>
        <w:t xml:space="preserve">, </w:t>
      </w:r>
      <w:proofErr w:type="spellStart"/>
      <w:r w:rsidRPr="00087F50">
        <w:rPr>
          <w:lang w:val="en-GB"/>
        </w:rPr>
        <w:t>lai</w:t>
      </w:r>
      <w:proofErr w:type="spellEnd"/>
      <w:r w:rsidRPr="00087F50">
        <w:rPr>
          <w:lang w:val="en-GB"/>
        </w:rPr>
        <w:t xml:space="preserve"> </w:t>
      </w:r>
      <w:proofErr w:type="spellStart"/>
      <w:r w:rsidRPr="00087F50">
        <w:rPr>
          <w:lang w:val="en-GB"/>
        </w:rPr>
        <w:t>vērtētu</w:t>
      </w:r>
      <w:proofErr w:type="spellEnd"/>
      <w:r w:rsidRPr="00087F50">
        <w:rPr>
          <w:lang w:val="en-GB"/>
        </w:rPr>
        <w:t xml:space="preserve"> 40 mg un 80 mg </w:t>
      </w:r>
      <w:proofErr w:type="spellStart"/>
      <w:r w:rsidRPr="00087F50">
        <w:rPr>
          <w:lang w:val="en-GB"/>
        </w:rPr>
        <w:t>lielu</w:t>
      </w:r>
      <w:proofErr w:type="spellEnd"/>
      <w:r w:rsidRPr="00087F50">
        <w:rPr>
          <w:lang w:val="en-GB"/>
        </w:rPr>
        <w:t xml:space="preserve"> </w:t>
      </w:r>
      <w:proofErr w:type="spellStart"/>
      <w:r w:rsidRPr="00087F50">
        <w:rPr>
          <w:lang w:val="en-GB"/>
        </w:rPr>
        <w:t>febuksostata</w:t>
      </w:r>
      <w:proofErr w:type="spellEnd"/>
      <w:r w:rsidRPr="00087F50">
        <w:rPr>
          <w:lang w:val="en-GB"/>
        </w:rPr>
        <w:t xml:space="preserve"> </w:t>
      </w:r>
      <w:proofErr w:type="spellStart"/>
      <w:r w:rsidRPr="00087F50">
        <w:rPr>
          <w:lang w:val="en-GB"/>
        </w:rPr>
        <w:t>devu</w:t>
      </w:r>
      <w:proofErr w:type="spellEnd"/>
      <w:r w:rsidRPr="00087F50">
        <w:rPr>
          <w:lang w:val="en-GB"/>
        </w:rPr>
        <w:t xml:space="preserve"> </w:t>
      </w:r>
      <w:proofErr w:type="spellStart"/>
      <w:r w:rsidRPr="00087F50">
        <w:rPr>
          <w:lang w:val="en-GB"/>
        </w:rPr>
        <w:t>lietošanas</w:t>
      </w:r>
      <w:proofErr w:type="spellEnd"/>
      <w:r w:rsidRPr="00087F50">
        <w:rPr>
          <w:lang w:val="en-GB"/>
        </w:rPr>
        <w:t xml:space="preserve"> </w:t>
      </w:r>
      <w:proofErr w:type="spellStart"/>
      <w:r w:rsidRPr="00087F50">
        <w:rPr>
          <w:lang w:val="en-GB"/>
        </w:rPr>
        <w:t>drošumu</w:t>
      </w:r>
      <w:proofErr w:type="spellEnd"/>
      <w:r w:rsidRPr="00087F50">
        <w:rPr>
          <w:lang w:val="en-GB"/>
        </w:rPr>
        <w:t xml:space="preserve"> un </w:t>
      </w:r>
      <w:proofErr w:type="spellStart"/>
      <w:r w:rsidRPr="00087F50">
        <w:rPr>
          <w:lang w:val="en-GB"/>
        </w:rPr>
        <w:t>efektivitāti</w:t>
      </w:r>
      <w:proofErr w:type="spellEnd"/>
      <w:r w:rsidRPr="00087F50">
        <w:rPr>
          <w:lang w:val="en-GB"/>
        </w:rPr>
        <w:t xml:space="preserve"> </w:t>
      </w:r>
      <w:proofErr w:type="spellStart"/>
      <w:r w:rsidRPr="00087F50">
        <w:rPr>
          <w:lang w:val="en-GB"/>
        </w:rPr>
        <w:t>pacientiem</w:t>
      </w:r>
      <w:proofErr w:type="spellEnd"/>
      <w:r w:rsidRPr="00087F50">
        <w:rPr>
          <w:lang w:val="en-GB"/>
        </w:rPr>
        <w:t xml:space="preserve"> </w:t>
      </w:r>
      <w:proofErr w:type="spellStart"/>
      <w:r w:rsidRPr="00087F50">
        <w:rPr>
          <w:lang w:val="en-GB"/>
        </w:rPr>
        <w:t>ar</w:t>
      </w:r>
      <w:proofErr w:type="spellEnd"/>
      <w:r w:rsidRPr="00087F50">
        <w:rPr>
          <w:lang w:val="en-GB"/>
        </w:rPr>
        <w:t xml:space="preserve"> </w:t>
      </w:r>
      <w:proofErr w:type="spellStart"/>
      <w:r w:rsidRPr="00087F50">
        <w:rPr>
          <w:lang w:val="en-GB"/>
        </w:rPr>
        <w:t>podagru</w:t>
      </w:r>
      <w:proofErr w:type="spellEnd"/>
      <w:r w:rsidRPr="00087F50">
        <w:rPr>
          <w:lang w:val="en-GB"/>
        </w:rPr>
        <w:t xml:space="preserve"> un </w:t>
      </w:r>
      <w:proofErr w:type="spellStart"/>
      <w:r w:rsidRPr="00087F50">
        <w:rPr>
          <w:lang w:val="en-GB"/>
        </w:rPr>
        <w:t>hiperurikēmiju</w:t>
      </w:r>
      <w:proofErr w:type="spellEnd"/>
      <w:r w:rsidRPr="00087F50">
        <w:rPr>
          <w:lang w:val="en-GB"/>
        </w:rPr>
        <w:t xml:space="preserve"> </w:t>
      </w:r>
      <w:proofErr w:type="spellStart"/>
      <w:r w:rsidRPr="00087F50">
        <w:rPr>
          <w:lang w:val="en-GB"/>
        </w:rPr>
        <w:t>salīdzinājumā</w:t>
      </w:r>
      <w:proofErr w:type="spellEnd"/>
      <w:r w:rsidRPr="00087F50">
        <w:rPr>
          <w:lang w:val="en-GB"/>
        </w:rPr>
        <w:t xml:space="preserve"> </w:t>
      </w:r>
      <w:proofErr w:type="spellStart"/>
      <w:r w:rsidRPr="00087F50">
        <w:rPr>
          <w:lang w:val="en-GB"/>
        </w:rPr>
        <w:t>ar</w:t>
      </w:r>
      <w:proofErr w:type="spellEnd"/>
      <w:r w:rsidRPr="00087F50">
        <w:rPr>
          <w:lang w:val="en-GB"/>
        </w:rPr>
        <w:t xml:space="preserve"> 300 mg </w:t>
      </w:r>
      <w:proofErr w:type="spellStart"/>
      <w:r w:rsidRPr="00087F50">
        <w:rPr>
          <w:lang w:val="en-GB"/>
        </w:rPr>
        <w:t>vai</w:t>
      </w:r>
      <w:proofErr w:type="spellEnd"/>
      <w:r w:rsidRPr="00087F50">
        <w:rPr>
          <w:lang w:val="en-GB"/>
        </w:rPr>
        <w:t xml:space="preserve"> 200 mg </w:t>
      </w:r>
      <w:proofErr w:type="spellStart"/>
      <w:r w:rsidRPr="00087F50">
        <w:rPr>
          <w:lang w:val="en-GB"/>
        </w:rPr>
        <w:t>lielām</w:t>
      </w:r>
      <w:proofErr w:type="spellEnd"/>
      <w:r w:rsidRPr="00087F50">
        <w:rPr>
          <w:lang w:val="en-GB"/>
        </w:rPr>
        <w:t xml:space="preserve"> </w:t>
      </w:r>
      <w:proofErr w:type="spellStart"/>
      <w:r w:rsidRPr="00087F50">
        <w:rPr>
          <w:lang w:val="en-GB"/>
        </w:rPr>
        <w:t>allopurinola</w:t>
      </w:r>
      <w:proofErr w:type="spellEnd"/>
      <w:r w:rsidRPr="00087F50">
        <w:rPr>
          <w:lang w:val="en-GB"/>
        </w:rPr>
        <w:t xml:space="preserve"> </w:t>
      </w:r>
      <w:proofErr w:type="spellStart"/>
      <w:r w:rsidRPr="00087F50">
        <w:rPr>
          <w:lang w:val="en-GB"/>
        </w:rPr>
        <w:t>devām</w:t>
      </w:r>
      <w:proofErr w:type="spellEnd"/>
      <w:r w:rsidRPr="00087F50">
        <w:rPr>
          <w:lang w:val="en-GB"/>
        </w:rPr>
        <w:t xml:space="preserve">. 2269 </w:t>
      </w:r>
      <w:proofErr w:type="spellStart"/>
      <w:r w:rsidRPr="00087F50">
        <w:rPr>
          <w:lang w:val="en-GB"/>
        </w:rPr>
        <w:t>pacienti</w:t>
      </w:r>
      <w:proofErr w:type="spellEnd"/>
      <w:r w:rsidRPr="00087F50">
        <w:rPr>
          <w:lang w:val="en-GB"/>
        </w:rPr>
        <w:t xml:space="preserve"> tika </w:t>
      </w:r>
      <w:proofErr w:type="spellStart"/>
      <w:r w:rsidRPr="00087F50">
        <w:rPr>
          <w:lang w:val="en-GB"/>
        </w:rPr>
        <w:t>randomizēti</w:t>
      </w:r>
      <w:proofErr w:type="spellEnd"/>
      <w:r w:rsidRPr="00087F50">
        <w:rPr>
          <w:lang w:val="en-GB"/>
        </w:rPr>
        <w:t xml:space="preserve"> </w:t>
      </w:r>
      <w:proofErr w:type="spellStart"/>
      <w:r w:rsidR="00F84896" w:rsidRPr="00087F50">
        <w:rPr>
          <w:lang w:val="lv-LV"/>
        </w:rPr>
        <w:t>febuksostata</w:t>
      </w:r>
      <w:proofErr w:type="spellEnd"/>
      <w:r w:rsidR="00F84896" w:rsidRPr="00087F50">
        <w:rPr>
          <w:lang w:val="lv-LV"/>
        </w:rPr>
        <w:t xml:space="preserve"> </w:t>
      </w:r>
      <w:r w:rsidRPr="00087F50">
        <w:rPr>
          <w:lang w:val="en-GB"/>
        </w:rPr>
        <w:t xml:space="preserve">40 mg QD (n = 757), </w:t>
      </w:r>
      <w:proofErr w:type="spellStart"/>
      <w:r w:rsidR="00F84896" w:rsidRPr="00087F50">
        <w:rPr>
          <w:lang w:val="lv-LV"/>
        </w:rPr>
        <w:t>febuksostata</w:t>
      </w:r>
      <w:proofErr w:type="spellEnd"/>
      <w:r w:rsidR="00F84896" w:rsidRPr="00087F50">
        <w:rPr>
          <w:lang w:val="lv-LV"/>
        </w:rPr>
        <w:t xml:space="preserve"> </w:t>
      </w:r>
      <w:r w:rsidRPr="00087F50">
        <w:rPr>
          <w:lang w:val="en-GB"/>
        </w:rPr>
        <w:t xml:space="preserve">80 mg QD (n = 756) </w:t>
      </w:r>
      <w:proofErr w:type="spellStart"/>
      <w:r w:rsidRPr="00087F50">
        <w:rPr>
          <w:lang w:val="en-GB"/>
        </w:rPr>
        <w:t>vai</w:t>
      </w:r>
      <w:proofErr w:type="spellEnd"/>
      <w:r w:rsidRPr="00087F50">
        <w:rPr>
          <w:lang w:val="en-GB"/>
        </w:rPr>
        <w:t xml:space="preserve"> </w:t>
      </w:r>
      <w:proofErr w:type="spellStart"/>
      <w:r w:rsidRPr="00087F50">
        <w:rPr>
          <w:lang w:val="en-GB"/>
        </w:rPr>
        <w:t>allopurinola</w:t>
      </w:r>
      <w:proofErr w:type="spellEnd"/>
      <w:r w:rsidRPr="00087F50">
        <w:rPr>
          <w:lang w:val="en-GB"/>
        </w:rPr>
        <w:t xml:space="preserve"> 300/200 mg QD (n = 756) </w:t>
      </w:r>
      <w:proofErr w:type="spellStart"/>
      <w:r w:rsidRPr="00087F50">
        <w:rPr>
          <w:lang w:val="en-GB"/>
        </w:rPr>
        <w:t>saņemšanai</w:t>
      </w:r>
      <w:proofErr w:type="spellEnd"/>
      <w:r w:rsidRPr="00087F50">
        <w:rPr>
          <w:lang w:val="en-GB"/>
        </w:rPr>
        <w:t xml:space="preserve">. </w:t>
      </w:r>
      <w:proofErr w:type="spellStart"/>
      <w:r w:rsidRPr="00087F50">
        <w:rPr>
          <w:lang w:val="en-GB"/>
        </w:rPr>
        <w:t>Vismaz</w:t>
      </w:r>
      <w:proofErr w:type="spellEnd"/>
      <w:r w:rsidRPr="00087F50">
        <w:rPr>
          <w:lang w:val="en-GB"/>
        </w:rPr>
        <w:t xml:space="preserve"> 65 % </w:t>
      </w:r>
      <w:proofErr w:type="spellStart"/>
      <w:r w:rsidRPr="00087F50">
        <w:rPr>
          <w:lang w:val="en-GB"/>
        </w:rPr>
        <w:t>pacientu</w:t>
      </w:r>
      <w:proofErr w:type="spellEnd"/>
      <w:r w:rsidRPr="00087F50">
        <w:rPr>
          <w:lang w:val="en-GB"/>
        </w:rPr>
        <w:t xml:space="preserve"> </w:t>
      </w:r>
      <w:proofErr w:type="spellStart"/>
      <w:r w:rsidRPr="00087F50">
        <w:rPr>
          <w:lang w:val="en-GB"/>
        </w:rPr>
        <w:t>bija</w:t>
      </w:r>
      <w:proofErr w:type="spellEnd"/>
      <w:r w:rsidRPr="00087F50">
        <w:rPr>
          <w:lang w:val="en-GB"/>
        </w:rPr>
        <w:t xml:space="preserve"> </w:t>
      </w:r>
      <w:proofErr w:type="spellStart"/>
      <w:r w:rsidRPr="00087F50">
        <w:rPr>
          <w:lang w:val="en-GB"/>
        </w:rPr>
        <w:t>viegli</w:t>
      </w:r>
      <w:proofErr w:type="spellEnd"/>
      <w:r w:rsidRPr="00087F50">
        <w:rPr>
          <w:lang w:val="en-GB"/>
        </w:rPr>
        <w:t xml:space="preserve"> </w:t>
      </w:r>
      <w:proofErr w:type="spellStart"/>
      <w:r w:rsidRPr="00087F50">
        <w:rPr>
          <w:lang w:val="en-GB"/>
        </w:rPr>
        <w:t>līdz</w:t>
      </w:r>
      <w:proofErr w:type="spellEnd"/>
      <w:r w:rsidRPr="00087F50">
        <w:rPr>
          <w:lang w:val="en-GB"/>
        </w:rPr>
        <w:t xml:space="preserve"> </w:t>
      </w:r>
      <w:proofErr w:type="spellStart"/>
      <w:r w:rsidRPr="00087F50">
        <w:rPr>
          <w:lang w:val="en-GB"/>
        </w:rPr>
        <w:t>vidēji</w:t>
      </w:r>
      <w:proofErr w:type="spellEnd"/>
      <w:r w:rsidRPr="00087F50">
        <w:rPr>
          <w:lang w:val="en-GB"/>
        </w:rPr>
        <w:t xml:space="preserve"> </w:t>
      </w:r>
      <w:proofErr w:type="spellStart"/>
      <w:r w:rsidRPr="00087F50">
        <w:rPr>
          <w:lang w:val="en-GB"/>
        </w:rPr>
        <w:t>smagi</w:t>
      </w:r>
      <w:proofErr w:type="spellEnd"/>
      <w:r w:rsidRPr="00087F50">
        <w:rPr>
          <w:lang w:val="en-GB"/>
        </w:rPr>
        <w:t xml:space="preserve"> </w:t>
      </w:r>
      <w:proofErr w:type="spellStart"/>
      <w:r w:rsidRPr="00087F50">
        <w:rPr>
          <w:lang w:val="en-GB"/>
        </w:rPr>
        <w:t>nieru</w:t>
      </w:r>
      <w:proofErr w:type="spellEnd"/>
      <w:r w:rsidRPr="00087F50">
        <w:rPr>
          <w:lang w:val="en-GB"/>
        </w:rPr>
        <w:t xml:space="preserve"> </w:t>
      </w:r>
      <w:proofErr w:type="spellStart"/>
      <w:r w:rsidRPr="00087F50">
        <w:rPr>
          <w:lang w:val="en-GB"/>
        </w:rPr>
        <w:t>darbības</w:t>
      </w:r>
      <w:proofErr w:type="spellEnd"/>
      <w:r w:rsidRPr="00087F50">
        <w:rPr>
          <w:lang w:val="en-GB"/>
        </w:rPr>
        <w:t xml:space="preserve"> </w:t>
      </w:r>
      <w:proofErr w:type="spellStart"/>
      <w:r w:rsidRPr="00087F50">
        <w:rPr>
          <w:lang w:val="en-GB"/>
        </w:rPr>
        <w:t>traucējumi</w:t>
      </w:r>
      <w:proofErr w:type="spellEnd"/>
      <w:r w:rsidRPr="00087F50">
        <w:rPr>
          <w:lang w:val="en-GB"/>
        </w:rPr>
        <w:t xml:space="preserve"> (</w:t>
      </w:r>
      <w:proofErr w:type="spellStart"/>
      <w:r w:rsidRPr="00087F50">
        <w:rPr>
          <w:lang w:val="en-GB"/>
        </w:rPr>
        <w:t>kreatinīna</w:t>
      </w:r>
      <w:proofErr w:type="spellEnd"/>
      <w:r w:rsidRPr="00087F50">
        <w:rPr>
          <w:lang w:val="en-GB"/>
        </w:rPr>
        <w:t xml:space="preserve"> </w:t>
      </w:r>
      <w:proofErr w:type="spellStart"/>
      <w:r w:rsidRPr="00087F50">
        <w:rPr>
          <w:lang w:val="en-GB"/>
        </w:rPr>
        <w:t>klīrenss</w:t>
      </w:r>
      <w:proofErr w:type="spellEnd"/>
      <w:r w:rsidRPr="00087F50">
        <w:rPr>
          <w:lang w:val="en-GB"/>
        </w:rPr>
        <w:t xml:space="preserve"> 30 – 89 ml/min). 26 </w:t>
      </w:r>
      <w:proofErr w:type="spellStart"/>
      <w:r w:rsidRPr="00087F50">
        <w:rPr>
          <w:lang w:val="en-GB"/>
        </w:rPr>
        <w:t>nedēļu</w:t>
      </w:r>
      <w:proofErr w:type="spellEnd"/>
      <w:r w:rsidRPr="00087F50">
        <w:rPr>
          <w:lang w:val="en-GB"/>
        </w:rPr>
        <w:t xml:space="preserve"> </w:t>
      </w:r>
      <w:proofErr w:type="spellStart"/>
      <w:r w:rsidRPr="00087F50">
        <w:rPr>
          <w:lang w:val="en-GB"/>
        </w:rPr>
        <w:t>laikā</w:t>
      </w:r>
      <w:proofErr w:type="spellEnd"/>
      <w:r w:rsidRPr="00087F50">
        <w:rPr>
          <w:lang w:val="en-GB"/>
        </w:rPr>
        <w:t xml:space="preserve"> </w:t>
      </w:r>
      <w:proofErr w:type="spellStart"/>
      <w:r w:rsidRPr="00087F50">
        <w:rPr>
          <w:lang w:val="en-GB"/>
        </w:rPr>
        <w:t>bija</w:t>
      </w:r>
      <w:proofErr w:type="spellEnd"/>
      <w:r w:rsidRPr="00087F50">
        <w:rPr>
          <w:lang w:val="en-GB"/>
        </w:rPr>
        <w:t xml:space="preserve"> </w:t>
      </w:r>
      <w:proofErr w:type="spellStart"/>
      <w:r w:rsidRPr="00087F50">
        <w:rPr>
          <w:lang w:val="en-GB"/>
        </w:rPr>
        <w:t>obligāti</w:t>
      </w:r>
      <w:proofErr w:type="spellEnd"/>
      <w:r w:rsidRPr="00087F50">
        <w:rPr>
          <w:lang w:val="en-GB"/>
        </w:rPr>
        <w:t xml:space="preserve"> </w:t>
      </w:r>
      <w:proofErr w:type="spellStart"/>
      <w:r w:rsidRPr="00087F50">
        <w:rPr>
          <w:lang w:val="en-GB"/>
        </w:rPr>
        <w:t>jānodrošina</w:t>
      </w:r>
      <w:proofErr w:type="spellEnd"/>
      <w:r w:rsidRPr="00087F50">
        <w:rPr>
          <w:lang w:val="en-GB"/>
        </w:rPr>
        <w:t xml:space="preserve"> </w:t>
      </w:r>
      <w:proofErr w:type="spellStart"/>
      <w:r w:rsidRPr="00087F50">
        <w:rPr>
          <w:lang w:val="en-GB"/>
        </w:rPr>
        <w:t>podagras</w:t>
      </w:r>
      <w:proofErr w:type="spellEnd"/>
      <w:r w:rsidRPr="00087F50">
        <w:rPr>
          <w:lang w:val="en-GB"/>
        </w:rPr>
        <w:t xml:space="preserve"> </w:t>
      </w:r>
      <w:r w:rsidR="002734FF" w:rsidRPr="00087F50">
        <w:rPr>
          <w:lang w:val="lv-LV"/>
        </w:rPr>
        <w:t xml:space="preserve">paasinājuma </w:t>
      </w:r>
      <w:proofErr w:type="spellStart"/>
      <w:r w:rsidRPr="00087F50">
        <w:rPr>
          <w:lang w:val="en-GB"/>
        </w:rPr>
        <w:t>profilakse</w:t>
      </w:r>
      <w:proofErr w:type="spellEnd"/>
      <w:r w:rsidRPr="00087F50">
        <w:rPr>
          <w:lang w:val="en-GB"/>
        </w:rPr>
        <w:t xml:space="preserve">. </w:t>
      </w:r>
    </w:p>
    <w:p w14:paraId="2B9289B2" w14:textId="77777777" w:rsidR="00A77DDF" w:rsidRPr="00087F50" w:rsidRDefault="00A77DDF" w:rsidP="00A77DDF">
      <w:pPr>
        <w:ind w:left="-3" w:right="9"/>
        <w:rPr>
          <w:lang w:val="en-GB"/>
        </w:rPr>
      </w:pPr>
      <w:proofErr w:type="spellStart"/>
      <w:r w:rsidRPr="00087F50">
        <w:rPr>
          <w:lang w:val="en-GB"/>
        </w:rPr>
        <w:lastRenderedPageBreak/>
        <w:t>Pacientu</w:t>
      </w:r>
      <w:proofErr w:type="spellEnd"/>
      <w:r w:rsidRPr="00087F50">
        <w:rPr>
          <w:lang w:val="en-GB"/>
        </w:rPr>
        <w:t xml:space="preserve">, </w:t>
      </w:r>
      <w:proofErr w:type="spellStart"/>
      <w:r w:rsidRPr="00087F50">
        <w:rPr>
          <w:lang w:val="en-GB"/>
        </w:rPr>
        <w:t>kuriem</w:t>
      </w:r>
      <w:proofErr w:type="spellEnd"/>
      <w:r w:rsidRPr="00087F50">
        <w:rPr>
          <w:lang w:val="en-GB"/>
        </w:rPr>
        <w:t xml:space="preserve"> </w:t>
      </w:r>
      <w:proofErr w:type="spellStart"/>
      <w:r w:rsidRPr="00087F50">
        <w:rPr>
          <w:lang w:val="en-GB"/>
        </w:rPr>
        <w:t>pēdējās</w:t>
      </w:r>
      <w:proofErr w:type="spellEnd"/>
      <w:r w:rsidRPr="00087F50">
        <w:rPr>
          <w:lang w:val="en-GB"/>
        </w:rPr>
        <w:t xml:space="preserve"> </w:t>
      </w:r>
      <w:proofErr w:type="spellStart"/>
      <w:r w:rsidRPr="00087F50">
        <w:rPr>
          <w:lang w:val="en-GB"/>
        </w:rPr>
        <w:t>vizītes</w:t>
      </w:r>
      <w:proofErr w:type="spellEnd"/>
      <w:r w:rsidRPr="00087F50">
        <w:rPr>
          <w:lang w:val="en-GB"/>
        </w:rPr>
        <w:t xml:space="preserve"> </w:t>
      </w:r>
      <w:proofErr w:type="spellStart"/>
      <w:r w:rsidRPr="00087F50">
        <w:rPr>
          <w:lang w:val="en-GB"/>
        </w:rPr>
        <w:t>laikā</w:t>
      </w:r>
      <w:proofErr w:type="spellEnd"/>
      <w:r w:rsidRPr="00087F50">
        <w:rPr>
          <w:lang w:val="en-GB"/>
        </w:rPr>
        <w:t xml:space="preserve"> </w:t>
      </w:r>
      <w:proofErr w:type="spellStart"/>
      <w:r w:rsidRPr="00087F50">
        <w:rPr>
          <w:lang w:val="en-GB"/>
        </w:rPr>
        <w:t>urātu</w:t>
      </w:r>
      <w:proofErr w:type="spellEnd"/>
      <w:r w:rsidRPr="00087F50">
        <w:rPr>
          <w:lang w:val="en-GB"/>
        </w:rPr>
        <w:t xml:space="preserve"> </w:t>
      </w:r>
      <w:proofErr w:type="spellStart"/>
      <w:r w:rsidRPr="00087F50">
        <w:rPr>
          <w:lang w:val="en-GB"/>
        </w:rPr>
        <w:t>koncentrācija</w:t>
      </w:r>
      <w:proofErr w:type="spellEnd"/>
      <w:r w:rsidRPr="00087F50">
        <w:rPr>
          <w:lang w:val="en-GB"/>
        </w:rPr>
        <w:t xml:space="preserve"> </w:t>
      </w:r>
      <w:proofErr w:type="spellStart"/>
      <w:r w:rsidRPr="00087F50">
        <w:rPr>
          <w:lang w:val="en-GB"/>
        </w:rPr>
        <w:t>serumā</w:t>
      </w:r>
      <w:proofErr w:type="spellEnd"/>
      <w:r w:rsidRPr="00087F50">
        <w:rPr>
          <w:lang w:val="en-GB"/>
        </w:rPr>
        <w:t xml:space="preserve"> </w:t>
      </w:r>
      <w:proofErr w:type="spellStart"/>
      <w:r w:rsidRPr="00087F50">
        <w:rPr>
          <w:lang w:val="en-GB"/>
        </w:rPr>
        <w:t>bija</w:t>
      </w:r>
      <w:proofErr w:type="spellEnd"/>
      <w:r w:rsidRPr="00087F50">
        <w:rPr>
          <w:lang w:val="en-GB"/>
        </w:rPr>
        <w:t xml:space="preserve"> &lt; 6,0 mg/dl (357 µmol/l), </w:t>
      </w:r>
      <w:proofErr w:type="spellStart"/>
      <w:r w:rsidRPr="00087F50">
        <w:rPr>
          <w:lang w:val="en-GB"/>
        </w:rPr>
        <w:t>daļa</w:t>
      </w:r>
      <w:proofErr w:type="spellEnd"/>
      <w:r w:rsidRPr="00087F50">
        <w:rPr>
          <w:lang w:val="en-GB"/>
        </w:rPr>
        <w:t xml:space="preserve"> 40 mg </w:t>
      </w:r>
      <w:proofErr w:type="spellStart"/>
      <w:r w:rsidRPr="00087F50">
        <w:rPr>
          <w:lang w:val="en-GB"/>
        </w:rPr>
        <w:t>febuksostata</w:t>
      </w:r>
      <w:proofErr w:type="spellEnd"/>
      <w:r w:rsidRPr="00087F50">
        <w:rPr>
          <w:lang w:val="en-GB"/>
        </w:rPr>
        <w:t xml:space="preserve">, 80 mg </w:t>
      </w:r>
      <w:proofErr w:type="spellStart"/>
      <w:r w:rsidRPr="00087F50">
        <w:rPr>
          <w:lang w:val="en-GB"/>
        </w:rPr>
        <w:t>febuksostata</w:t>
      </w:r>
      <w:proofErr w:type="spellEnd"/>
      <w:r w:rsidRPr="00087F50">
        <w:rPr>
          <w:lang w:val="en-GB"/>
        </w:rPr>
        <w:t xml:space="preserve"> un 300/200 mg </w:t>
      </w:r>
      <w:proofErr w:type="spellStart"/>
      <w:r w:rsidRPr="00087F50">
        <w:rPr>
          <w:lang w:val="en-GB"/>
        </w:rPr>
        <w:t>allopurinola</w:t>
      </w:r>
      <w:proofErr w:type="spellEnd"/>
      <w:r w:rsidRPr="00087F50">
        <w:rPr>
          <w:lang w:val="en-GB"/>
        </w:rPr>
        <w:t xml:space="preserve"> </w:t>
      </w:r>
      <w:proofErr w:type="spellStart"/>
      <w:r w:rsidRPr="00087F50">
        <w:rPr>
          <w:lang w:val="en-GB"/>
        </w:rPr>
        <w:t>grupā</w:t>
      </w:r>
      <w:proofErr w:type="spellEnd"/>
      <w:r w:rsidRPr="00087F50">
        <w:rPr>
          <w:lang w:val="en-GB"/>
        </w:rPr>
        <w:t xml:space="preserve"> </w:t>
      </w:r>
      <w:proofErr w:type="spellStart"/>
      <w:r w:rsidRPr="00087F50">
        <w:rPr>
          <w:lang w:val="en-GB"/>
        </w:rPr>
        <w:t>bija</w:t>
      </w:r>
      <w:proofErr w:type="spellEnd"/>
      <w:r w:rsidRPr="00087F50">
        <w:rPr>
          <w:lang w:val="en-GB"/>
        </w:rPr>
        <w:t xml:space="preserve"> </w:t>
      </w:r>
      <w:proofErr w:type="spellStart"/>
      <w:r w:rsidRPr="00087F50">
        <w:rPr>
          <w:lang w:val="en-GB"/>
        </w:rPr>
        <w:t>attiecīgi</w:t>
      </w:r>
      <w:proofErr w:type="spellEnd"/>
      <w:r w:rsidRPr="00087F50">
        <w:rPr>
          <w:lang w:val="en-GB"/>
        </w:rPr>
        <w:t xml:space="preserve"> 45 %, 67 % un 42 %. </w:t>
      </w:r>
    </w:p>
    <w:p w14:paraId="2FB94057" w14:textId="77777777" w:rsidR="00A77DDF" w:rsidRPr="00087F50" w:rsidRDefault="00A77DDF" w:rsidP="00A77DDF">
      <w:pPr>
        <w:spacing w:after="0" w:line="259" w:lineRule="auto"/>
        <w:ind w:left="1" w:firstLine="0"/>
        <w:rPr>
          <w:lang w:val="en-GB"/>
        </w:rPr>
      </w:pPr>
      <w:r w:rsidRPr="00087F50">
        <w:rPr>
          <w:lang w:val="en-GB"/>
        </w:rPr>
        <w:t xml:space="preserve"> </w:t>
      </w:r>
    </w:p>
    <w:p w14:paraId="70E618CD" w14:textId="77777777" w:rsidR="00A77DDF" w:rsidRPr="00087F50" w:rsidRDefault="00A77DDF" w:rsidP="00A77DDF">
      <w:pPr>
        <w:spacing w:after="13" w:line="249" w:lineRule="auto"/>
        <w:ind w:left="-3" w:hanging="10"/>
        <w:rPr>
          <w:lang w:val="en-GB"/>
        </w:rPr>
      </w:pPr>
      <w:proofErr w:type="spellStart"/>
      <w:r w:rsidRPr="00087F50">
        <w:rPr>
          <w:i/>
          <w:lang w:val="en-GB"/>
        </w:rPr>
        <w:t>Primārais</w:t>
      </w:r>
      <w:proofErr w:type="spellEnd"/>
      <w:r w:rsidRPr="00087F50">
        <w:rPr>
          <w:i/>
          <w:lang w:val="en-GB"/>
        </w:rPr>
        <w:t xml:space="preserve"> </w:t>
      </w:r>
      <w:proofErr w:type="spellStart"/>
      <w:r w:rsidRPr="00087F50">
        <w:rPr>
          <w:i/>
          <w:lang w:val="en-GB"/>
        </w:rPr>
        <w:t>mērķa</w:t>
      </w:r>
      <w:proofErr w:type="spellEnd"/>
      <w:r w:rsidRPr="00087F50">
        <w:rPr>
          <w:i/>
          <w:lang w:val="en-GB"/>
        </w:rPr>
        <w:t xml:space="preserve"> </w:t>
      </w:r>
      <w:proofErr w:type="spellStart"/>
      <w:r w:rsidRPr="00087F50">
        <w:rPr>
          <w:i/>
          <w:lang w:val="en-GB"/>
        </w:rPr>
        <w:t>kritērijs</w:t>
      </w:r>
      <w:proofErr w:type="spellEnd"/>
      <w:r w:rsidRPr="00087F50">
        <w:rPr>
          <w:i/>
          <w:lang w:val="en-GB"/>
        </w:rPr>
        <w:t xml:space="preserve"> </w:t>
      </w:r>
      <w:proofErr w:type="spellStart"/>
      <w:r w:rsidRPr="00087F50">
        <w:rPr>
          <w:i/>
          <w:lang w:val="en-GB"/>
        </w:rPr>
        <w:t>pacientiem</w:t>
      </w:r>
      <w:proofErr w:type="spellEnd"/>
      <w:r w:rsidRPr="00087F50">
        <w:rPr>
          <w:i/>
          <w:lang w:val="en-GB"/>
        </w:rPr>
        <w:t xml:space="preserve"> </w:t>
      </w:r>
      <w:proofErr w:type="spellStart"/>
      <w:r w:rsidRPr="00087F50">
        <w:rPr>
          <w:i/>
          <w:lang w:val="en-GB"/>
        </w:rPr>
        <w:t>ar</w:t>
      </w:r>
      <w:proofErr w:type="spellEnd"/>
      <w:r w:rsidRPr="00087F50">
        <w:rPr>
          <w:i/>
          <w:lang w:val="en-GB"/>
        </w:rPr>
        <w:t xml:space="preserve"> </w:t>
      </w:r>
      <w:proofErr w:type="spellStart"/>
      <w:r w:rsidRPr="00087F50">
        <w:rPr>
          <w:i/>
          <w:lang w:val="en-GB"/>
        </w:rPr>
        <w:t>nieru</w:t>
      </w:r>
      <w:proofErr w:type="spellEnd"/>
      <w:r w:rsidRPr="00087F50">
        <w:rPr>
          <w:i/>
          <w:lang w:val="en-GB"/>
        </w:rPr>
        <w:t xml:space="preserve"> </w:t>
      </w:r>
      <w:proofErr w:type="spellStart"/>
      <w:r w:rsidRPr="00087F50">
        <w:rPr>
          <w:i/>
          <w:lang w:val="en-GB"/>
        </w:rPr>
        <w:t>darbības</w:t>
      </w:r>
      <w:proofErr w:type="spellEnd"/>
      <w:r w:rsidRPr="00087F50">
        <w:rPr>
          <w:i/>
          <w:lang w:val="en-GB"/>
        </w:rPr>
        <w:t xml:space="preserve"> </w:t>
      </w:r>
      <w:proofErr w:type="spellStart"/>
      <w:r w:rsidRPr="00087F50">
        <w:rPr>
          <w:i/>
          <w:lang w:val="en-GB"/>
        </w:rPr>
        <w:t>traucējumiem</w:t>
      </w:r>
      <w:proofErr w:type="spellEnd"/>
      <w:r w:rsidRPr="00087F50">
        <w:rPr>
          <w:i/>
          <w:lang w:val="en-GB"/>
        </w:rPr>
        <w:t xml:space="preserve"> </w:t>
      </w:r>
    </w:p>
    <w:p w14:paraId="46527073" w14:textId="2AE322E9" w:rsidR="00A77DDF" w:rsidRPr="00087F50" w:rsidRDefault="00A77DDF" w:rsidP="00A77DDF">
      <w:pPr>
        <w:ind w:left="-3" w:right="9"/>
        <w:rPr>
          <w:lang w:val="en-GB"/>
        </w:rPr>
      </w:pPr>
      <w:r w:rsidRPr="00087F50">
        <w:rPr>
          <w:lang w:val="en-GB"/>
        </w:rPr>
        <w:t xml:space="preserve">APEX </w:t>
      </w:r>
      <w:proofErr w:type="spellStart"/>
      <w:r w:rsidRPr="00087F50">
        <w:rPr>
          <w:lang w:val="en-GB"/>
        </w:rPr>
        <w:t>pētījumā</w:t>
      </w:r>
      <w:proofErr w:type="spellEnd"/>
      <w:r w:rsidRPr="00087F50">
        <w:rPr>
          <w:lang w:val="en-GB"/>
        </w:rPr>
        <w:t xml:space="preserve"> tika </w:t>
      </w:r>
      <w:proofErr w:type="spellStart"/>
      <w:r w:rsidRPr="00087F50">
        <w:rPr>
          <w:lang w:val="en-GB"/>
        </w:rPr>
        <w:t>novērtēta</w:t>
      </w:r>
      <w:proofErr w:type="spellEnd"/>
      <w:r w:rsidRPr="00087F50">
        <w:rPr>
          <w:lang w:val="en-GB"/>
        </w:rPr>
        <w:t xml:space="preserve"> </w:t>
      </w:r>
      <w:proofErr w:type="spellStart"/>
      <w:r w:rsidRPr="00087F50">
        <w:rPr>
          <w:lang w:val="en-GB"/>
        </w:rPr>
        <w:t>zāļu</w:t>
      </w:r>
      <w:proofErr w:type="spellEnd"/>
      <w:r w:rsidRPr="00087F50">
        <w:rPr>
          <w:lang w:val="en-GB"/>
        </w:rPr>
        <w:t xml:space="preserve"> </w:t>
      </w:r>
      <w:proofErr w:type="spellStart"/>
      <w:r w:rsidRPr="00087F50">
        <w:rPr>
          <w:lang w:val="en-GB"/>
        </w:rPr>
        <w:t>efektivitāte</w:t>
      </w:r>
      <w:proofErr w:type="spellEnd"/>
      <w:r w:rsidRPr="00087F50">
        <w:rPr>
          <w:lang w:val="en-GB"/>
        </w:rPr>
        <w:t xml:space="preserve"> 40 </w:t>
      </w:r>
      <w:proofErr w:type="spellStart"/>
      <w:r w:rsidRPr="00087F50">
        <w:rPr>
          <w:lang w:val="en-GB"/>
        </w:rPr>
        <w:t>pacientiem</w:t>
      </w:r>
      <w:proofErr w:type="spellEnd"/>
      <w:r w:rsidRPr="00087F50">
        <w:rPr>
          <w:lang w:val="en-GB"/>
        </w:rPr>
        <w:t xml:space="preserve"> </w:t>
      </w:r>
      <w:proofErr w:type="spellStart"/>
      <w:r w:rsidRPr="00087F50">
        <w:rPr>
          <w:lang w:val="en-GB"/>
        </w:rPr>
        <w:t>ar</w:t>
      </w:r>
      <w:proofErr w:type="spellEnd"/>
      <w:r w:rsidRPr="00087F50">
        <w:rPr>
          <w:lang w:val="en-GB"/>
        </w:rPr>
        <w:t xml:space="preserve"> </w:t>
      </w:r>
      <w:proofErr w:type="spellStart"/>
      <w:r w:rsidRPr="00087F50">
        <w:rPr>
          <w:lang w:val="en-GB"/>
        </w:rPr>
        <w:t>nieru</w:t>
      </w:r>
      <w:proofErr w:type="spellEnd"/>
      <w:r w:rsidRPr="00087F50">
        <w:rPr>
          <w:lang w:val="en-GB"/>
        </w:rPr>
        <w:t xml:space="preserve"> </w:t>
      </w:r>
      <w:proofErr w:type="spellStart"/>
      <w:r w:rsidRPr="00087F50">
        <w:rPr>
          <w:lang w:val="en-GB"/>
        </w:rPr>
        <w:t>darbības</w:t>
      </w:r>
      <w:proofErr w:type="spellEnd"/>
      <w:r w:rsidRPr="00087F50">
        <w:rPr>
          <w:lang w:val="en-GB"/>
        </w:rPr>
        <w:t xml:space="preserve"> </w:t>
      </w:r>
      <w:proofErr w:type="spellStart"/>
      <w:r w:rsidRPr="00087F50">
        <w:rPr>
          <w:lang w:val="en-GB"/>
        </w:rPr>
        <w:t>traucējumiem</w:t>
      </w:r>
      <w:proofErr w:type="spellEnd"/>
      <w:r w:rsidRPr="00087F50">
        <w:rPr>
          <w:lang w:val="en-GB"/>
        </w:rPr>
        <w:t xml:space="preserve">, </w:t>
      </w:r>
      <w:proofErr w:type="spellStart"/>
      <w:r w:rsidRPr="00087F50">
        <w:rPr>
          <w:lang w:val="en-GB"/>
        </w:rPr>
        <w:t>tas</w:t>
      </w:r>
      <w:proofErr w:type="spellEnd"/>
      <w:r w:rsidRPr="00087F50">
        <w:rPr>
          <w:lang w:val="en-GB"/>
        </w:rPr>
        <w:t xml:space="preserve"> </w:t>
      </w:r>
      <w:proofErr w:type="spellStart"/>
      <w:r w:rsidRPr="00087F50">
        <w:rPr>
          <w:lang w:val="en-GB"/>
        </w:rPr>
        <w:t>ir</w:t>
      </w:r>
      <w:proofErr w:type="spellEnd"/>
      <w:r w:rsidRPr="00087F50">
        <w:rPr>
          <w:lang w:val="en-GB"/>
        </w:rPr>
        <w:t xml:space="preserve">, </w:t>
      </w:r>
      <w:proofErr w:type="spellStart"/>
      <w:r w:rsidRPr="00087F50">
        <w:rPr>
          <w:lang w:val="en-GB"/>
        </w:rPr>
        <w:t>ar</w:t>
      </w:r>
      <w:proofErr w:type="spellEnd"/>
      <w:r w:rsidRPr="00087F50">
        <w:rPr>
          <w:lang w:val="en-GB"/>
        </w:rPr>
        <w:t xml:space="preserve"> </w:t>
      </w:r>
      <w:proofErr w:type="spellStart"/>
      <w:r w:rsidRPr="00087F50">
        <w:rPr>
          <w:lang w:val="en-GB"/>
        </w:rPr>
        <w:t>sākotnējo</w:t>
      </w:r>
      <w:proofErr w:type="spellEnd"/>
      <w:r w:rsidRPr="00087F50">
        <w:rPr>
          <w:lang w:val="en-GB"/>
        </w:rPr>
        <w:t xml:space="preserve"> </w:t>
      </w:r>
      <w:proofErr w:type="spellStart"/>
      <w:r w:rsidRPr="00087F50">
        <w:rPr>
          <w:lang w:val="en-GB"/>
        </w:rPr>
        <w:t>kreatinīna</w:t>
      </w:r>
      <w:proofErr w:type="spellEnd"/>
      <w:r w:rsidRPr="00087F50">
        <w:rPr>
          <w:lang w:val="en-GB"/>
        </w:rPr>
        <w:t xml:space="preserve"> </w:t>
      </w:r>
      <w:proofErr w:type="spellStart"/>
      <w:r w:rsidRPr="00087F50">
        <w:rPr>
          <w:lang w:val="en-GB"/>
        </w:rPr>
        <w:t>līmeni</w:t>
      </w:r>
      <w:proofErr w:type="spellEnd"/>
      <w:r w:rsidRPr="00087F50">
        <w:rPr>
          <w:lang w:val="en-GB"/>
        </w:rPr>
        <w:t xml:space="preserve"> </w:t>
      </w:r>
      <w:proofErr w:type="spellStart"/>
      <w:r w:rsidRPr="00087F50">
        <w:rPr>
          <w:lang w:val="en-GB"/>
        </w:rPr>
        <w:t>serumā</w:t>
      </w:r>
      <w:proofErr w:type="spellEnd"/>
      <w:r w:rsidRPr="00087F50">
        <w:rPr>
          <w:lang w:val="en-GB"/>
        </w:rPr>
        <w:t xml:space="preserve"> &gt; 1,5 mg/dl un </w:t>
      </w:r>
      <w:r w:rsidRPr="00087F50">
        <w:rPr>
          <w:rFonts w:ascii="Segoe UI Symbol" w:eastAsia="Segoe UI Symbol" w:hAnsi="Segoe UI Symbol" w:cs="Segoe UI Symbol"/>
          <w:lang w:val="en-GB"/>
        </w:rPr>
        <w:t>≤</w:t>
      </w:r>
      <w:r w:rsidRPr="00087F50">
        <w:rPr>
          <w:lang w:val="en-GB"/>
        </w:rPr>
        <w:t xml:space="preserve"> 2,0 mg/dl. </w:t>
      </w:r>
      <w:proofErr w:type="spellStart"/>
      <w:r w:rsidRPr="00087F50">
        <w:rPr>
          <w:lang w:val="en-GB"/>
        </w:rPr>
        <w:t>Pacientiem</w:t>
      </w:r>
      <w:proofErr w:type="spellEnd"/>
      <w:r w:rsidRPr="00087F50">
        <w:rPr>
          <w:lang w:val="en-GB"/>
        </w:rPr>
        <w:t xml:space="preserve"> </w:t>
      </w:r>
      <w:proofErr w:type="spellStart"/>
      <w:r w:rsidRPr="00087F50">
        <w:rPr>
          <w:lang w:val="en-GB"/>
        </w:rPr>
        <w:t>ar</w:t>
      </w:r>
      <w:proofErr w:type="spellEnd"/>
      <w:r w:rsidRPr="00087F50">
        <w:rPr>
          <w:lang w:val="en-GB"/>
        </w:rPr>
        <w:t xml:space="preserve"> </w:t>
      </w:r>
      <w:proofErr w:type="spellStart"/>
      <w:r w:rsidRPr="00087F50">
        <w:rPr>
          <w:lang w:val="en-GB"/>
        </w:rPr>
        <w:t>nieru</w:t>
      </w:r>
      <w:proofErr w:type="spellEnd"/>
      <w:r w:rsidRPr="00087F50">
        <w:rPr>
          <w:lang w:val="en-GB"/>
        </w:rPr>
        <w:t xml:space="preserve"> </w:t>
      </w:r>
      <w:proofErr w:type="spellStart"/>
      <w:r w:rsidRPr="00087F50">
        <w:rPr>
          <w:lang w:val="en-GB"/>
        </w:rPr>
        <w:t>darbības</w:t>
      </w:r>
      <w:proofErr w:type="spellEnd"/>
      <w:r w:rsidRPr="00087F50">
        <w:rPr>
          <w:lang w:val="en-GB"/>
        </w:rPr>
        <w:t xml:space="preserve"> </w:t>
      </w:r>
      <w:proofErr w:type="spellStart"/>
      <w:r w:rsidRPr="00087F50">
        <w:rPr>
          <w:lang w:val="en-GB"/>
        </w:rPr>
        <w:t>traucējumiem</w:t>
      </w:r>
      <w:proofErr w:type="spellEnd"/>
      <w:r w:rsidRPr="00087F50">
        <w:rPr>
          <w:lang w:val="en-GB"/>
        </w:rPr>
        <w:t xml:space="preserve">, kas tika </w:t>
      </w:r>
      <w:proofErr w:type="spellStart"/>
      <w:r w:rsidRPr="00087F50">
        <w:rPr>
          <w:lang w:val="en-GB"/>
        </w:rPr>
        <w:t>iedalīti</w:t>
      </w:r>
      <w:proofErr w:type="spellEnd"/>
      <w:r w:rsidRPr="00087F50">
        <w:rPr>
          <w:lang w:val="en-GB"/>
        </w:rPr>
        <w:t xml:space="preserve"> </w:t>
      </w:r>
      <w:proofErr w:type="spellStart"/>
      <w:r w:rsidRPr="00087F50">
        <w:rPr>
          <w:lang w:val="en-GB"/>
        </w:rPr>
        <w:t>allopurinola</w:t>
      </w:r>
      <w:proofErr w:type="spellEnd"/>
      <w:r w:rsidRPr="00087F50">
        <w:rPr>
          <w:lang w:val="en-GB"/>
        </w:rPr>
        <w:t xml:space="preserve"> </w:t>
      </w:r>
      <w:proofErr w:type="spellStart"/>
      <w:r w:rsidRPr="00087F50">
        <w:rPr>
          <w:lang w:val="en-GB"/>
        </w:rPr>
        <w:t>lietotāju</w:t>
      </w:r>
      <w:proofErr w:type="spellEnd"/>
      <w:r w:rsidRPr="00087F50">
        <w:rPr>
          <w:lang w:val="en-GB"/>
        </w:rPr>
        <w:t xml:space="preserve"> </w:t>
      </w:r>
      <w:proofErr w:type="spellStart"/>
      <w:r w:rsidRPr="00087F50">
        <w:rPr>
          <w:lang w:val="en-GB"/>
        </w:rPr>
        <w:t>grupā</w:t>
      </w:r>
      <w:proofErr w:type="spellEnd"/>
      <w:r w:rsidRPr="00087F50">
        <w:rPr>
          <w:lang w:val="en-GB"/>
        </w:rPr>
        <w:t xml:space="preserve">, deva tika </w:t>
      </w:r>
      <w:proofErr w:type="spellStart"/>
      <w:r w:rsidRPr="00087F50">
        <w:rPr>
          <w:lang w:val="en-GB"/>
        </w:rPr>
        <w:t>samazināta</w:t>
      </w:r>
      <w:proofErr w:type="spellEnd"/>
      <w:r w:rsidRPr="00087F50">
        <w:rPr>
          <w:lang w:val="en-GB"/>
        </w:rPr>
        <w:t xml:space="preserve"> </w:t>
      </w:r>
      <w:proofErr w:type="spellStart"/>
      <w:r w:rsidRPr="00087F50">
        <w:rPr>
          <w:lang w:val="en-GB"/>
        </w:rPr>
        <w:t>līdz</w:t>
      </w:r>
      <w:proofErr w:type="spellEnd"/>
      <w:r w:rsidRPr="00087F50">
        <w:rPr>
          <w:lang w:val="en-GB"/>
        </w:rPr>
        <w:t xml:space="preserve"> 100 mg QD. </w:t>
      </w:r>
      <w:r w:rsidR="00996CC0" w:rsidRPr="00087F50">
        <w:rPr>
          <w:lang w:val="en-GB"/>
        </w:rPr>
        <w:t>F</w:t>
      </w:r>
      <w:proofErr w:type="spellStart"/>
      <w:r w:rsidR="00996CC0" w:rsidRPr="00087F50">
        <w:rPr>
          <w:lang w:val="lv-LV"/>
        </w:rPr>
        <w:t>ebuksostata</w:t>
      </w:r>
      <w:proofErr w:type="spellEnd"/>
      <w:r w:rsidR="00996CC0" w:rsidRPr="00087F50">
        <w:rPr>
          <w:lang w:val="lv-LV"/>
        </w:rPr>
        <w:t xml:space="preserve"> </w:t>
      </w:r>
      <w:proofErr w:type="spellStart"/>
      <w:r w:rsidRPr="00087F50">
        <w:rPr>
          <w:lang w:val="en-GB"/>
        </w:rPr>
        <w:t>primāro</w:t>
      </w:r>
      <w:proofErr w:type="spellEnd"/>
      <w:r w:rsidRPr="00087F50">
        <w:rPr>
          <w:lang w:val="en-GB"/>
        </w:rPr>
        <w:t xml:space="preserve"> </w:t>
      </w:r>
      <w:proofErr w:type="spellStart"/>
      <w:r w:rsidRPr="00087F50">
        <w:rPr>
          <w:lang w:val="en-GB"/>
        </w:rPr>
        <w:t>efektivitātes</w:t>
      </w:r>
      <w:proofErr w:type="spellEnd"/>
      <w:r w:rsidRPr="00087F50">
        <w:rPr>
          <w:lang w:val="en-GB"/>
        </w:rPr>
        <w:t xml:space="preserve"> </w:t>
      </w:r>
      <w:proofErr w:type="spellStart"/>
      <w:r w:rsidRPr="00087F50">
        <w:rPr>
          <w:lang w:val="en-GB"/>
        </w:rPr>
        <w:t>mērķa</w:t>
      </w:r>
      <w:proofErr w:type="spellEnd"/>
      <w:r w:rsidRPr="00087F50">
        <w:rPr>
          <w:lang w:val="en-GB"/>
        </w:rPr>
        <w:t xml:space="preserve"> </w:t>
      </w:r>
      <w:proofErr w:type="spellStart"/>
      <w:r w:rsidRPr="00087F50">
        <w:rPr>
          <w:lang w:val="en-GB"/>
        </w:rPr>
        <w:t>kritēriju</w:t>
      </w:r>
      <w:proofErr w:type="spellEnd"/>
      <w:r w:rsidRPr="00087F50">
        <w:rPr>
          <w:lang w:val="en-GB"/>
        </w:rPr>
        <w:t xml:space="preserve"> </w:t>
      </w:r>
      <w:proofErr w:type="spellStart"/>
      <w:r w:rsidRPr="00087F50">
        <w:rPr>
          <w:lang w:val="en-GB"/>
        </w:rPr>
        <w:t>ļāva</w:t>
      </w:r>
      <w:proofErr w:type="spellEnd"/>
      <w:r w:rsidRPr="00087F50">
        <w:rPr>
          <w:lang w:val="en-GB"/>
        </w:rPr>
        <w:t xml:space="preserve"> </w:t>
      </w:r>
      <w:proofErr w:type="spellStart"/>
      <w:r w:rsidRPr="00087F50">
        <w:rPr>
          <w:lang w:val="en-GB"/>
        </w:rPr>
        <w:t>sasniegt</w:t>
      </w:r>
      <w:proofErr w:type="spellEnd"/>
      <w:r w:rsidRPr="00087F50">
        <w:rPr>
          <w:lang w:val="en-GB"/>
        </w:rPr>
        <w:t xml:space="preserve"> 44 % (80 mg QD), 45 % (120 mg QD) un 60 % (240 mg QD) </w:t>
      </w:r>
      <w:proofErr w:type="spellStart"/>
      <w:r w:rsidRPr="00087F50">
        <w:rPr>
          <w:lang w:val="en-GB"/>
        </w:rPr>
        <w:t>pacientu</w:t>
      </w:r>
      <w:proofErr w:type="spellEnd"/>
      <w:r w:rsidRPr="00087F50">
        <w:rPr>
          <w:lang w:val="en-GB"/>
        </w:rPr>
        <w:t xml:space="preserve">, </w:t>
      </w:r>
      <w:proofErr w:type="spellStart"/>
      <w:r w:rsidRPr="00087F50">
        <w:rPr>
          <w:lang w:val="en-GB"/>
        </w:rPr>
        <w:t>savukārt</w:t>
      </w:r>
      <w:proofErr w:type="spellEnd"/>
      <w:r w:rsidRPr="00087F50">
        <w:rPr>
          <w:lang w:val="en-GB"/>
        </w:rPr>
        <w:t xml:space="preserve"> 100 mg QD </w:t>
      </w:r>
      <w:proofErr w:type="spellStart"/>
      <w:r w:rsidRPr="00087F50">
        <w:rPr>
          <w:lang w:val="en-GB"/>
        </w:rPr>
        <w:t>allopurinola</w:t>
      </w:r>
      <w:proofErr w:type="spellEnd"/>
      <w:r w:rsidRPr="00087F50">
        <w:rPr>
          <w:lang w:val="en-GB"/>
        </w:rPr>
        <w:t xml:space="preserve"> </w:t>
      </w:r>
      <w:proofErr w:type="spellStart"/>
      <w:r w:rsidRPr="00087F50">
        <w:rPr>
          <w:lang w:val="en-GB"/>
        </w:rPr>
        <w:t>lietotāju</w:t>
      </w:r>
      <w:proofErr w:type="spellEnd"/>
      <w:r w:rsidRPr="00087F50">
        <w:rPr>
          <w:lang w:val="en-GB"/>
        </w:rPr>
        <w:t xml:space="preserve"> un placebo </w:t>
      </w:r>
      <w:proofErr w:type="spellStart"/>
      <w:r w:rsidRPr="00087F50">
        <w:rPr>
          <w:lang w:val="en-GB"/>
        </w:rPr>
        <w:t>grupā</w:t>
      </w:r>
      <w:proofErr w:type="spellEnd"/>
      <w:r w:rsidRPr="00087F50">
        <w:rPr>
          <w:lang w:val="en-GB"/>
        </w:rPr>
        <w:t xml:space="preserve"> </w:t>
      </w:r>
      <w:proofErr w:type="spellStart"/>
      <w:r w:rsidRPr="00087F50">
        <w:rPr>
          <w:lang w:val="en-GB"/>
        </w:rPr>
        <w:t>tas</w:t>
      </w:r>
      <w:proofErr w:type="spellEnd"/>
      <w:r w:rsidRPr="00087F50">
        <w:rPr>
          <w:lang w:val="en-GB"/>
        </w:rPr>
        <w:t xml:space="preserve"> </w:t>
      </w:r>
      <w:proofErr w:type="spellStart"/>
      <w:r w:rsidRPr="00087F50">
        <w:rPr>
          <w:lang w:val="en-GB"/>
        </w:rPr>
        <w:t>notika</w:t>
      </w:r>
      <w:proofErr w:type="spellEnd"/>
      <w:r w:rsidRPr="00087F50">
        <w:rPr>
          <w:lang w:val="en-GB"/>
        </w:rPr>
        <w:t xml:space="preserve"> 0 % </w:t>
      </w:r>
      <w:proofErr w:type="spellStart"/>
      <w:r w:rsidRPr="00087F50">
        <w:rPr>
          <w:lang w:val="en-GB"/>
        </w:rPr>
        <w:t>gadījumu</w:t>
      </w:r>
      <w:proofErr w:type="spellEnd"/>
      <w:r w:rsidRPr="00087F50">
        <w:rPr>
          <w:lang w:val="en-GB"/>
        </w:rPr>
        <w:t xml:space="preserve">. </w:t>
      </w:r>
    </w:p>
    <w:p w14:paraId="63B0CEE8" w14:textId="77777777" w:rsidR="00A77DDF" w:rsidRPr="00087F50" w:rsidRDefault="00A77DDF" w:rsidP="00A77DDF">
      <w:pPr>
        <w:spacing w:after="0" w:line="259" w:lineRule="auto"/>
        <w:ind w:left="1" w:firstLine="0"/>
        <w:rPr>
          <w:lang w:val="en-GB"/>
        </w:rPr>
      </w:pPr>
      <w:r w:rsidRPr="00087F50">
        <w:rPr>
          <w:lang w:val="en-GB"/>
        </w:rPr>
        <w:t xml:space="preserve"> </w:t>
      </w:r>
    </w:p>
    <w:p w14:paraId="10FE8009" w14:textId="77777777" w:rsidR="00A77DDF" w:rsidRPr="00087F50" w:rsidRDefault="00A77DDF" w:rsidP="00A77DDF">
      <w:pPr>
        <w:ind w:left="-3" w:right="9"/>
        <w:rPr>
          <w:lang w:val="en-GB"/>
        </w:rPr>
      </w:pPr>
      <w:proofErr w:type="spellStart"/>
      <w:r w:rsidRPr="00087F50">
        <w:rPr>
          <w:lang w:val="en-GB"/>
        </w:rPr>
        <w:t>Pētījumā</w:t>
      </w:r>
      <w:proofErr w:type="spellEnd"/>
      <w:r w:rsidRPr="00087F50">
        <w:rPr>
          <w:lang w:val="en-GB"/>
        </w:rPr>
        <w:t xml:space="preserve"> </w:t>
      </w:r>
      <w:proofErr w:type="spellStart"/>
      <w:r w:rsidRPr="00087F50">
        <w:rPr>
          <w:lang w:val="en-GB"/>
        </w:rPr>
        <w:t>netika</w:t>
      </w:r>
      <w:proofErr w:type="spellEnd"/>
      <w:r w:rsidRPr="00087F50">
        <w:rPr>
          <w:lang w:val="en-GB"/>
        </w:rPr>
        <w:t xml:space="preserve"> </w:t>
      </w:r>
      <w:proofErr w:type="spellStart"/>
      <w:r w:rsidRPr="00087F50">
        <w:rPr>
          <w:lang w:val="en-GB"/>
        </w:rPr>
        <w:t>konstatētas</w:t>
      </w:r>
      <w:proofErr w:type="spellEnd"/>
      <w:r w:rsidRPr="00087F50">
        <w:rPr>
          <w:lang w:val="en-GB"/>
        </w:rPr>
        <w:t xml:space="preserve"> </w:t>
      </w:r>
      <w:proofErr w:type="spellStart"/>
      <w:r w:rsidRPr="00087F50">
        <w:rPr>
          <w:lang w:val="en-GB"/>
        </w:rPr>
        <w:t>klīniski</w:t>
      </w:r>
      <w:proofErr w:type="spellEnd"/>
      <w:r w:rsidRPr="00087F50">
        <w:rPr>
          <w:lang w:val="en-GB"/>
        </w:rPr>
        <w:t xml:space="preserve"> </w:t>
      </w:r>
      <w:proofErr w:type="spellStart"/>
      <w:r w:rsidRPr="00087F50">
        <w:rPr>
          <w:lang w:val="en-GB"/>
        </w:rPr>
        <w:t>nozīmīgas</w:t>
      </w:r>
      <w:proofErr w:type="spellEnd"/>
      <w:r w:rsidRPr="00087F50">
        <w:rPr>
          <w:lang w:val="en-GB"/>
        </w:rPr>
        <w:t xml:space="preserve"> </w:t>
      </w:r>
      <w:proofErr w:type="spellStart"/>
      <w:r w:rsidRPr="00087F50">
        <w:rPr>
          <w:lang w:val="en-GB"/>
        </w:rPr>
        <w:t>atšķirības</w:t>
      </w:r>
      <w:proofErr w:type="spellEnd"/>
      <w:r w:rsidRPr="00087F50">
        <w:rPr>
          <w:lang w:val="en-GB"/>
        </w:rPr>
        <w:t xml:space="preserve"> </w:t>
      </w:r>
      <w:proofErr w:type="spellStart"/>
      <w:r w:rsidRPr="00087F50">
        <w:rPr>
          <w:lang w:val="en-GB"/>
        </w:rPr>
        <w:t>tajā</w:t>
      </w:r>
      <w:proofErr w:type="spellEnd"/>
      <w:r w:rsidRPr="00087F50">
        <w:rPr>
          <w:lang w:val="en-GB"/>
        </w:rPr>
        <w:t xml:space="preserve">, par </w:t>
      </w:r>
      <w:proofErr w:type="spellStart"/>
      <w:r w:rsidRPr="00087F50">
        <w:rPr>
          <w:lang w:val="en-GB"/>
        </w:rPr>
        <w:t>cik</w:t>
      </w:r>
      <w:proofErr w:type="spellEnd"/>
      <w:r w:rsidRPr="00087F50">
        <w:rPr>
          <w:lang w:val="en-GB"/>
        </w:rPr>
        <w:t xml:space="preserve"> </w:t>
      </w:r>
      <w:proofErr w:type="spellStart"/>
      <w:r w:rsidRPr="00087F50">
        <w:rPr>
          <w:lang w:val="en-GB"/>
        </w:rPr>
        <w:t>procentiem</w:t>
      </w:r>
      <w:proofErr w:type="spellEnd"/>
      <w:r w:rsidRPr="00087F50">
        <w:rPr>
          <w:lang w:val="en-GB"/>
        </w:rPr>
        <w:t xml:space="preserve"> </w:t>
      </w:r>
      <w:proofErr w:type="spellStart"/>
      <w:r w:rsidRPr="00087F50">
        <w:rPr>
          <w:lang w:val="en-GB"/>
        </w:rPr>
        <w:t>samazinājās</w:t>
      </w:r>
      <w:proofErr w:type="spellEnd"/>
      <w:r w:rsidRPr="00087F50">
        <w:rPr>
          <w:lang w:val="en-GB"/>
        </w:rPr>
        <w:t xml:space="preserve"> </w:t>
      </w:r>
      <w:proofErr w:type="spellStart"/>
      <w:r w:rsidRPr="00087F50">
        <w:rPr>
          <w:lang w:val="en-GB"/>
        </w:rPr>
        <w:t>urīnskābes</w:t>
      </w:r>
      <w:proofErr w:type="spellEnd"/>
      <w:r w:rsidRPr="00087F50">
        <w:rPr>
          <w:lang w:val="en-GB"/>
        </w:rPr>
        <w:t xml:space="preserve"> </w:t>
      </w:r>
      <w:proofErr w:type="spellStart"/>
      <w:r w:rsidRPr="00087F50">
        <w:rPr>
          <w:lang w:val="en-GB"/>
        </w:rPr>
        <w:t>līmenis</w:t>
      </w:r>
      <w:proofErr w:type="spellEnd"/>
      <w:r w:rsidRPr="00087F50">
        <w:rPr>
          <w:lang w:val="en-GB"/>
        </w:rPr>
        <w:t xml:space="preserve"> </w:t>
      </w:r>
      <w:proofErr w:type="spellStart"/>
      <w:r w:rsidRPr="00087F50">
        <w:rPr>
          <w:lang w:val="en-GB"/>
        </w:rPr>
        <w:t>serumā</w:t>
      </w:r>
      <w:proofErr w:type="spellEnd"/>
      <w:r w:rsidRPr="00087F50">
        <w:rPr>
          <w:lang w:val="en-GB"/>
        </w:rPr>
        <w:t xml:space="preserve"> </w:t>
      </w:r>
      <w:proofErr w:type="spellStart"/>
      <w:r w:rsidRPr="00087F50">
        <w:rPr>
          <w:lang w:val="en-GB"/>
        </w:rPr>
        <w:t>veseliem</w:t>
      </w:r>
      <w:proofErr w:type="spellEnd"/>
      <w:r w:rsidRPr="00087F50">
        <w:rPr>
          <w:lang w:val="en-GB"/>
        </w:rPr>
        <w:t xml:space="preserve"> </w:t>
      </w:r>
      <w:proofErr w:type="spellStart"/>
      <w:r w:rsidRPr="00087F50">
        <w:rPr>
          <w:lang w:val="en-GB"/>
        </w:rPr>
        <w:t>indivīdiem</w:t>
      </w:r>
      <w:proofErr w:type="spellEnd"/>
      <w:r w:rsidRPr="00087F50">
        <w:rPr>
          <w:lang w:val="en-GB"/>
        </w:rPr>
        <w:t xml:space="preserve"> </w:t>
      </w:r>
      <w:proofErr w:type="spellStart"/>
      <w:r w:rsidRPr="00087F50">
        <w:rPr>
          <w:lang w:val="en-GB"/>
        </w:rPr>
        <w:t>neatkarīgi</w:t>
      </w:r>
      <w:proofErr w:type="spellEnd"/>
      <w:r w:rsidRPr="00087F50">
        <w:rPr>
          <w:lang w:val="en-GB"/>
        </w:rPr>
        <w:t xml:space="preserve"> no </w:t>
      </w:r>
      <w:proofErr w:type="spellStart"/>
      <w:r w:rsidRPr="00087F50">
        <w:rPr>
          <w:lang w:val="en-GB"/>
        </w:rPr>
        <w:t>viņu</w:t>
      </w:r>
      <w:proofErr w:type="spellEnd"/>
      <w:r w:rsidRPr="00087F50">
        <w:rPr>
          <w:lang w:val="en-GB"/>
        </w:rPr>
        <w:t xml:space="preserve"> </w:t>
      </w:r>
      <w:proofErr w:type="spellStart"/>
      <w:r w:rsidRPr="00087F50">
        <w:rPr>
          <w:lang w:val="en-GB"/>
        </w:rPr>
        <w:t>nieru</w:t>
      </w:r>
      <w:proofErr w:type="spellEnd"/>
      <w:r w:rsidRPr="00087F50">
        <w:rPr>
          <w:lang w:val="en-GB"/>
        </w:rPr>
        <w:t xml:space="preserve"> </w:t>
      </w:r>
      <w:proofErr w:type="spellStart"/>
      <w:r w:rsidRPr="00087F50">
        <w:rPr>
          <w:lang w:val="en-GB"/>
        </w:rPr>
        <w:t>funkcijas</w:t>
      </w:r>
      <w:proofErr w:type="spellEnd"/>
      <w:r w:rsidRPr="00087F50">
        <w:rPr>
          <w:lang w:val="en-GB"/>
        </w:rPr>
        <w:t xml:space="preserve"> (58 % </w:t>
      </w:r>
      <w:proofErr w:type="spellStart"/>
      <w:r w:rsidRPr="00087F50">
        <w:rPr>
          <w:lang w:val="en-GB"/>
        </w:rPr>
        <w:t>grupā</w:t>
      </w:r>
      <w:proofErr w:type="spellEnd"/>
      <w:r w:rsidRPr="00087F50">
        <w:rPr>
          <w:lang w:val="en-GB"/>
        </w:rPr>
        <w:t xml:space="preserve">, </w:t>
      </w:r>
      <w:proofErr w:type="spellStart"/>
      <w:r w:rsidRPr="00087F50">
        <w:rPr>
          <w:lang w:val="en-GB"/>
        </w:rPr>
        <w:t>kurā</w:t>
      </w:r>
      <w:proofErr w:type="spellEnd"/>
      <w:r w:rsidRPr="00087F50">
        <w:rPr>
          <w:lang w:val="en-GB"/>
        </w:rPr>
        <w:t xml:space="preserve"> </w:t>
      </w:r>
      <w:proofErr w:type="spellStart"/>
      <w:r w:rsidRPr="00087F50">
        <w:rPr>
          <w:lang w:val="en-GB"/>
        </w:rPr>
        <w:t>bija</w:t>
      </w:r>
      <w:proofErr w:type="spellEnd"/>
      <w:r w:rsidRPr="00087F50">
        <w:rPr>
          <w:lang w:val="en-GB"/>
        </w:rPr>
        <w:t xml:space="preserve"> </w:t>
      </w:r>
      <w:proofErr w:type="spellStart"/>
      <w:r w:rsidRPr="00087F50">
        <w:rPr>
          <w:lang w:val="en-GB"/>
        </w:rPr>
        <w:t>apvienoti</w:t>
      </w:r>
      <w:proofErr w:type="spellEnd"/>
      <w:r w:rsidRPr="00087F50">
        <w:rPr>
          <w:lang w:val="en-GB"/>
        </w:rPr>
        <w:t xml:space="preserve"> </w:t>
      </w:r>
      <w:proofErr w:type="spellStart"/>
      <w:r w:rsidRPr="00087F50">
        <w:rPr>
          <w:lang w:val="en-GB"/>
        </w:rPr>
        <w:t>indivīdi</w:t>
      </w:r>
      <w:proofErr w:type="spellEnd"/>
      <w:r w:rsidRPr="00087F50">
        <w:rPr>
          <w:lang w:val="en-GB"/>
        </w:rPr>
        <w:t xml:space="preserve"> </w:t>
      </w:r>
      <w:proofErr w:type="spellStart"/>
      <w:r w:rsidRPr="00087F50">
        <w:rPr>
          <w:lang w:val="en-GB"/>
        </w:rPr>
        <w:t>ar</w:t>
      </w:r>
      <w:proofErr w:type="spellEnd"/>
      <w:r w:rsidRPr="00087F50">
        <w:rPr>
          <w:lang w:val="en-GB"/>
        </w:rPr>
        <w:t xml:space="preserve"> </w:t>
      </w:r>
      <w:proofErr w:type="spellStart"/>
      <w:r w:rsidRPr="00087F50">
        <w:rPr>
          <w:lang w:val="en-GB"/>
        </w:rPr>
        <w:t>normālu</w:t>
      </w:r>
      <w:proofErr w:type="spellEnd"/>
      <w:r w:rsidRPr="00087F50">
        <w:rPr>
          <w:lang w:val="en-GB"/>
        </w:rPr>
        <w:t xml:space="preserve"> </w:t>
      </w:r>
      <w:proofErr w:type="spellStart"/>
      <w:r w:rsidRPr="00087F50">
        <w:rPr>
          <w:lang w:val="en-GB"/>
        </w:rPr>
        <w:t>nieru</w:t>
      </w:r>
      <w:proofErr w:type="spellEnd"/>
      <w:r w:rsidRPr="00087F50">
        <w:rPr>
          <w:lang w:val="en-GB"/>
        </w:rPr>
        <w:t xml:space="preserve"> </w:t>
      </w:r>
      <w:proofErr w:type="spellStart"/>
      <w:r w:rsidRPr="00087F50">
        <w:rPr>
          <w:lang w:val="en-GB"/>
        </w:rPr>
        <w:t>funkciju</w:t>
      </w:r>
      <w:proofErr w:type="spellEnd"/>
      <w:r w:rsidRPr="00087F50">
        <w:rPr>
          <w:lang w:val="en-GB"/>
        </w:rPr>
        <w:t xml:space="preserve">, un 55 % </w:t>
      </w:r>
      <w:proofErr w:type="spellStart"/>
      <w:r w:rsidRPr="00087F50">
        <w:rPr>
          <w:lang w:val="en-GB"/>
        </w:rPr>
        <w:t>grupā</w:t>
      </w:r>
      <w:proofErr w:type="spellEnd"/>
      <w:r w:rsidRPr="00087F50">
        <w:rPr>
          <w:lang w:val="en-GB"/>
        </w:rPr>
        <w:t xml:space="preserve">, </w:t>
      </w:r>
      <w:proofErr w:type="spellStart"/>
      <w:r w:rsidRPr="00087F50">
        <w:rPr>
          <w:lang w:val="en-GB"/>
        </w:rPr>
        <w:t>kurā</w:t>
      </w:r>
      <w:proofErr w:type="spellEnd"/>
      <w:r w:rsidRPr="00087F50">
        <w:rPr>
          <w:lang w:val="en-GB"/>
        </w:rPr>
        <w:t xml:space="preserve"> </w:t>
      </w:r>
      <w:proofErr w:type="spellStart"/>
      <w:r w:rsidRPr="00087F50">
        <w:rPr>
          <w:lang w:val="en-GB"/>
        </w:rPr>
        <w:t>bija</w:t>
      </w:r>
      <w:proofErr w:type="spellEnd"/>
      <w:r w:rsidRPr="00087F50">
        <w:rPr>
          <w:lang w:val="en-GB"/>
        </w:rPr>
        <w:t xml:space="preserve"> </w:t>
      </w:r>
      <w:proofErr w:type="spellStart"/>
      <w:r w:rsidRPr="00087F50">
        <w:rPr>
          <w:lang w:val="en-GB"/>
        </w:rPr>
        <w:t>apvienoti</w:t>
      </w:r>
      <w:proofErr w:type="spellEnd"/>
      <w:r w:rsidRPr="00087F50">
        <w:rPr>
          <w:lang w:val="en-GB"/>
        </w:rPr>
        <w:t xml:space="preserve"> </w:t>
      </w:r>
      <w:proofErr w:type="spellStart"/>
      <w:r w:rsidRPr="00087F50">
        <w:rPr>
          <w:lang w:val="en-GB"/>
        </w:rPr>
        <w:t>indivīdi</w:t>
      </w:r>
      <w:proofErr w:type="spellEnd"/>
      <w:r w:rsidRPr="00087F50">
        <w:rPr>
          <w:lang w:val="en-GB"/>
        </w:rPr>
        <w:t xml:space="preserve"> </w:t>
      </w:r>
      <w:proofErr w:type="spellStart"/>
      <w:r w:rsidRPr="00087F50">
        <w:rPr>
          <w:lang w:val="en-GB"/>
        </w:rPr>
        <w:t>ar</w:t>
      </w:r>
      <w:proofErr w:type="spellEnd"/>
      <w:r w:rsidRPr="00087F50">
        <w:rPr>
          <w:lang w:val="en-GB"/>
        </w:rPr>
        <w:t xml:space="preserve"> </w:t>
      </w:r>
      <w:proofErr w:type="spellStart"/>
      <w:r w:rsidRPr="00087F50">
        <w:rPr>
          <w:lang w:val="en-GB"/>
        </w:rPr>
        <w:t>smagiem</w:t>
      </w:r>
      <w:proofErr w:type="spellEnd"/>
      <w:r w:rsidRPr="00087F50">
        <w:rPr>
          <w:lang w:val="en-GB"/>
        </w:rPr>
        <w:t xml:space="preserve"> </w:t>
      </w:r>
      <w:proofErr w:type="spellStart"/>
      <w:r w:rsidRPr="00087F50">
        <w:rPr>
          <w:lang w:val="en-GB"/>
        </w:rPr>
        <w:t>nieru</w:t>
      </w:r>
      <w:proofErr w:type="spellEnd"/>
      <w:r w:rsidRPr="00087F50">
        <w:rPr>
          <w:lang w:val="en-GB"/>
        </w:rPr>
        <w:t xml:space="preserve"> </w:t>
      </w:r>
      <w:proofErr w:type="spellStart"/>
      <w:r w:rsidRPr="00087F50">
        <w:rPr>
          <w:lang w:val="en-GB"/>
        </w:rPr>
        <w:t>funkciju</w:t>
      </w:r>
      <w:proofErr w:type="spellEnd"/>
      <w:r w:rsidRPr="00087F50">
        <w:rPr>
          <w:lang w:val="en-GB"/>
        </w:rPr>
        <w:t xml:space="preserve"> </w:t>
      </w:r>
      <w:proofErr w:type="spellStart"/>
      <w:r w:rsidRPr="00087F50">
        <w:rPr>
          <w:lang w:val="en-GB"/>
        </w:rPr>
        <w:t>traucējumiem</w:t>
      </w:r>
      <w:proofErr w:type="spellEnd"/>
      <w:r w:rsidRPr="00087F50">
        <w:rPr>
          <w:lang w:val="en-GB"/>
        </w:rPr>
        <w:t xml:space="preserve">). </w:t>
      </w:r>
    </w:p>
    <w:p w14:paraId="0E82A660" w14:textId="77777777" w:rsidR="00A77DDF" w:rsidRPr="00087F50" w:rsidRDefault="00A77DDF" w:rsidP="00A77DDF">
      <w:pPr>
        <w:spacing w:after="0" w:line="259" w:lineRule="auto"/>
        <w:ind w:left="1" w:firstLine="0"/>
        <w:rPr>
          <w:lang w:val="en-GB"/>
        </w:rPr>
      </w:pPr>
      <w:r w:rsidRPr="00087F50">
        <w:rPr>
          <w:lang w:val="en-GB"/>
        </w:rPr>
        <w:t xml:space="preserve"> </w:t>
      </w:r>
    </w:p>
    <w:p w14:paraId="453560D4" w14:textId="77777777" w:rsidR="00A77DDF" w:rsidRPr="00087F50" w:rsidRDefault="00A77DDF" w:rsidP="00A77DDF">
      <w:pPr>
        <w:ind w:left="-3" w:right="9"/>
        <w:rPr>
          <w:lang w:val="en-GB"/>
        </w:rPr>
      </w:pPr>
      <w:r w:rsidRPr="00087F50">
        <w:rPr>
          <w:lang w:val="en-GB"/>
        </w:rPr>
        <w:t xml:space="preserve">CONFIRMS </w:t>
      </w:r>
      <w:proofErr w:type="spellStart"/>
      <w:r w:rsidRPr="00087F50">
        <w:rPr>
          <w:lang w:val="en-GB"/>
        </w:rPr>
        <w:t>pētījuma</w:t>
      </w:r>
      <w:proofErr w:type="spellEnd"/>
      <w:r w:rsidRPr="00087F50">
        <w:rPr>
          <w:lang w:val="en-GB"/>
        </w:rPr>
        <w:t xml:space="preserve"> </w:t>
      </w:r>
      <w:proofErr w:type="spellStart"/>
      <w:r w:rsidRPr="00087F50">
        <w:rPr>
          <w:lang w:val="en-GB"/>
        </w:rPr>
        <w:t>laikā</w:t>
      </w:r>
      <w:proofErr w:type="spellEnd"/>
      <w:r w:rsidRPr="00087F50">
        <w:rPr>
          <w:lang w:val="en-GB"/>
        </w:rPr>
        <w:t xml:space="preserve">, </w:t>
      </w:r>
      <w:proofErr w:type="spellStart"/>
      <w:r w:rsidRPr="00087F50">
        <w:rPr>
          <w:lang w:val="en-GB"/>
        </w:rPr>
        <w:t>saskaņā</w:t>
      </w:r>
      <w:proofErr w:type="spellEnd"/>
      <w:r w:rsidRPr="00087F50">
        <w:rPr>
          <w:lang w:val="en-GB"/>
        </w:rPr>
        <w:t xml:space="preserve"> </w:t>
      </w:r>
      <w:proofErr w:type="spellStart"/>
      <w:r w:rsidRPr="00087F50">
        <w:rPr>
          <w:lang w:val="en-GB"/>
        </w:rPr>
        <w:t>ar</w:t>
      </w:r>
      <w:proofErr w:type="spellEnd"/>
      <w:r w:rsidRPr="00087F50">
        <w:rPr>
          <w:lang w:val="en-GB"/>
        </w:rPr>
        <w:t xml:space="preserve"> </w:t>
      </w:r>
      <w:proofErr w:type="spellStart"/>
      <w:r w:rsidRPr="00087F50">
        <w:rPr>
          <w:lang w:val="en-GB"/>
        </w:rPr>
        <w:t>prospektīvi</w:t>
      </w:r>
      <w:proofErr w:type="spellEnd"/>
      <w:r w:rsidRPr="00087F50">
        <w:rPr>
          <w:lang w:val="en-GB"/>
        </w:rPr>
        <w:t xml:space="preserve"> </w:t>
      </w:r>
      <w:proofErr w:type="spellStart"/>
      <w:r w:rsidRPr="00087F50">
        <w:rPr>
          <w:lang w:val="en-GB"/>
        </w:rPr>
        <w:t>definētiem</w:t>
      </w:r>
      <w:proofErr w:type="spellEnd"/>
      <w:r w:rsidRPr="00087F50">
        <w:rPr>
          <w:lang w:val="en-GB"/>
        </w:rPr>
        <w:t xml:space="preserve"> </w:t>
      </w:r>
      <w:proofErr w:type="spellStart"/>
      <w:r w:rsidRPr="00087F50">
        <w:rPr>
          <w:lang w:val="en-GB"/>
        </w:rPr>
        <w:t>parametriem</w:t>
      </w:r>
      <w:proofErr w:type="spellEnd"/>
      <w:r w:rsidRPr="00087F50">
        <w:rPr>
          <w:lang w:val="en-GB"/>
        </w:rPr>
        <w:t xml:space="preserve">, tika </w:t>
      </w:r>
      <w:proofErr w:type="spellStart"/>
      <w:r w:rsidRPr="00087F50">
        <w:rPr>
          <w:lang w:val="en-GB"/>
        </w:rPr>
        <w:t>analizēti</w:t>
      </w:r>
      <w:proofErr w:type="spellEnd"/>
      <w:r w:rsidRPr="00087F50">
        <w:rPr>
          <w:lang w:val="en-GB"/>
        </w:rPr>
        <w:t xml:space="preserve"> </w:t>
      </w:r>
      <w:proofErr w:type="spellStart"/>
      <w:r w:rsidRPr="00087F50">
        <w:rPr>
          <w:lang w:val="en-GB"/>
        </w:rPr>
        <w:t>dati</w:t>
      </w:r>
      <w:proofErr w:type="spellEnd"/>
      <w:r w:rsidRPr="00087F50">
        <w:rPr>
          <w:lang w:val="en-GB"/>
        </w:rPr>
        <w:t xml:space="preserve">, kas </w:t>
      </w:r>
      <w:proofErr w:type="spellStart"/>
      <w:r w:rsidRPr="00087F50">
        <w:rPr>
          <w:lang w:val="en-GB"/>
        </w:rPr>
        <w:t>iegūti</w:t>
      </w:r>
      <w:proofErr w:type="spellEnd"/>
      <w:r w:rsidRPr="00087F50">
        <w:rPr>
          <w:lang w:val="en-GB"/>
        </w:rPr>
        <w:t xml:space="preserve"> par </w:t>
      </w:r>
      <w:proofErr w:type="spellStart"/>
      <w:r w:rsidRPr="00087F50">
        <w:rPr>
          <w:lang w:val="en-GB"/>
        </w:rPr>
        <w:t>pacientiem</w:t>
      </w:r>
      <w:proofErr w:type="spellEnd"/>
      <w:r w:rsidRPr="00087F50">
        <w:rPr>
          <w:lang w:val="en-GB"/>
        </w:rPr>
        <w:t xml:space="preserve"> </w:t>
      </w:r>
      <w:proofErr w:type="spellStart"/>
      <w:r w:rsidRPr="00087F50">
        <w:rPr>
          <w:lang w:val="en-GB"/>
        </w:rPr>
        <w:t>ar</w:t>
      </w:r>
      <w:proofErr w:type="spellEnd"/>
      <w:r w:rsidRPr="00087F50">
        <w:rPr>
          <w:lang w:val="en-GB"/>
        </w:rPr>
        <w:t xml:space="preserve"> </w:t>
      </w:r>
      <w:proofErr w:type="spellStart"/>
      <w:r w:rsidRPr="00087F50">
        <w:rPr>
          <w:lang w:val="en-GB"/>
        </w:rPr>
        <w:t>podagru</w:t>
      </w:r>
      <w:proofErr w:type="spellEnd"/>
      <w:r w:rsidRPr="00087F50">
        <w:rPr>
          <w:lang w:val="en-GB"/>
        </w:rPr>
        <w:t xml:space="preserve"> un </w:t>
      </w:r>
      <w:proofErr w:type="spellStart"/>
      <w:r w:rsidRPr="00087F50">
        <w:rPr>
          <w:lang w:val="en-GB"/>
        </w:rPr>
        <w:t>nieru</w:t>
      </w:r>
      <w:proofErr w:type="spellEnd"/>
      <w:r w:rsidRPr="00087F50">
        <w:rPr>
          <w:lang w:val="en-GB"/>
        </w:rPr>
        <w:t xml:space="preserve"> </w:t>
      </w:r>
      <w:proofErr w:type="spellStart"/>
      <w:r w:rsidRPr="00087F50">
        <w:rPr>
          <w:lang w:val="en-GB"/>
        </w:rPr>
        <w:t>darbības</w:t>
      </w:r>
      <w:proofErr w:type="spellEnd"/>
      <w:r w:rsidRPr="00087F50">
        <w:rPr>
          <w:lang w:val="en-GB"/>
        </w:rPr>
        <w:t xml:space="preserve"> </w:t>
      </w:r>
      <w:proofErr w:type="spellStart"/>
      <w:r w:rsidRPr="00087F50">
        <w:rPr>
          <w:lang w:val="en-GB"/>
        </w:rPr>
        <w:t>traucējumiem</w:t>
      </w:r>
      <w:proofErr w:type="spellEnd"/>
      <w:r w:rsidRPr="00087F50">
        <w:rPr>
          <w:lang w:val="en-GB"/>
        </w:rPr>
        <w:t xml:space="preserve">. </w:t>
      </w:r>
      <w:proofErr w:type="spellStart"/>
      <w:r w:rsidRPr="00087F50">
        <w:rPr>
          <w:lang w:val="en-GB"/>
        </w:rPr>
        <w:t>Analīzes</w:t>
      </w:r>
      <w:proofErr w:type="spellEnd"/>
      <w:r w:rsidRPr="00087F50">
        <w:rPr>
          <w:lang w:val="en-GB"/>
        </w:rPr>
        <w:t xml:space="preserve"> </w:t>
      </w:r>
      <w:proofErr w:type="spellStart"/>
      <w:r w:rsidRPr="00087F50">
        <w:rPr>
          <w:lang w:val="en-GB"/>
        </w:rPr>
        <w:t>rezultāti</w:t>
      </w:r>
      <w:proofErr w:type="spellEnd"/>
      <w:r w:rsidRPr="00087F50">
        <w:rPr>
          <w:lang w:val="en-GB"/>
        </w:rPr>
        <w:t xml:space="preserve"> </w:t>
      </w:r>
      <w:proofErr w:type="spellStart"/>
      <w:r w:rsidRPr="00087F50">
        <w:rPr>
          <w:lang w:val="en-GB"/>
        </w:rPr>
        <w:t>parādīja</w:t>
      </w:r>
      <w:proofErr w:type="spellEnd"/>
      <w:r w:rsidRPr="00087F50">
        <w:rPr>
          <w:lang w:val="en-GB"/>
        </w:rPr>
        <w:t xml:space="preserve">, ka </w:t>
      </w:r>
      <w:proofErr w:type="spellStart"/>
      <w:r w:rsidRPr="00087F50">
        <w:rPr>
          <w:lang w:val="en-GB"/>
        </w:rPr>
        <w:t>pacientiem</w:t>
      </w:r>
      <w:proofErr w:type="spellEnd"/>
      <w:r w:rsidRPr="00087F50">
        <w:rPr>
          <w:lang w:val="en-GB"/>
        </w:rPr>
        <w:t xml:space="preserve"> </w:t>
      </w:r>
      <w:proofErr w:type="spellStart"/>
      <w:r w:rsidRPr="00087F50">
        <w:rPr>
          <w:lang w:val="en-GB"/>
        </w:rPr>
        <w:t>ar</w:t>
      </w:r>
      <w:proofErr w:type="spellEnd"/>
      <w:r w:rsidRPr="00087F50">
        <w:rPr>
          <w:lang w:val="en-GB"/>
        </w:rPr>
        <w:t xml:space="preserve"> </w:t>
      </w:r>
      <w:proofErr w:type="spellStart"/>
      <w:r w:rsidRPr="00087F50">
        <w:rPr>
          <w:lang w:val="en-GB"/>
        </w:rPr>
        <w:t>viegliem</w:t>
      </w:r>
      <w:proofErr w:type="spellEnd"/>
      <w:r w:rsidRPr="00087F50">
        <w:rPr>
          <w:lang w:val="en-GB"/>
        </w:rPr>
        <w:t xml:space="preserve"> </w:t>
      </w:r>
      <w:proofErr w:type="spellStart"/>
      <w:r w:rsidRPr="00087F50">
        <w:rPr>
          <w:lang w:val="en-GB"/>
        </w:rPr>
        <w:t>līdz</w:t>
      </w:r>
      <w:proofErr w:type="spellEnd"/>
      <w:r w:rsidRPr="00087F50">
        <w:rPr>
          <w:lang w:val="en-GB"/>
        </w:rPr>
        <w:t xml:space="preserve"> </w:t>
      </w:r>
      <w:proofErr w:type="spellStart"/>
      <w:r w:rsidRPr="00087F50">
        <w:rPr>
          <w:lang w:val="en-GB"/>
        </w:rPr>
        <w:t>vidēji</w:t>
      </w:r>
      <w:proofErr w:type="spellEnd"/>
      <w:r w:rsidRPr="00087F50">
        <w:rPr>
          <w:lang w:val="en-GB"/>
        </w:rPr>
        <w:t xml:space="preserve"> </w:t>
      </w:r>
      <w:proofErr w:type="spellStart"/>
      <w:r w:rsidRPr="00087F50">
        <w:rPr>
          <w:lang w:val="en-GB"/>
        </w:rPr>
        <w:t>smagiem</w:t>
      </w:r>
      <w:proofErr w:type="spellEnd"/>
      <w:r w:rsidRPr="00087F50">
        <w:rPr>
          <w:lang w:val="en-GB"/>
        </w:rPr>
        <w:t xml:space="preserve"> </w:t>
      </w:r>
      <w:proofErr w:type="spellStart"/>
      <w:r w:rsidRPr="00087F50">
        <w:rPr>
          <w:lang w:val="en-GB"/>
        </w:rPr>
        <w:t>nieru</w:t>
      </w:r>
      <w:proofErr w:type="spellEnd"/>
      <w:r w:rsidRPr="00087F50">
        <w:rPr>
          <w:lang w:val="en-GB"/>
        </w:rPr>
        <w:t xml:space="preserve"> </w:t>
      </w:r>
      <w:proofErr w:type="spellStart"/>
      <w:r w:rsidRPr="00087F50">
        <w:rPr>
          <w:lang w:val="en-GB"/>
        </w:rPr>
        <w:t>darbības</w:t>
      </w:r>
      <w:proofErr w:type="spellEnd"/>
      <w:r w:rsidRPr="00087F50">
        <w:rPr>
          <w:lang w:val="en-GB"/>
        </w:rPr>
        <w:t xml:space="preserve"> </w:t>
      </w:r>
      <w:proofErr w:type="spellStart"/>
      <w:r w:rsidRPr="00087F50">
        <w:rPr>
          <w:lang w:val="en-GB"/>
        </w:rPr>
        <w:t>traucējumiem</w:t>
      </w:r>
      <w:proofErr w:type="spellEnd"/>
      <w:r w:rsidRPr="00087F50">
        <w:rPr>
          <w:lang w:val="en-GB"/>
        </w:rPr>
        <w:t xml:space="preserve"> (65 % </w:t>
      </w:r>
      <w:proofErr w:type="spellStart"/>
      <w:r w:rsidRPr="00087F50">
        <w:rPr>
          <w:lang w:val="en-GB"/>
        </w:rPr>
        <w:t>pētīto</w:t>
      </w:r>
      <w:proofErr w:type="spellEnd"/>
      <w:r w:rsidRPr="00087F50">
        <w:rPr>
          <w:lang w:val="en-GB"/>
        </w:rPr>
        <w:t xml:space="preserve"> </w:t>
      </w:r>
      <w:proofErr w:type="spellStart"/>
      <w:r w:rsidRPr="00087F50">
        <w:rPr>
          <w:lang w:val="en-GB"/>
        </w:rPr>
        <w:t>pacientu</w:t>
      </w:r>
      <w:proofErr w:type="spellEnd"/>
      <w:r w:rsidRPr="00087F50">
        <w:rPr>
          <w:lang w:val="en-GB"/>
        </w:rPr>
        <w:t xml:space="preserve">) </w:t>
      </w:r>
      <w:proofErr w:type="spellStart"/>
      <w:r w:rsidRPr="00087F50">
        <w:rPr>
          <w:lang w:val="en-GB"/>
        </w:rPr>
        <w:t>febuksostats</w:t>
      </w:r>
      <w:proofErr w:type="spellEnd"/>
      <w:r w:rsidRPr="00087F50">
        <w:rPr>
          <w:lang w:val="en-GB"/>
        </w:rPr>
        <w:t xml:space="preserve"> </w:t>
      </w:r>
      <w:proofErr w:type="spellStart"/>
      <w:r w:rsidRPr="00087F50">
        <w:rPr>
          <w:lang w:val="en-GB"/>
        </w:rPr>
        <w:t>urātu</w:t>
      </w:r>
      <w:proofErr w:type="spellEnd"/>
      <w:r w:rsidRPr="00087F50">
        <w:rPr>
          <w:lang w:val="en-GB"/>
        </w:rPr>
        <w:t xml:space="preserve"> </w:t>
      </w:r>
      <w:proofErr w:type="spellStart"/>
      <w:r w:rsidRPr="00087F50">
        <w:rPr>
          <w:lang w:val="en-GB"/>
        </w:rPr>
        <w:t>līmeni</w:t>
      </w:r>
      <w:proofErr w:type="spellEnd"/>
      <w:r w:rsidRPr="00087F50">
        <w:rPr>
          <w:lang w:val="en-GB"/>
        </w:rPr>
        <w:t xml:space="preserve"> </w:t>
      </w:r>
      <w:proofErr w:type="spellStart"/>
      <w:r w:rsidRPr="00087F50">
        <w:rPr>
          <w:lang w:val="en-GB"/>
        </w:rPr>
        <w:t>serumā</w:t>
      </w:r>
      <w:proofErr w:type="spellEnd"/>
      <w:r w:rsidRPr="00087F50">
        <w:rPr>
          <w:lang w:val="en-GB"/>
        </w:rPr>
        <w:t xml:space="preserve"> </w:t>
      </w:r>
      <w:proofErr w:type="spellStart"/>
      <w:r w:rsidRPr="00087F50">
        <w:rPr>
          <w:lang w:val="en-GB"/>
        </w:rPr>
        <w:t>līdz</w:t>
      </w:r>
      <w:proofErr w:type="spellEnd"/>
      <w:r w:rsidRPr="00087F50">
        <w:rPr>
          <w:lang w:val="en-GB"/>
        </w:rPr>
        <w:t xml:space="preserve"> &lt; 6 mg/dl </w:t>
      </w:r>
      <w:proofErr w:type="spellStart"/>
      <w:r w:rsidRPr="00087F50">
        <w:rPr>
          <w:lang w:val="en-GB"/>
        </w:rPr>
        <w:t>pazemina</w:t>
      </w:r>
      <w:proofErr w:type="spellEnd"/>
      <w:r w:rsidRPr="00087F50">
        <w:rPr>
          <w:lang w:val="en-GB"/>
        </w:rPr>
        <w:t xml:space="preserve"> </w:t>
      </w:r>
      <w:proofErr w:type="spellStart"/>
      <w:r w:rsidRPr="00087F50">
        <w:rPr>
          <w:lang w:val="en-GB"/>
        </w:rPr>
        <w:t>ievērojami</w:t>
      </w:r>
      <w:proofErr w:type="spellEnd"/>
      <w:r w:rsidRPr="00087F50">
        <w:rPr>
          <w:lang w:val="en-GB"/>
        </w:rPr>
        <w:t xml:space="preserve"> </w:t>
      </w:r>
      <w:proofErr w:type="spellStart"/>
      <w:r w:rsidRPr="00087F50">
        <w:rPr>
          <w:lang w:val="en-GB"/>
        </w:rPr>
        <w:t>efektīvāk</w:t>
      </w:r>
      <w:proofErr w:type="spellEnd"/>
      <w:r w:rsidRPr="00087F50">
        <w:rPr>
          <w:lang w:val="en-GB"/>
        </w:rPr>
        <w:t xml:space="preserve"> par 300 mg/200 mg </w:t>
      </w:r>
      <w:proofErr w:type="spellStart"/>
      <w:r w:rsidRPr="00087F50">
        <w:rPr>
          <w:lang w:val="en-GB"/>
        </w:rPr>
        <w:t>lielām</w:t>
      </w:r>
      <w:proofErr w:type="spellEnd"/>
      <w:r w:rsidRPr="00087F50">
        <w:rPr>
          <w:lang w:val="en-GB"/>
        </w:rPr>
        <w:t xml:space="preserve"> </w:t>
      </w:r>
      <w:proofErr w:type="spellStart"/>
      <w:r w:rsidRPr="00087F50">
        <w:rPr>
          <w:lang w:val="en-GB"/>
        </w:rPr>
        <w:t>allopurinola</w:t>
      </w:r>
      <w:proofErr w:type="spellEnd"/>
      <w:r w:rsidRPr="00087F50">
        <w:rPr>
          <w:lang w:val="en-GB"/>
        </w:rPr>
        <w:t xml:space="preserve"> </w:t>
      </w:r>
      <w:proofErr w:type="spellStart"/>
      <w:r w:rsidRPr="00087F50">
        <w:rPr>
          <w:lang w:val="en-GB"/>
        </w:rPr>
        <w:t>devām</w:t>
      </w:r>
      <w:proofErr w:type="spellEnd"/>
      <w:r w:rsidRPr="00087F50">
        <w:rPr>
          <w:lang w:val="en-GB"/>
        </w:rPr>
        <w:t xml:space="preserve">. </w:t>
      </w:r>
    </w:p>
    <w:p w14:paraId="2BD08872" w14:textId="77777777" w:rsidR="00A77DDF" w:rsidRPr="00087F50" w:rsidRDefault="00A77DDF" w:rsidP="00A77DDF">
      <w:pPr>
        <w:spacing w:after="0" w:line="259" w:lineRule="auto"/>
        <w:ind w:left="1" w:firstLine="0"/>
        <w:rPr>
          <w:lang w:val="en-GB"/>
        </w:rPr>
      </w:pPr>
      <w:r w:rsidRPr="00087F50">
        <w:rPr>
          <w:lang w:val="en-GB"/>
        </w:rPr>
        <w:t xml:space="preserve"> </w:t>
      </w:r>
    </w:p>
    <w:p w14:paraId="7A0F58AC" w14:textId="77777777" w:rsidR="00A77DDF" w:rsidRPr="00087F50" w:rsidRDefault="00A77DDF" w:rsidP="00A77DDF">
      <w:pPr>
        <w:spacing w:after="13" w:line="249" w:lineRule="auto"/>
        <w:ind w:left="-3" w:hanging="10"/>
        <w:rPr>
          <w:lang w:val="pt-PT"/>
        </w:rPr>
      </w:pPr>
      <w:r w:rsidRPr="00087F50">
        <w:rPr>
          <w:i/>
          <w:lang w:val="pt-PT"/>
        </w:rPr>
        <w:t xml:space="preserve">Primārais mērķa kritērijs pacientiem ar sUA ≥ 10 mg/dl </w:t>
      </w:r>
    </w:p>
    <w:p w14:paraId="39C9C7D4" w14:textId="4B8B9D88" w:rsidR="00A77DDF" w:rsidRPr="00087F50" w:rsidRDefault="00A77DDF" w:rsidP="00A77DDF">
      <w:pPr>
        <w:ind w:left="-3" w:right="297"/>
        <w:rPr>
          <w:lang w:val="pt-PT"/>
        </w:rPr>
      </w:pPr>
      <w:r w:rsidRPr="00087F50">
        <w:rPr>
          <w:lang w:val="pt-PT"/>
        </w:rPr>
        <w:t xml:space="preserve">Apmēram 40 % pacientu (APEX un FACT kopā) sākotnējais sUA bija ≥ 10 mg/dl. Šajā apakšgrupā </w:t>
      </w:r>
      <w:r w:rsidR="00996CC0" w:rsidRPr="00087F50">
        <w:rPr>
          <w:lang w:val="pt-PT"/>
        </w:rPr>
        <w:t>F</w:t>
      </w:r>
      <w:proofErr w:type="spellStart"/>
      <w:r w:rsidR="00996CC0" w:rsidRPr="00087F50">
        <w:rPr>
          <w:lang w:val="lv-LV"/>
        </w:rPr>
        <w:t>ebuksostat</w:t>
      </w:r>
      <w:r w:rsidR="00431740" w:rsidRPr="00087F50">
        <w:rPr>
          <w:lang w:val="lv-LV"/>
        </w:rPr>
        <w:t>s</w:t>
      </w:r>
      <w:proofErr w:type="spellEnd"/>
      <w:r w:rsidR="00996CC0" w:rsidRPr="00087F50">
        <w:rPr>
          <w:lang w:val="lv-LV"/>
        </w:rPr>
        <w:t xml:space="preserve"> </w:t>
      </w:r>
      <w:r w:rsidRPr="00087F50">
        <w:rPr>
          <w:lang w:val="pt-PT"/>
        </w:rPr>
        <w:t xml:space="preserve">primāro efektivitātes mērķa kritēriju (sUA &lt; 6,0 mg/dl pēdējo trīs vizīšu laikā) ļāva sasniegt 41 % (80 mg QD), 48 % (120 mg QD) un 66 % (240 mg QD) pacientu, savukārt 300 mg/100 mg QD allopurinola lietotāju grupā tas notika 9 %, bet placebo lietotāju grupā - 0 % gadījumu. </w:t>
      </w:r>
    </w:p>
    <w:p w14:paraId="0D03E7E9" w14:textId="77777777" w:rsidR="00A77DDF" w:rsidRPr="00087F50" w:rsidRDefault="00A77DDF" w:rsidP="00A77DDF">
      <w:pPr>
        <w:spacing w:after="0" w:line="259" w:lineRule="auto"/>
        <w:ind w:left="1" w:firstLine="0"/>
        <w:rPr>
          <w:lang w:val="pt-PT"/>
        </w:rPr>
      </w:pPr>
      <w:r w:rsidRPr="00087F50">
        <w:rPr>
          <w:lang w:val="pt-PT"/>
        </w:rPr>
        <w:t xml:space="preserve"> </w:t>
      </w:r>
    </w:p>
    <w:p w14:paraId="69E48B97" w14:textId="77777777" w:rsidR="00A77DDF" w:rsidRPr="00087F50" w:rsidRDefault="00A77DDF" w:rsidP="00A77DDF">
      <w:pPr>
        <w:ind w:left="-3" w:right="9"/>
        <w:rPr>
          <w:lang w:val="pt-PT"/>
        </w:rPr>
      </w:pPr>
      <w:r w:rsidRPr="00087F50">
        <w:rPr>
          <w:lang w:val="pt-PT"/>
        </w:rPr>
        <w:t xml:space="preserve">CONFIRMS pētījumā pacientu, kuriem sākotnējā urātu koncentrācija serumā bija </w:t>
      </w:r>
      <w:r w:rsidRPr="00087F50">
        <w:rPr>
          <w:rFonts w:ascii="Segoe UI Symbol" w:eastAsia="Segoe UI Symbol" w:hAnsi="Segoe UI Symbol" w:cs="Segoe UI Symbol"/>
          <w:lang w:val="pt-PT"/>
        </w:rPr>
        <w:t>≥</w:t>
      </w:r>
      <w:r w:rsidRPr="00087F50">
        <w:rPr>
          <w:lang w:val="pt-PT"/>
        </w:rPr>
        <w:t xml:space="preserve"> 10 mg/dl, daļa, kuri sasniedza primārās efektivitātes mērķa kritēriju (sUA &lt; 6,0 mg/dl pēdējās vizītes laikā), grupās, kurus ārstēja ar 40 mg febuksostata QD, 80 mg febuksostata QD un 300/200 mg allopurinola QD, bija attiecīgi 27 % (66/249), 49 % (125/254) un 31 % (72/230). </w:t>
      </w:r>
    </w:p>
    <w:p w14:paraId="7FCC17AA" w14:textId="77777777" w:rsidR="00A77DDF" w:rsidRPr="00087F50" w:rsidRDefault="00A77DDF" w:rsidP="00A77DDF">
      <w:pPr>
        <w:spacing w:after="0" w:line="259" w:lineRule="auto"/>
        <w:ind w:left="1" w:firstLine="0"/>
        <w:rPr>
          <w:lang w:val="pt-PT"/>
        </w:rPr>
      </w:pPr>
      <w:r w:rsidRPr="00087F50">
        <w:rPr>
          <w:b/>
          <w:lang w:val="pt-PT"/>
        </w:rPr>
        <w:t xml:space="preserve"> </w:t>
      </w:r>
    </w:p>
    <w:p w14:paraId="53B4BF9B" w14:textId="77777777" w:rsidR="00A77DDF" w:rsidRPr="00087F50" w:rsidRDefault="00A77DDF" w:rsidP="00A77DDF">
      <w:pPr>
        <w:spacing w:after="13" w:line="249" w:lineRule="auto"/>
        <w:ind w:left="-3" w:hanging="10"/>
        <w:rPr>
          <w:lang w:val="pt-PT"/>
        </w:rPr>
      </w:pPr>
      <w:r w:rsidRPr="00087F50">
        <w:rPr>
          <w:i/>
          <w:lang w:val="pt-PT"/>
        </w:rPr>
        <w:t>Klīniskais iznākums: pacienti, kuriem bija jāārstē podagras saasinājums</w:t>
      </w:r>
      <w:r w:rsidRPr="00087F50">
        <w:rPr>
          <w:lang w:val="pt-PT"/>
        </w:rPr>
        <w:t xml:space="preserve"> </w:t>
      </w:r>
    </w:p>
    <w:p w14:paraId="5827780C" w14:textId="3772B7F7" w:rsidR="00A77DDF" w:rsidRPr="00087F50" w:rsidRDefault="00A77DDF" w:rsidP="00A77DDF">
      <w:pPr>
        <w:ind w:left="-3" w:right="9"/>
        <w:rPr>
          <w:lang w:val="pt-PT"/>
        </w:rPr>
      </w:pPr>
      <w:r w:rsidRPr="00087F50">
        <w:rPr>
          <w:lang w:val="pt-PT"/>
        </w:rPr>
        <w:t>APEX pētījums: astoņas nedēļas ilga profilakses perioda laikā 120 mg febuksostata terapijas grupas indivīdu, kuriem bija jāārstē podagras</w:t>
      </w:r>
      <w:r w:rsidR="002734FF" w:rsidRPr="00087F50">
        <w:rPr>
          <w:lang w:val="lv-LV"/>
        </w:rPr>
        <w:t xml:space="preserve"> paasinājumi</w:t>
      </w:r>
      <w:r w:rsidRPr="00087F50">
        <w:rPr>
          <w:lang w:val="pt-PT"/>
        </w:rPr>
        <w:t xml:space="preserve">, daļa (36 %) bija lielāka nekā 80 mg febuksostata (28 %), 300 mg allopurinola (23 %) un placebo (20 %) grupā. Pēc profilakses perioda uzliesmojumu sastopamība palielinājās un laika gaitā pakāpeniski samazinājās. Laikā starp 8. un 28. nedēļu podagras </w:t>
      </w:r>
      <w:r w:rsidR="002734FF" w:rsidRPr="00087F50">
        <w:rPr>
          <w:lang w:val="lv-LV"/>
        </w:rPr>
        <w:t xml:space="preserve">paasinājumi </w:t>
      </w:r>
      <w:r w:rsidRPr="00087F50">
        <w:rPr>
          <w:lang w:val="pt-PT"/>
        </w:rPr>
        <w:t xml:space="preserve">tika ārstēti 46 – 55 % pacientu. Šī pētījuma pēdējo četru nedēļu laikā (24. līdz 28. nedēļā) podagras uzliesmojumi tika novēroti 15% 80 mg un 120 mg febuksostata devu, 14 % 300 mg allopurinola devu un 20 % placebo grupas indivīdu. </w:t>
      </w:r>
    </w:p>
    <w:p w14:paraId="7D353CEC" w14:textId="77777777" w:rsidR="00A77DDF" w:rsidRPr="00087F50" w:rsidRDefault="00A77DDF" w:rsidP="00A77DDF">
      <w:pPr>
        <w:spacing w:after="0" w:line="259" w:lineRule="auto"/>
        <w:ind w:left="1" w:firstLine="0"/>
        <w:rPr>
          <w:lang w:val="pt-PT"/>
        </w:rPr>
      </w:pPr>
      <w:r w:rsidRPr="00087F50">
        <w:rPr>
          <w:lang w:val="pt-PT"/>
        </w:rPr>
        <w:t xml:space="preserve"> </w:t>
      </w:r>
    </w:p>
    <w:p w14:paraId="7E6F1E65" w14:textId="0F312EE6" w:rsidR="00A77DDF" w:rsidRPr="00087F50" w:rsidRDefault="00A77DDF" w:rsidP="00A77DDF">
      <w:pPr>
        <w:ind w:left="-3" w:right="9"/>
        <w:rPr>
          <w:lang w:val="pt-PT"/>
        </w:rPr>
      </w:pPr>
      <w:r w:rsidRPr="00087F50">
        <w:rPr>
          <w:lang w:val="pt-PT"/>
        </w:rPr>
        <w:t>FACT pētījums: astoņas nedēļas ilga profilakses perioda laikā 120 mg febuksostata terapijas grupas indivīdu, kuriem bija jāārstē podagras</w:t>
      </w:r>
      <w:r w:rsidR="00434CD7" w:rsidRPr="00087F50">
        <w:rPr>
          <w:lang w:val="pt-PT"/>
        </w:rPr>
        <w:t xml:space="preserve"> </w:t>
      </w:r>
      <w:r w:rsidR="00434CD7" w:rsidRPr="00087F50">
        <w:rPr>
          <w:lang w:val="lv-LV"/>
        </w:rPr>
        <w:t xml:space="preserve"> paasinājumi</w:t>
      </w:r>
      <w:r w:rsidRPr="00087F50">
        <w:rPr>
          <w:lang w:val="pt-PT"/>
        </w:rPr>
        <w:t xml:space="preserve">, daļa (36 %) bija lielāka nekā 80 mg febuksostata (22 %) un 300 mg allopurinola (22 %) terapijas grupā. Pēc šī astoņas nedēļas ilgā profilakses perioda </w:t>
      </w:r>
      <w:r w:rsidR="00434CD7" w:rsidRPr="00087F50">
        <w:rPr>
          <w:lang w:val="lv-LV"/>
        </w:rPr>
        <w:t xml:space="preserve"> paasinājuma</w:t>
      </w:r>
      <w:r w:rsidR="00434CD7" w:rsidRPr="00087F50">
        <w:rPr>
          <w:lang w:val="pt-PT"/>
        </w:rPr>
        <w:t xml:space="preserve"> </w:t>
      </w:r>
      <w:r w:rsidRPr="00087F50">
        <w:rPr>
          <w:lang w:val="pt-PT"/>
        </w:rPr>
        <w:t xml:space="preserve">sastopamība palielinājās un laika gaitā samazinājās (laikā starp 8. un 52. nedēļu uzliesmojumi tika ārstēti 64 un 70 % indivīdu). Šī pētījuma pēdējo četru nedēļu laikā (49. - 52. nedēļā) podagras </w:t>
      </w:r>
      <w:r w:rsidR="00434CD7" w:rsidRPr="00087F50">
        <w:rPr>
          <w:lang w:val="pt-PT"/>
        </w:rPr>
        <w:t xml:space="preserve"> </w:t>
      </w:r>
      <w:r w:rsidR="00434CD7" w:rsidRPr="00087F50">
        <w:rPr>
          <w:lang w:val="lv-LV"/>
        </w:rPr>
        <w:t xml:space="preserve">paasinājumi </w:t>
      </w:r>
      <w:r w:rsidRPr="00087F50">
        <w:rPr>
          <w:lang w:val="pt-PT"/>
        </w:rPr>
        <w:t xml:space="preserve">tika novēroti 6 līdz 8 % 80 mg un 120 mg febuksostata devu un 11 % 300 mg allopurinola devu grupas indivīdu. </w:t>
      </w:r>
    </w:p>
    <w:p w14:paraId="07EE01DB" w14:textId="77777777" w:rsidR="00A77DDF" w:rsidRPr="00087F50" w:rsidRDefault="00A77DDF" w:rsidP="00A77DDF">
      <w:pPr>
        <w:spacing w:after="0" w:line="259" w:lineRule="auto"/>
        <w:ind w:left="1" w:firstLine="0"/>
        <w:rPr>
          <w:lang w:val="pt-PT"/>
        </w:rPr>
      </w:pPr>
      <w:r w:rsidRPr="00087F50">
        <w:rPr>
          <w:lang w:val="pt-PT"/>
        </w:rPr>
        <w:t xml:space="preserve"> </w:t>
      </w:r>
    </w:p>
    <w:p w14:paraId="50C9D718" w14:textId="77777777" w:rsidR="00A77DDF" w:rsidRPr="00087F50" w:rsidRDefault="00A77DDF" w:rsidP="00A77DDF">
      <w:pPr>
        <w:ind w:left="-3" w:right="9"/>
        <w:rPr>
          <w:lang w:val="pt-PT"/>
        </w:rPr>
      </w:pPr>
      <w:r w:rsidRPr="00087F50">
        <w:rPr>
          <w:lang w:val="pt-PT"/>
        </w:rPr>
        <w:lastRenderedPageBreak/>
        <w:t xml:space="preserve">To indivīdu īpatsvars, kam bija jāārstē podagras saasinājumi (APEX un FACT pētījums), bija skaitliski mazāks grupās, kurās terapijas gaitā sasniegtais vidējais urīnskābes līmenis serumā bija &lt; 6,0 mg/dl, &lt; 5,0 mg/dl vai &lt; 4,0 mg/dl, salīdzinot ar grupu, kurā pēdējo 32 terapijas nedēļu gaitā (no 20.-24. nedēļas līdz 49.-52. nedēļai) sasniegtais vidējais urīnskābes līmenis serumā bija ≥ 6,0 mg/dl. </w:t>
      </w:r>
    </w:p>
    <w:p w14:paraId="6A4D97D2" w14:textId="77777777" w:rsidR="00A77DDF" w:rsidRPr="00087F50" w:rsidRDefault="00A77DDF" w:rsidP="00A77DDF">
      <w:pPr>
        <w:spacing w:after="0" w:line="259" w:lineRule="auto"/>
        <w:ind w:left="2" w:firstLine="0"/>
        <w:rPr>
          <w:lang w:val="pt-PT"/>
        </w:rPr>
      </w:pPr>
      <w:r w:rsidRPr="00087F50">
        <w:rPr>
          <w:lang w:val="pt-PT"/>
        </w:rPr>
        <w:t xml:space="preserve"> </w:t>
      </w:r>
    </w:p>
    <w:p w14:paraId="3DC646E7" w14:textId="6CE0D8C9" w:rsidR="00A77DDF" w:rsidRPr="00087F50" w:rsidRDefault="00A77DDF" w:rsidP="00A77DDF">
      <w:pPr>
        <w:ind w:left="-3" w:right="9"/>
        <w:rPr>
          <w:lang w:val="pt-PT"/>
        </w:rPr>
      </w:pPr>
      <w:r w:rsidRPr="00087F50">
        <w:rPr>
          <w:lang w:val="pt-PT"/>
        </w:rPr>
        <w:t xml:space="preserve">CONFIRMS pētījumā pacientu, kuriem laikā starp 1. dienu un 6. mēnesi (ieskaitot) bija nepieciešama podagras uzliesmojumu ārstēšana, procentuālais daudzums 80 mg febuksostata un allopurinola grupās bija attiecīgi 31 un 25 %. 80 mg un 40 mg febuksostata grupās pacientu daļu, kuriem bija jāārstē podagras </w:t>
      </w:r>
      <w:r w:rsidR="00DE2ED2" w:rsidRPr="00087F50">
        <w:rPr>
          <w:lang w:val="lv-LV"/>
        </w:rPr>
        <w:t xml:space="preserve">paasinājumi </w:t>
      </w:r>
      <w:r w:rsidRPr="00087F50">
        <w:rPr>
          <w:lang w:val="pt-PT"/>
        </w:rPr>
        <w:t xml:space="preserve">, atšķirības netika novērotas. </w:t>
      </w:r>
    </w:p>
    <w:p w14:paraId="7A9AF02B" w14:textId="77777777" w:rsidR="00A77DDF" w:rsidRPr="00087F50" w:rsidRDefault="00A77DDF" w:rsidP="00A77DDF">
      <w:pPr>
        <w:spacing w:after="0" w:line="259" w:lineRule="auto"/>
        <w:ind w:left="2" w:firstLine="0"/>
        <w:rPr>
          <w:lang w:val="pt-PT"/>
        </w:rPr>
      </w:pPr>
      <w:r w:rsidRPr="00087F50">
        <w:rPr>
          <w:lang w:val="pt-PT"/>
        </w:rPr>
        <w:t xml:space="preserve"> </w:t>
      </w:r>
    </w:p>
    <w:p w14:paraId="24FCA32D" w14:textId="77777777" w:rsidR="00A77DDF" w:rsidRPr="00087F50" w:rsidRDefault="00A77DDF" w:rsidP="00A77DDF">
      <w:pPr>
        <w:spacing w:after="13" w:line="249" w:lineRule="auto"/>
        <w:ind w:left="-3" w:hanging="10"/>
        <w:rPr>
          <w:lang w:val="pt-PT"/>
        </w:rPr>
      </w:pPr>
      <w:r w:rsidRPr="00087F50">
        <w:rPr>
          <w:i/>
          <w:lang w:val="pt-PT"/>
        </w:rPr>
        <w:t>Ilgstoši, atklāti pagarinājuma pētījumi</w:t>
      </w:r>
      <w:r w:rsidRPr="00087F50">
        <w:rPr>
          <w:lang w:val="pt-PT"/>
        </w:rPr>
        <w:t xml:space="preserve"> </w:t>
      </w:r>
    </w:p>
    <w:p w14:paraId="0B0CAB13" w14:textId="77777777" w:rsidR="00A77DDF" w:rsidRPr="00087F50" w:rsidRDefault="00A77DDF" w:rsidP="00A77DDF">
      <w:pPr>
        <w:ind w:left="-3" w:right="9"/>
        <w:rPr>
          <w:lang w:val="pt-PT"/>
        </w:rPr>
      </w:pPr>
      <w:r w:rsidRPr="00087F50">
        <w:rPr>
          <w:lang w:val="pt-PT"/>
        </w:rPr>
        <w:t xml:space="preserve">EXCEL pētījums (C02-021). Šis pētījums bija trīs gadus ilga atklāta, daudzcentru, randomizēta, ar allopurinolu kontrolēta 3. fāzes pētījuma pagarinājums lietošanas drošuma noteikšanai pacientiem, kuri pabeiguši dalību 3. fāzes pamatpētījumos (APEX vai FACT). Pavisam tika iekļauti </w:t>
      </w:r>
    </w:p>
    <w:p w14:paraId="000BB473" w14:textId="152D6A74" w:rsidR="00A77DDF" w:rsidRPr="00087F50" w:rsidRDefault="00A77DDF" w:rsidP="00A77DDF">
      <w:pPr>
        <w:ind w:left="-3" w:right="9"/>
      </w:pPr>
      <w:r w:rsidRPr="00087F50">
        <w:rPr>
          <w:lang w:val="pt-PT"/>
        </w:rPr>
        <w:t xml:space="preserve">1 086 pacienti, kuri saņēma 80 mg </w:t>
      </w:r>
      <w:proofErr w:type="spellStart"/>
      <w:r w:rsidR="00431740" w:rsidRPr="00087F50">
        <w:rPr>
          <w:lang w:val="lv-LV"/>
        </w:rPr>
        <w:t>febuksostata</w:t>
      </w:r>
      <w:proofErr w:type="spellEnd"/>
      <w:r w:rsidR="00431740" w:rsidRPr="00087F50">
        <w:rPr>
          <w:lang w:val="lv-LV"/>
        </w:rPr>
        <w:t xml:space="preserve"> </w:t>
      </w:r>
      <w:r w:rsidRPr="00087F50">
        <w:rPr>
          <w:lang w:val="pt-PT"/>
        </w:rPr>
        <w:t xml:space="preserve">QD (n = 649), 120 mg </w:t>
      </w:r>
      <w:proofErr w:type="spellStart"/>
      <w:r w:rsidR="00431740" w:rsidRPr="00087F50">
        <w:rPr>
          <w:lang w:val="lv-LV"/>
        </w:rPr>
        <w:t>febuksostatu</w:t>
      </w:r>
      <w:proofErr w:type="spellEnd"/>
      <w:r w:rsidR="00431740" w:rsidRPr="00087F50">
        <w:rPr>
          <w:lang w:val="lv-LV"/>
        </w:rPr>
        <w:t xml:space="preserve"> </w:t>
      </w:r>
      <w:r w:rsidRPr="00087F50">
        <w:rPr>
          <w:lang w:val="pt-PT"/>
        </w:rPr>
        <w:t xml:space="preserve">QD (n = 292) vai 300/100 mg allopurinola QD (n = 145). </w:t>
      </w:r>
      <w:proofErr w:type="spellStart"/>
      <w:r w:rsidRPr="00087F50">
        <w:t>Aptuveni</w:t>
      </w:r>
      <w:proofErr w:type="spellEnd"/>
      <w:r w:rsidRPr="00087F50">
        <w:t xml:space="preserve"> 69 % </w:t>
      </w:r>
      <w:proofErr w:type="spellStart"/>
      <w:r w:rsidRPr="00087F50">
        <w:t>pacientu</w:t>
      </w:r>
      <w:proofErr w:type="spellEnd"/>
      <w:r w:rsidRPr="00087F50">
        <w:t xml:space="preserve"> </w:t>
      </w:r>
      <w:proofErr w:type="spellStart"/>
      <w:r w:rsidRPr="00087F50">
        <w:t>stabilas</w:t>
      </w:r>
      <w:proofErr w:type="spellEnd"/>
      <w:r w:rsidRPr="00087F50">
        <w:t xml:space="preserve"> </w:t>
      </w:r>
      <w:proofErr w:type="spellStart"/>
      <w:r w:rsidRPr="00087F50">
        <w:t>galīgās</w:t>
      </w:r>
      <w:proofErr w:type="spellEnd"/>
      <w:r w:rsidRPr="00087F50">
        <w:t xml:space="preserve"> </w:t>
      </w:r>
      <w:proofErr w:type="spellStart"/>
      <w:r w:rsidRPr="00087F50">
        <w:t>terapijas</w:t>
      </w:r>
      <w:proofErr w:type="spellEnd"/>
      <w:r w:rsidRPr="00087F50">
        <w:t xml:space="preserve"> </w:t>
      </w:r>
      <w:proofErr w:type="spellStart"/>
      <w:r w:rsidRPr="00087F50">
        <w:t>shēmas</w:t>
      </w:r>
      <w:proofErr w:type="spellEnd"/>
      <w:r w:rsidRPr="00087F50">
        <w:t xml:space="preserve"> </w:t>
      </w:r>
      <w:proofErr w:type="spellStart"/>
      <w:r w:rsidRPr="00087F50">
        <w:t>sasniegšanai</w:t>
      </w:r>
      <w:proofErr w:type="spellEnd"/>
      <w:r w:rsidRPr="00087F50">
        <w:t xml:space="preserve"> </w:t>
      </w:r>
      <w:proofErr w:type="spellStart"/>
      <w:r w:rsidRPr="00087F50">
        <w:t>ārstēšanas</w:t>
      </w:r>
      <w:proofErr w:type="spellEnd"/>
      <w:r w:rsidRPr="00087F50">
        <w:t xml:space="preserve"> </w:t>
      </w:r>
      <w:proofErr w:type="spellStart"/>
      <w:r w:rsidRPr="00087F50">
        <w:t>veids</w:t>
      </w:r>
      <w:proofErr w:type="spellEnd"/>
      <w:r w:rsidRPr="00087F50">
        <w:t xml:space="preserve"> </w:t>
      </w:r>
      <w:proofErr w:type="spellStart"/>
      <w:r w:rsidRPr="00087F50">
        <w:t>nebija</w:t>
      </w:r>
      <w:proofErr w:type="spellEnd"/>
      <w:r w:rsidRPr="00087F50">
        <w:t xml:space="preserve"> </w:t>
      </w:r>
      <w:proofErr w:type="spellStart"/>
      <w:r w:rsidRPr="00087F50">
        <w:t>jāmaina</w:t>
      </w:r>
      <w:proofErr w:type="spellEnd"/>
      <w:r w:rsidRPr="00087F50">
        <w:t xml:space="preserve">. </w:t>
      </w:r>
      <w:proofErr w:type="spellStart"/>
      <w:r w:rsidRPr="00087F50">
        <w:t>Pacienti</w:t>
      </w:r>
      <w:proofErr w:type="spellEnd"/>
      <w:r w:rsidRPr="00087F50">
        <w:t xml:space="preserve">, </w:t>
      </w:r>
      <w:proofErr w:type="spellStart"/>
      <w:r w:rsidRPr="00087F50">
        <w:t>kuriem</w:t>
      </w:r>
      <w:proofErr w:type="spellEnd"/>
      <w:r w:rsidRPr="00087F50">
        <w:t xml:space="preserve"> </w:t>
      </w:r>
      <w:proofErr w:type="spellStart"/>
      <w:r w:rsidRPr="00087F50">
        <w:t>trīs</w:t>
      </w:r>
      <w:proofErr w:type="spellEnd"/>
      <w:r w:rsidRPr="00087F50">
        <w:t xml:space="preserve"> </w:t>
      </w:r>
      <w:proofErr w:type="spellStart"/>
      <w:r w:rsidRPr="00087F50">
        <w:t>reizes</w:t>
      </w:r>
      <w:proofErr w:type="spellEnd"/>
      <w:r w:rsidRPr="00087F50">
        <w:t xml:space="preserve"> </w:t>
      </w:r>
      <w:proofErr w:type="spellStart"/>
      <w:r w:rsidRPr="00087F50">
        <w:t>pēc</w:t>
      </w:r>
      <w:proofErr w:type="spellEnd"/>
      <w:r w:rsidRPr="00087F50">
        <w:t xml:space="preserve"> </w:t>
      </w:r>
      <w:proofErr w:type="spellStart"/>
      <w:r w:rsidRPr="00087F50">
        <w:t>kārtas</w:t>
      </w:r>
      <w:proofErr w:type="spellEnd"/>
      <w:r w:rsidRPr="00087F50">
        <w:t xml:space="preserve"> </w:t>
      </w:r>
      <w:proofErr w:type="spellStart"/>
      <w:r w:rsidRPr="00087F50">
        <w:t>sUA</w:t>
      </w:r>
      <w:proofErr w:type="spellEnd"/>
      <w:r w:rsidRPr="00087F50">
        <w:t xml:space="preserve"> </w:t>
      </w:r>
      <w:proofErr w:type="spellStart"/>
      <w:r w:rsidRPr="00087F50">
        <w:t>līmenis</w:t>
      </w:r>
      <w:proofErr w:type="spellEnd"/>
      <w:r w:rsidRPr="00087F50">
        <w:t xml:space="preserve"> bija &gt; 6,0 mg/dl, no </w:t>
      </w:r>
      <w:proofErr w:type="spellStart"/>
      <w:r w:rsidRPr="00087F50">
        <w:t>pētījuma</w:t>
      </w:r>
      <w:proofErr w:type="spellEnd"/>
      <w:r w:rsidRPr="00087F50">
        <w:t xml:space="preserve"> </w:t>
      </w:r>
      <w:proofErr w:type="spellStart"/>
      <w:r w:rsidRPr="00087F50">
        <w:t>tika</w:t>
      </w:r>
      <w:proofErr w:type="spellEnd"/>
      <w:r w:rsidRPr="00087F50">
        <w:t xml:space="preserve"> </w:t>
      </w:r>
      <w:proofErr w:type="spellStart"/>
      <w:r w:rsidRPr="00087F50">
        <w:t>izslēgti</w:t>
      </w:r>
      <w:proofErr w:type="spellEnd"/>
      <w:r w:rsidRPr="00087F50">
        <w:t xml:space="preserve">. </w:t>
      </w:r>
    </w:p>
    <w:p w14:paraId="5C164A43" w14:textId="77777777" w:rsidR="00A77DDF" w:rsidRPr="00087F50" w:rsidRDefault="00A77DDF" w:rsidP="00A77DDF">
      <w:pPr>
        <w:ind w:left="-3" w:right="9"/>
      </w:pPr>
      <w:proofErr w:type="spellStart"/>
      <w:r w:rsidRPr="00087F50">
        <w:t>Urātu</w:t>
      </w:r>
      <w:proofErr w:type="spellEnd"/>
      <w:r w:rsidRPr="00087F50">
        <w:t xml:space="preserve"> </w:t>
      </w:r>
      <w:proofErr w:type="spellStart"/>
      <w:r w:rsidRPr="00087F50">
        <w:t>līmenis</w:t>
      </w:r>
      <w:proofErr w:type="spellEnd"/>
      <w:r w:rsidRPr="00087F50">
        <w:t xml:space="preserve"> </w:t>
      </w:r>
      <w:proofErr w:type="spellStart"/>
      <w:r w:rsidRPr="00087F50">
        <w:t>serumā</w:t>
      </w:r>
      <w:proofErr w:type="spellEnd"/>
      <w:r w:rsidRPr="00087F50">
        <w:t xml:space="preserve"> </w:t>
      </w:r>
      <w:proofErr w:type="spellStart"/>
      <w:r w:rsidRPr="00087F50">
        <w:t>laika</w:t>
      </w:r>
      <w:proofErr w:type="spellEnd"/>
      <w:r w:rsidRPr="00087F50">
        <w:t xml:space="preserve"> </w:t>
      </w:r>
      <w:proofErr w:type="spellStart"/>
      <w:r w:rsidRPr="00087F50">
        <w:t>gaitā</w:t>
      </w:r>
      <w:proofErr w:type="spellEnd"/>
      <w:r w:rsidRPr="00087F50">
        <w:t xml:space="preserve"> </w:t>
      </w:r>
      <w:proofErr w:type="spellStart"/>
      <w:r w:rsidRPr="00087F50">
        <w:t>nemainījās</w:t>
      </w:r>
      <w:proofErr w:type="spellEnd"/>
      <w:r w:rsidRPr="00087F50">
        <w:t xml:space="preserve"> (t. i., 91 % un 93 % </w:t>
      </w:r>
      <w:proofErr w:type="spellStart"/>
      <w:r w:rsidRPr="00087F50">
        <w:t>pacientu</w:t>
      </w:r>
      <w:proofErr w:type="spellEnd"/>
      <w:r w:rsidRPr="00087F50">
        <w:t xml:space="preserve">, </w:t>
      </w:r>
      <w:proofErr w:type="spellStart"/>
      <w:r w:rsidRPr="00087F50">
        <w:t>kuri</w:t>
      </w:r>
      <w:proofErr w:type="spellEnd"/>
      <w:r w:rsidRPr="00087F50">
        <w:t xml:space="preserve"> </w:t>
      </w:r>
      <w:proofErr w:type="spellStart"/>
      <w:r w:rsidRPr="00087F50">
        <w:t>sākumā</w:t>
      </w:r>
      <w:proofErr w:type="spellEnd"/>
      <w:r w:rsidRPr="00087F50">
        <w:t xml:space="preserve"> </w:t>
      </w:r>
      <w:proofErr w:type="spellStart"/>
      <w:r w:rsidRPr="00087F50">
        <w:t>tika</w:t>
      </w:r>
      <w:proofErr w:type="spellEnd"/>
      <w:r w:rsidRPr="00087F50">
        <w:t xml:space="preserve"> </w:t>
      </w:r>
      <w:proofErr w:type="spellStart"/>
      <w:r w:rsidRPr="00087F50">
        <w:t>ārstēti</w:t>
      </w:r>
      <w:proofErr w:type="spellEnd"/>
      <w:r w:rsidRPr="00087F50">
        <w:t xml:space="preserve"> ar </w:t>
      </w:r>
      <w:proofErr w:type="spellStart"/>
      <w:r w:rsidRPr="00087F50">
        <w:t>attiecīgi</w:t>
      </w:r>
      <w:proofErr w:type="spellEnd"/>
      <w:r w:rsidRPr="00087F50">
        <w:t xml:space="preserve"> 80 mg un 120 mg </w:t>
      </w:r>
      <w:proofErr w:type="spellStart"/>
      <w:r w:rsidRPr="00087F50">
        <w:t>lielām</w:t>
      </w:r>
      <w:proofErr w:type="spellEnd"/>
      <w:r w:rsidRPr="00087F50">
        <w:t xml:space="preserve"> </w:t>
      </w:r>
      <w:proofErr w:type="spellStart"/>
      <w:r w:rsidRPr="00087F50">
        <w:t>febuksostata</w:t>
      </w:r>
      <w:proofErr w:type="spellEnd"/>
      <w:r w:rsidRPr="00087F50">
        <w:t xml:space="preserve"> </w:t>
      </w:r>
      <w:proofErr w:type="spellStart"/>
      <w:r w:rsidRPr="00087F50">
        <w:t>devām</w:t>
      </w:r>
      <w:proofErr w:type="spellEnd"/>
      <w:r w:rsidRPr="00087F50">
        <w:t xml:space="preserve">, </w:t>
      </w:r>
      <w:proofErr w:type="spellStart"/>
      <w:r w:rsidRPr="00087F50">
        <w:t>pēc</w:t>
      </w:r>
      <w:proofErr w:type="spellEnd"/>
      <w:r w:rsidRPr="00087F50">
        <w:t xml:space="preserve"> 36 </w:t>
      </w:r>
      <w:proofErr w:type="spellStart"/>
      <w:r w:rsidRPr="00087F50">
        <w:t>mēnešiem</w:t>
      </w:r>
      <w:proofErr w:type="spellEnd"/>
      <w:r w:rsidRPr="00087F50">
        <w:t xml:space="preserve"> </w:t>
      </w:r>
      <w:proofErr w:type="spellStart"/>
      <w:r w:rsidRPr="00087F50">
        <w:t>sUA</w:t>
      </w:r>
      <w:proofErr w:type="spellEnd"/>
      <w:r w:rsidRPr="00087F50">
        <w:t xml:space="preserve"> bija &lt; 6 mg/dl). </w:t>
      </w:r>
    </w:p>
    <w:p w14:paraId="5E2BC5CE" w14:textId="77777777" w:rsidR="00A77DDF" w:rsidRPr="00087F50" w:rsidRDefault="00A77DDF" w:rsidP="00A77DDF">
      <w:pPr>
        <w:spacing w:after="0" w:line="259" w:lineRule="auto"/>
        <w:ind w:left="2" w:firstLine="0"/>
      </w:pPr>
      <w:r w:rsidRPr="00087F50">
        <w:t xml:space="preserve"> </w:t>
      </w:r>
    </w:p>
    <w:p w14:paraId="505052AA" w14:textId="77777777" w:rsidR="00A77DDF" w:rsidRPr="00087F50" w:rsidRDefault="00A77DDF" w:rsidP="00A77DDF">
      <w:pPr>
        <w:ind w:left="-3" w:right="9"/>
      </w:pPr>
      <w:proofErr w:type="spellStart"/>
      <w:r w:rsidRPr="00087F50">
        <w:t>Trijos</w:t>
      </w:r>
      <w:proofErr w:type="spellEnd"/>
      <w:r w:rsidRPr="00087F50">
        <w:t xml:space="preserve"> gados </w:t>
      </w:r>
      <w:proofErr w:type="spellStart"/>
      <w:r w:rsidRPr="00087F50">
        <w:t>iegūtie</w:t>
      </w:r>
      <w:proofErr w:type="spellEnd"/>
      <w:r w:rsidRPr="00087F50">
        <w:t xml:space="preserve"> </w:t>
      </w:r>
      <w:proofErr w:type="spellStart"/>
      <w:r w:rsidRPr="00087F50">
        <w:t>rezultāti</w:t>
      </w:r>
      <w:proofErr w:type="spellEnd"/>
      <w:r w:rsidRPr="00087F50">
        <w:t xml:space="preserve"> </w:t>
      </w:r>
      <w:proofErr w:type="spellStart"/>
      <w:r w:rsidRPr="00087F50">
        <w:t>parādīja</w:t>
      </w:r>
      <w:proofErr w:type="spellEnd"/>
      <w:r w:rsidRPr="00087F50">
        <w:t xml:space="preserve">, </w:t>
      </w:r>
      <w:proofErr w:type="spellStart"/>
      <w:r w:rsidRPr="00087F50">
        <w:t>ka</w:t>
      </w:r>
      <w:proofErr w:type="spellEnd"/>
      <w:r w:rsidRPr="00087F50">
        <w:t xml:space="preserve"> podagras </w:t>
      </w:r>
      <w:proofErr w:type="spellStart"/>
      <w:r w:rsidRPr="00087F50">
        <w:t>saasinājumi</w:t>
      </w:r>
      <w:proofErr w:type="spellEnd"/>
      <w:r w:rsidRPr="00087F50">
        <w:t xml:space="preserve"> </w:t>
      </w:r>
      <w:proofErr w:type="spellStart"/>
      <w:r w:rsidRPr="00087F50">
        <w:t>praktiski</w:t>
      </w:r>
      <w:proofErr w:type="spellEnd"/>
      <w:r w:rsidRPr="00087F50">
        <w:t xml:space="preserve"> </w:t>
      </w:r>
      <w:proofErr w:type="spellStart"/>
      <w:r w:rsidRPr="00087F50">
        <w:t>beidzās</w:t>
      </w:r>
      <w:proofErr w:type="spellEnd"/>
      <w:r w:rsidRPr="00087F50">
        <w:t xml:space="preserve"> un </w:t>
      </w:r>
      <w:proofErr w:type="spellStart"/>
      <w:r w:rsidRPr="00087F50">
        <w:t>mazāk</w:t>
      </w:r>
      <w:proofErr w:type="spellEnd"/>
      <w:r w:rsidRPr="00087F50">
        <w:t xml:space="preserve"> </w:t>
      </w:r>
      <w:proofErr w:type="spellStart"/>
      <w:r w:rsidRPr="00087F50">
        <w:t>nekā</w:t>
      </w:r>
      <w:proofErr w:type="spellEnd"/>
      <w:r w:rsidRPr="00087F50">
        <w:t xml:space="preserve"> 4 % </w:t>
      </w:r>
      <w:proofErr w:type="spellStart"/>
      <w:r w:rsidRPr="00087F50">
        <w:t>pacientu</w:t>
      </w:r>
      <w:proofErr w:type="spellEnd"/>
      <w:r w:rsidRPr="00087F50">
        <w:t xml:space="preserve"> bija </w:t>
      </w:r>
      <w:proofErr w:type="spellStart"/>
      <w:r w:rsidRPr="00087F50">
        <w:t>nepieciešama</w:t>
      </w:r>
      <w:proofErr w:type="spellEnd"/>
      <w:r w:rsidRPr="00087F50">
        <w:t xml:space="preserve"> podagras </w:t>
      </w:r>
      <w:proofErr w:type="spellStart"/>
      <w:r w:rsidRPr="00087F50">
        <w:t>saasinājuma</w:t>
      </w:r>
      <w:proofErr w:type="spellEnd"/>
      <w:r w:rsidRPr="00087F50">
        <w:t xml:space="preserve"> </w:t>
      </w:r>
      <w:proofErr w:type="spellStart"/>
      <w:r w:rsidRPr="00087F50">
        <w:t>ārstēšana</w:t>
      </w:r>
      <w:proofErr w:type="spellEnd"/>
      <w:r w:rsidRPr="00087F50">
        <w:t xml:space="preserve"> (</w:t>
      </w:r>
      <w:proofErr w:type="spellStart"/>
      <w:r w:rsidRPr="00087F50">
        <w:t>t.i</w:t>
      </w:r>
      <w:proofErr w:type="spellEnd"/>
      <w:r w:rsidRPr="00087F50">
        <w:t xml:space="preserve">., </w:t>
      </w:r>
      <w:proofErr w:type="spellStart"/>
      <w:r w:rsidRPr="00087F50">
        <w:t>vairāk</w:t>
      </w:r>
      <w:proofErr w:type="spellEnd"/>
      <w:r w:rsidRPr="00087F50">
        <w:t xml:space="preserve"> </w:t>
      </w:r>
      <w:proofErr w:type="spellStart"/>
      <w:r w:rsidRPr="00087F50">
        <w:t>nekā</w:t>
      </w:r>
      <w:proofErr w:type="spellEnd"/>
      <w:r w:rsidRPr="00087F50">
        <w:t xml:space="preserve"> 96 % </w:t>
      </w:r>
      <w:proofErr w:type="spellStart"/>
      <w:r w:rsidRPr="00087F50">
        <w:t>pacientu</w:t>
      </w:r>
      <w:proofErr w:type="spellEnd"/>
      <w:r w:rsidRPr="00087F50">
        <w:t xml:space="preserve"> </w:t>
      </w:r>
      <w:proofErr w:type="spellStart"/>
      <w:r w:rsidRPr="00087F50">
        <w:t>saasinājuma</w:t>
      </w:r>
      <w:proofErr w:type="spellEnd"/>
      <w:r w:rsidRPr="00087F50">
        <w:t xml:space="preserve"> </w:t>
      </w:r>
      <w:proofErr w:type="spellStart"/>
      <w:r w:rsidRPr="00087F50">
        <w:t>ārstēšana</w:t>
      </w:r>
      <w:proofErr w:type="spellEnd"/>
      <w:r w:rsidRPr="00087F50">
        <w:t xml:space="preserve"> </w:t>
      </w:r>
      <w:proofErr w:type="spellStart"/>
      <w:r w:rsidRPr="00087F50">
        <w:t>nebija</w:t>
      </w:r>
      <w:proofErr w:type="spellEnd"/>
      <w:r w:rsidRPr="00087F50">
        <w:t xml:space="preserve"> </w:t>
      </w:r>
      <w:proofErr w:type="spellStart"/>
      <w:r w:rsidRPr="00087F50">
        <w:t>nepieciešama</w:t>
      </w:r>
      <w:proofErr w:type="spellEnd"/>
      <w:r w:rsidRPr="00087F50">
        <w:t xml:space="preserve">) </w:t>
      </w:r>
      <w:proofErr w:type="spellStart"/>
      <w:r w:rsidRPr="00087F50">
        <w:t>pēc</w:t>
      </w:r>
      <w:proofErr w:type="spellEnd"/>
      <w:r w:rsidRPr="00087F50">
        <w:t xml:space="preserve"> 16-24 </w:t>
      </w:r>
      <w:proofErr w:type="spellStart"/>
      <w:r w:rsidRPr="00087F50">
        <w:t>mēnešiem</w:t>
      </w:r>
      <w:proofErr w:type="spellEnd"/>
      <w:r w:rsidRPr="00087F50">
        <w:t xml:space="preserve"> un </w:t>
      </w:r>
      <w:proofErr w:type="spellStart"/>
      <w:r w:rsidRPr="00087F50">
        <w:t>pēc</w:t>
      </w:r>
      <w:proofErr w:type="spellEnd"/>
      <w:r w:rsidRPr="00087F50">
        <w:t xml:space="preserve"> 30-36 </w:t>
      </w:r>
      <w:proofErr w:type="spellStart"/>
      <w:r w:rsidRPr="00087F50">
        <w:t>mēnešiem</w:t>
      </w:r>
      <w:proofErr w:type="spellEnd"/>
      <w:r w:rsidRPr="00087F50">
        <w:t xml:space="preserve">. </w:t>
      </w:r>
    </w:p>
    <w:p w14:paraId="34803400" w14:textId="77777777" w:rsidR="00A77DDF" w:rsidRPr="00087F50" w:rsidRDefault="00A77DDF" w:rsidP="00A77DDF">
      <w:pPr>
        <w:spacing w:after="0" w:line="259" w:lineRule="auto"/>
        <w:ind w:left="2" w:firstLine="0"/>
      </w:pPr>
      <w:r w:rsidRPr="00087F50">
        <w:t xml:space="preserve"> </w:t>
      </w:r>
    </w:p>
    <w:p w14:paraId="3557C196" w14:textId="77777777" w:rsidR="00A77DDF" w:rsidRPr="00087F50" w:rsidRDefault="00A77DDF" w:rsidP="00A77DDF">
      <w:pPr>
        <w:ind w:left="-3" w:right="9"/>
      </w:pPr>
      <w:r w:rsidRPr="00087F50">
        <w:t xml:space="preserve">46 % un 38 % </w:t>
      </w:r>
      <w:proofErr w:type="spellStart"/>
      <w:r w:rsidRPr="00087F50">
        <w:t>pacientu</w:t>
      </w:r>
      <w:proofErr w:type="spellEnd"/>
      <w:r w:rsidRPr="00087F50">
        <w:t xml:space="preserve">, </w:t>
      </w:r>
      <w:proofErr w:type="spellStart"/>
      <w:r w:rsidRPr="00087F50">
        <w:t>kuri</w:t>
      </w:r>
      <w:proofErr w:type="spellEnd"/>
      <w:r w:rsidRPr="00087F50">
        <w:t xml:space="preserve"> </w:t>
      </w:r>
      <w:proofErr w:type="spellStart"/>
      <w:r w:rsidRPr="00087F50">
        <w:t>saņēma</w:t>
      </w:r>
      <w:proofErr w:type="spellEnd"/>
      <w:r w:rsidRPr="00087F50">
        <w:t xml:space="preserve"> </w:t>
      </w:r>
      <w:proofErr w:type="spellStart"/>
      <w:r w:rsidRPr="00087F50">
        <w:t>galīgo</w:t>
      </w:r>
      <w:proofErr w:type="spellEnd"/>
      <w:r w:rsidRPr="00087F50">
        <w:t xml:space="preserve"> </w:t>
      </w:r>
      <w:proofErr w:type="spellStart"/>
      <w:r w:rsidRPr="00087F50">
        <w:t>terapiju</w:t>
      </w:r>
      <w:proofErr w:type="spellEnd"/>
      <w:r w:rsidRPr="00087F50">
        <w:t xml:space="preserve"> ar </w:t>
      </w:r>
      <w:proofErr w:type="spellStart"/>
      <w:r w:rsidRPr="00087F50">
        <w:t>attiecīgi</w:t>
      </w:r>
      <w:proofErr w:type="spellEnd"/>
      <w:r w:rsidRPr="00087F50">
        <w:t xml:space="preserve"> 80 </w:t>
      </w:r>
      <w:proofErr w:type="spellStart"/>
      <w:r w:rsidRPr="00087F50">
        <w:t>vai</w:t>
      </w:r>
      <w:proofErr w:type="spellEnd"/>
      <w:r w:rsidRPr="00087F50">
        <w:t xml:space="preserve"> 120 mg </w:t>
      </w:r>
      <w:proofErr w:type="spellStart"/>
      <w:r w:rsidRPr="00087F50">
        <w:t>lielām</w:t>
      </w:r>
      <w:proofErr w:type="spellEnd"/>
      <w:r w:rsidRPr="00087F50">
        <w:t xml:space="preserve"> </w:t>
      </w:r>
      <w:proofErr w:type="spellStart"/>
      <w:r w:rsidRPr="00087F50">
        <w:t>febuksostata</w:t>
      </w:r>
      <w:proofErr w:type="spellEnd"/>
      <w:r w:rsidRPr="00087F50">
        <w:t xml:space="preserve"> </w:t>
      </w:r>
      <w:proofErr w:type="spellStart"/>
      <w:r w:rsidRPr="00087F50">
        <w:t>devām</w:t>
      </w:r>
      <w:proofErr w:type="spellEnd"/>
      <w:r w:rsidRPr="00087F50">
        <w:t xml:space="preserve"> QD, </w:t>
      </w:r>
      <w:proofErr w:type="spellStart"/>
      <w:r w:rsidRPr="00087F50">
        <w:t>laikā</w:t>
      </w:r>
      <w:proofErr w:type="spellEnd"/>
      <w:r w:rsidRPr="00087F50">
        <w:t xml:space="preserve"> </w:t>
      </w:r>
      <w:proofErr w:type="spellStart"/>
      <w:r w:rsidRPr="00087F50">
        <w:t>starp</w:t>
      </w:r>
      <w:proofErr w:type="spellEnd"/>
      <w:r w:rsidRPr="00087F50">
        <w:t xml:space="preserve"> </w:t>
      </w:r>
      <w:proofErr w:type="spellStart"/>
      <w:r w:rsidRPr="00087F50">
        <w:t>terapijas</w:t>
      </w:r>
      <w:proofErr w:type="spellEnd"/>
      <w:r w:rsidRPr="00087F50">
        <w:t xml:space="preserve"> </w:t>
      </w:r>
      <w:proofErr w:type="spellStart"/>
      <w:r w:rsidRPr="00087F50">
        <w:t>sākumu</w:t>
      </w:r>
      <w:proofErr w:type="spellEnd"/>
      <w:r w:rsidRPr="00087F50">
        <w:t xml:space="preserve"> un </w:t>
      </w:r>
      <w:proofErr w:type="spellStart"/>
      <w:r w:rsidRPr="00087F50">
        <w:t>pēdējo</w:t>
      </w:r>
      <w:proofErr w:type="spellEnd"/>
      <w:r w:rsidRPr="00087F50">
        <w:t xml:space="preserve"> </w:t>
      </w:r>
      <w:proofErr w:type="spellStart"/>
      <w:r w:rsidRPr="00087F50">
        <w:t>vizīti</w:t>
      </w:r>
      <w:proofErr w:type="spellEnd"/>
      <w:r w:rsidRPr="00087F50">
        <w:t xml:space="preserve"> </w:t>
      </w:r>
      <w:proofErr w:type="spellStart"/>
      <w:r w:rsidRPr="00087F50">
        <w:t>pilnīgi</w:t>
      </w:r>
      <w:proofErr w:type="spellEnd"/>
      <w:r w:rsidRPr="00087F50">
        <w:t xml:space="preserve"> </w:t>
      </w:r>
      <w:proofErr w:type="spellStart"/>
      <w:r w:rsidRPr="00087F50">
        <w:t>izzuda</w:t>
      </w:r>
      <w:proofErr w:type="spellEnd"/>
      <w:r w:rsidRPr="00087F50">
        <w:t xml:space="preserve"> </w:t>
      </w:r>
      <w:proofErr w:type="spellStart"/>
      <w:r w:rsidRPr="00087F50">
        <w:t>primāri</w:t>
      </w:r>
      <w:proofErr w:type="spellEnd"/>
      <w:r w:rsidRPr="00087F50">
        <w:t xml:space="preserve"> </w:t>
      </w:r>
      <w:proofErr w:type="spellStart"/>
      <w:r w:rsidRPr="00087F50">
        <w:t>palpējamie</w:t>
      </w:r>
      <w:proofErr w:type="spellEnd"/>
      <w:r w:rsidRPr="00087F50">
        <w:t xml:space="preserve"> </w:t>
      </w:r>
      <w:proofErr w:type="spellStart"/>
      <w:r w:rsidRPr="00087F50">
        <w:t>sāļu</w:t>
      </w:r>
      <w:proofErr w:type="spellEnd"/>
      <w:r w:rsidRPr="00087F50">
        <w:t xml:space="preserve"> </w:t>
      </w:r>
      <w:proofErr w:type="spellStart"/>
      <w:r w:rsidRPr="00087F50">
        <w:t>izgulsnējumi</w:t>
      </w:r>
      <w:proofErr w:type="spellEnd"/>
      <w:r w:rsidRPr="00087F50">
        <w:t xml:space="preserve">. </w:t>
      </w:r>
    </w:p>
    <w:p w14:paraId="02AA6C51" w14:textId="77777777" w:rsidR="00A77DDF" w:rsidRPr="00087F50" w:rsidRDefault="00A77DDF" w:rsidP="00A77DDF">
      <w:pPr>
        <w:spacing w:after="0" w:line="259" w:lineRule="auto"/>
        <w:ind w:left="3" w:firstLine="0"/>
      </w:pPr>
      <w:r w:rsidRPr="00087F50">
        <w:t xml:space="preserve"> </w:t>
      </w:r>
    </w:p>
    <w:p w14:paraId="5F0A0437" w14:textId="77777777" w:rsidR="00A77DDF" w:rsidRPr="00087F50" w:rsidRDefault="00A77DDF" w:rsidP="00A77DDF">
      <w:pPr>
        <w:ind w:left="-3" w:right="9"/>
      </w:pPr>
      <w:r w:rsidRPr="00087F50">
        <w:t xml:space="preserve">FOCUS </w:t>
      </w:r>
      <w:proofErr w:type="spellStart"/>
      <w:r w:rsidRPr="00087F50">
        <w:t>pētījums</w:t>
      </w:r>
      <w:proofErr w:type="spellEnd"/>
      <w:r w:rsidRPr="00087F50">
        <w:t xml:space="preserve"> (TMX-01-005) bija 5 </w:t>
      </w:r>
      <w:proofErr w:type="spellStart"/>
      <w:r w:rsidRPr="00087F50">
        <w:t>gadus</w:t>
      </w:r>
      <w:proofErr w:type="spellEnd"/>
      <w:r w:rsidRPr="00087F50">
        <w:t xml:space="preserve"> </w:t>
      </w:r>
      <w:proofErr w:type="spellStart"/>
      <w:r w:rsidRPr="00087F50">
        <w:t>ilgs</w:t>
      </w:r>
      <w:proofErr w:type="spellEnd"/>
      <w:r w:rsidRPr="00087F50">
        <w:t xml:space="preserve"> </w:t>
      </w:r>
      <w:proofErr w:type="spellStart"/>
      <w:r w:rsidRPr="00087F50">
        <w:t>atklāts</w:t>
      </w:r>
      <w:proofErr w:type="spellEnd"/>
      <w:r w:rsidRPr="00087F50">
        <w:t xml:space="preserve"> </w:t>
      </w:r>
      <w:proofErr w:type="spellStart"/>
      <w:r w:rsidRPr="00087F50">
        <w:t>daudzcentru</w:t>
      </w:r>
      <w:proofErr w:type="spellEnd"/>
      <w:r w:rsidRPr="00087F50">
        <w:t xml:space="preserve"> 2. </w:t>
      </w:r>
      <w:proofErr w:type="spellStart"/>
      <w:r w:rsidRPr="00087F50">
        <w:t>fāzes</w:t>
      </w:r>
      <w:proofErr w:type="spellEnd"/>
      <w:r w:rsidRPr="00087F50">
        <w:t xml:space="preserve"> </w:t>
      </w:r>
      <w:proofErr w:type="spellStart"/>
      <w:r w:rsidRPr="00087F50">
        <w:t>pētījuma</w:t>
      </w:r>
      <w:proofErr w:type="spellEnd"/>
      <w:r w:rsidRPr="00087F50">
        <w:t xml:space="preserve"> </w:t>
      </w:r>
      <w:proofErr w:type="spellStart"/>
      <w:r w:rsidRPr="00087F50">
        <w:t>pagarinājums</w:t>
      </w:r>
      <w:proofErr w:type="spellEnd"/>
      <w:r w:rsidRPr="00087F50">
        <w:t xml:space="preserve">, </w:t>
      </w:r>
      <w:proofErr w:type="spellStart"/>
      <w:r w:rsidRPr="00087F50">
        <w:t>lai</w:t>
      </w:r>
      <w:proofErr w:type="spellEnd"/>
      <w:r w:rsidRPr="00087F50">
        <w:t xml:space="preserve"> </w:t>
      </w:r>
      <w:proofErr w:type="spellStart"/>
      <w:r w:rsidRPr="00087F50">
        <w:t>vērtētu</w:t>
      </w:r>
      <w:proofErr w:type="spellEnd"/>
      <w:r w:rsidRPr="00087F50">
        <w:t xml:space="preserve"> </w:t>
      </w:r>
      <w:proofErr w:type="spellStart"/>
      <w:r w:rsidRPr="00087F50">
        <w:t>lietošanas</w:t>
      </w:r>
      <w:proofErr w:type="spellEnd"/>
      <w:r w:rsidRPr="00087F50">
        <w:t xml:space="preserve"> </w:t>
      </w:r>
      <w:proofErr w:type="spellStart"/>
      <w:r w:rsidRPr="00087F50">
        <w:t>drošumu</w:t>
      </w:r>
      <w:proofErr w:type="spellEnd"/>
      <w:r w:rsidRPr="00087F50">
        <w:t xml:space="preserve"> </w:t>
      </w:r>
      <w:proofErr w:type="spellStart"/>
      <w:r w:rsidRPr="00087F50">
        <w:t>pacientiem</w:t>
      </w:r>
      <w:proofErr w:type="spellEnd"/>
      <w:r w:rsidRPr="00087F50">
        <w:t xml:space="preserve">, </w:t>
      </w:r>
      <w:proofErr w:type="spellStart"/>
      <w:r w:rsidRPr="00087F50">
        <w:t>kuri</w:t>
      </w:r>
      <w:proofErr w:type="spellEnd"/>
      <w:r w:rsidRPr="00087F50">
        <w:t xml:space="preserve"> </w:t>
      </w:r>
      <w:proofErr w:type="spellStart"/>
      <w:r w:rsidRPr="00087F50">
        <w:t>pabeiguši</w:t>
      </w:r>
      <w:proofErr w:type="spellEnd"/>
      <w:r w:rsidRPr="00087F50">
        <w:t xml:space="preserve"> </w:t>
      </w:r>
      <w:proofErr w:type="spellStart"/>
      <w:r w:rsidRPr="00087F50">
        <w:t>četras</w:t>
      </w:r>
      <w:proofErr w:type="spellEnd"/>
      <w:r w:rsidRPr="00087F50">
        <w:t xml:space="preserve"> </w:t>
      </w:r>
      <w:proofErr w:type="spellStart"/>
      <w:r w:rsidRPr="00087F50">
        <w:t>nedēļas</w:t>
      </w:r>
      <w:proofErr w:type="spellEnd"/>
      <w:r w:rsidRPr="00087F50">
        <w:t xml:space="preserve"> </w:t>
      </w:r>
      <w:proofErr w:type="spellStart"/>
      <w:r w:rsidRPr="00087F50">
        <w:t>ilgu</w:t>
      </w:r>
      <w:proofErr w:type="spellEnd"/>
      <w:r w:rsidRPr="00087F50">
        <w:t xml:space="preserve"> </w:t>
      </w:r>
      <w:proofErr w:type="spellStart"/>
      <w:r w:rsidRPr="00087F50">
        <w:t>dubultmaskētu</w:t>
      </w:r>
      <w:proofErr w:type="spellEnd"/>
      <w:r w:rsidRPr="00087F50">
        <w:t xml:space="preserve"> </w:t>
      </w:r>
      <w:proofErr w:type="spellStart"/>
      <w:r w:rsidRPr="00087F50">
        <w:t>zāļu</w:t>
      </w:r>
      <w:proofErr w:type="spellEnd"/>
      <w:r w:rsidRPr="00087F50">
        <w:t xml:space="preserve"> </w:t>
      </w:r>
      <w:proofErr w:type="spellStart"/>
      <w:r w:rsidRPr="00087F50">
        <w:t>lietošanu</w:t>
      </w:r>
      <w:proofErr w:type="spellEnd"/>
      <w:r w:rsidRPr="00087F50">
        <w:t xml:space="preserve"> </w:t>
      </w:r>
      <w:proofErr w:type="spellStart"/>
      <w:r w:rsidRPr="00087F50">
        <w:t>pētījumā</w:t>
      </w:r>
      <w:proofErr w:type="spellEnd"/>
      <w:r w:rsidRPr="00087F50">
        <w:t xml:space="preserve"> TMX-00-004. </w:t>
      </w:r>
      <w:proofErr w:type="spellStart"/>
      <w:r w:rsidRPr="00087F50">
        <w:t>Tika</w:t>
      </w:r>
      <w:proofErr w:type="spellEnd"/>
      <w:r w:rsidRPr="00087F50">
        <w:t xml:space="preserve"> </w:t>
      </w:r>
      <w:proofErr w:type="spellStart"/>
      <w:r w:rsidRPr="00087F50">
        <w:t>iekļauti</w:t>
      </w:r>
      <w:proofErr w:type="spellEnd"/>
      <w:r w:rsidRPr="00087F50">
        <w:t xml:space="preserve"> 116 </w:t>
      </w:r>
      <w:proofErr w:type="spellStart"/>
      <w:r w:rsidRPr="00087F50">
        <w:t>pacienti</w:t>
      </w:r>
      <w:proofErr w:type="spellEnd"/>
      <w:r w:rsidRPr="00087F50">
        <w:t xml:space="preserve">, </w:t>
      </w:r>
      <w:proofErr w:type="spellStart"/>
      <w:r w:rsidRPr="00087F50">
        <w:t>kuri</w:t>
      </w:r>
      <w:proofErr w:type="spellEnd"/>
      <w:r w:rsidRPr="00087F50">
        <w:t xml:space="preserve"> </w:t>
      </w:r>
      <w:proofErr w:type="spellStart"/>
      <w:r w:rsidRPr="00087F50">
        <w:t>sākumā</w:t>
      </w:r>
      <w:proofErr w:type="spellEnd"/>
      <w:r w:rsidRPr="00087F50">
        <w:t xml:space="preserve"> </w:t>
      </w:r>
      <w:proofErr w:type="spellStart"/>
      <w:r w:rsidRPr="00087F50">
        <w:t>saņēma</w:t>
      </w:r>
      <w:proofErr w:type="spellEnd"/>
      <w:r w:rsidRPr="00087F50">
        <w:t xml:space="preserve"> </w:t>
      </w:r>
      <w:proofErr w:type="spellStart"/>
      <w:r w:rsidRPr="00087F50">
        <w:t>pa</w:t>
      </w:r>
      <w:proofErr w:type="spellEnd"/>
      <w:r w:rsidRPr="00087F50">
        <w:t xml:space="preserve"> 80 mg </w:t>
      </w:r>
      <w:proofErr w:type="spellStart"/>
      <w:r w:rsidRPr="00087F50">
        <w:t>febuksostata</w:t>
      </w:r>
      <w:proofErr w:type="spellEnd"/>
      <w:r w:rsidRPr="00087F50">
        <w:t xml:space="preserve"> QD. 62 % </w:t>
      </w:r>
      <w:proofErr w:type="spellStart"/>
      <w:r w:rsidRPr="00087F50">
        <w:t>pacientu</w:t>
      </w:r>
      <w:proofErr w:type="spellEnd"/>
      <w:r w:rsidRPr="00087F50">
        <w:t xml:space="preserve"> </w:t>
      </w:r>
      <w:proofErr w:type="spellStart"/>
      <w:r w:rsidRPr="00087F50">
        <w:t>sUA</w:t>
      </w:r>
      <w:proofErr w:type="spellEnd"/>
      <w:r w:rsidRPr="00087F50">
        <w:t xml:space="preserve"> &lt; 6 mg/dl </w:t>
      </w:r>
      <w:proofErr w:type="spellStart"/>
      <w:r w:rsidRPr="00087F50">
        <w:t>uzturēšanai</w:t>
      </w:r>
      <w:proofErr w:type="spellEnd"/>
      <w:r w:rsidRPr="00087F50">
        <w:t xml:space="preserve"> </w:t>
      </w:r>
      <w:proofErr w:type="spellStart"/>
      <w:r w:rsidRPr="00087F50">
        <w:t>deva</w:t>
      </w:r>
      <w:proofErr w:type="spellEnd"/>
      <w:r w:rsidRPr="00087F50">
        <w:t xml:space="preserve"> </w:t>
      </w:r>
      <w:proofErr w:type="spellStart"/>
      <w:r w:rsidRPr="00087F50">
        <w:t>nebija</w:t>
      </w:r>
      <w:proofErr w:type="spellEnd"/>
      <w:r w:rsidRPr="00087F50">
        <w:t xml:space="preserve"> </w:t>
      </w:r>
      <w:proofErr w:type="spellStart"/>
      <w:r w:rsidRPr="00087F50">
        <w:t>jāpielāgo</w:t>
      </w:r>
      <w:proofErr w:type="spellEnd"/>
      <w:r w:rsidRPr="00087F50">
        <w:t xml:space="preserve">, </w:t>
      </w:r>
      <w:proofErr w:type="spellStart"/>
      <w:r w:rsidRPr="00087F50">
        <w:t>bet</w:t>
      </w:r>
      <w:proofErr w:type="spellEnd"/>
      <w:r w:rsidRPr="00087F50">
        <w:t xml:space="preserve"> 38 % </w:t>
      </w:r>
      <w:proofErr w:type="spellStart"/>
      <w:r w:rsidRPr="00087F50">
        <w:t>pacientu</w:t>
      </w:r>
      <w:proofErr w:type="spellEnd"/>
      <w:r w:rsidRPr="00087F50">
        <w:t xml:space="preserve"> </w:t>
      </w:r>
      <w:proofErr w:type="spellStart"/>
      <w:r w:rsidRPr="00087F50">
        <w:t>galīgās</w:t>
      </w:r>
      <w:proofErr w:type="spellEnd"/>
      <w:r w:rsidRPr="00087F50">
        <w:t xml:space="preserve"> </w:t>
      </w:r>
      <w:proofErr w:type="spellStart"/>
      <w:r w:rsidRPr="00087F50">
        <w:t>stabilās</w:t>
      </w:r>
      <w:proofErr w:type="spellEnd"/>
      <w:r w:rsidRPr="00087F50">
        <w:t xml:space="preserve"> </w:t>
      </w:r>
      <w:proofErr w:type="spellStart"/>
      <w:r w:rsidRPr="00087F50">
        <w:t>devas</w:t>
      </w:r>
      <w:proofErr w:type="spellEnd"/>
      <w:r w:rsidRPr="00087F50">
        <w:t xml:space="preserve"> </w:t>
      </w:r>
      <w:proofErr w:type="spellStart"/>
      <w:r w:rsidRPr="00087F50">
        <w:t>sasniegšanai</w:t>
      </w:r>
      <w:proofErr w:type="spellEnd"/>
      <w:r w:rsidRPr="00087F50">
        <w:t xml:space="preserve"> bija </w:t>
      </w:r>
      <w:proofErr w:type="spellStart"/>
      <w:r w:rsidRPr="00087F50">
        <w:t>jāpielāgo</w:t>
      </w:r>
      <w:proofErr w:type="spellEnd"/>
      <w:r w:rsidRPr="00087F50">
        <w:t xml:space="preserve"> </w:t>
      </w:r>
      <w:proofErr w:type="spellStart"/>
      <w:r w:rsidRPr="00087F50">
        <w:t>deva</w:t>
      </w:r>
      <w:proofErr w:type="spellEnd"/>
      <w:r w:rsidRPr="00087F50">
        <w:t xml:space="preserve">. </w:t>
      </w:r>
    </w:p>
    <w:p w14:paraId="1E5092F1" w14:textId="77777777" w:rsidR="00A77DDF" w:rsidRPr="00087F50" w:rsidRDefault="00A77DDF" w:rsidP="00A77DDF">
      <w:pPr>
        <w:spacing w:after="0" w:line="259" w:lineRule="auto"/>
        <w:ind w:left="3" w:firstLine="0"/>
      </w:pPr>
      <w:r w:rsidRPr="00087F50">
        <w:t xml:space="preserve"> </w:t>
      </w:r>
    </w:p>
    <w:p w14:paraId="1421F3AE" w14:textId="77777777" w:rsidR="00A77DDF" w:rsidRPr="00087F50" w:rsidRDefault="00A77DDF" w:rsidP="00A77DDF">
      <w:pPr>
        <w:ind w:left="-3" w:right="9"/>
      </w:pPr>
      <w:proofErr w:type="spellStart"/>
      <w:r w:rsidRPr="00087F50">
        <w:t>Katras</w:t>
      </w:r>
      <w:proofErr w:type="spellEnd"/>
      <w:r w:rsidRPr="00087F50">
        <w:t xml:space="preserve"> </w:t>
      </w:r>
      <w:proofErr w:type="spellStart"/>
      <w:r w:rsidRPr="00087F50">
        <w:t>lietotās</w:t>
      </w:r>
      <w:proofErr w:type="spellEnd"/>
      <w:r w:rsidRPr="00087F50">
        <w:t xml:space="preserve"> </w:t>
      </w:r>
      <w:proofErr w:type="spellStart"/>
      <w:r w:rsidRPr="00087F50">
        <w:t>febuksostata</w:t>
      </w:r>
      <w:proofErr w:type="spellEnd"/>
      <w:r w:rsidRPr="00087F50">
        <w:t xml:space="preserve"> </w:t>
      </w:r>
      <w:proofErr w:type="spellStart"/>
      <w:r w:rsidRPr="00087F50">
        <w:t>devas</w:t>
      </w:r>
      <w:proofErr w:type="spellEnd"/>
      <w:r w:rsidRPr="00087F50">
        <w:t xml:space="preserve"> </w:t>
      </w:r>
      <w:proofErr w:type="spellStart"/>
      <w:r w:rsidRPr="00087F50">
        <w:t>gadījumā</w:t>
      </w:r>
      <w:proofErr w:type="spellEnd"/>
      <w:r w:rsidRPr="00087F50">
        <w:t xml:space="preserve"> </w:t>
      </w:r>
      <w:proofErr w:type="spellStart"/>
      <w:r w:rsidRPr="00087F50">
        <w:t>pacientu</w:t>
      </w:r>
      <w:proofErr w:type="spellEnd"/>
      <w:r w:rsidRPr="00087F50">
        <w:t xml:space="preserve"> </w:t>
      </w:r>
      <w:proofErr w:type="spellStart"/>
      <w:r w:rsidRPr="00087F50">
        <w:t>daļa</w:t>
      </w:r>
      <w:proofErr w:type="spellEnd"/>
      <w:r w:rsidRPr="00087F50">
        <w:t xml:space="preserve">, </w:t>
      </w:r>
      <w:proofErr w:type="spellStart"/>
      <w:r w:rsidRPr="00087F50">
        <w:t>kuriem</w:t>
      </w:r>
      <w:proofErr w:type="spellEnd"/>
      <w:r w:rsidRPr="00087F50">
        <w:t xml:space="preserve"> </w:t>
      </w:r>
      <w:proofErr w:type="spellStart"/>
      <w:r w:rsidRPr="00087F50">
        <w:t>pēdējās</w:t>
      </w:r>
      <w:proofErr w:type="spellEnd"/>
      <w:r w:rsidRPr="00087F50">
        <w:t xml:space="preserve"> </w:t>
      </w:r>
      <w:proofErr w:type="spellStart"/>
      <w:r w:rsidRPr="00087F50">
        <w:t>vizītes</w:t>
      </w:r>
      <w:proofErr w:type="spellEnd"/>
      <w:r w:rsidRPr="00087F50">
        <w:t xml:space="preserve"> </w:t>
      </w:r>
      <w:proofErr w:type="spellStart"/>
      <w:r w:rsidRPr="00087F50">
        <w:t>laikā</w:t>
      </w:r>
      <w:proofErr w:type="spellEnd"/>
      <w:r w:rsidRPr="00087F50">
        <w:t xml:space="preserve"> </w:t>
      </w:r>
      <w:proofErr w:type="spellStart"/>
      <w:r w:rsidRPr="00087F50">
        <w:t>urātu</w:t>
      </w:r>
      <w:proofErr w:type="spellEnd"/>
      <w:r w:rsidRPr="00087F50">
        <w:t xml:space="preserve"> </w:t>
      </w:r>
      <w:proofErr w:type="spellStart"/>
      <w:r w:rsidRPr="00087F50">
        <w:t>līmenis</w:t>
      </w:r>
      <w:proofErr w:type="spellEnd"/>
      <w:r w:rsidRPr="00087F50">
        <w:t xml:space="preserve"> </w:t>
      </w:r>
      <w:proofErr w:type="spellStart"/>
      <w:r w:rsidRPr="00087F50">
        <w:t>serumā</w:t>
      </w:r>
      <w:proofErr w:type="spellEnd"/>
      <w:r w:rsidRPr="00087F50">
        <w:t xml:space="preserve"> bija &lt; 6,0 mg/dl (357 µmol/l), bija </w:t>
      </w:r>
      <w:proofErr w:type="spellStart"/>
      <w:r w:rsidRPr="00087F50">
        <w:t>lielāka</w:t>
      </w:r>
      <w:proofErr w:type="spellEnd"/>
      <w:r w:rsidRPr="00087F50">
        <w:t xml:space="preserve"> par 80 % (81 – 100 %). </w:t>
      </w:r>
    </w:p>
    <w:p w14:paraId="758E22AA" w14:textId="77777777" w:rsidR="00A77DDF" w:rsidRPr="00087F50" w:rsidRDefault="00A77DDF" w:rsidP="00A77DDF">
      <w:pPr>
        <w:spacing w:after="0" w:line="259" w:lineRule="auto"/>
        <w:ind w:left="2" w:firstLine="0"/>
      </w:pPr>
      <w:r w:rsidRPr="00087F50">
        <w:t xml:space="preserve"> </w:t>
      </w:r>
    </w:p>
    <w:p w14:paraId="68D4C665" w14:textId="77777777" w:rsidR="00A77DDF" w:rsidRPr="00087F50" w:rsidRDefault="00A77DDF" w:rsidP="00A77DDF">
      <w:pPr>
        <w:ind w:left="-3" w:right="9"/>
      </w:pPr>
      <w:r w:rsidRPr="00087F50">
        <w:t xml:space="preserve">3. </w:t>
      </w:r>
      <w:proofErr w:type="spellStart"/>
      <w:r w:rsidRPr="00087F50">
        <w:t>fāzes</w:t>
      </w:r>
      <w:proofErr w:type="spellEnd"/>
      <w:r w:rsidRPr="00087F50">
        <w:t xml:space="preserve"> </w:t>
      </w:r>
      <w:proofErr w:type="spellStart"/>
      <w:r w:rsidRPr="00087F50">
        <w:t>klīnisko</w:t>
      </w:r>
      <w:proofErr w:type="spellEnd"/>
      <w:r w:rsidRPr="00087F50">
        <w:t xml:space="preserve"> </w:t>
      </w:r>
      <w:proofErr w:type="spellStart"/>
      <w:r w:rsidRPr="00087F50">
        <w:t>pētījumu</w:t>
      </w:r>
      <w:proofErr w:type="spellEnd"/>
      <w:r w:rsidRPr="00087F50">
        <w:t xml:space="preserve"> </w:t>
      </w:r>
      <w:proofErr w:type="spellStart"/>
      <w:r w:rsidRPr="00087F50">
        <w:t>laikā</w:t>
      </w:r>
      <w:proofErr w:type="spellEnd"/>
      <w:r w:rsidRPr="00087F50">
        <w:t xml:space="preserve"> 5,0 % </w:t>
      </w:r>
      <w:proofErr w:type="spellStart"/>
      <w:r w:rsidRPr="00087F50">
        <w:t>pacientu</w:t>
      </w:r>
      <w:proofErr w:type="spellEnd"/>
      <w:r w:rsidRPr="00087F50">
        <w:t xml:space="preserve">, </w:t>
      </w:r>
      <w:proofErr w:type="spellStart"/>
      <w:r w:rsidRPr="00087F50">
        <w:t>kurus</w:t>
      </w:r>
      <w:proofErr w:type="spellEnd"/>
      <w:r w:rsidRPr="00087F50">
        <w:t xml:space="preserve"> </w:t>
      </w:r>
      <w:proofErr w:type="spellStart"/>
      <w:r w:rsidRPr="00087F50">
        <w:t>ārstēja</w:t>
      </w:r>
      <w:proofErr w:type="spellEnd"/>
      <w:r w:rsidRPr="00087F50">
        <w:t xml:space="preserve"> ar </w:t>
      </w:r>
      <w:proofErr w:type="spellStart"/>
      <w:r w:rsidRPr="00087F50">
        <w:t>febuksostatu</w:t>
      </w:r>
      <w:proofErr w:type="spellEnd"/>
      <w:r w:rsidRPr="00087F50">
        <w:t xml:space="preserve">, </w:t>
      </w:r>
      <w:proofErr w:type="spellStart"/>
      <w:r w:rsidRPr="00087F50">
        <w:t>tika</w:t>
      </w:r>
      <w:proofErr w:type="spellEnd"/>
      <w:r w:rsidRPr="00087F50">
        <w:t xml:space="preserve"> </w:t>
      </w:r>
      <w:proofErr w:type="spellStart"/>
      <w:r w:rsidRPr="00087F50">
        <w:t>konstatētas</w:t>
      </w:r>
      <w:proofErr w:type="spellEnd"/>
      <w:r w:rsidRPr="00087F50">
        <w:t xml:space="preserve"> </w:t>
      </w:r>
      <w:proofErr w:type="spellStart"/>
      <w:r w:rsidRPr="00087F50">
        <w:t>nelielas</w:t>
      </w:r>
      <w:proofErr w:type="spellEnd"/>
      <w:r w:rsidRPr="00087F50">
        <w:t xml:space="preserve"> </w:t>
      </w:r>
      <w:proofErr w:type="spellStart"/>
      <w:r w:rsidRPr="00087F50">
        <w:t>patoloģiskas</w:t>
      </w:r>
      <w:proofErr w:type="spellEnd"/>
      <w:r w:rsidRPr="00087F50">
        <w:t xml:space="preserve"> </w:t>
      </w:r>
      <w:proofErr w:type="spellStart"/>
      <w:r w:rsidRPr="00087F50">
        <w:t>izmaiņas</w:t>
      </w:r>
      <w:proofErr w:type="spellEnd"/>
      <w:r w:rsidRPr="00087F50">
        <w:t xml:space="preserve"> </w:t>
      </w:r>
      <w:proofErr w:type="spellStart"/>
      <w:r w:rsidRPr="00087F50">
        <w:t>aknu</w:t>
      </w:r>
      <w:proofErr w:type="spellEnd"/>
      <w:r w:rsidRPr="00087F50">
        <w:t xml:space="preserve"> </w:t>
      </w:r>
      <w:proofErr w:type="spellStart"/>
      <w:r w:rsidRPr="00087F50">
        <w:t>funkciju</w:t>
      </w:r>
      <w:proofErr w:type="spellEnd"/>
      <w:r w:rsidRPr="00087F50">
        <w:t xml:space="preserve"> </w:t>
      </w:r>
      <w:proofErr w:type="spellStart"/>
      <w:r w:rsidRPr="00087F50">
        <w:t>testu</w:t>
      </w:r>
      <w:proofErr w:type="spellEnd"/>
      <w:r w:rsidRPr="00087F50">
        <w:t xml:space="preserve"> </w:t>
      </w:r>
      <w:proofErr w:type="spellStart"/>
      <w:r w:rsidRPr="00087F50">
        <w:t>rezultātos</w:t>
      </w:r>
      <w:proofErr w:type="spellEnd"/>
      <w:r w:rsidRPr="00087F50">
        <w:t xml:space="preserve">. </w:t>
      </w:r>
      <w:proofErr w:type="spellStart"/>
      <w:r w:rsidRPr="00087F50">
        <w:t>To</w:t>
      </w:r>
      <w:proofErr w:type="spellEnd"/>
      <w:r w:rsidRPr="00087F50">
        <w:t xml:space="preserve"> </w:t>
      </w:r>
      <w:proofErr w:type="spellStart"/>
      <w:r w:rsidRPr="00087F50">
        <w:t>biežums</w:t>
      </w:r>
      <w:proofErr w:type="spellEnd"/>
      <w:r w:rsidRPr="00087F50">
        <w:t xml:space="preserve"> bija </w:t>
      </w:r>
      <w:proofErr w:type="spellStart"/>
      <w:r w:rsidRPr="00087F50">
        <w:t>līdzīgs</w:t>
      </w:r>
      <w:proofErr w:type="spellEnd"/>
      <w:r w:rsidRPr="00087F50">
        <w:t xml:space="preserve"> </w:t>
      </w:r>
      <w:proofErr w:type="spellStart"/>
      <w:r w:rsidRPr="00087F50">
        <w:t>ziņotajam</w:t>
      </w:r>
      <w:proofErr w:type="spellEnd"/>
      <w:r w:rsidRPr="00087F50">
        <w:t xml:space="preserve"> par </w:t>
      </w:r>
      <w:proofErr w:type="spellStart"/>
      <w:r w:rsidRPr="00087F50">
        <w:t>ārstēšanu</w:t>
      </w:r>
      <w:proofErr w:type="spellEnd"/>
      <w:r w:rsidRPr="00087F50">
        <w:t xml:space="preserve"> ar </w:t>
      </w:r>
      <w:proofErr w:type="spellStart"/>
      <w:r w:rsidRPr="00087F50">
        <w:t>allopurinolu</w:t>
      </w:r>
      <w:proofErr w:type="spellEnd"/>
      <w:r w:rsidRPr="00087F50">
        <w:t xml:space="preserve"> (4,2 %) (</w:t>
      </w:r>
      <w:proofErr w:type="spellStart"/>
      <w:r w:rsidRPr="00087F50">
        <w:t>skatīt</w:t>
      </w:r>
      <w:proofErr w:type="spellEnd"/>
      <w:r w:rsidRPr="00087F50">
        <w:t xml:space="preserve"> 4.4. </w:t>
      </w:r>
      <w:proofErr w:type="spellStart"/>
      <w:r w:rsidRPr="00087F50">
        <w:t>apakšpunktu</w:t>
      </w:r>
      <w:proofErr w:type="spellEnd"/>
      <w:r w:rsidRPr="00087F50">
        <w:t xml:space="preserve">). </w:t>
      </w:r>
      <w:proofErr w:type="spellStart"/>
      <w:r w:rsidRPr="00087F50">
        <w:t>Atklātos</w:t>
      </w:r>
      <w:proofErr w:type="spellEnd"/>
      <w:r w:rsidRPr="00087F50">
        <w:t xml:space="preserve">, </w:t>
      </w:r>
      <w:proofErr w:type="spellStart"/>
      <w:r w:rsidRPr="00087F50">
        <w:t>paplašinātos</w:t>
      </w:r>
      <w:proofErr w:type="spellEnd"/>
      <w:r w:rsidRPr="00087F50">
        <w:t xml:space="preserve"> </w:t>
      </w:r>
      <w:proofErr w:type="spellStart"/>
      <w:r w:rsidRPr="00087F50">
        <w:t>klīniskos</w:t>
      </w:r>
      <w:proofErr w:type="spellEnd"/>
      <w:r w:rsidRPr="00087F50">
        <w:t xml:space="preserve"> </w:t>
      </w:r>
      <w:proofErr w:type="spellStart"/>
      <w:r w:rsidRPr="00087F50">
        <w:t>pētījumos</w:t>
      </w:r>
      <w:proofErr w:type="spellEnd"/>
      <w:r w:rsidRPr="00087F50">
        <w:t xml:space="preserve"> 5,5 % </w:t>
      </w:r>
      <w:proofErr w:type="spellStart"/>
      <w:r w:rsidRPr="00087F50">
        <w:t>pacientu</w:t>
      </w:r>
      <w:proofErr w:type="spellEnd"/>
      <w:r w:rsidRPr="00087F50">
        <w:t xml:space="preserve">, </w:t>
      </w:r>
      <w:proofErr w:type="spellStart"/>
      <w:r w:rsidRPr="00087F50">
        <w:t>ilgstoši</w:t>
      </w:r>
      <w:proofErr w:type="spellEnd"/>
      <w:r w:rsidRPr="00087F50">
        <w:t xml:space="preserve"> </w:t>
      </w:r>
      <w:proofErr w:type="spellStart"/>
      <w:r w:rsidRPr="00087F50">
        <w:t>ārstētiem</w:t>
      </w:r>
      <w:proofErr w:type="spellEnd"/>
      <w:r w:rsidRPr="00087F50">
        <w:t xml:space="preserve"> ar </w:t>
      </w:r>
      <w:proofErr w:type="spellStart"/>
      <w:r w:rsidRPr="00087F50">
        <w:t>febuksostatu</w:t>
      </w:r>
      <w:proofErr w:type="spellEnd"/>
      <w:r w:rsidRPr="00087F50">
        <w:t xml:space="preserve">, </w:t>
      </w:r>
      <w:proofErr w:type="spellStart"/>
      <w:r w:rsidRPr="00087F50">
        <w:t>kā</w:t>
      </w:r>
      <w:proofErr w:type="spellEnd"/>
      <w:r w:rsidRPr="00087F50">
        <w:t xml:space="preserve"> </w:t>
      </w:r>
      <w:proofErr w:type="spellStart"/>
      <w:r w:rsidRPr="00087F50">
        <w:t>arī</w:t>
      </w:r>
      <w:proofErr w:type="spellEnd"/>
      <w:r w:rsidRPr="00087F50">
        <w:t xml:space="preserve"> 5,8 % </w:t>
      </w:r>
      <w:proofErr w:type="spellStart"/>
      <w:r w:rsidRPr="00087F50">
        <w:t>pacientu</w:t>
      </w:r>
      <w:proofErr w:type="spellEnd"/>
      <w:r w:rsidRPr="00087F50">
        <w:t xml:space="preserve">, </w:t>
      </w:r>
      <w:proofErr w:type="spellStart"/>
      <w:r w:rsidRPr="00087F50">
        <w:t>ārstētiem</w:t>
      </w:r>
      <w:proofErr w:type="spellEnd"/>
      <w:r w:rsidRPr="00087F50">
        <w:t xml:space="preserve"> ar </w:t>
      </w:r>
      <w:proofErr w:type="spellStart"/>
      <w:r w:rsidRPr="00087F50">
        <w:t>allopurinolu</w:t>
      </w:r>
      <w:proofErr w:type="spellEnd"/>
      <w:r w:rsidRPr="00087F50">
        <w:t xml:space="preserve">, </w:t>
      </w:r>
      <w:proofErr w:type="spellStart"/>
      <w:r w:rsidRPr="00087F50">
        <w:t>tika</w:t>
      </w:r>
      <w:proofErr w:type="spellEnd"/>
      <w:r w:rsidRPr="00087F50">
        <w:t xml:space="preserve"> </w:t>
      </w:r>
      <w:proofErr w:type="spellStart"/>
      <w:r w:rsidRPr="00087F50">
        <w:t>novērotas</w:t>
      </w:r>
      <w:proofErr w:type="spellEnd"/>
      <w:r w:rsidRPr="00087F50">
        <w:t xml:space="preserve"> </w:t>
      </w:r>
      <w:proofErr w:type="spellStart"/>
      <w:r w:rsidRPr="00087F50">
        <w:t>palielinātas</w:t>
      </w:r>
      <w:proofErr w:type="spellEnd"/>
      <w:r w:rsidRPr="00087F50">
        <w:t xml:space="preserve"> TSH </w:t>
      </w:r>
      <w:proofErr w:type="spellStart"/>
      <w:r w:rsidRPr="00087F50">
        <w:t>vērtības</w:t>
      </w:r>
      <w:proofErr w:type="spellEnd"/>
      <w:r w:rsidRPr="00087F50">
        <w:t xml:space="preserve"> (&gt; 5,5 µIU/ml) (</w:t>
      </w:r>
      <w:proofErr w:type="spellStart"/>
      <w:r w:rsidRPr="00087F50">
        <w:t>skatīt</w:t>
      </w:r>
      <w:proofErr w:type="spellEnd"/>
      <w:r w:rsidRPr="00087F50">
        <w:t xml:space="preserve"> 4.4. </w:t>
      </w:r>
      <w:proofErr w:type="spellStart"/>
      <w:r w:rsidRPr="00087F50">
        <w:t>apakšpunktu</w:t>
      </w:r>
      <w:proofErr w:type="spellEnd"/>
      <w:r w:rsidRPr="00087F50">
        <w:t xml:space="preserve">). </w:t>
      </w:r>
    </w:p>
    <w:p w14:paraId="2A212BF0" w14:textId="77777777" w:rsidR="001A75C6" w:rsidRDefault="001A75C6" w:rsidP="005E5817">
      <w:pPr>
        <w:autoSpaceDE w:val="0"/>
        <w:autoSpaceDN w:val="0"/>
        <w:adjustRightInd w:val="0"/>
        <w:spacing w:after="0" w:line="240" w:lineRule="auto"/>
        <w:ind w:left="0" w:firstLine="0"/>
        <w:rPr>
          <w:rFonts w:eastAsiaTheme="minorHAnsi"/>
          <w:i/>
          <w:iCs/>
          <w:color w:val="auto"/>
          <w:lang w:val="lv-LV" w:eastAsia="en-US"/>
        </w:rPr>
      </w:pPr>
    </w:p>
    <w:p w14:paraId="32942B2F" w14:textId="121426CC" w:rsidR="005E5817" w:rsidRPr="00890F7A" w:rsidRDefault="005E5817" w:rsidP="005E5817">
      <w:pPr>
        <w:autoSpaceDE w:val="0"/>
        <w:autoSpaceDN w:val="0"/>
        <w:adjustRightInd w:val="0"/>
        <w:spacing w:after="0" w:line="240" w:lineRule="auto"/>
        <w:ind w:left="0" w:firstLine="0"/>
        <w:rPr>
          <w:rFonts w:eastAsiaTheme="minorHAnsi"/>
          <w:i/>
          <w:iCs/>
          <w:color w:val="auto"/>
          <w:u w:val="single"/>
          <w:lang w:val="lv-LV" w:eastAsia="en-US"/>
        </w:rPr>
      </w:pPr>
      <w:proofErr w:type="spellStart"/>
      <w:r w:rsidRPr="00890F7A">
        <w:rPr>
          <w:rFonts w:eastAsiaTheme="minorHAnsi"/>
          <w:i/>
          <w:iCs/>
          <w:color w:val="auto"/>
          <w:u w:val="single"/>
          <w:lang w:val="lv-LV" w:eastAsia="en-US"/>
        </w:rPr>
        <w:t>Pēcreģistrācijas</w:t>
      </w:r>
      <w:proofErr w:type="spellEnd"/>
      <w:r w:rsidRPr="00890F7A">
        <w:rPr>
          <w:rFonts w:eastAsiaTheme="minorHAnsi"/>
          <w:i/>
          <w:iCs/>
          <w:color w:val="auto"/>
          <w:u w:val="single"/>
          <w:lang w:val="lv-LV" w:eastAsia="en-US"/>
        </w:rPr>
        <w:t xml:space="preserve"> ilgtermiņa pētījumi</w:t>
      </w:r>
    </w:p>
    <w:p w14:paraId="79496976" w14:textId="77777777" w:rsidR="005E5817" w:rsidRPr="00087F50" w:rsidRDefault="005E5817" w:rsidP="005E5817">
      <w:pPr>
        <w:autoSpaceDE w:val="0"/>
        <w:autoSpaceDN w:val="0"/>
        <w:adjustRightInd w:val="0"/>
        <w:spacing w:after="0" w:line="240" w:lineRule="auto"/>
        <w:ind w:left="0" w:firstLine="0"/>
        <w:rPr>
          <w:rFonts w:eastAsia="TimesNewRomanPSMT"/>
          <w:color w:val="auto"/>
          <w:lang w:val="lv-LV" w:eastAsia="en-US"/>
        </w:rPr>
      </w:pPr>
      <w:r w:rsidRPr="00087F50">
        <w:rPr>
          <w:rFonts w:eastAsia="TimesNewRomanPSMT"/>
          <w:color w:val="auto"/>
          <w:lang w:val="lv-LV" w:eastAsia="en-US"/>
        </w:rPr>
        <w:t xml:space="preserve">Pētījums CARES bija </w:t>
      </w:r>
      <w:proofErr w:type="spellStart"/>
      <w:r w:rsidRPr="00087F50">
        <w:rPr>
          <w:rFonts w:eastAsia="TimesNewRomanPSMT"/>
          <w:color w:val="auto"/>
          <w:lang w:val="lv-LV" w:eastAsia="en-US"/>
        </w:rPr>
        <w:t>daudzcentru</w:t>
      </w:r>
      <w:proofErr w:type="spellEnd"/>
      <w:r w:rsidRPr="00087F50">
        <w:rPr>
          <w:rFonts w:eastAsia="TimesNewRomanPSMT"/>
          <w:color w:val="auto"/>
          <w:lang w:val="lv-LV" w:eastAsia="en-US"/>
        </w:rPr>
        <w:t xml:space="preserve">, </w:t>
      </w:r>
      <w:proofErr w:type="spellStart"/>
      <w:r w:rsidRPr="00087F50">
        <w:rPr>
          <w:rFonts w:eastAsia="TimesNewRomanPSMT"/>
          <w:color w:val="auto"/>
          <w:lang w:val="lv-LV" w:eastAsia="en-US"/>
        </w:rPr>
        <w:t>randomizēts</w:t>
      </w:r>
      <w:proofErr w:type="spellEnd"/>
      <w:r w:rsidRPr="00087F50">
        <w:rPr>
          <w:rFonts w:eastAsia="TimesNewRomanPSMT"/>
          <w:color w:val="auto"/>
          <w:lang w:val="lv-LV" w:eastAsia="en-US"/>
        </w:rPr>
        <w:t xml:space="preserve">, </w:t>
      </w:r>
      <w:proofErr w:type="spellStart"/>
      <w:r w:rsidRPr="00087F50">
        <w:rPr>
          <w:rFonts w:eastAsia="TimesNewRomanPSMT"/>
          <w:color w:val="auto"/>
          <w:lang w:val="lv-LV" w:eastAsia="en-US"/>
        </w:rPr>
        <w:t>dubultmaskēts</w:t>
      </w:r>
      <w:proofErr w:type="spellEnd"/>
      <w:r w:rsidRPr="00087F50">
        <w:rPr>
          <w:rFonts w:eastAsia="TimesNewRomanPSMT"/>
          <w:color w:val="auto"/>
          <w:lang w:val="lv-LV" w:eastAsia="en-US"/>
        </w:rPr>
        <w:t>, vismaz līdzvērtīgas</w:t>
      </w:r>
    </w:p>
    <w:p w14:paraId="105FC756" w14:textId="77777777" w:rsidR="005E5817" w:rsidRPr="00087F50" w:rsidRDefault="005E5817" w:rsidP="005E5817">
      <w:pPr>
        <w:autoSpaceDE w:val="0"/>
        <w:autoSpaceDN w:val="0"/>
        <w:adjustRightInd w:val="0"/>
        <w:spacing w:after="0" w:line="240" w:lineRule="auto"/>
        <w:ind w:left="0" w:firstLine="0"/>
        <w:rPr>
          <w:rFonts w:eastAsia="TimesNewRomanPSMT"/>
          <w:color w:val="auto"/>
          <w:lang w:val="lv-LV" w:eastAsia="en-US"/>
        </w:rPr>
      </w:pPr>
      <w:r w:rsidRPr="00087F50">
        <w:rPr>
          <w:rFonts w:eastAsia="TimesNewRomanPSMT"/>
          <w:color w:val="auto"/>
          <w:lang w:val="lv-LV" w:eastAsia="en-US"/>
        </w:rPr>
        <w:t xml:space="preserve">efektivitātes pētījums, kurā salīdzināja KV iznākumus, lietojot </w:t>
      </w:r>
      <w:proofErr w:type="spellStart"/>
      <w:r w:rsidRPr="00087F50">
        <w:rPr>
          <w:rFonts w:eastAsia="TimesNewRomanPSMT"/>
          <w:color w:val="auto"/>
          <w:lang w:val="lv-LV" w:eastAsia="en-US"/>
        </w:rPr>
        <w:t>febuksostatu</w:t>
      </w:r>
      <w:proofErr w:type="spellEnd"/>
      <w:r w:rsidRPr="00087F50">
        <w:rPr>
          <w:rFonts w:eastAsia="TimesNewRomanPSMT"/>
          <w:color w:val="auto"/>
          <w:lang w:val="lv-LV" w:eastAsia="en-US"/>
        </w:rPr>
        <w:t xml:space="preserve"> un </w:t>
      </w:r>
      <w:proofErr w:type="spellStart"/>
      <w:r w:rsidRPr="00087F50">
        <w:rPr>
          <w:rFonts w:eastAsia="TimesNewRomanPSMT"/>
          <w:color w:val="auto"/>
          <w:lang w:val="lv-LV" w:eastAsia="en-US"/>
        </w:rPr>
        <w:t>allopurinolu</w:t>
      </w:r>
      <w:proofErr w:type="spellEnd"/>
    </w:p>
    <w:p w14:paraId="456EDE45" w14:textId="77777777" w:rsidR="005E5817" w:rsidRPr="00087F50" w:rsidRDefault="005E5817" w:rsidP="005E5817">
      <w:pPr>
        <w:autoSpaceDE w:val="0"/>
        <w:autoSpaceDN w:val="0"/>
        <w:adjustRightInd w:val="0"/>
        <w:spacing w:after="0" w:line="240" w:lineRule="auto"/>
        <w:ind w:left="0" w:firstLine="0"/>
        <w:rPr>
          <w:rFonts w:eastAsia="TimesNewRomanPSMT"/>
          <w:color w:val="auto"/>
          <w:lang w:val="lv-LV" w:eastAsia="en-US"/>
        </w:rPr>
      </w:pPr>
      <w:r w:rsidRPr="00087F50">
        <w:rPr>
          <w:rFonts w:eastAsia="TimesNewRomanPSMT"/>
          <w:color w:val="auto"/>
          <w:lang w:val="lv-LV" w:eastAsia="en-US"/>
        </w:rPr>
        <w:t>podagras slimniekiem, kuriem anamnēzē bija kāda no nozīmīgām KV slimībām, tai skaitā MI,</w:t>
      </w:r>
    </w:p>
    <w:p w14:paraId="4951E777" w14:textId="77777777" w:rsidR="005E5817" w:rsidRPr="00087F50" w:rsidRDefault="005E5817" w:rsidP="005E5817">
      <w:pPr>
        <w:autoSpaceDE w:val="0"/>
        <w:autoSpaceDN w:val="0"/>
        <w:adjustRightInd w:val="0"/>
        <w:spacing w:after="0" w:line="240" w:lineRule="auto"/>
        <w:ind w:left="0" w:firstLine="0"/>
        <w:rPr>
          <w:rFonts w:eastAsia="TimesNewRomanPSMT"/>
          <w:color w:val="auto"/>
          <w:lang w:val="lv-LV" w:eastAsia="en-US"/>
        </w:rPr>
      </w:pPr>
      <w:r w:rsidRPr="00087F50">
        <w:rPr>
          <w:rFonts w:eastAsia="TimesNewRomanPSMT"/>
          <w:color w:val="auto"/>
          <w:lang w:val="lv-LV" w:eastAsia="en-US"/>
        </w:rPr>
        <w:t xml:space="preserve">hospitalizācija nestabilas stenokardijas dēļ, koronāras vai cerebrālas </w:t>
      </w:r>
      <w:proofErr w:type="spellStart"/>
      <w:r w:rsidRPr="00087F50">
        <w:rPr>
          <w:rFonts w:eastAsia="TimesNewRomanPSMT"/>
          <w:color w:val="auto"/>
          <w:lang w:val="lv-LV" w:eastAsia="en-US"/>
        </w:rPr>
        <w:t>revaskularizācijas</w:t>
      </w:r>
      <w:proofErr w:type="spellEnd"/>
    </w:p>
    <w:p w14:paraId="6629975F" w14:textId="77777777" w:rsidR="005E5817" w:rsidRPr="00087F50" w:rsidRDefault="005E5817" w:rsidP="005E5817">
      <w:pPr>
        <w:autoSpaceDE w:val="0"/>
        <w:autoSpaceDN w:val="0"/>
        <w:adjustRightInd w:val="0"/>
        <w:spacing w:after="0" w:line="240" w:lineRule="auto"/>
        <w:ind w:left="0" w:firstLine="0"/>
        <w:rPr>
          <w:rFonts w:eastAsia="TimesNewRomanPSMT"/>
          <w:color w:val="auto"/>
          <w:lang w:val="lv-LV" w:eastAsia="en-US"/>
        </w:rPr>
      </w:pPr>
      <w:r w:rsidRPr="00087F50">
        <w:rPr>
          <w:rFonts w:eastAsia="TimesNewRomanPSMT"/>
          <w:color w:val="auto"/>
          <w:lang w:val="lv-LV" w:eastAsia="en-US"/>
        </w:rPr>
        <w:lastRenderedPageBreak/>
        <w:t xml:space="preserve">procedūra, insults, pārejoša išēmijas lēkme ar hospitalizāciju, </w:t>
      </w:r>
      <w:proofErr w:type="spellStart"/>
      <w:r w:rsidRPr="00087F50">
        <w:rPr>
          <w:rFonts w:eastAsia="TimesNewRomanPSMT"/>
          <w:color w:val="auto"/>
          <w:lang w:val="lv-LV" w:eastAsia="en-US"/>
        </w:rPr>
        <w:t>perifēro</w:t>
      </w:r>
      <w:proofErr w:type="spellEnd"/>
      <w:r w:rsidRPr="00087F50">
        <w:rPr>
          <w:rFonts w:eastAsia="TimesNewRomanPSMT"/>
          <w:color w:val="auto"/>
          <w:lang w:val="lv-LV" w:eastAsia="en-US"/>
        </w:rPr>
        <w:t xml:space="preserve"> asinsvadu slimība vai</w:t>
      </w:r>
    </w:p>
    <w:p w14:paraId="64A0FADD" w14:textId="77777777" w:rsidR="005E5817" w:rsidRPr="00087F50" w:rsidRDefault="005E5817" w:rsidP="005E5817">
      <w:pPr>
        <w:autoSpaceDE w:val="0"/>
        <w:autoSpaceDN w:val="0"/>
        <w:adjustRightInd w:val="0"/>
        <w:spacing w:after="0" w:line="240" w:lineRule="auto"/>
        <w:ind w:left="0" w:firstLine="0"/>
        <w:rPr>
          <w:rFonts w:eastAsia="TimesNewRomanPSMT"/>
          <w:color w:val="auto"/>
          <w:lang w:val="lv-LV" w:eastAsia="en-US"/>
        </w:rPr>
      </w:pPr>
      <w:r w:rsidRPr="00087F50">
        <w:rPr>
          <w:rFonts w:eastAsia="TimesNewRomanPSMT"/>
          <w:color w:val="auto"/>
          <w:lang w:val="lv-LV" w:eastAsia="en-US"/>
        </w:rPr>
        <w:t xml:space="preserve">cukura diabēts ar pierādītu </w:t>
      </w:r>
      <w:proofErr w:type="spellStart"/>
      <w:r w:rsidRPr="00087F50">
        <w:rPr>
          <w:rFonts w:eastAsia="TimesNewRomanPSMT"/>
          <w:color w:val="auto"/>
          <w:lang w:val="lv-LV" w:eastAsia="en-US"/>
        </w:rPr>
        <w:t>mikrovaskulāru</w:t>
      </w:r>
      <w:proofErr w:type="spellEnd"/>
      <w:r w:rsidRPr="00087F50">
        <w:rPr>
          <w:rFonts w:eastAsia="TimesNewRomanPSMT"/>
          <w:color w:val="auto"/>
          <w:lang w:val="lv-LV" w:eastAsia="en-US"/>
        </w:rPr>
        <w:t xml:space="preserve"> vai </w:t>
      </w:r>
      <w:proofErr w:type="spellStart"/>
      <w:r w:rsidRPr="00087F50">
        <w:rPr>
          <w:rFonts w:eastAsia="TimesNewRomanPSMT"/>
          <w:color w:val="auto"/>
          <w:lang w:val="lv-LV" w:eastAsia="en-US"/>
        </w:rPr>
        <w:t>makrovaskulāru</w:t>
      </w:r>
      <w:proofErr w:type="spellEnd"/>
      <w:r w:rsidRPr="00087F50">
        <w:rPr>
          <w:rFonts w:eastAsia="TimesNewRomanPSMT"/>
          <w:color w:val="auto"/>
          <w:lang w:val="lv-LV" w:eastAsia="en-US"/>
        </w:rPr>
        <w:t xml:space="preserve"> slimību. Lai panāktu </w:t>
      </w:r>
      <w:proofErr w:type="spellStart"/>
      <w:r w:rsidRPr="00087F50">
        <w:rPr>
          <w:rFonts w:eastAsia="TimesNewRomanPSMT"/>
          <w:color w:val="auto"/>
          <w:lang w:val="lv-LV" w:eastAsia="en-US"/>
        </w:rPr>
        <w:t>sUS</w:t>
      </w:r>
      <w:proofErr w:type="spellEnd"/>
      <w:r w:rsidRPr="00087F50">
        <w:rPr>
          <w:rFonts w:eastAsia="TimesNewRomanPSMT"/>
          <w:color w:val="auto"/>
          <w:lang w:val="lv-LV" w:eastAsia="en-US"/>
        </w:rPr>
        <w:t xml:space="preserve"> līmeni</w:t>
      </w:r>
    </w:p>
    <w:p w14:paraId="0EC4EAF2" w14:textId="77777777" w:rsidR="005E5817" w:rsidRPr="00087F50" w:rsidRDefault="005E5817" w:rsidP="005E5817">
      <w:pPr>
        <w:autoSpaceDE w:val="0"/>
        <w:autoSpaceDN w:val="0"/>
        <w:adjustRightInd w:val="0"/>
        <w:spacing w:after="0" w:line="240" w:lineRule="auto"/>
        <w:ind w:left="0" w:firstLine="0"/>
        <w:rPr>
          <w:rFonts w:eastAsia="TimesNewRomanPSMT"/>
          <w:color w:val="auto"/>
          <w:lang w:val="lv-LV" w:eastAsia="en-US"/>
        </w:rPr>
      </w:pPr>
      <w:r w:rsidRPr="00087F50">
        <w:rPr>
          <w:rFonts w:eastAsia="TimesNewRomanPSMT"/>
          <w:color w:val="auto"/>
          <w:lang w:val="lv-LV" w:eastAsia="en-US"/>
        </w:rPr>
        <w:t xml:space="preserve">zem 6 mg/dl, </w:t>
      </w:r>
      <w:proofErr w:type="spellStart"/>
      <w:r w:rsidRPr="00087F50">
        <w:rPr>
          <w:rFonts w:eastAsia="TimesNewRomanPSMT"/>
          <w:color w:val="auto"/>
          <w:lang w:val="lv-LV" w:eastAsia="en-US"/>
        </w:rPr>
        <w:t>febuksostata</w:t>
      </w:r>
      <w:proofErr w:type="spellEnd"/>
      <w:r w:rsidRPr="00087F50">
        <w:rPr>
          <w:rFonts w:eastAsia="TimesNewRomanPSMT"/>
          <w:color w:val="auto"/>
          <w:lang w:val="lv-LV" w:eastAsia="en-US"/>
        </w:rPr>
        <w:t xml:space="preserve"> deva titrēta no 40 mg līdz 80 mg (neatkarīgi no nieru darbības</w:t>
      </w:r>
    </w:p>
    <w:p w14:paraId="337606A7" w14:textId="77777777" w:rsidR="005E5817" w:rsidRPr="00087F50" w:rsidRDefault="005E5817" w:rsidP="005E5817">
      <w:pPr>
        <w:autoSpaceDE w:val="0"/>
        <w:autoSpaceDN w:val="0"/>
        <w:adjustRightInd w:val="0"/>
        <w:spacing w:after="0" w:line="240" w:lineRule="auto"/>
        <w:ind w:left="0" w:firstLine="0"/>
        <w:rPr>
          <w:rFonts w:eastAsia="TimesNewRomanPSMT"/>
          <w:color w:val="auto"/>
          <w:lang w:val="lv-LV" w:eastAsia="en-US"/>
        </w:rPr>
      </w:pPr>
      <w:r w:rsidRPr="00087F50">
        <w:rPr>
          <w:rFonts w:eastAsia="TimesNewRomanPSMT"/>
          <w:color w:val="auto"/>
          <w:lang w:val="lv-LV" w:eastAsia="en-US"/>
        </w:rPr>
        <w:t xml:space="preserve">rādītājiem), un </w:t>
      </w:r>
      <w:proofErr w:type="spellStart"/>
      <w:r w:rsidRPr="00087F50">
        <w:rPr>
          <w:rFonts w:eastAsia="TimesNewRomanPSMT"/>
          <w:color w:val="auto"/>
          <w:lang w:val="lv-LV" w:eastAsia="en-US"/>
        </w:rPr>
        <w:t>allopurinola</w:t>
      </w:r>
      <w:proofErr w:type="spellEnd"/>
      <w:r w:rsidRPr="00087F50">
        <w:rPr>
          <w:rFonts w:eastAsia="TimesNewRomanPSMT"/>
          <w:color w:val="auto"/>
          <w:lang w:val="lv-LV" w:eastAsia="en-US"/>
        </w:rPr>
        <w:t xml:space="preserve"> deva, palielinot par 100 mg, titrēta no 300 līdz 600 mg pacientiem</w:t>
      </w:r>
    </w:p>
    <w:p w14:paraId="51EA0C1C" w14:textId="77777777" w:rsidR="005E5817" w:rsidRPr="00087F50" w:rsidRDefault="005E5817" w:rsidP="005E5817">
      <w:pPr>
        <w:autoSpaceDE w:val="0"/>
        <w:autoSpaceDN w:val="0"/>
        <w:adjustRightInd w:val="0"/>
        <w:spacing w:after="0" w:line="240" w:lineRule="auto"/>
        <w:ind w:left="0" w:firstLine="0"/>
        <w:rPr>
          <w:rFonts w:eastAsia="TimesNewRomanPSMT"/>
          <w:color w:val="auto"/>
          <w:lang w:val="lv-LV" w:eastAsia="en-US"/>
        </w:rPr>
      </w:pPr>
      <w:r w:rsidRPr="00087F50">
        <w:rPr>
          <w:rFonts w:eastAsia="TimesNewRomanPSMT"/>
          <w:color w:val="auto"/>
          <w:lang w:val="lv-LV" w:eastAsia="en-US"/>
        </w:rPr>
        <w:t>ar normāliem nieru darbības rādītājiem vai viegliem nieru darbības traucējumiem un no 200 līdz</w:t>
      </w:r>
    </w:p>
    <w:p w14:paraId="1ADF670A" w14:textId="77777777" w:rsidR="005E5817" w:rsidRPr="00087F50" w:rsidRDefault="005E5817" w:rsidP="005E5817">
      <w:pPr>
        <w:autoSpaceDE w:val="0"/>
        <w:autoSpaceDN w:val="0"/>
        <w:adjustRightInd w:val="0"/>
        <w:spacing w:after="0" w:line="240" w:lineRule="auto"/>
        <w:ind w:left="0" w:firstLine="0"/>
        <w:rPr>
          <w:rFonts w:eastAsia="TimesNewRomanPSMT"/>
          <w:color w:val="auto"/>
          <w:lang w:val="lv-LV" w:eastAsia="en-US"/>
        </w:rPr>
      </w:pPr>
      <w:r w:rsidRPr="00087F50">
        <w:rPr>
          <w:rFonts w:eastAsia="TimesNewRomanPSMT"/>
          <w:color w:val="auto"/>
          <w:lang w:val="lv-LV" w:eastAsia="en-US"/>
        </w:rPr>
        <w:t>400 mg pacientiem ar vidēji smagiem nieru darbības traucējumiem.</w:t>
      </w:r>
    </w:p>
    <w:p w14:paraId="0780AE72" w14:textId="77777777" w:rsidR="005E5817" w:rsidRPr="00087F50" w:rsidRDefault="005E5817" w:rsidP="005E5817">
      <w:pPr>
        <w:autoSpaceDE w:val="0"/>
        <w:autoSpaceDN w:val="0"/>
        <w:adjustRightInd w:val="0"/>
        <w:spacing w:after="0" w:line="240" w:lineRule="auto"/>
        <w:ind w:left="0" w:firstLine="0"/>
        <w:rPr>
          <w:rFonts w:eastAsiaTheme="minorHAnsi"/>
          <w:i/>
          <w:iCs/>
          <w:color w:val="auto"/>
          <w:lang w:val="lv-LV" w:eastAsia="en-US"/>
        </w:rPr>
      </w:pPr>
      <w:r w:rsidRPr="00087F50">
        <w:rPr>
          <w:rFonts w:eastAsia="TimesNewRomanPSMT"/>
          <w:color w:val="auto"/>
          <w:lang w:val="lv-LV" w:eastAsia="en-US"/>
        </w:rPr>
        <w:t>Primārais mērķa kritērijs pētījumā CARES bija laiks līdz pirmajam MACE (</w:t>
      </w:r>
      <w:r w:rsidRPr="00087F50">
        <w:rPr>
          <w:rFonts w:eastAsiaTheme="minorHAnsi"/>
          <w:i/>
          <w:iCs/>
          <w:color w:val="auto"/>
          <w:lang w:val="lv-LV" w:eastAsia="en-US"/>
        </w:rPr>
        <w:t xml:space="preserve">Major </w:t>
      </w:r>
      <w:proofErr w:type="spellStart"/>
      <w:r w:rsidRPr="00087F50">
        <w:rPr>
          <w:rFonts w:eastAsiaTheme="minorHAnsi"/>
          <w:i/>
          <w:iCs/>
          <w:color w:val="auto"/>
          <w:lang w:val="lv-LV" w:eastAsia="en-US"/>
        </w:rPr>
        <w:t>Adverse</w:t>
      </w:r>
      <w:proofErr w:type="spellEnd"/>
    </w:p>
    <w:p w14:paraId="19658907" w14:textId="5F3CB797" w:rsidR="005E5817" w:rsidRPr="00087F50" w:rsidRDefault="005E5817" w:rsidP="005E5817">
      <w:pPr>
        <w:autoSpaceDE w:val="0"/>
        <w:autoSpaceDN w:val="0"/>
        <w:adjustRightInd w:val="0"/>
        <w:spacing w:after="0" w:line="240" w:lineRule="auto"/>
        <w:ind w:left="0" w:firstLine="0"/>
        <w:rPr>
          <w:rFonts w:eastAsia="TimesNewRomanPSMT"/>
          <w:color w:val="auto"/>
          <w:lang w:val="lv-LV" w:eastAsia="en-US"/>
        </w:rPr>
      </w:pPr>
      <w:proofErr w:type="spellStart"/>
      <w:r w:rsidRPr="00087F50">
        <w:rPr>
          <w:rFonts w:eastAsiaTheme="minorHAnsi"/>
          <w:i/>
          <w:iCs/>
          <w:color w:val="auto"/>
          <w:lang w:val="lv-LV" w:eastAsia="en-US"/>
        </w:rPr>
        <w:t>Cardiovascular</w:t>
      </w:r>
      <w:proofErr w:type="spellEnd"/>
      <w:r w:rsidRPr="00087F50">
        <w:rPr>
          <w:rFonts w:eastAsiaTheme="minorHAnsi"/>
          <w:i/>
          <w:iCs/>
          <w:color w:val="auto"/>
          <w:lang w:val="lv-LV" w:eastAsia="en-US"/>
        </w:rPr>
        <w:t xml:space="preserve"> </w:t>
      </w:r>
      <w:proofErr w:type="spellStart"/>
      <w:r w:rsidRPr="00087F50">
        <w:rPr>
          <w:rFonts w:eastAsiaTheme="minorHAnsi"/>
          <w:i/>
          <w:iCs/>
          <w:color w:val="auto"/>
          <w:lang w:val="lv-LV" w:eastAsia="en-US"/>
        </w:rPr>
        <w:t>Event</w:t>
      </w:r>
      <w:proofErr w:type="spellEnd"/>
      <w:r w:rsidRPr="00087F50">
        <w:rPr>
          <w:rFonts w:eastAsia="TimesNewRomanPSMT"/>
          <w:color w:val="auto"/>
          <w:lang w:val="lv-LV" w:eastAsia="en-US"/>
        </w:rPr>
        <w:t xml:space="preserve">) gadījumam: šajā kombinācijā ietilpst neletāls MI, neletāls insults, KV nāve un nestabila stenokardija ar neatliekamu koronāru </w:t>
      </w:r>
      <w:proofErr w:type="spellStart"/>
      <w:r w:rsidRPr="00087F50">
        <w:rPr>
          <w:rFonts w:eastAsia="TimesNewRomanPSMT"/>
          <w:color w:val="auto"/>
          <w:lang w:val="lv-LV" w:eastAsia="en-US"/>
        </w:rPr>
        <w:t>revaskularizāciju</w:t>
      </w:r>
      <w:proofErr w:type="spellEnd"/>
      <w:r w:rsidRPr="00087F50">
        <w:rPr>
          <w:rFonts w:eastAsia="TimesNewRomanPSMT"/>
          <w:color w:val="auto"/>
          <w:lang w:val="lv-LV" w:eastAsia="en-US"/>
        </w:rPr>
        <w:t>.</w:t>
      </w:r>
    </w:p>
    <w:p w14:paraId="2F5D2ADB" w14:textId="027049BB" w:rsidR="005E5817" w:rsidRPr="00087F50" w:rsidRDefault="005E5817" w:rsidP="005E5817">
      <w:pPr>
        <w:autoSpaceDE w:val="0"/>
        <w:autoSpaceDN w:val="0"/>
        <w:adjustRightInd w:val="0"/>
        <w:spacing w:after="0" w:line="240" w:lineRule="auto"/>
        <w:ind w:left="0" w:firstLine="0"/>
        <w:rPr>
          <w:rFonts w:eastAsia="TimesNewRomanPSMT"/>
          <w:color w:val="auto"/>
          <w:lang w:val="lv-LV" w:eastAsia="en-US"/>
        </w:rPr>
      </w:pPr>
      <w:r w:rsidRPr="00087F50">
        <w:rPr>
          <w:rFonts w:eastAsia="TimesNewRomanPSMT"/>
          <w:color w:val="auto"/>
          <w:lang w:val="lv-LV" w:eastAsia="en-US"/>
        </w:rPr>
        <w:t>Mērķa kritērijus (primāro un sekundāros) analizēja ārstēt paredzēto pacientu (</w:t>
      </w:r>
      <w:proofErr w:type="spellStart"/>
      <w:r w:rsidRPr="00087F50">
        <w:rPr>
          <w:rFonts w:eastAsiaTheme="minorHAnsi"/>
          <w:i/>
          <w:iCs/>
          <w:color w:val="auto"/>
          <w:lang w:val="lv-LV" w:eastAsia="en-US"/>
        </w:rPr>
        <w:t>intention</w:t>
      </w:r>
      <w:proofErr w:type="spellEnd"/>
      <w:r w:rsidRPr="00087F50">
        <w:rPr>
          <w:rFonts w:eastAsiaTheme="minorHAnsi"/>
          <w:i/>
          <w:iCs/>
          <w:color w:val="auto"/>
          <w:lang w:val="lv-LV" w:eastAsia="en-US"/>
        </w:rPr>
        <w:t>-to-</w:t>
      </w:r>
      <w:proofErr w:type="spellStart"/>
      <w:r w:rsidRPr="00087F50">
        <w:rPr>
          <w:rFonts w:eastAsiaTheme="minorHAnsi"/>
          <w:i/>
          <w:iCs/>
          <w:color w:val="auto"/>
          <w:lang w:val="lv-LV" w:eastAsia="en-US"/>
        </w:rPr>
        <w:t>treat</w:t>
      </w:r>
      <w:proofErr w:type="spellEnd"/>
      <w:r w:rsidRPr="00087F50">
        <w:rPr>
          <w:rFonts w:eastAsia="TimesNewRomanPSMT"/>
          <w:color w:val="auto"/>
          <w:lang w:val="lv-LV" w:eastAsia="en-US"/>
        </w:rPr>
        <w:t xml:space="preserve">, ITT) populācijā, un analīzē tika iekļautas visas pētāmās personas, kuras bija </w:t>
      </w:r>
      <w:proofErr w:type="spellStart"/>
      <w:r w:rsidRPr="00087F50">
        <w:rPr>
          <w:rFonts w:eastAsia="TimesNewRomanPSMT"/>
          <w:color w:val="auto"/>
          <w:lang w:val="lv-LV" w:eastAsia="en-US"/>
        </w:rPr>
        <w:t>randomizētas</w:t>
      </w:r>
      <w:proofErr w:type="spellEnd"/>
      <w:r w:rsidRPr="00087F50">
        <w:rPr>
          <w:rFonts w:eastAsia="TimesNewRomanPSMT"/>
          <w:color w:val="auto"/>
          <w:lang w:val="lv-LV" w:eastAsia="en-US"/>
        </w:rPr>
        <w:t xml:space="preserve"> un saņēmušas vismaz vienu </w:t>
      </w:r>
      <w:proofErr w:type="spellStart"/>
      <w:r w:rsidRPr="00087F50">
        <w:rPr>
          <w:rFonts w:eastAsia="TimesNewRomanPSMT"/>
          <w:color w:val="auto"/>
          <w:lang w:val="lv-LV" w:eastAsia="en-US"/>
        </w:rPr>
        <w:t>dubultmaskēto</w:t>
      </w:r>
      <w:proofErr w:type="spellEnd"/>
      <w:r w:rsidRPr="00087F50">
        <w:rPr>
          <w:rFonts w:eastAsia="TimesNewRomanPSMT"/>
          <w:color w:val="auto"/>
          <w:lang w:val="lv-LV" w:eastAsia="en-US"/>
        </w:rPr>
        <w:t xml:space="preserve"> pētījuma zāļu devu.</w:t>
      </w:r>
    </w:p>
    <w:p w14:paraId="5B6EA65C" w14:textId="6CB675BC" w:rsidR="005E5817" w:rsidRPr="00087F50" w:rsidRDefault="005E5817" w:rsidP="005E5817">
      <w:pPr>
        <w:autoSpaceDE w:val="0"/>
        <w:autoSpaceDN w:val="0"/>
        <w:adjustRightInd w:val="0"/>
        <w:spacing w:after="0" w:line="240" w:lineRule="auto"/>
        <w:ind w:left="0" w:firstLine="0"/>
        <w:rPr>
          <w:rFonts w:eastAsia="TimesNewRomanPSMT"/>
          <w:color w:val="auto"/>
          <w:lang w:val="lv-LV" w:eastAsia="en-US"/>
        </w:rPr>
      </w:pPr>
      <w:r w:rsidRPr="00087F50">
        <w:rPr>
          <w:rFonts w:eastAsia="TimesNewRomanPSMT"/>
          <w:color w:val="auto"/>
          <w:lang w:val="lv-LV" w:eastAsia="en-US"/>
        </w:rPr>
        <w:t>Kopumā 56,6% pacientu priekšlaicīgi pārtrauca dalību šajā pētījumā, un 45% neieradās uz visām pētījuma vizītēm.</w:t>
      </w:r>
      <w:r w:rsidR="00CD79AE">
        <w:rPr>
          <w:rFonts w:eastAsia="TimesNewRomanPSMT"/>
          <w:color w:val="auto"/>
          <w:lang w:val="lv-LV" w:eastAsia="en-US"/>
        </w:rPr>
        <w:t xml:space="preserve"> </w:t>
      </w:r>
      <w:r w:rsidRPr="00087F50">
        <w:rPr>
          <w:rFonts w:eastAsia="TimesNewRomanPSMT"/>
          <w:color w:val="auto"/>
          <w:lang w:val="lv-LV" w:eastAsia="en-US"/>
        </w:rPr>
        <w:t xml:space="preserve">Kopumā novēroja 6190 pacientus, un novērošanas ilguma mediāna bija 32 mēneši, savukārt zāļu iedarbības ilguma mediāna bija 728 dienas pacientiem </w:t>
      </w:r>
      <w:proofErr w:type="spellStart"/>
      <w:r w:rsidRPr="00087F50">
        <w:rPr>
          <w:rFonts w:eastAsia="TimesNewRomanPSMT"/>
          <w:color w:val="auto"/>
          <w:lang w:val="lv-LV" w:eastAsia="en-US"/>
        </w:rPr>
        <w:t>febuksostata</w:t>
      </w:r>
      <w:proofErr w:type="spellEnd"/>
      <w:r w:rsidRPr="00087F50">
        <w:rPr>
          <w:rFonts w:eastAsia="TimesNewRomanPSMT"/>
          <w:color w:val="auto"/>
          <w:lang w:val="lv-LV" w:eastAsia="en-US"/>
        </w:rPr>
        <w:t xml:space="preserve"> grupā (n = 3098) un 719 dienas </w:t>
      </w:r>
      <w:proofErr w:type="spellStart"/>
      <w:r w:rsidRPr="00087F50">
        <w:rPr>
          <w:rFonts w:eastAsia="TimesNewRomanPSMT"/>
          <w:color w:val="auto"/>
          <w:lang w:val="lv-LV" w:eastAsia="en-US"/>
        </w:rPr>
        <w:t>allopurinola</w:t>
      </w:r>
      <w:proofErr w:type="spellEnd"/>
      <w:r w:rsidRPr="00087F50">
        <w:rPr>
          <w:rFonts w:eastAsia="TimesNewRomanPSMT"/>
          <w:color w:val="auto"/>
          <w:lang w:val="lv-LV" w:eastAsia="en-US"/>
        </w:rPr>
        <w:t xml:space="preserve"> grupā (n = 3092).</w:t>
      </w:r>
    </w:p>
    <w:p w14:paraId="3EF0F648" w14:textId="77777777" w:rsidR="005E5817" w:rsidRPr="00087F50" w:rsidRDefault="005E5817" w:rsidP="005E5817">
      <w:pPr>
        <w:autoSpaceDE w:val="0"/>
        <w:autoSpaceDN w:val="0"/>
        <w:adjustRightInd w:val="0"/>
        <w:spacing w:after="0" w:line="240" w:lineRule="auto"/>
        <w:ind w:left="0" w:firstLine="0"/>
        <w:rPr>
          <w:rFonts w:eastAsia="TimesNewRomanPSMT"/>
          <w:color w:val="auto"/>
          <w:lang w:val="lv-LV" w:eastAsia="en-US"/>
        </w:rPr>
      </w:pPr>
      <w:r w:rsidRPr="00087F50">
        <w:rPr>
          <w:rFonts w:eastAsia="TimesNewRomanPSMT"/>
          <w:color w:val="auto"/>
          <w:lang w:val="lv-LV" w:eastAsia="en-US"/>
        </w:rPr>
        <w:t xml:space="preserve">Primāro MACE mērķa kritēriju ar līdzīgu biežumu konstatēja gan </w:t>
      </w:r>
      <w:proofErr w:type="spellStart"/>
      <w:r w:rsidRPr="00087F50">
        <w:rPr>
          <w:rFonts w:eastAsia="TimesNewRomanPSMT"/>
          <w:color w:val="auto"/>
          <w:lang w:val="lv-LV" w:eastAsia="en-US"/>
        </w:rPr>
        <w:t>febuksostata</w:t>
      </w:r>
      <w:proofErr w:type="spellEnd"/>
      <w:r w:rsidRPr="00087F50">
        <w:rPr>
          <w:rFonts w:eastAsia="TimesNewRomanPSMT"/>
          <w:color w:val="auto"/>
          <w:lang w:val="lv-LV" w:eastAsia="en-US"/>
        </w:rPr>
        <w:t xml:space="preserve">, gan </w:t>
      </w:r>
      <w:proofErr w:type="spellStart"/>
      <w:r w:rsidRPr="00087F50">
        <w:rPr>
          <w:rFonts w:eastAsia="TimesNewRomanPSMT"/>
          <w:color w:val="auto"/>
          <w:lang w:val="lv-LV" w:eastAsia="en-US"/>
        </w:rPr>
        <w:t>allopurinola</w:t>
      </w:r>
      <w:proofErr w:type="spellEnd"/>
    </w:p>
    <w:p w14:paraId="3D250059" w14:textId="77777777" w:rsidR="005E5817" w:rsidRPr="00087F50" w:rsidRDefault="005E5817" w:rsidP="005E5817">
      <w:pPr>
        <w:autoSpaceDE w:val="0"/>
        <w:autoSpaceDN w:val="0"/>
        <w:adjustRightInd w:val="0"/>
        <w:spacing w:after="0" w:line="240" w:lineRule="auto"/>
        <w:ind w:left="0" w:firstLine="0"/>
        <w:rPr>
          <w:rFonts w:eastAsia="TimesNewRomanPSMT"/>
          <w:color w:val="auto"/>
          <w:lang w:val="lv-LV" w:eastAsia="en-US"/>
        </w:rPr>
      </w:pPr>
      <w:r w:rsidRPr="00087F50">
        <w:rPr>
          <w:rFonts w:eastAsia="TimesNewRomanPSMT"/>
          <w:color w:val="auto"/>
          <w:lang w:val="lv-LV" w:eastAsia="en-US"/>
        </w:rPr>
        <w:t>grupās (attiecīgi 10,8% un 10,4% pacientu; riska attiecība [RA] 1,03; divpusējais atkārtotais</w:t>
      </w:r>
    </w:p>
    <w:p w14:paraId="4F8B2827" w14:textId="70C6F33E" w:rsidR="005E5817" w:rsidRPr="00087F50" w:rsidRDefault="005E5817" w:rsidP="005E5817">
      <w:pPr>
        <w:autoSpaceDE w:val="0"/>
        <w:autoSpaceDN w:val="0"/>
        <w:adjustRightInd w:val="0"/>
        <w:spacing w:after="0" w:line="240" w:lineRule="auto"/>
        <w:ind w:left="0" w:firstLine="0"/>
        <w:rPr>
          <w:rFonts w:eastAsia="TimesNewRomanPSMT"/>
          <w:color w:val="auto"/>
          <w:lang w:val="lv-LV" w:eastAsia="en-US"/>
        </w:rPr>
      </w:pPr>
      <w:r w:rsidRPr="00087F50">
        <w:rPr>
          <w:rFonts w:eastAsia="TimesNewRomanPSMT"/>
          <w:color w:val="auto"/>
          <w:lang w:val="lv-LV" w:eastAsia="en-US"/>
        </w:rPr>
        <w:t>ticamības intervāls [TI] 0,8</w:t>
      </w:r>
      <w:r w:rsidR="00237FD8">
        <w:rPr>
          <w:rFonts w:eastAsia="TimesNewRomanPSMT"/>
          <w:color w:val="auto"/>
          <w:lang w:val="lv-LV" w:eastAsia="en-US"/>
        </w:rPr>
        <w:t>9</w:t>
      </w:r>
      <w:r w:rsidRPr="00087F50">
        <w:rPr>
          <w:rFonts w:eastAsia="TimesNewRomanPSMT"/>
          <w:color w:val="auto"/>
          <w:lang w:val="lv-LV" w:eastAsia="en-US"/>
        </w:rPr>
        <w:t>–1,2</w:t>
      </w:r>
      <w:r w:rsidR="008C5D51">
        <w:rPr>
          <w:rFonts w:eastAsia="TimesNewRomanPSMT"/>
          <w:color w:val="auto"/>
          <w:lang w:val="lv-LV" w:eastAsia="en-US"/>
        </w:rPr>
        <w:t>1</w:t>
      </w:r>
      <w:r w:rsidRPr="00087F50">
        <w:rPr>
          <w:rFonts w:eastAsia="TimesNewRomanPSMT"/>
          <w:color w:val="auto"/>
          <w:lang w:val="lv-LV" w:eastAsia="en-US"/>
        </w:rPr>
        <w:t>).</w:t>
      </w:r>
    </w:p>
    <w:p w14:paraId="2890477F" w14:textId="77777777" w:rsidR="005E5817" w:rsidRPr="00087F50" w:rsidRDefault="005E5817" w:rsidP="005E5817">
      <w:pPr>
        <w:autoSpaceDE w:val="0"/>
        <w:autoSpaceDN w:val="0"/>
        <w:adjustRightInd w:val="0"/>
        <w:spacing w:after="0" w:line="240" w:lineRule="auto"/>
        <w:ind w:left="0" w:firstLine="0"/>
        <w:rPr>
          <w:rFonts w:eastAsia="TimesNewRomanPSMT"/>
          <w:color w:val="auto"/>
          <w:lang w:val="lv-LV" w:eastAsia="en-US"/>
        </w:rPr>
      </w:pPr>
      <w:r w:rsidRPr="00087F50">
        <w:rPr>
          <w:rFonts w:eastAsia="TimesNewRomanPSMT"/>
          <w:color w:val="auto"/>
          <w:lang w:val="lv-LV" w:eastAsia="en-US"/>
        </w:rPr>
        <w:t xml:space="preserve">Atsevišķu MACE komponentu analīzē KV nāve biežāk bija konstatējama </w:t>
      </w:r>
      <w:proofErr w:type="spellStart"/>
      <w:r w:rsidRPr="00087F50">
        <w:rPr>
          <w:rFonts w:eastAsia="TimesNewRomanPSMT"/>
          <w:color w:val="auto"/>
          <w:lang w:val="lv-LV" w:eastAsia="en-US"/>
        </w:rPr>
        <w:t>febuksostata</w:t>
      </w:r>
      <w:proofErr w:type="spellEnd"/>
      <w:r w:rsidRPr="00087F50">
        <w:rPr>
          <w:rFonts w:eastAsia="TimesNewRomanPSMT"/>
          <w:color w:val="auto"/>
          <w:lang w:val="lv-LV" w:eastAsia="en-US"/>
        </w:rPr>
        <w:t xml:space="preserve"> nekā</w:t>
      </w:r>
    </w:p>
    <w:p w14:paraId="2BB4834B" w14:textId="41BA2FD8" w:rsidR="005E5817" w:rsidRPr="00087F50" w:rsidRDefault="005E5817" w:rsidP="005E5817">
      <w:pPr>
        <w:autoSpaceDE w:val="0"/>
        <w:autoSpaceDN w:val="0"/>
        <w:adjustRightInd w:val="0"/>
        <w:spacing w:after="0" w:line="240" w:lineRule="auto"/>
        <w:ind w:left="0" w:firstLine="0"/>
        <w:rPr>
          <w:rFonts w:eastAsia="TimesNewRomanPSMT"/>
          <w:color w:val="auto"/>
          <w:lang w:val="lv-LV" w:eastAsia="en-US"/>
        </w:rPr>
      </w:pPr>
      <w:proofErr w:type="spellStart"/>
      <w:r w:rsidRPr="00087F50">
        <w:rPr>
          <w:rFonts w:eastAsia="TimesNewRomanPSMT"/>
          <w:color w:val="auto"/>
          <w:lang w:val="lv-LV" w:eastAsia="en-US"/>
        </w:rPr>
        <w:t>allopurinola</w:t>
      </w:r>
      <w:proofErr w:type="spellEnd"/>
      <w:r w:rsidRPr="00087F50">
        <w:rPr>
          <w:rFonts w:eastAsia="TimesNewRomanPSMT"/>
          <w:color w:val="auto"/>
          <w:lang w:val="lv-LV" w:eastAsia="en-US"/>
        </w:rPr>
        <w:t xml:space="preserve"> grupā (4,3% salīdzinājumā ar 3,2% pacientu; RA 1,34; 95% TI 1,03–1,73). Citu MACE notikumu biežums </w:t>
      </w:r>
      <w:proofErr w:type="spellStart"/>
      <w:r w:rsidRPr="00087F50">
        <w:rPr>
          <w:rFonts w:eastAsia="TimesNewRomanPSMT"/>
          <w:color w:val="auto"/>
          <w:lang w:val="lv-LV" w:eastAsia="en-US"/>
        </w:rPr>
        <w:t>febuksostata</w:t>
      </w:r>
      <w:proofErr w:type="spellEnd"/>
      <w:r w:rsidRPr="00087F50">
        <w:rPr>
          <w:rFonts w:eastAsia="TimesNewRomanPSMT"/>
          <w:color w:val="auto"/>
          <w:lang w:val="lv-LV" w:eastAsia="en-US"/>
        </w:rPr>
        <w:t xml:space="preserve"> un </w:t>
      </w:r>
      <w:proofErr w:type="spellStart"/>
      <w:r w:rsidRPr="00087F50">
        <w:rPr>
          <w:rFonts w:eastAsia="TimesNewRomanPSMT"/>
          <w:color w:val="auto"/>
          <w:lang w:val="lv-LV" w:eastAsia="en-US"/>
        </w:rPr>
        <w:t>allopurinola</w:t>
      </w:r>
      <w:proofErr w:type="spellEnd"/>
      <w:r w:rsidRPr="00087F50">
        <w:rPr>
          <w:rFonts w:eastAsia="TimesNewRomanPSMT"/>
          <w:color w:val="auto"/>
          <w:lang w:val="lv-LV" w:eastAsia="en-US"/>
        </w:rPr>
        <w:t xml:space="preserve"> grupā bija līdzīgs; t. i., neletāls MI (3,6% salīdzinājumā ar 3,8% pacientu; RA 0,93; 95% TI 0,72–1,21), neletāls insults (2,3% salīdzinājumā ar 2,3% pacientu; RA 1,01; 95% TI 0,73–1,41) un neatliekama </w:t>
      </w:r>
      <w:proofErr w:type="spellStart"/>
      <w:r w:rsidRPr="00087F50">
        <w:rPr>
          <w:rFonts w:eastAsia="TimesNewRomanPSMT"/>
          <w:color w:val="auto"/>
          <w:lang w:val="lv-LV" w:eastAsia="en-US"/>
        </w:rPr>
        <w:t>revaskularizācija</w:t>
      </w:r>
      <w:proofErr w:type="spellEnd"/>
      <w:r w:rsidRPr="00087F50">
        <w:rPr>
          <w:rFonts w:eastAsia="TimesNewRomanPSMT"/>
          <w:color w:val="auto"/>
          <w:lang w:val="lv-LV" w:eastAsia="en-US"/>
        </w:rPr>
        <w:t xml:space="preserve"> nestabilas stenokardijas dēļ (1,6% salīdzinājumā ar 1,8% pacientu; RA 0,86; 95% TI 0,59–1,26). </w:t>
      </w:r>
      <w:proofErr w:type="spellStart"/>
      <w:r w:rsidRPr="00087F50">
        <w:rPr>
          <w:rFonts w:eastAsia="TimesNewRomanPSMT"/>
          <w:color w:val="auto"/>
          <w:lang w:val="lv-LV" w:eastAsia="en-US"/>
        </w:rPr>
        <w:t>Febuksostata</w:t>
      </w:r>
      <w:proofErr w:type="spellEnd"/>
      <w:r w:rsidRPr="00087F50">
        <w:rPr>
          <w:rFonts w:eastAsia="TimesNewRomanPSMT"/>
          <w:color w:val="auto"/>
          <w:lang w:val="lv-LV" w:eastAsia="en-US"/>
        </w:rPr>
        <w:t xml:space="preserve"> grupā salīdzinājumā ar </w:t>
      </w:r>
      <w:proofErr w:type="spellStart"/>
      <w:r w:rsidRPr="00087F50">
        <w:rPr>
          <w:rFonts w:eastAsia="TimesNewRomanPSMT"/>
          <w:color w:val="auto"/>
          <w:lang w:val="lv-LV" w:eastAsia="en-US"/>
        </w:rPr>
        <w:t>allopurinola</w:t>
      </w:r>
      <w:proofErr w:type="spellEnd"/>
      <w:r w:rsidRPr="00087F50">
        <w:rPr>
          <w:rFonts w:eastAsia="TimesNewRomanPSMT"/>
          <w:color w:val="auto"/>
          <w:lang w:val="lv-LV" w:eastAsia="en-US"/>
        </w:rPr>
        <w:t xml:space="preserve"> grupu lielāks bija arī jebkāda cēloņa mirstības rādītājs (7,8% salīdzinājumā ar 6,4% pacientu; RA 1,22; 95% TI 1,01–1,47), ko galvenokārt noteica lielāks KV nāves rādītājs šajā grupā (skatīt 4.4. apakšpunktu).</w:t>
      </w:r>
    </w:p>
    <w:p w14:paraId="45CC0D99" w14:textId="4B9ECAA9" w:rsidR="00A77DDF" w:rsidRPr="00087F50" w:rsidRDefault="005E5817" w:rsidP="00087F50">
      <w:pPr>
        <w:autoSpaceDE w:val="0"/>
        <w:autoSpaceDN w:val="0"/>
        <w:adjustRightInd w:val="0"/>
        <w:spacing w:after="0" w:line="240" w:lineRule="auto"/>
        <w:ind w:left="0" w:firstLine="0"/>
      </w:pPr>
      <w:r w:rsidRPr="00087F50">
        <w:rPr>
          <w:rFonts w:eastAsia="TimesNewRomanPSMT"/>
          <w:color w:val="auto"/>
          <w:lang w:val="lv-LV" w:eastAsia="en-US"/>
        </w:rPr>
        <w:t xml:space="preserve">Hospitalizācijas konstatētas sirds mazspējas dēļ, </w:t>
      </w:r>
      <w:proofErr w:type="spellStart"/>
      <w:r w:rsidRPr="00087F50">
        <w:rPr>
          <w:rFonts w:eastAsia="TimesNewRomanPSMT"/>
          <w:color w:val="auto"/>
          <w:lang w:val="lv-LV" w:eastAsia="en-US"/>
        </w:rPr>
        <w:t>stacionēšanas</w:t>
      </w:r>
      <w:proofErr w:type="spellEnd"/>
      <w:r w:rsidRPr="00087F50">
        <w:rPr>
          <w:rFonts w:eastAsia="TimesNewRomanPSMT"/>
          <w:color w:val="auto"/>
          <w:lang w:val="lv-LV" w:eastAsia="en-US"/>
        </w:rPr>
        <w:t xml:space="preserve"> ar išēmiju nesaistītas aritmijas dēļ, venozas </w:t>
      </w:r>
      <w:proofErr w:type="spellStart"/>
      <w:r w:rsidRPr="00087F50">
        <w:rPr>
          <w:rFonts w:eastAsia="TimesNewRomanPSMT"/>
          <w:color w:val="auto"/>
          <w:lang w:val="lv-LV" w:eastAsia="en-US"/>
        </w:rPr>
        <w:t>trombembolijas</w:t>
      </w:r>
      <w:proofErr w:type="spellEnd"/>
      <w:r w:rsidRPr="00087F50">
        <w:rPr>
          <w:rFonts w:eastAsia="TimesNewRomanPSMT"/>
          <w:color w:val="auto"/>
          <w:lang w:val="lv-LV" w:eastAsia="en-US"/>
        </w:rPr>
        <w:t xml:space="preserve"> un hospitalizācijas pārejošu išēmijas lēkmju dēļ rādītāji </w:t>
      </w:r>
      <w:proofErr w:type="spellStart"/>
      <w:r w:rsidRPr="00087F50">
        <w:rPr>
          <w:rFonts w:eastAsia="TimesNewRomanPSMT"/>
          <w:color w:val="auto"/>
          <w:lang w:val="lv-LV" w:eastAsia="en-US"/>
        </w:rPr>
        <w:t>febuksostata</w:t>
      </w:r>
      <w:proofErr w:type="spellEnd"/>
      <w:r w:rsidRPr="00087F50">
        <w:rPr>
          <w:rFonts w:eastAsia="TimesNewRomanPSMT"/>
          <w:color w:val="auto"/>
          <w:lang w:val="lv-LV" w:eastAsia="en-US"/>
        </w:rPr>
        <w:t xml:space="preserve"> un </w:t>
      </w:r>
      <w:proofErr w:type="spellStart"/>
      <w:r w:rsidRPr="00087F50">
        <w:rPr>
          <w:rFonts w:eastAsia="TimesNewRomanPSMT"/>
          <w:color w:val="auto"/>
          <w:lang w:val="lv-LV" w:eastAsia="en-US"/>
        </w:rPr>
        <w:t>allopurinola</w:t>
      </w:r>
      <w:proofErr w:type="spellEnd"/>
      <w:r w:rsidRPr="00087F50">
        <w:rPr>
          <w:rFonts w:eastAsia="TimesNewRomanPSMT"/>
          <w:color w:val="auto"/>
          <w:lang w:val="lv-LV" w:eastAsia="en-US"/>
        </w:rPr>
        <w:t xml:space="preserve"> grupās bija līdzīgi.</w:t>
      </w:r>
      <w:r w:rsidR="00A77DDF" w:rsidRPr="00087F50">
        <w:t xml:space="preserve"> </w:t>
      </w:r>
    </w:p>
    <w:p w14:paraId="68CDA04E" w14:textId="2B2CC905" w:rsidR="006E027D" w:rsidRDefault="006E027D" w:rsidP="00A77DDF">
      <w:pPr>
        <w:spacing w:after="0" w:line="259" w:lineRule="auto"/>
        <w:ind w:left="2" w:firstLine="0"/>
      </w:pPr>
    </w:p>
    <w:p w14:paraId="62A1F621" w14:textId="77777777" w:rsidR="002D7134" w:rsidRDefault="0092121A" w:rsidP="00A77DDF">
      <w:pPr>
        <w:spacing w:after="0" w:line="259" w:lineRule="auto"/>
        <w:ind w:left="2" w:firstLine="0"/>
      </w:pPr>
      <w:r>
        <w:t xml:space="preserve">FAST </w:t>
      </w:r>
      <w:proofErr w:type="spellStart"/>
      <w:r>
        <w:t>pētījums</w:t>
      </w:r>
      <w:proofErr w:type="spellEnd"/>
      <w:r>
        <w:t xml:space="preserve"> bija </w:t>
      </w:r>
      <w:proofErr w:type="spellStart"/>
      <w:r>
        <w:t>prospektīvs</w:t>
      </w:r>
      <w:proofErr w:type="spellEnd"/>
      <w:r>
        <w:t xml:space="preserve">, </w:t>
      </w:r>
      <w:proofErr w:type="spellStart"/>
      <w:r>
        <w:t>nejaušināts</w:t>
      </w:r>
      <w:proofErr w:type="spellEnd"/>
      <w:r>
        <w:t xml:space="preserve">, </w:t>
      </w:r>
      <w:proofErr w:type="spellStart"/>
      <w:r>
        <w:t>atklāts</w:t>
      </w:r>
      <w:proofErr w:type="spellEnd"/>
      <w:r>
        <w:t xml:space="preserve"> </w:t>
      </w:r>
      <w:proofErr w:type="spellStart"/>
      <w:r>
        <w:t>pētījums</w:t>
      </w:r>
      <w:proofErr w:type="spellEnd"/>
      <w:r>
        <w:t xml:space="preserve"> ar </w:t>
      </w:r>
      <w:proofErr w:type="spellStart"/>
      <w:r>
        <w:t>maskētiem</w:t>
      </w:r>
      <w:proofErr w:type="spellEnd"/>
      <w:r>
        <w:t xml:space="preserve"> </w:t>
      </w:r>
      <w:proofErr w:type="spellStart"/>
      <w:r>
        <w:t>mērķa</w:t>
      </w:r>
      <w:proofErr w:type="spellEnd"/>
      <w:r>
        <w:t xml:space="preserve"> </w:t>
      </w:r>
      <w:proofErr w:type="spellStart"/>
      <w:r>
        <w:t>kritērijiem</w:t>
      </w:r>
      <w:proofErr w:type="spellEnd"/>
      <w:r>
        <w:t xml:space="preserve">, </w:t>
      </w:r>
      <w:proofErr w:type="spellStart"/>
      <w:r>
        <w:t>kurā</w:t>
      </w:r>
      <w:proofErr w:type="spellEnd"/>
      <w:r>
        <w:t xml:space="preserve"> </w:t>
      </w:r>
      <w:proofErr w:type="spellStart"/>
      <w:r>
        <w:t>salīdzināja</w:t>
      </w:r>
      <w:proofErr w:type="spellEnd"/>
      <w:r>
        <w:t xml:space="preserve"> </w:t>
      </w:r>
      <w:proofErr w:type="spellStart"/>
      <w:r>
        <w:t>febuksostata</w:t>
      </w:r>
      <w:proofErr w:type="spellEnd"/>
      <w:r>
        <w:t xml:space="preserve"> un </w:t>
      </w:r>
      <w:proofErr w:type="spellStart"/>
      <w:r>
        <w:t>allopurinola</w:t>
      </w:r>
      <w:proofErr w:type="spellEnd"/>
      <w:r>
        <w:t xml:space="preserve"> </w:t>
      </w:r>
      <w:proofErr w:type="spellStart"/>
      <w:r>
        <w:t>lietošanas</w:t>
      </w:r>
      <w:proofErr w:type="spellEnd"/>
      <w:r>
        <w:t xml:space="preserve"> KV </w:t>
      </w:r>
      <w:proofErr w:type="spellStart"/>
      <w:r>
        <w:t>drošuma</w:t>
      </w:r>
      <w:proofErr w:type="spellEnd"/>
      <w:r>
        <w:t xml:space="preserve"> </w:t>
      </w:r>
      <w:proofErr w:type="spellStart"/>
      <w:r>
        <w:t>profilu</w:t>
      </w:r>
      <w:proofErr w:type="spellEnd"/>
      <w:r>
        <w:t xml:space="preserve"> </w:t>
      </w:r>
      <w:proofErr w:type="spellStart"/>
      <w:r>
        <w:t>pacientiem</w:t>
      </w:r>
      <w:proofErr w:type="spellEnd"/>
      <w:r>
        <w:t xml:space="preserve"> ar </w:t>
      </w:r>
      <w:proofErr w:type="spellStart"/>
      <w:r>
        <w:t>hronisku</w:t>
      </w:r>
      <w:proofErr w:type="spellEnd"/>
      <w:r>
        <w:t xml:space="preserve"> </w:t>
      </w:r>
      <w:proofErr w:type="spellStart"/>
      <w:r>
        <w:t>hiperurikēmiju</w:t>
      </w:r>
      <w:proofErr w:type="spellEnd"/>
      <w:r>
        <w:t xml:space="preserve"> (</w:t>
      </w:r>
      <w:proofErr w:type="spellStart"/>
      <w:r>
        <w:t>stāvokļos</w:t>
      </w:r>
      <w:proofErr w:type="spellEnd"/>
      <w:r>
        <w:t xml:space="preserve">, </w:t>
      </w:r>
      <w:proofErr w:type="spellStart"/>
      <w:r>
        <w:t>kad</w:t>
      </w:r>
      <w:proofErr w:type="spellEnd"/>
      <w:r>
        <w:t xml:space="preserve"> jau </w:t>
      </w:r>
      <w:proofErr w:type="spellStart"/>
      <w:r>
        <w:t>izveidojušies</w:t>
      </w:r>
      <w:proofErr w:type="spellEnd"/>
      <w:r>
        <w:t xml:space="preserve"> </w:t>
      </w:r>
      <w:proofErr w:type="spellStart"/>
      <w:r>
        <w:t>urātu</w:t>
      </w:r>
      <w:proofErr w:type="spellEnd"/>
      <w:r>
        <w:t xml:space="preserve"> </w:t>
      </w:r>
      <w:proofErr w:type="spellStart"/>
      <w:r>
        <w:t>izgulsnējumi</w:t>
      </w:r>
      <w:proofErr w:type="spellEnd"/>
      <w:r>
        <w:t xml:space="preserve">) un KV </w:t>
      </w:r>
      <w:proofErr w:type="spellStart"/>
      <w:r>
        <w:t>riska</w:t>
      </w:r>
      <w:proofErr w:type="spellEnd"/>
      <w:r>
        <w:t xml:space="preserve"> </w:t>
      </w:r>
      <w:proofErr w:type="spellStart"/>
      <w:r>
        <w:t>faktoriem</w:t>
      </w:r>
      <w:proofErr w:type="spellEnd"/>
      <w:r>
        <w:t xml:space="preserve"> (t. i., </w:t>
      </w:r>
      <w:proofErr w:type="spellStart"/>
      <w:r>
        <w:t>pacientiem</w:t>
      </w:r>
      <w:proofErr w:type="spellEnd"/>
      <w:r>
        <w:t xml:space="preserve"> no 60 </w:t>
      </w:r>
      <w:proofErr w:type="spellStart"/>
      <w:r>
        <w:t>gadu</w:t>
      </w:r>
      <w:proofErr w:type="spellEnd"/>
      <w:r>
        <w:t xml:space="preserve"> </w:t>
      </w:r>
      <w:proofErr w:type="spellStart"/>
      <w:r>
        <w:t>vecuma</w:t>
      </w:r>
      <w:proofErr w:type="spellEnd"/>
      <w:r>
        <w:t xml:space="preserve"> </w:t>
      </w:r>
      <w:proofErr w:type="spellStart"/>
      <w:r>
        <w:t>vai</w:t>
      </w:r>
      <w:proofErr w:type="spellEnd"/>
      <w:r>
        <w:t xml:space="preserve"> </w:t>
      </w:r>
      <w:proofErr w:type="spellStart"/>
      <w:r>
        <w:t>vecākiem</w:t>
      </w:r>
      <w:proofErr w:type="spellEnd"/>
      <w:r>
        <w:t xml:space="preserve"> ar </w:t>
      </w:r>
      <w:proofErr w:type="spellStart"/>
      <w:r>
        <w:t>vismaz</w:t>
      </w:r>
      <w:proofErr w:type="spellEnd"/>
      <w:r>
        <w:t xml:space="preserve"> </w:t>
      </w:r>
      <w:proofErr w:type="spellStart"/>
      <w:r>
        <w:t>vēl</w:t>
      </w:r>
      <w:proofErr w:type="spellEnd"/>
      <w:r>
        <w:t xml:space="preserve"> </w:t>
      </w:r>
      <w:proofErr w:type="spellStart"/>
      <w:r>
        <w:t>vienu</w:t>
      </w:r>
      <w:proofErr w:type="spellEnd"/>
      <w:r>
        <w:t xml:space="preserve"> </w:t>
      </w:r>
      <w:proofErr w:type="spellStart"/>
      <w:r>
        <w:t>citu</w:t>
      </w:r>
      <w:proofErr w:type="spellEnd"/>
      <w:r>
        <w:t xml:space="preserve"> KV </w:t>
      </w:r>
      <w:proofErr w:type="spellStart"/>
      <w:r>
        <w:t>riska</w:t>
      </w:r>
      <w:proofErr w:type="spellEnd"/>
      <w:r>
        <w:t xml:space="preserve"> </w:t>
      </w:r>
      <w:proofErr w:type="spellStart"/>
      <w:r>
        <w:t>faktoru</w:t>
      </w:r>
      <w:proofErr w:type="spellEnd"/>
      <w:r>
        <w:t xml:space="preserve">). </w:t>
      </w:r>
      <w:proofErr w:type="spellStart"/>
      <w:r>
        <w:t>Atbilstošie</w:t>
      </w:r>
      <w:proofErr w:type="spellEnd"/>
      <w:r>
        <w:t xml:space="preserve"> 31 </w:t>
      </w:r>
      <w:proofErr w:type="spellStart"/>
      <w:r>
        <w:t>pacienti</w:t>
      </w:r>
      <w:proofErr w:type="spellEnd"/>
      <w:r>
        <w:t xml:space="preserve"> </w:t>
      </w:r>
      <w:proofErr w:type="spellStart"/>
      <w:r>
        <w:t>pirms</w:t>
      </w:r>
      <w:proofErr w:type="spellEnd"/>
      <w:r>
        <w:t xml:space="preserve"> </w:t>
      </w:r>
      <w:proofErr w:type="spellStart"/>
      <w:r>
        <w:t>randomizācijas</w:t>
      </w:r>
      <w:proofErr w:type="spellEnd"/>
      <w:r>
        <w:t xml:space="preserve"> </w:t>
      </w:r>
      <w:proofErr w:type="spellStart"/>
      <w:r>
        <w:t>saņēma</w:t>
      </w:r>
      <w:proofErr w:type="spellEnd"/>
      <w:r>
        <w:t xml:space="preserve"> </w:t>
      </w:r>
      <w:proofErr w:type="spellStart"/>
      <w:r>
        <w:t>ārstēšanu</w:t>
      </w:r>
      <w:proofErr w:type="spellEnd"/>
      <w:r>
        <w:t xml:space="preserve"> ar </w:t>
      </w:r>
      <w:proofErr w:type="spellStart"/>
      <w:r>
        <w:t>allopurinolu</w:t>
      </w:r>
      <w:proofErr w:type="spellEnd"/>
      <w:r>
        <w:t xml:space="preserve">, un </w:t>
      </w:r>
      <w:proofErr w:type="spellStart"/>
      <w:r>
        <w:t>nepieciešamības</w:t>
      </w:r>
      <w:proofErr w:type="spellEnd"/>
      <w:r>
        <w:t xml:space="preserve"> </w:t>
      </w:r>
      <w:proofErr w:type="spellStart"/>
      <w:r>
        <w:t>gadījumā</w:t>
      </w:r>
      <w:proofErr w:type="spellEnd"/>
      <w:r>
        <w:t xml:space="preserve"> bija </w:t>
      </w:r>
      <w:proofErr w:type="spellStart"/>
      <w:r>
        <w:t>jāpielāgo</w:t>
      </w:r>
      <w:proofErr w:type="spellEnd"/>
      <w:r>
        <w:t xml:space="preserve"> </w:t>
      </w:r>
      <w:proofErr w:type="spellStart"/>
      <w:r>
        <w:t>deva</w:t>
      </w:r>
      <w:proofErr w:type="spellEnd"/>
      <w:r>
        <w:t xml:space="preserve"> </w:t>
      </w:r>
      <w:proofErr w:type="spellStart"/>
      <w:r>
        <w:t>saskaņā</w:t>
      </w:r>
      <w:proofErr w:type="spellEnd"/>
      <w:r>
        <w:t xml:space="preserve"> ar </w:t>
      </w:r>
      <w:proofErr w:type="spellStart"/>
      <w:r>
        <w:t>klīnisko</w:t>
      </w:r>
      <w:proofErr w:type="spellEnd"/>
      <w:r>
        <w:t xml:space="preserve"> </w:t>
      </w:r>
      <w:proofErr w:type="spellStart"/>
      <w:r>
        <w:t>slēdzienu</w:t>
      </w:r>
      <w:proofErr w:type="spellEnd"/>
      <w:r>
        <w:t xml:space="preserve">, EULAR </w:t>
      </w:r>
      <w:proofErr w:type="spellStart"/>
      <w:r>
        <w:t>rekomendācijām</w:t>
      </w:r>
      <w:proofErr w:type="spellEnd"/>
      <w:r>
        <w:t xml:space="preserve"> un </w:t>
      </w:r>
      <w:proofErr w:type="spellStart"/>
      <w:r>
        <w:t>apstiprinātām</w:t>
      </w:r>
      <w:proofErr w:type="spellEnd"/>
      <w:r>
        <w:t xml:space="preserve"> </w:t>
      </w:r>
      <w:proofErr w:type="spellStart"/>
      <w:r>
        <w:t>devām</w:t>
      </w:r>
      <w:proofErr w:type="spellEnd"/>
      <w:r>
        <w:t xml:space="preserve">. </w:t>
      </w:r>
      <w:proofErr w:type="spellStart"/>
      <w:r>
        <w:t>Allopurinola</w:t>
      </w:r>
      <w:proofErr w:type="spellEnd"/>
      <w:r>
        <w:t xml:space="preserve"> </w:t>
      </w:r>
      <w:proofErr w:type="spellStart"/>
      <w:r>
        <w:t>ievadfāzes</w:t>
      </w:r>
      <w:proofErr w:type="spellEnd"/>
      <w:r>
        <w:t xml:space="preserve"> </w:t>
      </w:r>
      <w:proofErr w:type="spellStart"/>
      <w:r>
        <w:t>beigās</w:t>
      </w:r>
      <w:proofErr w:type="spellEnd"/>
      <w:r>
        <w:t xml:space="preserve"> </w:t>
      </w:r>
      <w:proofErr w:type="spellStart"/>
      <w:r>
        <w:t>pacienti</w:t>
      </w:r>
      <w:proofErr w:type="spellEnd"/>
      <w:r>
        <w:t xml:space="preserve">, </w:t>
      </w:r>
      <w:proofErr w:type="spellStart"/>
      <w:r>
        <w:t>kuriem</w:t>
      </w:r>
      <w:proofErr w:type="spellEnd"/>
      <w:r>
        <w:t xml:space="preserve"> </w:t>
      </w:r>
      <w:proofErr w:type="spellStart"/>
      <w:r>
        <w:t>sUA</w:t>
      </w:r>
      <w:proofErr w:type="spellEnd"/>
      <w:r>
        <w:t xml:space="preserve"> </w:t>
      </w:r>
      <w:proofErr w:type="spellStart"/>
      <w:r>
        <w:t>līmenis</w:t>
      </w:r>
      <w:proofErr w:type="spellEnd"/>
      <w:r>
        <w:t xml:space="preserve"> bija</w:t>
      </w:r>
      <w:r w:rsidR="00082D59">
        <w:t xml:space="preserve"> </w:t>
      </w:r>
      <w:r w:rsidR="00082D59" w:rsidRPr="00564558">
        <w:rPr>
          <w:lang w:val="en-GB"/>
        </w:rPr>
        <w:t>&lt;</w:t>
      </w:r>
      <w:r w:rsidR="001D4BAF">
        <w:t>0,36 mmol/l (</w:t>
      </w:r>
      <w:r w:rsidR="00082D59" w:rsidRPr="00564558">
        <w:rPr>
          <w:lang w:val="en-GB"/>
        </w:rPr>
        <w:t>&lt;</w:t>
      </w:r>
      <w:r w:rsidR="001D4BAF">
        <w:t xml:space="preserve">6 mg/dl) </w:t>
      </w:r>
      <w:proofErr w:type="spellStart"/>
      <w:r w:rsidR="001D4BAF">
        <w:t>vai</w:t>
      </w:r>
      <w:proofErr w:type="spellEnd"/>
      <w:r w:rsidR="001D4BAF">
        <w:t xml:space="preserve"> </w:t>
      </w:r>
      <w:proofErr w:type="spellStart"/>
      <w:r w:rsidR="001D4BAF">
        <w:t>kuri</w:t>
      </w:r>
      <w:proofErr w:type="spellEnd"/>
      <w:r w:rsidR="001D4BAF">
        <w:t xml:space="preserve"> </w:t>
      </w:r>
      <w:proofErr w:type="spellStart"/>
      <w:r w:rsidR="001D4BAF">
        <w:t>saņēma</w:t>
      </w:r>
      <w:proofErr w:type="spellEnd"/>
      <w:r w:rsidR="001D4BAF">
        <w:t xml:space="preserve"> </w:t>
      </w:r>
      <w:proofErr w:type="spellStart"/>
      <w:r w:rsidR="001D4BAF">
        <w:t>maksimālo</w:t>
      </w:r>
      <w:proofErr w:type="spellEnd"/>
      <w:r w:rsidR="001D4BAF">
        <w:t xml:space="preserve"> </w:t>
      </w:r>
      <w:proofErr w:type="spellStart"/>
      <w:r w:rsidR="001D4BAF">
        <w:t>panesamo</w:t>
      </w:r>
      <w:proofErr w:type="spellEnd"/>
      <w:r w:rsidR="001D4BAF">
        <w:t xml:space="preserve"> </w:t>
      </w:r>
      <w:proofErr w:type="spellStart"/>
      <w:r w:rsidR="001D4BAF">
        <w:t>vai</w:t>
      </w:r>
      <w:proofErr w:type="spellEnd"/>
      <w:r w:rsidR="001D4BAF">
        <w:t xml:space="preserve"> </w:t>
      </w:r>
      <w:proofErr w:type="spellStart"/>
      <w:r w:rsidR="001D4BAF">
        <w:t>maksimālo</w:t>
      </w:r>
      <w:proofErr w:type="spellEnd"/>
      <w:r w:rsidR="001D4BAF">
        <w:t xml:space="preserve"> </w:t>
      </w:r>
      <w:proofErr w:type="spellStart"/>
      <w:r w:rsidR="001D4BAF">
        <w:t>apstiprināto</w:t>
      </w:r>
      <w:proofErr w:type="spellEnd"/>
      <w:r w:rsidR="001D4BAF">
        <w:t xml:space="preserve"> </w:t>
      </w:r>
      <w:proofErr w:type="spellStart"/>
      <w:r w:rsidR="001D4BAF">
        <w:t>allopurinola</w:t>
      </w:r>
      <w:proofErr w:type="spellEnd"/>
      <w:r w:rsidR="001D4BAF">
        <w:t xml:space="preserve"> </w:t>
      </w:r>
      <w:proofErr w:type="spellStart"/>
      <w:r w:rsidR="001D4BAF">
        <w:t>devu</w:t>
      </w:r>
      <w:proofErr w:type="spellEnd"/>
      <w:r w:rsidR="001D4BAF">
        <w:t xml:space="preserve">, </w:t>
      </w:r>
      <w:proofErr w:type="spellStart"/>
      <w:r w:rsidR="001D4BAF">
        <w:t>tika</w:t>
      </w:r>
      <w:proofErr w:type="spellEnd"/>
      <w:r w:rsidR="001D4BAF">
        <w:t xml:space="preserve"> </w:t>
      </w:r>
      <w:proofErr w:type="spellStart"/>
      <w:r w:rsidR="001D4BAF">
        <w:t>nejaušināti</w:t>
      </w:r>
      <w:proofErr w:type="spellEnd"/>
      <w:r w:rsidR="001D4BAF">
        <w:t xml:space="preserve"> </w:t>
      </w:r>
      <w:proofErr w:type="spellStart"/>
      <w:r w:rsidR="001D4BAF">
        <w:t>iedalīti</w:t>
      </w:r>
      <w:proofErr w:type="spellEnd"/>
      <w:r w:rsidR="001D4BAF">
        <w:t xml:space="preserve"> 1:1 </w:t>
      </w:r>
      <w:proofErr w:type="spellStart"/>
      <w:r w:rsidR="001D4BAF">
        <w:t>attiecībā</w:t>
      </w:r>
      <w:proofErr w:type="spellEnd"/>
      <w:r w:rsidR="001D4BAF">
        <w:t xml:space="preserve"> </w:t>
      </w:r>
      <w:proofErr w:type="spellStart"/>
      <w:r w:rsidR="001D4BAF">
        <w:t>saņemt</w:t>
      </w:r>
      <w:proofErr w:type="spellEnd"/>
      <w:r w:rsidR="001D4BAF">
        <w:t xml:space="preserve"> </w:t>
      </w:r>
      <w:proofErr w:type="spellStart"/>
      <w:r w:rsidR="001D4BAF">
        <w:t>ārstēšanu</w:t>
      </w:r>
      <w:proofErr w:type="spellEnd"/>
      <w:r w:rsidR="001D4BAF">
        <w:t xml:space="preserve"> </w:t>
      </w:r>
      <w:proofErr w:type="spellStart"/>
      <w:r w:rsidR="001D4BAF">
        <w:t>vai</w:t>
      </w:r>
      <w:proofErr w:type="spellEnd"/>
      <w:r w:rsidR="001D4BAF">
        <w:t xml:space="preserve"> </w:t>
      </w:r>
      <w:proofErr w:type="spellStart"/>
      <w:r w:rsidR="001D4BAF">
        <w:t>nu</w:t>
      </w:r>
      <w:proofErr w:type="spellEnd"/>
      <w:r w:rsidR="001D4BAF">
        <w:t xml:space="preserve"> ar </w:t>
      </w:r>
      <w:proofErr w:type="spellStart"/>
      <w:r w:rsidR="001D4BAF">
        <w:t>febuksostatu</w:t>
      </w:r>
      <w:proofErr w:type="spellEnd"/>
      <w:r w:rsidR="001D4BAF">
        <w:t xml:space="preserve">, </w:t>
      </w:r>
      <w:proofErr w:type="spellStart"/>
      <w:r w:rsidR="001D4BAF">
        <w:t>vai</w:t>
      </w:r>
      <w:proofErr w:type="spellEnd"/>
      <w:r w:rsidR="001D4BAF">
        <w:t xml:space="preserve"> </w:t>
      </w:r>
      <w:proofErr w:type="spellStart"/>
      <w:r w:rsidR="001D4BAF">
        <w:t>allopurinolu</w:t>
      </w:r>
      <w:proofErr w:type="spellEnd"/>
      <w:r w:rsidR="001D4BAF">
        <w:t xml:space="preserve">. FAST </w:t>
      </w:r>
      <w:proofErr w:type="spellStart"/>
      <w:r w:rsidR="001D4BAF">
        <w:t>pētījuma</w:t>
      </w:r>
      <w:proofErr w:type="spellEnd"/>
      <w:r w:rsidR="001D4BAF">
        <w:t xml:space="preserve"> </w:t>
      </w:r>
      <w:proofErr w:type="spellStart"/>
      <w:r w:rsidR="001D4BAF">
        <w:t>primārais</w:t>
      </w:r>
      <w:proofErr w:type="spellEnd"/>
      <w:r w:rsidR="001D4BAF">
        <w:t xml:space="preserve"> </w:t>
      </w:r>
      <w:proofErr w:type="spellStart"/>
      <w:r w:rsidR="001D4BAF">
        <w:t>mērķa</w:t>
      </w:r>
      <w:proofErr w:type="spellEnd"/>
      <w:r w:rsidR="001D4BAF">
        <w:t xml:space="preserve"> </w:t>
      </w:r>
      <w:proofErr w:type="spellStart"/>
      <w:r w:rsidR="001D4BAF">
        <w:t>kritērijs</w:t>
      </w:r>
      <w:proofErr w:type="spellEnd"/>
      <w:r w:rsidR="001D4BAF">
        <w:t xml:space="preserve"> bija </w:t>
      </w:r>
      <w:proofErr w:type="spellStart"/>
      <w:r w:rsidR="001D4BAF">
        <w:t>laiks</w:t>
      </w:r>
      <w:proofErr w:type="spellEnd"/>
      <w:r w:rsidR="001D4BAF">
        <w:t xml:space="preserve"> </w:t>
      </w:r>
      <w:proofErr w:type="spellStart"/>
      <w:r w:rsidR="001D4BAF">
        <w:t>līdz</w:t>
      </w:r>
      <w:proofErr w:type="spellEnd"/>
      <w:r w:rsidR="001D4BAF">
        <w:t xml:space="preserve"> </w:t>
      </w:r>
      <w:proofErr w:type="spellStart"/>
      <w:r w:rsidR="001D4BAF">
        <w:t>jebkādam</w:t>
      </w:r>
      <w:proofErr w:type="spellEnd"/>
      <w:r w:rsidR="001D4BAF">
        <w:t xml:space="preserve"> </w:t>
      </w:r>
      <w:proofErr w:type="spellStart"/>
      <w:r w:rsidR="001D4BAF">
        <w:t>pirmajam</w:t>
      </w:r>
      <w:proofErr w:type="spellEnd"/>
      <w:r w:rsidR="001D4BAF">
        <w:t xml:space="preserve"> </w:t>
      </w:r>
      <w:proofErr w:type="spellStart"/>
      <w:r w:rsidR="001D4BAF">
        <w:t>notikumam</w:t>
      </w:r>
      <w:proofErr w:type="spellEnd"/>
      <w:r w:rsidR="001D4BAF">
        <w:t xml:space="preserve">, </w:t>
      </w:r>
      <w:proofErr w:type="spellStart"/>
      <w:r w:rsidR="001D4BAF">
        <w:t>iekļautajam</w:t>
      </w:r>
      <w:proofErr w:type="spellEnd"/>
      <w:r w:rsidR="001D4BAF">
        <w:t xml:space="preserve"> </w:t>
      </w:r>
      <w:proofErr w:type="spellStart"/>
      <w:r w:rsidR="001D4BAF">
        <w:t>Antitrombocītu</w:t>
      </w:r>
      <w:proofErr w:type="spellEnd"/>
      <w:r w:rsidR="001D4BAF">
        <w:t xml:space="preserve"> </w:t>
      </w:r>
      <w:proofErr w:type="spellStart"/>
      <w:r w:rsidR="001D4BAF">
        <w:t>Pētnieku</w:t>
      </w:r>
      <w:proofErr w:type="spellEnd"/>
      <w:r w:rsidR="001D4BAF">
        <w:t xml:space="preserve"> </w:t>
      </w:r>
      <w:proofErr w:type="spellStart"/>
      <w:r w:rsidR="001D4BAF">
        <w:t>Sadarbības</w:t>
      </w:r>
      <w:proofErr w:type="spellEnd"/>
      <w:r w:rsidR="001D4BAF">
        <w:t xml:space="preserve"> (</w:t>
      </w:r>
      <w:proofErr w:type="spellStart"/>
      <w:r w:rsidR="001D4BAF">
        <w:t>Antiplatelet</w:t>
      </w:r>
      <w:proofErr w:type="spellEnd"/>
      <w:r w:rsidR="001D4BAF">
        <w:t xml:space="preserve"> </w:t>
      </w:r>
      <w:proofErr w:type="spellStart"/>
      <w:r w:rsidR="001D4BAF">
        <w:t>Trialists</w:t>
      </w:r>
      <w:proofErr w:type="spellEnd"/>
      <w:r w:rsidR="001D4BAF">
        <w:t xml:space="preserve">’ </w:t>
      </w:r>
      <w:proofErr w:type="spellStart"/>
      <w:r w:rsidR="001D4BAF">
        <w:t>Collaborative</w:t>
      </w:r>
      <w:proofErr w:type="spellEnd"/>
      <w:r w:rsidR="001D4BAF">
        <w:t xml:space="preserve">; APTC) </w:t>
      </w:r>
      <w:proofErr w:type="spellStart"/>
      <w:r w:rsidR="001D4BAF">
        <w:t>kompleksajā</w:t>
      </w:r>
      <w:proofErr w:type="spellEnd"/>
      <w:r w:rsidR="001D4BAF">
        <w:t xml:space="preserve"> </w:t>
      </w:r>
      <w:proofErr w:type="spellStart"/>
      <w:r w:rsidR="001D4BAF">
        <w:t>mērķa</w:t>
      </w:r>
      <w:proofErr w:type="spellEnd"/>
      <w:r w:rsidR="001D4BAF">
        <w:t xml:space="preserve"> </w:t>
      </w:r>
      <w:proofErr w:type="spellStart"/>
      <w:r w:rsidR="001D4BAF">
        <w:t>kritērijā</w:t>
      </w:r>
      <w:proofErr w:type="spellEnd"/>
      <w:r w:rsidR="001D4BAF">
        <w:t xml:space="preserve">, </w:t>
      </w:r>
      <w:proofErr w:type="spellStart"/>
      <w:r w:rsidR="001D4BAF">
        <w:t>kas</w:t>
      </w:r>
      <w:proofErr w:type="spellEnd"/>
      <w:r w:rsidR="001D4BAF">
        <w:t xml:space="preserve"> </w:t>
      </w:r>
      <w:proofErr w:type="spellStart"/>
      <w:r w:rsidR="001D4BAF">
        <w:t>ietvēra</w:t>
      </w:r>
      <w:proofErr w:type="spellEnd"/>
      <w:r w:rsidR="001D4BAF">
        <w:t xml:space="preserve"> i) </w:t>
      </w:r>
      <w:proofErr w:type="spellStart"/>
      <w:r w:rsidR="001D4BAF">
        <w:t>hospitalizāciju</w:t>
      </w:r>
      <w:proofErr w:type="spellEnd"/>
      <w:r w:rsidR="001D4BAF">
        <w:t xml:space="preserve"> </w:t>
      </w:r>
      <w:proofErr w:type="spellStart"/>
      <w:r w:rsidR="001D4BAF">
        <w:t>neletāla</w:t>
      </w:r>
      <w:proofErr w:type="spellEnd"/>
      <w:r w:rsidR="001D4BAF">
        <w:t xml:space="preserve"> MI/</w:t>
      </w:r>
      <w:proofErr w:type="spellStart"/>
      <w:r w:rsidR="001D4BAF">
        <w:t>biomarķieru</w:t>
      </w:r>
      <w:proofErr w:type="spellEnd"/>
      <w:r w:rsidR="001D4BAF">
        <w:t xml:space="preserve"> </w:t>
      </w:r>
      <w:proofErr w:type="spellStart"/>
      <w:r w:rsidR="001D4BAF">
        <w:t>pozitīva</w:t>
      </w:r>
      <w:proofErr w:type="spellEnd"/>
      <w:r w:rsidR="001D4BAF">
        <w:t xml:space="preserve"> </w:t>
      </w:r>
      <w:proofErr w:type="spellStart"/>
      <w:r w:rsidR="001D4BAF">
        <w:t>akūta</w:t>
      </w:r>
      <w:proofErr w:type="spellEnd"/>
      <w:r w:rsidR="001D4BAF">
        <w:t xml:space="preserve"> </w:t>
      </w:r>
      <w:proofErr w:type="spellStart"/>
      <w:r w:rsidR="001D4BAF">
        <w:t>koronāra</w:t>
      </w:r>
      <w:proofErr w:type="spellEnd"/>
      <w:r w:rsidR="001D4BAF">
        <w:t xml:space="preserve"> sindroma (ACS) </w:t>
      </w:r>
      <w:proofErr w:type="spellStart"/>
      <w:r w:rsidR="001D4BAF">
        <w:t>dēļ</w:t>
      </w:r>
      <w:proofErr w:type="spellEnd"/>
      <w:r w:rsidR="001D4BAF">
        <w:t xml:space="preserve">; </w:t>
      </w:r>
      <w:proofErr w:type="spellStart"/>
      <w:r w:rsidR="001D4BAF">
        <w:t>ii</w:t>
      </w:r>
      <w:proofErr w:type="spellEnd"/>
      <w:r w:rsidR="001D4BAF">
        <w:t xml:space="preserve">) </w:t>
      </w:r>
      <w:proofErr w:type="spellStart"/>
      <w:r w:rsidR="001D4BAF">
        <w:t>neletālu</w:t>
      </w:r>
      <w:proofErr w:type="spellEnd"/>
      <w:r w:rsidR="001D4BAF">
        <w:t xml:space="preserve"> </w:t>
      </w:r>
      <w:proofErr w:type="spellStart"/>
      <w:r w:rsidR="001D4BAF">
        <w:t>insultu</w:t>
      </w:r>
      <w:proofErr w:type="spellEnd"/>
      <w:r w:rsidR="001D4BAF">
        <w:t xml:space="preserve">; </w:t>
      </w:r>
      <w:proofErr w:type="spellStart"/>
      <w:r w:rsidR="001D4BAF">
        <w:t>iii</w:t>
      </w:r>
      <w:proofErr w:type="spellEnd"/>
      <w:r w:rsidR="001D4BAF">
        <w:t xml:space="preserve">) </w:t>
      </w:r>
      <w:proofErr w:type="spellStart"/>
      <w:r w:rsidR="001D4BAF">
        <w:t>nāvi</w:t>
      </w:r>
      <w:proofErr w:type="spellEnd"/>
      <w:r w:rsidR="001D4BAF">
        <w:t xml:space="preserve"> KV </w:t>
      </w:r>
      <w:proofErr w:type="spellStart"/>
      <w:r w:rsidR="001D4BAF">
        <w:t>notikuma</w:t>
      </w:r>
      <w:proofErr w:type="spellEnd"/>
      <w:r w:rsidR="001D4BAF">
        <w:t xml:space="preserve"> </w:t>
      </w:r>
      <w:proofErr w:type="spellStart"/>
      <w:r w:rsidR="001D4BAF">
        <w:t>dēļ</w:t>
      </w:r>
      <w:proofErr w:type="spellEnd"/>
      <w:r w:rsidR="001D4BAF">
        <w:t xml:space="preserve">. </w:t>
      </w:r>
      <w:proofErr w:type="spellStart"/>
      <w:r w:rsidR="001D4BAF">
        <w:t>Primārās</w:t>
      </w:r>
      <w:proofErr w:type="spellEnd"/>
      <w:r w:rsidR="001D4BAF">
        <w:t xml:space="preserve"> </w:t>
      </w:r>
      <w:proofErr w:type="spellStart"/>
      <w:r w:rsidR="001D4BAF">
        <w:t>analīzes</w:t>
      </w:r>
      <w:proofErr w:type="spellEnd"/>
      <w:r w:rsidR="001D4BAF">
        <w:t xml:space="preserve"> </w:t>
      </w:r>
      <w:proofErr w:type="spellStart"/>
      <w:r w:rsidR="001D4BAF">
        <w:t>pamatā</w:t>
      </w:r>
      <w:proofErr w:type="spellEnd"/>
      <w:r w:rsidR="001D4BAF">
        <w:t xml:space="preserve"> bija </w:t>
      </w:r>
      <w:proofErr w:type="spellStart"/>
      <w:r w:rsidR="001D4BAF">
        <w:t>pieeja</w:t>
      </w:r>
      <w:proofErr w:type="spellEnd"/>
      <w:r w:rsidR="001D4BAF">
        <w:t xml:space="preserve"> </w:t>
      </w:r>
      <w:proofErr w:type="spellStart"/>
      <w:r w:rsidR="001D4BAF">
        <w:t>ārstēšanas</w:t>
      </w:r>
      <w:proofErr w:type="spellEnd"/>
      <w:r w:rsidR="001D4BAF">
        <w:t xml:space="preserve"> </w:t>
      </w:r>
      <w:proofErr w:type="spellStart"/>
      <w:r w:rsidR="001D4BAF">
        <w:t>laikā</w:t>
      </w:r>
      <w:proofErr w:type="spellEnd"/>
      <w:r w:rsidR="001D4BAF">
        <w:t xml:space="preserve"> (</w:t>
      </w:r>
      <w:proofErr w:type="spellStart"/>
      <w:r w:rsidR="001D4BAF">
        <w:t>on-treatment</w:t>
      </w:r>
      <w:proofErr w:type="spellEnd"/>
      <w:r w:rsidR="001D4BAF">
        <w:t xml:space="preserve"> (OT)). </w:t>
      </w:r>
      <w:proofErr w:type="spellStart"/>
      <w:r w:rsidR="001D4BAF">
        <w:t>Kopumā</w:t>
      </w:r>
      <w:proofErr w:type="spellEnd"/>
      <w:r w:rsidR="001D4BAF">
        <w:t xml:space="preserve"> </w:t>
      </w:r>
      <w:proofErr w:type="spellStart"/>
      <w:r w:rsidR="001D4BAF">
        <w:t>tika</w:t>
      </w:r>
      <w:proofErr w:type="spellEnd"/>
      <w:r w:rsidR="001D4BAF">
        <w:t xml:space="preserve"> </w:t>
      </w:r>
      <w:proofErr w:type="spellStart"/>
      <w:r w:rsidR="001D4BAF">
        <w:t>randomizēti</w:t>
      </w:r>
      <w:proofErr w:type="spellEnd"/>
      <w:r w:rsidR="001D4BAF">
        <w:t xml:space="preserve"> 6128 </w:t>
      </w:r>
      <w:proofErr w:type="spellStart"/>
      <w:r w:rsidR="001D4BAF">
        <w:t>pacienti</w:t>
      </w:r>
      <w:proofErr w:type="spellEnd"/>
      <w:r w:rsidR="001D4BAF">
        <w:t xml:space="preserve"> – 3063 </w:t>
      </w:r>
      <w:proofErr w:type="spellStart"/>
      <w:r w:rsidR="001D4BAF">
        <w:t>saņemt</w:t>
      </w:r>
      <w:proofErr w:type="spellEnd"/>
      <w:r w:rsidR="001D4BAF">
        <w:t xml:space="preserve"> </w:t>
      </w:r>
      <w:proofErr w:type="spellStart"/>
      <w:r w:rsidR="001D4BAF">
        <w:t>febuksostatu</w:t>
      </w:r>
      <w:proofErr w:type="spellEnd"/>
      <w:r w:rsidR="001D4BAF">
        <w:t xml:space="preserve"> un 3065 </w:t>
      </w:r>
      <w:proofErr w:type="spellStart"/>
      <w:r w:rsidR="001D4BAF">
        <w:t>allopurinolu</w:t>
      </w:r>
      <w:proofErr w:type="spellEnd"/>
      <w:r w:rsidR="001D4BAF">
        <w:t xml:space="preserve">. </w:t>
      </w:r>
      <w:proofErr w:type="spellStart"/>
      <w:r w:rsidR="001D4BAF">
        <w:t>Primārajā</w:t>
      </w:r>
      <w:proofErr w:type="spellEnd"/>
      <w:r w:rsidR="001D4BAF">
        <w:t xml:space="preserve"> OT </w:t>
      </w:r>
      <w:proofErr w:type="spellStart"/>
      <w:r w:rsidR="001D4BAF">
        <w:t>analīzē</w:t>
      </w:r>
      <w:proofErr w:type="spellEnd"/>
      <w:r w:rsidR="001D4BAF">
        <w:t xml:space="preserve"> </w:t>
      </w:r>
      <w:proofErr w:type="spellStart"/>
      <w:r w:rsidR="001D4BAF">
        <w:t>febuksostata</w:t>
      </w:r>
      <w:proofErr w:type="spellEnd"/>
      <w:r w:rsidR="001D4BAF">
        <w:t xml:space="preserve"> </w:t>
      </w:r>
      <w:proofErr w:type="spellStart"/>
      <w:r w:rsidR="001D4BAF">
        <w:t>lietošana</w:t>
      </w:r>
      <w:proofErr w:type="spellEnd"/>
      <w:r w:rsidR="001D4BAF">
        <w:t xml:space="preserve"> </w:t>
      </w:r>
      <w:proofErr w:type="spellStart"/>
      <w:r w:rsidR="001D4BAF">
        <w:t>nebija</w:t>
      </w:r>
      <w:proofErr w:type="spellEnd"/>
      <w:r w:rsidR="001D4BAF">
        <w:t xml:space="preserve"> </w:t>
      </w:r>
      <w:proofErr w:type="spellStart"/>
      <w:r w:rsidR="001D4BAF">
        <w:t>statistiski</w:t>
      </w:r>
      <w:proofErr w:type="spellEnd"/>
      <w:r w:rsidR="001D4BAF">
        <w:t xml:space="preserve"> </w:t>
      </w:r>
      <w:proofErr w:type="spellStart"/>
      <w:r w:rsidR="001D4BAF">
        <w:t>sliktāka</w:t>
      </w:r>
      <w:proofErr w:type="spellEnd"/>
      <w:r w:rsidR="001D4BAF">
        <w:t xml:space="preserve"> par </w:t>
      </w:r>
      <w:proofErr w:type="spellStart"/>
      <w:r w:rsidR="001D4BAF">
        <w:t>allopurinola</w:t>
      </w:r>
      <w:proofErr w:type="spellEnd"/>
      <w:r w:rsidR="001D4BAF">
        <w:t xml:space="preserve"> </w:t>
      </w:r>
      <w:proofErr w:type="spellStart"/>
      <w:r w:rsidR="001D4BAF">
        <w:t>lietošanu</w:t>
      </w:r>
      <w:proofErr w:type="spellEnd"/>
      <w:r w:rsidR="001D4BAF">
        <w:t xml:space="preserve"> </w:t>
      </w:r>
      <w:proofErr w:type="spellStart"/>
      <w:r w:rsidR="001D4BAF">
        <w:t>primārā</w:t>
      </w:r>
      <w:proofErr w:type="spellEnd"/>
      <w:r w:rsidR="001D4BAF">
        <w:t xml:space="preserve"> </w:t>
      </w:r>
      <w:proofErr w:type="spellStart"/>
      <w:r w:rsidR="001D4BAF">
        <w:t>mērķa</w:t>
      </w:r>
      <w:proofErr w:type="spellEnd"/>
      <w:r w:rsidR="001D4BAF">
        <w:t xml:space="preserve"> </w:t>
      </w:r>
      <w:proofErr w:type="spellStart"/>
      <w:r w:rsidR="001D4BAF">
        <w:t>kritērija</w:t>
      </w:r>
      <w:proofErr w:type="spellEnd"/>
      <w:r w:rsidR="001D4BAF">
        <w:t xml:space="preserve"> </w:t>
      </w:r>
      <w:proofErr w:type="spellStart"/>
      <w:r w:rsidR="001D4BAF">
        <w:t>biežuma</w:t>
      </w:r>
      <w:proofErr w:type="spellEnd"/>
      <w:r w:rsidR="001D4BAF">
        <w:t xml:space="preserve"> </w:t>
      </w:r>
      <w:proofErr w:type="spellStart"/>
      <w:r w:rsidR="001D4BAF">
        <w:t>ziņā</w:t>
      </w:r>
      <w:proofErr w:type="spellEnd"/>
      <w:r w:rsidR="001D4BAF">
        <w:t xml:space="preserve">, </w:t>
      </w:r>
      <w:proofErr w:type="spellStart"/>
      <w:r w:rsidR="001D4BAF">
        <w:t>kas</w:t>
      </w:r>
      <w:proofErr w:type="spellEnd"/>
      <w:r w:rsidR="001D4BAF">
        <w:t xml:space="preserve"> </w:t>
      </w:r>
      <w:proofErr w:type="spellStart"/>
      <w:r w:rsidR="001D4BAF">
        <w:t>radās</w:t>
      </w:r>
      <w:proofErr w:type="spellEnd"/>
      <w:r w:rsidR="001D4BAF">
        <w:t xml:space="preserve"> 172 </w:t>
      </w:r>
      <w:proofErr w:type="spellStart"/>
      <w:r w:rsidR="001D4BAF">
        <w:t>pacientiem</w:t>
      </w:r>
      <w:proofErr w:type="spellEnd"/>
      <w:r w:rsidR="001D4BAF">
        <w:t xml:space="preserve"> (1,72/100 </w:t>
      </w:r>
      <w:proofErr w:type="spellStart"/>
      <w:r w:rsidR="001D4BAF">
        <w:t>pacientgadiem</w:t>
      </w:r>
      <w:proofErr w:type="spellEnd"/>
      <w:r w:rsidR="001D4BAF">
        <w:t xml:space="preserve">) </w:t>
      </w:r>
      <w:proofErr w:type="spellStart"/>
      <w:r w:rsidR="001D4BAF">
        <w:t>febuksostata</w:t>
      </w:r>
      <w:proofErr w:type="spellEnd"/>
      <w:r w:rsidR="001D4BAF">
        <w:t xml:space="preserve"> </w:t>
      </w:r>
      <w:proofErr w:type="spellStart"/>
      <w:r w:rsidR="001D4BAF">
        <w:t>lietošanas</w:t>
      </w:r>
      <w:proofErr w:type="spellEnd"/>
      <w:r w:rsidR="001D4BAF">
        <w:t xml:space="preserve"> </w:t>
      </w:r>
      <w:proofErr w:type="spellStart"/>
      <w:r w:rsidR="001D4BAF">
        <w:t>gadījumā</w:t>
      </w:r>
      <w:proofErr w:type="spellEnd"/>
      <w:r w:rsidR="001D4BAF">
        <w:t xml:space="preserve"> </w:t>
      </w:r>
      <w:proofErr w:type="spellStart"/>
      <w:r w:rsidR="001D4BAF">
        <w:t>salīdzinājumā</w:t>
      </w:r>
      <w:proofErr w:type="spellEnd"/>
      <w:r w:rsidR="001D4BAF">
        <w:t xml:space="preserve"> ar 241 </w:t>
      </w:r>
      <w:proofErr w:type="spellStart"/>
      <w:r w:rsidR="001D4BAF">
        <w:t>pacientu</w:t>
      </w:r>
      <w:proofErr w:type="spellEnd"/>
      <w:r w:rsidR="001D4BAF">
        <w:t xml:space="preserve"> (2,05/100 </w:t>
      </w:r>
      <w:proofErr w:type="spellStart"/>
      <w:r w:rsidR="001D4BAF">
        <w:t>pacientgadiem</w:t>
      </w:r>
      <w:proofErr w:type="spellEnd"/>
      <w:r w:rsidR="001D4BAF">
        <w:t xml:space="preserve">) </w:t>
      </w:r>
      <w:proofErr w:type="spellStart"/>
      <w:r w:rsidR="001D4BAF">
        <w:t>allopurinola</w:t>
      </w:r>
      <w:proofErr w:type="spellEnd"/>
      <w:r w:rsidR="001D4BAF">
        <w:t xml:space="preserve"> </w:t>
      </w:r>
      <w:proofErr w:type="spellStart"/>
      <w:r w:rsidR="001D4BAF">
        <w:t>lietošanas</w:t>
      </w:r>
      <w:proofErr w:type="spellEnd"/>
      <w:r w:rsidR="001D4BAF">
        <w:t xml:space="preserve"> </w:t>
      </w:r>
      <w:proofErr w:type="spellStart"/>
      <w:r w:rsidR="001D4BAF">
        <w:t>gadījumā</w:t>
      </w:r>
      <w:proofErr w:type="spellEnd"/>
      <w:r w:rsidR="001D4BAF">
        <w:t xml:space="preserve"> ar </w:t>
      </w:r>
      <w:proofErr w:type="spellStart"/>
      <w:r w:rsidR="001D4BAF">
        <w:t>koriģētu</w:t>
      </w:r>
      <w:proofErr w:type="spellEnd"/>
      <w:r w:rsidR="001D4BAF">
        <w:t xml:space="preserve"> HR 0,85 (95% TI: 0,70, 1,03), p</w:t>
      </w:r>
      <w:r w:rsidR="000E69D4" w:rsidRPr="00564558">
        <w:rPr>
          <w:lang w:val="en-GB"/>
        </w:rPr>
        <w:t>&lt;</w:t>
      </w:r>
      <w:r w:rsidR="002D7134">
        <w:t xml:space="preserve">0,001. </w:t>
      </w:r>
      <w:proofErr w:type="spellStart"/>
      <w:r w:rsidR="002D7134">
        <w:t>Primārā</w:t>
      </w:r>
      <w:proofErr w:type="spellEnd"/>
      <w:r w:rsidR="002D7134">
        <w:t xml:space="preserve"> </w:t>
      </w:r>
      <w:proofErr w:type="spellStart"/>
      <w:r w:rsidR="002D7134">
        <w:t>mērķa</w:t>
      </w:r>
      <w:proofErr w:type="spellEnd"/>
      <w:r w:rsidR="002D7134">
        <w:t xml:space="preserve"> </w:t>
      </w:r>
      <w:proofErr w:type="spellStart"/>
      <w:r w:rsidR="002D7134">
        <w:t>kritērija</w:t>
      </w:r>
      <w:proofErr w:type="spellEnd"/>
      <w:r w:rsidR="002D7134">
        <w:t xml:space="preserve"> OT </w:t>
      </w:r>
      <w:proofErr w:type="spellStart"/>
      <w:r w:rsidR="002D7134">
        <w:t>analīze</w:t>
      </w:r>
      <w:proofErr w:type="spellEnd"/>
      <w:r w:rsidR="002D7134">
        <w:t xml:space="preserve"> </w:t>
      </w:r>
      <w:proofErr w:type="spellStart"/>
      <w:r w:rsidR="002D7134">
        <w:t>pacientu</w:t>
      </w:r>
      <w:proofErr w:type="spellEnd"/>
      <w:r w:rsidR="002D7134">
        <w:t xml:space="preserve"> </w:t>
      </w:r>
      <w:proofErr w:type="spellStart"/>
      <w:r w:rsidR="002D7134">
        <w:t>apakšgrupā</w:t>
      </w:r>
      <w:proofErr w:type="spellEnd"/>
      <w:r w:rsidR="002D7134">
        <w:t xml:space="preserve"> ar MI, </w:t>
      </w:r>
      <w:proofErr w:type="spellStart"/>
      <w:r w:rsidR="002D7134">
        <w:t>insultu</w:t>
      </w:r>
      <w:proofErr w:type="spellEnd"/>
      <w:r w:rsidR="002D7134">
        <w:t xml:space="preserve"> </w:t>
      </w:r>
      <w:proofErr w:type="spellStart"/>
      <w:r w:rsidR="002D7134">
        <w:t>vai</w:t>
      </w:r>
      <w:proofErr w:type="spellEnd"/>
      <w:r w:rsidR="002D7134">
        <w:t xml:space="preserve"> ACS </w:t>
      </w:r>
      <w:proofErr w:type="spellStart"/>
      <w:r w:rsidR="002D7134">
        <w:t>anamnēzē</w:t>
      </w:r>
      <w:proofErr w:type="spellEnd"/>
      <w:r w:rsidR="002D7134">
        <w:t xml:space="preserve"> </w:t>
      </w:r>
      <w:proofErr w:type="spellStart"/>
      <w:r w:rsidR="002D7134">
        <w:t>neuzrādīja</w:t>
      </w:r>
      <w:proofErr w:type="spellEnd"/>
      <w:r w:rsidR="002D7134">
        <w:t xml:space="preserve"> </w:t>
      </w:r>
      <w:proofErr w:type="spellStart"/>
      <w:r w:rsidR="002D7134">
        <w:t>nekādu</w:t>
      </w:r>
      <w:proofErr w:type="spellEnd"/>
      <w:r w:rsidR="002D7134">
        <w:t xml:space="preserve"> </w:t>
      </w:r>
      <w:proofErr w:type="spellStart"/>
      <w:r w:rsidR="002D7134">
        <w:t>nozīmīgu</w:t>
      </w:r>
      <w:proofErr w:type="spellEnd"/>
      <w:r w:rsidR="002D7134">
        <w:t xml:space="preserve"> </w:t>
      </w:r>
      <w:proofErr w:type="spellStart"/>
      <w:r w:rsidR="002D7134">
        <w:t>atšķirību</w:t>
      </w:r>
      <w:proofErr w:type="spellEnd"/>
      <w:r w:rsidR="002D7134">
        <w:t xml:space="preserve"> </w:t>
      </w:r>
      <w:proofErr w:type="spellStart"/>
      <w:r w:rsidR="002D7134">
        <w:t>starp</w:t>
      </w:r>
      <w:proofErr w:type="spellEnd"/>
      <w:r w:rsidR="002D7134">
        <w:t xml:space="preserve"> </w:t>
      </w:r>
      <w:proofErr w:type="spellStart"/>
      <w:r w:rsidR="002D7134">
        <w:t>ārstēšanas</w:t>
      </w:r>
      <w:proofErr w:type="spellEnd"/>
      <w:r w:rsidR="002D7134">
        <w:t xml:space="preserve"> </w:t>
      </w:r>
      <w:proofErr w:type="spellStart"/>
      <w:r w:rsidR="002D7134">
        <w:t>grupām</w:t>
      </w:r>
      <w:proofErr w:type="spellEnd"/>
      <w:r w:rsidR="002D7134">
        <w:t xml:space="preserve">: bija 65 (9,5%) </w:t>
      </w:r>
      <w:proofErr w:type="spellStart"/>
      <w:r w:rsidR="002D7134">
        <w:t>pacienti</w:t>
      </w:r>
      <w:proofErr w:type="spellEnd"/>
      <w:r w:rsidR="002D7134">
        <w:t xml:space="preserve"> ar </w:t>
      </w:r>
      <w:proofErr w:type="spellStart"/>
      <w:r w:rsidR="002D7134">
        <w:t>notikumiem</w:t>
      </w:r>
      <w:proofErr w:type="spellEnd"/>
      <w:r w:rsidR="002D7134">
        <w:t xml:space="preserve"> </w:t>
      </w:r>
      <w:proofErr w:type="spellStart"/>
      <w:r w:rsidR="002D7134">
        <w:lastRenderedPageBreak/>
        <w:t>febuksostata</w:t>
      </w:r>
      <w:proofErr w:type="spellEnd"/>
      <w:r w:rsidR="002D7134">
        <w:t xml:space="preserve"> </w:t>
      </w:r>
      <w:proofErr w:type="spellStart"/>
      <w:r w:rsidR="002D7134">
        <w:t>grupā</w:t>
      </w:r>
      <w:proofErr w:type="spellEnd"/>
      <w:r w:rsidR="002D7134">
        <w:t xml:space="preserve"> un 83 (11,8%) </w:t>
      </w:r>
      <w:proofErr w:type="spellStart"/>
      <w:r w:rsidR="002D7134">
        <w:t>pacienti</w:t>
      </w:r>
      <w:proofErr w:type="spellEnd"/>
      <w:r w:rsidR="002D7134">
        <w:t xml:space="preserve"> ar </w:t>
      </w:r>
      <w:proofErr w:type="spellStart"/>
      <w:r w:rsidR="002D7134">
        <w:t>notikumiem</w:t>
      </w:r>
      <w:proofErr w:type="spellEnd"/>
      <w:r w:rsidR="002D7134">
        <w:t xml:space="preserve"> </w:t>
      </w:r>
      <w:proofErr w:type="spellStart"/>
      <w:r w:rsidR="002D7134">
        <w:t>allopurinola</w:t>
      </w:r>
      <w:proofErr w:type="spellEnd"/>
      <w:r w:rsidR="002D7134">
        <w:t xml:space="preserve"> </w:t>
      </w:r>
      <w:proofErr w:type="spellStart"/>
      <w:r w:rsidR="002D7134">
        <w:t>grupā</w:t>
      </w:r>
      <w:proofErr w:type="spellEnd"/>
      <w:r w:rsidR="002D7134">
        <w:t xml:space="preserve">; </w:t>
      </w:r>
      <w:proofErr w:type="spellStart"/>
      <w:r w:rsidR="002D7134">
        <w:t>koriģētais</w:t>
      </w:r>
      <w:proofErr w:type="spellEnd"/>
      <w:r w:rsidR="002D7134">
        <w:t xml:space="preserve"> HR 1,02 (95% TI: 0,74-1,42); p=0,202. </w:t>
      </w:r>
      <w:proofErr w:type="spellStart"/>
      <w:r w:rsidR="002D7134">
        <w:t>Ārstēšana</w:t>
      </w:r>
      <w:proofErr w:type="spellEnd"/>
      <w:r w:rsidR="002D7134">
        <w:t xml:space="preserve"> ar </w:t>
      </w:r>
      <w:proofErr w:type="spellStart"/>
      <w:r w:rsidR="002D7134">
        <w:t>febuksostatu</w:t>
      </w:r>
      <w:proofErr w:type="spellEnd"/>
      <w:r w:rsidR="002D7134">
        <w:t xml:space="preserve"> </w:t>
      </w:r>
      <w:proofErr w:type="spellStart"/>
      <w:r w:rsidR="002D7134">
        <w:t>nebija</w:t>
      </w:r>
      <w:proofErr w:type="spellEnd"/>
      <w:r w:rsidR="002D7134">
        <w:t xml:space="preserve"> </w:t>
      </w:r>
      <w:proofErr w:type="spellStart"/>
      <w:r w:rsidR="002D7134">
        <w:t>saistīta</w:t>
      </w:r>
      <w:proofErr w:type="spellEnd"/>
      <w:r w:rsidR="002D7134">
        <w:t xml:space="preserve"> ar </w:t>
      </w:r>
      <w:proofErr w:type="spellStart"/>
      <w:r w:rsidR="002D7134">
        <w:t>biežāku</w:t>
      </w:r>
      <w:proofErr w:type="spellEnd"/>
      <w:r w:rsidR="002D7134">
        <w:t xml:space="preserve"> KV </w:t>
      </w:r>
      <w:proofErr w:type="spellStart"/>
      <w:r w:rsidR="002D7134">
        <w:t>nāvi</w:t>
      </w:r>
      <w:proofErr w:type="spellEnd"/>
      <w:r w:rsidR="002D7134">
        <w:t xml:space="preserve"> </w:t>
      </w:r>
      <w:proofErr w:type="spellStart"/>
      <w:r w:rsidR="002D7134">
        <w:t>vai</w:t>
      </w:r>
      <w:proofErr w:type="spellEnd"/>
      <w:r w:rsidR="002D7134">
        <w:t xml:space="preserve"> </w:t>
      </w:r>
      <w:proofErr w:type="spellStart"/>
      <w:r w:rsidR="002D7134">
        <w:t>jebkāda</w:t>
      </w:r>
      <w:proofErr w:type="spellEnd"/>
      <w:r w:rsidR="002D7134">
        <w:t xml:space="preserve"> </w:t>
      </w:r>
      <w:proofErr w:type="spellStart"/>
      <w:r w:rsidR="002D7134">
        <w:t>cēloņa</w:t>
      </w:r>
      <w:proofErr w:type="spellEnd"/>
      <w:r w:rsidR="002D7134">
        <w:t xml:space="preserve"> </w:t>
      </w:r>
      <w:proofErr w:type="spellStart"/>
      <w:r w:rsidR="002D7134">
        <w:t>izraisītu</w:t>
      </w:r>
      <w:proofErr w:type="spellEnd"/>
      <w:r w:rsidR="002D7134">
        <w:t xml:space="preserve"> </w:t>
      </w:r>
      <w:proofErr w:type="spellStart"/>
      <w:r w:rsidR="002D7134">
        <w:t>nāvi</w:t>
      </w:r>
      <w:proofErr w:type="spellEnd"/>
      <w:r w:rsidR="002D7134">
        <w:t xml:space="preserve"> </w:t>
      </w:r>
      <w:proofErr w:type="spellStart"/>
      <w:r w:rsidR="002D7134">
        <w:t>kopumā</w:t>
      </w:r>
      <w:proofErr w:type="spellEnd"/>
      <w:r w:rsidR="002D7134">
        <w:t xml:space="preserve"> </w:t>
      </w:r>
      <w:proofErr w:type="spellStart"/>
      <w:r w:rsidR="002D7134">
        <w:t>vai</w:t>
      </w:r>
      <w:proofErr w:type="spellEnd"/>
      <w:r w:rsidR="002D7134">
        <w:t xml:space="preserve"> </w:t>
      </w:r>
      <w:proofErr w:type="spellStart"/>
      <w:r w:rsidR="002D7134">
        <w:t>to</w:t>
      </w:r>
      <w:proofErr w:type="spellEnd"/>
      <w:r w:rsidR="002D7134">
        <w:t xml:space="preserve"> </w:t>
      </w:r>
      <w:proofErr w:type="spellStart"/>
      <w:r w:rsidR="002D7134">
        <w:t>pacientu</w:t>
      </w:r>
      <w:proofErr w:type="spellEnd"/>
      <w:r w:rsidR="002D7134">
        <w:t xml:space="preserve"> </w:t>
      </w:r>
      <w:proofErr w:type="spellStart"/>
      <w:r w:rsidR="002D7134">
        <w:t>apakšgrupā</w:t>
      </w:r>
      <w:proofErr w:type="spellEnd"/>
      <w:r w:rsidR="002D7134">
        <w:t xml:space="preserve">, </w:t>
      </w:r>
      <w:proofErr w:type="spellStart"/>
      <w:r w:rsidR="002D7134">
        <w:t>kuriem</w:t>
      </w:r>
      <w:proofErr w:type="spellEnd"/>
      <w:r w:rsidR="002D7134">
        <w:t xml:space="preserve"> </w:t>
      </w:r>
      <w:proofErr w:type="spellStart"/>
      <w:r w:rsidR="002D7134">
        <w:t>sākotnējā</w:t>
      </w:r>
      <w:proofErr w:type="spellEnd"/>
      <w:r w:rsidR="002D7134">
        <w:t xml:space="preserve"> </w:t>
      </w:r>
      <w:proofErr w:type="spellStart"/>
      <w:r w:rsidR="002D7134">
        <w:t>anamnēzē</w:t>
      </w:r>
      <w:proofErr w:type="spellEnd"/>
      <w:r w:rsidR="002D7134">
        <w:t xml:space="preserve"> bija MI, </w:t>
      </w:r>
      <w:proofErr w:type="spellStart"/>
      <w:r w:rsidR="002D7134">
        <w:t>insults</w:t>
      </w:r>
      <w:proofErr w:type="spellEnd"/>
      <w:r w:rsidR="002D7134">
        <w:t xml:space="preserve"> </w:t>
      </w:r>
      <w:proofErr w:type="spellStart"/>
      <w:r w:rsidR="002D7134">
        <w:t>vai</w:t>
      </w:r>
      <w:proofErr w:type="spellEnd"/>
      <w:r w:rsidR="002D7134">
        <w:t xml:space="preserve"> ACS. </w:t>
      </w:r>
      <w:proofErr w:type="spellStart"/>
      <w:r w:rsidR="002D7134">
        <w:t>Kopumā</w:t>
      </w:r>
      <w:proofErr w:type="spellEnd"/>
      <w:r w:rsidR="002D7134">
        <w:t xml:space="preserve"> </w:t>
      </w:r>
      <w:proofErr w:type="spellStart"/>
      <w:r w:rsidR="002D7134">
        <w:t>febuksostata</w:t>
      </w:r>
      <w:proofErr w:type="spellEnd"/>
      <w:r w:rsidR="002D7134">
        <w:t xml:space="preserve"> </w:t>
      </w:r>
      <w:proofErr w:type="spellStart"/>
      <w:r w:rsidR="002D7134">
        <w:t>grupā</w:t>
      </w:r>
      <w:proofErr w:type="spellEnd"/>
      <w:r w:rsidR="002D7134">
        <w:t xml:space="preserve"> bija </w:t>
      </w:r>
      <w:proofErr w:type="spellStart"/>
      <w:r w:rsidR="002D7134">
        <w:t>mazāk</w:t>
      </w:r>
      <w:proofErr w:type="spellEnd"/>
      <w:r w:rsidR="002D7134">
        <w:t xml:space="preserve"> </w:t>
      </w:r>
      <w:proofErr w:type="spellStart"/>
      <w:r w:rsidR="002D7134">
        <w:t>nāves</w:t>
      </w:r>
      <w:proofErr w:type="spellEnd"/>
      <w:r w:rsidR="002D7134">
        <w:t xml:space="preserve"> </w:t>
      </w:r>
      <w:proofErr w:type="spellStart"/>
      <w:r w:rsidR="002D7134">
        <w:t>gadījumu</w:t>
      </w:r>
      <w:proofErr w:type="spellEnd"/>
      <w:r w:rsidR="002D7134">
        <w:t xml:space="preserve"> (62 KV </w:t>
      </w:r>
      <w:proofErr w:type="spellStart"/>
      <w:r w:rsidR="002D7134">
        <w:t>nāves</w:t>
      </w:r>
      <w:proofErr w:type="spellEnd"/>
      <w:r w:rsidR="002D7134">
        <w:t xml:space="preserve"> </w:t>
      </w:r>
      <w:proofErr w:type="spellStart"/>
      <w:r w:rsidR="002D7134">
        <w:t>gadījumi</w:t>
      </w:r>
      <w:proofErr w:type="spellEnd"/>
      <w:r w:rsidR="002D7134">
        <w:t xml:space="preserve"> un 108 </w:t>
      </w:r>
      <w:proofErr w:type="spellStart"/>
      <w:r w:rsidR="002D7134">
        <w:t>jebkāda</w:t>
      </w:r>
      <w:proofErr w:type="spellEnd"/>
      <w:r w:rsidR="002D7134">
        <w:t xml:space="preserve"> </w:t>
      </w:r>
      <w:proofErr w:type="spellStart"/>
      <w:r w:rsidR="002D7134">
        <w:t>cēloņa</w:t>
      </w:r>
      <w:proofErr w:type="spellEnd"/>
      <w:r w:rsidR="002D7134">
        <w:t xml:space="preserve"> </w:t>
      </w:r>
      <w:proofErr w:type="spellStart"/>
      <w:r w:rsidR="002D7134">
        <w:t>izraisīti</w:t>
      </w:r>
      <w:proofErr w:type="spellEnd"/>
      <w:r w:rsidR="002D7134">
        <w:t xml:space="preserve"> </w:t>
      </w:r>
      <w:proofErr w:type="spellStart"/>
      <w:r w:rsidR="002D7134">
        <w:t>nāves</w:t>
      </w:r>
      <w:proofErr w:type="spellEnd"/>
      <w:r w:rsidR="002D7134">
        <w:t xml:space="preserve"> </w:t>
      </w:r>
      <w:proofErr w:type="spellStart"/>
      <w:r w:rsidR="002D7134">
        <w:t>gadījumi</w:t>
      </w:r>
      <w:proofErr w:type="spellEnd"/>
      <w:r w:rsidR="002D7134">
        <w:t xml:space="preserve">) </w:t>
      </w:r>
      <w:proofErr w:type="spellStart"/>
      <w:r w:rsidR="002D7134">
        <w:t>nekā</w:t>
      </w:r>
      <w:proofErr w:type="spellEnd"/>
      <w:r w:rsidR="002D7134">
        <w:t xml:space="preserve"> </w:t>
      </w:r>
      <w:proofErr w:type="spellStart"/>
      <w:r w:rsidR="002D7134">
        <w:t>allopurinola</w:t>
      </w:r>
      <w:proofErr w:type="spellEnd"/>
      <w:r w:rsidR="002D7134">
        <w:t xml:space="preserve"> </w:t>
      </w:r>
      <w:proofErr w:type="spellStart"/>
      <w:r w:rsidR="002D7134">
        <w:t>grupā</w:t>
      </w:r>
      <w:proofErr w:type="spellEnd"/>
      <w:r w:rsidR="002D7134">
        <w:t xml:space="preserve"> (82 KV </w:t>
      </w:r>
      <w:proofErr w:type="spellStart"/>
      <w:r w:rsidR="002D7134">
        <w:t>nāves</w:t>
      </w:r>
      <w:proofErr w:type="spellEnd"/>
      <w:r w:rsidR="002D7134">
        <w:t xml:space="preserve"> </w:t>
      </w:r>
      <w:proofErr w:type="spellStart"/>
      <w:r w:rsidR="002D7134">
        <w:t>gadījumi</w:t>
      </w:r>
      <w:proofErr w:type="spellEnd"/>
      <w:r w:rsidR="002D7134">
        <w:t xml:space="preserve"> un 174 </w:t>
      </w:r>
      <w:proofErr w:type="spellStart"/>
      <w:r w:rsidR="002D7134">
        <w:t>jebkāda</w:t>
      </w:r>
      <w:proofErr w:type="spellEnd"/>
      <w:r w:rsidR="002D7134">
        <w:t xml:space="preserve"> </w:t>
      </w:r>
      <w:proofErr w:type="spellStart"/>
      <w:r w:rsidR="002D7134">
        <w:t>cēloņa</w:t>
      </w:r>
      <w:proofErr w:type="spellEnd"/>
      <w:r w:rsidR="002D7134">
        <w:t xml:space="preserve"> </w:t>
      </w:r>
      <w:proofErr w:type="spellStart"/>
      <w:r w:rsidR="002D7134">
        <w:t>izraisīti</w:t>
      </w:r>
      <w:proofErr w:type="spellEnd"/>
      <w:r w:rsidR="002D7134">
        <w:t xml:space="preserve"> </w:t>
      </w:r>
      <w:proofErr w:type="spellStart"/>
      <w:r w:rsidR="002D7134">
        <w:t>nāves</w:t>
      </w:r>
      <w:proofErr w:type="spellEnd"/>
      <w:r w:rsidR="002D7134">
        <w:t xml:space="preserve"> </w:t>
      </w:r>
      <w:proofErr w:type="spellStart"/>
      <w:r w:rsidR="002D7134">
        <w:t>gadījumi</w:t>
      </w:r>
      <w:proofErr w:type="spellEnd"/>
      <w:r w:rsidR="002D7134">
        <w:t xml:space="preserve">). </w:t>
      </w:r>
    </w:p>
    <w:p w14:paraId="70288E8B" w14:textId="3200C568" w:rsidR="0092121A" w:rsidRPr="00087F50" w:rsidRDefault="002D7134" w:rsidP="00A77DDF">
      <w:pPr>
        <w:spacing w:after="0" w:line="259" w:lineRule="auto"/>
        <w:ind w:left="2" w:firstLine="0"/>
      </w:pPr>
      <w:proofErr w:type="spellStart"/>
      <w:r>
        <w:t>Ārstēšanas</w:t>
      </w:r>
      <w:proofErr w:type="spellEnd"/>
      <w:r>
        <w:t xml:space="preserve"> </w:t>
      </w:r>
      <w:proofErr w:type="spellStart"/>
      <w:r>
        <w:t>gadījumā</w:t>
      </w:r>
      <w:proofErr w:type="spellEnd"/>
      <w:r>
        <w:t xml:space="preserve"> ar </w:t>
      </w:r>
      <w:proofErr w:type="spellStart"/>
      <w:r>
        <w:t>febuksostatu</w:t>
      </w:r>
      <w:proofErr w:type="spellEnd"/>
      <w:r>
        <w:t xml:space="preserve"> </w:t>
      </w:r>
      <w:proofErr w:type="spellStart"/>
      <w:r>
        <w:t>urīnskābes</w:t>
      </w:r>
      <w:proofErr w:type="spellEnd"/>
      <w:r>
        <w:t xml:space="preserve"> </w:t>
      </w:r>
      <w:proofErr w:type="spellStart"/>
      <w:r>
        <w:t>līmenis</w:t>
      </w:r>
      <w:proofErr w:type="spellEnd"/>
      <w:r>
        <w:t xml:space="preserve"> </w:t>
      </w:r>
      <w:proofErr w:type="spellStart"/>
      <w:r>
        <w:t>pazeminājās</w:t>
      </w:r>
      <w:proofErr w:type="spellEnd"/>
      <w:r>
        <w:t xml:space="preserve"> </w:t>
      </w:r>
      <w:proofErr w:type="spellStart"/>
      <w:r>
        <w:t>vairāk</w:t>
      </w:r>
      <w:proofErr w:type="spellEnd"/>
      <w:r>
        <w:t xml:space="preserve"> </w:t>
      </w:r>
      <w:proofErr w:type="spellStart"/>
      <w:r>
        <w:t>nekā</w:t>
      </w:r>
      <w:proofErr w:type="spellEnd"/>
      <w:r>
        <w:t xml:space="preserve"> </w:t>
      </w:r>
      <w:proofErr w:type="spellStart"/>
      <w:r>
        <w:t>ārstēšanas</w:t>
      </w:r>
      <w:proofErr w:type="spellEnd"/>
      <w:r>
        <w:t xml:space="preserve"> </w:t>
      </w:r>
      <w:proofErr w:type="spellStart"/>
      <w:r>
        <w:t>gadījumā</w:t>
      </w:r>
      <w:proofErr w:type="spellEnd"/>
      <w:r>
        <w:t xml:space="preserve"> ar </w:t>
      </w:r>
      <w:proofErr w:type="spellStart"/>
      <w:r>
        <w:t>allopurinolu</w:t>
      </w:r>
      <w:proofErr w:type="spellEnd"/>
      <w:r>
        <w:t>.</w:t>
      </w:r>
    </w:p>
    <w:p w14:paraId="249B8406" w14:textId="77777777" w:rsidR="002D7134" w:rsidRDefault="002D7134" w:rsidP="00A77DDF">
      <w:pPr>
        <w:spacing w:after="0" w:line="259" w:lineRule="auto"/>
        <w:ind w:left="-3" w:hanging="10"/>
        <w:rPr>
          <w:i/>
          <w:u w:val="single" w:color="000000"/>
        </w:rPr>
      </w:pPr>
    </w:p>
    <w:p w14:paraId="4032788E" w14:textId="7A6C3789" w:rsidR="00A77DDF" w:rsidRPr="00087F50" w:rsidRDefault="006E027D" w:rsidP="00A77DDF">
      <w:pPr>
        <w:spacing w:after="0" w:line="259" w:lineRule="auto"/>
        <w:ind w:left="-3" w:hanging="10"/>
      </w:pPr>
      <w:r w:rsidRPr="00087F50">
        <w:rPr>
          <w:i/>
          <w:u w:val="single" w:color="000000"/>
        </w:rPr>
        <w:t>TLS</w:t>
      </w:r>
      <w:r w:rsidR="00A77DDF" w:rsidRPr="00087F50">
        <w:rPr>
          <w:i/>
        </w:rPr>
        <w:t xml:space="preserve"> </w:t>
      </w:r>
    </w:p>
    <w:p w14:paraId="6B47AE7C" w14:textId="2E4D80B5" w:rsidR="00A77DDF" w:rsidRPr="00087F50" w:rsidRDefault="00A31AB1" w:rsidP="00A77DDF">
      <w:pPr>
        <w:ind w:left="-3" w:right="9"/>
      </w:pPr>
      <w:r w:rsidRPr="00087F50">
        <w:t>F</w:t>
      </w:r>
      <w:proofErr w:type="spellStart"/>
      <w:r w:rsidRPr="00087F50">
        <w:rPr>
          <w:lang w:val="lv-LV"/>
        </w:rPr>
        <w:t>ebuksostata</w:t>
      </w:r>
      <w:proofErr w:type="spellEnd"/>
      <w:r w:rsidRPr="00087F50">
        <w:rPr>
          <w:lang w:val="lv-LV"/>
        </w:rPr>
        <w:t xml:space="preserve"> </w:t>
      </w:r>
      <w:proofErr w:type="spellStart"/>
      <w:r w:rsidR="00A77DDF" w:rsidRPr="00087F50">
        <w:t>efektivitāti</w:t>
      </w:r>
      <w:proofErr w:type="spellEnd"/>
      <w:r w:rsidR="00A77DDF" w:rsidRPr="00087F50">
        <w:t xml:space="preserve"> un </w:t>
      </w:r>
      <w:proofErr w:type="spellStart"/>
      <w:r w:rsidR="00A77DDF" w:rsidRPr="00087F50">
        <w:t>lietošanas</w:t>
      </w:r>
      <w:proofErr w:type="spellEnd"/>
      <w:r w:rsidR="00A77DDF" w:rsidRPr="00087F50">
        <w:t xml:space="preserve"> </w:t>
      </w:r>
      <w:proofErr w:type="spellStart"/>
      <w:r w:rsidR="00A77DDF" w:rsidRPr="00087F50">
        <w:t>drošumu</w:t>
      </w:r>
      <w:proofErr w:type="spellEnd"/>
      <w:r w:rsidR="00A77DDF" w:rsidRPr="00087F50">
        <w:t xml:space="preserve"> </w:t>
      </w:r>
      <w:proofErr w:type="spellStart"/>
      <w:r w:rsidR="00A77DDF" w:rsidRPr="00087F50">
        <w:t>tumora</w:t>
      </w:r>
      <w:proofErr w:type="spellEnd"/>
      <w:r w:rsidR="00A77DDF" w:rsidRPr="00087F50">
        <w:t xml:space="preserve"> </w:t>
      </w:r>
      <w:proofErr w:type="spellStart"/>
      <w:r w:rsidR="00A77DDF" w:rsidRPr="00087F50">
        <w:t>līzes</w:t>
      </w:r>
      <w:proofErr w:type="spellEnd"/>
      <w:r w:rsidR="00A77DDF" w:rsidRPr="00087F50">
        <w:t xml:space="preserve"> sindroma </w:t>
      </w:r>
      <w:proofErr w:type="spellStart"/>
      <w:r w:rsidR="00A77DDF" w:rsidRPr="00087F50">
        <w:t>profilaksē</w:t>
      </w:r>
      <w:proofErr w:type="spellEnd"/>
      <w:r w:rsidR="00A77DDF" w:rsidRPr="00087F50">
        <w:t xml:space="preserve"> un </w:t>
      </w:r>
      <w:proofErr w:type="spellStart"/>
      <w:r w:rsidR="00A77DDF" w:rsidRPr="00087F50">
        <w:t>ārstēšanā</w:t>
      </w:r>
      <w:proofErr w:type="spellEnd"/>
      <w:r w:rsidR="00A77DDF" w:rsidRPr="00087F50">
        <w:t xml:space="preserve"> </w:t>
      </w:r>
      <w:proofErr w:type="spellStart"/>
      <w:r w:rsidR="00A77DDF" w:rsidRPr="00087F50">
        <w:t>vērtēja</w:t>
      </w:r>
      <w:proofErr w:type="spellEnd"/>
      <w:r w:rsidR="00A77DDF" w:rsidRPr="00087F50">
        <w:t xml:space="preserve"> FLORENCE (FLO-01) </w:t>
      </w:r>
      <w:proofErr w:type="spellStart"/>
      <w:r w:rsidR="00A77DDF" w:rsidRPr="00087F50">
        <w:t>pētījumā</w:t>
      </w:r>
      <w:proofErr w:type="spellEnd"/>
      <w:r w:rsidR="00A77DDF" w:rsidRPr="00087F50">
        <w:t xml:space="preserve">. </w:t>
      </w:r>
      <w:r w:rsidRPr="00087F50">
        <w:t>F</w:t>
      </w:r>
      <w:proofErr w:type="spellStart"/>
      <w:r w:rsidRPr="00087F50">
        <w:rPr>
          <w:lang w:val="lv-LV"/>
        </w:rPr>
        <w:t>ebuksostatam</w:t>
      </w:r>
      <w:proofErr w:type="spellEnd"/>
      <w:r w:rsidRPr="00087F50">
        <w:rPr>
          <w:lang w:val="lv-LV"/>
        </w:rPr>
        <w:t xml:space="preserve"> </w:t>
      </w:r>
      <w:proofErr w:type="spellStart"/>
      <w:r w:rsidR="00A77DDF" w:rsidRPr="00087F50">
        <w:t>konstatēja</w:t>
      </w:r>
      <w:proofErr w:type="spellEnd"/>
      <w:r w:rsidR="00A77DDF" w:rsidRPr="00087F50">
        <w:t xml:space="preserve"> </w:t>
      </w:r>
      <w:proofErr w:type="spellStart"/>
      <w:r w:rsidR="00A77DDF" w:rsidRPr="00087F50">
        <w:t>labāku</w:t>
      </w:r>
      <w:proofErr w:type="spellEnd"/>
      <w:r w:rsidR="00A77DDF" w:rsidRPr="00087F50">
        <w:t xml:space="preserve"> un </w:t>
      </w:r>
      <w:proofErr w:type="spellStart"/>
      <w:r w:rsidR="00A77DDF" w:rsidRPr="00087F50">
        <w:t>ātrāku</w:t>
      </w:r>
      <w:proofErr w:type="spellEnd"/>
      <w:r w:rsidR="00A77DDF" w:rsidRPr="00087F50">
        <w:t xml:space="preserve"> </w:t>
      </w:r>
      <w:proofErr w:type="spellStart"/>
      <w:r w:rsidR="00A77DDF" w:rsidRPr="00087F50">
        <w:t>urātu</w:t>
      </w:r>
      <w:proofErr w:type="spellEnd"/>
      <w:r w:rsidR="00A77DDF" w:rsidRPr="00087F50">
        <w:t xml:space="preserve"> </w:t>
      </w:r>
      <w:proofErr w:type="spellStart"/>
      <w:r w:rsidR="00A77DDF" w:rsidRPr="00087F50">
        <w:t>līmeni</w:t>
      </w:r>
      <w:proofErr w:type="spellEnd"/>
      <w:r w:rsidR="00A77DDF" w:rsidRPr="00087F50">
        <w:t xml:space="preserve"> </w:t>
      </w:r>
      <w:proofErr w:type="spellStart"/>
      <w:r w:rsidR="00A77DDF" w:rsidRPr="00087F50">
        <w:t>pazeminošu</w:t>
      </w:r>
      <w:proofErr w:type="spellEnd"/>
      <w:r w:rsidR="00A77DDF" w:rsidRPr="00087F50">
        <w:t xml:space="preserve"> </w:t>
      </w:r>
      <w:proofErr w:type="spellStart"/>
      <w:r w:rsidR="00A77DDF" w:rsidRPr="00087F50">
        <w:t>iedarbību</w:t>
      </w:r>
      <w:proofErr w:type="spellEnd"/>
      <w:r w:rsidR="00A77DDF" w:rsidRPr="00087F50">
        <w:t xml:space="preserve"> </w:t>
      </w:r>
      <w:proofErr w:type="spellStart"/>
      <w:r w:rsidR="00A77DDF" w:rsidRPr="00087F50">
        <w:t>nekā</w:t>
      </w:r>
      <w:proofErr w:type="spellEnd"/>
      <w:r w:rsidR="00A77DDF" w:rsidRPr="00087F50">
        <w:t xml:space="preserve"> </w:t>
      </w:r>
      <w:proofErr w:type="spellStart"/>
      <w:r w:rsidR="00A77DDF" w:rsidRPr="00087F50">
        <w:t>allopurinolam</w:t>
      </w:r>
      <w:proofErr w:type="spellEnd"/>
      <w:r w:rsidR="00A77DDF" w:rsidRPr="00087F50">
        <w:t xml:space="preserve">. </w:t>
      </w:r>
    </w:p>
    <w:p w14:paraId="37FDAF27" w14:textId="6E4F6955" w:rsidR="00A77DDF" w:rsidRPr="00087F50" w:rsidRDefault="00A77DDF" w:rsidP="00A77DDF">
      <w:pPr>
        <w:ind w:left="-3" w:right="9"/>
      </w:pPr>
      <w:r w:rsidRPr="00087F50">
        <w:t xml:space="preserve">FLORENCE bija </w:t>
      </w:r>
      <w:proofErr w:type="spellStart"/>
      <w:r w:rsidRPr="00087F50">
        <w:t>randomizēts</w:t>
      </w:r>
      <w:proofErr w:type="spellEnd"/>
      <w:r w:rsidRPr="00087F50">
        <w:t xml:space="preserve"> (1:1), </w:t>
      </w:r>
      <w:proofErr w:type="spellStart"/>
      <w:r w:rsidRPr="00087F50">
        <w:t>dubultmaskēts</w:t>
      </w:r>
      <w:proofErr w:type="spellEnd"/>
      <w:r w:rsidRPr="00087F50">
        <w:t xml:space="preserve">, 3. </w:t>
      </w:r>
      <w:proofErr w:type="spellStart"/>
      <w:r w:rsidRPr="00087F50">
        <w:t>fāzes</w:t>
      </w:r>
      <w:proofErr w:type="spellEnd"/>
      <w:r w:rsidRPr="00087F50">
        <w:t xml:space="preserve"> </w:t>
      </w:r>
      <w:proofErr w:type="spellStart"/>
      <w:r w:rsidRPr="00087F50">
        <w:t>pamatpētījums</w:t>
      </w:r>
      <w:proofErr w:type="spellEnd"/>
      <w:r w:rsidRPr="00087F50">
        <w:t xml:space="preserve">, </w:t>
      </w:r>
      <w:proofErr w:type="spellStart"/>
      <w:r w:rsidRPr="00087F50">
        <w:t>kurā</w:t>
      </w:r>
      <w:proofErr w:type="spellEnd"/>
      <w:r w:rsidRPr="00087F50">
        <w:t xml:space="preserve"> </w:t>
      </w:r>
      <w:proofErr w:type="spellStart"/>
      <w:r w:rsidRPr="00087F50">
        <w:t>tika</w:t>
      </w:r>
      <w:proofErr w:type="spellEnd"/>
      <w:r w:rsidRPr="00087F50">
        <w:t xml:space="preserve"> </w:t>
      </w:r>
      <w:proofErr w:type="spellStart"/>
      <w:r w:rsidRPr="00087F50">
        <w:t>salīdzināta</w:t>
      </w:r>
      <w:proofErr w:type="spellEnd"/>
      <w:r w:rsidRPr="00087F50">
        <w:t xml:space="preserve"> </w:t>
      </w:r>
      <w:r w:rsidR="00564594" w:rsidRPr="00087F50">
        <w:t>F</w:t>
      </w:r>
      <w:proofErr w:type="spellStart"/>
      <w:r w:rsidR="00564594" w:rsidRPr="00087F50">
        <w:rPr>
          <w:lang w:val="lv-LV"/>
        </w:rPr>
        <w:t>ebuksostats</w:t>
      </w:r>
      <w:proofErr w:type="spellEnd"/>
      <w:r w:rsidR="00564594" w:rsidRPr="00087F50">
        <w:t xml:space="preserve"> </w:t>
      </w:r>
      <w:proofErr w:type="spellStart"/>
      <w:r w:rsidRPr="00087F50">
        <w:t>pa</w:t>
      </w:r>
      <w:proofErr w:type="spellEnd"/>
      <w:r w:rsidRPr="00087F50">
        <w:t xml:space="preserve"> 120 mg </w:t>
      </w:r>
      <w:proofErr w:type="spellStart"/>
      <w:r w:rsidRPr="00087F50">
        <w:t>reizi</w:t>
      </w:r>
      <w:proofErr w:type="spellEnd"/>
      <w:r w:rsidRPr="00087F50">
        <w:t xml:space="preserve"> </w:t>
      </w:r>
      <w:proofErr w:type="spellStart"/>
      <w:r w:rsidRPr="00087F50">
        <w:t>dienā</w:t>
      </w:r>
      <w:proofErr w:type="spellEnd"/>
      <w:r w:rsidRPr="00087F50">
        <w:t xml:space="preserve"> un </w:t>
      </w:r>
      <w:proofErr w:type="spellStart"/>
      <w:r w:rsidRPr="00087F50">
        <w:t>allopurinola</w:t>
      </w:r>
      <w:proofErr w:type="spellEnd"/>
      <w:r w:rsidRPr="00087F50">
        <w:t xml:space="preserve"> </w:t>
      </w:r>
      <w:proofErr w:type="spellStart"/>
      <w:r w:rsidRPr="00087F50">
        <w:t>pa</w:t>
      </w:r>
      <w:proofErr w:type="spellEnd"/>
      <w:r w:rsidRPr="00087F50">
        <w:t xml:space="preserve"> 200 – 600 mg </w:t>
      </w:r>
      <w:proofErr w:type="spellStart"/>
      <w:r w:rsidRPr="00087F50">
        <w:t>dienā</w:t>
      </w:r>
      <w:proofErr w:type="spellEnd"/>
      <w:r w:rsidRPr="00087F50">
        <w:t xml:space="preserve"> (</w:t>
      </w:r>
      <w:proofErr w:type="spellStart"/>
      <w:r w:rsidRPr="00087F50">
        <w:t>vidējā</w:t>
      </w:r>
      <w:proofErr w:type="spellEnd"/>
      <w:r w:rsidRPr="00087F50">
        <w:t xml:space="preserve"> </w:t>
      </w:r>
      <w:proofErr w:type="spellStart"/>
      <w:r w:rsidRPr="00087F50">
        <w:t>allopurinola</w:t>
      </w:r>
      <w:proofErr w:type="spellEnd"/>
      <w:r w:rsidRPr="00087F50">
        <w:t xml:space="preserve"> </w:t>
      </w:r>
      <w:proofErr w:type="spellStart"/>
      <w:r w:rsidRPr="00087F50">
        <w:t>dienas</w:t>
      </w:r>
      <w:proofErr w:type="spellEnd"/>
      <w:r w:rsidRPr="00087F50">
        <w:t xml:space="preserve"> </w:t>
      </w:r>
      <w:proofErr w:type="spellStart"/>
      <w:r w:rsidRPr="00087F50">
        <w:t>deva</w:t>
      </w:r>
      <w:proofErr w:type="spellEnd"/>
      <w:r w:rsidRPr="00087F50">
        <w:t xml:space="preserve"> [</w:t>
      </w:r>
      <w:r w:rsidRPr="00087F50">
        <w:rPr>
          <w:u w:val="single" w:color="000000"/>
        </w:rPr>
        <w:t>+</w:t>
      </w:r>
      <w:r w:rsidRPr="00087F50">
        <w:t xml:space="preserve"> </w:t>
      </w:r>
      <w:proofErr w:type="spellStart"/>
      <w:r w:rsidRPr="00087F50">
        <w:t>standarta</w:t>
      </w:r>
      <w:proofErr w:type="spellEnd"/>
      <w:r w:rsidRPr="00087F50">
        <w:t xml:space="preserve"> </w:t>
      </w:r>
      <w:proofErr w:type="spellStart"/>
      <w:r w:rsidRPr="00087F50">
        <w:t>novirze</w:t>
      </w:r>
      <w:proofErr w:type="spellEnd"/>
      <w:r w:rsidRPr="00087F50">
        <w:t xml:space="preserve">]: 349,7 </w:t>
      </w:r>
      <w:r w:rsidRPr="00087F50">
        <w:rPr>
          <w:u w:val="single" w:color="000000"/>
        </w:rPr>
        <w:t>+</w:t>
      </w:r>
      <w:r w:rsidRPr="00087F50">
        <w:t xml:space="preserve"> 112,90 mg) </w:t>
      </w:r>
      <w:proofErr w:type="spellStart"/>
      <w:r w:rsidRPr="00087F50">
        <w:t>spēja</w:t>
      </w:r>
      <w:proofErr w:type="spellEnd"/>
      <w:r w:rsidRPr="00087F50">
        <w:t xml:space="preserve"> </w:t>
      </w:r>
      <w:proofErr w:type="spellStart"/>
      <w:r w:rsidRPr="00087F50">
        <w:t>pazemināt</w:t>
      </w:r>
      <w:proofErr w:type="spellEnd"/>
      <w:r w:rsidRPr="00087F50">
        <w:t xml:space="preserve"> </w:t>
      </w:r>
      <w:proofErr w:type="spellStart"/>
      <w:r w:rsidRPr="00087F50">
        <w:t>urīnskābes</w:t>
      </w:r>
      <w:proofErr w:type="spellEnd"/>
      <w:r w:rsidRPr="00087F50">
        <w:t xml:space="preserve"> </w:t>
      </w:r>
      <w:proofErr w:type="spellStart"/>
      <w:r w:rsidRPr="00087F50">
        <w:t>līmeni</w:t>
      </w:r>
      <w:proofErr w:type="spellEnd"/>
      <w:r w:rsidRPr="00087F50">
        <w:t xml:space="preserve"> </w:t>
      </w:r>
      <w:proofErr w:type="spellStart"/>
      <w:r w:rsidRPr="00087F50">
        <w:t>serumā</w:t>
      </w:r>
      <w:proofErr w:type="spellEnd"/>
      <w:r w:rsidRPr="00087F50">
        <w:t xml:space="preserve">. </w:t>
      </w:r>
      <w:proofErr w:type="spellStart"/>
      <w:r w:rsidRPr="00087F50">
        <w:t>Piemērotiem</w:t>
      </w:r>
      <w:proofErr w:type="spellEnd"/>
      <w:r w:rsidRPr="00087F50">
        <w:t xml:space="preserve"> </w:t>
      </w:r>
      <w:proofErr w:type="spellStart"/>
      <w:r w:rsidRPr="00087F50">
        <w:t>pacientiem</w:t>
      </w:r>
      <w:proofErr w:type="spellEnd"/>
      <w:r w:rsidRPr="00087F50">
        <w:t xml:space="preserve"> bija </w:t>
      </w:r>
      <w:proofErr w:type="spellStart"/>
      <w:r w:rsidRPr="00087F50">
        <w:t>jābūt</w:t>
      </w:r>
      <w:proofErr w:type="spellEnd"/>
      <w:r w:rsidRPr="00087F50">
        <w:t xml:space="preserve"> </w:t>
      </w:r>
      <w:proofErr w:type="spellStart"/>
      <w:r w:rsidRPr="00087F50">
        <w:t>kandidātiem</w:t>
      </w:r>
      <w:proofErr w:type="spellEnd"/>
      <w:r w:rsidRPr="00087F50">
        <w:t xml:space="preserve"> </w:t>
      </w:r>
      <w:proofErr w:type="spellStart"/>
      <w:r w:rsidRPr="00087F50">
        <w:t>uz</w:t>
      </w:r>
      <w:proofErr w:type="spellEnd"/>
      <w:r w:rsidRPr="00087F50">
        <w:t xml:space="preserve"> </w:t>
      </w:r>
      <w:proofErr w:type="spellStart"/>
      <w:r w:rsidRPr="00087F50">
        <w:t>allopurinola</w:t>
      </w:r>
      <w:proofErr w:type="spellEnd"/>
      <w:r w:rsidRPr="00087F50">
        <w:t xml:space="preserve"> </w:t>
      </w:r>
      <w:proofErr w:type="spellStart"/>
      <w:r w:rsidRPr="00087F50">
        <w:t>terapiju</w:t>
      </w:r>
      <w:proofErr w:type="spellEnd"/>
      <w:r w:rsidRPr="00087F50">
        <w:t xml:space="preserve"> </w:t>
      </w:r>
      <w:proofErr w:type="spellStart"/>
      <w:r w:rsidRPr="00087F50">
        <w:t>vai</w:t>
      </w:r>
      <w:proofErr w:type="spellEnd"/>
      <w:r w:rsidRPr="00087F50">
        <w:t xml:space="preserve"> </w:t>
      </w:r>
      <w:proofErr w:type="spellStart"/>
      <w:r w:rsidRPr="00087F50">
        <w:t>nebija</w:t>
      </w:r>
      <w:proofErr w:type="spellEnd"/>
      <w:r w:rsidRPr="00087F50">
        <w:t xml:space="preserve"> </w:t>
      </w:r>
      <w:proofErr w:type="spellStart"/>
      <w:r w:rsidRPr="00087F50">
        <w:t>jābūt</w:t>
      </w:r>
      <w:proofErr w:type="spellEnd"/>
      <w:r w:rsidRPr="00087F50">
        <w:t xml:space="preserve"> </w:t>
      </w:r>
      <w:proofErr w:type="spellStart"/>
      <w:r w:rsidRPr="00087F50">
        <w:t>pieejamai</w:t>
      </w:r>
      <w:proofErr w:type="spellEnd"/>
      <w:r w:rsidRPr="00087F50">
        <w:t xml:space="preserve"> </w:t>
      </w:r>
      <w:proofErr w:type="spellStart"/>
      <w:r w:rsidRPr="00087F50">
        <w:t>rasburikāzei</w:t>
      </w:r>
      <w:proofErr w:type="spellEnd"/>
      <w:r w:rsidRPr="00087F50">
        <w:t xml:space="preserve">. </w:t>
      </w:r>
      <w:proofErr w:type="spellStart"/>
      <w:r w:rsidRPr="00087F50">
        <w:t>Primārie</w:t>
      </w:r>
      <w:proofErr w:type="spellEnd"/>
      <w:r w:rsidRPr="00087F50">
        <w:t xml:space="preserve"> </w:t>
      </w:r>
      <w:proofErr w:type="spellStart"/>
      <w:r w:rsidRPr="00087F50">
        <w:t>mērķa</w:t>
      </w:r>
      <w:proofErr w:type="spellEnd"/>
      <w:r w:rsidRPr="00087F50">
        <w:t xml:space="preserve"> </w:t>
      </w:r>
      <w:proofErr w:type="spellStart"/>
      <w:r w:rsidRPr="00087F50">
        <w:t>kritēriji</w:t>
      </w:r>
      <w:proofErr w:type="spellEnd"/>
      <w:r w:rsidRPr="00087F50">
        <w:t xml:space="preserve"> bija </w:t>
      </w:r>
      <w:proofErr w:type="spellStart"/>
      <w:r w:rsidRPr="00087F50">
        <w:t>urīnskābes</w:t>
      </w:r>
      <w:proofErr w:type="spellEnd"/>
      <w:r w:rsidRPr="00087F50">
        <w:t xml:space="preserve"> </w:t>
      </w:r>
      <w:proofErr w:type="spellStart"/>
      <w:r w:rsidRPr="00087F50">
        <w:t>zemlīknes</w:t>
      </w:r>
      <w:proofErr w:type="spellEnd"/>
      <w:r w:rsidRPr="00087F50">
        <w:t xml:space="preserve"> </w:t>
      </w:r>
      <w:proofErr w:type="spellStart"/>
      <w:r w:rsidRPr="00087F50">
        <w:t>laukums</w:t>
      </w:r>
      <w:proofErr w:type="spellEnd"/>
      <w:r w:rsidRPr="00087F50">
        <w:t xml:space="preserve"> </w:t>
      </w:r>
      <w:proofErr w:type="spellStart"/>
      <w:r w:rsidRPr="00087F50">
        <w:t>serumā</w:t>
      </w:r>
      <w:proofErr w:type="spellEnd"/>
      <w:r w:rsidRPr="00087F50">
        <w:t xml:space="preserve"> (AUC sUA</w:t>
      </w:r>
      <w:r w:rsidRPr="00087F50">
        <w:rPr>
          <w:vertAlign w:val="subscript"/>
        </w:rPr>
        <w:t>1-8</w:t>
      </w:r>
      <w:r w:rsidRPr="00087F50">
        <w:t xml:space="preserve">) un </w:t>
      </w:r>
      <w:proofErr w:type="spellStart"/>
      <w:r w:rsidRPr="00087F50">
        <w:t>seruma</w:t>
      </w:r>
      <w:proofErr w:type="spellEnd"/>
      <w:r w:rsidRPr="00087F50">
        <w:t xml:space="preserve"> </w:t>
      </w:r>
      <w:proofErr w:type="spellStart"/>
      <w:r w:rsidRPr="00087F50">
        <w:t>kreatinīna</w:t>
      </w:r>
      <w:proofErr w:type="spellEnd"/>
      <w:r w:rsidRPr="00087F50">
        <w:t xml:space="preserve"> (</w:t>
      </w:r>
      <w:proofErr w:type="spellStart"/>
      <w:r w:rsidRPr="00087F50">
        <w:t>sC</w:t>
      </w:r>
      <w:proofErr w:type="spellEnd"/>
      <w:r w:rsidRPr="00087F50">
        <w:t xml:space="preserve">) </w:t>
      </w:r>
      <w:proofErr w:type="spellStart"/>
      <w:r w:rsidRPr="00087F50">
        <w:t>līmeņa</w:t>
      </w:r>
      <w:proofErr w:type="spellEnd"/>
      <w:r w:rsidRPr="00087F50">
        <w:t xml:space="preserve"> </w:t>
      </w:r>
      <w:proofErr w:type="spellStart"/>
      <w:r w:rsidRPr="00087F50">
        <w:t>pārmaiņa</w:t>
      </w:r>
      <w:proofErr w:type="spellEnd"/>
      <w:r w:rsidRPr="00087F50">
        <w:t xml:space="preserve"> no </w:t>
      </w:r>
      <w:proofErr w:type="spellStart"/>
      <w:r w:rsidRPr="00087F50">
        <w:t>sākumstāvokļa</w:t>
      </w:r>
      <w:proofErr w:type="spellEnd"/>
      <w:r w:rsidRPr="00087F50">
        <w:t xml:space="preserve"> </w:t>
      </w:r>
      <w:proofErr w:type="spellStart"/>
      <w:r w:rsidRPr="00087F50">
        <w:t>līdz</w:t>
      </w:r>
      <w:proofErr w:type="spellEnd"/>
      <w:r w:rsidRPr="00087F50">
        <w:t xml:space="preserve"> 8. </w:t>
      </w:r>
      <w:proofErr w:type="spellStart"/>
      <w:r w:rsidRPr="00087F50">
        <w:t>dienai</w:t>
      </w:r>
      <w:proofErr w:type="spellEnd"/>
      <w:r w:rsidRPr="00087F50">
        <w:t>.</w:t>
      </w:r>
      <w:r w:rsidRPr="00087F50">
        <w:rPr>
          <w:b/>
        </w:rPr>
        <w:t xml:space="preserve"> </w:t>
      </w:r>
    </w:p>
    <w:p w14:paraId="1A35386C" w14:textId="1E49AF91" w:rsidR="00A77DDF" w:rsidRPr="00087F50" w:rsidRDefault="00A77DDF" w:rsidP="00A77DDF">
      <w:pPr>
        <w:ind w:left="-3" w:right="9"/>
      </w:pPr>
      <w:proofErr w:type="spellStart"/>
      <w:r w:rsidRPr="00087F50">
        <w:t>Kopumā</w:t>
      </w:r>
      <w:proofErr w:type="spellEnd"/>
      <w:r w:rsidRPr="00087F50">
        <w:t xml:space="preserve"> </w:t>
      </w:r>
      <w:proofErr w:type="spellStart"/>
      <w:r w:rsidRPr="00087F50">
        <w:t>tika</w:t>
      </w:r>
      <w:proofErr w:type="spellEnd"/>
      <w:r w:rsidRPr="00087F50">
        <w:t xml:space="preserve"> </w:t>
      </w:r>
      <w:proofErr w:type="spellStart"/>
      <w:r w:rsidRPr="00087F50">
        <w:t>iekļauti</w:t>
      </w:r>
      <w:proofErr w:type="spellEnd"/>
      <w:r w:rsidRPr="00087F50">
        <w:t xml:space="preserve"> 346 </w:t>
      </w:r>
      <w:proofErr w:type="spellStart"/>
      <w:r w:rsidRPr="00087F50">
        <w:t>pacienti</w:t>
      </w:r>
      <w:proofErr w:type="spellEnd"/>
      <w:r w:rsidRPr="00087F50">
        <w:t xml:space="preserve"> ar </w:t>
      </w:r>
      <w:proofErr w:type="spellStart"/>
      <w:r w:rsidRPr="00087F50">
        <w:t>ļaundabīgiem</w:t>
      </w:r>
      <w:proofErr w:type="spellEnd"/>
      <w:r w:rsidRPr="00087F50">
        <w:t xml:space="preserve"> </w:t>
      </w:r>
      <w:proofErr w:type="spellStart"/>
      <w:r w:rsidRPr="00087F50">
        <w:t>asins</w:t>
      </w:r>
      <w:proofErr w:type="spellEnd"/>
      <w:r w:rsidRPr="00087F50">
        <w:t xml:space="preserve"> </w:t>
      </w:r>
      <w:proofErr w:type="spellStart"/>
      <w:r w:rsidRPr="00087F50">
        <w:t>šūnu</w:t>
      </w:r>
      <w:proofErr w:type="spellEnd"/>
      <w:r w:rsidRPr="00087F50">
        <w:t xml:space="preserve"> </w:t>
      </w:r>
      <w:proofErr w:type="spellStart"/>
      <w:r w:rsidRPr="00087F50">
        <w:t>audzējiem</w:t>
      </w:r>
      <w:proofErr w:type="spellEnd"/>
      <w:r w:rsidRPr="00087F50">
        <w:t xml:space="preserve">, </w:t>
      </w:r>
      <w:proofErr w:type="spellStart"/>
      <w:r w:rsidRPr="00087F50">
        <w:t>kam</w:t>
      </w:r>
      <w:proofErr w:type="spellEnd"/>
      <w:r w:rsidRPr="00087F50">
        <w:t xml:space="preserve"> </w:t>
      </w:r>
      <w:proofErr w:type="spellStart"/>
      <w:r w:rsidRPr="00087F50">
        <w:t>tiek</w:t>
      </w:r>
      <w:proofErr w:type="spellEnd"/>
      <w:r w:rsidRPr="00087F50">
        <w:t xml:space="preserve"> </w:t>
      </w:r>
      <w:proofErr w:type="spellStart"/>
      <w:r w:rsidRPr="00087F50">
        <w:t>veikta</w:t>
      </w:r>
      <w:proofErr w:type="spellEnd"/>
      <w:r w:rsidRPr="00087F50">
        <w:t xml:space="preserve"> </w:t>
      </w:r>
      <w:proofErr w:type="spellStart"/>
      <w:r w:rsidRPr="00087F50">
        <w:t>ķīmijterapija</w:t>
      </w:r>
      <w:proofErr w:type="spellEnd"/>
      <w:r w:rsidRPr="00087F50">
        <w:t xml:space="preserve">, un </w:t>
      </w:r>
      <w:proofErr w:type="spellStart"/>
      <w:r w:rsidRPr="00087F50">
        <w:t>vidēju</w:t>
      </w:r>
      <w:proofErr w:type="spellEnd"/>
      <w:r w:rsidRPr="00087F50">
        <w:t>/</w:t>
      </w:r>
      <w:proofErr w:type="spellStart"/>
      <w:r w:rsidRPr="00087F50">
        <w:t>lielu</w:t>
      </w:r>
      <w:proofErr w:type="spellEnd"/>
      <w:r w:rsidRPr="00087F50">
        <w:t xml:space="preserve"> </w:t>
      </w:r>
      <w:r w:rsidR="00113063" w:rsidRPr="00087F50">
        <w:t>TLS</w:t>
      </w:r>
      <w:r w:rsidRPr="00087F50">
        <w:t xml:space="preserve"> </w:t>
      </w:r>
      <w:proofErr w:type="spellStart"/>
      <w:r w:rsidRPr="00087F50">
        <w:t>risku</w:t>
      </w:r>
      <w:proofErr w:type="spellEnd"/>
      <w:r w:rsidRPr="00087F50">
        <w:t xml:space="preserve">. </w:t>
      </w:r>
      <w:proofErr w:type="spellStart"/>
      <w:r w:rsidRPr="00087F50">
        <w:t>Lietojot</w:t>
      </w:r>
      <w:proofErr w:type="spellEnd"/>
      <w:r w:rsidR="00564594" w:rsidRPr="00087F50">
        <w:t xml:space="preserve"> </w:t>
      </w:r>
      <w:proofErr w:type="spellStart"/>
      <w:r w:rsidR="00564594" w:rsidRPr="00087F50">
        <w:rPr>
          <w:lang w:val="lv-LV"/>
        </w:rPr>
        <w:t>febuksostatu</w:t>
      </w:r>
      <w:proofErr w:type="spellEnd"/>
      <w:r w:rsidRPr="00087F50">
        <w:t xml:space="preserve">, </w:t>
      </w:r>
      <w:proofErr w:type="spellStart"/>
      <w:r w:rsidRPr="00087F50">
        <w:t>vidējais</w:t>
      </w:r>
      <w:proofErr w:type="spellEnd"/>
      <w:r w:rsidRPr="00087F50">
        <w:t xml:space="preserve"> AUC sUA</w:t>
      </w:r>
      <w:r w:rsidRPr="00087F50">
        <w:rPr>
          <w:vertAlign w:val="subscript"/>
        </w:rPr>
        <w:t xml:space="preserve">1-8 </w:t>
      </w:r>
      <w:r w:rsidRPr="00087F50">
        <w:t xml:space="preserve">(mg x h/dl) bija </w:t>
      </w:r>
      <w:proofErr w:type="spellStart"/>
      <w:r w:rsidRPr="00087F50">
        <w:t>nozīmīgi</w:t>
      </w:r>
      <w:proofErr w:type="spellEnd"/>
      <w:r w:rsidRPr="00087F50">
        <w:t xml:space="preserve"> </w:t>
      </w:r>
      <w:proofErr w:type="spellStart"/>
      <w:r w:rsidRPr="00087F50">
        <w:t>mazāks</w:t>
      </w:r>
      <w:proofErr w:type="spellEnd"/>
      <w:r w:rsidRPr="00087F50">
        <w:t xml:space="preserve"> (514,0 ± 225,71, </w:t>
      </w:r>
      <w:proofErr w:type="spellStart"/>
      <w:r w:rsidRPr="00087F50">
        <w:t>salīdzinot</w:t>
      </w:r>
      <w:proofErr w:type="spellEnd"/>
      <w:r w:rsidRPr="00087F50">
        <w:t xml:space="preserve"> ar 708,0 ± 234,42; </w:t>
      </w:r>
      <w:proofErr w:type="spellStart"/>
      <w:r w:rsidRPr="00087F50">
        <w:t>mazāko</w:t>
      </w:r>
      <w:proofErr w:type="spellEnd"/>
      <w:r w:rsidRPr="00087F50">
        <w:t xml:space="preserve"> </w:t>
      </w:r>
      <w:proofErr w:type="spellStart"/>
      <w:r w:rsidRPr="00087F50">
        <w:t>kvadrātu</w:t>
      </w:r>
      <w:proofErr w:type="spellEnd"/>
      <w:r w:rsidRPr="00087F50">
        <w:t xml:space="preserve"> </w:t>
      </w:r>
      <w:proofErr w:type="spellStart"/>
      <w:r w:rsidRPr="00087F50">
        <w:t>vidējo</w:t>
      </w:r>
      <w:proofErr w:type="spellEnd"/>
      <w:r w:rsidRPr="00087F50">
        <w:t xml:space="preserve"> </w:t>
      </w:r>
      <w:proofErr w:type="spellStart"/>
      <w:r w:rsidRPr="00087F50">
        <w:t>raksturlielumu</w:t>
      </w:r>
      <w:proofErr w:type="spellEnd"/>
      <w:r w:rsidRPr="00087F50">
        <w:t xml:space="preserve"> </w:t>
      </w:r>
      <w:proofErr w:type="spellStart"/>
      <w:r w:rsidRPr="00087F50">
        <w:t>atšķirība</w:t>
      </w:r>
      <w:proofErr w:type="spellEnd"/>
      <w:r w:rsidRPr="00087F50">
        <w:t xml:space="preserve">: -196,794 [95% </w:t>
      </w:r>
      <w:r w:rsidR="00113063" w:rsidRPr="00087F50">
        <w:t>TI</w:t>
      </w:r>
      <w:r w:rsidRPr="00087F50">
        <w:t xml:space="preserve">: -238,600; -154,988]; p &lt; ,0001). </w:t>
      </w:r>
      <w:proofErr w:type="spellStart"/>
      <w:r w:rsidRPr="00087F50">
        <w:t>Turklāt</w:t>
      </w:r>
      <w:proofErr w:type="spellEnd"/>
      <w:r w:rsidRPr="00087F50">
        <w:t xml:space="preserve">, </w:t>
      </w:r>
      <w:proofErr w:type="spellStart"/>
      <w:r w:rsidRPr="00087F50">
        <w:t>lietojot</w:t>
      </w:r>
      <w:proofErr w:type="spellEnd"/>
      <w:r w:rsidR="00564594" w:rsidRPr="00087F50">
        <w:t xml:space="preserve"> </w:t>
      </w:r>
      <w:proofErr w:type="spellStart"/>
      <w:r w:rsidR="00564594" w:rsidRPr="00087F50">
        <w:rPr>
          <w:lang w:val="lv-LV"/>
        </w:rPr>
        <w:t>febuksostatu</w:t>
      </w:r>
      <w:proofErr w:type="spellEnd"/>
      <w:r w:rsidR="00564594" w:rsidRPr="00087F50">
        <w:rPr>
          <w:lang w:val="lv-LV"/>
        </w:rPr>
        <w:t xml:space="preserve"> </w:t>
      </w:r>
      <w:r w:rsidRPr="00087F50">
        <w:t xml:space="preserve">, </w:t>
      </w:r>
      <w:proofErr w:type="spellStart"/>
      <w:r w:rsidRPr="00087F50">
        <w:t>pirmajās</w:t>
      </w:r>
      <w:proofErr w:type="spellEnd"/>
      <w:r w:rsidRPr="00087F50">
        <w:t xml:space="preserve"> 24 </w:t>
      </w:r>
      <w:proofErr w:type="spellStart"/>
      <w:r w:rsidRPr="00087F50">
        <w:t>ārstēšanas</w:t>
      </w:r>
      <w:proofErr w:type="spellEnd"/>
      <w:r w:rsidRPr="00087F50">
        <w:t xml:space="preserve"> </w:t>
      </w:r>
      <w:proofErr w:type="spellStart"/>
      <w:r w:rsidRPr="00087F50">
        <w:t>stundās</w:t>
      </w:r>
      <w:proofErr w:type="spellEnd"/>
      <w:r w:rsidRPr="00087F50">
        <w:t xml:space="preserve"> un </w:t>
      </w:r>
      <w:proofErr w:type="spellStart"/>
      <w:r w:rsidRPr="00087F50">
        <w:t>jebkurā</w:t>
      </w:r>
      <w:proofErr w:type="spellEnd"/>
      <w:r w:rsidRPr="00087F50">
        <w:t xml:space="preserve"> </w:t>
      </w:r>
      <w:proofErr w:type="spellStart"/>
      <w:r w:rsidRPr="00087F50">
        <w:t>brīdī</w:t>
      </w:r>
      <w:proofErr w:type="spellEnd"/>
      <w:r w:rsidRPr="00087F50">
        <w:t xml:space="preserve"> </w:t>
      </w:r>
      <w:proofErr w:type="spellStart"/>
      <w:r w:rsidRPr="00087F50">
        <w:t>vēlāk</w:t>
      </w:r>
      <w:proofErr w:type="spellEnd"/>
      <w:r w:rsidRPr="00087F50">
        <w:t xml:space="preserve"> </w:t>
      </w:r>
      <w:proofErr w:type="spellStart"/>
      <w:r w:rsidRPr="00087F50">
        <w:t>vidējais</w:t>
      </w:r>
      <w:proofErr w:type="spellEnd"/>
      <w:r w:rsidRPr="00087F50">
        <w:t xml:space="preserve"> </w:t>
      </w:r>
      <w:proofErr w:type="spellStart"/>
      <w:r w:rsidRPr="00087F50">
        <w:t>urīnskābes</w:t>
      </w:r>
      <w:proofErr w:type="spellEnd"/>
      <w:r w:rsidRPr="00087F50">
        <w:t xml:space="preserve"> </w:t>
      </w:r>
      <w:proofErr w:type="spellStart"/>
      <w:r w:rsidRPr="00087F50">
        <w:t>līmenis</w:t>
      </w:r>
      <w:proofErr w:type="spellEnd"/>
      <w:r w:rsidRPr="00087F50">
        <w:t xml:space="preserve"> </w:t>
      </w:r>
      <w:proofErr w:type="spellStart"/>
      <w:r w:rsidRPr="00087F50">
        <w:t>serumā</w:t>
      </w:r>
      <w:proofErr w:type="spellEnd"/>
      <w:r w:rsidRPr="00087F50">
        <w:t xml:space="preserve"> bija </w:t>
      </w:r>
      <w:proofErr w:type="spellStart"/>
      <w:r w:rsidRPr="00087F50">
        <w:t>nozīmīgi</w:t>
      </w:r>
      <w:proofErr w:type="spellEnd"/>
      <w:r w:rsidRPr="00087F50">
        <w:t xml:space="preserve"> </w:t>
      </w:r>
      <w:proofErr w:type="spellStart"/>
      <w:r w:rsidRPr="00087F50">
        <w:t>zemāks</w:t>
      </w:r>
      <w:proofErr w:type="spellEnd"/>
      <w:r w:rsidRPr="00087F50">
        <w:t xml:space="preserve">. </w:t>
      </w:r>
      <w:r w:rsidR="00564594" w:rsidRPr="00087F50">
        <w:t>F</w:t>
      </w:r>
      <w:proofErr w:type="spellStart"/>
      <w:r w:rsidR="00564594" w:rsidRPr="00087F50">
        <w:rPr>
          <w:lang w:val="lv-LV"/>
        </w:rPr>
        <w:t>ebuksostata</w:t>
      </w:r>
      <w:proofErr w:type="spellEnd"/>
      <w:r w:rsidR="00564594" w:rsidRPr="00087F50">
        <w:rPr>
          <w:lang w:val="lv-LV"/>
        </w:rPr>
        <w:t xml:space="preserve"> </w:t>
      </w:r>
      <w:r w:rsidRPr="00087F50">
        <w:t xml:space="preserve">un </w:t>
      </w:r>
      <w:proofErr w:type="spellStart"/>
      <w:r w:rsidRPr="00087F50">
        <w:t>allopurinola</w:t>
      </w:r>
      <w:proofErr w:type="spellEnd"/>
      <w:r w:rsidRPr="00087F50">
        <w:t xml:space="preserve"> </w:t>
      </w:r>
      <w:proofErr w:type="spellStart"/>
      <w:r w:rsidRPr="00087F50">
        <w:t>lietošanas</w:t>
      </w:r>
      <w:proofErr w:type="spellEnd"/>
      <w:r w:rsidRPr="00087F50">
        <w:t xml:space="preserve"> </w:t>
      </w:r>
      <w:proofErr w:type="spellStart"/>
      <w:r w:rsidRPr="00087F50">
        <w:t>gadījumā</w:t>
      </w:r>
      <w:proofErr w:type="spellEnd"/>
      <w:r w:rsidRPr="00087F50">
        <w:t xml:space="preserve"> </w:t>
      </w:r>
      <w:proofErr w:type="spellStart"/>
      <w:r w:rsidRPr="00087F50">
        <w:t>nebija</w:t>
      </w:r>
      <w:proofErr w:type="spellEnd"/>
      <w:r w:rsidRPr="00087F50">
        <w:t xml:space="preserve"> </w:t>
      </w:r>
      <w:proofErr w:type="spellStart"/>
      <w:r w:rsidRPr="00087F50">
        <w:t>nozīmīgu</w:t>
      </w:r>
      <w:proofErr w:type="spellEnd"/>
      <w:r w:rsidRPr="00087F50">
        <w:t xml:space="preserve"> </w:t>
      </w:r>
      <w:proofErr w:type="spellStart"/>
      <w:r w:rsidRPr="00087F50">
        <w:t>vidējā</w:t>
      </w:r>
      <w:proofErr w:type="spellEnd"/>
      <w:r w:rsidRPr="00087F50">
        <w:t xml:space="preserve"> </w:t>
      </w:r>
      <w:proofErr w:type="spellStart"/>
      <w:r w:rsidRPr="00087F50">
        <w:t>seruma</w:t>
      </w:r>
      <w:proofErr w:type="spellEnd"/>
      <w:r w:rsidRPr="00087F50">
        <w:t xml:space="preserve"> </w:t>
      </w:r>
      <w:proofErr w:type="spellStart"/>
      <w:r w:rsidRPr="00087F50">
        <w:t>kreatinīna</w:t>
      </w:r>
      <w:proofErr w:type="spellEnd"/>
      <w:r w:rsidRPr="00087F50">
        <w:t xml:space="preserve"> </w:t>
      </w:r>
      <w:proofErr w:type="spellStart"/>
      <w:r w:rsidRPr="00087F50">
        <w:t>līmeņa</w:t>
      </w:r>
      <w:proofErr w:type="spellEnd"/>
      <w:r w:rsidRPr="00087F50">
        <w:t xml:space="preserve"> </w:t>
      </w:r>
      <w:proofErr w:type="spellStart"/>
      <w:r w:rsidRPr="00087F50">
        <w:t>pārmaiņu</w:t>
      </w:r>
      <w:proofErr w:type="spellEnd"/>
      <w:r w:rsidRPr="00087F50">
        <w:t xml:space="preserve"> </w:t>
      </w:r>
      <w:proofErr w:type="spellStart"/>
      <w:r w:rsidRPr="00087F50">
        <w:t>atšķirību</w:t>
      </w:r>
      <w:proofErr w:type="spellEnd"/>
      <w:r w:rsidRPr="00087F50">
        <w:t xml:space="preserve"> (%) (</w:t>
      </w:r>
      <w:proofErr w:type="spellStart"/>
      <w:r w:rsidRPr="00087F50">
        <w:t>attiecīgi</w:t>
      </w:r>
      <w:proofErr w:type="spellEnd"/>
      <w:r w:rsidRPr="00087F50">
        <w:t xml:space="preserve"> -0,83 ± 26,98, </w:t>
      </w:r>
      <w:proofErr w:type="spellStart"/>
      <w:r w:rsidRPr="00087F50">
        <w:t>salīdzinot</w:t>
      </w:r>
      <w:proofErr w:type="spellEnd"/>
      <w:r w:rsidRPr="00087F50">
        <w:t xml:space="preserve"> ar -4.92 ± 16,70; </w:t>
      </w:r>
      <w:proofErr w:type="spellStart"/>
      <w:r w:rsidRPr="00087F50">
        <w:t>mazāko</w:t>
      </w:r>
      <w:proofErr w:type="spellEnd"/>
      <w:r w:rsidRPr="00087F50">
        <w:t xml:space="preserve"> </w:t>
      </w:r>
      <w:proofErr w:type="spellStart"/>
      <w:r w:rsidRPr="00087F50">
        <w:t>kvadrātu</w:t>
      </w:r>
      <w:proofErr w:type="spellEnd"/>
      <w:r w:rsidRPr="00087F50">
        <w:t xml:space="preserve"> </w:t>
      </w:r>
      <w:proofErr w:type="spellStart"/>
      <w:r w:rsidRPr="00087F50">
        <w:t>vidējo</w:t>
      </w:r>
      <w:proofErr w:type="spellEnd"/>
      <w:r w:rsidRPr="00087F50">
        <w:t xml:space="preserve"> </w:t>
      </w:r>
      <w:proofErr w:type="spellStart"/>
      <w:r w:rsidRPr="00087F50">
        <w:t>raksturlielumu</w:t>
      </w:r>
      <w:proofErr w:type="spellEnd"/>
      <w:r w:rsidRPr="00087F50">
        <w:t xml:space="preserve"> </w:t>
      </w:r>
      <w:proofErr w:type="spellStart"/>
      <w:r w:rsidRPr="00087F50">
        <w:t>atšķirība</w:t>
      </w:r>
      <w:proofErr w:type="spellEnd"/>
      <w:r w:rsidRPr="00087F50">
        <w:t xml:space="preserve">: 4,0970 [95% </w:t>
      </w:r>
      <w:r w:rsidR="00113063" w:rsidRPr="00087F50">
        <w:t>TI</w:t>
      </w:r>
      <w:r w:rsidRPr="00087F50">
        <w:t xml:space="preserve">: -0,6467; 8,8406]; p=0,0903). </w:t>
      </w:r>
      <w:proofErr w:type="spellStart"/>
      <w:r w:rsidRPr="00087F50">
        <w:t>Attiecībā</w:t>
      </w:r>
      <w:proofErr w:type="spellEnd"/>
      <w:r w:rsidRPr="00087F50">
        <w:t xml:space="preserve"> </w:t>
      </w:r>
      <w:proofErr w:type="spellStart"/>
      <w:r w:rsidRPr="00087F50">
        <w:t>uz</w:t>
      </w:r>
      <w:proofErr w:type="spellEnd"/>
      <w:r w:rsidRPr="00087F50">
        <w:t xml:space="preserve"> </w:t>
      </w:r>
      <w:proofErr w:type="spellStart"/>
      <w:r w:rsidRPr="00087F50">
        <w:t>sekundārajiem</w:t>
      </w:r>
      <w:proofErr w:type="spellEnd"/>
      <w:r w:rsidRPr="00087F50">
        <w:t xml:space="preserve"> </w:t>
      </w:r>
      <w:proofErr w:type="spellStart"/>
      <w:r w:rsidRPr="00087F50">
        <w:t>mērķa</w:t>
      </w:r>
      <w:proofErr w:type="spellEnd"/>
      <w:r w:rsidRPr="00087F50">
        <w:t xml:space="preserve"> </w:t>
      </w:r>
      <w:proofErr w:type="spellStart"/>
      <w:r w:rsidRPr="00087F50">
        <w:t>kritērijiem</w:t>
      </w:r>
      <w:proofErr w:type="spellEnd"/>
      <w:r w:rsidRPr="00087F50">
        <w:t xml:space="preserve"> – </w:t>
      </w:r>
      <w:proofErr w:type="spellStart"/>
      <w:r w:rsidRPr="00087F50">
        <w:t>nekonstatēja</w:t>
      </w:r>
      <w:proofErr w:type="spellEnd"/>
      <w:r w:rsidRPr="00087F50">
        <w:t xml:space="preserve"> </w:t>
      </w:r>
      <w:proofErr w:type="spellStart"/>
      <w:r w:rsidRPr="00087F50">
        <w:t>ne</w:t>
      </w:r>
      <w:proofErr w:type="spellEnd"/>
      <w:r w:rsidRPr="00087F50">
        <w:t xml:space="preserve"> </w:t>
      </w:r>
      <w:proofErr w:type="spellStart"/>
      <w:r w:rsidRPr="00087F50">
        <w:t>nozīmīgu</w:t>
      </w:r>
      <w:proofErr w:type="spellEnd"/>
      <w:r w:rsidRPr="00087F50">
        <w:t xml:space="preserve"> </w:t>
      </w:r>
      <w:proofErr w:type="spellStart"/>
      <w:r w:rsidRPr="00087F50">
        <w:t>laboratoriska</w:t>
      </w:r>
      <w:proofErr w:type="spellEnd"/>
      <w:r w:rsidRPr="00087F50">
        <w:t xml:space="preserve"> TLS </w:t>
      </w:r>
      <w:proofErr w:type="spellStart"/>
      <w:r w:rsidRPr="00087F50">
        <w:t>rašanās</w:t>
      </w:r>
      <w:proofErr w:type="spellEnd"/>
      <w:r w:rsidRPr="00087F50">
        <w:t xml:space="preserve"> </w:t>
      </w:r>
      <w:proofErr w:type="spellStart"/>
      <w:r w:rsidRPr="00087F50">
        <w:t>biežuma</w:t>
      </w:r>
      <w:proofErr w:type="spellEnd"/>
      <w:r w:rsidRPr="00087F50">
        <w:t xml:space="preserve"> </w:t>
      </w:r>
      <w:proofErr w:type="spellStart"/>
      <w:r w:rsidRPr="00087F50">
        <w:t>atšķirību</w:t>
      </w:r>
      <w:proofErr w:type="spellEnd"/>
      <w:r w:rsidRPr="00087F50">
        <w:t xml:space="preserve"> (</w:t>
      </w:r>
      <w:proofErr w:type="spellStart"/>
      <w:r w:rsidRPr="00087F50">
        <w:t>attiecīgi</w:t>
      </w:r>
      <w:proofErr w:type="spellEnd"/>
      <w:r w:rsidRPr="00087F50">
        <w:t xml:space="preserve"> 8,1% un 9,2% </w:t>
      </w:r>
      <w:proofErr w:type="spellStart"/>
      <w:r w:rsidRPr="00087F50">
        <w:t>febuksostata</w:t>
      </w:r>
      <w:proofErr w:type="spellEnd"/>
      <w:r w:rsidRPr="00087F50">
        <w:t xml:space="preserve"> un </w:t>
      </w:r>
      <w:proofErr w:type="spellStart"/>
      <w:r w:rsidRPr="00087F50">
        <w:t>allopurinola</w:t>
      </w:r>
      <w:proofErr w:type="spellEnd"/>
      <w:r w:rsidRPr="00087F50">
        <w:t xml:space="preserve"> </w:t>
      </w:r>
      <w:proofErr w:type="spellStart"/>
      <w:r w:rsidRPr="00087F50">
        <w:t>grupās</w:t>
      </w:r>
      <w:proofErr w:type="spellEnd"/>
      <w:r w:rsidRPr="00087F50">
        <w:t xml:space="preserve">; </w:t>
      </w:r>
      <w:proofErr w:type="spellStart"/>
      <w:r w:rsidRPr="00087F50">
        <w:t>relatīvais</w:t>
      </w:r>
      <w:proofErr w:type="spellEnd"/>
      <w:r w:rsidRPr="00087F50">
        <w:t xml:space="preserve"> </w:t>
      </w:r>
      <w:proofErr w:type="spellStart"/>
      <w:r w:rsidRPr="00087F50">
        <w:t>risks</w:t>
      </w:r>
      <w:proofErr w:type="spellEnd"/>
      <w:r w:rsidRPr="00087F50">
        <w:t xml:space="preserve">: 0,875 [95% </w:t>
      </w:r>
      <w:r w:rsidR="00113063" w:rsidRPr="00087F50">
        <w:t>TI</w:t>
      </w:r>
      <w:r w:rsidRPr="00087F50">
        <w:t xml:space="preserve">: 0,4408; 1,7369]; p=0,8488), </w:t>
      </w:r>
      <w:proofErr w:type="spellStart"/>
      <w:r w:rsidRPr="00087F50">
        <w:t>ne</w:t>
      </w:r>
      <w:proofErr w:type="spellEnd"/>
      <w:r w:rsidRPr="00087F50">
        <w:t xml:space="preserve"> </w:t>
      </w:r>
      <w:proofErr w:type="spellStart"/>
      <w:r w:rsidRPr="00087F50">
        <w:t>klīniska</w:t>
      </w:r>
      <w:proofErr w:type="spellEnd"/>
      <w:r w:rsidRPr="00087F50">
        <w:t xml:space="preserve"> TLS </w:t>
      </w:r>
      <w:proofErr w:type="spellStart"/>
      <w:r w:rsidRPr="00087F50">
        <w:t>rašanās</w:t>
      </w:r>
      <w:proofErr w:type="spellEnd"/>
      <w:r w:rsidRPr="00087F50">
        <w:t xml:space="preserve"> </w:t>
      </w:r>
      <w:proofErr w:type="spellStart"/>
      <w:r w:rsidRPr="00087F50">
        <w:t>biežuma</w:t>
      </w:r>
      <w:proofErr w:type="spellEnd"/>
      <w:r w:rsidRPr="00087F50">
        <w:t xml:space="preserve"> </w:t>
      </w:r>
      <w:proofErr w:type="spellStart"/>
      <w:r w:rsidRPr="00087F50">
        <w:t>atšķirību</w:t>
      </w:r>
      <w:proofErr w:type="spellEnd"/>
      <w:r w:rsidRPr="00087F50">
        <w:t xml:space="preserve"> (</w:t>
      </w:r>
      <w:proofErr w:type="spellStart"/>
      <w:r w:rsidRPr="00087F50">
        <w:t>attiecīgi</w:t>
      </w:r>
      <w:proofErr w:type="spellEnd"/>
      <w:r w:rsidRPr="00087F50">
        <w:t xml:space="preserve"> 1,7% un 1,2% </w:t>
      </w:r>
      <w:r w:rsidR="00C52AFF" w:rsidRPr="00087F50">
        <w:t>F</w:t>
      </w:r>
      <w:proofErr w:type="spellStart"/>
      <w:r w:rsidR="00C52AFF" w:rsidRPr="00087F50">
        <w:rPr>
          <w:lang w:val="lv-LV"/>
        </w:rPr>
        <w:t>ebuksostata</w:t>
      </w:r>
      <w:proofErr w:type="spellEnd"/>
      <w:r w:rsidR="00C52AFF" w:rsidRPr="00087F50">
        <w:rPr>
          <w:lang w:val="lv-LV"/>
        </w:rPr>
        <w:t xml:space="preserve"> </w:t>
      </w:r>
      <w:r w:rsidRPr="00087F50">
        <w:t xml:space="preserve">un </w:t>
      </w:r>
      <w:proofErr w:type="spellStart"/>
      <w:r w:rsidRPr="00087F50">
        <w:t>allopurinola</w:t>
      </w:r>
      <w:proofErr w:type="spellEnd"/>
      <w:r w:rsidRPr="00087F50">
        <w:t xml:space="preserve"> </w:t>
      </w:r>
      <w:proofErr w:type="spellStart"/>
      <w:r w:rsidRPr="00087F50">
        <w:t>grupās</w:t>
      </w:r>
      <w:proofErr w:type="spellEnd"/>
      <w:r w:rsidRPr="00087F50">
        <w:t xml:space="preserve">; </w:t>
      </w:r>
      <w:proofErr w:type="spellStart"/>
      <w:r w:rsidRPr="00087F50">
        <w:t>relatīvais</w:t>
      </w:r>
      <w:proofErr w:type="spellEnd"/>
      <w:r w:rsidRPr="00087F50">
        <w:t xml:space="preserve"> </w:t>
      </w:r>
      <w:proofErr w:type="spellStart"/>
      <w:r w:rsidRPr="00087F50">
        <w:t>risks</w:t>
      </w:r>
      <w:proofErr w:type="spellEnd"/>
      <w:r w:rsidRPr="00087F50">
        <w:t xml:space="preserve">: 0,994 [95% </w:t>
      </w:r>
      <w:r w:rsidR="00113063" w:rsidRPr="00087F50">
        <w:t>TI</w:t>
      </w:r>
      <w:r w:rsidRPr="00087F50">
        <w:t xml:space="preserve">: 0,9691; 1,0199]; p=1,0000). </w:t>
      </w:r>
      <w:proofErr w:type="spellStart"/>
      <w:r w:rsidRPr="00087F50">
        <w:t>Kopējais</w:t>
      </w:r>
      <w:proofErr w:type="spellEnd"/>
      <w:r w:rsidRPr="00087F50">
        <w:t xml:space="preserve"> </w:t>
      </w:r>
      <w:proofErr w:type="spellStart"/>
      <w:r w:rsidRPr="00087F50">
        <w:t>ārstēšanas</w:t>
      </w:r>
      <w:proofErr w:type="spellEnd"/>
      <w:r w:rsidRPr="00087F50">
        <w:t xml:space="preserve"> </w:t>
      </w:r>
      <w:proofErr w:type="spellStart"/>
      <w:r w:rsidRPr="00087F50">
        <w:t>izraisīto</w:t>
      </w:r>
      <w:proofErr w:type="spellEnd"/>
      <w:r w:rsidRPr="00087F50">
        <w:t xml:space="preserve"> </w:t>
      </w:r>
      <w:proofErr w:type="spellStart"/>
      <w:r w:rsidRPr="00087F50">
        <w:t>pazīmju</w:t>
      </w:r>
      <w:proofErr w:type="spellEnd"/>
      <w:r w:rsidRPr="00087F50">
        <w:t xml:space="preserve"> un </w:t>
      </w:r>
      <w:proofErr w:type="spellStart"/>
      <w:r w:rsidRPr="00087F50">
        <w:t>simptomu</w:t>
      </w:r>
      <w:proofErr w:type="spellEnd"/>
      <w:r w:rsidRPr="00087F50">
        <w:t xml:space="preserve"> un </w:t>
      </w:r>
      <w:proofErr w:type="spellStart"/>
      <w:r w:rsidRPr="00087F50">
        <w:t>nevēlamo</w:t>
      </w:r>
      <w:proofErr w:type="spellEnd"/>
      <w:r w:rsidRPr="00087F50">
        <w:t xml:space="preserve"> </w:t>
      </w:r>
      <w:proofErr w:type="spellStart"/>
      <w:r w:rsidRPr="00087F50">
        <w:t>blakusparādību</w:t>
      </w:r>
      <w:proofErr w:type="spellEnd"/>
      <w:r w:rsidRPr="00087F50">
        <w:t xml:space="preserve"> </w:t>
      </w:r>
      <w:proofErr w:type="spellStart"/>
      <w:r w:rsidRPr="00087F50">
        <w:t>sastopamības</w:t>
      </w:r>
      <w:proofErr w:type="spellEnd"/>
      <w:r w:rsidRPr="00087F50">
        <w:t xml:space="preserve"> </w:t>
      </w:r>
      <w:proofErr w:type="spellStart"/>
      <w:r w:rsidRPr="00087F50">
        <w:t>biežums</w:t>
      </w:r>
      <w:proofErr w:type="spellEnd"/>
      <w:r w:rsidRPr="00087F50">
        <w:t xml:space="preserve"> bija 67,6%, </w:t>
      </w:r>
      <w:proofErr w:type="spellStart"/>
      <w:r w:rsidRPr="00087F50">
        <w:t>salīdzinot</w:t>
      </w:r>
      <w:proofErr w:type="spellEnd"/>
      <w:r w:rsidRPr="00087F50">
        <w:t xml:space="preserve"> ar 64,7%, un 6,4%, </w:t>
      </w:r>
      <w:proofErr w:type="spellStart"/>
      <w:r w:rsidRPr="00087F50">
        <w:t>salīdzinot</w:t>
      </w:r>
      <w:proofErr w:type="spellEnd"/>
      <w:r w:rsidRPr="00087F50">
        <w:t xml:space="preserve"> ar 6,4%, </w:t>
      </w:r>
      <w:proofErr w:type="spellStart"/>
      <w:r w:rsidRPr="00087F50">
        <w:t>attiecīgi</w:t>
      </w:r>
      <w:proofErr w:type="spellEnd"/>
      <w:r w:rsidRPr="00087F50">
        <w:t xml:space="preserve"> </w:t>
      </w:r>
      <w:proofErr w:type="spellStart"/>
      <w:r w:rsidR="00C52AFF" w:rsidRPr="00087F50">
        <w:rPr>
          <w:lang w:val="lv-LV"/>
        </w:rPr>
        <w:t>febuksostata</w:t>
      </w:r>
      <w:proofErr w:type="spellEnd"/>
      <w:r w:rsidR="00C52AFF" w:rsidRPr="00087F50">
        <w:rPr>
          <w:lang w:val="lv-LV"/>
        </w:rPr>
        <w:t xml:space="preserve"> </w:t>
      </w:r>
      <w:r w:rsidRPr="00087F50">
        <w:t xml:space="preserve">un </w:t>
      </w:r>
      <w:proofErr w:type="spellStart"/>
      <w:r w:rsidRPr="00087F50">
        <w:t>allopurinola</w:t>
      </w:r>
      <w:proofErr w:type="spellEnd"/>
      <w:r w:rsidRPr="00087F50">
        <w:t xml:space="preserve"> </w:t>
      </w:r>
      <w:proofErr w:type="spellStart"/>
      <w:r w:rsidRPr="00087F50">
        <w:t>lietošanas</w:t>
      </w:r>
      <w:proofErr w:type="spellEnd"/>
      <w:r w:rsidRPr="00087F50">
        <w:t xml:space="preserve"> </w:t>
      </w:r>
      <w:proofErr w:type="spellStart"/>
      <w:r w:rsidRPr="00087F50">
        <w:t>gadījumā</w:t>
      </w:r>
      <w:proofErr w:type="spellEnd"/>
      <w:r w:rsidRPr="00087F50">
        <w:t xml:space="preserve">. FLORENCE </w:t>
      </w:r>
      <w:proofErr w:type="spellStart"/>
      <w:r w:rsidRPr="00087F50">
        <w:t>pētījumā</w:t>
      </w:r>
      <w:proofErr w:type="spellEnd"/>
      <w:r w:rsidRPr="00087F50">
        <w:t xml:space="preserve"> </w:t>
      </w:r>
      <w:r w:rsidR="00C52AFF" w:rsidRPr="00087F50">
        <w:t xml:space="preserve"> </w:t>
      </w:r>
      <w:proofErr w:type="spellStart"/>
      <w:r w:rsidR="00C52AFF" w:rsidRPr="00087F50">
        <w:rPr>
          <w:lang w:val="lv-LV"/>
        </w:rPr>
        <w:t>febuksostat</w:t>
      </w:r>
      <w:r w:rsidR="0064147B" w:rsidRPr="00087F50">
        <w:rPr>
          <w:lang w:val="lv-LV"/>
        </w:rPr>
        <w:t>am</w:t>
      </w:r>
      <w:proofErr w:type="spellEnd"/>
      <w:r w:rsidR="0064147B" w:rsidRPr="00087F50">
        <w:rPr>
          <w:lang w:val="lv-LV"/>
        </w:rPr>
        <w:t xml:space="preserve"> </w:t>
      </w:r>
      <w:r w:rsidR="00C52AFF" w:rsidRPr="00087F50">
        <w:rPr>
          <w:lang w:val="lv-LV"/>
        </w:rPr>
        <w:t xml:space="preserve"> </w:t>
      </w:r>
      <w:proofErr w:type="spellStart"/>
      <w:r w:rsidRPr="00087F50">
        <w:t>pierādīta</w:t>
      </w:r>
      <w:proofErr w:type="spellEnd"/>
      <w:r w:rsidRPr="00087F50">
        <w:t xml:space="preserve"> </w:t>
      </w:r>
      <w:proofErr w:type="spellStart"/>
      <w:r w:rsidRPr="00087F50">
        <w:t>labāka</w:t>
      </w:r>
      <w:proofErr w:type="spellEnd"/>
      <w:r w:rsidRPr="00087F50">
        <w:t xml:space="preserve"> </w:t>
      </w:r>
      <w:proofErr w:type="spellStart"/>
      <w:r w:rsidRPr="00087F50">
        <w:t>spēja</w:t>
      </w:r>
      <w:proofErr w:type="spellEnd"/>
      <w:r w:rsidRPr="00087F50">
        <w:t xml:space="preserve"> </w:t>
      </w:r>
      <w:proofErr w:type="spellStart"/>
      <w:r w:rsidRPr="00087F50">
        <w:t>pazemināt</w:t>
      </w:r>
      <w:proofErr w:type="spellEnd"/>
      <w:r w:rsidRPr="00087F50">
        <w:t xml:space="preserve"> </w:t>
      </w:r>
      <w:proofErr w:type="spellStart"/>
      <w:r w:rsidRPr="00087F50">
        <w:t>urīnskābes</w:t>
      </w:r>
      <w:proofErr w:type="spellEnd"/>
      <w:r w:rsidRPr="00087F50">
        <w:t xml:space="preserve"> </w:t>
      </w:r>
      <w:proofErr w:type="spellStart"/>
      <w:r w:rsidRPr="00087F50">
        <w:t>līmeni</w:t>
      </w:r>
      <w:proofErr w:type="spellEnd"/>
      <w:r w:rsidRPr="00087F50">
        <w:t xml:space="preserve"> </w:t>
      </w:r>
      <w:proofErr w:type="spellStart"/>
      <w:r w:rsidRPr="00087F50">
        <w:t>serumā</w:t>
      </w:r>
      <w:proofErr w:type="spellEnd"/>
      <w:r w:rsidRPr="00087F50">
        <w:t xml:space="preserve"> </w:t>
      </w:r>
      <w:proofErr w:type="spellStart"/>
      <w:r w:rsidRPr="00087F50">
        <w:t>nekā</w:t>
      </w:r>
      <w:proofErr w:type="spellEnd"/>
      <w:r w:rsidRPr="00087F50">
        <w:t xml:space="preserve"> </w:t>
      </w:r>
      <w:proofErr w:type="spellStart"/>
      <w:r w:rsidRPr="00087F50">
        <w:t>allopurinolam</w:t>
      </w:r>
      <w:proofErr w:type="spellEnd"/>
      <w:r w:rsidRPr="00087F50">
        <w:t xml:space="preserve"> </w:t>
      </w:r>
      <w:proofErr w:type="spellStart"/>
      <w:r w:rsidRPr="00087F50">
        <w:t>pacientiem</w:t>
      </w:r>
      <w:proofErr w:type="spellEnd"/>
      <w:r w:rsidRPr="00087F50">
        <w:t xml:space="preserve">, </w:t>
      </w:r>
      <w:proofErr w:type="spellStart"/>
      <w:r w:rsidRPr="00087F50">
        <w:t>kas</w:t>
      </w:r>
      <w:proofErr w:type="spellEnd"/>
      <w:r w:rsidRPr="00087F50">
        <w:t xml:space="preserve"> </w:t>
      </w:r>
      <w:proofErr w:type="spellStart"/>
      <w:r w:rsidRPr="00087F50">
        <w:t>pretendē</w:t>
      </w:r>
      <w:proofErr w:type="spellEnd"/>
      <w:r w:rsidRPr="00087F50">
        <w:t xml:space="preserve"> </w:t>
      </w:r>
      <w:proofErr w:type="spellStart"/>
      <w:r w:rsidRPr="00087F50">
        <w:t>uz</w:t>
      </w:r>
      <w:proofErr w:type="spellEnd"/>
      <w:r w:rsidRPr="00087F50">
        <w:t xml:space="preserve"> </w:t>
      </w:r>
      <w:proofErr w:type="spellStart"/>
      <w:r w:rsidRPr="00087F50">
        <w:t>ārstēšanu</w:t>
      </w:r>
      <w:proofErr w:type="spellEnd"/>
      <w:r w:rsidRPr="00087F50">
        <w:t xml:space="preserve"> ar </w:t>
      </w:r>
      <w:proofErr w:type="spellStart"/>
      <w:r w:rsidRPr="00087F50">
        <w:t>allopurinolu</w:t>
      </w:r>
      <w:proofErr w:type="spellEnd"/>
      <w:r w:rsidRPr="00087F50">
        <w:t xml:space="preserve">. </w:t>
      </w:r>
      <w:proofErr w:type="spellStart"/>
      <w:r w:rsidR="00533F17" w:rsidRPr="00087F50">
        <w:t>P</w:t>
      </w:r>
      <w:r w:rsidRPr="00087F50">
        <w:t>ašlaik</w:t>
      </w:r>
      <w:proofErr w:type="spellEnd"/>
      <w:r w:rsidRPr="00087F50">
        <w:t xml:space="preserve"> </w:t>
      </w:r>
      <w:proofErr w:type="spellStart"/>
      <w:r w:rsidRPr="00087F50">
        <w:t>nav</w:t>
      </w:r>
      <w:proofErr w:type="spellEnd"/>
      <w:r w:rsidRPr="00087F50">
        <w:t xml:space="preserve"> </w:t>
      </w:r>
      <w:proofErr w:type="spellStart"/>
      <w:r w:rsidR="0064147B" w:rsidRPr="00087F50">
        <w:rPr>
          <w:lang w:val="lv-LV"/>
        </w:rPr>
        <w:t>febuksostata</w:t>
      </w:r>
      <w:proofErr w:type="spellEnd"/>
      <w:r w:rsidR="0064147B" w:rsidRPr="00087F50">
        <w:rPr>
          <w:lang w:val="lv-LV"/>
        </w:rPr>
        <w:t xml:space="preserve"> </w:t>
      </w:r>
      <w:r w:rsidRPr="00087F50">
        <w:t xml:space="preserve">un </w:t>
      </w:r>
      <w:proofErr w:type="spellStart"/>
      <w:r w:rsidRPr="00087F50">
        <w:t>rasburikāzi</w:t>
      </w:r>
      <w:proofErr w:type="spellEnd"/>
      <w:r w:rsidRPr="00087F50">
        <w:t xml:space="preserve"> </w:t>
      </w:r>
      <w:proofErr w:type="spellStart"/>
      <w:r w:rsidRPr="00087F50">
        <w:t>salīdzinošu</w:t>
      </w:r>
      <w:proofErr w:type="spellEnd"/>
      <w:r w:rsidRPr="00087F50">
        <w:t xml:space="preserve"> </w:t>
      </w:r>
      <w:proofErr w:type="spellStart"/>
      <w:r w:rsidRPr="00087F50">
        <w:t>datu</w:t>
      </w:r>
      <w:proofErr w:type="spellEnd"/>
      <w:r w:rsidRPr="00087F50">
        <w:t xml:space="preserve">. </w:t>
      </w:r>
      <w:proofErr w:type="spellStart"/>
      <w:r w:rsidRPr="00087F50">
        <w:t>Febuksostata</w:t>
      </w:r>
      <w:proofErr w:type="spellEnd"/>
      <w:r w:rsidRPr="00087F50">
        <w:t xml:space="preserve"> </w:t>
      </w:r>
      <w:proofErr w:type="spellStart"/>
      <w:r w:rsidRPr="00087F50">
        <w:t>lietošanas</w:t>
      </w:r>
      <w:proofErr w:type="spellEnd"/>
      <w:r w:rsidRPr="00087F50">
        <w:t xml:space="preserve"> </w:t>
      </w:r>
      <w:proofErr w:type="spellStart"/>
      <w:r w:rsidRPr="00087F50">
        <w:t>efektivitāte</w:t>
      </w:r>
      <w:proofErr w:type="spellEnd"/>
      <w:r w:rsidRPr="00087F50">
        <w:t xml:space="preserve"> un </w:t>
      </w:r>
      <w:proofErr w:type="spellStart"/>
      <w:r w:rsidRPr="00087F50">
        <w:t>drošums</w:t>
      </w:r>
      <w:proofErr w:type="spellEnd"/>
      <w:r w:rsidRPr="00087F50">
        <w:t xml:space="preserve"> </w:t>
      </w:r>
      <w:proofErr w:type="spellStart"/>
      <w:r w:rsidRPr="00087F50">
        <w:t>pacientiem</w:t>
      </w:r>
      <w:proofErr w:type="spellEnd"/>
      <w:r w:rsidRPr="00087F50">
        <w:t xml:space="preserve"> ar </w:t>
      </w:r>
      <w:r w:rsidR="00533F17" w:rsidRPr="00087F50">
        <w:t xml:space="preserve"> </w:t>
      </w:r>
      <w:proofErr w:type="spellStart"/>
      <w:r w:rsidR="00533F17" w:rsidRPr="00087F50">
        <w:t>akūtu</w:t>
      </w:r>
      <w:proofErr w:type="spellEnd"/>
      <w:r w:rsidR="00533F17" w:rsidRPr="00087F50">
        <w:t xml:space="preserve">, </w:t>
      </w:r>
      <w:proofErr w:type="spellStart"/>
      <w:r w:rsidRPr="00087F50">
        <w:t>smagu</w:t>
      </w:r>
      <w:proofErr w:type="spellEnd"/>
      <w:r w:rsidRPr="00087F50">
        <w:t xml:space="preserve"> TLS, </w:t>
      </w:r>
      <w:proofErr w:type="spellStart"/>
      <w:r w:rsidRPr="00087F50">
        <w:t>piemēram</w:t>
      </w:r>
      <w:proofErr w:type="spellEnd"/>
      <w:r w:rsidRPr="00087F50">
        <w:t xml:space="preserve">, </w:t>
      </w:r>
      <w:proofErr w:type="spellStart"/>
      <w:r w:rsidRPr="00087F50">
        <w:t>pacientiem</w:t>
      </w:r>
      <w:proofErr w:type="spellEnd"/>
      <w:r w:rsidRPr="00087F50">
        <w:t xml:space="preserve">, </w:t>
      </w:r>
      <w:proofErr w:type="spellStart"/>
      <w:r w:rsidRPr="00087F50">
        <w:t>kam</w:t>
      </w:r>
      <w:proofErr w:type="spellEnd"/>
      <w:r w:rsidRPr="00087F50">
        <w:t xml:space="preserve"> cita </w:t>
      </w:r>
      <w:proofErr w:type="spellStart"/>
      <w:r w:rsidRPr="00087F50">
        <w:t>urātu</w:t>
      </w:r>
      <w:proofErr w:type="spellEnd"/>
      <w:r w:rsidRPr="00087F50">
        <w:t xml:space="preserve"> </w:t>
      </w:r>
      <w:proofErr w:type="spellStart"/>
      <w:r w:rsidRPr="00087F50">
        <w:t>līmeni</w:t>
      </w:r>
      <w:proofErr w:type="spellEnd"/>
      <w:r w:rsidRPr="00087F50">
        <w:t xml:space="preserve"> </w:t>
      </w:r>
      <w:proofErr w:type="spellStart"/>
      <w:r w:rsidRPr="00087F50">
        <w:t>pazeminoša</w:t>
      </w:r>
      <w:proofErr w:type="spellEnd"/>
      <w:r w:rsidRPr="00087F50">
        <w:t xml:space="preserve"> </w:t>
      </w:r>
      <w:proofErr w:type="spellStart"/>
      <w:r w:rsidRPr="00087F50">
        <w:t>terapija</w:t>
      </w:r>
      <w:proofErr w:type="spellEnd"/>
      <w:r w:rsidRPr="00087F50">
        <w:t xml:space="preserve"> </w:t>
      </w:r>
      <w:proofErr w:type="spellStart"/>
      <w:r w:rsidRPr="00087F50">
        <w:t>bijusi</w:t>
      </w:r>
      <w:proofErr w:type="spellEnd"/>
      <w:r w:rsidRPr="00087F50">
        <w:t xml:space="preserve"> </w:t>
      </w:r>
      <w:proofErr w:type="spellStart"/>
      <w:r w:rsidRPr="00087F50">
        <w:t>neveiksmīga</w:t>
      </w:r>
      <w:proofErr w:type="spellEnd"/>
      <w:r w:rsidRPr="00087F50">
        <w:t xml:space="preserve">, </w:t>
      </w:r>
      <w:proofErr w:type="spellStart"/>
      <w:r w:rsidRPr="00087F50">
        <w:t>nav</w:t>
      </w:r>
      <w:proofErr w:type="spellEnd"/>
      <w:r w:rsidRPr="00087F50">
        <w:t xml:space="preserve"> </w:t>
      </w:r>
      <w:proofErr w:type="spellStart"/>
      <w:r w:rsidRPr="00087F50">
        <w:t>noskaidrots</w:t>
      </w:r>
      <w:proofErr w:type="spellEnd"/>
      <w:r w:rsidRPr="00087F50">
        <w:t xml:space="preserve">. </w:t>
      </w:r>
    </w:p>
    <w:p w14:paraId="06C24521" w14:textId="77777777" w:rsidR="00A77DDF" w:rsidRPr="00087F50" w:rsidRDefault="00A77DDF" w:rsidP="00A77DDF">
      <w:pPr>
        <w:spacing w:after="13" w:line="259" w:lineRule="auto"/>
        <w:ind w:left="1" w:firstLine="0"/>
      </w:pPr>
      <w:r w:rsidRPr="00087F50">
        <w:t xml:space="preserve"> </w:t>
      </w:r>
    </w:p>
    <w:p w14:paraId="65E2B7D0" w14:textId="77777777" w:rsidR="00A77DDF" w:rsidRPr="00087F50" w:rsidRDefault="00A77DDF" w:rsidP="00A77DDF">
      <w:pPr>
        <w:pStyle w:val="Heading3"/>
        <w:tabs>
          <w:tab w:val="center" w:pos="1879"/>
        </w:tabs>
        <w:ind w:left="-13" w:right="0" w:firstLine="0"/>
      </w:pPr>
      <w:r w:rsidRPr="00087F50">
        <w:t xml:space="preserve">5.2. </w:t>
      </w:r>
      <w:r w:rsidRPr="00087F50">
        <w:tab/>
      </w:r>
      <w:proofErr w:type="spellStart"/>
      <w:r w:rsidRPr="00087F50">
        <w:t>Farmakokinētiskās</w:t>
      </w:r>
      <w:proofErr w:type="spellEnd"/>
      <w:r w:rsidRPr="00087F50">
        <w:t xml:space="preserve"> </w:t>
      </w:r>
      <w:proofErr w:type="spellStart"/>
      <w:r w:rsidRPr="00087F50">
        <w:t>īpašības</w:t>
      </w:r>
      <w:proofErr w:type="spellEnd"/>
      <w:r w:rsidRPr="00087F50">
        <w:rPr>
          <w:b w:val="0"/>
        </w:rPr>
        <w:t xml:space="preserve"> </w:t>
      </w:r>
    </w:p>
    <w:p w14:paraId="45B28293" w14:textId="77777777" w:rsidR="00A77DDF" w:rsidRPr="00087F50" w:rsidRDefault="00A77DDF" w:rsidP="00A77DDF">
      <w:pPr>
        <w:spacing w:after="0" w:line="259" w:lineRule="auto"/>
        <w:ind w:left="1" w:firstLine="0"/>
      </w:pPr>
      <w:r w:rsidRPr="00087F50">
        <w:t xml:space="preserve"> </w:t>
      </w:r>
    </w:p>
    <w:p w14:paraId="6C481D56" w14:textId="77777777" w:rsidR="00A77DDF" w:rsidRPr="00087F50" w:rsidRDefault="00A77DDF" w:rsidP="00A77DDF">
      <w:pPr>
        <w:ind w:left="-3" w:right="9"/>
      </w:pPr>
      <w:proofErr w:type="spellStart"/>
      <w:r w:rsidRPr="00087F50">
        <w:t>Veseliem</w:t>
      </w:r>
      <w:proofErr w:type="spellEnd"/>
      <w:r w:rsidRPr="00087F50">
        <w:t xml:space="preserve"> </w:t>
      </w:r>
      <w:proofErr w:type="spellStart"/>
      <w:r w:rsidRPr="00087F50">
        <w:t>indivīdiem</w:t>
      </w:r>
      <w:proofErr w:type="spellEnd"/>
      <w:r w:rsidRPr="00087F50">
        <w:t xml:space="preserve"> </w:t>
      </w:r>
      <w:proofErr w:type="spellStart"/>
      <w:r w:rsidRPr="00087F50">
        <w:t>febuksostata</w:t>
      </w:r>
      <w:proofErr w:type="spellEnd"/>
      <w:r w:rsidRPr="00087F50">
        <w:t xml:space="preserve"> </w:t>
      </w:r>
      <w:proofErr w:type="spellStart"/>
      <w:r w:rsidRPr="00087F50">
        <w:t>maksimālā</w:t>
      </w:r>
      <w:proofErr w:type="spellEnd"/>
      <w:r w:rsidRPr="00087F50">
        <w:t xml:space="preserve"> </w:t>
      </w:r>
      <w:proofErr w:type="spellStart"/>
      <w:r w:rsidRPr="00087F50">
        <w:t>koncentrācija</w:t>
      </w:r>
      <w:proofErr w:type="spellEnd"/>
      <w:r w:rsidRPr="00087F50">
        <w:t xml:space="preserve"> </w:t>
      </w:r>
      <w:proofErr w:type="spellStart"/>
      <w:r w:rsidRPr="00087F50">
        <w:t>plazmā</w:t>
      </w:r>
      <w:proofErr w:type="spellEnd"/>
      <w:r w:rsidRPr="00087F50">
        <w:t xml:space="preserve"> (</w:t>
      </w:r>
      <w:proofErr w:type="spellStart"/>
      <w:r w:rsidRPr="00087F50">
        <w:t>C</w:t>
      </w:r>
      <w:r w:rsidRPr="00087F50">
        <w:rPr>
          <w:vertAlign w:val="subscript"/>
        </w:rPr>
        <w:t>max</w:t>
      </w:r>
      <w:proofErr w:type="spellEnd"/>
      <w:r w:rsidRPr="00087F50">
        <w:t xml:space="preserve">) un </w:t>
      </w:r>
      <w:proofErr w:type="spellStart"/>
      <w:r w:rsidRPr="00087F50">
        <w:t>laiks</w:t>
      </w:r>
      <w:proofErr w:type="spellEnd"/>
      <w:r w:rsidRPr="00087F50">
        <w:t xml:space="preserve">, </w:t>
      </w:r>
      <w:proofErr w:type="spellStart"/>
      <w:r w:rsidRPr="00087F50">
        <w:t>kurā</w:t>
      </w:r>
      <w:proofErr w:type="spellEnd"/>
      <w:r w:rsidRPr="00087F50">
        <w:t xml:space="preserve"> </w:t>
      </w:r>
      <w:proofErr w:type="spellStart"/>
      <w:r w:rsidRPr="00087F50">
        <w:t>zāles</w:t>
      </w:r>
      <w:proofErr w:type="spellEnd"/>
      <w:r w:rsidRPr="00087F50">
        <w:t xml:space="preserve"> </w:t>
      </w:r>
      <w:proofErr w:type="spellStart"/>
      <w:r w:rsidRPr="00087F50">
        <w:t>saglabājas</w:t>
      </w:r>
      <w:proofErr w:type="spellEnd"/>
      <w:r w:rsidRPr="00087F50">
        <w:t xml:space="preserve"> </w:t>
      </w:r>
      <w:proofErr w:type="spellStart"/>
      <w:r w:rsidRPr="00087F50">
        <w:t>plazmā</w:t>
      </w:r>
      <w:proofErr w:type="spellEnd"/>
      <w:r w:rsidRPr="00087F50">
        <w:t xml:space="preserve"> (AUC), </w:t>
      </w:r>
      <w:proofErr w:type="spellStart"/>
      <w:r w:rsidRPr="00087F50">
        <w:t>pēc</w:t>
      </w:r>
      <w:proofErr w:type="spellEnd"/>
      <w:r w:rsidRPr="00087F50">
        <w:t xml:space="preserve"> </w:t>
      </w:r>
      <w:proofErr w:type="spellStart"/>
      <w:r w:rsidRPr="00087F50">
        <w:t>vienas</w:t>
      </w:r>
      <w:proofErr w:type="spellEnd"/>
      <w:r w:rsidRPr="00087F50">
        <w:t xml:space="preserve"> </w:t>
      </w:r>
      <w:proofErr w:type="spellStart"/>
      <w:r w:rsidRPr="00087F50">
        <w:t>vai</w:t>
      </w:r>
      <w:proofErr w:type="spellEnd"/>
      <w:r w:rsidRPr="00087F50">
        <w:t xml:space="preserve"> </w:t>
      </w:r>
      <w:proofErr w:type="spellStart"/>
      <w:r w:rsidRPr="00087F50">
        <w:t>vairāku</w:t>
      </w:r>
      <w:proofErr w:type="spellEnd"/>
      <w:r w:rsidRPr="00087F50">
        <w:t xml:space="preserve"> 10 mg - 120 mg </w:t>
      </w:r>
      <w:proofErr w:type="spellStart"/>
      <w:r w:rsidRPr="00087F50">
        <w:t>devu</w:t>
      </w:r>
      <w:proofErr w:type="spellEnd"/>
      <w:r w:rsidRPr="00087F50">
        <w:t xml:space="preserve"> </w:t>
      </w:r>
      <w:proofErr w:type="spellStart"/>
      <w:r w:rsidRPr="00087F50">
        <w:t>ievadīšanas</w:t>
      </w:r>
      <w:proofErr w:type="spellEnd"/>
      <w:r w:rsidRPr="00087F50">
        <w:t xml:space="preserve"> </w:t>
      </w:r>
      <w:proofErr w:type="spellStart"/>
      <w:r w:rsidRPr="00087F50">
        <w:t>palielinājās</w:t>
      </w:r>
      <w:proofErr w:type="spellEnd"/>
      <w:r w:rsidRPr="00087F50">
        <w:t xml:space="preserve"> </w:t>
      </w:r>
      <w:proofErr w:type="spellStart"/>
      <w:r w:rsidRPr="00087F50">
        <w:t>proporcionāli</w:t>
      </w:r>
      <w:proofErr w:type="spellEnd"/>
      <w:r w:rsidRPr="00087F50">
        <w:t xml:space="preserve"> </w:t>
      </w:r>
      <w:proofErr w:type="spellStart"/>
      <w:r w:rsidRPr="00087F50">
        <w:t>devai</w:t>
      </w:r>
      <w:proofErr w:type="spellEnd"/>
      <w:r w:rsidRPr="00087F50">
        <w:t xml:space="preserve">. Ja </w:t>
      </w:r>
      <w:proofErr w:type="spellStart"/>
      <w:r w:rsidRPr="00087F50">
        <w:t>indivīds</w:t>
      </w:r>
      <w:proofErr w:type="spellEnd"/>
      <w:r w:rsidRPr="00087F50">
        <w:t xml:space="preserve"> </w:t>
      </w:r>
      <w:proofErr w:type="spellStart"/>
      <w:r w:rsidRPr="00087F50">
        <w:t>saņēma</w:t>
      </w:r>
      <w:proofErr w:type="spellEnd"/>
      <w:r w:rsidRPr="00087F50">
        <w:t xml:space="preserve"> 120 mg - 300 mg, </w:t>
      </w:r>
      <w:proofErr w:type="spellStart"/>
      <w:r w:rsidRPr="00087F50">
        <w:t>febuksostata</w:t>
      </w:r>
      <w:proofErr w:type="spellEnd"/>
      <w:r w:rsidRPr="00087F50">
        <w:t xml:space="preserve"> AUC </w:t>
      </w:r>
      <w:proofErr w:type="spellStart"/>
      <w:r w:rsidRPr="00087F50">
        <w:t>pieauga</w:t>
      </w:r>
      <w:proofErr w:type="spellEnd"/>
      <w:r w:rsidRPr="00087F50">
        <w:t xml:space="preserve"> </w:t>
      </w:r>
      <w:proofErr w:type="spellStart"/>
      <w:r w:rsidRPr="00087F50">
        <w:t>straujāk</w:t>
      </w:r>
      <w:proofErr w:type="spellEnd"/>
      <w:r w:rsidRPr="00087F50">
        <w:t xml:space="preserve"> </w:t>
      </w:r>
      <w:proofErr w:type="spellStart"/>
      <w:r w:rsidRPr="00087F50">
        <w:t>nekā</w:t>
      </w:r>
      <w:proofErr w:type="spellEnd"/>
      <w:r w:rsidRPr="00087F50">
        <w:t xml:space="preserve"> </w:t>
      </w:r>
      <w:proofErr w:type="spellStart"/>
      <w:r w:rsidRPr="00087F50">
        <w:t>proporcionāli</w:t>
      </w:r>
      <w:proofErr w:type="spellEnd"/>
      <w:r w:rsidRPr="00087F50">
        <w:t xml:space="preserve"> </w:t>
      </w:r>
      <w:proofErr w:type="spellStart"/>
      <w:r w:rsidRPr="00087F50">
        <w:t>devai</w:t>
      </w:r>
      <w:proofErr w:type="spellEnd"/>
      <w:r w:rsidRPr="00087F50">
        <w:t xml:space="preserve">. </w:t>
      </w:r>
      <w:proofErr w:type="spellStart"/>
      <w:r w:rsidRPr="00087F50">
        <w:t>Zāļu</w:t>
      </w:r>
      <w:proofErr w:type="spellEnd"/>
      <w:r w:rsidRPr="00087F50">
        <w:t xml:space="preserve"> </w:t>
      </w:r>
      <w:proofErr w:type="spellStart"/>
      <w:r w:rsidRPr="00087F50">
        <w:t>uzkrāšanās</w:t>
      </w:r>
      <w:proofErr w:type="spellEnd"/>
      <w:r w:rsidRPr="00087F50">
        <w:t xml:space="preserve">, </w:t>
      </w:r>
      <w:proofErr w:type="spellStart"/>
      <w:r w:rsidRPr="00087F50">
        <w:t>reizi</w:t>
      </w:r>
      <w:proofErr w:type="spellEnd"/>
      <w:r w:rsidRPr="00087F50">
        <w:t xml:space="preserve"> 24 </w:t>
      </w:r>
      <w:proofErr w:type="spellStart"/>
      <w:r w:rsidRPr="00087F50">
        <w:t>stundās</w:t>
      </w:r>
      <w:proofErr w:type="spellEnd"/>
      <w:r w:rsidRPr="00087F50">
        <w:t xml:space="preserve"> </w:t>
      </w:r>
      <w:proofErr w:type="spellStart"/>
      <w:r w:rsidRPr="00087F50">
        <w:t>ievadot</w:t>
      </w:r>
      <w:proofErr w:type="spellEnd"/>
      <w:r w:rsidRPr="00087F50">
        <w:t xml:space="preserve"> 10 mg - 240 mg, </w:t>
      </w:r>
      <w:proofErr w:type="spellStart"/>
      <w:r w:rsidRPr="00087F50">
        <w:t>netika</w:t>
      </w:r>
      <w:proofErr w:type="spellEnd"/>
      <w:r w:rsidRPr="00087F50">
        <w:t xml:space="preserve"> </w:t>
      </w:r>
      <w:proofErr w:type="spellStart"/>
      <w:r w:rsidRPr="00087F50">
        <w:t>konstatēta</w:t>
      </w:r>
      <w:proofErr w:type="spellEnd"/>
      <w:r w:rsidRPr="00087F50">
        <w:t xml:space="preserve">. </w:t>
      </w:r>
      <w:proofErr w:type="spellStart"/>
      <w:r w:rsidRPr="00087F50">
        <w:t>Febuksostata</w:t>
      </w:r>
      <w:proofErr w:type="spellEnd"/>
      <w:r w:rsidRPr="00087F50">
        <w:t xml:space="preserve"> </w:t>
      </w:r>
      <w:proofErr w:type="spellStart"/>
      <w:r w:rsidRPr="00087F50">
        <w:t>vidējais</w:t>
      </w:r>
      <w:proofErr w:type="spellEnd"/>
      <w:r w:rsidRPr="00087F50">
        <w:t xml:space="preserve"> </w:t>
      </w:r>
      <w:proofErr w:type="spellStart"/>
      <w:r w:rsidRPr="00087F50">
        <w:t>galīgās</w:t>
      </w:r>
      <w:proofErr w:type="spellEnd"/>
      <w:r w:rsidRPr="00087F50">
        <w:t xml:space="preserve"> </w:t>
      </w:r>
      <w:proofErr w:type="spellStart"/>
      <w:r w:rsidRPr="00087F50">
        <w:t>eliminācijas</w:t>
      </w:r>
      <w:proofErr w:type="spellEnd"/>
      <w:r w:rsidRPr="00087F50">
        <w:t xml:space="preserve"> </w:t>
      </w:r>
      <w:proofErr w:type="spellStart"/>
      <w:r w:rsidRPr="00087F50">
        <w:t>pusperiods</w:t>
      </w:r>
      <w:proofErr w:type="spellEnd"/>
      <w:r w:rsidRPr="00087F50">
        <w:t xml:space="preserve"> (t</w:t>
      </w:r>
      <w:r w:rsidRPr="00087F50">
        <w:rPr>
          <w:vertAlign w:val="subscript"/>
        </w:rPr>
        <w:t>1/2</w:t>
      </w:r>
      <w:r w:rsidRPr="00087F50">
        <w:t xml:space="preserve">) ir </w:t>
      </w:r>
      <w:proofErr w:type="spellStart"/>
      <w:r w:rsidRPr="00087F50">
        <w:t>apmēram</w:t>
      </w:r>
      <w:proofErr w:type="spellEnd"/>
      <w:r w:rsidRPr="00087F50">
        <w:t xml:space="preserve"> 5-8 </w:t>
      </w:r>
      <w:proofErr w:type="spellStart"/>
      <w:r w:rsidRPr="00087F50">
        <w:t>stundas</w:t>
      </w:r>
      <w:proofErr w:type="spellEnd"/>
      <w:r w:rsidRPr="00087F50">
        <w:t xml:space="preserve">. </w:t>
      </w:r>
    </w:p>
    <w:p w14:paraId="259A6793" w14:textId="77777777" w:rsidR="00A77DDF" w:rsidRPr="00087F50" w:rsidRDefault="00A77DDF" w:rsidP="00A77DDF">
      <w:pPr>
        <w:spacing w:after="0" w:line="259" w:lineRule="auto"/>
        <w:ind w:left="1" w:firstLine="0"/>
      </w:pPr>
      <w:r w:rsidRPr="00087F50">
        <w:t xml:space="preserve"> </w:t>
      </w:r>
    </w:p>
    <w:p w14:paraId="2F844BA5" w14:textId="7F7CB2BE" w:rsidR="00A77DDF" w:rsidRPr="00087F50" w:rsidRDefault="00A77DDF" w:rsidP="00A77DDF">
      <w:pPr>
        <w:ind w:left="-3" w:right="9"/>
      </w:pPr>
      <w:proofErr w:type="spellStart"/>
      <w:r w:rsidRPr="00087F50">
        <w:t>Farmakokinētika</w:t>
      </w:r>
      <w:proofErr w:type="spellEnd"/>
      <w:r w:rsidRPr="00087F50">
        <w:t>/</w:t>
      </w:r>
      <w:proofErr w:type="spellStart"/>
      <w:r w:rsidRPr="00087F50">
        <w:t>farmakodinamika</w:t>
      </w:r>
      <w:proofErr w:type="spellEnd"/>
      <w:r w:rsidRPr="00087F50">
        <w:t xml:space="preserve"> </w:t>
      </w:r>
      <w:proofErr w:type="spellStart"/>
      <w:r w:rsidRPr="00087F50">
        <w:t>populācijas</w:t>
      </w:r>
      <w:proofErr w:type="spellEnd"/>
      <w:r w:rsidRPr="00087F50">
        <w:t xml:space="preserve"> </w:t>
      </w:r>
      <w:proofErr w:type="spellStart"/>
      <w:r w:rsidRPr="00087F50">
        <w:t>ietvaros</w:t>
      </w:r>
      <w:proofErr w:type="spellEnd"/>
      <w:r w:rsidRPr="00087F50">
        <w:t xml:space="preserve"> </w:t>
      </w:r>
      <w:proofErr w:type="spellStart"/>
      <w:r w:rsidRPr="00087F50">
        <w:t>tika</w:t>
      </w:r>
      <w:proofErr w:type="spellEnd"/>
      <w:r w:rsidRPr="00087F50">
        <w:t xml:space="preserve"> </w:t>
      </w:r>
      <w:proofErr w:type="spellStart"/>
      <w:r w:rsidRPr="00087F50">
        <w:t>pētīta</w:t>
      </w:r>
      <w:proofErr w:type="spellEnd"/>
      <w:r w:rsidRPr="00087F50">
        <w:t xml:space="preserve">, </w:t>
      </w:r>
      <w:proofErr w:type="spellStart"/>
      <w:r w:rsidRPr="00087F50">
        <w:t>apsekojot</w:t>
      </w:r>
      <w:proofErr w:type="spellEnd"/>
      <w:r w:rsidRPr="00087F50">
        <w:t xml:space="preserve"> 211 </w:t>
      </w:r>
      <w:proofErr w:type="spellStart"/>
      <w:r w:rsidRPr="00087F50">
        <w:t>pacientus</w:t>
      </w:r>
      <w:proofErr w:type="spellEnd"/>
      <w:r w:rsidRPr="00087F50">
        <w:t xml:space="preserve"> ar </w:t>
      </w:r>
      <w:proofErr w:type="spellStart"/>
      <w:r w:rsidRPr="00087F50">
        <w:t>hiperurikēmiju</w:t>
      </w:r>
      <w:proofErr w:type="spellEnd"/>
      <w:r w:rsidRPr="00087F50">
        <w:t xml:space="preserve"> un </w:t>
      </w:r>
      <w:proofErr w:type="spellStart"/>
      <w:r w:rsidRPr="00087F50">
        <w:t>podagru</w:t>
      </w:r>
      <w:proofErr w:type="spellEnd"/>
      <w:r w:rsidRPr="00087F50">
        <w:t xml:space="preserve">, </w:t>
      </w:r>
      <w:proofErr w:type="spellStart"/>
      <w:r w:rsidRPr="00087F50">
        <w:t>kuri</w:t>
      </w:r>
      <w:proofErr w:type="spellEnd"/>
      <w:r w:rsidRPr="00087F50">
        <w:t xml:space="preserve"> </w:t>
      </w:r>
      <w:proofErr w:type="spellStart"/>
      <w:r w:rsidRPr="00087F50">
        <w:t>saņēma</w:t>
      </w:r>
      <w:proofErr w:type="spellEnd"/>
      <w:r w:rsidRPr="00087F50">
        <w:t xml:space="preserve"> 40-240 mg QD</w:t>
      </w:r>
      <w:r w:rsidR="0064147B" w:rsidRPr="00087F50">
        <w:t xml:space="preserve"> </w:t>
      </w:r>
      <w:proofErr w:type="spellStart"/>
      <w:r w:rsidR="0064147B" w:rsidRPr="00087F50">
        <w:rPr>
          <w:lang w:val="lv-LV"/>
        </w:rPr>
        <w:t>febuksostatu</w:t>
      </w:r>
      <w:proofErr w:type="spellEnd"/>
      <w:r w:rsidRPr="00087F50">
        <w:t xml:space="preserve">. </w:t>
      </w:r>
      <w:proofErr w:type="spellStart"/>
      <w:r w:rsidRPr="00087F50">
        <w:t>Kopumā</w:t>
      </w:r>
      <w:proofErr w:type="spellEnd"/>
      <w:r w:rsidRPr="00087F50">
        <w:t xml:space="preserve"> </w:t>
      </w:r>
      <w:proofErr w:type="spellStart"/>
      <w:r w:rsidRPr="00087F50">
        <w:t>šajās</w:t>
      </w:r>
      <w:proofErr w:type="spellEnd"/>
      <w:r w:rsidRPr="00087F50">
        <w:t xml:space="preserve"> </w:t>
      </w:r>
      <w:proofErr w:type="spellStart"/>
      <w:r w:rsidRPr="00087F50">
        <w:t>analīzēs</w:t>
      </w:r>
      <w:proofErr w:type="spellEnd"/>
      <w:r w:rsidRPr="00087F50">
        <w:t xml:space="preserve"> </w:t>
      </w:r>
      <w:proofErr w:type="spellStart"/>
      <w:r w:rsidRPr="00087F50">
        <w:t>konstatētie</w:t>
      </w:r>
      <w:proofErr w:type="spellEnd"/>
      <w:r w:rsidRPr="00087F50">
        <w:t xml:space="preserve"> </w:t>
      </w:r>
      <w:proofErr w:type="spellStart"/>
      <w:r w:rsidRPr="00087F50">
        <w:t>febuksostata</w:t>
      </w:r>
      <w:proofErr w:type="spellEnd"/>
      <w:r w:rsidRPr="00087F50">
        <w:t xml:space="preserve"> </w:t>
      </w:r>
      <w:proofErr w:type="spellStart"/>
      <w:r w:rsidRPr="00087F50">
        <w:t>farmakokinētiskie</w:t>
      </w:r>
      <w:proofErr w:type="spellEnd"/>
      <w:r w:rsidRPr="00087F50">
        <w:t xml:space="preserve"> </w:t>
      </w:r>
      <w:proofErr w:type="spellStart"/>
      <w:r w:rsidRPr="00087F50">
        <w:t>parametri</w:t>
      </w:r>
      <w:proofErr w:type="spellEnd"/>
      <w:r w:rsidRPr="00087F50">
        <w:t xml:space="preserve"> </w:t>
      </w:r>
      <w:proofErr w:type="spellStart"/>
      <w:r w:rsidRPr="00087F50">
        <w:t>atbilda</w:t>
      </w:r>
      <w:proofErr w:type="spellEnd"/>
      <w:r w:rsidRPr="00087F50">
        <w:t xml:space="preserve"> </w:t>
      </w:r>
      <w:proofErr w:type="spellStart"/>
      <w:r w:rsidRPr="00087F50">
        <w:t>tiem</w:t>
      </w:r>
      <w:proofErr w:type="spellEnd"/>
      <w:r w:rsidRPr="00087F50">
        <w:t xml:space="preserve">, </w:t>
      </w:r>
      <w:proofErr w:type="spellStart"/>
      <w:r w:rsidRPr="00087F50">
        <w:t>kas</w:t>
      </w:r>
      <w:proofErr w:type="spellEnd"/>
      <w:r w:rsidRPr="00087F50">
        <w:t xml:space="preserve"> </w:t>
      </w:r>
      <w:proofErr w:type="spellStart"/>
      <w:r w:rsidRPr="00087F50">
        <w:t>tika</w:t>
      </w:r>
      <w:proofErr w:type="spellEnd"/>
      <w:r w:rsidRPr="00087F50">
        <w:t xml:space="preserve"> </w:t>
      </w:r>
      <w:proofErr w:type="spellStart"/>
      <w:r w:rsidRPr="00087F50">
        <w:t>iegūti</w:t>
      </w:r>
      <w:proofErr w:type="spellEnd"/>
      <w:r w:rsidRPr="00087F50">
        <w:t xml:space="preserve">, </w:t>
      </w:r>
      <w:proofErr w:type="spellStart"/>
      <w:r w:rsidRPr="00087F50">
        <w:t>apsekojot</w:t>
      </w:r>
      <w:proofErr w:type="spellEnd"/>
      <w:r w:rsidRPr="00087F50">
        <w:t xml:space="preserve"> </w:t>
      </w:r>
      <w:proofErr w:type="spellStart"/>
      <w:r w:rsidRPr="00087F50">
        <w:lastRenderedPageBreak/>
        <w:t>veselus</w:t>
      </w:r>
      <w:proofErr w:type="spellEnd"/>
      <w:r w:rsidRPr="00087F50">
        <w:t xml:space="preserve"> </w:t>
      </w:r>
      <w:proofErr w:type="spellStart"/>
      <w:r w:rsidRPr="00087F50">
        <w:t>subjektus</w:t>
      </w:r>
      <w:proofErr w:type="spellEnd"/>
      <w:r w:rsidRPr="00087F50">
        <w:t xml:space="preserve">, </w:t>
      </w:r>
      <w:proofErr w:type="spellStart"/>
      <w:r w:rsidRPr="00087F50">
        <w:t>tātad</w:t>
      </w:r>
      <w:proofErr w:type="spellEnd"/>
      <w:r w:rsidRPr="00087F50">
        <w:t xml:space="preserve"> </w:t>
      </w:r>
      <w:proofErr w:type="spellStart"/>
      <w:r w:rsidRPr="00087F50">
        <w:t>veseli</w:t>
      </w:r>
      <w:proofErr w:type="spellEnd"/>
      <w:r w:rsidRPr="00087F50">
        <w:t xml:space="preserve"> </w:t>
      </w:r>
      <w:proofErr w:type="spellStart"/>
      <w:r w:rsidRPr="00087F50">
        <w:t>subjekti</w:t>
      </w:r>
      <w:proofErr w:type="spellEnd"/>
      <w:r w:rsidRPr="00087F50">
        <w:t xml:space="preserve"> </w:t>
      </w:r>
      <w:proofErr w:type="spellStart"/>
      <w:r w:rsidRPr="00087F50">
        <w:t>ļauj</w:t>
      </w:r>
      <w:proofErr w:type="spellEnd"/>
      <w:r w:rsidRPr="00087F50">
        <w:t xml:space="preserve"> </w:t>
      </w:r>
      <w:proofErr w:type="spellStart"/>
      <w:r w:rsidRPr="00087F50">
        <w:t>spriest</w:t>
      </w:r>
      <w:proofErr w:type="spellEnd"/>
      <w:r w:rsidRPr="00087F50">
        <w:t xml:space="preserve"> par </w:t>
      </w:r>
      <w:proofErr w:type="spellStart"/>
      <w:r w:rsidRPr="00087F50">
        <w:t>zāļu</w:t>
      </w:r>
      <w:proofErr w:type="spellEnd"/>
      <w:r w:rsidRPr="00087F50">
        <w:t xml:space="preserve"> </w:t>
      </w:r>
      <w:proofErr w:type="spellStart"/>
      <w:r w:rsidRPr="00087F50">
        <w:t>farmakokinētiku</w:t>
      </w:r>
      <w:proofErr w:type="spellEnd"/>
      <w:r w:rsidRPr="00087F50">
        <w:t>/</w:t>
      </w:r>
      <w:proofErr w:type="spellStart"/>
      <w:r w:rsidRPr="00087F50">
        <w:t>farmakodinamiku</w:t>
      </w:r>
      <w:proofErr w:type="spellEnd"/>
      <w:r w:rsidRPr="00087F50">
        <w:t xml:space="preserve"> podagras </w:t>
      </w:r>
      <w:proofErr w:type="spellStart"/>
      <w:r w:rsidRPr="00087F50">
        <w:t>slimnieku</w:t>
      </w:r>
      <w:proofErr w:type="spellEnd"/>
      <w:r w:rsidRPr="00087F50">
        <w:t xml:space="preserve"> </w:t>
      </w:r>
      <w:proofErr w:type="spellStart"/>
      <w:r w:rsidRPr="00087F50">
        <w:t>organismā</w:t>
      </w:r>
      <w:proofErr w:type="spellEnd"/>
      <w:r w:rsidRPr="00087F50">
        <w:t xml:space="preserve">. </w:t>
      </w:r>
    </w:p>
    <w:p w14:paraId="0156B93C" w14:textId="77777777" w:rsidR="00A77DDF" w:rsidRPr="00087F50" w:rsidRDefault="00A77DDF" w:rsidP="00A77DDF">
      <w:pPr>
        <w:spacing w:after="0" w:line="259" w:lineRule="auto"/>
        <w:ind w:left="1" w:firstLine="0"/>
      </w:pPr>
      <w:r w:rsidRPr="00087F50">
        <w:rPr>
          <w:b/>
        </w:rPr>
        <w:t xml:space="preserve"> </w:t>
      </w:r>
    </w:p>
    <w:p w14:paraId="770CE06D" w14:textId="77777777" w:rsidR="00A77DDF" w:rsidRPr="00890F7A" w:rsidRDefault="00A77DDF" w:rsidP="00A77DDF">
      <w:pPr>
        <w:spacing w:after="13" w:line="249" w:lineRule="auto"/>
        <w:ind w:left="-3" w:hanging="10"/>
        <w:rPr>
          <w:iCs/>
          <w:u w:val="single"/>
        </w:rPr>
      </w:pPr>
      <w:proofErr w:type="spellStart"/>
      <w:r w:rsidRPr="00890F7A">
        <w:rPr>
          <w:iCs/>
          <w:u w:val="single"/>
        </w:rPr>
        <w:t>Uzsūkšanās</w:t>
      </w:r>
      <w:proofErr w:type="spellEnd"/>
      <w:r w:rsidRPr="00890F7A">
        <w:rPr>
          <w:iCs/>
          <w:u w:val="single"/>
        </w:rPr>
        <w:t xml:space="preserve"> </w:t>
      </w:r>
    </w:p>
    <w:p w14:paraId="440AA731" w14:textId="77777777" w:rsidR="00A77DDF" w:rsidRPr="00087F50" w:rsidRDefault="00A77DDF" w:rsidP="00A77DDF">
      <w:pPr>
        <w:ind w:left="-3" w:right="9"/>
      </w:pPr>
      <w:proofErr w:type="spellStart"/>
      <w:r w:rsidRPr="00087F50">
        <w:t>Febuksostats</w:t>
      </w:r>
      <w:proofErr w:type="spellEnd"/>
      <w:r w:rsidRPr="00087F50">
        <w:t xml:space="preserve"> </w:t>
      </w:r>
      <w:proofErr w:type="spellStart"/>
      <w:r w:rsidRPr="00087F50">
        <w:t>tiek</w:t>
      </w:r>
      <w:proofErr w:type="spellEnd"/>
      <w:r w:rsidRPr="00087F50">
        <w:t xml:space="preserve"> </w:t>
      </w:r>
      <w:proofErr w:type="spellStart"/>
      <w:r w:rsidRPr="00087F50">
        <w:t>absorbēts</w:t>
      </w:r>
      <w:proofErr w:type="spellEnd"/>
      <w:r w:rsidRPr="00087F50">
        <w:t xml:space="preserve"> </w:t>
      </w:r>
      <w:proofErr w:type="spellStart"/>
      <w:r w:rsidRPr="00087F50">
        <w:t>strauji</w:t>
      </w:r>
      <w:proofErr w:type="spellEnd"/>
      <w:r w:rsidRPr="00087F50">
        <w:t xml:space="preserve"> (</w:t>
      </w:r>
      <w:proofErr w:type="spellStart"/>
      <w:r w:rsidRPr="00087F50">
        <w:t>t</w:t>
      </w:r>
      <w:r w:rsidRPr="00087F50">
        <w:rPr>
          <w:vertAlign w:val="subscript"/>
        </w:rPr>
        <w:t>max</w:t>
      </w:r>
      <w:proofErr w:type="spellEnd"/>
      <w:r w:rsidRPr="00087F50">
        <w:t xml:space="preserve"> ir 1,0-1,5 h) un </w:t>
      </w:r>
      <w:proofErr w:type="spellStart"/>
      <w:r w:rsidRPr="00087F50">
        <w:t>labi</w:t>
      </w:r>
      <w:proofErr w:type="spellEnd"/>
      <w:r w:rsidRPr="00087F50">
        <w:t xml:space="preserve"> (</w:t>
      </w:r>
      <w:proofErr w:type="spellStart"/>
      <w:r w:rsidRPr="00087F50">
        <w:t>vismaz</w:t>
      </w:r>
      <w:proofErr w:type="spellEnd"/>
      <w:r w:rsidRPr="00087F50">
        <w:t xml:space="preserve"> 84 %). </w:t>
      </w:r>
      <w:proofErr w:type="spellStart"/>
      <w:r w:rsidRPr="00087F50">
        <w:t>Pēc</w:t>
      </w:r>
      <w:proofErr w:type="spellEnd"/>
      <w:r w:rsidRPr="00087F50">
        <w:t xml:space="preserve"> </w:t>
      </w:r>
      <w:proofErr w:type="spellStart"/>
      <w:r w:rsidRPr="00087F50">
        <w:t>vienas</w:t>
      </w:r>
      <w:proofErr w:type="spellEnd"/>
      <w:r w:rsidRPr="00087F50">
        <w:t xml:space="preserve"> </w:t>
      </w:r>
      <w:proofErr w:type="spellStart"/>
      <w:r w:rsidRPr="00087F50">
        <w:t>vai</w:t>
      </w:r>
      <w:proofErr w:type="spellEnd"/>
      <w:r w:rsidRPr="00087F50">
        <w:t xml:space="preserve"> </w:t>
      </w:r>
      <w:proofErr w:type="spellStart"/>
      <w:r w:rsidRPr="00087F50">
        <w:t>vairākām</w:t>
      </w:r>
      <w:proofErr w:type="spellEnd"/>
      <w:r w:rsidRPr="00087F50">
        <w:t xml:space="preserve"> </w:t>
      </w:r>
      <w:proofErr w:type="spellStart"/>
      <w:r w:rsidRPr="00087F50">
        <w:t>perorāli</w:t>
      </w:r>
      <w:proofErr w:type="spellEnd"/>
      <w:r w:rsidRPr="00087F50">
        <w:t xml:space="preserve"> </w:t>
      </w:r>
      <w:proofErr w:type="spellStart"/>
      <w:r w:rsidRPr="00087F50">
        <w:t>reizi</w:t>
      </w:r>
      <w:proofErr w:type="spellEnd"/>
      <w:r w:rsidRPr="00087F50">
        <w:t xml:space="preserve"> </w:t>
      </w:r>
      <w:proofErr w:type="spellStart"/>
      <w:r w:rsidRPr="00087F50">
        <w:t>dienā</w:t>
      </w:r>
      <w:proofErr w:type="spellEnd"/>
      <w:r w:rsidRPr="00087F50">
        <w:t xml:space="preserve"> </w:t>
      </w:r>
      <w:proofErr w:type="spellStart"/>
      <w:r w:rsidRPr="00087F50">
        <w:t>ievadītām</w:t>
      </w:r>
      <w:proofErr w:type="spellEnd"/>
      <w:r w:rsidRPr="00087F50">
        <w:t xml:space="preserve"> 80 </w:t>
      </w:r>
      <w:proofErr w:type="spellStart"/>
      <w:r w:rsidRPr="00087F50">
        <w:t>vai</w:t>
      </w:r>
      <w:proofErr w:type="spellEnd"/>
      <w:r w:rsidRPr="00087F50">
        <w:t xml:space="preserve"> 120 mg </w:t>
      </w:r>
      <w:proofErr w:type="spellStart"/>
      <w:r w:rsidRPr="00087F50">
        <w:t>devām</w:t>
      </w:r>
      <w:proofErr w:type="spellEnd"/>
      <w:r w:rsidRPr="00087F50">
        <w:t xml:space="preserve"> </w:t>
      </w:r>
      <w:proofErr w:type="spellStart"/>
      <w:r w:rsidRPr="00087F50">
        <w:t>C</w:t>
      </w:r>
      <w:r w:rsidRPr="00087F50">
        <w:rPr>
          <w:vertAlign w:val="subscript"/>
        </w:rPr>
        <w:t>max</w:t>
      </w:r>
      <w:proofErr w:type="spellEnd"/>
      <w:r w:rsidRPr="00087F50">
        <w:rPr>
          <w:vertAlign w:val="subscript"/>
        </w:rPr>
        <w:t xml:space="preserve"> </w:t>
      </w:r>
      <w:r w:rsidRPr="00087F50">
        <w:t xml:space="preserve">bija </w:t>
      </w:r>
      <w:proofErr w:type="spellStart"/>
      <w:r w:rsidRPr="00087F50">
        <w:t>attiecīgi</w:t>
      </w:r>
      <w:proofErr w:type="spellEnd"/>
      <w:r w:rsidRPr="00087F50">
        <w:t xml:space="preserve"> </w:t>
      </w:r>
      <w:proofErr w:type="spellStart"/>
      <w:r w:rsidRPr="00087F50">
        <w:t>apmēram</w:t>
      </w:r>
      <w:proofErr w:type="spellEnd"/>
      <w:r w:rsidRPr="00087F50">
        <w:t xml:space="preserve"> 2,8-3,2 µg/ml un 5,05,3 µg/ml. </w:t>
      </w:r>
      <w:proofErr w:type="spellStart"/>
      <w:r w:rsidRPr="00087F50">
        <w:t>Febuksostata</w:t>
      </w:r>
      <w:proofErr w:type="spellEnd"/>
      <w:r w:rsidRPr="00087F50">
        <w:t xml:space="preserve"> </w:t>
      </w:r>
      <w:proofErr w:type="spellStart"/>
      <w:r w:rsidRPr="00087F50">
        <w:t>tablešu</w:t>
      </w:r>
      <w:proofErr w:type="spellEnd"/>
      <w:r w:rsidRPr="00087F50">
        <w:t xml:space="preserve"> </w:t>
      </w:r>
      <w:proofErr w:type="spellStart"/>
      <w:r w:rsidRPr="00087F50">
        <w:t>absolūtā</w:t>
      </w:r>
      <w:proofErr w:type="spellEnd"/>
      <w:r w:rsidRPr="00087F50">
        <w:t xml:space="preserve"> </w:t>
      </w:r>
      <w:proofErr w:type="spellStart"/>
      <w:r w:rsidRPr="00087F50">
        <w:t>biopieejamība</w:t>
      </w:r>
      <w:proofErr w:type="spellEnd"/>
      <w:r w:rsidRPr="00087F50">
        <w:t xml:space="preserve"> </w:t>
      </w:r>
      <w:proofErr w:type="spellStart"/>
      <w:r w:rsidRPr="00087F50">
        <w:t>nav</w:t>
      </w:r>
      <w:proofErr w:type="spellEnd"/>
      <w:r w:rsidRPr="00087F50">
        <w:t xml:space="preserve"> </w:t>
      </w:r>
      <w:proofErr w:type="spellStart"/>
      <w:r w:rsidRPr="00087F50">
        <w:t>pētīta</w:t>
      </w:r>
      <w:proofErr w:type="spellEnd"/>
      <w:r w:rsidRPr="00087F50">
        <w:t xml:space="preserve">. </w:t>
      </w:r>
    </w:p>
    <w:p w14:paraId="67BCCFE6" w14:textId="77777777" w:rsidR="00A77DDF" w:rsidRPr="00087F50" w:rsidRDefault="00A77DDF" w:rsidP="00A77DDF">
      <w:pPr>
        <w:spacing w:after="0" w:line="259" w:lineRule="auto"/>
        <w:ind w:left="1" w:firstLine="0"/>
      </w:pPr>
      <w:r w:rsidRPr="00087F50">
        <w:t xml:space="preserve"> </w:t>
      </w:r>
    </w:p>
    <w:p w14:paraId="5180A73C" w14:textId="6DE21CB4" w:rsidR="00A77DDF" w:rsidRPr="00087F50" w:rsidRDefault="00A77DDF" w:rsidP="00A77DDF">
      <w:pPr>
        <w:ind w:left="-3" w:right="9"/>
      </w:pPr>
      <w:r w:rsidRPr="00087F50">
        <w:t xml:space="preserve">Ja </w:t>
      </w:r>
      <w:proofErr w:type="spellStart"/>
      <w:r w:rsidRPr="00087F50">
        <w:t>vairākas</w:t>
      </w:r>
      <w:proofErr w:type="spellEnd"/>
      <w:r w:rsidRPr="00087F50">
        <w:t xml:space="preserve"> </w:t>
      </w:r>
      <w:proofErr w:type="spellStart"/>
      <w:r w:rsidRPr="00087F50">
        <w:t>vienu</w:t>
      </w:r>
      <w:proofErr w:type="spellEnd"/>
      <w:r w:rsidRPr="00087F50">
        <w:t xml:space="preserve"> </w:t>
      </w:r>
      <w:proofErr w:type="spellStart"/>
      <w:r w:rsidRPr="00087F50">
        <w:t>reizi</w:t>
      </w:r>
      <w:proofErr w:type="spellEnd"/>
      <w:r w:rsidRPr="00087F50">
        <w:t xml:space="preserve"> </w:t>
      </w:r>
      <w:proofErr w:type="spellStart"/>
      <w:r w:rsidRPr="00087F50">
        <w:t>dienā</w:t>
      </w:r>
      <w:proofErr w:type="spellEnd"/>
      <w:r w:rsidRPr="00087F50">
        <w:t xml:space="preserve"> </w:t>
      </w:r>
      <w:proofErr w:type="spellStart"/>
      <w:r w:rsidRPr="00087F50">
        <w:t>perorāli</w:t>
      </w:r>
      <w:proofErr w:type="spellEnd"/>
      <w:r w:rsidRPr="00087F50">
        <w:t xml:space="preserve"> </w:t>
      </w:r>
      <w:proofErr w:type="spellStart"/>
      <w:r w:rsidRPr="00087F50">
        <w:t>ievadītas</w:t>
      </w:r>
      <w:proofErr w:type="spellEnd"/>
      <w:r w:rsidRPr="00087F50">
        <w:t xml:space="preserve"> 80 mg </w:t>
      </w:r>
      <w:proofErr w:type="spellStart"/>
      <w:r w:rsidRPr="00087F50">
        <w:t>devas</w:t>
      </w:r>
      <w:proofErr w:type="spellEnd"/>
      <w:r w:rsidRPr="00087F50">
        <w:t xml:space="preserve"> </w:t>
      </w:r>
      <w:proofErr w:type="spellStart"/>
      <w:r w:rsidRPr="00087F50">
        <w:t>vai</w:t>
      </w:r>
      <w:proofErr w:type="spellEnd"/>
      <w:r w:rsidRPr="00087F50">
        <w:t xml:space="preserve"> </w:t>
      </w:r>
      <w:proofErr w:type="spellStart"/>
      <w:r w:rsidRPr="00087F50">
        <w:t>viena</w:t>
      </w:r>
      <w:proofErr w:type="spellEnd"/>
      <w:r w:rsidRPr="00087F50">
        <w:t xml:space="preserve"> 120 mg </w:t>
      </w:r>
      <w:proofErr w:type="spellStart"/>
      <w:r w:rsidRPr="00087F50">
        <w:t>deva</w:t>
      </w:r>
      <w:proofErr w:type="spellEnd"/>
      <w:r w:rsidRPr="00087F50">
        <w:t xml:space="preserve"> </w:t>
      </w:r>
      <w:proofErr w:type="spellStart"/>
      <w:r w:rsidRPr="00087F50">
        <w:t>tika</w:t>
      </w:r>
      <w:proofErr w:type="spellEnd"/>
      <w:r w:rsidRPr="00087F50">
        <w:t xml:space="preserve"> </w:t>
      </w:r>
      <w:proofErr w:type="spellStart"/>
      <w:r w:rsidRPr="00087F50">
        <w:t>lietota</w:t>
      </w:r>
      <w:proofErr w:type="spellEnd"/>
      <w:r w:rsidRPr="00087F50">
        <w:t xml:space="preserve"> </w:t>
      </w:r>
      <w:proofErr w:type="spellStart"/>
      <w:r w:rsidRPr="00087F50">
        <w:t>kopā</w:t>
      </w:r>
      <w:proofErr w:type="spellEnd"/>
      <w:r w:rsidRPr="00087F50">
        <w:t xml:space="preserve"> ar </w:t>
      </w:r>
      <w:proofErr w:type="spellStart"/>
      <w:r w:rsidRPr="00087F50">
        <w:t>ļoti</w:t>
      </w:r>
      <w:proofErr w:type="spellEnd"/>
      <w:r w:rsidRPr="00087F50">
        <w:t xml:space="preserve"> </w:t>
      </w:r>
      <w:proofErr w:type="spellStart"/>
      <w:r w:rsidRPr="00087F50">
        <w:t>treknu</w:t>
      </w:r>
      <w:proofErr w:type="spellEnd"/>
      <w:r w:rsidRPr="00087F50">
        <w:t xml:space="preserve"> </w:t>
      </w:r>
      <w:proofErr w:type="spellStart"/>
      <w:r w:rsidRPr="00087F50">
        <w:t>maltīti</w:t>
      </w:r>
      <w:proofErr w:type="spellEnd"/>
      <w:r w:rsidRPr="00087F50">
        <w:t xml:space="preserve">, </w:t>
      </w:r>
      <w:proofErr w:type="spellStart"/>
      <w:r w:rsidRPr="00087F50">
        <w:t>C</w:t>
      </w:r>
      <w:r w:rsidRPr="00087F50">
        <w:rPr>
          <w:vertAlign w:val="subscript"/>
        </w:rPr>
        <w:t>max</w:t>
      </w:r>
      <w:proofErr w:type="spellEnd"/>
      <w:r w:rsidRPr="00087F50">
        <w:rPr>
          <w:vertAlign w:val="subscript"/>
        </w:rPr>
        <w:t xml:space="preserve"> </w:t>
      </w:r>
      <w:proofErr w:type="spellStart"/>
      <w:r w:rsidRPr="00087F50">
        <w:t>samazinājās</w:t>
      </w:r>
      <w:proofErr w:type="spellEnd"/>
      <w:r w:rsidRPr="00087F50">
        <w:t xml:space="preserve"> </w:t>
      </w:r>
      <w:proofErr w:type="spellStart"/>
      <w:r w:rsidRPr="00087F50">
        <w:t>attiecīgi</w:t>
      </w:r>
      <w:proofErr w:type="spellEnd"/>
      <w:r w:rsidRPr="00087F50">
        <w:t xml:space="preserve"> par 49 % un 38 %, </w:t>
      </w:r>
      <w:proofErr w:type="spellStart"/>
      <w:r w:rsidRPr="00087F50">
        <w:t>bet</w:t>
      </w:r>
      <w:proofErr w:type="spellEnd"/>
      <w:r w:rsidRPr="00087F50">
        <w:t xml:space="preserve"> AUC - par 18 % un 16 %. </w:t>
      </w:r>
      <w:proofErr w:type="spellStart"/>
      <w:r w:rsidRPr="00087F50">
        <w:t>Tomēr</w:t>
      </w:r>
      <w:proofErr w:type="spellEnd"/>
      <w:r w:rsidRPr="00087F50">
        <w:t xml:space="preserve"> </w:t>
      </w:r>
      <w:proofErr w:type="spellStart"/>
      <w:r w:rsidRPr="00087F50">
        <w:t>testu</w:t>
      </w:r>
      <w:proofErr w:type="spellEnd"/>
      <w:r w:rsidRPr="00087F50">
        <w:t xml:space="preserve"> </w:t>
      </w:r>
      <w:proofErr w:type="spellStart"/>
      <w:r w:rsidRPr="00087F50">
        <w:t>laikā</w:t>
      </w:r>
      <w:proofErr w:type="spellEnd"/>
      <w:r w:rsidRPr="00087F50">
        <w:t xml:space="preserve"> (</w:t>
      </w:r>
      <w:proofErr w:type="spellStart"/>
      <w:r w:rsidRPr="00087F50">
        <w:t>vairākas</w:t>
      </w:r>
      <w:proofErr w:type="spellEnd"/>
      <w:r w:rsidRPr="00087F50">
        <w:t xml:space="preserve"> 80 mg </w:t>
      </w:r>
      <w:proofErr w:type="spellStart"/>
      <w:r w:rsidRPr="00087F50">
        <w:t>devas</w:t>
      </w:r>
      <w:proofErr w:type="spellEnd"/>
      <w:r w:rsidRPr="00087F50">
        <w:t xml:space="preserve">) </w:t>
      </w:r>
      <w:proofErr w:type="spellStart"/>
      <w:r w:rsidRPr="00087F50">
        <w:t>klīniski</w:t>
      </w:r>
      <w:proofErr w:type="spellEnd"/>
      <w:r w:rsidRPr="00087F50">
        <w:t xml:space="preserve"> </w:t>
      </w:r>
      <w:proofErr w:type="spellStart"/>
      <w:r w:rsidRPr="00087F50">
        <w:t>būtiskas</w:t>
      </w:r>
      <w:proofErr w:type="spellEnd"/>
      <w:r w:rsidRPr="00087F50">
        <w:t xml:space="preserve"> </w:t>
      </w:r>
      <w:proofErr w:type="spellStart"/>
      <w:r w:rsidRPr="00087F50">
        <w:t>izmaiņas</w:t>
      </w:r>
      <w:proofErr w:type="spellEnd"/>
      <w:r w:rsidRPr="00087F50">
        <w:t xml:space="preserve"> </w:t>
      </w:r>
      <w:proofErr w:type="spellStart"/>
      <w:r w:rsidRPr="00087F50">
        <w:t>seruma</w:t>
      </w:r>
      <w:proofErr w:type="spellEnd"/>
      <w:r w:rsidRPr="00087F50">
        <w:t xml:space="preserve"> </w:t>
      </w:r>
      <w:proofErr w:type="spellStart"/>
      <w:r w:rsidRPr="00087F50">
        <w:t>urīnskābes</w:t>
      </w:r>
      <w:proofErr w:type="spellEnd"/>
      <w:r w:rsidRPr="00087F50">
        <w:t xml:space="preserve"> </w:t>
      </w:r>
      <w:proofErr w:type="spellStart"/>
      <w:r w:rsidRPr="00087F50">
        <w:t>līmeņa</w:t>
      </w:r>
      <w:proofErr w:type="spellEnd"/>
      <w:r w:rsidRPr="00087F50">
        <w:t xml:space="preserve"> </w:t>
      </w:r>
      <w:proofErr w:type="spellStart"/>
      <w:r w:rsidRPr="00087F50">
        <w:t>kritumā</w:t>
      </w:r>
      <w:proofErr w:type="spellEnd"/>
      <w:r w:rsidRPr="00087F50">
        <w:t xml:space="preserve"> </w:t>
      </w:r>
      <w:proofErr w:type="spellStart"/>
      <w:r w:rsidRPr="00087F50">
        <w:t>netika</w:t>
      </w:r>
      <w:proofErr w:type="spellEnd"/>
      <w:r w:rsidRPr="00087F50">
        <w:t xml:space="preserve"> </w:t>
      </w:r>
      <w:proofErr w:type="spellStart"/>
      <w:r w:rsidRPr="00087F50">
        <w:t>konstatētas</w:t>
      </w:r>
      <w:proofErr w:type="spellEnd"/>
      <w:r w:rsidRPr="00087F50">
        <w:t xml:space="preserve">. </w:t>
      </w:r>
      <w:proofErr w:type="spellStart"/>
      <w:r w:rsidRPr="00087F50">
        <w:t>Tāpēc</w:t>
      </w:r>
      <w:proofErr w:type="spellEnd"/>
      <w:r w:rsidRPr="00087F50">
        <w:t xml:space="preserve"> </w:t>
      </w:r>
      <w:proofErr w:type="spellStart"/>
      <w:r w:rsidR="00456C6A" w:rsidRPr="00087F50">
        <w:rPr>
          <w:lang w:val="lv-LV"/>
        </w:rPr>
        <w:t>febuksostatu</w:t>
      </w:r>
      <w:proofErr w:type="spellEnd"/>
      <w:r w:rsidR="00456C6A" w:rsidRPr="00087F50">
        <w:rPr>
          <w:lang w:val="lv-LV"/>
        </w:rPr>
        <w:t xml:space="preserve"> </w:t>
      </w:r>
      <w:proofErr w:type="spellStart"/>
      <w:r w:rsidRPr="00087F50">
        <w:t>var</w:t>
      </w:r>
      <w:proofErr w:type="spellEnd"/>
      <w:r w:rsidRPr="00087F50">
        <w:t xml:space="preserve"> </w:t>
      </w:r>
      <w:proofErr w:type="spellStart"/>
      <w:r w:rsidRPr="00087F50">
        <w:t>lietot</w:t>
      </w:r>
      <w:proofErr w:type="spellEnd"/>
      <w:r w:rsidRPr="00087F50">
        <w:t xml:space="preserve"> </w:t>
      </w:r>
      <w:proofErr w:type="spellStart"/>
      <w:r w:rsidRPr="00087F50">
        <w:t>neatkarīgi</w:t>
      </w:r>
      <w:proofErr w:type="spellEnd"/>
      <w:r w:rsidRPr="00087F50">
        <w:t xml:space="preserve"> no </w:t>
      </w:r>
      <w:proofErr w:type="spellStart"/>
      <w:r w:rsidRPr="00087F50">
        <w:t>maltītēm</w:t>
      </w:r>
      <w:proofErr w:type="spellEnd"/>
      <w:r w:rsidRPr="00087F50">
        <w:t xml:space="preserve">. </w:t>
      </w:r>
    </w:p>
    <w:p w14:paraId="4F9C8C3A" w14:textId="77777777" w:rsidR="00A77DDF" w:rsidRPr="00087F50" w:rsidRDefault="00A77DDF" w:rsidP="00A77DDF">
      <w:pPr>
        <w:spacing w:after="0" w:line="259" w:lineRule="auto"/>
        <w:ind w:left="2" w:firstLine="0"/>
      </w:pPr>
      <w:r w:rsidRPr="00087F50">
        <w:t xml:space="preserve"> </w:t>
      </w:r>
    </w:p>
    <w:p w14:paraId="43BC6855" w14:textId="77777777" w:rsidR="00A77DDF" w:rsidRPr="00890F7A" w:rsidRDefault="00A77DDF" w:rsidP="00A77DDF">
      <w:pPr>
        <w:spacing w:after="13" w:line="249" w:lineRule="auto"/>
        <w:ind w:left="-3" w:hanging="10"/>
        <w:rPr>
          <w:iCs/>
          <w:u w:val="single"/>
        </w:rPr>
      </w:pPr>
      <w:proofErr w:type="spellStart"/>
      <w:r w:rsidRPr="00890F7A">
        <w:rPr>
          <w:iCs/>
          <w:u w:val="single"/>
        </w:rPr>
        <w:t>Izkliede</w:t>
      </w:r>
      <w:proofErr w:type="spellEnd"/>
      <w:r w:rsidRPr="00890F7A">
        <w:rPr>
          <w:iCs/>
          <w:u w:val="single"/>
        </w:rPr>
        <w:t xml:space="preserve"> </w:t>
      </w:r>
    </w:p>
    <w:p w14:paraId="2DFB67DC" w14:textId="16FC50EA" w:rsidR="00A77DDF" w:rsidRPr="00087F50" w:rsidRDefault="00A77DDF" w:rsidP="00A77DDF">
      <w:pPr>
        <w:ind w:left="-3" w:right="9"/>
      </w:pPr>
      <w:proofErr w:type="spellStart"/>
      <w:r w:rsidRPr="00087F50">
        <w:t>Febuksostata</w:t>
      </w:r>
      <w:proofErr w:type="spellEnd"/>
      <w:r w:rsidRPr="00087F50">
        <w:t xml:space="preserve"> </w:t>
      </w:r>
      <w:proofErr w:type="spellStart"/>
      <w:r w:rsidRPr="00087F50">
        <w:t>šķietamais</w:t>
      </w:r>
      <w:proofErr w:type="spellEnd"/>
      <w:r w:rsidRPr="00087F50">
        <w:t xml:space="preserve"> </w:t>
      </w:r>
      <w:proofErr w:type="spellStart"/>
      <w:r w:rsidRPr="00087F50">
        <w:t>izkliedes</w:t>
      </w:r>
      <w:proofErr w:type="spellEnd"/>
      <w:r w:rsidRPr="00087F50">
        <w:t xml:space="preserve"> </w:t>
      </w:r>
      <w:proofErr w:type="spellStart"/>
      <w:r w:rsidRPr="00087F50">
        <w:t>tilpums</w:t>
      </w:r>
      <w:proofErr w:type="spellEnd"/>
      <w:r w:rsidRPr="00087F50">
        <w:t xml:space="preserve"> </w:t>
      </w:r>
      <w:proofErr w:type="spellStart"/>
      <w:r w:rsidRPr="00087F50">
        <w:t>līdzsvara</w:t>
      </w:r>
      <w:proofErr w:type="spellEnd"/>
      <w:r w:rsidRPr="00087F50">
        <w:t xml:space="preserve"> </w:t>
      </w:r>
      <w:proofErr w:type="spellStart"/>
      <w:r w:rsidRPr="00087F50">
        <w:t>stāvoklī</w:t>
      </w:r>
      <w:proofErr w:type="spellEnd"/>
      <w:r w:rsidRPr="00087F50">
        <w:t xml:space="preserve"> (</w:t>
      </w:r>
      <w:proofErr w:type="spellStart"/>
      <w:r w:rsidRPr="00087F50">
        <w:t>V</w:t>
      </w:r>
      <w:r w:rsidRPr="00087F50">
        <w:rPr>
          <w:vertAlign w:val="subscript"/>
        </w:rPr>
        <w:t>ss</w:t>
      </w:r>
      <w:proofErr w:type="spellEnd"/>
      <w:r w:rsidRPr="00087F50">
        <w:t xml:space="preserve">/F), </w:t>
      </w:r>
      <w:proofErr w:type="spellStart"/>
      <w:r w:rsidRPr="00087F50">
        <w:t>iekšķīgi</w:t>
      </w:r>
      <w:proofErr w:type="spellEnd"/>
      <w:r w:rsidRPr="00087F50">
        <w:t xml:space="preserve"> </w:t>
      </w:r>
      <w:proofErr w:type="spellStart"/>
      <w:r w:rsidRPr="00087F50">
        <w:t>lietojot</w:t>
      </w:r>
      <w:proofErr w:type="spellEnd"/>
      <w:r w:rsidRPr="00087F50">
        <w:t xml:space="preserve"> 10-300 mg, ir </w:t>
      </w:r>
      <w:proofErr w:type="spellStart"/>
      <w:r w:rsidR="00456C6A" w:rsidRPr="00087F50">
        <w:t>starp</w:t>
      </w:r>
      <w:proofErr w:type="spellEnd"/>
      <w:r w:rsidR="00456C6A" w:rsidRPr="00087F50">
        <w:t xml:space="preserve"> </w:t>
      </w:r>
      <w:r w:rsidRPr="00087F50">
        <w:t>29</w:t>
      </w:r>
      <w:r w:rsidR="00456C6A" w:rsidRPr="00087F50">
        <w:t xml:space="preserve"> </w:t>
      </w:r>
      <w:proofErr w:type="spellStart"/>
      <w:r w:rsidR="00456C6A" w:rsidRPr="00087F50">
        <w:t>līdz</w:t>
      </w:r>
      <w:proofErr w:type="spellEnd"/>
      <w:r w:rsidR="00456C6A" w:rsidRPr="00087F50">
        <w:t xml:space="preserve"> </w:t>
      </w:r>
      <w:r w:rsidRPr="00087F50">
        <w:t xml:space="preserve">75 l. Ar </w:t>
      </w:r>
      <w:proofErr w:type="spellStart"/>
      <w:r w:rsidRPr="00087F50">
        <w:t>plazmas</w:t>
      </w:r>
      <w:proofErr w:type="spellEnd"/>
      <w:r w:rsidRPr="00087F50">
        <w:t xml:space="preserve"> </w:t>
      </w:r>
      <w:proofErr w:type="spellStart"/>
      <w:r w:rsidRPr="00087F50">
        <w:t>proteīniem</w:t>
      </w:r>
      <w:proofErr w:type="spellEnd"/>
      <w:r w:rsidRPr="00087F50">
        <w:t xml:space="preserve"> (</w:t>
      </w:r>
      <w:proofErr w:type="spellStart"/>
      <w:r w:rsidRPr="00087F50">
        <w:t>galvenokārt</w:t>
      </w:r>
      <w:proofErr w:type="spellEnd"/>
      <w:r w:rsidRPr="00087F50">
        <w:t xml:space="preserve"> </w:t>
      </w:r>
      <w:proofErr w:type="spellStart"/>
      <w:r w:rsidRPr="00087F50">
        <w:t>albumīniem</w:t>
      </w:r>
      <w:proofErr w:type="spellEnd"/>
      <w:r w:rsidRPr="00087F50">
        <w:t xml:space="preserve">) </w:t>
      </w:r>
      <w:proofErr w:type="spellStart"/>
      <w:r w:rsidRPr="00087F50">
        <w:t>saistās</w:t>
      </w:r>
      <w:proofErr w:type="spellEnd"/>
      <w:r w:rsidRPr="00087F50">
        <w:t xml:space="preserve"> </w:t>
      </w:r>
      <w:proofErr w:type="spellStart"/>
      <w:r w:rsidRPr="00087F50">
        <w:t>apmēram</w:t>
      </w:r>
      <w:proofErr w:type="spellEnd"/>
      <w:r w:rsidRPr="00087F50">
        <w:t xml:space="preserve"> 99,2 % </w:t>
      </w:r>
      <w:proofErr w:type="spellStart"/>
      <w:r w:rsidRPr="00087F50">
        <w:t>febuksostata</w:t>
      </w:r>
      <w:proofErr w:type="spellEnd"/>
      <w:r w:rsidRPr="00087F50">
        <w:t xml:space="preserve">, un </w:t>
      </w:r>
      <w:proofErr w:type="spellStart"/>
      <w:r w:rsidRPr="00087F50">
        <w:t>šī</w:t>
      </w:r>
      <w:proofErr w:type="spellEnd"/>
      <w:r w:rsidRPr="00087F50">
        <w:t xml:space="preserve"> </w:t>
      </w:r>
      <w:proofErr w:type="spellStart"/>
      <w:r w:rsidRPr="00087F50">
        <w:t>proporcija</w:t>
      </w:r>
      <w:proofErr w:type="spellEnd"/>
      <w:r w:rsidRPr="00087F50">
        <w:t xml:space="preserve"> ir </w:t>
      </w:r>
      <w:proofErr w:type="spellStart"/>
      <w:r w:rsidRPr="00087F50">
        <w:t>nemainīga</w:t>
      </w:r>
      <w:proofErr w:type="spellEnd"/>
      <w:r w:rsidRPr="00087F50">
        <w:t xml:space="preserve"> </w:t>
      </w:r>
      <w:proofErr w:type="spellStart"/>
      <w:r w:rsidRPr="00087F50">
        <w:t>koncentrāciju</w:t>
      </w:r>
      <w:proofErr w:type="spellEnd"/>
      <w:r w:rsidRPr="00087F50">
        <w:t xml:space="preserve"> </w:t>
      </w:r>
      <w:proofErr w:type="spellStart"/>
      <w:r w:rsidRPr="00087F50">
        <w:t>intervālā</w:t>
      </w:r>
      <w:proofErr w:type="spellEnd"/>
      <w:r w:rsidRPr="00087F50">
        <w:t xml:space="preserve">, </w:t>
      </w:r>
      <w:proofErr w:type="spellStart"/>
      <w:r w:rsidRPr="00087F50">
        <w:t>kas</w:t>
      </w:r>
      <w:proofErr w:type="spellEnd"/>
      <w:r w:rsidRPr="00087F50">
        <w:t xml:space="preserve"> </w:t>
      </w:r>
      <w:proofErr w:type="spellStart"/>
      <w:r w:rsidRPr="00087F50">
        <w:t>tiek</w:t>
      </w:r>
      <w:proofErr w:type="spellEnd"/>
      <w:r w:rsidRPr="00087F50">
        <w:t xml:space="preserve"> </w:t>
      </w:r>
      <w:proofErr w:type="spellStart"/>
      <w:r w:rsidRPr="00087F50">
        <w:t>sasniegts</w:t>
      </w:r>
      <w:proofErr w:type="spellEnd"/>
      <w:r w:rsidRPr="00087F50">
        <w:t xml:space="preserve">, </w:t>
      </w:r>
      <w:proofErr w:type="spellStart"/>
      <w:r w:rsidRPr="00087F50">
        <w:t>lietojot</w:t>
      </w:r>
      <w:proofErr w:type="spellEnd"/>
      <w:r w:rsidRPr="00087F50">
        <w:t xml:space="preserve"> 80 un 120 mg </w:t>
      </w:r>
      <w:proofErr w:type="spellStart"/>
      <w:r w:rsidRPr="00087F50">
        <w:t>devas</w:t>
      </w:r>
      <w:proofErr w:type="spellEnd"/>
      <w:r w:rsidRPr="00087F50">
        <w:t xml:space="preserve">. Ar </w:t>
      </w:r>
      <w:proofErr w:type="spellStart"/>
      <w:r w:rsidRPr="00087F50">
        <w:t>plazmas</w:t>
      </w:r>
      <w:proofErr w:type="spellEnd"/>
      <w:r w:rsidRPr="00087F50">
        <w:t xml:space="preserve"> </w:t>
      </w:r>
      <w:proofErr w:type="spellStart"/>
      <w:r w:rsidRPr="00087F50">
        <w:t>proteīniem</w:t>
      </w:r>
      <w:proofErr w:type="spellEnd"/>
      <w:r w:rsidRPr="00087F50">
        <w:t xml:space="preserve"> </w:t>
      </w:r>
      <w:proofErr w:type="spellStart"/>
      <w:r w:rsidRPr="00087F50">
        <w:t>saistās</w:t>
      </w:r>
      <w:proofErr w:type="spellEnd"/>
      <w:r w:rsidRPr="00087F50">
        <w:t xml:space="preserve"> </w:t>
      </w:r>
      <w:proofErr w:type="spellStart"/>
      <w:r w:rsidRPr="00087F50">
        <w:t>apmēram</w:t>
      </w:r>
      <w:proofErr w:type="spellEnd"/>
      <w:r w:rsidRPr="00087F50">
        <w:t xml:space="preserve"> 82-91 % </w:t>
      </w:r>
      <w:proofErr w:type="spellStart"/>
      <w:r w:rsidRPr="00087F50">
        <w:t>aktīvo</w:t>
      </w:r>
      <w:proofErr w:type="spellEnd"/>
      <w:r w:rsidRPr="00087F50">
        <w:t xml:space="preserve"> </w:t>
      </w:r>
      <w:proofErr w:type="spellStart"/>
      <w:r w:rsidRPr="00087F50">
        <w:t>metabolītu</w:t>
      </w:r>
      <w:proofErr w:type="spellEnd"/>
      <w:r w:rsidRPr="00087F50">
        <w:t xml:space="preserve">. </w:t>
      </w:r>
    </w:p>
    <w:p w14:paraId="20CC3ABD" w14:textId="77777777" w:rsidR="00A77DDF" w:rsidRPr="00087F50" w:rsidRDefault="00A77DDF" w:rsidP="00A77DDF">
      <w:pPr>
        <w:spacing w:after="0" w:line="259" w:lineRule="auto"/>
        <w:ind w:left="2" w:firstLine="0"/>
      </w:pPr>
      <w:r w:rsidRPr="00087F50">
        <w:t xml:space="preserve"> </w:t>
      </w:r>
    </w:p>
    <w:p w14:paraId="55F63A01" w14:textId="77777777" w:rsidR="00A77DDF" w:rsidRPr="00890F7A" w:rsidRDefault="00A77DDF" w:rsidP="00A77DDF">
      <w:pPr>
        <w:spacing w:after="13" w:line="249" w:lineRule="auto"/>
        <w:ind w:left="-3" w:hanging="10"/>
        <w:rPr>
          <w:iCs/>
          <w:u w:val="single"/>
        </w:rPr>
      </w:pPr>
      <w:proofErr w:type="spellStart"/>
      <w:r w:rsidRPr="00890F7A">
        <w:rPr>
          <w:iCs/>
          <w:u w:val="single"/>
        </w:rPr>
        <w:t>Biotransformācija</w:t>
      </w:r>
      <w:proofErr w:type="spellEnd"/>
      <w:r w:rsidRPr="00890F7A">
        <w:rPr>
          <w:iCs/>
          <w:u w:val="single"/>
        </w:rPr>
        <w:t xml:space="preserve"> </w:t>
      </w:r>
    </w:p>
    <w:p w14:paraId="621C0DEE" w14:textId="77777777" w:rsidR="00A77DDF" w:rsidRPr="00087F50" w:rsidRDefault="00A77DDF" w:rsidP="00A77DDF">
      <w:pPr>
        <w:ind w:left="-3" w:right="9"/>
      </w:pPr>
      <w:proofErr w:type="spellStart"/>
      <w:r w:rsidRPr="00087F50">
        <w:t>Febuksostats</w:t>
      </w:r>
      <w:proofErr w:type="spellEnd"/>
      <w:r w:rsidRPr="00087F50">
        <w:t xml:space="preserve"> </w:t>
      </w:r>
      <w:proofErr w:type="spellStart"/>
      <w:r w:rsidRPr="00087F50">
        <w:t>tiek</w:t>
      </w:r>
      <w:proofErr w:type="spellEnd"/>
      <w:r w:rsidRPr="00087F50">
        <w:t xml:space="preserve"> </w:t>
      </w:r>
      <w:proofErr w:type="spellStart"/>
      <w:r w:rsidRPr="00087F50">
        <w:t>plaši</w:t>
      </w:r>
      <w:proofErr w:type="spellEnd"/>
      <w:r w:rsidRPr="00087F50">
        <w:t xml:space="preserve"> </w:t>
      </w:r>
      <w:proofErr w:type="spellStart"/>
      <w:r w:rsidRPr="00087F50">
        <w:t>metabolizēts</w:t>
      </w:r>
      <w:proofErr w:type="spellEnd"/>
      <w:r w:rsidRPr="00087F50">
        <w:t xml:space="preserve">, </w:t>
      </w:r>
      <w:proofErr w:type="spellStart"/>
      <w:r w:rsidRPr="00087F50">
        <w:t>konjugējoties</w:t>
      </w:r>
      <w:proofErr w:type="spellEnd"/>
      <w:r w:rsidRPr="00087F50">
        <w:t xml:space="preserve"> </w:t>
      </w:r>
      <w:proofErr w:type="spellStart"/>
      <w:r w:rsidRPr="00087F50">
        <w:t>enzīma</w:t>
      </w:r>
      <w:proofErr w:type="spellEnd"/>
      <w:r w:rsidRPr="00087F50">
        <w:t xml:space="preserve"> </w:t>
      </w:r>
      <w:proofErr w:type="spellStart"/>
      <w:r w:rsidRPr="00087F50">
        <w:t>uridīna</w:t>
      </w:r>
      <w:proofErr w:type="spellEnd"/>
      <w:r w:rsidRPr="00087F50">
        <w:t xml:space="preserve"> </w:t>
      </w:r>
      <w:proofErr w:type="spellStart"/>
      <w:r w:rsidRPr="00087F50">
        <w:t>difosfāta</w:t>
      </w:r>
      <w:proofErr w:type="spellEnd"/>
      <w:r w:rsidRPr="00087F50">
        <w:t xml:space="preserve"> </w:t>
      </w:r>
      <w:proofErr w:type="spellStart"/>
      <w:r w:rsidRPr="00087F50">
        <w:t>glikuronoziltransferāzes</w:t>
      </w:r>
      <w:proofErr w:type="spellEnd"/>
      <w:r w:rsidRPr="00087F50">
        <w:t xml:space="preserve"> (UDPGT) </w:t>
      </w:r>
      <w:proofErr w:type="spellStart"/>
      <w:r w:rsidRPr="00087F50">
        <w:t>sistēmā</w:t>
      </w:r>
      <w:proofErr w:type="spellEnd"/>
      <w:r w:rsidRPr="00087F50">
        <w:t xml:space="preserve"> un </w:t>
      </w:r>
      <w:proofErr w:type="spellStart"/>
      <w:r w:rsidRPr="00087F50">
        <w:t>oksidējoties</w:t>
      </w:r>
      <w:proofErr w:type="spellEnd"/>
      <w:r w:rsidRPr="00087F50">
        <w:t xml:space="preserve"> </w:t>
      </w:r>
      <w:proofErr w:type="spellStart"/>
      <w:r w:rsidRPr="00087F50">
        <w:t>citohroma</w:t>
      </w:r>
      <w:proofErr w:type="spellEnd"/>
      <w:r w:rsidRPr="00087F50">
        <w:t xml:space="preserve"> P450 (CYP) </w:t>
      </w:r>
      <w:proofErr w:type="spellStart"/>
      <w:r w:rsidRPr="00087F50">
        <w:t>sistēmā</w:t>
      </w:r>
      <w:proofErr w:type="spellEnd"/>
      <w:r w:rsidRPr="00087F50">
        <w:t xml:space="preserve">. Ir </w:t>
      </w:r>
      <w:proofErr w:type="spellStart"/>
      <w:r w:rsidRPr="00087F50">
        <w:t>identificēti</w:t>
      </w:r>
      <w:proofErr w:type="spellEnd"/>
      <w:r w:rsidRPr="00087F50">
        <w:t xml:space="preserve"> </w:t>
      </w:r>
      <w:proofErr w:type="spellStart"/>
      <w:r w:rsidRPr="00087F50">
        <w:t>četri</w:t>
      </w:r>
      <w:proofErr w:type="spellEnd"/>
      <w:r w:rsidRPr="00087F50">
        <w:t xml:space="preserve"> </w:t>
      </w:r>
      <w:proofErr w:type="spellStart"/>
      <w:r w:rsidRPr="00087F50">
        <w:t>farmakoloģiski</w:t>
      </w:r>
      <w:proofErr w:type="spellEnd"/>
      <w:r w:rsidRPr="00087F50">
        <w:t xml:space="preserve"> </w:t>
      </w:r>
      <w:proofErr w:type="spellStart"/>
      <w:r w:rsidRPr="00087F50">
        <w:t>aktīvi</w:t>
      </w:r>
      <w:proofErr w:type="spellEnd"/>
      <w:r w:rsidRPr="00087F50">
        <w:t xml:space="preserve"> </w:t>
      </w:r>
      <w:proofErr w:type="spellStart"/>
      <w:r w:rsidRPr="00087F50">
        <w:t>hidroksilmetabolīti</w:t>
      </w:r>
      <w:proofErr w:type="spellEnd"/>
      <w:r w:rsidRPr="00087F50">
        <w:t xml:space="preserve">, no </w:t>
      </w:r>
      <w:proofErr w:type="spellStart"/>
      <w:r w:rsidRPr="00087F50">
        <w:t>kuriem</w:t>
      </w:r>
      <w:proofErr w:type="spellEnd"/>
      <w:r w:rsidRPr="00087F50">
        <w:t xml:space="preserve"> </w:t>
      </w:r>
      <w:proofErr w:type="spellStart"/>
      <w:r w:rsidRPr="00087F50">
        <w:t>trīs</w:t>
      </w:r>
      <w:proofErr w:type="spellEnd"/>
      <w:r w:rsidRPr="00087F50">
        <w:t xml:space="preserve"> ir </w:t>
      </w:r>
      <w:proofErr w:type="spellStart"/>
      <w:r w:rsidRPr="00087F50">
        <w:t>konstatēti</w:t>
      </w:r>
      <w:proofErr w:type="spellEnd"/>
      <w:r w:rsidRPr="00087F50">
        <w:t xml:space="preserve"> </w:t>
      </w:r>
      <w:proofErr w:type="spellStart"/>
      <w:r w:rsidRPr="00087F50">
        <w:t>cilvēka</w:t>
      </w:r>
      <w:proofErr w:type="spellEnd"/>
      <w:r w:rsidRPr="00087F50">
        <w:t xml:space="preserve"> </w:t>
      </w:r>
      <w:proofErr w:type="spellStart"/>
      <w:r w:rsidRPr="00087F50">
        <w:t>plazmā</w:t>
      </w:r>
      <w:proofErr w:type="spellEnd"/>
      <w:r w:rsidRPr="00087F50">
        <w:t xml:space="preserve">. </w:t>
      </w:r>
      <w:r w:rsidRPr="00087F50">
        <w:rPr>
          <w:i/>
        </w:rPr>
        <w:t>In vitro</w:t>
      </w:r>
      <w:r w:rsidRPr="00087F50">
        <w:t xml:space="preserve"> </w:t>
      </w:r>
      <w:proofErr w:type="spellStart"/>
      <w:r w:rsidRPr="00087F50">
        <w:t>pētījumi</w:t>
      </w:r>
      <w:proofErr w:type="spellEnd"/>
      <w:r w:rsidRPr="00087F50">
        <w:t xml:space="preserve">, </w:t>
      </w:r>
      <w:proofErr w:type="spellStart"/>
      <w:r w:rsidRPr="00087F50">
        <w:t>izmantojot</w:t>
      </w:r>
      <w:proofErr w:type="spellEnd"/>
      <w:r w:rsidRPr="00087F50">
        <w:t xml:space="preserve"> </w:t>
      </w:r>
      <w:proofErr w:type="spellStart"/>
      <w:r w:rsidRPr="00087F50">
        <w:t>cilvēka</w:t>
      </w:r>
      <w:proofErr w:type="spellEnd"/>
      <w:r w:rsidRPr="00087F50">
        <w:t xml:space="preserve"> </w:t>
      </w:r>
      <w:proofErr w:type="spellStart"/>
      <w:r w:rsidRPr="00087F50">
        <w:t>aknu</w:t>
      </w:r>
      <w:proofErr w:type="spellEnd"/>
      <w:r w:rsidRPr="00087F50">
        <w:t xml:space="preserve"> </w:t>
      </w:r>
      <w:proofErr w:type="spellStart"/>
      <w:r w:rsidRPr="00087F50">
        <w:t>mikrosomas</w:t>
      </w:r>
      <w:proofErr w:type="spellEnd"/>
      <w:r w:rsidRPr="00087F50">
        <w:t xml:space="preserve">, </w:t>
      </w:r>
      <w:proofErr w:type="spellStart"/>
      <w:r w:rsidRPr="00087F50">
        <w:t>atklāja</w:t>
      </w:r>
      <w:proofErr w:type="spellEnd"/>
      <w:r w:rsidRPr="00087F50">
        <w:t xml:space="preserve">, </w:t>
      </w:r>
      <w:proofErr w:type="spellStart"/>
      <w:r w:rsidRPr="00087F50">
        <w:t>ka</w:t>
      </w:r>
      <w:proofErr w:type="spellEnd"/>
      <w:r w:rsidRPr="00087F50">
        <w:t xml:space="preserve"> </w:t>
      </w:r>
      <w:proofErr w:type="spellStart"/>
      <w:r w:rsidRPr="00087F50">
        <w:t>šos</w:t>
      </w:r>
      <w:proofErr w:type="spellEnd"/>
      <w:r w:rsidRPr="00087F50">
        <w:t xml:space="preserve"> </w:t>
      </w:r>
      <w:proofErr w:type="spellStart"/>
      <w:r w:rsidRPr="00087F50">
        <w:t>oksidatīvos</w:t>
      </w:r>
      <w:proofErr w:type="spellEnd"/>
      <w:r w:rsidRPr="00087F50">
        <w:t xml:space="preserve"> </w:t>
      </w:r>
      <w:proofErr w:type="spellStart"/>
      <w:r w:rsidRPr="00087F50">
        <w:t>metabolītus</w:t>
      </w:r>
      <w:proofErr w:type="spellEnd"/>
      <w:r w:rsidRPr="00087F50">
        <w:t xml:space="preserve"> </w:t>
      </w:r>
      <w:proofErr w:type="spellStart"/>
      <w:r w:rsidRPr="00087F50">
        <w:t>veidoja</w:t>
      </w:r>
      <w:proofErr w:type="spellEnd"/>
      <w:r w:rsidRPr="00087F50">
        <w:t xml:space="preserve"> </w:t>
      </w:r>
      <w:proofErr w:type="spellStart"/>
      <w:r w:rsidRPr="00087F50">
        <w:t>galvenokārt</w:t>
      </w:r>
      <w:proofErr w:type="spellEnd"/>
      <w:r w:rsidRPr="00087F50">
        <w:t xml:space="preserve"> CYP1A1, CYP1A2, CYP2C8 </w:t>
      </w:r>
      <w:proofErr w:type="spellStart"/>
      <w:r w:rsidRPr="00087F50">
        <w:t>vai</w:t>
      </w:r>
      <w:proofErr w:type="spellEnd"/>
      <w:r w:rsidRPr="00087F50">
        <w:t xml:space="preserve"> CYP2C9, </w:t>
      </w:r>
      <w:proofErr w:type="spellStart"/>
      <w:r w:rsidRPr="00087F50">
        <w:t>bet</w:t>
      </w:r>
      <w:proofErr w:type="spellEnd"/>
      <w:r w:rsidRPr="00087F50">
        <w:t xml:space="preserve"> </w:t>
      </w:r>
      <w:proofErr w:type="spellStart"/>
      <w:r w:rsidRPr="00087F50">
        <w:t>febuksostata</w:t>
      </w:r>
      <w:proofErr w:type="spellEnd"/>
      <w:r w:rsidRPr="00087F50">
        <w:t xml:space="preserve"> </w:t>
      </w:r>
      <w:proofErr w:type="spellStart"/>
      <w:r w:rsidRPr="00087F50">
        <w:t>glikuronīdu</w:t>
      </w:r>
      <w:proofErr w:type="spellEnd"/>
      <w:r w:rsidRPr="00087F50">
        <w:t xml:space="preserve"> </w:t>
      </w:r>
      <w:proofErr w:type="spellStart"/>
      <w:r w:rsidRPr="00087F50">
        <w:t>veidoja</w:t>
      </w:r>
      <w:proofErr w:type="spellEnd"/>
      <w:r w:rsidRPr="00087F50">
        <w:t xml:space="preserve"> </w:t>
      </w:r>
      <w:proofErr w:type="spellStart"/>
      <w:r w:rsidRPr="00087F50">
        <w:t>galvenokārt</w:t>
      </w:r>
      <w:proofErr w:type="spellEnd"/>
      <w:r w:rsidRPr="00087F50">
        <w:t xml:space="preserve"> UGT 1A1, 1A8 un 1A9.</w:t>
      </w:r>
      <w:r w:rsidRPr="00087F50">
        <w:rPr>
          <w:b/>
          <w:i/>
        </w:rPr>
        <w:t xml:space="preserve"> </w:t>
      </w:r>
    </w:p>
    <w:p w14:paraId="694F4DEF" w14:textId="77777777" w:rsidR="00A77DDF" w:rsidRPr="00087F50" w:rsidRDefault="00A77DDF" w:rsidP="00A77DDF">
      <w:pPr>
        <w:spacing w:after="0" w:line="259" w:lineRule="auto"/>
        <w:ind w:left="2" w:firstLine="0"/>
      </w:pPr>
      <w:r w:rsidRPr="00087F50">
        <w:rPr>
          <w:i/>
        </w:rPr>
        <w:t xml:space="preserve"> </w:t>
      </w:r>
    </w:p>
    <w:p w14:paraId="226DA7F0" w14:textId="77777777" w:rsidR="00A77DDF" w:rsidRPr="00890F7A" w:rsidRDefault="00A77DDF" w:rsidP="00A77DDF">
      <w:pPr>
        <w:spacing w:after="13" w:line="249" w:lineRule="auto"/>
        <w:ind w:left="-3" w:hanging="10"/>
        <w:rPr>
          <w:iCs/>
          <w:u w:val="single"/>
        </w:rPr>
      </w:pPr>
      <w:proofErr w:type="spellStart"/>
      <w:r w:rsidRPr="00890F7A">
        <w:rPr>
          <w:iCs/>
          <w:u w:val="single"/>
        </w:rPr>
        <w:t>Eliminācija</w:t>
      </w:r>
      <w:proofErr w:type="spellEnd"/>
      <w:r w:rsidRPr="00890F7A">
        <w:rPr>
          <w:iCs/>
          <w:u w:val="single"/>
        </w:rPr>
        <w:t xml:space="preserve"> </w:t>
      </w:r>
    </w:p>
    <w:p w14:paraId="63D05B0E" w14:textId="77777777" w:rsidR="00A77DDF" w:rsidRPr="00087F50" w:rsidRDefault="00A77DDF" w:rsidP="00A77DDF">
      <w:pPr>
        <w:ind w:left="-3" w:right="9"/>
      </w:pPr>
      <w:proofErr w:type="spellStart"/>
      <w:r w:rsidRPr="00087F50">
        <w:t>Febuksostats</w:t>
      </w:r>
      <w:proofErr w:type="spellEnd"/>
      <w:r w:rsidRPr="00087F50">
        <w:t xml:space="preserve"> </w:t>
      </w:r>
      <w:proofErr w:type="spellStart"/>
      <w:r w:rsidRPr="00087F50">
        <w:t>tiek</w:t>
      </w:r>
      <w:proofErr w:type="spellEnd"/>
      <w:r w:rsidRPr="00087F50">
        <w:t xml:space="preserve"> </w:t>
      </w:r>
      <w:proofErr w:type="spellStart"/>
      <w:r w:rsidRPr="00087F50">
        <w:t>eliminēts</w:t>
      </w:r>
      <w:proofErr w:type="spellEnd"/>
      <w:r w:rsidRPr="00087F50">
        <w:t xml:space="preserve"> </w:t>
      </w:r>
      <w:proofErr w:type="spellStart"/>
      <w:r w:rsidRPr="00087F50">
        <w:t>gan</w:t>
      </w:r>
      <w:proofErr w:type="spellEnd"/>
      <w:r w:rsidRPr="00087F50">
        <w:t xml:space="preserve"> </w:t>
      </w:r>
      <w:proofErr w:type="spellStart"/>
      <w:r w:rsidRPr="00087F50">
        <w:t>caur</w:t>
      </w:r>
      <w:proofErr w:type="spellEnd"/>
      <w:r w:rsidRPr="00087F50">
        <w:t xml:space="preserve"> </w:t>
      </w:r>
      <w:proofErr w:type="spellStart"/>
      <w:r w:rsidRPr="00087F50">
        <w:t>aknām</w:t>
      </w:r>
      <w:proofErr w:type="spellEnd"/>
      <w:r w:rsidRPr="00087F50">
        <w:t xml:space="preserve">, </w:t>
      </w:r>
      <w:proofErr w:type="spellStart"/>
      <w:r w:rsidRPr="00087F50">
        <w:t>gan</w:t>
      </w:r>
      <w:proofErr w:type="spellEnd"/>
      <w:r w:rsidRPr="00087F50">
        <w:t xml:space="preserve"> </w:t>
      </w:r>
      <w:proofErr w:type="spellStart"/>
      <w:r w:rsidRPr="00087F50">
        <w:t>nierēm</w:t>
      </w:r>
      <w:proofErr w:type="spellEnd"/>
      <w:r w:rsidRPr="00087F50">
        <w:t xml:space="preserve">. </w:t>
      </w:r>
      <w:proofErr w:type="spellStart"/>
      <w:r w:rsidRPr="00087F50">
        <w:t>Pēc</w:t>
      </w:r>
      <w:proofErr w:type="spellEnd"/>
      <w:r w:rsidRPr="00087F50">
        <w:t xml:space="preserve"> </w:t>
      </w:r>
      <w:proofErr w:type="spellStart"/>
      <w:r w:rsidRPr="00087F50">
        <w:t>perorāli</w:t>
      </w:r>
      <w:proofErr w:type="spellEnd"/>
      <w:r w:rsidRPr="00087F50">
        <w:t xml:space="preserve"> </w:t>
      </w:r>
      <w:proofErr w:type="spellStart"/>
      <w:r w:rsidRPr="00087F50">
        <w:t>ievadītiem</w:t>
      </w:r>
      <w:proofErr w:type="spellEnd"/>
      <w:r w:rsidRPr="00087F50">
        <w:t xml:space="preserve"> 80 mg ar </w:t>
      </w:r>
      <w:r w:rsidRPr="00087F50">
        <w:rPr>
          <w:vertAlign w:val="superscript"/>
        </w:rPr>
        <w:t>14</w:t>
      </w:r>
      <w:r w:rsidRPr="00087F50">
        <w:t xml:space="preserve">Ciezīmēta </w:t>
      </w:r>
      <w:proofErr w:type="spellStart"/>
      <w:r w:rsidRPr="00087F50">
        <w:t>febuksostata</w:t>
      </w:r>
      <w:proofErr w:type="spellEnd"/>
      <w:r w:rsidRPr="00087F50">
        <w:t xml:space="preserve">, </w:t>
      </w:r>
      <w:proofErr w:type="spellStart"/>
      <w:r w:rsidRPr="00087F50">
        <w:t>apmēram</w:t>
      </w:r>
      <w:proofErr w:type="spellEnd"/>
      <w:r w:rsidRPr="00087F50">
        <w:t xml:space="preserve"> 49 % </w:t>
      </w:r>
      <w:proofErr w:type="spellStart"/>
      <w:r w:rsidRPr="00087F50">
        <w:t>devas</w:t>
      </w:r>
      <w:proofErr w:type="spellEnd"/>
      <w:r w:rsidRPr="00087F50">
        <w:t xml:space="preserve"> </w:t>
      </w:r>
      <w:proofErr w:type="spellStart"/>
      <w:r w:rsidRPr="00087F50">
        <w:t>izdalījās</w:t>
      </w:r>
      <w:proofErr w:type="spellEnd"/>
      <w:r w:rsidRPr="00087F50">
        <w:t xml:space="preserve"> </w:t>
      </w:r>
      <w:proofErr w:type="spellStart"/>
      <w:r w:rsidRPr="00087F50">
        <w:t>urīnā</w:t>
      </w:r>
      <w:proofErr w:type="spellEnd"/>
      <w:r w:rsidRPr="00087F50">
        <w:t xml:space="preserve"> </w:t>
      </w:r>
      <w:proofErr w:type="spellStart"/>
      <w:r w:rsidRPr="00087F50">
        <w:t>neizmanīta</w:t>
      </w:r>
      <w:proofErr w:type="spellEnd"/>
      <w:r w:rsidRPr="00087F50">
        <w:t xml:space="preserve"> </w:t>
      </w:r>
      <w:proofErr w:type="spellStart"/>
      <w:r w:rsidRPr="00087F50">
        <w:t>febuksostata</w:t>
      </w:r>
      <w:proofErr w:type="spellEnd"/>
      <w:r w:rsidRPr="00087F50">
        <w:t xml:space="preserve"> (3 %), </w:t>
      </w:r>
      <w:proofErr w:type="spellStart"/>
      <w:r w:rsidRPr="00087F50">
        <w:t>aktīvās</w:t>
      </w:r>
      <w:proofErr w:type="spellEnd"/>
      <w:r w:rsidRPr="00087F50">
        <w:t xml:space="preserve"> </w:t>
      </w:r>
      <w:proofErr w:type="spellStart"/>
      <w:r w:rsidRPr="00087F50">
        <w:t>vielas</w:t>
      </w:r>
      <w:proofErr w:type="spellEnd"/>
      <w:r w:rsidRPr="00087F50">
        <w:t xml:space="preserve"> </w:t>
      </w:r>
      <w:proofErr w:type="spellStart"/>
      <w:r w:rsidRPr="00087F50">
        <w:t>acilglikuronīda</w:t>
      </w:r>
      <w:proofErr w:type="spellEnd"/>
      <w:r w:rsidRPr="00087F50">
        <w:t xml:space="preserve"> (30 %), </w:t>
      </w:r>
      <w:proofErr w:type="spellStart"/>
      <w:r w:rsidRPr="00087F50">
        <w:t>zināmo</w:t>
      </w:r>
      <w:proofErr w:type="spellEnd"/>
      <w:r w:rsidRPr="00087F50">
        <w:t xml:space="preserve"> </w:t>
      </w:r>
      <w:proofErr w:type="spellStart"/>
      <w:r w:rsidRPr="00087F50">
        <w:t>oksidatīvo</w:t>
      </w:r>
      <w:proofErr w:type="spellEnd"/>
      <w:r w:rsidRPr="00087F50">
        <w:t xml:space="preserve"> </w:t>
      </w:r>
      <w:proofErr w:type="spellStart"/>
      <w:r w:rsidRPr="00087F50">
        <w:t>metabolītu</w:t>
      </w:r>
      <w:proofErr w:type="spellEnd"/>
      <w:r w:rsidRPr="00087F50">
        <w:t xml:space="preserve"> un </w:t>
      </w:r>
      <w:proofErr w:type="spellStart"/>
      <w:r w:rsidRPr="00087F50">
        <w:t>to</w:t>
      </w:r>
      <w:proofErr w:type="spellEnd"/>
      <w:r w:rsidRPr="00087F50">
        <w:t xml:space="preserve"> </w:t>
      </w:r>
      <w:proofErr w:type="spellStart"/>
      <w:r w:rsidRPr="00087F50">
        <w:t>konjugātu</w:t>
      </w:r>
      <w:proofErr w:type="spellEnd"/>
      <w:r w:rsidRPr="00087F50">
        <w:t xml:space="preserve"> (13 %) un </w:t>
      </w:r>
      <w:proofErr w:type="spellStart"/>
      <w:r w:rsidRPr="00087F50">
        <w:t>nezināmu</w:t>
      </w:r>
      <w:proofErr w:type="spellEnd"/>
      <w:r w:rsidRPr="00087F50">
        <w:t xml:space="preserve"> </w:t>
      </w:r>
      <w:proofErr w:type="spellStart"/>
      <w:r w:rsidRPr="00087F50">
        <w:t>metabolītu</w:t>
      </w:r>
      <w:proofErr w:type="spellEnd"/>
      <w:r w:rsidRPr="00087F50">
        <w:t xml:space="preserve"> </w:t>
      </w:r>
      <w:proofErr w:type="spellStart"/>
      <w:r w:rsidRPr="00087F50">
        <w:t>veidā</w:t>
      </w:r>
      <w:proofErr w:type="spellEnd"/>
      <w:r w:rsidRPr="00087F50">
        <w:t xml:space="preserve"> (3 %). </w:t>
      </w:r>
      <w:proofErr w:type="spellStart"/>
      <w:r w:rsidRPr="00087F50">
        <w:t>Papildus</w:t>
      </w:r>
      <w:proofErr w:type="spellEnd"/>
      <w:r w:rsidRPr="00087F50">
        <w:t xml:space="preserve"> </w:t>
      </w:r>
      <w:proofErr w:type="spellStart"/>
      <w:r w:rsidRPr="00087F50">
        <w:t>ekskrēcijai</w:t>
      </w:r>
      <w:proofErr w:type="spellEnd"/>
      <w:r w:rsidRPr="00087F50">
        <w:t xml:space="preserve"> </w:t>
      </w:r>
      <w:proofErr w:type="spellStart"/>
      <w:r w:rsidRPr="00087F50">
        <w:t>urīnā</w:t>
      </w:r>
      <w:proofErr w:type="spellEnd"/>
      <w:r w:rsidRPr="00087F50">
        <w:t xml:space="preserve"> </w:t>
      </w:r>
      <w:proofErr w:type="spellStart"/>
      <w:r w:rsidRPr="00087F50">
        <w:t>apmēram</w:t>
      </w:r>
      <w:proofErr w:type="spellEnd"/>
      <w:r w:rsidRPr="00087F50">
        <w:t xml:space="preserve"> 45 % </w:t>
      </w:r>
      <w:proofErr w:type="spellStart"/>
      <w:r w:rsidRPr="00087F50">
        <w:t>devas</w:t>
      </w:r>
      <w:proofErr w:type="spellEnd"/>
      <w:r w:rsidRPr="00087F50">
        <w:t xml:space="preserve"> </w:t>
      </w:r>
      <w:proofErr w:type="spellStart"/>
      <w:r w:rsidRPr="00087F50">
        <w:t>izdalījās</w:t>
      </w:r>
      <w:proofErr w:type="spellEnd"/>
      <w:r w:rsidRPr="00087F50">
        <w:t xml:space="preserve"> </w:t>
      </w:r>
      <w:proofErr w:type="spellStart"/>
      <w:r w:rsidRPr="00087F50">
        <w:t>izkārnījumos</w:t>
      </w:r>
      <w:proofErr w:type="spellEnd"/>
      <w:r w:rsidRPr="00087F50">
        <w:t xml:space="preserve"> </w:t>
      </w:r>
      <w:proofErr w:type="spellStart"/>
      <w:r w:rsidRPr="00087F50">
        <w:t>neizmanīta</w:t>
      </w:r>
      <w:proofErr w:type="spellEnd"/>
      <w:r w:rsidRPr="00087F50">
        <w:t xml:space="preserve"> </w:t>
      </w:r>
      <w:proofErr w:type="spellStart"/>
      <w:r w:rsidRPr="00087F50">
        <w:t>febuksostata</w:t>
      </w:r>
      <w:proofErr w:type="spellEnd"/>
      <w:r w:rsidRPr="00087F50">
        <w:t xml:space="preserve"> (12 %), </w:t>
      </w:r>
      <w:proofErr w:type="spellStart"/>
      <w:r w:rsidRPr="00087F50">
        <w:t>aktīvās</w:t>
      </w:r>
      <w:proofErr w:type="spellEnd"/>
      <w:r w:rsidRPr="00087F50">
        <w:t xml:space="preserve"> </w:t>
      </w:r>
      <w:proofErr w:type="spellStart"/>
      <w:r w:rsidRPr="00087F50">
        <w:t>vielas</w:t>
      </w:r>
      <w:proofErr w:type="spellEnd"/>
      <w:r w:rsidRPr="00087F50">
        <w:t xml:space="preserve"> </w:t>
      </w:r>
      <w:proofErr w:type="spellStart"/>
      <w:r w:rsidRPr="00087F50">
        <w:t>acilglikuronīda</w:t>
      </w:r>
      <w:proofErr w:type="spellEnd"/>
      <w:r w:rsidRPr="00087F50">
        <w:t xml:space="preserve"> (1 %), </w:t>
      </w:r>
      <w:proofErr w:type="spellStart"/>
      <w:r w:rsidRPr="00087F50">
        <w:t>zināmo</w:t>
      </w:r>
      <w:proofErr w:type="spellEnd"/>
      <w:r w:rsidRPr="00087F50">
        <w:t xml:space="preserve"> </w:t>
      </w:r>
      <w:proofErr w:type="spellStart"/>
      <w:r w:rsidRPr="00087F50">
        <w:t>oksidatīvo</w:t>
      </w:r>
      <w:proofErr w:type="spellEnd"/>
      <w:r w:rsidRPr="00087F50">
        <w:t xml:space="preserve"> </w:t>
      </w:r>
      <w:proofErr w:type="spellStart"/>
      <w:r w:rsidRPr="00087F50">
        <w:t>metabolītu</w:t>
      </w:r>
      <w:proofErr w:type="spellEnd"/>
      <w:r w:rsidRPr="00087F50">
        <w:t xml:space="preserve"> un </w:t>
      </w:r>
      <w:proofErr w:type="spellStart"/>
      <w:r w:rsidRPr="00087F50">
        <w:t>to</w:t>
      </w:r>
      <w:proofErr w:type="spellEnd"/>
      <w:r w:rsidRPr="00087F50">
        <w:t xml:space="preserve"> </w:t>
      </w:r>
      <w:proofErr w:type="spellStart"/>
      <w:r w:rsidRPr="00087F50">
        <w:t>konjugātu</w:t>
      </w:r>
      <w:proofErr w:type="spellEnd"/>
      <w:r w:rsidRPr="00087F50">
        <w:t xml:space="preserve"> (25 %) un </w:t>
      </w:r>
      <w:proofErr w:type="spellStart"/>
      <w:r w:rsidRPr="00087F50">
        <w:t>nezināmu</w:t>
      </w:r>
      <w:proofErr w:type="spellEnd"/>
      <w:r w:rsidRPr="00087F50">
        <w:t xml:space="preserve"> </w:t>
      </w:r>
      <w:proofErr w:type="spellStart"/>
      <w:r w:rsidRPr="00087F50">
        <w:t>metabolītu</w:t>
      </w:r>
      <w:proofErr w:type="spellEnd"/>
      <w:r w:rsidRPr="00087F50">
        <w:t xml:space="preserve"> </w:t>
      </w:r>
      <w:proofErr w:type="spellStart"/>
      <w:r w:rsidRPr="00087F50">
        <w:t>veidā</w:t>
      </w:r>
      <w:proofErr w:type="spellEnd"/>
      <w:r w:rsidRPr="00087F50">
        <w:t xml:space="preserve"> (7 %).</w:t>
      </w:r>
      <w:r w:rsidRPr="00087F50">
        <w:rPr>
          <w:i/>
        </w:rPr>
        <w:t xml:space="preserve"> </w:t>
      </w:r>
    </w:p>
    <w:p w14:paraId="4B42231E" w14:textId="77777777" w:rsidR="00A77DDF" w:rsidRPr="00087F50" w:rsidRDefault="00A77DDF" w:rsidP="00A77DDF">
      <w:pPr>
        <w:spacing w:after="0" w:line="259" w:lineRule="auto"/>
        <w:ind w:left="2" w:firstLine="0"/>
      </w:pPr>
      <w:r w:rsidRPr="00087F50">
        <w:t xml:space="preserve"> </w:t>
      </w:r>
    </w:p>
    <w:p w14:paraId="434A197A" w14:textId="77777777" w:rsidR="00A77DDF" w:rsidRPr="00890F7A" w:rsidRDefault="00A77DDF" w:rsidP="00A77DDF">
      <w:pPr>
        <w:spacing w:after="13" w:line="249" w:lineRule="auto"/>
        <w:ind w:left="-3" w:hanging="10"/>
        <w:rPr>
          <w:iCs/>
          <w:u w:val="single"/>
        </w:rPr>
      </w:pPr>
      <w:proofErr w:type="spellStart"/>
      <w:r w:rsidRPr="00890F7A">
        <w:rPr>
          <w:iCs/>
          <w:u w:val="single"/>
        </w:rPr>
        <w:t>Nieru</w:t>
      </w:r>
      <w:proofErr w:type="spellEnd"/>
      <w:r w:rsidRPr="00890F7A">
        <w:rPr>
          <w:iCs/>
          <w:u w:val="single"/>
        </w:rPr>
        <w:t xml:space="preserve"> </w:t>
      </w:r>
      <w:proofErr w:type="spellStart"/>
      <w:r w:rsidRPr="00890F7A">
        <w:rPr>
          <w:iCs/>
          <w:u w:val="single"/>
        </w:rPr>
        <w:t>darbības</w:t>
      </w:r>
      <w:proofErr w:type="spellEnd"/>
      <w:r w:rsidRPr="00890F7A">
        <w:rPr>
          <w:iCs/>
          <w:u w:val="single"/>
        </w:rPr>
        <w:t xml:space="preserve"> </w:t>
      </w:r>
      <w:proofErr w:type="spellStart"/>
      <w:r w:rsidRPr="00890F7A">
        <w:rPr>
          <w:iCs/>
          <w:u w:val="single"/>
        </w:rPr>
        <w:t>traucējumi</w:t>
      </w:r>
      <w:proofErr w:type="spellEnd"/>
      <w:r w:rsidRPr="00890F7A">
        <w:rPr>
          <w:iCs/>
          <w:u w:val="single"/>
        </w:rPr>
        <w:t xml:space="preserve"> </w:t>
      </w:r>
    </w:p>
    <w:p w14:paraId="0CC04686" w14:textId="167424FF" w:rsidR="00A77DDF" w:rsidRPr="00087F50" w:rsidRDefault="00A77DDF" w:rsidP="00A77DDF">
      <w:pPr>
        <w:ind w:left="-3" w:right="9"/>
      </w:pPr>
      <w:proofErr w:type="spellStart"/>
      <w:r w:rsidRPr="00087F50">
        <w:t>Pacientiem</w:t>
      </w:r>
      <w:proofErr w:type="spellEnd"/>
      <w:r w:rsidRPr="00087F50">
        <w:t xml:space="preserve"> ar </w:t>
      </w:r>
      <w:proofErr w:type="spellStart"/>
      <w:r w:rsidRPr="00087F50">
        <w:t>viegliem</w:t>
      </w:r>
      <w:proofErr w:type="spellEnd"/>
      <w:r w:rsidRPr="00087F50">
        <w:t xml:space="preserve"> </w:t>
      </w:r>
      <w:proofErr w:type="spellStart"/>
      <w:r w:rsidRPr="00087F50">
        <w:t>vidēji</w:t>
      </w:r>
      <w:proofErr w:type="spellEnd"/>
      <w:r w:rsidRPr="00087F50">
        <w:t xml:space="preserve"> </w:t>
      </w:r>
      <w:proofErr w:type="spellStart"/>
      <w:r w:rsidRPr="00087F50">
        <w:t>smagiem</w:t>
      </w:r>
      <w:proofErr w:type="spellEnd"/>
      <w:r w:rsidRPr="00087F50">
        <w:t xml:space="preserve"> </w:t>
      </w:r>
      <w:proofErr w:type="spellStart"/>
      <w:r w:rsidRPr="00087F50">
        <w:t>vai</w:t>
      </w:r>
      <w:proofErr w:type="spellEnd"/>
      <w:r w:rsidRPr="00087F50">
        <w:t xml:space="preserve"> </w:t>
      </w:r>
      <w:proofErr w:type="spellStart"/>
      <w:r w:rsidRPr="00087F50">
        <w:t>smagiem</w:t>
      </w:r>
      <w:proofErr w:type="spellEnd"/>
      <w:r w:rsidRPr="00087F50">
        <w:t xml:space="preserve"> </w:t>
      </w:r>
      <w:proofErr w:type="spellStart"/>
      <w:r w:rsidRPr="00087F50">
        <w:t>nieru</w:t>
      </w:r>
      <w:proofErr w:type="spellEnd"/>
      <w:r w:rsidRPr="00087F50">
        <w:t xml:space="preserve"> </w:t>
      </w:r>
      <w:proofErr w:type="spellStart"/>
      <w:r w:rsidRPr="00087F50">
        <w:t>darbības</w:t>
      </w:r>
      <w:proofErr w:type="spellEnd"/>
      <w:r w:rsidRPr="00087F50">
        <w:t xml:space="preserve"> </w:t>
      </w:r>
      <w:proofErr w:type="spellStart"/>
      <w:r w:rsidRPr="00087F50">
        <w:t>traucējumiem</w:t>
      </w:r>
      <w:proofErr w:type="spellEnd"/>
      <w:r w:rsidRPr="00087F50">
        <w:t xml:space="preserve">, </w:t>
      </w:r>
      <w:proofErr w:type="spellStart"/>
      <w:r w:rsidRPr="00087F50">
        <w:t>kuri</w:t>
      </w:r>
      <w:proofErr w:type="spellEnd"/>
      <w:r w:rsidRPr="00087F50">
        <w:t xml:space="preserve"> bija </w:t>
      </w:r>
      <w:proofErr w:type="spellStart"/>
      <w:r w:rsidRPr="00087F50">
        <w:t>lietojuši</w:t>
      </w:r>
      <w:proofErr w:type="spellEnd"/>
      <w:r w:rsidRPr="00087F50">
        <w:t xml:space="preserve"> </w:t>
      </w:r>
      <w:proofErr w:type="spellStart"/>
      <w:r w:rsidRPr="00087F50">
        <w:t>vairākas</w:t>
      </w:r>
      <w:proofErr w:type="spellEnd"/>
      <w:r w:rsidRPr="00087F50">
        <w:t xml:space="preserve"> 80 mg </w:t>
      </w:r>
      <w:proofErr w:type="spellStart"/>
      <w:r w:rsidR="00456C6A" w:rsidRPr="00087F50">
        <w:rPr>
          <w:lang w:val="lv-LV"/>
        </w:rPr>
        <w:t>febuksostata</w:t>
      </w:r>
      <w:proofErr w:type="spellEnd"/>
      <w:r w:rsidR="00456C6A" w:rsidRPr="00087F50">
        <w:rPr>
          <w:lang w:val="lv-LV"/>
        </w:rPr>
        <w:t xml:space="preserve"> </w:t>
      </w:r>
      <w:proofErr w:type="spellStart"/>
      <w:r w:rsidRPr="00087F50">
        <w:t>devas</w:t>
      </w:r>
      <w:proofErr w:type="spellEnd"/>
      <w:r w:rsidRPr="00087F50">
        <w:t xml:space="preserve">, </w:t>
      </w:r>
      <w:proofErr w:type="spellStart"/>
      <w:r w:rsidRPr="00087F50">
        <w:t>febuksostata</w:t>
      </w:r>
      <w:proofErr w:type="spellEnd"/>
      <w:r w:rsidRPr="00087F50">
        <w:t xml:space="preserve"> </w:t>
      </w:r>
      <w:proofErr w:type="spellStart"/>
      <w:r w:rsidRPr="00087F50">
        <w:t>C</w:t>
      </w:r>
      <w:r w:rsidRPr="00087F50">
        <w:rPr>
          <w:vertAlign w:val="subscript"/>
        </w:rPr>
        <w:t>max</w:t>
      </w:r>
      <w:proofErr w:type="spellEnd"/>
      <w:r w:rsidRPr="00087F50">
        <w:t xml:space="preserve"> bija </w:t>
      </w:r>
      <w:proofErr w:type="spellStart"/>
      <w:r w:rsidRPr="00087F50">
        <w:t>tāda</w:t>
      </w:r>
      <w:proofErr w:type="spellEnd"/>
      <w:r w:rsidRPr="00087F50">
        <w:t xml:space="preserve"> pati </w:t>
      </w:r>
      <w:proofErr w:type="spellStart"/>
      <w:r w:rsidRPr="00087F50">
        <w:t>kā</w:t>
      </w:r>
      <w:proofErr w:type="spellEnd"/>
      <w:r w:rsidRPr="00087F50">
        <w:t xml:space="preserve"> </w:t>
      </w:r>
      <w:proofErr w:type="spellStart"/>
      <w:r w:rsidRPr="00087F50">
        <w:t>indivīdiem</w:t>
      </w:r>
      <w:proofErr w:type="spellEnd"/>
      <w:r w:rsidRPr="00087F50">
        <w:t xml:space="preserve"> ar </w:t>
      </w:r>
      <w:proofErr w:type="spellStart"/>
      <w:r w:rsidRPr="00087F50">
        <w:t>normālu</w:t>
      </w:r>
      <w:proofErr w:type="spellEnd"/>
      <w:r w:rsidRPr="00087F50">
        <w:t xml:space="preserve"> </w:t>
      </w:r>
      <w:proofErr w:type="spellStart"/>
      <w:r w:rsidRPr="00087F50">
        <w:t>nieru</w:t>
      </w:r>
      <w:proofErr w:type="spellEnd"/>
      <w:r w:rsidRPr="00087F50">
        <w:t xml:space="preserve"> </w:t>
      </w:r>
      <w:proofErr w:type="spellStart"/>
      <w:r w:rsidRPr="00087F50">
        <w:t>funkciju</w:t>
      </w:r>
      <w:proofErr w:type="spellEnd"/>
      <w:r w:rsidRPr="00087F50">
        <w:t xml:space="preserve">. </w:t>
      </w:r>
      <w:proofErr w:type="spellStart"/>
      <w:r w:rsidRPr="00087F50">
        <w:t>Febuksostata</w:t>
      </w:r>
      <w:proofErr w:type="spellEnd"/>
      <w:r w:rsidRPr="00087F50">
        <w:t xml:space="preserve"> </w:t>
      </w:r>
      <w:proofErr w:type="spellStart"/>
      <w:r w:rsidRPr="00087F50">
        <w:t>vidējais</w:t>
      </w:r>
      <w:proofErr w:type="spellEnd"/>
      <w:r w:rsidRPr="00087F50">
        <w:t xml:space="preserve"> </w:t>
      </w:r>
      <w:proofErr w:type="spellStart"/>
      <w:r w:rsidRPr="00087F50">
        <w:t>kopējais</w:t>
      </w:r>
      <w:proofErr w:type="spellEnd"/>
      <w:r w:rsidRPr="00087F50">
        <w:t xml:space="preserve"> AUC </w:t>
      </w:r>
      <w:proofErr w:type="spellStart"/>
      <w:r w:rsidRPr="00087F50">
        <w:t>pieauga</w:t>
      </w:r>
      <w:proofErr w:type="spellEnd"/>
      <w:r w:rsidRPr="00087F50">
        <w:t xml:space="preserve"> </w:t>
      </w:r>
      <w:proofErr w:type="spellStart"/>
      <w:r w:rsidRPr="00087F50">
        <w:t>apmēram</w:t>
      </w:r>
      <w:proofErr w:type="spellEnd"/>
      <w:r w:rsidRPr="00087F50">
        <w:t xml:space="preserve"> 1,8 </w:t>
      </w:r>
      <w:proofErr w:type="spellStart"/>
      <w:r w:rsidRPr="00087F50">
        <w:t>reizes</w:t>
      </w:r>
      <w:proofErr w:type="spellEnd"/>
      <w:r w:rsidRPr="00087F50">
        <w:t xml:space="preserve"> no 7,5 </w:t>
      </w:r>
      <w:r w:rsidRPr="00087F50">
        <w:rPr>
          <w:rFonts w:ascii="Segoe UI Symbol" w:eastAsia="Segoe UI Symbol" w:hAnsi="Segoe UI Symbol" w:cs="Segoe UI Symbol"/>
        </w:rPr>
        <w:t>µ</w:t>
      </w:r>
      <w:proofErr w:type="spellStart"/>
      <w:r w:rsidRPr="00087F50">
        <w:t>g</w:t>
      </w:r>
      <w:r w:rsidRPr="00087F50">
        <w:rPr>
          <w:rFonts w:ascii="Segoe UI Symbol" w:eastAsia="Segoe UI Symbol" w:hAnsi="Segoe UI Symbol" w:cs="Segoe UI Symbol"/>
        </w:rPr>
        <w:t>⋅</w:t>
      </w:r>
      <w:r w:rsidRPr="00087F50">
        <w:t>h</w:t>
      </w:r>
      <w:proofErr w:type="spellEnd"/>
      <w:r w:rsidRPr="00087F50">
        <w:t xml:space="preserve">/ml </w:t>
      </w:r>
      <w:proofErr w:type="spellStart"/>
      <w:r w:rsidRPr="00087F50">
        <w:t>indivīdiem</w:t>
      </w:r>
      <w:proofErr w:type="spellEnd"/>
      <w:r w:rsidRPr="00087F50">
        <w:t xml:space="preserve"> ar </w:t>
      </w:r>
      <w:proofErr w:type="spellStart"/>
      <w:r w:rsidRPr="00087F50">
        <w:t>normālu</w:t>
      </w:r>
      <w:proofErr w:type="spellEnd"/>
      <w:r w:rsidRPr="00087F50">
        <w:t xml:space="preserve"> </w:t>
      </w:r>
      <w:proofErr w:type="spellStart"/>
      <w:r w:rsidRPr="00087F50">
        <w:t>nieru</w:t>
      </w:r>
      <w:proofErr w:type="spellEnd"/>
      <w:r w:rsidRPr="00087F50">
        <w:t xml:space="preserve"> </w:t>
      </w:r>
      <w:proofErr w:type="spellStart"/>
      <w:r w:rsidRPr="00087F50">
        <w:t>funkciju</w:t>
      </w:r>
      <w:proofErr w:type="spellEnd"/>
      <w:r w:rsidRPr="00087F50">
        <w:t xml:space="preserve"> </w:t>
      </w:r>
      <w:proofErr w:type="spellStart"/>
      <w:r w:rsidRPr="00087F50">
        <w:t>līdz</w:t>
      </w:r>
      <w:proofErr w:type="spellEnd"/>
      <w:r w:rsidRPr="00087F50">
        <w:t xml:space="preserve"> 13,2 </w:t>
      </w:r>
      <w:r w:rsidRPr="00087F50">
        <w:rPr>
          <w:rFonts w:ascii="Segoe UI Symbol" w:eastAsia="Segoe UI Symbol" w:hAnsi="Segoe UI Symbol" w:cs="Segoe UI Symbol"/>
        </w:rPr>
        <w:t>µ</w:t>
      </w:r>
      <w:proofErr w:type="spellStart"/>
      <w:r w:rsidRPr="00087F50">
        <w:t>g.h</w:t>
      </w:r>
      <w:proofErr w:type="spellEnd"/>
      <w:r w:rsidRPr="00087F50">
        <w:t xml:space="preserve">/ml </w:t>
      </w:r>
      <w:proofErr w:type="spellStart"/>
      <w:r w:rsidRPr="00087F50">
        <w:t>indivīdiem</w:t>
      </w:r>
      <w:proofErr w:type="spellEnd"/>
      <w:r w:rsidRPr="00087F50">
        <w:t xml:space="preserve"> ar </w:t>
      </w:r>
      <w:proofErr w:type="spellStart"/>
      <w:r w:rsidRPr="00087F50">
        <w:t>smagiem</w:t>
      </w:r>
      <w:proofErr w:type="spellEnd"/>
      <w:r w:rsidRPr="00087F50">
        <w:t xml:space="preserve"> </w:t>
      </w:r>
      <w:proofErr w:type="spellStart"/>
      <w:r w:rsidRPr="00087F50">
        <w:t>nieru</w:t>
      </w:r>
      <w:proofErr w:type="spellEnd"/>
      <w:r w:rsidRPr="00087F50">
        <w:t xml:space="preserve"> </w:t>
      </w:r>
      <w:proofErr w:type="spellStart"/>
      <w:r w:rsidRPr="00087F50">
        <w:t>darbības</w:t>
      </w:r>
      <w:proofErr w:type="spellEnd"/>
      <w:r w:rsidRPr="00087F50">
        <w:t xml:space="preserve"> </w:t>
      </w:r>
      <w:proofErr w:type="spellStart"/>
      <w:r w:rsidRPr="00087F50">
        <w:t>traucējumiem</w:t>
      </w:r>
      <w:proofErr w:type="spellEnd"/>
      <w:r w:rsidRPr="00087F50">
        <w:t xml:space="preserve">. </w:t>
      </w:r>
      <w:proofErr w:type="spellStart"/>
      <w:r w:rsidRPr="00087F50">
        <w:t>Aktīvo</w:t>
      </w:r>
      <w:proofErr w:type="spellEnd"/>
      <w:r w:rsidRPr="00087F50">
        <w:t xml:space="preserve"> </w:t>
      </w:r>
      <w:proofErr w:type="spellStart"/>
      <w:r w:rsidRPr="00087F50">
        <w:t>metabolītu</w:t>
      </w:r>
      <w:proofErr w:type="spellEnd"/>
      <w:r w:rsidRPr="00087F50">
        <w:t xml:space="preserve"> </w:t>
      </w:r>
      <w:proofErr w:type="spellStart"/>
      <w:r w:rsidRPr="00087F50">
        <w:t>C</w:t>
      </w:r>
      <w:r w:rsidRPr="00087F50">
        <w:rPr>
          <w:vertAlign w:val="subscript"/>
        </w:rPr>
        <w:t>max</w:t>
      </w:r>
      <w:proofErr w:type="spellEnd"/>
      <w:r w:rsidRPr="00087F50">
        <w:t xml:space="preserve"> un AUC </w:t>
      </w:r>
      <w:proofErr w:type="spellStart"/>
      <w:r w:rsidRPr="00087F50">
        <w:t>palielinājās</w:t>
      </w:r>
      <w:proofErr w:type="spellEnd"/>
      <w:r w:rsidRPr="00087F50">
        <w:t xml:space="preserve"> </w:t>
      </w:r>
      <w:proofErr w:type="spellStart"/>
      <w:r w:rsidRPr="00087F50">
        <w:t>attiecīgi</w:t>
      </w:r>
      <w:proofErr w:type="spellEnd"/>
      <w:r w:rsidRPr="00087F50">
        <w:t xml:space="preserve"> 2 un 4 </w:t>
      </w:r>
      <w:proofErr w:type="spellStart"/>
      <w:r w:rsidRPr="00087F50">
        <w:t>reizes</w:t>
      </w:r>
      <w:proofErr w:type="spellEnd"/>
      <w:r w:rsidRPr="00087F50">
        <w:t xml:space="preserve">. </w:t>
      </w:r>
      <w:proofErr w:type="spellStart"/>
      <w:r w:rsidRPr="00087F50">
        <w:t>Tomēr</w:t>
      </w:r>
      <w:proofErr w:type="spellEnd"/>
      <w:r w:rsidRPr="00087F50">
        <w:t xml:space="preserve">, ja </w:t>
      </w:r>
      <w:proofErr w:type="spellStart"/>
      <w:r w:rsidRPr="00087F50">
        <w:t>pacientam</w:t>
      </w:r>
      <w:proofErr w:type="spellEnd"/>
      <w:r w:rsidRPr="00087F50">
        <w:t xml:space="preserve"> ir </w:t>
      </w:r>
      <w:proofErr w:type="spellStart"/>
      <w:r w:rsidRPr="00087F50">
        <w:t>viegla</w:t>
      </w:r>
      <w:proofErr w:type="spellEnd"/>
      <w:r w:rsidRPr="00087F50">
        <w:t xml:space="preserve"> </w:t>
      </w:r>
      <w:proofErr w:type="spellStart"/>
      <w:r w:rsidRPr="00087F50">
        <w:t>vai</w:t>
      </w:r>
      <w:proofErr w:type="spellEnd"/>
      <w:r w:rsidRPr="00087F50">
        <w:t xml:space="preserve"> </w:t>
      </w:r>
      <w:proofErr w:type="spellStart"/>
      <w:r w:rsidRPr="00087F50">
        <w:t>vidēji</w:t>
      </w:r>
      <w:proofErr w:type="spellEnd"/>
      <w:r w:rsidRPr="00087F50">
        <w:t xml:space="preserve"> </w:t>
      </w:r>
      <w:proofErr w:type="spellStart"/>
      <w:r w:rsidRPr="00087F50">
        <w:t>smaga</w:t>
      </w:r>
      <w:proofErr w:type="spellEnd"/>
      <w:r w:rsidRPr="00087F50">
        <w:t xml:space="preserve"> </w:t>
      </w:r>
      <w:proofErr w:type="spellStart"/>
      <w:r w:rsidRPr="00087F50">
        <w:t>nieru</w:t>
      </w:r>
      <w:proofErr w:type="spellEnd"/>
      <w:r w:rsidRPr="00087F50">
        <w:t xml:space="preserve"> </w:t>
      </w:r>
      <w:proofErr w:type="spellStart"/>
      <w:r w:rsidRPr="00087F50">
        <w:t>mazspēja</w:t>
      </w:r>
      <w:proofErr w:type="spellEnd"/>
      <w:r w:rsidRPr="00087F50">
        <w:t xml:space="preserve">, </w:t>
      </w:r>
      <w:proofErr w:type="spellStart"/>
      <w:r w:rsidRPr="00087F50">
        <w:t>devu</w:t>
      </w:r>
      <w:proofErr w:type="spellEnd"/>
      <w:r w:rsidRPr="00087F50">
        <w:t xml:space="preserve"> </w:t>
      </w:r>
      <w:proofErr w:type="spellStart"/>
      <w:r w:rsidRPr="00087F50">
        <w:t>koriģēt</w:t>
      </w:r>
      <w:proofErr w:type="spellEnd"/>
      <w:r w:rsidRPr="00087F50">
        <w:t xml:space="preserve"> </w:t>
      </w:r>
      <w:proofErr w:type="spellStart"/>
      <w:r w:rsidRPr="00087F50">
        <w:t>nav</w:t>
      </w:r>
      <w:proofErr w:type="spellEnd"/>
      <w:r w:rsidRPr="00087F50">
        <w:t xml:space="preserve"> </w:t>
      </w:r>
      <w:proofErr w:type="spellStart"/>
      <w:r w:rsidRPr="00087F50">
        <w:t>nepieciešams</w:t>
      </w:r>
      <w:proofErr w:type="spellEnd"/>
      <w:r w:rsidRPr="00087F50">
        <w:t xml:space="preserve">. </w:t>
      </w:r>
    </w:p>
    <w:p w14:paraId="475E370E" w14:textId="77777777" w:rsidR="00A77DDF" w:rsidRPr="00087F50" w:rsidRDefault="00A77DDF" w:rsidP="00A77DDF">
      <w:pPr>
        <w:spacing w:after="0" w:line="259" w:lineRule="auto"/>
        <w:ind w:left="1" w:firstLine="0"/>
      </w:pPr>
      <w:r w:rsidRPr="00087F50">
        <w:rPr>
          <w:b/>
          <w:i/>
        </w:rPr>
        <w:t xml:space="preserve"> </w:t>
      </w:r>
    </w:p>
    <w:p w14:paraId="0472ECA8" w14:textId="77777777" w:rsidR="00A77DDF" w:rsidRPr="00890F7A" w:rsidRDefault="00A77DDF" w:rsidP="00A77DDF">
      <w:pPr>
        <w:spacing w:after="13" w:line="249" w:lineRule="auto"/>
        <w:ind w:left="-3" w:hanging="10"/>
        <w:rPr>
          <w:iCs/>
          <w:u w:val="single"/>
        </w:rPr>
      </w:pPr>
      <w:proofErr w:type="spellStart"/>
      <w:r w:rsidRPr="00890F7A">
        <w:rPr>
          <w:iCs/>
          <w:u w:val="single"/>
        </w:rPr>
        <w:t>Aknu</w:t>
      </w:r>
      <w:proofErr w:type="spellEnd"/>
      <w:r w:rsidRPr="00890F7A">
        <w:rPr>
          <w:iCs/>
          <w:u w:val="single"/>
        </w:rPr>
        <w:t xml:space="preserve"> </w:t>
      </w:r>
      <w:proofErr w:type="spellStart"/>
      <w:r w:rsidRPr="00890F7A">
        <w:rPr>
          <w:iCs/>
          <w:u w:val="single"/>
        </w:rPr>
        <w:t>darbības</w:t>
      </w:r>
      <w:proofErr w:type="spellEnd"/>
      <w:r w:rsidRPr="00890F7A">
        <w:rPr>
          <w:iCs/>
          <w:u w:val="single"/>
        </w:rPr>
        <w:t xml:space="preserve"> </w:t>
      </w:r>
      <w:proofErr w:type="spellStart"/>
      <w:r w:rsidRPr="00890F7A">
        <w:rPr>
          <w:iCs/>
          <w:u w:val="single"/>
        </w:rPr>
        <w:t>traucējumi</w:t>
      </w:r>
      <w:proofErr w:type="spellEnd"/>
      <w:r w:rsidRPr="00890F7A">
        <w:rPr>
          <w:iCs/>
          <w:u w:val="single"/>
        </w:rPr>
        <w:t xml:space="preserve"> </w:t>
      </w:r>
    </w:p>
    <w:p w14:paraId="47ED90F8" w14:textId="00BC0B01" w:rsidR="00A77DDF" w:rsidRPr="00087F50" w:rsidRDefault="00A77DDF" w:rsidP="00A77DDF">
      <w:pPr>
        <w:ind w:left="-3" w:right="9"/>
      </w:pPr>
      <w:proofErr w:type="spellStart"/>
      <w:r w:rsidRPr="00087F50">
        <w:t>Indivīdiem</w:t>
      </w:r>
      <w:proofErr w:type="spellEnd"/>
      <w:r w:rsidRPr="00087F50">
        <w:t xml:space="preserve"> ar </w:t>
      </w:r>
      <w:proofErr w:type="spellStart"/>
      <w:r w:rsidRPr="00087F50">
        <w:t>viegliem</w:t>
      </w:r>
      <w:proofErr w:type="spellEnd"/>
      <w:r w:rsidRPr="00087F50">
        <w:t xml:space="preserve"> (Child-Pugh A </w:t>
      </w:r>
      <w:proofErr w:type="spellStart"/>
      <w:r w:rsidRPr="00087F50">
        <w:t>klase</w:t>
      </w:r>
      <w:proofErr w:type="spellEnd"/>
      <w:r w:rsidRPr="00087F50">
        <w:t xml:space="preserve">) </w:t>
      </w:r>
      <w:proofErr w:type="spellStart"/>
      <w:r w:rsidRPr="00087F50">
        <w:t>vai</w:t>
      </w:r>
      <w:proofErr w:type="spellEnd"/>
      <w:r w:rsidRPr="00087F50">
        <w:t xml:space="preserve"> </w:t>
      </w:r>
      <w:proofErr w:type="spellStart"/>
      <w:r w:rsidRPr="00087F50">
        <w:t>vidēji</w:t>
      </w:r>
      <w:proofErr w:type="spellEnd"/>
      <w:r w:rsidRPr="00087F50">
        <w:t xml:space="preserve"> </w:t>
      </w:r>
      <w:proofErr w:type="spellStart"/>
      <w:r w:rsidRPr="00087F50">
        <w:t>smagiem</w:t>
      </w:r>
      <w:proofErr w:type="spellEnd"/>
      <w:r w:rsidRPr="00087F50">
        <w:t xml:space="preserve"> (Child-Pugh B </w:t>
      </w:r>
      <w:proofErr w:type="spellStart"/>
      <w:r w:rsidRPr="00087F50">
        <w:t>klase</w:t>
      </w:r>
      <w:proofErr w:type="spellEnd"/>
      <w:r w:rsidRPr="00087F50">
        <w:t xml:space="preserve">) </w:t>
      </w:r>
      <w:proofErr w:type="spellStart"/>
      <w:r w:rsidRPr="00087F50">
        <w:t>aknu</w:t>
      </w:r>
      <w:proofErr w:type="spellEnd"/>
      <w:r w:rsidRPr="00087F50">
        <w:t xml:space="preserve"> </w:t>
      </w:r>
      <w:proofErr w:type="spellStart"/>
      <w:r w:rsidRPr="00087F50">
        <w:t>darbības</w:t>
      </w:r>
      <w:proofErr w:type="spellEnd"/>
      <w:r w:rsidRPr="00087F50">
        <w:t xml:space="preserve"> </w:t>
      </w:r>
      <w:proofErr w:type="spellStart"/>
      <w:r w:rsidRPr="00087F50">
        <w:t>traucējumiem</w:t>
      </w:r>
      <w:proofErr w:type="spellEnd"/>
      <w:r w:rsidRPr="00087F50">
        <w:t xml:space="preserve">, </w:t>
      </w:r>
      <w:proofErr w:type="spellStart"/>
      <w:r w:rsidRPr="00087F50">
        <w:t>kas</w:t>
      </w:r>
      <w:proofErr w:type="spellEnd"/>
      <w:r w:rsidRPr="00087F50">
        <w:t xml:space="preserve"> bija </w:t>
      </w:r>
      <w:proofErr w:type="spellStart"/>
      <w:r w:rsidRPr="00087F50">
        <w:t>lietojuši</w:t>
      </w:r>
      <w:proofErr w:type="spellEnd"/>
      <w:r w:rsidRPr="00087F50">
        <w:t xml:space="preserve"> </w:t>
      </w:r>
      <w:proofErr w:type="spellStart"/>
      <w:r w:rsidRPr="00087F50">
        <w:t>vairākas</w:t>
      </w:r>
      <w:proofErr w:type="spellEnd"/>
      <w:r w:rsidRPr="00087F50">
        <w:t xml:space="preserve"> 80 mg </w:t>
      </w:r>
      <w:proofErr w:type="spellStart"/>
      <w:r w:rsidR="00422221" w:rsidRPr="00087F50">
        <w:rPr>
          <w:lang w:val="lv-LV"/>
        </w:rPr>
        <w:t>febuksostata</w:t>
      </w:r>
      <w:proofErr w:type="spellEnd"/>
      <w:r w:rsidR="00422221" w:rsidRPr="00087F50">
        <w:rPr>
          <w:lang w:val="lv-LV"/>
        </w:rPr>
        <w:t xml:space="preserve"> </w:t>
      </w:r>
      <w:proofErr w:type="spellStart"/>
      <w:r w:rsidRPr="00087F50">
        <w:t>devas</w:t>
      </w:r>
      <w:proofErr w:type="spellEnd"/>
      <w:r w:rsidRPr="00087F50">
        <w:t xml:space="preserve">, </w:t>
      </w:r>
      <w:proofErr w:type="spellStart"/>
      <w:r w:rsidRPr="00087F50">
        <w:t>febuksostata</w:t>
      </w:r>
      <w:proofErr w:type="spellEnd"/>
      <w:r w:rsidRPr="00087F50">
        <w:t xml:space="preserve"> un </w:t>
      </w:r>
      <w:proofErr w:type="spellStart"/>
      <w:r w:rsidRPr="00087F50">
        <w:t>to</w:t>
      </w:r>
      <w:proofErr w:type="spellEnd"/>
      <w:r w:rsidRPr="00087F50">
        <w:t xml:space="preserve"> </w:t>
      </w:r>
      <w:proofErr w:type="spellStart"/>
      <w:r w:rsidRPr="00087F50">
        <w:t>metabolītu</w:t>
      </w:r>
      <w:proofErr w:type="spellEnd"/>
      <w:r w:rsidRPr="00087F50">
        <w:t xml:space="preserve"> </w:t>
      </w:r>
      <w:proofErr w:type="spellStart"/>
      <w:r w:rsidRPr="00087F50">
        <w:t>C</w:t>
      </w:r>
      <w:r w:rsidRPr="00087F50">
        <w:rPr>
          <w:vertAlign w:val="subscript"/>
        </w:rPr>
        <w:t>max</w:t>
      </w:r>
      <w:proofErr w:type="spellEnd"/>
      <w:r w:rsidRPr="00087F50">
        <w:t xml:space="preserve"> un AUC bija </w:t>
      </w:r>
      <w:proofErr w:type="spellStart"/>
      <w:r w:rsidRPr="00087F50">
        <w:t>tāds</w:t>
      </w:r>
      <w:proofErr w:type="spellEnd"/>
      <w:r w:rsidRPr="00087F50">
        <w:t xml:space="preserve"> </w:t>
      </w:r>
      <w:proofErr w:type="spellStart"/>
      <w:r w:rsidRPr="00087F50">
        <w:t>pats</w:t>
      </w:r>
      <w:proofErr w:type="spellEnd"/>
      <w:r w:rsidRPr="00087F50">
        <w:t xml:space="preserve"> </w:t>
      </w:r>
      <w:proofErr w:type="spellStart"/>
      <w:r w:rsidRPr="00087F50">
        <w:t>kā</w:t>
      </w:r>
      <w:proofErr w:type="spellEnd"/>
      <w:r w:rsidRPr="00087F50">
        <w:t xml:space="preserve"> </w:t>
      </w:r>
      <w:proofErr w:type="spellStart"/>
      <w:r w:rsidRPr="00087F50">
        <w:t>indivīdiem</w:t>
      </w:r>
      <w:proofErr w:type="spellEnd"/>
      <w:r w:rsidRPr="00087F50">
        <w:t xml:space="preserve"> ar </w:t>
      </w:r>
      <w:proofErr w:type="spellStart"/>
      <w:r w:rsidRPr="00087F50">
        <w:t>normālu</w:t>
      </w:r>
      <w:proofErr w:type="spellEnd"/>
      <w:r w:rsidRPr="00087F50">
        <w:t xml:space="preserve"> </w:t>
      </w:r>
      <w:proofErr w:type="spellStart"/>
      <w:r w:rsidRPr="00087F50">
        <w:t>aknu</w:t>
      </w:r>
      <w:proofErr w:type="spellEnd"/>
      <w:r w:rsidRPr="00087F50">
        <w:t xml:space="preserve"> </w:t>
      </w:r>
      <w:proofErr w:type="spellStart"/>
      <w:r w:rsidRPr="00087F50">
        <w:t>funkciju</w:t>
      </w:r>
      <w:proofErr w:type="spellEnd"/>
      <w:r w:rsidRPr="00087F50">
        <w:t xml:space="preserve">. </w:t>
      </w:r>
      <w:proofErr w:type="spellStart"/>
      <w:r w:rsidRPr="00087F50">
        <w:t>Pētījumi</w:t>
      </w:r>
      <w:proofErr w:type="spellEnd"/>
      <w:r w:rsidRPr="00087F50">
        <w:t xml:space="preserve"> ar </w:t>
      </w:r>
      <w:proofErr w:type="spellStart"/>
      <w:r w:rsidRPr="00087F50">
        <w:t>pacientiem</w:t>
      </w:r>
      <w:proofErr w:type="spellEnd"/>
      <w:r w:rsidRPr="00087F50">
        <w:t xml:space="preserve">, </w:t>
      </w:r>
      <w:proofErr w:type="spellStart"/>
      <w:r w:rsidRPr="00087F50">
        <w:t>kam</w:t>
      </w:r>
      <w:proofErr w:type="spellEnd"/>
      <w:r w:rsidRPr="00087F50">
        <w:t xml:space="preserve"> ir </w:t>
      </w:r>
      <w:proofErr w:type="spellStart"/>
      <w:r w:rsidRPr="00087F50">
        <w:t>smagi</w:t>
      </w:r>
      <w:proofErr w:type="spellEnd"/>
      <w:r w:rsidRPr="00087F50">
        <w:t xml:space="preserve"> </w:t>
      </w:r>
      <w:proofErr w:type="spellStart"/>
      <w:r w:rsidRPr="00087F50">
        <w:t>aknu</w:t>
      </w:r>
      <w:proofErr w:type="spellEnd"/>
      <w:r w:rsidRPr="00087F50">
        <w:t xml:space="preserve"> </w:t>
      </w:r>
      <w:proofErr w:type="spellStart"/>
      <w:r w:rsidRPr="00087F50">
        <w:t>darbības</w:t>
      </w:r>
      <w:proofErr w:type="spellEnd"/>
      <w:r w:rsidRPr="00087F50">
        <w:t xml:space="preserve"> </w:t>
      </w:r>
      <w:proofErr w:type="spellStart"/>
      <w:r w:rsidRPr="00087F50">
        <w:t>traucējumi</w:t>
      </w:r>
      <w:proofErr w:type="spellEnd"/>
      <w:r w:rsidRPr="00087F50">
        <w:t xml:space="preserve"> (Child-Pugh C </w:t>
      </w:r>
      <w:proofErr w:type="spellStart"/>
      <w:r w:rsidRPr="00087F50">
        <w:t>klase</w:t>
      </w:r>
      <w:proofErr w:type="spellEnd"/>
      <w:r w:rsidRPr="00087F50">
        <w:t xml:space="preserve">), </w:t>
      </w:r>
      <w:proofErr w:type="spellStart"/>
      <w:r w:rsidRPr="00087F50">
        <w:t>nav</w:t>
      </w:r>
      <w:proofErr w:type="spellEnd"/>
      <w:r w:rsidRPr="00087F50">
        <w:t xml:space="preserve"> </w:t>
      </w:r>
      <w:proofErr w:type="spellStart"/>
      <w:r w:rsidRPr="00087F50">
        <w:t>veikti</w:t>
      </w:r>
      <w:proofErr w:type="spellEnd"/>
      <w:r w:rsidRPr="00087F50">
        <w:t xml:space="preserve">. </w:t>
      </w:r>
    </w:p>
    <w:p w14:paraId="7FDF4CD0" w14:textId="77777777" w:rsidR="00A77DDF" w:rsidRPr="00087F50" w:rsidRDefault="00A77DDF" w:rsidP="00A77DDF">
      <w:pPr>
        <w:spacing w:after="0" w:line="259" w:lineRule="auto"/>
        <w:ind w:left="1" w:firstLine="0"/>
      </w:pPr>
      <w:r w:rsidRPr="00087F50">
        <w:t xml:space="preserve"> </w:t>
      </w:r>
    </w:p>
    <w:p w14:paraId="3492B5C8" w14:textId="77777777" w:rsidR="00A77DDF" w:rsidRPr="00890F7A" w:rsidRDefault="00A77DDF" w:rsidP="00A77DDF">
      <w:pPr>
        <w:spacing w:after="13" w:line="249" w:lineRule="auto"/>
        <w:ind w:left="-3" w:hanging="10"/>
        <w:rPr>
          <w:iCs/>
          <w:u w:val="single"/>
        </w:rPr>
      </w:pPr>
      <w:proofErr w:type="spellStart"/>
      <w:r w:rsidRPr="00890F7A">
        <w:rPr>
          <w:iCs/>
          <w:u w:val="single"/>
        </w:rPr>
        <w:t>Vecums</w:t>
      </w:r>
      <w:proofErr w:type="spellEnd"/>
      <w:r w:rsidRPr="00890F7A">
        <w:rPr>
          <w:iCs/>
          <w:u w:val="single"/>
        </w:rPr>
        <w:t xml:space="preserve"> </w:t>
      </w:r>
    </w:p>
    <w:p w14:paraId="7B549AFC" w14:textId="0BE10713" w:rsidR="00A77DDF" w:rsidRPr="00087F50" w:rsidRDefault="00A77DDF" w:rsidP="00A77DDF">
      <w:pPr>
        <w:ind w:left="-3" w:right="9"/>
      </w:pPr>
      <w:r w:rsidRPr="00087F50">
        <w:t xml:space="preserve">Gados </w:t>
      </w:r>
      <w:proofErr w:type="spellStart"/>
      <w:r w:rsidRPr="00087F50">
        <w:t>vecākiem</w:t>
      </w:r>
      <w:proofErr w:type="spellEnd"/>
      <w:r w:rsidRPr="00087F50">
        <w:t xml:space="preserve"> </w:t>
      </w:r>
      <w:proofErr w:type="spellStart"/>
      <w:r w:rsidRPr="00087F50">
        <w:t>cilvēkiem</w:t>
      </w:r>
      <w:proofErr w:type="spellEnd"/>
      <w:r w:rsidRPr="00087F50">
        <w:t xml:space="preserve">, </w:t>
      </w:r>
      <w:proofErr w:type="spellStart"/>
      <w:r w:rsidRPr="00087F50">
        <w:t>kas</w:t>
      </w:r>
      <w:proofErr w:type="spellEnd"/>
      <w:r w:rsidRPr="00087F50">
        <w:t xml:space="preserve"> </w:t>
      </w:r>
      <w:proofErr w:type="spellStart"/>
      <w:r w:rsidRPr="00087F50">
        <w:t>perorāli</w:t>
      </w:r>
      <w:proofErr w:type="spellEnd"/>
      <w:r w:rsidRPr="00087F50">
        <w:t xml:space="preserve"> bija </w:t>
      </w:r>
      <w:proofErr w:type="spellStart"/>
      <w:r w:rsidRPr="00087F50">
        <w:t>lietojuši</w:t>
      </w:r>
      <w:proofErr w:type="spellEnd"/>
      <w:r w:rsidRPr="00087F50">
        <w:t xml:space="preserve"> </w:t>
      </w:r>
      <w:proofErr w:type="spellStart"/>
      <w:r w:rsidRPr="00087F50">
        <w:t>vairākas</w:t>
      </w:r>
      <w:proofErr w:type="spellEnd"/>
      <w:r w:rsidRPr="00087F50">
        <w:t xml:space="preserve"> </w:t>
      </w:r>
      <w:proofErr w:type="spellStart"/>
      <w:r w:rsidRPr="00087F50">
        <w:t>Febuxostat</w:t>
      </w:r>
      <w:proofErr w:type="spellEnd"/>
      <w:r w:rsidRPr="00087F50">
        <w:t xml:space="preserve"> </w:t>
      </w:r>
      <w:r w:rsidR="00997BE3" w:rsidRPr="00087F50">
        <w:t>Zentiva</w:t>
      </w:r>
      <w:r w:rsidRPr="00087F50">
        <w:t xml:space="preserve"> </w:t>
      </w:r>
      <w:proofErr w:type="spellStart"/>
      <w:r w:rsidRPr="00087F50">
        <w:t>devas</w:t>
      </w:r>
      <w:proofErr w:type="spellEnd"/>
      <w:r w:rsidRPr="00087F50">
        <w:t xml:space="preserve">, </w:t>
      </w:r>
      <w:proofErr w:type="spellStart"/>
      <w:r w:rsidRPr="00087F50">
        <w:t>febuksostata</w:t>
      </w:r>
      <w:proofErr w:type="spellEnd"/>
      <w:r w:rsidRPr="00087F50">
        <w:t xml:space="preserve"> un </w:t>
      </w:r>
      <w:proofErr w:type="spellStart"/>
      <w:r w:rsidRPr="00087F50">
        <w:t>tā</w:t>
      </w:r>
      <w:proofErr w:type="spellEnd"/>
      <w:r w:rsidRPr="00087F50">
        <w:t xml:space="preserve"> </w:t>
      </w:r>
      <w:proofErr w:type="spellStart"/>
      <w:r w:rsidRPr="00087F50">
        <w:t>metabolītu</w:t>
      </w:r>
      <w:proofErr w:type="spellEnd"/>
      <w:r w:rsidRPr="00087F50">
        <w:t xml:space="preserve"> AUC </w:t>
      </w:r>
      <w:proofErr w:type="spellStart"/>
      <w:r w:rsidRPr="00087F50">
        <w:t>būtībā</w:t>
      </w:r>
      <w:proofErr w:type="spellEnd"/>
      <w:r w:rsidRPr="00087F50">
        <w:t xml:space="preserve"> bija </w:t>
      </w:r>
      <w:proofErr w:type="spellStart"/>
      <w:r w:rsidRPr="00087F50">
        <w:t>tādi</w:t>
      </w:r>
      <w:proofErr w:type="spellEnd"/>
      <w:r w:rsidRPr="00087F50">
        <w:t xml:space="preserve"> </w:t>
      </w:r>
      <w:proofErr w:type="spellStart"/>
      <w:r w:rsidRPr="00087F50">
        <w:t>paši</w:t>
      </w:r>
      <w:proofErr w:type="spellEnd"/>
      <w:r w:rsidRPr="00087F50">
        <w:t xml:space="preserve"> </w:t>
      </w:r>
      <w:proofErr w:type="spellStart"/>
      <w:r w:rsidRPr="00087F50">
        <w:t>kā</w:t>
      </w:r>
      <w:proofErr w:type="spellEnd"/>
      <w:r w:rsidRPr="00087F50">
        <w:t xml:space="preserve"> </w:t>
      </w:r>
      <w:proofErr w:type="spellStart"/>
      <w:r w:rsidRPr="00087F50">
        <w:t>jaunākiem</w:t>
      </w:r>
      <w:proofErr w:type="spellEnd"/>
      <w:r w:rsidRPr="00087F50">
        <w:t xml:space="preserve"> </w:t>
      </w:r>
      <w:proofErr w:type="spellStart"/>
      <w:r w:rsidRPr="00087F50">
        <w:t>veseliem</w:t>
      </w:r>
      <w:proofErr w:type="spellEnd"/>
      <w:r w:rsidRPr="00087F50">
        <w:t xml:space="preserve"> </w:t>
      </w:r>
      <w:proofErr w:type="spellStart"/>
      <w:r w:rsidRPr="00087F50">
        <w:t>indivīdiem</w:t>
      </w:r>
      <w:proofErr w:type="spellEnd"/>
      <w:r w:rsidRPr="00087F50">
        <w:t xml:space="preserve">. </w:t>
      </w:r>
    </w:p>
    <w:p w14:paraId="77CAB3DF" w14:textId="77777777" w:rsidR="00A77DDF" w:rsidRPr="00087F50" w:rsidRDefault="00A77DDF" w:rsidP="00A77DDF">
      <w:pPr>
        <w:spacing w:after="0" w:line="259" w:lineRule="auto"/>
        <w:ind w:left="1" w:firstLine="0"/>
      </w:pPr>
      <w:r w:rsidRPr="00087F50">
        <w:lastRenderedPageBreak/>
        <w:t xml:space="preserve"> </w:t>
      </w:r>
    </w:p>
    <w:p w14:paraId="36637BCE" w14:textId="77777777" w:rsidR="00A77DDF" w:rsidRPr="00890F7A" w:rsidRDefault="00A77DDF" w:rsidP="00A77DDF">
      <w:pPr>
        <w:spacing w:after="13" w:line="249" w:lineRule="auto"/>
        <w:ind w:left="-3" w:hanging="10"/>
        <w:rPr>
          <w:iCs/>
          <w:u w:val="single"/>
        </w:rPr>
      </w:pPr>
      <w:proofErr w:type="spellStart"/>
      <w:r w:rsidRPr="00890F7A">
        <w:rPr>
          <w:iCs/>
          <w:u w:val="single"/>
        </w:rPr>
        <w:t>Dzimums</w:t>
      </w:r>
      <w:proofErr w:type="spellEnd"/>
      <w:r w:rsidRPr="00890F7A">
        <w:rPr>
          <w:iCs/>
          <w:u w:val="single"/>
        </w:rPr>
        <w:t xml:space="preserve"> </w:t>
      </w:r>
    </w:p>
    <w:p w14:paraId="2191692D" w14:textId="48FED9F6" w:rsidR="00A77DDF" w:rsidRPr="00087F50" w:rsidRDefault="00A77DDF" w:rsidP="00A77DDF">
      <w:pPr>
        <w:ind w:left="-3" w:right="9"/>
      </w:pPr>
      <w:proofErr w:type="spellStart"/>
      <w:r w:rsidRPr="00087F50">
        <w:t>Sievietēm</w:t>
      </w:r>
      <w:proofErr w:type="spellEnd"/>
      <w:r w:rsidRPr="00087F50">
        <w:t xml:space="preserve">, </w:t>
      </w:r>
      <w:proofErr w:type="spellStart"/>
      <w:r w:rsidRPr="00087F50">
        <w:t>kas</w:t>
      </w:r>
      <w:proofErr w:type="spellEnd"/>
      <w:r w:rsidRPr="00087F50">
        <w:t xml:space="preserve"> </w:t>
      </w:r>
      <w:proofErr w:type="spellStart"/>
      <w:r w:rsidRPr="00087F50">
        <w:t>perorāli</w:t>
      </w:r>
      <w:proofErr w:type="spellEnd"/>
      <w:r w:rsidRPr="00087F50">
        <w:t xml:space="preserve"> bija </w:t>
      </w:r>
      <w:proofErr w:type="spellStart"/>
      <w:r w:rsidRPr="00087F50">
        <w:t>lietojušas</w:t>
      </w:r>
      <w:proofErr w:type="spellEnd"/>
      <w:r w:rsidRPr="00087F50">
        <w:t xml:space="preserve"> </w:t>
      </w:r>
      <w:proofErr w:type="spellStart"/>
      <w:r w:rsidRPr="00087F50">
        <w:t>vairākas</w:t>
      </w:r>
      <w:proofErr w:type="spellEnd"/>
      <w:r w:rsidRPr="00087F50">
        <w:t xml:space="preserve"> </w:t>
      </w:r>
      <w:proofErr w:type="spellStart"/>
      <w:r w:rsidR="00422221" w:rsidRPr="00087F50">
        <w:rPr>
          <w:lang w:val="lv-LV"/>
        </w:rPr>
        <w:t>febuksostata</w:t>
      </w:r>
      <w:proofErr w:type="spellEnd"/>
      <w:r w:rsidR="00422221" w:rsidRPr="00087F50">
        <w:rPr>
          <w:lang w:val="lv-LV"/>
        </w:rPr>
        <w:t xml:space="preserve"> </w:t>
      </w:r>
      <w:proofErr w:type="spellStart"/>
      <w:r w:rsidRPr="00087F50">
        <w:t>devas</w:t>
      </w:r>
      <w:proofErr w:type="spellEnd"/>
      <w:r w:rsidRPr="00087F50">
        <w:t xml:space="preserve">, </w:t>
      </w:r>
      <w:proofErr w:type="spellStart"/>
      <w:r w:rsidRPr="00087F50">
        <w:t>C</w:t>
      </w:r>
      <w:r w:rsidRPr="00087F50">
        <w:rPr>
          <w:vertAlign w:val="subscript"/>
        </w:rPr>
        <w:t>max</w:t>
      </w:r>
      <w:proofErr w:type="spellEnd"/>
      <w:r w:rsidRPr="00087F50">
        <w:t xml:space="preserve"> un AUC bija </w:t>
      </w:r>
      <w:proofErr w:type="spellStart"/>
      <w:r w:rsidRPr="00087F50">
        <w:t>attiecīgi</w:t>
      </w:r>
      <w:proofErr w:type="spellEnd"/>
      <w:r w:rsidRPr="00087F50">
        <w:t xml:space="preserve"> par 24 % un 12 % </w:t>
      </w:r>
      <w:proofErr w:type="spellStart"/>
      <w:r w:rsidRPr="00087F50">
        <w:t>augstāks</w:t>
      </w:r>
      <w:proofErr w:type="spellEnd"/>
      <w:r w:rsidRPr="00087F50">
        <w:t xml:space="preserve">, </w:t>
      </w:r>
      <w:proofErr w:type="spellStart"/>
      <w:r w:rsidRPr="00087F50">
        <w:t>nekā</w:t>
      </w:r>
      <w:proofErr w:type="spellEnd"/>
      <w:r w:rsidRPr="00087F50">
        <w:t xml:space="preserve"> </w:t>
      </w:r>
      <w:proofErr w:type="spellStart"/>
      <w:r w:rsidRPr="00087F50">
        <w:t>vairākas</w:t>
      </w:r>
      <w:proofErr w:type="spellEnd"/>
      <w:r w:rsidRPr="00087F50">
        <w:t xml:space="preserve"> </w:t>
      </w:r>
      <w:proofErr w:type="spellStart"/>
      <w:r w:rsidRPr="00087F50">
        <w:t>zāļu</w:t>
      </w:r>
      <w:proofErr w:type="spellEnd"/>
      <w:r w:rsidRPr="00087F50">
        <w:t xml:space="preserve"> </w:t>
      </w:r>
      <w:proofErr w:type="spellStart"/>
      <w:r w:rsidRPr="00087F50">
        <w:t>devas</w:t>
      </w:r>
      <w:proofErr w:type="spellEnd"/>
      <w:r w:rsidRPr="00087F50">
        <w:t xml:space="preserve"> </w:t>
      </w:r>
      <w:proofErr w:type="spellStart"/>
      <w:r w:rsidRPr="00087F50">
        <w:t>perorāli</w:t>
      </w:r>
      <w:proofErr w:type="spellEnd"/>
      <w:r w:rsidRPr="00087F50">
        <w:t xml:space="preserve"> </w:t>
      </w:r>
      <w:proofErr w:type="spellStart"/>
      <w:r w:rsidRPr="00087F50">
        <w:t>lietojušiem</w:t>
      </w:r>
      <w:proofErr w:type="spellEnd"/>
      <w:r w:rsidRPr="00087F50">
        <w:t xml:space="preserve"> </w:t>
      </w:r>
      <w:proofErr w:type="spellStart"/>
      <w:r w:rsidRPr="00087F50">
        <w:t>vīriešiem</w:t>
      </w:r>
      <w:proofErr w:type="spellEnd"/>
      <w:r w:rsidRPr="00087F50">
        <w:t xml:space="preserve">. </w:t>
      </w:r>
      <w:proofErr w:type="spellStart"/>
      <w:r w:rsidRPr="00087F50">
        <w:t>Tomēr</w:t>
      </w:r>
      <w:proofErr w:type="spellEnd"/>
      <w:r w:rsidRPr="00087F50">
        <w:t xml:space="preserve">, </w:t>
      </w:r>
      <w:proofErr w:type="spellStart"/>
      <w:r w:rsidRPr="00087F50">
        <w:t>koriģējot</w:t>
      </w:r>
      <w:proofErr w:type="spellEnd"/>
      <w:r w:rsidRPr="00087F50">
        <w:t xml:space="preserve"> </w:t>
      </w:r>
      <w:proofErr w:type="spellStart"/>
      <w:r w:rsidRPr="00087F50">
        <w:t>C</w:t>
      </w:r>
      <w:r w:rsidRPr="00087F50">
        <w:rPr>
          <w:vertAlign w:val="subscript"/>
        </w:rPr>
        <w:t>max</w:t>
      </w:r>
      <w:proofErr w:type="spellEnd"/>
      <w:r w:rsidRPr="00087F50">
        <w:t xml:space="preserve"> un AUC </w:t>
      </w:r>
      <w:proofErr w:type="spellStart"/>
      <w:r w:rsidRPr="00087F50">
        <w:t>saskaņā</w:t>
      </w:r>
      <w:proofErr w:type="spellEnd"/>
      <w:r w:rsidRPr="00087F50">
        <w:t xml:space="preserve"> ar </w:t>
      </w:r>
      <w:proofErr w:type="spellStart"/>
      <w:r w:rsidRPr="00087F50">
        <w:t>ķermeņa</w:t>
      </w:r>
      <w:proofErr w:type="spellEnd"/>
      <w:r w:rsidRPr="00087F50">
        <w:t xml:space="preserve"> masu, </w:t>
      </w:r>
      <w:proofErr w:type="spellStart"/>
      <w:r w:rsidRPr="00087F50">
        <w:t>iegūtie</w:t>
      </w:r>
      <w:proofErr w:type="spellEnd"/>
      <w:r w:rsidRPr="00087F50">
        <w:t xml:space="preserve"> </w:t>
      </w:r>
      <w:proofErr w:type="spellStart"/>
      <w:r w:rsidRPr="00087F50">
        <w:t>rezultāti</w:t>
      </w:r>
      <w:proofErr w:type="spellEnd"/>
      <w:r w:rsidRPr="00087F50">
        <w:t xml:space="preserve"> bija </w:t>
      </w:r>
      <w:proofErr w:type="spellStart"/>
      <w:r w:rsidRPr="00087F50">
        <w:t>vienādi</w:t>
      </w:r>
      <w:proofErr w:type="spellEnd"/>
      <w:r w:rsidRPr="00087F50">
        <w:t xml:space="preserve"> </w:t>
      </w:r>
      <w:proofErr w:type="spellStart"/>
      <w:r w:rsidRPr="00087F50">
        <w:t>abiem</w:t>
      </w:r>
      <w:proofErr w:type="spellEnd"/>
      <w:r w:rsidRPr="00087F50">
        <w:t xml:space="preserve"> </w:t>
      </w:r>
      <w:proofErr w:type="spellStart"/>
      <w:r w:rsidRPr="00087F50">
        <w:t>dzimumiem</w:t>
      </w:r>
      <w:proofErr w:type="spellEnd"/>
      <w:r w:rsidRPr="00087F50">
        <w:t xml:space="preserve">. </w:t>
      </w:r>
      <w:proofErr w:type="spellStart"/>
      <w:r w:rsidRPr="00087F50">
        <w:t>Devas</w:t>
      </w:r>
      <w:proofErr w:type="spellEnd"/>
      <w:r w:rsidRPr="00087F50">
        <w:t xml:space="preserve"> </w:t>
      </w:r>
      <w:proofErr w:type="spellStart"/>
      <w:r w:rsidRPr="00087F50">
        <w:t>koriģēšana</w:t>
      </w:r>
      <w:proofErr w:type="spellEnd"/>
      <w:r w:rsidRPr="00087F50">
        <w:t xml:space="preserve"> </w:t>
      </w:r>
      <w:proofErr w:type="spellStart"/>
      <w:r w:rsidRPr="00087F50">
        <w:t>atkarībā</w:t>
      </w:r>
      <w:proofErr w:type="spellEnd"/>
      <w:r w:rsidRPr="00087F50">
        <w:t xml:space="preserve"> no </w:t>
      </w:r>
      <w:proofErr w:type="spellStart"/>
      <w:r w:rsidRPr="00087F50">
        <w:t>dzimuma</w:t>
      </w:r>
      <w:proofErr w:type="spellEnd"/>
      <w:r w:rsidRPr="00087F50">
        <w:t xml:space="preserve"> </w:t>
      </w:r>
      <w:proofErr w:type="spellStart"/>
      <w:r w:rsidRPr="00087F50">
        <w:t>nav</w:t>
      </w:r>
      <w:proofErr w:type="spellEnd"/>
      <w:r w:rsidRPr="00087F50">
        <w:t xml:space="preserve"> </w:t>
      </w:r>
      <w:proofErr w:type="spellStart"/>
      <w:r w:rsidRPr="00087F50">
        <w:t>nepieciešama</w:t>
      </w:r>
      <w:proofErr w:type="spellEnd"/>
      <w:r w:rsidRPr="00087F50">
        <w:t>.</w:t>
      </w:r>
      <w:r w:rsidRPr="00087F50">
        <w:rPr>
          <w:i/>
        </w:rPr>
        <w:t xml:space="preserve"> </w:t>
      </w:r>
    </w:p>
    <w:p w14:paraId="627CA6EE" w14:textId="77777777" w:rsidR="00A77DDF" w:rsidRPr="00087F50" w:rsidRDefault="00A77DDF" w:rsidP="00A77DDF">
      <w:pPr>
        <w:spacing w:after="11" w:line="259" w:lineRule="auto"/>
        <w:ind w:left="1" w:firstLine="0"/>
      </w:pPr>
      <w:r w:rsidRPr="00087F50">
        <w:t xml:space="preserve"> </w:t>
      </w:r>
    </w:p>
    <w:p w14:paraId="631CF284" w14:textId="77777777" w:rsidR="00A77DDF" w:rsidRPr="00087F50" w:rsidRDefault="00A77DDF" w:rsidP="00A77DDF">
      <w:pPr>
        <w:pStyle w:val="Heading3"/>
        <w:tabs>
          <w:tab w:val="center" w:pos="1984"/>
        </w:tabs>
        <w:ind w:left="-13" w:right="0" w:firstLine="0"/>
      </w:pPr>
      <w:r w:rsidRPr="00087F50">
        <w:t xml:space="preserve">5.3. </w:t>
      </w:r>
      <w:r w:rsidRPr="00087F50">
        <w:tab/>
      </w:r>
      <w:proofErr w:type="spellStart"/>
      <w:r w:rsidRPr="00087F50">
        <w:t>Preklīniskie</w:t>
      </w:r>
      <w:proofErr w:type="spellEnd"/>
      <w:r w:rsidRPr="00087F50">
        <w:t xml:space="preserve"> </w:t>
      </w:r>
      <w:proofErr w:type="spellStart"/>
      <w:r w:rsidRPr="00087F50">
        <w:t>dati</w:t>
      </w:r>
      <w:proofErr w:type="spellEnd"/>
      <w:r w:rsidRPr="00087F50">
        <w:t xml:space="preserve"> par </w:t>
      </w:r>
      <w:proofErr w:type="spellStart"/>
      <w:r w:rsidRPr="00087F50">
        <w:t>drošumu</w:t>
      </w:r>
      <w:proofErr w:type="spellEnd"/>
      <w:r w:rsidRPr="00087F50">
        <w:rPr>
          <w:b w:val="0"/>
        </w:rPr>
        <w:t xml:space="preserve"> </w:t>
      </w:r>
    </w:p>
    <w:p w14:paraId="6890AE08" w14:textId="77777777" w:rsidR="00A77DDF" w:rsidRPr="00087F50" w:rsidRDefault="00A77DDF" w:rsidP="00A77DDF">
      <w:pPr>
        <w:spacing w:after="0" w:line="259" w:lineRule="auto"/>
        <w:ind w:left="1" w:firstLine="0"/>
      </w:pPr>
      <w:r w:rsidRPr="00087F50">
        <w:t xml:space="preserve"> </w:t>
      </w:r>
    </w:p>
    <w:p w14:paraId="11716152" w14:textId="77777777" w:rsidR="00A77DDF" w:rsidRPr="00087F50" w:rsidRDefault="00A77DDF" w:rsidP="00A77DDF">
      <w:pPr>
        <w:ind w:left="-3" w:right="9"/>
      </w:pPr>
      <w:proofErr w:type="spellStart"/>
      <w:r w:rsidRPr="00087F50">
        <w:t>Neklīniskajos</w:t>
      </w:r>
      <w:proofErr w:type="spellEnd"/>
      <w:r w:rsidRPr="00087F50">
        <w:t xml:space="preserve"> </w:t>
      </w:r>
      <w:proofErr w:type="spellStart"/>
      <w:r w:rsidRPr="00087F50">
        <w:t>pētījumos</w:t>
      </w:r>
      <w:proofErr w:type="spellEnd"/>
      <w:r w:rsidRPr="00087F50">
        <w:t xml:space="preserve">, </w:t>
      </w:r>
      <w:proofErr w:type="spellStart"/>
      <w:r w:rsidRPr="00087F50">
        <w:t>kopumā</w:t>
      </w:r>
      <w:proofErr w:type="spellEnd"/>
      <w:r w:rsidRPr="00087F50">
        <w:t xml:space="preserve">, </w:t>
      </w:r>
      <w:proofErr w:type="spellStart"/>
      <w:r w:rsidRPr="00087F50">
        <w:t>ietekme</w:t>
      </w:r>
      <w:proofErr w:type="spellEnd"/>
      <w:r w:rsidRPr="00087F50">
        <w:t xml:space="preserve"> </w:t>
      </w:r>
      <w:proofErr w:type="spellStart"/>
      <w:r w:rsidRPr="00087F50">
        <w:t>tika</w:t>
      </w:r>
      <w:proofErr w:type="spellEnd"/>
      <w:r w:rsidRPr="00087F50">
        <w:t xml:space="preserve"> </w:t>
      </w:r>
      <w:proofErr w:type="spellStart"/>
      <w:r w:rsidRPr="00087F50">
        <w:t>konstatēta</w:t>
      </w:r>
      <w:proofErr w:type="spellEnd"/>
      <w:r w:rsidRPr="00087F50">
        <w:t xml:space="preserve">, ja </w:t>
      </w:r>
      <w:proofErr w:type="spellStart"/>
      <w:r w:rsidRPr="00087F50">
        <w:t>devas</w:t>
      </w:r>
      <w:proofErr w:type="spellEnd"/>
      <w:r w:rsidRPr="00087F50">
        <w:t xml:space="preserve"> </w:t>
      </w:r>
      <w:proofErr w:type="spellStart"/>
      <w:r w:rsidRPr="00087F50">
        <w:t>būtiski</w:t>
      </w:r>
      <w:proofErr w:type="spellEnd"/>
      <w:r w:rsidRPr="00087F50">
        <w:t xml:space="preserve"> </w:t>
      </w:r>
      <w:proofErr w:type="spellStart"/>
      <w:r w:rsidRPr="00087F50">
        <w:t>pārsniedza</w:t>
      </w:r>
      <w:proofErr w:type="spellEnd"/>
      <w:r w:rsidRPr="00087F50">
        <w:t xml:space="preserve"> </w:t>
      </w:r>
      <w:proofErr w:type="spellStart"/>
      <w:r w:rsidRPr="00087F50">
        <w:t>maksimālās</w:t>
      </w:r>
      <w:proofErr w:type="spellEnd"/>
      <w:r w:rsidRPr="00087F50">
        <w:t xml:space="preserve"> </w:t>
      </w:r>
      <w:proofErr w:type="spellStart"/>
      <w:r w:rsidRPr="00087F50">
        <w:t>cilvēkiem</w:t>
      </w:r>
      <w:proofErr w:type="spellEnd"/>
      <w:r w:rsidRPr="00087F50">
        <w:t xml:space="preserve"> </w:t>
      </w:r>
      <w:proofErr w:type="spellStart"/>
      <w:r w:rsidRPr="00087F50">
        <w:t>paredzētās</w:t>
      </w:r>
      <w:proofErr w:type="spellEnd"/>
      <w:r w:rsidRPr="00087F50">
        <w:t xml:space="preserve"> </w:t>
      </w:r>
      <w:proofErr w:type="spellStart"/>
      <w:r w:rsidRPr="00087F50">
        <w:t>devas</w:t>
      </w:r>
      <w:proofErr w:type="spellEnd"/>
      <w:r w:rsidRPr="00087F50">
        <w:t xml:space="preserve">. </w:t>
      </w:r>
    </w:p>
    <w:p w14:paraId="45AF364B" w14:textId="1DEA5C0F" w:rsidR="00A77DDF" w:rsidRPr="00087F50" w:rsidRDefault="0092097F" w:rsidP="0092097F">
      <w:pPr>
        <w:autoSpaceDE w:val="0"/>
        <w:autoSpaceDN w:val="0"/>
        <w:adjustRightInd w:val="0"/>
        <w:spacing w:after="0" w:line="240" w:lineRule="auto"/>
        <w:ind w:left="0" w:firstLine="0"/>
      </w:pPr>
      <w:r w:rsidRPr="00087F50">
        <w:rPr>
          <w:rFonts w:eastAsia="TimesNewRomanPSMT"/>
          <w:color w:val="auto"/>
          <w:lang w:val="lv-LV" w:eastAsia="en-US"/>
        </w:rPr>
        <w:t xml:space="preserve">Ar žurkām iegūtie </w:t>
      </w:r>
      <w:proofErr w:type="spellStart"/>
      <w:r w:rsidRPr="00087F50">
        <w:rPr>
          <w:rFonts w:eastAsia="TimesNewRomanPSMT"/>
          <w:color w:val="auto"/>
          <w:lang w:val="lv-LV" w:eastAsia="en-US"/>
        </w:rPr>
        <w:t>farmakokinētiskās</w:t>
      </w:r>
      <w:proofErr w:type="spellEnd"/>
      <w:r w:rsidRPr="00087F50">
        <w:rPr>
          <w:rFonts w:eastAsia="TimesNewRomanPSMT"/>
          <w:color w:val="auto"/>
          <w:lang w:val="lv-LV" w:eastAsia="en-US"/>
        </w:rPr>
        <w:t xml:space="preserve"> modelēšanas un simulācijas dati liecina, ka, vienlaikus lietojot </w:t>
      </w:r>
      <w:proofErr w:type="spellStart"/>
      <w:r w:rsidRPr="00087F50">
        <w:rPr>
          <w:rFonts w:eastAsia="TimesNewRomanPSMT"/>
          <w:color w:val="auto"/>
          <w:lang w:val="lv-LV" w:eastAsia="en-US"/>
        </w:rPr>
        <w:t>febuksostatu</w:t>
      </w:r>
      <w:proofErr w:type="spellEnd"/>
      <w:r w:rsidRPr="00087F50">
        <w:rPr>
          <w:rFonts w:eastAsia="TimesNewRomanPSMT"/>
          <w:color w:val="auto"/>
          <w:lang w:val="lv-LV" w:eastAsia="en-US"/>
        </w:rPr>
        <w:t xml:space="preserve">, </w:t>
      </w:r>
      <w:proofErr w:type="spellStart"/>
      <w:r w:rsidRPr="00087F50">
        <w:rPr>
          <w:rFonts w:eastAsia="TimesNewRomanPSMT"/>
          <w:color w:val="auto"/>
          <w:lang w:val="lv-LV" w:eastAsia="en-US"/>
        </w:rPr>
        <w:t>merkaptopurīna</w:t>
      </w:r>
      <w:proofErr w:type="spellEnd"/>
      <w:r w:rsidRPr="00087F50">
        <w:rPr>
          <w:rFonts w:eastAsia="TimesNewRomanPSMT"/>
          <w:color w:val="auto"/>
          <w:lang w:val="lv-LV" w:eastAsia="en-US"/>
        </w:rPr>
        <w:t>/</w:t>
      </w:r>
      <w:proofErr w:type="spellStart"/>
      <w:r w:rsidRPr="00087F50">
        <w:rPr>
          <w:rFonts w:eastAsia="TimesNewRomanPSMT"/>
          <w:color w:val="auto"/>
          <w:lang w:val="lv-LV" w:eastAsia="en-US"/>
        </w:rPr>
        <w:t>azatioprīna</w:t>
      </w:r>
      <w:proofErr w:type="spellEnd"/>
      <w:r w:rsidRPr="00087F50">
        <w:rPr>
          <w:rFonts w:eastAsia="TimesNewRomanPSMT"/>
          <w:color w:val="auto"/>
          <w:lang w:val="lv-LV" w:eastAsia="en-US"/>
        </w:rPr>
        <w:t xml:space="preserve"> deva jāsamazina līdz 20 % vai mazāk no iepriekš izrakstītās devas, lai izvairītos no iespējamām </w:t>
      </w:r>
      <w:proofErr w:type="spellStart"/>
      <w:r w:rsidRPr="00087F50">
        <w:rPr>
          <w:rFonts w:eastAsia="TimesNewRomanPSMT"/>
          <w:color w:val="auto"/>
          <w:lang w:val="lv-LV" w:eastAsia="en-US"/>
        </w:rPr>
        <w:t>hematoloģiska</w:t>
      </w:r>
      <w:proofErr w:type="spellEnd"/>
      <w:r w:rsidRPr="00087F50">
        <w:rPr>
          <w:rFonts w:eastAsia="TimesNewRomanPSMT"/>
          <w:color w:val="auto"/>
          <w:lang w:val="lv-LV" w:eastAsia="en-US"/>
        </w:rPr>
        <w:t xml:space="preserve"> rakstura izmaiņām (skatīt 4.4. un 4.5. apakšpunktu).</w:t>
      </w:r>
      <w:r w:rsidR="00A77DDF" w:rsidRPr="00087F50">
        <w:t xml:space="preserve"> </w:t>
      </w:r>
    </w:p>
    <w:p w14:paraId="6295940F" w14:textId="5CF4EF21" w:rsidR="00A77DDF" w:rsidRPr="00087F50" w:rsidRDefault="00A77DDF" w:rsidP="00A77DDF">
      <w:pPr>
        <w:spacing w:after="0" w:line="259" w:lineRule="auto"/>
        <w:ind w:left="1" w:firstLine="0"/>
      </w:pPr>
    </w:p>
    <w:p w14:paraId="1F5DE42F" w14:textId="77777777" w:rsidR="00A77DDF" w:rsidRPr="00890F7A" w:rsidRDefault="00A77DDF" w:rsidP="00A77DDF">
      <w:pPr>
        <w:spacing w:after="13" w:line="249" w:lineRule="auto"/>
        <w:ind w:left="-3" w:hanging="10"/>
        <w:rPr>
          <w:iCs/>
          <w:u w:val="single"/>
        </w:rPr>
      </w:pPr>
      <w:proofErr w:type="spellStart"/>
      <w:r w:rsidRPr="00890F7A">
        <w:rPr>
          <w:iCs/>
          <w:u w:val="single"/>
        </w:rPr>
        <w:t>Kancerogenitāte</w:t>
      </w:r>
      <w:proofErr w:type="spellEnd"/>
      <w:r w:rsidRPr="00890F7A">
        <w:rPr>
          <w:iCs/>
          <w:u w:val="single"/>
        </w:rPr>
        <w:t xml:space="preserve">, </w:t>
      </w:r>
      <w:proofErr w:type="spellStart"/>
      <w:r w:rsidRPr="00890F7A">
        <w:rPr>
          <w:iCs/>
          <w:u w:val="single"/>
        </w:rPr>
        <w:t>mutagenitāte</w:t>
      </w:r>
      <w:proofErr w:type="spellEnd"/>
      <w:r w:rsidRPr="00890F7A">
        <w:rPr>
          <w:iCs/>
          <w:u w:val="single"/>
        </w:rPr>
        <w:t xml:space="preserve">, </w:t>
      </w:r>
      <w:proofErr w:type="spellStart"/>
      <w:r w:rsidRPr="00890F7A">
        <w:rPr>
          <w:iCs/>
          <w:u w:val="single"/>
        </w:rPr>
        <w:t>auglības</w:t>
      </w:r>
      <w:proofErr w:type="spellEnd"/>
      <w:r w:rsidRPr="00890F7A">
        <w:rPr>
          <w:iCs/>
          <w:u w:val="single"/>
        </w:rPr>
        <w:t xml:space="preserve"> </w:t>
      </w:r>
      <w:proofErr w:type="spellStart"/>
      <w:r w:rsidRPr="00890F7A">
        <w:rPr>
          <w:iCs/>
          <w:u w:val="single"/>
        </w:rPr>
        <w:t>traucējumi</w:t>
      </w:r>
      <w:proofErr w:type="spellEnd"/>
      <w:r w:rsidRPr="00890F7A">
        <w:rPr>
          <w:iCs/>
          <w:u w:val="single"/>
        </w:rPr>
        <w:t xml:space="preserve">  </w:t>
      </w:r>
    </w:p>
    <w:p w14:paraId="7007A5A7" w14:textId="77777777" w:rsidR="00A77DDF" w:rsidRPr="00087F50" w:rsidRDefault="00A77DDF" w:rsidP="00A77DDF">
      <w:pPr>
        <w:ind w:left="-3" w:right="9"/>
      </w:pPr>
      <w:proofErr w:type="spellStart"/>
      <w:r w:rsidRPr="00087F50">
        <w:t>Žurku</w:t>
      </w:r>
      <w:proofErr w:type="spellEnd"/>
      <w:r w:rsidRPr="00087F50">
        <w:t xml:space="preserve"> </w:t>
      </w:r>
      <w:proofErr w:type="spellStart"/>
      <w:r w:rsidRPr="00087F50">
        <w:t>tēviņiem</w:t>
      </w:r>
      <w:proofErr w:type="spellEnd"/>
      <w:r w:rsidRPr="00087F50">
        <w:t xml:space="preserve">, </w:t>
      </w:r>
      <w:proofErr w:type="spellStart"/>
      <w:r w:rsidRPr="00087F50">
        <w:t>kas</w:t>
      </w:r>
      <w:proofErr w:type="spellEnd"/>
      <w:r w:rsidRPr="00087F50">
        <w:t xml:space="preserve"> bija </w:t>
      </w:r>
      <w:proofErr w:type="spellStart"/>
      <w:r w:rsidRPr="00087F50">
        <w:t>saņēmuši</w:t>
      </w:r>
      <w:proofErr w:type="spellEnd"/>
      <w:r w:rsidRPr="00087F50">
        <w:t xml:space="preserve"> </w:t>
      </w:r>
      <w:proofErr w:type="spellStart"/>
      <w:r w:rsidRPr="00087F50">
        <w:t>lielas</w:t>
      </w:r>
      <w:proofErr w:type="spellEnd"/>
      <w:r w:rsidRPr="00087F50">
        <w:t xml:space="preserve"> </w:t>
      </w:r>
      <w:proofErr w:type="spellStart"/>
      <w:r w:rsidRPr="00087F50">
        <w:t>devas</w:t>
      </w:r>
      <w:proofErr w:type="spellEnd"/>
      <w:r w:rsidRPr="00087F50">
        <w:t xml:space="preserve"> (</w:t>
      </w:r>
      <w:proofErr w:type="spellStart"/>
      <w:r w:rsidRPr="00087F50">
        <w:t>apmēram</w:t>
      </w:r>
      <w:proofErr w:type="spellEnd"/>
      <w:r w:rsidRPr="00087F50">
        <w:t xml:space="preserve"> 11 </w:t>
      </w:r>
      <w:proofErr w:type="spellStart"/>
      <w:r w:rsidRPr="00087F50">
        <w:t>reižu</w:t>
      </w:r>
      <w:proofErr w:type="spellEnd"/>
      <w:r w:rsidRPr="00087F50">
        <w:t xml:space="preserve"> </w:t>
      </w:r>
      <w:proofErr w:type="spellStart"/>
      <w:r w:rsidRPr="00087F50">
        <w:t>lielākas</w:t>
      </w:r>
      <w:proofErr w:type="spellEnd"/>
      <w:r w:rsidRPr="00087F50">
        <w:t xml:space="preserve"> </w:t>
      </w:r>
      <w:proofErr w:type="spellStart"/>
      <w:r w:rsidRPr="00087F50">
        <w:t>nekā</w:t>
      </w:r>
      <w:proofErr w:type="spellEnd"/>
      <w:r w:rsidRPr="00087F50">
        <w:t xml:space="preserve"> </w:t>
      </w:r>
      <w:proofErr w:type="spellStart"/>
      <w:r w:rsidRPr="00087F50">
        <w:t>cilvēki</w:t>
      </w:r>
      <w:proofErr w:type="spellEnd"/>
      <w:r w:rsidRPr="00087F50">
        <w:t xml:space="preserve">) un </w:t>
      </w:r>
      <w:proofErr w:type="spellStart"/>
      <w:r w:rsidRPr="00087F50">
        <w:t>kam</w:t>
      </w:r>
      <w:proofErr w:type="spellEnd"/>
      <w:r w:rsidRPr="00087F50">
        <w:t xml:space="preserve"> bija </w:t>
      </w:r>
      <w:proofErr w:type="spellStart"/>
      <w:r w:rsidRPr="00087F50">
        <w:t>ksantīna</w:t>
      </w:r>
      <w:proofErr w:type="spellEnd"/>
      <w:r w:rsidRPr="00087F50">
        <w:t xml:space="preserve"> </w:t>
      </w:r>
      <w:proofErr w:type="spellStart"/>
      <w:r w:rsidRPr="00087F50">
        <w:t>akmeņi</w:t>
      </w:r>
      <w:proofErr w:type="spellEnd"/>
      <w:r w:rsidRPr="00087F50">
        <w:t xml:space="preserve">, </w:t>
      </w:r>
      <w:proofErr w:type="spellStart"/>
      <w:r w:rsidRPr="00087F50">
        <w:t>tika</w:t>
      </w:r>
      <w:proofErr w:type="spellEnd"/>
      <w:r w:rsidRPr="00087F50">
        <w:t xml:space="preserve"> </w:t>
      </w:r>
      <w:proofErr w:type="spellStart"/>
      <w:r w:rsidRPr="00087F50">
        <w:t>novērots</w:t>
      </w:r>
      <w:proofErr w:type="spellEnd"/>
      <w:r w:rsidRPr="00087F50">
        <w:t xml:space="preserve"> </w:t>
      </w:r>
      <w:proofErr w:type="spellStart"/>
      <w:r w:rsidRPr="00087F50">
        <w:t>statistiski</w:t>
      </w:r>
      <w:proofErr w:type="spellEnd"/>
      <w:r w:rsidRPr="00087F50">
        <w:t xml:space="preserve"> </w:t>
      </w:r>
      <w:proofErr w:type="spellStart"/>
      <w:r w:rsidRPr="00087F50">
        <w:t>nozīmīgs</w:t>
      </w:r>
      <w:proofErr w:type="spellEnd"/>
      <w:r w:rsidRPr="00087F50">
        <w:t xml:space="preserve"> </w:t>
      </w:r>
      <w:proofErr w:type="spellStart"/>
      <w:r w:rsidRPr="00087F50">
        <w:t>urīnpūšļa</w:t>
      </w:r>
      <w:proofErr w:type="spellEnd"/>
      <w:r w:rsidRPr="00087F50">
        <w:t xml:space="preserve"> </w:t>
      </w:r>
      <w:proofErr w:type="spellStart"/>
      <w:r w:rsidRPr="00087F50">
        <w:t>audzēju</w:t>
      </w:r>
      <w:proofErr w:type="spellEnd"/>
      <w:r w:rsidRPr="00087F50">
        <w:t xml:space="preserve"> (</w:t>
      </w:r>
      <w:proofErr w:type="spellStart"/>
      <w:r w:rsidRPr="00087F50">
        <w:t>pārejas</w:t>
      </w:r>
      <w:proofErr w:type="spellEnd"/>
      <w:r w:rsidRPr="00087F50">
        <w:t xml:space="preserve"> </w:t>
      </w:r>
      <w:proofErr w:type="spellStart"/>
      <w:r w:rsidRPr="00087F50">
        <w:t>šūnu</w:t>
      </w:r>
      <w:proofErr w:type="spellEnd"/>
      <w:r w:rsidRPr="00087F50">
        <w:t xml:space="preserve"> papilomas un </w:t>
      </w:r>
      <w:proofErr w:type="spellStart"/>
      <w:r w:rsidRPr="00087F50">
        <w:t>karcinomas</w:t>
      </w:r>
      <w:proofErr w:type="spellEnd"/>
      <w:r w:rsidRPr="00087F50">
        <w:t xml:space="preserve">) </w:t>
      </w:r>
      <w:proofErr w:type="spellStart"/>
      <w:r w:rsidRPr="00087F50">
        <w:t>skaita</w:t>
      </w:r>
      <w:proofErr w:type="spellEnd"/>
      <w:r w:rsidRPr="00087F50">
        <w:t xml:space="preserve"> </w:t>
      </w:r>
      <w:proofErr w:type="spellStart"/>
      <w:r w:rsidRPr="00087F50">
        <w:t>pieaugums</w:t>
      </w:r>
      <w:proofErr w:type="spellEnd"/>
      <w:r w:rsidRPr="00087F50">
        <w:t xml:space="preserve">. </w:t>
      </w:r>
      <w:proofErr w:type="spellStart"/>
      <w:r w:rsidRPr="00087F50">
        <w:t>Peļu</w:t>
      </w:r>
      <w:proofErr w:type="spellEnd"/>
      <w:r w:rsidRPr="00087F50">
        <w:t xml:space="preserve"> un </w:t>
      </w:r>
      <w:proofErr w:type="spellStart"/>
      <w:r w:rsidRPr="00087F50">
        <w:t>žurku</w:t>
      </w:r>
      <w:proofErr w:type="spellEnd"/>
      <w:r w:rsidRPr="00087F50">
        <w:t xml:space="preserve"> </w:t>
      </w:r>
      <w:proofErr w:type="spellStart"/>
      <w:r w:rsidRPr="00087F50">
        <w:t>tēviņiem</w:t>
      </w:r>
      <w:proofErr w:type="spellEnd"/>
      <w:r w:rsidRPr="00087F50">
        <w:t xml:space="preserve"> un </w:t>
      </w:r>
      <w:proofErr w:type="spellStart"/>
      <w:r w:rsidRPr="00087F50">
        <w:t>mātītēm</w:t>
      </w:r>
      <w:proofErr w:type="spellEnd"/>
      <w:r w:rsidRPr="00087F50">
        <w:t xml:space="preserve"> </w:t>
      </w:r>
      <w:proofErr w:type="spellStart"/>
      <w:r w:rsidRPr="00087F50">
        <w:t>jebkura</w:t>
      </w:r>
      <w:proofErr w:type="spellEnd"/>
      <w:r w:rsidRPr="00087F50">
        <w:t xml:space="preserve"> cita </w:t>
      </w:r>
      <w:proofErr w:type="spellStart"/>
      <w:r w:rsidRPr="00087F50">
        <w:t>veida</w:t>
      </w:r>
      <w:proofErr w:type="spellEnd"/>
      <w:r w:rsidRPr="00087F50">
        <w:t xml:space="preserve"> </w:t>
      </w:r>
      <w:proofErr w:type="spellStart"/>
      <w:r w:rsidRPr="00087F50">
        <w:t>audzēju</w:t>
      </w:r>
      <w:proofErr w:type="spellEnd"/>
      <w:r w:rsidRPr="00087F50">
        <w:t xml:space="preserve"> </w:t>
      </w:r>
      <w:proofErr w:type="spellStart"/>
      <w:r w:rsidRPr="00087F50">
        <w:t>sastopamība</w:t>
      </w:r>
      <w:proofErr w:type="spellEnd"/>
      <w:r w:rsidRPr="00087F50">
        <w:t xml:space="preserve"> </w:t>
      </w:r>
      <w:proofErr w:type="spellStart"/>
      <w:r w:rsidRPr="00087F50">
        <w:t>būtiski</w:t>
      </w:r>
      <w:proofErr w:type="spellEnd"/>
      <w:r w:rsidRPr="00087F50">
        <w:t xml:space="preserve"> </w:t>
      </w:r>
      <w:proofErr w:type="spellStart"/>
      <w:r w:rsidRPr="00087F50">
        <w:t>nepalielinājās</w:t>
      </w:r>
      <w:proofErr w:type="spellEnd"/>
      <w:r w:rsidRPr="00087F50">
        <w:t xml:space="preserve">. </w:t>
      </w:r>
      <w:proofErr w:type="spellStart"/>
      <w:r w:rsidRPr="00087F50">
        <w:t>Šīs</w:t>
      </w:r>
      <w:proofErr w:type="spellEnd"/>
      <w:r w:rsidRPr="00087F50">
        <w:t xml:space="preserve"> </w:t>
      </w:r>
      <w:proofErr w:type="spellStart"/>
      <w:r w:rsidRPr="00087F50">
        <w:t>atrades</w:t>
      </w:r>
      <w:proofErr w:type="spellEnd"/>
      <w:r w:rsidRPr="00087F50">
        <w:t xml:space="preserve"> ir </w:t>
      </w:r>
      <w:proofErr w:type="spellStart"/>
      <w:r w:rsidRPr="00087F50">
        <w:t>atzītas</w:t>
      </w:r>
      <w:proofErr w:type="spellEnd"/>
      <w:r w:rsidRPr="00087F50">
        <w:t xml:space="preserve"> par </w:t>
      </w:r>
      <w:proofErr w:type="spellStart"/>
      <w:r w:rsidRPr="00087F50">
        <w:t>sugai</w:t>
      </w:r>
      <w:proofErr w:type="spellEnd"/>
      <w:r w:rsidRPr="00087F50">
        <w:t xml:space="preserve"> </w:t>
      </w:r>
      <w:proofErr w:type="spellStart"/>
      <w:r w:rsidRPr="00087F50">
        <w:t>specifisku</w:t>
      </w:r>
      <w:proofErr w:type="spellEnd"/>
      <w:r w:rsidRPr="00087F50">
        <w:t xml:space="preserve"> </w:t>
      </w:r>
      <w:proofErr w:type="spellStart"/>
      <w:r w:rsidRPr="00087F50">
        <w:t>purīnu</w:t>
      </w:r>
      <w:proofErr w:type="spellEnd"/>
      <w:r w:rsidRPr="00087F50">
        <w:t xml:space="preserve"> </w:t>
      </w:r>
      <w:proofErr w:type="spellStart"/>
      <w:r w:rsidRPr="00087F50">
        <w:t>metabolisma</w:t>
      </w:r>
      <w:proofErr w:type="spellEnd"/>
      <w:r w:rsidRPr="00087F50">
        <w:t xml:space="preserve"> </w:t>
      </w:r>
      <w:proofErr w:type="spellStart"/>
      <w:r w:rsidRPr="00087F50">
        <w:t>izpausmi</w:t>
      </w:r>
      <w:proofErr w:type="spellEnd"/>
      <w:r w:rsidRPr="00087F50">
        <w:t xml:space="preserve"> un </w:t>
      </w:r>
      <w:proofErr w:type="spellStart"/>
      <w:r w:rsidRPr="00087F50">
        <w:t>urīna</w:t>
      </w:r>
      <w:proofErr w:type="spellEnd"/>
      <w:r w:rsidRPr="00087F50">
        <w:t xml:space="preserve"> </w:t>
      </w:r>
      <w:proofErr w:type="spellStart"/>
      <w:r w:rsidRPr="00087F50">
        <w:t>sastāva</w:t>
      </w:r>
      <w:proofErr w:type="spellEnd"/>
      <w:r w:rsidRPr="00087F50">
        <w:t xml:space="preserve"> </w:t>
      </w:r>
      <w:proofErr w:type="spellStart"/>
      <w:r w:rsidRPr="00087F50">
        <w:t>īpatnību</w:t>
      </w:r>
      <w:proofErr w:type="spellEnd"/>
      <w:r w:rsidRPr="00087F50">
        <w:t xml:space="preserve">, </w:t>
      </w:r>
      <w:proofErr w:type="spellStart"/>
      <w:r w:rsidRPr="00087F50">
        <w:t>kam</w:t>
      </w:r>
      <w:proofErr w:type="spellEnd"/>
      <w:r w:rsidRPr="00087F50">
        <w:t xml:space="preserve"> </w:t>
      </w:r>
      <w:proofErr w:type="spellStart"/>
      <w:r w:rsidRPr="00087F50">
        <w:t>nav</w:t>
      </w:r>
      <w:proofErr w:type="spellEnd"/>
      <w:r w:rsidRPr="00087F50">
        <w:t xml:space="preserve"> </w:t>
      </w:r>
      <w:proofErr w:type="spellStart"/>
      <w:r w:rsidRPr="00087F50">
        <w:t>nozīmes</w:t>
      </w:r>
      <w:proofErr w:type="spellEnd"/>
      <w:r w:rsidRPr="00087F50">
        <w:t xml:space="preserve"> </w:t>
      </w:r>
      <w:proofErr w:type="spellStart"/>
      <w:r w:rsidRPr="00087F50">
        <w:t>klīniskajā</w:t>
      </w:r>
      <w:proofErr w:type="spellEnd"/>
      <w:r w:rsidRPr="00087F50">
        <w:t xml:space="preserve"> </w:t>
      </w:r>
      <w:proofErr w:type="spellStart"/>
      <w:r w:rsidRPr="00087F50">
        <w:t>praksē</w:t>
      </w:r>
      <w:proofErr w:type="spellEnd"/>
      <w:r w:rsidRPr="00087F50">
        <w:t>.</w:t>
      </w:r>
      <w:r w:rsidRPr="00087F50">
        <w:rPr>
          <w:b/>
        </w:rPr>
        <w:t xml:space="preserve"> </w:t>
      </w:r>
    </w:p>
    <w:p w14:paraId="534F30C6" w14:textId="77777777" w:rsidR="00A77DDF" w:rsidRPr="00087F50" w:rsidRDefault="00A77DDF" w:rsidP="00890F7A">
      <w:pPr>
        <w:spacing w:after="0" w:line="259" w:lineRule="auto"/>
        <w:ind w:left="1" w:firstLine="0"/>
      </w:pPr>
      <w:proofErr w:type="spellStart"/>
      <w:r w:rsidRPr="00087F50">
        <w:t>Genotoksicitātes</w:t>
      </w:r>
      <w:proofErr w:type="spellEnd"/>
      <w:r w:rsidRPr="00087F50">
        <w:t xml:space="preserve"> </w:t>
      </w:r>
      <w:proofErr w:type="spellStart"/>
      <w:r w:rsidRPr="00087F50">
        <w:t>standarta</w:t>
      </w:r>
      <w:proofErr w:type="spellEnd"/>
      <w:r w:rsidRPr="00087F50">
        <w:t xml:space="preserve"> </w:t>
      </w:r>
      <w:proofErr w:type="spellStart"/>
      <w:r w:rsidRPr="00087F50">
        <w:t>testi</w:t>
      </w:r>
      <w:proofErr w:type="spellEnd"/>
      <w:r w:rsidRPr="00087F50">
        <w:t xml:space="preserve"> </w:t>
      </w:r>
      <w:proofErr w:type="spellStart"/>
      <w:r w:rsidRPr="00087F50">
        <w:t>neatklāja</w:t>
      </w:r>
      <w:proofErr w:type="spellEnd"/>
      <w:r w:rsidRPr="00087F50">
        <w:t xml:space="preserve"> </w:t>
      </w:r>
      <w:proofErr w:type="spellStart"/>
      <w:r w:rsidRPr="00087F50">
        <w:t>bioloģiski</w:t>
      </w:r>
      <w:proofErr w:type="spellEnd"/>
      <w:r w:rsidRPr="00087F50">
        <w:t xml:space="preserve"> </w:t>
      </w:r>
      <w:proofErr w:type="spellStart"/>
      <w:r w:rsidRPr="00087F50">
        <w:t>nozīmīgu</w:t>
      </w:r>
      <w:proofErr w:type="spellEnd"/>
      <w:r w:rsidRPr="00087F50">
        <w:t xml:space="preserve"> </w:t>
      </w:r>
      <w:proofErr w:type="spellStart"/>
      <w:r w:rsidRPr="00087F50">
        <w:t>febuksostata</w:t>
      </w:r>
      <w:proofErr w:type="spellEnd"/>
      <w:r w:rsidRPr="00087F50">
        <w:t xml:space="preserve"> </w:t>
      </w:r>
      <w:proofErr w:type="spellStart"/>
      <w:r w:rsidRPr="00087F50">
        <w:t>genotoksisku</w:t>
      </w:r>
      <w:proofErr w:type="spellEnd"/>
      <w:r w:rsidRPr="00087F50">
        <w:t xml:space="preserve"> </w:t>
      </w:r>
      <w:proofErr w:type="spellStart"/>
      <w:r w:rsidRPr="00087F50">
        <w:t>iedarbību</w:t>
      </w:r>
      <w:proofErr w:type="spellEnd"/>
      <w:r w:rsidRPr="00087F50">
        <w:t xml:space="preserve">.  </w:t>
      </w:r>
    </w:p>
    <w:p w14:paraId="7B197FAA" w14:textId="77777777" w:rsidR="00A77DDF" w:rsidRPr="00087F50" w:rsidRDefault="00A77DDF" w:rsidP="00A77DDF">
      <w:pPr>
        <w:ind w:left="-3" w:right="9"/>
      </w:pPr>
      <w:proofErr w:type="spellStart"/>
      <w:r w:rsidRPr="00087F50">
        <w:t>Perorāli</w:t>
      </w:r>
      <w:proofErr w:type="spellEnd"/>
      <w:r w:rsidRPr="00087F50">
        <w:t xml:space="preserve"> </w:t>
      </w:r>
      <w:proofErr w:type="spellStart"/>
      <w:r w:rsidRPr="00087F50">
        <w:t>ievadītas</w:t>
      </w:r>
      <w:proofErr w:type="spellEnd"/>
      <w:r w:rsidRPr="00087F50">
        <w:t xml:space="preserve"> </w:t>
      </w:r>
      <w:proofErr w:type="spellStart"/>
      <w:r w:rsidRPr="00087F50">
        <w:t>febuksostata</w:t>
      </w:r>
      <w:proofErr w:type="spellEnd"/>
      <w:r w:rsidRPr="00087F50">
        <w:t xml:space="preserve"> </w:t>
      </w:r>
      <w:proofErr w:type="spellStart"/>
      <w:r w:rsidRPr="00087F50">
        <w:t>devas</w:t>
      </w:r>
      <w:proofErr w:type="spellEnd"/>
      <w:r w:rsidRPr="00087F50">
        <w:t xml:space="preserve"> </w:t>
      </w:r>
      <w:proofErr w:type="spellStart"/>
      <w:r w:rsidRPr="00087F50">
        <w:t>līdz</w:t>
      </w:r>
      <w:proofErr w:type="spellEnd"/>
      <w:r w:rsidRPr="00087F50">
        <w:t xml:space="preserve"> 48 mg/kg/</w:t>
      </w:r>
      <w:proofErr w:type="spellStart"/>
      <w:r w:rsidRPr="00087F50">
        <w:t>dienā</w:t>
      </w:r>
      <w:proofErr w:type="spellEnd"/>
      <w:r w:rsidRPr="00087F50">
        <w:t xml:space="preserve"> </w:t>
      </w:r>
      <w:proofErr w:type="spellStart"/>
      <w:r w:rsidRPr="00087F50">
        <w:t>tika</w:t>
      </w:r>
      <w:proofErr w:type="spellEnd"/>
      <w:r w:rsidRPr="00087F50">
        <w:t xml:space="preserve"> </w:t>
      </w:r>
      <w:proofErr w:type="spellStart"/>
      <w:r w:rsidRPr="00087F50">
        <w:t>atzītas</w:t>
      </w:r>
      <w:proofErr w:type="spellEnd"/>
      <w:r w:rsidRPr="00087F50">
        <w:t xml:space="preserve"> par </w:t>
      </w:r>
      <w:proofErr w:type="spellStart"/>
      <w:r w:rsidRPr="00087F50">
        <w:t>tādām</w:t>
      </w:r>
      <w:proofErr w:type="spellEnd"/>
      <w:r w:rsidRPr="00087F50">
        <w:t xml:space="preserve">, </w:t>
      </w:r>
      <w:proofErr w:type="spellStart"/>
      <w:r w:rsidRPr="00087F50">
        <w:t>kas</w:t>
      </w:r>
      <w:proofErr w:type="spellEnd"/>
      <w:r w:rsidRPr="00087F50">
        <w:t xml:space="preserve"> </w:t>
      </w:r>
      <w:proofErr w:type="spellStart"/>
      <w:r w:rsidRPr="00087F50">
        <w:t>neietekmē</w:t>
      </w:r>
      <w:proofErr w:type="spellEnd"/>
      <w:r w:rsidRPr="00087F50">
        <w:t xml:space="preserve"> </w:t>
      </w:r>
      <w:proofErr w:type="spellStart"/>
      <w:r w:rsidRPr="00087F50">
        <w:t>žurku</w:t>
      </w:r>
      <w:proofErr w:type="spellEnd"/>
      <w:r w:rsidRPr="00087F50">
        <w:t xml:space="preserve"> </w:t>
      </w:r>
      <w:proofErr w:type="spellStart"/>
      <w:r w:rsidRPr="00087F50">
        <w:t>tēviņu</w:t>
      </w:r>
      <w:proofErr w:type="spellEnd"/>
      <w:r w:rsidRPr="00087F50">
        <w:t xml:space="preserve"> un </w:t>
      </w:r>
      <w:proofErr w:type="spellStart"/>
      <w:r w:rsidRPr="00087F50">
        <w:t>mātīšu</w:t>
      </w:r>
      <w:proofErr w:type="spellEnd"/>
      <w:r w:rsidRPr="00087F50">
        <w:t xml:space="preserve"> </w:t>
      </w:r>
      <w:proofErr w:type="spellStart"/>
      <w:r w:rsidRPr="00087F50">
        <w:t>auglību</w:t>
      </w:r>
      <w:proofErr w:type="spellEnd"/>
      <w:r w:rsidRPr="00087F50">
        <w:t xml:space="preserve"> un </w:t>
      </w:r>
      <w:proofErr w:type="spellStart"/>
      <w:r w:rsidRPr="00087F50">
        <w:t>spēju</w:t>
      </w:r>
      <w:proofErr w:type="spellEnd"/>
      <w:r w:rsidRPr="00087F50">
        <w:t xml:space="preserve"> </w:t>
      </w:r>
      <w:proofErr w:type="spellStart"/>
      <w:r w:rsidRPr="00087F50">
        <w:t>vairoties</w:t>
      </w:r>
      <w:proofErr w:type="spellEnd"/>
      <w:r w:rsidRPr="00087F50">
        <w:t xml:space="preserve">. </w:t>
      </w:r>
    </w:p>
    <w:p w14:paraId="667C770C" w14:textId="77777777" w:rsidR="00A77DDF" w:rsidRPr="00087F50" w:rsidRDefault="00A77DDF" w:rsidP="00A77DDF">
      <w:pPr>
        <w:ind w:left="-3" w:right="9"/>
      </w:pPr>
      <w:proofErr w:type="spellStart"/>
      <w:r w:rsidRPr="00087F50">
        <w:t>Febuksostata</w:t>
      </w:r>
      <w:proofErr w:type="spellEnd"/>
      <w:r w:rsidRPr="00087F50">
        <w:t xml:space="preserve"> </w:t>
      </w:r>
      <w:proofErr w:type="spellStart"/>
      <w:r w:rsidRPr="00087F50">
        <w:t>negatīva</w:t>
      </w:r>
      <w:proofErr w:type="spellEnd"/>
      <w:r w:rsidRPr="00087F50">
        <w:t xml:space="preserve"> </w:t>
      </w:r>
      <w:proofErr w:type="spellStart"/>
      <w:r w:rsidRPr="00087F50">
        <w:t>iedarbība</w:t>
      </w:r>
      <w:proofErr w:type="spellEnd"/>
      <w:r w:rsidRPr="00087F50">
        <w:t xml:space="preserve"> </w:t>
      </w:r>
      <w:proofErr w:type="spellStart"/>
      <w:r w:rsidRPr="00087F50">
        <w:t>uz</w:t>
      </w:r>
      <w:proofErr w:type="spellEnd"/>
      <w:r w:rsidRPr="00087F50">
        <w:t xml:space="preserve"> </w:t>
      </w:r>
      <w:proofErr w:type="spellStart"/>
      <w:r w:rsidRPr="00087F50">
        <w:t>auglību</w:t>
      </w:r>
      <w:proofErr w:type="spellEnd"/>
      <w:r w:rsidRPr="00087F50">
        <w:t xml:space="preserve">, </w:t>
      </w:r>
      <w:proofErr w:type="spellStart"/>
      <w:r w:rsidRPr="00087F50">
        <w:t>teratogēna</w:t>
      </w:r>
      <w:proofErr w:type="spellEnd"/>
      <w:r w:rsidRPr="00087F50">
        <w:t xml:space="preserve"> </w:t>
      </w:r>
      <w:proofErr w:type="spellStart"/>
      <w:r w:rsidRPr="00087F50">
        <w:t>iedarbība</w:t>
      </w:r>
      <w:proofErr w:type="spellEnd"/>
      <w:r w:rsidRPr="00087F50">
        <w:t xml:space="preserve"> </w:t>
      </w:r>
      <w:proofErr w:type="spellStart"/>
      <w:r w:rsidRPr="00087F50">
        <w:t>vai</w:t>
      </w:r>
      <w:proofErr w:type="spellEnd"/>
      <w:r w:rsidRPr="00087F50">
        <w:t xml:space="preserve"> </w:t>
      </w:r>
      <w:proofErr w:type="spellStart"/>
      <w:r w:rsidRPr="00087F50">
        <w:t>kaitējums</w:t>
      </w:r>
      <w:proofErr w:type="spellEnd"/>
      <w:r w:rsidRPr="00087F50">
        <w:t xml:space="preserve"> </w:t>
      </w:r>
      <w:proofErr w:type="spellStart"/>
      <w:r w:rsidRPr="00087F50">
        <w:t>auglim</w:t>
      </w:r>
      <w:proofErr w:type="spellEnd"/>
      <w:r w:rsidRPr="00087F50">
        <w:t xml:space="preserve"> </w:t>
      </w:r>
      <w:proofErr w:type="spellStart"/>
      <w:r w:rsidRPr="00087F50">
        <w:t>netika</w:t>
      </w:r>
      <w:proofErr w:type="spellEnd"/>
      <w:r w:rsidRPr="00087F50">
        <w:t xml:space="preserve"> </w:t>
      </w:r>
      <w:proofErr w:type="spellStart"/>
      <w:r w:rsidRPr="00087F50">
        <w:t>konstatēts</w:t>
      </w:r>
      <w:proofErr w:type="spellEnd"/>
      <w:r w:rsidRPr="00087F50">
        <w:t xml:space="preserve">. </w:t>
      </w:r>
      <w:proofErr w:type="spellStart"/>
      <w:r w:rsidRPr="00087F50">
        <w:t>Žurku</w:t>
      </w:r>
      <w:proofErr w:type="spellEnd"/>
      <w:r w:rsidRPr="00087F50">
        <w:t xml:space="preserve"> </w:t>
      </w:r>
      <w:proofErr w:type="spellStart"/>
      <w:r w:rsidRPr="00087F50">
        <w:t>mātītēm</w:t>
      </w:r>
      <w:proofErr w:type="spellEnd"/>
      <w:r w:rsidRPr="00087F50">
        <w:t xml:space="preserve">, </w:t>
      </w:r>
      <w:proofErr w:type="spellStart"/>
      <w:r w:rsidRPr="00087F50">
        <w:t>kas</w:t>
      </w:r>
      <w:proofErr w:type="spellEnd"/>
      <w:r w:rsidRPr="00087F50">
        <w:t xml:space="preserve"> bija </w:t>
      </w:r>
      <w:proofErr w:type="spellStart"/>
      <w:r w:rsidRPr="00087F50">
        <w:t>saņēmušas</w:t>
      </w:r>
      <w:proofErr w:type="spellEnd"/>
      <w:r w:rsidRPr="00087F50">
        <w:t xml:space="preserve"> 4,3 </w:t>
      </w:r>
      <w:proofErr w:type="spellStart"/>
      <w:r w:rsidRPr="00087F50">
        <w:t>reizes</w:t>
      </w:r>
      <w:proofErr w:type="spellEnd"/>
      <w:r w:rsidRPr="00087F50">
        <w:t xml:space="preserve"> </w:t>
      </w:r>
      <w:proofErr w:type="spellStart"/>
      <w:r w:rsidRPr="00087F50">
        <w:t>lielāku</w:t>
      </w:r>
      <w:proofErr w:type="spellEnd"/>
      <w:r w:rsidRPr="00087F50">
        <w:t xml:space="preserve"> </w:t>
      </w:r>
      <w:proofErr w:type="spellStart"/>
      <w:r w:rsidRPr="00087F50">
        <w:t>devu</w:t>
      </w:r>
      <w:proofErr w:type="spellEnd"/>
      <w:r w:rsidRPr="00087F50">
        <w:t xml:space="preserve"> </w:t>
      </w:r>
      <w:proofErr w:type="spellStart"/>
      <w:r w:rsidRPr="00087F50">
        <w:t>nekā</w:t>
      </w:r>
      <w:proofErr w:type="spellEnd"/>
      <w:r w:rsidRPr="00087F50">
        <w:t xml:space="preserve"> </w:t>
      </w:r>
      <w:proofErr w:type="spellStart"/>
      <w:r w:rsidRPr="00087F50">
        <w:t>cilvēki</w:t>
      </w:r>
      <w:proofErr w:type="spellEnd"/>
      <w:r w:rsidRPr="00087F50">
        <w:t xml:space="preserve">, </w:t>
      </w:r>
      <w:proofErr w:type="spellStart"/>
      <w:r w:rsidRPr="00087F50">
        <w:t>tika</w:t>
      </w:r>
      <w:proofErr w:type="spellEnd"/>
      <w:r w:rsidRPr="00087F50">
        <w:t xml:space="preserve"> </w:t>
      </w:r>
      <w:proofErr w:type="spellStart"/>
      <w:r w:rsidRPr="00087F50">
        <w:t>konstatēta</w:t>
      </w:r>
      <w:proofErr w:type="spellEnd"/>
      <w:r w:rsidRPr="00087F50">
        <w:t xml:space="preserve"> </w:t>
      </w:r>
      <w:proofErr w:type="spellStart"/>
      <w:r w:rsidRPr="00087F50">
        <w:t>toksiska</w:t>
      </w:r>
      <w:proofErr w:type="spellEnd"/>
      <w:r w:rsidRPr="00087F50">
        <w:t xml:space="preserve"> </w:t>
      </w:r>
      <w:proofErr w:type="spellStart"/>
      <w:r w:rsidRPr="00087F50">
        <w:t>iedarbība</w:t>
      </w:r>
      <w:proofErr w:type="spellEnd"/>
      <w:r w:rsidRPr="00087F50">
        <w:t xml:space="preserve">, </w:t>
      </w:r>
      <w:proofErr w:type="spellStart"/>
      <w:r w:rsidRPr="00087F50">
        <w:t>samazinājās</w:t>
      </w:r>
      <w:proofErr w:type="spellEnd"/>
      <w:r w:rsidRPr="00087F50">
        <w:t xml:space="preserve"> </w:t>
      </w:r>
      <w:proofErr w:type="spellStart"/>
      <w:r w:rsidRPr="00087F50">
        <w:t>atradināšanas</w:t>
      </w:r>
      <w:proofErr w:type="spellEnd"/>
      <w:r w:rsidRPr="00087F50">
        <w:t xml:space="preserve"> </w:t>
      </w:r>
      <w:proofErr w:type="spellStart"/>
      <w:r w:rsidRPr="00087F50">
        <w:t>indekss</w:t>
      </w:r>
      <w:proofErr w:type="spellEnd"/>
      <w:r w:rsidRPr="00087F50">
        <w:t xml:space="preserve"> un </w:t>
      </w:r>
      <w:proofErr w:type="spellStart"/>
      <w:r w:rsidRPr="00087F50">
        <w:t>aizkavējās</w:t>
      </w:r>
      <w:proofErr w:type="spellEnd"/>
      <w:r w:rsidRPr="00087F50">
        <w:t xml:space="preserve"> </w:t>
      </w:r>
      <w:proofErr w:type="spellStart"/>
      <w:r w:rsidRPr="00087F50">
        <w:t>mazuļu</w:t>
      </w:r>
      <w:proofErr w:type="spellEnd"/>
      <w:r w:rsidRPr="00087F50">
        <w:t xml:space="preserve"> </w:t>
      </w:r>
      <w:proofErr w:type="spellStart"/>
      <w:r w:rsidRPr="00087F50">
        <w:t>attīstība</w:t>
      </w:r>
      <w:proofErr w:type="spellEnd"/>
      <w:r w:rsidRPr="00087F50">
        <w:t xml:space="preserve">. </w:t>
      </w:r>
      <w:proofErr w:type="spellStart"/>
      <w:r w:rsidRPr="00087F50">
        <w:t>Teratoloģijas</w:t>
      </w:r>
      <w:proofErr w:type="spellEnd"/>
      <w:r w:rsidRPr="00087F50">
        <w:t xml:space="preserve"> </w:t>
      </w:r>
      <w:proofErr w:type="spellStart"/>
      <w:r w:rsidRPr="00087F50">
        <w:t>pētījumos</w:t>
      </w:r>
      <w:proofErr w:type="spellEnd"/>
      <w:r w:rsidRPr="00087F50">
        <w:t xml:space="preserve">, </w:t>
      </w:r>
      <w:proofErr w:type="spellStart"/>
      <w:r w:rsidRPr="00087F50">
        <w:t>kuros</w:t>
      </w:r>
      <w:proofErr w:type="spellEnd"/>
      <w:r w:rsidRPr="00087F50">
        <w:t xml:space="preserve"> </w:t>
      </w:r>
      <w:proofErr w:type="spellStart"/>
      <w:r w:rsidRPr="00087F50">
        <w:t>grūsnas</w:t>
      </w:r>
      <w:proofErr w:type="spellEnd"/>
      <w:r w:rsidRPr="00087F50">
        <w:t xml:space="preserve"> </w:t>
      </w:r>
      <w:proofErr w:type="spellStart"/>
      <w:r w:rsidRPr="00087F50">
        <w:t>žurkas</w:t>
      </w:r>
      <w:proofErr w:type="spellEnd"/>
      <w:r w:rsidRPr="00087F50">
        <w:t xml:space="preserve"> </w:t>
      </w:r>
      <w:proofErr w:type="spellStart"/>
      <w:r w:rsidRPr="00087F50">
        <w:t>saņēma</w:t>
      </w:r>
      <w:proofErr w:type="spellEnd"/>
      <w:r w:rsidRPr="00087F50">
        <w:t xml:space="preserve"> </w:t>
      </w:r>
      <w:proofErr w:type="spellStart"/>
      <w:r w:rsidRPr="00087F50">
        <w:t>apmēram</w:t>
      </w:r>
      <w:proofErr w:type="spellEnd"/>
      <w:r w:rsidRPr="00087F50">
        <w:t xml:space="preserve"> 4,3 </w:t>
      </w:r>
      <w:proofErr w:type="spellStart"/>
      <w:r w:rsidRPr="00087F50">
        <w:t>reizes</w:t>
      </w:r>
      <w:proofErr w:type="spellEnd"/>
      <w:r w:rsidRPr="00087F50">
        <w:t xml:space="preserve"> un </w:t>
      </w:r>
      <w:proofErr w:type="spellStart"/>
      <w:r w:rsidRPr="00087F50">
        <w:t>grūsni</w:t>
      </w:r>
      <w:proofErr w:type="spellEnd"/>
      <w:r w:rsidRPr="00087F50">
        <w:t xml:space="preserve"> </w:t>
      </w:r>
      <w:proofErr w:type="spellStart"/>
      <w:r w:rsidRPr="00087F50">
        <w:t>truši</w:t>
      </w:r>
      <w:proofErr w:type="spellEnd"/>
      <w:r w:rsidRPr="00087F50">
        <w:t xml:space="preserve"> - </w:t>
      </w:r>
      <w:proofErr w:type="spellStart"/>
      <w:r w:rsidRPr="00087F50">
        <w:t>apmēram</w:t>
      </w:r>
      <w:proofErr w:type="spellEnd"/>
      <w:r w:rsidRPr="00087F50">
        <w:t xml:space="preserve"> 13 </w:t>
      </w:r>
      <w:proofErr w:type="spellStart"/>
      <w:r w:rsidRPr="00087F50">
        <w:t>reižu</w:t>
      </w:r>
      <w:proofErr w:type="spellEnd"/>
      <w:r w:rsidRPr="00087F50">
        <w:t xml:space="preserve"> </w:t>
      </w:r>
      <w:proofErr w:type="spellStart"/>
      <w:r w:rsidRPr="00087F50">
        <w:t>lielākas</w:t>
      </w:r>
      <w:proofErr w:type="spellEnd"/>
      <w:r w:rsidRPr="00087F50">
        <w:t xml:space="preserve"> </w:t>
      </w:r>
      <w:proofErr w:type="spellStart"/>
      <w:r w:rsidRPr="00087F50">
        <w:t>devas</w:t>
      </w:r>
      <w:proofErr w:type="spellEnd"/>
      <w:r w:rsidRPr="00087F50">
        <w:t xml:space="preserve"> </w:t>
      </w:r>
      <w:proofErr w:type="spellStart"/>
      <w:r w:rsidRPr="00087F50">
        <w:t>nekā</w:t>
      </w:r>
      <w:proofErr w:type="spellEnd"/>
      <w:r w:rsidRPr="00087F50">
        <w:t xml:space="preserve"> </w:t>
      </w:r>
      <w:proofErr w:type="spellStart"/>
      <w:r w:rsidRPr="00087F50">
        <w:t>cilvēki</w:t>
      </w:r>
      <w:proofErr w:type="spellEnd"/>
      <w:r w:rsidRPr="00087F50">
        <w:t xml:space="preserve">, </w:t>
      </w:r>
      <w:proofErr w:type="spellStart"/>
      <w:r w:rsidRPr="00087F50">
        <w:t>teratogēna</w:t>
      </w:r>
      <w:proofErr w:type="spellEnd"/>
      <w:r w:rsidRPr="00087F50">
        <w:t xml:space="preserve"> </w:t>
      </w:r>
      <w:proofErr w:type="spellStart"/>
      <w:r w:rsidRPr="00087F50">
        <w:t>iedarbība</w:t>
      </w:r>
      <w:proofErr w:type="spellEnd"/>
      <w:r w:rsidRPr="00087F50">
        <w:t xml:space="preserve"> </w:t>
      </w:r>
      <w:proofErr w:type="spellStart"/>
      <w:r w:rsidRPr="00087F50">
        <w:t>netika</w:t>
      </w:r>
      <w:proofErr w:type="spellEnd"/>
      <w:r w:rsidRPr="00087F50">
        <w:t xml:space="preserve"> </w:t>
      </w:r>
      <w:proofErr w:type="spellStart"/>
      <w:r w:rsidRPr="00087F50">
        <w:t>konstatēta</w:t>
      </w:r>
      <w:proofErr w:type="spellEnd"/>
      <w:r w:rsidRPr="00087F50">
        <w:t xml:space="preserve">. </w:t>
      </w:r>
    </w:p>
    <w:p w14:paraId="4FEFEF82" w14:textId="77777777" w:rsidR="00A77DDF" w:rsidRPr="00087F50" w:rsidRDefault="00A77DDF" w:rsidP="00A77DDF">
      <w:pPr>
        <w:spacing w:after="0" w:line="259" w:lineRule="auto"/>
        <w:ind w:left="1" w:firstLine="0"/>
      </w:pPr>
      <w:r w:rsidRPr="00087F50">
        <w:t xml:space="preserve"> </w:t>
      </w:r>
    </w:p>
    <w:p w14:paraId="42C43A80" w14:textId="77777777" w:rsidR="00A77DDF" w:rsidRPr="00087F50" w:rsidRDefault="00A77DDF" w:rsidP="00A77DDF">
      <w:pPr>
        <w:spacing w:after="0" w:line="259" w:lineRule="auto"/>
        <w:ind w:left="1" w:firstLine="0"/>
      </w:pPr>
      <w:r w:rsidRPr="00087F50">
        <w:t xml:space="preserve"> </w:t>
      </w:r>
    </w:p>
    <w:p w14:paraId="44C55053" w14:textId="77777777" w:rsidR="00A77DDF" w:rsidRPr="00087F50" w:rsidRDefault="00A77DDF" w:rsidP="00A77DDF">
      <w:pPr>
        <w:pStyle w:val="Heading2"/>
        <w:tabs>
          <w:tab w:val="center" w:pos="2338"/>
        </w:tabs>
        <w:ind w:left="-13" w:right="0" w:firstLine="0"/>
      </w:pPr>
      <w:r w:rsidRPr="00087F50">
        <w:t xml:space="preserve">6. </w:t>
      </w:r>
      <w:r w:rsidRPr="00087F50">
        <w:tab/>
        <w:t xml:space="preserve">FARMACEITISKĀ INFORMĀCIJA </w:t>
      </w:r>
    </w:p>
    <w:p w14:paraId="60A75DE3" w14:textId="77777777" w:rsidR="00A77DDF" w:rsidRPr="00087F50" w:rsidRDefault="00A77DDF" w:rsidP="00A77DDF">
      <w:pPr>
        <w:spacing w:after="13" w:line="259" w:lineRule="auto"/>
        <w:ind w:left="1" w:firstLine="0"/>
      </w:pPr>
      <w:r w:rsidRPr="00087F50">
        <w:t xml:space="preserve"> </w:t>
      </w:r>
    </w:p>
    <w:p w14:paraId="0FC9B039" w14:textId="77777777" w:rsidR="00A77DDF" w:rsidRPr="00087F50" w:rsidRDefault="00A77DDF" w:rsidP="00A77DDF">
      <w:pPr>
        <w:pStyle w:val="Heading3"/>
        <w:tabs>
          <w:tab w:val="center" w:pos="1446"/>
        </w:tabs>
        <w:ind w:left="-13" w:right="0" w:firstLine="0"/>
      </w:pPr>
      <w:r w:rsidRPr="00087F50">
        <w:t xml:space="preserve">6.1. </w:t>
      </w:r>
      <w:r w:rsidRPr="00087F50">
        <w:tab/>
      </w:r>
      <w:proofErr w:type="spellStart"/>
      <w:r w:rsidRPr="00087F50">
        <w:t>Palīgvielu</w:t>
      </w:r>
      <w:proofErr w:type="spellEnd"/>
      <w:r w:rsidRPr="00087F50">
        <w:t xml:space="preserve"> </w:t>
      </w:r>
      <w:proofErr w:type="spellStart"/>
      <w:r w:rsidRPr="00087F50">
        <w:t>saraksts</w:t>
      </w:r>
      <w:proofErr w:type="spellEnd"/>
      <w:r w:rsidRPr="00087F50">
        <w:rPr>
          <w:b w:val="0"/>
        </w:rPr>
        <w:t xml:space="preserve"> </w:t>
      </w:r>
    </w:p>
    <w:p w14:paraId="477A3D9E" w14:textId="77777777" w:rsidR="00A77DDF" w:rsidRPr="00087F50" w:rsidRDefault="00A77DDF" w:rsidP="00A77DDF">
      <w:pPr>
        <w:spacing w:after="0" w:line="259" w:lineRule="auto"/>
        <w:ind w:left="1" w:firstLine="0"/>
      </w:pPr>
      <w:r w:rsidRPr="00087F50">
        <w:t xml:space="preserve"> </w:t>
      </w:r>
    </w:p>
    <w:p w14:paraId="379AB81B" w14:textId="77777777" w:rsidR="00A77DDF" w:rsidRPr="00890F7A" w:rsidRDefault="00A77DDF" w:rsidP="00A77DDF">
      <w:pPr>
        <w:spacing w:after="13" w:line="249" w:lineRule="auto"/>
        <w:ind w:left="-3" w:hanging="10"/>
        <w:rPr>
          <w:iCs/>
          <w:u w:val="single"/>
        </w:rPr>
      </w:pPr>
      <w:proofErr w:type="spellStart"/>
      <w:r w:rsidRPr="00890F7A">
        <w:rPr>
          <w:iCs/>
          <w:u w:val="single"/>
        </w:rPr>
        <w:t>Tabletes</w:t>
      </w:r>
      <w:proofErr w:type="spellEnd"/>
      <w:r w:rsidRPr="00890F7A">
        <w:rPr>
          <w:iCs/>
          <w:u w:val="single"/>
        </w:rPr>
        <w:t xml:space="preserve"> </w:t>
      </w:r>
      <w:proofErr w:type="spellStart"/>
      <w:r w:rsidRPr="00890F7A">
        <w:rPr>
          <w:iCs/>
          <w:u w:val="single"/>
        </w:rPr>
        <w:t>kodols</w:t>
      </w:r>
      <w:proofErr w:type="spellEnd"/>
      <w:r w:rsidRPr="00890F7A">
        <w:rPr>
          <w:iCs/>
          <w:u w:val="single"/>
        </w:rPr>
        <w:t xml:space="preserve"> </w:t>
      </w:r>
    </w:p>
    <w:p w14:paraId="4595B841" w14:textId="77777777" w:rsidR="0035774B" w:rsidRPr="00087F50" w:rsidRDefault="0035774B" w:rsidP="0035774B">
      <w:pPr>
        <w:spacing w:after="0" w:line="259" w:lineRule="auto"/>
        <w:ind w:left="2" w:firstLine="0"/>
      </w:pPr>
      <w:proofErr w:type="spellStart"/>
      <w:r w:rsidRPr="00087F50">
        <w:t>Laktozes</w:t>
      </w:r>
      <w:proofErr w:type="spellEnd"/>
      <w:r w:rsidRPr="00087F50">
        <w:t xml:space="preserve"> </w:t>
      </w:r>
      <w:proofErr w:type="spellStart"/>
      <w:r w:rsidRPr="00087F50">
        <w:t>monohidrāts</w:t>
      </w:r>
      <w:proofErr w:type="spellEnd"/>
    </w:p>
    <w:p w14:paraId="1BCA644A" w14:textId="77777777" w:rsidR="0035774B" w:rsidRPr="00087F50" w:rsidRDefault="0035774B" w:rsidP="0035774B">
      <w:pPr>
        <w:spacing w:after="0" w:line="259" w:lineRule="auto"/>
        <w:ind w:left="2" w:firstLine="0"/>
      </w:pPr>
      <w:proofErr w:type="spellStart"/>
      <w:r w:rsidRPr="00087F50">
        <w:t>Mikrokristāliskā</w:t>
      </w:r>
      <w:proofErr w:type="spellEnd"/>
      <w:r w:rsidRPr="00087F50">
        <w:t xml:space="preserve"> </w:t>
      </w:r>
      <w:proofErr w:type="spellStart"/>
      <w:r w:rsidRPr="00087F50">
        <w:t>celuloze</w:t>
      </w:r>
      <w:proofErr w:type="spellEnd"/>
    </w:p>
    <w:p w14:paraId="3E763A15" w14:textId="77777777" w:rsidR="0035774B" w:rsidRPr="00087F50" w:rsidRDefault="0035774B" w:rsidP="0035774B">
      <w:pPr>
        <w:spacing w:after="0" w:line="259" w:lineRule="auto"/>
        <w:ind w:left="2" w:firstLine="0"/>
      </w:pPr>
      <w:proofErr w:type="spellStart"/>
      <w:r w:rsidRPr="00087F50">
        <w:t>Kroskarmelozes</w:t>
      </w:r>
      <w:proofErr w:type="spellEnd"/>
      <w:r w:rsidRPr="00087F50">
        <w:t xml:space="preserve"> </w:t>
      </w:r>
      <w:proofErr w:type="spellStart"/>
      <w:r w:rsidRPr="00087F50">
        <w:t>nātrija</w:t>
      </w:r>
      <w:proofErr w:type="spellEnd"/>
      <w:r w:rsidRPr="00087F50">
        <w:t xml:space="preserve"> </w:t>
      </w:r>
      <w:proofErr w:type="spellStart"/>
      <w:r w:rsidRPr="00087F50">
        <w:t>sāls</w:t>
      </w:r>
      <w:proofErr w:type="spellEnd"/>
    </w:p>
    <w:p w14:paraId="589F113E" w14:textId="77777777" w:rsidR="0035774B" w:rsidRPr="00087F50" w:rsidRDefault="0035774B" w:rsidP="0035774B">
      <w:pPr>
        <w:spacing w:after="0" w:line="259" w:lineRule="auto"/>
        <w:ind w:left="2" w:firstLine="0"/>
      </w:pPr>
      <w:proofErr w:type="spellStart"/>
      <w:r w:rsidRPr="00087F50">
        <w:t>Hidroksipropilceluloze</w:t>
      </w:r>
      <w:proofErr w:type="spellEnd"/>
    </w:p>
    <w:p w14:paraId="69655AA7" w14:textId="368ADC8F" w:rsidR="0035774B" w:rsidRPr="00087F50" w:rsidRDefault="0035774B" w:rsidP="0035774B">
      <w:pPr>
        <w:spacing w:after="0" w:line="259" w:lineRule="auto"/>
        <w:ind w:left="2" w:firstLine="0"/>
      </w:pPr>
      <w:proofErr w:type="spellStart"/>
      <w:r w:rsidRPr="00087F50">
        <w:t>Polo</w:t>
      </w:r>
      <w:r w:rsidR="004D5E76" w:rsidRPr="00087F50">
        <w:t>ks</w:t>
      </w:r>
      <w:r w:rsidRPr="00087F50">
        <w:t>am</w:t>
      </w:r>
      <w:r w:rsidR="004D5E76" w:rsidRPr="00087F50">
        <w:t>ē</w:t>
      </w:r>
      <w:r w:rsidRPr="00087F50">
        <w:t>r</w:t>
      </w:r>
      <w:r w:rsidR="004D5E76" w:rsidRPr="00087F50">
        <w:t>s</w:t>
      </w:r>
      <w:proofErr w:type="spellEnd"/>
      <w:r w:rsidRPr="00087F50">
        <w:t xml:space="preserve"> 407</w:t>
      </w:r>
      <w:r w:rsidR="004D5E76" w:rsidRPr="00087F50">
        <w:t>,</w:t>
      </w:r>
      <w:r w:rsidRPr="00087F50">
        <w:t xml:space="preserve"> </w:t>
      </w:r>
      <w:proofErr w:type="spellStart"/>
      <w:r w:rsidRPr="00087F50">
        <w:t>mikronizēts</w:t>
      </w:r>
      <w:proofErr w:type="spellEnd"/>
    </w:p>
    <w:p w14:paraId="70539E6B" w14:textId="77777777" w:rsidR="0035774B" w:rsidRPr="00087F50" w:rsidRDefault="0035774B" w:rsidP="0035774B">
      <w:pPr>
        <w:spacing w:after="0" w:line="259" w:lineRule="auto"/>
        <w:ind w:left="2" w:firstLine="0"/>
      </w:pPr>
      <w:proofErr w:type="spellStart"/>
      <w:r w:rsidRPr="00087F50">
        <w:t>Silīcija</w:t>
      </w:r>
      <w:proofErr w:type="spellEnd"/>
      <w:r w:rsidRPr="00087F50">
        <w:t xml:space="preserve"> </w:t>
      </w:r>
      <w:proofErr w:type="spellStart"/>
      <w:r w:rsidRPr="00087F50">
        <w:t>dioksīds</w:t>
      </w:r>
      <w:proofErr w:type="spellEnd"/>
      <w:r w:rsidRPr="00087F50">
        <w:t xml:space="preserve">, </w:t>
      </w:r>
      <w:proofErr w:type="spellStart"/>
      <w:r w:rsidRPr="00087F50">
        <w:t>hidratēts</w:t>
      </w:r>
      <w:proofErr w:type="spellEnd"/>
    </w:p>
    <w:p w14:paraId="52F16256" w14:textId="77777777" w:rsidR="0035774B" w:rsidRPr="00087F50" w:rsidRDefault="0035774B" w:rsidP="0035774B">
      <w:pPr>
        <w:spacing w:after="0" w:line="259" w:lineRule="auto"/>
        <w:ind w:left="2" w:firstLine="0"/>
      </w:pPr>
      <w:proofErr w:type="spellStart"/>
      <w:r w:rsidRPr="00087F50">
        <w:t>Magnija</w:t>
      </w:r>
      <w:proofErr w:type="spellEnd"/>
      <w:r w:rsidRPr="00087F50">
        <w:t xml:space="preserve"> </w:t>
      </w:r>
      <w:proofErr w:type="spellStart"/>
      <w:r w:rsidRPr="00087F50">
        <w:t>stearāts</w:t>
      </w:r>
      <w:proofErr w:type="spellEnd"/>
    </w:p>
    <w:p w14:paraId="115653A3" w14:textId="77777777" w:rsidR="00A77DDF" w:rsidRPr="00087F50" w:rsidRDefault="00A77DDF" w:rsidP="0035774B">
      <w:pPr>
        <w:spacing w:after="0" w:line="259" w:lineRule="auto"/>
        <w:ind w:left="2" w:firstLine="0"/>
      </w:pPr>
      <w:r w:rsidRPr="00087F50">
        <w:t xml:space="preserve"> </w:t>
      </w:r>
    </w:p>
    <w:p w14:paraId="37D35840" w14:textId="77777777" w:rsidR="00A77DDF" w:rsidRPr="00890F7A" w:rsidRDefault="00A77DDF" w:rsidP="00A77DDF">
      <w:pPr>
        <w:spacing w:after="13" w:line="249" w:lineRule="auto"/>
        <w:ind w:left="-3" w:hanging="10"/>
        <w:rPr>
          <w:iCs/>
          <w:u w:val="single"/>
        </w:rPr>
      </w:pPr>
      <w:proofErr w:type="spellStart"/>
      <w:r w:rsidRPr="00890F7A">
        <w:rPr>
          <w:iCs/>
          <w:u w:val="single"/>
        </w:rPr>
        <w:t>Tabletes</w:t>
      </w:r>
      <w:proofErr w:type="spellEnd"/>
      <w:r w:rsidRPr="00890F7A">
        <w:rPr>
          <w:iCs/>
          <w:u w:val="single"/>
        </w:rPr>
        <w:t xml:space="preserve"> </w:t>
      </w:r>
      <w:proofErr w:type="spellStart"/>
      <w:r w:rsidRPr="00890F7A">
        <w:rPr>
          <w:iCs/>
          <w:u w:val="single"/>
        </w:rPr>
        <w:t>apvalks</w:t>
      </w:r>
      <w:proofErr w:type="spellEnd"/>
      <w:r w:rsidRPr="00890F7A">
        <w:rPr>
          <w:iCs/>
          <w:u w:val="single"/>
        </w:rPr>
        <w:t xml:space="preserve"> </w:t>
      </w:r>
    </w:p>
    <w:p w14:paraId="41ED6664" w14:textId="77777777" w:rsidR="0035774B" w:rsidRPr="00087F50" w:rsidRDefault="0035774B" w:rsidP="0035774B">
      <w:pPr>
        <w:ind w:left="-3" w:right="9"/>
      </w:pPr>
      <w:proofErr w:type="spellStart"/>
      <w:r w:rsidRPr="00087F50">
        <w:t>Polivinilspirts</w:t>
      </w:r>
      <w:proofErr w:type="spellEnd"/>
    </w:p>
    <w:p w14:paraId="4B7DEDAF" w14:textId="77777777" w:rsidR="0035774B" w:rsidRPr="00087F50" w:rsidRDefault="0035774B" w:rsidP="0035774B">
      <w:pPr>
        <w:ind w:left="-3" w:right="9"/>
      </w:pPr>
      <w:proofErr w:type="spellStart"/>
      <w:r w:rsidRPr="00087F50">
        <w:t>Titāna</w:t>
      </w:r>
      <w:proofErr w:type="spellEnd"/>
      <w:r w:rsidRPr="00087F50">
        <w:t xml:space="preserve"> </w:t>
      </w:r>
      <w:proofErr w:type="spellStart"/>
      <w:r w:rsidRPr="00087F50">
        <w:t>dioksīds</w:t>
      </w:r>
      <w:proofErr w:type="spellEnd"/>
      <w:r w:rsidRPr="00087F50">
        <w:t xml:space="preserve"> E 171</w:t>
      </w:r>
    </w:p>
    <w:p w14:paraId="391426DF" w14:textId="77777777" w:rsidR="0035774B" w:rsidRPr="00087F50" w:rsidRDefault="0035774B" w:rsidP="0035774B">
      <w:pPr>
        <w:ind w:left="-3" w:right="9"/>
      </w:pPr>
      <w:proofErr w:type="spellStart"/>
      <w:r w:rsidRPr="00087F50">
        <w:t>Polietilēnglikols</w:t>
      </w:r>
      <w:proofErr w:type="spellEnd"/>
      <w:r w:rsidRPr="00087F50">
        <w:t xml:space="preserve"> / </w:t>
      </w:r>
      <w:proofErr w:type="spellStart"/>
      <w:r w:rsidRPr="00087F50">
        <w:t>makrogols</w:t>
      </w:r>
      <w:proofErr w:type="spellEnd"/>
      <w:r w:rsidRPr="00087F50">
        <w:t xml:space="preserve"> 4000</w:t>
      </w:r>
    </w:p>
    <w:p w14:paraId="5523F9C0" w14:textId="77777777" w:rsidR="0035774B" w:rsidRPr="00087F50" w:rsidRDefault="0035774B" w:rsidP="0035774B">
      <w:pPr>
        <w:ind w:left="-3" w:right="9"/>
      </w:pPr>
      <w:proofErr w:type="spellStart"/>
      <w:r w:rsidRPr="00087F50">
        <w:t>Talks</w:t>
      </w:r>
      <w:proofErr w:type="spellEnd"/>
    </w:p>
    <w:p w14:paraId="60311231" w14:textId="77777777" w:rsidR="00A77DDF" w:rsidRPr="00087F50" w:rsidRDefault="0035774B" w:rsidP="0035774B">
      <w:pPr>
        <w:ind w:left="-3" w:right="9"/>
      </w:pPr>
      <w:proofErr w:type="spellStart"/>
      <w:r w:rsidRPr="00087F50">
        <w:lastRenderedPageBreak/>
        <w:t>Dzelten</w:t>
      </w:r>
      <w:r w:rsidR="004D5E76" w:rsidRPr="00087F50">
        <w:t>ai</w:t>
      </w:r>
      <w:r w:rsidRPr="00087F50">
        <w:t>s</w:t>
      </w:r>
      <w:proofErr w:type="spellEnd"/>
      <w:r w:rsidRPr="00087F50">
        <w:t xml:space="preserve"> </w:t>
      </w:r>
      <w:proofErr w:type="spellStart"/>
      <w:r w:rsidRPr="00087F50">
        <w:t>dzelzs</w:t>
      </w:r>
      <w:proofErr w:type="spellEnd"/>
      <w:r w:rsidRPr="00087F50">
        <w:t xml:space="preserve"> </w:t>
      </w:r>
      <w:proofErr w:type="spellStart"/>
      <w:r w:rsidRPr="00087F50">
        <w:t>oksīds</w:t>
      </w:r>
      <w:proofErr w:type="spellEnd"/>
      <w:r w:rsidRPr="00087F50">
        <w:t xml:space="preserve"> E172</w:t>
      </w:r>
      <w:r w:rsidR="00A77DDF" w:rsidRPr="00087F50">
        <w:t xml:space="preserve"> </w:t>
      </w:r>
    </w:p>
    <w:p w14:paraId="5593BAAA" w14:textId="77777777" w:rsidR="00A77DDF" w:rsidRPr="00087F50" w:rsidRDefault="00A77DDF" w:rsidP="00A77DDF">
      <w:pPr>
        <w:spacing w:after="11" w:line="259" w:lineRule="auto"/>
        <w:ind w:left="1" w:firstLine="0"/>
      </w:pPr>
      <w:r w:rsidRPr="00087F50">
        <w:t xml:space="preserve"> </w:t>
      </w:r>
    </w:p>
    <w:p w14:paraId="1F6CF5EF" w14:textId="77777777" w:rsidR="00A77DDF" w:rsidRPr="00087F50" w:rsidRDefault="00A77DDF" w:rsidP="00A77DDF">
      <w:pPr>
        <w:tabs>
          <w:tab w:val="center" w:pos="1101"/>
        </w:tabs>
        <w:spacing w:after="11" w:line="251" w:lineRule="auto"/>
        <w:ind w:left="-13" w:firstLine="0"/>
      </w:pPr>
      <w:r w:rsidRPr="00087F50">
        <w:rPr>
          <w:b/>
        </w:rPr>
        <w:t xml:space="preserve">6.2. </w:t>
      </w:r>
      <w:r w:rsidRPr="00087F50">
        <w:rPr>
          <w:b/>
        </w:rPr>
        <w:tab/>
      </w:r>
      <w:proofErr w:type="spellStart"/>
      <w:r w:rsidRPr="00087F50">
        <w:rPr>
          <w:b/>
        </w:rPr>
        <w:t>Nesaderība</w:t>
      </w:r>
      <w:proofErr w:type="spellEnd"/>
      <w:r w:rsidRPr="00087F50">
        <w:t xml:space="preserve"> </w:t>
      </w:r>
    </w:p>
    <w:p w14:paraId="32239410" w14:textId="77777777" w:rsidR="00A77DDF" w:rsidRPr="00087F50" w:rsidRDefault="00A77DDF" w:rsidP="00A77DDF">
      <w:pPr>
        <w:spacing w:after="0" w:line="259" w:lineRule="auto"/>
        <w:ind w:left="1" w:firstLine="0"/>
      </w:pPr>
      <w:r w:rsidRPr="00087F50">
        <w:t xml:space="preserve"> </w:t>
      </w:r>
    </w:p>
    <w:p w14:paraId="19F3F32C" w14:textId="77777777" w:rsidR="00A77DDF" w:rsidRPr="00087F50" w:rsidRDefault="00A77DDF" w:rsidP="00A77DDF">
      <w:pPr>
        <w:ind w:left="-3" w:right="9"/>
      </w:pPr>
      <w:proofErr w:type="spellStart"/>
      <w:r w:rsidRPr="00087F50">
        <w:t>Nav</w:t>
      </w:r>
      <w:proofErr w:type="spellEnd"/>
      <w:r w:rsidRPr="00087F50">
        <w:t xml:space="preserve"> </w:t>
      </w:r>
      <w:proofErr w:type="spellStart"/>
      <w:r w:rsidRPr="00087F50">
        <w:t>piemērojama</w:t>
      </w:r>
      <w:proofErr w:type="spellEnd"/>
      <w:r w:rsidRPr="00087F50">
        <w:t xml:space="preserve">. </w:t>
      </w:r>
    </w:p>
    <w:p w14:paraId="3EC48BCB" w14:textId="77777777" w:rsidR="00A77DDF" w:rsidRPr="00087F50" w:rsidRDefault="00A77DDF" w:rsidP="00A77DDF">
      <w:pPr>
        <w:spacing w:after="13" w:line="259" w:lineRule="auto"/>
        <w:ind w:left="1" w:firstLine="0"/>
      </w:pPr>
      <w:r w:rsidRPr="00087F50">
        <w:t xml:space="preserve"> </w:t>
      </w:r>
    </w:p>
    <w:p w14:paraId="1533B60D" w14:textId="77777777" w:rsidR="00A77DDF" w:rsidRPr="00087F50" w:rsidRDefault="00A77DDF" w:rsidP="00A77DDF">
      <w:pPr>
        <w:tabs>
          <w:tab w:val="center" w:pos="1458"/>
        </w:tabs>
        <w:spacing w:after="11" w:line="251" w:lineRule="auto"/>
        <w:ind w:left="-13" w:firstLine="0"/>
      </w:pPr>
      <w:r w:rsidRPr="00087F50">
        <w:rPr>
          <w:b/>
        </w:rPr>
        <w:t xml:space="preserve">6.3. </w:t>
      </w:r>
      <w:r w:rsidRPr="00087F50">
        <w:rPr>
          <w:b/>
        </w:rPr>
        <w:tab/>
      </w:r>
      <w:proofErr w:type="spellStart"/>
      <w:r w:rsidRPr="00087F50">
        <w:rPr>
          <w:b/>
        </w:rPr>
        <w:t>Uzglabāšanas</w:t>
      </w:r>
      <w:proofErr w:type="spellEnd"/>
      <w:r w:rsidRPr="00087F50">
        <w:rPr>
          <w:b/>
        </w:rPr>
        <w:t xml:space="preserve"> </w:t>
      </w:r>
      <w:proofErr w:type="spellStart"/>
      <w:r w:rsidRPr="00087F50">
        <w:rPr>
          <w:b/>
        </w:rPr>
        <w:t>laiks</w:t>
      </w:r>
      <w:proofErr w:type="spellEnd"/>
      <w:r w:rsidRPr="00087F50">
        <w:t xml:space="preserve"> </w:t>
      </w:r>
    </w:p>
    <w:p w14:paraId="7BDBD940" w14:textId="77777777" w:rsidR="00A77DDF" w:rsidRPr="00087F50" w:rsidRDefault="00A77DDF" w:rsidP="00A77DDF">
      <w:pPr>
        <w:spacing w:after="0" w:line="259" w:lineRule="auto"/>
        <w:ind w:left="1" w:firstLine="0"/>
      </w:pPr>
      <w:r w:rsidRPr="00087F50">
        <w:t xml:space="preserve"> </w:t>
      </w:r>
    </w:p>
    <w:p w14:paraId="3C2A65DC" w14:textId="77777777" w:rsidR="00A77DDF" w:rsidRPr="00087F50" w:rsidRDefault="0035774B" w:rsidP="00A77DDF">
      <w:pPr>
        <w:ind w:left="-3" w:right="9"/>
      </w:pPr>
      <w:r w:rsidRPr="00087F50">
        <w:t>2</w:t>
      </w:r>
      <w:r w:rsidR="00A77DDF" w:rsidRPr="00087F50">
        <w:t xml:space="preserve"> </w:t>
      </w:r>
      <w:proofErr w:type="spellStart"/>
      <w:r w:rsidR="00A77DDF" w:rsidRPr="00087F50">
        <w:t>gadi</w:t>
      </w:r>
      <w:proofErr w:type="spellEnd"/>
      <w:r w:rsidR="00A77DDF" w:rsidRPr="00087F50">
        <w:t xml:space="preserve">. </w:t>
      </w:r>
    </w:p>
    <w:p w14:paraId="41927B45" w14:textId="77777777" w:rsidR="00A77DDF" w:rsidRPr="00087F50" w:rsidRDefault="00A77DDF" w:rsidP="00A77DDF">
      <w:pPr>
        <w:spacing w:after="14" w:line="259" w:lineRule="auto"/>
        <w:ind w:left="1" w:firstLine="0"/>
      </w:pPr>
      <w:r w:rsidRPr="00087F50">
        <w:t xml:space="preserve"> </w:t>
      </w:r>
    </w:p>
    <w:p w14:paraId="2B8FD172" w14:textId="77777777" w:rsidR="00A77DDF" w:rsidRPr="00087F50" w:rsidRDefault="00A77DDF" w:rsidP="00A77DDF">
      <w:pPr>
        <w:tabs>
          <w:tab w:val="center" w:pos="1992"/>
        </w:tabs>
        <w:spacing w:after="11" w:line="251" w:lineRule="auto"/>
        <w:ind w:left="-13" w:firstLine="0"/>
      </w:pPr>
      <w:r w:rsidRPr="00087F50">
        <w:rPr>
          <w:b/>
        </w:rPr>
        <w:t xml:space="preserve">6.4. </w:t>
      </w:r>
      <w:r w:rsidRPr="00087F50">
        <w:rPr>
          <w:b/>
        </w:rPr>
        <w:tab/>
      </w:r>
      <w:proofErr w:type="spellStart"/>
      <w:r w:rsidRPr="00087F50">
        <w:rPr>
          <w:b/>
        </w:rPr>
        <w:t>Īpaši</w:t>
      </w:r>
      <w:proofErr w:type="spellEnd"/>
      <w:r w:rsidRPr="00087F50">
        <w:rPr>
          <w:b/>
        </w:rPr>
        <w:t xml:space="preserve"> </w:t>
      </w:r>
      <w:proofErr w:type="spellStart"/>
      <w:r w:rsidRPr="00087F50">
        <w:rPr>
          <w:b/>
        </w:rPr>
        <w:t>uzglabāšanas</w:t>
      </w:r>
      <w:proofErr w:type="spellEnd"/>
      <w:r w:rsidRPr="00087F50">
        <w:rPr>
          <w:b/>
        </w:rPr>
        <w:t xml:space="preserve"> </w:t>
      </w:r>
      <w:proofErr w:type="spellStart"/>
      <w:r w:rsidRPr="00087F50">
        <w:rPr>
          <w:b/>
        </w:rPr>
        <w:t>nosacījumi</w:t>
      </w:r>
      <w:proofErr w:type="spellEnd"/>
      <w:r w:rsidRPr="00087F50">
        <w:t xml:space="preserve"> </w:t>
      </w:r>
    </w:p>
    <w:p w14:paraId="4762D1EA" w14:textId="77777777" w:rsidR="00A77DDF" w:rsidRPr="00087F50" w:rsidRDefault="00A77DDF" w:rsidP="00A77DDF">
      <w:pPr>
        <w:spacing w:after="0" w:line="259" w:lineRule="auto"/>
        <w:ind w:left="1" w:firstLine="0"/>
      </w:pPr>
      <w:r w:rsidRPr="00087F50">
        <w:rPr>
          <w:i/>
        </w:rPr>
        <w:t xml:space="preserve"> </w:t>
      </w:r>
    </w:p>
    <w:p w14:paraId="351BCD22" w14:textId="77777777" w:rsidR="00A77DDF" w:rsidRPr="00087F50" w:rsidRDefault="00A77DDF" w:rsidP="00A77DDF">
      <w:pPr>
        <w:ind w:left="-3" w:right="9"/>
      </w:pPr>
      <w:proofErr w:type="spellStart"/>
      <w:r w:rsidRPr="00087F50">
        <w:t>Šīm</w:t>
      </w:r>
      <w:proofErr w:type="spellEnd"/>
      <w:r w:rsidRPr="00087F50">
        <w:t xml:space="preserve"> </w:t>
      </w:r>
      <w:proofErr w:type="spellStart"/>
      <w:r w:rsidRPr="00087F50">
        <w:t>zālēm</w:t>
      </w:r>
      <w:proofErr w:type="spellEnd"/>
      <w:r w:rsidRPr="00087F50">
        <w:t xml:space="preserve"> </w:t>
      </w:r>
      <w:proofErr w:type="spellStart"/>
      <w:r w:rsidRPr="00087F50">
        <w:t>nav</w:t>
      </w:r>
      <w:proofErr w:type="spellEnd"/>
      <w:r w:rsidRPr="00087F50">
        <w:t xml:space="preserve"> </w:t>
      </w:r>
      <w:proofErr w:type="spellStart"/>
      <w:r w:rsidRPr="00087F50">
        <w:t>nepieciešami</w:t>
      </w:r>
      <w:proofErr w:type="spellEnd"/>
      <w:r w:rsidRPr="00087F50">
        <w:t xml:space="preserve"> </w:t>
      </w:r>
      <w:proofErr w:type="spellStart"/>
      <w:r w:rsidRPr="00087F50">
        <w:t>īpaši</w:t>
      </w:r>
      <w:proofErr w:type="spellEnd"/>
      <w:r w:rsidRPr="00087F50">
        <w:t xml:space="preserve"> </w:t>
      </w:r>
      <w:proofErr w:type="spellStart"/>
      <w:r w:rsidRPr="00087F50">
        <w:t>uzglabāšanas</w:t>
      </w:r>
      <w:proofErr w:type="spellEnd"/>
      <w:r w:rsidRPr="00087F50">
        <w:t xml:space="preserve"> </w:t>
      </w:r>
      <w:proofErr w:type="spellStart"/>
      <w:r w:rsidRPr="00087F50">
        <w:t>apstākļi</w:t>
      </w:r>
      <w:proofErr w:type="spellEnd"/>
      <w:r w:rsidRPr="00087F50">
        <w:t xml:space="preserve">.  </w:t>
      </w:r>
    </w:p>
    <w:p w14:paraId="06996400" w14:textId="77777777" w:rsidR="00A77DDF" w:rsidRPr="00087F50" w:rsidRDefault="00A77DDF" w:rsidP="00A77DDF">
      <w:pPr>
        <w:spacing w:after="11" w:line="259" w:lineRule="auto"/>
        <w:ind w:left="1" w:firstLine="0"/>
      </w:pPr>
      <w:r w:rsidRPr="00087F50">
        <w:t xml:space="preserve"> </w:t>
      </w:r>
    </w:p>
    <w:p w14:paraId="459E14E3" w14:textId="77777777" w:rsidR="00A77DDF" w:rsidRPr="00087F50" w:rsidRDefault="00A77DDF" w:rsidP="00A77DDF">
      <w:pPr>
        <w:pStyle w:val="Heading3"/>
        <w:tabs>
          <w:tab w:val="center" w:pos="1867"/>
        </w:tabs>
        <w:ind w:left="-13" w:right="0" w:firstLine="0"/>
      </w:pPr>
      <w:r w:rsidRPr="00087F50">
        <w:t xml:space="preserve">6.5. </w:t>
      </w:r>
      <w:r w:rsidRPr="00087F50">
        <w:tab/>
      </w:r>
      <w:proofErr w:type="spellStart"/>
      <w:r w:rsidRPr="00087F50">
        <w:t>Iepakojuma</w:t>
      </w:r>
      <w:proofErr w:type="spellEnd"/>
      <w:r w:rsidRPr="00087F50">
        <w:t xml:space="preserve"> </w:t>
      </w:r>
      <w:proofErr w:type="spellStart"/>
      <w:r w:rsidRPr="00087F50">
        <w:t>veids</w:t>
      </w:r>
      <w:proofErr w:type="spellEnd"/>
      <w:r w:rsidRPr="00087F50">
        <w:t xml:space="preserve"> un </w:t>
      </w:r>
      <w:proofErr w:type="spellStart"/>
      <w:r w:rsidRPr="00087F50">
        <w:t>saturs</w:t>
      </w:r>
      <w:proofErr w:type="spellEnd"/>
      <w:r w:rsidRPr="00087F50">
        <w:rPr>
          <w:b w:val="0"/>
        </w:rPr>
        <w:t xml:space="preserve"> </w:t>
      </w:r>
    </w:p>
    <w:p w14:paraId="5C942DD7" w14:textId="77777777" w:rsidR="00A77DDF" w:rsidRPr="00087F50" w:rsidRDefault="00A77DDF" w:rsidP="00A77DDF">
      <w:pPr>
        <w:spacing w:after="0" w:line="259" w:lineRule="auto"/>
        <w:ind w:left="1" w:firstLine="0"/>
      </w:pPr>
      <w:r w:rsidRPr="00087F50">
        <w:t xml:space="preserve"> </w:t>
      </w:r>
    </w:p>
    <w:p w14:paraId="3BAF8818" w14:textId="77777777" w:rsidR="0035774B" w:rsidRPr="00087F50" w:rsidRDefault="0035774B" w:rsidP="00A77DDF">
      <w:pPr>
        <w:spacing w:after="0" w:line="259" w:lineRule="auto"/>
        <w:ind w:left="1" w:firstLine="0"/>
      </w:pPr>
      <w:proofErr w:type="spellStart"/>
      <w:r w:rsidRPr="00087F50">
        <w:t>Caurspīdīgi</w:t>
      </w:r>
      <w:proofErr w:type="spellEnd"/>
      <w:r w:rsidRPr="00087F50">
        <w:t xml:space="preserve"> PVH / PVDH-</w:t>
      </w:r>
      <w:proofErr w:type="spellStart"/>
      <w:r w:rsidRPr="00087F50">
        <w:t>alumīnija</w:t>
      </w:r>
      <w:proofErr w:type="spellEnd"/>
      <w:r w:rsidRPr="00087F50">
        <w:t xml:space="preserve"> </w:t>
      </w:r>
      <w:proofErr w:type="spellStart"/>
      <w:r w:rsidRPr="00087F50">
        <w:t>blisteri</w:t>
      </w:r>
      <w:proofErr w:type="spellEnd"/>
    </w:p>
    <w:p w14:paraId="4A111659" w14:textId="20962F98" w:rsidR="00A77DDF" w:rsidRPr="00087F50" w:rsidRDefault="00A77DDF" w:rsidP="00890F7A">
      <w:pPr>
        <w:spacing w:after="0" w:line="259" w:lineRule="auto"/>
        <w:ind w:left="1" w:firstLine="0"/>
      </w:pPr>
      <w:proofErr w:type="spellStart"/>
      <w:r w:rsidRPr="00087F50">
        <w:t>Febuxostat</w:t>
      </w:r>
      <w:proofErr w:type="spellEnd"/>
      <w:r w:rsidRPr="00087F50">
        <w:t xml:space="preserve"> </w:t>
      </w:r>
      <w:r w:rsidR="00997BE3" w:rsidRPr="00087F50">
        <w:t>Zentiva</w:t>
      </w:r>
      <w:r w:rsidRPr="00087F50">
        <w:t xml:space="preserve"> 120 mg ir </w:t>
      </w:r>
      <w:proofErr w:type="spellStart"/>
      <w:r w:rsidRPr="00087F50">
        <w:t>pieejams</w:t>
      </w:r>
      <w:proofErr w:type="spellEnd"/>
      <w:r w:rsidRPr="00087F50">
        <w:t xml:space="preserve"> 14, 28, 42, 56, 84 un 98 </w:t>
      </w:r>
      <w:proofErr w:type="spellStart"/>
      <w:r w:rsidRPr="00087F50">
        <w:t>apvalkoto</w:t>
      </w:r>
      <w:proofErr w:type="spellEnd"/>
      <w:r w:rsidRPr="00087F50">
        <w:t xml:space="preserve"> </w:t>
      </w:r>
      <w:proofErr w:type="spellStart"/>
      <w:r w:rsidRPr="00087F50">
        <w:t>tablešu</w:t>
      </w:r>
      <w:proofErr w:type="spellEnd"/>
      <w:r w:rsidRPr="00087F50">
        <w:t xml:space="preserve"> </w:t>
      </w:r>
      <w:proofErr w:type="spellStart"/>
      <w:r w:rsidRPr="00087F50">
        <w:t>iepakojumā</w:t>
      </w:r>
      <w:proofErr w:type="spellEnd"/>
      <w:r w:rsidRPr="00087F50">
        <w:t xml:space="preserve">. </w:t>
      </w:r>
    </w:p>
    <w:p w14:paraId="08393ED0" w14:textId="0BDC001E" w:rsidR="00A77DDF" w:rsidRPr="00087F50" w:rsidRDefault="00A77DDF" w:rsidP="00890F7A">
      <w:pPr>
        <w:spacing w:after="0" w:line="259" w:lineRule="auto"/>
        <w:ind w:left="1" w:firstLine="0"/>
      </w:pPr>
      <w:r w:rsidRPr="00087F50">
        <w:t xml:space="preserve"> </w:t>
      </w:r>
      <w:proofErr w:type="spellStart"/>
      <w:r w:rsidRPr="00087F50">
        <w:t>Visi</w:t>
      </w:r>
      <w:proofErr w:type="spellEnd"/>
      <w:r w:rsidRPr="00087F50">
        <w:t xml:space="preserve"> </w:t>
      </w:r>
      <w:proofErr w:type="spellStart"/>
      <w:r w:rsidRPr="00087F50">
        <w:t>iepakojuma</w:t>
      </w:r>
      <w:proofErr w:type="spellEnd"/>
      <w:r w:rsidRPr="00087F50">
        <w:t xml:space="preserve"> </w:t>
      </w:r>
      <w:proofErr w:type="spellStart"/>
      <w:r w:rsidRPr="00087F50">
        <w:t>lielumi</w:t>
      </w:r>
      <w:proofErr w:type="spellEnd"/>
      <w:r w:rsidRPr="00087F50">
        <w:t xml:space="preserve"> </w:t>
      </w:r>
      <w:proofErr w:type="spellStart"/>
      <w:r w:rsidRPr="00087F50">
        <w:t>tirgū</w:t>
      </w:r>
      <w:proofErr w:type="spellEnd"/>
      <w:r w:rsidRPr="00087F50">
        <w:t xml:space="preserve"> </w:t>
      </w:r>
      <w:proofErr w:type="spellStart"/>
      <w:r w:rsidRPr="00087F50">
        <w:t>var</w:t>
      </w:r>
      <w:proofErr w:type="spellEnd"/>
      <w:r w:rsidRPr="00087F50">
        <w:t xml:space="preserve"> </w:t>
      </w:r>
      <w:proofErr w:type="spellStart"/>
      <w:r w:rsidRPr="00087F50">
        <w:t>nebūt</w:t>
      </w:r>
      <w:proofErr w:type="spellEnd"/>
      <w:r w:rsidRPr="00087F50">
        <w:t xml:space="preserve"> </w:t>
      </w:r>
      <w:proofErr w:type="spellStart"/>
      <w:r w:rsidRPr="00087F50">
        <w:t>pieejami</w:t>
      </w:r>
      <w:proofErr w:type="spellEnd"/>
      <w:r w:rsidRPr="00087F50">
        <w:t xml:space="preserve">. </w:t>
      </w:r>
    </w:p>
    <w:p w14:paraId="172B59A7" w14:textId="77777777" w:rsidR="00A77DDF" w:rsidRPr="00087F50" w:rsidRDefault="00A77DDF" w:rsidP="00A77DDF">
      <w:pPr>
        <w:spacing w:after="11" w:line="259" w:lineRule="auto"/>
        <w:ind w:left="1" w:firstLine="0"/>
      </w:pPr>
      <w:r w:rsidRPr="00087F50">
        <w:t xml:space="preserve"> </w:t>
      </w:r>
    </w:p>
    <w:p w14:paraId="751B15F6" w14:textId="77777777" w:rsidR="00A77DDF" w:rsidRPr="00087F50" w:rsidRDefault="00A77DDF" w:rsidP="00A77DDF">
      <w:pPr>
        <w:tabs>
          <w:tab w:val="center" w:pos="2461"/>
        </w:tabs>
        <w:spacing w:after="11" w:line="251" w:lineRule="auto"/>
        <w:ind w:left="-13" w:firstLine="0"/>
      </w:pPr>
      <w:r w:rsidRPr="00087F50">
        <w:rPr>
          <w:b/>
        </w:rPr>
        <w:t xml:space="preserve">6.6. </w:t>
      </w:r>
      <w:r w:rsidRPr="00087F50">
        <w:rPr>
          <w:b/>
        </w:rPr>
        <w:tab/>
      </w:r>
      <w:proofErr w:type="spellStart"/>
      <w:r w:rsidRPr="00087F50">
        <w:rPr>
          <w:b/>
        </w:rPr>
        <w:t>Īpaši</w:t>
      </w:r>
      <w:proofErr w:type="spellEnd"/>
      <w:r w:rsidRPr="00087F50">
        <w:rPr>
          <w:b/>
        </w:rPr>
        <w:t xml:space="preserve"> </w:t>
      </w:r>
      <w:proofErr w:type="spellStart"/>
      <w:r w:rsidRPr="00087F50">
        <w:rPr>
          <w:b/>
        </w:rPr>
        <w:t>norādījumi</w:t>
      </w:r>
      <w:proofErr w:type="spellEnd"/>
      <w:r w:rsidRPr="00087F50">
        <w:rPr>
          <w:b/>
        </w:rPr>
        <w:t xml:space="preserve"> </w:t>
      </w:r>
      <w:proofErr w:type="spellStart"/>
      <w:r w:rsidRPr="00087F50">
        <w:rPr>
          <w:b/>
        </w:rPr>
        <w:t>atkritumu</w:t>
      </w:r>
      <w:proofErr w:type="spellEnd"/>
      <w:r w:rsidRPr="00087F50">
        <w:rPr>
          <w:b/>
        </w:rPr>
        <w:t xml:space="preserve"> </w:t>
      </w:r>
      <w:proofErr w:type="spellStart"/>
      <w:r w:rsidRPr="00087F50">
        <w:rPr>
          <w:b/>
        </w:rPr>
        <w:t>likvidēšanai</w:t>
      </w:r>
      <w:proofErr w:type="spellEnd"/>
      <w:r w:rsidRPr="00087F50">
        <w:rPr>
          <w:b/>
        </w:rPr>
        <w:t xml:space="preserve"> </w:t>
      </w:r>
      <w:r w:rsidRPr="00087F50">
        <w:t xml:space="preserve"> </w:t>
      </w:r>
    </w:p>
    <w:p w14:paraId="2B266459" w14:textId="77777777" w:rsidR="00A77DDF" w:rsidRPr="00087F50" w:rsidRDefault="00A77DDF" w:rsidP="00A77DDF">
      <w:pPr>
        <w:spacing w:after="0" w:line="259" w:lineRule="auto"/>
        <w:ind w:left="1" w:firstLine="0"/>
      </w:pPr>
      <w:r w:rsidRPr="00087F50">
        <w:t xml:space="preserve"> </w:t>
      </w:r>
    </w:p>
    <w:p w14:paraId="7AE4660C" w14:textId="77777777" w:rsidR="00A77DDF" w:rsidRPr="00087F50" w:rsidRDefault="00A77DDF" w:rsidP="00A77DDF">
      <w:pPr>
        <w:ind w:left="-3" w:right="9"/>
      </w:pPr>
      <w:proofErr w:type="spellStart"/>
      <w:r w:rsidRPr="00087F50">
        <w:t>Nav</w:t>
      </w:r>
      <w:proofErr w:type="spellEnd"/>
      <w:r w:rsidRPr="00087F50">
        <w:t xml:space="preserve"> </w:t>
      </w:r>
      <w:proofErr w:type="spellStart"/>
      <w:r w:rsidRPr="00087F50">
        <w:t>īpašu</w:t>
      </w:r>
      <w:proofErr w:type="spellEnd"/>
      <w:r w:rsidRPr="00087F50">
        <w:t xml:space="preserve"> </w:t>
      </w:r>
      <w:proofErr w:type="spellStart"/>
      <w:r w:rsidRPr="00087F50">
        <w:t>prasību</w:t>
      </w:r>
      <w:proofErr w:type="spellEnd"/>
      <w:r w:rsidRPr="00087F50">
        <w:t xml:space="preserve">. </w:t>
      </w:r>
    </w:p>
    <w:p w14:paraId="272BD1A6" w14:textId="77777777" w:rsidR="00A77DDF" w:rsidRPr="00087F50" w:rsidRDefault="00A77DDF" w:rsidP="00A77DDF">
      <w:pPr>
        <w:spacing w:after="0" w:line="259" w:lineRule="auto"/>
        <w:ind w:left="1" w:firstLine="0"/>
      </w:pPr>
      <w:r w:rsidRPr="00087F50">
        <w:t xml:space="preserve"> </w:t>
      </w:r>
    </w:p>
    <w:p w14:paraId="5716875F" w14:textId="77777777" w:rsidR="00A77DDF" w:rsidRPr="00087F50" w:rsidRDefault="00A77DDF" w:rsidP="00A77DDF">
      <w:pPr>
        <w:spacing w:after="11" w:line="259" w:lineRule="auto"/>
        <w:ind w:left="1" w:firstLine="0"/>
      </w:pPr>
      <w:r w:rsidRPr="00087F50">
        <w:t xml:space="preserve"> </w:t>
      </w:r>
    </w:p>
    <w:p w14:paraId="16543EF3" w14:textId="77777777" w:rsidR="00A77DDF" w:rsidRPr="00087F50" w:rsidRDefault="00A77DDF" w:rsidP="00A77DDF">
      <w:pPr>
        <w:pStyle w:val="Heading2"/>
        <w:tabs>
          <w:tab w:val="center" w:pos="2781"/>
        </w:tabs>
        <w:ind w:left="-13" w:right="0" w:firstLine="0"/>
      </w:pPr>
      <w:r w:rsidRPr="00087F50">
        <w:t xml:space="preserve">7. </w:t>
      </w:r>
      <w:r w:rsidRPr="00087F50">
        <w:tab/>
        <w:t>REĢISTRĀCIJAS APLIECĪBAS ĪPAŠNIEKS</w:t>
      </w:r>
      <w:r w:rsidRPr="00087F50">
        <w:rPr>
          <w:b w:val="0"/>
        </w:rPr>
        <w:t xml:space="preserve"> </w:t>
      </w:r>
    </w:p>
    <w:p w14:paraId="38FFB849" w14:textId="77777777" w:rsidR="00A77DDF" w:rsidRPr="00087F50" w:rsidRDefault="00A77DDF" w:rsidP="00A77DDF">
      <w:pPr>
        <w:spacing w:after="0" w:line="259" w:lineRule="auto"/>
        <w:ind w:left="1" w:firstLine="0"/>
      </w:pPr>
      <w:r w:rsidRPr="00087F50">
        <w:t xml:space="preserve"> </w:t>
      </w:r>
    </w:p>
    <w:p w14:paraId="79A15A3A" w14:textId="77777777" w:rsidR="00EC6FF8" w:rsidRPr="00087F50" w:rsidRDefault="00EC6FF8" w:rsidP="00EC6FF8">
      <w:pPr>
        <w:autoSpaceDE w:val="0"/>
        <w:autoSpaceDN w:val="0"/>
        <w:adjustRightInd w:val="0"/>
        <w:rPr>
          <w:lang w:eastAsia="lv-LV"/>
        </w:rPr>
      </w:pPr>
      <w:r w:rsidRPr="00087F50">
        <w:rPr>
          <w:lang w:eastAsia="lv-LV"/>
        </w:rPr>
        <w:t xml:space="preserve">Zentiva </w:t>
      </w:r>
      <w:proofErr w:type="spellStart"/>
      <w:r w:rsidRPr="00087F50">
        <w:rPr>
          <w:lang w:eastAsia="lv-LV"/>
        </w:rPr>
        <w:t>k.s</w:t>
      </w:r>
      <w:proofErr w:type="spellEnd"/>
      <w:r w:rsidRPr="00087F50">
        <w:rPr>
          <w:lang w:eastAsia="lv-LV"/>
        </w:rPr>
        <w:t>.</w:t>
      </w:r>
    </w:p>
    <w:p w14:paraId="3E0F5603" w14:textId="77777777" w:rsidR="00EC6FF8" w:rsidRPr="00087F50" w:rsidRDefault="00EC6FF8" w:rsidP="00EC6FF8">
      <w:pPr>
        <w:autoSpaceDE w:val="0"/>
        <w:autoSpaceDN w:val="0"/>
        <w:adjustRightInd w:val="0"/>
        <w:rPr>
          <w:lang w:eastAsia="lv-LV"/>
        </w:rPr>
      </w:pPr>
      <w:r w:rsidRPr="00087F50">
        <w:rPr>
          <w:lang w:eastAsia="lv-LV"/>
        </w:rPr>
        <w:t xml:space="preserve">U </w:t>
      </w:r>
      <w:proofErr w:type="spellStart"/>
      <w:r w:rsidRPr="00087F50">
        <w:rPr>
          <w:lang w:eastAsia="lv-LV"/>
        </w:rPr>
        <w:t>Kabelovny</w:t>
      </w:r>
      <w:proofErr w:type="spellEnd"/>
      <w:r w:rsidRPr="00087F50">
        <w:rPr>
          <w:lang w:eastAsia="lv-LV"/>
        </w:rPr>
        <w:t xml:space="preserve"> 130, 102 37 </w:t>
      </w:r>
      <w:proofErr w:type="spellStart"/>
      <w:r w:rsidRPr="00087F50">
        <w:rPr>
          <w:lang w:eastAsia="lv-LV"/>
        </w:rPr>
        <w:t>Praha</w:t>
      </w:r>
      <w:proofErr w:type="spellEnd"/>
      <w:r w:rsidRPr="00087F50">
        <w:rPr>
          <w:lang w:eastAsia="lv-LV"/>
        </w:rPr>
        <w:t xml:space="preserve"> 10, </w:t>
      </w:r>
      <w:proofErr w:type="spellStart"/>
      <w:r w:rsidRPr="00087F50">
        <w:rPr>
          <w:lang w:eastAsia="lv-LV"/>
        </w:rPr>
        <w:t>Dolní</w:t>
      </w:r>
      <w:proofErr w:type="spellEnd"/>
      <w:r w:rsidRPr="00087F50">
        <w:rPr>
          <w:lang w:eastAsia="lv-LV"/>
        </w:rPr>
        <w:t xml:space="preserve"> </w:t>
      </w:r>
      <w:proofErr w:type="spellStart"/>
      <w:r w:rsidRPr="00087F50">
        <w:rPr>
          <w:lang w:eastAsia="lv-LV"/>
        </w:rPr>
        <w:t>Měcholupy</w:t>
      </w:r>
      <w:proofErr w:type="spellEnd"/>
      <w:r w:rsidRPr="00087F50">
        <w:rPr>
          <w:lang w:eastAsia="lv-LV"/>
        </w:rPr>
        <w:t xml:space="preserve"> </w:t>
      </w:r>
    </w:p>
    <w:p w14:paraId="6D637D24" w14:textId="77777777" w:rsidR="00EC6FF8" w:rsidRPr="00087F50" w:rsidRDefault="00EC6FF8" w:rsidP="00EC6FF8">
      <w:proofErr w:type="spellStart"/>
      <w:r w:rsidRPr="00087F50">
        <w:rPr>
          <w:lang w:eastAsia="lv-LV"/>
        </w:rPr>
        <w:t>Čehija</w:t>
      </w:r>
      <w:proofErr w:type="spellEnd"/>
    </w:p>
    <w:p w14:paraId="29E9E70C" w14:textId="34CA6C82" w:rsidR="00A77DDF" w:rsidRPr="00087F50" w:rsidRDefault="00A77DDF" w:rsidP="0035774B">
      <w:pPr>
        <w:spacing w:after="0" w:line="259" w:lineRule="auto"/>
        <w:ind w:left="1" w:firstLine="0"/>
      </w:pPr>
    </w:p>
    <w:p w14:paraId="0D51806B" w14:textId="77777777" w:rsidR="00A77DDF" w:rsidRPr="00087F50" w:rsidRDefault="00A77DDF" w:rsidP="00A77DDF">
      <w:pPr>
        <w:spacing w:after="11" w:line="259" w:lineRule="auto"/>
        <w:ind w:left="1" w:firstLine="0"/>
      </w:pPr>
      <w:r w:rsidRPr="00087F50">
        <w:t xml:space="preserve"> </w:t>
      </w:r>
    </w:p>
    <w:p w14:paraId="0AB8402C" w14:textId="77777777" w:rsidR="00A77DDF" w:rsidRPr="00087F50" w:rsidRDefault="00A77DDF" w:rsidP="00A77DDF">
      <w:pPr>
        <w:pStyle w:val="Heading2"/>
        <w:tabs>
          <w:tab w:val="center" w:pos="2824"/>
        </w:tabs>
        <w:ind w:left="-13" w:right="0" w:firstLine="0"/>
      </w:pPr>
      <w:r w:rsidRPr="00087F50">
        <w:t xml:space="preserve">8. </w:t>
      </w:r>
      <w:r w:rsidRPr="00087F50">
        <w:tab/>
        <w:t xml:space="preserve">REĢISTRĀCIJAS APLIECĪBAS NUMURS(-I)  </w:t>
      </w:r>
    </w:p>
    <w:p w14:paraId="59828D68" w14:textId="77777777" w:rsidR="00A77DDF" w:rsidRPr="00087F50" w:rsidRDefault="00A77DDF" w:rsidP="00A77DDF">
      <w:pPr>
        <w:spacing w:after="0" w:line="259" w:lineRule="auto"/>
        <w:ind w:left="0" w:firstLine="0"/>
      </w:pPr>
      <w:r w:rsidRPr="00087F50">
        <w:t xml:space="preserve"> </w:t>
      </w:r>
    </w:p>
    <w:p w14:paraId="0077BC2E" w14:textId="6CFA731E" w:rsidR="00A77DDF" w:rsidRPr="00087F50" w:rsidRDefault="00EC6FF8" w:rsidP="00A77DDF">
      <w:pPr>
        <w:spacing w:after="0" w:line="259" w:lineRule="auto"/>
        <w:ind w:left="1" w:firstLine="0"/>
      </w:pPr>
      <w:r w:rsidRPr="00087F50">
        <w:t>19-0054</w:t>
      </w:r>
    </w:p>
    <w:p w14:paraId="51554919" w14:textId="77777777" w:rsidR="00AB1A83" w:rsidRDefault="00AB1A83" w:rsidP="00A77DDF">
      <w:pPr>
        <w:spacing w:after="11" w:line="259" w:lineRule="auto"/>
        <w:ind w:left="1" w:firstLine="0"/>
      </w:pPr>
    </w:p>
    <w:p w14:paraId="0C7AEBAF" w14:textId="084B71B1" w:rsidR="00A77DDF" w:rsidRPr="00087F50" w:rsidRDefault="00A77DDF" w:rsidP="00A77DDF">
      <w:pPr>
        <w:spacing w:after="11" w:line="259" w:lineRule="auto"/>
        <w:ind w:left="1" w:firstLine="0"/>
      </w:pPr>
      <w:r w:rsidRPr="00087F50">
        <w:t xml:space="preserve"> </w:t>
      </w:r>
    </w:p>
    <w:p w14:paraId="62B04A2D" w14:textId="77777777" w:rsidR="00A77DDF" w:rsidRPr="00087F50" w:rsidRDefault="00A77DDF" w:rsidP="00A77DDF">
      <w:pPr>
        <w:pStyle w:val="Heading2"/>
        <w:tabs>
          <w:tab w:val="center" w:pos="3628"/>
        </w:tabs>
        <w:ind w:left="-13" w:right="0" w:firstLine="0"/>
      </w:pPr>
      <w:r w:rsidRPr="00087F50">
        <w:t xml:space="preserve">9. </w:t>
      </w:r>
      <w:r w:rsidRPr="00087F50">
        <w:tab/>
        <w:t>PIRMĀS REĢISTRĀCIJAS / PĀRREĢISTRĀCIJAS DATUMS</w:t>
      </w:r>
      <w:r w:rsidRPr="00087F50">
        <w:rPr>
          <w:b w:val="0"/>
        </w:rPr>
        <w:t xml:space="preserve"> </w:t>
      </w:r>
    </w:p>
    <w:p w14:paraId="201A8F22" w14:textId="77777777" w:rsidR="00A77DDF" w:rsidRPr="00087F50" w:rsidRDefault="00A77DDF" w:rsidP="00A77DDF">
      <w:pPr>
        <w:spacing w:after="0" w:line="259" w:lineRule="auto"/>
        <w:ind w:left="1" w:firstLine="0"/>
      </w:pPr>
      <w:r w:rsidRPr="00087F50">
        <w:t xml:space="preserve"> </w:t>
      </w:r>
    </w:p>
    <w:p w14:paraId="35F1C100" w14:textId="6EA40152" w:rsidR="00A77DDF" w:rsidRPr="00087F50" w:rsidRDefault="00A77DDF" w:rsidP="00A77DDF">
      <w:pPr>
        <w:ind w:left="-3" w:right="9"/>
      </w:pPr>
      <w:proofErr w:type="spellStart"/>
      <w:r w:rsidRPr="00087F50">
        <w:t>Reģistrācijas</w:t>
      </w:r>
      <w:proofErr w:type="spellEnd"/>
      <w:r w:rsidRPr="00087F50">
        <w:t xml:space="preserve"> </w:t>
      </w:r>
      <w:proofErr w:type="spellStart"/>
      <w:r w:rsidRPr="00087F50">
        <w:t>datums</w:t>
      </w:r>
      <w:proofErr w:type="spellEnd"/>
      <w:r w:rsidRPr="00087F50">
        <w:t xml:space="preserve">: </w:t>
      </w:r>
      <w:r w:rsidR="00EC6FF8" w:rsidRPr="00087F50">
        <w:t>28.03.2019</w:t>
      </w:r>
    </w:p>
    <w:p w14:paraId="2CABE428" w14:textId="776CBD48" w:rsidR="00F36C22" w:rsidRDefault="00F36C22" w:rsidP="0035774B">
      <w:pPr>
        <w:ind w:left="-3" w:right="9"/>
      </w:pPr>
    </w:p>
    <w:p w14:paraId="21A66A5F" w14:textId="77777777" w:rsidR="00AB1A83" w:rsidRPr="00087F50" w:rsidRDefault="00AB1A83" w:rsidP="0035774B">
      <w:pPr>
        <w:ind w:left="-3" w:right="9"/>
      </w:pPr>
    </w:p>
    <w:p w14:paraId="595CAB9F" w14:textId="0605DFF5" w:rsidR="000D01CD" w:rsidRPr="002A468B" w:rsidRDefault="00F36C22" w:rsidP="0035774B">
      <w:pPr>
        <w:spacing w:after="9" w:line="259" w:lineRule="auto"/>
        <w:ind w:left="1" w:firstLine="0"/>
        <w:rPr>
          <w:bCs/>
        </w:rPr>
      </w:pPr>
      <w:r w:rsidRPr="00087F50">
        <w:rPr>
          <w:b/>
        </w:rPr>
        <w:t>10.</w:t>
      </w:r>
      <w:r w:rsidRPr="00087F50">
        <w:rPr>
          <w:b/>
        </w:rPr>
        <w:tab/>
        <w:t>TEKSTA PĀRSKATĪŠANAS DATUMS</w:t>
      </w:r>
      <w:r w:rsidRPr="00087F50">
        <w:rPr>
          <w:lang w:val="lv-LV"/>
        </w:rPr>
        <w:t xml:space="preserve">  </w:t>
      </w:r>
      <w:r w:rsidR="00AB1A83" w:rsidRPr="00890F7A">
        <w:rPr>
          <w:bCs/>
        </w:rPr>
        <w:t>03</w:t>
      </w:r>
      <w:r w:rsidR="00F15733" w:rsidRPr="00890F7A">
        <w:rPr>
          <w:bCs/>
        </w:rPr>
        <w:t>/20</w:t>
      </w:r>
      <w:r w:rsidR="00AB1A83" w:rsidRPr="00890F7A">
        <w:rPr>
          <w:bCs/>
        </w:rPr>
        <w:t>22</w:t>
      </w:r>
    </w:p>
    <w:sectPr w:rsidR="000D01CD" w:rsidRPr="002A468B">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DEFE6" w14:textId="77777777" w:rsidR="00CD2738" w:rsidRDefault="00CD2738" w:rsidP="00E43195">
      <w:pPr>
        <w:spacing w:after="0" w:line="240" w:lineRule="auto"/>
      </w:pPr>
      <w:r>
        <w:separator/>
      </w:r>
    </w:p>
  </w:endnote>
  <w:endnote w:type="continuationSeparator" w:id="0">
    <w:p w14:paraId="7C2CC703" w14:textId="77777777" w:rsidR="00CD2738" w:rsidRDefault="00CD2738" w:rsidP="00E43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43E4" w14:textId="77777777" w:rsidR="00E63A52" w:rsidRDefault="00E63A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CF10" w14:textId="5C1AB0C3" w:rsidR="00CD57CB" w:rsidRPr="00263E22" w:rsidRDefault="00CD57CB" w:rsidP="00CD57CB">
    <w:pPr>
      <w:pStyle w:val="Footer"/>
      <w:jc w:val="right"/>
      <w:rPr>
        <w:bCs/>
        <w:sz w:val="20"/>
        <w:szCs w:val="20"/>
      </w:rPr>
    </w:pPr>
    <w:r w:rsidRPr="00263E22">
      <w:rPr>
        <w:bCs/>
        <w:sz w:val="20"/>
        <w:szCs w:val="20"/>
      </w:rPr>
      <w:t>NL/H/4167/001-002/IB/</w:t>
    </w:r>
    <w:r>
      <w:rPr>
        <w:bCs/>
        <w:sz w:val="20"/>
        <w:szCs w:val="20"/>
      </w:rPr>
      <w:t>012</w:t>
    </w:r>
  </w:p>
  <w:p w14:paraId="71919C12" w14:textId="1E5780A1" w:rsidR="005A479B" w:rsidRDefault="005A479B">
    <w:pPr>
      <w:pStyle w:val="Footer"/>
    </w:pPr>
  </w:p>
  <w:p w14:paraId="2E4F101B" w14:textId="77777777" w:rsidR="006A0DB4" w:rsidRDefault="006A0D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C281" w14:textId="77777777" w:rsidR="00E63A52" w:rsidRDefault="00E63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B65BF" w14:textId="77777777" w:rsidR="00CD2738" w:rsidRDefault="00CD2738" w:rsidP="00E43195">
      <w:pPr>
        <w:spacing w:after="0" w:line="240" w:lineRule="auto"/>
      </w:pPr>
      <w:r>
        <w:separator/>
      </w:r>
    </w:p>
  </w:footnote>
  <w:footnote w:type="continuationSeparator" w:id="0">
    <w:p w14:paraId="7CEE2418" w14:textId="77777777" w:rsidR="00CD2738" w:rsidRDefault="00CD2738" w:rsidP="00E43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703C8" w14:textId="77777777" w:rsidR="00E63A52" w:rsidRDefault="00E63A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DFE4C" w14:textId="6837B8A5" w:rsidR="00E63A52" w:rsidRPr="00E63A52" w:rsidRDefault="00E63A52" w:rsidP="00E63A52">
    <w:pPr>
      <w:pStyle w:val="Header"/>
      <w:jc w:val="right"/>
      <w:rPr>
        <w:sz w:val="24"/>
        <w:szCs w:val="24"/>
        <w:lang w:val="en-US"/>
      </w:rPr>
    </w:pPr>
    <w:r>
      <w:rPr>
        <w:sz w:val="24"/>
        <w:szCs w:val="24"/>
        <w:lang w:val="en-US"/>
      </w:rPr>
      <w:t>SASKAŅOTS ZVA 11-08-2022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B1B5D" w14:textId="77777777" w:rsidR="00E63A52" w:rsidRDefault="00E63A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B5"/>
    <w:rsid w:val="00034220"/>
    <w:rsid w:val="00042D9B"/>
    <w:rsid w:val="000435C7"/>
    <w:rsid w:val="00060919"/>
    <w:rsid w:val="00073C90"/>
    <w:rsid w:val="000751B5"/>
    <w:rsid w:val="00082D59"/>
    <w:rsid w:val="00087F50"/>
    <w:rsid w:val="00091EE1"/>
    <w:rsid w:val="000C2FBF"/>
    <w:rsid w:val="000C4D82"/>
    <w:rsid w:val="000D01CD"/>
    <w:rsid w:val="000E69D4"/>
    <w:rsid w:val="000E74D0"/>
    <w:rsid w:val="00113063"/>
    <w:rsid w:val="00130B9F"/>
    <w:rsid w:val="00152C73"/>
    <w:rsid w:val="0017173C"/>
    <w:rsid w:val="001730A4"/>
    <w:rsid w:val="001A4280"/>
    <w:rsid w:val="001A75C6"/>
    <w:rsid w:val="001D4BAF"/>
    <w:rsid w:val="001F4BEA"/>
    <w:rsid w:val="00212389"/>
    <w:rsid w:val="002171AE"/>
    <w:rsid w:val="00237FD8"/>
    <w:rsid w:val="002546D7"/>
    <w:rsid w:val="002628B1"/>
    <w:rsid w:val="002734FF"/>
    <w:rsid w:val="0027432D"/>
    <w:rsid w:val="00274342"/>
    <w:rsid w:val="002962B1"/>
    <w:rsid w:val="002A468B"/>
    <w:rsid w:val="002A5AF2"/>
    <w:rsid w:val="002C6A44"/>
    <w:rsid w:val="002D7134"/>
    <w:rsid w:val="002E1A0B"/>
    <w:rsid w:val="003003A5"/>
    <w:rsid w:val="00343149"/>
    <w:rsid w:val="003479BE"/>
    <w:rsid w:val="0035774B"/>
    <w:rsid w:val="00394F56"/>
    <w:rsid w:val="003B1342"/>
    <w:rsid w:val="003F267A"/>
    <w:rsid w:val="00401B40"/>
    <w:rsid w:val="00415DAA"/>
    <w:rsid w:val="00422221"/>
    <w:rsid w:val="00426578"/>
    <w:rsid w:val="00431740"/>
    <w:rsid w:val="00434CD7"/>
    <w:rsid w:val="00436C1F"/>
    <w:rsid w:val="00445618"/>
    <w:rsid w:val="00456C6A"/>
    <w:rsid w:val="00466307"/>
    <w:rsid w:val="00467ED0"/>
    <w:rsid w:val="0048582C"/>
    <w:rsid w:val="004D5E76"/>
    <w:rsid w:val="0050071B"/>
    <w:rsid w:val="0051010C"/>
    <w:rsid w:val="00511B2B"/>
    <w:rsid w:val="00512B2B"/>
    <w:rsid w:val="0051617D"/>
    <w:rsid w:val="005325D3"/>
    <w:rsid w:val="00533F17"/>
    <w:rsid w:val="00543A6F"/>
    <w:rsid w:val="00564594"/>
    <w:rsid w:val="00581E40"/>
    <w:rsid w:val="00593513"/>
    <w:rsid w:val="00594CD0"/>
    <w:rsid w:val="005A479B"/>
    <w:rsid w:val="005E4CB8"/>
    <w:rsid w:val="005E5817"/>
    <w:rsid w:val="00603DEE"/>
    <w:rsid w:val="00612C5E"/>
    <w:rsid w:val="00631B37"/>
    <w:rsid w:val="0064147B"/>
    <w:rsid w:val="006A0DB4"/>
    <w:rsid w:val="006B668B"/>
    <w:rsid w:val="006E027D"/>
    <w:rsid w:val="006E18AB"/>
    <w:rsid w:val="00725EE1"/>
    <w:rsid w:val="00787B7C"/>
    <w:rsid w:val="00790B68"/>
    <w:rsid w:val="007C3532"/>
    <w:rsid w:val="007D181E"/>
    <w:rsid w:val="007E078A"/>
    <w:rsid w:val="007E3E09"/>
    <w:rsid w:val="0081696D"/>
    <w:rsid w:val="00817203"/>
    <w:rsid w:val="008200C3"/>
    <w:rsid w:val="0085777F"/>
    <w:rsid w:val="00890F7A"/>
    <w:rsid w:val="008A0CDC"/>
    <w:rsid w:val="008A3D43"/>
    <w:rsid w:val="008C16C5"/>
    <w:rsid w:val="008C5D51"/>
    <w:rsid w:val="008D74EA"/>
    <w:rsid w:val="008E0075"/>
    <w:rsid w:val="008F0783"/>
    <w:rsid w:val="00903392"/>
    <w:rsid w:val="00913D39"/>
    <w:rsid w:val="00916CBD"/>
    <w:rsid w:val="00920786"/>
    <w:rsid w:val="0092097F"/>
    <w:rsid w:val="0092121A"/>
    <w:rsid w:val="00940720"/>
    <w:rsid w:val="00943F9F"/>
    <w:rsid w:val="009623CE"/>
    <w:rsid w:val="00996CC0"/>
    <w:rsid w:val="00997BE3"/>
    <w:rsid w:val="009B0235"/>
    <w:rsid w:val="009B38DE"/>
    <w:rsid w:val="009C6116"/>
    <w:rsid w:val="009F78F0"/>
    <w:rsid w:val="00A27507"/>
    <w:rsid w:val="00A31AB1"/>
    <w:rsid w:val="00A4330C"/>
    <w:rsid w:val="00A77DDF"/>
    <w:rsid w:val="00AA01F1"/>
    <w:rsid w:val="00AB1A83"/>
    <w:rsid w:val="00AB66E3"/>
    <w:rsid w:val="00AD3652"/>
    <w:rsid w:val="00B05603"/>
    <w:rsid w:val="00B360DE"/>
    <w:rsid w:val="00B56137"/>
    <w:rsid w:val="00B569C2"/>
    <w:rsid w:val="00B645FD"/>
    <w:rsid w:val="00B7562C"/>
    <w:rsid w:val="00B81E71"/>
    <w:rsid w:val="00B83AA7"/>
    <w:rsid w:val="00BB5496"/>
    <w:rsid w:val="00BD1B08"/>
    <w:rsid w:val="00BF38B7"/>
    <w:rsid w:val="00C00126"/>
    <w:rsid w:val="00C06AF0"/>
    <w:rsid w:val="00C16EBC"/>
    <w:rsid w:val="00C25811"/>
    <w:rsid w:val="00C52AFF"/>
    <w:rsid w:val="00C57E3C"/>
    <w:rsid w:val="00C6295D"/>
    <w:rsid w:val="00CD2738"/>
    <w:rsid w:val="00CD57CB"/>
    <w:rsid w:val="00CD79AE"/>
    <w:rsid w:val="00CF24CC"/>
    <w:rsid w:val="00D0453F"/>
    <w:rsid w:val="00D1760F"/>
    <w:rsid w:val="00D17AA5"/>
    <w:rsid w:val="00D37579"/>
    <w:rsid w:val="00D40222"/>
    <w:rsid w:val="00D66671"/>
    <w:rsid w:val="00DA4360"/>
    <w:rsid w:val="00DA5147"/>
    <w:rsid w:val="00DD7CC8"/>
    <w:rsid w:val="00DE2ED2"/>
    <w:rsid w:val="00DE7911"/>
    <w:rsid w:val="00E00671"/>
    <w:rsid w:val="00E16618"/>
    <w:rsid w:val="00E22343"/>
    <w:rsid w:val="00E33523"/>
    <w:rsid w:val="00E36EA8"/>
    <w:rsid w:val="00E43195"/>
    <w:rsid w:val="00E434B9"/>
    <w:rsid w:val="00E624C2"/>
    <w:rsid w:val="00E63A52"/>
    <w:rsid w:val="00E92490"/>
    <w:rsid w:val="00E96FD9"/>
    <w:rsid w:val="00EA6A98"/>
    <w:rsid w:val="00EB659E"/>
    <w:rsid w:val="00EC6FF8"/>
    <w:rsid w:val="00EE3D0E"/>
    <w:rsid w:val="00F15733"/>
    <w:rsid w:val="00F36C22"/>
    <w:rsid w:val="00F6593E"/>
    <w:rsid w:val="00F832B5"/>
    <w:rsid w:val="00F84896"/>
    <w:rsid w:val="00F90942"/>
    <w:rsid w:val="00F948E4"/>
    <w:rsid w:val="00FA214D"/>
    <w:rsid w:val="00FA372C"/>
    <w:rsid w:val="00FB25C0"/>
    <w:rsid w:val="00FC1D6B"/>
    <w:rsid w:val="00FD40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B16682"/>
  <w15:chartTrackingRefBased/>
  <w15:docId w15:val="{ABF77399-9F05-469C-B85D-668EDF38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DDF"/>
    <w:pPr>
      <w:spacing w:after="15" w:line="247" w:lineRule="auto"/>
      <w:ind w:left="10" w:hanging="9"/>
    </w:pPr>
    <w:rPr>
      <w:rFonts w:ascii="Times New Roman" w:eastAsia="Times New Roman" w:hAnsi="Times New Roman" w:cs="Times New Roman"/>
      <w:color w:val="000000"/>
      <w:lang w:eastAsia="es-ES"/>
    </w:rPr>
  </w:style>
  <w:style w:type="paragraph" w:styleId="Heading1">
    <w:name w:val="heading 1"/>
    <w:next w:val="Normal"/>
    <w:link w:val="Heading1Char"/>
    <w:uiPriority w:val="9"/>
    <w:unhideWhenUsed/>
    <w:qFormat/>
    <w:rsid w:val="00A77DDF"/>
    <w:pPr>
      <w:keepNext/>
      <w:keepLines/>
      <w:spacing w:after="11" w:line="251" w:lineRule="auto"/>
      <w:ind w:left="10" w:right="3846" w:hanging="10"/>
      <w:outlineLvl w:val="0"/>
    </w:pPr>
    <w:rPr>
      <w:rFonts w:ascii="Times New Roman" w:eastAsia="Times New Roman" w:hAnsi="Times New Roman" w:cs="Times New Roman"/>
      <w:b/>
      <w:color w:val="000000"/>
      <w:lang w:eastAsia="es-ES"/>
    </w:rPr>
  </w:style>
  <w:style w:type="paragraph" w:styleId="Heading2">
    <w:name w:val="heading 2"/>
    <w:next w:val="Normal"/>
    <w:link w:val="Heading2Char"/>
    <w:uiPriority w:val="9"/>
    <w:unhideWhenUsed/>
    <w:qFormat/>
    <w:rsid w:val="00A77DDF"/>
    <w:pPr>
      <w:keepNext/>
      <w:keepLines/>
      <w:spacing w:after="11" w:line="251" w:lineRule="auto"/>
      <w:ind w:left="10" w:right="3846" w:hanging="10"/>
      <w:outlineLvl w:val="1"/>
    </w:pPr>
    <w:rPr>
      <w:rFonts w:ascii="Times New Roman" w:eastAsia="Times New Roman" w:hAnsi="Times New Roman" w:cs="Times New Roman"/>
      <w:b/>
      <w:color w:val="000000"/>
      <w:lang w:eastAsia="es-ES"/>
    </w:rPr>
  </w:style>
  <w:style w:type="paragraph" w:styleId="Heading3">
    <w:name w:val="heading 3"/>
    <w:next w:val="Normal"/>
    <w:link w:val="Heading3Char"/>
    <w:uiPriority w:val="9"/>
    <w:unhideWhenUsed/>
    <w:qFormat/>
    <w:rsid w:val="00A77DDF"/>
    <w:pPr>
      <w:keepNext/>
      <w:keepLines/>
      <w:spacing w:after="11" w:line="251" w:lineRule="auto"/>
      <w:ind w:left="10" w:right="3846" w:hanging="10"/>
      <w:outlineLvl w:val="2"/>
    </w:pPr>
    <w:rPr>
      <w:rFonts w:ascii="Times New Roman" w:eastAsia="Times New Roman" w:hAnsi="Times New Roman" w:cs="Times New Roman"/>
      <w:b/>
      <w:color w:val="000000"/>
      <w:lang w:eastAsia="es-ES"/>
    </w:rPr>
  </w:style>
  <w:style w:type="paragraph" w:styleId="Heading4">
    <w:name w:val="heading 4"/>
    <w:next w:val="Normal"/>
    <w:link w:val="Heading4Char"/>
    <w:uiPriority w:val="9"/>
    <w:unhideWhenUsed/>
    <w:qFormat/>
    <w:rsid w:val="00A77DDF"/>
    <w:pPr>
      <w:keepNext/>
      <w:keepLines/>
      <w:spacing w:after="11" w:line="251" w:lineRule="auto"/>
      <w:ind w:left="10" w:right="3846" w:hanging="10"/>
      <w:outlineLvl w:val="3"/>
    </w:pPr>
    <w:rPr>
      <w:rFonts w:ascii="Times New Roman" w:eastAsia="Times New Roman" w:hAnsi="Times New Roman" w:cs="Times New Roman"/>
      <w:b/>
      <w:color w:val="00000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DDF"/>
    <w:rPr>
      <w:rFonts w:ascii="Times New Roman" w:eastAsia="Times New Roman" w:hAnsi="Times New Roman" w:cs="Times New Roman"/>
      <w:b/>
      <w:color w:val="000000"/>
      <w:lang w:eastAsia="es-ES"/>
    </w:rPr>
  </w:style>
  <w:style w:type="character" w:customStyle="1" w:styleId="Heading2Char">
    <w:name w:val="Heading 2 Char"/>
    <w:basedOn w:val="DefaultParagraphFont"/>
    <w:link w:val="Heading2"/>
    <w:uiPriority w:val="9"/>
    <w:rsid w:val="00A77DDF"/>
    <w:rPr>
      <w:rFonts w:ascii="Times New Roman" w:eastAsia="Times New Roman" w:hAnsi="Times New Roman" w:cs="Times New Roman"/>
      <w:b/>
      <w:color w:val="000000"/>
      <w:lang w:eastAsia="es-ES"/>
    </w:rPr>
  </w:style>
  <w:style w:type="character" w:customStyle="1" w:styleId="Heading3Char">
    <w:name w:val="Heading 3 Char"/>
    <w:basedOn w:val="DefaultParagraphFont"/>
    <w:link w:val="Heading3"/>
    <w:uiPriority w:val="9"/>
    <w:rsid w:val="00A77DDF"/>
    <w:rPr>
      <w:rFonts w:ascii="Times New Roman" w:eastAsia="Times New Roman" w:hAnsi="Times New Roman" w:cs="Times New Roman"/>
      <w:b/>
      <w:color w:val="000000"/>
      <w:lang w:eastAsia="es-ES"/>
    </w:rPr>
  </w:style>
  <w:style w:type="character" w:customStyle="1" w:styleId="Heading4Char">
    <w:name w:val="Heading 4 Char"/>
    <w:basedOn w:val="DefaultParagraphFont"/>
    <w:link w:val="Heading4"/>
    <w:uiPriority w:val="9"/>
    <w:rsid w:val="00A77DDF"/>
    <w:rPr>
      <w:rFonts w:ascii="Times New Roman" w:eastAsia="Times New Roman" w:hAnsi="Times New Roman" w:cs="Times New Roman"/>
      <w:b/>
      <w:color w:val="000000"/>
      <w:lang w:eastAsia="es-ES"/>
    </w:rPr>
  </w:style>
  <w:style w:type="table" w:customStyle="1" w:styleId="TableGrid">
    <w:name w:val="TableGrid"/>
    <w:rsid w:val="00A77DDF"/>
    <w:pPr>
      <w:spacing w:after="0" w:line="240" w:lineRule="auto"/>
    </w:pPr>
    <w:rPr>
      <w:rFonts w:eastAsiaTheme="minorEastAsia"/>
      <w:lang w:eastAsia="es-ES"/>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C1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D6B"/>
    <w:rPr>
      <w:rFonts w:ascii="Segoe UI" w:eastAsia="Times New Roman" w:hAnsi="Segoe UI" w:cs="Segoe UI"/>
      <w:color w:val="000000"/>
      <w:sz w:val="18"/>
      <w:szCs w:val="18"/>
      <w:lang w:eastAsia="es-ES"/>
    </w:rPr>
  </w:style>
  <w:style w:type="character" w:styleId="CommentReference">
    <w:name w:val="annotation reference"/>
    <w:basedOn w:val="DefaultParagraphFont"/>
    <w:uiPriority w:val="99"/>
    <w:semiHidden/>
    <w:unhideWhenUsed/>
    <w:rsid w:val="00F36C22"/>
    <w:rPr>
      <w:sz w:val="16"/>
      <w:szCs w:val="16"/>
    </w:rPr>
  </w:style>
  <w:style w:type="paragraph" w:styleId="CommentText">
    <w:name w:val="annotation text"/>
    <w:basedOn w:val="Normal"/>
    <w:link w:val="CommentTextChar"/>
    <w:uiPriority w:val="99"/>
    <w:semiHidden/>
    <w:unhideWhenUsed/>
    <w:rsid w:val="00F36C22"/>
    <w:pPr>
      <w:spacing w:line="240" w:lineRule="auto"/>
    </w:pPr>
    <w:rPr>
      <w:sz w:val="20"/>
      <w:szCs w:val="20"/>
    </w:rPr>
  </w:style>
  <w:style w:type="character" w:customStyle="1" w:styleId="CommentTextChar">
    <w:name w:val="Comment Text Char"/>
    <w:basedOn w:val="DefaultParagraphFont"/>
    <w:link w:val="CommentText"/>
    <w:uiPriority w:val="99"/>
    <w:semiHidden/>
    <w:rsid w:val="00F36C22"/>
    <w:rPr>
      <w:rFonts w:ascii="Times New Roman" w:eastAsia="Times New Roman" w:hAnsi="Times New Roman" w:cs="Times New Roman"/>
      <w:color w:val="000000"/>
      <w:sz w:val="20"/>
      <w:szCs w:val="20"/>
      <w:lang w:eastAsia="es-ES"/>
    </w:rPr>
  </w:style>
  <w:style w:type="character" w:customStyle="1" w:styleId="tlid-translation">
    <w:name w:val="tlid-translation"/>
    <w:basedOn w:val="DefaultParagraphFont"/>
    <w:rsid w:val="009C6116"/>
  </w:style>
  <w:style w:type="paragraph" w:styleId="CommentSubject">
    <w:name w:val="annotation subject"/>
    <w:basedOn w:val="CommentText"/>
    <w:next w:val="CommentText"/>
    <w:link w:val="CommentSubjectChar"/>
    <w:uiPriority w:val="99"/>
    <w:semiHidden/>
    <w:unhideWhenUsed/>
    <w:rsid w:val="00920786"/>
    <w:rPr>
      <w:b/>
      <w:bCs/>
    </w:rPr>
  </w:style>
  <w:style w:type="character" w:customStyle="1" w:styleId="CommentSubjectChar">
    <w:name w:val="Comment Subject Char"/>
    <w:basedOn w:val="CommentTextChar"/>
    <w:link w:val="CommentSubject"/>
    <w:uiPriority w:val="99"/>
    <w:semiHidden/>
    <w:rsid w:val="00920786"/>
    <w:rPr>
      <w:rFonts w:ascii="Times New Roman" w:eastAsia="Times New Roman" w:hAnsi="Times New Roman" w:cs="Times New Roman"/>
      <w:b/>
      <w:bCs/>
      <w:color w:val="000000"/>
      <w:sz w:val="20"/>
      <w:szCs w:val="20"/>
      <w:lang w:eastAsia="es-ES"/>
    </w:rPr>
  </w:style>
  <w:style w:type="table" w:styleId="TableGrid0">
    <w:name w:val="Table Grid"/>
    <w:basedOn w:val="TableNormal"/>
    <w:uiPriority w:val="39"/>
    <w:rsid w:val="00D40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31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3195"/>
    <w:rPr>
      <w:rFonts w:ascii="Times New Roman" w:eastAsia="Times New Roman" w:hAnsi="Times New Roman" w:cs="Times New Roman"/>
      <w:color w:val="000000"/>
      <w:lang w:eastAsia="es-ES"/>
    </w:rPr>
  </w:style>
  <w:style w:type="paragraph" w:styleId="Footer">
    <w:name w:val="footer"/>
    <w:basedOn w:val="Normal"/>
    <w:link w:val="FooterChar"/>
    <w:uiPriority w:val="99"/>
    <w:unhideWhenUsed/>
    <w:rsid w:val="00E431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3195"/>
    <w:rPr>
      <w:rFonts w:ascii="Times New Roman" w:eastAsia="Times New Roman" w:hAnsi="Times New Roman" w:cs="Times New Roman"/>
      <w:color w:val="00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600428">
      <w:bodyDiv w:val="1"/>
      <w:marLeft w:val="0"/>
      <w:marRight w:val="0"/>
      <w:marTop w:val="0"/>
      <w:marBottom w:val="0"/>
      <w:divBdr>
        <w:top w:val="none" w:sz="0" w:space="0" w:color="auto"/>
        <w:left w:val="none" w:sz="0" w:space="0" w:color="auto"/>
        <w:bottom w:val="none" w:sz="0" w:space="0" w:color="auto"/>
        <w:right w:val="none" w:sz="0" w:space="0" w:color="auto"/>
      </w:divBdr>
    </w:div>
    <w:div w:id="944578481">
      <w:bodyDiv w:val="1"/>
      <w:marLeft w:val="0"/>
      <w:marRight w:val="0"/>
      <w:marTop w:val="0"/>
      <w:marBottom w:val="0"/>
      <w:divBdr>
        <w:top w:val="none" w:sz="0" w:space="0" w:color="auto"/>
        <w:left w:val="none" w:sz="0" w:space="0" w:color="auto"/>
        <w:bottom w:val="none" w:sz="0" w:space="0" w:color="auto"/>
        <w:right w:val="none" w:sz="0" w:space="0" w:color="auto"/>
      </w:divBdr>
    </w:div>
    <w:div w:id="163787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zva.gov.lv/"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7C2FE739378541961EC795799DE279" ma:contentTypeVersion="9" ma:contentTypeDescription="Create a new document." ma:contentTypeScope="" ma:versionID="444e1c306406dff310992f636375eeaa">
  <xsd:schema xmlns:xsd="http://www.w3.org/2001/XMLSchema" xmlns:xs="http://www.w3.org/2001/XMLSchema" xmlns:p="http://schemas.microsoft.com/office/2006/metadata/properties" xmlns:ns3="dc37d5f4-79a5-4bb1-a3b6-8b139024d8cd" targetNamespace="http://schemas.microsoft.com/office/2006/metadata/properties" ma:root="true" ma:fieldsID="59b46d9843851c7655b10676d276b660" ns3:_="">
    <xsd:import namespace="dc37d5f4-79a5-4bb1-a3b6-8b139024d8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37d5f4-79a5-4bb1-a3b6-8b139024d8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1DFE00-786B-467A-8EDF-44D3A99DE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37d5f4-79a5-4bb1-a3b6-8b139024d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9254EF-5BFF-4A03-B342-040BBECF65DB}">
  <ds:schemaRefs>
    <ds:schemaRef ds:uri="http://schemas.openxmlformats.org/officeDocument/2006/bibliography"/>
  </ds:schemaRefs>
</ds:datastoreItem>
</file>

<file path=customXml/itemProps3.xml><?xml version="1.0" encoding="utf-8"?>
<ds:datastoreItem xmlns:ds="http://schemas.openxmlformats.org/officeDocument/2006/customXml" ds:itemID="{93470B64-E459-403E-B05F-3E06CB7F7D58}">
  <ds:schemaRefs>
    <ds:schemaRef ds:uri="http://schemas.microsoft.com/sharepoint/v3/contenttype/forms"/>
  </ds:schemaRefs>
</ds:datastoreItem>
</file>

<file path=customXml/itemProps4.xml><?xml version="1.0" encoding="utf-8"?>
<ds:datastoreItem xmlns:ds="http://schemas.openxmlformats.org/officeDocument/2006/customXml" ds:itemID="{AC6AF0F7-04AD-4DEC-A7F5-88ADBF4AB0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33664</Words>
  <Characters>19190</Characters>
  <Application>Microsoft Office Word</Application>
  <DocSecurity>0</DocSecurity>
  <Lines>159</Lines>
  <Paragraphs>105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Laboratorios Liconsa S.A.</Company>
  <LinksUpToDate>false</LinksUpToDate>
  <CharactersWithSpaces>52749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Muñoz</dc:creator>
  <cp:keywords/>
  <dc:description/>
  <cp:lastModifiedBy>Skaidrīte Lapsenīte</cp:lastModifiedBy>
  <cp:revision>12</cp:revision>
  <dcterms:created xsi:type="dcterms:W3CDTF">2022-03-14T15:03:00Z</dcterms:created>
  <dcterms:modified xsi:type="dcterms:W3CDTF">2022-08-10T10:40:00Z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0x010100017C2FE739378541961EC795799DE279</vt:lpwstr>
  </property>
  <property fmtid="{D5CDD505-2E9C-101B-9397-08002B2CF9AE}" pid="3" name="MSIP_Label_c63a0701-319b-41bf-8431-58956e491e60_Enabled">
    <vt:lpwstr>true</vt:lpwstr>
  </property>
  <property fmtid="{D5CDD505-2E9C-101B-9397-08002B2CF9AE}" pid="4" name="MSIP_Label_c63a0701-319b-41bf-8431-58956e491e60_SetDate">
    <vt:lpwstr>2022-03-14T15:36:37Z</vt:lpwstr>
  </property>
  <property fmtid="{D5CDD505-2E9C-101B-9397-08002B2CF9AE}" pid="5" name="MSIP_Label_c63a0701-319b-41bf-8431-58956e491e60_Method">
    <vt:lpwstr>Privileged</vt:lpwstr>
  </property>
  <property fmtid="{D5CDD505-2E9C-101B-9397-08002B2CF9AE}" pid="6" name="MSIP_Label_c63a0701-319b-41bf-8431-58956e491e60_Name">
    <vt:lpwstr>L001</vt:lpwstr>
  </property>
  <property fmtid="{D5CDD505-2E9C-101B-9397-08002B2CF9AE}" pid="7" name="MSIP_Label_c63a0701-319b-41bf-8431-58956e491e60_SiteId">
    <vt:lpwstr>2c0d789f-2311-4d29-83c5-395a89052a25</vt:lpwstr>
  </property>
  <property fmtid="{D5CDD505-2E9C-101B-9397-08002B2CF9AE}" pid="8" name="MSIP_Label_c63a0701-319b-41bf-8431-58956e491e60_ActionId">
    <vt:lpwstr>0830c70e-2998-40da-b5c3-afe70a8b3ad9</vt:lpwstr>
  </property>
  <property fmtid="{D5CDD505-2E9C-101B-9397-08002B2CF9AE}" pid="9" name="MSIP_Label_c63a0701-319b-41bf-8431-58956e491e60_ContentBits">
    <vt:lpwstr>0</vt:lpwstr>
  </property>
</Properties>
</file>