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9585" w14:textId="77777777" w:rsidR="00CD10AA" w:rsidRPr="004E461A" w:rsidRDefault="00CD10AA" w:rsidP="009C5A02">
      <w:pPr>
        <w:spacing w:line="240" w:lineRule="auto"/>
        <w:jc w:val="center"/>
        <w:rPr>
          <w:color w:val="000000"/>
          <w:szCs w:val="22"/>
        </w:rPr>
      </w:pPr>
      <w:r w:rsidRPr="004E461A">
        <w:rPr>
          <w:b/>
          <w:color w:val="000000"/>
          <w:szCs w:val="22"/>
        </w:rPr>
        <w:t>ZĀĻU APRAKSTS</w:t>
      </w:r>
    </w:p>
    <w:p w14:paraId="3623D4B3" w14:textId="77777777" w:rsidR="00FD187E" w:rsidRPr="004E461A" w:rsidRDefault="00FD187E" w:rsidP="009C5A02">
      <w:pPr>
        <w:spacing w:line="240" w:lineRule="auto"/>
        <w:jc w:val="both"/>
        <w:rPr>
          <w:color w:val="000000"/>
          <w:szCs w:val="22"/>
        </w:rPr>
      </w:pPr>
    </w:p>
    <w:p w14:paraId="17A3B883" w14:textId="77777777" w:rsidR="008871B0" w:rsidRPr="004E461A" w:rsidRDefault="008871B0" w:rsidP="009C5A02">
      <w:pPr>
        <w:spacing w:line="240" w:lineRule="auto"/>
        <w:jc w:val="both"/>
        <w:rPr>
          <w:color w:val="000000"/>
          <w:szCs w:val="22"/>
        </w:rPr>
      </w:pPr>
    </w:p>
    <w:p w14:paraId="7EEA3920" w14:textId="77777777" w:rsidR="00CD10AA" w:rsidRPr="004E461A" w:rsidRDefault="00CD10AA" w:rsidP="009C5A02">
      <w:pPr>
        <w:spacing w:line="240" w:lineRule="auto"/>
        <w:jc w:val="both"/>
        <w:rPr>
          <w:b/>
          <w:color w:val="000000"/>
          <w:szCs w:val="22"/>
        </w:rPr>
      </w:pPr>
      <w:r w:rsidRPr="004E461A">
        <w:rPr>
          <w:b/>
          <w:color w:val="000000"/>
          <w:szCs w:val="22"/>
        </w:rPr>
        <w:t>1.</w:t>
      </w:r>
      <w:r w:rsidRPr="004E461A">
        <w:rPr>
          <w:b/>
          <w:color w:val="000000"/>
          <w:szCs w:val="22"/>
        </w:rPr>
        <w:tab/>
        <w:t>ZĀĻU NOSAUKUMS</w:t>
      </w:r>
    </w:p>
    <w:p w14:paraId="7A9E8206" w14:textId="77777777" w:rsidR="00CD10AA" w:rsidRPr="004E461A" w:rsidRDefault="00CD10AA" w:rsidP="009C5A02">
      <w:pPr>
        <w:spacing w:line="240" w:lineRule="auto"/>
        <w:jc w:val="both"/>
        <w:rPr>
          <w:color w:val="000000"/>
          <w:szCs w:val="22"/>
        </w:rPr>
      </w:pPr>
    </w:p>
    <w:p w14:paraId="2DEF14B2" w14:textId="77777777" w:rsidR="00C85F68" w:rsidRPr="004E461A" w:rsidRDefault="00C85F68" w:rsidP="009C5A02">
      <w:pPr>
        <w:pStyle w:val="BodyText"/>
        <w:spacing w:after="0" w:line="240" w:lineRule="auto"/>
        <w:rPr>
          <w:b/>
          <w:bCs/>
          <w:color w:val="000000"/>
          <w:szCs w:val="22"/>
          <w:lang w:val="lv-LV" w:eastAsia="en-GB"/>
        </w:rPr>
      </w:pPr>
      <w:proofErr w:type="spellStart"/>
      <w:r w:rsidRPr="004E461A">
        <w:rPr>
          <w:b/>
          <w:color w:val="000000"/>
          <w:szCs w:val="22"/>
          <w:lang w:val="lv-LV"/>
        </w:rPr>
        <w:t>Apredonav</w:t>
      </w:r>
      <w:proofErr w:type="spellEnd"/>
      <w:r w:rsidRPr="004E461A">
        <w:rPr>
          <w:b/>
          <w:color w:val="000000"/>
          <w:szCs w:val="22"/>
          <w:lang w:val="lv-LV"/>
        </w:rPr>
        <w:t xml:space="preserve"> 5 mg</w:t>
      </w:r>
      <w:r w:rsidRPr="004E461A">
        <w:rPr>
          <w:b/>
          <w:bCs/>
          <w:color w:val="000000"/>
          <w:szCs w:val="22"/>
          <w:lang w:val="lv-LV" w:eastAsia="en-GB"/>
        </w:rPr>
        <w:t xml:space="preserve"> </w:t>
      </w:r>
      <w:proofErr w:type="spellStart"/>
      <w:r w:rsidRPr="004E461A">
        <w:rPr>
          <w:b/>
          <w:bCs/>
          <w:color w:val="000000"/>
          <w:szCs w:val="22"/>
          <w:lang w:val="lv-LV" w:eastAsia="en-GB"/>
        </w:rPr>
        <w:t>apvalkotās</w:t>
      </w:r>
      <w:proofErr w:type="spellEnd"/>
      <w:r w:rsidRPr="004E461A">
        <w:rPr>
          <w:b/>
          <w:bCs/>
          <w:color w:val="000000"/>
          <w:szCs w:val="22"/>
          <w:lang w:val="lv-LV" w:eastAsia="en-GB"/>
        </w:rPr>
        <w:t xml:space="preserve"> tabletes</w:t>
      </w:r>
    </w:p>
    <w:p w14:paraId="47F9B586" w14:textId="77777777" w:rsidR="00C85F68" w:rsidRPr="004E461A" w:rsidRDefault="00C85F68" w:rsidP="009C5A02">
      <w:pPr>
        <w:pStyle w:val="BodyText"/>
        <w:spacing w:after="0" w:line="240" w:lineRule="auto"/>
        <w:rPr>
          <w:b/>
          <w:bCs/>
          <w:color w:val="000000"/>
          <w:szCs w:val="22"/>
          <w:lang w:val="lv-LV" w:eastAsia="en-GB"/>
        </w:rPr>
      </w:pPr>
      <w:proofErr w:type="spellStart"/>
      <w:r w:rsidRPr="004E461A">
        <w:rPr>
          <w:b/>
          <w:color w:val="000000"/>
          <w:szCs w:val="22"/>
          <w:lang w:val="lv-LV"/>
        </w:rPr>
        <w:t>Apredonav</w:t>
      </w:r>
      <w:proofErr w:type="spellEnd"/>
      <w:r w:rsidRPr="004E461A">
        <w:rPr>
          <w:b/>
          <w:color w:val="000000"/>
          <w:szCs w:val="22"/>
          <w:lang w:val="lv-LV"/>
        </w:rPr>
        <w:t xml:space="preserve"> 7,5 mg</w:t>
      </w:r>
      <w:r w:rsidRPr="004E461A">
        <w:rPr>
          <w:b/>
          <w:bCs/>
          <w:color w:val="000000"/>
          <w:szCs w:val="22"/>
          <w:lang w:val="lv-LV" w:eastAsia="en-GB"/>
        </w:rPr>
        <w:t xml:space="preserve"> </w:t>
      </w:r>
      <w:proofErr w:type="spellStart"/>
      <w:r w:rsidRPr="004E461A">
        <w:rPr>
          <w:b/>
          <w:bCs/>
          <w:color w:val="000000"/>
          <w:szCs w:val="22"/>
          <w:lang w:val="lv-LV" w:eastAsia="en-GB"/>
        </w:rPr>
        <w:t>apvalkotās</w:t>
      </w:r>
      <w:proofErr w:type="spellEnd"/>
      <w:r w:rsidRPr="004E461A">
        <w:rPr>
          <w:b/>
          <w:bCs/>
          <w:color w:val="000000"/>
          <w:szCs w:val="22"/>
          <w:lang w:val="lv-LV" w:eastAsia="en-GB"/>
        </w:rPr>
        <w:t xml:space="preserve"> tabletes</w:t>
      </w:r>
    </w:p>
    <w:p w14:paraId="51B5ACBF" w14:textId="77777777" w:rsidR="00CD10AA" w:rsidRPr="004E461A" w:rsidRDefault="00CD10AA" w:rsidP="009C5A02">
      <w:pPr>
        <w:spacing w:line="240" w:lineRule="auto"/>
        <w:jc w:val="both"/>
        <w:rPr>
          <w:color w:val="000000"/>
          <w:szCs w:val="22"/>
        </w:rPr>
      </w:pPr>
    </w:p>
    <w:p w14:paraId="41B0F7C6" w14:textId="77777777" w:rsidR="00C85F68" w:rsidRPr="004E461A" w:rsidRDefault="00C85F68" w:rsidP="009C5A02">
      <w:pPr>
        <w:spacing w:line="240" w:lineRule="auto"/>
        <w:jc w:val="both"/>
        <w:rPr>
          <w:color w:val="000000"/>
          <w:szCs w:val="22"/>
        </w:rPr>
      </w:pPr>
    </w:p>
    <w:p w14:paraId="3D1E3F58" w14:textId="77777777" w:rsidR="00CD10AA" w:rsidRPr="004E461A" w:rsidRDefault="00CD10AA" w:rsidP="009C5A02">
      <w:pPr>
        <w:spacing w:line="240" w:lineRule="auto"/>
        <w:jc w:val="both"/>
        <w:rPr>
          <w:b/>
          <w:color w:val="000000"/>
          <w:szCs w:val="22"/>
        </w:rPr>
      </w:pPr>
      <w:r w:rsidRPr="004E461A">
        <w:rPr>
          <w:b/>
          <w:color w:val="000000"/>
          <w:szCs w:val="22"/>
        </w:rPr>
        <w:t>2.</w:t>
      </w:r>
      <w:r w:rsidRPr="004E461A">
        <w:rPr>
          <w:b/>
          <w:color w:val="000000"/>
          <w:szCs w:val="22"/>
        </w:rPr>
        <w:tab/>
        <w:t>KVALITATĪVAIS UN KVANTITATĪVAIS SASTĀVS</w:t>
      </w:r>
    </w:p>
    <w:p w14:paraId="4C70F9B2" w14:textId="77777777" w:rsidR="00C85F68" w:rsidRPr="004E461A" w:rsidRDefault="00C85F68" w:rsidP="009C5A02">
      <w:pPr>
        <w:tabs>
          <w:tab w:val="clear" w:pos="567"/>
          <w:tab w:val="left" w:pos="709"/>
        </w:tabs>
        <w:spacing w:line="240" w:lineRule="auto"/>
        <w:jc w:val="both"/>
        <w:rPr>
          <w:color w:val="000000"/>
          <w:szCs w:val="22"/>
        </w:rPr>
      </w:pPr>
    </w:p>
    <w:p w14:paraId="2527FCA1" w14:textId="77777777" w:rsidR="00C85F68" w:rsidRPr="004E461A" w:rsidRDefault="00C85F68" w:rsidP="009C5A02">
      <w:pPr>
        <w:tabs>
          <w:tab w:val="clear" w:pos="567"/>
          <w:tab w:val="left" w:pos="709"/>
        </w:tabs>
        <w:spacing w:line="240" w:lineRule="auto"/>
        <w:jc w:val="both"/>
        <w:rPr>
          <w:bCs/>
          <w:color w:val="000000"/>
          <w:szCs w:val="22"/>
          <w:u w:val="single"/>
          <w:lang w:eastAsia="en-GB"/>
        </w:rPr>
      </w:pPr>
      <w:proofErr w:type="spellStart"/>
      <w:r w:rsidRPr="004E461A">
        <w:rPr>
          <w:color w:val="000000"/>
          <w:szCs w:val="22"/>
          <w:u w:val="single"/>
        </w:rPr>
        <w:t>Apredonav</w:t>
      </w:r>
      <w:proofErr w:type="spellEnd"/>
      <w:r w:rsidRPr="004E461A">
        <w:rPr>
          <w:color w:val="000000"/>
          <w:szCs w:val="22"/>
          <w:u w:val="single"/>
        </w:rPr>
        <w:t xml:space="preserve"> 5 mg</w:t>
      </w:r>
      <w:r w:rsidRPr="004E461A">
        <w:rPr>
          <w:bCs/>
          <w:color w:val="000000"/>
          <w:szCs w:val="22"/>
          <w:u w:val="single"/>
          <w:lang w:eastAsia="en-GB"/>
        </w:rPr>
        <w:t xml:space="preserve"> </w:t>
      </w:r>
      <w:proofErr w:type="spellStart"/>
      <w:r w:rsidRPr="004E461A">
        <w:rPr>
          <w:bCs/>
          <w:color w:val="000000"/>
          <w:szCs w:val="22"/>
          <w:u w:val="single"/>
          <w:lang w:eastAsia="en-GB"/>
        </w:rPr>
        <w:t>apvalkotās</w:t>
      </w:r>
      <w:proofErr w:type="spellEnd"/>
      <w:r w:rsidRPr="004E461A">
        <w:rPr>
          <w:bCs/>
          <w:color w:val="000000"/>
          <w:szCs w:val="22"/>
          <w:u w:val="single"/>
          <w:lang w:eastAsia="en-GB"/>
        </w:rPr>
        <w:t xml:space="preserve"> tabletes</w:t>
      </w:r>
    </w:p>
    <w:p w14:paraId="0A137399" w14:textId="77777777" w:rsidR="00C85F68" w:rsidRPr="004E461A" w:rsidRDefault="00C85F68" w:rsidP="009C5A02">
      <w:pPr>
        <w:tabs>
          <w:tab w:val="clear" w:pos="567"/>
          <w:tab w:val="left" w:pos="709"/>
        </w:tabs>
        <w:spacing w:line="240" w:lineRule="auto"/>
        <w:jc w:val="both"/>
        <w:rPr>
          <w:color w:val="000000"/>
          <w:szCs w:val="22"/>
        </w:rPr>
      </w:pPr>
      <w:r w:rsidRPr="004E461A">
        <w:rPr>
          <w:color w:val="000000"/>
          <w:szCs w:val="22"/>
        </w:rPr>
        <w:t xml:space="preserve">Katra apvalkotā tablete satur 5 mg </w:t>
      </w:r>
      <w:proofErr w:type="spellStart"/>
      <w:r w:rsidRPr="004E461A">
        <w:rPr>
          <w:color w:val="000000"/>
          <w:szCs w:val="22"/>
        </w:rPr>
        <w:t>ivabradīna</w:t>
      </w:r>
      <w:proofErr w:type="spellEnd"/>
      <w:r w:rsidRPr="004E461A">
        <w:rPr>
          <w:color w:val="000000"/>
          <w:szCs w:val="22"/>
        </w:rPr>
        <w:t xml:space="preserve"> (</w:t>
      </w:r>
      <w:proofErr w:type="spellStart"/>
      <w:r w:rsidRPr="004E461A">
        <w:rPr>
          <w:i/>
          <w:color w:val="000000"/>
          <w:szCs w:val="22"/>
        </w:rPr>
        <w:t>Ivabradinum</w:t>
      </w:r>
      <w:proofErr w:type="spellEnd"/>
      <w:r w:rsidRPr="004E461A">
        <w:rPr>
          <w:color w:val="000000"/>
          <w:szCs w:val="22"/>
        </w:rPr>
        <w:t xml:space="preserve">) (kas atbilst 5,390 mg </w:t>
      </w:r>
      <w:proofErr w:type="spellStart"/>
      <w:r w:rsidRPr="004E461A">
        <w:rPr>
          <w:color w:val="000000"/>
          <w:szCs w:val="22"/>
        </w:rPr>
        <w:t>ivabradīna</w:t>
      </w:r>
      <w:proofErr w:type="spellEnd"/>
      <w:r w:rsidRPr="004E461A">
        <w:rPr>
          <w:color w:val="000000"/>
          <w:szCs w:val="22"/>
        </w:rPr>
        <w:t xml:space="preserve"> </w:t>
      </w:r>
      <w:proofErr w:type="spellStart"/>
      <w:r w:rsidRPr="004E461A">
        <w:rPr>
          <w:color w:val="000000"/>
          <w:szCs w:val="22"/>
        </w:rPr>
        <w:t>hidrohlorīda</w:t>
      </w:r>
      <w:proofErr w:type="spellEnd"/>
      <w:r w:rsidRPr="004E461A">
        <w:rPr>
          <w:color w:val="000000"/>
          <w:szCs w:val="22"/>
        </w:rPr>
        <w:t>).</w:t>
      </w:r>
    </w:p>
    <w:p w14:paraId="27467685" w14:textId="77777777" w:rsidR="00C85F68" w:rsidRPr="004E461A" w:rsidRDefault="00C85F68" w:rsidP="009C5A02">
      <w:pPr>
        <w:pStyle w:val="EMEAEnBodyText"/>
        <w:autoSpaceDE w:val="0"/>
        <w:autoSpaceDN w:val="0"/>
        <w:adjustRightInd w:val="0"/>
        <w:spacing w:before="0" w:after="0"/>
        <w:rPr>
          <w:color w:val="000000"/>
          <w:szCs w:val="22"/>
          <w:lang w:val="lv-LV"/>
        </w:rPr>
      </w:pPr>
      <w:r w:rsidRPr="004E461A">
        <w:rPr>
          <w:color w:val="000000"/>
          <w:szCs w:val="22"/>
          <w:u w:val="single"/>
          <w:lang w:val="lv-LV"/>
        </w:rPr>
        <w:t>Palīgviela ar zināmu iedarbību</w:t>
      </w:r>
      <w:r w:rsidRPr="004E461A">
        <w:rPr>
          <w:color w:val="000000"/>
          <w:szCs w:val="22"/>
          <w:lang w:val="lv-LV"/>
        </w:rPr>
        <w:t>: bezūdens laktoze – 62,61 mg.</w:t>
      </w:r>
    </w:p>
    <w:p w14:paraId="553DA029" w14:textId="77777777" w:rsidR="00C85F68" w:rsidRPr="004E461A" w:rsidRDefault="00C85F68" w:rsidP="009C5A02">
      <w:pPr>
        <w:tabs>
          <w:tab w:val="clear" w:pos="567"/>
          <w:tab w:val="left" w:pos="709"/>
        </w:tabs>
        <w:spacing w:line="240" w:lineRule="auto"/>
        <w:jc w:val="both"/>
        <w:rPr>
          <w:color w:val="000000"/>
          <w:szCs w:val="22"/>
        </w:rPr>
      </w:pPr>
    </w:p>
    <w:p w14:paraId="3836288D" w14:textId="77777777" w:rsidR="00C85F68" w:rsidRPr="004E461A" w:rsidRDefault="00C85F68" w:rsidP="009C5A02">
      <w:pPr>
        <w:tabs>
          <w:tab w:val="clear" w:pos="567"/>
          <w:tab w:val="left" w:pos="709"/>
        </w:tabs>
        <w:spacing w:line="240" w:lineRule="auto"/>
        <w:jc w:val="both"/>
        <w:rPr>
          <w:bCs/>
          <w:color w:val="000000"/>
          <w:szCs w:val="22"/>
          <w:u w:val="single"/>
          <w:lang w:eastAsia="en-GB"/>
        </w:rPr>
      </w:pPr>
      <w:proofErr w:type="spellStart"/>
      <w:r w:rsidRPr="004E461A">
        <w:rPr>
          <w:color w:val="000000"/>
          <w:szCs w:val="22"/>
          <w:u w:val="single"/>
        </w:rPr>
        <w:t>Apredonav</w:t>
      </w:r>
      <w:proofErr w:type="spellEnd"/>
      <w:r w:rsidRPr="004E461A">
        <w:rPr>
          <w:color w:val="000000"/>
          <w:szCs w:val="22"/>
          <w:u w:val="single"/>
        </w:rPr>
        <w:t xml:space="preserve"> 7,5 mg</w:t>
      </w:r>
      <w:r w:rsidRPr="004E461A">
        <w:rPr>
          <w:bCs/>
          <w:color w:val="000000"/>
          <w:szCs w:val="22"/>
          <w:u w:val="single"/>
          <w:lang w:eastAsia="en-GB"/>
        </w:rPr>
        <w:t xml:space="preserve"> </w:t>
      </w:r>
      <w:proofErr w:type="spellStart"/>
      <w:r w:rsidRPr="004E461A">
        <w:rPr>
          <w:bCs/>
          <w:color w:val="000000"/>
          <w:szCs w:val="22"/>
          <w:u w:val="single"/>
          <w:lang w:eastAsia="en-GB"/>
        </w:rPr>
        <w:t>apvalkotās</w:t>
      </w:r>
      <w:proofErr w:type="spellEnd"/>
      <w:r w:rsidRPr="004E461A">
        <w:rPr>
          <w:bCs/>
          <w:color w:val="000000"/>
          <w:szCs w:val="22"/>
          <w:u w:val="single"/>
          <w:lang w:eastAsia="en-GB"/>
        </w:rPr>
        <w:t xml:space="preserve"> tabletes</w:t>
      </w:r>
    </w:p>
    <w:p w14:paraId="10BE7308" w14:textId="77777777" w:rsidR="00C85F68" w:rsidRPr="004E461A" w:rsidRDefault="00C85F68" w:rsidP="009C5A02">
      <w:pPr>
        <w:tabs>
          <w:tab w:val="clear" w:pos="567"/>
          <w:tab w:val="left" w:pos="709"/>
        </w:tabs>
        <w:spacing w:line="240" w:lineRule="auto"/>
        <w:jc w:val="both"/>
        <w:rPr>
          <w:color w:val="000000"/>
          <w:szCs w:val="22"/>
        </w:rPr>
      </w:pPr>
      <w:r w:rsidRPr="004E461A">
        <w:rPr>
          <w:color w:val="000000"/>
          <w:szCs w:val="22"/>
        </w:rPr>
        <w:t xml:space="preserve">Katra apvalkotā tablete satur 7,5 mg </w:t>
      </w:r>
      <w:proofErr w:type="spellStart"/>
      <w:r w:rsidRPr="004E461A">
        <w:rPr>
          <w:color w:val="000000"/>
          <w:szCs w:val="22"/>
        </w:rPr>
        <w:t>ivabradīna</w:t>
      </w:r>
      <w:proofErr w:type="spellEnd"/>
      <w:r w:rsidRPr="004E461A">
        <w:rPr>
          <w:color w:val="000000"/>
          <w:szCs w:val="22"/>
        </w:rPr>
        <w:t xml:space="preserve"> (</w:t>
      </w:r>
      <w:proofErr w:type="spellStart"/>
      <w:r w:rsidRPr="004E461A">
        <w:rPr>
          <w:i/>
          <w:color w:val="000000"/>
          <w:szCs w:val="22"/>
        </w:rPr>
        <w:t>Ivabradinum</w:t>
      </w:r>
      <w:proofErr w:type="spellEnd"/>
      <w:r w:rsidRPr="004E461A">
        <w:rPr>
          <w:color w:val="000000"/>
          <w:szCs w:val="22"/>
        </w:rPr>
        <w:t xml:space="preserve">) (kas atbilst 8,085 mg </w:t>
      </w:r>
      <w:proofErr w:type="spellStart"/>
      <w:r w:rsidRPr="004E461A">
        <w:rPr>
          <w:color w:val="000000"/>
          <w:szCs w:val="22"/>
        </w:rPr>
        <w:t>ivabradīna</w:t>
      </w:r>
      <w:proofErr w:type="spellEnd"/>
      <w:r w:rsidRPr="004E461A">
        <w:rPr>
          <w:color w:val="000000"/>
          <w:szCs w:val="22"/>
        </w:rPr>
        <w:t xml:space="preserve"> </w:t>
      </w:r>
      <w:proofErr w:type="spellStart"/>
      <w:r w:rsidRPr="004E461A">
        <w:rPr>
          <w:color w:val="000000"/>
          <w:szCs w:val="22"/>
        </w:rPr>
        <w:t>hidrohlorīda</w:t>
      </w:r>
      <w:proofErr w:type="spellEnd"/>
      <w:r w:rsidRPr="004E461A">
        <w:rPr>
          <w:color w:val="000000"/>
          <w:szCs w:val="22"/>
        </w:rPr>
        <w:t>).</w:t>
      </w:r>
    </w:p>
    <w:p w14:paraId="754FAA28" w14:textId="77777777" w:rsidR="00C85F68" w:rsidRPr="004E461A" w:rsidRDefault="00C85F68" w:rsidP="009C5A02">
      <w:pPr>
        <w:pStyle w:val="EMEAEnBodyText"/>
        <w:autoSpaceDE w:val="0"/>
        <w:autoSpaceDN w:val="0"/>
        <w:adjustRightInd w:val="0"/>
        <w:spacing w:before="0" w:after="0"/>
        <w:rPr>
          <w:color w:val="000000"/>
          <w:szCs w:val="22"/>
          <w:lang w:val="lv-LV"/>
        </w:rPr>
      </w:pPr>
      <w:r w:rsidRPr="004E461A">
        <w:rPr>
          <w:color w:val="000000"/>
          <w:szCs w:val="22"/>
          <w:u w:val="single"/>
          <w:lang w:val="lv-LV"/>
        </w:rPr>
        <w:t>Palīgviela ar zināmu iedarbību</w:t>
      </w:r>
      <w:r w:rsidRPr="004E461A">
        <w:rPr>
          <w:color w:val="000000"/>
          <w:szCs w:val="22"/>
          <w:lang w:val="lv-LV"/>
        </w:rPr>
        <w:t>: bezūdens laktoze – 93,915 mg.</w:t>
      </w:r>
    </w:p>
    <w:p w14:paraId="0C3FBFD7" w14:textId="77777777" w:rsidR="00FD187E" w:rsidRPr="004E461A" w:rsidRDefault="00FD187E" w:rsidP="009C5A02">
      <w:pPr>
        <w:pStyle w:val="EMEAEnBodyText"/>
        <w:autoSpaceDE w:val="0"/>
        <w:autoSpaceDN w:val="0"/>
        <w:adjustRightInd w:val="0"/>
        <w:spacing w:before="0" w:after="0"/>
        <w:rPr>
          <w:color w:val="000000"/>
          <w:szCs w:val="22"/>
          <w:u w:val="single"/>
          <w:lang w:val="lv-LV"/>
        </w:rPr>
      </w:pPr>
    </w:p>
    <w:p w14:paraId="04AF3F99" w14:textId="77777777" w:rsidR="00CD10AA" w:rsidRPr="004E461A" w:rsidRDefault="00CD10AA" w:rsidP="009C5A02">
      <w:pPr>
        <w:spacing w:line="240" w:lineRule="auto"/>
        <w:jc w:val="both"/>
        <w:rPr>
          <w:color w:val="000000"/>
          <w:szCs w:val="22"/>
        </w:rPr>
      </w:pPr>
      <w:r w:rsidRPr="004E461A">
        <w:rPr>
          <w:color w:val="000000"/>
          <w:szCs w:val="22"/>
        </w:rPr>
        <w:t xml:space="preserve">Pilnu palīgvielu sarakstu skatīt </w:t>
      </w:r>
      <w:r w:rsidR="0020587A" w:rsidRPr="004E461A">
        <w:rPr>
          <w:color w:val="000000"/>
          <w:szCs w:val="22"/>
        </w:rPr>
        <w:t>6.1</w:t>
      </w:r>
      <w:r w:rsidR="00F41868" w:rsidRPr="004E461A">
        <w:rPr>
          <w:color w:val="000000"/>
          <w:szCs w:val="22"/>
        </w:rPr>
        <w:t>.</w:t>
      </w:r>
      <w:r w:rsidR="0020587A" w:rsidRPr="004E461A">
        <w:rPr>
          <w:color w:val="000000"/>
          <w:szCs w:val="22"/>
        </w:rPr>
        <w:t xml:space="preserve"> </w:t>
      </w:r>
      <w:r w:rsidRPr="004E461A">
        <w:rPr>
          <w:color w:val="000000"/>
          <w:szCs w:val="22"/>
        </w:rPr>
        <w:t>apakšpunktā</w:t>
      </w:r>
      <w:r w:rsidR="0020587A" w:rsidRPr="004E461A">
        <w:rPr>
          <w:color w:val="000000"/>
          <w:szCs w:val="22"/>
        </w:rPr>
        <w:t>.</w:t>
      </w:r>
    </w:p>
    <w:p w14:paraId="522795AA" w14:textId="77777777" w:rsidR="00CD10AA" w:rsidRPr="004E461A" w:rsidRDefault="00CD10AA" w:rsidP="009C5A02">
      <w:pPr>
        <w:spacing w:line="240" w:lineRule="auto"/>
        <w:jc w:val="both"/>
        <w:rPr>
          <w:color w:val="000000"/>
          <w:szCs w:val="22"/>
        </w:rPr>
      </w:pPr>
    </w:p>
    <w:p w14:paraId="53A586BB" w14:textId="77777777" w:rsidR="00C85F68" w:rsidRPr="004E461A" w:rsidRDefault="00C85F68" w:rsidP="009C5A02">
      <w:pPr>
        <w:spacing w:line="240" w:lineRule="auto"/>
        <w:jc w:val="both"/>
        <w:rPr>
          <w:color w:val="000000"/>
          <w:szCs w:val="22"/>
        </w:rPr>
      </w:pPr>
    </w:p>
    <w:p w14:paraId="102E83F6" w14:textId="77777777" w:rsidR="00CD10AA" w:rsidRPr="004E461A" w:rsidRDefault="00CD10AA" w:rsidP="009C5A02">
      <w:pPr>
        <w:spacing w:line="240" w:lineRule="auto"/>
        <w:jc w:val="both"/>
        <w:rPr>
          <w:b/>
          <w:caps/>
          <w:color w:val="000000"/>
          <w:szCs w:val="22"/>
        </w:rPr>
      </w:pPr>
      <w:r w:rsidRPr="004E461A">
        <w:rPr>
          <w:b/>
          <w:color w:val="000000"/>
          <w:szCs w:val="22"/>
        </w:rPr>
        <w:t>3.</w:t>
      </w:r>
      <w:r w:rsidRPr="004E461A">
        <w:rPr>
          <w:b/>
          <w:color w:val="000000"/>
          <w:szCs w:val="22"/>
        </w:rPr>
        <w:tab/>
        <w:t>ZĀĻU FORMA</w:t>
      </w:r>
    </w:p>
    <w:p w14:paraId="6389278B" w14:textId="77777777" w:rsidR="00CD10AA" w:rsidRPr="004E461A" w:rsidRDefault="00CD10AA" w:rsidP="009C5A02">
      <w:pPr>
        <w:spacing w:line="240" w:lineRule="auto"/>
        <w:jc w:val="both"/>
        <w:rPr>
          <w:color w:val="000000"/>
          <w:szCs w:val="22"/>
        </w:rPr>
      </w:pPr>
    </w:p>
    <w:p w14:paraId="1FBEDBA9" w14:textId="77777777" w:rsidR="00C85F68" w:rsidRPr="004E461A" w:rsidRDefault="00C85F68" w:rsidP="009C5A02">
      <w:pPr>
        <w:spacing w:line="240" w:lineRule="auto"/>
        <w:jc w:val="both"/>
        <w:rPr>
          <w:color w:val="000000"/>
          <w:szCs w:val="22"/>
        </w:rPr>
      </w:pPr>
      <w:r w:rsidRPr="004E461A">
        <w:rPr>
          <w:color w:val="000000"/>
          <w:szCs w:val="22"/>
        </w:rPr>
        <w:t>Apvalkotā tablete.</w:t>
      </w:r>
    </w:p>
    <w:p w14:paraId="77FDA5E7" w14:textId="77777777" w:rsidR="00C85F68" w:rsidRPr="004E461A" w:rsidRDefault="00C85F68" w:rsidP="009C5A02">
      <w:pPr>
        <w:spacing w:line="240" w:lineRule="auto"/>
        <w:jc w:val="both"/>
        <w:rPr>
          <w:color w:val="000000"/>
          <w:szCs w:val="22"/>
        </w:rPr>
      </w:pPr>
    </w:p>
    <w:p w14:paraId="58D28202" w14:textId="77777777" w:rsidR="00C85F68" w:rsidRPr="004E461A" w:rsidRDefault="00C85F68" w:rsidP="009C5A02">
      <w:pPr>
        <w:tabs>
          <w:tab w:val="clear" w:pos="567"/>
          <w:tab w:val="left" w:pos="709"/>
        </w:tabs>
        <w:spacing w:line="240" w:lineRule="auto"/>
        <w:jc w:val="both"/>
        <w:rPr>
          <w:bCs/>
          <w:color w:val="000000"/>
          <w:szCs w:val="22"/>
          <w:u w:val="single"/>
          <w:lang w:eastAsia="en-GB"/>
        </w:rPr>
      </w:pPr>
      <w:proofErr w:type="spellStart"/>
      <w:r w:rsidRPr="004E461A">
        <w:rPr>
          <w:color w:val="000000"/>
          <w:szCs w:val="22"/>
          <w:u w:val="single"/>
        </w:rPr>
        <w:t>Apredonav</w:t>
      </w:r>
      <w:proofErr w:type="spellEnd"/>
      <w:r w:rsidRPr="004E461A">
        <w:rPr>
          <w:color w:val="000000"/>
          <w:szCs w:val="22"/>
          <w:u w:val="single"/>
        </w:rPr>
        <w:t xml:space="preserve"> 5 mg</w:t>
      </w:r>
      <w:r w:rsidRPr="004E461A">
        <w:rPr>
          <w:bCs/>
          <w:color w:val="000000"/>
          <w:szCs w:val="22"/>
          <w:u w:val="single"/>
          <w:lang w:eastAsia="en-GB"/>
        </w:rPr>
        <w:t xml:space="preserve"> </w:t>
      </w:r>
      <w:proofErr w:type="spellStart"/>
      <w:r w:rsidRPr="004E461A">
        <w:rPr>
          <w:bCs/>
          <w:color w:val="000000"/>
          <w:szCs w:val="22"/>
          <w:u w:val="single"/>
          <w:lang w:eastAsia="en-GB"/>
        </w:rPr>
        <w:t>apvalkotās</w:t>
      </w:r>
      <w:proofErr w:type="spellEnd"/>
      <w:r w:rsidRPr="004E461A">
        <w:rPr>
          <w:bCs/>
          <w:color w:val="000000"/>
          <w:szCs w:val="22"/>
          <w:u w:val="single"/>
          <w:lang w:eastAsia="en-GB"/>
        </w:rPr>
        <w:t xml:space="preserve"> tabletes</w:t>
      </w:r>
    </w:p>
    <w:p w14:paraId="1ED26091" w14:textId="77777777" w:rsidR="00C85F68" w:rsidRPr="004E461A" w:rsidRDefault="00C85F68" w:rsidP="009C5A02">
      <w:pPr>
        <w:tabs>
          <w:tab w:val="clear" w:pos="567"/>
          <w:tab w:val="left" w:pos="709"/>
        </w:tabs>
        <w:spacing w:line="240" w:lineRule="auto"/>
        <w:jc w:val="both"/>
        <w:rPr>
          <w:color w:val="000000"/>
          <w:szCs w:val="22"/>
        </w:rPr>
      </w:pPr>
      <w:r w:rsidRPr="004E461A">
        <w:rPr>
          <w:color w:val="000000"/>
          <w:szCs w:val="22"/>
        </w:rPr>
        <w:t>S</w:t>
      </w:r>
      <w:r w:rsidRPr="004E461A">
        <w:rPr>
          <w:bCs/>
          <w:color w:val="000000"/>
          <w:szCs w:val="22"/>
          <w:lang w:eastAsia="en-GB"/>
        </w:rPr>
        <w:t>ārti-oranžas, ovālas, abpusēji izliektas apvalkotās tabletes ar dalījuma līniju abās pusēs un to kodola izmērs ir 8,5 mm x 4 mm.</w:t>
      </w:r>
    </w:p>
    <w:p w14:paraId="07CF6C5A" w14:textId="77777777" w:rsidR="00C85F68" w:rsidRPr="004E461A" w:rsidRDefault="00C85F68" w:rsidP="009C5A02">
      <w:pPr>
        <w:tabs>
          <w:tab w:val="clear" w:pos="567"/>
          <w:tab w:val="left" w:pos="0"/>
        </w:tabs>
        <w:spacing w:line="240" w:lineRule="auto"/>
        <w:jc w:val="both"/>
        <w:rPr>
          <w:noProof/>
          <w:color w:val="000000"/>
          <w:szCs w:val="22"/>
        </w:rPr>
      </w:pPr>
      <w:r w:rsidRPr="004E461A">
        <w:rPr>
          <w:noProof/>
          <w:color w:val="000000"/>
          <w:szCs w:val="22"/>
        </w:rPr>
        <w:t>Tableti var sadalīt vienādās devās.</w:t>
      </w:r>
    </w:p>
    <w:p w14:paraId="3B7C6BB9" w14:textId="77777777" w:rsidR="00C85F68" w:rsidRPr="004E461A" w:rsidRDefault="00C85F68" w:rsidP="009C5A02">
      <w:pPr>
        <w:tabs>
          <w:tab w:val="clear" w:pos="567"/>
          <w:tab w:val="left" w:pos="0"/>
        </w:tabs>
        <w:spacing w:line="240" w:lineRule="auto"/>
        <w:jc w:val="both"/>
        <w:rPr>
          <w:noProof/>
          <w:color w:val="000000"/>
          <w:szCs w:val="22"/>
        </w:rPr>
      </w:pPr>
    </w:p>
    <w:p w14:paraId="2F3D666F" w14:textId="77777777" w:rsidR="00C85F68" w:rsidRPr="004E461A" w:rsidRDefault="00C85F68" w:rsidP="009C5A02">
      <w:pPr>
        <w:tabs>
          <w:tab w:val="clear" w:pos="567"/>
          <w:tab w:val="left" w:pos="709"/>
        </w:tabs>
        <w:spacing w:line="240" w:lineRule="auto"/>
        <w:jc w:val="both"/>
        <w:rPr>
          <w:bCs/>
          <w:color w:val="000000"/>
          <w:szCs w:val="22"/>
          <w:u w:val="single"/>
          <w:lang w:eastAsia="en-GB"/>
        </w:rPr>
      </w:pPr>
      <w:proofErr w:type="spellStart"/>
      <w:r w:rsidRPr="004E461A">
        <w:rPr>
          <w:color w:val="000000"/>
          <w:szCs w:val="22"/>
          <w:u w:val="single"/>
        </w:rPr>
        <w:t>Apredonav</w:t>
      </w:r>
      <w:proofErr w:type="spellEnd"/>
      <w:r w:rsidRPr="004E461A">
        <w:rPr>
          <w:color w:val="000000"/>
          <w:szCs w:val="22"/>
          <w:u w:val="single"/>
        </w:rPr>
        <w:t xml:space="preserve"> 7,5 mg</w:t>
      </w:r>
      <w:r w:rsidRPr="004E461A">
        <w:rPr>
          <w:bCs/>
          <w:color w:val="000000"/>
          <w:szCs w:val="22"/>
          <w:u w:val="single"/>
          <w:lang w:eastAsia="en-GB"/>
        </w:rPr>
        <w:t xml:space="preserve"> </w:t>
      </w:r>
      <w:proofErr w:type="spellStart"/>
      <w:r w:rsidRPr="004E461A">
        <w:rPr>
          <w:bCs/>
          <w:color w:val="000000"/>
          <w:szCs w:val="22"/>
          <w:u w:val="single"/>
          <w:lang w:eastAsia="en-GB"/>
        </w:rPr>
        <w:t>apvalkotās</w:t>
      </w:r>
      <w:proofErr w:type="spellEnd"/>
      <w:r w:rsidRPr="004E461A">
        <w:rPr>
          <w:bCs/>
          <w:color w:val="000000"/>
          <w:szCs w:val="22"/>
          <w:u w:val="single"/>
          <w:lang w:eastAsia="en-GB"/>
        </w:rPr>
        <w:t xml:space="preserve"> tabletes</w:t>
      </w:r>
    </w:p>
    <w:p w14:paraId="618F7C13" w14:textId="77777777" w:rsidR="00C85F68" w:rsidRPr="004E461A" w:rsidRDefault="00C85F68" w:rsidP="009C5A02">
      <w:pPr>
        <w:tabs>
          <w:tab w:val="clear" w:pos="567"/>
          <w:tab w:val="left" w:pos="709"/>
        </w:tabs>
        <w:spacing w:line="240" w:lineRule="auto"/>
        <w:jc w:val="both"/>
        <w:rPr>
          <w:bCs/>
          <w:color w:val="000000"/>
          <w:szCs w:val="22"/>
          <w:lang w:eastAsia="en-GB"/>
        </w:rPr>
      </w:pPr>
      <w:r w:rsidRPr="004E461A">
        <w:rPr>
          <w:color w:val="000000"/>
          <w:szCs w:val="22"/>
        </w:rPr>
        <w:t>S</w:t>
      </w:r>
      <w:r w:rsidRPr="004E461A">
        <w:rPr>
          <w:bCs/>
          <w:color w:val="000000"/>
          <w:szCs w:val="22"/>
          <w:lang w:eastAsia="en-GB"/>
        </w:rPr>
        <w:t>ārti-oranžas, apaļas, abpusēji izliektas apvalkotās tabletes, gludas no abām pusēm un to kodola diametrs ir 7 mm.</w:t>
      </w:r>
    </w:p>
    <w:p w14:paraId="5897D73E" w14:textId="77777777" w:rsidR="00C85F68" w:rsidRPr="004E461A" w:rsidRDefault="00C85F68" w:rsidP="009C5A02">
      <w:pPr>
        <w:spacing w:line="240" w:lineRule="auto"/>
        <w:jc w:val="both"/>
        <w:rPr>
          <w:color w:val="000000"/>
          <w:szCs w:val="22"/>
        </w:rPr>
      </w:pPr>
    </w:p>
    <w:p w14:paraId="54294668" w14:textId="77777777" w:rsidR="00CD10AA" w:rsidRPr="004E461A" w:rsidRDefault="00CD10AA" w:rsidP="009C5A02">
      <w:pPr>
        <w:spacing w:line="240" w:lineRule="auto"/>
        <w:jc w:val="both"/>
        <w:rPr>
          <w:color w:val="000000"/>
          <w:szCs w:val="22"/>
        </w:rPr>
      </w:pPr>
    </w:p>
    <w:p w14:paraId="4E7ED84D" w14:textId="77777777" w:rsidR="00CD10AA" w:rsidRPr="004E461A" w:rsidRDefault="00CD10AA" w:rsidP="009C5A02">
      <w:pPr>
        <w:tabs>
          <w:tab w:val="clear" w:pos="567"/>
        </w:tabs>
        <w:spacing w:line="240" w:lineRule="auto"/>
        <w:jc w:val="both"/>
        <w:rPr>
          <w:b/>
          <w:color w:val="000000"/>
          <w:szCs w:val="22"/>
        </w:rPr>
      </w:pPr>
      <w:r w:rsidRPr="004E461A">
        <w:rPr>
          <w:b/>
          <w:caps/>
          <w:color w:val="000000"/>
          <w:szCs w:val="22"/>
        </w:rPr>
        <w:t>4.</w:t>
      </w:r>
      <w:r w:rsidRPr="004E461A">
        <w:rPr>
          <w:b/>
          <w:caps/>
          <w:color w:val="000000"/>
          <w:szCs w:val="22"/>
        </w:rPr>
        <w:tab/>
        <w:t>KLĪNISKĀ INFORMĀCIJA</w:t>
      </w:r>
    </w:p>
    <w:p w14:paraId="733CD79D" w14:textId="77777777" w:rsidR="00C85F68" w:rsidRPr="004E461A" w:rsidRDefault="00C85F68" w:rsidP="009C5A02">
      <w:pPr>
        <w:tabs>
          <w:tab w:val="clear" w:pos="567"/>
        </w:tabs>
        <w:spacing w:line="240" w:lineRule="auto"/>
        <w:jc w:val="both"/>
        <w:rPr>
          <w:b/>
          <w:color w:val="000000"/>
          <w:szCs w:val="22"/>
        </w:rPr>
      </w:pPr>
    </w:p>
    <w:p w14:paraId="0028937B"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4.1</w:t>
      </w:r>
      <w:r w:rsidR="003B0FF0" w:rsidRPr="004E461A">
        <w:rPr>
          <w:b/>
          <w:color w:val="000000"/>
          <w:szCs w:val="22"/>
        </w:rPr>
        <w:t>.</w:t>
      </w:r>
      <w:r w:rsidRPr="004E461A">
        <w:rPr>
          <w:b/>
          <w:color w:val="000000"/>
          <w:szCs w:val="22"/>
        </w:rPr>
        <w:tab/>
        <w:t>Terapeitiskās indikācijas</w:t>
      </w:r>
    </w:p>
    <w:p w14:paraId="2FAE8976" w14:textId="77777777" w:rsidR="00CD10AA" w:rsidRPr="004E461A" w:rsidRDefault="00CD10AA" w:rsidP="009C5A02">
      <w:pPr>
        <w:tabs>
          <w:tab w:val="clear" w:pos="567"/>
        </w:tabs>
        <w:spacing w:line="240" w:lineRule="auto"/>
        <w:jc w:val="both"/>
        <w:rPr>
          <w:color w:val="000000"/>
          <w:szCs w:val="22"/>
        </w:rPr>
      </w:pPr>
    </w:p>
    <w:p w14:paraId="55DC3B0D" w14:textId="77777777" w:rsidR="00C92A04" w:rsidRPr="004E461A" w:rsidRDefault="00C92A04" w:rsidP="009C5A02">
      <w:pPr>
        <w:spacing w:line="240" w:lineRule="auto"/>
        <w:jc w:val="both"/>
        <w:rPr>
          <w:i/>
          <w:color w:val="000000"/>
          <w:szCs w:val="22"/>
        </w:rPr>
      </w:pPr>
      <w:r w:rsidRPr="004E461A">
        <w:rPr>
          <w:i/>
          <w:color w:val="000000"/>
          <w:szCs w:val="22"/>
        </w:rPr>
        <w:t>Hroniskas stabilas stenokardijas simptomātiska ārstēšana</w:t>
      </w:r>
    </w:p>
    <w:p w14:paraId="7CD23903" w14:textId="77777777" w:rsidR="00C92A04" w:rsidRPr="004E461A" w:rsidRDefault="00C92A04"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ir indicēts hroniskas stabilas stenokardijas simptom</w:t>
      </w:r>
      <w:r w:rsidR="009C5A02" w:rsidRPr="004E461A">
        <w:rPr>
          <w:color w:val="000000"/>
          <w:szCs w:val="22"/>
        </w:rPr>
        <w:t>ā</w:t>
      </w:r>
      <w:r w:rsidRPr="004E461A">
        <w:rPr>
          <w:color w:val="000000"/>
          <w:szCs w:val="22"/>
        </w:rPr>
        <w:t xml:space="preserve">tiskai ārstēšanai pieaugušajiem, kuriem ir normāls sinusa ritms un sirdsdarbības </w:t>
      </w:r>
      <w:r w:rsidR="002214B2" w:rsidRPr="004E461A">
        <w:rPr>
          <w:color w:val="000000"/>
          <w:szCs w:val="22"/>
        </w:rPr>
        <w:t>frekvence</w:t>
      </w:r>
      <w:r w:rsidRPr="004E461A">
        <w:rPr>
          <w:color w:val="000000"/>
          <w:szCs w:val="22"/>
        </w:rPr>
        <w:t xml:space="preserve"> ir ≥ 70 sitieni minūtē. </w:t>
      </w:r>
      <w:proofErr w:type="spellStart"/>
      <w:r w:rsidRPr="004E461A">
        <w:rPr>
          <w:color w:val="000000"/>
          <w:szCs w:val="22"/>
        </w:rPr>
        <w:t>Ivabradīns</w:t>
      </w:r>
      <w:proofErr w:type="spellEnd"/>
      <w:r w:rsidRPr="004E461A">
        <w:rPr>
          <w:color w:val="000000"/>
          <w:szCs w:val="22"/>
        </w:rPr>
        <w:t xml:space="preserve"> ir indicēts:</w:t>
      </w:r>
    </w:p>
    <w:p w14:paraId="27E21962" w14:textId="77777777" w:rsidR="00C92A04" w:rsidRPr="004E461A" w:rsidRDefault="00C92A04" w:rsidP="009C5A02">
      <w:pPr>
        <w:numPr>
          <w:ilvl w:val="0"/>
          <w:numId w:val="29"/>
        </w:numPr>
        <w:tabs>
          <w:tab w:val="clear" w:pos="567"/>
          <w:tab w:val="left" w:pos="709"/>
        </w:tabs>
        <w:spacing w:line="240" w:lineRule="auto"/>
        <w:jc w:val="both"/>
        <w:rPr>
          <w:color w:val="000000"/>
          <w:szCs w:val="22"/>
        </w:rPr>
      </w:pPr>
      <w:r w:rsidRPr="004E461A">
        <w:rPr>
          <w:color w:val="000000"/>
          <w:szCs w:val="22"/>
        </w:rPr>
        <w:t xml:space="preserve">pieaugušajiem, kuri nepanes bēta blokatorus vai kuriem tie </w:t>
      </w:r>
      <w:r w:rsidR="00996121" w:rsidRPr="004E461A">
        <w:rPr>
          <w:color w:val="000000"/>
          <w:szCs w:val="22"/>
        </w:rPr>
        <w:t xml:space="preserve">ir </w:t>
      </w:r>
      <w:r w:rsidRPr="004E461A">
        <w:rPr>
          <w:color w:val="000000"/>
          <w:szCs w:val="22"/>
        </w:rPr>
        <w:t>kontrindicēti;</w:t>
      </w:r>
    </w:p>
    <w:p w14:paraId="27F490A8" w14:textId="77777777" w:rsidR="00C92A04" w:rsidRPr="004E461A" w:rsidRDefault="00C92A04" w:rsidP="009C5A02">
      <w:pPr>
        <w:numPr>
          <w:ilvl w:val="0"/>
          <w:numId w:val="29"/>
        </w:numPr>
        <w:tabs>
          <w:tab w:val="clear" w:pos="567"/>
          <w:tab w:val="left" w:pos="709"/>
        </w:tabs>
        <w:spacing w:line="240" w:lineRule="auto"/>
        <w:jc w:val="both"/>
        <w:rPr>
          <w:color w:val="000000"/>
          <w:szCs w:val="22"/>
        </w:rPr>
      </w:pPr>
      <w:r w:rsidRPr="004E461A">
        <w:rPr>
          <w:color w:val="000000"/>
          <w:szCs w:val="22"/>
        </w:rPr>
        <w:t xml:space="preserve">vai kombinācijā ar bēta blokatoriem pacientiem, kuru </w:t>
      </w:r>
      <w:r w:rsidR="005D2535" w:rsidRPr="004E461A">
        <w:rPr>
          <w:color w:val="000000"/>
          <w:szCs w:val="22"/>
        </w:rPr>
        <w:t>sirdsdarbības frekvence nav pietiekami kontrolēta</w:t>
      </w:r>
      <w:r w:rsidRPr="004E461A">
        <w:rPr>
          <w:color w:val="000000"/>
          <w:szCs w:val="22"/>
        </w:rPr>
        <w:t xml:space="preserve">, lietojot bēta blokatoru </w:t>
      </w:r>
      <w:r w:rsidR="00D85772" w:rsidRPr="004E461A">
        <w:rPr>
          <w:color w:val="000000"/>
          <w:szCs w:val="22"/>
        </w:rPr>
        <w:t>pieļaujamā</w:t>
      </w:r>
      <w:r w:rsidRPr="004E461A">
        <w:rPr>
          <w:color w:val="000000"/>
          <w:szCs w:val="22"/>
        </w:rPr>
        <w:t xml:space="preserve"> devā</w:t>
      </w:r>
      <w:r w:rsidR="005D2535" w:rsidRPr="004E461A">
        <w:rPr>
          <w:color w:val="000000"/>
          <w:szCs w:val="22"/>
        </w:rPr>
        <w:t>.</w:t>
      </w:r>
    </w:p>
    <w:p w14:paraId="6C5E3E84" w14:textId="77777777" w:rsidR="00C92A04" w:rsidRPr="004E461A" w:rsidRDefault="00C92A04" w:rsidP="009C5A02">
      <w:pPr>
        <w:spacing w:line="240" w:lineRule="auto"/>
        <w:jc w:val="both"/>
        <w:rPr>
          <w:color w:val="000000"/>
        </w:rPr>
      </w:pPr>
    </w:p>
    <w:p w14:paraId="769144B6" w14:textId="77777777" w:rsidR="00C92A04" w:rsidRPr="004E461A" w:rsidRDefault="00C92A04" w:rsidP="009C5A02">
      <w:pPr>
        <w:spacing w:line="240" w:lineRule="auto"/>
        <w:jc w:val="both"/>
        <w:rPr>
          <w:i/>
          <w:color w:val="000000"/>
          <w:szCs w:val="22"/>
        </w:rPr>
      </w:pPr>
      <w:r w:rsidRPr="004E461A">
        <w:rPr>
          <w:i/>
          <w:color w:val="000000"/>
          <w:szCs w:val="22"/>
        </w:rPr>
        <w:t>Hroniskas sirds mazspējas ārstēšana</w:t>
      </w:r>
    </w:p>
    <w:p w14:paraId="3E05F693" w14:textId="64D30523" w:rsidR="00C92A04" w:rsidRPr="004E461A" w:rsidRDefault="00C92A04"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ir indicēts hroniskas sirds mazspējas (II – IV </w:t>
      </w:r>
      <w:r w:rsidR="005656A8" w:rsidRPr="004E461A">
        <w:rPr>
          <w:color w:val="000000"/>
          <w:szCs w:val="22"/>
        </w:rPr>
        <w:t xml:space="preserve">funkcionālā </w:t>
      </w:r>
      <w:r w:rsidRPr="004E461A">
        <w:rPr>
          <w:color w:val="000000"/>
          <w:szCs w:val="22"/>
        </w:rPr>
        <w:t xml:space="preserve">klase pēc NYHA klasifikācijas) ar sistolisku disfunkciju ārstēšanai </w:t>
      </w:r>
      <w:r w:rsidR="0015082E">
        <w:rPr>
          <w:color w:val="000000"/>
          <w:szCs w:val="22"/>
        </w:rPr>
        <w:t xml:space="preserve">pieaugušiem </w:t>
      </w:r>
      <w:r w:rsidRPr="004E461A">
        <w:rPr>
          <w:color w:val="000000"/>
          <w:szCs w:val="22"/>
        </w:rPr>
        <w:t>pacientiem ar sinusa ritmu un sirdsdarbības</w:t>
      </w:r>
      <w:r w:rsidR="005656A8" w:rsidRPr="004E461A">
        <w:rPr>
          <w:color w:val="000000"/>
          <w:szCs w:val="22"/>
        </w:rPr>
        <w:t xml:space="preserve"> frekvenci</w:t>
      </w:r>
      <w:r w:rsidRPr="004E461A">
        <w:rPr>
          <w:color w:val="000000"/>
          <w:szCs w:val="22"/>
        </w:rPr>
        <w:t xml:space="preserve"> ≥ 75 sitieniem minūtē, kombinācijā ar standarta terapiju, ieskaitot bēta blokatoru terapiju, vai tad, ja bēta blokatoru lietošana ir kontrindicēta vai pacients to nepanes (skatīt 5.1. apakšpunktu).</w:t>
      </w:r>
    </w:p>
    <w:p w14:paraId="05D13402" w14:textId="77777777" w:rsidR="00C92A04" w:rsidRPr="004E461A" w:rsidRDefault="00C92A04" w:rsidP="009C5A02">
      <w:pPr>
        <w:tabs>
          <w:tab w:val="clear" w:pos="567"/>
        </w:tabs>
        <w:spacing w:line="240" w:lineRule="auto"/>
        <w:jc w:val="both"/>
        <w:rPr>
          <w:color w:val="000000"/>
          <w:szCs w:val="22"/>
        </w:rPr>
      </w:pPr>
    </w:p>
    <w:p w14:paraId="45C4D298"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4.2</w:t>
      </w:r>
      <w:r w:rsidR="00FB475A" w:rsidRPr="004E461A">
        <w:rPr>
          <w:b/>
          <w:color w:val="000000"/>
          <w:szCs w:val="22"/>
        </w:rPr>
        <w:t>.</w:t>
      </w:r>
      <w:r w:rsidRPr="004E461A">
        <w:rPr>
          <w:b/>
          <w:color w:val="000000"/>
          <w:szCs w:val="22"/>
        </w:rPr>
        <w:tab/>
        <w:t>Devas un lietošanas veids</w:t>
      </w:r>
    </w:p>
    <w:p w14:paraId="2ACFEEF5" w14:textId="77777777" w:rsidR="00C92A04" w:rsidRPr="004E461A" w:rsidRDefault="00C92A04" w:rsidP="009C5A02">
      <w:pPr>
        <w:tabs>
          <w:tab w:val="clear" w:pos="567"/>
        </w:tabs>
        <w:spacing w:line="240" w:lineRule="auto"/>
        <w:jc w:val="both"/>
        <w:rPr>
          <w:color w:val="000000"/>
          <w:szCs w:val="22"/>
          <w:u w:val="single"/>
        </w:rPr>
      </w:pPr>
    </w:p>
    <w:p w14:paraId="060EE966" w14:textId="77777777" w:rsidR="0097548A" w:rsidRPr="004E461A" w:rsidRDefault="00FD187E" w:rsidP="009C5A02">
      <w:pPr>
        <w:tabs>
          <w:tab w:val="clear" w:pos="567"/>
        </w:tabs>
        <w:spacing w:line="240" w:lineRule="auto"/>
        <w:jc w:val="both"/>
        <w:rPr>
          <w:color w:val="000000"/>
          <w:szCs w:val="22"/>
          <w:u w:val="single"/>
        </w:rPr>
      </w:pPr>
      <w:r w:rsidRPr="004E461A">
        <w:rPr>
          <w:color w:val="000000"/>
          <w:szCs w:val="22"/>
          <w:u w:val="single"/>
        </w:rPr>
        <w:lastRenderedPageBreak/>
        <w:t>Devas</w:t>
      </w:r>
    </w:p>
    <w:p w14:paraId="65B1FE21" w14:textId="77777777" w:rsidR="00B00F71" w:rsidRPr="004E461A" w:rsidRDefault="00B00F71" w:rsidP="009C5A02">
      <w:pPr>
        <w:spacing w:line="240" w:lineRule="auto"/>
        <w:jc w:val="both"/>
        <w:rPr>
          <w:i/>
          <w:color w:val="000000"/>
          <w:szCs w:val="22"/>
        </w:rPr>
      </w:pPr>
      <w:r w:rsidRPr="004E461A">
        <w:rPr>
          <w:i/>
          <w:color w:val="000000"/>
          <w:szCs w:val="22"/>
        </w:rPr>
        <w:t>Hroniskas stabilas stenokardijas simptomātiska ārstēšana</w:t>
      </w:r>
    </w:p>
    <w:p w14:paraId="786F2D06" w14:textId="77777777" w:rsidR="00B00F71" w:rsidRPr="004E461A" w:rsidRDefault="00B918B6" w:rsidP="009C5A02">
      <w:pPr>
        <w:spacing w:line="240" w:lineRule="auto"/>
        <w:jc w:val="both"/>
        <w:rPr>
          <w:color w:val="000000"/>
          <w:szCs w:val="22"/>
        </w:rPr>
      </w:pPr>
      <w:r w:rsidRPr="004E461A">
        <w:rPr>
          <w:color w:val="000000"/>
          <w:szCs w:val="22"/>
        </w:rPr>
        <w:t>Ieteicams, lai lēmums uzsākt ārstēšanu vai titrēšanu tiktu pieņemts</w:t>
      </w:r>
      <w:r w:rsidR="00B00F71" w:rsidRPr="004E461A">
        <w:rPr>
          <w:color w:val="000000"/>
          <w:szCs w:val="22"/>
        </w:rPr>
        <w:t xml:space="preserve">, ja ir pieejami </w:t>
      </w:r>
      <w:r w:rsidR="00174C2A" w:rsidRPr="004E461A">
        <w:rPr>
          <w:color w:val="000000"/>
          <w:szCs w:val="22"/>
        </w:rPr>
        <w:t>periodiski</w:t>
      </w:r>
      <w:r w:rsidR="00B00F71" w:rsidRPr="004E461A">
        <w:rPr>
          <w:color w:val="000000"/>
          <w:szCs w:val="22"/>
        </w:rPr>
        <w:t xml:space="preserve"> pulsa mērījumi, EKG vai ambulatora novērošana 24 stundu garumā.</w:t>
      </w:r>
    </w:p>
    <w:p w14:paraId="5C1F34BE" w14:textId="77777777" w:rsidR="00B00F71" w:rsidRPr="004E461A" w:rsidRDefault="00B00F71" w:rsidP="009C5A02">
      <w:pPr>
        <w:spacing w:line="240" w:lineRule="auto"/>
        <w:jc w:val="both"/>
        <w:rPr>
          <w:color w:val="000000"/>
          <w:szCs w:val="22"/>
        </w:rPr>
      </w:pPr>
      <w:r w:rsidRPr="004E461A">
        <w:rPr>
          <w:color w:val="000000"/>
          <w:szCs w:val="22"/>
        </w:rPr>
        <w:t xml:space="preserve">Pacientiem vecumā līdz 75 gadiem </w:t>
      </w:r>
      <w:proofErr w:type="spellStart"/>
      <w:r w:rsidRPr="004E461A">
        <w:rPr>
          <w:color w:val="000000"/>
          <w:szCs w:val="22"/>
        </w:rPr>
        <w:t>ivabradīna</w:t>
      </w:r>
      <w:proofErr w:type="spellEnd"/>
      <w:r w:rsidRPr="004E461A">
        <w:rPr>
          <w:color w:val="000000"/>
          <w:szCs w:val="22"/>
        </w:rPr>
        <w:t xml:space="preserve"> sākuma deva nedrīkst</w:t>
      </w:r>
      <w:r w:rsidR="00205D51" w:rsidRPr="004E461A">
        <w:rPr>
          <w:color w:val="000000"/>
          <w:szCs w:val="22"/>
        </w:rPr>
        <w:t xml:space="preserve"> pā</w:t>
      </w:r>
      <w:r w:rsidR="005F6B45" w:rsidRPr="004E461A">
        <w:rPr>
          <w:color w:val="000000"/>
          <w:szCs w:val="22"/>
        </w:rPr>
        <w:t xml:space="preserve">rsniegt 5 mg </w:t>
      </w:r>
      <w:r w:rsidRPr="004E461A">
        <w:rPr>
          <w:color w:val="000000"/>
          <w:szCs w:val="22"/>
        </w:rPr>
        <w:t>divas reizes dienā.</w:t>
      </w:r>
    </w:p>
    <w:p w14:paraId="343736B7" w14:textId="77777777" w:rsidR="00B00F71" w:rsidRPr="004E461A" w:rsidRDefault="00002CC2" w:rsidP="009C5A02">
      <w:pPr>
        <w:spacing w:line="240" w:lineRule="auto"/>
        <w:jc w:val="both"/>
        <w:rPr>
          <w:color w:val="000000"/>
          <w:szCs w:val="22"/>
        </w:rPr>
      </w:pPr>
      <w:r w:rsidRPr="004E461A">
        <w:rPr>
          <w:color w:val="000000"/>
          <w:szCs w:val="22"/>
        </w:rPr>
        <w:t>Ja</w:t>
      </w:r>
      <w:r w:rsidR="0079357E" w:rsidRPr="004E461A">
        <w:rPr>
          <w:color w:val="000000"/>
          <w:szCs w:val="22"/>
        </w:rPr>
        <w:t xml:space="preserve"> p</w:t>
      </w:r>
      <w:r w:rsidR="00B00F71" w:rsidRPr="004E461A">
        <w:rPr>
          <w:color w:val="000000"/>
          <w:szCs w:val="22"/>
        </w:rPr>
        <w:t>ēc tr</w:t>
      </w:r>
      <w:r w:rsidR="0079357E" w:rsidRPr="004E461A">
        <w:rPr>
          <w:color w:val="000000"/>
          <w:szCs w:val="22"/>
        </w:rPr>
        <w:t>īs</w:t>
      </w:r>
      <w:r w:rsidR="00B00F71" w:rsidRPr="004E461A">
        <w:rPr>
          <w:color w:val="000000"/>
          <w:szCs w:val="22"/>
        </w:rPr>
        <w:t xml:space="preserve"> vai četrām ārstēšanas nedēļām</w:t>
      </w:r>
      <w:r w:rsidR="0013092A" w:rsidRPr="004E461A">
        <w:rPr>
          <w:color w:val="000000"/>
          <w:szCs w:val="22"/>
        </w:rPr>
        <w:t xml:space="preserve"> </w:t>
      </w:r>
      <w:r w:rsidR="00B00F71" w:rsidRPr="004E461A">
        <w:rPr>
          <w:color w:val="000000"/>
          <w:szCs w:val="22"/>
        </w:rPr>
        <w:t>pacient</w:t>
      </w:r>
      <w:r w:rsidR="0079357E" w:rsidRPr="004E461A">
        <w:rPr>
          <w:color w:val="000000"/>
          <w:szCs w:val="22"/>
        </w:rPr>
        <w:t>ie</w:t>
      </w:r>
      <w:r w:rsidR="00B00F71" w:rsidRPr="004E461A">
        <w:rPr>
          <w:color w:val="000000"/>
          <w:szCs w:val="22"/>
        </w:rPr>
        <w:t>m, kur</w:t>
      </w:r>
      <w:r w:rsidR="0079357E" w:rsidRPr="004E461A">
        <w:rPr>
          <w:color w:val="000000"/>
          <w:szCs w:val="22"/>
        </w:rPr>
        <w:t>i</w:t>
      </w:r>
      <w:r w:rsidR="00B00F71" w:rsidRPr="004E461A">
        <w:rPr>
          <w:color w:val="000000"/>
          <w:szCs w:val="22"/>
        </w:rPr>
        <w:t xml:space="preserve"> lieto 2,5 mg divas reizes dienā vai 5 mg divas reizes dienā, joprojām saglabājušies simptomi, sākuma deva ir labi panesama un sirdsdarbības </w:t>
      </w:r>
      <w:r w:rsidR="004A5FFE" w:rsidRPr="004E461A">
        <w:rPr>
          <w:color w:val="000000"/>
          <w:szCs w:val="22"/>
        </w:rPr>
        <w:t>frekvence</w:t>
      </w:r>
      <w:r w:rsidR="00B00F71" w:rsidRPr="004E461A">
        <w:rPr>
          <w:color w:val="000000"/>
          <w:szCs w:val="22"/>
        </w:rPr>
        <w:t xml:space="preserve"> miera stāvoklī joprojām</w:t>
      </w:r>
      <w:r w:rsidR="00A07E21" w:rsidRPr="004E461A">
        <w:rPr>
          <w:color w:val="000000"/>
          <w:szCs w:val="22"/>
        </w:rPr>
        <w:t xml:space="preserve"> ir lielāka par 60 sitieniem</w:t>
      </w:r>
      <w:r w:rsidR="00B00F71" w:rsidRPr="004E461A">
        <w:rPr>
          <w:color w:val="000000"/>
          <w:szCs w:val="22"/>
        </w:rPr>
        <w:t xml:space="preserve"> minūtē, devu var palielināt līdz nākamajai lielākajai devai. Uzturošā deva nedrīkst pārsniegt 7,5 mg divas reizes dienā.</w:t>
      </w:r>
    </w:p>
    <w:p w14:paraId="453ACE37" w14:textId="77777777" w:rsidR="00B00F71" w:rsidRPr="004E461A" w:rsidRDefault="00B00F71" w:rsidP="009C5A02">
      <w:pPr>
        <w:spacing w:line="240" w:lineRule="auto"/>
        <w:jc w:val="both"/>
        <w:rPr>
          <w:color w:val="000000"/>
          <w:szCs w:val="22"/>
        </w:rPr>
      </w:pPr>
      <w:r w:rsidRPr="004E461A">
        <w:rPr>
          <w:color w:val="000000"/>
          <w:szCs w:val="22"/>
        </w:rPr>
        <w:t xml:space="preserve">Ja 3 mēnešu laikā pēc ārstēšanas uzsākšanas nav novērojama stenokardijas simptomu samazināšanās, </w:t>
      </w:r>
      <w:proofErr w:type="spellStart"/>
      <w:r w:rsidRPr="004E461A">
        <w:rPr>
          <w:color w:val="000000"/>
          <w:szCs w:val="22"/>
        </w:rPr>
        <w:t>ivabradīna</w:t>
      </w:r>
      <w:proofErr w:type="spellEnd"/>
      <w:r w:rsidRPr="004E461A">
        <w:rPr>
          <w:color w:val="000000"/>
          <w:szCs w:val="22"/>
        </w:rPr>
        <w:t xml:space="preserve"> lietošana jāpārtrauc.</w:t>
      </w:r>
    </w:p>
    <w:p w14:paraId="7C05F59C" w14:textId="77777777" w:rsidR="00B00F71" w:rsidRPr="004E461A" w:rsidRDefault="00B00F71" w:rsidP="009C5A02">
      <w:pPr>
        <w:spacing w:line="240" w:lineRule="auto"/>
        <w:jc w:val="both"/>
        <w:rPr>
          <w:color w:val="000000"/>
          <w:szCs w:val="22"/>
        </w:rPr>
      </w:pPr>
      <w:r w:rsidRPr="004E461A">
        <w:rPr>
          <w:color w:val="000000"/>
          <w:szCs w:val="22"/>
        </w:rPr>
        <w:t>Turklāt ārstēšanas pārtraukšana apsverama arī tad, ja trīs mēnešu laikā ir tikai ierobežota simptomātiskā atbildes reakcija un nav radies klīniski nozīmīgs pulsa palēninājums miera stāvoklī.</w:t>
      </w:r>
    </w:p>
    <w:p w14:paraId="0BAC5584" w14:textId="77777777" w:rsidR="00B00F71" w:rsidRPr="004E461A" w:rsidRDefault="00B00F71" w:rsidP="009C5A02">
      <w:pPr>
        <w:spacing w:line="240" w:lineRule="auto"/>
        <w:jc w:val="both"/>
        <w:rPr>
          <w:color w:val="000000"/>
          <w:szCs w:val="22"/>
        </w:rPr>
      </w:pPr>
      <w:r w:rsidRPr="004E461A">
        <w:rPr>
          <w:color w:val="000000"/>
          <w:szCs w:val="22"/>
        </w:rPr>
        <w:t xml:space="preserve">Ja ārstēšanas laikā sirdsdarbības </w:t>
      </w:r>
      <w:r w:rsidR="003E09EF" w:rsidRPr="004E461A">
        <w:rPr>
          <w:color w:val="000000"/>
          <w:szCs w:val="22"/>
        </w:rPr>
        <w:t>frekvence</w:t>
      </w:r>
      <w:r w:rsidRPr="004E461A">
        <w:rPr>
          <w:color w:val="000000"/>
          <w:szCs w:val="22"/>
        </w:rPr>
        <w:t xml:space="preserve"> miera stāvoklī kļūst lēnāk</w:t>
      </w:r>
      <w:r w:rsidR="00E01AD2" w:rsidRPr="004E461A">
        <w:rPr>
          <w:color w:val="000000"/>
          <w:szCs w:val="22"/>
        </w:rPr>
        <w:t>a</w:t>
      </w:r>
      <w:r w:rsidRPr="004E461A">
        <w:rPr>
          <w:color w:val="000000"/>
          <w:szCs w:val="22"/>
        </w:rPr>
        <w:t xml:space="preserve"> par 50 sitieniem minūtē vai ja pacientam rodas </w:t>
      </w:r>
      <w:r w:rsidR="003E09EF" w:rsidRPr="004E461A">
        <w:rPr>
          <w:color w:val="000000"/>
          <w:szCs w:val="22"/>
        </w:rPr>
        <w:t xml:space="preserve">bradikardijas </w:t>
      </w:r>
      <w:r w:rsidRPr="004E461A">
        <w:rPr>
          <w:color w:val="000000"/>
          <w:szCs w:val="22"/>
        </w:rPr>
        <w:t xml:space="preserve">simptomi, piemēram, reibonis, nogurums vai hipotensija, deva jātitrē uz leju, </w:t>
      </w:r>
      <w:r w:rsidR="00744090" w:rsidRPr="004E461A">
        <w:rPr>
          <w:color w:val="000000"/>
          <w:szCs w:val="22"/>
        </w:rPr>
        <w:t>sasniedzot</w:t>
      </w:r>
      <w:r w:rsidRPr="004E461A">
        <w:rPr>
          <w:color w:val="000000"/>
          <w:szCs w:val="22"/>
        </w:rPr>
        <w:t xml:space="preserve"> mazāko devu, kas ir 2,5 mg divas reizes dienā (puse no 5 mg tabletes divas reizes dienā). Pēc devas samazināšanas jākontrolē sirdsdarbības </w:t>
      </w:r>
      <w:r w:rsidR="003502D1" w:rsidRPr="004E461A">
        <w:rPr>
          <w:color w:val="000000"/>
          <w:szCs w:val="22"/>
        </w:rPr>
        <w:t>frekvence</w:t>
      </w:r>
      <w:r w:rsidRPr="004E461A">
        <w:rPr>
          <w:color w:val="000000"/>
          <w:szCs w:val="22"/>
        </w:rPr>
        <w:t xml:space="preserve"> (skatīt 4.4. apakšpunktu). Ja sirdsdarbības </w:t>
      </w:r>
      <w:r w:rsidR="00E82A40" w:rsidRPr="004E461A">
        <w:rPr>
          <w:color w:val="000000"/>
          <w:szCs w:val="22"/>
        </w:rPr>
        <w:t>frekvence</w:t>
      </w:r>
      <w:r w:rsidRPr="004E461A">
        <w:rPr>
          <w:color w:val="000000"/>
          <w:szCs w:val="22"/>
        </w:rPr>
        <w:t xml:space="preserve"> saglabājas lēnāk</w:t>
      </w:r>
      <w:r w:rsidR="000F29D2" w:rsidRPr="004E461A">
        <w:rPr>
          <w:color w:val="000000"/>
          <w:szCs w:val="22"/>
        </w:rPr>
        <w:t>a</w:t>
      </w:r>
      <w:r w:rsidRPr="004E461A">
        <w:rPr>
          <w:color w:val="000000"/>
          <w:szCs w:val="22"/>
        </w:rPr>
        <w:t xml:space="preserve"> par 50 sitieniem minūtē vai ja, neskatoties uz devas samazināšanu, saglabājas bradikardijas simptomi, ārstēšana jāpārtrauc.</w:t>
      </w:r>
    </w:p>
    <w:p w14:paraId="6D595588" w14:textId="77777777" w:rsidR="0097548A" w:rsidRPr="004E461A" w:rsidRDefault="0097548A" w:rsidP="009C5A02">
      <w:pPr>
        <w:tabs>
          <w:tab w:val="clear" w:pos="567"/>
        </w:tabs>
        <w:spacing w:line="240" w:lineRule="auto"/>
        <w:jc w:val="both"/>
        <w:rPr>
          <w:color w:val="000000"/>
          <w:szCs w:val="22"/>
          <w:u w:val="single"/>
        </w:rPr>
      </w:pPr>
    </w:p>
    <w:p w14:paraId="17334589" w14:textId="77777777" w:rsidR="00B00F71" w:rsidRPr="004E461A" w:rsidRDefault="00B00F71" w:rsidP="009C5A02">
      <w:pPr>
        <w:spacing w:line="240" w:lineRule="auto"/>
        <w:jc w:val="both"/>
        <w:rPr>
          <w:i/>
          <w:color w:val="000000"/>
          <w:szCs w:val="22"/>
        </w:rPr>
      </w:pPr>
      <w:r w:rsidRPr="004E461A">
        <w:rPr>
          <w:i/>
          <w:color w:val="000000"/>
          <w:szCs w:val="22"/>
        </w:rPr>
        <w:t>Hroniskas sirds mazspējas ārstēšana</w:t>
      </w:r>
    </w:p>
    <w:p w14:paraId="24FF4774" w14:textId="77777777" w:rsidR="00B00F71" w:rsidRPr="004E461A" w:rsidRDefault="00B00F71" w:rsidP="009C5A02">
      <w:pPr>
        <w:spacing w:line="240" w:lineRule="auto"/>
        <w:jc w:val="both"/>
        <w:rPr>
          <w:color w:val="000000"/>
          <w:szCs w:val="22"/>
        </w:rPr>
      </w:pPr>
      <w:r w:rsidRPr="004E461A">
        <w:rPr>
          <w:color w:val="000000"/>
          <w:szCs w:val="22"/>
        </w:rPr>
        <w:t>Ārstēšana jā</w:t>
      </w:r>
      <w:r w:rsidR="00E14A72" w:rsidRPr="004E461A">
        <w:rPr>
          <w:color w:val="000000"/>
          <w:szCs w:val="22"/>
        </w:rPr>
        <w:t>uz</w:t>
      </w:r>
      <w:r w:rsidRPr="004E461A">
        <w:rPr>
          <w:color w:val="000000"/>
          <w:szCs w:val="22"/>
        </w:rPr>
        <w:t>sāk tikai pacientiem ar stabilu sirds mazspēju. Ieteicams, lai ārstējošajam ārstam būtu pieredze hroniskas sirds mazspējas ārstēšanā.</w:t>
      </w:r>
    </w:p>
    <w:p w14:paraId="7064E6D5" w14:textId="77777777" w:rsidR="00B00F71" w:rsidRPr="004E461A" w:rsidRDefault="00B00F71" w:rsidP="009C5A02">
      <w:pPr>
        <w:spacing w:line="240" w:lineRule="auto"/>
        <w:jc w:val="both"/>
        <w:rPr>
          <w:color w:val="000000"/>
          <w:szCs w:val="22"/>
        </w:rPr>
      </w:pPr>
      <w:r w:rsidRPr="004E461A">
        <w:rPr>
          <w:color w:val="000000"/>
          <w:szCs w:val="22"/>
        </w:rPr>
        <w:t xml:space="preserve">Parastā ieteicamā </w:t>
      </w:r>
      <w:proofErr w:type="spellStart"/>
      <w:r w:rsidRPr="004E461A">
        <w:rPr>
          <w:color w:val="000000"/>
          <w:szCs w:val="22"/>
        </w:rPr>
        <w:t>ivabradīna</w:t>
      </w:r>
      <w:proofErr w:type="spellEnd"/>
      <w:r w:rsidRPr="004E461A">
        <w:rPr>
          <w:color w:val="000000"/>
          <w:szCs w:val="22"/>
        </w:rPr>
        <w:t xml:space="preserve"> sākuma deva ir 5 mg divas reizes dienā. Pēc divām ārstēšanas nedēļām, ja sirdsdarbības </w:t>
      </w:r>
      <w:r w:rsidR="00C255E0" w:rsidRPr="004E461A">
        <w:rPr>
          <w:color w:val="000000"/>
          <w:szCs w:val="22"/>
        </w:rPr>
        <w:t>frekvence</w:t>
      </w:r>
      <w:r w:rsidRPr="004E461A">
        <w:rPr>
          <w:color w:val="000000"/>
          <w:szCs w:val="22"/>
        </w:rPr>
        <w:t xml:space="preserve"> miera stāvoklī pastāvīgi ir </w:t>
      </w:r>
      <w:r w:rsidR="00C255E0" w:rsidRPr="004E461A">
        <w:rPr>
          <w:color w:val="000000"/>
          <w:szCs w:val="22"/>
        </w:rPr>
        <w:t xml:space="preserve">virs </w:t>
      </w:r>
      <w:r w:rsidRPr="004E461A">
        <w:rPr>
          <w:color w:val="000000"/>
          <w:szCs w:val="22"/>
        </w:rPr>
        <w:t>60 sitieniem minūtē, devu var palielināt līdz 7,5 mg divas reizes dienā</w:t>
      </w:r>
      <w:r w:rsidR="00E14A72" w:rsidRPr="004E461A">
        <w:rPr>
          <w:color w:val="000000"/>
          <w:szCs w:val="22"/>
        </w:rPr>
        <w:t>,</w:t>
      </w:r>
      <w:r w:rsidRPr="004E461A">
        <w:rPr>
          <w:color w:val="000000"/>
          <w:szCs w:val="22"/>
        </w:rPr>
        <w:t xml:space="preserve"> vai, ja sirdsdarbības </w:t>
      </w:r>
      <w:r w:rsidR="00CF1E9D" w:rsidRPr="004E461A">
        <w:rPr>
          <w:color w:val="000000"/>
          <w:szCs w:val="22"/>
        </w:rPr>
        <w:t>frekvence</w:t>
      </w:r>
      <w:r w:rsidRPr="004E461A">
        <w:rPr>
          <w:color w:val="000000"/>
          <w:szCs w:val="22"/>
        </w:rPr>
        <w:t xml:space="preserve"> miera stāvoklī pastāvīgi ir </w:t>
      </w:r>
      <w:r w:rsidR="00CF1E9D" w:rsidRPr="004E461A">
        <w:rPr>
          <w:color w:val="000000"/>
          <w:szCs w:val="22"/>
        </w:rPr>
        <w:t>zem</w:t>
      </w:r>
      <w:r w:rsidRPr="004E461A">
        <w:rPr>
          <w:color w:val="000000"/>
          <w:szCs w:val="22"/>
        </w:rPr>
        <w:t xml:space="preserve"> 50 sitieniem minūtē vai </w:t>
      </w:r>
      <w:r w:rsidR="00CF1E9D" w:rsidRPr="004E461A">
        <w:rPr>
          <w:color w:val="000000"/>
          <w:szCs w:val="22"/>
        </w:rPr>
        <w:t>ja rodas</w:t>
      </w:r>
      <w:r w:rsidRPr="004E461A">
        <w:rPr>
          <w:color w:val="000000"/>
          <w:szCs w:val="22"/>
        </w:rPr>
        <w:t xml:space="preserve"> ar bradikardiju saistīti simptomi, piemēram, reibonis, nogurums vai hipotensija, </w:t>
      </w:r>
      <w:r w:rsidR="00AB5116" w:rsidRPr="004E461A">
        <w:rPr>
          <w:color w:val="000000"/>
          <w:szCs w:val="22"/>
        </w:rPr>
        <w:t xml:space="preserve">devu var </w:t>
      </w:r>
      <w:r w:rsidRPr="004E461A">
        <w:rPr>
          <w:color w:val="000000"/>
          <w:szCs w:val="22"/>
        </w:rPr>
        <w:t xml:space="preserve">samazināt līdz 2,5 mg divas reizes dienā (puse no 5 mg tabletes divas reizes dienā). Ja sirdsdarbības </w:t>
      </w:r>
      <w:r w:rsidR="00AB5116" w:rsidRPr="004E461A">
        <w:rPr>
          <w:color w:val="000000"/>
          <w:szCs w:val="22"/>
        </w:rPr>
        <w:t>frekvence</w:t>
      </w:r>
      <w:r w:rsidRPr="004E461A">
        <w:rPr>
          <w:color w:val="000000"/>
          <w:szCs w:val="22"/>
        </w:rPr>
        <w:t xml:space="preserve"> ir no 50 līdz 60 sitieniem minūtē, jāturpina lietot devu 5 mg divas reizes dienā.</w:t>
      </w:r>
    </w:p>
    <w:p w14:paraId="69F87456" w14:textId="77777777" w:rsidR="00B00F71" w:rsidRPr="004E461A" w:rsidRDefault="00B00F71" w:rsidP="009C5A02">
      <w:pPr>
        <w:spacing w:line="240" w:lineRule="auto"/>
        <w:jc w:val="both"/>
        <w:rPr>
          <w:color w:val="000000"/>
          <w:szCs w:val="22"/>
        </w:rPr>
      </w:pPr>
      <w:r w:rsidRPr="004E461A">
        <w:rPr>
          <w:color w:val="000000"/>
          <w:szCs w:val="22"/>
        </w:rPr>
        <w:t xml:space="preserve">Ja pacientiem, kuri lieto 7,5 mg divas reizes dienā vai 5 mg divas reizes dienā, ārstēšanas laikā sirdsdarbības </w:t>
      </w:r>
      <w:r w:rsidR="00F1595E" w:rsidRPr="004E461A">
        <w:rPr>
          <w:color w:val="000000"/>
          <w:szCs w:val="22"/>
        </w:rPr>
        <w:t>frekvence</w:t>
      </w:r>
      <w:r w:rsidRPr="004E461A">
        <w:rPr>
          <w:color w:val="000000"/>
          <w:szCs w:val="22"/>
        </w:rPr>
        <w:t xml:space="preserve"> miera stāvoklī pastāvīgi kļūst lēnāk</w:t>
      </w:r>
      <w:r w:rsidR="00892E4E" w:rsidRPr="004E461A">
        <w:rPr>
          <w:color w:val="000000"/>
          <w:szCs w:val="22"/>
        </w:rPr>
        <w:t>a</w:t>
      </w:r>
      <w:r w:rsidRPr="004E461A">
        <w:rPr>
          <w:color w:val="000000"/>
          <w:szCs w:val="22"/>
        </w:rPr>
        <w:t xml:space="preserve"> par 50 sitieniem minūtē vai ja pacientam rodas simptomi, kas saistīti ar bradikardiju, deva jātitrē uz leju līdz nākamajai mazākajai devai. Ja pacients lieto 2,5 mg divas reizes dienā vai 5 mg divas reizes dienā un sirdsdarbības </w:t>
      </w:r>
      <w:r w:rsidR="00F1595E" w:rsidRPr="004E461A">
        <w:rPr>
          <w:color w:val="000000"/>
          <w:szCs w:val="22"/>
        </w:rPr>
        <w:t>frekvence</w:t>
      </w:r>
      <w:r w:rsidRPr="004E461A">
        <w:rPr>
          <w:color w:val="000000"/>
          <w:szCs w:val="22"/>
        </w:rPr>
        <w:t xml:space="preserve"> miera stāvoklī pastāvīgi p</w:t>
      </w:r>
      <w:r w:rsidR="001400C6" w:rsidRPr="004E461A">
        <w:rPr>
          <w:color w:val="000000"/>
          <w:szCs w:val="22"/>
        </w:rPr>
        <w:t>alielinās</w:t>
      </w:r>
      <w:r w:rsidRPr="004E461A">
        <w:rPr>
          <w:color w:val="000000"/>
          <w:szCs w:val="22"/>
        </w:rPr>
        <w:t xml:space="preserve"> virs 60 sitieniem minūtē, devu var titrēt uz augšu līdz nākamajai lielākajai devai.</w:t>
      </w:r>
    </w:p>
    <w:p w14:paraId="7B93E3ED" w14:textId="77777777" w:rsidR="00B00F71" w:rsidRPr="004E461A" w:rsidRDefault="00B00F71" w:rsidP="009C5A02">
      <w:pPr>
        <w:spacing w:line="240" w:lineRule="auto"/>
        <w:jc w:val="both"/>
        <w:rPr>
          <w:color w:val="000000"/>
          <w:szCs w:val="22"/>
        </w:rPr>
      </w:pPr>
      <w:r w:rsidRPr="004E461A">
        <w:rPr>
          <w:color w:val="000000"/>
          <w:szCs w:val="22"/>
        </w:rPr>
        <w:t>Ja sirdsdarbības</w:t>
      </w:r>
      <w:r w:rsidR="00431088" w:rsidRPr="004E461A">
        <w:rPr>
          <w:color w:val="000000"/>
          <w:szCs w:val="22"/>
        </w:rPr>
        <w:t xml:space="preserve"> </w:t>
      </w:r>
      <w:r w:rsidR="00D96B64" w:rsidRPr="004E461A">
        <w:rPr>
          <w:color w:val="000000"/>
          <w:szCs w:val="22"/>
        </w:rPr>
        <w:t>frekvence</w:t>
      </w:r>
      <w:r w:rsidR="00047156" w:rsidRPr="004E461A">
        <w:rPr>
          <w:sz w:val="24"/>
          <w:szCs w:val="24"/>
          <w:lang w:bidi="ar-MA"/>
        </w:rPr>
        <w:t xml:space="preserve"> </w:t>
      </w:r>
      <w:r w:rsidR="00047156" w:rsidRPr="004E461A">
        <w:rPr>
          <w:color w:val="000000"/>
          <w:szCs w:val="22"/>
        </w:rPr>
        <w:t>joprojām ir zem</w:t>
      </w:r>
      <w:r w:rsidRPr="004E461A">
        <w:rPr>
          <w:color w:val="000000"/>
          <w:szCs w:val="22"/>
        </w:rPr>
        <w:t xml:space="preserve"> 50 sitieniem minūtē</w:t>
      </w:r>
      <w:r w:rsidR="00047156" w:rsidRPr="004E461A">
        <w:rPr>
          <w:color w:val="000000"/>
          <w:szCs w:val="22"/>
        </w:rPr>
        <w:t>,</w:t>
      </w:r>
      <w:r w:rsidRPr="004E461A">
        <w:rPr>
          <w:color w:val="000000"/>
          <w:szCs w:val="22"/>
        </w:rPr>
        <w:t xml:space="preserve"> vai saglabājas bradikardijas simptomi, ārstēšana jāpārtrauc (skatīt 4.4. apakšpunktu).</w:t>
      </w:r>
    </w:p>
    <w:p w14:paraId="739BEF62" w14:textId="77777777" w:rsidR="00B00F71" w:rsidRPr="004E461A" w:rsidRDefault="00B00F71" w:rsidP="009C5A02">
      <w:pPr>
        <w:spacing w:line="240" w:lineRule="auto"/>
        <w:jc w:val="both"/>
        <w:rPr>
          <w:color w:val="000000"/>
          <w:szCs w:val="22"/>
        </w:rPr>
      </w:pPr>
    </w:p>
    <w:p w14:paraId="403B7F35" w14:textId="77777777" w:rsidR="00B00F71" w:rsidRPr="004E461A" w:rsidRDefault="00B00F71" w:rsidP="009C5A02">
      <w:pPr>
        <w:spacing w:line="240" w:lineRule="auto"/>
        <w:jc w:val="both"/>
        <w:rPr>
          <w:color w:val="000000"/>
          <w:szCs w:val="22"/>
        </w:rPr>
      </w:pPr>
      <w:r w:rsidRPr="004E461A">
        <w:rPr>
          <w:color w:val="000000"/>
          <w:position w:val="-1"/>
          <w:szCs w:val="22"/>
          <w:u w:val="single" w:color="000000"/>
        </w:rPr>
        <w:t>Īpašas pacientu grupas</w:t>
      </w:r>
    </w:p>
    <w:p w14:paraId="458BF0CA" w14:textId="77777777" w:rsidR="00B00F71" w:rsidRPr="004E461A" w:rsidRDefault="00B00F71" w:rsidP="009C5A02">
      <w:pPr>
        <w:spacing w:line="240" w:lineRule="auto"/>
        <w:jc w:val="both"/>
        <w:rPr>
          <w:color w:val="000000"/>
          <w:szCs w:val="22"/>
        </w:rPr>
      </w:pPr>
      <w:r w:rsidRPr="004E461A">
        <w:rPr>
          <w:i/>
          <w:color w:val="000000"/>
          <w:szCs w:val="22"/>
        </w:rPr>
        <w:t>Gados vecāki cilvēki</w:t>
      </w:r>
    </w:p>
    <w:p w14:paraId="24A15BBD" w14:textId="77777777" w:rsidR="00B00F71" w:rsidRPr="004E461A" w:rsidRDefault="00B00F71" w:rsidP="009C5A02">
      <w:pPr>
        <w:spacing w:line="240" w:lineRule="auto"/>
        <w:jc w:val="both"/>
        <w:rPr>
          <w:color w:val="000000"/>
          <w:szCs w:val="22"/>
        </w:rPr>
      </w:pPr>
      <w:r w:rsidRPr="004E461A">
        <w:rPr>
          <w:color w:val="000000"/>
          <w:szCs w:val="22"/>
        </w:rPr>
        <w:t>Pacientiem no 75 gadu vecuma jāapsver iespēja lietot mazāku sākuma devu (2,5 mg divas reizes dienā jeb pusi no 5 mg tabletes divas reizes dienā) pirms</w:t>
      </w:r>
      <w:r w:rsidR="00431088" w:rsidRPr="004E461A">
        <w:rPr>
          <w:color w:val="000000"/>
          <w:szCs w:val="22"/>
        </w:rPr>
        <w:t xml:space="preserve"> devas paaugstināšanas</w:t>
      </w:r>
      <w:r w:rsidRPr="004E461A">
        <w:rPr>
          <w:color w:val="000000"/>
          <w:szCs w:val="22"/>
        </w:rPr>
        <w:t>, ja tāda nepieciešama.</w:t>
      </w:r>
    </w:p>
    <w:p w14:paraId="5D4919C8" w14:textId="77777777" w:rsidR="00B00F71" w:rsidRPr="004E461A" w:rsidRDefault="00B00F71" w:rsidP="009C5A02">
      <w:pPr>
        <w:spacing w:line="240" w:lineRule="auto"/>
        <w:jc w:val="both"/>
        <w:rPr>
          <w:color w:val="000000"/>
          <w:szCs w:val="22"/>
        </w:rPr>
      </w:pPr>
    </w:p>
    <w:p w14:paraId="586EE95E" w14:textId="77777777" w:rsidR="00B00F71" w:rsidRPr="004E461A" w:rsidRDefault="00B00F71" w:rsidP="009C5A02">
      <w:pPr>
        <w:spacing w:line="240" w:lineRule="auto"/>
        <w:jc w:val="both"/>
        <w:rPr>
          <w:color w:val="000000"/>
          <w:szCs w:val="22"/>
        </w:rPr>
      </w:pPr>
      <w:r w:rsidRPr="004E461A">
        <w:rPr>
          <w:i/>
          <w:color w:val="000000"/>
          <w:szCs w:val="22"/>
        </w:rPr>
        <w:t>Nieru darbības traucējumi</w:t>
      </w:r>
    </w:p>
    <w:p w14:paraId="31FBA194" w14:textId="77777777" w:rsidR="00B00F71" w:rsidRPr="004E461A" w:rsidRDefault="00B00F71" w:rsidP="009C5A02">
      <w:pPr>
        <w:spacing w:line="240" w:lineRule="auto"/>
        <w:jc w:val="both"/>
        <w:rPr>
          <w:color w:val="000000"/>
          <w:szCs w:val="22"/>
        </w:rPr>
      </w:pPr>
      <w:r w:rsidRPr="004E461A">
        <w:rPr>
          <w:color w:val="000000"/>
          <w:szCs w:val="22"/>
        </w:rPr>
        <w:t>Pacientiem ar nieru mazspēju, kuriem kreatinīna klīrenss ir lielāks par 15 ml/min, devas pielāgošana nav nepieciešama (skatīt 5.2. apakšpunktu).</w:t>
      </w:r>
    </w:p>
    <w:p w14:paraId="1D7269DC" w14:textId="77777777" w:rsidR="00B00F71" w:rsidRPr="004E461A" w:rsidRDefault="00B00F71" w:rsidP="009C5A02">
      <w:pPr>
        <w:spacing w:line="240" w:lineRule="auto"/>
        <w:jc w:val="both"/>
        <w:rPr>
          <w:color w:val="000000"/>
          <w:szCs w:val="22"/>
        </w:rPr>
      </w:pPr>
      <w:r w:rsidRPr="004E461A">
        <w:rPr>
          <w:color w:val="000000"/>
          <w:szCs w:val="22"/>
        </w:rPr>
        <w:t xml:space="preserve">Nav pieejami dati par pacientiem, kuriem kreatinīna klīrenss ir mazāks par 15 ml/min, tāpēc </w:t>
      </w:r>
      <w:proofErr w:type="spellStart"/>
      <w:r w:rsidRPr="004E461A">
        <w:rPr>
          <w:color w:val="000000"/>
          <w:szCs w:val="22"/>
        </w:rPr>
        <w:t>ivabradīns</w:t>
      </w:r>
      <w:proofErr w:type="spellEnd"/>
      <w:r w:rsidRPr="004E461A">
        <w:rPr>
          <w:color w:val="000000"/>
          <w:szCs w:val="22"/>
        </w:rPr>
        <w:t xml:space="preserve"> šajā pacientu populācijā lietojams piesardzīgi.</w:t>
      </w:r>
    </w:p>
    <w:p w14:paraId="4953CE26" w14:textId="77777777" w:rsidR="00B00F71" w:rsidRPr="004E461A" w:rsidRDefault="00B00F71" w:rsidP="009C5A02">
      <w:pPr>
        <w:spacing w:line="240" w:lineRule="auto"/>
        <w:jc w:val="both"/>
        <w:rPr>
          <w:color w:val="000000"/>
          <w:szCs w:val="22"/>
        </w:rPr>
      </w:pPr>
    </w:p>
    <w:p w14:paraId="2F186E9C" w14:textId="77777777" w:rsidR="00B00F71" w:rsidRPr="004E461A" w:rsidRDefault="00B00F71" w:rsidP="009C5A02">
      <w:pPr>
        <w:spacing w:line="240" w:lineRule="auto"/>
        <w:jc w:val="both"/>
        <w:rPr>
          <w:color w:val="000000"/>
          <w:szCs w:val="22"/>
        </w:rPr>
      </w:pPr>
      <w:r w:rsidRPr="004E461A">
        <w:rPr>
          <w:i/>
          <w:color w:val="000000"/>
          <w:szCs w:val="22"/>
        </w:rPr>
        <w:t>Aknu darbības traucējumi</w:t>
      </w:r>
    </w:p>
    <w:p w14:paraId="5758123D" w14:textId="77777777" w:rsidR="00B00F71" w:rsidRPr="004E461A" w:rsidRDefault="00B00F71" w:rsidP="009C5A02">
      <w:pPr>
        <w:spacing w:line="240" w:lineRule="auto"/>
        <w:jc w:val="both"/>
        <w:rPr>
          <w:color w:val="000000"/>
          <w:szCs w:val="22"/>
        </w:rPr>
      </w:pPr>
      <w:r w:rsidRPr="004E461A">
        <w:rPr>
          <w:color w:val="000000"/>
          <w:szCs w:val="22"/>
        </w:rPr>
        <w:t xml:space="preserve">Pacientiem ar viegliem aknu darbības traucējumiem devas pielāgošana nav nepieciešama. Nozīmējot </w:t>
      </w:r>
      <w:proofErr w:type="spellStart"/>
      <w:r w:rsidRPr="004E461A">
        <w:rPr>
          <w:color w:val="000000"/>
          <w:szCs w:val="22"/>
        </w:rPr>
        <w:t>ivabradīnu</w:t>
      </w:r>
      <w:proofErr w:type="spellEnd"/>
      <w:r w:rsidRPr="004E461A">
        <w:rPr>
          <w:color w:val="000000"/>
          <w:szCs w:val="22"/>
        </w:rPr>
        <w:t xml:space="preserve"> pacientiem ar vidēji smagiem aknu darbības traucējumiem, jāievēro piesardzība. </w:t>
      </w:r>
      <w:proofErr w:type="spellStart"/>
      <w:r w:rsidRPr="004E461A">
        <w:rPr>
          <w:color w:val="000000"/>
          <w:szCs w:val="22"/>
        </w:rPr>
        <w:t>Ivabradīns</w:t>
      </w:r>
      <w:proofErr w:type="spellEnd"/>
      <w:r w:rsidRPr="004E461A">
        <w:rPr>
          <w:color w:val="000000"/>
          <w:szCs w:val="22"/>
        </w:rPr>
        <w:t xml:space="preserve"> ir </w:t>
      </w:r>
      <w:proofErr w:type="spellStart"/>
      <w:r w:rsidRPr="004E461A">
        <w:rPr>
          <w:color w:val="000000"/>
          <w:szCs w:val="22"/>
        </w:rPr>
        <w:t>kontrindicēts</w:t>
      </w:r>
      <w:proofErr w:type="spellEnd"/>
      <w:r w:rsidRPr="004E461A">
        <w:rPr>
          <w:color w:val="000000"/>
          <w:szCs w:val="22"/>
        </w:rPr>
        <w:t xml:space="preserve"> pacientiem ar smagu aknu mazspēju, jo </w:t>
      </w:r>
      <w:r w:rsidR="0061299A" w:rsidRPr="004E461A">
        <w:rPr>
          <w:color w:val="000000"/>
          <w:szCs w:val="22"/>
        </w:rPr>
        <w:t>nav veikti pētījumi</w:t>
      </w:r>
      <w:r w:rsidRPr="004E461A">
        <w:rPr>
          <w:color w:val="000000"/>
          <w:szCs w:val="22"/>
        </w:rPr>
        <w:t xml:space="preserve"> šajā populācijā un ir </w:t>
      </w:r>
      <w:r w:rsidR="00514157" w:rsidRPr="004E461A">
        <w:rPr>
          <w:color w:val="000000"/>
          <w:szCs w:val="22"/>
        </w:rPr>
        <w:t xml:space="preserve">iespējama nozīmīga </w:t>
      </w:r>
      <w:r w:rsidRPr="004E461A">
        <w:rPr>
          <w:color w:val="000000"/>
          <w:szCs w:val="22"/>
        </w:rPr>
        <w:t>sistēmiskās iedarbības pastiprināšanās (skatīt 4.3. un 5.2. apakšpunktu).</w:t>
      </w:r>
    </w:p>
    <w:p w14:paraId="68C09782" w14:textId="77777777" w:rsidR="00B00F71" w:rsidRPr="004E461A" w:rsidRDefault="00B00F71" w:rsidP="009C5A02">
      <w:pPr>
        <w:spacing w:line="240" w:lineRule="auto"/>
        <w:jc w:val="both"/>
        <w:rPr>
          <w:color w:val="000000"/>
          <w:szCs w:val="22"/>
        </w:rPr>
      </w:pPr>
    </w:p>
    <w:p w14:paraId="3F813EE7" w14:textId="77777777" w:rsidR="00B00F71" w:rsidRPr="004E461A" w:rsidRDefault="00B00F71" w:rsidP="009C5A02">
      <w:pPr>
        <w:tabs>
          <w:tab w:val="clear" w:pos="567"/>
        </w:tabs>
        <w:spacing w:line="240" w:lineRule="auto"/>
        <w:jc w:val="both"/>
        <w:rPr>
          <w:bCs/>
          <w:i/>
          <w:iCs/>
          <w:color w:val="000000"/>
          <w:szCs w:val="22"/>
        </w:rPr>
      </w:pPr>
      <w:r w:rsidRPr="004E461A">
        <w:rPr>
          <w:bCs/>
          <w:i/>
          <w:iCs/>
          <w:color w:val="000000"/>
          <w:szCs w:val="22"/>
        </w:rPr>
        <w:t>Pediatriskā populācija</w:t>
      </w:r>
    </w:p>
    <w:p w14:paraId="3B348527" w14:textId="77777777" w:rsidR="006F1008" w:rsidRPr="006F1008" w:rsidRDefault="006F1008" w:rsidP="006F1008">
      <w:pPr>
        <w:tabs>
          <w:tab w:val="clear" w:pos="567"/>
        </w:tabs>
        <w:spacing w:line="240" w:lineRule="auto"/>
        <w:jc w:val="both"/>
        <w:rPr>
          <w:color w:val="000000"/>
          <w:szCs w:val="22"/>
        </w:rPr>
      </w:pPr>
      <w:proofErr w:type="spellStart"/>
      <w:r w:rsidRPr="006F1008">
        <w:rPr>
          <w:color w:val="000000"/>
          <w:szCs w:val="22"/>
        </w:rPr>
        <w:t>Ivabradīna</w:t>
      </w:r>
      <w:proofErr w:type="spellEnd"/>
      <w:r w:rsidRPr="006F1008">
        <w:rPr>
          <w:color w:val="000000"/>
          <w:szCs w:val="22"/>
        </w:rPr>
        <w:t xml:space="preserve"> drošums un efektivitāte bērniem līdz 18 gadu vecumam nav noteikta.</w:t>
      </w:r>
    </w:p>
    <w:p w14:paraId="68E507F3" w14:textId="77777777" w:rsidR="006F1008" w:rsidRPr="006F1008" w:rsidRDefault="006F1008" w:rsidP="006F1008">
      <w:pPr>
        <w:tabs>
          <w:tab w:val="clear" w:pos="567"/>
        </w:tabs>
        <w:spacing w:line="240" w:lineRule="auto"/>
        <w:jc w:val="both"/>
        <w:rPr>
          <w:color w:val="000000"/>
          <w:szCs w:val="22"/>
        </w:rPr>
      </w:pPr>
      <w:r w:rsidRPr="006F1008">
        <w:rPr>
          <w:color w:val="000000"/>
          <w:szCs w:val="22"/>
        </w:rPr>
        <w:lastRenderedPageBreak/>
        <w:t>Pašlaik pieejamie dati hroniskas sirds mazspējas ārstēšanai ir aprakstīti 5.1. un 5.2. apakšpunktā, bet ieteikumus par devām sniegt nav iespējams.</w:t>
      </w:r>
    </w:p>
    <w:p w14:paraId="17856231" w14:textId="1E6195FF" w:rsidR="006F1008" w:rsidRPr="004E461A" w:rsidRDefault="006F1008" w:rsidP="006F1008">
      <w:pPr>
        <w:spacing w:line="240" w:lineRule="auto"/>
        <w:jc w:val="both"/>
        <w:rPr>
          <w:color w:val="000000"/>
          <w:szCs w:val="22"/>
        </w:rPr>
      </w:pPr>
      <w:r w:rsidRPr="006F1008">
        <w:rPr>
          <w:color w:val="000000"/>
          <w:szCs w:val="22"/>
        </w:rPr>
        <w:t>Nav pieejami dati par simptomātisku hroniskas stenokardijas ārstēšanu.</w:t>
      </w:r>
    </w:p>
    <w:p w14:paraId="78497C14" w14:textId="77777777" w:rsidR="00106DE1" w:rsidRPr="004E461A" w:rsidRDefault="00106DE1" w:rsidP="009C5A02">
      <w:pPr>
        <w:tabs>
          <w:tab w:val="clear" w:pos="567"/>
        </w:tabs>
        <w:spacing w:line="240" w:lineRule="auto"/>
        <w:jc w:val="both"/>
        <w:rPr>
          <w:b/>
          <w:i/>
          <w:color w:val="000000"/>
          <w:szCs w:val="22"/>
        </w:rPr>
      </w:pPr>
    </w:p>
    <w:p w14:paraId="3629F6A4" w14:textId="77777777" w:rsidR="0097548A" w:rsidRPr="004E461A" w:rsidRDefault="0097548A" w:rsidP="009C5A02">
      <w:pPr>
        <w:tabs>
          <w:tab w:val="clear" w:pos="567"/>
        </w:tabs>
        <w:spacing w:line="240" w:lineRule="auto"/>
        <w:jc w:val="both"/>
        <w:rPr>
          <w:color w:val="000000"/>
          <w:szCs w:val="22"/>
          <w:u w:val="single"/>
        </w:rPr>
      </w:pPr>
      <w:r w:rsidRPr="004E461A">
        <w:rPr>
          <w:color w:val="000000"/>
          <w:szCs w:val="22"/>
          <w:u w:val="single"/>
        </w:rPr>
        <w:t>Lietošanas veids</w:t>
      </w:r>
    </w:p>
    <w:p w14:paraId="02E7B04C" w14:textId="77777777" w:rsidR="001945B4" w:rsidRPr="004E461A" w:rsidRDefault="001945B4" w:rsidP="009C5A02">
      <w:pPr>
        <w:spacing w:line="240" w:lineRule="auto"/>
        <w:jc w:val="both"/>
        <w:rPr>
          <w:color w:val="000000"/>
          <w:szCs w:val="22"/>
        </w:rPr>
      </w:pPr>
      <w:r w:rsidRPr="004E461A">
        <w:rPr>
          <w:color w:val="000000"/>
          <w:szCs w:val="22"/>
        </w:rPr>
        <w:t>Tabletes jālieto iekšķīgi divas reizes dienā, t.i., no rīta un vakarā ēdienreižu laikā (skatīt 5.2. apakšpunktu).</w:t>
      </w:r>
    </w:p>
    <w:p w14:paraId="0D63085D" w14:textId="77777777" w:rsidR="00CD10AA" w:rsidRPr="004E461A" w:rsidRDefault="00CD10AA" w:rsidP="009C5A02">
      <w:pPr>
        <w:tabs>
          <w:tab w:val="clear" w:pos="567"/>
        </w:tabs>
        <w:spacing w:line="240" w:lineRule="auto"/>
        <w:jc w:val="both"/>
        <w:rPr>
          <w:color w:val="000000"/>
          <w:szCs w:val="22"/>
        </w:rPr>
      </w:pPr>
    </w:p>
    <w:p w14:paraId="2B448678"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4.3</w:t>
      </w:r>
      <w:r w:rsidR="004D591D" w:rsidRPr="004E461A">
        <w:rPr>
          <w:b/>
          <w:color w:val="000000"/>
          <w:szCs w:val="22"/>
        </w:rPr>
        <w:t>.</w:t>
      </w:r>
      <w:r w:rsidRPr="004E461A">
        <w:rPr>
          <w:b/>
          <w:color w:val="000000"/>
          <w:szCs w:val="22"/>
        </w:rPr>
        <w:tab/>
        <w:t>Kontrindikācijas</w:t>
      </w:r>
    </w:p>
    <w:p w14:paraId="7EE77A4A" w14:textId="77777777" w:rsidR="00DD5C34" w:rsidRPr="004E461A" w:rsidRDefault="00DD5C34" w:rsidP="009C5A02">
      <w:pPr>
        <w:tabs>
          <w:tab w:val="clear" w:pos="567"/>
        </w:tabs>
        <w:spacing w:line="240" w:lineRule="auto"/>
        <w:jc w:val="both"/>
        <w:rPr>
          <w:color w:val="000000"/>
          <w:szCs w:val="22"/>
        </w:rPr>
      </w:pPr>
    </w:p>
    <w:p w14:paraId="114B5AC7" w14:textId="77777777" w:rsidR="00CD10AA" w:rsidRPr="004E461A" w:rsidRDefault="00CD10AA" w:rsidP="009C5A02">
      <w:pPr>
        <w:numPr>
          <w:ilvl w:val="0"/>
          <w:numId w:val="31"/>
        </w:numPr>
        <w:tabs>
          <w:tab w:val="clear" w:pos="567"/>
          <w:tab w:val="left" w:pos="709"/>
        </w:tabs>
        <w:spacing w:line="240" w:lineRule="auto"/>
        <w:jc w:val="both"/>
        <w:rPr>
          <w:noProof/>
          <w:color w:val="000000"/>
          <w:szCs w:val="22"/>
        </w:rPr>
      </w:pPr>
      <w:r w:rsidRPr="004E461A">
        <w:rPr>
          <w:color w:val="000000"/>
          <w:szCs w:val="22"/>
        </w:rPr>
        <w:t xml:space="preserve">Paaugstināta jutība pret aktīvo vielu vai jebkuru no </w:t>
      </w:r>
      <w:r w:rsidR="00870E9B" w:rsidRPr="004E461A">
        <w:rPr>
          <w:color w:val="000000"/>
          <w:szCs w:val="22"/>
        </w:rPr>
        <w:t>6.1</w:t>
      </w:r>
      <w:r w:rsidR="004D591D" w:rsidRPr="004E461A">
        <w:rPr>
          <w:color w:val="000000"/>
          <w:szCs w:val="22"/>
        </w:rPr>
        <w:t>.</w:t>
      </w:r>
      <w:r w:rsidR="00870E9B" w:rsidRPr="004E461A">
        <w:rPr>
          <w:color w:val="000000"/>
          <w:szCs w:val="22"/>
        </w:rPr>
        <w:t xml:space="preserve"> apakšpunktā uzskaitītajām </w:t>
      </w:r>
      <w:r w:rsidRPr="004E461A">
        <w:rPr>
          <w:color w:val="000000"/>
          <w:szCs w:val="22"/>
        </w:rPr>
        <w:t>palīgvielām</w:t>
      </w:r>
      <w:r w:rsidR="00FD187E" w:rsidRPr="004E461A">
        <w:rPr>
          <w:noProof/>
          <w:color w:val="000000"/>
          <w:szCs w:val="22"/>
        </w:rPr>
        <w:t>.</w:t>
      </w:r>
    </w:p>
    <w:p w14:paraId="12E63B5E"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 xml:space="preserve">Sirdsdarbības </w:t>
      </w:r>
      <w:r w:rsidR="00991A58" w:rsidRPr="004E461A">
        <w:rPr>
          <w:color w:val="000000"/>
          <w:szCs w:val="22"/>
        </w:rPr>
        <w:t>frekvence</w:t>
      </w:r>
      <w:r w:rsidRPr="004E461A">
        <w:rPr>
          <w:color w:val="000000"/>
          <w:szCs w:val="22"/>
        </w:rPr>
        <w:t xml:space="preserve"> miera stāvoklī pirms ārstēšanas ir mazāk par 70 sitieniem minūtē.</w:t>
      </w:r>
    </w:p>
    <w:p w14:paraId="25804C08"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Kardiogēns šoks.</w:t>
      </w:r>
    </w:p>
    <w:p w14:paraId="45F1A24D"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Akūts miokarda infarkts.</w:t>
      </w:r>
    </w:p>
    <w:p w14:paraId="61EC442E"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 xml:space="preserve">Smaga hipotensija (&lt; 90/50 </w:t>
      </w:r>
      <w:proofErr w:type="spellStart"/>
      <w:r w:rsidRPr="004E461A">
        <w:rPr>
          <w:color w:val="000000"/>
          <w:szCs w:val="22"/>
        </w:rPr>
        <w:t>mmHg</w:t>
      </w:r>
      <w:proofErr w:type="spellEnd"/>
      <w:r w:rsidRPr="004E461A">
        <w:rPr>
          <w:color w:val="000000"/>
          <w:szCs w:val="22"/>
        </w:rPr>
        <w:t>).</w:t>
      </w:r>
    </w:p>
    <w:p w14:paraId="40007B3E"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Smaga aknu mazspēja.</w:t>
      </w:r>
    </w:p>
    <w:p w14:paraId="6D84CDE4"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Sinusa mezgla vājuma sindroms.</w:t>
      </w:r>
    </w:p>
    <w:p w14:paraId="1ADB91E6"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proofErr w:type="spellStart"/>
      <w:r w:rsidRPr="004E461A">
        <w:rPr>
          <w:color w:val="000000"/>
          <w:szCs w:val="22"/>
        </w:rPr>
        <w:t>Sinuatriāla</w:t>
      </w:r>
      <w:proofErr w:type="spellEnd"/>
      <w:r w:rsidRPr="004E461A">
        <w:rPr>
          <w:color w:val="000000"/>
          <w:szCs w:val="22"/>
        </w:rPr>
        <w:t xml:space="preserve"> blokāde.</w:t>
      </w:r>
    </w:p>
    <w:p w14:paraId="7478F7F2"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Nestabila vai akūta sirds mazspēja.</w:t>
      </w:r>
    </w:p>
    <w:p w14:paraId="5FCD057C"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Atkarība no elektrokardiostimulatora (sirds ritmu nodrošina tikai elektrokardiostimulators).</w:t>
      </w:r>
    </w:p>
    <w:p w14:paraId="57584894"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Nestabila stenokardija.</w:t>
      </w:r>
    </w:p>
    <w:p w14:paraId="70E52A22"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3. pakāpes AV blokāde.</w:t>
      </w:r>
    </w:p>
    <w:p w14:paraId="228E486C"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 xml:space="preserve">Lietošana vienlaicīgi ar spēcīgiem P450 3A4 inhibitoriem, piemēram, </w:t>
      </w:r>
      <w:proofErr w:type="spellStart"/>
      <w:r w:rsidRPr="004E461A">
        <w:rPr>
          <w:color w:val="000000"/>
          <w:szCs w:val="22"/>
        </w:rPr>
        <w:t>azolu</w:t>
      </w:r>
      <w:proofErr w:type="spellEnd"/>
      <w:r w:rsidRPr="004E461A">
        <w:rPr>
          <w:color w:val="000000"/>
          <w:szCs w:val="22"/>
        </w:rPr>
        <w:t xml:space="preserve"> grupas </w:t>
      </w:r>
      <w:proofErr w:type="spellStart"/>
      <w:r w:rsidRPr="004E461A">
        <w:rPr>
          <w:color w:val="000000"/>
          <w:szCs w:val="22"/>
        </w:rPr>
        <w:t>pretsēnīšu</w:t>
      </w:r>
      <w:proofErr w:type="spellEnd"/>
      <w:r w:rsidRPr="004E461A">
        <w:rPr>
          <w:color w:val="000000"/>
          <w:szCs w:val="22"/>
        </w:rPr>
        <w:t xml:space="preserve"> līdzekļiem (</w:t>
      </w:r>
      <w:proofErr w:type="spellStart"/>
      <w:r w:rsidRPr="004E461A">
        <w:rPr>
          <w:color w:val="000000"/>
          <w:szCs w:val="22"/>
        </w:rPr>
        <w:t>ketokonazols</w:t>
      </w:r>
      <w:proofErr w:type="spellEnd"/>
      <w:r w:rsidRPr="004E461A">
        <w:rPr>
          <w:color w:val="000000"/>
          <w:szCs w:val="22"/>
        </w:rPr>
        <w:t xml:space="preserve">, </w:t>
      </w:r>
      <w:proofErr w:type="spellStart"/>
      <w:r w:rsidRPr="004E461A">
        <w:rPr>
          <w:color w:val="000000"/>
          <w:szCs w:val="22"/>
        </w:rPr>
        <w:t>itrakonazols</w:t>
      </w:r>
      <w:proofErr w:type="spellEnd"/>
      <w:r w:rsidRPr="004E461A">
        <w:rPr>
          <w:color w:val="000000"/>
          <w:szCs w:val="22"/>
        </w:rPr>
        <w:t xml:space="preserve">), </w:t>
      </w:r>
      <w:proofErr w:type="spellStart"/>
      <w:r w:rsidRPr="004E461A">
        <w:rPr>
          <w:color w:val="000000"/>
          <w:szCs w:val="22"/>
        </w:rPr>
        <w:t>makrolīdu</w:t>
      </w:r>
      <w:proofErr w:type="spellEnd"/>
      <w:r w:rsidRPr="004E461A">
        <w:rPr>
          <w:color w:val="000000"/>
          <w:szCs w:val="22"/>
        </w:rPr>
        <w:t xml:space="preserve"> grupas antibiotiskajiem līdzekļiem (</w:t>
      </w:r>
      <w:proofErr w:type="spellStart"/>
      <w:r w:rsidRPr="004E461A">
        <w:rPr>
          <w:color w:val="000000"/>
          <w:szCs w:val="22"/>
        </w:rPr>
        <w:t>klaritromicīns</w:t>
      </w:r>
      <w:proofErr w:type="spellEnd"/>
      <w:r w:rsidRPr="004E461A">
        <w:rPr>
          <w:color w:val="000000"/>
          <w:szCs w:val="22"/>
        </w:rPr>
        <w:t xml:space="preserve">, iekšķīgi lietojams </w:t>
      </w:r>
      <w:proofErr w:type="spellStart"/>
      <w:r w:rsidRPr="004E461A">
        <w:rPr>
          <w:color w:val="000000"/>
          <w:szCs w:val="22"/>
        </w:rPr>
        <w:t>eritromicīns</w:t>
      </w:r>
      <w:proofErr w:type="spellEnd"/>
      <w:r w:rsidRPr="004E461A">
        <w:rPr>
          <w:color w:val="000000"/>
          <w:szCs w:val="22"/>
        </w:rPr>
        <w:t xml:space="preserve">, </w:t>
      </w:r>
      <w:proofErr w:type="spellStart"/>
      <w:r w:rsidRPr="004E461A">
        <w:rPr>
          <w:color w:val="000000"/>
          <w:szCs w:val="22"/>
        </w:rPr>
        <w:t>josamicīns</w:t>
      </w:r>
      <w:proofErr w:type="spellEnd"/>
      <w:r w:rsidRPr="004E461A">
        <w:rPr>
          <w:color w:val="000000"/>
          <w:szCs w:val="22"/>
        </w:rPr>
        <w:t xml:space="preserve">, </w:t>
      </w:r>
      <w:proofErr w:type="spellStart"/>
      <w:r w:rsidRPr="004E461A">
        <w:rPr>
          <w:color w:val="000000"/>
          <w:szCs w:val="22"/>
        </w:rPr>
        <w:t>telitromicīns</w:t>
      </w:r>
      <w:proofErr w:type="spellEnd"/>
      <w:r w:rsidRPr="004E461A">
        <w:rPr>
          <w:color w:val="000000"/>
          <w:szCs w:val="22"/>
        </w:rPr>
        <w:t xml:space="preserve">), HIV </w:t>
      </w:r>
      <w:proofErr w:type="spellStart"/>
      <w:r w:rsidRPr="004E461A">
        <w:rPr>
          <w:color w:val="000000"/>
          <w:szCs w:val="22"/>
        </w:rPr>
        <w:t>proteāzes</w:t>
      </w:r>
      <w:proofErr w:type="spellEnd"/>
      <w:r w:rsidRPr="004E461A">
        <w:rPr>
          <w:color w:val="000000"/>
          <w:szCs w:val="22"/>
        </w:rPr>
        <w:t xml:space="preserve"> inhibitoriem (</w:t>
      </w:r>
      <w:proofErr w:type="spellStart"/>
      <w:r w:rsidRPr="004E461A">
        <w:rPr>
          <w:color w:val="000000"/>
          <w:szCs w:val="22"/>
        </w:rPr>
        <w:t>nelfinavīrs</w:t>
      </w:r>
      <w:proofErr w:type="spellEnd"/>
      <w:r w:rsidRPr="004E461A">
        <w:rPr>
          <w:color w:val="000000"/>
          <w:szCs w:val="22"/>
        </w:rPr>
        <w:t xml:space="preserve">, </w:t>
      </w:r>
      <w:proofErr w:type="spellStart"/>
      <w:r w:rsidRPr="004E461A">
        <w:rPr>
          <w:color w:val="000000"/>
          <w:szCs w:val="22"/>
        </w:rPr>
        <w:t>ritonavīrs</w:t>
      </w:r>
      <w:proofErr w:type="spellEnd"/>
      <w:r w:rsidRPr="004E461A">
        <w:rPr>
          <w:color w:val="000000"/>
          <w:szCs w:val="22"/>
        </w:rPr>
        <w:t xml:space="preserve">) vai </w:t>
      </w:r>
      <w:proofErr w:type="spellStart"/>
      <w:r w:rsidRPr="004E461A">
        <w:rPr>
          <w:color w:val="000000"/>
          <w:szCs w:val="22"/>
        </w:rPr>
        <w:t>nefazodonu</w:t>
      </w:r>
      <w:proofErr w:type="spellEnd"/>
      <w:r w:rsidRPr="004E461A">
        <w:rPr>
          <w:color w:val="000000"/>
          <w:szCs w:val="22"/>
        </w:rPr>
        <w:t xml:space="preserve"> (skatīt 4.5. un 5.2. apakšpunktu).</w:t>
      </w:r>
    </w:p>
    <w:p w14:paraId="477D2AA1"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 xml:space="preserve">Lietošana kombinācijā ar </w:t>
      </w:r>
      <w:proofErr w:type="spellStart"/>
      <w:r w:rsidRPr="004E461A">
        <w:rPr>
          <w:color w:val="000000"/>
          <w:szCs w:val="22"/>
        </w:rPr>
        <w:t>verapamilu</w:t>
      </w:r>
      <w:proofErr w:type="spellEnd"/>
      <w:r w:rsidRPr="004E461A">
        <w:rPr>
          <w:color w:val="000000"/>
          <w:szCs w:val="22"/>
        </w:rPr>
        <w:t xml:space="preserve"> vai </w:t>
      </w:r>
      <w:proofErr w:type="spellStart"/>
      <w:r w:rsidRPr="004E461A">
        <w:rPr>
          <w:color w:val="000000"/>
          <w:szCs w:val="22"/>
        </w:rPr>
        <w:t>diltiazemu</w:t>
      </w:r>
      <w:proofErr w:type="spellEnd"/>
      <w:r w:rsidRPr="004E461A">
        <w:rPr>
          <w:color w:val="000000"/>
          <w:szCs w:val="22"/>
        </w:rPr>
        <w:t xml:space="preserve">, kas ir vidēji spēcīgi CYP3A4 inhibitori ar sirdsdarbības </w:t>
      </w:r>
      <w:r w:rsidR="0055610E" w:rsidRPr="004E461A">
        <w:rPr>
          <w:color w:val="000000"/>
          <w:szCs w:val="22"/>
        </w:rPr>
        <w:t>frekvenci</w:t>
      </w:r>
      <w:r w:rsidRPr="004E461A">
        <w:rPr>
          <w:color w:val="000000"/>
          <w:szCs w:val="22"/>
        </w:rPr>
        <w:t xml:space="preserve"> palēninošām īpašībām (skatīt 4.5. apakšpunktu).</w:t>
      </w:r>
    </w:p>
    <w:p w14:paraId="27D942B3" w14:textId="77777777" w:rsidR="00DD5C34" w:rsidRPr="004E461A" w:rsidRDefault="00DD5C34" w:rsidP="009C5A02">
      <w:pPr>
        <w:numPr>
          <w:ilvl w:val="0"/>
          <w:numId w:val="31"/>
        </w:numPr>
        <w:tabs>
          <w:tab w:val="clear" w:pos="567"/>
          <w:tab w:val="left" w:pos="709"/>
        </w:tabs>
        <w:spacing w:line="240" w:lineRule="auto"/>
        <w:jc w:val="both"/>
        <w:rPr>
          <w:color w:val="000000"/>
          <w:szCs w:val="22"/>
        </w:rPr>
      </w:pPr>
      <w:r w:rsidRPr="004E461A">
        <w:rPr>
          <w:color w:val="000000"/>
          <w:szCs w:val="22"/>
        </w:rPr>
        <w:t>Grūtniecība, barošana ar krūti un sievietes reproduktīvā vecumā, kuras nelieto atbilstošas kontracepcijas metodes (skatīt 4.6. apakšpunktu).</w:t>
      </w:r>
    </w:p>
    <w:p w14:paraId="54E08932" w14:textId="77777777" w:rsidR="00CD10AA" w:rsidRPr="004E461A" w:rsidRDefault="00CD10AA" w:rsidP="009C5A02">
      <w:pPr>
        <w:tabs>
          <w:tab w:val="clear" w:pos="567"/>
        </w:tabs>
        <w:spacing w:line="240" w:lineRule="auto"/>
        <w:jc w:val="both"/>
        <w:rPr>
          <w:color w:val="000000"/>
          <w:szCs w:val="22"/>
        </w:rPr>
      </w:pPr>
    </w:p>
    <w:p w14:paraId="44FC1789"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4.4</w:t>
      </w:r>
      <w:r w:rsidR="004D591D" w:rsidRPr="004E461A">
        <w:rPr>
          <w:b/>
          <w:color w:val="000000"/>
          <w:szCs w:val="22"/>
        </w:rPr>
        <w:t>.</w:t>
      </w:r>
      <w:r w:rsidRPr="004E461A">
        <w:rPr>
          <w:b/>
          <w:color w:val="000000"/>
          <w:szCs w:val="22"/>
        </w:rPr>
        <w:tab/>
        <w:t>Īpaši brīdinājumi un piesardzība lietošanā</w:t>
      </w:r>
    </w:p>
    <w:p w14:paraId="161FAA7B" w14:textId="77777777" w:rsidR="0097548A" w:rsidRPr="004E461A" w:rsidRDefault="0097548A" w:rsidP="009C5A02">
      <w:pPr>
        <w:tabs>
          <w:tab w:val="clear" w:pos="567"/>
        </w:tabs>
        <w:spacing w:line="240" w:lineRule="auto"/>
        <w:jc w:val="both"/>
        <w:rPr>
          <w:color w:val="000000"/>
          <w:szCs w:val="22"/>
        </w:rPr>
      </w:pPr>
    </w:p>
    <w:p w14:paraId="28D2B5D2" w14:textId="77777777" w:rsidR="003E5910" w:rsidRPr="004E461A" w:rsidRDefault="003E5910" w:rsidP="009C5A02">
      <w:pPr>
        <w:spacing w:line="240" w:lineRule="auto"/>
        <w:jc w:val="both"/>
        <w:rPr>
          <w:i/>
          <w:color w:val="000000"/>
          <w:szCs w:val="22"/>
        </w:rPr>
      </w:pPr>
      <w:r w:rsidRPr="004E461A">
        <w:rPr>
          <w:i/>
          <w:iCs/>
          <w:color w:val="000000"/>
          <w:szCs w:val="22"/>
        </w:rPr>
        <w:t>Nelabvēlīga ietekme uz klīnisko iznākumu</w:t>
      </w:r>
      <w:r w:rsidRPr="004E461A">
        <w:rPr>
          <w:i/>
          <w:color w:val="000000"/>
          <w:szCs w:val="22"/>
        </w:rPr>
        <w:t xml:space="preserve"> pacientiem ar simptomātisku hronisku stabilu stenokardiju</w:t>
      </w:r>
    </w:p>
    <w:p w14:paraId="3695F994" w14:textId="16DF2092" w:rsidR="003E5910" w:rsidRPr="004E461A" w:rsidRDefault="003E5910"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indicēts tikai hroniskas stabilas stenokardijas simptomātiskai ārstēšanai, jo </w:t>
      </w:r>
      <w:proofErr w:type="spellStart"/>
      <w:r w:rsidRPr="004E461A">
        <w:rPr>
          <w:color w:val="000000"/>
          <w:szCs w:val="22"/>
        </w:rPr>
        <w:t>ivabradīnam</w:t>
      </w:r>
      <w:proofErr w:type="spellEnd"/>
      <w:r w:rsidRPr="004E461A">
        <w:rPr>
          <w:color w:val="000000"/>
          <w:szCs w:val="22"/>
        </w:rPr>
        <w:t xml:space="preserve"> nav pierādīta</w:t>
      </w:r>
      <w:r w:rsidRPr="004E461A" w:rsidDel="00C22BBF">
        <w:rPr>
          <w:color w:val="000000"/>
          <w:szCs w:val="22"/>
        </w:rPr>
        <w:t xml:space="preserve"> </w:t>
      </w:r>
      <w:r w:rsidRPr="004E461A">
        <w:rPr>
          <w:color w:val="000000"/>
          <w:szCs w:val="22"/>
        </w:rPr>
        <w:t>labvēlīga ietekmē uz kardiovaskulāru iznākumu</w:t>
      </w:r>
      <w:r w:rsidR="006F1008">
        <w:rPr>
          <w:color w:val="000000"/>
          <w:szCs w:val="22"/>
        </w:rPr>
        <w:t>,</w:t>
      </w:r>
      <w:r w:rsidRPr="004E461A">
        <w:rPr>
          <w:color w:val="000000"/>
          <w:szCs w:val="22"/>
        </w:rPr>
        <w:t xml:space="preserve"> piemēram, miokarda infarkts vai kardiovaskulārā nāve (skatīt 5.1. apakšpunktu).</w:t>
      </w:r>
    </w:p>
    <w:p w14:paraId="329476C3" w14:textId="77777777" w:rsidR="003E5910" w:rsidRPr="004E461A" w:rsidRDefault="003E5910" w:rsidP="009C5A02">
      <w:pPr>
        <w:spacing w:line="240" w:lineRule="auto"/>
        <w:jc w:val="both"/>
        <w:rPr>
          <w:color w:val="000000"/>
          <w:szCs w:val="22"/>
        </w:rPr>
      </w:pPr>
    </w:p>
    <w:p w14:paraId="049CE212" w14:textId="77777777" w:rsidR="003E5910" w:rsidRPr="004E461A" w:rsidRDefault="003E5910" w:rsidP="009C5A02">
      <w:pPr>
        <w:spacing w:line="240" w:lineRule="auto"/>
        <w:jc w:val="both"/>
        <w:rPr>
          <w:color w:val="000000"/>
          <w:szCs w:val="22"/>
        </w:rPr>
      </w:pPr>
      <w:r w:rsidRPr="004E461A">
        <w:rPr>
          <w:i/>
          <w:iCs/>
          <w:color w:val="000000"/>
          <w:szCs w:val="22"/>
        </w:rPr>
        <w:t xml:space="preserve">Sirdsdarbības </w:t>
      </w:r>
      <w:r w:rsidR="000B1F30" w:rsidRPr="004E461A">
        <w:rPr>
          <w:i/>
          <w:iCs/>
          <w:color w:val="000000"/>
          <w:szCs w:val="22"/>
        </w:rPr>
        <w:t>frekvences</w:t>
      </w:r>
      <w:r w:rsidRPr="004E461A">
        <w:rPr>
          <w:i/>
          <w:color w:val="000000"/>
          <w:szCs w:val="22"/>
        </w:rPr>
        <w:t xml:space="preserve"> mērījumi</w:t>
      </w:r>
    </w:p>
    <w:p w14:paraId="11998E1B" w14:textId="77777777" w:rsidR="003E5910" w:rsidRPr="004E461A" w:rsidRDefault="003E5910" w:rsidP="009C5A02">
      <w:pPr>
        <w:spacing w:line="240" w:lineRule="auto"/>
        <w:jc w:val="both"/>
        <w:rPr>
          <w:color w:val="000000"/>
          <w:szCs w:val="22"/>
        </w:rPr>
      </w:pPr>
      <w:r w:rsidRPr="004E461A">
        <w:rPr>
          <w:color w:val="000000"/>
          <w:szCs w:val="22"/>
        </w:rPr>
        <w:t xml:space="preserve">Ņemot vērā, ka laika gaitā ir iespējamas vērā ņemamas sirdsdarbības </w:t>
      </w:r>
      <w:r w:rsidR="000B1F30" w:rsidRPr="004E461A">
        <w:rPr>
          <w:color w:val="000000"/>
          <w:szCs w:val="22"/>
        </w:rPr>
        <w:t>frekvences</w:t>
      </w:r>
      <w:r w:rsidRPr="004E461A">
        <w:rPr>
          <w:color w:val="000000"/>
          <w:szCs w:val="22"/>
        </w:rPr>
        <w:t xml:space="preserve"> svārstības, nosakot sirdsdarbības </w:t>
      </w:r>
      <w:r w:rsidR="00796B9B" w:rsidRPr="004E461A">
        <w:rPr>
          <w:color w:val="000000"/>
          <w:szCs w:val="22"/>
        </w:rPr>
        <w:t>frekvenci</w:t>
      </w:r>
      <w:r w:rsidRPr="004E461A">
        <w:rPr>
          <w:color w:val="000000"/>
          <w:szCs w:val="22"/>
        </w:rPr>
        <w:t xml:space="preserve"> pirms </w:t>
      </w:r>
      <w:proofErr w:type="spellStart"/>
      <w:r w:rsidRPr="004E461A">
        <w:rPr>
          <w:color w:val="000000"/>
          <w:szCs w:val="22"/>
        </w:rPr>
        <w:t>ivabradīna</w:t>
      </w:r>
      <w:proofErr w:type="spellEnd"/>
      <w:r w:rsidRPr="004E461A">
        <w:rPr>
          <w:color w:val="000000"/>
          <w:szCs w:val="22"/>
        </w:rPr>
        <w:t xml:space="preserve"> terapijas uzsākšanas un palielinot devu </w:t>
      </w:r>
      <w:proofErr w:type="spellStart"/>
      <w:r w:rsidRPr="004E461A">
        <w:rPr>
          <w:color w:val="000000"/>
          <w:szCs w:val="22"/>
        </w:rPr>
        <w:t>ivabradīna</w:t>
      </w:r>
      <w:proofErr w:type="spellEnd"/>
      <w:r w:rsidRPr="004E461A">
        <w:rPr>
          <w:color w:val="000000"/>
          <w:szCs w:val="22"/>
        </w:rPr>
        <w:t xml:space="preserve"> terapijas laikā, ir jāapsver </w:t>
      </w:r>
      <w:r w:rsidR="008E1135" w:rsidRPr="004E461A">
        <w:rPr>
          <w:color w:val="000000"/>
          <w:szCs w:val="22"/>
        </w:rPr>
        <w:t>periodiska</w:t>
      </w:r>
      <w:r w:rsidRPr="004E461A">
        <w:rPr>
          <w:color w:val="000000"/>
          <w:szCs w:val="22"/>
        </w:rPr>
        <w:t xml:space="preserve"> sirdsdarbības </w:t>
      </w:r>
      <w:r w:rsidR="008E1135" w:rsidRPr="004E461A">
        <w:rPr>
          <w:color w:val="000000"/>
          <w:szCs w:val="22"/>
        </w:rPr>
        <w:t>frekvences</w:t>
      </w:r>
      <w:r w:rsidRPr="004E461A">
        <w:rPr>
          <w:color w:val="000000"/>
          <w:szCs w:val="22"/>
        </w:rPr>
        <w:t xml:space="preserve"> noteikšana, EKG vai ambulatora 24 stundu novērošana. Tas attiecas arī uz pacientiem ar lēnu sirdsdarbības </w:t>
      </w:r>
      <w:r w:rsidR="008E1135" w:rsidRPr="004E461A">
        <w:rPr>
          <w:color w:val="000000"/>
          <w:szCs w:val="22"/>
        </w:rPr>
        <w:t>frekvenci</w:t>
      </w:r>
      <w:r w:rsidRPr="004E461A">
        <w:rPr>
          <w:color w:val="000000"/>
          <w:szCs w:val="22"/>
        </w:rPr>
        <w:t>, īpaši, ja sirdsdarbības ātrums kļūst lēnāks par 50 sitieniem minūtē, kā arī pēc devas samazināšanas (skatīt 4.2. apakšpunktu).</w:t>
      </w:r>
    </w:p>
    <w:p w14:paraId="4AED52D0" w14:textId="77777777" w:rsidR="00CD10AA" w:rsidRPr="004E461A" w:rsidRDefault="00CD10AA" w:rsidP="009C5A02">
      <w:pPr>
        <w:tabs>
          <w:tab w:val="clear" w:pos="567"/>
        </w:tabs>
        <w:spacing w:line="240" w:lineRule="auto"/>
        <w:jc w:val="both"/>
        <w:rPr>
          <w:color w:val="000000"/>
          <w:szCs w:val="22"/>
        </w:rPr>
      </w:pPr>
    </w:p>
    <w:p w14:paraId="0D8EC776" w14:textId="77777777" w:rsidR="0088703C" w:rsidRPr="004E461A" w:rsidRDefault="0088703C" w:rsidP="009C5A02">
      <w:pPr>
        <w:spacing w:line="240" w:lineRule="auto"/>
        <w:jc w:val="both"/>
        <w:rPr>
          <w:i/>
          <w:color w:val="000000"/>
        </w:rPr>
      </w:pPr>
      <w:r w:rsidRPr="004E461A">
        <w:rPr>
          <w:i/>
          <w:iCs/>
          <w:color w:val="000000"/>
          <w:szCs w:val="22"/>
        </w:rPr>
        <w:t>Sirds aritmijas</w:t>
      </w:r>
    </w:p>
    <w:p w14:paraId="3986C1CD" w14:textId="77777777" w:rsidR="0088703C" w:rsidRPr="004E461A" w:rsidRDefault="0088703C"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nav efektīvs sirds aritmiju ārstēšanā vai profilaksē un, iespējams, zaudē savu efektivitāti, ja rodas </w:t>
      </w:r>
      <w:proofErr w:type="spellStart"/>
      <w:r w:rsidRPr="004E461A">
        <w:rPr>
          <w:color w:val="000000"/>
          <w:szCs w:val="22"/>
        </w:rPr>
        <w:t>tahiaritmija</w:t>
      </w:r>
      <w:proofErr w:type="spellEnd"/>
      <w:r w:rsidRPr="004E461A">
        <w:rPr>
          <w:color w:val="000000"/>
          <w:szCs w:val="22"/>
        </w:rPr>
        <w:t xml:space="preserve"> (piemēram, </w:t>
      </w:r>
      <w:proofErr w:type="spellStart"/>
      <w:r w:rsidRPr="004E461A">
        <w:rPr>
          <w:color w:val="000000"/>
          <w:szCs w:val="22"/>
        </w:rPr>
        <w:t>ventrikulāra</w:t>
      </w:r>
      <w:proofErr w:type="spellEnd"/>
      <w:r w:rsidRPr="004E461A">
        <w:rPr>
          <w:color w:val="000000"/>
          <w:szCs w:val="22"/>
        </w:rPr>
        <w:t xml:space="preserve"> vai </w:t>
      </w:r>
      <w:proofErr w:type="spellStart"/>
      <w:r w:rsidRPr="004E461A">
        <w:rPr>
          <w:color w:val="000000"/>
          <w:szCs w:val="22"/>
        </w:rPr>
        <w:t>supraventrikulāra</w:t>
      </w:r>
      <w:proofErr w:type="spellEnd"/>
      <w:r w:rsidRPr="004E461A">
        <w:rPr>
          <w:color w:val="000000"/>
          <w:szCs w:val="22"/>
        </w:rPr>
        <w:t xml:space="preserve"> tahikardija). Šo iemeslu dēļ </w:t>
      </w:r>
      <w:proofErr w:type="spellStart"/>
      <w:r w:rsidRPr="004E461A">
        <w:rPr>
          <w:color w:val="000000"/>
          <w:szCs w:val="22"/>
        </w:rPr>
        <w:t>ivabradīnu</w:t>
      </w:r>
      <w:proofErr w:type="spellEnd"/>
      <w:r w:rsidRPr="004E461A">
        <w:rPr>
          <w:color w:val="000000"/>
          <w:szCs w:val="22"/>
        </w:rPr>
        <w:t xml:space="preserve"> nav ieteicams lietot pacientiem ar priekškambaru </w:t>
      </w:r>
      <w:r w:rsidR="00D22029" w:rsidRPr="004E461A">
        <w:rPr>
          <w:color w:val="000000"/>
          <w:szCs w:val="22"/>
        </w:rPr>
        <w:t>fibrilāciju</w:t>
      </w:r>
      <w:r w:rsidRPr="004E461A">
        <w:rPr>
          <w:color w:val="000000"/>
          <w:szCs w:val="22"/>
        </w:rPr>
        <w:t xml:space="preserve"> vai cita veida sirds aritmiju, kas ietekmē sinusa mezgla funkciju.</w:t>
      </w:r>
    </w:p>
    <w:p w14:paraId="01C59757" w14:textId="77777777" w:rsidR="0088703C" w:rsidRPr="004E461A" w:rsidRDefault="0088703C" w:rsidP="009C5A02">
      <w:pPr>
        <w:spacing w:line="240" w:lineRule="auto"/>
        <w:jc w:val="both"/>
        <w:rPr>
          <w:color w:val="000000"/>
        </w:rPr>
      </w:pPr>
      <w:r w:rsidRPr="004E461A">
        <w:rPr>
          <w:color w:val="000000"/>
          <w:szCs w:val="22"/>
        </w:rPr>
        <w:t xml:space="preserve">Ar </w:t>
      </w:r>
      <w:proofErr w:type="spellStart"/>
      <w:r w:rsidRPr="004E461A">
        <w:rPr>
          <w:color w:val="000000"/>
          <w:szCs w:val="22"/>
        </w:rPr>
        <w:t>ivabradīnu</w:t>
      </w:r>
      <w:proofErr w:type="spellEnd"/>
      <w:r w:rsidRPr="004E461A">
        <w:rPr>
          <w:color w:val="000000"/>
          <w:szCs w:val="22"/>
        </w:rPr>
        <w:t xml:space="preserve"> ārstētiem pacientiem ir palielināts priekškambaru </w:t>
      </w:r>
      <w:r w:rsidR="00D22029" w:rsidRPr="004E461A">
        <w:rPr>
          <w:color w:val="000000"/>
          <w:szCs w:val="22"/>
        </w:rPr>
        <w:t>fibrilācijas</w:t>
      </w:r>
      <w:r w:rsidRPr="004E461A">
        <w:rPr>
          <w:color w:val="000000"/>
          <w:szCs w:val="22"/>
        </w:rPr>
        <w:t xml:space="preserve"> risks (skatīt 4.8. apakšpunktu). Priekškambaru </w:t>
      </w:r>
      <w:r w:rsidR="00B94087" w:rsidRPr="004E461A">
        <w:rPr>
          <w:color w:val="000000"/>
          <w:szCs w:val="22"/>
        </w:rPr>
        <w:t>fibrilācija</w:t>
      </w:r>
      <w:r w:rsidRPr="004E461A">
        <w:rPr>
          <w:color w:val="000000"/>
          <w:szCs w:val="22"/>
        </w:rPr>
        <w:t xml:space="preserve"> biežāk rodas pacientiem, kuri vienlaicīgi lieto amiodaronu vai spēcīgus I </w:t>
      </w:r>
      <w:r w:rsidR="00B94087" w:rsidRPr="004E461A">
        <w:rPr>
          <w:color w:val="000000"/>
          <w:szCs w:val="22"/>
        </w:rPr>
        <w:t>k</w:t>
      </w:r>
      <w:r w:rsidR="00DC0582" w:rsidRPr="004E461A">
        <w:rPr>
          <w:color w:val="000000"/>
          <w:szCs w:val="22"/>
        </w:rPr>
        <w:t xml:space="preserve">lases </w:t>
      </w:r>
      <w:r w:rsidRPr="004E461A">
        <w:rPr>
          <w:color w:val="000000"/>
          <w:szCs w:val="22"/>
        </w:rPr>
        <w:t xml:space="preserve">antiaritmiskos līdzekļus. Ieteicams regulāri klīniski novērot, vai </w:t>
      </w:r>
      <w:proofErr w:type="spellStart"/>
      <w:r w:rsidRPr="004E461A">
        <w:rPr>
          <w:color w:val="000000"/>
          <w:szCs w:val="22"/>
        </w:rPr>
        <w:t>ivabradīnu</w:t>
      </w:r>
      <w:proofErr w:type="spellEnd"/>
      <w:r w:rsidRPr="004E461A">
        <w:rPr>
          <w:color w:val="000000"/>
          <w:szCs w:val="22"/>
        </w:rPr>
        <w:t xml:space="preserve"> lietojošiem pacientiem nerodas priekškambaru</w:t>
      </w:r>
      <w:r w:rsidR="00B14CD8" w:rsidRPr="004E461A">
        <w:rPr>
          <w:color w:val="000000"/>
          <w:szCs w:val="22"/>
        </w:rPr>
        <w:t xml:space="preserve"> </w:t>
      </w:r>
      <w:proofErr w:type="spellStart"/>
      <w:r w:rsidR="00B14CD8" w:rsidRPr="004E461A">
        <w:rPr>
          <w:color w:val="000000"/>
          <w:szCs w:val="22"/>
        </w:rPr>
        <w:t>fibrilācija</w:t>
      </w:r>
      <w:proofErr w:type="spellEnd"/>
      <w:r w:rsidRPr="004E461A">
        <w:rPr>
          <w:color w:val="000000"/>
          <w:szCs w:val="22"/>
        </w:rPr>
        <w:t xml:space="preserve"> (pastāvīga vai </w:t>
      </w:r>
      <w:proofErr w:type="spellStart"/>
      <w:r w:rsidRPr="004E461A">
        <w:rPr>
          <w:color w:val="000000"/>
          <w:szCs w:val="22"/>
        </w:rPr>
        <w:t>paroksismāla</w:t>
      </w:r>
      <w:proofErr w:type="spellEnd"/>
      <w:r w:rsidRPr="004E461A">
        <w:rPr>
          <w:color w:val="000000"/>
          <w:szCs w:val="22"/>
        </w:rPr>
        <w:t xml:space="preserve">), kas ietver arī EKG, ja tas ir klīniski indicēts (piemēram, stenokardijas pasliktināšanās, </w:t>
      </w:r>
      <w:r w:rsidR="009C5A02" w:rsidRPr="004E461A">
        <w:rPr>
          <w:color w:val="000000"/>
          <w:szCs w:val="22"/>
        </w:rPr>
        <w:t>sirdsklauvju</w:t>
      </w:r>
      <w:r w:rsidRPr="004E461A">
        <w:rPr>
          <w:color w:val="000000"/>
          <w:szCs w:val="22"/>
        </w:rPr>
        <w:t>, neregulāra pulsa gadījumā).</w:t>
      </w:r>
    </w:p>
    <w:p w14:paraId="144B8B1F" w14:textId="77777777" w:rsidR="0088703C" w:rsidRPr="004E461A" w:rsidRDefault="0088703C" w:rsidP="009C5A02">
      <w:pPr>
        <w:spacing w:line="240" w:lineRule="auto"/>
        <w:jc w:val="both"/>
        <w:rPr>
          <w:color w:val="000000"/>
          <w:szCs w:val="22"/>
        </w:rPr>
      </w:pPr>
      <w:r w:rsidRPr="004E461A">
        <w:rPr>
          <w:color w:val="000000"/>
          <w:szCs w:val="22"/>
        </w:rPr>
        <w:t xml:space="preserve">Pacienti jāinformē par priekškambaru </w:t>
      </w:r>
      <w:r w:rsidR="00B14CD8" w:rsidRPr="004E461A">
        <w:rPr>
          <w:color w:val="000000"/>
          <w:szCs w:val="22"/>
        </w:rPr>
        <w:t>fibrilācijas</w:t>
      </w:r>
      <w:r w:rsidRPr="004E461A">
        <w:rPr>
          <w:color w:val="000000"/>
          <w:szCs w:val="22"/>
        </w:rPr>
        <w:t xml:space="preserve"> pazīmēm un simptomiem, un viņiem jāiesaka sazināties ar ārstu, ja tādi rodas.</w:t>
      </w:r>
    </w:p>
    <w:p w14:paraId="3124E5AD" w14:textId="77777777" w:rsidR="0088703C" w:rsidRPr="004E461A" w:rsidRDefault="0088703C" w:rsidP="009C5A02">
      <w:pPr>
        <w:spacing w:line="240" w:lineRule="auto"/>
        <w:jc w:val="both"/>
        <w:rPr>
          <w:color w:val="000000"/>
          <w:szCs w:val="22"/>
        </w:rPr>
      </w:pPr>
      <w:r w:rsidRPr="004E461A">
        <w:rPr>
          <w:color w:val="000000"/>
          <w:szCs w:val="22"/>
        </w:rPr>
        <w:lastRenderedPageBreak/>
        <w:t xml:space="preserve">Ja ārstēšanas laikā rodas priekškambaru </w:t>
      </w:r>
      <w:r w:rsidR="00AF7829" w:rsidRPr="004E461A">
        <w:rPr>
          <w:color w:val="000000"/>
          <w:szCs w:val="22"/>
        </w:rPr>
        <w:t>fibrilācija</w:t>
      </w:r>
      <w:r w:rsidRPr="004E461A">
        <w:rPr>
          <w:color w:val="000000"/>
          <w:szCs w:val="22"/>
        </w:rPr>
        <w:t xml:space="preserve">, rūpīgi jāizvērtē turpmākas </w:t>
      </w:r>
      <w:proofErr w:type="spellStart"/>
      <w:r w:rsidRPr="004E461A">
        <w:rPr>
          <w:color w:val="000000"/>
          <w:szCs w:val="22"/>
        </w:rPr>
        <w:t>ivabradīna</w:t>
      </w:r>
      <w:proofErr w:type="spellEnd"/>
      <w:r w:rsidRPr="004E461A">
        <w:rPr>
          <w:color w:val="000000"/>
          <w:szCs w:val="22"/>
        </w:rPr>
        <w:t xml:space="preserve"> terapijas radītā ieguvuma un riska līdzsvars.</w:t>
      </w:r>
    </w:p>
    <w:p w14:paraId="6F8BFE47" w14:textId="77777777" w:rsidR="0088703C" w:rsidRPr="004E461A" w:rsidRDefault="0088703C" w:rsidP="009C5A02">
      <w:pPr>
        <w:spacing w:line="240" w:lineRule="auto"/>
        <w:jc w:val="both"/>
        <w:rPr>
          <w:color w:val="000000"/>
        </w:rPr>
      </w:pPr>
      <w:r w:rsidRPr="004E461A">
        <w:rPr>
          <w:color w:val="000000"/>
          <w:szCs w:val="22"/>
        </w:rPr>
        <w:t xml:space="preserve">Pacientus ar hronisku sirds mazspēju un </w:t>
      </w:r>
      <w:proofErr w:type="spellStart"/>
      <w:r w:rsidRPr="004E461A">
        <w:rPr>
          <w:color w:val="000000"/>
          <w:szCs w:val="22"/>
        </w:rPr>
        <w:t>intraventrikulāras</w:t>
      </w:r>
      <w:proofErr w:type="spellEnd"/>
      <w:r w:rsidRPr="004E461A">
        <w:rPr>
          <w:color w:val="000000"/>
          <w:szCs w:val="22"/>
        </w:rPr>
        <w:t xml:space="preserve"> vadīšanas traucējumiem (</w:t>
      </w:r>
      <w:proofErr w:type="spellStart"/>
      <w:r w:rsidR="00AF7829" w:rsidRPr="004E461A">
        <w:rPr>
          <w:color w:val="000000"/>
          <w:szCs w:val="22"/>
        </w:rPr>
        <w:t>Hisa</w:t>
      </w:r>
      <w:proofErr w:type="spellEnd"/>
      <w:r w:rsidR="00AF7829" w:rsidRPr="004E461A">
        <w:rPr>
          <w:color w:val="000000"/>
          <w:szCs w:val="22"/>
        </w:rPr>
        <w:t xml:space="preserve"> </w:t>
      </w:r>
      <w:r w:rsidRPr="004E461A">
        <w:rPr>
          <w:color w:val="000000"/>
          <w:szCs w:val="22"/>
        </w:rPr>
        <w:t xml:space="preserve">kūlīša kreisā zara blokāde, </w:t>
      </w:r>
      <w:proofErr w:type="spellStart"/>
      <w:r w:rsidR="00AF7829" w:rsidRPr="004E461A">
        <w:rPr>
          <w:color w:val="000000"/>
          <w:szCs w:val="22"/>
        </w:rPr>
        <w:t>Hisa</w:t>
      </w:r>
      <w:proofErr w:type="spellEnd"/>
      <w:r w:rsidR="00AF7829" w:rsidRPr="004E461A">
        <w:rPr>
          <w:color w:val="000000"/>
          <w:szCs w:val="22"/>
        </w:rPr>
        <w:t xml:space="preserve"> </w:t>
      </w:r>
      <w:r w:rsidRPr="004E461A">
        <w:rPr>
          <w:color w:val="000000"/>
          <w:szCs w:val="22"/>
        </w:rPr>
        <w:t xml:space="preserve">kūlīša labā zara blokāde) un kambaru </w:t>
      </w:r>
      <w:proofErr w:type="spellStart"/>
      <w:r w:rsidRPr="004E461A">
        <w:rPr>
          <w:color w:val="000000"/>
          <w:szCs w:val="22"/>
        </w:rPr>
        <w:t>dissinhroniju</w:t>
      </w:r>
      <w:proofErr w:type="spellEnd"/>
      <w:r w:rsidRPr="004E461A">
        <w:rPr>
          <w:color w:val="000000"/>
          <w:szCs w:val="22"/>
        </w:rPr>
        <w:t xml:space="preserve"> ir rūpīgi jānovēro.</w:t>
      </w:r>
    </w:p>
    <w:p w14:paraId="68A6E13A" w14:textId="77777777" w:rsidR="0088703C" w:rsidRPr="004E461A" w:rsidRDefault="0088703C" w:rsidP="009C5A02">
      <w:pPr>
        <w:spacing w:line="240" w:lineRule="auto"/>
        <w:jc w:val="both"/>
        <w:rPr>
          <w:i/>
          <w:color w:val="000000"/>
        </w:rPr>
      </w:pPr>
    </w:p>
    <w:p w14:paraId="651B5C96" w14:textId="77777777" w:rsidR="0088703C" w:rsidRPr="004E461A" w:rsidRDefault="0088703C" w:rsidP="009C5A02">
      <w:pPr>
        <w:spacing w:line="240" w:lineRule="auto"/>
        <w:jc w:val="both"/>
        <w:rPr>
          <w:i/>
          <w:color w:val="000000"/>
        </w:rPr>
      </w:pPr>
      <w:r w:rsidRPr="004E461A">
        <w:rPr>
          <w:i/>
          <w:iCs/>
          <w:color w:val="000000"/>
          <w:szCs w:val="22"/>
        </w:rPr>
        <w:t>Lietošana pacientiem ar II pakāpes AV-blokādi</w:t>
      </w:r>
    </w:p>
    <w:p w14:paraId="65BBE39F" w14:textId="77777777" w:rsidR="0088703C" w:rsidRPr="004E461A" w:rsidRDefault="0088703C" w:rsidP="009C5A02">
      <w:pPr>
        <w:spacing w:line="240" w:lineRule="auto"/>
        <w:jc w:val="both"/>
        <w:rPr>
          <w:color w:val="000000"/>
        </w:rPr>
      </w:pPr>
      <w:proofErr w:type="spellStart"/>
      <w:r w:rsidRPr="004E461A">
        <w:rPr>
          <w:color w:val="000000"/>
          <w:szCs w:val="22"/>
        </w:rPr>
        <w:t>Ivabradīnu</w:t>
      </w:r>
      <w:proofErr w:type="spellEnd"/>
      <w:r w:rsidRPr="004E461A">
        <w:rPr>
          <w:color w:val="000000"/>
          <w:szCs w:val="22"/>
        </w:rPr>
        <w:t xml:space="preserve"> nav ieteicams lietot pacientiem ar II pakāpes AV-blokādi.</w:t>
      </w:r>
    </w:p>
    <w:p w14:paraId="741831A3" w14:textId="77777777" w:rsidR="0088703C" w:rsidRPr="004E461A" w:rsidRDefault="0088703C" w:rsidP="009C5A02">
      <w:pPr>
        <w:spacing w:line="240" w:lineRule="auto"/>
        <w:jc w:val="both"/>
        <w:rPr>
          <w:i/>
          <w:color w:val="000000"/>
        </w:rPr>
      </w:pPr>
    </w:p>
    <w:p w14:paraId="5F35231D" w14:textId="77777777" w:rsidR="0088703C" w:rsidRPr="004E461A" w:rsidRDefault="0088703C" w:rsidP="009C5A02">
      <w:pPr>
        <w:spacing w:line="240" w:lineRule="auto"/>
        <w:jc w:val="both"/>
        <w:rPr>
          <w:i/>
          <w:color w:val="000000"/>
        </w:rPr>
      </w:pPr>
      <w:r w:rsidRPr="004E461A">
        <w:rPr>
          <w:i/>
          <w:iCs/>
          <w:color w:val="000000"/>
          <w:szCs w:val="22"/>
        </w:rPr>
        <w:t>Lietošana pacientiem ar lēnu sirdsdarbību</w:t>
      </w:r>
    </w:p>
    <w:p w14:paraId="1490F4C4" w14:textId="77777777" w:rsidR="0088703C" w:rsidRPr="004E461A" w:rsidRDefault="0088703C" w:rsidP="009C5A02">
      <w:pPr>
        <w:spacing w:line="240" w:lineRule="auto"/>
        <w:jc w:val="both"/>
        <w:rPr>
          <w:color w:val="000000"/>
        </w:rPr>
      </w:pPr>
      <w:r w:rsidRPr="004E461A">
        <w:rPr>
          <w:color w:val="000000"/>
          <w:szCs w:val="22"/>
        </w:rPr>
        <w:t xml:space="preserve">Ja pirms terapijas pacientiem sirds ritms miera stāvoklī ir mazāk par 70 sitieniem minūtē, </w:t>
      </w:r>
      <w:proofErr w:type="spellStart"/>
      <w:r w:rsidRPr="004E461A">
        <w:rPr>
          <w:color w:val="000000"/>
          <w:szCs w:val="22"/>
        </w:rPr>
        <w:t>ivabradīnu</w:t>
      </w:r>
      <w:proofErr w:type="spellEnd"/>
      <w:r w:rsidRPr="004E461A">
        <w:rPr>
          <w:color w:val="000000"/>
          <w:szCs w:val="22"/>
        </w:rPr>
        <w:t xml:space="preserve"> nedrīkst nozīmēt (skatīt 4.3. apakšpunktu).</w:t>
      </w:r>
    </w:p>
    <w:p w14:paraId="180AC5E4" w14:textId="77777777" w:rsidR="0088703C" w:rsidRPr="004E461A" w:rsidRDefault="0088703C" w:rsidP="009C5A02">
      <w:pPr>
        <w:spacing w:line="240" w:lineRule="auto"/>
        <w:jc w:val="both"/>
        <w:rPr>
          <w:color w:val="000000"/>
          <w:szCs w:val="22"/>
        </w:rPr>
      </w:pPr>
      <w:r w:rsidRPr="004E461A">
        <w:rPr>
          <w:color w:val="000000"/>
          <w:szCs w:val="22"/>
        </w:rPr>
        <w:t>Ja ārstēšanas laikā sirds ritms miera stāvoklī pastāvīgi pazeminās līdz mazāk par 50 sitieniem minūtē vai pacients izjūt tādus bradikardijas simptomus kā reiboni, nogurumu vai hipotensiju, deva jātitrē uz leju vai, ja sirds ritms saglabājas lēnāks par 50 sitieniem minūtē vai bradikardijas simptomi neizzūd, terapija jāpārtrauc (skatīt 4.2. apakšpunktu).</w:t>
      </w:r>
    </w:p>
    <w:p w14:paraId="705688A1" w14:textId="77777777" w:rsidR="0088703C" w:rsidRPr="004E461A" w:rsidRDefault="0088703C" w:rsidP="009C5A02">
      <w:pPr>
        <w:spacing w:line="240" w:lineRule="auto"/>
        <w:jc w:val="both"/>
        <w:rPr>
          <w:i/>
          <w:color w:val="000000"/>
        </w:rPr>
      </w:pPr>
    </w:p>
    <w:p w14:paraId="42C4694C" w14:textId="77777777" w:rsidR="0088703C" w:rsidRPr="004E461A" w:rsidRDefault="0088703C" w:rsidP="009C5A02">
      <w:pPr>
        <w:spacing w:line="240" w:lineRule="auto"/>
        <w:jc w:val="both"/>
        <w:rPr>
          <w:color w:val="000000"/>
        </w:rPr>
      </w:pPr>
      <w:r w:rsidRPr="004E461A">
        <w:rPr>
          <w:i/>
          <w:iCs/>
          <w:color w:val="000000"/>
          <w:szCs w:val="22"/>
        </w:rPr>
        <w:t>Kombinācija ar kalcija kanālu blokatoriem</w:t>
      </w:r>
    </w:p>
    <w:p w14:paraId="0408562A" w14:textId="77777777" w:rsidR="0088703C" w:rsidRPr="004E461A" w:rsidRDefault="0088703C" w:rsidP="009C5A02">
      <w:pPr>
        <w:spacing w:line="240" w:lineRule="auto"/>
        <w:jc w:val="both"/>
        <w:rPr>
          <w:color w:val="000000"/>
        </w:rPr>
      </w:pPr>
      <w:r w:rsidRPr="004E461A">
        <w:rPr>
          <w:color w:val="000000"/>
          <w:szCs w:val="22"/>
        </w:rPr>
        <w:t xml:space="preserve">Vienlaicīga </w:t>
      </w:r>
      <w:proofErr w:type="spellStart"/>
      <w:r w:rsidRPr="004E461A">
        <w:rPr>
          <w:color w:val="000000"/>
          <w:szCs w:val="22"/>
        </w:rPr>
        <w:t>ivabradīna</w:t>
      </w:r>
      <w:proofErr w:type="spellEnd"/>
      <w:r w:rsidRPr="004E461A">
        <w:rPr>
          <w:color w:val="000000"/>
          <w:szCs w:val="22"/>
        </w:rPr>
        <w:t xml:space="preserve"> lietošana ar sirds ritmu palēninošiem kalcija kanālu blokatoriem, piemēram, </w:t>
      </w:r>
      <w:proofErr w:type="spellStart"/>
      <w:r w:rsidRPr="004E461A">
        <w:rPr>
          <w:color w:val="000000"/>
          <w:szCs w:val="22"/>
        </w:rPr>
        <w:t>verapamilu</w:t>
      </w:r>
      <w:proofErr w:type="spellEnd"/>
      <w:r w:rsidRPr="004E461A">
        <w:rPr>
          <w:color w:val="000000"/>
          <w:szCs w:val="22"/>
        </w:rPr>
        <w:t xml:space="preserve"> vai diltiazēmu, ir kontrindicēta (skatīt 4.3. un 4.5. apakšpunktu). Lietojot </w:t>
      </w:r>
      <w:proofErr w:type="spellStart"/>
      <w:r w:rsidRPr="004E461A">
        <w:rPr>
          <w:color w:val="000000"/>
          <w:szCs w:val="22"/>
        </w:rPr>
        <w:t>ivabradīnu</w:t>
      </w:r>
      <w:proofErr w:type="spellEnd"/>
      <w:r w:rsidRPr="004E461A">
        <w:rPr>
          <w:color w:val="000000"/>
          <w:szCs w:val="22"/>
        </w:rPr>
        <w:t xml:space="preserve"> kombinācijā ar nitrātiem un ar </w:t>
      </w:r>
      <w:proofErr w:type="spellStart"/>
      <w:r w:rsidRPr="004E461A">
        <w:rPr>
          <w:color w:val="000000"/>
          <w:szCs w:val="22"/>
        </w:rPr>
        <w:t>dihidropiridīna</w:t>
      </w:r>
      <w:proofErr w:type="spellEnd"/>
      <w:r w:rsidRPr="004E461A">
        <w:rPr>
          <w:color w:val="000000"/>
          <w:szCs w:val="22"/>
        </w:rPr>
        <w:t xml:space="preserve"> tipa kalcija kanālu blokatoriem, piemēram, </w:t>
      </w:r>
      <w:proofErr w:type="spellStart"/>
      <w:r w:rsidRPr="004E461A">
        <w:rPr>
          <w:color w:val="000000"/>
          <w:szCs w:val="22"/>
        </w:rPr>
        <w:t>amlodipīnu</w:t>
      </w:r>
      <w:proofErr w:type="spellEnd"/>
      <w:r w:rsidRPr="004E461A">
        <w:rPr>
          <w:color w:val="000000"/>
          <w:szCs w:val="22"/>
        </w:rPr>
        <w:t xml:space="preserve">, nav radušās bažas par drošumu. Nav pierādīta papildus efektivitāte, lietojot </w:t>
      </w:r>
      <w:proofErr w:type="spellStart"/>
      <w:r w:rsidRPr="004E461A">
        <w:rPr>
          <w:color w:val="000000"/>
          <w:szCs w:val="22"/>
        </w:rPr>
        <w:t>ivabradīnu</w:t>
      </w:r>
      <w:proofErr w:type="spellEnd"/>
      <w:r w:rsidRPr="004E461A">
        <w:rPr>
          <w:color w:val="000000"/>
          <w:szCs w:val="22"/>
        </w:rPr>
        <w:t xml:space="preserve"> kombinācijā ar </w:t>
      </w:r>
      <w:proofErr w:type="spellStart"/>
      <w:r w:rsidRPr="004E461A">
        <w:rPr>
          <w:color w:val="000000"/>
          <w:szCs w:val="22"/>
        </w:rPr>
        <w:t>dihidropiridīna</w:t>
      </w:r>
      <w:proofErr w:type="spellEnd"/>
      <w:r w:rsidRPr="004E461A">
        <w:rPr>
          <w:color w:val="000000"/>
          <w:szCs w:val="22"/>
        </w:rPr>
        <w:t xml:space="preserve"> tipa kalcija kanālu blokatoriem (skatīt 5.1. apakšpunktu).</w:t>
      </w:r>
    </w:p>
    <w:p w14:paraId="4EDE3CA8" w14:textId="77777777" w:rsidR="0088729D" w:rsidRPr="004E461A" w:rsidRDefault="0088729D" w:rsidP="009C5A02">
      <w:pPr>
        <w:tabs>
          <w:tab w:val="clear" w:pos="567"/>
        </w:tabs>
        <w:spacing w:line="240" w:lineRule="auto"/>
        <w:jc w:val="both"/>
        <w:rPr>
          <w:color w:val="000000"/>
          <w:szCs w:val="22"/>
        </w:rPr>
      </w:pPr>
    </w:p>
    <w:p w14:paraId="3EC9EA19" w14:textId="77777777" w:rsidR="004B5AE1" w:rsidRPr="004E461A" w:rsidRDefault="004B5AE1" w:rsidP="009C5A02">
      <w:pPr>
        <w:spacing w:line="240" w:lineRule="auto"/>
        <w:jc w:val="both"/>
        <w:rPr>
          <w:color w:val="000000"/>
          <w:szCs w:val="22"/>
        </w:rPr>
      </w:pPr>
      <w:r w:rsidRPr="004E461A">
        <w:rPr>
          <w:i/>
          <w:color w:val="000000"/>
          <w:szCs w:val="22"/>
        </w:rPr>
        <w:t>Hroniska sirds mazspēja</w:t>
      </w:r>
    </w:p>
    <w:p w14:paraId="63269E97" w14:textId="77777777" w:rsidR="004B5AE1" w:rsidRPr="004E461A" w:rsidRDefault="004B5AE1" w:rsidP="009C5A02">
      <w:pPr>
        <w:spacing w:line="240" w:lineRule="auto"/>
        <w:jc w:val="both"/>
        <w:rPr>
          <w:color w:val="000000"/>
          <w:szCs w:val="22"/>
        </w:rPr>
      </w:pPr>
      <w:r w:rsidRPr="004E461A">
        <w:rPr>
          <w:color w:val="000000"/>
          <w:szCs w:val="22"/>
        </w:rPr>
        <w:t xml:space="preserve">Pirms apsvērt ārstēšanu ar </w:t>
      </w:r>
      <w:proofErr w:type="spellStart"/>
      <w:r w:rsidRPr="004E461A">
        <w:rPr>
          <w:color w:val="000000"/>
          <w:szCs w:val="22"/>
        </w:rPr>
        <w:t>ivabradīnu</w:t>
      </w:r>
      <w:proofErr w:type="spellEnd"/>
      <w:r w:rsidRPr="004E461A">
        <w:rPr>
          <w:color w:val="000000"/>
          <w:szCs w:val="22"/>
        </w:rPr>
        <w:t xml:space="preserve">, sirds mazspējai jābūt stabilai. Pacientiem ar IV funkcionālās klases sirds mazspēju (pēc NYHA) </w:t>
      </w:r>
      <w:proofErr w:type="spellStart"/>
      <w:r w:rsidRPr="004E461A">
        <w:rPr>
          <w:color w:val="000000"/>
          <w:szCs w:val="22"/>
        </w:rPr>
        <w:t>ivabradīns</w:t>
      </w:r>
      <w:proofErr w:type="spellEnd"/>
      <w:r w:rsidRPr="004E461A">
        <w:rPr>
          <w:color w:val="000000"/>
          <w:szCs w:val="22"/>
        </w:rPr>
        <w:t xml:space="preserve"> jālieto piesardzīgi, jo ir ierobežot</w:t>
      </w:r>
      <w:r w:rsidR="00721416" w:rsidRPr="004E461A">
        <w:rPr>
          <w:color w:val="000000"/>
          <w:szCs w:val="22"/>
        </w:rPr>
        <w:t>i</w:t>
      </w:r>
      <w:r w:rsidRPr="004E461A">
        <w:rPr>
          <w:color w:val="000000"/>
          <w:szCs w:val="22"/>
        </w:rPr>
        <w:t xml:space="preserve"> dat</w:t>
      </w:r>
      <w:r w:rsidR="00721416" w:rsidRPr="004E461A">
        <w:rPr>
          <w:color w:val="000000"/>
          <w:szCs w:val="22"/>
        </w:rPr>
        <w:t>i</w:t>
      </w:r>
      <w:r w:rsidRPr="004E461A">
        <w:rPr>
          <w:color w:val="000000"/>
          <w:szCs w:val="22"/>
        </w:rPr>
        <w:t xml:space="preserve"> par šo populāciju.</w:t>
      </w:r>
    </w:p>
    <w:p w14:paraId="5B9EFB11" w14:textId="77777777" w:rsidR="004B5AE1" w:rsidRPr="004E461A" w:rsidRDefault="004B5AE1" w:rsidP="009C5A02">
      <w:pPr>
        <w:spacing w:line="240" w:lineRule="auto"/>
        <w:jc w:val="both"/>
        <w:rPr>
          <w:color w:val="000000"/>
          <w:szCs w:val="22"/>
        </w:rPr>
      </w:pPr>
    </w:p>
    <w:p w14:paraId="7D12B0CF" w14:textId="77777777" w:rsidR="004B5AE1" w:rsidRPr="004E461A" w:rsidRDefault="004B5AE1" w:rsidP="009C5A02">
      <w:pPr>
        <w:spacing w:line="240" w:lineRule="auto"/>
        <w:jc w:val="both"/>
        <w:rPr>
          <w:color w:val="000000"/>
          <w:szCs w:val="22"/>
        </w:rPr>
      </w:pPr>
      <w:r w:rsidRPr="004E461A">
        <w:rPr>
          <w:i/>
          <w:color w:val="000000"/>
          <w:szCs w:val="22"/>
        </w:rPr>
        <w:t>Insults</w:t>
      </w:r>
    </w:p>
    <w:p w14:paraId="5115FC25" w14:textId="77777777" w:rsidR="004B5AE1" w:rsidRPr="004E461A" w:rsidRDefault="004B5AE1" w:rsidP="009C5A02">
      <w:pPr>
        <w:spacing w:line="240" w:lineRule="auto"/>
        <w:jc w:val="both"/>
        <w:rPr>
          <w:color w:val="000000"/>
          <w:szCs w:val="22"/>
        </w:rPr>
      </w:pPr>
      <w:proofErr w:type="spellStart"/>
      <w:r w:rsidRPr="004E461A">
        <w:rPr>
          <w:color w:val="000000"/>
          <w:szCs w:val="22"/>
        </w:rPr>
        <w:t>Ivabradīnu</w:t>
      </w:r>
      <w:proofErr w:type="spellEnd"/>
      <w:r w:rsidRPr="004E461A">
        <w:rPr>
          <w:color w:val="000000"/>
          <w:szCs w:val="22"/>
        </w:rPr>
        <w:t xml:space="preserve"> nav ieteicams lietot </w:t>
      </w:r>
      <w:r w:rsidR="00721416" w:rsidRPr="004E461A">
        <w:rPr>
          <w:color w:val="000000"/>
          <w:szCs w:val="22"/>
        </w:rPr>
        <w:t>uzreiz</w:t>
      </w:r>
      <w:r w:rsidRPr="004E461A">
        <w:rPr>
          <w:color w:val="000000"/>
          <w:szCs w:val="22"/>
        </w:rPr>
        <w:t xml:space="preserve"> pēc insulta, jo nav pieejami dati par </w:t>
      </w:r>
      <w:proofErr w:type="spellStart"/>
      <w:r w:rsidRPr="004E461A">
        <w:rPr>
          <w:color w:val="000000"/>
          <w:szCs w:val="22"/>
        </w:rPr>
        <w:t>ivabradīna</w:t>
      </w:r>
      <w:proofErr w:type="spellEnd"/>
      <w:r w:rsidRPr="004E461A">
        <w:rPr>
          <w:color w:val="000000"/>
          <w:szCs w:val="22"/>
        </w:rPr>
        <w:t xml:space="preserve"> lietošanu šādos apstākļos.</w:t>
      </w:r>
    </w:p>
    <w:p w14:paraId="5376F686" w14:textId="77777777" w:rsidR="004B5AE1" w:rsidRPr="004E461A" w:rsidRDefault="004B5AE1" w:rsidP="009C5A02">
      <w:pPr>
        <w:spacing w:line="240" w:lineRule="auto"/>
        <w:jc w:val="both"/>
        <w:rPr>
          <w:color w:val="000000"/>
          <w:szCs w:val="22"/>
        </w:rPr>
      </w:pPr>
    </w:p>
    <w:p w14:paraId="15DC5FC7" w14:textId="77777777" w:rsidR="004B5AE1" w:rsidRPr="004E461A" w:rsidRDefault="004B5AE1" w:rsidP="009C5A02">
      <w:pPr>
        <w:spacing w:line="240" w:lineRule="auto"/>
        <w:jc w:val="both"/>
        <w:rPr>
          <w:color w:val="000000"/>
          <w:szCs w:val="22"/>
        </w:rPr>
      </w:pPr>
      <w:r w:rsidRPr="004E461A">
        <w:rPr>
          <w:i/>
          <w:color w:val="000000"/>
          <w:szCs w:val="22"/>
        </w:rPr>
        <w:t>Redzes funkcija</w:t>
      </w:r>
    </w:p>
    <w:p w14:paraId="42531AC0" w14:textId="77777777" w:rsidR="004B5AE1" w:rsidRPr="004E461A" w:rsidRDefault="004B5AE1"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ietekmē tīklenes funkcijas. Līdz šim nav pierādījumu par ilgstošas </w:t>
      </w:r>
      <w:proofErr w:type="spellStart"/>
      <w:r w:rsidRPr="004E461A">
        <w:rPr>
          <w:color w:val="000000"/>
          <w:szCs w:val="22"/>
        </w:rPr>
        <w:t>ivabradīna</w:t>
      </w:r>
      <w:proofErr w:type="spellEnd"/>
      <w:r w:rsidRPr="004E461A">
        <w:rPr>
          <w:color w:val="000000"/>
          <w:szCs w:val="22"/>
        </w:rPr>
        <w:t xml:space="preserve"> lietošanas toksisku iedarbību uz tīkleni (skatīt 5.1. apakšpunktu). Ja rodas jebkāda neparedzēta redzes funkcijas pasliktināšanās, jāapsver iespēja pārtraukt šo zāļu lietošanu. Pacientiem ar </w:t>
      </w:r>
      <w:proofErr w:type="spellStart"/>
      <w:r w:rsidRPr="004E461A">
        <w:rPr>
          <w:color w:val="000000"/>
          <w:szCs w:val="22"/>
        </w:rPr>
        <w:t>pigmentozo</w:t>
      </w:r>
      <w:proofErr w:type="spellEnd"/>
      <w:r w:rsidRPr="004E461A">
        <w:rPr>
          <w:color w:val="000000"/>
          <w:szCs w:val="22"/>
        </w:rPr>
        <w:t xml:space="preserve"> </w:t>
      </w:r>
      <w:proofErr w:type="spellStart"/>
      <w:r w:rsidRPr="004E461A">
        <w:rPr>
          <w:color w:val="000000"/>
          <w:szCs w:val="22"/>
        </w:rPr>
        <w:t>retinītu</w:t>
      </w:r>
      <w:proofErr w:type="spellEnd"/>
      <w:r w:rsidRPr="004E461A">
        <w:rPr>
          <w:color w:val="000000"/>
          <w:szCs w:val="22"/>
        </w:rPr>
        <w:t xml:space="preserve"> (</w:t>
      </w:r>
      <w:proofErr w:type="spellStart"/>
      <w:r w:rsidRPr="004E461A">
        <w:rPr>
          <w:i/>
          <w:color w:val="000000"/>
          <w:szCs w:val="22"/>
        </w:rPr>
        <w:t>retinits</w:t>
      </w:r>
      <w:proofErr w:type="spellEnd"/>
      <w:r w:rsidRPr="004E461A">
        <w:rPr>
          <w:i/>
          <w:color w:val="000000"/>
          <w:szCs w:val="22"/>
        </w:rPr>
        <w:t xml:space="preserve"> </w:t>
      </w:r>
      <w:proofErr w:type="spellStart"/>
      <w:r w:rsidRPr="004E461A">
        <w:rPr>
          <w:i/>
          <w:color w:val="000000"/>
          <w:szCs w:val="22"/>
        </w:rPr>
        <w:t>pigmentosa</w:t>
      </w:r>
      <w:proofErr w:type="spellEnd"/>
      <w:r w:rsidRPr="004E461A">
        <w:rPr>
          <w:color w:val="000000"/>
          <w:szCs w:val="22"/>
        </w:rPr>
        <w:t>) jāievēro piesardzība.</w:t>
      </w:r>
    </w:p>
    <w:p w14:paraId="09362034" w14:textId="77777777" w:rsidR="007D7144" w:rsidRPr="004E461A" w:rsidRDefault="007D7144" w:rsidP="009C5A02">
      <w:pPr>
        <w:tabs>
          <w:tab w:val="clear" w:pos="567"/>
        </w:tabs>
        <w:spacing w:line="240" w:lineRule="auto"/>
        <w:jc w:val="both"/>
        <w:rPr>
          <w:color w:val="000000"/>
          <w:szCs w:val="22"/>
        </w:rPr>
      </w:pPr>
    </w:p>
    <w:p w14:paraId="0E90801D" w14:textId="77777777" w:rsidR="00B60DD2" w:rsidRPr="004E461A" w:rsidRDefault="00B60DD2" w:rsidP="009C5A02">
      <w:pPr>
        <w:spacing w:line="240" w:lineRule="auto"/>
        <w:jc w:val="both"/>
        <w:rPr>
          <w:color w:val="000000"/>
          <w:szCs w:val="22"/>
        </w:rPr>
      </w:pPr>
      <w:r w:rsidRPr="004E461A">
        <w:rPr>
          <w:i/>
          <w:color w:val="000000"/>
          <w:szCs w:val="22"/>
        </w:rPr>
        <w:t>Pacienti ar hipotensiju</w:t>
      </w:r>
    </w:p>
    <w:p w14:paraId="588FA316" w14:textId="77777777" w:rsidR="00B60DD2" w:rsidRPr="004E461A" w:rsidRDefault="00B60DD2" w:rsidP="009C5A02">
      <w:pPr>
        <w:spacing w:line="240" w:lineRule="auto"/>
        <w:jc w:val="both"/>
        <w:rPr>
          <w:color w:val="000000"/>
          <w:szCs w:val="22"/>
        </w:rPr>
      </w:pPr>
      <w:r w:rsidRPr="004E461A">
        <w:rPr>
          <w:color w:val="000000"/>
          <w:szCs w:val="22"/>
        </w:rPr>
        <w:t xml:space="preserve">Pieejama ierobežota informācija par pacientiem ar vieglu līdz vidēji smagu hipotensiju, un šādiem pacientiem </w:t>
      </w:r>
      <w:proofErr w:type="spellStart"/>
      <w:r w:rsidRPr="004E461A">
        <w:rPr>
          <w:color w:val="000000"/>
          <w:szCs w:val="22"/>
        </w:rPr>
        <w:t>ivabradīns</w:t>
      </w:r>
      <w:proofErr w:type="spellEnd"/>
      <w:r w:rsidRPr="004E461A">
        <w:rPr>
          <w:color w:val="000000"/>
          <w:szCs w:val="22"/>
        </w:rPr>
        <w:t xml:space="preserve"> jālieto piesardzīgi. </w:t>
      </w:r>
      <w:proofErr w:type="spellStart"/>
      <w:r w:rsidRPr="004E461A">
        <w:rPr>
          <w:color w:val="000000"/>
          <w:szCs w:val="22"/>
        </w:rPr>
        <w:t>Ivabradīns</w:t>
      </w:r>
      <w:proofErr w:type="spellEnd"/>
      <w:r w:rsidRPr="004E461A">
        <w:rPr>
          <w:color w:val="000000"/>
          <w:szCs w:val="22"/>
        </w:rPr>
        <w:t xml:space="preserve"> ir </w:t>
      </w:r>
      <w:proofErr w:type="spellStart"/>
      <w:r w:rsidRPr="004E461A">
        <w:rPr>
          <w:color w:val="000000"/>
          <w:szCs w:val="22"/>
        </w:rPr>
        <w:t>kontrindicēts</w:t>
      </w:r>
      <w:proofErr w:type="spellEnd"/>
      <w:r w:rsidRPr="004E461A">
        <w:rPr>
          <w:color w:val="000000"/>
          <w:szCs w:val="22"/>
        </w:rPr>
        <w:t xml:space="preserve"> pacientiem ar smagu hipotensiju (asinsspiediens &lt; 90/50 </w:t>
      </w:r>
      <w:proofErr w:type="spellStart"/>
      <w:r w:rsidRPr="004E461A">
        <w:rPr>
          <w:color w:val="000000"/>
          <w:szCs w:val="22"/>
        </w:rPr>
        <w:t>mmHg</w:t>
      </w:r>
      <w:proofErr w:type="spellEnd"/>
      <w:r w:rsidRPr="004E461A">
        <w:rPr>
          <w:color w:val="000000"/>
          <w:szCs w:val="22"/>
        </w:rPr>
        <w:t>) (skatīt 4.3. apakšpunktu).</w:t>
      </w:r>
    </w:p>
    <w:p w14:paraId="197078EF" w14:textId="77777777" w:rsidR="00B60DD2" w:rsidRPr="004E461A" w:rsidRDefault="00B60DD2" w:rsidP="009C5A02">
      <w:pPr>
        <w:spacing w:line="240" w:lineRule="auto"/>
        <w:jc w:val="both"/>
        <w:rPr>
          <w:color w:val="000000"/>
          <w:szCs w:val="22"/>
        </w:rPr>
      </w:pPr>
    </w:p>
    <w:p w14:paraId="0ADC188F" w14:textId="77777777" w:rsidR="00B60DD2" w:rsidRPr="004E461A" w:rsidRDefault="00B60DD2" w:rsidP="009C5A02">
      <w:pPr>
        <w:tabs>
          <w:tab w:val="left" w:pos="3261"/>
        </w:tabs>
        <w:spacing w:line="240" w:lineRule="auto"/>
        <w:jc w:val="both"/>
        <w:rPr>
          <w:color w:val="000000"/>
          <w:szCs w:val="22"/>
        </w:rPr>
      </w:pPr>
      <w:r w:rsidRPr="004E461A">
        <w:rPr>
          <w:i/>
          <w:color w:val="000000"/>
          <w:szCs w:val="22"/>
        </w:rPr>
        <w:t xml:space="preserve">Priekškambaru </w:t>
      </w:r>
      <w:r w:rsidR="0075170E" w:rsidRPr="004E461A">
        <w:rPr>
          <w:i/>
          <w:color w:val="000000"/>
          <w:szCs w:val="22"/>
        </w:rPr>
        <w:t>fibrilācija</w:t>
      </w:r>
      <w:r w:rsidRPr="004E461A">
        <w:rPr>
          <w:i/>
          <w:color w:val="000000"/>
          <w:szCs w:val="22"/>
        </w:rPr>
        <w:t xml:space="preserve"> — sirds aritmija</w:t>
      </w:r>
    </w:p>
    <w:p w14:paraId="38A6CE1D" w14:textId="77777777" w:rsidR="00B60DD2" w:rsidRPr="004E461A" w:rsidRDefault="00B60DD2" w:rsidP="009C5A02">
      <w:pPr>
        <w:spacing w:line="240" w:lineRule="auto"/>
        <w:jc w:val="both"/>
        <w:rPr>
          <w:color w:val="000000"/>
          <w:szCs w:val="22"/>
        </w:rPr>
      </w:pPr>
      <w:r w:rsidRPr="004E461A">
        <w:rPr>
          <w:color w:val="000000"/>
          <w:szCs w:val="22"/>
        </w:rPr>
        <w:t>Nav pierādījumu par (pārmērīgas) bradikardijas risku,</w:t>
      </w:r>
      <w:r w:rsidR="006077A0" w:rsidRPr="004E461A">
        <w:rPr>
          <w:color w:val="000000"/>
          <w:szCs w:val="22"/>
        </w:rPr>
        <w:t xml:space="preserve"> ja</w:t>
      </w:r>
      <w:r w:rsidR="004E461A">
        <w:rPr>
          <w:color w:val="000000"/>
          <w:szCs w:val="22"/>
        </w:rPr>
        <w:t xml:space="preserve"> </w:t>
      </w:r>
      <w:r w:rsidR="006077A0" w:rsidRPr="004E461A">
        <w:rPr>
          <w:color w:val="000000"/>
          <w:szCs w:val="22"/>
        </w:rPr>
        <w:t xml:space="preserve">tiek veikta farmakoloģiska </w:t>
      </w:r>
      <w:proofErr w:type="spellStart"/>
      <w:r w:rsidR="006077A0" w:rsidRPr="004E461A">
        <w:rPr>
          <w:color w:val="000000"/>
          <w:szCs w:val="22"/>
        </w:rPr>
        <w:t>kardioversija</w:t>
      </w:r>
      <w:proofErr w:type="spellEnd"/>
      <w:r w:rsidR="006077A0" w:rsidRPr="004E461A">
        <w:rPr>
          <w:color w:val="000000"/>
          <w:szCs w:val="22"/>
        </w:rPr>
        <w:t xml:space="preserve"> pacientiem, kuri lieto </w:t>
      </w:r>
      <w:proofErr w:type="spellStart"/>
      <w:r w:rsidR="006077A0" w:rsidRPr="004E461A">
        <w:rPr>
          <w:color w:val="000000"/>
          <w:szCs w:val="22"/>
        </w:rPr>
        <w:t>ivabradīnu</w:t>
      </w:r>
      <w:proofErr w:type="spellEnd"/>
      <w:r w:rsidR="006077A0" w:rsidRPr="004E461A">
        <w:rPr>
          <w:color w:val="000000"/>
          <w:szCs w:val="22"/>
        </w:rPr>
        <w:t>.</w:t>
      </w:r>
      <w:r w:rsidR="006077A0" w:rsidRPr="004E461A" w:rsidDel="006077A0">
        <w:rPr>
          <w:color w:val="000000"/>
          <w:szCs w:val="22"/>
        </w:rPr>
        <w:t xml:space="preserve"> </w:t>
      </w:r>
      <w:r w:rsidR="006077A0" w:rsidRPr="004E461A">
        <w:rPr>
          <w:color w:val="000000"/>
          <w:szCs w:val="22"/>
        </w:rPr>
        <w:t>Tomēr ierobežotas pieejamās informācijas dēļ neakūtu DC (</w:t>
      </w:r>
      <w:proofErr w:type="spellStart"/>
      <w:r w:rsidR="006077A0" w:rsidRPr="004E461A">
        <w:rPr>
          <w:i/>
          <w:color w:val="000000"/>
          <w:szCs w:val="22"/>
        </w:rPr>
        <w:t>direct-current</w:t>
      </w:r>
      <w:proofErr w:type="spellEnd"/>
      <w:r w:rsidR="006077A0" w:rsidRPr="004E461A">
        <w:rPr>
          <w:color w:val="000000"/>
          <w:szCs w:val="22"/>
        </w:rPr>
        <w:t>)–</w:t>
      </w:r>
      <w:r w:rsidR="00285F9A" w:rsidRPr="004E461A">
        <w:rPr>
          <w:color w:val="000000"/>
          <w:szCs w:val="22"/>
        </w:rPr>
        <w:t xml:space="preserve"> </w:t>
      </w:r>
      <w:proofErr w:type="spellStart"/>
      <w:r w:rsidR="006077A0" w:rsidRPr="004E461A">
        <w:rPr>
          <w:color w:val="000000"/>
          <w:szCs w:val="22"/>
        </w:rPr>
        <w:t>kardioversiju</w:t>
      </w:r>
      <w:proofErr w:type="spellEnd"/>
      <w:r w:rsidR="006077A0" w:rsidRPr="004E461A">
        <w:rPr>
          <w:color w:val="000000"/>
          <w:szCs w:val="22"/>
        </w:rPr>
        <w:t xml:space="preserve"> nevajadzētu pielietot 24 stundas pēc pēdējās </w:t>
      </w:r>
      <w:proofErr w:type="spellStart"/>
      <w:r w:rsidR="006077A0" w:rsidRPr="004E461A">
        <w:rPr>
          <w:color w:val="000000"/>
          <w:szCs w:val="22"/>
        </w:rPr>
        <w:t>ivabradīna</w:t>
      </w:r>
      <w:proofErr w:type="spellEnd"/>
      <w:r w:rsidR="006077A0" w:rsidRPr="004E461A">
        <w:rPr>
          <w:color w:val="000000"/>
          <w:szCs w:val="22"/>
        </w:rPr>
        <w:t xml:space="preserve"> iekšķīgas lietošanas</w:t>
      </w:r>
      <w:r w:rsidR="005647B1" w:rsidRPr="004E461A">
        <w:rPr>
          <w:color w:val="000000"/>
          <w:szCs w:val="22"/>
        </w:rPr>
        <w:t>.</w:t>
      </w:r>
      <w:r w:rsidR="006077A0" w:rsidRPr="004E461A" w:rsidDel="006077A0">
        <w:rPr>
          <w:color w:val="000000"/>
          <w:szCs w:val="22"/>
        </w:rPr>
        <w:t xml:space="preserve"> </w:t>
      </w:r>
    </w:p>
    <w:p w14:paraId="723DEFCC" w14:textId="77777777" w:rsidR="00804933" w:rsidRPr="004E461A" w:rsidRDefault="00804933" w:rsidP="009C5A02">
      <w:pPr>
        <w:spacing w:line="240" w:lineRule="auto"/>
        <w:jc w:val="both"/>
        <w:rPr>
          <w:i/>
          <w:color w:val="000000"/>
        </w:rPr>
      </w:pPr>
    </w:p>
    <w:p w14:paraId="4D2546F7" w14:textId="77777777" w:rsidR="00B60DD2" w:rsidRPr="004E461A" w:rsidRDefault="00B60DD2" w:rsidP="009C5A02">
      <w:pPr>
        <w:spacing w:line="240" w:lineRule="auto"/>
        <w:jc w:val="both"/>
        <w:rPr>
          <w:color w:val="000000"/>
          <w:szCs w:val="22"/>
        </w:rPr>
      </w:pPr>
      <w:r w:rsidRPr="004E461A">
        <w:rPr>
          <w:i/>
          <w:color w:val="000000"/>
          <w:szCs w:val="22"/>
        </w:rPr>
        <w:t>Lietošana pacientiem ar iedzimtu QT</w:t>
      </w:r>
      <w:r w:rsidR="0000722C" w:rsidRPr="004E461A">
        <w:rPr>
          <w:i/>
          <w:color w:val="000000"/>
          <w:szCs w:val="22"/>
        </w:rPr>
        <w:t xml:space="preserve"> intervāla</w:t>
      </w:r>
      <w:r w:rsidRPr="004E461A">
        <w:rPr>
          <w:i/>
          <w:color w:val="000000"/>
          <w:szCs w:val="22"/>
        </w:rPr>
        <w:t xml:space="preserve"> sindromu vai pacientiem, kuri lieto QT intervālu pagarinošas zāles</w:t>
      </w:r>
    </w:p>
    <w:p w14:paraId="2A205443" w14:textId="77777777" w:rsidR="00B60DD2" w:rsidRPr="004E461A" w:rsidRDefault="00B60DD2" w:rsidP="009C5A02">
      <w:pPr>
        <w:spacing w:line="240" w:lineRule="auto"/>
        <w:jc w:val="both"/>
        <w:rPr>
          <w:color w:val="000000"/>
          <w:szCs w:val="22"/>
        </w:rPr>
      </w:pPr>
      <w:r w:rsidRPr="004E461A">
        <w:rPr>
          <w:color w:val="000000"/>
          <w:szCs w:val="22"/>
        </w:rPr>
        <w:t xml:space="preserve">Jāizvairās no </w:t>
      </w:r>
      <w:proofErr w:type="spellStart"/>
      <w:r w:rsidRPr="004E461A">
        <w:rPr>
          <w:color w:val="000000"/>
          <w:szCs w:val="22"/>
        </w:rPr>
        <w:t>ivabradīna</w:t>
      </w:r>
      <w:proofErr w:type="spellEnd"/>
      <w:r w:rsidRPr="004E461A">
        <w:rPr>
          <w:color w:val="000000"/>
          <w:szCs w:val="22"/>
        </w:rPr>
        <w:t xml:space="preserve"> lietošanas pacientiem, kuriem ir iedzimts QT</w:t>
      </w:r>
      <w:r w:rsidR="0000722C" w:rsidRPr="004E461A">
        <w:rPr>
          <w:color w:val="000000"/>
          <w:szCs w:val="22"/>
        </w:rPr>
        <w:t xml:space="preserve"> intervāla</w:t>
      </w:r>
      <w:r w:rsidRPr="004E461A">
        <w:rPr>
          <w:color w:val="000000"/>
          <w:szCs w:val="22"/>
        </w:rPr>
        <w:t xml:space="preserve"> sindroms vai kuri tiek ārstēti ar QT intervālu pagarinošām zālēm (skatīt 4.5. apakšpunktu). Ja šāda kombinācija tomēr ir nepieciešama, jānodrošina rūpīga sirdsdarbības kontrole.</w:t>
      </w:r>
    </w:p>
    <w:p w14:paraId="354D62B6" w14:textId="77777777" w:rsidR="00B60DD2" w:rsidRPr="004E461A" w:rsidRDefault="00B60DD2" w:rsidP="009C5A02">
      <w:pPr>
        <w:spacing w:line="240" w:lineRule="auto"/>
        <w:jc w:val="both"/>
        <w:rPr>
          <w:color w:val="000000"/>
          <w:szCs w:val="22"/>
        </w:rPr>
      </w:pPr>
      <w:proofErr w:type="spellStart"/>
      <w:r w:rsidRPr="004E461A">
        <w:rPr>
          <w:color w:val="000000"/>
          <w:szCs w:val="22"/>
        </w:rPr>
        <w:t>Ivabradīna</w:t>
      </w:r>
      <w:proofErr w:type="spellEnd"/>
      <w:r w:rsidRPr="004E461A">
        <w:rPr>
          <w:color w:val="000000"/>
          <w:szCs w:val="22"/>
        </w:rPr>
        <w:t xml:space="preserve"> izraisīta sirdsdarbības palēnināšanās var veicināt QT </w:t>
      </w:r>
      <w:r w:rsidR="0000722C" w:rsidRPr="004E461A">
        <w:rPr>
          <w:color w:val="000000"/>
          <w:szCs w:val="22"/>
        </w:rPr>
        <w:t xml:space="preserve">intervāla </w:t>
      </w:r>
      <w:r w:rsidRPr="004E461A">
        <w:rPr>
          <w:color w:val="000000"/>
          <w:szCs w:val="22"/>
        </w:rPr>
        <w:t xml:space="preserve">pagarināšanos, kas savukārt var izraisīt smagas aritmijas, īpaši </w:t>
      </w:r>
      <w:proofErr w:type="spellStart"/>
      <w:r w:rsidRPr="004E461A">
        <w:rPr>
          <w:i/>
          <w:color w:val="000000"/>
          <w:szCs w:val="22"/>
        </w:rPr>
        <w:t>Torsade</w:t>
      </w:r>
      <w:proofErr w:type="spellEnd"/>
      <w:r w:rsidRPr="004E461A">
        <w:rPr>
          <w:i/>
          <w:color w:val="000000"/>
          <w:szCs w:val="22"/>
        </w:rPr>
        <w:t xml:space="preserve"> </w:t>
      </w:r>
      <w:proofErr w:type="spellStart"/>
      <w:r w:rsidRPr="004E461A">
        <w:rPr>
          <w:i/>
          <w:color w:val="000000"/>
          <w:szCs w:val="22"/>
        </w:rPr>
        <w:t>de</w:t>
      </w:r>
      <w:proofErr w:type="spellEnd"/>
      <w:r w:rsidRPr="004E461A">
        <w:rPr>
          <w:i/>
          <w:color w:val="000000"/>
          <w:szCs w:val="22"/>
        </w:rPr>
        <w:t xml:space="preserve"> </w:t>
      </w:r>
      <w:proofErr w:type="spellStart"/>
      <w:r w:rsidRPr="004E461A">
        <w:rPr>
          <w:i/>
          <w:color w:val="000000"/>
          <w:szCs w:val="22"/>
        </w:rPr>
        <w:t>pointes</w:t>
      </w:r>
      <w:proofErr w:type="spellEnd"/>
      <w:r w:rsidRPr="004E461A">
        <w:rPr>
          <w:color w:val="000000"/>
          <w:szCs w:val="22"/>
        </w:rPr>
        <w:t>.</w:t>
      </w:r>
    </w:p>
    <w:p w14:paraId="74D0A7D2" w14:textId="77777777" w:rsidR="007D7144" w:rsidRPr="004E461A" w:rsidRDefault="007D7144" w:rsidP="009C5A02">
      <w:pPr>
        <w:tabs>
          <w:tab w:val="clear" w:pos="567"/>
        </w:tabs>
        <w:spacing w:line="240" w:lineRule="auto"/>
        <w:jc w:val="both"/>
        <w:rPr>
          <w:color w:val="000000"/>
          <w:szCs w:val="22"/>
        </w:rPr>
      </w:pPr>
    </w:p>
    <w:p w14:paraId="03C31CFA" w14:textId="77777777" w:rsidR="00173936" w:rsidRPr="004E461A" w:rsidRDefault="00173936" w:rsidP="009C5A02">
      <w:pPr>
        <w:spacing w:line="240" w:lineRule="auto"/>
        <w:jc w:val="both"/>
        <w:rPr>
          <w:i/>
          <w:color w:val="000000"/>
        </w:rPr>
      </w:pPr>
      <w:r w:rsidRPr="004E461A">
        <w:rPr>
          <w:i/>
          <w:iCs/>
          <w:color w:val="000000"/>
          <w:szCs w:val="22"/>
        </w:rPr>
        <w:t>Pacienti ar hipertensiju, kuriem nepieciešamas asinsspiedienu pazeminošās terapijas izmaiņas</w:t>
      </w:r>
    </w:p>
    <w:p w14:paraId="6F3B55B2" w14:textId="5DF66A9F" w:rsidR="00173936" w:rsidRPr="004E461A" w:rsidRDefault="00173936" w:rsidP="009C5A02">
      <w:pPr>
        <w:spacing w:line="240" w:lineRule="auto"/>
        <w:jc w:val="both"/>
        <w:rPr>
          <w:color w:val="000000"/>
        </w:rPr>
      </w:pPr>
      <w:r w:rsidRPr="004E461A">
        <w:rPr>
          <w:color w:val="000000"/>
          <w:szCs w:val="22"/>
        </w:rPr>
        <w:lastRenderedPageBreak/>
        <w:t xml:space="preserve">Ja pacientiem ar hronisku sirds mazspēju, </w:t>
      </w:r>
      <w:r w:rsidR="00C54608">
        <w:rPr>
          <w:color w:val="000000"/>
          <w:szCs w:val="22"/>
        </w:rPr>
        <w:t>kuri</w:t>
      </w:r>
      <w:r w:rsidR="00C54608" w:rsidRPr="004E461A">
        <w:rPr>
          <w:color w:val="000000"/>
          <w:szCs w:val="22"/>
        </w:rPr>
        <w:t xml:space="preserve"> </w:t>
      </w:r>
      <w:r w:rsidRPr="004E461A">
        <w:rPr>
          <w:color w:val="000000"/>
          <w:szCs w:val="22"/>
        </w:rPr>
        <w:t xml:space="preserve">tiek ārstēti ar </w:t>
      </w:r>
      <w:proofErr w:type="spellStart"/>
      <w:r w:rsidRPr="004E461A">
        <w:rPr>
          <w:color w:val="000000"/>
          <w:szCs w:val="22"/>
        </w:rPr>
        <w:t>ivabradīnu</w:t>
      </w:r>
      <w:proofErr w:type="spellEnd"/>
      <w:r w:rsidRPr="004E461A">
        <w:rPr>
          <w:color w:val="000000"/>
          <w:szCs w:val="22"/>
        </w:rPr>
        <w:t>, tiek veiktas terapijas izmaiņas, ar atbilstošiem intervāliem jākontrolē asinsspiediens (skatīt 4.8. apakšpunktu).</w:t>
      </w:r>
    </w:p>
    <w:p w14:paraId="52537451" w14:textId="77777777" w:rsidR="007D7144" w:rsidRPr="004E461A" w:rsidRDefault="007D7144" w:rsidP="009C5A02">
      <w:pPr>
        <w:tabs>
          <w:tab w:val="clear" w:pos="567"/>
        </w:tabs>
        <w:spacing w:line="240" w:lineRule="auto"/>
        <w:jc w:val="both"/>
        <w:rPr>
          <w:color w:val="000000"/>
          <w:szCs w:val="22"/>
        </w:rPr>
      </w:pPr>
    </w:p>
    <w:p w14:paraId="66A21B91" w14:textId="77777777" w:rsidR="0088729D" w:rsidRPr="004E461A" w:rsidRDefault="0088729D" w:rsidP="009C5A02">
      <w:pPr>
        <w:pStyle w:val="Default"/>
        <w:jc w:val="both"/>
        <w:rPr>
          <w:i/>
          <w:sz w:val="22"/>
          <w:szCs w:val="22"/>
          <w:lang w:val="lv-LV"/>
        </w:rPr>
      </w:pPr>
      <w:r w:rsidRPr="004E461A">
        <w:rPr>
          <w:i/>
          <w:sz w:val="22"/>
          <w:szCs w:val="22"/>
          <w:lang w:val="lv-LV"/>
        </w:rPr>
        <w:t>Palīgvielas</w:t>
      </w:r>
    </w:p>
    <w:p w14:paraId="74088933" w14:textId="57A4476F" w:rsidR="0088729D" w:rsidRPr="004E461A" w:rsidRDefault="0067229D" w:rsidP="009C5A02">
      <w:pPr>
        <w:pStyle w:val="Default"/>
        <w:jc w:val="both"/>
        <w:rPr>
          <w:sz w:val="22"/>
          <w:szCs w:val="22"/>
          <w:lang w:val="lv-LV"/>
        </w:rPr>
      </w:pPr>
      <w:r>
        <w:rPr>
          <w:sz w:val="22"/>
          <w:szCs w:val="22"/>
          <w:lang w:val="lv-LV"/>
        </w:rPr>
        <w:t>Š</w:t>
      </w:r>
      <w:r w:rsidR="0088729D" w:rsidRPr="004E461A">
        <w:rPr>
          <w:sz w:val="22"/>
          <w:szCs w:val="22"/>
          <w:lang w:val="lv-LV"/>
        </w:rPr>
        <w:t xml:space="preserve">īs </w:t>
      </w:r>
      <w:r>
        <w:rPr>
          <w:sz w:val="22"/>
          <w:szCs w:val="22"/>
          <w:lang w:val="lv-LV"/>
        </w:rPr>
        <w:t>zāles</w:t>
      </w:r>
      <w:r w:rsidRPr="004E461A">
        <w:rPr>
          <w:sz w:val="22"/>
          <w:szCs w:val="22"/>
          <w:lang w:val="lv-LV"/>
        </w:rPr>
        <w:t xml:space="preserve"> </w:t>
      </w:r>
      <w:r w:rsidR="0088729D" w:rsidRPr="004E461A">
        <w:rPr>
          <w:sz w:val="22"/>
          <w:szCs w:val="22"/>
          <w:lang w:val="lv-LV"/>
        </w:rPr>
        <w:t>satur laktozi</w:t>
      </w:r>
      <w:r>
        <w:rPr>
          <w:sz w:val="22"/>
          <w:szCs w:val="22"/>
          <w:lang w:val="lv-LV"/>
        </w:rPr>
        <w:t>.</w:t>
      </w:r>
      <w:r w:rsidR="0088729D" w:rsidRPr="004E461A">
        <w:rPr>
          <w:sz w:val="22"/>
          <w:szCs w:val="22"/>
          <w:lang w:val="lv-LV"/>
        </w:rPr>
        <w:t xml:space="preserve"> </w:t>
      </w:r>
      <w:r>
        <w:rPr>
          <w:sz w:val="22"/>
          <w:szCs w:val="22"/>
          <w:lang w:val="lv-LV"/>
        </w:rPr>
        <w:t>Š</w:t>
      </w:r>
      <w:r w:rsidR="0088729D" w:rsidRPr="004E461A">
        <w:rPr>
          <w:sz w:val="22"/>
          <w:szCs w:val="22"/>
          <w:lang w:val="lv-LV"/>
        </w:rPr>
        <w:t xml:space="preserve">īs zāles nevajadzētu lietot pacientiem ar retu iedzimtu galaktozes nepanesību, </w:t>
      </w:r>
      <w:r>
        <w:rPr>
          <w:sz w:val="22"/>
          <w:szCs w:val="22"/>
          <w:lang w:val="lv-LV"/>
        </w:rPr>
        <w:t xml:space="preserve">ar </w:t>
      </w:r>
      <w:r w:rsidR="0088729D" w:rsidRPr="004E461A">
        <w:rPr>
          <w:iCs/>
          <w:sz w:val="22"/>
          <w:szCs w:val="22"/>
          <w:lang w:val="lv-LV"/>
        </w:rPr>
        <w:t>pilnīgu</w:t>
      </w:r>
      <w:r w:rsidR="0088729D" w:rsidRPr="004E461A">
        <w:rPr>
          <w:sz w:val="22"/>
          <w:szCs w:val="22"/>
          <w:lang w:val="lv-LV"/>
        </w:rPr>
        <w:t xml:space="preserve"> laktāzes deficītu vai glikozes-galaktozes malabsorbciju.</w:t>
      </w:r>
    </w:p>
    <w:p w14:paraId="06846F94" w14:textId="77777777" w:rsidR="0088729D" w:rsidRPr="004E461A" w:rsidRDefault="0088729D" w:rsidP="009C5A02">
      <w:pPr>
        <w:tabs>
          <w:tab w:val="clear" w:pos="567"/>
        </w:tabs>
        <w:spacing w:line="240" w:lineRule="auto"/>
        <w:jc w:val="both"/>
        <w:rPr>
          <w:color w:val="000000"/>
          <w:szCs w:val="22"/>
        </w:rPr>
      </w:pPr>
    </w:p>
    <w:p w14:paraId="21B93298"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4.5</w:t>
      </w:r>
      <w:r w:rsidR="004D591D" w:rsidRPr="004E461A">
        <w:rPr>
          <w:b/>
          <w:color w:val="000000"/>
          <w:szCs w:val="22"/>
        </w:rPr>
        <w:t>.</w:t>
      </w:r>
      <w:r w:rsidRPr="004E461A">
        <w:rPr>
          <w:b/>
          <w:color w:val="000000"/>
          <w:szCs w:val="22"/>
        </w:rPr>
        <w:tab/>
        <w:t>Mijiedarbība ar citām zālēm un citi mijiedarbības veidi</w:t>
      </w:r>
    </w:p>
    <w:p w14:paraId="77EBF959" w14:textId="77777777" w:rsidR="0067229D" w:rsidRDefault="0067229D" w:rsidP="009C5A02">
      <w:pPr>
        <w:spacing w:line="240" w:lineRule="auto"/>
        <w:jc w:val="both"/>
        <w:rPr>
          <w:color w:val="000000"/>
          <w:position w:val="-1"/>
          <w:szCs w:val="22"/>
          <w:u w:val="single" w:color="000000"/>
        </w:rPr>
      </w:pPr>
    </w:p>
    <w:p w14:paraId="58D6C30A" w14:textId="6CF46C4F" w:rsidR="00532635" w:rsidRPr="004E461A" w:rsidRDefault="00532635" w:rsidP="009C5A02">
      <w:pPr>
        <w:spacing w:line="240" w:lineRule="auto"/>
        <w:jc w:val="both"/>
        <w:rPr>
          <w:color w:val="000000"/>
          <w:szCs w:val="22"/>
        </w:rPr>
      </w:pPr>
      <w:r w:rsidRPr="004E461A">
        <w:rPr>
          <w:color w:val="000000"/>
          <w:position w:val="-1"/>
          <w:szCs w:val="22"/>
          <w:u w:val="single" w:color="000000"/>
        </w:rPr>
        <w:t>Farmakodinamiskā mijiedarbība</w:t>
      </w:r>
    </w:p>
    <w:p w14:paraId="42053DF6" w14:textId="77777777" w:rsidR="00532635" w:rsidRPr="004E461A" w:rsidRDefault="00532635" w:rsidP="009C5A02">
      <w:pPr>
        <w:spacing w:line="240" w:lineRule="auto"/>
        <w:jc w:val="both"/>
        <w:rPr>
          <w:color w:val="000000"/>
          <w:szCs w:val="22"/>
        </w:rPr>
      </w:pPr>
      <w:r w:rsidRPr="004E461A">
        <w:rPr>
          <w:i/>
          <w:color w:val="000000"/>
          <w:szCs w:val="22"/>
        </w:rPr>
        <w:t>Vienlaicīga lietošana nav ieteicama</w:t>
      </w:r>
    </w:p>
    <w:p w14:paraId="5E26CC59" w14:textId="77777777" w:rsidR="00532635" w:rsidRPr="004E461A" w:rsidRDefault="00532635" w:rsidP="009C5A02">
      <w:pPr>
        <w:spacing w:line="240" w:lineRule="auto"/>
        <w:jc w:val="both"/>
        <w:rPr>
          <w:color w:val="000000"/>
          <w:szCs w:val="22"/>
        </w:rPr>
      </w:pPr>
      <w:r w:rsidRPr="004E461A">
        <w:rPr>
          <w:color w:val="000000"/>
          <w:szCs w:val="22"/>
        </w:rPr>
        <w:t>Zāles, kas pagarina QT intervālu</w:t>
      </w:r>
    </w:p>
    <w:p w14:paraId="117A6533" w14:textId="77777777" w:rsidR="00532635" w:rsidRPr="004E461A" w:rsidRDefault="00532635" w:rsidP="009C5A02">
      <w:pPr>
        <w:numPr>
          <w:ilvl w:val="0"/>
          <w:numId w:val="34"/>
        </w:numPr>
        <w:tabs>
          <w:tab w:val="clear" w:pos="567"/>
          <w:tab w:val="left" w:pos="709"/>
        </w:tabs>
        <w:spacing w:line="240" w:lineRule="auto"/>
        <w:jc w:val="both"/>
        <w:rPr>
          <w:color w:val="000000"/>
          <w:szCs w:val="22"/>
        </w:rPr>
      </w:pPr>
      <w:r w:rsidRPr="004E461A">
        <w:rPr>
          <w:color w:val="000000"/>
          <w:szCs w:val="22"/>
        </w:rPr>
        <w:t xml:space="preserve">Kardiovaskulāras zāles, kas pagarina QT intervālu (piemēram, </w:t>
      </w:r>
      <w:proofErr w:type="spellStart"/>
      <w:r w:rsidRPr="004E461A">
        <w:rPr>
          <w:color w:val="000000"/>
          <w:szCs w:val="22"/>
        </w:rPr>
        <w:t>hinidīns</w:t>
      </w:r>
      <w:proofErr w:type="spellEnd"/>
      <w:r w:rsidRPr="004E461A">
        <w:rPr>
          <w:color w:val="000000"/>
          <w:szCs w:val="22"/>
        </w:rPr>
        <w:t xml:space="preserve">, </w:t>
      </w:r>
      <w:proofErr w:type="spellStart"/>
      <w:r w:rsidRPr="004E461A">
        <w:rPr>
          <w:color w:val="000000"/>
          <w:szCs w:val="22"/>
        </w:rPr>
        <w:t>disopiramīds</w:t>
      </w:r>
      <w:proofErr w:type="spellEnd"/>
      <w:r w:rsidRPr="004E461A">
        <w:rPr>
          <w:color w:val="000000"/>
          <w:szCs w:val="22"/>
        </w:rPr>
        <w:t xml:space="preserve">, </w:t>
      </w:r>
      <w:proofErr w:type="spellStart"/>
      <w:r w:rsidRPr="004E461A">
        <w:rPr>
          <w:color w:val="000000"/>
          <w:szCs w:val="22"/>
        </w:rPr>
        <w:t>bepridils</w:t>
      </w:r>
      <w:proofErr w:type="spellEnd"/>
      <w:r w:rsidRPr="004E461A">
        <w:rPr>
          <w:color w:val="000000"/>
          <w:szCs w:val="22"/>
        </w:rPr>
        <w:t xml:space="preserve">, </w:t>
      </w:r>
      <w:proofErr w:type="spellStart"/>
      <w:r w:rsidRPr="004E461A">
        <w:rPr>
          <w:color w:val="000000"/>
          <w:szCs w:val="22"/>
        </w:rPr>
        <w:t>sotalols</w:t>
      </w:r>
      <w:proofErr w:type="spellEnd"/>
      <w:r w:rsidRPr="004E461A">
        <w:rPr>
          <w:color w:val="000000"/>
          <w:szCs w:val="22"/>
        </w:rPr>
        <w:t xml:space="preserve">, </w:t>
      </w:r>
      <w:proofErr w:type="spellStart"/>
      <w:r w:rsidRPr="004E461A">
        <w:rPr>
          <w:color w:val="000000"/>
          <w:szCs w:val="22"/>
        </w:rPr>
        <w:t>ibutilīds</w:t>
      </w:r>
      <w:proofErr w:type="spellEnd"/>
      <w:r w:rsidRPr="004E461A">
        <w:rPr>
          <w:color w:val="000000"/>
          <w:szCs w:val="22"/>
        </w:rPr>
        <w:t xml:space="preserve">, </w:t>
      </w:r>
      <w:proofErr w:type="spellStart"/>
      <w:r w:rsidRPr="004E461A">
        <w:rPr>
          <w:color w:val="000000"/>
          <w:szCs w:val="22"/>
        </w:rPr>
        <w:t>amiodarons</w:t>
      </w:r>
      <w:proofErr w:type="spellEnd"/>
      <w:r w:rsidRPr="004E461A">
        <w:rPr>
          <w:color w:val="000000"/>
          <w:szCs w:val="22"/>
        </w:rPr>
        <w:t>).</w:t>
      </w:r>
    </w:p>
    <w:p w14:paraId="1F891A77" w14:textId="77777777" w:rsidR="00532635" w:rsidRPr="004E461A" w:rsidRDefault="00532635" w:rsidP="009C5A02">
      <w:pPr>
        <w:numPr>
          <w:ilvl w:val="0"/>
          <w:numId w:val="34"/>
        </w:numPr>
        <w:tabs>
          <w:tab w:val="clear" w:pos="567"/>
          <w:tab w:val="left" w:pos="709"/>
        </w:tabs>
        <w:spacing w:line="240" w:lineRule="auto"/>
        <w:jc w:val="both"/>
        <w:rPr>
          <w:color w:val="000000"/>
          <w:szCs w:val="22"/>
        </w:rPr>
      </w:pPr>
      <w:r w:rsidRPr="004E461A">
        <w:rPr>
          <w:color w:val="000000"/>
          <w:szCs w:val="22"/>
        </w:rPr>
        <w:t xml:space="preserve">Nekardiovaskulāras zāles, kas pagarina QT intervālu (piemēram, </w:t>
      </w:r>
      <w:proofErr w:type="spellStart"/>
      <w:r w:rsidRPr="004E461A">
        <w:rPr>
          <w:color w:val="000000"/>
          <w:szCs w:val="22"/>
        </w:rPr>
        <w:t>pimozīds</w:t>
      </w:r>
      <w:proofErr w:type="spellEnd"/>
      <w:r w:rsidRPr="004E461A">
        <w:rPr>
          <w:color w:val="000000"/>
          <w:szCs w:val="22"/>
        </w:rPr>
        <w:t xml:space="preserve">, </w:t>
      </w:r>
      <w:proofErr w:type="spellStart"/>
      <w:r w:rsidRPr="004E461A">
        <w:rPr>
          <w:color w:val="000000"/>
          <w:szCs w:val="22"/>
        </w:rPr>
        <w:t>ziprasidons</w:t>
      </w:r>
      <w:proofErr w:type="spellEnd"/>
      <w:r w:rsidRPr="004E461A">
        <w:rPr>
          <w:color w:val="000000"/>
          <w:szCs w:val="22"/>
        </w:rPr>
        <w:t xml:space="preserve">, </w:t>
      </w:r>
      <w:proofErr w:type="spellStart"/>
      <w:r w:rsidRPr="004E461A">
        <w:rPr>
          <w:color w:val="000000"/>
          <w:szCs w:val="22"/>
        </w:rPr>
        <w:t>sertindols</w:t>
      </w:r>
      <w:proofErr w:type="spellEnd"/>
      <w:r w:rsidRPr="004E461A">
        <w:rPr>
          <w:color w:val="000000"/>
          <w:szCs w:val="22"/>
        </w:rPr>
        <w:t xml:space="preserve">, </w:t>
      </w:r>
      <w:proofErr w:type="spellStart"/>
      <w:r w:rsidRPr="004E461A">
        <w:rPr>
          <w:color w:val="000000"/>
          <w:szCs w:val="22"/>
        </w:rPr>
        <w:t>meflohīns</w:t>
      </w:r>
      <w:proofErr w:type="spellEnd"/>
      <w:r w:rsidRPr="004E461A">
        <w:rPr>
          <w:color w:val="000000"/>
          <w:szCs w:val="22"/>
        </w:rPr>
        <w:t xml:space="preserve">, </w:t>
      </w:r>
      <w:proofErr w:type="spellStart"/>
      <w:r w:rsidRPr="004E461A">
        <w:rPr>
          <w:color w:val="000000"/>
          <w:szCs w:val="22"/>
        </w:rPr>
        <w:t>halofantrīns</w:t>
      </w:r>
      <w:proofErr w:type="spellEnd"/>
      <w:r w:rsidRPr="004E461A">
        <w:rPr>
          <w:color w:val="000000"/>
          <w:szCs w:val="22"/>
        </w:rPr>
        <w:t xml:space="preserve">, </w:t>
      </w:r>
      <w:proofErr w:type="spellStart"/>
      <w:r w:rsidRPr="004E461A">
        <w:rPr>
          <w:color w:val="000000"/>
          <w:szCs w:val="22"/>
        </w:rPr>
        <w:t>pentamidīns</w:t>
      </w:r>
      <w:proofErr w:type="spellEnd"/>
      <w:r w:rsidRPr="004E461A">
        <w:rPr>
          <w:color w:val="000000"/>
          <w:szCs w:val="22"/>
        </w:rPr>
        <w:t xml:space="preserve">, </w:t>
      </w:r>
      <w:proofErr w:type="spellStart"/>
      <w:r w:rsidRPr="004E461A">
        <w:rPr>
          <w:color w:val="000000"/>
          <w:szCs w:val="22"/>
        </w:rPr>
        <w:t>cisaprīds</w:t>
      </w:r>
      <w:proofErr w:type="spellEnd"/>
      <w:r w:rsidRPr="004E461A">
        <w:rPr>
          <w:color w:val="000000"/>
          <w:szCs w:val="22"/>
        </w:rPr>
        <w:t xml:space="preserve">, intravenozi ievadāms </w:t>
      </w:r>
      <w:proofErr w:type="spellStart"/>
      <w:r w:rsidRPr="004E461A">
        <w:rPr>
          <w:color w:val="000000"/>
          <w:szCs w:val="22"/>
        </w:rPr>
        <w:t>eritromicīns</w:t>
      </w:r>
      <w:proofErr w:type="spellEnd"/>
      <w:r w:rsidRPr="004E461A">
        <w:rPr>
          <w:color w:val="000000"/>
          <w:szCs w:val="22"/>
        </w:rPr>
        <w:t>).</w:t>
      </w:r>
    </w:p>
    <w:p w14:paraId="69C8FEE6" w14:textId="77777777" w:rsidR="00532635" w:rsidRPr="004E461A" w:rsidRDefault="00532635" w:rsidP="009C5A02">
      <w:pPr>
        <w:spacing w:line="240" w:lineRule="auto"/>
        <w:jc w:val="both"/>
        <w:rPr>
          <w:color w:val="000000"/>
          <w:szCs w:val="22"/>
        </w:rPr>
      </w:pPr>
      <w:r w:rsidRPr="004E461A">
        <w:rPr>
          <w:color w:val="000000"/>
          <w:szCs w:val="22"/>
        </w:rPr>
        <w:t xml:space="preserve">Jāizvairās no kardiovaskulāru vai nekardiovaskulāru zāļu, kas pagarina QT intervālu, vienlaicīgas lietošanas ar </w:t>
      </w:r>
      <w:proofErr w:type="spellStart"/>
      <w:r w:rsidRPr="004E461A">
        <w:rPr>
          <w:color w:val="000000"/>
          <w:szCs w:val="22"/>
        </w:rPr>
        <w:t>ivabradīnu</w:t>
      </w:r>
      <w:proofErr w:type="spellEnd"/>
      <w:r w:rsidRPr="004E461A">
        <w:rPr>
          <w:color w:val="000000"/>
          <w:szCs w:val="22"/>
        </w:rPr>
        <w:t xml:space="preserve">, jo sirdsdarbības </w:t>
      </w:r>
      <w:r w:rsidR="003D21CC" w:rsidRPr="004E461A">
        <w:rPr>
          <w:color w:val="000000"/>
          <w:szCs w:val="22"/>
        </w:rPr>
        <w:t>frekvences</w:t>
      </w:r>
      <w:r w:rsidRPr="004E461A">
        <w:rPr>
          <w:color w:val="000000"/>
          <w:szCs w:val="22"/>
        </w:rPr>
        <w:t xml:space="preserve"> </w:t>
      </w:r>
      <w:r w:rsidR="005647B1" w:rsidRPr="004E461A">
        <w:rPr>
          <w:color w:val="000000"/>
          <w:szCs w:val="22"/>
        </w:rPr>
        <w:t xml:space="preserve">samazināšanās </w:t>
      </w:r>
      <w:r w:rsidRPr="004E461A">
        <w:rPr>
          <w:color w:val="000000"/>
          <w:szCs w:val="22"/>
        </w:rPr>
        <w:t>var pagarināt QT intervālu. Ja šāda kombinācija tomēr ir nepieciešama, jānodrošina rūpīga sirdsdarbības kontrole (skatīt 4.4. apakšpunktu).</w:t>
      </w:r>
    </w:p>
    <w:p w14:paraId="5EE7BC2F" w14:textId="77777777" w:rsidR="00532635" w:rsidRPr="004E461A" w:rsidRDefault="00532635" w:rsidP="009C5A02">
      <w:pPr>
        <w:spacing w:line="240" w:lineRule="auto"/>
        <w:jc w:val="both"/>
        <w:rPr>
          <w:color w:val="000000"/>
          <w:szCs w:val="22"/>
        </w:rPr>
      </w:pPr>
    </w:p>
    <w:p w14:paraId="7B2B2FDC" w14:textId="77777777" w:rsidR="00532635" w:rsidRPr="004E461A" w:rsidRDefault="00532635" w:rsidP="009C5A02">
      <w:pPr>
        <w:spacing w:line="240" w:lineRule="auto"/>
        <w:jc w:val="both"/>
        <w:rPr>
          <w:color w:val="000000"/>
          <w:szCs w:val="22"/>
        </w:rPr>
      </w:pPr>
      <w:r w:rsidRPr="004E461A">
        <w:rPr>
          <w:i/>
          <w:color w:val="000000"/>
          <w:szCs w:val="22"/>
        </w:rPr>
        <w:t>Vienlaicīgas lietošanas gadījumā jāievēro piesardzība</w:t>
      </w:r>
    </w:p>
    <w:p w14:paraId="42D8147E" w14:textId="77777777" w:rsidR="00532635" w:rsidRPr="004E461A" w:rsidRDefault="00532635" w:rsidP="009C5A02">
      <w:pPr>
        <w:spacing w:line="240" w:lineRule="auto"/>
        <w:jc w:val="both"/>
        <w:rPr>
          <w:color w:val="000000"/>
          <w:szCs w:val="22"/>
        </w:rPr>
      </w:pPr>
      <w:r w:rsidRPr="004E461A">
        <w:rPr>
          <w:iCs/>
          <w:color w:val="000000"/>
          <w:szCs w:val="22"/>
        </w:rPr>
        <w:t>Kālija līmeni pazeminoši diurētiskie līdzekļi</w:t>
      </w:r>
      <w:r w:rsidRPr="004E461A">
        <w:rPr>
          <w:color w:val="000000"/>
          <w:szCs w:val="22"/>
        </w:rPr>
        <w:t xml:space="preserve"> (</w:t>
      </w:r>
      <w:proofErr w:type="spellStart"/>
      <w:r w:rsidRPr="004E461A">
        <w:rPr>
          <w:color w:val="000000"/>
          <w:szCs w:val="22"/>
        </w:rPr>
        <w:t>tiazīdu</w:t>
      </w:r>
      <w:proofErr w:type="spellEnd"/>
      <w:r w:rsidRPr="004E461A">
        <w:rPr>
          <w:color w:val="000000"/>
          <w:szCs w:val="22"/>
        </w:rPr>
        <w:t xml:space="preserve"> diurētiskie līdzekļi un cilpas diurētiskie līdzekļi): hipokaliēmija var palielināt aritmijas risku. Tā kā </w:t>
      </w:r>
      <w:proofErr w:type="spellStart"/>
      <w:r w:rsidRPr="004E461A">
        <w:rPr>
          <w:color w:val="000000"/>
          <w:szCs w:val="22"/>
        </w:rPr>
        <w:t>ivabradīns</w:t>
      </w:r>
      <w:proofErr w:type="spellEnd"/>
      <w:r w:rsidRPr="004E461A">
        <w:rPr>
          <w:color w:val="000000"/>
          <w:szCs w:val="22"/>
        </w:rPr>
        <w:t xml:space="preserve"> var izraisīt bradikardiju, līdz ar to hipokaliēmija vienlaicīgi ar bradikardiju ir smagas aritmijas predisponējošs faktors, īpaši pacientiem ar pagarināta QT</w:t>
      </w:r>
      <w:r w:rsidR="006731D6" w:rsidRPr="004E461A">
        <w:rPr>
          <w:color w:val="000000"/>
          <w:szCs w:val="22"/>
        </w:rPr>
        <w:t xml:space="preserve"> in</w:t>
      </w:r>
      <w:r w:rsidR="005647B1" w:rsidRPr="004E461A">
        <w:rPr>
          <w:color w:val="000000"/>
          <w:szCs w:val="22"/>
        </w:rPr>
        <w:t>te</w:t>
      </w:r>
      <w:r w:rsidR="006731D6" w:rsidRPr="004E461A">
        <w:rPr>
          <w:color w:val="000000"/>
          <w:szCs w:val="22"/>
        </w:rPr>
        <w:t>rvāla</w:t>
      </w:r>
      <w:r w:rsidRPr="004E461A">
        <w:rPr>
          <w:color w:val="000000"/>
          <w:szCs w:val="22"/>
        </w:rPr>
        <w:t xml:space="preserve"> sindromu, neatkarīgi no tā, vai tas ir iedzimts vai kādas vielas izraisīts.</w:t>
      </w:r>
    </w:p>
    <w:p w14:paraId="7696EC21" w14:textId="77777777" w:rsidR="00CD10AA" w:rsidRPr="004E461A" w:rsidRDefault="00CD10AA" w:rsidP="009C5A02">
      <w:pPr>
        <w:tabs>
          <w:tab w:val="clear" w:pos="567"/>
        </w:tabs>
        <w:spacing w:line="240" w:lineRule="auto"/>
        <w:jc w:val="both"/>
        <w:rPr>
          <w:b/>
          <w:color w:val="000000"/>
          <w:szCs w:val="22"/>
        </w:rPr>
      </w:pPr>
    </w:p>
    <w:p w14:paraId="16ED9D56" w14:textId="77777777" w:rsidR="00376990" w:rsidRPr="004E461A" w:rsidRDefault="00376990" w:rsidP="009C5A02">
      <w:pPr>
        <w:spacing w:line="240" w:lineRule="auto"/>
        <w:jc w:val="both"/>
        <w:rPr>
          <w:iCs/>
          <w:color w:val="000000"/>
          <w:szCs w:val="22"/>
          <w:u w:val="single"/>
        </w:rPr>
      </w:pPr>
      <w:r w:rsidRPr="004E461A">
        <w:rPr>
          <w:iCs/>
          <w:color w:val="000000"/>
          <w:szCs w:val="22"/>
          <w:u w:val="single"/>
        </w:rPr>
        <w:t>Farmakokinētiskā mijiedarbība</w:t>
      </w:r>
    </w:p>
    <w:p w14:paraId="4FBE2CB0" w14:textId="65F12F6E" w:rsidR="00376990" w:rsidRPr="004E461A" w:rsidRDefault="00376990" w:rsidP="009C5A02">
      <w:pPr>
        <w:spacing w:line="240" w:lineRule="auto"/>
        <w:jc w:val="both"/>
        <w:rPr>
          <w:iCs/>
          <w:color w:val="000000"/>
          <w:szCs w:val="22"/>
        </w:rPr>
      </w:pPr>
      <w:proofErr w:type="spellStart"/>
      <w:r w:rsidRPr="004E461A">
        <w:rPr>
          <w:iCs/>
          <w:color w:val="000000"/>
          <w:szCs w:val="22"/>
        </w:rPr>
        <w:t>Ivabradīns</w:t>
      </w:r>
      <w:proofErr w:type="spellEnd"/>
      <w:r w:rsidRPr="004E461A">
        <w:rPr>
          <w:iCs/>
          <w:color w:val="000000"/>
          <w:szCs w:val="22"/>
        </w:rPr>
        <w:t xml:space="preserve"> tiek </w:t>
      </w:r>
      <w:proofErr w:type="spellStart"/>
      <w:r w:rsidRPr="004E461A">
        <w:rPr>
          <w:iCs/>
          <w:color w:val="000000"/>
          <w:szCs w:val="22"/>
        </w:rPr>
        <w:t>metabolizēts</w:t>
      </w:r>
      <w:proofErr w:type="spellEnd"/>
      <w:r w:rsidRPr="004E461A">
        <w:rPr>
          <w:iCs/>
          <w:color w:val="000000"/>
          <w:szCs w:val="22"/>
        </w:rPr>
        <w:t xml:space="preserve"> tikai ar CYP3A4 starpniecību, un tas ir ļoti vājš šī citohroma inhibitors. Ir pierādīts, ka </w:t>
      </w:r>
      <w:proofErr w:type="spellStart"/>
      <w:r w:rsidRPr="004E461A">
        <w:rPr>
          <w:iCs/>
          <w:color w:val="000000"/>
          <w:szCs w:val="22"/>
        </w:rPr>
        <w:t>ivabradīns</w:t>
      </w:r>
      <w:proofErr w:type="spellEnd"/>
      <w:r w:rsidRPr="004E461A">
        <w:rPr>
          <w:iCs/>
          <w:color w:val="000000"/>
          <w:szCs w:val="22"/>
        </w:rPr>
        <w:t xml:space="preserve"> neietekmē citu (vājo, vidējo un spēcīgo inhibitoru) CYP3A4 substrātu metabolismu un koncentrāciju plazmā. CYP3A4 inhibitori un inducētāji ir spējīgi mijiedarboties ar </w:t>
      </w:r>
      <w:proofErr w:type="spellStart"/>
      <w:r w:rsidRPr="004E461A">
        <w:rPr>
          <w:iCs/>
          <w:color w:val="000000"/>
          <w:szCs w:val="22"/>
        </w:rPr>
        <w:t>ivabradīnu</w:t>
      </w:r>
      <w:proofErr w:type="spellEnd"/>
      <w:r w:rsidRPr="004E461A">
        <w:rPr>
          <w:iCs/>
          <w:color w:val="000000"/>
          <w:szCs w:val="22"/>
        </w:rPr>
        <w:t xml:space="preserve"> un ietekmēt tā metabolismu un farmakokinētiku klīniski nozīmīgā apjomā. </w:t>
      </w:r>
      <w:r w:rsidR="0067229D">
        <w:rPr>
          <w:iCs/>
          <w:color w:val="000000"/>
          <w:szCs w:val="22"/>
        </w:rPr>
        <w:t>M</w:t>
      </w:r>
      <w:r w:rsidRPr="004E461A">
        <w:rPr>
          <w:iCs/>
          <w:color w:val="000000"/>
          <w:szCs w:val="22"/>
        </w:rPr>
        <w:t xml:space="preserve">ijiedarbības pētījumos novērots, ka CYP3A4 inhibitori palielina </w:t>
      </w:r>
      <w:proofErr w:type="spellStart"/>
      <w:r w:rsidRPr="004E461A">
        <w:rPr>
          <w:iCs/>
          <w:color w:val="000000"/>
          <w:szCs w:val="22"/>
        </w:rPr>
        <w:t>ivabradīna</w:t>
      </w:r>
      <w:proofErr w:type="spellEnd"/>
      <w:r w:rsidRPr="004E461A">
        <w:rPr>
          <w:iCs/>
          <w:color w:val="000000"/>
          <w:szCs w:val="22"/>
        </w:rPr>
        <w:t xml:space="preserve"> koncentrāciju plazmā, bet inducētāji to samazina. Paaugstināta </w:t>
      </w:r>
      <w:proofErr w:type="spellStart"/>
      <w:r w:rsidRPr="004E461A">
        <w:rPr>
          <w:iCs/>
          <w:color w:val="000000"/>
          <w:szCs w:val="22"/>
        </w:rPr>
        <w:t>ivabradīna</w:t>
      </w:r>
      <w:proofErr w:type="spellEnd"/>
      <w:r w:rsidRPr="004E461A">
        <w:rPr>
          <w:iCs/>
          <w:color w:val="000000"/>
          <w:szCs w:val="22"/>
        </w:rPr>
        <w:t xml:space="preserve"> koncentrācija plazmā var būt saistīta ar smagas bradikardijas risku (skatīt 4.4. apakšpunktu).</w:t>
      </w:r>
    </w:p>
    <w:p w14:paraId="4DC540B7" w14:textId="77777777" w:rsidR="00376990" w:rsidRPr="004E461A" w:rsidRDefault="00376990" w:rsidP="009C5A02">
      <w:pPr>
        <w:spacing w:line="240" w:lineRule="auto"/>
        <w:jc w:val="both"/>
        <w:rPr>
          <w:i/>
          <w:iCs/>
          <w:color w:val="000000"/>
          <w:szCs w:val="22"/>
        </w:rPr>
      </w:pPr>
    </w:p>
    <w:p w14:paraId="23509216" w14:textId="77777777" w:rsidR="00376990" w:rsidRPr="004E461A" w:rsidRDefault="00376990" w:rsidP="009C5A02">
      <w:pPr>
        <w:spacing w:line="240" w:lineRule="auto"/>
        <w:jc w:val="both"/>
        <w:rPr>
          <w:i/>
          <w:iCs/>
          <w:color w:val="000000"/>
          <w:szCs w:val="22"/>
        </w:rPr>
      </w:pPr>
      <w:r w:rsidRPr="004E461A">
        <w:rPr>
          <w:i/>
          <w:iCs/>
          <w:color w:val="000000"/>
          <w:szCs w:val="22"/>
        </w:rPr>
        <w:t>Kontrindicēta vienlaicīga lietošana</w:t>
      </w:r>
    </w:p>
    <w:p w14:paraId="0D074D3F" w14:textId="792B24B8" w:rsidR="0067229D" w:rsidRPr="00B47BC3" w:rsidRDefault="0067229D" w:rsidP="009C5A02">
      <w:pPr>
        <w:spacing w:line="240" w:lineRule="auto"/>
        <w:jc w:val="both"/>
        <w:rPr>
          <w:i/>
          <w:color w:val="000000"/>
          <w:szCs w:val="22"/>
          <w:u w:val="single"/>
        </w:rPr>
      </w:pPr>
      <w:r w:rsidRPr="00B47BC3">
        <w:rPr>
          <w:i/>
          <w:color w:val="000000"/>
          <w:szCs w:val="22"/>
          <w:u w:val="single"/>
        </w:rPr>
        <w:t>Spēcīgi CYP3A4 inhibitori</w:t>
      </w:r>
    </w:p>
    <w:p w14:paraId="65011528" w14:textId="5AABD495" w:rsidR="00376990" w:rsidRPr="004E461A" w:rsidRDefault="00C24EAE" w:rsidP="009C5A02">
      <w:pPr>
        <w:spacing w:line="240" w:lineRule="auto"/>
        <w:jc w:val="both"/>
        <w:rPr>
          <w:iCs/>
          <w:color w:val="000000"/>
          <w:szCs w:val="22"/>
        </w:rPr>
      </w:pPr>
      <w:r w:rsidRPr="004E461A">
        <w:rPr>
          <w:iCs/>
          <w:color w:val="000000"/>
          <w:szCs w:val="22"/>
        </w:rPr>
        <w:t>S</w:t>
      </w:r>
      <w:r w:rsidR="00376990" w:rsidRPr="004E461A">
        <w:rPr>
          <w:iCs/>
          <w:color w:val="000000"/>
          <w:szCs w:val="22"/>
        </w:rPr>
        <w:t>pēcīgu CYP3A4 inhibitoru</w:t>
      </w:r>
      <w:r w:rsidRPr="004E461A">
        <w:rPr>
          <w:iCs/>
          <w:color w:val="000000"/>
          <w:szCs w:val="22"/>
        </w:rPr>
        <w:t>, piemēram,</w:t>
      </w:r>
      <w:r w:rsidR="00376990" w:rsidRPr="004E461A">
        <w:rPr>
          <w:iCs/>
          <w:color w:val="000000"/>
          <w:szCs w:val="22"/>
        </w:rPr>
        <w:t xml:space="preserve"> </w:t>
      </w:r>
      <w:proofErr w:type="spellStart"/>
      <w:r w:rsidR="00376990" w:rsidRPr="004E461A">
        <w:rPr>
          <w:iCs/>
          <w:color w:val="000000"/>
          <w:szCs w:val="22"/>
        </w:rPr>
        <w:t>azola</w:t>
      </w:r>
      <w:proofErr w:type="spellEnd"/>
      <w:r w:rsidR="00376990" w:rsidRPr="004E461A">
        <w:rPr>
          <w:iCs/>
          <w:color w:val="000000"/>
          <w:szCs w:val="22"/>
        </w:rPr>
        <w:t xml:space="preserve"> grupas </w:t>
      </w:r>
      <w:proofErr w:type="spellStart"/>
      <w:r w:rsidR="00376990" w:rsidRPr="004E461A">
        <w:rPr>
          <w:iCs/>
          <w:color w:val="000000"/>
          <w:szCs w:val="22"/>
        </w:rPr>
        <w:t>pretsēnīšu</w:t>
      </w:r>
      <w:proofErr w:type="spellEnd"/>
      <w:r w:rsidR="00376990" w:rsidRPr="004E461A">
        <w:rPr>
          <w:iCs/>
          <w:color w:val="000000"/>
          <w:szCs w:val="22"/>
        </w:rPr>
        <w:t xml:space="preserve"> zāles (</w:t>
      </w:r>
      <w:proofErr w:type="spellStart"/>
      <w:r w:rsidR="00376990" w:rsidRPr="004E461A">
        <w:rPr>
          <w:iCs/>
          <w:color w:val="000000"/>
          <w:szCs w:val="22"/>
        </w:rPr>
        <w:t>ketokonazola</w:t>
      </w:r>
      <w:proofErr w:type="spellEnd"/>
      <w:r w:rsidR="00376990" w:rsidRPr="004E461A">
        <w:rPr>
          <w:iCs/>
          <w:color w:val="000000"/>
          <w:szCs w:val="22"/>
        </w:rPr>
        <w:t xml:space="preserve">, </w:t>
      </w:r>
      <w:proofErr w:type="spellStart"/>
      <w:r w:rsidR="00376990" w:rsidRPr="004E461A">
        <w:rPr>
          <w:iCs/>
          <w:color w:val="000000"/>
          <w:szCs w:val="22"/>
        </w:rPr>
        <w:t>itrakonazola</w:t>
      </w:r>
      <w:proofErr w:type="spellEnd"/>
      <w:r w:rsidR="00376990" w:rsidRPr="004E461A">
        <w:rPr>
          <w:iCs/>
          <w:color w:val="000000"/>
          <w:szCs w:val="22"/>
        </w:rPr>
        <w:t xml:space="preserve">), </w:t>
      </w:r>
      <w:proofErr w:type="spellStart"/>
      <w:r w:rsidR="00376990" w:rsidRPr="004E461A">
        <w:rPr>
          <w:iCs/>
          <w:color w:val="000000"/>
          <w:szCs w:val="22"/>
        </w:rPr>
        <w:t>makrolīdu</w:t>
      </w:r>
      <w:proofErr w:type="spellEnd"/>
      <w:r w:rsidR="00376990" w:rsidRPr="004E461A">
        <w:rPr>
          <w:iCs/>
          <w:color w:val="000000"/>
          <w:szCs w:val="22"/>
        </w:rPr>
        <w:t xml:space="preserve"> </w:t>
      </w:r>
      <w:r w:rsidRPr="004E461A">
        <w:rPr>
          <w:iCs/>
          <w:color w:val="000000"/>
          <w:szCs w:val="22"/>
        </w:rPr>
        <w:t>grupas antibiotisko līdzekļu</w:t>
      </w:r>
      <w:r w:rsidR="00376990" w:rsidRPr="004E461A">
        <w:rPr>
          <w:iCs/>
          <w:color w:val="000000"/>
          <w:szCs w:val="22"/>
        </w:rPr>
        <w:t xml:space="preserve"> (</w:t>
      </w:r>
      <w:proofErr w:type="spellStart"/>
      <w:r w:rsidR="00376990" w:rsidRPr="004E461A">
        <w:rPr>
          <w:iCs/>
          <w:color w:val="000000"/>
          <w:szCs w:val="22"/>
        </w:rPr>
        <w:t>klaritromicīna</w:t>
      </w:r>
      <w:proofErr w:type="spellEnd"/>
      <w:r w:rsidR="00376990" w:rsidRPr="004E461A">
        <w:rPr>
          <w:iCs/>
          <w:color w:val="000000"/>
          <w:szCs w:val="22"/>
        </w:rPr>
        <w:t xml:space="preserve">, </w:t>
      </w:r>
      <w:r w:rsidRPr="004E461A">
        <w:rPr>
          <w:iCs/>
          <w:color w:val="000000"/>
          <w:szCs w:val="22"/>
        </w:rPr>
        <w:t xml:space="preserve">iekšķīgi lietojama </w:t>
      </w:r>
      <w:proofErr w:type="spellStart"/>
      <w:r w:rsidR="00376990" w:rsidRPr="004E461A">
        <w:rPr>
          <w:iCs/>
          <w:color w:val="000000"/>
          <w:szCs w:val="22"/>
        </w:rPr>
        <w:t>eritromicīna</w:t>
      </w:r>
      <w:proofErr w:type="spellEnd"/>
      <w:r w:rsidR="00376990" w:rsidRPr="004E461A">
        <w:rPr>
          <w:iCs/>
          <w:color w:val="000000"/>
          <w:szCs w:val="22"/>
        </w:rPr>
        <w:t xml:space="preserve">, </w:t>
      </w:r>
      <w:proofErr w:type="spellStart"/>
      <w:r w:rsidR="00376990" w:rsidRPr="004E461A">
        <w:rPr>
          <w:iCs/>
          <w:color w:val="000000"/>
          <w:szCs w:val="22"/>
        </w:rPr>
        <w:t>josamicīna</w:t>
      </w:r>
      <w:proofErr w:type="spellEnd"/>
      <w:r w:rsidR="00376990" w:rsidRPr="004E461A">
        <w:rPr>
          <w:iCs/>
          <w:color w:val="000000"/>
          <w:szCs w:val="22"/>
        </w:rPr>
        <w:t xml:space="preserve">, </w:t>
      </w:r>
      <w:proofErr w:type="spellStart"/>
      <w:r w:rsidR="00376990" w:rsidRPr="004E461A">
        <w:rPr>
          <w:iCs/>
          <w:color w:val="000000"/>
          <w:szCs w:val="22"/>
        </w:rPr>
        <w:t>telitromicīna</w:t>
      </w:r>
      <w:proofErr w:type="spellEnd"/>
      <w:r w:rsidR="00376990" w:rsidRPr="004E461A">
        <w:rPr>
          <w:iCs/>
          <w:color w:val="000000"/>
          <w:szCs w:val="22"/>
        </w:rPr>
        <w:t xml:space="preserve">) un HIV </w:t>
      </w:r>
      <w:proofErr w:type="spellStart"/>
      <w:r w:rsidR="00376990" w:rsidRPr="004E461A">
        <w:rPr>
          <w:iCs/>
          <w:color w:val="000000"/>
          <w:szCs w:val="22"/>
        </w:rPr>
        <w:t>proteāzes</w:t>
      </w:r>
      <w:proofErr w:type="spellEnd"/>
      <w:r w:rsidR="00376990" w:rsidRPr="004E461A">
        <w:rPr>
          <w:iCs/>
          <w:color w:val="000000"/>
          <w:szCs w:val="22"/>
        </w:rPr>
        <w:t xml:space="preserve"> inhibitoru (</w:t>
      </w:r>
      <w:proofErr w:type="spellStart"/>
      <w:r w:rsidR="00376990" w:rsidRPr="004E461A">
        <w:rPr>
          <w:iCs/>
          <w:color w:val="000000"/>
          <w:szCs w:val="22"/>
        </w:rPr>
        <w:t>nelfinavīra</w:t>
      </w:r>
      <w:proofErr w:type="spellEnd"/>
      <w:r w:rsidR="00376990" w:rsidRPr="004E461A">
        <w:rPr>
          <w:iCs/>
          <w:color w:val="000000"/>
          <w:szCs w:val="22"/>
        </w:rPr>
        <w:t xml:space="preserve">, </w:t>
      </w:r>
      <w:proofErr w:type="spellStart"/>
      <w:r w:rsidR="00376990" w:rsidRPr="004E461A">
        <w:rPr>
          <w:iCs/>
          <w:color w:val="000000"/>
          <w:szCs w:val="22"/>
        </w:rPr>
        <w:t>ritanovīra</w:t>
      </w:r>
      <w:proofErr w:type="spellEnd"/>
      <w:r w:rsidR="00376990" w:rsidRPr="004E461A">
        <w:rPr>
          <w:iCs/>
          <w:color w:val="000000"/>
          <w:szCs w:val="22"/>
        </w:rPr>
        <w:t xml:space="preserve">) un </w:t>
      </w:r>
      <w:proofErr w:type="spellStart"/>
      <w:r w:rsidR="00376990" w:rsidRPr="004E461A">
        <w:rPr>
          <w:iCs/>
          <w:color w:val="000000"/>
          <w:szCs w:val="22"/>
        </w:rPr>
        <w:t>nefazodona</w:t>
      </w:r>
      <w:proofErr w:type="spellEnd"/>
      <w:r w:rsidRPr="004E461A">
        <w:rPr>
          <w:iCs/>
          <w:color w:val="000000"/>
          <w:szCs w:val="22"/>
        </w:rPr>
        <w:t>,</w:t>
      </w:r>
      <w:r w:rsidR="00376990" w:rsidRPr="004E461A">
        <w:rPr>
          <w:iCs/>
          <w:color w:val="000000"/>
          <w:szCs w:val="22"/>
        </w:rPr>
        <w:t xml:space="preserve"> vienlaicīga lietošana ir kontrindicēta (skatīt 4.3. apakšpunktu). Spēcīgais CYP3A4 inhibitors </w:t>
      </w:r>
      <w:proofErr w:type="spellStart"/>
      <w:r w:rsidR="00376990" w:rsidRPr="004E461A">
        <w:rPr>
          <w:iCs/>
          <w:color w:val="000000"/>
          <w:szCs w:val="22"/>
        </w:rPr>
        <w:t>ketokonazols</w:t>
      </w:r>
      <w:proofErr w:type="spellEnd"/>
      <w:r w:rsidR="00376990" w:rsidRPr="004E461A">
        <w:rPr>
          <w:iCs/>
          <w:color w:val="000000"/>
          <w:szCs w:val="22"/>
        </w:rPr>
        <w:t xml:space="preserve"> (200 mg vienu reizi dienā) un </w:t>
      </w:r>
      <w:proofErr w:type="spellStart"/>
      <w:r w:rsidR="00376990" w:rsidRPr="004E461A">
        <w:rPr>
          <w:iCs/>
          <w:color w:val="000000"/>
          <w:szCs w:val="22"/>
        </w:rPr>
        <w:t>josamicīns</w:t>
      </w:r>
      <w:proofErr w:type="spellEnd"/>
      <w:r w:rsidR="00376990" w:rsidRPr="004E461A">
        <w:rPr>
          <w:iCs/>
          <w:color w:val="000000"/>
          <w:szCs w:val="22"/>
        </w:rPr>
        <w:t xml:space="preserve"> (1</w:t>
      </w:r>
      <w:r w:rsidRPr="004E461A">
        <w:rPr>
          <w:iCs/>
          <w:color w:val="000000"/>
          <w:szCs w:val="22"/>
        </w:rPr>
        <w:t xml:space="preserve"> </w:t>
      </w:r>
      <w:r w:rsidR="00376990" w:rsidRPr="004E461A">
        <w:rPr>
          <w:iCs/>
          <w:color w:val="000000"/>
          <w:szCs w:val="22"/>
        </w:rPr>
        <w:t xml:space="preserve">g divas reizes dienā) palielina </w:t>
      </w:r>
      <w:proofErr w:type="spellStart"/>
      <w:r w:rsidR="00376990" w:rsidRPr="004E461A">
        <w:rPr>
          <w:iCs/>
          <w:color w:val="000000"/>
          <w:szCs w:val="22"/>
        </w:rPr>
        <w:t>ivabradīna</w:t>
      </w:r>
      <w:proofErr w:type="spellEnd"/>
      <w:r w:rsidR="00376990" w:rsidRPr="004E461A">
        <w:rPr>
          <w:iCs/>
          <w:color w:val="000000"/>
          <w:szCs w:val="22"/>
        </w:rPr>
        <w:t xml:space="preserve"> vidējo plazmas līmeni 7 līdz 8 reizes.</w:t>
      </w:r>
    </w:p>
    <w:p w14:paraId="75957E16" w14:textId="77777777" w:rsidR="00376990" w:rsidRPr="004E461A" w:rsidRDefault="00376990" w:rsidP="009C5A02">
      <w:pPr>
        <w:spacing w:line="240" w:lineRule="auto"/>
        <w:jc w:val="both"/>
        <w:rPr>
          <w:iCs/>
          <w:color w:val="000000"/>
          <w:szCs w:val="22"/>
        </w:rPr>
      </w:pPr>
    </w:p>
    <w:p w14:paraId="2EB3D34E" w14:textId="77777777" w:rsidR="0067229D" w:rsidRPr="00B47BC3" w:rsidRDefault="00376990" w:rsidP="009C5A02">
      <w:pPr>
        <w:spacing w:line="240" w:lineRule="auto"/>
        <w:jc w:val="both"/>
        <w:rPr>
          <w:i/>
          <w:color w:val="000000"/>
          <w:szCs w:val="22"/>
          <w:u w:val="single"/>
        </w:rPr>
      </w:pPr>
      <w:r w:rsidRPr="00B47BC3">
        <w:rPr>
          <w:i/>
          <w:color w:val="000000"/>
          <w:szCs w:val="22"/>
          <w:u w:val="single"/>
        </w:rPr>
        <w:t>Vidēji spēcīgi CYP3A4 inhibitori</w:t>
      </w:r>
    </w:p>
    <w:p w14:paraId="03131B0A" w14:textId="336482BC" w:rsidR="00376990" w:rsidRPr="004E461A" w:rsidRDefault="0067229D" w:rsidP="009C5A02">
      <w:pPr>
        <w:spacing w:line="240" w:lineRule="auto"/>
        <w:jc w:val="both"/>
        <w:rPr>
          <w:iCs/>
          <w:color w:val="000000"/>
          <w:szCs w:val="22"/>
        </w:rPr>
      </w:pPr>
      <w:r>
        <w:rPr>
          <w:iCs/>
          <w:color w:val="000000"/>
          <w:szCs w:val="22"/>
        </w:rPr>
        <w:t>S</w:t>
      </w:r>
      <w:r w:rsidR="00376990" w:rsidRPr="004E461A">
        <w:rPr>
          <w:iCs/>
          <w:color w:val="000000"/>
          <w:szCs w:val="22"/>
        </w:rPr>
        <w:t xml:space="preserve">pecifiski mijiedarbības pētījumi ar veseliem </w:t>
      </w:r>
      <w:r w:rsidR="00E539FF" w:rsidRPr="004E461A">
        <w:rPr>
          <w:iCs/>
          <w:color w:val="000000"/>
          <w:szCs w:val="22"/>
        </w:rPr>
        <w:t>brīvprātīgajiem</w:t>
      </w:r>
      <w:r w:rsidR="00376990" w:rsidRPr="004E461A">
        <w:rPr>
          <w:iCs/>
          <w:color w:val="000000"/>
          <w:szCs w:val="22"/>
        </w:rPr>
        <w:t xml:space="preserve"> un pacientiem ir pierādījuši, ka </w:t>
      </w:r>
      <w:proofErr w:type="spellStart"/>
      <w:r w:rsidR="00376990" w:rsidRPr="004E461A">
        <w:rPr>
          <w:iCs/>
          <w:color w:val="000000"/>
          <w:szCs w:val="22"/>
        </w:rPr>
        <w:t>ivabradīna</w:t>
      </w:r>
      <w:proofErr w:type="spellEnd"/>
      <w:r w:rsidR="00376990" w:rsidRPr="004E461A">
        <w:rPr>
          <w:iCs/>
          <w:color w:val="000000"/>
          <w:szCs w:val="22"/>
        </w:rPr>
        <w:t xml:space="preserve"> kombinācija ar </w:t>
      </w:r>
      <w:r w:rsidR="00E539FF" w:rsidRPr="004E461A">
        <w:rPr>
          <w:iCs/>
          <w:color w:val="000000"/>
          <w:szCs w:val="22"/>
        </w:rPr>
        <w:t xml:space="preserve">sirdsdarbību palēninošiem līdzekļiem </w:t>
      </w:r>
      <w:proofErr w:type="spellStart"/>
      <w:r w:rsidR="00376990" w:rsidRPr="004E461A">
        <w:rPr>
          <w:iCs/>
          <w:color w:val="000000"/>
          <w:szCs w:val="22"/>
        </w:rPr>
        <w:t>diltiazemu</w:t>
      </w:r>
      <w:proofErr w:type="spellEnd"/>
      <w:r w:rsidR="00376990" w:rsidRPr="004E461A">
        <w:rPr>
          <w:iCs/>
          <w:color w:val="000000"/>
          <w:szCs w:val="22"/>
        </w:rPr>
        <w:t xml:space="preserve"> vai </w:t>
      </w:r>
      <w:proofErr w:type="spellStart"/>
      <w:r w:rsidR="00376990" w:rsidRPr="004E461A">
        <w:rPr>
          <w:iCs/>
          <w:color w:val="000000"/>
          <w:szCs w:val="22"/>
        </w:rPr>
        <w:t>verapamilu</w:t>
      </w:r>
      <w:proofErr w:type="spellEnd"/>
      <w:r w:rsidR="00376990" w:rsidRPr="004E461A">
        <w:rPr>
          <w:iCs/>
          <w:color w:val="000000"/>
          <w:szCs w:val="22"/>
        </w:rPr>
        <w:t xml:space="preserve"> </w:t>
      </w:r>
      <w:r w:rsidR="00E539FF" w:rsidRPr="004E461A">
        <w:rPr>
          <w:iCs/>
          <w:color w:val="000000"/>
          <w:szCs w:val="22"/>
        </w:rPr>
        <w:t>pastiprina</w:t>
      </w:r>
      <w:r w:rsidR="00376990" w:rsidRPr="004E461A">
        <w:rPr>
          <w:iCs/>
          <w:color w:val="000000"/>
          <w:szCs w:val="22"/>
        </w:rPr>
        <w:t xml:space="preserve"> </w:t>
      </w:r>
      <w:proofErr w:type="spellStart"/>
      <w:r w:rsidR="00376990" w:rsidRPr="004E461A">
        <w:rPr>
          <w:iCs/>
          <w:color w:val="000000"/>
          <w:szCs w:val="22"/>
        </w:rPr>
        <w:t>ivabradīna</w:t>
      </w:r>
      <w:proofErr w:type="spellEnd"/>
      <w:r w:rsidR="00376990" w:rsidRPr="004E461A">
        <w:rPr>
          <w:iCs/>
          <w:color w:val="000000"/>
          <w:szCs w:val="22"/>
        </w:rPr>
        <w:t xml:space="preserve"> iedarbību (2 līdz 3 </w:t>
      </w:r>
      <w:r w:rsidR="00E539FF" w:rsidRPr="004E461A">
        <w:rPr>
          <w:iCs/>
          <w:color w:val="000000"/>
          <w:szCs w:val="22"/>
        </w:rPr>
        <w:t>reizes</w:t>
      </w:r>
      <w:r w:rsidR="00376990" w:rsidRPr="004E461A">
        <w:rPr>
          <w:iCs/>
          <w:color w:val="000000"/>
          <w:szCs w:val="22"/>
        </w:rPr>
        <w:t xml:space="preserve"> palielinās AUC) un papildus samazina sirds ritmu par 5 sitieniem minūtē.</w:t>
      </w:r>
      <w:r w:rsidR="00E539FF" w:rsidRPr="004E461A">
        <w:rPr>
          <w:iCs/>
          <w:color w:val="000000"/>
          <w:szCs w:val="22"/>
        </w:rPr>
        <w:t xml:space="preserve"> </w:t>
      </w:r>
      <w:r w:rsidR="00376990" w:rsidRPr="004E461A">
        <w:rPr>
          <w:iCs/>
          <w:color w:val="000000"/>
          <w:szCs w:val="22"/>
        </w:rPr>
        <w:t xml:space="preserve">Vienlaicīga </w:t>
      </w:r>
      <w:proofErr w:type="spellStart"/>
      <w:r w:rsidR="00376990" w:rsidRPr="004E461A">
        <w:rPr>
          <w:iCs/>
          <w:color w:val="000000"/>
          <w:szCs w:val="22"/>
        </w:rPr>
        <w:t>ivabradīna</w:t>
      </w:r>
      <w:proofErr w:type="spellEnd"/>
      <w:r w:rsidR="00376990" w:rsidRPr="004E461A">
        <w:rPr>
          <w:iCs/>
          <w:color w:val="000000"/>
          <w:szCs w:val="22"/>
        </w:rPr>
        <w:t xml:space="preserve"> lietošana ar šīm zālēm ir kontrindicēta (skatīt 4.3. apakšpunktu).</w:t>
      </w:r>
    </w:p>
    <w:p w14:paraId="0F010AA7" w14:textId="77777777" w:rsidR="00376990" w:rsidRPr="004E461A" w:rsidRDefault="00376990" w:rsidP="009C5A02">
      <w:pPr>
        <w:spacing w:line="240" w:lineRule="auto"/>
        <w:jc w:val="both"/>
        <w:rPr>
          <w:i/>
          <w:iCs/>
          <w:color w:val="000000"/>
          <w:szCs w:val="22"/>
        </w:rPr>
      </w:pPr>
    </w:p>
    <w:p w14:paraId="36026F1B" w14:textId="77777777" w:rsidR="00376990" w:rsidRPr="004E461A" w:rsidRDefault="00376990" w:rsidP="009C5A02">
      <w:pPr>
        <w:spacing w:line="240" w:lineRule="auto"/>
        <w:jc w:val="both"/>
        <w:rPr>
          <w:i/>
          <w:iCs/>
          <w:color w:val="000000"/>
          <w:szCs w:val="22"/>
        </w:rPr>
      </w:pPr>
      <w:r w:rsidRPr="004E461A">
        <w:rPr>
          <w:i/>
          <w:iCs/>
          <w:color w:val="000000"/>
          <w:szCs w:val="22"/>
        </w:rPr>
        <w:t>Vienlaicīga lietošana nav ieteicama</w:t>
      </w:r>
    </w:p>
    <w:p w14:paraId="166D1F66" w14:textId="77777777" w:rsidR="00376990" w:rsidRPr="004E461A" w:rsidRDefault="00376990" w:rsidP="009C5A02">
      <w:pPr>
        <w:spacing w:line="240" w:lineRule="auto"/>
        <w:jc w:val="both"/>
        <w:rPr>
          <w:iCs/>
          <w:color w:val="000000"/>
          <w:szCs w:val="22"/>
        </w:rPr>
      </w:pPr>
      <w:r w:rsidRPr="004E461A">
        <w:rPr>
          <w:iCs/>
          <w:color w:val="000000"/>
          <w:szCs w:val="22"/>
        </w:rPr>
        <w:t xml:space="preserve">Greipfrūtu sula: pēc lietošanas </w:t>
      </w:r>
      <w:r w:rsidR="00E539FF" w:rsidRPr="004E461A">
        <w:rPr>
          <w:iCs/>
          <w:color w:val="000000"/>
          <w:szCs w:val="22"/>
        </w:rPr>
        <w:t>vienlaicīgi</w:t>
      </w:r>
      <w:r w:rsidRPr="004E461A">
        <w:rPr>
          <w:iCs/>
          <w:color w:val="000000"/>
          <w:szCs w:val="22"/>
        </w:rPr>
        <w:t xml:space="preserve"> ar greipfrūtu sulu </w:t>
      </w:r>
      <w:proofErr w:type="spellStart"/>
      <w:r w:rsidRPr="004E461A">
        <w:rPr>
          <w:iCs/>
          <w:color w:val="000000"/>
          <w:szCs w:val="22"/>
        </w:rPr>
        <w:t>ivabradīna</w:t>
      </w:r>
      <w:proofErr w:type="spellEnd"/>
      <w:r w:rsidRPr="004E461A">
        <w:rPr>
          <w:iCs/>
          <w:color w:val="000000"/>
          <w:szCs w:val="22"/>
        </w:rPr>
        <w:t xml:space="preserve"> iedarbība bija 2 reizes lielāka, tāpēc no greipfrūtu sulas lietošanas jāizvairās.</w:t>
      </w:r>
    </w:p>
    <w:p w14:paraId="735A558E" w14:textId="77777777" w:rsidR="00376990" w:rsidRPr="004E461A" w:rsidRDefault="00376990" w:rsidP="009C5A02">
      <w:pPr>
        <w:spacing w:line="240" w:lineRule="auto"/>
        <w:jc w:val="both"/>
        <w:rPr>
          <w:i/>
          <w:iCs/>
          <w:color w:val="000000"/>
          <w:szCs w:val="22"/>
        </w:rPr>
      </w:pPr>
    </w:p>
    <w:p w14:paraId="6B91300E" w14:textId="77777777" w:rsidR="00376990" w:rsidRPr="004E461A" w:rsidRDefault="00376990" w:rsidP="009C5A02">
      <w:pPr>
        <w:spacing w:line="240" w:lineRule="auto"/>
        <w:jc w:val="both"/>
        <w:rPr>
          <w:iCs/>
          <w:color w:val="000000"/>
          <w:szCs w:val="22"/>
        </w:rPr>
      </w:pPr>
      <w:r w:rsidRPr="004E461A">
        <w:rPr>
          <w:i/>
          <w:iCs/>
          <w:color w:val="000000"/>
          <w:szCs w:val="22"/>
        </w:rPr>
        <w:t>Vienlaicīga lietošana ar piesardzību</w:t>
      </w:r>
    </w:p>
    <w:p w14:paraId="64A1A436" w14:textId="77777777" w:rsidR="0067229D" w:rsidRPr="00B47BC3" w:rsidRDefault="00376990" w:rsidP="0067229D">
      <w:pPr>
        <w:tabs>
          <w:tab w:val="clear" w:pos="567"/>
          <w:tab w:val="left" w:pos="709"/>
        </w:tabs>
        <w:spacing w:line="240" w:lineRule="auto"/>
        <w:jc w:val="both"/>
        <w:rPr>
          <w:i/>
          <w:color w:val="000000"/>
          <w:szCs w:val="22"/>
          <w:u w:val="single"/>
        </w:rPr>
      </w:pPr>
      <w:r w:rsidRPr="00B47BC3">
        <w:rPr>
          <w:i/>
          <w:color w:val="000000"/>
          <w:szCs w:val="22"/>
          <w:u w:val="single"/>
        </w:rPr>
        <w:t>Vidēji spēcīgi CYP3A4 inhibitori</w:t>
      </w:r>
    </w:p>
    <w:p w14:paraId="3BED7283" w14:textId="31F84622" w:rsidR="00376990" w:rsidRPr="004E461A" w:rsidRDefault="00376990" w:rsidP="00B47BC3">
      <w:pPr>
        <w:tabs>
          <w:tab w:val="clear" w:pos="567"/>
          <w:tab w:val="left" w:pos="709"/>
        </w:tabs>
        <w:spacing w:line="240" w:lineRule="auto"/>
        <w:jc w:val="both"/>
        <w:rPr>
          <w:iCs/>
          <w:color w:val="000000"/>
          <w:szCs w:val="22"/>
        </w:rPr>
      </w:pPr>
      <w:r w:rsidRPr="004E461A">
        <w:rPr>
          <w:iCs/>
          <w:color w:val="000000"/>
          <w:szCs w:val="22"/>
        </w:rPr>
        <w:lastRenderedPageBreak/>
        <w:t xml:space="preserve">vienlaicīgu </w:t>
      </w:r>
      <w:proofErr w:type="spellStart"/>
      <w:r w:rsidRPr="004E461A">
        <w:rPr>
          <w:iCs/>
          <w:color w:val="000000"/>
          <w:szCs w:val="22"/>
        </w:rPr>
        <w:t>ivabradīna</w:t>
      </w:r>
      <w:proofErr w:type="spellEnd"/>
      <w:r w:rsidRPr="004E461A">
        <w:rPr>
          <w:iCs/>
          <w:color w:val="000000"/>
          <w:szCs w:val="22"/>
        </w:rPr>
        <w:t xml:space="preserve"> lietošanu ar citiem vidēji spēcīgiem CYP3A4 inhibitoriem (piemēram, </w:t>
      </w:r>
      <w:proofErr w:type="spellStart"/>
      <w:r w:rsidRPr="004E461A">
        <w:rPr>
          <w:iCs/>
          <w:color w:val="000000"/>
          <w:szCs w:val="22"/>
        </w:rPr>
        <w:t>flukonazolu</w:t>
      </w:r>
      <w:proofErr w:type="spellEnd"/>
      <w:r w:rsidRPr="004E461A">
        <w:rPr>
          <w:iCs/>
          <w:color w:val="000000"/>
          <w:szCs w:val="22"/>
        </w:rPr>
        <w:t>) var apsvērt pie sākuma devas 2,5 mg divas reizes dienā un</w:t>
      </w:r>
      <w:r w:rsidR="009C5A02" w:rsidRPr="004E461A">
        <w:rPr>
          <w:iCs/>
          <w:color w:val="000000"/>
          <w:szCs w:val="22"/>
        </w:rPr>
        <w:t>,</w:t>
      </w:r>
      <w:r w:rsidRPr="004E461A">
        <w:rPr>
          <w:iCs/>
          <w:color w:val="000000"/>
          <w:szCs w:val="22"/>
        </w:rPr>
        <w:t xml:space="preserve"> ja sirdsdarbības </w:t>
      </w:r>
      <w:r w:rsidR="0017731A" w:rsidRPr="004E461A">
        <w:rPr>
          <w:iCs/>
          <w:color w:val="000000"/>
          <w:szCs w:val="22"/>
        </w:rPr>
        <w:t>frekvence</w:t>
      </w:r>
      <w:r w:rsidR="009C5A02" w:rsidRPr="004E461A">
        <w:rPr>
          <w:iCs/>
          <w:color w:val="000000"/>
          <w:szCs w:val="22"/>
        </w:rPr>
        <w:t xml:space="preserve"> miera stāvoklī ir vairāk par </w:t>
      </w:r>
      <w:r w:rsidRPr="004E461A">
        <w:rPr>
          <w:iCs/>
          <w:color w:val="000000"/>
          <w:szCs w:val="22"/>
        </w:rPr>
        <w:t xml:space="preserve">70 sitieniem minūtē, </w:t>
      </w:r>
      <w:r w:rsidR="009C5A02" w:rsidRPr="004E461A">
        <w:rPr>
          <w:iCs/>
          <w:color w:val="000000"/>
          <w:szCs w:val="22"/>
        </w:rPr>
        <w:t xml:space="preserve">vienlaicīgi </w:t>
      </w:r>
      <w:r w:rsidRPr="004E461A">
        <w:rPr>
          <w:iCs/>
          <w:color w:val="000000"/>
          <w:szCs w:val="22"/>
        </w:rPr>
        <w:t>kontrolējot sirds ritmu.</w:t>
      </w:r>
    </w:p>
    <w:p w14:paraId="4A3882DF" w14:textId="77777777" w:rsidR="004A0BA7" w:rsidRDefault="004A0BA7" w:rsidP="004A0BA7">
      <w:pPr>
        <w:tabs>
          <w:tab w:val="clear" w:pos="567"/>
          <w:tab w:val="left" w:pos="709"/>
        </w:tabs>
        <w:spacing w:line="240" w:lineRule="auto"/>
        <w:jc w:val="both"/>
        <w:rPr>
          <w:iCs/>
          <w:color w:val="000000"/>
          <w:szCs w:val="22"/>
        </w:rPr>
      </w:pPr>
    </w:p>
    <w:p w14:paraId="49280C7D" w14:textId="77777777" w:rsidR="004A0BA7" w:rsidRPr="00B47BC3" w:rsidRDefault="00376990" w:rsidP="004A0BA7">
      <w:pPr>
        <w:tabs>
          <w:tab w:val="clear" w:pos="567"/>
          <w:tab w:val="left" w:pos="709"/>
        </w:tabs>
        <w:spacing w:line="240" w:lineRule="auto"/>
        <w:jc w:val="both"/>
        <w:rPr>
          <w:i/>
          <w:color w:val="000000"/>
          <w:szCs w:val="22"/>
          <w:u w:val="single"/>
        </w:rPr>
      </w:pPr>
      <w:r w:rsidRPr="00B47BC3">
        <w:rPr>
          <w:i/>
          <w:color w:val="000000"/>
          <w:szCs w:val="22"/>
          <w:u w:val="single"/>
        </w:rPr>
        <w:t>CYP3A4 inducētāji</w:t>
      </w:r>
    </w:p>
    <w:p w14:paraId="1F4ED4F2" w14:textId="1CA7460B" w:rsidR="00376990" w:rsidRPr="004E461A" w:rsidRDefault="00376990" w:rsidP="00B47BC3">
      <w:pPr>
        <w:tabs>
          <w:tab w:val="clear" w:pos="567"/>
          <w:tab w:val="left" w:pos="709"/>
        </w:tabs>
        <w:spacing w:line="240" w:lineRule="auto"/>
        <w:jc w:val="both"/>
        <w:rPr>
          <w:iCs/>
          <w:color w:val="000000"/>
          <w:szCs w:val="22"/>
        </w:rPr>
      </w:pPr>
      <w:r w:rsidRPr="004E461A">
        <w:rPr>
          <w:iCs/>
          <w:color w:val="000000"/>
          <w:szCs w:val="22"/>
        </w:rPr>
        <w:t>CYP3A4 inducētāji (</w:t>
      </w:r>
      <w:r w:rsidR="009C5A02" w:rsidRPr="004E461A">
        <w:rPr>
          <w:iCs/>
          <w:color w:val="000000"/>
          <w:szCs w:val="22"/>
        </w:rPr>
        <w:t>piemēram,</w:t>
      </w:r>
      <w:r w:rsidRPr="004E461A">
        <w:rPr>
          <w:iCs/>
          <w:color w:val="000000"/>
          <w:szCs w:val="22"/>
        </w:rPr>
        <w:t xml:space="preserve"> </w:t>
      </w:r>
      <w:proofErr w:type="spellStart"/>
      <w:r w:rsidRPr="004E461A">
        <w:rPr>
          <w:iCs/>
          <w:color w:val="000000"/>
          <w:szCs w:val="22"/>
        </w:rPr>
        <w:t>rifampicīn</w:t>
      </w:r>
      <w:r w:rsidR="009C5A02" w:rsidRPr="004E461A">
        <w:rPr>
          <w:iCs/>
          <w:color w:val="000000"/>
          <w:szCs w:val="22"/>
        </w:rPr>
        <w:t>s</w:t>
      </w:r>
      <w:proofErr w:type="spellEnd"/>
      <w:r w:rsidRPr="004E461A">
        <w:rPr>
          <w:iCs/>
          <w:color w:val="000000"/>
          <w:szCs w:val="22"/>
        </w:rPr>
        <w:t xml:space="preserve">, </w:t>
      </w:r>
      <w:proofErr w:type="spellStart"/>
      <w:r w:rsidRPr="004E461A">
        <w:rPr>
          <w:iCs/>
          <w:color w:val="000000"/>
          <w:szCs w:val="22"/>
        </w:rPr>
        <w:t>barbiturāt</w:t>
      </w:r>
      <w:r w:rsidR="009C5A02" w:rsidRPr="004E461A">
        <w:rPr>
          <w:iCs/>
          <w:color w:val="000000"/>
          <w:szCs w:val="22"/>
        </w:rPr>
        <w:t>i</w:t>
      </w:r>
      <w:proofErr w:type="spellEnd"/>
      <w:r w:rsidRPr="004E461A">
        <w:rPr>
          <w:iCs/>
          <w:color w:val="000000"/>
          <w:szCs w:val="22"/>
        </w:rPr>
        <w:t xml:space="preserve">, </w:t>
      </w:r>
      <w:proofErr w:type="spellStart"/>
      <w:r w:rsidRPr="004E461A">
        <w:rPr>
          <w:iCs/>
          <w:color w:val="000000"/>
          <w:szCs w:val="22"/>
        </w:rPr>
        <w:t>fenitoīn</w:t>
      </w:r>
      <w:r w:rsidR="009C5A02" w:rsidRPr="004E461A">
        <w:rPr>
          <w:iCs/>
          <w:color w:val="000000"/>
          <w:szCs w:val="22"/>
        </w:rPr>
        <w:t>s</w:t>
      </w:r>
      <w:proofErr w:type="spellEnd"/>
      <w:r w:rsidRPr="004E461A">
        <w:rPr>
          <w:iCs/>
          <w:color w:val="000000"/>
          <w:szCs w:val="22"/>
        </w:rPr>
        <w:t xml:space="preserve">, </w:t>
      </w:r>
      <w:proofErr w:type="spellStart"/>
      <w:r w:rsidRPr="004E461A">
        <w:rPr>
          <w:i/>
          <w:iCs/>
          <w:color w:val="000000"/>
          <w:szCs w:val="22"/>
        </w:rPr>
        <w:t>Hypericum</w:t>
      </w:r>
      <w:proofErr w:type="spellEnd"/>
      <w:r w:rsidRPr="004E461A">
        <w:rPr>
          <w:i/>
          <w:iCs/>
          <w:color w:val="000000"/>
          <w:szCs w:val="22"/>
        </w:rPr>
        <w:t xml:space="preserve"> </w:t>
      </w:r>
      <w:proofErr w:type="spellStart"/>
      <w:r w:rsidRPr="004E461A">
        <w:rPr>
          <w:i/>
          <w:iCs/>
          <w:color w:val="000000"/>
          <w:szCs w:val="22"/>
        </w:rPr>
        <w:t>perforatum</w:t>
      </w:r>
      <w:proofErr w:type="spellEnd"/>
      <w:r w:rsidRPr="004E461A">
        <w:rPr>
          <w:iCs/>
          <w:color w:val="000000"/>
          <w:szCs w:val="22"/>
        </w:rPr>
        <w:t xml:space="preserve"> [</w:t>
      </w:r>
      <w:proofErr w:type="spellStart"/>
      <w:r w:rsidRPr="004E461A">
        <w:rPr>
          <w:iCs/>
          <w:color w:val="000000"/>
          <w:szCs w:val="22"/>
        </w:rPr>
        <w:t>divšķautņu</w:t>
      </w:r>
      <w:proofErr w:type="spellEnd"/>
      <w:r w:rsidRPr="004E461A">
        <w:rPr>
          <w:iCs/>
          <w:color w:val="000000"/>
          <w:szCs w:val="22"/>
        </w:rPr>
        <w:t xml:space="preserve"> asinszāle]) var samazināt </w:t>
      </w:r>
      <w:proofErr w:type="spellStart"/>
      <w:r w:rsidRPr="004E461A">
        <w:rPr>
          <w:iCs/>
          <w:color w:val="000000"/>
          <w:szCs w:val="22"/>
        </w:rPr>
        <w:t>ivabradīna</w:t>
      </w:r>
      <w:proofErr w:type="spellEnd"/>
      <w:r w:rsidRPr="004E461A">
        <w:rPr>
          <w:iCs/>
          <w:color w:val="000000"/>
          <w:szCs w:val="22"/>
        </w:rPr>
        <w:t xml:space="preserve"> iedarbību un aktivitāti. Vienlaicīgas CYP3A4 </w:t>
      </w:r>
      <w:r w:rsidR="009C5A02" w:rsidRPr="004E461A">
        <w:rPr>
          <w:iCs/>
          <w:color w:val="000000"/>
          <w:szCs w:val="22"/>
        </w:rPr>
        <w:t>induktoru</w:t>
      </w:r>
      <w:r w:rsidRPr="004E461A">
        <w:rPr>
          <w:iCs/>
          <w:color w:val="000000"/>
          <w:szCs w:val="22"/>
        </w:rPr>
        <w:t xml:space="preserve"> lietošanas gadījumā var būt nepieciešam</w:t>
      </w:r>
      <w:r w:rsidR="009C5A02" w:rsidRPr="004E461A">
        <w:rPr>
          <w:iCs/>
          <w:color w:val="000000"/>
          <w:szCs w:val="22"/>
        </w:rPr>
        <w:t xml:space="preserve">s pielāgot </w:t>
      </w:r>
      <w:proofErr w:type="spellStart"/>
      <w:r w:rsidR="009C5A02" w:rsidRPr="004E461A">
        <w:rPr>
          <w:iCs/>
          <w:color w:val="000000"/>
          <w:szCs w:val="22"/>
        </w:rPr>
        <w:t>ivabradīna</w:t>
      </w:r>
      <w:proofErr w:type="spellEnd"/>
      <w:r w:rsidR="009C5A02" w:rsidRPr="004E461A">
        <w:rPr>
          <w:iCs/>
          <w:color w:val="000000"/>
          <w:szCs w:val="22"/>
        </w:rPr>
        <w:t xml:space="preserve"> devu</w:t>
      </w:r>
      <w:r w:rsidRPr="004E461A">
        <w:rPr>
          <w:iCs/>
          <w:color w:val="000000"/>
          <w:szCs w:val="22"/>
        </w:rPr>
        <w:t xml:space="preserve">. Lietojot </w:t>
      </w:r>
      <w:r w:rsidR="009C5A02" w:rsidRPr="004E461A">
        <w:rPr>
          <w:iCs/>
          <w:color w:val="000000"/>
          <w:szCs w:val="22"/>
        </w:rPr>
        <w:t xml:space="preserve">10 mg </w:t>
      </w:r>
      <w:proofErr w:type="spellStart"/>
      <w:r w:rsidR="009C5A02" w:rsidRPr="004E461A">
        <w:rPr>
          <w:iCs/>
          <w:color w:val="000000"/>
          <w:szCs w:val="22"/>
        </w:rPr>
        <w:t>ivabradīna</w:t>
      </w:r>
      <w:proofErr w:type="spellEnd"/>
      <w:r w:rsidRPr="004E461A">
        <w:rPr>
          <w:iCs/>
          <w:color w:val="000000"/>
          <w:szCs w:val="22"/>
        </w:rPr>
        <w:t xml:space="preserve"> divas reizes dienā kombinācijā ar divšķautņu asinszāli, tika novērota </w:t>
      </w:r>
      <w:proofErr w:type="spellStart"/>
      <w:r w:rsidRPr="004E461A">
        <w:rPr>
          <w:iCs/>
          <w:color w:val="000000"/>
          <w:szCs w:val="22"/>
        </w:rPr>
        <w:t>ivabradīna</w:t>
      </w:r>
      <w:proofErr w:type="spellEnd"/>
      <w:r w:rsidRPr="004E461A">
        <w:rPr>
          <w:iCs/>
          <w:color w:val="000000"/>
          <w:szCs w:val="22"/>
        </w:rPr>
        <w:t xml:space="preserve"> AUC samazināšanās uz pusi. </w:t>
      </w:r>
      <w:proofErr w:type="spellStart"/>
      <w:r w:rsidRPr="004E461A">
        <w:rPr>
          <w:iCs/>
          <w:color w:val="000000"/>
          <w:szCs w:val="22"/>
        </w:rPr>
        <w:t>Ivabradīna</w:t>
      </w:r>
      <w:proofErr w:type="spellEnd"/>
      <w:r w:rsidRPr="004E461A">
        <w:rPr>
          <w:iCs/>
          <w:color w:val="000000"/>
          <w:szCs w:val="22"/>
        </w:rPr>
        <w:t xml:space="preserve"> terapijas laikā </w:t>
      </w:r>
      <w:proofErr w:type="spellStart"/>
      <w:r w:rsidRPr="004E461A">
        <w:rPr>
          <w:iCs/>
          <w:color w:val="000000"/>
          <w:szCs w:val="22"/>
        </w:rPr>
        <w:t>divšķautņu</w:t>
      </w:r>
      <w:proofErr w:type="spellEnd"/>
      <w:r w:rsidRPr="004E461A">
        <w:rPr>
          <w:iCs/>
          <w:color w:val="000000"/>
          <w:szCs w:val="22"/>
        </w:rPr>
        <w:t xml:space="preserve"> asinszāles </w:t>
      </w:r>
      <w:r w:rsidR="00874715" w:rsidRPr="004E461A">
        <w:rPr>
          <w:iCs/>
          <w:color w:val="000000"/>
          <w:szCs w:val="22"/>
        </w:rPr>
        <w:t>lietošana</w:t>
      </w:r>
      <w:r w:rsidRPr="004E461A">
        <w:rPr>
          <w:iCs/>
          <w:color w:val="000000"/>
          <w:szCs w:val="22"/>
        </w:rPr>
        <w:t xml:space="preserve"> jāierobežo.</w:t>
      </w:r>
    </w:p>
    <w:p w14:paraId="2E4C1B16" w14:textId="77777777" w:rsidR="00532635" w:rsidRPr="004E461A" w:rsidRDefault="00532635" w:rsidP="009C5A02">
      <w:pPr>
        <w:tabs>
          <w:tab w:val="clear" w:pos="567"/>
        </w:tabs>
        <w:spacing w:line="240" w:lineRule="auto"/>
        <w:jc w:val="both"/>
        <w:rPr>
          <w:b/>
          <w:color w:val="000000"/>
          <w:szCs w:val="22"/>
        </w:rPr>
      </w:pPr>
    </w:p>
    <w:p w14:paraId="38B7E64C" w14:textId="77777777" w:rsidR="006F1885" w:rsidRPr="004E461A" w:rsidRDefault="006F1885" w:rsidP="009C5A02">
      <w:pPr>
        <w:spacing w:line="240" w:lineRule="auto"/>
        <w:jc w:val="both"/>
        <w:rPr>
          <w:color w:val="000000"/>
          <w:szCs w:val="22"/>
        </w:rPr>
      </w:pPr>
      <w:r w:rsidRPr="004E461A">
        <w:rPr>
          <w:i/>
          <w:color w:val="000000"/>
          <w:szCs w:val="22"/>
        </w:rPr>
        <w:t>Citu zāļu vienlaicīga lietošana</w:t>
      </w:r>
    </w:p>
    <w:p w14:paraId="020ABA25" w14:textId="5836D69B" w:rsidR="006F1885" w:rsidRPr="004E461A" w:rsidRDefault="006F1885" w:rsidP="009C5A02">
      <w:pPr>
        <w:spacing w:line="240" w:lineRule="auto"/>
        <w:jc w:val="both"/>
        <w:rPr>
          <w:color w:val="000000"/>
          <w:szCs w:val="22"/>
        </w:rPr>
      </w:pPr>
      <w:r w:rsidRPr="004E461A">
        <w:rPr>
          <w:color w:val="000000"/>
          <w:szCs w:val="22"/>
        </w:rPr>
        <w:t xml:space="preserve">Specifiskos mijiedarbības pētījumos nav pierādīta klīniski nozīmīga šādu zāļu ietekme uz </w:t>
      </w:r>
      <w:proofErr w:type="spellStart"/>
      <w:r w:rsidRPr="004E461A">
        <w:rPr>
          <w:color w:val="000000"/>
          <w:szCs w:val="22"/>
        </w:rPr>
        <w:t>ivabradīna</w:t>
      </w:r>
      <w:proofErr w:type="spellEnd"/>
      <w:r w:rsidRPr="004E461A">
        <w:rPr>
          <w:color w:val="000000"/>
          <w:szCs w:val="22"/>
        </w:rPr>
        <w:t xml:space="preserve"> farmakokinētiku un farmakodinamiku: protonu sūkņa inhibitori (</w:t>
      </w:r>
      <w:proofErr w:type="spellStart"/>
      <w:r w:rsidRPr="004E461A">
        <w:rPr>
          <w:color w:val="000000"/>
          <w:szCs w:val="22"/>
        </w:rPr>
        <w:t>omeprazols</w:t>
      </w:r>
      <w:proofErr w:type="spellEnd"/>
      <w:r w:rsidRPr="004E461A">
        <w:rPr>
          <w:color w:val="000000"/>
          <w:szCs w:val="22"/>
        </w:rPr>
        <w:t xml:space="preserve">, </w:t>
      </w:r>
      <w:proofErr w:type="spellStart"/>
      <w:r w:rsidRPr="004E461A">
        <w:rPr>
          <w:color w:val="000000"/>
          <w:szCs w:val="22"/>
        </w:rPr>
        <w:t>lansoprazols</w:t>
      </w:r>
      <w:proofErr w:type="spellEnd"/>
      <w:r w:rsidRPr="004E461A">
        <w:rPr>
          <w:color w:val="000000"/>
          <w:szCs w:val="22"/>
        </w:rPr>
        <w:t xml:space="preserve">), </w:t>
      </w:r>
      <w:proofErr w:type="spellStart"/>
      <w:r w:rsidRPr="004E461A">
        <w:rPr>
          <w:color w:val="000000"/>
          <w:szCs w:val="22"/>
        </w:rPr>
        <w:t>sildenafils</w:t>
      </w:r>
      <w:proofErr w:type="spellEnd"/>
      <w:r w:rsidRPr="004E461A">
        <w:rPr>
          <w:color w:val="000000"/>
          <w:szCs w:val="22"/>
        </w:rPr>
        <w:t xml:space="preserve">, HMG </w:t>
      </w:r>
      <w:proofErr w:type="spellStart"/>
      <w:r w:rsidRPr="004E461A">
        <w:rPr>
          <w:color w:val="000000"/>
          <w:szCs w:val="22"/>
        </w:rPr>
        <w:t>CoA</w:t>
      </w:r>
      <w:proofErr w:type="spellEnd"/>
      <w:r w:rsidRPr="004E461A">
        <w:rPr>
          <w:color w:val="000000"/>
          <w:szCs w:val="22"/>
        </w:rPr>
        <w:t xml:space="preserve"> </w:t>
      </w:r>
      <w:proofErr w:type="spellStart"/>
      <w:r w:rsidRPr="004E461A">
        <w:rPr>
          <w:color w:val="000000"/>
          <w:szCs w:val="22"/>
        </w:rPr>
        <w:t>reduktāzes</w:t>
      </w:r>
      <w:proofErr w:type="spellEnd"/>
      <w:r w:rsidRPr="004E461A">
        <w:rPr>
          <w:color w:val="000000"/>
          <w:szCs w:val="22"/>
        </w:rPr>
        <w:t xml:space="preserve"> inhibitori (</w:t>
      </w:r>
      <w:proofErr w:type="spellStart"/>
      <w:r w:rsidRPr="004E461A">
        <w:rPr>
          <w:color w:val="000000"/>
          <w:szCs w:val="22"/>
        </w:rPr>
        <w:t>simvastatīns</w:t>
      </w:r>
      <w:proofErr w:type="spellEnd"/>
      <w:r w:rsidRPr="004E461A">
        <w:rPr>
          <w:color w:val="000000"/>
          <w:szCs w:val="22"/>
        </w:rPr>
        <w:t xml:space="preserve">), </w:t>
      </w:r>
      <w:proofErr w:type="spellStart"/>
      <w:r w:rsidRPr="004E461A">
        <w:rPr>
          <w:color w:val="000000"/>
          <w:szCs w:val="22"/>
        </w:rPr>
        <w:t>dihidropiridīnu</w:t>
      </w:r>
      <w:proofErr w:type="spellEnd"/>
      <w:r w:rsidRPr="004E461A">
        <w:rPr>
          <w:color w:val="000000"/>
          <w:szCs w:val="22"/>
        </w:rPr>
        <w:t xml:space="preserve"> grupas kalcija kanālu blokatori (</w:t>
      </w:r>
      <w:proofErr w:type="spellStart"/>
      <w:r w:rsidRPr="004E461A">
        <w:rPr>
          <w:color w:val="000000"/>
          <w:szCs w:val="22"/>
        </w:rPr>
        <w:t>amlodipīns</w:t>
      </w:r>
      <w:proofErr w:type="spellEnd"/>
      <w:r w:rsidRPr="004E461A">
        <w:rPr>
          <w:color w:val="000000"/>
          <w:szCs w:val="22"/>
        </w:rPr>
        <w:t xml:space="preserve">, </w:t>
      </w:r>
      <w:proofErr w:type="spellStart"/>
      <w:r w:rsidRPr="004E461A">
        <w:rPr>
          <w:color w:val="000000"/>
          <w:szCs w:val="22"/>
        </w:rPr>
        <w:t>lacidipīns</w:t>
      </w:r>
      <w:proofErr w:type="spellEnd"/>
      <w:r w:rsidRPr="004E461A">
        <w:rPr>
          <w:color w:val="000000"/>
          <w:szCs w:val="22"/>
        </w:rPr>
        <w:t xml:space="preserve">), </w:t>
      </w:r>
      <w:proofErr w:type="spellStart"/>
      <w:r w:rsidRPr="004E461A">
        <w:rPr>
          <w:color w:val="000000"/>
          <w:szCs w:val="22"/>
        </w:rPr>
        <w:t>digoksīns</w:t>
      </w:r>
      <w:proofErr w:type="spellEnd"/>
      <w:r w:rsidRPr="004E461A">
        <w:rPr>
          <w:color w:val="000000"/>
          <w:szCs w:val="22"/>
        </w:rPr>
        <w:t xml:space="preserve"> un varfarīns. Turklāt nebija novērojama klīniski nozīmīga </w:t>
      </w:r>
      <w:proofErr w:type="spellStart"/>
      <w:r w:rsidRPr="004E461A">
        <w:rPr>
          <w:color w:val="000000"/>
          <w:szCs w:val="22"/>
        </w:rPr>
        <w:t>ivabradīna</w:t>
      </w:r>
      <w:proofErr w:type="spellEnd"/>
      <w:r w:rsidRPr="004E461A">
        <w:rPr>
          <w:color w:val="000000"/>
          <w:szCs w:val="22"/>
        </w:rPr>
        <w:t xml:space="preserve"> ietekme uz </w:t>
      </w:r>
      <w:proofErr w:type="spellStart"/>
      <w:r w:rsidRPr="004E461A">
        <w:rPr>
          <w:color w:val="000000"/>
          <w:szCs w:val="22"/>
        </w:rPr>
        <w:t>simvastatīna</w:t>
      </w:r>
      <w:proofErr w:type="spellEnd"/>
      <w:r w:rsidRPr="004E461A">
        <w:rPr>
          <w:color w:val="000000"/>
          <w:szCs w:val="22"/>
        </w:rPr>
        <w:t xml:space="preserve">, </w:t>
      </w:r>
      <w:proofErr w:type="spellStart"/>
      <w:r w:rsidRPr="004E461A">
        <w:rPr>
          <w:color w:val="000000"/>
          <w:szCs w:val="22"/>
        </w:rPr>
        <w:t>amlodipīna</w:t>
      </w:r>
      <w:proofErr w:type="spellEnd"/>
      <w:r w:rsidRPr="004E461A">
        <w:rPr>
          <w:color w:val="000000"/>
          <w:szCs w:val="22"/>
        </w:rPr>
        <w:t xml:space="preserve"> vai </w:t>
      </w:r>
      <w:proofErr w:type="spellStart"/>
      <w:r w:rsidRPr="004E461A">
        <w:rPr>
          <w:color w:val="000000"/>
          <w:szCs w:val="22"/>
        </w:rPr>
        <w:t>lacidipīna</w:t>
      </w:r>
      <w:proofErr w:type="spellEnd"/>
      <w:r w:rsidRPr="004E461A">
        <w:rPr>
          <w:color w:val="000000"/>
          <w:szCs w:val="22"/>
        </w:rPr>
        <w:t xml:space="preserve"> farmakokinētiku, </w:t>
      </w:r>
      <w:proofErr w:type="spellStart"/>
      <w:r w:rsidRPr="004E461A">
        <w:rPr>
          <w:color w:val="000000"/>
          <w:szCs w:val="22"/>
        </w:rPr>
        <w:t>digoksīna</w:t>
      </w:r>
      <w:proofErr w:type="spellEnd"/>
      <w:r w:rsidRPr="004E461A">
        <w:rPr>
          <w:color w:val="000000"/>
          <w:szCs w:val="22"/>
        </w:rPr>
        <w:t xml:space="preserve"> un </w:t>
      </w:r>
      <w:proofErr w:type="spellStart"/>
      <w:r w:rsidRPr="004E461A">
        <w:rPr>
          <w:color w:val="000000"/>
          <w:szCs w:val="22"/>
        </w:rPr>
        <w:t>varfarīna</w:t>
      </w:r>
      <w:proofErr w:type="spellEnd"/>
      <w:r w:rsidRPr="004E461A">
        <w:rPr>
          <w:color w:val="000000"/>
          <w:szCs w:val="22"/>
        </w:rPr>
        <w:t xml:space="preserve"> farmakokinētiku un farmakodinamiku un aspirīna farmakodinamiku.</w:t>
      </w:r>
    </w:p>
    <w:p w14:paraId="7093CA52" w14:textId="77777777" w:rsidR="006F1885" w:rsidRPr="004E461A" w:rsidRDefault="006F1885" w:rsidP="009C5A02">
      <w:pPr>
        <w:spacing w:line="240" w:lineRule="auto"/>
        <w:jc w:val="both"/>
        <w:rPr>
          <w:color w:val="000000"/>
          <w:szCs w:val="22"/>
        </w:rPr>
      </w:pPr>
      <w:proofErr w:type="spellStart"/>
      <w:r w:rsidRPr="004E461A">
        <w:rPr>
          <w:color w:val="000000"/>
          <w:szCs w:val="22"/>
        </w:rPr>
        <w:t>Pivotālos</w:t>
      </w:r>
      <w:proofErr w:type="spellEnd"/>
      <w:r w:rsidRPr="004E461A">
        <w:rPr>
          <w:color w:val="000000"/>
          <w:szCs w:val="22"/>
        </w:rPr>
        <w:t xml:space="preserve"> III fāzes klīniskajos pētījumos ar drošumu saistītas problēmas neradās, ja </w:t>
      </w:r>
      <w:proofErr w:type="spellStart"/>
      <w:r w:rsidRPr="004E461A">
        <w:rPr>
          <w:color w:val="000000"/>
          <w:szCs w:val="22"/>
        </w:rPr>
        <w:t>ivabradīnu</w:t>
      </w:r>
      <w:proofErr w:type="spellEnd"/>
      <w:r w:rsidRPr="004E461A">
        <w:rPr>
          <w:color w:val="000000"/>
          <w:szCs w:val="22"/>
        </w:rPr>
        <w:t xml:space="preserve"> lietoja ar šādām zālēm: </w:t>
      </w:r>
      <w:proofErr w:type="spellStart"/>
      <w:r w:rsidRPr="004E461A">
        <w:rPr>
          <w:color w:val="000000"/>
          <w:szCs w:val="22"/>
        </w:rPr>
        <w:t>angiotensīnu</w:t>
      </w:r>
      <w:proofErr w:type="spellEnd"/>
      <w:r w:rsidRPr="004E461A">
        <w:rPr>
          <w:color w:val="000000"/>
          <w:szCs w:val="22"/>
        </w:rPr>
        <w:t xml:space="preserve"> konvertējošā enzīma inhibitoriem, </w:t>
      </w:r>
      <w:proofErr w:type="spellStart"/>
      <w:r w:rsidRPr="004E461A">
        <w:rPr>
          <w:color w:val="000000"/>
          <w:szCs w:val="22"/>
        </w:rPr>
        <w:t>angiotensīna</w:t>
      </w:r>
      <w:proofErr w:type="spellEnd"/>
      <w:r w:rsidRPr="004E461A">
        <w:rPr>
          <w:color w:val="000000"/>
          <w:szCs w:val="22"/>
        </w:rPr>
        <w:t xml:space="preserve"> II antagonistiem, </w:t>
      </w:r>
      <w:proofErr w:type="spellStart"/>
      <w:r w:rsidRPr="004E461A">
        <w:rPr>
          <w:color w:val="000000"/>
          <w:szCs w:val="22"/>
        </w:rPr>
        <w:t>bēta</w:t>
      </w:r>
      <w:proofErr w:type="spellEnd"/>
      <w:r w:rsidRPr="004E461A">
        <w:rPr>
          <w:color w:val="000000"/>
          <w:szCs w:val="22"/>
        </w:rPr>
        <w:t xml:space="preserve"> blokatoriem, diurētiskajiem līdzekļiem, </w:t>
      </w:r>
      <w:proofErr w:type="spellStart"/>
      <w:r w:rsidRPr="004E461A">
        <w:rPr>
          <w:color w:val="000000"/>
          <w:szCs w:val="22"/>
        </w:rPr>
        <w:t>aldosterona</w:t>
      </w:r>
      <w:proofErr w:type="spellEnd"/>
      <w:r w:rsidRPr="004E461A">
        <w:rPr>
          <w:color w:val="000000"/>
          <w:szCs w:val="22"/>
        </w:rPr>
        <w:t xml:space="preserve"> antagonistiem, īsas un ilgstošas iedarbības nitrātiem, HMG </w:t>
      </w:r>
      <w:proofErr w:type="spellStart"/>
      <w:r w:rsidRPr="004E461A">
        <w:rPr>
          <w:color w:val="000000"/>
          <w:szCs w:val="22"/>
        </w:rPr>
        <w:t>CoA</w:t>
      </w:r>
      <w:proofErr w:type="spellEnd"/>
      <w:r w:rsidRPr="004E461A">
        <w:rPr>
          <w:color w:val="000000"/>
          <w:szCs w:val="22"/>
        </w:rPr>
        <w:t xml:space="preserve"> </w:t>
      </w:r>
      <w:proofErr w:type="spellStart"/>
      <w:r w:rsidRPr="004E461A">
        <w:rPr>
          <w:color w:val="000000"/>
          <w:szCs w:val="22"/>
        </w:rPr>
        <w:t>reduktāzes</w:t>
      </w:r>
      <w:proofErr w:type="spellEnd"/>
      <w:r w:rsidRPr="004E461A">
        <w:rPr>
          <w:color w:val="000000"/>
          <w:szCs w:val="22"/>
        </w:rPr>
        <w:t xml:space="preserve"> inhibitoriem, </w:t>
      </w:r>
      <w:proofErr w:type="spellStart"/>
      <w:r w:rsidRPr="004E461A">
        <w:rPr>
          <w:color w:val="000000"/>
          <w:szCs w:val="22"/>
        </w:rPr>
        <w:t>fibrātiem</w:t>
      </w:r>
      <w:proofErr w:type="spellEnd"/>
      <w:r w:rsidRPr="004E461A">
        <w:rPr>
          <w:color w:val="000000"/>
          <w:szCs w:val="22"/>
        </w:rPr>
        <w:t xml:space="preserve">, protonu sūkņa inhibitoriem, iekšķīgi lietojamiem pretdiabēta līdzekļiem, aspirīnu un </w:t>
      </w:r>
      <w:r w:rsidRPr="004E461A">
        <w:rPr>
          <w:iCs/>
          <w:color w:val="000000"/>
          <w:szCs w:val="22"/>
        </w:rPr>
        <w:t xml:space="preserve">citiem </w:t>
      </w:r>
      <w:proofErr w:type="spellStart"/>
      <w:r w:rsidRPr="004E461A">
        <w:rPr>
          <w:iCs/>
          <w:color w:val="000000"/>
          <w:szCs w:val="22"/>
        </w:rPr>
        <w:t>antitrombotiskiem</w:t>
      </w:r>
      <w:proofErr w:type="spellEnd"/>
      <w:r w:rsidRPr="004E461A">
        <w:rPr>
          <w:iCs/>
          <w:color w:val="000000"/>
          <w:szCs w:val="22"/>
        </w:rPr>
        <w:t xml:space="preserve"> līdzekļiem</w:t>
      </w:r>
      <w:r w:rsidRPr="004E461A">
        <w:rPr>
          <w:color w:val="000000"/>
          <w:szCs w:val="22"/>
        </w:rPr>
        <w:t>.</w:t>
      </w:r>
    </w:p>
    <w:p w14:paraId="70C5A46C" w14:textId="77777777" w:rsidR="000D7A48" w:rsidRPr="004E461A" w:rsidRDefault="000D7A48" w:rsidP="009C5A02">
      <w:pPr>
        <w:tabs>
          <w:tab w:val="clear" w:pos="567"/>
        </w:tabs>
        <w:spacing w:line="240" w:lineRule="auto"/>
        <w:jc w:val="both"/>
        <w:rPr>
          <w:noProof/>
          <w:color w:val="000000"/>
          <w:szCs w:val="22"/>
        </w:rPr>
      </w:pPr>
    </w:p>
    <w:p w14:paraId="6941C515" w14:textId="77777777" w:rsidR="0097548A" w:rsidRPr="004E461A" w:rsidRDefault="0097548A" w:rsidP="009C5A02">
      <w:pPr>
        <w:tabs>
          <w:tab w:val="clear" w:pos="567"/>
        </w:tabs>
        <w:spacing w:line="240" w:lineRule="auto"/>
        <w:jc w:val="both"/>
        <w:rPr>
          <w:bCs/>
          <w:i/>
          <w:iCs/>
          <w:color w:val="000000"/>
          <w:szCs w:val="22"/>
        </w:rPr>
      </w:pPr>
      <w:r w:rsidRPr="004E461A">
        <w:rPr>
          <w:bCs/>
          <w:iCs/>
          <w:color w:val="000000"/>
          <w:szCs w:val="22"/>
          <w:u w:val="single"/>
        </w:rPr>
        <w:t>Pediatriskā populācija</w:t>
      </w:r>
    </w:p>
    <w:p w14:paraId="1B32AE97" w14:textId="77777777" w:rsidR="00CD10AA" w:rsidRPr="004E461A" w:rsidRDefault="00CD10AA" w:rsidP="009C5A02">
      <w:pPr>
        <w:tabs>
          <w:tab w:val="clear" w:pos="567"/>
        </w:tabs>
        <w:spacing w:line="240" w:lineRule="auto"/>
        <w:jc w:val="both"/>
        <w:rPr>
          <w:noProof/>
          <w:color w:val="000000"/>
          <w:szCs w:val="22"/>
        </w:rPr>
      </w:pPr>
      <w:r w:rsidRPr="004E461A">
        <w:rPr>
          <w:noProof/>
          <w:color w:val="000000"/>
          <w:szCs w:val="22"/>
        </w:rPr>
        <w:t>Mijiedarbības pētīj</w:t>
      </w:r>
      <w:r w:rsidR="00FD187E" w:rsidRPr="004E461A">
        <w:rPr>
          <w:noProof/>
          <w:color w:val="000000"/>
          <w:szCs w:val="22"/>
        </w:rPr>
        <w:t>umi veikti tikai pieaugušajiem.</w:t>
      </w:r>
    </w:p>
    <w:p w14:paraId="0260A948" w14:textId="77777777" w:rsidR="00CD10AA" w:rsidRPr="004E461A" w:rsidRDefault="00CD10AA" w:rsidP="009C5A02">
      <w:pPr>
        <w:tabs>
          <w:tab w:val="clear" w:pos="567"/>
        </w:tabs>
        <w:spacing w:line="240" w:lineRule="auto"/>
        <w:jc w:val="both"/>
        <w:rPr>
          <w:color w:val="000000"/>
          <w:szCs w:val="22"/>
        </w:rPr>
      </w:pPr>
    </w:p>
    <w:p w14:paraId="514ADB23"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4.6</w:t>
      </w:r>
      <w:r w:rsidR="00E2542E" w:rsidRPr="004E461A">
        <w:rPr>
          <w:b/>
          <w:color w:val="000000"/>
          <w:szCs w:val="22"/>
        </w:rPr>
        <w:t>.</w:t>
      </w:r>
      <w:r w:rsidRPr="004E461A">
        <w:rPr>
          <w:b/>
          <w:color w:val="000000"/>
          <w:szCs w:val="22"/>
        </w:rPr>
        <w:tab/>
      </w:r>
      <w:r w:rsidR="0097548A" w:rsidRPr="004E461A">
        <w:rPr>
          <w:b/>
          <w:noProof/>
          <w:color w:val="000000"/>
          <w:szCs w:val="22"/>
        </w:rPr>
        <w:t xml:space="preserve">Fertilitāte, grūtniecība </w:t>
      </w:r>
      <w:r w:rsidRPr="004E461A">
        <w:rPr>
          <w:b/>
          <w:color w:val="000000"/>
          <w:szCs w:val="22"/>
        </w:rPr>
        <w:t xml:space="preserve">un </w:t>
      </w:r>
      <w:r w:rsidR="00E2542E" w:rsidRPr="004E461A">
        <w:rPr>
          <w:b/>
          <w:noProof/>
          <w:color w:val="000000"/>
          <w:szCs w:val="22"/>
        </w:rPr>
        <w:t>barošana ar krūti</w:t>
      </w:r>
    </w:p>
    <w:p w14:paraId="3FC5BF75" w14:textId="77777777" w:rsidR="003E4528" w:rsidRPr="004E461A" w:rsidRDefault="003E4528" w:rsidP="009C5A02">
      <w:pPr>
        <w:tabs>
          <w:tab w:val="clear" w:pos="567"/>
        </w:tabs>
        <w:spacing w:line="240" w:lineRule="auto"/>
        <w:jc w:val="both"/>
        <w:rPr>
          <w:noProof/>
          <w:color w:val="000000"/>
          <w:szCs w:val="22"/>
          <w:u w:val="single"/>
        </w:rPr>
      </w:pPr>
    </w:p>
    <w:p w14:paraId="204ED202" w14:textId="77777777" w:rsidR="003E4528" w:rsidRPr="004E461A" w:rsidRDefault="003E4528" w:rsidP="009C5A02">
      <w:pPr>
        <w:spacing w:line="240" w:lineRule="auto"/>
        <w:jc w:val="both"/>
        <w:rPr>
          <w:color w:val="000000"/>
          <w:szCs w:val="22"/>
        </w:rPr>
      </w:pPr>
      <w:r w:rsidRPr="004E461A">
        <w:rPr>
          <w:color w:val="000000"/>
          <w:szCs w:val="22"/>
          <w:u w:val="single" w:color="000000"/>
        </w:rPr>
        <w:t>Sievietes reproduktīvā vecumā</w:t>
      </w:r>
    </w:p>
    <w:p w14:paraId="0ADB5CCA" w14:textId="77777777" w:rsidR="003E4528" w:rsidRPr="004E461A" w:rsidRDefault="003E4528" w:rsidP="009C5A02">
      <w:pPr>
        <w:spacing w:line="240" w:lineRule="auto"/>
        <w:jc w:val="both"/>
        <w:rPr>
          <w:color w:val="000000"/>
          <w:szCs w:val="22"/>
        </w:rPr>
      </w:pPr>
      <w:r w:rsidRPr="004E461A">
        <w:rPr>
          <w:color w:val="000000"/>
          <w:szCs w:val="22"/>
        </w:rPr>
        <w:t>Sievietēm reproduktīvā vecumā ārstēšanas laikā jāizmanto atbilstošas kontracepcijas metodes (skatīt 4.3. apakšpunktu).</w:t>
      </w:r>
    </w:p>
    <w:p w14:paraId="1C835E7E" w14:textId="77777777" w:rsidR="003E4528" w:rsidRPr="004E461A" w:rsidRDefault="003E4528" w:rsidP="009C5A02">
      <w:pPr>
        <w:spacing w:line="240" w:lineRule="auto"/>
        <w:jc w:val="both"/>
        <w:rPr>
          <w:color w:val="000000"/>
          <w:szCs w:val="22"/>
        </w:rPr>
      </w:pPr>
    </w:p>
    <w:p w14:paraId="76CCC895" w14:textId="77777777" w:rsidR="003E4528" w:rsidRPr="004E461A" w:rsidRDefault="003E4528" w:rsidP="009C5A02">
      <w:pPr>
        <w:spacing w:line="240" w:lineRule="auto"/>
        <w:jc w:val="both"/>
        <w:rPr>
          <w:color w:val="000000"/>
          <w:szCs w:val="22"/>
        </w:rPr>
      </w:pPr>
      <w:r w:rsidRPr="004E461A">
        <w:rPr>
          <w:color w:val="000000"/>
          <w:szCs w:val="22"/>
          <w:u w:val="single" w:color="000000"/>
        </w:rPr>
        <w:t>Grūtniecība</w:t>
      </w:r>
    </w:p>
    <w:p w14:paraId="293800E7" w14:textId="77777777" w:rsidR="003E4528" w:rsidRPr="004E461A" w:rsidRDefault="003E4528" w:rsidP="009C5A02">
      <w:pPr>
        <w:spacing w:line="240" w:lineRule="auto"/>
        <w:jc w:val="both"/>
        <w:rPr>
          <w:color w:val="000000"/>
          <w:szCs w:val="22"/>
        </w:rPr>
      </w:pPr>
      <w:r w:rsidRPr="004E461A">
        <w:rPr>
          <w:color w:val="000000"/>
          <w:szCs w:val="22"/>
        </w:rPr>
        <w:t xml:space="preserve">Dati par </w:t>
      </w:r>
      <w:proofErr w:type="spellStart"/>
      <w:r w:rsidRPr="004E461A">
        <w:rPr>
          <w:color w:val="000000"/>
          <w:szCs w:val="22"/>
        </w:rPr>
        <w:t>ivabradīna</w:t>
      </w:r>
      <w:proofErr w:type="spellEnd"/>
      <w:r w:rsidRPr="004E461A">
        <w:rPr>
          <w:color w:val="000000"/>
          <w:szCs w:val="22"/>
        </w:rPr>
        <w:t xml:space="preserve"> lietošanu grūtniecības laikā ir ierobežoti vai nav pieejami.</w:t>
      </w:r>
    </w:p>
    <w:p w14:paraId="648772A9" w14:textId="77777777" w:rsidR="003E4528" w:rsidRPr="004E461A" w:rsidRDefault="003E4528" w:rsidP="009C5A02">
      <w:pPr>
        <w:spacing w:line="240" w:lineRule="auto"/>
        <w:jc w:val="both"/>
        <w:rPr>
          <w:color w:val="000000"/>
          <w:szCs w:val="22"/>
        </w:rPr>
      </w:pPr>
      <w:r w:rsidRPr="004E461A">
        <w:rPr>
          <w:color w:val="000000"/>
          <w:szCs w:val="22"/>
        </w:rPr>
        <w:t xml:space="preserve">Pētījumi ar dzīvniekiem liecina par reproduktīvo toksicitāti. Šajos pētījumos pierādīta embriotoksiska un teratogēna iedarbība (skatīt 5.3. apakšpunktu). Iespējamais risks cilvēkiem nav zināms. Tādēļ </w:t>
      </w:r>
      <w:proofErr w:type="spellStart"/>
      <w:r w:rsidRPr="004E461A">
        <w:rPr>
          <w:color w:val="000000"/>
          <w:szCs w:val="22"/>
        </w:rPr>
        <w:t>ivabradīns</w:t>
      </w:r>
      <w:proofErr w:type="spellEnd"/>
      <w:r w:rsidRPr="004E461A">
        <w:rPr>
          <w:color w:val="000000"/>
          <w:szCs w:val="22"/>
        </w:rPr>
        <w:t xml:space="preserve"> ir </w:t>
      </w:r>
      <w:proofErr w:type="spellStart"/>
      <w:r w:rsidRPr="004E461A">
        <w:rPr>
          <w:color w:val="000000"/>
          <w:szCs w:val="22"/>
        </w:rPr>
        <w:t>kontrindicēts</w:t>
      </w:r>
      <w:proofErr w:type="spellEnd"/>
      <w:r w:rsidRPr="004E461A">
        <w:rPr>
          <w:color w:val="000000"/>
          <w:szCs w:val="22"/>
        </w:rPr>
        <w:t xml:space="preserve"> grūtniecības laikā (skatīt 4.3. apakšpunktu).</w:t>
      </w:r>
    </w:p>
    <w:p w14:paraId="3B46A7F1" w14:textId="77777777" w:rsidR="003E4528" w:rsidRPr="004E461A" w:rsidRDefault="003E4528" w:rsidP="009C5A02">
      <w:pPr>
        <w:spacing w:line="240" w:lineRule="auto"/>
        <w:jc w:val="both"/>
        <w:rPr>
          <w:color w:val="000000"/>
          <w:szCs w:val="22"/>
        </w:rPr>
      </w:pPr>
    </w:p>
    <w:p w14:paraId="20A5ADA2" w14:textId="77777777" w:rsidR="003E4528" w:rsidRPr="004E461A" w:rsidRDefault="003E4528" w:rsidP="009C5A02">
      <w:pPr>
        <w:spacing w:line="240" w:lineRule="auto"/>
        <w:jc w:val="both"/>
        <w:rPr>
          <w:color w:val="000000"/>
          <w:szCs w:val="22"/>
        </w:rPr>
      </w:pPr>
      <w:r w:rsidRPr="004E461A">
        <w:rPr>
          <w:color w:val="000000"/>
          <w:szCs w:val="22"/>
          <w:u w:val="single" w:color="000000"/>
        </w:rPr>
        <w:t>Barošana ar krūti</w:t>
      </w:r>
    </w:p>
    <w:p w14:paraId="0F02D49B" w14:textId="77777777" w:rsidR="003E4528" w:rsidRPr="004E461A" w:rsidRDefault="003E4528" w:rsidP="009C5A02">
      <w:pPr>
        <w:spacing w:line="240" w:lineRule="auto"/>
        <w:jc w:val="both"/>
        <w:rPr>
          <w:color w:val="000000"/>
          <w:szCs w:val="22"/>
        </w:rPr>
      </w:pPr>
      <w:r w:rsidRPr="004E461A">
        <w:rPr>
          <w:color w:val="000000"/>
          <w:szCs w:val="22"/>
        </w:rPr>
        <w:t xml:space="preserve">Pētījumi ar dzīvniekiem liecina, ka </w:t>
      </w:r>
      <w:proofErr w:type="spellStart"/>
      <w:r w:rsidRPr="004E461A">
        <w:rPr>
          <w:color w:val="000000"/>
          <w:szCs w:val="22"/>
        </w:rPr>
        <w:t>ivabradīns</w:t>
      </w:r>
      <w:proofErr w:type="spellEnd"/>
      <w:r w:rsidRPr="004E461A">
        <w:rPr>
          <w:color w:val="000000"/>
          <w:szCs w:val="22"/>
        </w:rPr>
        <w:t xml:space="preserve"> izdalās pienā. Tādēļ </w:t>
      </w:r>
      <w:proofErr w:type="spellStart"/>
      <w:r w:rsidRPr="004E461A">
        <w:rPr>
          <w:color w:val="000000"/>
          <w:szCs w:val="22"/>
        </w:rPr>
        <w:t>ivabradīns</w:t>
      </w:r>
      <w:proofErr w:type="spellEnd"/>
      <w:r w:rsidRPr="004E461A">
        <w:rPr>
          <w:color w:val="000000"/>
          <w:szCs w:val="22"/>
        </w:rPr>
        <w:t xml:space="preserve"> ir </w:t>
      </w:r>
      <w:proofErr w:type="spellStart"/>
      <w:r w:rsidRPr="004E461A">
        <w:rPr>
          <w:color w:val="000000"/>
          <w:szCs w:val="22"/>
        </w:rPr>
        <w:t>kontrindicēts</w:t>
      </w:r>
      <w:proofErr w:type="spellEnd"/>
      <w:r w:rsidRPr="004E461A">
        <w:rPr>
          <w:color w:val="000000"/>
          <w:szCs w:val="22"/>
        </w:rPr>
        <w:t xml:space="preserve"> krūts barošanas periodā (skatīt 4.3. apakšpunktu).</w:t>
      </w:r>
    </w:p>
    <w:p w14:paraId="7AA2ECFC" w14:textId="77777777" w:rsidR="003E4528" w:rsidRPr="004E461A" w:rsidRDefault="003E4528" w:rsidP="009C5A02">
      <w:pPr>
        <w:spacing w:line="240" w:lineRule="auto"/>
        <w:jc w:val="both"/>
        <w:rPr>
          <w:color w:val="000000"/>
          <w:szCs w:val="22"/>
        </w:rPr>
      </w:pPr>
      <w:r w:rsidRPr="004E461A">
        <w:rPr>
          <w:color w:val="000000"/>
          <w:szCs w:val="22"/>
        </w:rPr>
        <w:t xml:space="preserve">Sievietēm, kurām nepieciešama ārstēšana ar </w:t>
      </w:r>
      <w:proofErr w:type="spellStart"/>
      <w:r w:rsidRPr="004E461A">
        <w:rPr>
          <w:color w:val="000000"/>
          <w:szCs w:val="22"/>
        </w:rPr>
        <w:t>ivabradīnu</w:t>
      </w:r>
      <w:proofErr w:type="spellEnd"/>
      <w:r w:rsidRPr="004E461A">
        <w:rPr>
          <w:color w:val="000000"/>
          <w:szCs w:val="22"/>
        </w:rPr>
        <w:t>, jāpārtrauc barošana ar krūti vai jāizvēlas cits bērna barošanas veids.</w:t>
      </w:r>
    </w:p>
    <w:p w14:paraId="576A85F8" w14:textId="77777777" w:rsidR="003E4528" w:rsidRPr="004E461A" w:rsidRDefault="003E4528" w:rsidP="009C5A02">
      <w:pPr>
        <w:spacing w:line="240" w:lineRule="auto"/>
        <w:jc w:val="both"/>
        <w:rPr>
          <w:color w:val="000000"/>
          <w:szCs w:val="22"/>
        </w:rPr>
      </w:pPr>
    </w:p>
    <w:p w14:paraId="2CA24FD7" w14:textId="77777777" w:rsidR="003E4528" w:rsidRPr="004E461A" w:rsidRDefault="003E4528" w:rsidP="009C5A02">
      <w:pPr>
        <w:spacing w:line="240" w:lineRule="auto"/>
        <w:jc w:val="both"/>
        <w:rPr>
          <w:color w:val="000000"/>
          <w:szCs w:val="22"/>
        </w:rPr>
      </w:pPr>
      <w:r w:rsidRPr="004E461A">
        <w:rPr>
          <w:color w:val="000000"/>
          <w:szCs w:val="22"/>
          <w:u w:val="single" w:color="000000"/>
        </w:rPr>
        <w:t>Fertilitāte</w:t>
      </w:r>
    </w:p>
    <w:p w14:paraId="69DDAF4A" w14:textId="77777777" w:rsidR="003E4528" w:rsidRPr="004E461A" w:rsidRDefault="003E4528" w:rsidP="009C5A02">
      <w:pPr>
        <w:spacing w:line="240" w:lineRule="auto"/>
        <w:jc w:val="both"/>
        <w:rPr>
          <w:color w:val="000000"/>
          <w:szCs w:val="22"/>
        </w:rPr>
      </w:pPr>
      <w:r w:rsidRPr="004E461A">
        <w:rPr>
          <w:color w:val="000000"/>
          <w:szCs w:val="22"/>
        </w:rPr>
        <w:t xml:space="preserve">Pētījumos ar žurkām nav pierādīta ietekme uz tēviņu un mātīšu </w:t>
      </w:r>
      <w:proofErr w:type="spellStart"/>
      <w:r w:rsidRPr="004E461A">
        <w:rPr>
          <w:color w:val="000000"/>
          <w:szCs w:val="22"/>
        </w:rPr>
        <w:t>fertilitāti</w:t>
      </w:r>
      <w:proofErr w:type="spellEnd"/>
      <w:r w:rsidRPr="004E461A">
        <w:rPr>
          <w:color w:val="000000"/>
          <w:szCs w:val="22"/>
        </w:rPr>
        <w:t xml:space="preserve"> (skatīt 5.3. apakšpunktu).</w:t>
      </w:r>
    </w:p>
    <w:p w14:paraId="789A8EF5" w14:textId="77777777" w:rsidR="00CD10AA" w:rsidRPr="004E461A" w:rsidRDefault="00CD10AA" w:rsidP="009C5A02">
      <w:pPr>
        <w:tabs>
          <w:tab w:val="clear" w:pos="567"/>
        </w:tabs>
        <w:spacing w:line="240" w:lineRule="auto"/>
        <w:jc w:val="both"/>
        <w:rPr>
          <w:color w:val="000000"/>
          <w:szCs w:val="22"/>
        </w:rPr>
      </w:pPr>
    </w:p>
    <w:p w14:paraId="5C6B4E7B"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4.7</w:t>
      </w:r>
      <w:r w:rsidR="00ED4652" w:rsidRPr="004E461A">
        <w:rPr>
          <w:b/>
          <w:color w:val="000000"/>
          <w:szCs w:val="22"/>
        </w:rPr>
        <w:t>.</w:t>
      </w:r>
      <w:r w:rsidRPr="004E461A">
        <w:rPr>
          <w:b/>
          <w:color w:val="000000"/>
          <w:szCs w:val="22"/>
        </w:rPr>
        <w:tab/>
        <w:t>Ietekme uz spēju vadīt transportlīdzekļus un apkalpot mehānismus</w:t>
      </w:r>
    </w:p>
    <w:p w14:paraId="1BAE99BB" w14:textId="77777777" w:rsidR="00CD10AA" w:rsidRPr="004E461A" w:rsidRDefault="00CD10AA" w:rsidP="009C5A02">
      <w:pPr>
        <w:tabs>
          <w:tab w:val="clear" w:pos="567"/>
        </w:tabs>
        <w:spacing w:line="240" w:lineRule="auto"/>
        <w:jc w:val="both"/>
        <w:rPr>
          <w:color w:val="000000"/>
          <w:szCs w:val="22"/>
        </w:rPr>
      </w:pPr>
    </w:p>
    <w:p w14:paraId="6A79F5AF" w14:textId="77777777" w:rsidR="004A0BA7" w:rsidRDefault="004A0BA7" w:rsidP="009C5A02">
      <w:pPr>
        <w:spacing w:line="240" w:lineRule="auto"/>
        <w:jc w:val="both"/>
        <w:rPr>
          <w:color w:val="000000"/>
          <w:szCs w:val="22"/>
        </w:rPr>
      </w:pPr>
      <w:proofErr w:type="spellStart"/>
      <w:r w:rsidRPr="004A0BA7">
        <w:rPr>
          <w:color w:val="000000"/>
          <w:szCs w:val="22"/>
        </w:rPr>
        <w:t>Ivabradīns</w:t>
      </w:r>
      <w:proofErr w:type="spellEnd"/>
      <w:r w:rsidRPr="004A0BA7">
        <w:rPr>
          <w:color w:val="000000"/>
          <w:szCs w:val="22"/>
        </w:rPr>
        <w:t xml:space="preserve"> neietekmē vai nedaudz ietekmē spēju apkalpot mehānismus.</w:t>
      </w:r>
    </w:p>
    <w:p w14:paraId="144C54A2" w14:textId="2F2646E1" w:rsidR="0013440A" w:rsidRPr="004E461A" w:rsidRDefault="0013440A" w:rsidP="009C5A02">
      <w:pPr>
        <w:spacing w:line="240" w:lineRule="auto"/>
        <w:jc w:val="both"/>
        <w:rPr>
          <w:color w:val="000000"/>
          <w:szCs w:val="22"/>
        </w:rPr>
      </w:pPr>
      <w:r w:rsidRPr="004E461A">
        <w:rPr>
          <w:color w:val="000000"/>
          <w:szCs w:val="22"/>
        </w:rPr>
        <w:t xml:space="preserve">Lai izvērtētu </w:t>
      </w:r>
      <w:proofErr w:type="spellStart"/>
      <w:r w:rsidRPr="004E461A">
        <w:rPr>
          <w:color w:val="000000"/>
          <w:szCs w:val="22"/>
        </w:rPr>
        <w:t>ivabradīna</w:t>
      </w:r>
      <w:proofErr w:type="spellEnd"/>
      <w:r w:rsidRPr="004E461A">
        <w:rPr>
          <w:color w:val="000000"/>
          <w:szCs w:val="22"/>
        </w:rPr>
        <w:t xml:space="preserve"> iespējamo ietekmi uz spēju vadīt transportlīdzekļus, ir veikts īpašs pētījums ar veseliem brīvprātīgajiem, kurā nav pierādīta transportlīdzekļu vadīšanas spējas pasliktināšanās. Tomēr pēcreģistrācijas pieredzē ir ziņots par gadījumiem, kad redzes simptomu dēļ bijusi traucēta spēja vadīt transportlīdzekļus. </w:t>
      </w:r>
      <w:proofErr w:type="spellStart"/>
      <w:r w:rsidRPr="004E461A">
        <w:rPr>
          <w:color w:val="000000"/>
          <w:szCs w:val="22"/>
        </w:rPr>
        <w:t>Ivabradīns</w:t>
      </w:r>
      <w:proofErr w:type="spellEnd"/>
      <w:r w:rsidRPr="004E461A">
        <w:rPr>
          <w:color w:val="000000"/>
          <w:szCs w:val="22"/>
        </w:rPr>
        <w:t xml:space="preserve"> var izraisīt pārejošus gaismas uztveres fenomenus, galvenokārt </w:t>
      </w:r>
      <w:proofErr w:type="spellStart"/>
      <w:r w:rsidRPr="004E461A">
        <w:rPr>
          <w:color w:val="000000"/>
          <w:szCs w:val="22"/>
        </w:rPr>
        <w:t>fotopsiju</w:t>
      </w:r>
      <w:proofErr w:type="spellEnd"/>
      <w:r w:rsidRPr="004E461A">
        <w:rPr>
          <w:color w:val="000000"/>
          <w:szCs w:val="22"/>
        </w:rPr>
        <w:t xml:space="preserve"> veidā (skatīt 4.8. apakšpunktu). Šādu gaismas uztveres fenomenu rašanās iespējamība jāņem vērā, ja </w:t>
      </w:r>
      <w:r w:rsidRPr="004E461A">
        <w:rPr>
          <w:color w:val="000000"/>
          <w:szCs w:val="22"/>
        </w:rPr>
        <w:lastRenderedPageBreak/>
        <w:t>transportlīdzekļa vadīšana vai mehānismu apkalpošana notiek apstākļos, kad var pēkšņi mainīties gaismas intensitāte, īpaši vadot transportlīdzekli diennakts tumšajā laikā.</w:t>
      </w:r>
    </w:p>
    <w:p w14:paraId="69CCF73D" w14:textId="77777777" w:rsidR="0013440A" w:rsidRPr="004E461A" w:rsidRDefault="0013440A" w:rsidP="009C5A02">
      <w:pPr>
        <w:tabs>
          <w:tab w:val="clear" w:pos="567"/>
        </w:tabs>
        <w:spacing w:line="240" w:lineRule="auto"/>
        <w:jc w:val="both"/>
        <w:rPr>
          <w:color w:val="000000"/>
          <w:szCs w:val="22"/>
        </w:rPr>
      </w:pPr>
    </w:p>
    <w:p w14:paraId="7735CC7A"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4.8</w:t>
      </w:r>
      <w:r w:rsidR="002A61E1" w:rsidRPr="004E461A">
        <w:rPr>
          <w:b/>
          <w:color w:val="000000"/>
          <w:szCs w:val="22"/>
        </w:rPr>
        <w:t>.</w:t>
      </w:r>
      <w:r w:rsidRPr="004E461A">
        <w:rPr>
          <w:b/>
          <w:color w:val="000000"/>
          <w:szCs w:val="22"/>
        </w:rPr>
        <w:tab/>
        <w:t>Nevēlamās blakusparādības</w:t>
      </w:r>
    </w:p>
    <w:p w14:paraId="65F2650C" w14:textId="77777777" w:rsidR="00143320" w:rsidRPr="004E461A" w:rsidRDefault="00143320" w:rsidP="009C5A02">
      <w:pPr>
        <w:spacing w:line="240" w:lineRule="auto"/>
        <w:jc w:val="both"/>
        <w:rPr>
          <w:color w:val="000000"/>
          <w:szCs w:val="22"/>
        </w:rPr>
      </w:pPr>
      <w:r w:rsidRPr="004E461A">
        <w:rPr>
          <w:color w:val="000000"/>
          <w:szCs w:val="22"/>
          <w:u w:val="single" w:color="000000"/>
        </w:rPr>
        <w:t>Drošuma profila kopsavilkums</w:t>
      </w:r>
    </w:p>
    <w:p w14:paraId="77490D0F" w14:textId="6DD8C805" w:rsidR="00143320" w:rsidRPr="004E461A" w:rsidRDefault="00143320" w:rsidP="009C5A02">
      <w:pPr>
        <w:spacing w:line="240" w:lineRule="auto"/>
        <w:jc w:val="both"/>
        <w:rPr>
          <w:color w:val="000000"/>
          <w:szCs w:val="22"/>
        </w:rPr>
      </w:pPr>
      <w:r w:rsidRPr="004E461A">
        <w:rPr>
          <w:color w:val="000000"/>
          <w:szCs w:val="22"/>
        </w:rPr>
        <w:t xml:space="preserve">Visbiežāk novērojamās </w:t>
      </w:r>
      <w:proofErr w:type="spellStart"/>
      <w:r w:rsidRPr="004E461A">
        <w:rPr>
          <w:color w:val="000000"/>
          <w:szCs w:val="22"/>
        </w:rPr>
        <w:t>ivabradīna</w:t>
      </w:r>
      <w:proofErr w:type="spellEnd"/>
      <w:r w:rsidRPr="004E461A">
        <w:rPr>
          <w:color w:val="000000"/>
          <w:szCs w:val="22"/>
        </w:rPr>
        <w:t xml:space="preserve"> blakusparādības</w:t>
      </w:r>
      <w:r w:rsidR="003F6B24">
        <w:rPr>
          <w:color w:val="000000"/>
          <w:szCs w:val="22"/>
        </w:rPr>
        <w:t xml:space="preserve"> ir</w:t>
      </w:r>
      <w:r w:rsidRPr="004E461A">
        <w:rPr>
          <w:color w:val="000000"/>
          <w:szCs w:val="22"/>
        </w:rPr>
        <w:t xml:space="preserve"> gaismas uztveres fenomeni (</w:t>
      </w:r>
      <w:proofErr w:type="spellStart"/>
      <w:r w:rsidRPr="004E461A">
        <w:rPr>
          <w:iCs/>
          <w:color w:val="000000"/>
          <w:szCs w:val="22"/>
        </w:rPr>
        <w:t>fotopsijas</w:t>
      </w:r>
      <w:proofErr w:type="spellEnd"/>
      <w:r w:rsidRPr="004E461A">
        <w:rPr>
          <w:color w:val="000000"/>
          <w:szCs w:val="22"/>
        </w:rPr>
        <w:t xml:space="preserve">) </w:t>
      </w:r>
      <w:r w:rsidR="003F6B24" w:rsidRPr="00310B93">
        <w:rPr>
          <w:color w:val="000000"/>
          <w:szCs w:val="22"/>
        </w:rPr>
        <w:t xml:space="preserve">(14.5%) </w:t>
      </w:r>
      <w:r w:rsidRPr="004E461A">
        <w:rPr>
          <w:color w:val="000000"/>
          <w:szCs w:val="22"/>
        </w:rPr>
        <w:t>un bradikardija</w:t>
      </w:r>
      <w:r w:rsidR="003F6B24">
        <w:rPr>
          <w:color w:val="000000"/>
          <w:szCs w:val="22"/>
        </w:rPr>
        <w:t xml:space="preserve"> </w:t>
      </w:r>
      <w:r w:rsidR="003F6B24" w:rsidRPr="00310B93">
        <w:rPr>
          <w:color w:val="000000"/>
          <w:szCs w:val="22"/>
        </w:rPr>
        <w:t>(3.3%)</w:t>
      </w:r>
      <w:r w:rsidR="003F6B24">
        <w:rPr>
          <w:color w:val="000000"/>
          <w:szCs w:val="22"/>
        </w:rPr>
        <w:t>. Tās</w:t>
      </w:r>
      <w:r w:rsidRPr="004E461A">
        <w:rPr>
          <w:color w:val="000000"/>
          <w:szCs w:val="22"/>
        </w:rPr>
        <w:t xml:space="preserve"> ir atkarīgas no zāļu devas un saistītas ar šo zāļu farmakoloģisko iedarbību.</w:t>
      </w:r>
    </w:p>
    <w:p w14:paraId="4886E76B" w14:textId="0A18EAF6" w:rsidR="00143320" w:rsidRPr="004E461A" w:rsidRDefault="00143320" w:rsidP="009C5A02">
      <w:pPr>
        <w:spacing w:line="240" w:lineRule="auto"/>
        <w:jc w:val="both"/>
        <w:rPr>
          <w:color w:val="000000"/>
          <w:szCs w:val="22"/>
        </w:rPr>
      </w:pPr>
    </w:p>
    <w:p w14:paraId="7A68CE28" w14:textId="77777777" w:rsidR="00143320" w:rsidRPr="004E461A" w:rsidRDefault="00143320" w:rsidP="009C5A02">
      <w:pPr>
        <w:spacing w:line="240" w:lineRule="auto"/>
        <w:jc w:val="both"/>
        <w:rPr>
          <w:color w:val="000000"/>
          <w:szCs w:val="22"/>
        </w:rPr>
      </w:pPr>
      <w:r w:rsidRPr="004E461A">
        <w:rPr>
          <w:iCs/>
          <w:color w:val="000000"/>
          <w:szCs w:val="22"/>
          <w:u w:val="single"/>
        </w:rPr>
        <w:t>Nevēlamo</w:t>
      </w:r>
      <w:r w:rsidRPr="004E461A">
        <w:rPr>
          <w:color w:val="000000"/>
          <w:szCs w:val="22"/>
          <w:u w:val="single" w:color="000000"/>
        </w:rPr>
        <w:t xml:space="preserve"> blakusparādību saraksts tabulas veidā</w:t>
      </w:r>
    </w:p>
    <w:p w14:paraId="21B9D004" w14:textId="77777777" w:rsidR="00FD187E" w:rsidRPr="004E461A" w:rsidRDefault="00143320" w:rsidP="009C5A02">
      <w:pPr>
        <w:pStyle w:val="EMEAEnBodyText"/>
        <w:spacing w:before="0" w:after="0"/>
        <w:rPr>
          <w:bCs/>
          <w:noProof/>
          <w:color w:val="000000"/>
          <w:szCs w:val="22"/>
          <w:lang w:val="lv-LV"/>
        </w:rPr>
      </w:pPr>
      <w:r w:rsidRPr="004E461A">
        <w:rPr>
          <w:color w:val="000000"/>
          <w:szCs w:val="22"/>
          <w:lang w:val="lv-LV"/>
        </w:rPr>
        <w:t xml:space="preserve">Klīniskajos pētījumos novērotas šādas nevēlamās blakusparādības, kas sakārtotas atbilstoši šādiem biežuma kritērijiem: </w:t>
      </w:r>
      <w:r w:rsidR="00FD187E" w:rsidRPr="004E461A">
        <w:rPr>
          <w:bCs/>
          <w:noProof/>
          <w:color w:val="000000"/>
          <w:szCs w:val="22"/>
          <w:lang w:val="lv-LV"/>
        </w:rPr>
        <w:t>ļoti bieži (</w:t>
      </w:r>
      <w:r w:rsidR="00FD187E" w:rsidRPr="004E461A">
        <w:rPr>
          <w:bCs/>
          <w:noProof/>
          <w:color w:val="000000"/>
          <w:szCs w:val="22"/>
          <w:lang w:val="lv-LV"/>
        </w:rPr>
        <w:sym w:font="Symbol" w:char="F0B3"/>
      </w:r>
      <w:r w:rsidR="00FD187E" w:rsidRPr="004E461A">
        <w:rPr>
          <w:bCs/>
          <w:noProof/>
          <w:color w:val="000000"/>
          <w:szCs w:val="22"/>
          <w:lang w:val="lv-LV"/>
        </w:rPr>
        <w:t>1/10), bieži (</w:t>
      </w:r>
      <w:r w:rsidR="00FD187E" w:rsidRPr="004E461A">
        <w:rPr>
          <w:bCs/>
          <w:noProof/>
          <w:color w:val="000000"/>
          <w:szCs w:val="22"/>
          <w:lang w:val="lv-LV"/>
        </w:rPr>
        <w:sym w:font="Symbol" w:char="F0B3"/>
      </w:r>
      <w:r w:rsidR="00FD187E" w:rsidRPr="004E461A">
        <w:rPr>
          <w:bCs/>
          <w:noProof/>
          <w:color w:val="000000"/>
          <w:szCs w:val="22"/>
          <w:lang w:val="lv-LV"/>
        </w:rPr>
        <w:t>1/100 līdz &lt;1/10), retāk (</w:t>
      </w:r>
      <w:r w:rsidR="00FD187E" w:rsidRPr="004E461A">
        <w:rPr>
          <w:bCs/>
          <w:noProof/>
          <w:color w:val="000000"/>
          <w:szCs w:val="22"/>
          <w:lang w:val="lv-LV"/>
        </w:rPr>
        <w:sym w:font="Symbol" w:char="F0B3"/>
      </w:r>
      <w:r w:rsidR="00FD187E" w:rsidRPr="004E461A">
        <w:rPr>
          <w:bCs/>
          <w:noProof/>
          <w:color w:val="000000"/>
          <w:szCs w:val="22"/>
          <w:lang w:val="lv-LV"/>
        </w:rPr>
        <w:t>1/1</w:t>
      </w:r>
      <w:r w:rsidR="004E461A">
        <w:rPr>
          <w:bCs/>
          <w:noProof/>
          <w:color w:val="000000"/>
          <w:szCs w:val="22"/>
          <w:lang w:val="lv-LV"/>
        </w:rPr>
        <w:t xml:space="preserve"> </w:t>
      </w:r>
      <w:r w:rsidR="00FD187E" w:rsidRPr="004E461A">
        <w:rPr>
          <w:bCs/>
          <w:noProof/>
          <w:color w:val="000000"/>
          <w:szCs w:val="22"/>
          <w:lang w:val="lv-LV"/>
        </w:rPr>
        <w:t>000 līdz &lt;1/100), reti (</w:t>
      </w:r>
      <w:r w:rsidR="00FD187E" w:rsidRPr="004E461A">
        <w:rPr>
          <w:bCs/>
          <w:noProof/>
          <w:color w:val="000000"/>
          <w:szCs w:val="22"/>
          <w:lang w:val="lv-LV"/>
        </w:rPr>
        <w:sym w:font="Symbol" w:char="F0B3"/>
      </w:r>
      <w:r w:rsidR="00FD187E" w:rsidRPr="004E461A">
        <w:rPr>
          <w:bCs/>
          <w:noProof/>
          <w:color w:val="000000"/>
          <w:szCs w:val="22"/>
          <w:lang w:val="lv-LV"/>
        </w:rPr>
        <w:t>1/10</w:t>
      </w:r>
      <w:r w:rsidR="004E461A">
        <w:rPr>
          <w:bCs/>
          <w:noProof/>
          <w:color w:val="000000"/>
          <w:szCs w:val="22"/>
          <w:lang w:val="lv-LV"/>
        </w:rPr>
        <w:t xml:space="preserve"> </w:t>
      </w:r>
      <w:r w:rsidR="00FD187E" w:rsidRPr="004E461A">
        <w:rPr>
          <w:bCs/>
          <w:noProof/>
          <w:color w:val="000000"/>
          <w:szCs w:val="22"/>
          <w:lang w:val="lv-LV"/>
        </w:rPr>
        <w:t>000 līdz &lt;1/1</w:t>
      </w:r>
      <w:r w:rsidR="004E461A">
        <w:rPr>
          <w:bCs/>
          <w:noProof/>
          <w:color w:val="000000"/>
          <w:szCs w:val="22"/>
          <w:lang w:val="lv-LV"/>
        </w:rPr>
        <w:t xml:space="preserve"> </w:t>
      </w:r>
      <w:r w:rsidR="00FD187E" w:rsidRPr="004E461A">
        <w:rPr>
          <w:bCs/>
          <w:noProof/>
          <w:color w:val="000000"/>
          <w:szCs w:val="22"/>
          <w:lang w:val="lv-LV"/>
        </w:rPr>
        <w:t>000), ļoti reti (&lt;1/10</w:t>
      </w:r>
      <w:r w:rsidR="004E461A">
        <w:rPr>
          <w:bCs/>
          <w:noProof/>
          <w:color w:val="000000"/>
          <w:szCs w:val="22"/>
          <w:lang w:val="lv-LV"/>
        </w:rPr>
        <w:t xml:space="preserve"> </w:t>
      </w:r>
      <w:r w:rsidR="00FD187E" w:rsidRPr="004E461A">
        <w:rPr>
          <w:bCs/>
          <w:noProof/>
          <w:color w:val="000000"/>
          <w:szCs w:val="22"/>
          <w:lang w:val="lv-LV"/>
        </w:rPr>
        <w:t>000), nav zināmi (nevar noteikt pēc pieejamiem datiem)</w:t>
      </w:r>
      <w:r w:rsidR="00D14E21" w:rsidRPr="004E461A">
        <w:rPr>
          <w:bCs/>
          <w:noProof/>
          <w:color w:val="000000"/>
          <w:szCs w:val="22"/>
          <w:lang w:val="lv-LV"/>
        </w:rPr>
        <w:t>.</w:t>
      </w:r>
    </w:p>
    <w:p w14:paraId="706DEA1D" w14:textId="77777777" w:rsidR="00FD187E" w:rsidRPr="004E461A" w:rsidRDefault="00FD187E" w:rsidP="009C5A02">
      <w:pPr>
        <w:pStyle w:val="EMEAEnBodyText"/>
        <w:spacing w:before="0" w:after="0"/>
        <w:rPr>
          <w:bCs/>
          <w:noProof/>
          <w:color w:val="000000"/>
          <w:szCs w:val="22"/>
          <w:lang w:val="lv-LV"/>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8"/>
        <w:gridCol w:w="1276"/>
        <w:gridCol w:w="5232"/>
      </w:tblGrid>
      <w:tr w:rsidR="00D14E21" w:rsidRPr="004E461A" w14:paraId="6DCA53B9" w14:textId="77777777" w:rsidTr="00B47BC3">
        <w:trPr>
          <w:trHeight w:val="20"/>
        </w:trPr>
        <w:tc>
          <w:tcPr>
            <w:tcW w:w="2858" w:type="dxa"/>
            <w:noWrap/>
            <w:tcMar>
              <w:top w:w="23" w:type="dxa"/>
              <w:left w:w="23" w:type="dxa"/>
              <w:bottom w:w="23" w:type="dxa"/>
              <w:right w:w="23" w:type="dxa"/>
            </w:tcMar>
            <w:vAlign w:val="center"/>
          </w:tcPr>
          <w:p w14:paraId="43BB515F" w14:textId="77777777" w:rsidR="00D14E21" w:rsidRPr="004E461A" w:rsidRDefault="00D14E21" w:rsidP="009C5A02">
            <w:pPr>
              <w:autoSpaceDE w:val="0"/>
              <w:autoSpaceDN w:val="0"/>
              <w:adjustRightInd w:val="0"/>
              <w:spacing w:line="240" w:lineRule="auto"/>
              <w:jc w:val="center"/>
              <w:rPr>
                <w:b/>
                <w:color w:val="000000"/>
                <w:szCs w:val="22"/>
              </w:rPr>
            </w:pPr>
            <w:r w:rsidRPr="004E461A">
              <w:rPr>
                <w:b/>
                <w:bCs/>
                <w:color w:val="000000"/>
                <w:szCs w:val="22"/>
              </w:rPr>
              <w:t>Orgānu sistēmas grupa</w:t>
            </w:r>
          </w:p>
        </w:tc>
        <w:tc>
          <w:tcPr>
            <w:tcW w:w="1276" w:type="dxa"/>
            <w:noWrap/>
            <w:tcMar>
              <w:top w:w="23" w:type="dxa"/>
              <w:left w:w="23" w:type="dxa"/>
              <w:bottom w:w="23" w:type="dxa"/>
              <w:right w:w="23" w:type="dxa"/>
            </w:tcMar>
            <w:vAlign w:val="center"/>
          </w:tcPr>
          <w:p w14:paraId="042D86A7" w14:textId="77777777" w:rsidR="00D14E21" w:rsidRPr="004E461A" w:rsidRDefault="00D14E21" w:rsidP="009C5A02">
            <w:pPr>
              <w:autoSpaceDE w:val="0"/>
              <w:autoSpaceDN w:val="0"/>
              <w:adjustRightInd w:val="0"/>
              <w:spacing w:line="240" w:lineRule="auto"/>
              <w:jc w:val="center"/>
              <w:rPr>
                <w:b/>
                <w:color w:val="000000"/>
                <w:szCs w:val="22"/>
              </w:rPr>
            </w:pPr>
            <w:r w:rsidRPr="004E461A">
              <w:rPr>
                <w:b/>
                <w:bCs/>
                <w:color w:val="000000"/>
                <w:szCs w:val="22"/>
              </w:rPr>
              <w:t>Biežums</w:t>
            </w:r>
          </w:p>
        </w:tc>
        <w:tc>
          <w:tcPr>
            <w:tcW w:w="5232" w:type="dxa"/>
            <w:noWrap/>
            <w:tcMar>
              <w:top w:w="23" w:type="dxa"/>
              <w:left w:w="23" w:type="dxa"/>
              <w:bottom w:w="23" w:type="dxa"/>
              <w:right w:w="23" w:type="dxa"/>
            </w:tcMar>
            <w:vAlign w:val="center"/>
          </w:tcPr>
          <w:p w14:paraId="61935FAD" w14:textId="77777777" w:rsidR="00D14E21" w:rsidRPr="004E461A" w:rsidRDefault="00D14E21" w:rsidP="009C5A02">
            <w:pPr>
              <w:autoSpaceDE w:val="0"/>
              <w:autoSpaceDN w:val="0"/>
              <w:adjustRightInd w:val="0"/>
              <w:spacing w:line="240" w:lineRule="auto"/>
              <w:jc w:val="center"/>
              <w:rPr>
                <w:b/>
                <w:color w:val="000000"/>
                <w:szCs w:val="22"/>
              </w:rPr>
            </w:pPr>
            <w:r w:rsidRPr="004E461A">
              <w:rPr>
                <w:b/>
                <w:bCs/>
                <w:color w:val="000000"/>
                <w:szCs w:val="22"/>
              </w:rPr>
              <w:t>Ieteicamais termins</w:t>
            </w:r>
          </w:p>
        </w:tc>
      </w:tr>
      <w:tr w:rsidR="00D14E21" w:rsidRPr="004E461A" w14:paraId="2C5102D5" w14:textId="77777777" w:rsidTr="00B47BC3">
        <w:trPr>
          <w:trHeight w:val="20"/>
        </w:trPr>
        <w:tc>
          <w:tcPr>
            <w:tcW w:w="2858" w:type="dxa"/>
            <w:noWrap/>
            <w:tcMar>
              <w:top w:w="23" w:type="dxa"/>
              <w:left w:w="23" w:type="dxa"/>
              <w:bottom w:w="23" w:type="dxa"/>
              <w:right w:w="23" w:type="dxa"/>
            </w:tcMar>
            <w:vAlign w:val="center"/>
          </w:tcPr>
          <w:p w14:paraId="05FAE549" w14:textId="77777777" w:rsidR="00D14E21" w:rsidRPr="004E461A" w:rsidRDefault="00D14E21" w:rsidP="009C5A02">
            <w:pPr>
              <w:spacing w:line="240" w:lineRule="auto"/>
              <w:jc w:val="center"/>
              <w:rPr>
                <w:color w:val="000000"/>
                <w:szCs w:val="22"/>
              </w:rPr>
            </w:pPr>
            <w:r w:rsidRPr="004E461A">
              <w:rPr>
                <w:color w:val="000000"/>
                <w:szCs w:val="22"/>
              </w:rPr>
              <w:t>Asins un limfātiskās sistēmas traucējumi</w:t>
            </w:r>
          </w:p>
        </w:tc>
        <w:tc>
          <w:tcPr>
            <w:tcW w:w="1276" w:type="dxa"/>
            <w:noWrap/>
            <w:tcMar>
              <w:top w:w="23" w:type="dxa"/>
              <w:left w:w="23" w:type="dxa"/>
              <w:bottom w:w="23" w:type="dxa"/>
              <w:right w:w="23" w:type="dxa"/>
            </w:tcMar>
            <w:vAlign w:val="center"/>
          </w:tcPr>
          <w:p w14:paraId="053AC56A"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3AB42736" w14:textId="77777777" w:rsidR="00D14E21" w:rsidRPr="004E461A" w:rsidRDefault="00D14E21" w:rsidP="009C5A02">
            <w:pPr>
              <w:spacing w:line="240" w:lineRule="auto"/>
              <w:rPr>
                <w:color w:val="000000"/>
                <w:szCs w:val="22"/>
              </w:rPr>
            </w:pPr>
            <w:proofErr w:type="spellStart"/>
            <w:r w:rsidRPr="004E461A">
              <w:rPr>
                <w:color w:val="000000"/>
                <w:szCs w:val="22"/>
              </w:rPr>
              <w:t>Eozinofīlija</w:t>
            </w:r>
            <w:proofErr w:type="spellEnd"/>
          </w:p>
        </w:tc>
      </w:tr>
      <w:tr w:rsidR="00D14E21" w:rsidRPr="004E461A" w14:paraId="573FE505" w14:textId="77777777" w:rsidTr="00B47BC3">
        <w:trPr>
          <w:trHeight w:val="20"/>
        </w:trPr>
        <w:tc>
          <w:tcPr>
            <w:tcW w:w="2858" w:type="dxa"/>
            <w:noWrap/>
            <w:tcMar>
              <w:top w:w="23" w:type="dxa"/>
              <w:left w:w="23" w:type="dxa"/>
              <w:bottom w:w="23" w:type="dxa"/>
              <w:right w:w="23" w:type="dxa"/>
            </w:tcMar>
            <w:vAlign w:val="center"/>
          </w:tcPr>
          <w:p w14:paraId="3AE67268" w14:textId="77777777" w:rsidR="00D14E21" w:rsidRPr="004E461A" w:rsidRDefault="00D14E21" w:rsidP="009C5A02">
            <w:pPr>
              <w:spacing w:line="240" w:lineRule="auto"/>
              <w:jc w:val="center"/>
              <w:rPr>
                <w:color w:val="000000"/>
                <w:szCs w:val="22"/>
              </w:rPr>
            </w:pPr>
            <w:r w:rsidRPr="004E461A">
              <w:rPr>
                <w:color w:val="000000"/>
                <w:szCs w:val="22"/>
              </w:rPr>
              <w:t>Vielmaiņas un uztures traucējumi</w:t>
            </w:r>
          </w:p>
        </w:tc>
        <w:tc>
          <w:tcPr>
            <w:tcW w:w="1276" w:type="dxa"/>
            <w:noWrap/>
            <w:tcMar>
              <w:top w:w="23" w:type="dxa"/>
              <w:left w:w="23" w:type="dxa"/>
              <w:bottom w:w="23" w:type="dxa"/>
              <w:right w:w="23" w:type="dxa"/>
            </w:tcMar>
            <w:vAlign w:val="center"/>
          </w:tcPr>
          <w:p w14:paraId="35BFCF22"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1A7A0C8B" w14:textId="77777777" w:rsidR="00D14E21" w:rsidRPr="004E461A" w:rsidRDefault="00D14E21" w:rsidP="009C5A02">
            <w:pPr>
              <w:spacing w:line="240" w:lineRule="auto"/>
              <w:rPr>
                <w:color w:val="000000"/>
                <w:szCs w:val="22"/>
              </w:rPr>
            </w:pPr>
            <w:proofErr w:type="spellStart"/>
            <w:r w:rsidRPr="004E461A">
              <w:rPr>
                <w:color w:val="000000"/>
                <w:szCs w:val="22"/>
              </w:rPr>
              <w:t>Hiperurikēmija</w:t>
            </w:r>
            <w:proofErr w:type="spellEnd"/>
          </w:p>
        </w:tc>
      </w:tr>
      <w:tr w:rsidR="00D14E21" w:rsidRPr="004E461A" w14:paraId="40A2634D" w14:textId="77777777" w:rsidTr="00B47BC3">
        <w:trPr>
          <w:trHeight w:val="20"/>
        </w:trPr>
        <w:tc>
          <w:tcPr>
            <w:tcW w:w="2858" w:type="dxa"/>
            <w:vMerge w:val="restart"/>
            <w:noWrap/>
            <w:tcMar>
              <w:top w:w="23" w:type="dxa"/>
              <w:left w:w="23" w:type="dxa"/>
              <w:bottom w:w="23" w:type="dxa"/>
              <w:right w:w="23" w:type="dxa"/>
            </w:tcMar>
            <w:vAlign w:val="center"/>
          </w:tcPr>
          <w:p w14:paraId="4941D751" w14:textId="77777777" w:rsidR="00D14E21" w:rsidRPr="004E461A" w:rsidRDefault="00D14E21" w:rsidP="009C5A02">
            <w:pPr>
              <w:spacing w:line="240" w:lineRule="auto"/>
              <w:jc w:val="center"/>
              <w:rPr>
                <w:color w:val="000000"/>
                <w:szCs w:val="22"/>
              </w:rPr>
            </w:pPr>
            <w:r w:rsidRPr="004E461A">
              <w:rPr>
                <w:color w:val="000000"/>
                <w:szCs w:val="22"/>
              </w:rPr>
              <w:t>Nervu sistēmas traucējumi</w:t>
            </w:r>
          </w:p>
        </w:tc>
        <w:tc>
          <w:tcPr>
            <w:tcW w:w="1276" w:type="dxa"/>
            <w:vMerge w:val="restart"/>
            <w:noWrap/>
            <w:tcMar>
              <w:top w:w="23" w:type="dxa"/>
              <w:left w:w="23" w:type="dxa"/>
              <w:bottom w:w="23" w:type="dxa"/>
              <w:right w:w="23" w:type="dxa"/>
            </w:tcMar>
            <w:vAlign w:val="center"/>
          </w:tcPr>
          <w:p w14:paraId="7DEE2AD8" w14:textId="77777777" w:rsidR="00D14E21" w:rsidRPr="004E461A" w:rsidRDefault="00D14E21" w:rsidP="009C5A02">
            <w:pPr>
              <w:spacing w:line="240" w:lineRule="auto"/>
              <w:jc w:val="center"/>
              <w:rPr>
                <w:color w:val="000000"/>
                <w:szCs w:val="22"/>
              </w:rPr>
            </w:pPr>
            <w:r w:rsidRPr="004E461A">
              <w:rPr>
                <w:color w:val="000000"/>
                <w:szCs w:val="22"/>
              </w:rPr>
              <w:t>Bieži</w:t>
            </w:r>
          </w:p>
        </w:tc>
        <w:tc>
          <w:tcPr>
            <w:tcW w:w="5232" w:type="dxa"/>
            <w:noWrap/>
            <w:tcMar>
              <w:top w:w="23" w:type="dxa"/>
              <w:left w:w="23" w:type="dxa"/>
              <w:bottom w:w="23" w:type="dxa"/>
              <w:right w:w="23" w:type="dxa"/>
            </w:tcMar>
            <w:vAlign w:val="center"/>
          </w:tcPr>
          <w:p w14:paraId="34EE9A4E" w14:textId="77777777" w:rsidR="00D14E21" w:rsidRPr="004E461A" w:rsidRDefault="00D14E21" w:rsidP="009C5A02">
            <w:pPr>
              <w:spacing w:line="240" w:lineRule="auto"/>
              <w:rPr>
                <w:color w:val="000000"/>
                <w:szCs w:val="22"/>
              </w:rPr>
            </w:pPr>
            <w:r w:rsidRPr="004E461A">
              <w:rPr>
                <w:color w:val="000000"/>
                <w:szCs w:val="22"/>
              </w:rPr>
              <w:t>Galvassāpes, parasti pirmajā ārstēšanas mēnesī</w:t>
            </w:r>
          </w:p>
        </w:tc>
      </w:tr>
      <w:tr w:rsidR="00D14E21" w:rsidRPr="004E461A" w14:paraId="007A7BEF" w14:textId="77777777" w:rsidTr="00B47BC3">
        <w:trPr>
          <w:trHeight w:val="20"/>
        </w:trPr>
        <w:tc>
          <w:tcPr>
            <w:tcW w:w="2858" w:type="dxa"/>
            <w:vMerge/>
            <w:noWrap/>
            <w:tcMar>
              <w:top w:w="23" w:type="dxa"/>
              <w:left w:w="23" w:type="dxa"/>
              <w:bottom w:w="23" w:type="dxa"/>
              <w:right w:w="23" w:type="dxa"/>
            </w:tcMar>
            <w:vAlign w:val="center"/>
          </w:tcPr>
          <w:p w14:paraId="30C846F5"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0E56F182"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387BCD29" w14:textId="77777777" w:rsidR="00D14E21" w:rsidRPr="004E461A" w:rsidRDefault="00D14E21" w:rsidP="009C5A02">
            <w:pPr>
              <w:spacing w:line="240" w:lineRule="auto"/>
              <w:rPr>
                <w:color w:val="000000"/>
                <w:szCs w:val="22"/>
              </w:rPr>
            </w:pPr>
            <w:r w:rsidRPr="004E461A">
              <w:rPr>
                <w:color w:val="000000"/>
                <w:szCs w:val="22"/>
              </w:rPr>
              <w:t>Reibonis, iespējams, saistīts ar bradikardiju</w:t>
            </w:r>
          </w:p>
        </w:tc>
      </w:tr>
      <w:tr w:rsidR="00D14E21" w:rsidRPr="004E461A" w14:paraId="34E95BCD" w14:textId="77777777" w:rsidTr="00B47BC3">
        <w:trPr>
          <w:trHeight w:val="20"/>
        </w:trPr>
        <w:tc>
          <w:tcPr>
            <w:tcW w:w="2858" w:type="dxa"/>
            <w:vMerge/>
            <w:noWrap/>
            <w:tcMar>
              <w:top w:w="23" w:type="dxa"/>
              <w:left w:w="23" w:type="dxa"/>
              <w:bottom w:w="23" w:type="dxa"/>
              <w:right w:w="23" w:type="dxa"/>
            </w:tcMar>
            <w:vAlign w:val="center"/>
          </w:tcPr>
          <w:p w14:paraId="75F131B9" w14:textId="77777777" w:rsidR="00D14E21" w:rsidRPr="004E461A" w:rsidRDefault="00D14E21" w:rsidP="009C5A02">
            <w:pPr>
              <w:spacing w:line="240" w:lineRule="auto"/>
              <w:jc w:val="center"/>
              <w:rPr>
                <w:color w:val="000000"/>
                <w:szCs w:val="22"/>
              </w:rPr>
            </w:pPr>
          </w:p>
        </w:tc>
        <w:tc>
          <w:tcPr>
            <w:tcW w:w="1276" w:type="dxa"/>
            <w:noWrap/>
            <w:tcMar>
              <w:top w:w="23" w:type="dxa"/>
              <w:left w:w="23" w:type="dxa"/>
              <w:bottom w:w="23" w:type="dxa"/>
              <w:right w:w="23" w:type="dxa"/>
            </w:tcMar>
            <w:vAlign w:val="center"/>
          </w:tcPr>
          <w:p w14:paraId="410D855D"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3EC2093E" w14:textId="77777777" w:rsidR="00D14E21" w:rsidRPr="004E461A" w:rsidRDefault="00D14E21" w:rsidP="009C5A02">
            <w:pPr>
              <w:spacing w:line="240" w:lineRule="auto"/>
              <w:rPr>
                <w:color w:val="000000"/>
                <w:szCs w:val="22"/>
              </w:rPr>
            </w:pPr>
            <w:proofErr w:type="spellStart"/>
            <w:r w:rsidRPr="004E461A">
              <w:rPr>
                <w:color w:val="000000"/>
                <w:szCs w:val="22"/>
              </w:rPr>
              <w:t>ĢĪbonis</w:t>
            </w:r>
            <w:proofErr w:type="spellEnd"/>
            <w:r w:rsidRPr="004E461A">
              <w:rPr>
                <w:color w:val="000000"/>
                <w:szCs w:val="22"/>
              </w:rPr>
              <w:t>, iespējams, saistīts ar bradikardiju</w:t>
            </w:r>
          </w:p>
        </w:tc>
      </w:tr>
      <w:tr w:rsidR="00D14E21" w:rsidRPr="004E461A" w14:paraId="1EAF78D6" w14:textId="77777777" w:rsidTr="00B47BC3">
        <w:trPr>
          <w:trHeight w:val="20"/>
        </w:trPr>
        <w:tc>
          <w:tcPr>
            <w:tcW w:w="2858" w:type="dxa"/>
            <w:vMerge w:val="restart"/>
            <w:noWrap/>
            <w:tcMar>
              <w:top w:w="23" w:type="dxa"/>
              <w:left w:w="23" w:type="dxa"/>
              <w:bottom w:w="23" w:type="dxa"/>
              <w:right w:w="23" w:type="dxa"/>
            </w:tcMar>
            <w:vAlign w:val="center"/>
          </w:tcPr>
          <w:p w14:paraId="77739DDD" w14:textId="77777777" w:rsidR="00D14E21" w:rsidRPr="004E461A" w:rsidRDefault="00D14E21" w:rsidP="009C5A02">
            <w:pPr>
              <w:spacing w:line="240" w:lineRule="auto"/>
              <w:jc w:val="center"/>
              <w:rPr>
                <w:color w:val="000000"/>
                <w:szCs w:val="22"/>
              </w:rPr>
            </w:pPr>
            <w:r w:rsidRPr="004E461A">
              <w:rPr>
                <w:color w:val="000000"/>
                <w:szCs w:val="22"/>
              </w:rPr>
              <w:t>Acu bojājumi</w:t>
            </w:r>
          </w:p>
        </w:tc>
        <w:tc>
          <w:tcPr>
            <w:tcW w:w="1276" w:type="dxa"/>
            <w:noWrap/>
            <w:tcMar>
              <w:top w:w="23" w:type="dxa"/>
              <w:left w:w="23" w:type="dxa"/>
              <w:bottom w:w="23" w:type="dxa"/>
              <w:right w:w="23" w:type="dxa"/>
            </w:tcMar>
            <w:vAlign w:val="center"/>
          </w:tcPr>
          <w:p w14:paraId="297C11AF" w14:textId="77777777" w:rsidR="00D14E21" w:rsidRPr="004E461A" w:rsidRDefault="00D14E21" w:rsidP="009C5A02">
            <w:pPr>
              <w:spacing w:line="240" w:lineRule="auto"/>
              <w:jc w:val="center"/>
              <w:rPr>
                <w:color w:val="000000"/>
                <w:szCs w:val="22"/>
              </w:rPr>
            </w:pPr>
            <w:r w:rsidRPr="004E461A">
              <w:rPr>
                <w:color w:val="000000"/>
                <w:szCs w:val="22"/>
              </w:rPr>
              <w:t>Ļoti bieži</w:t>
            </w:r>
          </w:p>
        </w:tc>
        <w:tc>
          <w:tcPr>
            <w:tcW w:w="5232" w:type="dxa"/>
            <w:noWrap/>
            <w:tcMar>
              <w:top w:w="23" w:type="dxa"/>
              <w:left w:w="23" w:type="dxa"/>
              <w:bottom w:w="23" w:type="dxa"/>
              <w:right w:w="23" w:type="dxa"/>
            </w:tcMar>
            <w:vAlign w:val="center"/>
          </w:tcPr>
          <w:p w14:paraId="17BF3DB8" w14:textId="77777777" w:rsidR="00D14E21" w:rsidRPr="004E461A" w:rsidRDefault="00D14E21" w:rsidP="009C5A02">
            <w:pPr>
              <w:spacing w:line="240" w:lineRule="auto"/>
              <w:rPr>
                <w:color w:val="000000"/>
                <w:szCs w:val="22"/>
              </w:rPr>
            </w:pPr>
            <w:r w:rsidRPr="004E461A">
              <w:rPr>
                <w:color w:val="000000"/>
                <w:szCs w:val="22"/>
              </w:rPr>
              <w:t>Gaismas uztveres fenomeni (</w:t>
            </w:r>
            <w:proofErr w:type="spellStart"/>
            <w:r w:rsidRPr="004E461A">
              <w:rPr>
                <w:color w:val="000000"/>
                <w:szCs w:val="22"/>
              </w:rPr>
              <w:t>fotopsijas</w:t>
            </w:r>
            <w:proofErr w:type="spellEnd"/>
            <w:r w:rsidRPr="004E461A">
              <w:rPr>
                <w:color w:val="000000"/>
                <w:szCs w:val="22"/>
              </w:rPr>
              <w:t>)</w:t>
            </w:r>
          </w:p>
        </w:tc>
      </w:tr>
      <w:tr w:rsidR="00D14E21" w:rsidRPr="004E461A" w14:paraId="50630681" w14:textId="77777777" w:rsidTr="00B47BC3">
        <w:trPr>
          <w:trHeight w:val="20"/>
        </w:trPr>
        <w:tc>
          <w:tcPr>
            <w:tcW w:w="2858" w:type="dxa"/>
            <w:vMerge/>
            <w:noWrap/>
            <w:tcMar>
              <w:top w:w="23" w:type="dxa"/>
              <w:left w:w="23" w:type="dxa"/>
              <w:bottom w:w="23" w:type="dxa"/>
              <w:right w:w="23" w:type="dxa"/>
            </w:tcMar>
            <w:vAlign w:val="center"/>
          </w:tcPr>
          <w:p w14:paraId="4CBB7E09" w14:textId="77777777" w:rsidR="00D14E21" w:rsidRPr="004E461A" w:rsidRDefault="00D14E21" w:rsidP="009C5A02">
            <w:pPr>
              <w:spacing w:line="240" w:lineRule="auto"/>
              <w:jc w:val="center"/>
              <w:rPr>
                <w:color w:val="000000"/>
                <w:szCs w:val="22"/>
              </w:rPr>
            </w:pPr>
          </w:p>
        </w:tc>
        <w:tc>
          <w:tcPr>
            <w:tcW w:w="1276" w:type="dxa"/>
            <w:noWrap/>
            <w:tcMar>
              <w:top w:w="23" w:type="dxa"/>
              <w:left w:w="23" w:type="dxa"/>
              <w:bottom w:w="23" w:type="dxa"/>
              <w:right w:w="23" w:type="dxa"/>
            </w:tcMar>
            <w:vAlign w:val="center"/>
          </w:tcPr>
          <w:p w14:paraId="4FDF065F" w14:textId="77777777" w:rsidR="00D14E21" w:rsidRPr="004E461A" w:rsidRDefault="00D14E21" w:rsidP="009C5A02">
            <w:pPr>
              <w:spacing w:line="240" w:lineRule="auto"/>
              <w:jc w:val="center"/>
              <w:rPr>
                <w:color w:val="000000"/>
                <w:szCs w:val="22"/>
              </w:rPr>
            </w:pPr>
            <w:r w:rsidRPr="004E461A">
              <w:rPr>
                <w:color w:val="000000"/>
                <w:szCs w:val="22"/>
              </w:rPr>
              <w:t>Bieži</w:t>
            </w:r>
          </w:p>
        </w:tc>
        <w:tc>
          <w:tcPr>
            <w:tcW w:w="5232" w:type="dxa"/>
            <w:noWrap/>
            <w:tcMar>
              <w:top w:w="23" w:type="dxa"/>
              <w:left w:w="23" w:type="dxa"/>
              <w:bottom w:w="23" w:type="dxa"/>
              <w:right w:w="23" w:type="dxa"/>
            </w:tcMar>
            <w:vAlign w:val="center"/>
          </w:tcPr>
          <w:p w14:paraId="3A0441F4" w14:textId="77777777" w:rsidR="00D14E21" w:rsidRPr="004E461A" w:rsidRDefault="00D14E21" w:rsidP="009C5A02">
            <w:pPr>
              <w:spacing w:line="240" w:lineRule="auto"/>
              <w:rPr>
                <w:color w:val="000000"/>
                <w:szCs w:val="22"/>
              </w:rPr>
            </w:pPr>
            <w:r w:rsidRPr="004E461A">
              <w:rPr>
                <w:color w:val="000000"/>
                <w:szCs w:val="22"/>
              </w:rPr>
              <w:t>Neskaidra redze</w:t>
            </w:r>
          </w:p>
        </w:tc>
      </w:tr>
      <w:tr w:rsidR="00D14E21" w:rsidRPr="004E461A" w14:paraId="77E50E52" w14:textId="77777777" w:rsidTr="00B47BC3">
        <w:trPr>
          <w:trHeight w:val="20"/>
        </w:trPr>
        <w:tc>
          <w:tcPr>
            <w:tcW w:w="2858" w:type="dxa"/>
            <w:vMerge/>
            <w:noWrap/>
            <w:tcMar>
              <w:top w:w="23" w:type="dxa"/>
              <w:left w:w="23" w:type="dxa"/>
              <w:bottom w:w="23" w:type="dxa"/>
              <w:right w:w="23" w:type="dxa"/>
            </w:tcMar>
            <w:vAlign w:val="center"/>
          </w:tcPr>
          <w:p w14:paraId="01FD6D0A" w14:textId="77777777" w:rsidR="00D14E21" w:rsidRPr="004E461A" w:rsidRDefault="00D14E21" w:rsidP="009C5A02">
            <w:pPr>
              <w:spacing w:line="240" w:lineRule="auto"/>
              <w:jc w:val="center"/>
              <w:rPr>
                <w:color w:val="000000"/>
                <w:szCs w:val="22"/>
              </w:rPr>
            </w:pPr>
          </w:p>
        </w:tc>
        <w:tc>
          <w:tcPr>
            <w:tcW w:w="1276" w:type="dxa"/>
            <w:vMerge w:val="restart"/>
            <w:noWrap/>
            <w:tcMar>
              <w:top w:w="23" w:type="dxa"/>
              <w:left w:w="23" w:type="dxa"/>
              <w:bottom w:w="23" w:type="dxa"/>
              <w:right w:w="23" w:type="dxa"/>
            </w:tcMar>
            <w:vAlign w:val="center"/>
          </w:tcPr>
          <w:p w14:paraId="724CDADE"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0975665F" w14:textId="77777777" w:rsidR="00D14E21" w:rsidRPr="004E461A" w:rsidRDefault="00D14E21" w:rsidP="009C5A02">
            <w:pPr>
              <w:spacing w:line="240" w:lineRule="auto"/>
              <w:rPr>
                <w:color w:val="000000"/>
                <w:szCs w:val="22"/>
              </w:rPr>
            </w:pPr>
            <w:proofErr w:type="spellStart"/>
            <w:r w:rsidRPr="004E461A">
              <w:rPr>
                <w:color w:val="000000"/>
                <w:szCs w:val="22"/>
              </w:rPr>
              <w:t>Diplopija</w:t>
            </w:r>
            <w:proofErr w:type="spellEnd"/>
          </w:p>
        </w:tc>
      </w:tr>
      <w:tr w:rsidR="00D14E21" w:rsidRPr="004E461A" w14:paraId="3F8FDBB1" w14:textId="77777777" w:rsidTr="00B47BC3">
        <w:trPr>
          <w:trHeight w:val="20"/>
        </w:trPr>
        <w:tc>
          <w:tcPr>
            <w:tcW w:w="2858" w:type="dxa"/>
            <w:vMerge/>
            <w:noWrap/>
            <w:tcMar>
              <w:top w:w="23" w:type="dxa"/>
              <w:left w:w="23" w:type="dxa"/>
              <w:bottom w:w="23" w:type="dxa"/>
              <w:right w:w="23" w:type="dxa"/>
            </w:tcMar>
            <w:vAlign w:val="center"/>
          </w:tcPr>
          <w:p w14:paraId="29634864"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60DCEDAE"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169725BF" w14:textId="77777777" w:rsidR="00D14E21" w:rsidRPr="004E461A" w:rsidRDefault="00D14E21" w:rsidP="009C5A02">
            <w:pPr>
              <w:spacing w:line="240" w:lineRule="auto"/>
              <w:rPr>
                <w:color w:val="000000"/>
                <w:szCs w:val="22"/>
              </w:rPr>
            </w:pPr>
            <w:r w:rsidRPr="004E461A">
              <w:rPr>
                <w:color w:val="000000"/>
                <w:szCs w:val="22"/>
              </w:rPr>
              <w:t>Redzes pasliktināšanās</w:t>
            </w:r>
          </w:p>
        </w:tc>
      </w:tr>
      <w:tr w:rsidR="00D14E21" w:rsidRPr="004E461A" w14:paraId="3A6CA877" w14:textId="77777777" w:rsidTr="00B47BC3">
        <w:trPr>
          <w:trHeight w:val="20"/>
        </w:trPr>
        <w:tc>
          <w:tcPr>
            <w:tcW w:w="2858" w:type="dxa"/>
            <w:noWrap/>
            <w:tcMar>
              <w:top w:w="23" w:type="dxa"/>
              <w:left w:w="23" w:type="dxa"/>
              <w:bottom w:w="23" w:type="dxa"/>
              <w:right w:w="23" w:type="dxa"/>
            </w:tcMar>
            <w:vAlign w:val="center"/>
          </w:tcPr>
          <w:p w14:paraId="0CEBDDD6" w14:textId="77777777" w:rsidR="00D14E21" w:rsidRPr="004E461A" w:rsidRDefault="00D14E21" w:rsidP="009C5A02">
            <w:pPr>
              <w:spacing w:line="240" w:lineRule="auto"/>
              <w:jc w:val="center"/>
              <w:rPr>
                <w:color w:val="000000"/>
                <w:szCs w:val="22"/>
              </w:rPr>
            </w:pPr>
            <w:r w:rsidRPr="004E461A">
              <w:rPr>
                <w:color w:val="000000"/>
                <w:szCs w:val="22"/>
              </w:rPr>
              <w:t>Ausu un labirinta bojājumi</w:t>
            </w:r>
          </w:p>
        </w:tc>
        <w:tc>
          <w:tcPr>
            <w:tcW w:w="1276" w:type="dxa"/>
            <w:noWrap/>
            <w:tcMar>
              <w:top w:w="23" w:type="dxa"/>
              <w:left w:w="23" w:type="dxa"/>
              <w:bottom w:w="23" w:type="dxa"/>
              <w:right w:w="23" w:type="dxa"/>
            </w:tcMar>
            <w:vAlign w:val="center"/>
          </w:tcPr>
          <w:p w14:paraId="4FAA07A0"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48F35765" w14:textId="77777777" w:rsidR="00D14E21" w:rsidRPr="004E461A" w:rsidRDefault="00D14E21" w:rsidP="009C5A02">
            <w:pPr>
              <w:spacing w:line="240" w:lineRule="auto"/>
              <w:rPr>
                <w:color w:val="000000"/>
                <w:szCs w:val="22"/>
              </w:rPr>
            </w:pPr>
            <w:r w:rsidRPr="004E461A">
              <w:rPr>
                <w:color w:val="000000"/>
                <w:szCs w:val="22"/>
              </w:rPr>
              <w:t>Vertigo</w:t>
            </w:r>
          </w:p>
        </w:tc>
      </w:tr>
      <w:tr w:rsidR="00D14E21" w:rsidRPr="004E461A" w14:paraId="52F4BE11" w14:textId="77777777" w:rsidTr="00B47BC3">
        <w:trPr>
          <w:trHeight w:val="20"/>
        </w:trPr>
        <w:tc>
          <w:tcPr>
            <w:tcW w:w="2858" w:type="dxa"/>
            <w:vMerge w:val="restart"/>
            <w:noWrap/>
            <w:tcMar>
              <w:top w:w="23" w:type="dxa"/>
              <w:left w:w="23" w:type="dxa"/>
              <w:bottom w:w="23" w:type="dxa"/>
              <w:right w:w="23" w:type="dxa"/>
            </w:tcMar>
            <w:vAlign w:val="center"/>
          </w:tcPr>
          <w:p w14:paraId="7587B0D9" w14:textId="77777777" w:rsidR="00D14E21" w:rsidRPr="004E461A" w:rsidRDefault="00D14E21" w:rsidP="009C5A02">
            <w:pPr>
              <w:spacing w:line="240" w:lineRule="auto"/>
              <w:jc w:val="center"/>
              <w:rPr>
                <w:color w:val="000000"/>
                <w:szCs w:val="22"/>
              </w:rPr>
            </w:pPr>
            <w:r w:rsidRPr="004E461A">
              <w:rPr>
                <w:color w:val="000000"/>
                <w:szCs w:val="22"/>
              </w:rPr>
              <w:t>Sirds funkcijas traucējumi</w:t>
            </w:r>
          </w:p>
        </w:tc>
        <w:tc>
          <w:tcPr>
            <w:tcW w:w="1276" w:type="dxa"/>
            <w:vMerge w:val="restart"/>
            <w:noWrap/>
            <w:tcMar>
              <w:top w:w="23" w:type="dxa"/>
              <w:left w:w="23" w:type="dxa"/>
              <w:bottom w:w="23" w:type="dxa"/>
              <w:right w:w="23" w:type="dxa"/>
            </w:tcMar>
            <w:vAlign w:val="center"/>
          </w:tcPr>
          <w:p w14:paraId="719869F1" w14:textId="77777777" w:rsidR="00D14E21" w:rsidRPr="004E461A" w:rsidRDefault="00D14E21" w:rsidP="009C5A02">
            <w:pPr>
              <w:spacing w:line="240" w:lineRule="auto"/>
              <w:jc w:val="center"/>
              <w:rPr>
                <w:color w:val="000000"/>
                <w:szCs w:val="22"/>
              </w:rPr>
            </w:pPr>
            <w:r w:rsidRPr="004E461A">
              <w:rPr>
                <w:color w:val="000000"/>
                <w:szCs w:val="22"/>
              </w:rPr>
              <w:t>Bieži</w:t>
            </w:r>
          </w:p>
        </w:tc>
        <w:tc>
          <w:tcPr>
            <w:tcW w:w="5232" w:type="dxa"/>
            <w:noWrap/>
            <w:tcMar>
              <w:top w:w="23" w:type="dxa"/>
              <w:left w:w="23" w:type="dxa"/>
              <w:bottom w:w="23" w:type="dxa"/>
              <w:right w:w="23" w:type="dxa"/>
            </w:tcMar>
            <w:vAlign w:val="center"/>
          </w:tcPr>
          <w:p w14:paraId="7F253F27" w14:textId="77777777" w:rsidR="00D14E21" w:rsidRPr="004E461A" w:rsidRDefault="00D14E21" w:rsidP="009C5A02">
            <w:pPr>
              <w:spacing w:line="240" w:lineRule="auto"/>
              <w:rPr>
                <w:color w:val="000000"/>
                <w:szCs w:val="22"/>
              </w:rPr>
            </w:pPr>
            <w:r w:rsidRPr="004E461A">
              <w:rPr>
                <w:color w:val="000000"/>
                <w:szCs w:val="22"/>
              </w:rPr>
              <w:t>Bradikardija</w:t>
            </w:r>
          </w:p>
        </w:tc>
      </w:tr>
      <w:tr w:rsidR="00D14E21" w:rsidRPr="004E461A" w14:paraId="46CF19BE" w14:textId="77777777" w:rsidTr="00B47BC3">
        <w:trPr>
          <w:trHeight w:val="20"/>
        </w:trPr>
        <w:tc>
          <w:tcPr>
            <w:tcW w:w="2858" w:type="dxa"/>
            <w:vMerge/>
            <w:noWrap/>
            <w:tcMar>
              <w:top w:w="23" w:type="dxa"/>
              <w:left w:w="23" w:type="dxa"/>
              <w:bottom w:w="23" w:type="dxa"/>
              <w:right w:w="23" w:type="dxa"/>
            </w:tcMar>
            <w:vAlign w:val="center"/>
          </w:tcPr>
          <w:p w14:paraId="122C789B"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4F1B9166"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6FA5CDA5" w14:textId="77777777" w:rsidR="00D14E21" w:rsidRPr="004E461A" w:rsidRDefault="00D14E21" w:rsidP="009C5A02">
            <w:pPr>
              <w:spacing w:line="240" w:lineRule="auto"/>
              <w:rPr>
                <w:color w:val="000000"/>
                <w:szCs w:val="22"/>
              </w:rPr>
            </w:pPr>
            <w:r w:rsidRPr="004E461A">
              <w:rPr>
                <w:color w:val="000000"/>
                <w:szCs w:val="22"/>
              </w:rPr>
              <w:t>1. pakāpes AV blokāde (pagarināts PQ intervāls EKG)</w:t>
            </w:r>
          </w:p>
        </w:tc>
      </w:tr>
      <w:tr w:rsidR="00D14E21" w:rsidRPr="004E461A" w14:paraId="7533C0D0" w14:textId="77777777" w:rsidTr="00B47BC3">
        <w:trPr>
          <w:trHeight w:val="20"/>
        </w:trPr>
        <w:tc>
          <w:tcPr>
            <w:tcW w:w="2858" w:type="dxa"/>
            <w:vMerge/>
            <w:noWrap/>
            <w:tcMar>
              <w:top w:w="23" w:type="dxa"/>
              <w:left w:w="23" w:type="dxa"/>
              <w:bottom w:w="23" w:type="dxa"/>
              <w:right w:w="23" w:type="dxa"/>
            </w:tcMar>
            <w:vAlign w:val="center"/>
          </w:tcPr>
          <w:p w14:paraId="121B6FF5"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41A2CCFD"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1D9EEE96" w14:textId="77777777" w:rsidR="00D14E21" w:rsidRPr="004E461A" w:rsidRDefault="00D14E21" w:rsidP="009C5A02">
            <w:pPr>
              <w:spacing w:line="240" w:lineRule="auto"/>
              <w:rPr>
                <w:color w:val="000000"/>
                <w:szCs w:val="22"/>
              </w:rPr>
            </w:pPr>
            <w:proofErr w:type="spellStart"/>
            <w:r w:rsidRPr="004E461A">
              <w:rPr>
                <w:color w:val="000000"/>
                <w:szCs w:val="22"/>
              </w:rPr>
              <w:t>Ventrikulāras</w:t>
            </w:r>
            <w:proofErr w:type="spellEnd"/>
            <w:r w:rsidRPr="004E461A">
              <w:rPr>
                <w:color w:val="000000"/>
                <w:szCs w:val="22"/>
              </w:rPr>
              <w:t xml:space="preserve"> </w:t>
            </w:r>
            <w:proofErr w:type="spellStart"/>
            <w:r w:rsidRPr="004E461A">
              <w:rPr>
                <w:color w:val="000000"/>
                <w:szCs w:val="22"/>
              </w:rPr>
              <w:t>ekstrasistoles</w:t>
            </w:r>
            <w:proofErr w:type="spellEnd"/>
          </w:p>
        </w:tc>
      </w:tr>
      <w:tr w:rsidR="00D14E21" w:rsidRPr="004E461A" w14:paraId="37A0431F" w14:textId="77777777" w:rsidTr="00B47BC3">
        <w:trPr>
          <w:trHeight w:val="20"/>
        </w:trPr>
        <w:tc>
          <w:tcPr>
            <w:tcW w:w="2858" w:type="dxa"/>
            <w:vMerge/>
            <w:noWrap/>
            <w:tcMar>
              <w:top w:w="23" w:type="dxa"/>
              <w:left w:w="23" w:type="dxa"/>
              <w:bottom w:w="23" w:type="dxa"/>
              <w:right w:w="23" w:type="dxa"/>
            </w:tcMar>
            <w:vAlign w:val="center"/>
          </w:tcPr>
          <w:p w14:paraId="5D78E0F9"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015BA294"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3378AD61" w14:textId="77777777" w:rsidR="00D14E21" w:rsidRPr="004E461A" w:rsidRDefault="00D14E21" w:rsidP="009C5A02">
            <w:pPr>
              <w:spacing w:line="240" w:lineRule="auto"/>
              <w:rPr>
                <w:color w:val="000000"/>
                <w:szCs w:val="22"/>
              </w:rPr>
            </w:pPr>
            <w:r w:rsidRPr="004E461A">
              <w:rPr>
                <w:color w:val="000000"/>
                <w:szCs w:val="22"/>
              </w:rPr>
              <w:t xml:space="preserve">Priekškambaru </w:t>
            </w:r>
            <w:r w:rsidR="0088790A" w:rsidRPr="004E461A">
              <w:rPr>
                <w:color w:val="000000"/>
                <w:szCs w:val="22"/>
              </w:rPr>
              <w:t>fibrilācija</w:t>
            </w:r>
          </w:p>
        </w:tc>
      </w:tr>
      <w:tr w:rsidR="00D14E21" w:rsidRPr="004E461A" w14:paraId="60FF5DE4" w14:textId="77777777" w:rsidTr="00B47BC3">
        <w:trPr>
          <w:trHeight w:val="20"/>
        </w:trPr>
        <w:tc>
          <w:tcPr>
            <w:tcW w:w="2858" w:type="dxa"/>
            <w:vMerge/>
            <w:noWrap/>
            <w:tcMar>
              <w:top w:w="23" w:type="dxa"/>
              <w:left w:w="23" w:type="dxa"/>
              <w:bottom w:w="23" w:type="dxa"/>
              <w:right w:w="23" w:type="dxa"/>
            </w:tcMar>
            <w:vAlign w:val="center"/>
          </w:tcPr>
          <w:p w14:paraId="1A3BDC49" w14:textId="77777777" w:rsidR="00D14E21" w:rsidRPr="004E461A" w:rsidRDefault="00D14E21" w:rsidP="009C5A02">
            <w:pPr>
              <w:spacing w:line="240" w:lineRule="auto"/>
              <w:jc w:val="center"/>
              <w:rPr>
                <w:color w:val="000000"/>
                <w:szCs w:val="22"/>
              </w:rPr>
            </w:pPr>
          </w:p>
        </w:tc>
        <w:tc>
          <w:tcPr>
            <w:tcW w:w="1276" w:type="dxa"/>
            <w:noWrap/>
            <w:tcMar>
              <w:top w:w="23" w:type="dxa"/>
              <w:left w:w="23" w:type="dxa"/>
              <w:bottom w:w="23" w:type="dxa"/>
              <w:right w:w="23" w:type="dxa"/>
            </w:tcMar>
            <w:vAlign w:val="center"/>
          </w:tcPr>
          <w:p w14:paraId="057E9A6A"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64F68955" w14:textId="600CA1D9" w:rsidR="00D14E21" w:rsidRPr="004E461A" w:rsidRDefault="00D14E21" w:rsidP="009C5A02">
            <w:pPr>
              <w:spacing w:line="240" w:lineRule="auto"/>
              <w:rPr>
                <w:color w:val="000000"/>
                <w:szCs w:val="22"/>
              </w:rPr>
            </w:pPr>
            <w:r w:rsidRPr="004E461A">
              <w:rPr>
                <w:color w:val="000000"/>
                <w:szCs w:val="22"/>
              </w:rPr>
              <w:t xml:space="preserve">Sirdsklauves, </w:t>
            </w:r>
            <w:proofErr w:type="spellStart"/>
            <w:r w:rsidRPr="004E461A">
              <w:rPr>
                <w:color w:val="000000"/>
                <w:szCs w:val="22"/>
              </w:rPr>
              <w:t>supraventrikulāras</w:t>
            </w:r>
            <w:proofErr w:type="spellEnd"/>
            <w:r w:rsidRPr="004E461A">
              <w:rPr>
                <w:color w:val="000000"/>
                <w:szCs w:val="22"/>
              </w:rPr>
              <w:t xml:space="preserve"> </w:t>
            </w:r>
            <w:proofErr w:type="spellStart"/>
            <w:r w:rsidRPr="004E461A">
              <w:rPr>
                <w:color w:val="000000"/>
                <w:szCs w:val="22"/>
              </w:rPr>
              <w:t>ekstrasistoles</w:t>
            </w:r>
            <w:proofErr w:type="spellEnd"/>
            <w:r w:rsidR="003F6B24">
              <w:rPr>
                <w:color w:val="000000"/>
                <w:szCs w:val="22"/>
              </w:rPr>
              <w:t xml:space="preserve">, </w:t>
            </w:r>
            <w:r w:rsidR="003F6B24" w:rsidRPr="004E461A">
              <w:rPr>
                <w:color w:val="000000"/>
                <w:szCs w:val="22"/>
              </w:rPr>
              <w:t>pagarināts PQ intervāls EKG</w:t>
            </w:r>
          </w:p>
        </w:tc>
      </w:tr>
      <w:tr w:rsidR="00D14E21" w:rsidRPr="004E461A" w14:paraId="61ED9D9E" w14:textId="77777777" w:rsidTr="00B47BC3">
        <w:trPr>
          <w:trHeight w:val="20"/>
        </w:trPr>
        <w:tc>
          <w:tcPr>
            <w:tcW w:w="2858" w:type="dxa"/>
            <w:vMerge/>
            <w:noWrap/>
            <w:tcMar>
              <w:top w:w="23" w:type="dxa"/>
              <w:left w:w="23" w:type="dxa"/>
              <w:bottom w:w="23" w:type="dxa"/>
              <w:right w:w="23" w:type="dxa"/>
            </w:tcMar>
            <w:vAlign w:val="center"/>
          </w:tcPr>
          <w:p w14:paraId="3FC1CFC4" w14:textId="77777777" w:rsidR="00D14E21" w:rsidRPr="004E461A" w:rsidRDefault="00D14E21" w:rsidP="009C5A02">
            <w:pPr>
              <w:spacing w:line="240" w:lineRule="auto"/>
              <w:jc w:val="center"/>
              <w:rPr>
                <w:color w:val="000000"/>
                <w:szCs w:val="22"/>
              </w:rPr>
            </w:pPr>
          </w:p>
        </w:tc>
        <w:tc>
          <w:tcPr>
            <w:tcW w:w="1276" w:type="dxa"/>
            <w:vMerge w:val="restart"/>
            <w:noWrap/>
            <w:tcMar>
              <w:top w:w="23" w:type="dxa"/>
              <w:left w:w="23" w:type="dxa"/>
              <w:bottom w:w="23" w:type="dxa"/>
              <w:right w:w="23" w:type="dxa"/>
            </w:tcMar>
            <w:vAlign w:val="center"/>
          </w:tcPr>
          <w:p w14:paraId="094C672D" w14:textId="77777777" w:rsidR="00D14E21" w:rsidRPr="004E461A" w:rsidRDefault="00D14E21" w:rsidP="009C5A02">
            <w:pPr>
              <w:spacing w:line="240" w:lineRule="auto"/>
              <w:jc w:val="center"/>
              <w:rPr>
                <w:color w:val="000000"/>
                <w:szCs w:val="22"/>
              </w:rPr>
            </w:pPr>
            <w:r w:rsidRPr="004E461A">
              <w:rPr>
                <w:color w:val="000000"/>
                <w:szCs w:val="22"/>
              </w:rPr>
              <w:t>Ļoti reti</w:t>
            </w:r>
          </w:p>
        </w:tc>
        <w:tc>
          <w:tcPr>
            <w:tcW w:w="5232" w:type="dxa"/>
            <w:noWrap/>
            <w:tcMar>
              <w:top w:w="23" w:type="dxa"/>
              <w:left w:w="23" w:type="dxa"/>
              <w:bottom w:w="23" w:type="dxa"/>
              <w:right w:w="23" w:type="dxa"/>
            </w:tcMar>
            <w:vAlign w:val="center"/>
          </w:tcPr>
          <w:p w14:paraId="531EDC13" w14:textId="77777777" w:rsidR="00D14E21" w:rsidRPr="004E461A" w:rsidRDefault="00D14E21" w:rsidP="009C5A02">
            <w:pPr>
              <w:spacing w:line="240" w:lineRule="auto"/>
              <w:rPr>
                <w:color w:val="000000"/>
                <w:szCs w:val="22"/>
              </w:rPr>
            </w:pPr>
            <w:r w:rsidRPr="004E461A">
              <w:rPr>
                <w:color w:val="000000"/>
                <w:szCs w:val="22"/>
              </w:rPr>
              <w:t>2. pakāpes AV blokāde, 3. pakāpes AV blokāde</w:t>
            </w:r>
          </w:p>
        </w:tc>
      </w:tr>
      <w:tr w:rsidR="00D14E21" w:rsidRPr="004E461A" w14:paraId="518A7B05" w14:textId="77777777" w:rsidTr="00B47BC3">
        <w:trPr>
          <w:trHeight w:val="20"/>
        </w:trPr>
        <w:tc>
          <w:tcPr>
            <w:tcW w:w="2858" w:type="dxa"/>
            <w:vMerge/>
            <w:noWrap/>
            <w:tcMar>
              <w:top w:w="23" w:type="dxa"/>
              <w:left w:w="23" w:type="dxa"/>
              <w:bottom w:w="23" w:type="dxa"/>
              <w:right w:w="23" w:type="dxa"/>
            </w:tcMar>
            <w:vAlign w:val="center"/>
          </w:tcPr>
          <w:p w14:paraId="73C492A2"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573A41B1"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70F7126B" w14:textId="77777777" w:rsidR="00D14E21" w:rsidRPr="004E461A" w:rsidRDefault="00D14E21" w:rsidP="009C5A02">
            <w:pPr>
              <w:spacing w:line="240" w:lineRule="auto"/>
              <w:rPr>
                <w:color w:val="000000"/>
                <w:szCs w:val="22"/>
              </w:rPr>
            </w:pPr>
            <w:r w:rsidRPr="004E461A">
              <w:rPr>
                <w:color w:val="000000"/>
                <w:szCs w:val="22"/>
              </w:rPr>
              <w:t>Sinusa mezgla vājuma sindroms</w:t>
            </w:r>
          </w:p>
        </w:tc>
      </w:tr>
      <w:tr w:rsidR="00D14E21" w:rsidRPr="004E461A" w14:paraId="5E6D993E" w14:textId="77777777" w:rsidTr="00B47BC3">
        <w:trPr>
          <w:trHeight w:val="20"/>
        </w:trPr>
        <w:tc>
          <w:tcPr>
            <w:tcW w:w="2858" w:type="dxa"/>
            <w:vMerge w:val="restart"/>
            <w:noWrap/>
            <w:tcMar>
              <w:top w:w="23" w:type="dxa"/>
              <w:left w:w="23" w:type="dxa"/>
              <w:bottom w:w="23" w:type="dxa"/>
              <w:right w:w="23" w:type="dxa"/>
            </w:tcMar>
            <w:vAlign w:val="center"/>
          </w:tcPr>
          <w:p w14:paraId="489E5B3D" w14:textId="77777777" w:rsidR="00D14E21" w:rsidRPr="004E461A" w:rsidRDefault="00D14E21" w:rsidP="009C5A02">
            <w:pPr>
              <w:spacing w:line="240" w:lineRule="auto"/>
              <w:jc w:val="center"/>
              <w:rPr>
                <w:color w:val="000000"/>
                <w:szCs w:val="22"/>
              </w:rPr>
            </w:pPr>
            <w:r w:rsidRPr="004E461A">
              <w:rPr>
                <w:color w:val="000000"/>
                <w:szCs w:val="22"/>
              </w:rPr>
              <w:t>Asinsvadu sistēmas traucējumi</w:t>
            </w:r>
          </w:p>
        </w:tc>
        <w:tc>
          <w:tcPr>
            <w:tcW w:w="1276" w:type="dxa"/>
            <w:noWrap/>
            <w:tcMar>
              <w:top w:w="23" w:type="dxa"/>
              <w:left w:w="23" w:type="dxa"/>
              <w:bottom w:w="23" w:type="dxa"/>
              <w:right w:w="23" w:type="dxa"/>
            </w:tcMar>
            <w:vAlign w:val="center"/>
          </w:tcPr>
          <w:p w14:paraId="7E1F06A0" w14:textId="77777777" w:rsidR="00D14E21" w:rsidRPr="004E461A" w:rsidRDefault="00D14E21" w:rsidP="009C5A02">
            <w:pPr>
              <w:spacing w:line="240" w:lineRule="auto"/>
              <w:jc w:val="center"/>
              <w:rPr>
                <w:color w:val="000000"/>
                <w:szCs w:val="22"/>
              </w:rPr>
            </w:pPr>
            <w:r w:rsidRPr="004E461A">
              <w:rPr>
                <w:color w:val="000000"/>
                <w:szCs w:val="22"/>
              </w:rPr>
              <w:t>Bieži</w:t>
            </w:r>
          </w:p>
        </w:tc>
        <w:tc>
          <w:tcPr>
            <w:tcW w:w="5232" w:type="dxa"/>
            <w:noWrap/>
            <w:tcMar>
              <w:top w:w="23" w:type="dxa"/>
              <w:left w:w="23" w:type="dxa"/>
              <w:bottom w:w="23" w:type="dxa"/>
              <w:right w:w="23" w:type="dxa"/>
            </w:tcMar>
            <w:vAlign w:val="center"/>
          </w:tcPr>
          <w:p w14:paraId="074E35AB" w14:textId="77777777" w:rsidR="00D14E21" w:rsidRPr="004E461A" w:rsidRDefault="00D14E21" w:rsidP="009C5A02">
            <w:pPr>
              <w:spacing w:line="240" w:lineRule="auto"/>
              <w:rPr>
                <w:color w:val="000000"/>
                <w:szCs w:val="22"/>
              </w:rPr>
            </w:pPr>
            <w:r w:rsidRPr="004E461A">
              <w:rPr>
                <w:color w:val="000000"/>
                <w:szCs w:val="22"/>
              </w:rPr>
              <w:t>Nekontrolēts asinsspiediens</w:t>
            </w:r>
          </w:p>
        </w:tc>
      </w:tr>
      <w:tr w:rsidR="00D14E21" w:rsidRPr="004E461A" w14:paraId="212857A3" w14:textId="77777777" w:rsidTr="00B47BC3">
        <w:trPr>
          <w:trHeight w:val="20"/>
        </w:trPr>
        <w:tc>
          <w:tcPr>
            <w:tcW w:w="2858" w:type="dxa"/>
            <w:vMerge/>
            <w:noWrap/>
            <w:tcMar>
              <w:top w:w="23" w:type="dxa"/>
              <w:left w:w="23" w:type="dxa"/>
              <w:bottom w:w="23" w:type="dxa"/>
              <w:right w:w="23" w:type="dxa"/>
            </w:tcMar>
            <w:vAlign w:val="center"/>
          </w:tcPr>
          <w:p w14:paraId="2D9CBB3D" w14:textId="77777777" w:rsidR="00D14E21" w:rsidRPr="004E461A" w:rsidRDefault="00D14E21" w:rsidP="009C5A02">
            <w:pPr>
              <w:spacing w:line="240" w:lineRule="auto"/>
              <w:jc w:val="center"/>
              <w:rPr>
                <w:color w:val="000000"/>
                <w:szCs w:val="22"/>
              </w:rPr>
            </w:pPr>
          </w:p>
        </w:tc>
        <w:tc>
          <w:tcPr>
            <w:tcW w:w="1276" w:type="dxa"/>
            <w:noWrap/>
            <w:tcMar>
              <w:top w:w="23" w:type="dxa"/>
              <w:left w:w="23" w:type="dxa"/>
              <w:bottom w:w="23" w:type="dxa"/>
              <w:right w:w="23" w:type="dxa"/>
            </w:tcMar>
            <w:vAlign w:val="center"/>
          </w:tcPr>
          <w:p w14:paraId="70C7D339"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3CFF1729" w14:textId="77777777" w:rsidR="00D14E21" w:rsidRPr="004E461A" w:rsidRDefault="00D14E21" w:rsidP="009C5A02">
            <w:pPr>
              <w:spacing w:line="240" w:lineRule="auto"/>
              <w:rPr>
                <w:color w:val="000000"/>
                <w:szCs w:val="22"/>
              </w:rPr>
            </w:pPr>
            <w:r w:rsidRPr="004E461A">
              <w:rPr>
                <w:color w:val="000000"/>
                <w:szCs w:val="22"/>
              </w:rPr>
              <w:t>Hipotensija, iespējams, saistīta ar bradikardiju</w:t>
            </w:r>
          </w:p>
        </w:tc>
      </w:tr>
      <w:tr w:rsidR="00D14E21" w:rsidRPr="004E461A" w14:paraId="6A48A6D9" w14:textId="77777777" w:rsidTr="00B47BC3">
        <w:trPr>
          <w:trHeight w:val="20"/>
        </w:trPr>
        <w:tc>
          <w:tcPr>
            <w:tcW w:w="2858" w:type="dxa"/>
            <w:noWrap/>
            <w:tcMar>
              <w:top w:w="23" w:type="dxa"/>
              <w:left w:w="23" w:type="dxa"/>
              <w:bottom w:w="23" w:type="dxa"/>
              <w:right w:w="23" w:type="dxa"/>
            </w:tcMar>
            <w:vAlign w:val="center"/>
          </w:tcPr>
          <w:p w14:paraId="23B6D698" w14:textId="77777777" w:rsidR="00D14E21" w:rsidRPr="004E461A" w:rsidRDefault="00D14E21" w:rsidP="009C5A02">
            <w:pPr>
              <w:spacing w:line="240" w:lineRule="auto"/>
              <w:jc w:val="center"/>
              <w:rPr>
                <w:color w:val="000000"/>
                <w:szCs w:val="22"/>
              </w:rPr>
            </w:pPr>
            <w:r w:rsidRPr="004E461A">
              <w:rPr>
                <w:color w:val="000000"/>
                <w:szCs w:val="22"/>
              </w:rPr>
              <w:t>Elpošanas sistēmas traucējumi, krūšu kurvja un videnes slimības</w:t>
            </w:r>
          </w:p>
        </w:tc>
        <w:tc>
          <w:tcPr>
            <w:tcW w:w="1276" w:type="dxa"/>
            <w:noWrap/>
            <w:tcMar>
              <w:top w:w="23" w:type="dxa"/>
              <w:left w:w="23" w:type="dxa"/>
              <w:bottom w:w="23" w:type="dxa"/>
              <w:right w:w="23" w:type="dxa"/>
            </w:tcMar>
            <w:vAlign w:val="center"/>
          </w:tcPr>
          <w:p w14:paraId="3853388C"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6BAD1698" w14:textId="77777777" w:rsidR="00D14E21" w:rsidRPr="004E461A" w:rsidRDefault="00D14E21" w:rsidP="009C5A02">
            <w:pPr>
              <w:spacing w:line="240" w:lineRule="auto"/>
              <w:rPr>
                <w:color w:val="000000"/>
                <w:szCs w:val="22"/>
              </w:rPr>
            </w:pPr>
            <w:r w:rsidRPr="004E461A">
              <w:rPr>
                <w:color w:val="000000"/>
                <w:szCs w:val="22"/>
              </w:rPr>
              <w:t>Elpas trūkums</w:t>
            </w:r>
          </w:p>
        </w:tc>
      </w:tr>
      <w:tr w:rsidR="00D14E21" w:rsidRPr="004E461A" w14:paraId="23A10FE9" w14:textId="77777777" w:rsidTr="00B47BC3">
        <w:trPr>
          <w:trHeight w:val="20"/>
        </w:trPr>
        <w:tc>
          <w:tcPr>
            <w:tcW w:w="2858" w:type="dxa"/>
            <w:vMerge w:val="restart"/>
            <w:noWrap/>
            <w:tcMar>
              <w:top w:w="23" w:type="dxa"/>
              <w:left w:w="23" w:type="dxa"/>
              <w:bottom w:w="23" w:type="dxa"/>
              <w:right w:w="23" w:type="dxa"/>
            </w:tcMar>
            <w:vAlign w:val="center"/>
          </w:tcPr>
          <w:p w14:paraId="0035C6C0" w14:textId="77777777" w:rsidR="00D14E21" w:rsidRPr="004E461A" w:rsidRDefault="00D14E21" w:rsidP="009C5A02">
            <w:pPr>
              <w:spacing w:line="240" w:lineRule="auto"/>
              <w:jc w:val="center"/>
              <w:rPr>
                <w:color w:val="000000"/>
                <w:szCs w:val="22"/>
              </w:rPr>
            </w:pPr>
            <w:r w:rsidRPr="004E461A">
              <w:rPr>
                <w:color w:val="000000"/>
                <w:szCs w:val="22"/>
              </w:rPr>
              <w:t>Kuņģa-zarnu trakta traucējumi</w:t>
            </w:r>
          </w:p>
        </w:tc>
        <w:tc>
          <w:tcPr>
            <w:tcW w:w="1276" w:type="dxa"/>
            <w:vMerge w:val="restart"/>
            <w:noWrap/>
            <w:tcMar>
              <w:top w:w="23" w:type="dxa"/>
              <w:left w:w="23" w:type="dxa"/>
              <w:bottom w:w="23" w:type="dxa"/>
              <w:right w:w="23" w:type="dxa"/>
            </w:tcMar>
            <w:vAlign w:val="center"/>
          </w:tcPr>
          <w:p w14:paraId="2A166727"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38800DE0" w14:textId="77777777" w:rsidR="00D14E21" w:rsidRPr="004E461A" w:rsidRDefault="00D14E21" w:rsidP="009C5A02">
            <w:pPr>
              <w:spacing w:line="240" w:lineRule="auto"/>
              <w:rPr>
                <w:color w:val="000000"/>
                <w:szCs w:val="22"/>
              </w:rPr>
            </w:pPr>
            <w:r w:rsidRPr="004E461A">
              <w:rPr>
                <w:color w:val="000000"/>
                <w:szCs w:val="22"/>
              </w:rPr>
              <w:t>Slikta dūša</w:t>
            </w:r>
          </w:p>
        </w:tc>
      </w:tr>
      <w:tr w:rsidR="00D14E21" w:rsidRPr="004E461A" w14:paraId="5296C358" w14:textId="77777777" w:rsidTr="00B47BC3">
        <w:trPr>
          <w:trHeight w:val="20"/>
        </w:trPr>
        <w:tc>
          <w:tcPr>
            <w:tcW w:w="2858" w:type="dxa"/>
            <w:vMerge/>
            <w:noWrap/>
            <w:tcMar>
              <w:top w:w="23" w:type="dxa"/>
              <w:left w:w="23" w:type="dxa"/>
              <w:bottom w:w="23" w:type="dxa"/>
              <w:right w:w="23" w:type="dxa"/>
            </w:tcMar>
            <w:vAlign w:val="center"/>
          </w:tcPr>
          <w:p w14:paraId="74EC26B2"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22957EB1"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5C2A01E0" w14:textId="77777777" w:rsidR="00D14E21" w:rsidRPr="004E461A" w:rsidRDefault="00D14E21" w:rsidP="009C5A02">
            <w:pPr>
              <w:spacing w:line="240" w:lineRule="auto"/>
              <w:rPr>
                <w:color w:val="000000"/>
                <w:szCs w:val="22"/>
              </w:rPr>
            </w:pPr>
            <w:r w:rsidRPr="004E461A">
              <w:rPr>
                <w:color w:val="000000"/>
                <w:szCs w:val="22"/>
              </w:rPr>
              <w:t>Aizcietējums</w:t>
            </w:r>
          </w:p>
        </w:tc>
      </w:tr>
      <w:tr w:rsidR="00D14E21" w:rsidRPr="004E461A" w14:paraId="538535B1" w14:textId="77777777" w:rsidTr="00B47BC3">
        <w:trPr>
          <w:trHeight w:val="20"/>
        </w:trPr>
        <w:tc>
          <w:tcPr>
            <w:tcW w:w="2858" w:type="dxa"/>
            <w:vMerge/>
            <w:noWrap/>
            <w:tcMar>
              <w:top w:w="23" w:type="dxa"/>
              <w:left w:w="23" w:type="dxa"/>
              <w:bottom w:w="23" w:type="dxa"/>
              <w:right w:w="23" w:type="dxa"/>
            </w:tcMar>
            <w:vAlign w:val="center"/>
          </w:tcPr>
          <w:p w14:paraId="7CD0E00E"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74307829"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027EBF80" w14:textId="77777777" w:rsidR="00D14E21" w:rsidRPr="004E461A" w:rsidRDefault="00D14E21" w:rsidP="009C5A02">
            <w:pPr>
              <w:spacing w:line="240" w:lineRule="auto"/>
              <w:rPr>
                <w:color w:val="000000"/>
                <w:szCs w:val="22"/>
              </w:rPr>
            </w:pPr>
            <w:r w:rsidRPr="004E461A">
              <w:rPr>
                <w:color w:val="000000"/>
                <w:szCs w:val="22"/>
              </w:rPr>
              <w:t>Caureja</w:t>
            </w:r>
          </w:p>
        </w:tc>
      </w:tr>
      <w:tr w:rsidR="00D14E21" w:rsidRPr="004E461A" w14:paraId="716791F5" w14:textId="77777777" w:rsidTr="00B47BC3">
        <w:trPr>
          <w:trHeight w:val="20"/>
        </w:trPr>
        <w:tc>
          <w:tcPr>
            <w:tcW w:w="2858" w:type="dxa"/>
            <w:vMerge/>
            <w:noWrap/>
            <w:tcMar>
              <w:top w:w="23" w:type="dxa"/>
              <w:left w:w="23" w:type="dxa"/>
              <w:bottom w:w="23" w:type="dxa"/>
              <w:right w:w="23" w:type="dxa"/>
            </w:tcMar>
            <w:vAlign w:val="center"/>
          </w:tcPr>
          <w:p w14:paraId="386996E1"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45CDFC78"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0A5B736B" w14:textId="77777777" w:rsidR="00D14E21" w:rsidRPr="004E461A" w:rsidRDefault="00D14E21" w:rsidP="009C5A02">
            <w:pPr>
              <w:spacing w:line="240" w:lineRule="auto"/>
              <w:rPr>
                <w:color w:val="000000"/>
                <w:szCs w:val="22"/>
              </w:rPr>
            </w:pPr>
            <w:r w:rsidRPr="004E461A">
              <w:rPr>
                <w:color w:val="000000"/>
                <w:szCs w:val="22"/>
              </w:rPr>
              <w:t>Sāpes vēderā*</w:t>
            </w:r>
          </w:p>
        </w:tc>
      </w:tr>
      <w:tr w:rsidR="00D14E21" w:rsidRPr="004E461A" w14:paraId="4619D034" w14:textId="77777777" w:rsidTr="00B47BC3">
        <w:trPr>
          <w:trHeight w:val="20"/>
        </w:trPr>
        <w:tc>
          <w:tcPr>
            <w:tcW w:w="2858" w:type="dxa"/>
            <w:vMerge w:val="restart"/>
            <w:noWrap/>
            <w:tcMar>
              <w:top w:w="23" w:type="dxa"/>
              <w:left w:w="23" w:type="dxa"/>
              <w:bottom w:w="23" w:type="dxa"/>
              <w:right w:w="23" w:type="dxa"/>
            </w:tcMar>
            <w:vAlign w:val="center"/>
          </w:tcPr>
          <w:p w14:paraId="2D5745C9" w14:textId="77777777" w:rsidR="00D14E21" w:rsidRPr="004E461A" w:rsidRDefault="00D14E21" w:rsidP="009C5A02">
            <w:pPr>
              <w:spacing w:line="240" w:lineRule="auto"/>
              <w:jc w:val="center"/>
              <w:rPr>
                <w:color w:val="000000"/>
                <w:szCs w:val="22"/>
              </w:rPr>
            </w:pPr>
            <w:r w:rsidRPr="004E461A">
              <w:rPr>
                <w:color w:val="000000"/>
                <w:szCs w:val="22"/>
              </w:rPr>
              <w:t>Ādas un zemādas audu bojājumi</w:t>
            </w:r>
          </w:p>
        </w:tc>
        <w:tc>
          <w:tcPr>
            <w:tcW w:w="1276" w:type="dxa"/>
            <w:vMerge w:val="restart"/>
            <w:noWrap/>
            <w:tcMar>
              <w:top w:w="23" w:type="dxa"/>
              <w:left w:w="23" w:type="dxa"/>
              <w:bottom w:w="23" w:type="dxa"/>
              <w:right w:w="23" w:type="dxa"/>
            </w:tcMar>
            <w:vAlign w:val="center"/>
          </w:tcPr>
          <w:p w14:paraId="081D0B83"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5D4F4BBF" w14:textId="77777777" w:rsidR="00D14E21" w:rsidRPr="004E461A" w:rsidRDefault="00D14E21" w:rsidP="009C5A02">
            <w:pPr>
              <w:spacing w:line="240" w:lineRule="auto"/>
              <w:rPr>
                <w:color w:val="000000"/>
                <w:szCs w:val="22"/>
              </w:rPr>
            </w:pPr>
            <w:r w:rsidRPr="004E461A">
              <w:rPr>
                <w:color w:val="000000"/>
                <w:szCs w:val="22"/>
              </w:rPr>
              <w:t>Angioedēma</w:t>
            </w:r>
          </w:p>
        </w:tc>
      </w:tr>
      <w:tr w:rsidR="00D14E21" w:rsidRPr="004E461A" w14:paraId="11C04222" w14:textId="77777777" w:rsidTr="00B47BC3">
        <w:trPr>
          <w:trHeight w:val="20"/>
        </w:trPr>
        <w:tc>
          <w:tcPr>
            <w:tcW w:w="2858" w:type="dxa"/>
            <w:vMerge/>
            <w:noWrap/>
            <w:tcMar>
              <w:top w:w="23" w:type="dxa"/>
              <w:left w:w="23" w:type="dxa"/>
              <w:bottom w:w="23" w:type="dxa"/>
              <w:right w:w="23" w:type="dxa"/>
            </w:tcMar>
            <w:vAlign w:val="center"/>
          </w:tcPr>
          <w:p w14:paraId="6755315B"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4A53616D"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7BCD659D" w14:textId="77777777" w:rsidR="00D14E21" w:rsidRPr="004E461A" w:rsidRDefault="00D14E21" w:rsidP="009C5A02">
            <w:pPr>
              <w:spacing w:line="240" w:lineRule="auto"/>
              <w:rPr>
                <w:color w:val="000000"/>
                <w:szCs w:val="22"/>
              </w:rPr>
            </w:pPr>
            <w:r w:rsidRPr="004E461A">
              <w:rPr>
                <w:color w:val="000000"/>
                <w:szCs w:val="22"/>
              </w:rPr>
              <w:t>Izsitumi</w:t>
            </w:r>
          </w:p>
        </w:tc>
      </w:tr>
      <w:tr w:rsidR="00D14E21" w:rsidRPr="004E461A" w14:paraId="413E2069" w14:textId="77777777" w:rsidTr="00B47BC3">
        <w:trPr>
          <w:trHeight w:val="20"/>
        </w:trPr>
        <w:tc>
          <w:tcPr>
            <w:tcW w:w="2858" w:type="dxa"/>
            <w:vMerge/>
            <w:noWrap/>
            <w:tcMar>
              <w:top w:w="23" w:type="dxa"/>
              <w:left w:w="23" w:type="dxa"/>
              <w:bottom w:w="23" w:type="dxa"/>
              <w:right w:w="23" w:type="dxa"/>
            </w:tcMar>
            <w:vAlign w:val="center"/>
          </w:tcPr>
          <w:p w14:paraId="17B5BCD7" w14:textId="77777777" w:rsidR="00D14E21" w:rsidRPr="004E461A" w:rsidRDefault="00D14E21" w:rsidP="009C5A02">
            <w:pPr>
              <w:spacing w:line="240" w:lineRule="auto"/>
              <w:jc w:val="center"/>
              <w:rPr>
                <w:color w:val="000000"/>
                <w:szCs w:val="22"/>
              </w:rPr>
            </w:pPr>
          </w:p>
        </w:tc>
        <w:tc>
          <w:tcPr>
            <w:tcW w:w="1276" w:type="dxa"/>
            <w:vMerge w:val="restart"/>
            <w:noWrap/>
            <w:tcMar>
              <w:top w:w="23" w:type="dxa"/>
              <w:left w:w="23" w:type="dxa"/>
              <w:bottom w:w="23" w:type="dxa"/>
              <w:right w:w="23" w:type="dxa"/>
            </w:tcMar>
            <w:vAlign w:val="center"/>
          </w:tcPr>
          <w:p w14:paraId="321A3735" w14:textId="77777777" w:rsidR="00D14E21" w:rsidRPr="004E461A" w:rsidRDefault="00D14E21" w:rsidP="009C5A02">
            <w:pPr>
              <w:spacing w:line="240" w:lineRule="auto"/>
              <w:jc w:val="center"/>
              <w:rPr>
                <w:color w:val="000000"/>
                <w:szCs w:val="22"/>
              </w:rPr>
            </w:pPr>
            <w:r w:rsidRPr="004E461A">
              <w:rPr>
                <w:color w:val="000000"/>
                <w:szCs w:val="22"/>
              </w:rPr>
              <w:t>Reti*</w:t>
            </w:r>
          </w:p>
        </w:tc>
        <w:tc>
          <w:tcPr>
            <w:tcW w:w="5232" w:type="dxa"/>
            <w:noWrap/>
            <w:tcMar>
              <w:top w:w="23" w:type="dxa"/>
              <w:left w:w="23" w:type="dxa"/>
              <w:bottom w:w="23" w:type="dxa"/>
              <w:right w:w="23" w:type="dxa"/>
            </w:tcMar>
            <w:vAlign w:val="center"/>
          </w:tcPr>
          <w:p w14:paraId="32C4C173" w14:textId="77777777" w:rsidR="00D14E21" w:rsidRPr="004E461A" w:rsidRDefault="00D14E21" w:rsidP="009C5A02">
            <w:pPr>
              <w:spacing w:line="240" w:lineRule="auto"/>
              <w:rPr>
                <w:color w:val="000000"/>
                <w:szCs w:val="22"/>
              </w:rPr>
            </w:pPr>
            <w:r w:rsidRPr="004E461A">
              <w:rPr>
                <w:color w:val="000000"/>
                <w:szCs w:val="22"/>
              </w:rPr>
              <w:t>Eritēma</w:t>
            </w:r>
          </w:p>
        </w:tc>
      </w:tr>
      <w:tr w:rsidR="00D14E21" w:rsidRPr="004E461A" w14:paraId="128CC507" w14:textId="77777777" w:rsidTr="00B47BC3">
        <w:trPr>
          <w:trHeight w:val="20"/>
        </w:trPr>
        <w:tc>
          <w:tcPr>
            <w:tcW w:w="2858" w:type="dxa"/>
            <w:vMerge/>
            <w:noWrap/>
            <w:tcMar>
              <w:top w:w="23" w:type="dxa"/>
              <w:left w:w="23" w:type="dxa"/>
              <w:bottom w:w="23" w:type="dxa"/>
              <w:right w:w="23" w:type="dxa"/>
            </w:tcMar>
            <w:vAlign w:val="center"/>
          </w:tcPr>
          <w:p w14:paraId="076E2880"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28146D80"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32B9876A" w14:textId="77777777" w:rsidR="00D14E21" w:rsidRPr="004E461A" w:rsidRDefault="00D14E21" w:rsidP="009C5A02">
            <w:pPr>
              <w:spacing w:line="240" w:lineRule="auto"/>
              <w:rPr>
                <w:color w:val="000000"/>
                <w:szCs w:val="22"/>
              </w:rPr>
            </w:pPr>
            <w:r w:rsidRPr="004E461A">
              <w:rPr>
                <w:color w:val="000000"/>
                <w:szCs w:val="22"/>
              </w:rPr>
              <w:t>Nieze</w:t>
            </w:r>
          </w:p>
        </w:tc>
      </w:tr>
      <w:tr w:rsidR="00D14E21" w:rsidRPr="004E461A" w14:paraId="0B9DC8FF" w14:textId="77777777" w:rsidTr="00B47BC3">
        <w:trPr>
          <w:trHeight w:val="20"/>
        </w:trPr>
        <w:tc>
          <w:tcPr>
            <w:tcW w:w="2858" w:type="dxa"/>
            <w:vMerge/>
            <w:noWrap/>
            <w:tcMar>
              <w:top w:w="23" w:type="dxa"/>
              <w:left w:w="23" w:type="dxa"/>
              <w:bottom w:w="23" w:type="dxa"/>
              <w:right w:w="23" w:type="dxa"/>
            </w:tcMar>
            <w:vAlign w:val="center"/>
          </w:tcPr>
          <w:p w14:paraId="3D6F5703" w14:textId="77777777" w:rsidR="00D14E21" w:rsidRPr="004E461A" w:rsidRDefault="00D14E21"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7369F424" w14:textId="77777777" w:rsidR="00D14E21" w:rsidRPr="004E461A" w:rsidRDefault="00D14E21"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42C7F20E" w14:textId="77777777" w:rsidR="00D14E21" w:rsidRPr="004E461A" w:rsidRDefault="00D14E21" w:rsidP="009C5A02">
            <w:pPr>
              <w:spacing w:line="240" w:lineRule="auto"/>
              <w:rPr>
                <w:color w:val="000000"/>
                <w:szCs w:val="22"/>
              </w:rPr>
            </w:pPr>
            <w:r w:rsidRPr="004E461A">
              <w:rPr>
                <w:color w:val="000000"/>
                <w:szCs w:val="22"/>
              </w:rPr>
              <w:t>Nātrene</w:t>
            </w:r>
          </w:p>
        </w:tc>
      </w:tr>
      <w:tr w:rsidR="00D14E21" w:rsidRPr="004E461A" w14:paraId="09193F09" w14:textId="77777777" w:rsidTr="00B47BC3">
        <w:trPr>
          <w:trHeight w:val="20"/>
        </w:trPr>
        <w:tc>
          <w:tcPr>
            <w:tcW w:w="2858" w:type="dxa"/>
            <w:noWrap/>
            <w:tcMar>
              <w:top w:w="23" w:type="dxa"/>
              <w:left w:w="23" w:type="dxa"/>
              <w:bottom w:w="23" w:type="dxa"/>
              <w:right w:w="23" w:type="dxa"/>
            </w:tcMar>
            <w:vAlign w:val="center"/>
          </w:tcPr>
          <w:p w14:paraId="3F34A42C" w14:textId="77777777" w:rsidR="00D14E21" w:rsidRPr="004E461A" w:rsidRDefault="00D14E21" w:rsidP="009C5A02">
            <w:pPr>
              <w:spacing w:line="240" w:lineRule="auto"/>
              <w:jc w:val="center"/>
              <w:rPr>
                <w:color w:val="000000"/>
                <w:szCs w:val="22"/>
              </w:rPr>
            </w:pPr>
            <w:r w:rsidRPr="004E461A">
              <w:rPr>
                <w:color w:val="000000"/>
                <w:szCs w:val="22"/>
              </w:rPr>
              <w:t>Skeleta-muskuļu un saistaudu sistēmas bojājumi</w:t>
            </w:r>
          </w:p>
        </w:tc>
        <w:tc>
          <w:tcPr>
            <w:tcW w:w="1276" w:type="dxa"/>
            <w:noWrap/>
            <w:tcMar>
              <w:top w:w="23" w:type="dxa"/>
              <w:left w:w="23" w:type="dxa"/>
              <w:bottom w:w="23" w:type="dxa"/>
              <w:right w:w="23" w:type="dxa"/>
            </w:tcMar>
            <w:vAlign w:val="center"/>
          </w:tcPr>
          <w:p w14:paraId="618AF50A" w14:textId="77777777" w:rsidR="00D14E21" w:rsidRPr="004E461A" w:rsidRDefault="00D14E21"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2AE75E4B" w14:textId="307E4720" w:rsidR="00D14E21" w:rsidRPr="004E461A" w:rsidRDefault="00D14E21" w:rsidP="009C5A02">
            <w:pPr>
              <w:spacing w:line="240" w:lineRule="auto"/>
              <w:rPr>
                <w:color w:val="000000"/>
                <w:szCs w:val="22"/>
              </w:rPr>
            </w:pPr>
            <w:r w:rsidRPr="004E461A">
              <w:rPr>
                <w:color w:val="000000"/>
                <w:szCs w:val="22"/>
              </w:rPr>
              <w:t xml:space="preserve">Muskuļu </w:t>
            </w:r>
            <w:r w:rsidR="003F6B24">
              <w:rPr>
                <w:color w:val="000000"/>
                <w:szCs w:val="22"/>
              </w:rPr>
              <w:t>spazmas</w:t>
            </w:r>
          </w:p>
        </w:tc>
      </w:tr>
      <w:tr w:rsidR="003F6B24" w:rsidRPr="004E461A" w14:paraId="5AF808ED" w14:textId="77777777" w:rsidTr="00B47BC3">
        <w:trPr>
          <w:trHeight w:val="20"/>
        </w:trPr>
        <w:tc>
          <w:tcPr>
            <w:tcW w:w="2858" w:type="dxa"/>
            <w:noWrap/>
            <w:tcMar>
              <w:top w:w="23" w:type="dxa"/>
              <w:left w:w="23" w:type="dxa"/>
              <w:bottom w:w="23" w:type="dxa"/>
              <w:right w:w="23" w:type="dxa"/>
            </w:tcMar>
            <w:vAlign w:val="center"/>
          </w:tcPr>
          <w:p w14:paraId="05ED2B8F" w14:textId="5DE11E70" w:rsidR="003F6B24" w:rsidRPr="004E461A" w:rsidRDefault="003F6B24" w:rsidP="001221BC">
            <w:pPr>
              <w:spacing w:line="240" w:lineRule="auto"/>
              <w:jc w:val="center"/>
              <w:rPr>
                <w:color w:val="000000"/>
                <w:szCs w:val="22"/>
              </w:rPr>
            </w:pPr>
            <w:r w:rsidRPr="003F6B24">
              <w:rPr>
                <w:color w:val="000000"/>
                <w:szCs w:val="22"/>
              </w:rPr>
              <w:lastRenderedPageBreak/>
              <w:t>Nieru un urīnizvades sistēmas traucējumi</w:t>
            </w:r>
          </w:p>
        </w:tc>
        <w:tc>
          <w:tcPr>
            <w:tcW w:w="1276" w:type="dxa"/>
            <w:noWrap/>
            <w:tcMar>
              <w:top w:w="23" w:type="dxa"/>
              <w:left w:w="23" w:type="dxa"/>
              <w:bottom w:w="23" w:type="dxa"/>
              <w:right w:w="23" w:type="dxa"/>
            </w:tcMar>
            <w:vAlign w:val="center"/>
          </w:tcPr>
          <w:p w14:paraId="76ACD2B4" w14:textId="77777777" w:rsidR="003F6B24" w:rsidRPr="004E461A" w:rsidRDefault="003F6B24" w:rsidP="001221BC">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5F1C47B6" w14:textId="09AF9F64" w:rsidR="003F6B24" w:rsidRPr="004E461A" w:rsidRDefault="003F6B24" w:rsidP="001221BC">
            <w:pPr>
              <w:spacing w:line="240" w:lineRule="auto"/>
              <w:rPr>
                <w:color w:val="000000"/>
                <w:szCs w:val="22"/>
              </w:rPr>
            </w:pPr>
            <w:r w:rsidRPr="003F6B24">
              <w:rPr>
                <w:color w:val="000000"/>
                <w:szCs w:val="22"/>
              </w:rPr>
              <w:t>Paaugstināts kreatinīna līmenis asinīs</w:t>
            </w:r>
          </w:p>
        </w:tc>
      </w:tr>
      <w:tr w:rsidR="003F6B24" w:rsidRPr="004E461A" w14:paraId="1F98E741" w14:textId="77777777" w:rsidTr="00B47BC3">
        <w:trPr>
          <w:trHeight w:val="20"/>
        </w:trPr>
        <w:tc>
          <w:tcPr>
            <w:tcW w:w="2858" w:type="dxa"/>
            <w:vMerge w:val="restart"/>
            <w:noWrap/>
            <w:tcMar>
              <w:top w:w="23" w:type="dxa"/>
              <w:left w:w="23" w:type="dxa"/>
              <w:bottom w:w="23" w:type="dxa"/>
              <w:right w:w="23" w:type="dxa"/>
            </w:tcMar>
            <w:vAlign w:val="center"/>
          </w:tcPr>
          <w:p w14:paraId="2894034E" w14:textId="55DB53CC" w:rsidR="003F6B24" w:rsidRPr="004E461A" w:rsidRDefault="003F6B24" w:rsidP="003F6B24">
            <w:pPr>
              <w:spacing w:line="240" w:lineRule="auto"/>
              <w:jc w:val="center"/>
              <w:rPr>
                <w:color w:val="000000"/>
                <w:szCs w:val="22"/>
              </w:rPr>
            </w:pPr>
            <w:r w:rsidRPr="004E461A">
              <w:rPr>
                <w:color w:val="000000"/>
                <w:szCs w:val="22"/>
              </w:rPr>
              <w:t>Vispārēji traucējumi un reakcijas ievadīšanas vietā</w:t>
            </w:r>
          </w:p>
        </w:tc>
        <w:tc>
          <w:tcPr>
            <w:tcW w:w="1276" w:type="dxa"/>
            <w:vMerge w:val="restart"/>
            <w:noWrap/>
            <w:tcMar>
              <w:top w:w="23" w:type="dxa"/>
              <w:left w:w="23" w:type="dxa"/>
              <w:bottom w:w="23" w:type="dxa"/>
              <w:right w:w="23" w:type="dxa"/>
            </w:tcMar>
            <w:vAlign w:val="center"/>
          </w:tcPr>
          <w:p w14:paraId="514F824E" w14:textId="77777777" w:rsidR="003F6B24" w:rsidRPr="004E461A" w:rsidRDefault="003F6B24" w:rsidP="009C5A02">
            <w:pPr>
              <w:spacing w:line="240" w:lineRule="auto"/>
              <w:jc w:val="center"/>
              <w:rPr>
                <w:color w:val="000000"/>
                <w:szCs w:val="22"/>
              </w:rPr>
            </w:pPr>
            <w:r w:rsidRPr="004E461A">
              <w:rPr>
                <w:color w:val="000000"/>
                <w:szCs w:val="22"/>
              </w:rPr>
              <w:t>Retāk*</w:t>
            </w:r>
          </w:p>
        </w:tc>
        <w:tc>
          <w:tcPr>
            <w:tcW w:w="5232" w:type="dxa"/>
            <w:noWrap/>
            <w:tcMar>
              <w:top w:w="23" w:type="dxa"/>
              <w:left w:w="23" w:type="dxa"/>
              <w:bottom w:w="23" w:type="dxa"/>
              <w:right w:w="23" w:type="dxa"/>
            </w:tcMar>
            <w:vAlign w:val="center"/>
          </w:tcPr>
          <w:p w14:paraId="7246C24D" w14:textId="77777777" w:rsidR="003F6B24" w:rsidRPr="004E461A" w:rsidRDefault="003F6B24" w:rsidP="009C5A02">
            <w:pPr>
              <w:spacing w:line="240" w:lineRule="auto"/>
              <w:rPr>
                <w:color w:val="000000"/>
                <w:szCs w:val="22"/>
              </w:rPr>
            </w:pPr>
            <w:r w:rsidRPr="004E461A">
              <w:rPr>
                <w:color w:val="000000"/>
                <w:szCs w:val="22"/>
              </w:rPr>
              <w:t>Astēnija, iespējams, saistīta ar bradikardiju</w:t>
            </w:r>
          </w:p>
        </w:tc>
      </w:tr>
      <w:tr w:rsidR="003F6B24" w:rsidRPr="004E461A" w14:paraId="55D66635" w14:textId="77777777" w:rsidTr="00B47BC3">
        <w:trPr>
          <w:trHeight w:val="20"/>
        </w:trPr>
        <w:tc>
          <w:tcPr>
            <w:tcW w:w="2858" w:type="dxa"/>
            <w:vMerge/>
            <w:noWrap/>
            <w:tcMar>
              <w:top w:w="23" w:type="dxa"/>
              <w:left w:w="23" w:type="dxa"/>
              <w:bottom w:w="23" w:type="dxa"/>
              <w:right w:w="23" w:type="dxa"/>
            </w:tcMar>
            <w:vAlign w:val="center"/>
          </w:tcPr>
          <w:p w14:paraId="47EC7604" w14:textId="0276DA23" w:rsidR="003F6B24" w:rsidRPr="004E461A" w:rsidRDefault="003F6B24" w:rsidP="009C5A02">
            <w:pPr>
              <w:spacing w:line="240" w:lineRule="auto"/>
              <w:jc w:val="center"/>
              <w:rPr>
                <w:color w:val="000000"/>
                <w:szCs w:val="22"/>
              </w:rPr>
            </w:pPr>
          </w:p>
        </w:tc>
        <w:tc>
          <w:tcPr>
            <w:tcW w:w="1276" w:type="dxa"/>
            <w:vMerge/>
            <w:noWrap/>
            <w:tcMar>
              <w:top w:w="23" w:type="dxa"/>
              <w:left w:w="23" w:type="dxa"/>
              <w:bottom w:w="23" w:type="dxa"/>
              <w:right w:w="23" w:type="dxa"/>
            </w:tcMar>
            <w:vAlign w:val="center"/>
          </w:tcPr>
          <w:p w14:paraId="55784348" w14:textId="77777777" w:rsidR="003F6B24" w:rsidRPr="004E461A" w:rsidRDefault="003F6B24" w:rsidP="009C5A02">
            <w:pPr>
              <w:spacing w:line="240" w:lineRule="auto"/>
              <w:jc w:val="center"/>
              <w:rPr>
                <w:color w:val="000000"/>
                <w:szCs w:val="22"/>
              </w:rPr>
            </w:pPr>
          </w:p>
        </w:tc>
        <w:tc>
          <w:tcPr>
            <w:tcW w:w="5232" w:type="dxa"/>
            <w:noWrap/>
            <w:tcMar>
              <w:top w:w="23" w:type="dxa"/>
              <w:left w:w="23" w:type="dxa"/>
              <w:bottom w:w="23" w:type="dxa"/>
              <w:right w:w="23" w:type="dxa"/>
            </w:tcMar>
            <w:vAlign w:val="center"/>
          </w:tcPr>
          <w:p w14:paraId="01B9F41B" w14:textId="77777777" w:rsidR="003F6B24" w:rsidRPr="004E461A" w:rsidRDefault="003F6B24" w:rsidP="009C5A02">
            <w:pPr>
              <w:spacing w:line="240" w:lineRule="auto"/>
              <w:rPr>
                <w:color w:val="000000"/>
                <w:szCs w:val="22"/>
              </w:rPr>
            </w:pPr>
            <w:r w:rsidRPr="004E461A">
              <w:rPr>
                <w:color w:val="000000"/>
                <w:szCs w:val="22"/>
              </w:rPr>
              <w:t>Nespēks, iespējams, saistīts ar bradikardiju</w:t>
            </w:r>
          </w:p>
        </w:tc>
      </w:tr>
      <w:tr w:rsidR="003F6B24" w:rsidRPr="004E461A" w14:paraId="1CDF881F" w14:textId="77777777" w:rsidTr="00B47BC3">
        <w:trPr>
          <w:trHeight w:val="20"/>
        </w:trPr>
        <w:tc>
          <w:tcPr>
            <w:tcW w:w="2858" w:type="dxa"/>
            <w:vMerge/>
            <w:noWrap/>
            <w:tcMar>
              <w:top w:w="23" w:type="dxa"/>
              <w:left w:w="23" w:type="dxa"/>
              <w:bottom w:w="23" w:type="dxa"/>
              <w:right w:w="23" w:type="dxa"/>
            </w:tcMar>
            <w:vAlign w:val="center"/>
          </w:tcPr>
          <w:p w14:paraId="1D1BD427" w14:textId="5C70014A" w:rsidR="003F6B24" w:rsidRPr="004E461A" w:rsidRDefault="003F6B24" w:rsidP="009C5A02">
            <w:pPr>
              <w:spacing w:line="240" w:lineRule="auto"/>
              <w:jc w:val="center"/>
              <w:rPr>
                <w:color w:val="000000"/>
                <w:szCs w:val="22"/>
              </w:rPr>
            </w:pPr>
          </w:p>
        </w:tc>
        <w:tc>
          <w:tcPr>
            <w:tcW w:w="1276" w:type="dxa"/>
            <w:noWrap/>
            <w:tcMar>
              <w:top w:w="23" w:type="dxa"/>
              <w:left w:w="23" w:type="dxa"/>
              <w:bottom w:w="23" w:type="dxa"/>
              <w:right w:w="23" w:type="dxa"/>
            </w:tcMar>
            <w:vAlign w:val="center"/>
          </w:tcPr>
          <w:p w14:paraId="4FA69EEE" w14:textId="30B5AA89" w:rsidR="003F6B24" w:rsidRPr="004E461A" w:rsidRDefault="003F6B24" w:rsidP="003F6B24">
            <w:pPr>
              <w:spacing w:line="240" w:lineRule="auto"/>
              <w:jc w:val="center"/>
              <w:rPr>
                <w:color w:val="000000"/>
                <w:szCs w:val="22"/>
              </w:rPr>
            </w:pPr>
            <w:r w:rsidRPr="004E461A">
              <w:rPr>
                <w:color w:val="000000"/>
                <w:szCs w:val="22"/>
              </w:rPr>
              <w:t>Reti*</w:t>
            </w:r>
          </w:p>
        </w:tc>
        <w:tc>
          <w:tcPr>
            <w:tcW w:w="5232" w:type="dxa"/>
            <w:noWrap/>
            <w:tcMar>
              <w:top w:w="23" w:type="dxa"/>
              <w:left w:w="23" w:type="dxa"/>
              <w:bottom w:w="23" w:type="dxa"/>
              <w:right w:w="23" w:type="dxa"/>
            </w:tcMar>
            <w:vAlign w:val="center"/>
          </w:tcPr>
          <w:p w14:paraId="462BE43B" w14:textId="2389DC23" w:rsidR="003F6B24" w:rsidRPr="004E461A" w:rsidRDefault="003F6B24" w:rsidP="003F6B24">
            <w:pPr>
              <w:spacing w:line="240" w:lineRule="auto"/>
              <w:rPr>
                <w:color w:val="000000"/>
                <w:szCs w:val="22"/>
              </w:rPr>
            </w:pPr>
            <w:r w:rsidRPr="004E461A">
              <w:rPr>
                <w:color w:val="000000"/>
                <w:szCs w:val="22"/>
              </w:rPr>
              <w:t>Savārgums, iespējams, saistīts ar bradikardiju</w:t>
            </w:r>
          </w:p>
        </w:tc>
      </w:tr>
    </w:tbl>
    <w:p w14:paraId="158651ED" w14:textId="77777777" w:rsidR="006A1C69" w:rsidRPr="004E461A" w:rsidRDefault="006A1C69" w:rsidP="009C5A02">
      <w:pPr>
        <w:spacing w:line="240" w:lineRule="auto"/>
        <w:jc w:val="both"/>
        <w:rPr>
          <w:color w:val="000000"/>
          <w:szCs w:val="22"/>
        </w:rPr>
      </w:pPr>
      <w:r w:rsidRPr="004E461A">
        <w:rPr>
          <w:color w:val="000000"/>
          <w:szCs w:val="22"/>
        </w:rPr>
        <w:t>* Spontānajos ziņojumos atklāto blakusparādību biežums aprēķināts no klīniskajiem pētījumiem.</w:t>
      </w:r>
    </w:p>
    <w:p w14:paraId="5D019CC8" w14:textId="77777777" w:rsidR="006A1C69" w:rsidRPr="004E461A" w:rsidRDefault="006A1C69" w:rsidP="009C5A02">
      <w:pPr>
        <w:tabs>
          <w:tab w:val="clear" w:pos="567"/>
          <w:tab w:val="left" w:pos="1065"/>
        </w:tabs>
        <w:spacing w:line="240" w:lineRule="auto"/>
        <w:jc w:val="both"/>
        <w:rPr>
          <w:color w:val="000000"/>
          <w:szCs w:val="22"/>
        </w:rPr>
      </w:pPr>
    </w:p>
    <w:p w14:paraId="21F0B563" w14:textId="77777777" w:rsidR="006A1C69" w:rsidRPr="004E461A" w:rsidRDefault="006A1C69" w:rsidP="009C5A02">
      <w:pPr>
        <w:spacing w:line="240" w:lineRule="auto"/>
        <w:jc w:val="both"/>
        <w:rPr>
          <w:color w:val="000000"/>
          <w:szCs w:val="22"/>
        </w:rPr>
      </w:pPr>
      <w:r w:rsidRPr="004E461A">
        <w:rPr>
          <w:color w:val="000000"/>
          <w:szCs w:val="22"/>
          <w:u w:val="single" w:color="000000"/>
        </w:rPr>
        <w:t>Atsevišķu blakusparādību apraksts</w:t>
      </w:r>
    </w:p>
    <w:p w14:paraId="2A6B5156" w14:textId="77777777" w:rsidR="006A1C69" w:rsidRPr="004E461A" w:rsidRDefault="006A1C69" w:rsidP="009C5A02">
      <w:pPr>
        <w:spacing w:line="240" w:lineRule="auto"/>
        <w:jc w:val="both"/>
        <w:rPr>
          <w:color w:val="000000"/>
          <w:szCs w:val="22"/>
        </w:rPr>
      </w:pPr>
      <w:r w:rsidRPr="004E461A">
        <w:rPr>
          <w:color w:val="000000"/>
          <w:szCs w:val="22"/>
        </w:rPr>
        <w:t>Gaismas uztveres fenomeni (</w:t>
      </w:r>
      <w:proofErr w:type="spellStart"/>
      <w:r w:rsidRPr="004E461A">
        <w:rPr>
          <w:color w:val="000000"/>
          <w:szCs w:val="22"/>
        </w:rPr>
        <w:t>fotopsijas</w:t>
      </w:r>
      <w:proofErr w:type="spellEnd"/>
      <w:r w:rsidRPr="004E461A">
        <w:rPr>
          <w:color w:val="000000"/>
          <w:szCs w:val="22"/>
        </w:rPr>
        <w:t>) novēroti 14,5 % pacientu un tie raksturoti kā pārejoši uzplaiksnījumi</w:t>
      </w:r>
      <w:r w:rsidRPr="004E461A" w:rsidDel="0075368E">
        <w:rPr>
          <w:color w:val="000000"/>
          <w:szCs w:val="22"/>
        </w:rPr>
        <w:t xml:space="preserve"> </w:t>
      </w:r>
      <w:r w:rsidRPr="004E461A">
        <w:rPr>
          <w:color w:val="000000"/>
          <w:szCs w:val="22"/>
        </w:rPr>
        <w:t>ierobežotā redzes lauka daļā. Parasti tos izraisa pēkšņas gaismas inte</w:t>
      </w:r>
      <w:r w:rsidR="009C5A02" w:rsidRPr="004E461A">
        <w:rPr>
          <w:color w:val="000000"/>
          <w:szCs w:val="22"/>
        </w:rPr>
        <w:t>n</w:t>
      </w:r>
      <w:r w:rsidRPr="004E461A">
        <w:rPr>
          <w:color w:val="000000"/>
          <w:szCs w:val="22"/>
        </w:rPr>
        <w:t xml:space="preserve">sitātes izmaiņas. </w:t>
      </w:r>
      <w:proofErr w:type="spellStart"/>
      <w:r w:rsidRPr="004E461A">
        <w:rPr>
          <w:color w:val="000000"/>
          <w:szCs w:val="22"/>
        </w:rPr>
        <w:t>Fotopsijas</w:t>
      </w:r>
      <w:proofErr w:type="spellEnd"/>
      <w:r w:rsidRPr="004E461A">
        <w:rPr>
          <w:color w:val="000000"/>
          <w:szCs w:val="22"/>
        </w:rPr>
        <w:t xml:space="preserve"> var raksturot arī kā oreolu saskatīšanu, skata dekompozīciju (</w:t>
      </w:r>
      <w:proofErr w:type="spellStart"/>
      <w:r w:rsidRPr="004E461A">
        <w:rPr>
          <w:color w:val="000000"/>
          <w:szCs w:val="22"/>
        </w:rPr>
        <w:t>stroboskopisks</w:t>
      </w:r>
      <w:proofErr w:type="spellEnd"/>
      <w:r w:rsidRPr="004E461A">
        <w:rPr>
          <w:color w:val="000000"/>
          <w:szCs w:val="22"/>
        </w:rPr>
        <w:t xml:space="preserve"> vai kaleidoskopisks efekts), spilgtas, krāsainas gaismas vai </w:t>
      </w:r>
      <w:proofErr w:type="spellStart"/>
      <w:r w:rsidRPr="004E461A">
        <w:rPr>
          <w:color w:val="000000"/>
          <w:szCs w:val="22"/>
        </w:rPr>
        <w:t>multiplicētu</w:t>
      </w:r>
      <w:proofErr w:type="spellEnd"/>
      <w:r w:rsidRPr="004E461A">
        <w:rPr>
          <w:color w:val="000000"/>
          <w:szCs w:val="22"/>
        </w:rPr>
        <w:t xml:space="preserve"> skatu (tīklenes </w:t>
      </w:r>
      <w:proofErr w:type="spellStart"/>
      <w:r w:rsidRPr="004E461A">
        <w:rPr>
          <w:color w:val="000000"/>
          <w:szCs w:val="22"/>
        </w:rPr>
        <w:t>persistence</w:t>
      </w:r>
      <w:proofErr w:type="spellEnd"/>
      <w:r w:rsidRPr="004E461A">
        <w:rPr>
          <w:color w:val="000000"/>
          <w:szCs w:val="22"/>
        </w:rPr>
        <w:t xml:space="preserve">). </w:t>
      </w:r>
      <w:proofErr w:type="spellStart"/>
      <w:r w:rsidRPr="004E461A">
        <w:rPr>
          <w:color w:val="000000"/>
          <w:szCs w:val="22"/>
        </w:rPr>
        <w:t>Fotopsijas</w:t>
      </w:r>
      <w:proofErr w:type="spellEnd"/>
      <w:r w:rsidRPr="004E461A">
        <w:rPr>
          <w:color w:val="000000"/>
          <w:szCs w:val="22"/>
        </w:rPr>
        <w:t xml:space="preserve"> parasti sākas pirmajos divos ārstēšanas mēnešos, un pēc tam tās var rasties atkārtoti. Ziņotā </w:t>
      </w:r>
      <w:proofErr w:type="spellStart"/>
      <w:r w:rsidRPr="004E461A">
        <w:rPr>
          <w:color w:val="000000"/>
          <w:szCs w:val="22"/>
        </w:rPr>
        <w:t>fotopsiju</w:t>
      </w:r>
      <w:proofErr w:type="spellEnd"/>
      <w:r w:rsidRPr="004E461A">
        <w:rPr>
          <w:color w:val="000000"/>
          <w:szCs w:val="22"/>
        </w:rPr>
        <w:t xml:space="preserve"> intensitāte parasti bijusi viegla līdz vidēja. Visas </w:t>
      </w:r>
      <w:proofErr w:type="spellStart"/>
      <w:r w:rsidRPr="004E461A">
        <w:rPr>
          <w:color w:val="000000"/>
          <w:szCs w:val="22"/>
        </w:rPr>
        <w:t>fotopsijas</w:t>
      </w:r>
      <w:proofErr w:type="spellEnd"/>
      <w:r w:rsidRPr="004E461A">
        <w:rPr>
          <w:color w:val="000000"/>
          <w:szCs w:val="22"/>
        </w:rPr>
        <w:t xml:space="preserve"> izzuda ārstēšanas laikā vai pēc tās, turklāt lielākā daļa no tām izzuda ārstēšanas laikā (77,5 %). Mazāk kā 1 % pacientu saistībā ar </w:t>
      </w:r>
      <w:proofErr w:type="spellStart"/>
      <w:r w:rsidRPr="004E461A">
        <w:rPr>
          <w:color w:val="000000"/>
          <w:szCs w:val="22"/>
        </w:rPr>
        <w:t>fostopsijām</w:t>
      </w:r>
      <w:proofErr w:type="spellEnd"/>
      <w:r w:rsidRPr="004E461A">
        <w:rPr>
          <w:color w:val="000000"/>
          <w:szCs w:val="22"/>
        </w:rPr>
        <w:t xml:space="preserve"> nācās mainīt ikdienas paradumus vai pārtraukt ārstēšanu.</w:t>
      </w:r>
    </w:p>
    <w:p w14:paraId="721C16D2" w14:textId="77777777" w:rsidR="006A1C69" w:rsidRPr="004E461A" w:rsidRDefault="006A1C69" w:rsidP="009C5A02">
      <w:pPr>
        <w:spacing w:line="240" w:lineRule="auto"/>
        <w:jc w:val="both"/>
        <w:rPr>
          <w:color w:val="000000"/>
          <w:szCs w:val="22"/>
        </w:rPr>
      </w:pPr>
    </w:p>
    <w:p w14:paraId="3AA47A8A" w14:textId="77777777" w:rsidR="006A1C69" w:rsidRPr="004E461A" w:rsidRDefault="006A1C69" w:rsidP="009C5A02">
      <w:pPr>
        <w:spacing w:line="240" w:lineRule="auto"/>
        <w:jc w:val="both"/>
        <w:rPr>
          <w:color w:val="000000"/>
          <w:szCs w:val="22"/>
        </w:rPr>
      </w:pPr>
      <w:r w:rsidRPr="004E461A">
        <w:rPr>
          <w:color w:val="000000"/>
          <w:szCs w:val="22"/>
        </w:rPr>
        <w:t>Bradikardija novērota 3,3 % pacientu, īpaši pirmajos 2 līdz 3 mēnešos pēc ārstēšanas sākšanas. 0,5 % pacientu novēroja smagu bradikardiju, kad sirdsdarbības ātrums bija 40 sitienu minūtē vai lēnāks.</w:t>
      </w:r>
    </w:p>
    <w:p w14:paraId="283DEF11" w14:textId="77777777" w:rsidR="00C54608" w:rsidRDefault="00C54608" w:rsidP="00C54608">
      <w:pPr>
        <w:autoSpaceDE w:val="0"/>
        <w:autoSpaceDN w:val="0"/>
        <w:adjustRightInd w:val="0"/>
        <w:spacing w:line="240" w:lineRule="auto"/>
        <w:jc w:val="both"/>
        <w:rPr>
          <w:color w:val="000000"/>
          <w:szCs w:val="22"/>
        </w:rPr>
      </w:pPr>
    </w:p>
    <w:p w14:paraId="00964F42" w14:textId="77777777" w:rsidR="00EA0DAD" w:rsidRPr="004E461A" w:rsidRDefault="00EA0DAD" w:rsidP="00EA0DAD">
      <w:pPr>
        <w:spacing w:line="240" w:lineRule="auto"/>
        <w:jc w:val="both"/>
        <w:rPr>
          <w:color w:val="000000"/>
          <w:szCs w:val="22"/>
        </w:rPr>
      </w:pPr>
      <w:r w:rsidRPr="004E461A">
        <w:rPr>
          <w:color w:val="000000"/>
          <w:szCs w:val="22"/>
        </w:rPr>
        <w:t xml:space="preserve">Pētījumā SIGNIFY 5,3 % </w:t>
      </w:r>
      <w:proofErr w:type="spellStart"/>
      <w:r w:rsidRPr="004E461A">
        <w:rPr>
          <w:color w:val="000000"/>
          <w:szCs w:val="22"/>
        </w:rPr>
        <w:t>ivabradīnu</w:t>
      </w:r>
      <w:proofErr w:type="spellEnd"/>
      <w:r w:rsidRPr="004E461A">
        <w:rPr>
          <w:color w:val="000000"/>
          <w:szCs w:val="22"/>
        </w:rPr>
        <w:t xml:space="preserve"> lietojošo pacientu, salīdzinot ar 3,8 % placebo grupā, novēroja priekškambaru fibrilāciju. Apkopotā analīzē par visiem dubultmaskētajiem un kontrolētajiem II/III fāzes pētījumiem, kuru ilgums bija vismaz 3 mēneši un kuros kopumā piedalījušies vairāk kā 40 000 pacientu, priekškambaru </w:t>
      </w:r>
      <w:proofErr w:type="spellStart"/>
      <w:r w:rsidRPr="004E461A">
        <w:rPr>
          <w:color w:val="000000"/>
          <w:szCs w:val="22"/>
        </w:rPr>
        <w:t>fibrilācijas</w:t>
      </w:r>
      <w:proofErr w:type="spellEnd"/>
      <w:r w:rsidRPr="004E461A">
        <w:rPr>
          <w:color w:val="000000"/>
          <w:szCs w:val="22"/>
        </w:rPr>
        <w:t xml:space="preserve"> sastopamības biežums </w:t>
      </w:r>
      <w:proofErr w:type="spellStart"/>
      <w:r w:rsidRPr="004E461A">
        <w:rPr>
          <w:color w:val="000000"/>
          <w:szCs w:val="22"/>
        </w:rPr>
        <w:t>ivabradīnu</w:t>
      </w:r>
      <w:proofErr w:type="spellEnd"/>
      <w:r w:rsidRPr="004E461A">
        <w:rPr>
          <w:color w:val="000000"/>
          <w:szCs w:val="22"/>
        </w:rPr>
        <w:t xml:space="preserve"> lietojušo pacientu vidū bija 4,86 %, bet kontroles grupu pacientu vidū — 4,08 %, kas atbilst riska koeficienta vērtībai 1,26; 95% TI [1,15-1,39].</w:t>
      </w:r>
    </w:p>
    <w:p w14:paraId="216B47FB" w14:textId="77777777" w:rsidR="00EA0DAD" w:rsidRPr="004E461A" w:rsidRDefault="00EA0DAD" w:rsidP="00EA0DAD">
      <w:pPr>
        <w:spacing w:line="240" w:lineRule="auto"/>
        <w:jc w:val="both"/>
        <w:rPr>
          <w:color w:val="000000"/>
          <w:szCs w:val="22"/>
        </w:rPr>
      </w:pPr>
    </w:p>
    <w:p w14:paraId="6B091F3D" w14:textId="2E37E45C" w:rsidR="00C54608" w:rsidRPr="004E461A" w:rsidRDefault="00C54608" w:rsidP="00C54608">
      <w:pPr>
        <w:spacing w:line="240" w:lineRule="auto"/>
        <w:jc w:val="both"/>
        <w:rPr>
          <w:color w:val="000000"/>
        </w:rPr>
      </w:pPr>
      <w:r w:rsidRPr="004E461A">
        <w:rPr>
          <w:color w:val="000000"/>
          <w:szCs w:val="22"/>
        </w:rPr>
        <w:t xml:space="preserve">SHIFT pētījumā lielākam skaitam pacientu tika novērotas paaugstināta asinsspiediena epizodes ārstēšanas laikā ar </w:t>
      </w:r>
      <w:proofErr w:type="spellStart"/>
      <w:r w:rsidRPr="004E461A">
        <w:rPr>
          <w:color w:val="000000"/>
          <w:szCs w:val="22"/>
        </w:rPr>
        <w:t>ivabradīnu</w:t>
      </w:r>
      <w:proofErr w:type="spellEnd"/>
      <w:r w:rsidRPr="004E461A">
        <w:rPr>
          <w:color w:val="000000"/>
          <w:szCs w:val="22"/>
        </w:rPr>
        <w:t xml:space="preserve"> (7,1 %), salīdzinot ar placebo ārstētiem pacientiem (6,1 %). Šīs epizodes biežāk radās neilgi pēc asinsspiedienu pazeminošās terapijas maiņas, tās bija pārejošas un neietekmēja </w:t>
      </w:r>
      <w:proofErr w:type="spellStart"/>
      <w:r w:rsidRPr="004E461A">
        <w:rPr>
          <w:color w:val="000000"/>
          <w:szCs w:val="22"/>
        </w:rPr>
        <w:t>ivabradīna</w:t>
      </w:r>
      <w:proofErr w:type="spellEnd"/>
      <w:r w:rsidRPr="004E461A">
        <w:rPr>
          <w:color w:val="000000"/>
          <w:szCs w:val="22"/>
        </w:rPr>
        <w:t xml:space="preserve"> terapeitisko efektu.</w:t>
      </w:r>
    </w:p>
    <w:p w14:paraId="52FDCA89" w14:textId="77777777" w:rsidR="002A61E1" w:rsidRPr="004E461A" w:rsidRDefault="002A61E1" w:rsidP="009C5A02">
      <w:pPr>
        <w:tabs>
          <w:tab w:val="clear" w:pos="567"/>
        </w:tabs>
        <w:spacing w:line="240" w:lineRule="auto"/>
        <w:jc w:val="both"/>
        <w:rPr>
          <w:bCs/>
          <w:iCs/>
          <w:color w:val="000000"/>
          <w:szCs w:val="22"/>
          <w:u w:val="single"/>
        </w:rPr>
      </w:pPr>
    </w:p>
    <w:p w14:paraId="6D4FD1C4" w14:textId="77777777" w:rsidR="002A61E1" w:rsidRPr="004E461A" w:rsidRDefault="002A61E1" w:rsidP="009C5A02">
      <w:pPr>
        <w:autoSpaceDE w:val="0"/>
        <w:autoSpaceDN w:val="0"/>
        <w:adjustRightInd w:val="0"/>
        <w:spacing w:line="240" w:lineRule="auto"/>
        <w:jc w:val="both"/>
        <w:rPr>
          <w:color w:val="000000"/>
          <w:szCs w:val="22"/>
          <w:u w:val="single"/>
        </w:rPr>
      </w:pPr>
      <w:r w:rsidRPr="004E461A">
        <w:rPr>
          <w:color w:val="000000"/>
          <w:szCs w:val="22"/>
          <w:u w:val="single"/>
        </w:rPr>
        <w:t>Ziņošana par iespējamām nevēlamām blakusparādībām</w:t>
      </w:r>
    </w:p>
    <w:p w14:paraId="2A2F50E7" w14:textId="77777777" w:rsidR="00CD10AA" w:rsidRPr="004E461A" w:rsidRDefault="000C61CB" w:rsidP="009C5A02">
      <w:pPr>
        <w:autoSpaceDE w:val="0"/>
        <w:autoSpaceDN w:val="0"/>
        <w:adjustRightInd w:val="0"/>
        <w:spacing w:line="240" w:lineRule="auto"/>
        <w:jc w:val="both"/>
        <w:rPr>
          <w:rStyle w:val="apple-style-span"/>
          <w:color w:val="000000"/>
          <w:szCs w:val="22"/>
        </w:rPr>
      </w:pPr>
      <w:r w:rsidRPr="004E461A">
        <w:rPr>
          <w:rStyle w:val="apple-style-span"/>
          <w:color w:val="000000"/>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w:t>
      </w:r>
      <w:r w:rsidR="0050077F" w:rsidRPr="004E461A">
        <w:rPr>
          <w:rStyle w:val="apple-style-span"/>
          <w:color w:val="000000"/>
          <w:szCs w:val="22"/>
        </w:rPr>
        <w:t>a 15, Rīga</w:t>
      </w:r>
      <w:r w:rsidRPr="004E461A">
        <w:rPr>
          <w:rStyle w:val="apple-style-span"/>
          <w:color w:val="000000"/>
          <w:szCs w:val="22"/>
        </w:rPr>
        <w:t xml:space="preserve">, LV 1003. Tīmekļa vietne: </w:t>
      </w:r>
      <w:hyperlink r:id="rId9" w:history="1">
        <w:r w:rsidRPr="004E461A">
          <w:rPr>
            <w:rStyle w:val="Hyperlink"/>
            <w:color w:val="000000"/>
            <w:szCs w:val="22"/>
          </w:rPr>
          <w:t>www.zva.gov.lv</w:t>
        </w:r>
      </w:hyperlink>
    </w:p>
    <w:p w14:paraId="746CFA9B" w14:textId="77777777" w:rsidR="0067229D" w:rsidRPr="004E461A" w:rsidRDefault="0067229D" w:rsidP="009C5A02">
      <w:pPr>
        <w:autoSpaceDE w:val="0"/>
        <w:autoSpaceDN w:val="0"/>
        <w:adjustRightInd w:val="0"/>
        <w:spacing w:line="240" w:lineRule="auto"/>
        <w:jc w:val="both"/>
        <w:rPr>
          <w:color w:val="000000"/>
          <w:szCs w:val="22"/>
        </w:rPr>
      </w:pPr>
    </w:p>
    <w:p w14:paraId="427C03D7"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4.9</w:t>
      </w:r>
      <w:r w:rsidR="002A61E1" w:rsidRPr="004E461A">
        <w:rPr>
          <w:b/>
          <w:color w:val="000000"/>
          <w:szCs w:val="22"/>
        </w:rPr>
        <w:t>.</w:t>
      </w:r>
      <w:r w:rsidRPr="004E461A">
        <w:rPr>
          <w:b/>
          <w:color w:val="000000"/>
          <w:szCs w:val="22"/>
        </w:rPr>
        <w:tab/>
        <w:t>Pārdozēšana</w:t>
      </w:r>
    </w:p>
    <w:p w14:paraId="2AAC2FD7" w14:textId="77777777" w:rsidR="00CD10AA" w:rsidRPr="004E461A" w:rsidRDefault="00CD10AA" w:rsidP="009C5A02">
      <w:pPr>
        <w:tabs>
          <w:tab w:val="clear" w:pos="567"/>
        </w:tabs>
        <w:spacing w:line="240" w:lineRule="auto"/>
        <w:jc w:val="both"/>
        <w:rPr>
          <w:color w:val="000000"/>
          <w:szCs w:val="22"/>
        </w:rPr>
      </w:pPr>
    </w:p>
    <w:p w14:paraId="2AB411B1" w14:textId="77777777" w:rsidR="002133B5" w:rsidRPr="004E461A" w:rsidRDefault="002133B5" w:rsidP="009C5A02">
      <w:pPr>
        <w:spacing w:line="240" w:lineRule="auto"/>
        <w:jc w:val="both"/>
        <w:rPr>
          <w:color w:val="000000"/>
          <w:u w:val="single"/>
        </w:rPr>
      </w:pPr>
      <w:r w:rsidRPr="004E461A">
        <w:rPr>
          <w:iCs/>
          <w:color w:val="000000"/>
          <w:szCs w:val="22"/>
          <w:u w:val="single"/>
        </w:rPr>
        <w:t>Simptomi</w:t>
      </w:r>
    </w:p>
    <w:p w14:paraId="59176AD2" w14:textId="77777777" w:rsidR="002133B5" w:rsidRPr="004E461A" w:rsidRDefault="002133B5" w:rsidP="009C5A02">
      <w:pPr>
        <w:spacing w:line="240" w:lineRule="auto"/>
        <w:jc w:val="both"/>
        <w:rPr>
          <w:color w:val="000000"/>
        </w:rPr>
      </w:pPr>
      <w:r w:rsidRPr="004E461A">
        <w:rPr>
          <w:iCs/>
          <w:color w:val="000000"/>
          <w:szCs w:val="22"/>
        </w:rPr>
        <w:t>Pārdozēšana var izraisīt smagu un ilgstošu bradikardiju (skatīt 4.8. apakšpunktu).</w:t>
      </w:r>
    </w:p>
    <w:p w14:paraId="7269EAFA" w14:textId="77777777" w:rsidR="002133B5" w:rsidRPr="004E461A" w:rsidRDefault="002133B5" w:rsidP="009C5A02">
      <w:pPr>
        <w:spacing w:line="240" w:lineRule="auto"/>
        <w:jc w:val="both"/>
        <w:rPr>
          <w:color w:val="000000"/>
          <w:u w:val="single"/>
        </w:rPr>
      </w:pPr>
    </w:p>
    <w:p w14:paraId="64688037" w14:textId="77777777" w:rsidR="002133B5" w:rsidRPr="004E461A" w:rsidRDefault="002133B5" w:rsidP="009C5A02">
      <w:pPr>
        <w:spacing w:line="240" w:lineRule="auto"/>
        <w:jc w:val="both"/>
        <w:rPr>
          <w:iCs/>
          <w:color w:val="000000"/>
          <w:szCs w:val="22"/>
          <w:u w:val="single"/>
        </w:rPr>
      </w:pPr>
      <w:r w:rsidRPr="004E461A">
        <w:rPr>
          <w:iCs/>
          <w:color w:val="000000"/>
          <w:szCs w:val="22"/>
          <w:u w:val="single"/>
        </w:rPr>
        <w:t>Terapija</w:t>
      </w:r>
    </w:p>
    <w:p w14:paraId="180BA084" w14:textId="77777777" w:rsidR="002133B5" w:rsidRPr="004E461A" w:rsidRDefault="002133B5" w:rsidP="009C5A02">
      <w:pPr>
        <w:spacing w:line="240" w:lineRule="auto"/>
        <w:jc w:val="both"/>
        <w:rPr>
          <w:iCs/>
          <w:color w:val="000000"/>
          <w:szCs w:val="22"/>
        </w:rPr>
      </w:pPr>
      <w:r w:rsidRPr="004E461A">
        <w:rPr>
          <w:iCs/>
          <w:color w:val="000000"/>
          <w:szCs w:val="22"/>
        </w:rPr>
        <w:t xml:space="preserve">Smaga bradikardija būtu jāārstē simptomātiski specializētos apstākļos. Bradikardijas ar vāju </w:t>
      </w:r>
      <w:proofErr w:type="spellStart"/>
      <w:r w:rsidRPr="004E461A">
        <w:rPr>
          <w:iCs/>
          <w:color w:val="000000"/>
          <w:szCs w:val="22"/>
        </w:rPr>
        <w:t>hemodinamisku</w:t>
      </w:r>
      <w:proofErr w:type="spellEnd"/>
      <w:r w:rsidRPr="004E461A">
        <w:rPr>
          <w:iCs/>
          <w:color w:val="000000"/>
          <w:szCs w:val="22"/>
        </w:rPr>
        <w:t xml:space="preserve"> toleranci gadījumā, jāapsver simptomātiska terapija, ieskaitot tādus intravenozus bēta</w:t>
      </w:r>
      <w:r w:rsidR="009C5A02" w:rsidRPr="004E461A">
        <w:rPr>
          <w:iCs/>
          <w:color w:val="000000"/>
          <w:szCs w:val="22"/>
        </w:rPr>
        <w:t xml:space="preserve"> </w:t>
      </w:r>
      <w:r w:rsidRPr="004E461A">
        <w:rPr>
          <w:iCs/>
          <w:color w:val="000000"/>
          <w:szCs w:val="22"/>
        </w:rPr>
        <w:t xml:space="preserve">stimulējošus līdzekļus kā </w:t>
      </w:r>
      <w:proofErr w:type="spellStart"/>
      <w:r w:rsidRPr="004E461A">
        <w:rPr>
          <w:iCs/>
          <w:color w:val="000000"/>
          <w:szCs w:val="22"/>
        </w:rPr>
        <w:t>izoprenalīnu</w:t>
      </w:r>
      <w:proofErr w:type="spellEnd"/>
      <w:r w:rsidRPr="004E461A">
        <w:rPr>
          <w:iCs/>
          <w:color w:val="000000"/>
          <w:szCs w:val="22"/>
        </w:rPr>
        <w:t xml:space="preserve">. Ja nepieciešams, var pielietot īslaicīgu sirds </w:t>
      </w:r>
      <w:proofErr w:type="spellStart"/>
      <w:r w:rsidRPr="004E461A">
        <w:rPr>
          <w:iCs/>
          <w:color w:val="000000"/>
          <w:szCs w:val="22"/>
        </w:rPr>
        <w:t>elektrostimulāciju</w:t>
      </w:r>
      <w:proofErr w:type="spellEnd"/>
      <w:r w:rsidRPr="004E461A">
        <w:rPr>
          <w:iCs/>
          <w:color w:val="000000"/>
          <w:szCs w:val="22"/>
        </w:rPr>
        <w:t>.</w:t>
      </w:r>
    </w:p>
    <w:p w14:paraId="111995F6" w14:textId="77777777" w:rsidR="002133B5" w:rsidRPr="004E461A" w:rsidRDefault="002133B5" w:rsidP="009C5A02">
      <w:pPr>
        <w:spacing w:line="240" w:lineRule="auto"/>
        <w:jc w:val="both"/>
        <w:rPr>
          <w:color w:val="000000"/>
          <w:szCs w:val="22"/>
        </w:rPr>
      </w:pPr>
      <w:r w:rsidRPr="004E461A">
        <w:rPr>
          <w:color w:val="000000"/>
          <w:szCs w:val="22"/>
        </w:rPr>
        <w:t xml:space="preserve">Smaga bradikardija jāārstē simptomātiski specializētos apstākļos. Ja ir bradikardija un zema </w:t>
      </w:r>
      <w:proofErr w:type="spellStart"/>
      <w:r w:rsidRPr="004E461A">
        <w:rPr>
          <w:color w:val="000000"/>
          <w:szCs w:val="22"/>
        </w:rPr>
        <w:t>hemodinamiskā</w:t>
      </w:r>
      <w:proofErr w:type="spellEnd"/>
      <w:r w:rsidRPr="004E461A">
        <w:rPr>
          <w:color w:val="000000"/>
          <w:szCs w:val="22"/>
        </w:rPr>
        <w:t xml:space="preserve"> tolerance, var apsvērt simptomātisku ārstēšanu, ietverot intravenozus </w:t>
      </w:r>
      <w:proofErr w:type="spellStart"/>
      <w:r w:rsidRPr="004E461A">
        <w:rPr>
          <w:color w:val="000000"/>
          <w:szCs w:val="22"/>
        </w:rPr>
        <w:t>bēta</w:t>
      </w:r>
      <w:proofErr w:type="spellEnd"/>
      <w:r w:rsidRPr="004E461A">
        <w:rPr>
          <w:color w:val="000000"/>
          <w:szCs w:val="22"/>
        </w:rPr>
        <w:t xml:space="preserve"> </w:t>
      </w:r>
      <w:proofErr w:type="spellStart"/>
      <w:r w:rsidRPr="004E461A">
        <w:rPr>
          <w:color w:val="000000"/>
          <w:szCs w:val="22"/>
        </w:rPr>
        <w:t>adrenoreceptorus</w:t>
      </w:r>
      <w:proofErr w:type="spellEnd"/>
      <w:r w:rsidRPr="004E461A">
        <w:rPr>
          <w:color w:val="000000"/>
          <w:szCs w:val="22"/>
        </w:rPr>
        <w:t xml:space="preserve"> stimulējošus līdzekļus, piemēram, </w:t>
      </w:r>
      <w:proofErr w:type="spellStart"/>
      <w:r w:rsidRPr="004E461A">
        <w:rPr>
          <w:color w:val="000000"/>
          <w:szCs w:val="22"/>
        </w:rPr>
        <w:t>izoprenalīnu</w:t>
      </w:r>
      <w:proofErr w:type="spellEnd"/>
      <w:r w:rsidRPr="004E461A">
        <w:rPr>
          <w:color w:val="000000"/>
          <w:szCs w:val="22"/>
        </w:rPr>
        <w:t>. Ja nepieciešams, īslaicīgi var izmantot elektrokardiostimulatoru.</w:t>
      </w:r>
    </w:p>
    <w:p w14:paraId="1D9AC613" w14:textId="77777777" w:rsidR="00CD10AA" w:rsidRPr="004E461A" w:rsidRDefault="00CD10AA" w:rsidP="009C5A02">
      <w:pPr>
        <w:tabs>
          <w:tab w:val="clear" w:pos="567"/>
        </w:tabs>
        <w:spacing w:line="240" w:lineRule="auto"/>
        <w:jc w:val="both"/>
        <w:rPr>
          <w:color w:val="000000"/>
          <w:szCs w:val="22"/>
        </w:rPr>
      </w:pPr>
    </w:p>
    <w:p w14:paraId="55AD9A39" w14:textId="77777777" w:rsidR="002133B5" w:rsidRPr="004E461A" w:rsidRDefault="002133B5" w:rsidP="009C5A02">
      <w:pPr>
        <w:tabs>
          <w:tab w:val="clear" w:pos="567"/>
        </w:tabs>
        <w:spacing w:line="240" w:lineRule="auto"/>
        <w:jc w:val="both"/>
        <w:rPr>
          <w:color w:val="000000"/>
          <w:szCs w:val="22"/>
        </w:rPr>
      </w:pPr>
    </w:p>
    <w:p w14:paraId="000255F3" w14:textId="77777777" w:rsidR="00CD10AA" w:rsidRPr="004E461A" w:rsidRDefault="00D4124F" w:rsidP="009C5A02">
      <w:pPr>
        <w:tabs>
          <w:tab w:val="clear" w:pos="567"/>
        </w:tabs>
        <w:spacing w:line="240" w:lineRule="auto"/>
        <w:jc w:val="both"/>
        <w:rPr>
          <w:b/>
          <w:color w:val="000000"/>
          <w:szCs w:val="22"/>
        </w:rPr>
      </w:pPr>
      <w:r w:rsidRPr="004E461A">
        <w:rPr>
          <w:b/>
          <w:color w:val="000000"/>
          <w:szCs w:val="22"/>
        </w:rPr>
        <w:t>5.</w:t>
      </w:r>
      <w:r w:rsidRPr="004E461A">
        <w:rPr>
          <w:b/>
          <w:color w:val="000000"/>
          <w:szCs w:val="22"/>
        </w:rPr>
        <w:tab/>
        <w:t>FARMAKOLOĢISKĀS ĪPAŠĪBAS</w:t>
      </w:r>
    </w:p>
    <w:p w14:paraId="74A80B90" w14:textId="77777777" w:rsidR="002133B5" w:rsidRPr="004E461A" w:rsidRDefault="002133B5" w:rsidP="009C5A02">
      <w:pPr>
        <w:tabs>
          <w:tab w:val="clear" w:pos="567"/>
        </w:tabs>
        <w:spacing w:line="240" w:lineRule="auto"/>
        <w:jc w:val="both"/>
        <w:rPr>
          <w:b/>
          <w:color w:val="000000"/>
          <w:szCs w:val="22"/>
        </w:rPr>
      </w:pPr>
    </w:p>
    <w:p w14:paraId="6DD08DAB"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5.1</w:t>
      </w:r>
      <w:r w:rsidR="00F311D8" w:rsidRPr="004E461A">
        <w:rPr>
          <w:b/>
          <w:color w:val="000000"/>
          <w:szCs w:val="22"/>
        </w:rPr>
        <w:t>.</w:t>
      </w:r>
      <w:r w:rsidRPr="004E461A">
        <w:rPr>
          <w:b/>
          <w:color w:val="000000"/>
          <w:szCs w:val="22"/>
        </w:rPr>
        <w:tab/>
        <w:t>Farmakodinamiskās īpašības</w:t>
      </w:r>
    </w:p>
    <w:p w14:paraId="74D7D892" w14:textId="77777777" w:rsidR="002133B5" w:rsidRPr="004E461A" w:rsidRDefault="002133B5" w:rsidP="009C5A02">
      <w:pPr>
        <w:tabs>
          <w:tab w:val="clear" w:pos="567"/>
        </w:tabs>
        <w:spacing w:line="240" w:lineRule="auto"/>
        <w:jc w:val="both"/>
        <w:rPr>
          <w:b/>
          <w:color w:val="000000"/>
          <w:szCs w:val="22"/>
        </w:rPr>
      </w:pPr>
    </w:p>
    <w:p w14:paraId="179C5832" w14:textId="77777777" w:rsidR="00FD187E" w:rsidRPr="004E461A" w:rsidRDefault="00CD10AA" w:rsidP="009C5A02">
      <w:pPr>
        <w:tabs>
          <w:tab w:val="clear" w:pos="567"/>
        </w:tabs>
        <w:spacing w:line="240" w:lineRule="auto"/>
        <w:jc w:val="both"/>
        <w:rPr>
          <w:color w:val="000000"/>
          <w:szCs w:val="22"/>
        </w:rPr>
      </w:pPr>
      <w:r w:rsidRPr="004E461A">
        <w:rPr>
          <w:b/>
          <w:color w:val="000000"/>
          <w:szCs w:val="22"/>
        </w:rPr>
        <w:lastRenderedPageBreak/>
        <w:t>Farm</w:t>
      </w:r>
      <w:r w:rsidR="00FD187E" w:rsidRPr="004E461A">
        <w:rPr>
          <w:b/>
          <w:color w:val="000000"/>
          <w:szCs w:val="22"/>
        </w:rPr>
        <w:t>akoterapeitiskā grupa</w:t>
      </w:r>
      <w:r w:rsidR="00FD187E" w:rsidRPr="004E461A">
        <w:rPr>
          <w:color w:val="000000"/>
          <w:szCs w:val="22"/>
        </w:rPr>
        <w:t xml:space="preserve">: </w:t>
      </w:r>
      <w:r w:rsidR="00CD356F" w:rsidRPr="004E461A">
        <w:rPr>
          <w:color w:val="000000"/>
          <w:szCs w:val="22"/>
        </w:rPr>
        <w:t>sirds līdzekļi, citi sirds līdzekļi</w:t>
      </w:r>
      <w:r w:rsidR="00C63046" w:rsidRPr="004E461A">
        <w:rPr>
          <w:color w:val="000000"/>
          <w:szCs w:val="22"/>
        </w:rPr>
        <w:t>.</w:t>
      </w:r>
    </w:p>
    <w:p w14:paraId="63F03314"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ATĶ kods</w:t>
      </w:r>
      <w:r w:rsidRPr="004E461A">
        <w:rPr>
          <w:color w:val="000000"/>
          <w:szCs w:val="22"/>
        </w:rPr>
        <w:t xml:space="preserve">: </w:t>
      </w:r>
      <w:r w:rsidR="00CD356F" w:rsidRPr="004E461A">
        <w:rPr>
          <w:color w:val="000000"/>
          <w:szCs w:val="22"/>
        </w:rPr>
        <w:t>C01EB17</w:t>
      </w:r>
    </w:p>
    <w:p w14:paraId="10E479F5" w14:textId="77777777" w:rsidR="00E11F9F" w:rsidRPr="004E461A" w:rsidRDefault="00E11F9F" w:rsidP="009C5A02">
      <w:pPr>
        <w:tabs>
          <w:tab w:val="clear" w:pos="567"/>
        </w:tabs>
        <w:spacing w:line="240" w:lineRule="auto"/>
        <w:jc w:val="both"/>
        <w:rPr>
          <w:noProof/>
          <w:color w:val="000000"/>
          <w:szCs w:val="22"/>
        </w:rPr>
      </w:pPr>
    </w:p>
    <w:p w14:paraId="282770DD" w14:textId="77777777" w:rsidR="0097548A" w:rsidRPr="004E461A" w:rsidRDefault="00FD187E" w:rsidP="009C5A02">
      <w:pPr>
        <w:spacing w:line="240" w:lineRule="auto"/>
        <w:jc w:val="both"/>
        <w:rPr>
          <w:noProof/>
          <w:color w:val="000000"/>
          <w:szCs w:val="22"/>
          <w:u w:val="single"/>
        </w:rPr>
      </w:pPr>
      <w:r w:rsidRPr="004E461A">
        <w:rPr>
          <w:noProof/>
          <w:color w:val="000000"/>
          <w:szCs w:val="22"/>
          <w:u w:val="single"/>
        </w:rPr>
        <w:t>Darbības mehānisms</w:t>
      </w:r>
    </w:p>
    <w:p w14:paraId="0C21A55B" w14:textId="77777777" w:rsidR="00DF4CA5" w:rsidRPr="004E461A" w:rsidRDefault="00DF4CA5"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ir tīrs </w:t>
      </w:r>
      <w:r w:rsidRPr="004E461A">
        <w:rPr>
          <w:iCs/>
          <w:color w:val="000000"/>
          <w:szCs w:val="22"/>
        </w:rPr>
        <w:t>sirdsdarbību</w:t>
      </w:r>
      <w:r w:rsidRPr="004E461A">
        <w:rPr>
          <w:color w:val="000000"/>
          <w:szCs w:val="22"/>
        </w:rPr>
        <w:t xml:space="preserve"> palēninošs līdzeklis, kas iedarbojas, selektīvi un specifiski </w:t>
      </w:r>
      <w:proofErr w:type="spellStart"/>
      <w:r w:rsidRPr="004E461A">
        <w:rPr>
          <w:color w:val="000000"/>
          <w:szCs w:val="22"/>
        </w:rPr>
        <w:t>inhibējot</w:t>
      </w:r>
      <w:proofErr w:type="spellEnd"/>
      <w:r w:rsidR="00BF212A" w:rsidRPr="004E461A">
        <w:rPr>
          <w:color w:val="000000"/>
          <w:szCs w:val="22"/>
        </w:rPr>
        <w:t xml:space="preserve"> sirds ritma vadīšanas sistēmas</w:t>
      </w:r>
      <w:r w:rsidRPr="004E461A">
        <w:rPr>
          <w:color w:val="000000"/>
          <w:szCs w:val="22"/>
        </w:rPr>
        <w:t xml:space="preserve"> </w:t>
      </w:r>
      <w:proofErr w:type="spellStart"/>
      <w:r w:rsidRPr="004E461A">
        <w:rPr>
          <w:color w:val="000000"/>
          <w:szCs w:val="22"/>
        </w:rPr>
        <w:t>I</w:t>
      </w:r>
      <w:r w:rsidRPr="004E461A">
        <w:rPr>
          <w:color w:val="000000"/>
          <w:szCs w:val="22"/>
          <w:vertAlign w:val="subscript"/>
        </w:rPr>
        <w:t>f</w:t>
      </w:r>
      <w:proofErr w:type="spellEnd"/>
      <w:r w:rsidR="00656FCD" w:rsidRPr="004E461A">
        <w:rPr>
          <w:color w:val="000000"/>
          <w:szCs w:val="22"/>
          <w:vertAlign w:val="subscript"/>
        </w:rPr>
        <w:t xml:space="preserve"> </w:t>
      </w:r>
      <w:r w:rsidR="00656FCD" w:rsidRPr="004E461A">
        <w:rPr>
          <w:color w:val="000000"/>
          <w:szCs w:val="22"/>
        </w:rPr>
        <w:t>impulsu</w:t>
      </w:r>
      <w:r w:rsidRPr="004E461A">
        <w:rPr>
          <w:color w:val="000000"/>
          <w:szCs w:val="22"/>
        </w:rPr>
        <w:t xml:space="preserve">, kas kontrolē spontānu diastolisku depolarizāciju sinusa mezglā un regulē sirdsdarbības </w:t>
      </w:r>
      <w:r w:rsidR="00BF212A" w:rsidRPr="004E461A">
        <w:rPr>
          <w:color w:val="000000"/>
          <w:szCs w:val="22"/>
        </w:rPr>
        <w:t>frekvenci</w:t>
      </w:r>
      <w:r w:rsidRPr="004E461A">
        <w:rPr>
          <w:color w:val="000000"/>
          <w:szCs w:val="22"/>
        </w:rPr>
        <w:t xml:space="preserve">. Iedarbība uz sirdi specifiski izpaužas tikai sinusa mezglā, un šīs zāles neietekmē ne </w:t>
      </w:r>
      <w:proofErr w:type="spellStart"/>
      <w:r w:rsidRPr="004E461A">
        <w:rPr>
          <w:color w:val="000000"/>
          <w:szCs w:val="22"/>
        </w:rPr>
        <w:t>intraatriālās</w:t>
      </w:r>
      <w:proofErr w:type="spellEnd"/>
      <w:r w:rsidRPr="004E461A">
        <w:rPr>
          <w:color w:val="000000"/>
          <w:szCs w:val="22"/>
        </w:rPr>
        <w:t xml:space="preserve">, </w:t>
      </w:r>
      <w:proofErr w:type="spellStart"/>
      <w:r w:rsidRPr="004E461A">
        <w:rPr>
          <w:color w:val="000000"/>
          <w:szCs w:val="22"/>
        </w:rPr>
        <w:t>atrioventrikulārās</w:t>
      </w:r>
      <w:proofErr w:type="spellEnd"/>
      <w:r w:rsidRPr="004E461A">
        <w:rPr>
          <w:color w:val="000000"/>
          <w:szCs w:val="22"/>
        </w:rPr>
        <w:t xml:space="preserve"> vai </w:t>
      </w:r>
      <w:proofErr w:type="spellStart"/>
      <w:r w:rsidRPr="004E461A">
        <w:rPr>
          <w:color w:val="000000"/>
          <w:szCs w:val="22"/>
        </w:rPr>
        <w:t>intraventrikulārās</w:t>
      </w:r>
      <w:proofErr w:type="spellEnd"/>
      <w:r w:rsidRPr="004E461A">
        <w:rPr>
          <w:color w:val="000000"/>
          <w:szCs w:val="22"/>
        </w:rPr>
        <w:t xml:space="preserve"> </w:t>
      </w:r>
      <w:r w:rsidR="006B66E4" w:rsidRPr="004E461A">
        <w:rPr>
          <w:color w:val="000000"/>
          <w:szCs w:val="22"/>
        </w:rPr>
        <w:t>vadīšanas</w:t>
      </w:r>
      <w:r w:rsidRPr="004E461A">
        <w:rPr>
          <w:color w:val="000000"/>
          <w:szCs w:val="22"/>
        </w:rPr>
        <w:t xml:space="preserve"> laiku, ne miokarda kontraktilitāti vai kambaru </w:t>
      </w:r>
      <w:proofErr w:type="spellStart"/>
      <w:r w:rsidRPr="004E461A">
        <w:rPr>
          <w:color w:val="000000"/>
          <w:szCs w:val="22"/>
        </w:rPr>
        <w:t>repolarizāciju</w:t>
      </w:r>
      <w:proofErr w:type="spellEnd"/>
      <w:r w:rsidRPr="004E461A">
        <w:rPr>
          <w:color w:val="000000"/>
          <w:szCs w:val="22"/>
        </w:rPr>
        <w:t>.</w:t>
      </w:r>
    </w:p>
    <w:p w14:paraId="01D14A16" w14:textId="77777777" w:rsidR="00DF4CA5" w:rsidRPr="004E461A" w:rsidRDefault="00DF4CA5" w:rsidP="009C5A02">
      <w:pPr>
        <w:spacing w:line="240" w:lineRule="auto"/>
        <w:jc w:val="both"/>
        <w:rPr>
          <w:color w:val="000000"/>
          <w:szCs w:val="22"/>
        </w:rPr>
      </w:pPr>
    </w:p>
    <w:p w14:paraId="5513E00B" w14:textId="77777777" w:rsidR="00DF4CA5" w:rsidRPr="004E461A" w:rsidRDefault="00DF4CA5" w:rsidP="009C5A02">
      <w:pPr>
        <w:spacing w:line="240" w:lineRule="auto"/>
        <w:jc w:val="both"/>
        <w:rPr>
          <w:iCs/>
          <w:color w:val="000000"/>
          <w:szCs w:val="22"/>
        </w:rPr>
      </w:pPr>
      <w:proofErr w:type="spellStart"/>
      <w:r w:rsidRPr="004E461A">
        <w:rPr>
          <w:color w:val="000000"/>
          <w:szCs w:val="22"/>
        </w:rPr>
        <w:t>Ivabradīns</w:t>
      </w:r>
      <w:proofErr w:type="spellEnd"/>
      <w:r w:rsidRPr="004E461A">
        <w:rPr>
          <w:color w:val="000000"/>
          <w:szCs w:val="22"/>
        </w:rPr>
        <w:t xml:space="preserve"> var iedarboties arī uz tīklenes </w:t>
      </w:r>
      <w:proofErr w:type="spellStart"/>
      <w:r w:rsidRPr="004E461A">
        <w:rPr>
          <w:color w:val="000000"/>
          <w:szCs w:val="22"/>
        </w:rPr>
        <w:t>I</w:t>
      </w:r>
      <w:r w:rsidRPr="004E461A">
        <w:rPr>
          <w:color w:val="000000"/>
          <w:szCs w:val="22"/>
          <w:vertAlign w:val="subscript"/>
        </w:rPr>
        <w:t>h</w:t>
      </w:r>
      <w:proofErr w:type="spellEnd"/>
      <w:r w:rsidRPr="004E461A">
        <w:rPr>
          <w:color w:val="000000"/>
          <w:szCs w:val="22"/>
        </w:rPr>
        <w:t xml:space="preserve"> impulsiem, kam piemīt izteikta līdzība ar sirds </w:t>
      </w:r>
      <w:proofErr w:type="spellStart"/>
      <w:r w:rsidRPr="004E461A">
        <w:rPr>
          <w:color w:val="000000"/>
          <w:szCs w:val="22"/>
        </w:rPr>
        <w:t>I</w:t>
      </w:r>
      <w:r w:rsidRPr="004E461A">
        <w:rPr>
          <w:color w:val="000000"/>
          <w:szCs w:val="22"/>
          <w:vertAlign w:val="subscript"/>
        </w:rPr>
        <w:t>f</w:t>
      </w:r>
      <w:proofErr w:type="spellEnd"/>
      <w:r w:rsidRPr="004E461A">
        <w:rPr>
          <w:color w:val="000000"/>
          <w:szCs w:val="22"/>
        </w:rPr>
        <w:t xml:space="preserve"> impulsiem. </w:t>
      </w:r>
      <w:r w:rsidRPr="004E461A">
        <w:rPr>
          <w:iCs/>
          <w:color w:val="000000"/>
          <w:szCs w:val="22"/>
        </w:rPr>
        <w:t xml:space="preserve">Tas iedarbojas uz redzes sistēmas īslaicīgo izšķirtspēju, samazinot tīklenes atbildes reakciju uz spožas gaismas stimulu. Pie veicinošiem apstākļiem (piemēram, ātras gaismas intensitātes izmaiņas) notiek daļēja </w:t>
      </w:r>
      <w:proofErr w:type="spellStart"/>
      <w:r w:rsidRPr="004E461A">
        <w:rPr>
          <w:iCs/>
          <w:color w:val="000000"/>
          <w:szCs w:val="22"/>
        </w:rPr>
        <w:t>I</w:t>
      </w:r>
      <w:r w:rsidRPr="004E461A">
        <w:rPr>
          <w:iCs/>
          <w:color w:val="000000"/>
          <w:szCs w:val="22"/>
          <w:vertAlign w:val="subscript"/>
        </w:rPr>
        <w:t>h</w:t>
      </w:r>
      <w:proofErr w:type="spellEnd"/>
      <w:r w:rsidRPr="004E461A">
        <w:rPr>
          <w:iCs/>
          <w:color w:val="000000"/>
          <w:szCs w:val="22"/>
        </w:rPr>
        <w:t xml:space="preserve"> </w:t>
      </w:r>
      <w:proofErr w:type="spellStart"/>
      <w:r w:rsidRPr="004E461A">
        <w:rPr>
          <w:iCs/>
          <w:color w:val="000000"/>
          <w:szCs w:val="22"/>
        </w:rPr>
        <w:t>inhibīcija</w:t>
      </w:r>
      <w:proofErr w:type="spellEnd"/>
      <w:r w:rsidRPr="004E461A">
        <w:rPr>
          <w:iCs/>
          <w:color w:val="000000"/>
          <w:szCs w:val="22"/>
        </w:rPr>
        <w:t xml:space="preserve"> ar </w:t>
      </w:r>
      <w:proofErr w:type="spellStart"/>
      <w:r w:rsidRPr="004E461A">
        <w:rPr>
          <w:iCs/>
          <w:color w:val="000000"/>
          <w:szCs w:val="22"/>
        </w:rPr>
        <w:t>ivabradīnu</w:t>
      </w:r>
      <w:proofErr w:type="spellEnd"/>
      <w:r w:rsidRPr="004E461A">
        <w:rPr>
          <w:iCs/>
          <w:color w:val="000000"/>
          <w:szCs w:val="22"/>
        </w:rPr>
        <w:t>, kas rada gaismas fenomenus, kurus dažreiz izjūt pacienti. Gaismas fenomeni (</w:t>
      </w:r>
      <w:proofErr w:type="spellStart"/>
      <w:r w:rsidRPr="004E461A">
        <w:rPr>
          <w:iCs/>
          <w:color w:val="000000"/>
          <w:szCs w:val="22"/>
        </w:rPr>
        <w:t>fotopsijas</w:t>
      </w:r>
      <w:proofErr w:type="spellEnd"/>
      <w:r w:rsidRPr="004E461A">
        <w:rPr>
          <w:iCs/>
          <w:color w:val="000000"/>
          <w:szCs w:val="22"/>
        </w:rPr>
        <w:t>) ir aprakstītas kā parejoši uzplaiksnījumi ierobežotā redzes lauka daļā (skatīt 4.8. apakšpunktu).</w:t>
      </w:r>
    </w:p>
    <w:p w14:paraId="7686ECB9" w14:textId="77777777" w:rsidR="00DF4CA5" w:rsidRPr="004E461A" w:rsidRDefault="00DF4CA5" w:rsidP="009C5A02">
      <w:pPr>
        <w:spacing w:line="240" w:lineRule="auto"/>
        <w:jc w:val="both"/>
        <w:rPr>
          <w:noProof/>
          <w:color w:val="000000"/>
          <w:szCs w:val="22"/>
          <w:u w:val="single"/>
        </w:rPr>
      </w:pPr>
    </w:p>
    <w:p w14:paraId="3134672D" w14:textId="77777777" w:rsidR="0097548A" w:rsidRPr="004E461A" w:rsidRDefault="00FD187E" w:rsidP="009C5A02">
      <w:pPr>
        <w:spacing w:line="240" w:lineRule="auto"/>
        <w:jc w:val="both"/>
        <w:rPr>
          <w:noProof/>
          <w:color w:val="000000"/>
          <w:szCs w:val="22"/>
          <w:u w:val="single"/>
        </w:rPr>
      </w:pPr>
      <w:r w:rsidRPr="004E461A">
        <w:rPr>
          <w:noProof/>
          <w:color w:val="000000"/>
          <w:szCs w:val="22"/>
          <w:u w:val="single"/>
        </w:rPr>
        <w:t>Farmakodinamiskā iedarbība</w:t>
      </w:r>
    </w:p>
    <w:p w14:paraId="4266E777" w14:textId="77777777" w:rsidR="00734C57" w:rsidRPr="004E461A" w:rsidRDefault="00734C57" w:rsidP="009C5A02">
      <w:pPr>
        <w:spacing w:line="240" w:lineRule="auto"/>
        <w:jc w:val="both"/>
        <w:rPr>
          <w:color w:val="000000"/>
          <w:szCs w:val="22"/>
        </w:rPr>
      </w:pPr>
      <w:proofErr w:type="spellStart"/>
      <w:r w:rsidRPr="004E461A">
        <w:rPr>
          <w:color w:val="000000"/>
          <w:szCs w:val="22"/>
        </w:rPr>
        <w:t>Ivabradīna</w:t>
      </w:r>
      <w:proofErr w:type="spellEnd"/>
      <w:r w:rsidRPr="004E461A">
        <w:rPr>
          <w:color w:val="000000"/>
          <w:szCs w:val="22"/>
        </w:rPr>
        <w:t xml:space="preserve"> galvenā </w:t>
      </w:r>
      <w:proofErr w:type="spellStart"/>
      <w:r w:rsidRPr="004E461A">
        <w:rPr>
          <w:color w:val="000000"/>
          <w:szCs w:val="22"/>
        </w:rPr>
        <w:t>farmakodinamiskā</w:t>
      </w:r>
      <w:proofErr w:type="spellEnd"/>
      <w:r w:rsidRPr="004E461A">
        <w:rPr>
          <w:color w:val="000000"/>
          <w:szCs w:val="22"/>
        </w:rPr>
        <w:t xml:space="preserve"> īpašība cilvēka organismā ir specifiska, no devas atkarīga sirdsdarbības </w:t>
      </w:r>
      <w:r w:rsidR="000502D6" w:rsidRPr="004E461A">
        <w:rPr>
          <w:color w:val="000000"/>
          <w:szCs w:val="22"/>
        </w:rPr>
        <w:t>frekvences</w:t>
      </w:r>
      <w:r w:rsidRPr="004E461A">
        <w:rPr>
          <w:color w:val="000000"/>
          <w:szCs w:val="22"/>
        </w:rPr>
        <w:t xml:space="preserve"> palēnināšanās. Sirdsdarbības </w:t>
      </w:r>
      <w:r w:rsidR="000502D6" w:rsidRPr="004E461A">
        <w:rPr>
          <w:color w:val="000000"/>
          <w:szCs w:val="22"/>
        </w:rPr>
        <w:t>frekvences</w:t>
      </w:r>
      <w:r w:rsidRPr="004E461A">
        <w:rPr>
          <w:color w:val="000000"/>
          <w:szCs w:val="22"/>
        </w:rPr>
        <w:t xml:space="preserve"> palēnināšanās analīze liecina, ka, lietojot devas līdz 20 mg divas reizes dienā, ir tendence rasties plato efektam, kas saistīts ar mazāku smagas bradikardijas risku, kad sirdsdarbības </w:t>
      </w:r>
      <w:r w:rsidR="000502D6" w:rsidRPr="004E461A">
        <w:rPr>
          <w:color w:val="000000"/>
          <w:szCs w:val="22"/>
        </w:rPr>
        <w:t>frekvence</w:t>
      </w:r>
      <w:r w:rsidRPr="004E461A">
        <w:rPr>
          <w:color w:val="000000"/>
          <w:szCs w:val="22"/>
        </w:rPr>
        <w:t xml:space="preserve"> ir lēnāk</w:t>
      </w:r>
      <w:r w:rsidR="000502D6" w:rsidRPr="004E461A">
        <w:rPr>
          <w:color w:val="000000"/>
          <w:szCs w:val="22"/>
        </w:rPr>
        <w:t>a</w:t>
      </w:r>
      <w:r w:rsidRPr="004E461A">
        <w:rPr>
          <w:color w:val="000000"/>
          <w:szCs w:val="22"/>
        </w:rPr>
        <w:t xml:space="preserve"> par 40 sitieniem minūtē (skatīt 4.8. apakšpunktu).</w:t>
      </w:r>
    </w:p>
    <w:p w14:paraId="00CA89F7" w14:textId="77777777" w:rsidR="00734C57" w:rsidRPr="004E461A" w:rsidRDefault="00734C57" w:rsidP="009C5A02">
      <w:pPr>
        <w:spacing w:line="240" w:lineRule="auto"/>
        <w:jc w:val="both"/>
        <w:rPr>
          <w:color w:val="000000"/>
          <w:szCs w:val="22"/>
        </w:rPr>
      </w:pPr>
      <w:r w:rsidRPr="004E461A">
        <w:rPr>
          <w:color w:val="000000"/>
          <w:szCs w:val="22"/>
        </w:rPr>
        <w:t xml:space="preserve">Lietojot parastās ieteicamās devas, sirdsdarbības </w:t>
      </w:r>
      <w:r w:rsidR="00842E64" w:rsidRPr="004E461A">
        <w:rPr>
          <w:color w:val="000000"/>
          <w:szCs w:val="22"/>
        </w:rPr>
        <w:t>frekvence</w:t>
      </w:r>
      <w:r w:rsidRPr="004E461A">
        <w:rPr>
          <w:color w:val="000000"/>
          <w:szCs w:val="22"/>
        </w:rPr>
        <w:t xml:space="preserve"> miera stāvoklī un fizisku aktivitāšu laikā ir apmēram par 10 sitieniem minūtē lēnāks. Rezultātā samazinās sirds darba slodze un skābekļa patēriņš miokardā. </w:t>
      </w:r>
      <w:proofErr w:type="spellStart"/>
      <w:r w:rsidRPr="004E461A">
        <w:rPr>
          <w:color w:val="000000"/>
          <w:szCs w:val="22"/>
        </w:rPr>
        <w:t>Ivabradīns</w:t>
      </w:r>
      <w:proofErr w:type="spellEnd"/>
      <w:r w:rsidRPr="004E461A">
        <w:rPr>
          <w:color w:val="000000"/>
          <w:szCs w:val="22"/>
        </w:rPr>
        <w:t xml:space="preserve"> neietekmē </w:t>
      </w:r>
      <w:proofErr w:type="spellStart"/>
      <w:r w:rsidRPr="004E461A">
        <w:rPr>
          <w:color w:val="000000"/>
          <w:szCs w:val="22"/>
        </w:rPr>
        <w:t>intrakardiālo</w:t>
      </w:r>
      <w:proofErr w:type="spellEnd"/>
      <w:r w:rsidRPr="004E461A">
        <w:rPr>
          <w:color w:val="000000"/>
          <w:szCs w:val="22"/>
        </w:rPr>
        <w:t xml:space="preserve"> vadīšanu, kontraktilitāti (nav negatīva </w:t>
      </w:r>
      <w:proofErr w:type="spellStart"/>
      <w:r w:rsidRPr="004E461A">
        <w:rPr>
          <w:color w:val="000000"/>
          <w:szCs w:val="22"/>
        </w:rPr>
        <w:t>inotropā</w:t>
      </w:r>
      <w:proofErr w:type="spellEnd"/>
      <w:r w:rsidRPr="004E461A">
        <w:rPr>
          <w:color w:val="000000"/>
          <w:szCs w:val="22"/>
        </w:rPr>
        <w:t xml:space="preserve"> efekta) vai </w:t>
      </w:r>
      <w:proofErr w:type="spellStart"/>
      <w:r w:rsidRPr="004E461A">
        <w:rPr>
          <w:color w:val="000000"/>
          <w:szCs w:val="22"/>
        </w:rPr>
        <w:t>ventrikulāro</w:t>
      </w:r>
      <w:proofErr w:type="spellEnd"/>
      <w:r w:rsidRPr="004E461A">
        <w:rPr>
          <w:color w:val="000000"/>
          <w:szCs w:val="22"/>
        </w:rPr>
        <w:t xml:space="preserve"> </w:t>
      </w:r>
      <w:proofErr w:type="spellStart"/>
      <w:r w:rsidRPr="004E461A">
        <w:rPr>
          <w:color w:val="000000"/>
          <w:szCs w:val="22"/>
        </w:rPr>
        <w:t>repolarizāciju</w:t>
      </w:r>
      <w:proofErr w:type="spellEnd"/>
      <w:r w:rsidRPr="004E461A">
        <w:rPr>
          <w:color w:val="000000"/>
          <w:szCs w:val="22"/>
        </w:rPr>
        <w:t>:</w:t>
      </w:r>
    </w:p>
    <w:p w14:paraId="751B7203" w14:textId="77777777" w:rsidR="00734C57" w:rsidRPr="004E461A" w:rsidRDefault="00734C57" w:rsidP="009C5A02">
      <w:pPr>
        <w:numPr>
          <w:ilvl w:val="0"/>
          <w:numId w:val="32"/>
        </w:numPr>
        <w:tabs>
          <w:tab w:val="clear" w:pos="567"/>
          <w:tab w:val="left" w:pos="709"/>
        </w:tabs>
        <w:spacing w:line="240" w:lineRule="auto"/>
        <w:jc w:val="both"/>
        <w:rPr>
          <w:color w:val="000000"/>
          <w:szCs w:val="22"/>
        </w:rPr>
      </w:pPr>
      <w:r w:rsidRPr="004E461A">
        <w:rPr>
          <w:color w:val="000000"/>
          <w:szCs w:val="22"/>
        </w:rPr>
        <w:t xml:space="preserve">klīniskajos </w:t>
      </w:r>
      <w:proofErr w:type="spellStart"/>
      <w:r w:rsidRPr="004E461A">
        <w:rPr>
          <w:color w:val="000000"/>
          <w:szCs w:val="22"/>
        </w:rPr>
        <w:t>elektrofizioloģijas</w:t>
      </w:r>
      <w:proofErr w:type="spellEnd"/>
      <w:r w:rsidRPr="004E461A">
        <w:rPr>
          <w:color w:val="000000"/>
          <w:szCs w:val="22"/>
        </w:rPr>
        <w:t xml:space="preserve"> pētījumos </w:t>
      </w:r>
      <w:proofErr w:type="spellStart"/>
      <w:r w:rsidRPr="004E461A">
        <w:rPr>
          <w:color w:val="000000"/>
          <w:szCs w:val="22"/>
        </w:rPr>
        <w:t>ivabradīns</w:t>
      </w:r>
      <w:proofErr w:type="spellEnd"/>
      <w:r w:rsidRPr="004E461A">
        <w:rPr>
          <w:color w:val="000000"/>
          <w:szCs w:val="22"/>
        </w:rPr>
        <w:t xml:space="preserve"> neietekmēja </w:t>
      </w:r>
      <w:proofErr w:type="spellStart"/>
      <w:r w:rsidRPr="004E461A">
        <w:rPr>
          <w:color w:val="000000"/>
          <w:szCs w:val="22"/>
        </w:rPr>
        <w:t>atrioventrikulārās</w:t>
      </w:r>
      <w:proofErr w:type="spellEnd"/>
      <w:r w:rsidRPr="004E461A">
        <w:rPr>
          <w:color w:val="000000"/>
          <w:szCs w:val="22"/>
        </w:rPr>
        <w:t xml:space="preserve"> vai </w:t>
      </w:r>
      <w:proofErr w:type="spellStart"/>
      <w:r w:rsidRPr="004E461A">
        <w:rPr>
          <w:color w:val="000000"/>
          <w:szCs w:val="22"/>
        </w:rPr>
        <w:t>intraventrikulārās</w:t>
      </w:r>
      <w:proofErr w:type="spellEnd"/>
      <w:r w:rsidRPr="004E461A">
        <w:rPr>
          <w:color w:val="000000"/>
          <w:szCs w:val="22"/>
        </w:rPr>
        <w:t xml:space="preserve"> vadīšanas laiku vai koriģēto QT intervālu;</w:t>
      </w:r>
    </w:p>
    <w:p w14:paraId="38F1E084" w14:textId="77777777" w:rsidR="00734C57" w:rsidRPr="004E461A" w:rsidRDefault="00734C57" w:rsidP="009C5A02">
      <w:pPr>
        <w:numPr>
          <w:ilvl w:val="0"/>
          <w:numId w:val="32"/>
        </w:numPr>
        <w:tabs>
          <w:tab w:val="clear" w:pos="567"/>
          <w:tab w:val="left" w:pos="709"/>
        </w:tabs>
        <w:spacing w:line="240" w:lineRule="auto"/>
        <w:jc w:val="both"/>
        <w:rPr>
          <w:color w:val="000000"/>
          <w:szCs w:val="22"/>
        </w:rPr>
      </w:pPr>
      <w:r w:rsidRPr="004E461A">
        <w:rPr>
          <w:color w:val="000000"/>
          <w:szCs w:val="22"/>
        </w:rPr>
        <w:t xml:space="preserve">pacientiem ar kreisā kambara disfunkciju (kreisā kambara izsviedes frakcija [KKIF] no 30 līdz 45 %) </w:t>
      </w:r>
      <w:proofErr w:type="spellStart"/>
      <w:r w:rsidRPr="004E461A">
        <w:rPr>
          <w:color w:val="000000"/>
          <w:szCs w:val="22"/>
        </w:rPr>
        <w:t>ivabradīns</w:t>
      </w:r>
      <w:proofErr w:type="spellEnd"/>
      <w:r w:rsidRPr="004E461A">
        <w:rPr>
          <w:color w:val="000000"/>
          <w:szCs w:val="22"/>
        </w:rPr>
        <w:t xml:space="preserve"> neizraisa negatīvu ietekmi uz KKIF.</w:t>
      </w:r>
    </w:p>
    <w:p w14:paraId="323EFDE6" w14:textId="77777777" w:rsidR="00734C57" w:rsidRPr="004E461A" w:rsidRDefault="00734C57" w:rsidP="009C5A02">
      <w:pPr>
        <w:spacing w:line="240" w:lineRule="auto"/>
        <w:jc w:val="both"/>
        <w:rPr>
          <w:noProof/>
          <w:color w:val="000000"/>
          <w:szCs w:val="22"/>
          <w:u w:val="single"/>
        </w:rPr>
      </w:pPr>
    </w:p>
    <w:p w14:paraId="359F2125" w14:textId="77777777" w:rsidR="0097548A" w:rsidRPr="004E461A" w:rsidRDefault="0097548A" w:rsidP="009C5A02">
      <w:pPr>
        <w:spacing w:line="240" w:lineRule="auto"/>
        <w:jc w:val="both"/>
        <w:rPr>
          <w:noProof/>
          <w:color w:val="000000"/>
          <w:szCs w:val="22"/>
          <w:u w:val="single"/>
        </w:rPr>
      </w:pPr>
      <w:r w:rsidRPr="004E461A">
        <w:rPr>
          <w:noProof/>
          <w:color w:val="000000"/>
          <w:szCs w:val="22"/>
          <w:u w:val="single"/>
        </w:rPr>
        <w:t>Klīniskā efektivitāte un droš</w:t>
      </w:r>
      <w:r w:rsidR="00F311D8" w:rsidRPr="004E461A">
        <w:rPr>
          <w:noProof/>
          <w:color w:val="000000"/>
          <w:szCs w:val="22"/>
          <w:u w:val="single"/>
        </w:rPr>
        <w:t>ums</w:t>
      </w:r>
    </w:p>
    <w:p w14:paraId="34C751F2" w14:textId="77777777" w:rsidR="00106702" w:rsidRPr="004E461A" w:rsidRDefault="00106702" w:rsidP="009C5A02">
      <w:pPr>
        <w:spacing w:line="240" w:lineRule="auto"/>
        <w:jc w:val="both"/>
        <w:rPr>
          <w:color w:val="000000"/>
          <w:szCs w:val="22"/>
        </w:rPr>
      </w:pPr>
      <w:proofErr w:type="spellStart"/>
      <w:r w:rsidRPr="004E461A">
        <w:rPr>
          <w:color w:val="000000"/>
          <w:szCs w:val="22"/>
        </w:rPr>
        <w:t>Ivabradīna</w:t>
      </w:r>
      <w:proofErr w:type="spellEnd"/>
      <w:r w:rsidRPr="004E461A">
        <w:rPr>
          <w:color w:val="000000"/>
          <w:szCs w:val="22"/>
        </w:rPr>
        <w:t xml:space="preserve"> antianginālā un </w:t>
      </w:r>
      <w:proofErr w:type="spellStart"/>
      <w:r w:rsidRPr="004E461A">
        <w:rPr>
          <w:color w:val="000000"/>
          <w:szCs w:val="22"/>
        </w:rPr>
        <w:t>antiišēmiskā</w:t>
      </w:r>
      <w:proofErr w:type="spellEnd"/>
      <w:r w:rsidRPr="004E461A">
        <w:rPr>
          <w:color w:val="000000"/>
          <w:szCs w:val="22"/>
        </w:rPr>
        <w:t xml:space="preserve"> efektivitāte pētīta piecos dubultmaskētos, randomizētos pētījumos (trijos salīdzinājumā ar placebo, bet vienā — salīdzinājumā ar </w:t>
      </w:r>
      <w:proofErr w:type="spellStart"/>
      <w:r w:rsidRPr="004E461A">
        <w:rPr>
          <w:color w:val="000000"/>
          <w:szCs w:val="22"/>
        </w:rPr>
        <w:t>atenololu</w:t>
      </w:r>
      <w:proofErr w:type="spellEnd"/>
      <w:r w:rsidRPr="004E461A">
        <w:rPr>
          <w:color w:val="000000"/>
          <w:szCs w:val="22"/>
        </w:rPr>
        <w:t xml:space="preserve"> un </w:t>
      </w:r>
      <w:proofErr w:type="spellStart"/>
      <w:r w:rsidRPr="004E461A">
        <w:rPr>
          <w:color w:val="000000"/>
          <w:szCs w:val="22"/>
        </w:rPr>
        <w:t>amlodipīnu</w:t>
      </w:r>
      <w:proofErr w:type="spellEnd"/>
      <w:r w:rsidRPr="004E461A">
        <w:rPr>
          <w:color w:val="000000"/>
          <w:szCs w:val="22"/>
        </w:rPr>
        <w:t xml:space="preserve">). Šajos pētījumos piedalījušies kopumā 4111 pacienti ar hronisku stabilu stenokardiju, </w:t>
      </w:r>
      <w:r w:rsidR="00BE471D" w:rsidRPr="004E461A">
        <w:rPr>
          <w:color w:val="000000"/>
          <w:szCs w:val="22"/>
        </w:rPr>
        <w:t>no kuriem</w:t>
      </w:r>
      <w:r w:rsidRPr="004E461A">
        <w:rPr>
          <w:color w:val="000000"/>
          <w:szCs w:val="22"/>
        </w:rPr>
        <w:t xml:space="preserve"> 2617 saņēma </w:t>
      </w:r>
      <w:proofErr w:type="spellStart"/>
      <w:r w:rsidRPr="004E461A">
        <w:rPr>
          <w:color w:val="000000"/>
          <w:szCs w:val="22"/>
        </w:rPr>
        <w:t>ivabradīnu</w:t>
      </w:r>
      <w:proofErr w:type="spellEnd"/>
      <w:r w:rsidRPr="004E461A">
        <w:rPr>
          <w:color w:val="000000"/>
          <w:szCs w:val="22"/>
        </w:rPr>
        <w:t>.</w:t>
      </w:r>
    </w:p>
    <w:p w14:paraId="5D9F9205" w14:textId="77777777" w:rsidR="00106702" w:rsidRPr="004E461A" w:rsidRDefault="00106702" w:rsidP="009C5A02">
      <w:pPr>
        <w:spacing w:line="240" w:lineRule="auto"/>
        <w:jc w:val="both"/>
        <w:rPr>
          <w:color w:val="000000"/>
          <w:szCs w:val="22"/>
        </w:rPr>
      </w:pPr>
    </w:p>
    <w:p w14:paraId="4DB1B33D" w14:textId="77777777" w:rsidR="00106702" w:rsidRPr="004E461A" w:rsidRDefault="00106702" w:rsidP="009C5A02">
      <w:pPr>
        <w:spacing w:line="240" w:lineRule="auto"/>
        <w:jc w:val="both"/>
        <w:rPr>
          <w:color w:val="000000"/>
          <w:szCs w:val="22"/>
        </w:rPr>
      </w:pPr>
      <w:r w:rsidRPr="004E461A">
        <w:rPr>
          <w:color w:val="000000"/>
          <w:szCs w:val="22"/>
        </w:rPr>
        <w:t xml:space="preserve">Pierādīts, ka </w:t>
      </w:r>
      <w:proofErr w:type="spellStart"/>
      <w:r w:rsidRPr="004E461A">
        <w:rPr>
          <w:color w:val="000000"/>
          <w:szCs w:val="22"/>
        </w:rPr>
        <w:t>ivabradīns</w:t>
      </w:r>
      <w:proofErr w:type="spellEnd"/>
      <w:r w:rsidRPr="004E461A">
        <w:rPr>
          <w:color w:val="000000"/>
          <w:szCs w:val="22"/>
        </w:rPr>
        <w:t xml:space="preserve">, lietojot devā 5 mg divas reizes dienā 3 līdz 4 nedēļas, efektīvi ietekmēja slodzes testa </w:t>
      </w:r>
      <w:r w:rsidR="00E7067F" w:rsidRPr="004E461A">
        <w:rPr>
          <w:color w:val="000000"/>
          <w:szCs w:val="22"/>
        </w:rPr>
        <w:t>parametrus</w:t>
      </w:r>
      <w:r w:rsidRPr="004E461A">
        <w:rPr>
          <w:color w:val="000000"/>
          <w:szCs w:val="22"/>
        </w:rPr>
        <w:t xml:space="preserve">. Efektivitāte tika pierādīta ar devu 7,5 mg divas reizes dienā. Īpašs papildu ieguvums, salīdzinot ar devu 5 mg divas reizes dienā, tika </w:t>
      </w:r>
      <w:r w:rsidR="008B345C" w:rsidRPr="004E461A">
        <w:rPr>
          <w:color w:val="000000"/>
          <w:szCs w:val="22"/>
        </w:rPr>
        <w:t xml:space="preserve">novērots </w:t>
      </w:r>
      <w:r w:rsidR="003B4753" w:rsidRPr="004E461A">
        <w:rPr>
          <w:color w:val="000000"/>
          <w:szCs w:val="22"/>
        </w:rPr>
        <w:t xml:space="preserve">kontrolētā pētījumā </w:t>
      </w:r>
      <w:r w:rsidR="008B345C" w:rsidRPr="004E461A">
        <w:rPr>
          <w:color w:val="000000"/>
          <w:szCs w:val="22"/>
        </w:rPr>
        <w:t>ar salīdzināmā</w:t>
      </w:r>
      <w:r w:rsidR="003B4753" w:rsidRPr="004E461A">
        <w:rPr>
          <w:color w:val="000000"/>
          <w:szCs w:val="22"/>
        </w:rPr>
        <w:t xml:space="preserve">m zālēm </w:t>
      </w:r>
      <w:proofErr w:type="spellStart"/>
      <w:r w:rsidR="008B345C" w:rsidRPr="004E461A">
        <w:rPr>
          <w:color w:val="000000"/>
          <w:szCs w:val="22"/>
        </w:rPr>
        <w:t>atenololu</w:t>
      </w:r>
      <w:proofErr w:type="spellEnd"/>
      <w:r w:rsidRPr="004E461A">
        <w:rPr>
          <w:color w:val="000000"/>
          <w:szCs w:val="22"/>
        </w:rPr>
        <w:t xml:space="preserve">: pēc 5 mg devas lietošanas divas reizes dienā viena mēneša garumā kopējais minimālās slodzes ilgums palielinājās aptuveni par 1 minūti, pēc papildu 3 mēnešu perioda ar forsētu devas titrēšanu līdz 7,5 mg divas reizes dienā tas palielinājās vēl gandrīz par 25 sekundēm. Šajā pētījumā </w:t>
      </w:r>
      <w:proofErr w:type="spellStart"/>
      <w:r w:rsidRPr="004E461A">
        <w:rPr>
          <w:color w:val="000000"/>
          <w:szCs w:val="22"/>
        </w:rPr>
        <w:t>ivabradīna</w:t>
      </w:r>
      <w:proofErr w:type="spellEnd"/>
      <w:r w:rsidRPr="004E461A">
        <w:rPr>
          <w:color w:val="000000"/>
          <w:szCs w:val="22"/>
        </w:rPr>
        <w:t xml:space="preserve"> antianginālā un </w:t>
      </w:r>
      <w:proofErr w:type="spellStart"/>
      <w:r w:rsidRPr="004E461A">
        <w:rPr>
          <w:color w:val="000000"/>
          <w:szCs w:val="22"/>
        </w:rPr>
        <w:t>antiišēmiskā</w:t>
      </w:r>
      <w:proofErr w:type="spellEnd"/>
      <w:r w:rsidRPr="004E461A">
        <w:rPr>
          <w:color w:val="000000"/>
          <w:szCs w:val="22"/>
        </w:rPr>
        <w:t xml:space="preserve"> iedarbība tika </w:t>
      </w:r>
      <w:r w:rsidR="00865F72" w:rsidRPr="004E461A">
        <w:rPr>
          <w:color w:val="000000"/>
          <w:szCs w:val="22"/>
        </w:rPr>
        <w:t>pierādīta</w:t>
      </w:r>
      <w:r w:rsidRPr="004E461A">
        <w:rPr>
          <w:color w:val="000000"/>
          <w:szCs w:val="22"/>
        </w:rPr>
        <w:t xml:space="preserve"> pacientiem no 65 gadu vecuma. Devu 5 un 7,5 mg divas reizes dienā efektivitāte, vērtējot slodzes testa </w:t>
      </w:r>
      <w:r w:rsidR="00865F72" w:rsidRPr="004E461A">
        <w:rPr>
          <w:color w:val="000000"/>
          <w:szCs w:val="22"/>
        </w:rPr>
        <w:t>parametrus</w:t>
      </w:r>
      <w:r w:rsidRPr="004E461A">
        <w:rPr>
          <w:color w:val="000000"/>
          <w:szCs w:val="22"/>
        </w:rPr>
        <w:t xml:space="preserve"> (kopējais slodzes ilgums, laiks līdz</w:t>
      </w:r>
      <w:r w:rsidR="00944384" w:rsidRPr="004E461A">
        <w:rPr>
          <w:color w:val="000000"/>
          <w:szCs w:val="22"/>
        </w:rPr>
        <w:t xml:space="preserve"> fiziskās aktivitātes ierobežojumiem stenokardijas dēļ</w:t>
      </w:r>
      <w:r w:rsidRPr="004E461A">
        <w:rPr>
          <w:color w:val="000000"/>
          <w:szCs w:val="22"/>
        </w:rPr>
        <w:t>, laiks līdz stenokardijas sākumam un laiks līdz ST segmenta 1 mm</w:t>
      </w:r>
      <w:r w:rsidRPr="004E461A" w:rsidDel="004B07B5">
        <w:rPr>
          <w:color w:val="000000"/>
          <w:szCs w:val="22"/>
        </w:rPr>
        <w:t xml:space="preserve"> </w:t>
      </w:r>
      <w:r w:rsidRPr="004E461A">
        <w:rPr>
          <w:color w:val="000000"/>
          <w:szCs w:val="22"/>
        </w:rPr>
        <w:t xml:space="preserve">depresijai) dažādos pētījumos bija līdzīga, un to saistīja ar stenokardijas lēkmju biežuma samazinājumu apmēram par 70 %. </w:t>
      </w:r>
      <w:proofErr w:type="spellStart"/>
      <w:r w:rsidRPr="004E461A">
        <w:rPr>
          <w:color w:val="000000"/>
          <w:szCs w:val="22"/>
        </w:rPr>
        <w:t>Ivabradīna</w:t>
      </w:r>
      <w:proofErr w:type="spellEnd"/>
      <w:r w:rsidRPr="004E461A">
        <w:rPr>
          <w:color w:val="000000"/>
          <w:szCs w:val="22"/>
        </w:rPr>
        <w:t xml:space="preserve"> lietošana divas reizes dienā, nodrošināja vienādu efektivitāti 24 stundu laikā.</w:t>
      </w:r>
    </w:p>
    <w:p w14:paraId="35361ACE" w14:textId="77777777" w:rsidR="00734C57" w:rsidRPr="004E461A" w:rsidRDefault="00734C57" w:rsidP="009C5A02">
      <w:pPr>
        <w:spacing w:line="240" w:lineRule="auto"/>
        <w:jc w:val="both"/>
        <w:rPr>
          <w:bCs/>
          <w:iCs/>
          <w:color w:val="000000"/>
          <w:szCs w:val="22"/>
          <w:u w:val="single"/>
        </w:rPr>
      </w:pPr>
    </w:p>
    <w:p w14:paraId="77AF1D09" w14:textId="77777777" w:rsidR="00981BC3" w:rsidRPr="004E461A" w:rsidRDefault="00981BC3" w:rsidP="009C5A02">
      <w:pPr>
        <w:spacing w:line="240" w:lineRule="auto"/>
        <w:jc w:val="both"/>
        <w:rPr>
          <w:color w:val="000000"/>
          <w:szCs w:val="22"/>
        </w:rPr>
      </w:pPr>
      <w:r w:rsidRPr="004E461A">
        <w:rPr>
          <w:color w:val="000000"/>
          <w:szCs w:val="22"/>
        </w:rPr>
        <w:t xml:space="preserve">Randomizētā, placebo kontrolētā pētījumā, kurā piedalījās 889 pacienti, </w:t>
      </w:r>
      <w:proofErr w:type="spellStart"/>
      <w:r w:rsidRPr="004E461A">
        <w:rPr>
          <w:color w:val="000000"/>
          <w:szCs w:val="22"/>
        </w:rPr>
        <w:t>ivabradīns</w:t>
      </w:r>
      <w:proofErr w:type="spellEnd"/>
      <w:r w:rsidRPr="004E461A">
        <w:rPr>
          <w:color w:val="000000"/>
          <w:szCs w:val="22"/>
        </w:rPr>
        <w:t xml:space="preserve">, ko lietoja papildus 50 mg </w:t>
      </w:r>
      <w:proofErr w:type="spellStart"/>
      <w:r w:rsidRPr="004E461A">
        <w:rPr>
          <w:color w:val="000000"/>
          <w:szCs w:val="22"/>
        </w:rPr>
        <w:t>atenolola</w:t>
      </w:r>
      <w:proofErr w:type="spellEnd"/>
      <w:r w:rsidRPr="004E461A">
        <w:rPr>
          <w:color w:val="000000"/>
          <w:szCs w:val="22"/>
        </w:rPr>
        <w:t xml:space="preserve"> vienu reizi dienā, uzrādīja papildu efektivitāti uz visiem ETT </w:t>
      </w:r>
      <w:r w:rsidR="00C05C34" w:rsidRPr="004E461A">
        <w:rPr>
          <w:color w:val="000000"/>
          <w:szCs w:val="22"/>
        </w:rPr>
        <w:t>parametriem</w:t>
      </w:r>
      <w:r w:rsidRPr="004E461A">
        <w:rPr>
          <w:color w:val="000000"/>
          <w:szCs w:val="22"/>
        </w:rPr>
        <w:t xml:space="preserve"> zāļu iedarbības beigās (12 stundas pēc iekšķīgas lietošanas).</w:t>
      </w:r>
    </w:p>
    <w:p w14:paraId="13F9D80F" w14:textId="77777777" w:rsidR="00981BC3" w:rsidRPr="004E461A" w:rsidRDefault="00981BC3" w:rsidP="009C5A02">
      <w:pPr>
        <w:spacing w:line="240" w:lineRule="auto"/>
        <w:jc w:val="both"/>
        <w:rPr>
          <w:color w:val="000000"/>
          <w:szCs w:val="22"/>
        </w:rPr>
      </w:pPr>
    </w:p>
    <w:p w14:paraId="72E27F9A" w14:textId="77777777" w:rsidR="00981BC3" w:rsidRPr="004E461A" w:rsidRDefault="00981BC3" w:rsidP="009C5A02">
      <w:pPr>
        <w:spacing w:line="240" w:lineRule="auto"/>
        <w:jc w:val="both"/>
        <w:rPr>
          <w:color w:val="000000"/>
          <w:szCs w:val="22"/>
        </w:rPr>
      </w:pPr>
      <w:r w:rsidRPr="004E461A">
        <w:rPr>
          <w:color w:val="000000"/>
          <w:szCs w:val="22"/>
        </w:rPr>
        <w:t xml:space="preserve">Randomizētā, placebo kontrolētā pētījumā, kurā piedalījās 725 pacienti, </w:t>
      </w:r>
      <w:proofErr w:type="spellStart"/>
      <w:r w:rsidRPr="004E461A">
        <w:rPr>
          <w:color w:val="000000"/>
          <w:szCs w:val="22"/>
        </w:rPr>
        <w:t>ivabradīnam</w:t>
      </w:r>
      <w:proofErr w:type="spellEnd"/>
      <w:r w:rsidRPr="004E461A">
        <w:rPr>
          <w:color w:val="000000"/>
          <w:szCs w:val="22"/>
        </w:rPr>
        <w:t xml:space="preserve">, ko lietoja papildus 10 mg </w:t>
      </w:r>
      <w:proofErr w:type="spellStart"/>
      <w:r w:rsidRPr="004E461A">
        <w:rPr>
          <w:color w:val="000000"/>
          <w:szCs w:val="22"/>
        </w:rPr>
        <w:t>amlodipīna</w:t>
      </w:r>
      <w:proofErr w:type="spellEnd"/>
      <w:r w:rsidRPr="004E461A">
        <w:rPr>
          <w:color w:val="000000"/>
          <w:szCs w:val="22"/>
        </w:rPr>
        <w:t xml:space="preserve"> vienu reizi dienā, nenovēroja papildu efektivitāti zāļu iedarbības beigās (12 stundas </w:t>
      </w:r>
      <w:r w:rsidRPr="004E461A">
        <w:rPr>
          <w:color w:val="000000"/>
          <w:szCs w:val="22"/>
        </w:rPr>
        <w:lastRenderedPageBreak/>
        <w:t>pēc iekšķīgas lietošanas), bet papildu efektivitāte bija novērojama zāļu iedarbības maksimuma brīdī (3–4 stundas pēc iekšķīgas lietošanas).</w:t>
      </w:r>
    </w:p>
    <w:p w14:paraId="76463413" w14:textId="77777777" w:rsidR="00981BC3" w:rsidRPr="004E461A" w:rsidRDefault="00981BC3" w:rsidP="009C5A02">
      <w:pPr>
        <w:spacing w:line="240" w:lineRule="auto"/>
        <w:jc w:val="both"/>
        <w:rPr>
          <w:bCs/>
          <w:iCs/>
          <w:color w:val="000000"/>
          <w:szCs w:val="22"/>
          <w:u w:val="single"/>
        </w:rPr>
      </w:pPr>
    </w:p>
    <w:p w14:paraId="7E48A3ED" w14:textId="77777777" w:rsidR="002E6643" w:rsidRPr="004E461A" w:rsidRDefault="002E6643" w:rsidP="009C5A02">
      <w:pPr>
        <w:spacing w:line="240" w:lineRule="auto"/>
        <w:jc w:val="both"/>
        <w:rPr>
          <w:color w:val="000000"/>
          <w:szCs w:val="22"/>
        </w:rPr>
      </w:pPr>
      <w:r w:rsidRPr="004E461A">
        <w:rPr>
          <w:color w:val="000000"/>
          <w:szCs w:val="22"/>
        </w:rPr>
        <w:t xml:space="preserve">Randomizētā, placebo kontrolētā pētījumā ar 1277 pacientiem visā 6 nedēļas ilgajā ārstēšanas periodā </w:t>
      </w:r>
      <w:proofErr w:type="spellStart"/>
      <w:r w:rsidRPr="004E461A">
        <w:rPr>
          <w:color w:val="000000"/>
          <w:szCs w:val="22"/>
        </w:rPr>
        <w:t>ivabradīnam</w:t>
      </w:r>
      <w:proofErr w:type="spellEnd"/>
      <w:r w:rsidRPr="004E461A">
        <w:rPr>
          <w:color w:val="000000"/>
          <w:szCs w:val="22"/>
        </w:rPr>
        <w:t xml:space="preserve"> tika novērota statistiski </w:t>
      </w:r>
      <w:r w:rsidR="00A41BF7" w:rsidRPr="004E461A">
        <w:rPr>
          <w:color w:val="000000"/>
          <w:szCs w:val="22"/>
        </w:rPr>
        <w:t>ticama</w:t>
      </w:r>
      <w:r w:rsidRPr="004E461A">
        <w:rPr>
          <w:color w:val="000000"/>
          <w:szCs w:val="22"/>
        </w:rPr>
        <w:t xml:space="preserve"> papildus efektivitāte, vērtējot atbildes reakciju uz ārstēšanu (kas bija definēta kā stenokardijas lēkmju skaita samazināšanās vismaz par 3 lēkmēm nedēļā un/vai laika līdz 1 mm ST segmenta depresijai pagarināšanās vismaz par 60 sekundēm </w:t>
      </w:r>
      <w:proofErr w:type="spellStart"/>
      <w:r w:rsidRPr="004E461A">
        <w:rPr>
          <w:color w:val="000000"/>
          <w:szCs w:val="22"/>
        </w:rPr>
        <w:t>tredmila</w:t>
      </w:r>
      <w:proofErr w:type="spellEnd"/>
      <w:r w:rsidRPr="004E461A">
        <w:rPr>
          <w:color w:val="000000"/>
          <w:szCs w:val="22"/>
        </w:rPr>
        <w:t xml:space="preserve"> ETT laikā) šo zāļu iedarbības laika beigās (12 stundas pēc iekšķīgas </w:t>
      </w:r>
      <w:proofErr w:type="spellStart"/>
      <w:r w:rsidRPr="004E461A">
        <w:rPr>
          <w:color w:val="000000"/>
          <w:szCs w:val="22"/>
        </w:rPr>
        <w:t>ivabradīna</w:t>
      </w:r>
      <w:proofErr w:type="spellEnd"/>
      <w:r w:rsidRPr="004E461A">
        <w:rPr>
          <w:color w:val="000000"/>
          <w:szCs w:val="22"/>
        </w:rPr>
        <w:t xml:space="preserve"> lietošanas), ja to lietoja papildus 5 mg </w:t>
      </w:r>
      <w:proofErr w:type="spellStart"/>
      <w:r w:rsidRPr="004E461A">
        <w:rPr>
          <w:color w:val="000000"/>
          <w:szCs w:val="22"/>
        </w:rPr>
        <w:t>amlodipīnam</w:t>
      </w:r>
      <w:proofErr w:type="spellEnd"/>
      <w:r w:rsidRPr="004E461A">
        <w:rPr>
          <w:color w:val="000000"/>
          <w:szCs w:val="22"/>
        </w:rPr>
        <w:t xml:space="preserve"> vienu reizi dienā vai nifedipīnam GITS devā 30 mg vienu reizi dienā (OR = 1,3; 9 5% TI [1,0–1,7]; p=0,012). </w:t>
      </w:r>
      <w:proofErr w:type="spellStart"/>
      <w:r w:rsidRPr="004E461A">
        <w:rPr>
          <w:color w:val="000000"/>
          <w:szCs w:val="22"/>
        </w:rPr>
        <w:t>Ivabradīnam</w:t>
      </w:r>
      <w:proofErr w:type="spellEnd"/>
      <w:r w:rsidRPr="004E461A">
        <w:rPr>
          <w:color w:val="000000"/>
          <w:szCs w:val="22"/>
        </w:rPr>
        <w:t xml:space="preserve"> netika novērota papildu efektivitāte, vērtējot EET raksturlielumu sekundāros mērķa kritērijus zāļu iedarbības laika beigās, taču papildu efektivitāte tika novērota zāļu iedarbības maksimuma brīdī (3–4 stundas pēc iekšķīgas </w:t>
      </w:r>
      <w:proofErr w:type="spellStart"/>
      <w:r w:rsidRPr="004E461A">
        <w:rPr>
          <w:color w:val="000000"/>
          <w:szCs w:val="22"/>
        </w:rPr>
        <w:t>ivabradīna</w:t>
      </w:r>
      <w:proofErr w:type="spellEnd"/>
      <w:r w:rsidRPr="004E461A">
        <w:rPr>
          <w:color w:val="000000"/>
          <w:szCs w:val="22"/>
        </w:rPr>
        <w:t xml:space="preserve"> lietošanas).</w:t>
      </w:r>
    </w:p>
    <w:p w14:paraId="43C5B202" w14:textId="77777777" w:rsidR="002E6643" w:rsidRPr="004E461A" w:rsidRDefault="002E6643" w:rsidP="009C5A02">
      <w:pPr>
        <w:spacing w:line="240" w:lineRule="auto"/>
        <w:jc w:val="both"/>
        <w:rPr>
          <w:color w:val="000000"/>
        </w:rPr>
      </w:pPr>
    </w:p>
    <w:p w14:paraId="124ADAC2" w14:textId="77777777" w:rsidR="002E6643" w:rsidRPr="004E461A" w:rsidRDefault="002E6643" w:rsidP="009C5A02">
      <w:pPr>
        <w:spacing w:line="240" w:lineRule="auto"/>
        <w:jc w:val="both"/>
        <w:rPr>
          <w:color w:val="000000"/>
        </w:rPr>
      </w:pPr>
      <w:r w:rsidRPr="004E461A">
        <w:rPr>
          <w:color w:val="000000"/>
          <w:szCs w:val="22"/>
        </w:rPr>
        <w:t xml:space="preserve">Efektivitātes pētījumos </w:t>
      </w:r>
      <w:proofErr w:type="spellStart"/>
      <w:r w:rsidRPr="004E461A">
        <w:rPr>
          <w:color w:val="000000"/>
          <w:szCs w:val="22"/>
        </w:rPr>
        <w:t>ivabradīna</w:t>
      </w:r>
      <w:proofErr w:type="spellEnd"/>
      <w:r w:rsidRPr="004E461A">
        <w:rPr>
          <w:color w:val="000000"/>
          <w:szCs w:val="22"/>
        </w:rPr>
        <w:t xml:space="preserve"> iedarbība pilnībā saglabājās 3 vai 4 mēnešu terapijas periodu laikā. Terapijas laikā netika novērota ne farmakoloģiskās tolerances (efektivitātes zudums) attīstība, ne atsitiena efekts pēc pēkšņas terapijas atcelšanas. </w:t>
      </w:r>
      <w:proofErr w:type="spellStart"/>
      <w:r w:rsidRPr="004E461A">
        <w:rPr>
          <w:color w:val="000000"/>
          <w:szCs w:val="22"/>
        </w:rPr>
        <w:t>Ivabradīna</w:t>
      </w:r>
      <w:proofErr w:type="spellEnd"/>
      <w:r w:rsidRPr="004E461A">
        <w:rPr>
          <w:color w:val="000000"/>
          <w:szCs w:val="22"/>
        </w:rPr>
        <w:t xml:space="preserve"> antiangināla un </w:t>
      </w:r>
      <w:proofErr w:type="spellStart"/>
      <w:r w:rsidRPr="004E461A">
        <w:rPr>
          <w:color w:val="000000"/>
          <w:szCs w:val="22"/>
        </w:rPr>
        <w:t>antiišēmiska</w:t>
      </w:r>
      <w:proofErr w:type="spellEnd"/>
      <w:r w:rsidRPr="004E461A">
        <w:rPr>
          <w:color w:val="000000"/>
          <w:szCs w:val="22"/>
        </w:rPr>
        <w:t xml:space="preserve"> efektivitāte izpaudās ar no devas atkarīgu sirds ritma palēnināšanos un ar ievērojamu sirds ritma-spiediena </w:t>
      </w:r>
      <w:proofErr w:type="spellStart"/>
      <w:r w:rsidRPr="004E461A">
        <w:rPr>
          <w:color w:val="000000"/>
          <w:szCs w:val="22"/>
        </w:rPr>
        <w:t>dubultreizinājuma</w:t>
      </w:r>
      <w:proofErr w:type="spellEnd"/>
      <w:r w:rsidRPr="004E461A">
        <w:rPr>
          <w:color w:val="000000"/>
          <w:szCs w:val="22"/>
        </w:rPr>
        <w:t xml:space="preserve"> (</w:t>
      </w:r>
      <w:proofErr w:type="spellStart"/>
      <w:r w:rsidRPr="004E461A">
        <w:rPr>
          <w:i/>
          <w:color w:val="000000"/>
          <w:szCs w:val="22"/>
        </w:rPr>
        <w:t>rate</w:t>
      </w:r>
      <w:proofErr w:type="spellEnd"/>
      <w:r w:rsidRPr="004E461A">
        <w:rPr>
          <w:i/>
          <w:color w:val="000000"/>
          <w:szCs w:val="22"/>
        </w:rPr>
        <w:t xml:space="preserve"> </w:t>
      </w:r>
      <w:proofErr w:type="spellStart"/>
      <w:r w:rsidRPr="004E461A">
        <w:rPr>
          <w:i/>
          <w:color w:val="000000"/>
          <w:szCs w:val="22"/>
        </w:rPr>
        <w:t>pressure</w:t>
      </w:r>
      <w:proofErr w:type="spellEnd"/>
      <w:r w:rsidRPr="004E461A">
        <w:rPr>
          <w:i/>
          <w:color w:val="000000"/>
          <w:szCs w:val="22"/>
        </w:rPr>
        <w:t xml:space="preserve"> </w:t>
      </w:r>
      <w:proofErr w:type="spellStart"/>
      <w:r w:rsidRPr="004E461A">
        <w:rPr>
          <w:i/>
          <w:color w:val="000000"/>
          <w:szCs w:val="22"/>
        </w:rPr>
        <w:t>product</w:t>
      </w:r>
      <w:proofErr w:type="spellEnd"/>
      <w:r w:rsidRPr="004E461A">
        <w:rPr>
          <w:color w:val="000000"/>
          <w:szCs w:val="22"/>
        </w:rPr>
        <w:t>) samazinājumu (sirds ritms x sistoliskais asinsspiediens) miera stāvoklī un slodzes laikā. Tika novērota neliela ietekme uz asinsspiedienu un perifēro vazokonstrikciju, un tā nebija klīniski nozīmīga.</w:t>
      </w:r>
    </w:p>
    <w:p w14:paraId="5CB70AC2" w14:textId="77777777" w:rsidR="002E6643" w:rsidRPr="004E461A" w:rsidRDefault="002E6643" w:rsidP="009C5A02">
      <w:pPr>
        <w:spacing w:line="240" w:lineRule="auto"/>
        <w:jc w:val="both"/>
        <w:rPr>
          <w:color w:val="000000"/>
        </w:rPr>
      </w:pPr>
    </w:p>
    <w:p w14:paraId="75249CD9" w14:textId="77777777" w:rsidR="002E6643" w:rsidRPr="004E461A" w:rsidRDefault="002E6643" w:rsidP="009C5A02">
      <w:pPr>
        <w:spacing w:line="240" w:lineRule="auto"/>
        <w:jc w:val="both"/>
        <w:rPr>
          <w:color w:val="000000"/>
        </w:rPr>
      </w:pPr>
      <w:r w:rsidRPr="004E461A">
        <w:rPr>
          <w:color w:val="000000"/>
          <w:szCs w:val="22"/>
        </w:rPr>
        <w:t xml:space="preserve">Ilgstošu sirdsdarbības </w:t>
      </w:r>
      <w:r w:rsidR="00E64E8C" w:rsidRPr="004E461A">
        <w:rPr>
          <w:color w:val="000000"/>
          <w:szCs w:val="22"/>
        </w:rPr>
        <w:t xml:space="preserve">frekvences </w:t>
      </w:r>
      <w:r w:rsidRPr="004E461A">
        <w:rPr>
          <w:color w:val="000000"/>
          <w:szCs w:val="22"/>
        </w:rPr>
        <w:t xml:space="preserve">palēnināšanos novēroja pacientiem, kuri </w:t>
      </w:r>
      <w:proofErr w:type="spellStart"/>
      <w:r w:rsidRPr="004E461A">
        <w:rPr>
          <w:color w:val="000000"/>
          <w:szCs w:val="22"/>
        </w:rPr>
        <w:t>ivabradīnu</w:t>
      </w:r>
      <w:proofErr w:type="spellEnd"/>
      <w:r w:rsidRPr="004E461A">
        <w:rPr>
          <w:color w:val="000000"/>
          <w:szCs w:val="22"/>
        </w:rPr>
        <w:t xml:space="preserve"> lietoja vismaz vienu gadu (n=713). Netika novērota ietekme uz glikozes vai lipīdu metabolismu.</w:t>
      </w:r>
    </w:p>
    <w:p w14:paraId="18A23203" w14:textId="77777777" w:rsidR="002E6643" w:rsidRPr="004E461A" w:rsidRDefault="002E6643" w:rsidP="009C5A02">
      <w:pPr>
        <w:spacing w:line="240" w:lineRule="auto"/>
        <w:jc w:val="both"/>
        <w:rPr>
          <w:color w:val="000000"/>
        </w:rPr>
      </w:pPr>
    </w:p>
    <w:p w14:paraId="21655643" w14:textId="77777777" w:rsidR="002E6643" w:rsidRPr="004E461A" w:rsidRDefault="002E6643" w:rsidP="009C5A02">
      <w:pPr>
        <w:spacing w:line="240" w:lineRule="auto"/>
        <w:jc w:val="both"/>
        <w:rPr>
          <w:color w:val="000000"/>
        </w:rPr>
      </w:pPr>
      <w:proofErr w:type="spellStart"/>
      <w:r w:rsidRPr="004E461A">
        <w:rPr>
          <w:color w:val="000000"/>
          <w:szCs w:val="22"/>
        </w:rPr>
        <w:t>Ivabradīna</w:t>
      </w:r>
      <w:proofErr w:type="spellEnd"/>
      <w:r w:rsidRPr="004E461A">
        <w:rPr>
          <w:color w:val="000000"/>
          <w:szCs w:val="22"/>
        </w:rPr>
        <w:t xml:space="preserve"> antiangināla un </w:t>
      </w:r>
      <w:proofErr w:type="spellStart"/>
      <w:r w:rsidRPr="004E461A">
        <w:rPr>
          <w:color w:val="000000"/>
          <w:szCs w:val="22"/>
        </w:rPr>
        <w:t>antiišēmiska</w:t>
      </w:r>
      <w:proofErr w:type="spellEnd"/>
      <w:r w:rsidRPr="004E461A">
        <w:rPr>
          <w:color w:val="000000"/>
          <w:szCs w:val="22"/>
        </w:rPr>
        <w:t xml:space="preserve"> iedarbība saglabājās pacientiem ar diabētu (n = 457) un drošuma profils bija salīdzināms ar vidējās populācijas rādītājiem.</w:t>
      </w:r>
    </w:p>
    <w:p w14:paraId="47AB1285" w14:textId="77777777" w:rsidR="002E6643" w:rsidRPr="004E461A" w:rsidRDefault="002E6643" w:rsidP="009C5A02">
      <w:pPr>
        <w:spacing w:line="240" w:lineRule="auto"/>
        <w:jc w:val="both"/>
        <w:rPr>
          <w:bCs/>
          <w:iCs/>
          <w:color w:val="000000"/>
          <w:szCs w:val="22"/>
          <w:u w:val="single"/>
        </w:rPr>
      </w:pPr>
    </w:p>
    <w:p w14:paraId="08F24B6A" w14:textId="77777777" w:rsidR="0095616F" w:rsidRPr="004E461A" w:rsidRDefault="0095616F" w:rsidP="009C5A02">
      <w:pPr>
        <w:spacing w:line="240" w:lineRule="auto"/>
        <w:jc w:val="both"/>
        <w:rPr>
          <w:color w:val="000000"/>
          <w:szCs w:val="22"/>
        </w:rPr>
      </w:pPr>
      <w:r w:rsidRPr="004E461A">
        <w:rPr>
          <w:color w:val="000000"/>
          <w:szCs w:val="22"/>
        </w:rPr>
        <w:t>Tika veikts plašs iznākuma pētījums BEAUTIFUL ar 10 917 pacientiem ar koronāro artēriju slimību un kreisā kambara disfunkciju (KKIF &lt; 40 %) papildus optimālai fona terapijai (86,9 % pacientu saņēma bēta blokatorus). Galvenais efektivitātes</w:t>
      </w:r>
      <w:r w:rsidR="002E7566" w:rsidRPr="004E461A">
        <w:rPr>
          <w:color w:val="000000"/>
          <w:szCs w:val="22"/>
        </w:rPr>
        <w:t xml:space="preserve"> saliktais mēr</w:t>
      </w:r>
      <w:r w:rsidR="006937C5" w:rsidRPr="004E461A">
        <w:rPr>
          <w:color w:val="000000"/>
          <w:szCs w:val="22"/>
        </w:rPr>
        <w:t>ķa</w:t>
      </w:r>
      <w:r w:rsidR="00B9121A" w:rsidRPr="004E461A">
        <w:rPr>
          <w:color w:val="000000"/>
          <w:szCs w:val="22"/>
        </w:rPr>
        <w:t xml:space="preserve"> </w:t>
      </w:r>
      <w:r w:rsidRPr="004E461A">
        <w:rPr>
          <w:color w:val="000000"/>
          <w:szCs w:val="22"/>
        </w:rPr>
        <w:t>kritērijs bija</w:t>
      </w:r>
      <w:r w:rsidR="00901D15" w:rsidRPr="004E461A">
        <w:rPr>
          <w:color w:val="000000"/>
          <w:szCs w:val="22"/>
        </w:rPr>
        <w:t xml:space="preserve"> </w:t>
      </w:r>
      <w:r w:rsidRPr="004E461A">
        <w:rPr>
          <w:color w:val="000000"/>
          <w:szCs w:val="22"/>
        </w:rPr>
        <w:t xml:space="preserve">kardiovaskulāra nāve, ar akūtu MI saistīta hospitalizācija vai hospitalizācija sirds mazspējas rašanās vai paasinājuma dēļ. Salīdzinot ar placebo grupu, </w:t>
      </w:r>
      <w:proofErr w:type="spellStart"/>
      <w:r w:rsidRPr="004E461A">
        <w:rPr>
          <w:color w:val="000000"/>
          <w:szCs w:val="22"/>
        </w:rPr>
        <w:t>ivabradīna</w:t>
      </w:r>
      <w:proofErr w:type="spellEnd"/>
      <w:r w:rsidRPr="004E461A">
        <w:rPr>
          <w:color w:val="000000"/>
          <w:szCs w:val="22"/>
        </w:rPr>
        <w:t xml:space="preserve"> grupā pētījuma rezultāti neuzrādīja primārā </w:t>
      </w:r>
      <w:r w:rsidR="00E12A00" w:rsidRPr="004E461A">
        <w:rPr>
          <w:color w:val="000000"/>
          <w:szCs w:val="22"/>
        </w:rPr>
        <w:t>salikt</w:t>
      </w:r>
      <w:r w:rsidR="00F74B6A" w:rsidRPr="004E461A">
        <w:rPr>
          <w:color w:val="000000"/>
          <w:szCs w:val="22"/>
        </w:rPr>
        <w:t>ā</w:t>
      </w:r>
      <w:r w:rsidRPr="004E461A">
        <w:rPr>
          <w:color w:val="000000"/>
          <w:szCs w:val="22"/>
        </w:rPr>
        <w:t xml:space="preserve"> </w:t>
      </w:r>
      <w:r w:rsidR="00E12A00" w:rsidRPr="004E461A">
        <w:rPr>
          <w:color w:val="000000"/>
          <w:szCs w:val="22"/>
        </w:rPr>
        <w:t>iznākuma</w:t>
      </w:r>
      <w:r w:rsidRPr="004E461A">
        <w:rPr>
          <w:color w:val="000000"/>
          <w:szCs w:val="22"/>
        </w:rPr>
        <w:t xml:space="preserve"> sastopamības atšķirību (relatīvā riska attiecība </w:t>
      </w:r>
      <w:proofErr w:type="spellStart"/>
      <w:r w:rsidRPr="004E461A">
        <w:rPr>
          <w:color w:val="000000"/>
          <w:szCs w:val="22"/>
        </w:rPr>
        <w:t>ivabradīnam</w:t>
      </w:r>
      <w:proofErr w:type="spellEnd"/>
      <w:r w:rsidRPr="004E461A">
        <w:rPr>
          <w:color w:val="000000"/>
          <w:szCs w:val="22"/>
        </w:rPr>
        <w:t xml:space="preserve"> pret placebo ir 1,00, p = 0,945).</w:t>
      </w:r>
    </w:p>
    <w:p w14:paraId="5243E5D7" w14:textId="77777777" w:rsidR="0095616F" w:rsidRPr="004E461A" w:rsidRDefault="0095616F" w:rsidP="009C5A02">
      <w:pPr>
        <w:spacing w:line="240" w:lineRule="auto"/>
        <w:jc w:val="both"/>
        <w:rPr>
          <w:color w:val="000000"/>
          <w:szCs w:val="22"/>
        </w:rPr>
      </w:pPr>
      <w:r w:rsidRPr="004E461A">
        <w:rPr>
          <w:i/>
          <w:color w:val="000000"/>
          <w:szCs w:val="22"/>
        </w:rPr>
        <w:t>Post-</w:t>
      </w:r>
      <w:proofErr w:type="spellStart"/>
      <w:r w:rsidRPr="004E461A">
        <w:rPr>
          <w:i/>
          <w:color w:val="000000"/>
          <w:szCs w:val="22"/>
        </w:rPr>
        <w:t>hoc</w:t>
      </w:r>
      <w:proofErr w:type="spellEnd"/>
      <w:r w:rsidRPr="004E461A">
        <w:rPr>
          <w:color w:val="000000"/>
          <w:szCs w:val="22"/>
        </w:rPr>
        <w:t xml:space="preserve"> apakšgrupā, kurā ieskaitīja pacientus ar simptomātisku stenokardiju randomizācijas laikā (n=1507), nenovēroja nekādus drošuma signālus saistībā ar kardiovaskulāru nāvi,</w:t>
      </w:r>
      <w:r w:rsidR="009C5A02" w:rsidRPr="004E461A">
        <w:rPr>
          <w:color w:val="000000"/>
          <w:szCs w:val="22"/>
        </w:rPr>
        <w:t xml:space="preserve"> </w:t>
      </w:r>
      <w:r w:rsidRPr="004E461A">
        <w:rPr>
          <w:color w:val="000000"/>
          <w:szCs w:val="22"/>
        </w:rPr>
        <w:t>hospitalizāciju akūta MI vai sirds mazspējas dēļ (</w:t>
      </w:r>
      <w:proofErr w:type="spellStart"/>
      <w:r w:rsidRPr="004E461A">
        <w:rPr>
          <w:color w:val="000000"/>
          <w:szCs w:val="22"/>
        </w:rPr>
        <w:t>ivabradīns</w:t>
      </w:r>
      <w:proofErr w:type="spellEnd"/>
      <w:r w:rsidRPr="004E461A">
        <w:rPr>
          <w:color w:val="000000"/>
          <w:szCs w:val="22"/>
        </w:rPr>
        <w:t xml:space="preserve"> 12,0 %, salīdzinot ar placebo 15,5 %, p=0,05).</w:t>
      </w:r>
    </w:p>
    <w:p w14:paraId="11D55C20" w14:textId="77777777" w:rsidR="0095616F" w:rsidRPr="004E461A" w:rsidRDefault="0095616F" w:rsidP="009C5A02">
      <w:pPr>
        <w:spacing w:line="240" w:lineRule="auto"/>
        <w:jc w:val="both"/>
        <w:rPr>
          <w:bCs/>
          <w:iCs/>
          <w:color w:val="000000"/>
          <w:szCs w:val="22"/>
          <w:u w:val="single"/>
        </w:rPr>
      </w:pPr>
    </w:p>
    <w:p w14:paraId="413BE422" w14:textId="77777777" w:rsidR="00733255" w:rsidRPr="004E461A" w:rsidRDefault="00733255" w:rsidP="009C5A02">
      <w:pPr>
        <w:spacing w:line="240" w:lineRule="auto"/>
        <w:jc w:val="both"/>
        <w:rPr>
          <w:color w:val="000000"/>
        </w:rPr>
      </w:pPr>
      <w:r w:rsidRPr="004E461A">
        <w:rPr>
          <w:color w:val="000000"/>
          <w:szCs w:val="22"/>
        </w:rPr>
        <w:t xml:space="preserve">Tika veikts plašs iznākuma pētījums SIGNIFY ar 19 102 pacientiem, kuriem bija koronārā artēriju slimība bez sirds mazspējas klīniskiem simptomiem (KKIF &gt; 40 %), papildus optimālai fona terapijai. Tika izmantota terapijas shēma ar devām, kas lielākas par apstiprinātajām (sākuma deva 7,5 mg divas reizes dienā (5 mg divas reizes dienā, ja vecums bija ≥ 75 gadi) un titrēšana līdz 10 mg divas reizes dienā). Galvenais efektivitātes </w:t>
      </w:r>
      <w:r w:rsidR="005473FE" w:rsidRPr="004E461A">
        <w:rPr>
          <w:color w:val="000000"/>
          <w:szCs w:val="22"/>
        </w:rPr>
        <w:t xml:space="preserve">saliktais </w:t>
      </w:r>
      <w:r w:rsidR="002E7566" w:rsidRPr="004E461A">
        <w:rPr>
          <w:color w:val="000000"/>
          <w:szCs w:val="22"/>
        </w:rPr>
        <w:t xml:space="preserve">mērķa </w:t>
      </w:r>
      <w:r w:rsidRPr="004E461A">
        <w:rPr>
          <w:color w:val="000000"/>
          <w:szCs w:val="22"/>
        </w:rPr>
        <w:t xml:space="preserve">kritērijs bija kardiovaskulāras nāves vai neletāla MI gadījumu skaits. Pētījumā netika novērotas primārā kombinētā mērķa kritērija (PKMK) biežuma atšķirības, salīdzinot </w:t>
      </w:r>
      <w:proofErr w:type="spellStart"/>
      <w:r w:rsidRPr="004E461A">
        <w:rPr>
          <w:color w:val="000000"/>
          <w:szCs w:val="22"/>
        </w:rPr>
        <w:t>ivabradīna</w:t>
      </w:r>
      <w:proofErr w:type="spellEnd"/>
      <w:r w:rsidRPr="004E461A">
        <w:rPr>
          <w:color w:val="000000"/>
          <w:szCs w:val="22"/>
        </w:rPr>
        <w:t xml:space="preserve"> grupu ar placebo grupu (relatīvais risks, lietojot </w:t>
      </w:r>
      <w:proofErr w:type="spellStart"/>
      <w:r w:rsidRPr="004E461A">
        <w:rPr>
          <w:color w:val="000000"/>
          <w:szCs w:val="22"/>
        </w:rPr>
        <w:t>ivabradīnu</w:t>
      </w:r>
      <w:proofErr w:type="spellEnd"/>
      <w:r w:rsidRPr="004E461A">
        <w:rPr>
          <w:color w:val="000000"/>
          <w:szCs w:val="22"/>
        </w:rPr>
        <w:t xml:space="preserve">/placebo: 1,08, p=0,197). Bradikardiju novēroja 17,9 % pacientiem </w:t>
      </w:r>
      <w:proofErr w:type="spellStart"/>
      <w:r w:rsidRPr="004E461A">
        <w:rPr>
          <w:color w:val="000000"/>
          <w:szCs w:val="22"/>
        </w:rPr>
        <w:t>ivabradīna</w:t>
      </w:r>
      <w:proofErr w:type="spellEnd"/>
      <w:r w:rsidRPr="004E461A">
        <w:rPr>
          <w:color w:val="000000"/>
          <w:szCs w:val="22"/>
        </w:rPr>
        <w:t xml:space="preserve"> grupā (2,1 % placebo grupā). Pētījuma laikā 7,1 % pacientu lietoja </w:t>
      </w:r>
      <w:proofErr w:type="spellStart"/>
      <w:r w:rsidRPr="004E461A">
        <w:rPr>
          <w:color w:val="000000"/>
          <w:szCs w:val="22"/>
        </w:rPr>
        <w:t>verapamilu</w:t>
      </w:r>
      <w:proofErr w:type="spellEnd"/>
      <w:r w:rsidRPr="004E461A">
        <w:rPr>
          <w:color w:val="000000"/>
          <w:szCs w:val="22"/>
        </w:rPr>
        <w:t>, diltiazēmu vai spēcīgus CYP 3A4 inhibitorus.</w:t>
      </w:r>
    </w:p>
    <w:p w14:paraId="31ABC225" w14:textId="77777777" w:rsidR="00733255" w:rsidRPr="004E461A" w:rsidRDefault="00733255" w:rsidP="009C5A02">
      <w:pPr>
        <w:spacing w:line="240" w:lineRule="auto"/>
        <w:jc w:val="both"/>
        <w:rPr>
          <w:color w:val="000000"/>
          <w:szCs w:val="22"/>
        </w:rPr>
      </w:pPr>
      <w:r w:rsidRPr="004E461A">
        <w:rPr>
          <w:color w:val="000000"/>
          <w:szCs w:val="22"/>
        </w:rPr>
        <w:t xml:space="preserve">Iepriekš noteiktā pacientu apakšgrupā, kuriem pētījuma sākumā bija II vai augstākas pakāpes stenokardija pēc CCS klasifikācijas (n=12049), tika novērots neliels, bet statistiski </w:t>
      </w:r>
      <w:r w:rsidR="00A41BF7" w:rsidRPr="004E461A">
        <w:rPr>
          <w:color w:val="000000"/>
          <w:szCs w:val="22"/>
        </w:rPr>
        <w:t>ticams</w:t>
      </w:r>
      <w:r w:rsidRPr="004E461A">
        <w:rPr>
          <w:color w:val="000000"/>
          <w:szCs w:val="22"/>
        </w:rPr>
        <w:t xml:space="preserve"> PKMK biežuma pieaugums (biežums gadā 3,4 % salīdzinājumā ar 2,9 %, relatīvais risks, lietojot </w:t>
      </w:r>
      <w:proofErr w:type="spellStart"/>
      <w:r w:rsidRPr="004E461A">
        <w:rPr>
          <w:color w:val="000000"/>
          <w:szCs w:val="22"/>
        </w:rPr>
        <w:t>ivabradīnu</w:t>
      </w:r>
      <w:proofErr w:type="spellEnd"/>
      <w:r w:rsidRPr="004E461A">
        <w:rPr>
          <w:color w:val="000000"/>
          <w:szCs w:val="22"/>
        </w:rPr>
        <w:t xml:space="preserve">/placebo, 1,18, p=0,018), bet tāds netika novērots vispārējā stenokardijas pacientu populācijā (≥ I pakāpe pēc CCS klasifikācijas; n=14286; relatīvais risks, lietojot </w:t>
      </w:r>
      <w:proofErr w:type="spellStart"/>
      <w:r w:rsidRPr="004E461A">
        <w:rPr>
          <w:color w:val="000000"/>
          <w:szCs w:val="22"/>
        </w:rPr>
        <w:t>ivabradīnu</w:t>
      </w:r>
      <w:proofErr w:type="spellEnd"/>
      <w:r w:rsidRPr="004E461A">
        <w:rPr>
          <w:color w:val="000000"/>
          <w:szCs w:val="22"/>
        </w:rPr>
        <w:t>/placebo 1,11, p=0,110).</w:t>
      </w:r>
    </w:p>
    <w:p w14:paraId="2543DE75" w14:textId="77777777" w:rsidR="00733255" w:rsidRPr="004E461A" w:rsidRDefault="00733255" w:rsidP="009C5A02">
      <w:pPr>
        <w:spacing w:line="240" w:lineRule="auto"/>
        <w:jc w:val="both"/>
        <w:rPr>
          <w:color w:val="000000"/>
          <w:szCs w:val="22"/>
        </w:rPr>
      </w:pPr>
      <w:r w:rsidRPr="004E461A">
        <w:rPr>
          <w:color w:val="000000"/>
          <w:szCs w:val="22"/>
        </w:rPr>
        <w:t>Šīs atrades nevarēja pilnībā izskaidrot ar šajā pētījumā izmantoto devu, kas bija lielāka par apstiprināto.</w:t>
      </w:r>
    </w:p>
    <w:p w14:paraId="37BA0040" w14:textId="77777777" w:rsidR="00733255" w:rsidRPr="004E461A" w:rsidRDefault="00733255" w:rsidP="009C5A02">
      <w:pPr>
        <w:spacing w:line="240" w:lineRule="auto"/>
        <w:jc w:val="both"/>
        <w:rPr>
          <w:bCs/>
          <w:iCs/>
          <w:color w:val="000000"/>
          <w:szCs w:val="22"/>
          <w:u w:val="single"/>
        </w:rPr>
      </w:pPr>
    </w:p>
    <w:p w14:paraId="75A8779B" w14:textId="77777777" w:rsidR="00411995" w:rsidRPr="004E461A" w:rsidRDefault="00411995" w:rsidP="009C5A02">
      <w:pPr>
        <w:spacing w:line="240" w:lineRule="auto"/>
        <w:jc w:val="both"/>
        <w:rPr>
          <w:color w:val="000000"/>
        </w:rPr>
      </w:pPr>
      <w:r w:rsidRPr="004E461A">
        <w:rPr>
          <w:color w:val="000000"/>
          <w:szCs w:val="22"/>
        </w:rPr>
        <w:t xml:space="preserve">SHIFT pētījums bija plašs daudzcentru, starptautisks, randomizēts, dubultmaskēts, placebo kontrolēts iznākumu pētījums, kurā piedalījās 6505 pieaugušie pacienti ar stabilu hronisku sirds mazspēju (HSM) (II – IV </w:t>
      </w:r>
      <w:r w:rsidR="005473FE" w:rsidRPr="004E461A">
        <w:rPr>
          <w:color w:val="000000"/>
          <w:szCs w:val="22"/>
        </w:rPr>
        <w:t>funkcionāl</w:t>
      </w:r>
      <w:r w:rsidR="00F74B6A" w:rsidRPr="004E461A">
        <w:rPr>
          <w:color w:val="000000"/>
          <w:szCs w:val="22"/>
        </w:rPr>
        <w:t>ā</w:t>
      </w:r>
      <w:r w:rsidR="005473FE" w:rsidRPr="004E461A">
        <w:rPr>
          <w:color w:val="000000"/>
          <w:szCs w:val="22"/>
        </w:rPr>
        <w:t xml:space="preserve"> </w:t>
      </w:r>
      <w:r w:rsidRPr="004E461A">
        <w:rPr>
          <w:color w:val="000000"/>
          <w:szCs w:val="22"/>
        </w:rPr>
        <w:t xml:space="preserve">klase pēc NYHA klasifikācijas) (≥ 4 nedēļas), ar samazinātu kreisā kambara izsviedes frakciju (KKIF ≤ 35 %) un sirdsdarbības </w:t>
      </w:r>
      <w:r w:rsidR="003651F4" w:rsidRPr="004E461A">
        <w:rPr>
          <w:color w:val="000000"/>
          <w:szCs w:val="22"/>
        </w:rPr>
        <w:t>frekvenci</w:t>
      </w:r>
      <w:r w:rsidRPr="004E461A">
        <w:rPr>
          <w:color w:val="000000"/>
          <w:szCs w:val="22"/>
        </w:rPr>
        <w:t xml:space="preserve"> miera stāvoklī ≥ 70 sitieni minūtē.</w:t>
      </w:r>
    </w:p>
    <w:p w14:paraId="5B0165C6" w14:textId="77777777" w:rsidR="00411995" w:rsidRPr="004E461A" w:rsidRDefault="00411995" w:rsidP="009C5A02">
      <w:pPr>
        <w:spacing w:line="240" w:lineRule="auto"/>
        <w:jc w:val="both"/>
        <w:rPr>
          <w:color w:val="000000"/>
          <w:szCs w:val="22"/>
        </w:rPr>
      </w:pPr>
      <w:r w:rsidRPr="004E461A">
        <w:rPr>
          <w:color w:val="000000"/>
          <w:szCs w:val="22"/>
        </w:rPr>
        <w:lastRenderedPageBreak/>
        <w:t xml:space="preserve">Pacienti saņēma standarta terapiju, tajā skaitā bēta blokatorus (89 %), AKE inhibitorus un/vai </w:t>
      </w:r>
      <w:proofErr w:type="spellStart"/>
      <w:r w:rsidRPr="004E461A">
        <w:rPr>
          <w:color w:val="000000"/>
          <w:szCs w:val="22"/>
        </w:rPr>
        <w:t>angiotensīna</w:t>
      </w:r>
      <w:proofErr w:type="spellEnd"/>
      <w:r w:rsidRPr="004E461A">
        <w:rPr>
          <w:color w:val="000000"/>
          <w:szCs w:val="22"/>
        </w:rPr>
        <w:t xml:space="preserve"> II antagonistus (91 %), diurētiskos līdzekļus (83 %) un </w:t>
      </w:r>
      <w:proofErr w:type="spellStart"/>
      <w:r w:rsidRPr="004E461A">
        <w:rPr>
          <w:color w:val="000000"/>
          <w:szCs w:val="22"/>
        </w:rPr>
        <w:t>aldosterona</w:t>
      </w:r>
      <w:proofErr w:type="spellEnd"/>
      <w:r w:rsidRPr="004E461A">
        <w:rPr>
          <w:color w:val="000000"/>
          <w:szCs w:val="22"/>
        </w:rPr>
        <w:t xml:space="preserve"> antagonistus (60 %). </w:t>
      </w:r>
      <w:proofErr w:type="spellStart"/>
      <w:r w:rsidRPr="004E461A">
        <w:rPr>
          <w:color w:val="000000"/>
          <w:szCs w:val="22"/>
        </w:rPr>
        <w:t>Ivabradīna</w:t>
      </w:r>
      <w:proofErr w:type="spellEnd"/>
      <w:r w:rsidRPr="004E461A">
        <w:rPr>
          <w:color w:val="000000"/>
          <w:szCs w:val="22"/>
        </w:rPr>
        <w:t xml:space="preserve"> grupā 67 % pacientus ārstēja ar 7,5 mg divas reizes dienā. Vidējais novērošanas ilgums bija 22,9 mēneši. Ārstēšana ar </w:t>
      </w:r>
      <w:proofErr w:type="spellStart"/>
      <w:r w:rsidRPr="004E461A">
        <w:rPr>
          <w:color w:val="000000"/>
          <w:szCs w:val="22"/>
        </w:rPr>
        <w:t>ivabradīnu</w:t>
      </w:r>
      <w:proofErr w:type="spellEnd"/>
      <w:r w:rsidRPr="004E461A">
        <w:rPr>
          <w:color w:val="000000"/>
          <w:szCs w:val="22"/>
        </w:rPr>
        <w:t xml:space="preserve"> bija saistīta ar sirdsdarbības </w:t>
      </w:r>
      <w:r w:rsidR="00FC17DA" w:rsidRPr="004E461A">
        <w:rPr>
          <w:color w:val="000000"/>
          <w:szCs w:val="22"/>
        </w:rPr>
        <w:t>frekvences</w:t>
      </w:r>
      <w:r w:rsidRPr="004E461A">
        <w:rPr>
          <w:color w:val="000000"/>
          <w:szCs w:val="22"/>
        </w:rPr>
        <w:t xml:space="preserve"> palēnināšanos par vidēji 15 sitieniem minūtē no sākotnējiem 80 sitieniem minūtē. Sirdsdarbības </w:t>
      </w:r>
      <w:r w:rsidR="00FC17DA" w:rsidRPr="004E461A">
        <w:rPr>
          <w:color w:val="000000"/>
          <w:szCs w:val="22"/>
        </w:rPr>
        <w:t>frekvences</w:t>
      </w:r>
      <w:r w:rsidRPr="004E461A">
        <w:rPr>
          <w:color w:val="000000"/>
          <w:szCs w:val="22"/>
        </w:rPr>
        <w:t xml:space="preserve"> atšķirība starp </w:t>
      </w:r>
      <w:proofErr w:type="spellStart"/>
      <w:r w:rsidRPr="004E461A">
        <w:rPr>
          <w:color w:val="000000"/>
          <w:szCs w:val="22"/>
        </w:rPr>
        <w:t>ivabradīna</w:t>
      </w:r>
      <w:proofErr w:type="spellEnd"/>
      <w:r w:rsidRPr="004E461A">
        <w:rPr>
          <w:color w:val="000000"/>
          <w:szCs w:val="22"/>
        </w:rPr>
        <w:t xml:space="preserve"> un placebo grupām bija 10,8 sitieni minūtē pēc 28 dienām, 9,1 sitiens minūtē pēc 12 mēnešiem un 8,3 sitieni minūtē pēc 24 mēnešiem.</w:t>
      </w:r>
    </w:p>
    <w:p w14:paraId="5FAA4F7E" w14:textId="77777777" w:rsidR="00411995" w:rsidRPr="004E461A" w:rsidRDefault="00411995" w:rsidP="009C5A02">
      <w:pPr>
        <w:spacing w:line="240" w:lineRule="auto"/>
        <w:jc w:val="both"/>
        <w:rPr>
          <w:color w:val="000000"/>
        </w:rPr>
      </w:pPr>
    </w:p>
    <w:p w14:paraId="23B88A90" w14:textId="77777777" w:rsidR="00411995" w:rsidRPr="004E461A" w:rsidRDefault="00411995" w:rsidP="009C5A02">
      <w:pPr>
        <w:spacing w:line="240" w:lineRule="auto"/>
        <w:jc w:val="both"/>
        <w:rPr>
          <w:color w:val="000000"/>
        </w:rPr>
      </w:pPr>
      <w:r w:rsidRPr="004E461A">
        <w:rPr>
          <w:color w:val="000000"/>
          <w:szCs w:val="22"/>
        </w:rPr>
        <w:t xml:space="preserve">Pētījums pierādīja klīniski un statistiski </w:t>
      </w:r>
      <w:r w:rsidR="00B84AD3" w:rsidRPr="004E461A">
        <w:rPr>
          <w:color w:val="000000"/>
          <w:szCs w:val="22"/>
        </w:rPr>
        <w:t>ticamu</w:t>
      </w:r>
      <w:r w:rsidRPr="004E461A">
        <w:rPr>
          <w:color w:val="000000"/>
          <w:szCs w:val="22"/>
        </w:rPr>
        <w:t xml:space="preserve"> relatīvā riska samazinājumu par 18 % primārā kombinētā mērķa kritērija sastopamībā: kardiovaskulāra mirstība un hospitalizācija sirds mazspējas pasliktināšanās dēļ (riska attiecība: 0,82; 95 % TI [0,75;0,90] – p&lt;0,0001), ko novēroja jau 3 mēnešu laikā pēc ārstēšanas uzsākšanas. Absolūtais riska samazinājums bija 4,2 %. Primārā mērķa kritērija iznākumu galvenokārt noteica ar sirds mazspēju saistītie mērķa kritēriji, hospitalizācija sirds mazspējas pasliktināšanās dēļ (absolūtais risks samazinājās par 4,7 %) un nāve sirds mazspējas dēļ (absolūtais risks samazinājās par 1,1 %).</w:t>
      </w:r>
    </w:p>
    <w:p w14:paraId="79A87E77" w14:textId="77777777" w:rsidR="00411995" w:rsidRPr="004E461A" w:rsidRDefault="00411995" w:rsidP="009C5A02">
      <w:pPr>
        <w:spacing w:line="240" w:lineRule="auto"/>
        <w:jc w:val="both"/>
        <w:rPr>
          <w:color w:val="000000"/>
        </w:rPr>
      </w:pPr>
    </w:p>
    <w:p w14:paraId="5008985C" w14:textId="77777777" w:rsidR="00411995" w:rsidRPr="004E461A" w:rsidRDefault="00411995" w:rsidP="009C5A02">
      <w:pPr>
        <w:spacing w:line="240" w:lineRule="auto"/>
        <w:jc w:val="both"/>
        <w:rPr>
          <w:color w:val="000000"/>
          <w:szCs w:val="22"/>
        </w:rPr>
      </w:pPr>
      <w:r w:rsidRPr="004E461A">
        <w:rPr>
          <w:color w:val="000000"/>
          <w:szCs w:val="22"/>
        </w:rPr>
        <w:t>Ārstēšanas efektivitāte attiecībā uz primāro</w:t>
      </w:r>
      <w:r w:rsidR="004313AE" w:rsidRPr="004E461A">
        <w:rPr>
          <w:color w:val="000000"/>
          <w:szCs w:val="22"/>
        </w:rPr>
        <w:t xml:space="preserve"> salikto</w:t>
      </w:r>
      <w:r w:rsidRPr="004E461A">
        <w:rPr>
          <w:color w:val="000000"/>
          <w:szCs w:val="22"/>
        </w:rPr>
        <w:t xml:space="preserve"> mērķa kritēriju, tā komponentēm un sekundārajiem mērķa kritērijiem:</w:t>
      </w:r>
    </w:p>
    <w:p w14:paraId="74C9E872" w14:textId="77777777" w:rsidR="00411995" w:rsidRPr="004E461A" w:rsidRDefault="00411995" w:rsidP="009C5A02">
      <w:pPr>
        <w:spacing w:line="240" w:lineRule="auto"/>
        <w:jc w:val="both"/>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534"/>
        <w:gridCol w:w="1467"/>
        <w:gridCol w:w="1679"/>
        <w:gridCol w:w="946"/>
      </w:tblGrid>
      <w:tr w:rsidR="00411995" w:rsidRPr="004E461A" w14:paraId="26618AC2" w14:textId="77777777" w:rsidTr="009C5A02">
        <w:trPr>
          <w:trHeight w:val="404"/>
        </w:trPr>
        <w:tc>
          <w:tcPr>
            <w:tcW w:w="3510" w:type="dxa"/>
          </w:tcPr>
          <w:p w14:paraId="00E75441" w14:textId="77777777" w:rsidR="00411995" w:rsidRPr="004E461A" w:rsidRDefault="00411995" w:rsidP="009C5A02">
            <w:pPr>
              <w:spacing w:line="240" w:lineRule="auto"/>
              <w:jc w:val="both"/>
              <w:rPr>
                <w:color w:val="000000"/>
              </w:rPr>
            </w:pPr>
          </w:p>
        </w:tc>
        <w:tc>
          <w:tcPr>
            <w:tcW w:w="1560" w:type="dxa"/>
            <w:vAlign w:val="center"/>
          </w:tcPr>
          <w:p w14:paraId="4597F863" w14:textId="77777777" w:rsidR="00411995" w:rsidRPr="004E461A" w:rsidRDefault="00411995" w:rsidP="009C5A02">
            <w:pPr>
              <w:spacing w:line="240" w:lineRule="auto"/>
              <w:jc w:val="center"/>
              <w:rPr>
                <w:color w:val="000000"/>
                <w:szCs w:val="22"/>
              </w:rPr>
            </w:pPr>
            <w:proofErr w:type="spellStart"/>
            <w:r w:rsidRPr="004E461A">
              <w:rPr>
                <w:color w:val="000000"/>
                <w:szCs w:val="22"/>
              </w:rPr>
              <w:t>Ivabradīns</w:t>
            </w:r>
            <w:proofErr w:type="spellEnd"/>
          </w:p>
          <w:p w14:paraId="7220BF56" w14:textId="77777777" w:rsidR="00411995" w:rsidRPr="004E461A" w:rsidRDefault="00411995" w:rsidP="009C5A02">
            <w:pPr>
              <w:spacing w:line="240" w:lineRule="auto"/>
              <w:jc w:val="center"/>
              <w:rPr>
                <w:color w:val="000000"/>
                <w:szCs w:val="22"/>
              </w:rPr>
            </w:pPr>
            <w:r w:rsidRPr="004E461A">
              <w:rPr>
                <w:color w:val="000000"/>
                <w:szCs w:val="22"/>
              </w:rPr>
              <w:t>(N=3241)</w:t>
            </w:r>
          </w:p>
          <w:p w14:paraId="6D593595" w14:textId="77777777" w:rsidR="00411995" w:rsidRPr="004E461A" w:rsidRDefault="00411995" w:rsidP="009C5A02">
            <w:pPr>
              <w:spacing w:line="240" w:lineRule="auto"/>
              <w:jc w:val="center"/>
              <w:rPr>
                <w:color w:val="000000"/>
                <w:szCs w:val="22"/>
              </w:rPr>
            </w:pPr>
            <w:r w:rsidRPr="004E461A">
              <w:rPr>
                <w:color w:val="000000"/>
                <w:szCs w:val="22"/>
              </w:rPr>
              <w:t>n (%)</w:t>
            </w:r>
          </w:p>
        </w:tc>
        <w:tc>
          <w:tcPr>
            <w:tcW w:w="1493" w:type="dxa"/>
            <w:vAlign w:val="center"/>
          </w:tcPr>
          <w:p w14:paraId="12699256" w14:textId="77777777" w:rsidR="00411995" w:rsidRPr="004E461A" w:rsidRDefault="00411995" w:rsidP="009C5A02">
            <w:pPr>
              <w:spacing w:line="240" w:lineRule="auto"/>
              <w:jc w:val="center"/>
              <w:rPr>
                <w:color w:val="000000"/>
                <w:szCs w:val="22"/>
              </w:rPr>
            </w:pPr>
            <w:r w:rsidRPr="004E461A">
              <w:rPr>
                <w:color w:val="000000"/>
                <w:szCs w:val="22"/>
              </w:rPr>
              <w:t>Placebo</w:t>
            </w:r>
          </w:p>
          <w:p w14:paraId="771FB4CC" w14:textId="77777777" w:rsidR="00411995" w:rsidRPr="004E461A" w:rsidRDefault="00411995" w:rsidP="009C5A02">
            <w:pPr>
              <w:spacing w:line="240" w:lineRule="auto"/>
              <w:jc w:val="center"/>
              <w:rPr>
                <w:color w:val="000000"/>
                <w:szCs w:val="22"/>
              </w:rPr>
            </w:pPr>
            <w:r w:rsidRPr="004E461A">
              <w:rPr>
                <w:color w:val="000000"/>
                <w:szCs w:val="22"/>
              </w:rPr>
              <w:t>(N=3264)</w:t>
            </w:r>
          </w:p>
          <w:p w14:paraId="1667E1DC" w14:textId="77777777" w:rsidR="00411995" w:rsidRPr="004E461A" w:rsidRDefault="00411995" w:rsidP="009C5A02">
            <w:pPr>
              <w:spacing w:line="240" w:lineRule="auto"/>
              <w:jc w:val="center"/>
              <w:rPr>
                <w:color w:val="000000"/>
                <w:szCs w:val="22"/>
              </w:rPr>
            </w:pPr>
            <w:r w:rsidRPr="004E461A">
              <w:rPr>
                <w:color w:val="000000"/>
                <w:szCs w:val="22"/>
              </w:rPr>
              <w:t>n (%)</w:t>
            </w:r>
          </w:p>
        </w:tc>
        <w:tc>
          <w:tcPr>
            <w:tcW w:w="1728" w:type="dxa"/>
            <w:vAlign w:val="center"/>
          </w:tcPr>
          <w:p w14:paraId="2A507031" w14:textId="77777777" w:rsidR="00411995" w:rsidRPr="004E461A" w:rsidRDefault="00411995" w:rsidP="009C5A02">
            <w:pPr>
              <w:spacing w:line="240" w:lineRule="auto"/>
              <w:jc w:val="center"/>
              <w:rPr>
                <w:color w:val="000000"/>
                <w:szCs w:val="22"/>
              </w:rPr>
            </w:pPr>
            <w:r w:rsidRPr="004E461A">
              <w:rPr>
                <w:color w:val="000000"/>
                <w:szCs w:val="22"/>
              </w:rPr>
              <w:t>Riska attiecība</w:t>
            </w:r>
          </w:p>
          <w:p w14:paraId="6AECD546" w14:textId="77777777" w:rsidR="00411995" w:rsidRPr="004E461A" w:rsidRDefault="00411995" w:rsidP="009C5A02">
            <w:pPr>
              <w:spacing w:line="240" w:lineRule="auto"/>
              <w:jc w:val="center"/>
              <w:rPr>
                <w:color w:val="000000"/>
                <w:szCs w:val="22"/>
              </w:rPr>
            </w:pPr>
            <w:r w:rsidRPr="004E461A">
              <w:rPr>
                <w:color w:val="000000"/>
                <w:szCs w:val="22"/>
              </w:rPr>
              <w:t>[95 % TI]</w:t>
            </w:r>
          </w:p>
        </w:tc>
        <w:tc>
          <w:tcPr>
            <w:tcW w:w="0" w:type="auto"/>
            <w:vAlign w:val="center"/>
          </w:tcPr>
          <w:p w14:paraId="1ABED797" w14:textId="77777777" w:rsidR="00411995" w:rsidRPr="004E461A" w:rsidRDefault="00411995" w:rsidP="009C5A02">
            <w:pPr>
              <w:spacing w:line="240" w:lineRule="auto"/>
              <w:jc w:val="center"/>
              <w:rPr>
                <w:color w:val="000000"/>
                <w:szCs w:val="22"/>
              </w:rPr>
            </w:pPr>
            <w:r w:rsidRPr="004E461A">
              <w:rPr>
                <w:color w:val="000000"/>
                <w:szCs w:val="22"/>
              </w:rPr>
              <w:t>p-vērtība</w:t>
            </w:r>
          </w:p>
        </w:tc>
      </w:tr>
      <w:tr w:rsidR="00411995" w:rsidRPr="004E461A" w14:paraId="209FB014" w14:textId="77777777" w:rsidTr="00C24EAE">
        <w:trPr>
          <w:trHeight w:val="145"/>
        </w:trPr>
        <w:tc>
          <w:tcPr>
            <w:tcW w:w="3510" w:type="dxa"/>
          </w:tcPr>
          <w:p w14:paraId="0714F239" w14:textId="77777777" w:rsidR="00411995" w:rsidRPr="004E461A" w:rsidRDefault="00411995" w:rsidP="009C5A02">
            <w:pPr>
              <w:spacing w:line="240" w:lineRule="auto"/>
              <w:jc w:val="both"/>
              <w:rPr>
                <w:color w:val="000000"/>
                <w:szCs w:val="22"/>
              </w:rPr>
            </w:pPr>
            <w:r w:rsidRPr="004E461A">
              <w:rPr>
                <w:color w:val="000000"/>
                <w:szCs w:val="22"/>
              </w:rPr>
              <w:t xml:space="preserve">Primārais </w:t>
            </w:r>
            <w:r w:rsidR="004313AE" w:rsidRPr="004E461A">
              <w:rPr>
                <w:color w:val="000000"/>
                <w:szCs w:val="22"/>
              </w:rPr>
              <w:t>saliktais</w:t>
            </w:r>
            <w:r w:rsidRPr="004E461A">
              <w:rPr>
                <w:color w:val="000000"/>
                <w:szCs w:val="22"/>
              </w:rPr>
              <w:t xml:space="preserve"> mērķa kritērijs</w:t>
            </w:r>
          </w:p>
        </w:tc>
        <w:tc>
          <w:tcPr>
            <w:tcW w:w="1560" w:type="dxa"/>
          </w:tcPr>
          <w:p w14:paraId="499D1B98" w14:textId="77777777" w:rsidR="00411995" w:rsidRPr="004E461A" w:rsidRDefault="00411995" w:rsidP="009C5A02">
            <w:pPr>
              <w:spacing w:line="240" w:lineRule="auto"/>
              <w:jc w:val="center"/>
              <w:rPr>
                <w:color w:val="000000"/>
                <w:szCs w:val="22"/>
              </w:rPr>
            </w:pPr>
            <w:r w:rsidRPr="004E461A">
              <w:rPr>
                <w:color w:val="000000"/>
                <w:szCs w:val="22"/>
              </w:rPr>
              <w:t>793 (24,47)</w:t>
            </w:r>
          </w:p>
        </w:tc>
        <w:tc>
          <w:tcPr>
            <w:tcW w:w="1493" w:type="dxa"/>
          </w:tcPr>
          <w:p w14:paraId="2B387A79" w14:textId="77777777" w:rsidR="00411995" w:rsidRPr="004E461A" w:rsidRDefault="00411995" w:rsidP="009C5A02">
            <w:pPr>
              <w:spacing w:line="240" w:lineRule="auto"/>
              <w:jc w:val="center"/>
              <w:rPr>
                <w:color w:val="000000"/>
                <w:szCs w:val="22"/>
              </w:rPr>
            </w:pPr>
            <w:r w:rsidRPr="004E461A">
              <w:rPr>
                <w:color w:val="000000"/>
                <w:szCs w:val="22"/>
              </w:rPr>
              <w:t>937 (28,71)</w:t>
            </w:r>
          </w:p>
        </w:tc>
        <w:tc>
          <w:tcPr>
            <w:tcW w:w="1728" w:type="dxa"/>
          </w:tcPr>
          <w:p w14:paraId="30BF4F25" w14:textId="77777777" w:rsidR="00411995" w:rsidRPr="004E461A" w:rsidRDefault="00411995" w:rsidP="009C5A02">
            <w:pPr>
              <w:spacing w:line="240" w:lineRule="auto"/>
              <w:jc w:val="center"/>
              <w:rPr>
                <w:color w:val="000000"/>
                <w:szCs w:val="22"/>
              </w:rPr>
            </w:pPr>
            <w:r w:rsidRPr="004E461A">
              <w:rPr>
                <w:color w:val="000000"/>
                <w:szCs w:val="22"/>
              </w:rPr>
              <w:t>0,82 [0,75; 0,90]</w:t>
            </w:r>
          </w:p>
        </w:tc>
        <w:tc>
          <w:tcPr>
            <w:tcW w:w="0" w:type="auto"/>
          </w:tcPr>
          <w:p w14:paraId="364C1A74" w14:textId="77777777" w:rsidR="00411995" w:rsidRPr="004E461A" w:rsidRDefault="00411995" w:rsidP="009C5A02">
            <w:pPr>
              <w:spacing w:line="240" w:lineRule="auto"/>
              <w:jc w:val="center"/>
              <w:rPr>
                <w:color w:val="000000"/>
                <w:szCs w:val="22"/>
              </w:rPr>
            </w:pPr>
            <w:r w:rsidRPr="004E461A">
              <w:rPr>
                <w:color w:val="000000"/>
                <w:szCs w:val="22"/>
              </w:rPr>
              <w:t>&lt;0,0001</w:t>
            </w:r>
          </w:p>
        </w:tc>
      </w:tr>
      <w:tr w:rsidR="00411995" w:rsidRPr="004E461A" w14:paraId="6947AE2B" w14:textId="77777777" w:rsidTr="00C24EAE">
        <w:trPr>
          <w:trHeight w:val="533"/>
        </w:trPr>
        <w:tc>
          <w:tcPr>
            <w:tcW w:w="3510" w:type="dxa"/>
          </w:tcPr>
          <w:p w14:paraId="2932C43C" w14:textId="77777777" w:rsidR="00411995" w:rsidRPr="004E461A" w:rsidRDefault="004313AE" w:rsidP="009C5A02">
            <w:pPr>
              <w:spacing w:line="240" w:lineRule="auto"/>
              <w:jc w:val="both"/>
              <w:rPr>
                <w:color w:val="000000"/>
                <w:szCs w:val="22"/>
              </w:rPr>
            </w:pPr>
            <w:r w:rsidRPr="004E461A">
              <w:rPr>
                <w:color w:val="000000"/>
                <w:szCs w:val="22"/>
              </w:rPr>
              <w:t>Saliktā</w:t>
            </w:r>
            <w:r w:rsidR="00411995" w:rsidRPr="004E461A">
              <w:rPr>
                <w:color w:val="000000"/>
                <w:szCs w:val="22"/>
              </w:rPr>
              <w:t xml:space="preserve"> mērķa kritērija komponentes:</w:t>
            </w:r>
          </w:p>
          <w:p w14:paraId="1B9F0AE4"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kardiovaskulāra nāve</w:t>
            </w:r>
          </w:p>
          <w:p w14:paraId="3F717F2E"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hospitalizācija SM pasliktināšanās dēļ</w:t>
            </w:r>
          </w:p>
        </w:tc>
        <w:tc>
          <w:tcPr>
            <w:tcW w:w="1560" w:type="dxa"/>
          </w:tcPr>
          <w:p w14:paraId="0028E3F4" w14:textId="77777777" w:rsidR="00411995" w:rsidRPr="004E461A" w:rsidRDefault="00411995" w:rsidP="009C5A02">
            <w:pPr>
              <w:spacing w:line="240" w:lineRule="auto"/>
              <w:jc w:val="center"/>
              <w:rPr>
                <w:color w:val="000000"/>
                <w:szCs w:val="22"/>
              </w:rPr>
            </w:pPr>
          </w:p>
          <w:p w14:paraId="3BBDABC2" w14:textId="77777777" w:rsidR="00411995" w:rsidRPr="004E461A" w:rsidRDefault="00411995" w:rsidP="009C5A02">
            <w:pPr>
              <w:spacing w:line="240" w:lineRule="auto"/>
              <w:jc w:val="center"/>
              <w:rPr>
                <w:color w:val="000000"/>
                <w:szCs w:val="22"/>
              </w:rPr>
            </w:pPr>
          </w:p>
          <w:p w14:paraId="7672FA15" w14:textId="77777777" w:rsidR="00411995" w:rsidRPr="004E461A" w:rsidRDefault="00411995" w:rsidP="009C5A02">
            <w:pPr>
              <w:spacing w:line="240" w:lineRule="auto"/>
              <w:jc w:val="center"/>
              <w:rPr>
                <w:color w:val="000000"/>
                <w:szCs w:val="22"/>
              </w:rPr>
            </w:pPr>
            <w:r w:rsidRPr="004E461A">
              <w:rPr>
                <w:color w:val="000000"/>
                <w:szCs w:val="22"/>
              </w:rPr>
              <w:t>449 (13,85)</w:t>
            </w:r>
          </w:p>
          <w:p w14:paraId="33F0E03B" w14:textId="77777777" w:rsidR="00411995" w:rsidRPr="004E461A" w:rsidRDefault="00411995" w:rsidP="009C5A02">
            <w:pPr>
              <w:spacing w:line="240" w:lineRule="auto"/>
              <w:jc w:val="center"/>
              <w:rPr>
                <w:color w:val="000000"/>
                <w:szCs w:val="22"/>
              </w:rPr>
            </w:pPr>
          </w:p>
          <w:p w14:paraId="3AD700CA" w14:textId="77777777" w:rsidR="00411995" w:rsidRPr="004E461A" w:rsidRDefault="00411995" w:rsidP="009C5A02">
            <w:pPr>
              <w:spacing w:line="240" w:lineRule="auto"/>
              <w:jc w:val="center"/>
              <w:rPr>
                <w:color w:val="000000"/>
                <w:szCs w:val="22"/>
              </w:rPr>
            </w:pPr>
            <w:r w:rsidRPr="004E461A">
              <w:rPr>
                <w:color w:val="000000"/>
                <w:szCs w:val="22"/>
              </w:rPr>
              <w:t>514 (15,86)</w:t>
            </w:r>
          </w:p>
        </w:tc>
        <w:tc>
          <w:tcPr>
            <w:tcW w:w="1493" w:type="dxa"/>
          </w:tcPr>
          <w:p w14:paraId="6546188D" w14:textId="77777777" w:rsidR="00411995" w:rsidRPr="004E461A" w:rsidRDefault="00411995" w:rsidP="009C5A02">
            <w:pPr>
              <w:spacing w:line="240" w:lineRule="auto"/>
              <w:jc w:val="center"/>
              <w:rPr>
                <w:color w:val="000000"/>
                <w:szCs w:val="22"/>
              </w:rPr>
            </w:pPr>
          </w:p>
          <w:p w14:paraId="4D28CAE3" w14:textId="77777777" w:rsidR="00411995" w:rsidRPr="004E461A" w:rsidRDefault="00411995" w:rsidP="009C5A02">
            <w:pPr>
              <w:spacing w:line="240" w:lineRule="auto"/>
              <w:jc w:val="center"/>
              <w:rPr>
                <w:color w:val="000000"/>
                <w:szCs w:val="22"/>
              </w:rPr>
            </w:pPr>
          </w:p>
          <w:p w14:paraId="30FC555C" w14:textId="77777777" w:rsidR="00411995" w:rsidRPr="004E461A" w:rsidRDefault="00411995" w:rsidP="009C5A02">
            <w:pPr>
              <w:spacing w:line="240" w:lineRule="auto"/>
              <w:jc w:val="center"/>
              <w:rPr>
                <w:color w:val="000000"/>
                <w:szCs w:val="22"/>
              </w:rPr>
            </w:pPr>
            <w:r w:rsidRPr="004E461A">
              <w:rPr>
                <w:color w:val="000000"/>
                <w:szCs w:val="22"/>
              </w:rPr>
              <w:t>491 (15,04)</w:t>
            </w:r>
          </w:p>
          <w:p w14:paraId="5B637DAA" w14:textId="77777777" w:rsidR="00411995" w:rsidRPr="004E461A" w:rsidRDefault="00411995" w:rsidP="009C5A02">
            <w:pPr>
              <w:spacing w:line="240" w:lineRule="auto"/>
              <w:jc w:val="center"/>
              <w:rPr>
                <w:color w:val="000000"/>
                <w:szCs w:val="22"/>
              </w:rPr>
            </w:pPr>
          </w:p>
          <w:p w14:paraId="12D8DB65" w14:textId="77777777" w:rsidR="00411995" w:rsidRPr="004E461A" w:rsidRDefault="00411995" w:rsidP="009C5A02">
            <w:pPr>
              <w:spacing w:line="240" w:lineRule="auto"/>
              <w:jc w:val="center"/>
              <w:rPr>
                <w:color w:val="000000"/>
                <w:szCs w:val="22"/>
              </w:rPr>
            </w:pPr>
            <w:r w:rsidRPr="004E461A">
              <w:rPr>
                <w:color w:val="000000"/>
                <w:szCs w:val="22"/>
              </w:rPr>
              <w:t>672 (20,59)</w:t>
            </w:r>
          </w:p>
        </w:tc>
        <w:tc>
          <w:tcPr>
            <w:tcW w:w="1728" w:type="dxa"/>
          </w:tcPr>
          <w:p w14:paraId="2465761A" w14:textId="77777777" w:rsidR="00411995" w:rsidRPr="004E461A" w:rsidRDefault="00411995" w:rsidP="009C5A02">
            <w:pPr>
              <w:spacing w:line="240" w:lineRule="auto"/>
              <w:jc w:val="center"/>
              <w:rPr>
                <w:color w:val="000000"/>
                <w:szCs w:val="22"/>
              </w:rPr>
            </w:pPr>
          </w:p>
          <w:p w14:paraId="63709710" w14:textId="77777777" w:rsidR="00411995" w:rsidRPr="004E461A" w:rsidRDefault="00411995" w:rsidP="009C5A02">
            <w:pPr>
              <w:spacing w:line="240" w:lineRule="auto"/>
              <w:jc w:val="center"/>
              <w:rPr>
                <w:color w:val="000000"/>
                <w:szCs w:val="22"/>
              </w:rPr>
            </w:pPr>
          </w:p>
          <w:p w14:paraId="716035EC" w14:textId="77777777" w:rsidR="00411995" w:rsidRPr="004E461A" w:rsidRDefault="00411995" w:rsidP="009C5A02">
            <w:pPr>
              <w:spacing w:line="240" w:lineRule="auto"/>
              <w:jc w:val="center"/>
              <w:rPr>
                <w:color w:val="000000"/>
                <w:szCs w:val="22"/>
              </w:rPr>
            </w:pPr>
            <w:r w:rsidRPr="004E461A">
              <w:rPr>
                <w:color w:val="000000"/>
                <w:szCs w:val="22"/>
              </w:rPr>
              <w:t>0,91 [0,80; 1,03]</w:t>
            </w:r>
          </w:p>
          <w:p w14:paraId="13019B45" w14:textId="77777777" w:rsidR="00411995" w:rsidRPr="004E461A" w:rsidRDefault="00411995" w:rsidP="009C5A02">
            <w:pPr>
              <w:spacing w:line="240" w:lineRule="auto"/>
              <w:jc w:val="center"/>
              <w:rPr>
                <w:color w:val="000000"/>
                <w:szCs w:val="22"/>
              </w:rPr>
            </w:pPr>
          </w:p>
          <w:p w14:paraId="3FAE5559" w14:textId="77777777" w:rsidR="00411995" w:rsidRPr="004E461A" w:rsidRDefault="00411995" w:rsidP="009C5A02">
            <w:pPr>
              <w:spacing w:line="240" w:lineRule="auto"/>
              <w:jc w:val="center"/>
              <w:rPr>
                <w:color w:val="000000"/>
                <w:szCs w:val="22"/>
              </w:rPr>
            </w:pPr>
            <w:r w:rsidRPr="004E461A">
              <w:rPr>
                <w:color w:val="000000"/>
                <w:szCs w:val="22"/>
              </w:rPr>
              <w:t>0,74 [0,66; 0,83]</w:t>
            </w:r>
          </w:p>
        </w:tc>
        <w:tc>
          <w:tcPr>
            <w:tcW w:w="0" w:type="auto"/>
          </w:tcPr>
          <w:p w14:paraId="1E0D026A" w14:textId="77777777" w:rsidR="00411995" w:rsidRPr="004E461A" w:rsidRDefault="00411995" w:rsidP="009C5A02">
            <w:pPr>
              <w:spacing w:line="240" w:lineRule="auto"/>
              <w:jc w:val="center"/>
              <w:rPr>
                <w:color w:val="000000"/>
                <w:szCs w:val="22"/>
              </w:rPr>
            </w:pPr>
          </w:p>
          <w:p w14:paraId="74225021" w14:textId="77777777" w:rsidR="00411995" w:rsidRPr="004E461A" w:rsidRDefault="00411995" w:rsidP="009C5A02">
            <w:pPr>
              <w:spacing w:line="240" w:lineRule="auto"/>
              <w:jc w:val="center"/>
              <w:rPr>
                <w:color w:val="000000"/>
                <w:szCs w:val="22"/>
              </w:rPr>
            </w:pPr>
          </w:p>
          <w:p w14:paraId="636907F5" w14:textId="77777777" w:rsidR="00411995" w:rsidRPr="004E461A" w:rsidRDefault="00411995" w:rsidP="009C5A02">
            <w:pPr>
              <w:spacing w:line="240" w:lineRule="auto"/>
              <w:jc w:val="center"/>
              <w:rPr>
                <w:color w:val="000000"/>
                <w:szCs w:val="22"/>
              </w:rPr>
            </w:pPr>
            <w:r w:rsidRPr="004E461A">
              <w:rPr>
                <w:color w:val="000000"/>
                <w:szCs w:val="22"/>
              </w:rPr>
              <w:t>0,128</w:t>
            </w:r>
          </w:p>
          <w:p w14:paraId="4F633984" w14:textId="77777777" w:rsidR="00411995" w:rsidRPr="004E461A" w:rsidRDefault="00411995" w:rsidP="009C5A02">
            <w:pPr>
              <w:spacing w:line="240" w:lineRule="auto"/>
              <w:jc w:val="center"/>
              <w:rPr>
                <w:color w:val="000000"/>
                <w:szCs w:val="22"/>
              </w:rPr>
            </w:pPr>
          </w:p>
          <w:p w14:paraId="2CA24BEE" w14:textId="77777777" w:rsidR="00411995" w:rsidRPr="004E461A" w:rsidRDefault="00411995" w:rsidP="009C5A02">
            <w:pPr>
              <w:spacing w:line="240" w:lineRule="auto"/>
              <w:jc w:val="center"/>
              <w:rPr>
                <w:color w:val="000000"/>
                <w:szCs w:val="22"/>
              </w:rPr>
            </w:pPr>
            <w:r w:rsidRPr="004E461A">
              <w:rPr>
                <w:color w:val="000000"/>
                <w:szCs w:val="22"/>
              </w:rPr>
              <w:t>&lt;0,0001</w:t>
            </w:r>
          </w:p>
        </w:tc>
      </w:tr>
      <w:tr w:rsidR="00411995" w:rsidRPr="004E461A" w14:paraId="5A4A42A3" w14:textId="77777777" w:rsidTr="00C24EAE">
        <w:trPr>
          <w:trHeight w:val="663"/>
        </w:trPr>
        <w:tc>
          <w:tcPr>
            <w:tcW w:w="3510" w:type="dxa"/>
          </w:tcPr>
          <w:p w14:paraId="7DF1971C" w14:textId="77777777" w:rsidR="00411995" w:rsidRPr="004E461A" w:rsidRDefault="00411995" w:rsidP="009C5A02">
            <w:pPr>
              <w:spacing w:line="240" w:lineRule="auto"/>
              <w:jc w:val="both"/>
              <w:rPr>
                <w:color w:val="000000"/>
                <w:szCs w:val="22"/>
              </w:rPr>
            </w:pPr>
            <w:r w:rsidRPr="004E461A">
              <w:rPr>
                <w:color w:val="000000"/>
                <w:szCs w:val="22"/>
              </w:rPr>
              <w:t>Citi sekundārie mērķa kritēriji:</w:t>
            </w:r>
          </w:p>
          <w:p w14:paraId="383F182A"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nāve visu cēloņu dēļ</w:t>
            </w:r>
          </w:p>
          <w:p w14:paraId="678EDAFF"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nāve SM dēļ</w:t>
            </w:r>
          </w:p>
          <w:p w14:paraId="6E745D5F"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hospitalizācija jebkura iemesla dēļ</w:t>
            </w:r>
          </w:p>
          <w:p w14:paraId="012F0591" w14:textId="77777777" w:rsidR="00411995" w:rsidRPr="004E461A" w:rsidRDefault="00411995" w:rsidP="009C5A02">
            <w:pPr>
              <w:numPr>
                <w:ilvl w:val="0"/>
                <w:numId w:val="33"/>
              </w:numPr>
              <w:tabs>
                <w:tab w:val="clear" w:pos="567"/>
                <w:tab w:val="left" w:pos="709"/>
              </w:tabs>
              <w:spacing w:line="240" w:lineRule="auto"/>
              <w:jc w:val="both"/>
              <w:rPr>
                <w:color w:val="000000"/>
                <w:szCs w:val="22"/>
              </w:rPr>
            </w:pPr>
            <w:r w:rsidRPr="004E461A">
              <w:rPr>
                <w:color w:val="000000"/>
                <w:szCs w:val="22"/>
              </w:rPr>
              <w:t>hospitalizācija kardiovaskulāra iemesla dēļ</w:t>
            </w:r>
          </w:p>
        </w:tc>
        <w:tc>
          <w:tcPr>
            <w:tcW w:w="1560" w:type="dxa"/>
          </w:tcPr>
          <w:p w14:paraId="03F54F7D" w14:textId="77777777" w:rsidR="00411995" w:rsidRPr="004E461A" w:rsidRDefault="00411995" w:rsidP="009C5A02">
            <w:pPr>
              <w:spacing w:line="240" w:lineRule="auto"/>
              <w:jc w:val="center"/>
              <w:rPr>
                <w:color w:val="000000"/>
                <w:szCs w:val="22"/>
              </w:rPr>
            </w:pPr>
          </w:p>
          <w:p w14:paraId="74F730A5" w14:textId="77777777" w:rsidR="00411995" w:rsidRPr="004E461A" w:rsidRDefault="00411995" w:rsidP="009C5A02">
            <w:pPr>
              <w:spacing w:line="240" w:lineRule="auto"/>
              <w:jc w:val="center"/>
              <w:rPr>
                <w:color w:val="000000"/>
                <w:szCs w:val="22"/>
              </w:rPr>
            </w:pPr>
            <w:r w:rsidRPr="004E461A">
              <w:rPr>
                <w:color w:val="000000"/>
                <w:szCs w:val="22"/>
              </w:rPr>
              <w:t>503 (15,52)</w:t>
            </w:r>
          </w:p>
          <w:p w14:paraId="4A122528" w14:textId="77777777" w:rsidR="00411995" w:rsidRPr="004E461A" w:rsidRDefault="00411995" w:rsidP="009C5A02">
            <w:pPr>
              <w:spacing w:line="240" w:lineRule="auto"/>
              <w:jc w:val="center"/>
              <w:rPr>
                <w:color w:val="000000"/>
                <w:szCs w:val="22"/>
              </w:rPr>
            </w:pPr>
            <w:r w:rsidRPr="004E461A">
              <w:rPr>
                <w:color w:val="000000"/>
                <w:szCs w:val="22"/>
              </w:rPr>
              <w:t>113 (3,49)</w:t>
            </w:r>
          </w:p>
          <w:p w14:paraId="352849D2" w14:textId="77777777" w:rsidR="00411995" w:rsidRPr="004E461A" w:rsidRDefault="00411995" w:rsidP="009C5A02">
            <w:pPr>
              <w:spacing w:line="240" w:lineRule="auto"/>
              <w:jc w:val="center"/>
              <w:rPr>
                <w:color w:val="000000"/>
                <w:szCs w:val="22"/>
              </w:rPr>
            </w:pPr>
          </w:p>
          <w:p w14:paraId="65A4D268" w14:textId="77777777" w:rsidR="00411995" w:rsidRPr="004E461A" w:rsidRDefault="00411995" w:rsidP="009C5A02">
            <w:pPr>
              <w:spacing w:line="240" w:lineRule="auto"/>
              <w:jc w:val="center"/>
              <w:rPr>
                <w:color w:val="000000"/>
                <w:szCs w:val="22"/>
              </w:rPr>
            </w:pPr>
            <w:r w:rsidRPr="004E461A">
              <w:rPr>
                <w:color w:val="000000"/>
                <w:szCs w:val="22"/>
              </w:rPr>
              <w:t>1231 (37,98)</w:t>
            </w:r>
          </w:p>
          <w:p w14:paraId="7F28C6CE" w14:textId="77777777" w:rsidR="00411995" w:rsidRPr="004E461A" w:rsidRDefault="00411995" w:rsidP="009C5A02">
            <w:pPr>
              <w:spacing w:line="240" w:lineRule="auto"/>
              <w:jc w:val="center"/>
              <w:rPr>
                <w:color w:val="000000"/>
                <w:szCs w:val="22"/>
              </w:rPr>
            </w:pPr>
          </w:p>
          <w:p w14:paraId="5A5FC3AC" w14:textId="77777777" w:rsidR="00411995" w:rsidRPr="004E461A" w:rsidRDefault="00411995" w:rsidP="009C5A02">
            <w:pPr>
              <w:spacing w:line="240" w:lineRule="auto"/>
              <w:jc w:val="center"/>
              <w:rPr>
                <w:color w:val="000000"/>
                <w:szCs w:val="22"/>
              </w:rPr>
            </w:pPr>
            <w:r w:rsidRPr="004E461A">
              <w:rPr>
                <w:color w:val="000000"/>
                <w:szCs w:val="22"/>
              </w:rPr>
              <w:t>977 (30,15)</w:t>
            </w:r>
          </w:p>
        </w:tc>
        <w:tc>
          <w:tcPr>
            <w:tcW w:w="1493" w:type="dxa"/>
          </w:tcPr>
          <w:p w14:paraId="26E27A9F" w14:textId="77777777" w:rsidR="00411995" w:rsidRPr="004E461A" w:rsidRDefault="00411995" w:rsidP="009C5A02">
            <w:pPr>
              <w:spacing w:line="240" w:lineRule="auto"/>
              <w:jc w:val="center"/>
              <w:rPr>
                <w:color w:val="000000"/>
                <w:szCs w:val="22"/>
              </w:rPr>
            </w:pPr>
          </w:p>
          <w:p w14:paraId="5986F722" w14:textId="77777777" w:rsidR="00411995" w:rsidRPr="004E461A" w:rsidRDefault="00411995" w:rsidP="009C5A02">
            <w:pPr>
              <w:spacing w:line="240" w:lineRule="auto"/>
              <w:jc w:val="center"/>
              <w:rPr>
                <w:color w:val="000000"/>
                <w:szCs w:val="22"/>
              </w:rPr>
            </w:pPr>
            <w:r w:rsidRPr="004E461A">
              <w:rPr>
                <w:color w:val="000000"/>
                <w:szCs w:val="22"/>
              </w:rPr>
              <w:t>552 (16,91)</w:t>
            </w:r>
          </w:p>
          <w:p w14:paraId="29C3B73C" w14:textId="77777777" w:rsidR="00411995" w:rsidRPr="004E461A" w:rsidRDefault="00411995" w:rsidP="009C5A02">
            <w:pPr>
              <w:spacing w:line="240" w:lineRule="auto"/>
              <w:jc w:val="center"/>
              <w:rPr>
                <w:color w:val="000000"/>
                <w:szCs w:val="22"/>
              </w:rPr>
            </w:pPr>
            <w:r w:rsidRPr="004E461A">
              <w:rPr>
                <w:color w:val="000000"/>
                <w:szCs w:val="22"/>
              </w:rPr>
              <w:t>151 (4,63)</w:t>
            </w:r>
          </w:p>
          <w:p w14:paraId="54593124" w14:textId="77777777" w:rsidR="00411995" w:rsidRPr="004E461A" w:rsidRDefault="00411995" w:rsidP="009C5A02">
            <w:pPr>
              <w:spacing w:line="240" w:lineRule="auto"/>
              <w:jc w:val="center"/>
              <w:rPr>
                <w:color w:val="000000"/>
                <w:szCs w:val="22"/>
              </w:rPr>
            </w:pPr>
          </w:p>
          <w:p w14:paraId="7CBF22B1" w14:textId="77777777" w:rsidR="00411995" w:rsidRPr="004E461A" w:rsidRDefault="00411995" w:rsidP="009C5A02">
            <w:pPr>
              <w:spacing w:line="240" w:lineRule="auto"/>
              <w:jc w:val="center"/>
              <w:rPr>
                <w:color w:val="000000"/>
                <w:szCs w:val="22"/>
              </w:rPr>
            </w:pPr>
            <w:r w:rsidRPr="004E461A">
              <w:rPr>
                <w:color w:val="000000"/>
                <w:szCs w:val="22"/>
              </w:rPr>
              <w:t>1356 (41,54)</w:t>
            </w:r>
          </w:p>
          <w:p w14:paraId="4BA2E0BA" w14:textId="77777777" w:rsidR="00411995" w:rsidRPr="004E461A" w:rsidRDefault="00411995" w:rsidP="009C5A02">
            <w:pPr>
              <w:spacing w:line="240" w:lineRule="auto"/>
              <w:jc w:val="center"/>
              <w:rPr>
                <w:color w:val="000000"/>
                <w:szCs w:val="22"/>
              </w:rPr>
            </w:pPr>
          </w:p>
          <w:p w14:paraId="4294264C" w14:textId="77777777" w:rsidR="00411995" w:rsidRPr="004E461A" w:rsidRDefault="00411995" w:rsidP="009C5A02">
            <w:pPr>
              <w:spacing w:line="240" w:lineRule="auto"/>
              <w:jc w:val="center"/>
              <w:rPr>
                <w:color w:val="000000"/>
                <w:szCs w:val="22"/>
              </w:rPr>
            </w:pPr>
            <w:r w:rsidRPr="004E461A">
              <w:rPr>
                <w:color w:val="000000"/>
                <w:szCs w:val="22"/>
              </w:rPr>
              <w:t>1122 (34,38)</w:t>
            </w:r>
          </w:p>
        </w:tc>
        <w:tc>
          <w:tcPr>
            <w:tcW w:w="1728" w:type="dxa"/>
          </w:tcPr>
          <w:p w14:paraId="488E0C92" w14:textId="77777777" w:rsidR="00411995" w:rsidRPr="004E461A" w:rsidRDefault="00411995" w:rsidP="009C5A02">
            <w:pPr>
              <w:spacing w:line="240" w:lineRule="auto"/>
              <w:jc w:val="center"/>
              <w:rPr>
                <w:color w:val="000000"/>
                <w:szCs w:val="22"/>
              </w:rPr>
            </w:pPr>
          </w:p>
          <w:p w14:paraId="0C852A83" w14:textId="77777777" w:rsidR="00411995" w:rsidRPr="004E461A" w:rsidRDefault="00411995" w:rsidP="009C5A02">
            <w:pPr>
              <w:spacing w:line="240" w:lineRule="auto"/>
              <w:jc w:val="center"/>
              <w:rPr>
                <w:color w:val="000000"/>
                <w:szCs w:val="22"/>
              </w:rPr>
            </w:pPr>
            <w:r w:rsidRPr="004E461A">
              <w:rPr>
                <w:color w:val="000000"/>
                <w:szCs w:val="22"/>
              </w:rPr>
              <w:t>0,90 [0,80; 1,02]</w:t>
            </w:r>
          </w:p>
          <w:p w14:paraId="6BBCA586" w14:textId="77777777" w:rsidR="00411995" w:rsidRPr="004E461A" w:rsidRDefault="00411995" w:rsidP="009C5A02">
            <w:pPr>
              <w:spacing w:line="240" w:lineRule="auto"/>
              <w:jc w:val="center"/>
              <w:rPr>
                <w:color w:val="000000"/>
                <w:szCs w:val="22"/>
              </w:rPr>
            </w:pPr>
            <w:r w:rsidRPr="004E461A">
              <w:rPr>
                <w:color w:val="000000"/>
                <w:szCs w:val="22"/>
              </w:rPr>
              <w:t>0,74 [0,58; 0,94]</w:t>
            </w:r>
          </w:p>
          <w:p w14:paraId="3F26FFE3" w14:textId="77777777" w:rsidR="00411995" w:rsidRPr="004E461A" w:rsidRDefault="00411995" w:rsidP="009C5A02">
            <w:pPr>
              <w:spacing w:line="240" w:lineRule="auto"/>
              <w:jc w:val="center"/>
              <w:rPr>
                <w:color w:val="000000"/>
                <w:szCs w:val="22"/>
              </w:rPr>
            </w:pPr>
          </w:p>
          <w:p w14:paraId="56338B32" w14:textId="77777777" w:rsidR="00411995" w:rsidRPr="004E461A" w:rsidRDefault="00411995" w:rsidP="009C5A02">
            <w:pPr>
              <w:spacing w:line="240" w:lineRule="auto"/>
              <w:jc w:val="center"/>
              <w:rPr>
                <w:color w:val="000000"/>
                <w:szCs w:val="22"/>
              </w:rPr>
            </w:pPr>
            <w:r w:rsidRPr="004E461A">
              <w:rPr>
                <w:color w:val="000000"/>
                <w:szCs w:val="22"/>
              </w:rPr>
              <w:t>0,89 [0,82; 0,96]</w:t>
            </w:r>
          </w:p>
          <w:p w14:paraId="126FCDF1" w14:textId="77777777" w:rsidR="00411995" w:rsidRPr="004E461A" w:rsidRDefault="00411995" w:rsidP="009C5A02">
            <w:pPr>
              <w:spacing w:line="240" w:lineRule="auto"/>
              <w:jc w:val="center"/>
              <w:rPr>
                <w:color w:val="000000"/>
                <w:szCs w:val="22"/>
              </w:rPr>
            </w:pPr>
          </w:p>
          <w:p w14:paraId="663C42AE" w14:textId="77777777" w:rsidR="00411995" w:rsidRPr="004E461A" w:rsidRDefault="00411995" w:rsidP="009C5A02">
            <w:pPr>
              <w:spacing w:line="240" w:lineRule="auto"/>
              <w:jc w:val="center"/>
              <w:rPr>
                <w:color w:val="000000"/>
                <w:szCs w:val="22"/>
              </w:rPr>
            </w:pPr>
            <w:r w:rsidRPr="004E461A">
              <w:rPr>
                <w:color w:val="000000"/>
                <w:szCs w:val="22"/>
              </w:rPr>
              <w:t>0,85 [0,78; 0,92]</w:t>
            </w:r>
          </w:p>
        </w:tc>
        <w:tc>
          <w:tcPr>
            <w:tcW w:w="0" w:type="auto"/>
          </w:tcPr>
          <w:p w14:paraId="30D70CE4" w14:textId="77777777" w:rsidR="00411995" w:rsidRPr="004E461A" w:rsidRDefault="00411995" w:rsidP="009C5A02">
            <w:pPr>
              <w:spacing w:line="240" w:lineRule="auto"/>
              <w:jc w:val="center"/>
              <w:rPr>
                <w:color w:val="000000"/>
                <w:szCs w:val="22"/>
              </w:rPr>
            </w:pPr>
          </w:p>
          <w:p w14:paraId="45164E16" w14:textId="77777777" w:rsidR="00411995" w:rsidRPr="004E461A" w:rsidRDefault="00411995" w:rsidP="009C5A02">
            <w:pPr>
              <w:spacing w:line="240" w:lineRule="auto"/>
              <w:jc w:val="center"/>
              <w:rPr>
                <w:color w:val="000000"/>
                <w:szCs w:val="22"/>
              </w:rPr>
            </w:pPr>
            <w:r w:rsidRPr="004E461A">
              <w:rPr>
                <w:color w:val="000000"/>
                <w:szCs w:val="22"/>
              </w:rPr>
              <w:t>0,092</w:t>
            </w:r>
          </w:p>
          <w:p w14:paraId="03BE71DF" w14:textId="77777777" w:rsidR="00411995" w:rsidRPr="004E461A" w:rsidRDefault="00411995" w:rsidP="009C5A02">
            <w:pPr>
              <w:spacing w:line="240" w:lineRule="auto"/>
              <w:jc w:val="center"/>
              <w:rPr>
                <w:color w:val="000000"/>
                <w:szCs w:val="22"/>
              </w:rPr>
            </w:pPr>
            <w:r w:rsidRPr="004E461A">
              <w:rPr>
                <w:color w:val="000000"/>
                <w:szCs w:val="22"/>
              </w:rPr>
              <w:t>0,014</w:t>
            </w:r>
          </w:p>
          <w:p w14:paraId="3C231D40" w14:textId="77777777" w:rsidR="00411995" w:rsidRPr="004E461A" w:rsidRDefault="00411995" w:rsidP="009C5A02">
            <w:pPr>
              <w:spacing w:line="240" w:lineRule="auto"/>
              <w:jc w:val="center"/>
              <w:rPr>
                <w:color w:val="000000"/>
                <w:szCs w:val="22"/>
              </w:rPr>
            </w:pPr>
          </w:p>
          <w:p w14:paraId="2A2604A8" w14:textId="77777777" w:rsidR="00411995" w:rsidRPr="004E461A" w:rsidRDefault="00411995" w:rsidP="009C5A02">
            <w:pPr>
              <w:spacing w:line="240" w:lineRule="auto"/>
              <w:jc w:val="center"/>
              <w:rPr>
                <w:color w:val="000000"/>
                <w:szCs w:val="22"/>
              </w:rPr>
            </w:pPr>
            <w:r w:rsidRPr="004E461A">
              <w:rPr>
                <w:color w:val="000000"/>
                <w:szCs w:val="22"/>
              </w:rPr>
              <w:t>0,003</w:t>
            </w:r>
          </w:p>
          <w:p w14:paraId="0F8D63CC" w14:textId="77777777" w:rsidR="00411995" w:rsidRPr="004E461A" w:rsidRDefault="00411995" w:rsidP="009C5A02">
            <w:pPr>
              <w:spacing w:line="240" w:lineRule="auto"/>
              <w:jc w:val="center"/>
              <w:rPr>
                <w:color w:val="000000"/>
                <w:szCs w:val="22"/>
              </w:rPr>
            </w:pPr>
          </w:p>
          <w:p w14:paraId="3E3A3684" w14:textId="77777777" w:rsidR="00411995" w:rsidRPr="004E461A" w:rsidRDefault="00411995" w:rsidP="009C5A02">
            <w:pPr>
              <w:spacing w:line="240" w:lineRule="auto"/>
              <w:jc w:val="center"/>
              <w:rPr>
                <w:color w:val="000000"/>
                <w:szCs w:val="22"/>
              </w:rPr>
            </w:pPr>
            <w:r w:rsidRPr="004E461A">
              <w:rPr>
                <w:color w:val="000000"/>
                <w:szCs w:val="22"/>
              </w:rPr>
              <w:t>0,0002</w:t>
            </w:r>
          </w:p>
        </w:tc>
      </w:tr>
    </w:tbl>
    <w:p w14:paraId="6DEB5B80" w14:textId="77777777" w:rsidR="00411995" w:rsidRPr="004E461A" w:rsidRDefault="00411995" w:rsidP="009C5A02">
      <w:pPr>
        <w:spacing w:line="240" w:lineRule="auto"/>
        <w:jc w:val="both"/>
        <w:rPr>
          <w:color w:val="000000"/>
        </w:rPr>
      </w:pPr>
    </w:p>
    <w:p w14:paraId="79223A1A" w14:textId="77777777" w:rsidR="00411995" w:rsidRPr="004E461A" w:rsidRDefault="00411995" w:rsidP="009C5A02">
      <w:pPr>
        <w:spacing w:line="240" w:lineRule="auto"/>
        <w:jc w:val="both"/>
        <w:rPr>
          <w:color w:val="000000"/>
        </w:rPr>
      </w:pPr>
      <w:r w:rsidRPr="004E461A">
        <w:rPr>
          <w:color w:val="000000"/>
          <w:szCs w:val="22"/>
        </w:rPr>
        <w:t>Primārā mērķa kritērija samazinājums tika novērots pastāvīgi neatkarīgi no dzimuma, NYHA klases, neatkarīgi no išēmiskas vai ne-išēmiskas sirds mazspējas izcelsmes un diabēta vai hipertensijas anamnēzē.</w:t>
      </w:r>
    </w:p>
    <w:p w14:paraId="311BFA59" w14:textId="77777777" w:rsidR="00411995" w:rsidRPr="004E461A" w:rsidRDefault="00411995" w:rsidP="009C5A02">
      <w:pPr>
        <w:spacing w:line="240" w:lineRule="auto"/>
        <w:jc w:val="both"/>
        <w:rPr>
          <w:color w:val="000000"/>
        </w:rPr>
      </w:pPr>
    </w:p>
    <w:p w14:paraId="195FE866" w14:textId="77777777" w:rsidR="00411995" w:rsidRPr="004E461A" w:rsidRDefault="00411995" w:rsidP="009C5A02">
      <w:pPr>
        <w:spacing w:line="240" w:lineRule="auto"/>
        <w:jc w:val="both"/>
        <w:rPr>
          <w:color w:val="000000"/>
        </w:rPr>
      </w:pPr>
      <w:r w:rsidRPr="004E461A">
        <w:rPr>
          <w:color w:val="000000"/>
          <w:szCs w:val="22"/>
        </w:rPr>
        <w:t xml:space="preserve">Pacientu apakšgrupā, kurā bija iekļauti pacienti ar sirdsdarbības </w:t>
      </w:r>
      <w:r w:rsidR="006B6D68" w:rsidRPr="004E461A">
        <w:rPr>
          <w:color w:val="000000"/>
          <w:szCs w:val="22"/>
        </w:rPr>
        <w:t>frekvenci</w:t>
      </w:r>
      <w:r w:rsidRPr="004E461A">
        <w:rPr>
          <w:color w:val="000000"/>
          <w:szCs w:val="22"/>
        </w:rPr>
        <w:t xml:space="preserve"> ≥ 75 sitieni minūtē (n = 4150), novēroja lielāku primārā </w:t>
      </w:r>
      <w:r w:rsidR="006B6D68" w:rsidRPr="004E461A">
        <w:rPr>
          <w:color w:val="000000"/>
          <w:szCs w:val="22"/>
        </w:rPr>
        <w:t>saliktā</w:t>
      </w:r>
      <w:r w:rsidRPr="004E461A">
        <w:rPr>
          <w:color w:val="000000"/>
          <w:szCs w:val="22"/>
        </w:rPr>
        <w:t xml:space="preserve"> mērķa kritērija samazinājumu par 24 % (riska attiecība: 0,76, 95% TI [0,68; 0,85] – p &lt; 0,0001) un citiem sekundārajiem mērķa kritērijiem, tostarp attiecībā uz jebkāda cēloņa nāvi (riska attiecība: 0,83, 95 % TI [0,72; 0,96] – p = 0,0109) un KV nāvi (riska attiecība: 0,83, 95 % TI [0,71; 0,97] – p = 0,0166). Šajā pacientu apakšgrupā </w:t>
      </w:r>
      <w:proofErr w:type="spellStart"/>
      <w:r w:rsidRPr="004E461A">
        <w:rPr>
          <w:color w:val="000000"/>
          <w:szCs w:val="22"/>
        </w:rPr>
        <w:t>ivabradīna</w:t>
      </w:r>
      <w:proofErr w:type="spellEnd"/>
      <w:r w:rsidRPr="004E461A">
        <w:rPr>
          <w:color w:val="000000"/>
          <w:szCs w:val="22"/>
        </w:rPr>
        <w:t xml:space="preserve"> drošuma profils atbilst tam, kāds ir novērots vispārējā populācijā.</w:t>
      </w:r>
    </w:p>
    <w:p w14:paraId="0F635026" w14:textId="77777777" w:rsidR="00411995" w:rsidRPr="004E461A" w:rsidRDefault="00411995" w:rsidP="009C5A02">
      <w:pPr>
        <w:spacing w:line="240" w:lineRule="auto"/>
        <w:jc w:val="both"/>
        <w:rPr>
          <w:color w:val="000000"/>
        </w:rPr>
      </w:pPr>
    </w:p>
    <w:p w14:paraId="70067308" w14:textId="77777777" w:rsidR="00411995" w:rsidRPr="004E461A" w:rsidRDefault="00411995" w:rsidP="009C5A02">
      <w:pPr>
        <w:spacing w:line="240" w:lineRule="auto"/>
        <w:jc w:val="both"/>
        <w:rPr>
          <w:color w:val="000000"/>
        </w:rPr>
      </w:pPr>
      <w:r w:rsidRPr="004E461A">
        <w:rPr>
          <w:color w:val="000000"/>
          <w:szCs w:val="22"/>
        </w:rPr>
        <w:t>Pacientu grupā, kuri saņēma bēta blokatoru terapiju novēroja nozīmīgu ietekmi uz primāro</w:t>
      </w:r>
      <w:r w:rsidR="006B6D68" w:rsidRPr="004E461A">
        <w:rPr>
          <w:color w:val="000000"/>
          <w:szCs w:val="22"/>
        </w:rPr>
        <w:t xml:space="preserve"> salikto</w:t>
      </w:r>
      <w:r w:rsidRPr="004E461A">
        <w:rPr>
          <w:color w:val="000000"/>
          <w:szCs w:val="22"/>
        </w:rPr>
        <w:t xml:space="preserve"> mērķa kritēriju (riska attiecība: 0,85, 95 % TI [0,76; 0,94]). Pacientu apakšgrupā, kurā bija iekļauti pacienti ar </w:t>
      </w:r>
      <w:r w:rsidRPr="004E461A">
        <w:rPr>
          <w:color w:val="000000"/>
          <w:szCs w:val="22"/>
        </w:rPr>
        <w:lastRenderedPageBreak/>
        <w:t xml:space="preserve">sirdsdarbības </w:t>
      </w:r>
      <w:r w:rsidR="006B6D68" w:rsidRPr="004E461A">
        <w:rPr>
          <w:color w:val="000000"/>
          <w:szCs w:val="22"/>
        </w:rPr>
        <w:t>frekvenci</w:t>
      </w:r>
      <w:r w:rsidRPr="004E461A">
        <w:rPr>
          <w:color w:val="000000"/>
          <w:szCs w:val="22"/>
        </w:rPr>
        <w:t xml:space="preserve"> ≥ 75 sitieni minūtē un kuri lietoja ieteicamo bēta blokatora mērķa devu, statistiski </w:t>
      </w:r>
      <w:r w:rsidR="00B84AD3" w:rsidRPr="004E461A">
        <w:rPr>
          <w:color w:val="000000"/>
          <w:szCs w:val="22"/>
        </w:rPr>
        <w:t>ticamu</w:t>
      </w:r>
      <w:r w:rsidRPr="004E461A">
        <w:rPr>
          <w:color w:val="000000"/>
          <w:szCs w:val="22"/>
        </w:rPr>
        <w:t xml:space="preserve"> ieguvumu primārā </w:t>
      </w:r>
      <w:r w:rsidR="001549D6" w:rsidRPr="004E461A">
        <w:rPr>
          <w:color w:val="000000"/>
          <w:szCs w:val="22"/>
        </w:rPr>
        <w:t>saliktā</w:t>
      </w:r>
      <w:r w:rsidRPr="004E461A">
        <w:rPr>
          <w:color w:val="000000"/>
          <w:szCs w:val="22"/>
        </w:rPr>
        <w:t xml:space="preserve"> mērķa kritērija (riska attiecība: 0,97, 95 % TI [0,74; 1,28]) un citu sekundāro mērķa kritēriju, tostarp attiecībā uz hospitalizāciju sirds mazspējas pasliktināšanās dēļ (riska attiecība: 0,79, 95 % TI [0,56; 1,10]) vai nāvi sirds mazspējas dēļ (riska attiecība: 0,69, 95 % TI [0,31; 1,53]), ziņā nenovēroja.</w:t>
      </w:r>
    </w:p>
    <w:p w14:paraId="4277E0B5" w14:textId="77777777" w:rsidR="00411995" w:rsidRPr="004E461A" w:rsidRDefault="00411995" w:rsidP="009C5A02">
      <w:pPr>
        <w:spacing w:line="240" w:lineRule="auto"/>
        <w:jc w:val="both"/>
        <w:rPr>
          <w:color w:val="000000"/>
        </w:rPr>
      </w:pPr>
    </w:p>
    <w:p w14:paraId="0BF461B0" w14:textId="77777777" w:rsidR="00411995" w:rsidRPr="004E461A" w:rsidRDefault="00411995" w:rsidP="009C5A02">
      <w:pPr>
        <w:spacing w:line="240" w:lineRule="auto"/>
        <w:jc w:val="both"/>
        <w:rPr>
          <w:color w:val="000000"/>
          <w:szCs w:val="22"/>
        </w:rPr>
      </w:pPr>
      <w:r w:rsidRPr="004E461A">
        <w:rPr>
          <w:color w:val="000000"/>
          <w:szCs w:val="22"/>
        </w:rPr>
        <w:t xml:space="preserve">Tika novērota ievērojama NYHA klases uzlabošanās novērošanas beigās, 887 (28 %) </w:t>
      </w:r>
      <w:proofErr w:type="spellStart"/>
      <w:r w:rsidRPr="004E461A">
        <w:rPr>
          <w:color w:val="000000"/>
          <w:szCs w:val="22"/>
        </w:rPr>
        <w:t>ivabradīnu</w:t>
      </w:r>
      <w:proofErr w:type="spellEnd"/>
      <w:r w:rsidRPr="004E461A">
        <w:rPr>
          <w:color w:val="000000"/>
          <w:szCs w:val="22"/>
        </w:rPr>
        <w:t xml:space="preserve"> saņēmušo pacientu bija uzlabošanās, salīdzinot ar 776 (24 %) pacientiem, kuri saņēma placebo (p=0,001).</w:t>
      </w:r>
    </w:p>
    <w:p w14:paraId="39545FED" w14:textId="77777777" w:rsidR="00411995" w:rsidRPr="004E461A" w:rsidRDefault="00411995" w:rsidP="009C5A02">
      <w:pPr>
        <w:spacing w:line="240" w:lineRule="auto"/>
        <w:jc w:val="both"/>
        <w:rPr>
          <w:color w:val="000000"/>
          <w:szCs w:val="22"/>
          <w:u w:val="single"/>
        </w:rPr>
      </w:pPr>
    </w:p>
    <w:p w14:paraId="74F0C968" w14:textId="77777777" w:rsidR="00411995" w:rsidRPr="004E461A" w:rsidRDefault="00411995" w:rsidP="009C5A02">
      <w:pPr>
        <w:spacing w:line="240" w:lineRule="auto"/>
        <w:jc w:val="both"/>
        <w:rPr>
          <w:color w:val="000000"/>
          <w:szCs w:val="22"/>
          <w:u w:val="single"/>
        </w:rPr>
      </w:pPr>
      <w:r w:rsidRPr="004E461A">
        <w:rPr>
          <w:color w:val="000000"/>
          <w:szCs w:val="22"/>
        </w:rPr>
        <w:t xml:space="preserve">Randomizētā, ar placebo kontrolētā pētījumā, kurā piedalījās 97 pacienti, pacientiem, kuri 3 gadu garumā lietoja </w:t>
      </w:r>
      <w:proofErr w:type="spellStart"/>
      <w:r w:rsidRPr="004E461A">
        <w:rPr>
          <w:color w:val="000000"/>
          <w:szCs w:val="22"/>
        </w:rPr>
        <w:t>ivabradīnu</w:t>
      </w:r>
      <w:proofErr w:type="spellEnd"/>
      <w:r w:rsidRPr="004E461A">
        <w:rPr>
          <w:color w:val="000000"/>
          <w:szCs w:val="22"/>
        </w:rPr>
        <w:t xml:space="preserve"> hroniskas stabilas stenokardijas ārstēšanai, specifiskos oftalmoloģiskos izmeklējumos, kuru mērķis bija dokumentēt nūjiņu un vālīšu sistēmas un augšupejošā redzes </w:t>
      </w:r>
      <w:proofErr w:type="spellStart"/>
      <w:r w:rsidRPr="004E461A">
        <w:rPr>
          <w:color w:val="000000"/>
          <w:szCs w:val="22"/>
        </w:rPr>
        <w:t>signālceļa</w:t>
      </w:r>
      <w:proofErr w:type="spellEnd"/>
      <w:r w:rsidRPr="004E461A">
        <w:rPr>
          <w:color w:val="000000"/>
          <w:szCs w:val="22"/>
        </w:rPr>
        <w:t xml:space="preserve"> darbību (t.i., </w:t>
      </w:r>
      <w:proofErr w:type="spellStart"/>
      <w:r w:rsidRPr="004E461A">
        <w:rPr>
          <w:color w:val="000000"/>
          <w:szCs w:val="22"/>
        </w:rPr>
        <w:t>elektroretinogrammā</w:t>
      </w:r>
      <w:proofErr w:type="spellEnd"/>
      <w:r w:rsidRPr="004E461A">
        <w:rPr>
          <w:color w:val="000000"/>
          <w:szCs w:val="22"/>
        </w:rPr>
        <w:t>, statiskā un kinētiskā redzes lauka, krāsu redzes, redzes asuma noteikšanā), apkopotie dati neliecināja ne par kādu toksisku iedarbību uz tīkleni.</w:t>
      </w:r>
    </w:p>
    <w:p w14:paraId="546B9177" w14:textId="77777777" w:rsidR="00411995" w:rsidRPr="004E461A" w:rsidRDefault="00411995" w:rsidP="009C5A02">
      <w:pPr>
        <w:spacing w:line="240" w:lineRule="auto"/>
        <w:jc w:val="both"/>
        <w:rPr>
          <w:color w:val="000000"/>
          <w:szCs w:val="22"/>
          <w:u w:val="single"/>
        </w:rPr>
      </w:pPr>
    </w:p>
    <w:p w14:paraId="3DB877A5" w14:textId="77777777" w:rsidR="00411995" w:rsidRPr="004E461A" w:rsidRDefault="00411995" w:rsidP="009C5A02">
      <w:pPr>
        <w:spacing w:line="240" w:lineRule="auto"/>
        <w:jc w:val="both"/>
        <w:rPr>
          <w:color w:val="000000"/>
          <w:szCs w:val="22"/>
        </w:rPr>
      </w:pPr>
      <w:r w:rsidRPr="004E461A">
        <w:rPr>
          <w:color w:val="000000"/>
          <w:szCs w:val="22"/>
          <w:u w:val="single"/>
        </w:rPr>
        <w:t>Pediatriskā populācija</w:t>
      </w:r>
    </w:p>
    <w:p w14:paraId="68D2C09E" w14:textId="77777777" w:rsidR="00411995" w:rsidRPr="004E461A" w:rsidRDefault="00411995" w:rsidP="009C5A02">
      <w:pPr>
        <w:spacing w:line="240" w:lineRule="auto"/>
        <w:jc w:val="both"/>
        <w:rPr>
          <w:color w:val="000000"/>
        </w:rPr>
      </w:pPr>
      <w:r w:rsidRPr="004E461A">
        <w:rPr>
          <w:iCs/>
          <w:color w:val="000000"/>
          <w:szCs w:val="22"/>
        </w:rPr>
        <w:t xml:space="preserve">Tika veikts randomizēts, dubultmaskēts, placebo kontrolēts pētījums ar 116 pediatriskiem pacientiem (17 no tiem bija 6–12 mēnešus veci, 36 – vecumā no 1–3 gadiem, bet 63 –vecumā no 3–18 gadiem) ar HSM un dilatācijas kardiomiopātiju (DKM), kurā zāles lietoja papildus optimālai fona terapijai. 74 pacienti saņēma </w:t>
      </w:r>
      <w:proofErr w:type="spellStart"/>
      <w:r w:rsidRPr="004E461A">
        <w:rPr>
          <w:iCs/>
          <w:color w:val="000000"/>
          <w:szCs w:val="22"/>
        </w:rPr>
        <w:t>ivabradīnu</w:t>
      </w:r>
      <w:proofErr w:type="spellEnd"/>
      <w:r w:rsidRPr="004E461A">
        <w:rPr>
          <w:iCs/>
          <w:color w:val="000000"/>
          <w:szCs w:val="22"/>
        </w:rPr>
        <w:t xml:space="preserve"> (attiecība 2:1). 6–12 mēnešu vecuma grupā sākuma deva bija 0,02 mg/kg divas reizes dienā, 1–3 gadu vecuma grupā un 3–18 gadu vecuma grupā pacientiem ar ķermeņa masu &lt;40 kg deva bija 0,05 mg/kg divas reizes dienā, bet 3–18 gadu vecuma grupā pacientiem ar ķermeņa masu ≥ 40 kg deva bija 2,5 mg divas reizes dienā. Deva tika pielāgota atkarībā un terapeitiskās atbildes reakcijas, un maksimālās devas bija attiecīgi 0,2 mg/kg divas reizes dienā, 0,3 mg/kg divas reizes dienā un 15 mg divas reizes dienā. Šajā pētījumā </w:t>
      </w:r>
      <w:proofErr w:type="spellStart"/>
      <w:r w:rsidRPr="004E461A">
        <w:rPr>
          <w:iCs/>
          <w:color w:val="000000"/>
          <w:szCs w:val="22"/>
        </w:rPr>
        <w:t>ivabradīnu</w:t>
      </w:r>
      <w:proofErr w:type="spellEnd"/>
      <w:r w:rsidRPr="004E461A">
        <w:rPr>
          <w:iCs/>
          <w:color w:val="000000"/>
          <w:szCs w:val="22"/>
        </w:rPr>
        <w:t xml:space="preserve"> lietoja divas reizes dienā iekšķīgi lietojamas šķidrās zāļu formas vai tablešu veidā. Atklātā, randomizētā divu posmu krustotajā pētījumā ar 24 pieaugušiem un veseliem brīvprātīgajiem, bija pierādīts, ka starp abām šīm zāļu formām farmakokinētika neatšķiras.</w:t>
      </w:r>
    </w:p>
    <w:p w14:paraId="783458C4" w14:textId="77777777" w:rsidR="00411995" w:rsidRPr="004E461A" w:rsidRDefault="00411995" w:rsidP="009C5A02">
      <w:pPr>
        <w:spacing w:line="240" w:lineRule="auto"/>
        <w:jc w:val="both"/>
        <w:rPr>
          <w:color w:val="000000"/>
        </w:rPr>
      </w:pPr>
      <w:r w:rsidRPr="004E461A">
        <w:rPr>
          <w:iCs/>
          <w:color w:val="000000"/>
          <w:szCs w:val="22"/>
        </w:rPr>
        <w:t xml:space="preserve">Titrēšanas periodā, kura ilgums bija no 2 līdz 8 nedēļām, sirdsdarbības </w:t>
      </w:r>
      <w:r w:rsidR="0010226E" w:rsidRPr="004E461A">
        <w:rPr>
          <w:iCs/>
          <w:color w:val="000000"/>
          <w:szCs w:val="22"/>
        </w:rPr>
        <w:t>frekvences</w:t>
      </w:r>
      <w:r w:rsidRPr="004E461A">
        <w:rPr>
          <w:iCs/>
          <w:color w:val="000000"/>
          <w:szCs w:val="22"/>
        </w:rPr>
        <w:t xml:space="preserve"> palēnināšanās par 20 % bez bradikardijas tika panākta 69,9 % pacientu </w:t>
      </w:r>
      <w:proofErr w:type="spellStart"/>
      <w:r w:rsidRPr="004E461A">
        <w:rPr>
          <w:iCs/>
          <w:color w:val="000000"/>
          <w:szCs w:val="22"/>
        </w:rPr>
        <w:t>ivabradīna</w:t>
      </w:r>
      <w:proofErr w:type="spellEnd"/>
      <w:r w:rsidRPr="004E461A">
        <w:rPr>
          <w:iCs/>
          <w:color w:val="000000"/>
          <w:szCs w:val="22"/>
        </w:rPr>
        <w:t xml:space="preserve"> grupā un 12,2 % pacientu placebo grupā (izredžu attiecība (</w:t>
      </w:r>
      <w:proofErr w:type="spellStart"/>
      <w:r w:rsidRPr="004E461A">
        <w:rPr>
          <w:i/>
          <w:iCs/>
          <w:color w:val="000000"/>
          <w:szCs w:val="22"/>
        </w:rPr>
        <w:t>Odds</w:t>
      </w:r>
      <w:proofErr w:type="spellEnd"/>
      <w:r w:rsidRPr="004E461A">
        <w:rPr>
          <w:i/>
          <w:iCs/>
          <w:color w:val="000000"/>
          <w:szCs w:val="22"/>
        </w:rPr>
        <w:t xml:space="preserve"> </w:t>
      </w:r>
      <w:proofErr w:type="spellStart"/>
      <w:r w:rsidRPr="004E461A">
        <w:rPr>
          <w:i/>
          <w:iCs/>
          <w:color w:val="000000"/>
          <w:szCs w:val="22"/>
        </w:rPr>
        <w:t>Ratio</w:t>
      </w:r>
      <w:proofErr w:type="spellEnd"/>
      <w:r w:rsidRPr="004E461A">
        <w:rPr>
          <w:iCs/>
          <w:color w:val="000000"/>
          <w:szCs w:val="22"/>
        </w:rPr>
        <w:t>): E = 17,24, 95 % TI [5,91; 50,30]).</w:t>
      </w:r>
    </w:p>
    <w:p w14:paraId="0B3E6293" w14:textId="77777777" w:rsidR="00411995" w:rsidRPr="004E461A" w:rsidRDefault="00411995" w:rsidP="009C5A02">
      <w:pPr>
        <w:spacing w:line="240" w:lineRule="auto"/>
        <w:jc w:val="both"/>
        <w:rPr>
          <w:color w:val="000000"/>
          <w:szCs w:val="22"/>
        </w:rPr>
      </w:pPr>
      <w:r w:rsidRPr="004E461A">
        <w:rPr>
          <w:color w:val="000000"/>
          <w:szCs w:val="22"/>
        </w:rPr>
        <w:t xml:space="preserve">Vidējā </w:t>
      </w:r>
      <w:proofErr w:type="spellStart"/>
      <w:r w:rsidRPr="004E461A">
        <w:rPr>
          <w:color w:val="000000"/>
          <w:szCs w:val="22"/>
        </w:rPr>
        <w:t>ivabradīna</w:t>
      </w:r>
      <w:proofErr w:type="spellEnd"/>
      <w:r w:rsidRPr="004E461A">
        <w:rPr>
          <w:color w:val="000000"/>
          <w:szCs w:val="22"/>
        </w:rPr>
        <w:t xml:space="preserve"> deva, ar kuru varēja panākt sirdsdarbības </w:t>
      </w:r>
      <w:r w:rsidR="0010226E" w:rsidRPr="004E461A">
        <w:rPr>
          <w:color w:val="000000"/>
          <w:szCs w:val="22"/>
        </w:rPr>
        <w:t>frekvences</w:t>
      </w:r>
      <w:r w:rsidRPr="004E461A">
        <w:rPr>
          <w:color w:val="000000"/>
          <w:szCs w:val="22"/>
        </w:rPr>
        <w:t xml:space="preserve"> palēnināšanos par 20 %, 1-3 gadu vecuma grupā, 3-18 gadu vecuma grupā pacientiem, kuru ķermeņa masa bija &lt; 40 kg, un 3-18 gadu vecuma grupā pacientiem, kuru ķermeņa masa bija ≥40 kg, bija attiecīgi 0,13 ± 0,04 mg/kg divas reizes dienā, 0,10 ± 0,04 mg/kg divas reizes dienā un 4,1 ± 2,2 mg/kg divas reizes dienā.</w:t>
      </w:r>
    </w:p>
    <w:p w14:paraId="73584F2E" w14:textId="77777777" w:rsidR="00411995" w:rsidRPr="004E461A" w:rsidRDefault="00411995" w:rsidP="009C5A02">
      <w:pPr>
        <w:spacing w:line="240" w:lineRule="auto"/>
        <w:jc w:val="both"/>
        <w:rPr>
          <w:iCs/>
          <w:color w:val="000000"/>
          <w:szCs w:val="22"/>
        </w:rPr>
      </w:pPr>
      <w:r w:rsidRPr="004E461A">
        <w:rPr>
          <w:iCs/>
          <w:color w:val="000000"/>
          <w:szCs w:val="22"/>
        </w:rPr>
        <w:t xml:space="preserve">M012 laikā vidējā KKIF palielinājās no 31,8 % līdz 45,3 % </w:t>
      </w:r>
      <w:proofErr w:type="spellStart"/>
      <w:r w:rsidRPr="004E461A">
        <w:rPr>
          <w:iCs/>
          <w:color w:val="000000"/>
          <w:szCs w:val="22"/>
        </w:rPr>
        <w:t>ivabradīna</w:t>
      </w:r>
      <w:proofErr w:type="spellEnd"/>
      <w:r w:rsidRPr="004E461A">
        <w:rPr>
          <w:iCs/>
          <w:color w:val="000000"/>
          <w:szCs w:val="22"/>
        </w:rPr>
        <w:t xml:space="preserve"> grupā un no 35,4 % līdz 42,3 % placebo grupā. NYHA klases uzlabošanos novēroja 37,7 % pacientu </w:t>
      </w:r>
      <w:proofErr w:type="spellStart"/>
      <w:r w:rsidRPr="004E461A">
        <w:rPr>
          <w:iCs/>
          <w:color w:val="000000"/>
          <w:szCs w:val="22"/>
        </w:rPr>
        <w:t>ivabradīna</w:t>
      </w:r>
      <w:proofErr w:type="spellEnd"/>
      <w:r w:rsidRPr="004E461A">
        <w:rPr>
          <w:iCs/>
          <w:color w:val="000000"/>
          <w:szCs w:val="22"/>
        </w:rPr>
        <w:t xml:space="preserve"> grupā un 25,0 % pacientu placebo grupā. Šie uzlabojumi nebija statistiski </w:t>
      </w:r>
      <w:r w:rsidR="00A41BF7" w:rsidRPr="004E461A">
        <w:rPr>
          <w:iCs/>
          <w:color w:val="000000"/>
          <w:szCs w:val="22"/>
        </w:rPr>
        <w:t>ticama</w:t>
      </w:r>
      <w:r w:rsidRPr="004E461A">
        <w:rPr>
          <w:iCs/>
          <w:color w:val="000000"/>
          <w:szCs w:val="22"/>
        </w:rPr>
        <w:t>.</w:t>
      </w:r>
    </w:p>
    <w:p w14:paraId="1DE2973E" w14:textId="77777777" w:rsidR="00411995" w:rsidRPr="004E461A" w:rsidRDefault="00411995" w:rsidP="009C5A02">
      <w:pPr>
        <w:spacing w:line="240" w:lineRule="auto"/>
        <w:jc w:val="both"/>
        <w:rPr>
          <w:color w:val="000000"/>
        </w:rPr>
      </w:pPr>
      <w:r w:rsidRPr="004E461A">
        <w:rPr>
          <w:iCs/>
          <w:color w:val="000000"/>
          <w:szCs w:val="22"/>
        </w:rPr>
        <w:t>Drošuma profils viena gada laikā bija līdzīgs kā pieaugušiem pacientiem ar HSM.</w:t>
      </w:r>
    </w:p>
    <w:p w14:paraId="18D0DEFF" w14:textId="77777777" w:rsidR="00411995" w:rsidRPr="004E461A" w:rsidRDefault="00411995" w:rsidP="009C5A02">
      <w:pPr>
        <w:spacing w:line="240" w:lineRule="auto"/>
        <w:jc w:val="both"/>
        <w:rPr>
          <w:color w:val="000000"/>
        </w:rPr>
      </w:pPr>
    </w:p>
    <w:p w14:paraId="20079C54" w14:textId="77777777" w:rsidR="00411995" w:rsidRPr="004E461A" w:rsidRDefault="00411995" w:rsidP="009C5A02">
      <w:pPr>
        <w:spacing w:line="240" w:lineRule="auto"/>
        <w:jc w:val="both"/>
        <w:rPr>
          <w:color w:val="000000"/>
        </w:rPr>
      </w:pPr>
      <w:proofErr w:type="spellStart"/>
      <w:r w:rsidRPr="004E461A">
        <w:rPr>
          <w:iCs/>
          <w:color w:val="000000"/>
          <w:szCs w:val="22"/>
        </w:rPr>
        <w:t>Ivabradīna</w:t>
      </w:r>
      <w:proofErr w:type="spellEnd"/>
      <w:r w:rsidRPr="004E461A">
        <w:rPr>
          <w:iCs/>
          <w:color w:val="000000"/>
          <w:szCs w:val="22"/>
        </w:rPr>
        <w:t xml:space="preserve"> ilgtermiņa ietekme uz augšanu, pubertāti un vispārējo attīstību, kā arī bērnībā saņemtas </w:t>
      </w:r>
      <w:proofErr w:type="spellStart"/>
      <w:r w:rsidRPr="004E461A">
        <w:rPr>
          <w:iCs/>
          <w:color w:val="000000"/>
          <w:szCs w:val="22"/>
        </w:rPr>
        <w:t>ivabradīna</w:t>
      </w:r>
      <w:proofErr w:type="spellEnd"/>
      <w:r w:rsidRPr="004E461A">
        <w:rPr>
          <w:iCs/>
          <w:color w:val="000000"/>
          <w:szCs w:val="22"/>
        </w:rPr>
        <w:t xml:space="preserve"> terapijas ilgtermiņa efektivitāte kardiovaskulārās saslimstības un mirstības samazinājuma aspektā nav pētīta.</w:t>
      </w:r>
    </w:p>
    <w:p w14:paraId="5F050520" w14:textId="77777777" w:rsidR="0097548A" w:rsidRPr="004E461A" w:rsidRDefault="0097548A" w:rsidP="009C5A02">
      <w:pPr>
        <w:spacing w:line="240" w:lineRule="auto"/>
        <w:jc w:val="both"/>
        <w:rPr>
          <w:bCs/>
          <w:iCs/>
          <w:color w:val="000000"/>
          <w:szCs w:val="22"/>
        </w:rPr>
      </w:pPr>
    </w:p>
    <w:p w14:paraId="5EA288D2" w14:textId="77777777" w:rsidR="00503EC2" w:rsidRPr="004E461A" w:rsidRDefault="00503EC2" w:rsidP="009C5A02">
      <w:pPr>
        <w:spacing w:line="240" w:lineRule="auto"/>
        <w:jc w:val="both"/>
        <w:rPr>
          <w:color w:val="000000"/>
          <w:szCs w:val="22"/>
        </w:rPr>
      </w:pPr>
      <w:r w:rsidRPr="004E461A">
        <w:rPr>
          <w:color w:val="000000"/>
          <w:szCs w:val="22"/>
        </w:rPr>
        <w:t xml:space="preserve">Eiropas Zāļu aģentūra atbrīvojusi no pienākuma iesniegt pētījumu rezultātus par </w:t>
      </w:r>
      <w:proofErr w:type="spellStart"/>
      <w:r w:rsidRPr="004E461A">
        <w:rPr>
          <w:color w:val="000000"/>
          <w:szCs w:val="22"/>
        </w:rPr>
        <w:t>ivabradīnu</w:t>
      </w:r>
      <w:proofErr w:type="spellEnd"/>
      <w:r w:rsidRPr="004E461A">
        <w:rPr>
          <w:color w:val="000000"/>
          <w:szCs w:val="22"/>
        </w:rPr>
        <w:t xml:space="preserve"> saturošām zālēm visās pediatriskās populācijas apakšgrupās stenokardijas ārstēšanā.</w:t>
      </w:r>
    </w:p>
    <w:p w14:paraId="1C67C538" w14:textId="77777777" w:rsidR="00503EC2" w:rsidRPr="004E461A" w:rsidRDefault="00503EC2" w:rsidP="009C5A02">
      <w:pPr>
        <w:spacing w:line="240" w:lineRule="auto"/>
        <w:jc w:val="both"/>
        <w:rPr>
          <w:color w:val="000000"/>
          <w:szCs w:val="22"/>
        </w:rPr>
      </w:pPr>
      <w:r w:rsidRPr="004E461A">
        <w:rPr>
          <w:color w:val="000000"/>
          <w:szCs w:val="22"/>
        </w:rPr>
        <w:t xml:space="preserve">Eiropas Zāļu aģentūra atbrīvojusi no pienākuma iesniegt pētījumu rezultātus par </w:t>
      </w:r>
      <w:proofErr w:type="spellStart"/>
      <w:r w:rsidRPr="004E461A">
        <w:rPr>
          <w:color w:val="000000"/>
          <w:szCs w:val="22"/>
        </w:rPr>
        <w:t>ivabradīnu</w:t>
      </w:r>
      <w:proofErr w:type="spellEnd"/>
      <w:r w:rsidRPr="004E461A">
        <w:rPr>
          <w:color w:val="000000"/>
          <w:szCs w:val="22"/>
        </w:rPr>
        <w:t xml:space="preserve"> saturošām zālēm sirds mazspējas ārstēšanā bērniem vecumā no 0 līdz 6 mēnešiem.</w:t>
      </w:r>
    </w:p>
    <w:p w14:paraId="5405C285" w14:textId="77777777" w:rsidR="00503EC2" w:rsidRPr="004E461A" w:rsidRDefault="00503EC2" w:rsidP="009C5A02">
      <w:pPr>
        <w:spacing w:line="240" w:lineRule="auto"/>
        <w:jc w:val="both"/>
        <w:rPr>
          <w:bCs/>
          <w:iCs/>
          <w:color w:val="000000"/>
          <w:szCs w:val="22"/>
        </w:rPr>
      </w:pPr>
    </w:p>
    <w:p w14:paraId="7C044599"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5.2</w:t>
      </w:r>
      <w:r w:rsidR="00565B11" w:rsidRPr="004E461A">
        <w:rPr>
          <w:b/>
          <w:color w:val="000000"/>
          <w:szCs w:val="22"/>
        </w:rPr>
        <w:t>.</w:t>
      </w:r>
      <w:r w:rsidRPr="004E461A">
        <w:rPr>
          <w:b/>
          <w:color w:val="000000"/>
          <w:szCs w:val="22"/>
        </w:rPr>
        <w:tab/>
        <w:t>Farmakokinētiskās īpašības</w:t>
      </w:r>
    </w:p>
    <w:p w14:paraId="4AEF0441" w14:textId="77777777" w:rsidR="006748A1" w:rsidRPr="004E461A" w:rsidRDefault="006748A1" w:rsidP="009C5A02">
      <w:pPr>
        <w:tabs>
          <w:tab w:val="clear" w:pos="567"/>
        </w:tabs>
        <w:spacing w:line="240" w:lineRule="auto"/>
        <w:jc w:val="both"/>
        <w:rPr>
          <w:color w:val="000000"/>
          <w:szCs w:val="22"/>
          <w:u w:val="single"/>
        </w:rPr>
      </w:pPr>
    </w:p>
    <w:p w14:paraId="4E830D40" w14:textId="77777777" w:rsidR="006748A1" w:rsidRPr="004E461A" w:rsidRDefault="006748A1" w:rsidP="009C5A02">
      <w:pPr>
        <w:spacing w:line="240" w:lineRule="auto"/>
        <w:jc w:val="both"/>
        <w:rPr>
          <w:color w:val="000000"/>
          <w:szCs w:val="22"/>
        </w:rPr>
      </w:pPr>
      <w:r w:rsidRPr="004E461A">
        <w:rPr>
          <w:color w:val="000000"/>
          <w:szCs w:val="22"/>
        </w:rPr>
        <w:t xml:space="preserve">Fizioloģiskos apstākļos </w:t>
      </w:r>
      <w:proofErr w:type="spellStart"/>
      <w:r w:rsidRPr="004E461A">
        <w:rPr>
          <w:color w:val="000000"/>
          <w:szCs w:val="22"/>
        </w:rPr>
        <w:t>ivabradīns</w:t>
      </w:r>
      <w:proofErr w:type="spellEnd"/>
      <w:r w:rsidRPr="004E461A">
        <w:rPr>
          <w:color w:val="000000"/>
          <w:szCs w:val="22"/>
        </w:rPr>
        <w:t xml:space="preserve"> ātri atbrīvojas no tabletēm, un ir ļoti labi ūdenī šķīstošs (&gt;10 mg/ml). </w:t>
      </w:r>
      <w:proofErr w:type="spellStart"/>
      <w:r w:rsidRPr="004E461A">
        <w:rPr>
          <w:color w:val="000000"/>
          <w:szCs w:val="22"/>
        </w:rPr>
        <w:t>Ivabradīns</w:t>
      </w:r>
      <w:proofErr w:type="spellEnd"/>
      <w:r w:rsidRPr="004E461A">
        <w:rPr>
          <w:color w:val="000000"/>
          <w:szCs w:val="22"/>
        </w:rPr>
        <w:t xml:space="preserve"> ir S </w:t>
      </w:r>
      <w:proofErr w:type="spellStart"/>
      <w:r w:rsidRPr="004E461A">
        <w:rPr>
          <w:color w:val="000000"/>
          <w:szCs w:val="22"/>
        </w:rPr>
        <w:t>enantiomērs</w:t>
      </w:r>
      <w:proofErr w:type="spellEnd"/>
      <w:r w:rsidRPr="004E461A">
        <w:rPr>
          <w:color w:val="000000"/>
          <w:szCs w:val="22"/>
        </w:rPr>
        <w:t xml:space="preserve"> bez </w:t>
      </w:r>
      <w:proofErr w:type="spellStart"/>
      <w:r w:rsidRPr="004E461A">
        <w:rPr>
          <w:i/>
          <w:color w:val="000000"/>
          <w:szCs w:val="22"/>
        </w:rPr>
        <w:t>in</w:t>
      </w:r>
      <w:proofErr w:type="spellEnd"/>
      <w:r w:rsidRPr="004E461A">
        <w:rPr>
          <w:i/>
          <w:color w:val="000000"/>
          <w:szCs w:val="22"/>
        </w:rPr>
        <w:t xml:space="preserve"> </w:t>
      </w:r>
      <w:proofErr w:type="spellStart"/>
      <w:r w:rsidRPr="004E461A">
        <w:rPr>
          <w:i/>
          <w:color w:val="000000"/>
          <w:szCs w:val="22"/>
        </w:rPr>
        <w:t>vivo</w:t>
      </w:r>
      <w:proofErr w:type="spellEnd"/>
      <w:r w:rsidRPr="004E461A">
        <w:rPr>
          <w:i/>
          <w:color w:val="000000"/>
          <w:szCs w:val="22"/>
        </w:rPr>
        <w:t xml:space="preserve"> </w:t>
      </w:r>
      <w:r w:rsidRPr="004E461A">
        <w:rPr>
          <w:color w:val="000000"/>
          <w:szCs w:val="22"/>
        </w:rPr>
        <w:t xml:space="preserve">pierādītas </w:t>
      </w:r>
      <w:proofErr w:type="spellStart"/>
      <w:r w:rsidRPr="004E461A">
        <w:rPr>
          <w:color w:val="000000"/>
          <w:szCs w:val="22"/>
        </w:rPr>
        <w:t>biokonversijas</w:t>
      </w:r>
      <w:proofErr w:type="spellEnd"/>
      <w:r w:rsidRPr="004E461A">
        <w:rPr>
          <w:color w:val="000000"/>
          <w:szCs w:val="22"/>
        </w:rPr>
        <w:t>. Pierādīts, ka cilvēka organismā galvenais aktīvais metabolīts ir N-</w:t>
      </w:r>
      <w:proofErr w:type="spellStart"/>
      <w:r w:rsidRPr="004E461A">
        <w:rPr>
          <w:color w:val="000000"/>
          <w:szCs w:val="22"/>
        </w:rPr>
        <w:t>desmetilētais</w:t>
      </w:r>
      <w:proofErr w:type="spellEnd"/>
      <w:r w:rsidRPr="004E461A">
        <w:rPr>
          <w:color w:val="000000"/>
          <w:szCs w:val="22"/>
        </w:rPr>
        <w:t xml:space="preserve"> </w:t>
      </w:r>
      <w:proofErr w:type="spellStart"/>
      <w:r w:rsidRPr="004E461A">
        <w:rPr>
          <w:color w:val="000000"/>
          <w:szCs w:val="22"/>
        </w:rPr>
        <w:t>ivabradīna</w:t>
      </w:r>
      <w:proofErr w:type="spellEnd"/>
      <w:r w:rsidRPr="004E461A">
        <w:rPr>
          <w:color w:val="000000"/>
          <w:szCs w:val="22"/>
        </w:rPr>
        <w:t xml:space="preserve"> atvasinājums.</w:t>
      </w:r>
    </w:p>
    <w:p w14:paraId="14A02FB6" w14:textId="77777777" w:rsidR="006748A1" w:rsidRPr="004E461A" w:rsidRDefault="006748A1" w:rsidP="009C5A02">
      <w:pPr>
        <w:tabs>
          <w:tab w:val="clear" w:pos="567"/>
        </w:tabs>
        <w:spacing w:line="240" w:lineRule="auto"/>
        <w:jc w:val="both"/>
        <w:rPr>
          <w:color w:val="000000"/>
          <w:szCs w:val="22"/>
          <w:u w:val="single"/>
        </w:rPr>
      </w:pPr>
    </w:p>
    <w:p w14:paraId="60531C54" w14:textId="77777777" w:rsidR="00402F09" w:rsidRPr="004E461A" w:rsidRDefault="00402F09" w:rsidP="009C5A02">
      <w:pPr>
        <w:spacing w:line="240" w:lineRule="auto"/>
        <w:jc w:val="both"/>
        <w:rPr>
          <w:color w:val="000000"/>
          <w:szCs w:val="22"/>
        </w:rPr>
      </w:pPr>
      <w:r w:rsidRPr="004E461A">
        <w:rPr>
          <w:color w:val="000000"/>
          <w:szCs w:val="22"/>
          <w:u w:val="single" w:color="000000"/>
        </w:rPr>
        <w:t>Uzsūkšanās un biopieejamība</w:t>
      </w:r>
    </w:p>
    <w:p w14:paraId="6F7299BB" w14:textId="77777777" w:rsidR="00402F09" w:rsidRPr="004E461A" w:rsidRDefault="00402F09" w:rsidP="009C5A02">
      <w:pPr>
        <w:spacing w:line="240" w:lineRule="auto"/>
        <w:jc w:val="both"/>
        <w:rPr>
          <w:color w:val="000000"/>
          <w:szCs w:val="22"/>
        </w:rPr>
      </w:pPr>
      <w:r w:rsidRPr="004E461A">
        <w:rPr>
          <w:color w:val="000000"/>
          <w:szCs w:val="22"/>
        </w:rPr>
        <w:lastRenderedPageBreak/>
        <w:t xml:space="preserve">Pēc iekšķīgas lietošanas </w:t>
      </w:r>
      <w:proofErr w:type="spellStart"/>
      <w:r w:rsidRPr="004E461A">
        <w:rPr>
          <w:color w:val="000000"/>
          <w:szCs w:val="22"/>
        </w:rPr>
        <w:t>ivabradīns</w:t>
      </w:r>
      <w:proofErr w:type="spellEnd"/>
      <w:r w:rsidRPr="004E461A">
        <w:rPr>
          <w:color w:val="000000"/>
          <w:szCs w:val="22"/>
        </w:rPr>
        <w:t xml:space="preserve"> ātri un pilnībā uzsūcas, un tā maksimālā koncentrācija plazmā, lietojot tukšā dūšā, tiek sasniegta apmēram 1 stundas laikā. Apvalkoto tablešu absolūtā biopieejamība ir apmēram 40 %, un to nosaka pirmā loka metabolisms zarnu traktā un aknās.</w:t>
      </w:r>
    </w:p>
    <w:p w14:paraId="1A808542" w14:textId="77777777" w:rsidR="00402F09" w:rsidRPr="004E461A" w:rsidRDefault="00402F09" w:rsidP="009C5A02">
      <w:pPr>
        <w:spacing w:line="240" w:lineRule="auto"/>
        <w:jc w:val="both"/>
        <w:rPr>
          <w:color w:val="000000"/>
          <w:szCs w:val="22"/>
        </w:rPr>
      </w:pPr>
      <w:r w:rsidRPr="004E461A">
        <w:rPr>
          <w:color w:val="000000"/>
          <w:szCs w:val="22"/>
        </w:rPr>
        <w:t>Uztura uzņemšana aizkavē uzsūkšanos apmēram par 1 stundu un paaugstināja līmeni plazmā par 20 līdz 30 %. Lai mazinātu individuālās iedarbības atšķirības, tabletes vēlams lietot ēdienreižu laikā (skatīt 4.2. apakšpunktu).</w:t>
      </w:r>
    </w:p>
    <w:p w14:paraId="4F850539" w14:textId="77777777" w:rsidR="00402F09" w:rsidRPr="004E461A" w:rsidRDefault="00402F09" w:rsidP="009C5A02">
      <w:pPr>
        <w:spacing w:line="240" w:lineRule="auto"/>
        <w:jc w:val="both"/>
        <w:rPr>
          <w:color w:val="000000"/>
          <w:szCs w:val="22"/>
        </w:rPr>
      </w:pPr>
    </w:p>
    <w:p w14:paraId="3D264A27" w14:textId="77777777" w:rsidR="00402F09" w:rsidRPr="004E461A" w:rsidRDefault="00402F09" w:rsidP="009C5A02">
      <w:pPr>
        <w:spacing w:line="240" w:lineRule="auto"/>
        <w:jc w:val="both"/>
        <w:rPr>
          <w:color w:val="000000"/>
          <w:szCs w:val="22"/>
        </w:rPr>
      </w:pPr>
      <w:r w:rsidRPr="004E461A">
        <w:rPr>
          <w:color w:val="000000"/>
          <w:szCs w:val="22"/>
          <w:u w:val="single" w:color="000000"/>
        </w:rPr>
        <w:t>Izkliede</w:t>
      </w:r>
    </w:p>
    <w:p w14:paraId="00F789F9" w14:textId="77777777" w:rsidR="00402F09" w:rsidRPr="004E461A" w:rsidRDefault="00402F09" w:rsidP="009C5A02">
      <w:pPr>
        <w:spacing w:line="240" w:lineRule="auto"/>
        <w:jc w:val="both"/>
        <w:rPr>
          <w:color w:val="000000"/>
          <w:szCs w:val="22"/>
        </w:rPr>
      </w:pPr>
      <w:r w:rsidRPr="004E461A">
        <w:rPr>
          <w:color w:val="000000"/>
          <w:szCs w:val="22"/>
        </w:rPr>
        <w:t xml:space="preserve">Pacienta organismā apmēram 70 % </w:t>
      </w:r>
      <w:proofErr w:type="spellStart"/>
      <w:r w:rsidRPr="004E461A">
        <w:rPr>
          <w:color w:val="000000"/>
          <w:szCs w:val="22"/>
        </w:rPr>
        <w:t>ivabradīna</w:t>
      </w:r>
      <w:proofErr w:type="spellEnd"/>
      <w:r w:rsidRPr="004E461A">
        <w:rPr>
          <w:color w:val="000000"/>
          <w:szCs w:val="22"/>
        </w:rPr>
        <w:t xml:space="preserve"> saistās ar plazmas olbaltumvielām, un izkliedes tilpums līdzsvara koncentrācijā ir tuvu 100 l. Maksimālā koncentrācija plazmā pēc ieteicamās devas (5 mg divas reizes dienā) ilgstošas lietošanas ir 22 </w:t>
      </w:r>
      <w:proofErr w:type="spellStart"/>
      <w:r w:rsidRPr="004E461A">
        <w:rPr>
          <w:color w:val="000000"/>
          <w:szCs w:val="22"/>
        </w:rPr>
        <w:t>ng</w:t>
      </w:r>
      <w:proofErr w:type="spellEnd"/>
      <w:r w:rsidRPr="004E461A">
        <w:rPr>
          <w:color w:val="000000"/>
          <w:szCs w:val="22"/>
        </w:rPr>
        <w:t xml:space="preserve">/ml (CV=29 %). Vidējā līdzsvara koncentrācija plazmā ir 10 </w:t>
      </w:r>
      <w:proofErr w:type="spellStart"/>
      <w:r w:rsidRPr="004E461A">
        <w:rPr>
          <w:color w:val="000000"/>
          <w:szCs w:val="22"/>
        </w:rPr>
        <w:t>ng</w:t>
      </w:r>
      <w:proofErr w:type="spellEnd"/>
      <w:r w:rsidRPr="004E461A">
        <w:rPr>
          <w:color w:val="000000"/>
          <w:szCs w:val="22"/>
        </w:rPr>
        <w:t>/ml (CV=38 %).</w:t>
      </w:r>
    </w:p>
    <w:p w14:paraId="3374B3BB" w14:textId="77777777" w:rsidR="00402F09" w:rsidRPr="004E461A" w:rsidRDefault="00402F09" w:rsidP="009C5A02">
      <w:pPr>
        <w:spacing w:line="240" w:lineRule="auto"/>
        <w:jc w:val="both"/>
        <w:rPr>
          <w:color w:val="000000"/>
          <w:szCs w:val="22"/>
        </w:rPr>
      </w:pPr>
    </w:p>
    <w:p w14:paraId="1F1FCF19" w14:textId="77777777" w:rsidR="00402F09" w:rsidRPr="004E461A" w:rsidRDefault="00402F09" w:rsidP="009C5A02">
      <w:pPr>
        <w:spacing w:line="240" w:lineRule="auto"/>
        <w:jc w:val="both"/>
        <w:rPr>
          <w:color w:val="000000"/>
          <w:szCs w:val="22"/>
        </w:rPr>
      </w:pPr>
      <w:r w:rsidRPr="004E461A">
        <w:rPr>
          <w:color w:val="000000"/>
          <w:szCs w:val="22"/>
          <w:u w:val="single" w:color="000000"/>
        </w:rPr>
        <w:t>Biotransformācija</w:t>
      </w:r>
    </w:p>
    <w:p w14:paraId="2258BFF9" w14:textId="77777777" w:rsidR="00402F09" w:rsidRPr="004E461A" w:rsidRDefault="00402F09" w:rsidP="009C5A02">
      <w:pPr>
        <w:spacing w:line="240" w:lineRule="auto"/>
        <w:jc w:val="both"/>
        <w:rPr>
          <w:color w:val="000000"/>
          <w:szCs w:val="22"/>
        </w:rPr>
      </w:pPr>
      <w:proofErr w:type="spellStart"/>
      <w:r w:rsidRPr="004E461A">
        <w:rPr>
          <w:color w:val="000000"/>
          <w:szCs w:val="22"/>
        </w:rPr>
        <w:t>Ivabradīns</w:t>
      </w:r>
      <w:proofErr w:type="spellEnd"/>
      <w:r w:rsidRPr="004E461A">
        <w:rPr>
          <w:color w:val="000000"/>
          <w:szCs w:val="22"/>
        </w:rPr>
        <w:t xml:space="preserve"> plaši </w:t>
      </w:r>
      <w:proofErr w:type="spellStart"/>
      <w:r w:rsidRPr="004E461A">
        <w:rPr>
          <w:color w:val="000000"/>
          <w:szCs w:val="22"/>
        </w:rPr>
        <w:t>metabolizējas</w:t>
      </w:r>
      <w:proofErr w:type="spellEnd"/>
      <w:r w:rsidRPr="004E461A">
        <w:rPr>
          <w:color w:val="000000"/>
          <w:szCs w:val="22"/>
        </w:rPr>
        <w:t xml:space="preserve"> aknās un zarnās, oksidējoties tikai citohroma P450 3A4 (CYP3A4) darbības ietekmē. Galvenais aktīvais metabolīts ir N-</w:t>
      </w:r>
      <w:proofErr w:type="spellStart"/>
      <w:r w:rsidRPr="004E461A">
        <w:rPr>
          <w:color w:val="000000"/>
          <w:szCs w:val="22"/>
        </w:rPr>
        <w:t>desmetilētais</w:t>
      </w:r>
      <w:proofErr w:type="spellEnd"/>
      <w:r w:rsidRPr="004E461A">
        <w:rPr>
          <w:color w:val="000000"/>
          <w:szCs w:val="22"/>
        </w:rPr>
        <w:t xml:space="preserve"> atvasinājums (S 18982), kura iedarbība atbilst apmēram 40 % no pamatsavienojuma iedarbības. Arī šī aktīvā metabolīta metabolisms ietver CYP3A4. </w:t>
      </w:r>
      <w:proofErr w:type="spellStart"/>
      <w:r w:rsidRPr="004E461A">
        <w:rPr>
          <w:color w:val="000000"/>
          <w:szCs w:val="22"/>
        </w:rPr>
        <w:t>Ivabradīna</w:t>
      </w:r>
      <w:proofErr w:type="spellEnd"/>
      <w:r w:rsidRPr="004E461A">
        <w:rPr>
          <w:color w:val="000000"/>
          <w:szCs w:val="22"/>
        </w:rPr>
        <w:t xml:space="preserve"> afinitāte pret CYP3A4 ir zema un tas neuzrāda klīniski nozīmīgu CYP3A4 indukciju vai </w:t>
      </w:r>
      <w:proofErr w:type="spellStart"/>
      <w:r w:rsidRPr="004E461A">
        <w:rPr>
          <w:color w:val="000000"/>
          <w:szCs w:val="22"/>
        </w:rPr>
        <w:t>inhibīciju</w:t>
      </w:r>
      <w:proofErr w:type="spellEnd"/>
      <w:r w:rsidRPr="004E461A">
        <w:rPr>
          <w:color w:val="000000"/>
          <w:szCs w:val="22"/>
        </w:rPr>
        <w:t xml:space="preserve">, un tāpēc mazticams, ka varētu mainīt CYP3A4 substrātu metabolismu vai koncentrāciju plazmā. Turpretī spēcīgi inhibitori un induktori var būtiski ietekmēt </w:t>
      </w:r>
      <w:proofErr w:type="spellStart"/>
      <w:r w:rsidRPr="004E461A">
        <w:rPr>
          <w:color w:val="000000"/>
          <w:szCs w:val="22"/>
        </w:rPr>
        <w:t>ivabradīna</w:t>
      </w:r>
      <w:proofErr w:type="spellEnd"/>
      <w:r w:rsidRPr="004E461A">
        <w:rPr>
          <w:color w:val="000000"/>
          <w:szCs w:val="22"/>
        </w:rPr>
        <w:t xml:space="preserve"> koncentrāciju plazmā (skatīt 4.5. apakšpunktu).</w:t>
      </w:r>
    </w:p>
    <w:p w14:paraId="41C97309" w14:textId="77777777" w:rsidR="00402F09" w:rsidRPr="004E461A" w:rsidRDefault="00402F09" w:rsidP="009C5A02">
      <w:pPr>
        <w:spacing w:line="240" w:lineRule="auto"/>
        <w:jc w:val="both"/>
        <w:rPr>
          <w:color w:val="000000"/>
          <w:szCs w:val="22"/>
        </w:rPr>
      </w:pPr>
    </w:p>
    <w:p w14:paraId="684EEB9C" w14:textId="77777777" w:rsidR="00402F09" w:rsidRPr="004E461A" w:rsidRDefault="00402F09" w:rsidP="009C5A02">
      <w:pPr>
        <w:spacing w:line="240" w:lineRule="auto"/>
        <w:jc w:val="both"/>
        <w:rPr>
          <w:color w:val="000000"/>
          <w:szCs w:val="22"/>
        </w:rPr>
      </w:pPr>
      <w:r w:rsidRPr="004E461A">
        <w:rPr>
          <w:color w:val="000000"/>
          <w:szCs w:val="22"/>
          <w:u w:val="single" w:color="000000"/>
        </w:rPr>
        <w:t>Eliminācija</w:t>
      </w:r>
    </w:p>
    <w:p w14:paraId="36B19ED5" w14:textId="77777777" w:rsidR="00402F09" w:rsidRPr="004E461A" w:rsidRDefault="00402F09" w:rsidP="009C5A02">
      <w:pPr>
        <w:spacing w:line="240" w:lineRule="auto"/>
        <w:jc w:val="both"/>
        <w:rPr>
          <w:color w:val="000000"/>
          <w:szCs w:val="22"/>
        </w:rPr>
      </w:pPr>
      <w:proofErr w:type="spellStart"/>
      <w:r w:rsidRPr="004E461A">
        <w:rPr>
          <w:color w:val="000000"/>
          <w:szCs w:val="22"/>
        </w:rPr>
        <w:t>Ivabradīna</w:t>
      </w:r>
      <w:proofErr w:type="spellEnd"/>
      <w:r w:rsidRPr="004E461A">
        <w:rPr>
          <w:color w:val="000000"/>
          <w:szCs w:val="22"/>
        </w:rPr>
        <w:t xml:space="preserve"> vidējais plazmas eliminācijas pusperiods ir 2 stundas (70–75 % no AUC), un tā efektīvais pusperiods ir 11 stundas. Kopējais klīrenss ir apmēram 400 ml/min, un nieru klīrenss ir apmēram 70 ml/min. Metabolītu izvadīšana vienlīdz</w:t>
      </w:r>
      <w:r w:rsidRPr="004E461A">
        <w:rPr>
          <w:iCs/>
          <w:color w:val="000000"/>
          <w:szCs w:val="22"/>
        </w:rPr>
        <w:t>īgā</w:t>
      </w:r>
      <w:r w:rsidRPr="004E461A">
        <w:rPr>
          <w:color w:val="000000"/>
          <w:szCs w:val="22"/>
        </w:rPr>
        <w:t xml:space="preserve"> </w:t>
      </w:r>
      <w:r w:rsidRPr="004E461A">
        <w:rPr>
          <w:iCs/>
          <w:color w:val="000000"/>
          <w:szCs w:val="22"/>
        </w:rPr>
        <w:t xml:space="preserve">daudzumā </w:t>
      </w:r>
      <w:r w:rsidRPr="004E461A">
        <w:rPr>
          <w:color w:val="000000"/>
          <w:szCs w:val="22"/>
        </w:rPr>
        <w:t>notiek gan ar fēcēm, gan urīnu. Apmēram 4 % no iekšķīgi lietotas devas tiek izvadīta neizmainītā veidā ar urīnu.</w:t>
      </w:r>
    </w:p>
    <w:p w14:paraId="57271F14" w14:textId="77777777" w:rsidR="00402F09" w:rsidRPr="004E461A" w:rsidRDefault="00402F09" w:rsidP="009C5A02">
      <w:pPr>
        <w:spacing w:line="240" w:lineRule="auto"/>
        <w:jc w:val="both"/>
        <w:rPr>
          <w:color w:val="000000"/>
          <w:szCs w:val="22"/>
        </w:rPr>
      </w:pPr>
    </w:p>
    <w:p w14:paraId="12E029F8" w14:textId="77777777" w:rsidR="00402F09" w:rsidRPr="004E461A" w:rsidRDefault="00402F09" w:rsidP="009C5A02">
      <w:pPr>
        <w:spacing w:line="240" w:lineRule="auto"/>
        <w:jc w:val="both"/>
        <w:rPr>
          <w:color w:val="000000"/>
          <w:szCs w:val="22"/>
        </w:rPr>
      </w:pPr>
      <w:r w:rsidRPr="004E461A">
        <w:rPr>
          <w:color w:val="000000"/>
          <w:szCs w:val="22"/>
          <w:u w:val="single" w:color="000000"/>
        </w:rPr>
        <w:t>Linearitāte/nelinearitāte</w:t>
      </w:r>
    </w:p>
    <w:p w14:paraId="3CB6D18E" w14:textId="77777777" w:rsidR="00402F09" w:rsidRPr="004E461A" w:rsidRDefault="00402F09" w:rsidP="009C5A02">
      <w:pPr>
        <w:numPr>
          <w:ilvl w:val="12"/>
          <w:numId w:val="0"/>
        </w:numPr>
        <w:spacing w:line="240" w:lineRule="auto"/>
        <w:jc w:val="both"/>
        <w:rPr>
          <w:color w:val="000000"/>
        </w:rPr>
      </w:pPr>
      <w:proofErr w:type="spellStart"/>
      <w:r w:rsidRPr="004E461A">
        <w:rPr>
          <w:iCs/>
          <w:color w:val="000000"/>
          <w:szCs w:val="22"/>
        </w:rPr>
        <w:t>Ivabradīna</w:t>
      </w:r>
      <w:proofErr w:type="spellEnd"/>
      <w:r w:rsidRPr="004E461A">
        <w:rPr>
          <w:iCs/>
          <w:color w:val="000000"/>
          <w:szCs w:val="22"/>
        </w:rPr>
        <w:t xml:space="preserve"> farmakokinētika ir lineāra iekšķīgi lietotu devu robežās no 0,5 – 24 mg.</w:t>
      </w:r>
    </w:p>
    <w:p w14:paraId="4C9212D8" w14:textId="77777777" w:rsidR="00CD10AA" w:rsidRPr="004E461A" w:rsidRDefault="00CD10AA" w:rsidP="009C5A02">
      <w:pPr>
        <w:spacing w:line="240" w:lineRule="auto"/>
        <w:jc w:val="both"/>
        <w:rPr>
          <w:color w:val="000000"/>
          <w:szCs w:val="22"/>
        </w:rPr>
      </w:pPr>
    </w:p>
    <w:p w14:paraId="1AE9D5A4" w14:textId="77777777" w:rsidR="00654DB9" w:rsidRPr="004E461A" w:rsidRDefault="00654DB9" w:rsidP="009C5A02">
      <w:pPr>
        <w:spacing w:line="240" w:lineRule="auto"/>
        <w:jc w:val="both"/>
        <w:rPr>
          <w:color w:val="000000"/>
          <w:szCs w:val="22"/>
        </w:rPr>
      </w:pPr>
      <w:r w:rsidRPr="004E461A">
        <w:rPr>
          <w:color w:val="000000"/>
          <w:szCs w:val="22"/>
          <w:u w:val="single" w:color="000000"/>
        </w:rPr>
        <w:t>Īpašas pacientu grupas</w:t>
      </w:r>
    </w:p>
    <w:p w14:paraId="003C13D7" w14:textId="77777777" w:rsidR="00C54608" w:rsidRPr="00B47BC3" w:rsidRDefault="00654DB9" w:rsidP="00C54608">
      <w:pPr>
        <w:tabs>
          <w:tab w:val="clear" w:pos="567"/>
          <w:tab w:val="left" w:pos="709"/>
        </w:tabs>
        <w:spacing w:line="240" w:lineRule="auto"/>
        <w:jc w:val="both"/>
        <w:rPr>
          <w:i/>
          <w:iCs/>
          <w:color w:val="000000"/>
          <w:szCs w:val="22"/>
        </w:rPr>
      </w:pPr>
      <w:r w:rsidRPr="00B47BC3">
        <w:rPr>
          <w:i/>
          <w:iCs/>
          <w:color w:val="000000"/>
          <w:szCs w:val="22"/>
        </w:rPr>
        <w:t>Gados vecāki cilvēki</w:t>
      </w:r>
    </w:p>
    <w:p w14:paraId="17B5C102" w14:textId="7ACEF2DE" w:rsidR="00654DB9" w:rsidRPr="004E461A" w:rsidRDefault="00C54608" w:rsidP="00B47BC3">
      <w:pPr>
        <w:tabs>
          <w:tab w:val="clear" w:pos="567"/>
          <w:tab w:val="left" w:pos="709"/>
        </w:tabs>
        <w:spacing w:line="240" w:lineRule="auto"/>
        <w:jc w:val="both"/>
        <w:rPr>
          <w:color w:val="000000"/>
          <w:szCs w:val="22"/>
        </w:rPr>
      </w:pPr>
      <w:r>
        <w:rPr>
          <w:color w:val="000000"/>
          <w:szCs w:val="22"/>
        </w:rPr>
        <w:t>N</w:t>
      </w:r>
      <w:r w:rsidR="00654DB9" w:rsidRPr="004E461A">
        <w:rPr>
          <w:color w:val="000000"/>
          <w:szCs w:val="22"/>
        </w:rPr>
        <w:t xml:space="preserve">av novērotas farmakokinētikas (AUC un </w:t>
      </w:r>
      <w:proofErr w:type="spellStart"/>
      <w:r w:rsidR="00654DB9" w:rsidRPr="004E461A">
        <w:rPr>
          <w:color w:val="000000"/>
          <w:szCs w:val="22"/>
        </w:rPr>
        <w:t>C</w:t>
      </w:r>
      <w:r w:rsidR="00654DB9" w:rsidRPr="004E461A">
        <w:rPr>
          <w:color w:val="000000"/>
          <w:szCs w:val="22"/>
          <w:vertAlign w:val="subscript"/>
        </w:rPr>
        <w:t>max</w:t>
      </w:r>
      <w:proofErr w:type="spellEnd"/>
      <w:r w:rsidR="00654DB9" w:rsidRPr="004E461A">
        <w:rPr>
          <w:color w:val="000000"/>
          <w:szCs w:val="22"/>
        </w:rPr>
        <w:t>) atšķirības starp gados vecākiem pacientiem (≥ 65 gadi) vai gados ļoti veciem pacientiem (≥ 75 gadi) un vispārējo populāciju (skatīt 4.2. apakšpunktu).</w:t>
      </w:r>
    </w:p>
    <w:p w14:paraId="6592C8E0" w14:textId="77777777" w:rsidR="00C54608" w:rsidRDefault="00C54608" w:rsidP="00C54608">
      <w:pPr>
        <w:tabs>
          <w:tab w:val="clear" w:pos="567"/>
          <w:tab w:val="left" w:pos="709"/>
        </w:tabs>
        <w:spacing w:line="240" w:lineRule="auto"/>
        <w:jc w:val="both"/>
        <w:rPr>
          <w:color w:val="000000"/>
          <w:szCs w:val="22"/>
        </w:rPr>
      </w:pPr>
    </w:p>
    <w:p w14:paraId="13789DCE" w14:textId="77777777" w:rsidR="00C54608" w:rsidRPr="00B47BC3" w:rsidRDefault="00654DB9" w:rsidP="00C54608">
      <w:pPr>
        <w:tabs>
          <w:tab w:val="clear" w:pos="567"/>
          <w:tab w:val="left" w:pos="709"/>
        </w:tabs>
        <w:spacing w:line="240" w:lineRule="auto"/>
        <w:jc w:val="both"/>
        <w:rPr>
          <w:i/>
          <w:iCs/>
          <w:color w:val="000000"/>
          <w:szCs w:val="22"/>
        </w:rPr>
      </w:pPr>
      <w:r w:rsidRPr="00B47BC3">
        <w:rPr>
          <w:i/>
          <w:iCs/>
          <w:color w:val="000000"/>
          <w:szCs w:val="22"/>
        </w:rPr>
        <w:t>Nieru darbības traucējumi</w:t>
      </w:r>
    </w:p>
    <w:p w14:paraId="32BA27B2" w14:textId="70482BC7" w:rsidR="00654DB9" w:rsidRPr="004E461A" w:rsidRDefault="00C54608" w:rsidP="00B47BC3">
      <w:pPr>
        <w:tabs>
          <w:tab w:val="clear" w:pos="567"/>
          <w:tab w:val="left" w:pos="709"/>
        </w:tabs>
        <w:spacing w:line="240" w:lineRule="auto"/>
        <w:jc w:val="both"/>
        <w:rPr>
          <w:color w:val="000000"/>
          <w:szCs w:val="22"/>
        </w:rPr>
      </w:pPr>
      <w:r>
        <w:rPr>
          <w:color w:val="000000"/>
          <w:szCs w:val="22"/>
        </w:rPr>
        <w:t>N</w:t>
      </w:r>
      <w:r w:rsidR="00654DB9" w:rsidRPr="004E461A">
        <w:rPr>
          <w:color w:val="000000"/>
          <w:szCs w:val="22"/>
        </w:rPr>
        <w:t xml:space="preserve">ieru darbības traucējumu (kreatinīna klīrenss no 15 līdz 60 ml/min) ietekme uz </w:t>
      </w:r>
      <w:proofErr w:type="spellStart"/>
      <w:r w:rsidR="00654DB9" w:rsidRPr="004E461A">
        <w:rPr>
          <w:color w:val="000000"/>
          <w:szCs w:val="22"/>
        </w:rPr>
        <w:t>ivabradīna</w:t>
      </w:r>
      <w:proofErr w:type="spellEnd"/>
      <w:r w:rsidR="00654DB9" w:rsidRPr="004E461A">
        <w:rPr>
          <w:color w:val="000000"/>
          <w:szCs w:val="22"/>
        </w:rPr>
        <w:t xml:space="preserve"> farmakokinētiku ir minimāla, un tas saistīts ar nebūtisko nieru klīrensa nozīmi (apmēram 20 %) gan </w:t>
      </w:r>
      <w:proofErr w:type="spellStart"/>
      <w:r w:rsidR="00654DB9" w:rsidRPr="004E461A">
        <w:rPr>
          <w:color w:val="000000"/>
          <w:szCs w:val="22"/>
        </w:rPr>
        <w:t>ivabradīna</w:t>
      </w:r>
      <w:proofErr w:type="spellEnd"/>
      <w:r w:rsidR="00654DB9" w:rsidRPr="004E461A">
        <w:rPr>
          <w:color w:val="000000"/>
          <w:szCs w:val="22"/>
        </w:rPr>
        <w:t>, gan tā galvenā metabolīta S 18982 kopējā eliminācijā (skatīt 4.2. apakšpunktu).</w:t>
      </w:r>
    </w:p>
    <w:p w14:paraId="17A74257" w14:textId="77777777" w:rsidR="00C54608" w:rsidRDefault="00C54608" w:rsidP="00C54608">
      <w:pPr>
        <w:tabs>
          <w:tab w:val="clear" w:pos="567"/>
          <w:tab w:val="left" w:pos="709"/>
        </w:tabs>
        <w:spacing w:line="240" w:lineRule="auto"/>
        <w:jc w:val="both"/>
        <w:rPr>
          <w:color w:val="000000"/>
          <w:szCs w:val="22"/>
        </w:rPr>
      </w:pPr>
    </w:p>
    <w:p w14:paraId="2DF30EA1" w14:textId="77777777" w:rsidR="00C54608" w:rsidRPr="00B47BC3" w:rsidRDefault="00654DB9" w:rsidP="00C54608">
      <w:pPr>
        <w:tabs>
          <w:tab w:val="clear" w:pos="567"/>
          <w:tab w:val="left" w:pos="709"/>
        </w:tabs>
        <w:spacing w:line="240" w:lineRule="auto"/>
        <w:jc w:val="both"/>
        <w:rPr>
          <w:i/>
          <w:iCs/>
          <w:color w:val="000000"/>
          <w:szCs w:val="22"/>
        </w:rPr>
      </w:pPr>
      <w:r w:rsidRPr="00B47BC3">
        <w:rPr>
          <w:i/>
          <w:iCs/>
          <w:color w:val="000000"/>
          <w:szCs w:val="22"/>
        </w:rPr>
        <w:t>Aknu darbības traucējumi</w:t>
      </w:r>
    </w:p>
    <w:p w14:paraId="2A919375" w14:textId="1BC45852" w:rsidR="00654DB9" w:rsidRPr="004E461A" w:rsidRDefault="00C54608" w:rsidP="00B47BC3">
      <w:pPr>
        <w:tabs>
          <w:tab w:val="clear" w:pos="567"/>
          <w:tab w:val="left" w:pos="709"/>
        </w:tabs>
        <w:spacing w:line="240" w:lineRule="auto"/>
        <w:jc w:val="both"/>
        <w:rPr>
          <w:color w:val="000000"/>
          <w:szCs w:val="22"/>
        </w:rPr>
      </w:pPr>
      <w:r>
        <w:rPr>
          <w:color w:val="000000"/>
          <w:szCs w:val="22"/>
        </w:rPr>
        <w:t>P</w:t>
      </w:r>
      <w:r w:rsidR="00654DB9" w:rsidRPr="004E461A">
        <w:rPr>
          <w:color w:val="000000"/>
          <w:szCs w:val="22"/>
        </w:rPr>
        <w:t>acientiem ar viegliem aknu darbības traucējumiem (</w:t>
      </w:r>
      <w:proofErr w:type="spellStart"/>
      <w:r w:rsidR="00654DB9" w:rsidRPr="004E461A">
        <w:rPr>
          <w:i/>
          <w:color w:val="000000"/>
          <w:szCs w:val="22"/>
        </w:rPr>
        <w:t>Child</w:t>
      </w:r>
      <w:proofErr w:type="spellEnd"/>
      <w:r w:rsidR="00654DB9" w:rsidRPr="004E461A">
        <w:rPr>
          <w:i/>
          <w:color w:val="000000"/>
          <w:szCs w:val="22"/>
        </w:rPr>
        <w:t xml:space="preserve"> </w:t>
      </w:r>
      <w:proofErr w:type="spellStart"/>
      <w:r w:rsidR="00654DB9" w:rsidRPr="004E461A">
        <w:rPr>
          <w:i/>
          <w:color w:val="000000"/>
          <w:szCs w:val="22"/>
        </w:rPr>
        <w:t>Pugh</w:t>
      </w:r>
      <w:proofErr w:type="spellEnd"/>
      <w:r w:rsidR="00654DB9" w:rsidRPr="004E461A">
        <w:rPr>
          <w:color w:val="000000"/>
          <w:szCs w:val="22"/>
        </w:rPr>
        <w:t xml:space="preserve"> indeksa vērtība līdz 7) nesaistīta </w:t>
      </w:r>
      <w:proofErr w:type="spellStart"/>
      <w:r w:rsidR="00654DB9" w:rsidRPr="004E461A">
        <w:rPr>
          <w:color w:val="000000"/>
          <w:szCs w:val="22"/>
        </w:rPr>
        <w:t>ivabradīna</w:t>
      </w:r>
      <w:proofErr w:type="spellEnd"/>
      <w:r w:rsidR="00654DB9" w:rsidRPr="004E461A">
        <w:rPr>
          <w:color w:val="000000"/>
          <w:szCs w:val="22"/>
        </w:rPr>
        <w:t xml:space="preserve"> un tā galvenā metabolīta AUC bija par apmēram 20 % lielāks nekā cilvēkiem ar normālu aknu darbību. Nav pietiekamu datu, lai izdarītu secinājumus par pacientiem ar vidēji smagiem aknu darbības traucējumiem. Dati par pacientiem ar smagiem aknu darbības traucējumiem nav pieejami (skatīt 4.2. un 4.3. apakšpunktu).</w:t>
      </w:r>
    </w:p>
    <w:p w14:paraId="09D580C3" w14:textId="77777777" w:rsidR="00C54608" w:rsidRDefault="00C54608" w:rsidP="00C54608">
      <w:pPr>
        <w:tabs>
          <w:tab w:val="clear" w:pos="567"/>
          <w:tab w:val="left" w:pos="709"/>
        </w:tabs>
        <w:spacing w:line="240" w:lineRule="auto"/>
        <w:jc w:val="both"/>
        <w:rPr>
          <w:color w:val="000000"/>
          <w:szCs w:val="22"/>
        </w:rPr>
      </w:pPr>
    </w:p>
    <w:p w14:paraId="29948556" w14:textId="567D1256" w:rsidR="00C54608" w:rsidRPr="00B47BC3" w:rsidRDefault="00654DB9" w:rsidP="00C54608">
      <w:pPr>
        <w:tabs>
          <w:tab w:val="clear" w:pos="567"/>
          <w:tab w:val="left" w:pos="709"/>
        </w:tabs>
        <w:spacing w:line="240" w:lineRule="auto"/>
        <w:jc w:val="both"/>
        <w:rPr>
          <w:i/>
          <w:iCs/>
          <w:color w:val="000000"/>
          <w:szCs w:val="22"/>
        </w:rPr>
      </w:pPr>
      <w:r w:rsidRPr="00B47BC3">
        <w:rPr>
          <w:i/>
          <w:iCs/>
          <w:color w:val="000000"/>
          <w:szCs w:val="22"/>
        </w:rPr>
        <w:t>Pediatriskā populācija</w:t>
      </w:r>
    </w:p>
    <w:p w14:paraId="2DD2C765" w14:textId="17355133" w:rsidR="00654DB9" w:rsidRPr="004E461A" w:rsidRDefault="00C54608" w:rsidP="00B47BC3">
      <w:pPr>
        <w:tabs>
          <w:tab w:val="clear" w:pos="567"/>
          <w:tab w:val="left" w:pos="709"/>
        </w:tabs>
        <w:spacing w:line="240" w:lineRule="auto"/>
        <w:jc w:val="both"/>
        <w:rPr>
          <w:color w:val="000000"/>
          <w:szCs w:val="22"/>
        </w:rPr>
      </w:pPr>
      <w:proofErr w:type="spellStart"/>
      <w:r>
        <w:rPr>
          <w:color w:val="000000"/>
          <w:szCs w:val="22"/>
        </w:rPr>
        <w:t>I</w:t>
      </w:r>
      <w:r w:rsidR="00654DB9" w:rsidRPr="004E461A">
        <w:rPr>
          <w:color w:val="000000"/>
          <w:szCs w:val="22"/>
        </w:rPr>
        <w:t>vabradīna</w:t>
      </w:r>
      <w:proofErr w:type="spellEnd"/>
      <w:r w:rsidR="00654DB9" w:rsidRPr="004E461A">
        <w:rPr>
          <w:color w:val="000000"/>
          <w:szCs w:val="22"/>
        </w:rPr>
        <w:t xml:space="preserve"> </w:t>
      </w:r>
      <w:proofErr w:type="spellStart"/>
      <w:r w:rsidR="00654DB9" w:rsidRPr="004E461A">
        <w:rPr>
          <w:color w:val="000000"/>
          <w:szCs w:val="22"/>
        </w:rPr>
        <w:t>farmakokinētiskās</w:t>
      </w:r>
      <w:proofErr w:type="spellEnd"/>
      <w:r w:rsidR="00654DB9" w:rsidRPr="004E461A">
        <w:rPr>
          <w:color w:val="000000"/>
          <w:szCs w:val="22"/>
        </w:rPr>
        <w:t xml:space="preserve"> īpašības pediatriskiem hroniskas sirds mazspējas pacientiem vecumā no 6 mēnešiem līdz 18 gadiem ir līdzīgas pieaugušiem aprakstītajai farmakokinētikai, ja izmanto uz vecumu un ķermeņa masu balstītu titrēšanas shēmu.</w:t>
      </w:r>
    </w:p>
    <w:p w14:paraId="0A384A02" w14:textId="77777777" w:rsidR="00654DB9" w:rsidRPr="004E461A" w:rsidRDefault="00654DB9" w:rsidP="009C5A02">
      <w:pPr>
        <w:spacing w:line="240" w:lineRule="auto"/>
        <w:jc w:val="both"/>
        <w:rPr>
          <w:color w:val="000000"/>
          <w:szCs w:val="22"/>
        </w:rPr>
      </w:pPr>
    </w:p>
    <w:p w14:paraId="2C7BD9D0" w14:textId="77777777" w:rsidR="00F50C4D" w:rsidRPr="004E461A" w:rsidRDefault="00F50C4D" w:rsidP="009C5A02">
      <w:pPr>
        <w:spacing w:line="240" w:lineRule="auto"/>
        <w:jc w:val="both"/>
        <w:rPr>
          <w:color w:val="000000"/>
          <w:szCs w:val="22"/>
        </w:rPr>
      </w:pPr>
      <w:r w:rsidRPr="004E461A">
        <w:rPr>
          <w:color w:val="000000"/>
          <w:szCs w:val="22"/>
          <w:u w:val="single" w:color="000000"/>
        </w:rPr>
        <w:t>Farmakokinētiskā/ farmakodinamiskā (FK/FD) attiecība</w:t>
      </w:r>
    </w:p>
    <w:p w14:paraId="265FC50D" w14:textId="77777777" w:rsidR="00F50C4D" w:rsidRPr="004E461A" w:rsidRDefault="00F50C4D" w:rsidP="009C5A02">
      <w:pPr>
        <w:spacing w:line="240" w:lineRule="auto"/>
        <w:jc w:val="both"/>
        <w:rPr>
          <w:b/>
          <w:color w:val="000000"/>
          <w:szCs w:val="22"/>
        </w:rPr>
      </w:pPr>
      <w:r w:rsidRPr="004E461A">
        <w:rPr>
          <w:color w:val="000000"/>
          <w:szCs w:val="22"/>
        </w:rPr>
        <w:t xml:space="preserve">FK/FD attiecības analīzē pierādīts, ka, palielinoties </w:t>
      </w:r>
      <w:proofErr w:type="spellStart"/>
      <w:r w:rsidRPr="004E461A">
        <w:rPr>
          <w:color w:val="000000"/>
          <w:szCs w:val="22"/>
        </w:rPr>
        <w:t>ivabradīna</w:t>
      </w:r>
      <w:proofErr w:type="spellEnd"/>
      <w:r w:rsidRPr="004E461A">
        <w:rPr>
          <w:color w:val="000000"/>
          <w:szCs w:val="22"/>
        </w:rPr>
        <w:t xml:space="preserve"> un S 18982 koncentrācijai plazmā, kad lieto devas līdz 15–20 mg divas reizes dienā, sirdsdarbības ātrums palēninās gandrīz lineāri. Lietojot lielākas devas, sirdsdarbības ātruma palēninājums vairs nav proporcionāls </w:t>
      </w:r>
      <w:proofErr w:type="spellStart"/>
      <w:r w:rsidRPr="004E461A">
        <w:rPr>
          <w:color w:val="000000"/>
          <w:szCs w:val="22"/>
        </w:rPr>
        <w:t>ivabradīna</w:t>
      </w:r>
      <w:proofErr w:type="spellEnd"/>
      <w:r w:rsidRPr="004E461A">
        <w:rPr>
          <w:color w:val="000000"/>
          <w:szCs w:val="22"/>
        </w:rPr>
        <w:t xml:space="preserve"> koncentrācijai </w:t>
      </w:r>
      <w:r w:rsidRPr="004E461A">
        <w:rPr>
          <w:color w:val="000000"/>
          <w:szCs w:val="22"/>
        </w:rPr>
        <w:lastRenderedPageBreak/>
        <w:t xml:space="preserve">plazmā, un tam ir tendence sasniegt plato. Spēcīga </w:t>
      </w:r>
      <w:proofErr w:type="spellStart"/>
      <w:r w:rsidRPr="004E461A">
        <w:rPr>
          <w:color w:val="000000"/>
          <w:szCs w:val="22"/>
        </w:rPr>
        <w:t>ivabradīna</w:t>
      </w:r>
      <w:proofErr w:type="spellEnd"/>
      <w:r w:rsidRPr="004E461A">
        <w:rPr>
          <w:color w:val="000000"/>
          <w:szCs w:val="22"/>
        </w:rPr>
        <w:t xml:space="preserve"> iedarbība, kas var rasties, ja </w:t>
      </w:r>
      <w:proofErr w:type="spellStart"/>
      <w:r w:rsidRPr="004E461A">
        <w:rPr>
          <w:color w:val="000000"/>
          <w:szCs w:val="22"/>
        </w:rPr>
        <w:t>ivabradīnu</w:t>
      </w:r>
      <w:proofErr w:type="spellEnd"/>
      <w:r w:rsidRPr="004E461A">
        <w:rPr>
          <w:color w:val="000000"/>
          <w:szCs w:val="22"/>
        </w:rPr>
        <w:t xml:space="preserve"> lieto kombinācijā ar spēcīgiem CYP3A4 inhibitoriem, var izraisīt pārmērīgu sirdsdarbības ātruma palēnināšanos, bet ar vidēji spēcīgiem CYP3A4 inhibitoriem šāds risks ir mazāks (skatīt 4.3., 4.4. un 4.5. apakšpunktu). </w:t>
      </w:r>
      <w:proofErr w:type="spellStart"/>
      <w:r w:rsidRPr="004E461A">
        <w:rPr>
          <w:color w:val="000000"/>
          <w:szCs w:val="22"/>
        </w:rPr>
        <w:t>Ivabradīna</w:t>
      </w:r>
      <w:proofErr w:type="spellEnd"/>
      <w:r w:rsidRPr="004E461A">
        <w:rPr>
          <w:color w:val="000000"/>
          <w:szCs w:val="22"/>
        </w:rPr>
        <w:t xml:space="preserve"> FK/FD attiecība pediatriskiem hroniskas sirds mazspējas pacientiem vecumā no 6 mēnešiem līdz 18 gadiem ir līdzīga pieaugušajiem aprakstītajai FK/FD attiecībai.</w:t>
      </w:r>
    </w:p>
    <w:p w14:paraId="431737F3" w14:textId="77777777" w:rsidR="00F50C4D" w:rsidRPr="004E461A" w:rsidRDefault="00F50C4D" w:rsidP="009C5A02">
      <w:pPr>
        <w:spacing w:line="240" w:lineRule="auto"/>
        <w:jc w:val="both"/>
        <w:rPr>
          <w:color w:val="000000"/>
          <w:szCs w:val="22"/>
        </w:rPr>
      </w:pPr>
    </w:p>
    <w:p w14:paraId="6CCA2FE7"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5.3</w:t>
      </w:r>
      <w:r w:rsidR="008C59E2" w:rsidRPr="004E461A">
        <w:rPr>
          <w:b/>
          <w:color w:val="000000"/>
          <w:szCs w:val="22"/>
        </w:rPr>
        <w:t>.</w:t>
      </w:r>
      <w:r w:rsidRPr="004E461A">
        <w:rPr>
          <w:b/>
          <w:color w:val="000000"/>
          <w:szCs w:val="22"/>
        </w:rPr>
        <w:tab/>
        <w:t>Preklīniskie dati par droš</w:t>
      </w:r>
      <w:r w:rsidR="00E53972" w:rsidRPr="004E461A">
        <w:rPr>
          <w:b/>
          <w:color w:val="000000"/>
          <w:szCs w:val="22"/>
        </w:rPr>
        <w:t>umu</w:t>
      </w:r>
    </w:p>
    <w:p w14:paraId="239CADD3" w14:textId="77777777" w:rsidR="00705D29" w:rsidRPr="004E461A" w:rsidRDefault="00705D29" w:rsidP="009C5A02">
      <w:pPr>
        <w:tabs>
          <w:tab w:val="clear" w:pos="567"/>
        </w:tabs>
        <w:spacing w:line="240" w:lineRule="auto"/>
        <w:jc w:val="both"/>
        <w:rPr>
          <w:color w:val="000000"/>
          <w:szCs w:val="22"/>
        </w:rPr>
      </w:pPr>
    </w:p>
    <w:p w14:paraId="4CC549B3" w14:textId="77777777" w:rsidR="0020023E" w:rsidRPr="004E461A" w:rsidRDefault="00CD10AA" w:rsidP="009C5A02">
      <w:pPr>
        <w:spacing w:line="240" w:lineRule="auto"/>
        <w:jc w:val="both"/>
        <w:rPr>
          <w:color w:val="000000"/>
        </w:rPr>
      </w:pPr>
      <w:r w:rsidRPr="004E461A">
        <w:rPr>
          <w:noProof/>
          <w:color w:val="000000"/>
          <w:szCs w:val="22"/>
        </w:rPr>
        <w:t>Neklīniskajos</w:t>
      </w:r>
      <w:r w:rsidRPr="004E461A">
        <w:rPr>
          <w:color w:val="000000"/>
          <w:szCs w:val="22"/>
        </w:rPr>
        <w:t xml:space="preserve"> </w:t>
      </w:r>
      <w:proofErr w:type="spellStart"/>
      <w:r w:rsidRPr="004E461A">
        <w:rPr>
          <w:color w:val="000000"/>
          <w:szCs w:val="22"/>
        </w:rPr>
        <w:t>standartpētījumos</w:t>
      </w:r>
      <w:proofErr w:type="spellEnd"/>
      <w:r w:rsidRPr="004E461A">
        <w:rPr>
          <w:color w:val="000000"/>
          <w:szCs w:val="22"/>
        </w:rPr>
        <w:t xml:space="preserve"> iegūtie dati par farmakoloģisko droš</w:t>
      </w:r>
      <w:r w:rsidR="00392D1F" w:rsidRPr="004E461A">
        <w:rPr>
          <w:color w:val="000000"/>
          <w:szCs w:val="22"/>
        </w:rPr>
        <w:t>umu</w:t>
      </w:r>
      <w:r w:rsidRPr="004E461A">
        <w:rPr>
          <w:color w:val="000000"/>
          <w:szCs w:val="22"/>
        </w:rPr>
        <w:t>, atkārtotu de</w:t>
      </w:r>
      <w:r w:rsidR="004124E9" w:rsidRPr="004E461A">
        <w:rPr>
          <w:color w:val="000000"/>
          <w:szCs w:val="22"/>
        </w:rPr>
        <w:t>vu toksicitāti, genotoksicitāti un</w:t>
      </w:r>
      <w:r w:rsidRPr="004E461A">
        <w:rPr>
          <w:color w:val="000000"/>
          <w:szCs w:val="22"/>
        </w:rPr>
        <w:t xml:space="preserve"> iespējamu kancerogenitāti neliecina par īpašu risku cilvēkam</w:t>
      </w:r>
      <w:r w:rsidR="00CD2E1C" w:rsidRPr="004E461A">
        <w:rPr>
          <w:color w:val="000000"/>
          <w:szCs w:val="22"/>
        </w:rPr>
        <w:t>.</w:t>
      </w:r>
      <w:r w:rsidR="0020023E" w:rsidRPr="004E461A">
        <w:rPr>
          <w:color w:val="000000"/>
          <w:szCs w:val="22"/>
        </w:rPr>
        <w:t xml:space="preserve"> Reproduktīvās </w:t>
      </w:r>
      <w:proofErr w:type="spellStart"/>
      <w:r w:rsidR="0020023E" w:rsidRPr="004E461A">
        <w:rPr>
          <w:color w:val="000000"/>
          <w:szCs w:val="22"/>
        </w:rPr>
        <w:t>toksicitātes</w:t>
      </w:r>
      <w:proofErr w:type="spellEnd"/>
      <w:r w:rsidR="0020023E" w:rsidRPr="004E461A">
        <w:rPr>
          <w:color w:val="000000"/>
          <w:szCs w:val="22"/>
        </w:rPr>
        <w:t xml:space="preserve"> pētījumi neuzrādīja </w:t>
      </w:r>
      <w:proofErr w:type="spellStart"/>
      <w:r w:rsidR="0020023E" w:rsidRPr="004E461A">
        <w:rPr>
          <w:color w:val="000000"/>
          <w:szCs w:val="22"/>
        </w:rPr>
        <w:t>ivabradīna</w:t>
      </w:r>
      <w:proofErr w:type="spellEnd"/>
      <w:r w:rsidR="0020023E" w:rsidRPr="004E461A">
        <w:rPr>
          <w:color w:val="000000"/>
          <w:szCs w:val="22"/>
        </w:rPr>
        <w:t xml:space="preserve"> ietekmi uz žurku tēviņu un mātīšu </w:t>
      </w:r>
      <w:proofErr w:type="spellStart"/>
      <w:r w:rsidR="00EA0142" w:rsidRPr="004E461A">
        <w:rPr>
          <w:color w:val="000000"/>
          <w:szCs w:val="22"/>
        </w:rPr>
        <w:t>fertilitāti</w:t>
      </w:r>
      <w:proofErr w:type="spellEnd"/>
      <w:r w:rsidR="0020023E" w:rsidRPr="004E461A">
        <w:rPr>
          <w:color w:val="000000"/>
          <w:szCs w:val="22"/>
        </w:rPr>
        <w:t xml:space="preserve">. Ja grūsns dzīvnieks </w:t>
      </w:r>
      <w:proofErr w:type="spellStart"/>
      <w:r w:rsidR="0020023E" w:rsidRPr="004E461A">
        <w:rPr>
          <w:color w:val="000000"/>
          <w:szCs w:val="22"/>
        </w:rPr>
        <w:t>organoģenēzes</w:t>
      </w:r>
      <w:proofErr w:type="spellEnd"/>
      <w:r w:rsidR="0020023E" w:rsidRPr="004E461A">
        <w:rPr>
          <w:color w:val="000000"/>
          <w:szCs w:val="22"/>
        </w:rPr>
        <w:t xml:space="preserve"> laikā tika pakļauts iedarbībai, kas tuva terapeitiskajām devām, novēroja lielāku embriju ar sirds defektiem biežumu žurkām un nelielu skaitu embriju ar </w:t>
      </w:r>
      <w:proofErr w:type="spellStart"/>
      <w:r w:rsidR="0020023E" w:rsidRPr="004E461A">
        <w:rPr>
          <w:color w:val="000000"/>
          <w:szCs w:val="22"/>
        </w:rPr>
        <w:t>ektrodaktiliju</w:t>
      </w:r>
      <w:proofErr w:type="spellEnd"/>
      <w:r w:rsidR="0020023E" w:rsidRPr="004E461A">
        <w:rPr>
          <w:color w:val="000000"/>
          <w:szCs w:val="22"/>
        </w:rPr>
        <w:t xml:space="preserve"> trušiem.</w:t>
      </w:r>
    </w:p>
    <w:p w14:paraId="47A92DE5" w14:textId="77777777" w:rsidR="0020023E" w:rsidRPr="004E461A" w:rsidRDefault="0020023E" w:rsidP="009C5A02">
      <w:pPr>
        <w:spacing w:line="240" w:lineRule="auto"/>
        <w:jc w:val="both"/>
        <w:rPr>
          <w:color w:val="000000"/>
        </w:rPr>
      </w:pPr>
      <w:r w:rsidRPr="004E461A">
        <w:rPr>
          <w:color w:val="000000"/>
          <w:szCs w:val="22"/>
        </w:rPr>
        <w:t xml:space="preserve">Suņiem, lietojot vienu gadu </w:t>
      </w:r>
      <w:proofErr w:type="spellStart"/>
      <w:r w:rsidRPr="004E461A">
        <w:rPr>
          <w:color w:val="000000"/>
          <w:szCs w:val="22"/>
        </w:rPr>
        <w:t>ivabradīnu</w:t>
      </w:r>
      <w:proofErr w:type="spellEnd"/>
      <w:r w:rsidRPr="004E461A">
        <w:rPr>
          <w:color w:val="000000"/>
          <w:szCs w:val="22"/>
        </w:rPr>
        <w:t xml:space="preserve"> (devās 2; 7 vai 24 mg/kg dienā), novēroja atgriezeniskas tīklenes funkciju izmaiņas, be</w:t>
      </w:r>
      <w:r w:rsidR="009C5A02" w:rsidRPr="004E461A">
        <w:rPr>
          <w:color w:val="000000"/>
          <w:szCs w:val="22"/>
        </w:rPr>
        <w:t>t</w:t>
      </w:r>
      <w:r w:rsidRPr="004E461A">
        <w:rPr>
          <w:color w:val="000000"/>
          <w:szCs w:val="22"/>
        </w:rPr>
        <w:t xml:space="preserve"> tie neizraisīja nekādus okulāro struktūru bojājumus. Šie rezultāti saskan ar </w:t>
      </w:r>
      <w:proofErr w:type="spellStart"/>
      <w:r w:rsidRPr="004E461A">
        <w:rPr>
          <w:color w:val="000000"/>
          <w:szCs w:val="22"/>
        </w:rPr>
        <w:t>ivabradīna</w:t>
      </w:r>
      <w:proofErr w:type="spellEnd"/>
      <w:r w:rsidRPr="004E461A">
        <w:rPr>
          <w:color w:val="000000"/>
          <w:szCs w:val="22"/>
        </w:rPr>
        <w:t xml:space="preserve"> farmakoloģisko iedarbību, kas attiecas uz tā mijiedarbību ar </w:t>
      </w:r>
      <w:proofErr w:type="spellStart"/>
      <w:r w:rsidRPr="004E461A">
        <w:rPr>
          <w:color w:val="000000"/>
          <w:szCs w:val="22"/>
        </w:rPr>
        <w:t>hiperpolarizācijas</w:t>
      </w:r>
      <w:proofErr w:type="spellEnd"/>
      <w:r w:rsidRPr="004E461A">
        <w:rPr>
          <w:color w:val="000000"/>
          <w:szCs w:val="22"/>
        </w:rPr>
        <w:t xml:space="preserve"> aktivētu </w:t>
      </w:r>
      <w:proofErr w:type="spellStart"/>
      <w:r w:rsidRPr="004E461A">
        <w:rPr>
          <w:i/>
          <w:color w:val="000000"/>
          <w:szCs w:val="22"/>
        </w:rPr>
        <w:t>I</w:t>
      </w:r>
      <w:r w:rsidRPr="004E461A">
        <w:rPr>
          <w:i/>
          <w:color w:val="000000"/>
          <w:szCs w:val="22"/>
          <w:vertAlign w:val="subscript"/>
        </w:rPr>
        <w:t>h</w:t>
      </w:r>
      <w:proofErr w:type="spellEnd"/>
      <w:r w:rsidRPr="004E461A">
        <w:rPr>
          <w:color w:val="000000"/>
          <w:szCs w:val="22"/>
        </w:rPr>
        <w:t xml:space="preserve"> impulsu tīklenē, kam piemīt plaša homoloģija ar </w:t>
      </w:r>
      <w:proofErr w:type="spellStart"/>
      <w:r w:rsidRPr="004E461A">
        <w:rPr>
          <w:i/>
          <w:color w:val="000000"/>
          <w:szCs w:val="22"/>
        </w:rPr>
        <w:t>I</w:t>
      </w:r>
      <w:r w:rsidRPr="004E461A">
        <w:rPr>
          <w:i/>
          <w:color w:val="000000"/>
          <w:szCs w:val="22"/>
          <w:vertAlign w:val="subscript"/>
        </w:rPr>
        <w:t>f</w:t>
      </w:r>
      <w:proofErr w:type="spellEnd"/>
      <w:r w:rsidRPr="004E461A">
        <w:rPr>
          <w:color w:val="000000"/>
          <w:szCs w:val="22"/>
        </w:rPr>
        <w:t xml:space="preserve"> impulsiem sirds </w:t>
      </w:r>
      <w:proofErr w:type="spellStart"/>
      <w:r w:rsidRPr="004E461A">
        <w:rPr>
          <w:color w:val="000000"/>
          <w:szCs w:val="22"/>
        </w:rPr>
        <w:t>vadītājsistēmā</w:t>
      </w:r>
      <w:proofErr w:type="spellEnd"/>
      <w:r w:rsidRPr="004E461A">
        <w:rPr>
          <w:color w:val="000000"/>
          <w:szCs w:val="22"/>
        </w:rPr>
        <w:t>.</w:t>
      </w:r>
    </w:p>
    <w:p w14:paraId="40528A2D" w14:textId="77777777" w:rsidR="0020023E" w:rsidRPr="004E461A" w:rsidRDefault="0020023E" w:rsidP="009C5A02">
      <w:pPr>
        <w:spacing w:line="240" w:lineRule="auto"/>
        <w:jc w:val="both"/>
        <w:rPr>
          <w:color w:val="000000"/>
        </w:rPr>
      </w:pPr>
      <w:r w:rsidRPr="004E461A">
        <w:rPr>
          <w:color w:val="000000"/>
          <w:szCs w:val="22"/>
        </w:rPr>
        <w:t>Citi ilgtermiņa atkārtotu devu un kancerogenitātes pētījumi neuzrādīja klīniski nozīmīgas izmaiņas.</w:t>
      </w:r>
    </w:p>
    <w:p w14:paraId="398BADF9" w14:textId="77777777" w:rsidR="0020023E" w:rsidRPr="004E461A" w:rsidRDefault="0020023E" w:rsidP="009C5A02">
      <w:pPr>
        <w:spacing w:line="240" w:lineRule="auto"/>
        <w:jc w:val="both"/>
        <w:rPr>
          <w:color w:val="000000"/>
        </w:rPr>
      </w:pPr>
    </w:p>
    <w:p w14:paraId="3E9E0A31" w14:textId="77777777" w:rsidR="0020023E" w:rsidRPr="004E461A" w:rsidRDefault="0020023E" w:rsidP="009C5A02">
      <w:pPr>
        <w:spacing w:line="240" w:lineRule="auto"/>
        <w:jc w:val="both"/>
        <w:rPr>
          <w:color w:val="000000"/>
          <w:u w:val="single"/>
        </w:rPr>
      </w:pPr>
      <w:r w:rsidRPr="004E461A">
        <w:rPr>
          <w:color w:val="000000"/>
          <w:szCs w:val="22"/>
          <w:u w:val="single"/>
        </w:rPr>
        <w:t>Vides riska novērtējums (VRN)</w:t>
      </w:r>
    </w:p>
    <w:p w14:paraId="4FF9C062" w14:textId="77777777" w:rsidR="0020023E" w:rsidRPr="004E461A" w:rsidRDefault="0020023E" w:rsidP="009C5A02">
      <w:pPr>
        <w:spacing w:line="240" w:lineRule="auto"/>
        <w:jc w:val="both"/>
        <w:rPr>
          <w:color w:val="000000"/>
        </w:rPr>
      </w:pPr>
      <w:proofErr w:type="spellStart"/>
      <w:r w:rsidRPr="004E461A">
        <w:rPr>
          <w:color w:val="000000"/>
          <w:szCs w:val="22"/>
        </w:rPr>
        <w:t>Ivabradīna</w:t>
      </w:r>
      <w:proofErr w:type="spellEnd"/>
      <w:r w:rsidRPr="004E461A">
        <w:rPr>
          <w:color w:val="000000"/>
          <w:szCs w:val="22"/>
        </w:rPr>
        <w:t xml:space="preserve"> radītā vides riska novērtējums ir veikts saskaņā ar Eiropas vadlīnijām par VRN.</w:t>
      </w:r>
    </w:p>
    <w:p w14:paraId="3B564D7D" w14:textId="77777777" w:rsidR="0020023E" w:rsidRPr="004E461A" w:rsidRDefault="0020023E" w:rsidP="009C5A02">
      <w:pPr>
        <w:spacing w:line="240" w:lineRule="auto"/>
        <w:jc w:val="both"/>
        <w:rPr>
          <w:iCs/>
          <w:color w:val="000000"/>
          <w:szCs w:val="22"/>
        </w:rPr>
      </w:pPr>
      <w:r w:rsidRPr="004E461A">
        <w:rPr>
          <w:color w:val="000000"/>
          <w:szCs w:val="22"/>
        </w:rPr>
        <w:t xml:space="preserve">Šī novērtējuma rezultāti apstiprina, ka </w:t>
      </w:r>
      <w:proofErr w:type="spellStart"/>
      <w:r w:rsidRPr="004E461A">
        <w:rPr>
          <w:color w:val="000000"/>
          <w:szCs w:val="22"/>
        </w:rPr>
        <w:t>ivabradīns</w:t>
      </w:r>
      <w:proofErr w:type="spellEnd"/>
      <w:r w:rsidRPr="004E461A">
        <w:rPr>
          <w:color w:val="000000"/>
          <w:szCs w:val="22"/>
        </w:rPr>
        <w:t xml:space="preserve"> nerada risku videi un to neapdraud.</w:t>
      </w:r>
    </w:p>
    <w:p w14:paraId="78E77EBC" w14:textId="77777777" w:rsidR="00CD10AA" w:rsidRPr="004E461A" w:rsidRDefault="00CD10AA" w:rsidP="009C5A02">
      <w:pPr>
        <w:tabs>
          <w:tab w:val="clear" w:pos="567"/>
        </w:tabs>
        <w:spacing w:line="240" w:lineRule="auto"/>
        <w:jc w:val="both"/>
        <w:rPr>
          <w:color w:val="000000"/>
          <w:szCs w:val="22"/>
        </w:rPr>
      </w:pPr>
    </w:p>
    <w:p w14:paraId="63F5F9B1" w14:textId="77777777" w:rsidR="00CD10AA" w:rsidRPr="004E461A" w:rsidRDefault="00CD10AA" w:rsidP="009C5A02">
      <w:pPr>
        <w:tabs>
          <w:tab w:val="clear" w:pos="567"/>
        </w:tabs>
        <w:spacing w:line="240" w:lineRule="auto"/>
        <w:jc w:val="both"/>
        <w:rPr>
          <w:color w:val="000000"/>
          <w:szCs w:val="22"/>
        </w:rPr>
      </w:pPr>
    </w:p>
    <w:p w14:paraId="6E78DDD4"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6.</w:t>
      </w:r>
      <w:r w:rsidRPr="004E461A">
        <w:rPr>
          <w:b/>
          <w:color w:val="000000"/>
          <w:szCs w:val="22"/>
        </w:rPr>
        <w:tab/>
        <w:t>FARMACEITISKĀ INFORMĀCIJA</w:t>
      </w:r>
    </w:p>
    <w:p w14:paraId="2DE308C0" w14:textId="77777777" w:rsidR="00452BE1" w:rsidRPr="004E461A" w:rsidRDefault="00452BE1" w:rsidP="009C5A02">
      <w:pPr>
        <w:tabs>
          <w:tab w:val="clear" w:pos="567"/>
        </w:tabs>
        <w:spacing w:line="240" w:lineRule="auto"/>
        <w:jc w:val="both"/>
        <w:rPr>
          <w:b/>
          <w:color w:val="000000"/>
          <w:szCs w:val="22"/>
        </w:rPr>
      </w:pPr>
    </w:p>
    <w:p w14:paraId="79D3759A"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6.1</w:t>
      </w:r>
      <w:r w:rsidR="00980C1E" w:rsidRPr="004E461A">
        <w:rPr>
          <w:b/>
          <w:color w:val="000000"/>
          <w:szCs w:val="22"/>
        </w:rPr>
        <w:t>.</w:t>
      </w:r>
      <w:r w:rsidRPr="004E461A">
        <w:rPr>
          <w:b/>
          <w:color w:val="000000"/>
          <w:szCs w:val="22"/>
        </w:rPr>
        <w:tab/>
        <w:t>Palīgvielu saraksts</w:t>
      </w:r>
    </w:p>
    <w:p w14:paraId="40539C91" w14:textId="77777777" w:rsidR="00452BE1" w:rsidRPr="004E461A" w:rsidRDefault="00452BE1" w:rsidP="009C5A02">
      <w:pPr>
        <w:tabs>
          <w:tab w:val="clear" w:pos="567"/>
        </w:tabs>
        <w:spacing w:line="240" w:lineRule="auto"/>
        <w:jc w:val="both"/>
        <w:rPr>
          <w:noProof/>
          <w:color w:val="000000"/>
          <w:szCs w:val="22"/>
          <w:u w:val="single"/>
        </w:rPr>
      </w:pPr>
    </w:p>
    <w:p w14:paraId="62AA37D2" w14:textId="77777777" w:rsidR="00452BE1" w:rsidRPr="004E461A" w:rsidRDefault="00452BE1" w:rsidP="009C5A02">
      <w:pPr>
        <w:tabs>
          <w:tab w:val="clear" w:pos="567"/>
        </w:tabs>
        <w:spacing w:line="240" w:lineRule="auto"/>
        <w:jc w:val="both"/>
        <w:rPr>
          <w:i/>
          <w:color w:val="000000"/>
          <w:szCs w:val="22"/>
        </w:rPr>
      </w:pPr>
      <w:r w:rsidRPr="004E461A">
        <w:rPr>
          <w:i/>
          <w:color w:val="000000"/>
          <w:szCs w:val="22"/>
        </w:rPr>
        <w:t>Tabletes kodols</w:t>
      </w:r>
    </w:p>
    <w:p w14:paraId="372C68A1" w14:textId="77777777" w:rsidR="00452BE1" w:rsidRPr="004E461A" w:rsidRDefault="00452BE1" w:rsidP="009C5A02">
      <w:pPr>
        <w:tabs>
          <w:tab w:val="clear" w:pos="567"/>
        </w:tabs>
        <w:spacing w:line="240" w:lineRule="auto"/>
        <w:jc w:val="both"/>
        <w:rPr>
          <w:color w:val="000000"/>
          <w:szCs w:val="22"/>
        </w:rPr>
      </w:pPr>
      <w:r w:rsidRPr="004E461A">
        <w:rPr>
          <w:color w:val="000000"/>
          <w:szCs w:val="22"/>
        </w:rPr>
        <w:t>Bezūdens laktoze</w:t>
      </w:r>
    </w:p>
    <w:p w14:paraId="3DB6AD33" w14:textId="77777777" w:rsidR="00452BE1" w:rsidRPr="004E461A" w:rsidRDefault="00452BE1" w:rsidP="009C5A02">
      <w:pPr>
        <w:tabs>
          <w:tab w:val="clear" w:pos="567"/>
        </w:tabs>
        <w:spacing w:line="240" w:lineRule="auto"/>
        <w:jc w:val="both"/>
        <w:rPr>
          <w:color w:val="000000"/>
          <w:szCs w:val="22"/>
        </w:rPr>
      </w:pPr>
      <w:r w:rsidRPr="004E461A">
        <w:rPr>
          <w:color w:val="000000"/>
          <w:szCs w:val="22"/>
        </w:rPr>
        <w:t>Mikrokristāliskā celuloze</w:t>
      </w:r>
    </w:p>
    <w:p w14:paraId="241F46A9" w14:textId="77777777" w:rsidR="00452BE1" w:rsidRPr="004E461A" w:rsidRDefault="004E461A" w:rsidP="009C5A02">
      <w:pPr>
        <w:tabs>
          <w:tab w:val="clear" w:pos="567"/>
        </w:tabs>
        <w:spacing w:line="240" w:lineRule="auto"/>
        <w:jc w:val="both"/>
        <w:rPr>
          <w:color w:val="000000"/>
          <w:szCs w:val="22"/>
        </w:rPr>
      </w:pPr>
      <w:proofErr w:type="spellStart"/>
      <w:r>
        <w:rPr>
          <w:color w:val="000000"/>
          <w:szCs w:val="22"/>
        </w:rPr>
        <w:t>H</w:t>
      </w:r>
      <w:r w:rsidRPr="004E461A">
        <w:rPr>
          <w:color w:val="000000"/>
          <w:szCs w:val="22"/>
        </w:rPr>
        <w:t>idratēts</w:t>
      </w:r>
      <w:proofErr w:type="spellEnd"/>
      <w:r w:rsidRPr="004E461A">
        <w:rPr>
          <w:color w:val="000000"/>
          <w:szCs w:val="22"/>
        </w:rPr>
        <w:t xml:space="preserve"> </w:t>
      </w:r>
      <w:r>
        <w:rPr>
          <w:color w:val="000000"/>
          <w:szCs w:val="22"/>
        </w:rPr>
        <w:t>k</w:t>
      </w:r>
      <w:r w:rsidR="00F47D07" w:rsidRPr="004E461A">
        <w:rPr>
          <w:color w:val="000000"/>
          <w:szCs w:val="22"/>
        </w:rPr>
        <w:t>oloidālais s</w:t>
      </w:r>
      <w:r w:rsidR="00452BE1" w:rsidRPr="004E461A">
        <w:rPr>
          <w:color w:val="000000"/>
          <w:szCs w:val="22"/>
        </w:rPr>
        <w:t>ilīcija dioksīds</w:t>
      </w:r>
    </w:p>
    <w:p w14:paraId="5EE67FA9" w14:textId="77777777" w:rsidR="00452BE1" w:rsidRPr="004E461A" w:rsidRDefault="00452BE1" w:rsidP="009C5A02">
      <w:pPr>
        <w:tabs>
          <w:tab w:val="clear" w:pos="567"/>
        </w:tabs>
        <w:spacing w:line="240" w:lineRule="auto"/>
        <w:jc w:val="both"/>
        <w:rPr>
          <w:color w:val="000000"/>
          <w:szCs w:val="22"/>
        </w:rPr>
      </w:pPr>
      <w:r w:rsidRPr="004E461A">
        <w:rPr>
          <w:color w:val="000000"/>
          <w:szCs w:val="22"/>
        </w:rPr>
        <w:t>Magnija stearāts (E470B)</w:t>
      </w:r>
    </w:p>
    <w:p w14:paraId="4BBC4E0F" w14:textId="77777777" w:rsidR="00452BE1" w:rsidRPr="004E461A" w:rsidRDefault="00452BE1" w:rsidP="009C5A02">
      <w:pPr>
        <w:tabs>
          <w:tab w:val="clear" w:pos="567"/>
        </w:tabs>
        <w:spacing w:line="240" w:lineRule="auto"/>
        <w:jc w:val="both"/>
        <w:rPr>
          <w:color w:val="000000"/>
          <w:szCs w:val="22"/>
        </w:rPr>
      </w:pPr>
    </w:p>
    <w:p w14:paraId="120B8339" w14:textId="77777777" w:rsidR="00452BE1" w:rsidRPr="004E461A" w:rsidRDefault="00452BE1" w:rsidP="009C5A02">
      <w:pPr>
        <w:tabs>
          <w:tab w:val="clear" w:pos="567"/>
        </w:tabs>
        <w:spacing w:line="240" w:lineRule="auto"/>
        <w:jc w:val="both"/>
        <w:rPr>
          <w:i/>
          <w:color w:val="000000"/>
          <w:szCs w:val="22"/>
        </w:rPr>
      </w:pPr>
      <w:r w:rsidRPr="004E461A">
        <w:rPr>
          <w:i/>
          <w:color w:val="000000"/>
          <w:szCs w:val="22"/>
        </w:rPr>
        <w:t>Tabletes apvalks</w:t>
      </w:r>
    </w:p>
    <w:p w14:paraId="5EB5D927" w14:textId="77777777" w:rsidR="00452BE1" w:rsidRPr="004E461A" w:rsidRDefault="00452BE1" w:rsidP="009C5A02">
      <w:pPr>
        <w:tabs>
          <w:tab w:val="clear" w:pos="567"/>
        </w:tabs>
        <w:spacing w:line="240" w:lineRule="auto"/>
        <w:jc w:val="both"/>
        <w:rPr>
          <w:color w:val="000000"/>
          <w:szCs w:val="22"/>
        </w:rPr>
      </w:pPr>
      <w:proofErr w:type="spellStart"/>
      <w:r w:rsidRPr="004E461A">
        <w:rPr>
          <w:color w:val="000000"/>
          <w:szCs w:val="22"/>
        </w:rPr>
        <w:t>Opadry</w:t>
      </w:r>
      <w:proofErr w:type="spellEnd"/>
      <w:r w:rsidRPr="004E461A">
        <w:rPr>
          <w:color w:val="000000"/>
          <w:szCs w:val="22"/>
        </w:rPr>
        <w:t xml:space="preserve"> II </w:t>
      </w:r>
      <w:proofErr w:type="spellStart"/>
      <w:r w:rsidRPr="004E461A">
        <w:rPr>
          <w:color w:val="000000"/>
          <w:szCs w:val="22"/>
        </w:rPr>
        <w:t>White</w:t>
      </w:r>
      <w:proofErr w:type="spellEnd"/>
      <w:r w:rsidRPr="004E461A">
        <w:rPr>
          <w:color w:val="000000"/>
          <w:szCs w:val="22"/>
        </w:rPr>
        <w:t xml:space="preserve"> 85F18422:</w:t>
      </w:r>
    </w:p>
    <w:p w14:paraId="015896E5" w14:textId="77777777" w:rsidR="00452BE1" w:rsidRPr="004E461A" w:rsidRDefault="00452BE1" w:rsidP="009C5A02">
      <w:pPr>
        <w:numPr>
          <w:ilvl w:val="0"/>
          <w:numId w:val="24"/>
        </w:numPr>
        <w:tabs>
          <w:tab w:val="clear" w:pos="567"/>
          <w:tab w:val="left" w:pos="709"/>
        </w:tabs>
        <w:spacing w:line="240" w:lineRule="auto"/>
        <w:jc w:val="both"/>
        <w:rPr>
          <w:color w:val="000000"/>
          <w:szCs w:val="22"/>
        </w:rPr>
      </w:pPr>
      <w:r w:rsidRPr="004E461A">
        <w:rPr>
          <w:color w:val="000000"/>
          <w:szCs w:val="22"/>
        </w:rPr>
        <w:t>Daļēji hidrolizēts polivinilspirts</w:t>
      </w:r>
    </w:p>
    <w:p w14:paraId="3EA18DFB" w14:textId="77777777" w:rsidR="00452BE1" w:rsidRPr="004E461A" w:rsidRDefault="00452BE1" w:rsidP="009C5A02">
      <w:pPr>
        <w:numPr>
          <w:ilvl w:val="0"/>
          <w:numId w:val="24"/>
        </w:numPr>
        <w:tabs>
          <w:tab w:val="clear" w:pos="567"/>
          <w:tab w:val="left" w:pos="709"/>
        </w:tabs>
        <w:spacing w:line="240" w:lineRule="auto"/>
        <w:jc w:val="both"/>
        <w:rPr>
          <w:color w:val="000000"/>
          <w:szCs w:val="22"/>
        </w:rPr>
      </w:pPr>
      <w:r w:rsidRPr="004E461A">
        <w:rPr>
          <w:color w:val="000000"/>
          <w:szCs w:val="22"/>
        </w:rPr>
        <w:t>Titāna dioksīds (E171)</w:t>
      </w:r>
    </w:p>
    <w:p w14:paraId="56D0B844" w14:textId="77777777" w:rsidR="00452BE1" w:rsidRPr="004E461A" w:rsidRDefault="00452BE1" w:rsidP="009C5A02">
      <w:pPr>
        <w:numPr>
          <w:ilvl w:val="0"/>
          <w:numId w:val="24"/>
        </w:numPr>
        <w:tabs>
          <w:tab w:val="clear" w:pos="567"/>
          <w:tab w:val="left" w:pos="709"/>
        </w:tabs>
        <w:spacing w:line="240" w:lineRule="auto"/>
        <w:jc w:val="both"/>
        <w:rPr>
          <w:color w:val="000000"/>
          <w:szCs w:val="22"/>
        </w:rPr>
      </w:pPr>
      <w:r w:rsidRPr="004E461A">
        <w:rPr>
          <w:color w:val="000000"/>
          <w:szCs w:val="22"/>
        </w:rPr>
        <w:t>Makrogols 4000</w:t>
      </w:r>
    </w:p>
    <w:p w14:paraId="2039E518" w14:textId="77777777" w:rsidR="00452BE1" w:rsidRPr="004E461A" w:rsidRDefault="00452BE1" w:rsidP="009C5A02">
      <w:pPr>
        <w:numPr>
          <w:ilvl w:val="0"/>
          <w:numId w:val="24"/>
        </w:numPr>
        <w:tabs>
          <w:tab w:val="clear" w:pos="567"/>
          <w:tab w:val="left" w:pos="709"/>
        </w:tabs>
        <w:spacing w:line="240" w:lineRule="auto"/>
        <w:jc w:val="both"/>
        <w:rPr>
          <w:color w:val="000000"/>
          <w:szCs w:val="22"/>
        </w:rPr>
      </w:pPr>
      <w:r w:rsidRPr="004E461A">
        <w:rPr>
          <w:color w:val="000000"/>
          <w:szCs w:val="22"/>
        </w:rPr>
        <w:t>Talks</w:t>
      </w:r>
    </w:p>
    <w:p w14:paraId="68167BC5" w14:textId="77777777" w:rsidR="00452BE1" w:rsidRPr="004E461A" w:rsidRDefault="00452BE1" w:rsidP="009C5A02">
      <w:pPr>
        <w:tabs>
          <w:tab w:val="clear" w:pos="567"/>
        </w:tabs>
        <w:spacing w:line="240" w:lineRule="auto"/>
        <w:jc w:val="both"/>
        <w:rPr>
          <w:color w:val="000000"/>
          <w:szCs w:val="22"/>
        </w:rPr>
      </w:pPr>
      <w:r w:rsidRPr="004E461A">
        <w:rPr>
          <w:color w:val="000000"/>
          <w:szCs w:val="22"/>
        </w:rPr>
        <w:t>Dzeltenais dzelzs oksīds (E172)</w:t>
      </w:r>
    </w:p>
    <w:p w14:paraId="41971B4B" w14:textId="77777777" w:rsidR="00CD10AA" w:rsidRPr="004E461A" w:rsidRDefault="00452BE1" w:rsidP="009C5A02">
      <w:pPr>
        <w:tabs>
          <w:tab w:val="clear" w:pos="567"/>
        </w:tabs>
        <w:spacing w:line="240" w:lineRule="auto"/>
        <w:jc w:val="both"/>
        <w:rPr>
          <w:color w:val="000000"/>
          <w:szCs w:val="22"/>
        </w:rPr>
      </w:pPr>
      <w:r w:rsidRPr="004E461A">
        <w:rPr>
          <w:color w:val="000000"/>
          <w:szCs w:val="22"/>
        </w:rPr>
        <w:t>Sarkanais dzelzs oksīds (E172)</w:t>
      </w:r>
    </w:p>
    <w:p w14:paraId="5CFEE735" w14:textId="77777777" w:rsidR="00452BE1" w:rsidRPr="004E461A" w:rsidRDefault="00452BE1" w:rsidP="009C5A02">
      <w:pPr>
        <w:tabs>
          <w:tab w:val="clear" w:pos="567"/>
        </w:tabs>
        <w:spacing w:line="240" w:lineRule="auto"/>
        <w:jc w:val="both"/>
        <w:rPr>
          <w:color w:val="000000"/>
          <w:szCs w:val="22"/>
        </w:rPr>
      </w:pPr>
    </w:p>
    <w:p w14:paraId="39F8C9BA"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6.2</w:t>
      </w:r>
      <w:r w:rsidR="00980C1E" w:rsidRPr="004E461A">
        <w:rPr>
          <w:b/>
          <w:color w:val="000000"/>
          <w:szCs w:val="22"/>
        </w:rPr>
        <w:t>.</w:t>
      </w:r>
      <w:r w:rsidRPr="004E461A">
        <w:rPr>
          <w:b/>
          <w:color w:val="000000"/>
          <w:szCs w:val="22"/>
        </w:rPr>
        <w:tab/>
        <w:t>Nesaderība</w:t>
      </w:r>
    </w:p>
    <w:p w14:paraId="185FA683" w14:textId="77777777" w:rsidR="00452BE1" w:rsidRPr="004E461A" w:rsidRDefault="00452BE1" w:rsidP="009C5A02">
      <w:pPr>
        <w:tabs>
          <w:tab w:val="clear" w:pos="567"/>
        </w:tabs>
        <w:spacing w:line="240" w:lineRule="auto"/>
        <w:jc w:val="both"/>
        <w:rPr>
          <w:color w:val="000000"/>
          <w:szCs w:val="22"/>
        </w:rPr>
      </w:pPr>
    </w:p>
    <w:p w14:paraId="28839D13" w14:textId="77777777" w:rsidR="00CD10AA" w:rsidRPr="004E461A" w:rsidRDefault="00FD187E" w:rsidP="009C5A02">
      <w:pPr>
        <w:tabs>
          <w:tab w:val="clear" w:pos="567"/>
        </w:tabs>
        <w:spacing w:line="240" w:lineRule="auto"/>
        <w:jc w:val="both"/>
        <w:rPr>
          <w:color w:val="000000"/>
          <w:szCs w:val="22"/>
        </w:rPr>
      </w:pPr>
      <w:r w:rsidRPr="004E461A">
        <w:rPr>
          <w:color w:val="000000"/>
          <w:szCs w:val="22"/>
        </w:rPr>
        <w:t>Nav piemērojama.</w:t>
      </w:r>
    </w:p>
    <w:p w14:paraId="5C2D9F31" w14:textId="77777777" w:rsidR="00CD10AA" w:rsidRPr="004E461A" w:rsidRDefault="00CD10AA" w:rsidP="009C5A02">
      <w:pPr>
        <w:tabs>
          <w:tab w:val="clear" w:pos="567"/>
        </w:tabs>
        <w:spacing w:line="240" w:lineRule="auto"/>
        <w:jc w:val="both"/>
        <w:rPr>
          <w:color w:val="000000"/>
          <w:szCs w:val="22"/>
        </w:rPr>
      </w:pPr>
    </w:p>
    <w:p w14:paraId="5D410AF8"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6.3</w:t>
      </w:r>
      <w:r w:rsidR="00980C1E" w:rsidRPr="004E461A">
        <w:rPr>
          <w:b/>
          <w:color w:val="000000"/>
          <w:szCs w:val="22"/>
        </w:rPr>
        <w:t>.</w:t>
      </w:r>
      <w:r w:rsidRPr="004E461A">
        <w:rPr>
          <w:b/>
          <w:color w:val="000000"/>
          <w:szCs w:val="22"/>
        </w:rPr>
        <w:tab/>
        <w:t>Uzglabāšanas laiks</w:t>
      </w:r>
    </w:p>
    <w:p w14:paraId="234EA2B7" w14:textId="77777777" w:rsidR="00452BE1" w:rsidRPr="004E461A" w:rsidRDefault="00452BE1" w:rsidP="009C5A02">
      <w:pPr>
        <w:tabs>
          <w:tab w:val="clear" w:pos="567"/>
        </w:tabs>
        <w:spacing w:line="240" w:lineRule="auto"/>
        <w:jc w:val="both"/>
        <w:rPr>
          <w:color w:val="000000"/>
          <w:szCs w:val="22"/>
        </w:rPr>
      </w:pPr>
    </w:p>
    <w:p w14:paraId="1AC4F90F" w14:textId="77777777" w:rsidR="00CD10AA" w:rsidRPr="004E461A" w:rsidRDefault="00452BE1" w:rsidP="009C5A02">
      <w:pPr>
        <w:tabs>
          <w:tab w:val="clear" w:pos="567"/>
        </w:tabs>
        <w:spacing w:line="240" w:lineRule="auto"/>
        <w:jc w:val="both"/>
        <w:rPr>
          <w:color w:val="000000"/>
          <w:szCs w:val="22"/>
        </w:rPr>
      </w:pPr>
      <w:r w:rsidRPr="004E461A">
        <w:rPr>
          <w:color w:val="000000"/>
          <w:szCs w:val="22"/>
        </w:rPr>
        <w:t>30 mēneši</w:t>
      </w:r>
      <w:r w:rsidR="00746F67" w:rsidRPr="004E461A">
        <w:rPr>
          <w:color w:val="000000"/>
          <w:szCs w:val="22"/>
        </w:rPr>
        <w:t>.</w:t>
      </w:r>
    </w:p>
    <w:p w14:paraId="11937F3B" w14:textId="77777777" w:rsidR="00CD10AA" w:rsidRPr="004E461A" w:rsidRDefault="00CD10AA" w:rsidP="009C5A02">
      <w:pPr>
        <w:tabs>
          <w:tab w:val="clear" w:pos="567"/>
        </w:tabs>
        <w:spacing w:line="240" w:lineRule="auto"/>
        <w:jc w:val="both"/>
        <w:rPr>
          <w:color w:val="000000"/>
          <w:szCs w:val="22"/>
        </w:rPr>
      </w:pPr>
    </w:p>
    <w:p w14:paraId="6284B88C"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6.4</w:t>
      </w:r>
      <w:r w:rsidR="00980C1E" w:rsidRPr="004E461A">
        <w:rPr>
          <w:b/>
          <w:color w:val="000000"/>
          <w:szCs w:val="22"/>
        </w:rPr>
        <w:t>.</w:t>
      </w:r>
      <w:r w:rsidRPr="004E461A">
        <w:rPr>
          <w:b/>
          <w:color w:val="000000"/>
          <w:szCs w:val="22"/>
        </w:rPr>
        <w:tab/>
        <w:t>Īpaši uzglabāšanas nosacījumi</w:t>
      </w:r>
    </w:p>
    <w:p w14:paraId="18A8C2F4" w14:textId="77777777" w:rsidR="00452BE1" w:rsidRPr="004E461A" w:rsidRDefault="00452BE1" w:rsidP="009C5A02">
      <w:pPr>
        <w:spacing w:line="240" w:lineRule="auto"/>
        <w:jc w:val="both"/>
        <w:rPr>
          <w:color w:val="000000"/>
          <w:szCs w:val="22"/>
        </w:rPr>
      </w:pPr>
    </w:p>
    <w:p w14:paraId="1D4BDA4B" w14:textId="77777777" w:rsidR="00FD187E" w:rsidRPr="004E461A" w:rsidRDefault="00DA7190" w:rsidP="009C5A02">
      <w:pPr>
        <w:spacing w:line="240" w:lineRule="auto"/>
        <w:jc w:val="both"/>
        <w:rPr>
          <w:color w:val="000000"/>
          <w:szCs w:val="22"/>
        </w:rPr>
      </w:pPr>
      <w:r w:rsidRPr="004E461A">
        <w:rPr>
          <w:rFonts w:eastAsia="SimSun"/>
          <w:color w:val="000000"/>
          <w:szCs w:val="22"/>
          <w:lang w:eastAsia="zh-CN"/>
        </w:rPr>
        <w:t>Šīm zālēm</w:t>
      </w:r>
      <w:r w:rsidRPr="004E461A">
        <w:rPr>
          <w:color w:val="000000"/>
          <w:szCs w:val="22"/>
        </w:rPr>
        <w:t xml:space="preserve"> </w:t>
      </w:r>
      <w:r w:rsidR="00FD187E" w:rsidRPr="004E461A">
        <w:rPr>
          <w:color w:val="000000"/>
          <w:szCs w:val="22"/>
        </w:rPr>
        <w:t>nav nepieciešami īpaši uzglabāšanas apstākļi.</w:t>
      </w:r>
    </w:p>
    <w:p w14:paraId="020225F3" w14:textId="77777777" w:rsidR="00CD10AA" w:rsidRPr="004E461A" w:rsidRDefault="00CD10AA" w:rsidP="009C5A02">
      <w:pPr>
        <w:tabs>
          <w:tab w:val="clear" w:pos="567"/>
        </w:tabs>
        <w:spacing w:line="240" w:lineRule="auto"/>
        <w:jc w:val="both"/>
        <w:rPr>
          <w:color w:val="000000"/>
          <w:szCs w:val="22"/>
        </w:rPr>
      </w:pPr>
    </w:p>
    <w:p w14:paraId="27767F52"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6.5</w:t>
      </w:r>
      <w:r w:rsidR="00980C1E" w:rsidRPr="004E461A">
        <w:rPr>
          <w:b/>
          <w:color w:val="000000"/>
          <w:szCs w:val="22"/>
        </w:rPr>
        <w:t>.</w:t>
      </w:r>
      <w:r w:rsidRPr="004E461A">
        <w:rPr>
          <w:b/>
          <w:color w:val="000000"/>
          <w:szCs w:val="22"/>
        </w:rPr>
        <w:tab/>
        <w:t>Iepakojuma veids un saturs</w:t>
      </w:r>
    </w:p>
    <w:p w14:paraId="07FF2E6F" w14:textId="77777777" w:rsidR="00CD10AA" w:rsidRPr="004E461A" w:rsidRDefault="00CD10AA" w:rsidP="009C5A02">
      <w:pPr>
        <w:tabs>
          <w:tab w:val="clear" w:pos="567"/>
        </w:tabs>
        <w:spacing w:line="240" w:lineRule="auto"/>
        <w:jc w:val="both"/>
        <w:rPr>
          <w:color w:val="000000"/>
          <w:szCs w:val="22"/>
        </w:rPr>
      </w:pPr>
    </w:p>
    <w:p w14:paraId="63A500EF" w14:textId="77777777" w:rsidR="00452BE1" w:rsidRPr="004E461A" w:rsidRDefault="00452BE1" w:rsidP="009C5A02">
      <w:pPr>
        <w:tabs>
          <w:tab w:val="clear" w:pos="567"/>
        </w:tabs>
        <w:spacing w:line="240" w:lineRule="auto"/>
        <w:jc w:val="both"/>
        <w:rPr>
          <w:bCs/>
          <w:color w:val="000000"/>
          <w:szCs w:val="22"/>
          <w:lang w:eastAsia="en-GB"/>
        </w:rPr>
      </w:pPr>
      <w:r w:rsidRPr="004E461A">
        <w:rPr>
          <w:bCs/>
          <w:color w:val="000000"/>
          <w:szCs w:val="22"/>
          <w:lang w:eastAsia="en-GB"/>
        </w:rPr>
        <w:lastRenderedPageBreak/>
        <w:t>PA/Al/PVH//Alumīnija blisteri kartona kastītēs.</w:t>
      </w:r>
    </w:p>
    <w:p w14:paraId="4C21BBE5" w14:textId="77777777" w:rsidR="00452BE1" w:rsidRPr="004E461A" w:rsidRDefault="00452BE1" w:rsidP="009C5A02">
      <w:pPr>
        <w:tabs>
          <w:tab w:val="clear" w:pos="567"/>
        </w:tabs>
        <w:spacing w:line="240" w:lineRule="auto"/>
        <w:jc w:val="both"/>
        <w:rPr>
          <w:color w:val="000000"/>
          <w:szCs w:val="22"/>
        </w:rPr>
      </w:pPr>
    </w:p>
    <w:p w14:paraId="45322FAF" w14:textId="77777777" w:rsidR="00452BE1" w:rsidRPr="004E461A" w:rsidRDefault="00452BE1" w:rsidP="009C5A02">
      <w:pPr>
        <w:tabs>
          <w:tab w:val="clear" w:pos="567"/>
          <w:tab w:val="left" w:pos="709"/>
        </w:tabs>
        <w:spacing w:line="240" w:lineRule="auto"/>
        <w:jc w:val="both"/>
        <w:rPr>
          <w:color w:val="000000"/>
          <w:szCs w:val="22"/>
        </w:rPr>
      </w:pPr>
      <w:r w:rsidRPr="004E461A">
        <w:rPr>
          <w:bCs/>
          <w:color w:val="000000"/>
          <w:szCs w:val="22"/>
          <w:lang w:eastAsia="en-GB"/>
        </w:rPr>
        <w:t>Iepakojumi pa 14, 28, 56, 84, 98, 100 vai 112 apvalkotajām tabletēm.</w:t>
      </w:r>
    </w:p>
    <w:p w14:paraId="315C3134" w14:textId="77777777" w:rsidR="00452BE1" w:rsidRPr="004E461A" w:rsidRDefault="00452BE1" w:rsidP="009C5A02">
      <w:pPr>
        <w:tabs>
          <w:tab w:val="clear" w:pos="567"/>
        </w:tabs>
        <w:spacing w:line="240" w:lineRule="auto"/>
        <w:jc w:val="both"/>
        <w:rPr>
          <w:color w:val="000000"/>
          <w:szCs w:val="22"/>
        </w:rPr>
      </w:pPr>
    </w:p>
    <w:p w14:paraId="38D86F8F" w14:textId="77777777" w:rsidR="00CD10AA" w:rsidRPr="004E461A" w:rsidRDefault="00CD10AA" w:rsidP="009C5A02">
      <w:pPr>
        <w:tabs>
          <w:tab w:val="clear" w:pos="567"/>
        </w:tabs>
        <w:spacing w:line="240" w:lineRule="auto"/>
        <w:jc w:val="both"/>
        <w:rPr>
          <w:color w:val="000000"/>
          <w:szCs w:val="22"/>
        </w:rPr>
      </w:pPr>
      <w:r w:rsidRPr="004E461A">
        <w:rPr>
          <w:color w:val="000000"/>
          <w:szCs w:val="22"/>
        </w:rPr>
        <w:t>Visi iepakojuma li</w:t>
      </w:r>
      <w:r w:rsidR="00FD187E" w:rsidRPr="004E461A">
        <w:rPr>
          <w:color w:val="000000"/>
          <w:szCs w:val="22"/>
        </w:rPr>
        <w:t>elumi tirgū var nebūt pieejami.</w:t>
      </w:r>
    </w:p>
    <w:p w14:paraId="623C885B" w14:textId="77777777" w:rsidR="00CD10AA" w:rsidRPr="004E461A" w:rsidRDefault="00CD10AA" w:rsidP="009C5A02">
      <w:pPr>
        <w:tabs>
          <w:tab w:val="clear" w:pos="567"/>
        </w:tabs>
        <w:spacing w:line="240" w:lineRule="auto"/>
        <w:jc w:val="both"/>
        <w:rPr>
          <w:color w:val="000000"/>
          <w:szCs w:val="22"/>
        </w:rPr>
      </w:pPr>
    </w:p>
    <w:p w14:paraId="4747E8DE"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6.6</w:t>
      </w:r>
      <w:r w:rsidR="00980C1E" w:rsidRPr="004E461A">
        <w:rPr>
          <w:b/>
          <w:color w:val="000000"/>
          <w:szCs w:val="22"/>
        </w:rPr>
        <w:t>.</w:t>
      </w:r>
      <w:r w:rsidRPr="004E461A">
        <w:rPr>
          <w:b/>
          <w:color w:val="000000"/>
          <w:szCs w:val="22"/>
        </w:rPr>
        <w:tab/>
      </w:r>
      <w:r w:rsidRPr="004E461A">
        <w:rPr>
          <w:b/>
          <w:noProof/>
          <w:color w:val="000000"/>
          <w:szCs w:val="22"/>
        </w:rPr>
        <w:t>Īpaši norādījumi atkritumu likvidēšanai</w:t>
      </w:r>
      <w:r w:rsidRPr="004E461A">
        <w:rPr>
          <w:b/>
          <w:color w:val="000000"/>
          <w:szCs w:val="22"/>
        </w:rPr>
        <w:t xml:space="preserve"> un </w:t>
      </w:r>
      <w:r w:rsidR="0071303C" w:rsidRPr="004E461A">
        <w:rPr>
          <w:b/>
          <w:noProof/>
          <w:color w:val="000000"/>
          <w:szCs w:val="22"/>
        </w:rPr>
        <w:t>citi</w:t>
      </w:r>
      <w:r w:rsidR="0071303C" w:rsidRPr="004E461A">
        <w:rPr>
          <w:b/>
          <w:color w:val="000000"/>
          <w:szCs w:val="22"/>
        </w:rPr>
        <w:t xml:space="preserve"> </w:t>
      </w:r>
      <w:r w:rsidRPr="004E461A">
        <w:rPr>
          <w:b/>
          <w:color w:val="000000"/>
          <w:szCs w:val="22"/>
        </w:rPr>
        <w:t xml:space="preserve">norādījumi par </w:t>
      </w:r>
      <w:r w:rsidR="0071303C" w:rsidRPr="004E461A">
        <w:rPr>
          <w:b/>
          <w:noProof/>
          <w:color w:val="000000"/>
          <w:szCs w:val="22"/>
        </w:rPr>
        <w:t>rīkošanos</w:t>
      </w:r>
    </w:p>
    <w:p w14:paraId="2CBD7660" w14:textId="77777777" w:rsidR="00452BE1" w:rsidRPr="004E461A" w:rsidRDefault="00452BE1" w:rsidP="009C5A02">
      <w:pPr>
        <w:tabs>
          <w:tab w:val="clear" w:pos="567"/>
        </w:tabs>
        <w:spacing w:line="240" w:lineRule="auto"/>
        <w:jc w:val="both"/>
        <w:rPr>
          <w:color w:val="000000"/>
          <w:szCs w:val="22"/>
        </w:rPr>
      </w:pPr>
    </w:p>
    <w:p w14:paraId="7B72FFA9" w14:textId="77777777" w:rsidR="00CD10AA" w:rsidRPr="004E461A" w:rsidRDefault="00CD10AA" w:rsidP="009C5A02">
      <w:pPr>
        <w:tabs>
          <w:tab w:val="clear" w:pos="567"/>
        </w:tabs>
        <w:spacing w:line="240" w:lineRule="auto"/>
        <w:jc w:val="both"/>
        <w:rPr>
          <w:color w:val="000000"/>
          <w:szCs w:val="22"/>
        </w:rPr>
      </w:pPr>
      <w:r w:rsidRPr="004E461A">
        <w:rPr>
          <w:color w:val="000000"/>
          <w:szCs w:val="22"/>
        </w:rPr>
        <w:t>Neizlietotās zāles vai</w:t>
      </w:r>
      <w:r w:rsidR="00CC4E9B" w:rsidRPr="004E461A">
        <w:rPr>
          <w:color w:val="000000"/>
          <w:szCs w:val="22"/>
        </w:rPr>
        <w:t xml:space="preserve"> </w:t>
      </w:r>
      <w:r w:rsidRPr="004E461A">
        <w:rPr>
          <w:color w:val="000000"/>
          <w:szCs w:val="22"/>
        </w:rPr>
        <w:t>izlietot</w:t>
      </w:r>
      <w:r w:rsidR="00176DD3" w:rsidRPr="004E461A">
        <w:rPr>
          <w:color w:val="000000"/>
          <w:szCs w:val="22"/>
        </w:rPr>
        <w:t>ie</w:t>
      </w:r>
      <w:r w:rsidRPr="004E461A">
        <w:rPr>
          <w:color w:val="000000"/>
          <w:szCs w:val="22"/>
        </w:rPr>
        <w:t xml:space="preserve"> materiāl</w:t>
      </w:r>
      <w:r w:rsidR="00176DD3" w:rsidRPr="004E461A">
        <w:rPr>
          <w:color w:val="000000"/>
          <w:szCs w:val="22"/>
        </w:rPr>
        <w:t>i</w:t>
      </w:r>
      <w:r w:rsidRPr="004E461A">
        <w:rPr>
          <w:color w:val="000000"/>
          <w:szCs w:val="22"/>
        </w:rPr>
        <w:t xml:space="preserve"> jāiznīcin</w:t>
      </w:r>
      <w:r w:rsidR="00FD187E" w:rsidRPr="004E461A">
        <w:rPr>
          <w:color w:val="000000"/>
          <w:szCs w:val="22"/>
        </w:rPr>
        <w:t>a atbilstoši vietējām prasībām.</w:t>
      </w:r>
    </w:p>
    <w:p w14:paraId="05C6FED8" w14:textId="77777777" w:rsidR="00CD10AA" w:rsidRPr="004E461A" w:rsidRDefault="00CD10AA" w:rsidP="009C5A02">
      <w:pPr>
        <w:tabs>
          <w:tab w:val="clear" w:pos="567"/>
        </w:tabs>
        <w:spacing w:line="240" w:lineRule="auto"/>
        <w:jc w:val="both"/>
        <w:rPr>
          <w:color w:val="000000"/>
          <w:szCs w:val="22"/>
        </w:rPr>
      </w:pPr>
    </w:p>
    <w:p w14:paraId="3E2B4F1A" w14:textId="77777777" w:rsidR="00452BE1" w:rsidRPr="004E461A" w:rsidRDefault="00452BE1" w:rsidP="009C5A02">
      <w:pPr>
        <w:tabs>
          <w:tab w:val="clear" w:pos="567"/>
        </w:tabs>
        <w:spacing w:line="240" w:lineRule="auto"/>
        <w:jc w:val="both"/>
        <w:rPr>
          <w:color w:val="000000"/>
          <w:szCs w:val="22"/>
        </w:rPr>
      </w:pPr>
    </w:p>
    <w:p w14:paraId="1E867FD9" w14:textId="77777777" w:rsidR="00CD10AA" w:rsidRPr="004E461A" w:rsidRDefault="00CD10AA" w:rsidP="009C5A02">
      <w:pPr>
        <w:tabs>
          <w:tab w:val="clear" w:pos="567"/>
        </w:tabs>
        <w:spacing w:line="240" w:lineRule="auto"/>
        <w:jc w:val="both"/>
        <w:rPr>
          <w:color w:val="000000"/>
          <w:szCs w:val="22"/>
        </w:rPr>
      </w:pPr>
      <w:r w:rsidRPr="004E461A">
        <w:rPr>
          <w:b/>
          <w:color w:val="000000"/>
          <w:szCs w:val="22"/>
        </w:rPr>
        <w:t>7.</w:t>
      </w:r>
      <w:r w:rsidRPr="004E461A">
        <w:rPr>
          <w:b/>
          <w:color w:val="000000"/>
          <w:szCs w:val="22"/>
        </w:rPr>
        <w:tab/>
        <w:t>REĢISTRĀCIJAS APLIECĪBAS ĪPAŠNIEKS</w:t>
      </w:r>
    </w:p>
    <w:p w14:paraId="28E374C9" w14:textId="77777777" w:rsidR="00CD10AA" w:rsidRPr="004E461A" w:rsidRDefault="00CD10AA" w:rsidP="009C5A02">
      <w:pPr>
        <w:tabs>
          <w:tab w:val="clear" w:pos="567"/>
        </w:tabs>
        <w:spacing w:line="240" w:lineRule="auto"/>
        <w:jc w:val="both"/>
        <w:rPr>
          <w:color w:val="000000"/>
          <w:szCs w:val="22"/>
        </w:rPr>
      </w:pPr>
    </w:p>
    <w:p w14:paraId="39040B67" w14:textId="77777777" w:rsidR="00452BE1" w:rsidRPr="004E461A" w:rsidRDefault="00452BE1" w:rsidP="009C5A02">
      <w:pPr>
        <w:tabs>
          <w:tab w:val="clear" w:pos="567"/>
        </w:tabs>
        <w:spacing w:line="240" w:lineRule="auto"/>
        <w:jc w:val="both"/>
        <w:rPr>
          <w:color w:val="000000"/>
          <w:szCs w:val="22"/>
        </w:rPr>
      </w:pPr>
      <w:proofErr w:type="spellStart"/>
      <w:r w:rsidRPr="004E461A">
        <w:rPr>
          <w:color w:val="000000"/>
          <w:szCs w:val="22"/>
        </w:rPr>
        <w:t>Medochemie</w:t>
      </w:r>
      <w:proofErr w:type="spellEnd"/>
      <w:r w:rsidRPr="004E461A">
        <w:rPr>
          <w:color w:val="000000"/>
          <w:szCs w:val="22"/>
        </w:rPr>
        <w:t xml:space="preserve"> </w:t>
      </w:r>
      <w:proofErr w:type="spellStart"/>
      <w:r w:rsidRPr="004E461A">
        <w:rPr>
          <w:color w:val="000000"/>
          <w:szCs w:val="22"/>
        </w:rPr>
        <w:t>Ltd</w:t>
      </w:r>
      <w:proofErr w:type="spellEnd"/>
      <w:r w:rsidRPr="004E461A">
        <w:rPr>
          <w:color w:val="000000"/>
          <w:szCs w:val="22"/>
        </w:rPr>
        <w:t xml:space="preserve">., 1-10 </w:t>
      </w:r>
      <w:proofErr w:type="spellStart"/>
      <w:r w:rsidRPr="004E461A">
        <w:rPr>
          <w:color w:val="000000"/>
          <w:szCs w:val="22"/>
        </w:rPr>
        <w:t>Constantinoupoleos</w:t>
      </w:r>
      <w:proofErr w:type="spellEnd"/>
      <w:r w:rsidRPr="004E461A">
        <w:rPr>
          <w:color w:val="000000"/>
          <w:szCs w:val="22"/>
        </w:rPr>
        <w:t xml:space="preserve"> </w:t>
      </w:r>
      <w:proofErr w:type="spellStart"/>
      <w:r w:rsidRPr="004E461A">
        <w:rPr>
          <w:color w:val="000000"/>
          <w:szCs w:val="22"/>
        </w:rPr>
        <w:t>Street</w:t>
      </w:r>
      <w:proofErr w:type="spellEnd"/>
      <w:r w:rsidRPr="004E461A">
        <w:rPr>
          <w:color w:val="000000"/>
          <w:szCs w:val="22"/>
        </w:rPr>
        <w:t xml:space="preserve">, 3011 </w:t>
      </w:r>
      <w:proofErr w:type="spellStart"/>
      <w:r w:rsidRPr="004E461A">
        <w:rPr>
          <w:color w:val="000000"/>
          <w:szCs w:val="22"/>
        </w:rPr>
        <w:t>Limassol</w:t>
      </w:r>
      <w:proofErr w:type="spellEnd"/>
      <w:r w:rsidRPr="004E461A">
        <w:rPr>
          <w:color w:val="000000"/>
          <w:szCs w:val="22"/>
        </w:rPr>
        <w:t>, Kipra</w:t>
      </w:r>
    </w:p>
    <w:p w14:paraId="6B3633B9" w14:textId="77777777" w:rsidR="00CD10AA" w:rsidRPr="004E461A" w:rsidRDefault="00CD10AA" w:rsidP="009C5A02">
      <w:pPr>
        <w:tabs>
          <w:tab w:val="clear" w:pos="567"/>
        </w:tabs>
        <w:spacing w:line="240" w:lineRule="auto"/>
        <w:jc w:val="both"/>
        <w:rPr>
          <w:color w:val="000000"/>
          <w:szCs w:val="22"/>
        </w:rPr>
      </w:pPr>
    </w:p>
    <w:p w14:paraId="196B4116" w14:textId="77777777" w:rsidR="00452BE1" w:rsidRPr="004E461A" w:rsidRDefault="00452BE1" w:rsidP="009C5A02">
      <w:pPr>
        <w:tabs>
          <w:tab w:val="clear" w:pos="567"/>
        </w:tabs>
        <w:spacing w:line="240" w:lineRule="auto"/>
        <w:jc w:val="both"/>
        <w:rPr>
          <w:color w:val="000000"/>
          <w:szCs w:val="22"/>
        </w:rPr>
      </w:pPr>
    </w:p>
    <w:p w14:paraId="42ACACA7"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8.</w:t>
      </w:r>
      <w:r w:rsidRPr="004E461A">
        <w:rPr>
          <w:b/>
          <w:color w:val="000000"/>
          <w:szCs w:val="22"/>
        </w:rPr>
        <w:tab/>
        <w:t>REĢISTRĀCIJAS</w:t>
      </w:r>
      <w:r w:rsidR="0082246A" w:rsidRPr="004E461A">
        <w:rPr>
          <w:b/>
          <w:color w:val="000000"/>
          <w:szCs w:val="22"/>
        </w:rPr>
        <w:t xml:space="preserve"> APLIECĪBAS</w:t>
      </w:r>
      <w:r w:rsidR="00452BE1" w:rsidRPr="004E461A">
        <w:rPr>
          <w:b/>
          <w:color w:val="000000"/>
          <w:szCs w:val="22"/>
        </w:rPr>
        <w:t xml:space="preserve"> NUMURI</w:t>
      </w:r>
    </w:p>
    <w:p w14:paraId="75685D54" w14:textId="77777777" w:rsidR="00CD10AA" w:rsidRPr="004E461A" w:rsidRDefault="00CD10AA" w:rsidP="009C5A02">
      <w:pPr>
        <w:tabs>
          <w:tab w:val="clear" w:pos="567"/>
        </w:tabs>
        <w:spacing w:line="240" w:lineRule="auto"/>
        <w:jc w:val="both"/>
        <w:rPr>
          <w:color w:val="000000"/>
          <w:szCs w:val="22"/>
        </w:rPr>
      </w:pPr>
    </w:p>
    <w:p w14:paraId="3FD1577A" w14:textId="77777777" w:rsidR="00452BE1" w:rsidRPr="004E461A" w:rsidRDefault="00452BE1" w:rsidP="009C5A02">
      <w:pPr>
        <w:pStyle w:val="BodyText"/>
        <w:spacing w:after="0" w:line="240" w:lineRule="auto"/>
        <w:rPr>
          <w:bCs/>
          <w:color w:val="000000"/>
          <w:szCs w:val="22"/>
          <w:lang w:val="lv-LV" w:eastAsia="en-GB"/>
        </w:rPr>
      </w:pPr>
      <w:proofErr w:type="spellStart"/>
      <w:r w:rsidRPr="004E461A">
        <w:rPr>
          <w:color w:val="000000"/>
          <w:szCs w:val="22"/>
          <w:lang w:val="lv-LV"/>
        </w:rPr>
        <w:t>Apredonav</w:t>
      </w:r>
      <w:proofErr w:type="spellEnd"/>
      <w:r w:rsidRPr="004E461A">
        <w:rPr>
          <w:color w:val="000000"/>
          <w:szCs w:val="22"/>
          <w:lang w:val="lv-LV"/>
        </w:rPr>
        <w:t xml:space="preserve"> 5 mg</w:t>
      </w:r>
      <w:r w:rsidRPr="004E461A">
        <w:rPr>
          <w:bCs/>
          <w:color w:val="000000"/>
          <w:szCs w:val="22"/>
          <w:lang w:val="lv-LV" w:eastAsia="en-GB"/>
        </w:rPr>
        <w:t xml:space="preserve"> </w:t>
      </w:r>
      <w:proofErr w:type="spellStart"/>
      <w:r w:rsidRPr="004E461A">
        <w:rPr>
          <w:bCs/>
          <w:color w:val="000000"/>
          <w:szCs w:val="22"/>
          <w:lang w:val="lv-LV" w:eastAsia="en-GB"/>
        </w:rPr>
        <w:t>apvalkotās</w:t>
      </w:r>
      <w:proofErr w:type="spellEnd"/>
      <w:r w:rsidRPr="004E461A">
        <w:rPr>
          <w:bCs/>
          <w:color w:val="000000"/>
          <w:szCs w:val="22"/>
          <w:lang w:val="lv-LV" w:eastAsia="en-GB"/>
        </w:rPr>
        <w:t xml:space="preserve"> tabletes: </w:t>
      </w:r>
      <w:r w:rsidR="00C17973" w:rsidRPr="00C17973">
        <w:rPr>
          <w:bCs/>
          <w:color w:val="000000"/>
          <w:szCs w:val="22"/>
          <w:lang w:val="lv-LV" w:eastAsia="en-GB"/>
        </w:rPr>
        <w:t>19-001</w:t>
      </w:r>
      <w:r w:rsidR="00C17973">
        <w:rPr>
          <w:bCs/>
          <w:color w:val="000000"/>
          <w:szCs w:val="22"/>
          <w:lang w:val="lv-LV" w:eastAsia="en-GB"/>
        </w:rPr>
        <w:t>2</w:t>
      </w:r>
    </w:p>
    <w:p w14:paraId="5D15B5D1" w14:textId="77777777" w:rsidR="00452BE1" w:rsidRPr="004E461A" w:rsidRDefault="00452BE1" w:rsidP="009C5A02">
      <w:pPr>
        <w:pStyle w:val="BodyText"/>
        <w:spacing w:after="0" w:line="240" w:lineRule="auto"/>
        <w:rPr>
          <w:bCs/>
          <w:color w:val="000000"/>
          <w:szCs w:val="22"/>
          <w:lang w:val="lv-LV" w:eastAsia="en-GB"/>
        </w:rPr>
      </w:pPr>
      <w:proofErr w:type="spellStart"/>
      <w:r w:rsidRPr="004E461A">
        <w:rPr>
          <w:color w:val="000000"/>
          <w:szCs w:val="22"/>
          <w:lang w:val="lv-LV"/>
        </w:rPr>
        <w:t>Apredonav</w:t>
      </w:r>
      <w:proofErr w:type="spellEnd"/>
      <w:r w:rsidRPr="004E461A">
        <w:rPr>
          <w:color w:val="000000"/>
          <w:szCs w:val="22"/>
          <w:lang w:val="lv-LV"/>
        </w:rPr>
        <w:t xml:space="preserve"> 7,5 mg</w:t>
      </w:r>
      <w:r w:rsidRPr="004E461A">
        <w:rPr>
          <w:bCs/>
          <w:color w:val="000000"/>
          <w:szCs w:val="22"/>
          <w:lang w:val="lv-LV" w:eastAsia="en-GB"/>
        </w:rPr>
        <w:t xml:space="preserve"> </w:t>
      </w:r>
      <w:proofErr w:type="spellStart"/>
      <w:r w:rsidRPr="004E461A">
        <w:rPr>
          <w:bCs/>
          <w:color w:val="000000"/>
          <w:szCs w:val="22"/>
          <w:lang w:val="lv-LV" w:eastAsia="en-GB"/>
        </w:rPr>
        <w:t>apvalkotās</w:t>
      </w:r>
      <w:proofErr w:type="spellEnd"/>
      <w:r w:rsidRPr="004E461A">
        <w:rPr>
          <w:bCs/>
          <w:color w:val="000000"/>
          <w:szCs w:val="22"/>
          <w:lang w:val="lv-LV" w:eastAsia="en-GB"/>
        </w:rPr>
        <w:t xml:space="preserve"> tabletes: </w:t>
      </w:r>
      <w:r w:rsidR="00C17973" w:rsidRPr="00C17973">
        <w:rPr>
          <w:bCs/>
          <w:color w:val="000000"/>
          <w:szCs w:val="22"/>
          <w:lang w:val="lv-LV" w:eastAsia="en-GB"/>
        </w:rPr>
        <w:t>19-0013</w:t>
      </w:r>
    </w:p>
    <w:p w14:paraId="24ECEC3E" w14:textId="77777777" w:rsidR="00CD10AA" w:rsidRPr="004E461A" w:rsidRDefault="00CD10AA" w:rsidP="009C5A02">
      <w:pPr>
        <w:tabs>
          <w:tab w:val="clear" w:pos="567"/>
        </w:tabs>
        <w:spacing w:line="240" w:lineRule="auto"/>
        <w:jc w:val="both"/>
        <w:rPr>
          <w:color w:val="000000"/>
          <w:szCs w:val="22"/>
        </w:rPr>
      </w:pPr>
    </w:p>
    <w:p w14:paraId="302FCDC8" w14:textId="77777777" w:rsidR="00452BE1" w:rsidRPr="004E461A" w:rsidRDefault="00452BE1" w:rsidP="009C5A02">
      <w:pPr>
        <w:tabs>
          <w:tab w:val="clear" w:pos="567"/>
        </w:tabs>
        <w:spacing w:line="240" w:lineRule="auto"/>
        <w:jc w:val="both"/>
        <w:rPr>
          <w:color w:val="000000"/>
          <w:szCs w:val="22"/>
        </w:rPr>
      </w:pPr>
    </w:p>
    <w:p w14:paraId="34F64188"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9.</w:t>
      </w:r>
      <w:r w:rsidRPr="004E461A">
        <w:rPr>
          <w:b/>
          <w:color w:val="000000"/>
          <w:szCs w:val="22"/>
        </w:rPr>
        <w:tab/>
      </w:r>
      <w:r w:rsidR="00980C1E" w:rsidRPr="004E461A">
        <w:rPr>
          <w:b/>
          <w:color w:val="000000"/>
          <w:szCs w:val="22"/>
        </w:rPr>
        <w:t xml:space="preserve">PIRMĀS </w:t>
      </w:r>
      <w:r w:rsidRPr="004E461A">
        <w:rPr>
          <w:b/>
          <w:color w:val="000000"/>
          <w:szCs w:val="22"/>
        </w:rPr>
        <w:t>REĢISTRĀCIJAS/PĀRREĢISTRĀCIJAS DATUMS</w:t>
      </w:r>
    </w:p>
    <w:p w14:paraId="663CCA02" w14:textId="77777777" w:rsidR="00452BE1" w:rsidRPr="004E461A" w:rsidRDefault="00452BE1" w:rsidP="009C5A02">
      <w:pPr>
        <w:spacing w:line="240" w:lineRule="auto"/>
        <w:jc w:val="both"/>
        <w:rPr>
          <w:color w:val="000000"/>
          <w:szCs w:val="22"/>
        </w:rPr>
      </w:pPr>
    </w:p>
    <w:p w14:paraId="451E9321" w14:textId="77777777" w:rsidR="00FD187E" w:rsidRPr="004E461A" w:rsidRDefault="00F31302" w:rsidP="009C5A02">
      <w:pPr>
        <w:spacing w:line="240" w:lineRule="auto"/>
        <w:jc w:val="both"/>
        <w:rPr>
          <w:color w:val="000000"/>
          <w:szCs w:val="22"/>
        </w:rPr>
      </w:pPr>
      <w:r w:rsidRPr="004E461A">
        <w:rPr>
          <w:color w:val="000000"/>
          <w:szCs w:val="22"/>
        </w:rPr>
        <w:t>R</w:t>
      </w:r>
      <w:r w:rsidR="0082246A" w:rsidRPr="004E461A">
        <w:rPr>
          <w:color w:val="000000"/>
          <w:szCs w:val="22"/>
        </w:rPr>
        <w:t xml:space="preserve">eģistrācijas datums: </w:t>
      </w:r>
      <w:r w:rsidR="00C17973">
        <w:rPr>
          <w:color w:val="000000"/>
          <w:szCs w:val="22"/>
        </w:rPr>
        <w:t>2019.gada 4.februāris.</w:t>
      </w:r>
    </w:p>
    <w:p w14:paraId="40FF421D" w14:textId="77777777" w:rsidR="00CD10AA" w:rsidRPr="004E461A" w:rsidRDefault="00CD10AA" w:rsidP="009C5A02">
      <w:pPr>
        <w:tabs>
          <w:tab w:val="clear" w:pos="567"/>
        </w:tabs>
        <w:spacing w:line="240" w:lineRule="auto"/>
        <w:jc w:val="both"/>
        <w:rPr>
          <w:color w:val="000000"/>
          <w:szCs w:val="22"/>
        </w:rPr>
      </w:pPr>
    </w:p>
    <w:p w14:paraId="1B98264F" w14:textId="77777777" w:rsidR="00452BE1" w:rsidRPr="004E461A" w:rsidRDefault="00452BE1" w:rsidP="009C5A02">
      <w:pPr>
        <w:tabs>
          <w:tab w:val="clear" w:pos="567"/>
        </w:tabs>
        <w:spacing w:line="240" w:lineRule="auto"/>
        <w:jc w:val="both"/>
        <w:rPr>
          <w:color w:val="000000"/>
          <w:szCs w:val="22"/>
        </w:rPr>
      </w:pPr>
    </w:p>
    <w:p w14:paraId="37025B06" w14:textId="77777777" w:rsidR="00CD10AA" w:rsidRPr="004E461A" w:rsidRDefault="00CD10AA" w:rsidP="009C5A02">
      <w:pPr>
        <w:tabs>
          <w:tab w:val="clear" w:pos="567"/>
        </w:tabs>
        <w:spacing w:line="240" w:lineRule="auto"/>
        <w:jc w:val="both"/>
        <w:rPr>
          <w:b/>
          <w:color w:val="000000"/>
          <w:szCs w:val="22"/>
        </w:rPr>
      </w:pPr>
      <w:r w:rsidRPr="004E461A">
        <w:rPr>
          <w:b/>
          <w:color w:val="000000"/>
          <w:szCs w:val="22"/>
        </w:rPr>
        <w:t>10.</w:t>
      </w:r>
      <w:r w:rsidRPr="004E461A">
        <w:rPr>
          <w:b/>
          <w:color w:val="000000"/>
          <w:szCs w:val="22"/>
        </w:rPr>
        <w:tab/>
        <w:t>TEKSTA</w:t>
      </w:r>
      <w:r w:rsidR="00171350" w:rsidRPr="004E461A">
        <w:rPr>
          <w:b/>
          <w:color w:val="000000"/>
          <w:szCs w:val="22"/>
        </w:rPr>
        <w:t xml:space="preserve"> </w:t>
      </w:r>
      <w:r w:rsidRPr="004E461A">
        <w:rPr>
          <w:b/>
          <w:color w:val="000000"/>
          <w:szCs w:val="22"/>
        </w:rPr>
        <w:t>PĀRSKATĪŠANAS DATUMS</w:t>
      </w:r>
    </w:p>
    <w:p w14:paraId="706AC31A" w14:textId="77777777" w:rsidR="00CD10AA" w:rsidRPr="004E461A" w:rsidRDefault="00CD10AA" w:rsidP="009C5A02">
      <w:pPr>
        <w:tabs>
          <w:tab w:val="clear" w:pos="567"/>
        </w:tabs>
        <w:spacing w:line="240" w:lineRule="auto"/>
        <w:jc w:val="both"/>
        <w:rPr>
          <w:b/>
          <w:color w:val="000000"/>
          <w:szCs w:val="22"/>
        </w:rPr>
      </w:pPr>
    </w:p>
    <w:p w14:paraId="4ACBB90D" w14:textId="25F5FB42" w:rsidR="00CD10AA" w:rsidRPr="009C5A02" w:rsidRDefault="00841879" w:rsidP="009C5A02">
      <w:pPr>
        <w:tabs>
          <w:tab w:val="clear" w:pos="567"/>
        </w:tabs>
        <w:spacing w:line="240" w:lineRule="auto"/>
        <w:jc w:val="both"/>
        <w:rPr>
          <w:noProof/>
          <w:color w:val="000000"/>
          <w:szCs w:val="22"/>
        </w:rPr>
      </w:pPr>
      <w:r>
        <w:rPr>
          <w:noProof/>
          <w:color w:val="000000"/>
          <w:szCs w:val="22"/>
        </w:rPr>
        <w:t>0</w:t>
      </w:r>
      <w:r w:rsidR="00191A71">
        <w:rPr>
          <w:noProof/>
          <w:color w:val="000000"/>
          <w:szCs w:val="22"/>
        </w:rPr>
        <w:t>2</w:t>
      </w:r>
      <w:r>
        <w:rPr>
          <w:noProof/>
          <w:color w:val="000000"/>
          <w:szCs w:val="22"/>
        </w:rPr>
        <w:t>/</w:t>
      </w:r>
      <w:r w:rsidR="00452BE1" w:rsidRPr="004E461A">
        <w:rPr>
          <w:noProof/>
          <w:color w:val="000000"/>
          <w:szCs w:val="22"/>
        </w:rPr>
        <w:t>20</w:t>
      </w:r>
      <w:r>
        <w:rPr>
          <w:noProof/>
          <w:color w:val="000000"/>
          <w:szCs w:val="22"/>
        </w:rPr>
        <w:t>22</w:t>
      </w:r>
    </w:p>
    <w:p w14:paraId="04870443" w14:textId="77777777" w:rsidR="00452BE1" w:rsidRPr="009C5A02" w:rsidRDefault="00452BE1" w:rsidP="009C5A02">
      <w:pPr>
        <w:tabs>
          <w:tab w:val="clear" w:pos="567"/>
        </w:tabs>
        <w:spacing w:line="240" w:lineRule="auto"/>
        <w:jc w:val="both"/>
        <w:rPr>
          <w:noProof/>
          <w:color w:val="000000"/>
          <w:szCs w:val="22"/>
        </w:rPr>
      </w:pPr>
    </w:p>
    <w:p w14:paraId="4ABB3E54" w14:textId="565C3BF6" w:rsidR="00CD10AA" w:rsidRPr="009C5A02" w:rsidRDefault="00CD10AA" w:rsidP="009C5A02">
      <w:pPr>
        <w:tabs>
          <w:tab w:val="clear" w:pos="567"/>
        </w:tabs>
        <w:spacing w:line="240" w:lineRule="auto"/>
        <w:jc w:val="both"/>
        <w:rPr>
          <w:color w:val="000000"/>
          <w:szCs w:val="22"/>
        </w:rPr>
      </w:pPr>
    </w:p>
    <w:sectPr w:rsidR="00CD10AA" w:rsidRPr="009C5A02" w:rsidSect="004C3B4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E3E" w14:textId="77777777" w:rsidR="009D0443" w:rsidRDefault="009D0443">
      <w:r>
        <w:separator/>
      </w:r>
    </w:p>
  </w:endnote>
  <w:endnote w:type="continuationSeparator" w:id="0">
    <w:p w14:paraId="030E71BE" w14:textId="77777777" w:rsidR="009D0443" w:rsidRDefault="009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CD92" w14:textId="77777777" w:rsidR="00AF7200" w:rsidRDefault="00AF7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E788" w14:textId="394D5262" w:rsidR="00944384" w:rsidRPr="00E83D30" w:rsidRDefault="00944384" w:rsidP="00C85F68">
    <w:pPr>
      <w:pStyle w:val="Footer"/>
      <w:jc w:val="center"/>
      <w:rPr>
        <w:sz w:val="20"/>
      </w:rPr>
    </w:pPr>
    <w:r w:rsidRPr="00E83D30">
      <w:rPr>
        <w:rFonts w:ascii="Times New Roman" w:hAnsi="Times New Roman"/>
        <w:bCs/>
        <w:color w:val="000000"/>
        <w:sz w:val="20"/>
      </w:rPr>
      <w:t>LV/H/0161/001-002/</w:t>
    </w:r>
    <w:r w:rsidR="00841879">
      <w:rPr>
        <w:rFonts w:ascii="Times New Roman" w:hAnsi="Times New Roman"/>
        <w:bCs/>
        <w:color w:val="000000"/>
        <w:sz w:val="20"/>
      </w:rPr>
      <w:t>IB/002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6514" w14:textId="77777777" w:rsidR="00944384" w:rsidRDefault="00944384">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0AAB" w14:textId="77777777" w:rsidR="009D0443" w:rsidRDefault="009D0443">
      <w:r>
        <w:separator/>
      </w:r>
    </w:p>
  </w:footnote>
  <w:footnote w:type="continuationSeparator" w:id="0">
    <w:p w14:paraId="1078F84C" w14:textId="77777777" w:rsidR="009D0443" w:rsidRDefault="009D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1DAC" w14:textId="77777777" w:rsidR="00AF7200" w:rsidRDefault="00AF7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EDE1" w14:textId="0340E7E1" w:rsidR="007F6F1A" w:rsidRDefault="00AF7200" w:rsidP="00C16020">
    <w:pPr>
      <w:pStyle w:val="Header"/>
      <w:jc w:val="right"/>
      <w:rPr>
        <w:rFonts w:ascii="Times New Roman" w:hAnsi="Times New Roman"/>
        <w:sz w:val="24"/>
        <w:szCs w:val="24"/>
        <w:lang w:val="en-US"/>
      </w:rPr>
    </w:pPr>
    <w:r>
      <w:rPr>
        <w:rFonts w:ascii="Times New Roman" w:hAnsi="Times New Roman"/>
        <w:sz w:val="24"/>
        <w:szCs w:val="24"/>
        <w:lang w:val="en-US"/>
      </w:rPr>
      <w:t>SASKAŅOTS ZVA 17-02-2022</w:t>
    </w:r>
  </w:p>
  <w:p w14:paraId="6C0C57C9" w14:textId="0965A941" w:rsidR="009E61FF" w:rsidRPr="00EA0D42" w:rsidRDefault="009E61FF" w:rsidP="00C16020">
    <w:pPr>
      <w:pStyle w:val="Header"/>
      <w:jc w:val="right"/>
      <w:rPr>
        <w:rFonts w:ascii="Times New Roman" w:hAnsi="Times New Roman"/>
        <w:i/>
        <w:iCs/>
        <w:sz w:val="24"/>
        <w:szCs w:val="24"/>
        <w:lang w:val="en-US"/>
      </w:rPr>
    </w:pPr>
    <w:proofErr w:type="spellStart"/>
    <w:r w:rsidRPr="00EA0D42">
      <w:rPr>
        <w:rFonts w:ascii="Times New Roman" w:hAnsi="Times New Roman"/>
        <w:i/>
        <w:iCs/>
        <w:sz w:val="24"/>
        <w:szCs w:val="24"/>
        <w:lang w:val="en-US"/>
      </w:rPr>
      <w:t>Papildināts</w:t>
    </w:r>
    <w:proofErr w:type="spellEnd"/>
    <w:r w:rsidRPr="00EA0D42">
      <w:rPr>
        <w:rFonts w:ascii="Times New Roman" w:hAnsi="Times New Roman"/>
        <w:i/>
        <w:iCs/>
        <w:sz w:val="24"/>
        <w:szCs w:val="24"/>
        <w:lang w:val="en-US"/>
      </w:rPr>
      <w:t>/</w:t>
    </w:r>
    <w:proofErr w:type="spellStart"/>
    <w:r w:rsidRPr="00EA0D42">
      <w:rPr>
        <w:rFonts w:ascii="Times New Roman" w:hAnsi="Times New Roman"/>
        <w:i/>
        <w:iCs/>
        <w:sz w:val="24"/>
        <w:szCs w:val="24"/>
        <w:lang w:val="en-US"/>
      </w:rPr>
      <w:t>labots</w:t>
    </w:r>
    <w:proofErr w:type="spellEnd"/>
    <w:r w:rsidRPr="00EA0D42">
      <w:rPr>
        <w:rFonts w:ascii="Times New Roman" w:hAnsi="Times New Roman"/>
        <w:i/>
        <w:iCs/>
        <w:sz w:val="24"/>
        <w:szCs w:val="24"/>
        <w:lang w:val="en-US"/>
      </w:rPr>
      <w:t xml:space="preserve"> 11-05-2023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F781" w14:textId="77777777" w:rsidR="00AF7200" w:rsidRDefault="00AF7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26D21"/>
    <w:multiLevelType w:val="hybridMultilevel"/>
    <w:tmpl w:val="BAA497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351A5E"/>
    <w:multiLevelType w:val="hybridMultilevel"/>
    <w:tmpl w:val="754424AA"/>
    <w:lvl w:ilvl="0" w:tplc="FA0C453C">
      <w:start w:val="4"/>
      <w:numFmt w:val="decimal"/>
      <w:lvlText w:val="%1."/>
      <w:lvlJc w:val="left"/>
      <w:pPr>
        <w:tabs>
          <w:tab w:val="num" w:pos="930"/>
        </w:tabs>
        <w:ind w:left="930" w:hanging="570"/>
      </w:pPr>
      <w:rPr>
        <w:rFonts w:hint="default"/>
      </w:rPr>
    </w:lvl>
    <w:lvl w:ilvl="1" w:tplc="7CFA2AC2" w:tentative="1">
      <w:start w:val="1"/>
      <w:numFmt w:val="lowerLetter"/>
      <w:lvlText w:val="%2."/>
      <w:lvlJc w:val="left"/>
      <w:pPr>
        <w:tabs>
          <w:tab w:val="num" w:pos="1440"/>
        </w:tabs>
        <w:ind w:left="1440" w:hanging="360"/>
      </w:pPr>
    </w:lvl>
    <w:lvl w:ilvl="2" w:tplc="CC5ECA72" w:tentative="1">
      <w:start w:val="1"/>
      <w:numFmt w:val="lowerRoman"/>
      <w:lvlText w:val="%3."/>
      <w:lvlJc w:val="right"/>
      <w:pPr>
        <w:tabs>
          <w:tab w:val="num" w:pos="2160"/>
        </w:tabs>
        <w:ind w:left="2160" w:hanging="180"/>
      </w:pPr>
    </w:lvl>
    <w:lvl w:ilvl="3" w:tplc="2438C41C" w:tentative="1">
      <w:start w:val="1"/>
      <w:numFmt w:val="decimal"/>
      <w:lvlText w:val="%4."/>
      <w:lvlJc w:val="left"/>
      <w:pPr>
        <w:tabs>
          <w:tab w:val="num" w:pos="2880"/>
        </w:tabs>
        <w:ind w:left="2880" w:hanging="360"/>
      </w:pPr>
    </w:lvl>
    <w:lvl w:ilvl="4" w:tplc="DDAEE546" w:tentative="1">
      <w:start w:val="1"/>
      <w:numFmt w:val="lowerLetter"/>
      <w:lvlText w:val="%5."/>
      <w:lvlJc w:val="left"/>
      <w:pPr>
        <w:tabs>
          <w:tab w:val="num" w:pos="3600"/>
        </w:tabs>
        <w:ind w:left="3600" w:hanging="360"/>
      </w:pPr>
    </w:lvl>
    <w:lvl w:ilvl="5" w:tplc="2E780C8A" w:tentative="1">
      <w:start w:val="1"/>
      <w:numFmt w:val="lowerRoman"/>
      <w:lvlText w:val="%6."/>
      <w:lvlJc w:val="right"/>
      <w:pPr>
        <w:tabs>
          <w:tab w:val="num" w:pos="4320"/>
        </w:tabs>
        <w:ind w:left="4320" w:hanging="180"/>
      </w:pPr>
    </w:lvl>
    <w:lvl w:ilvl="6" w:tplc="8A3C8816" w:tentative="1">
      <w:start w:val="1"/>
      <w:numFmt w:val="decimal"/>
      <w:lvlText w:val="%7."/>
      <w:lvlJc w:val="left"/>
      <w:pPr>
        <w:tabs>
          <w:tab w:val="num" w:pos="5040"/>
        </w:tabs>
        <w:ind w:left="5040" w:hanging="360"/>
      </w:pPr>
    </w:lvl>
    <w:lvl w:ilvl="7" w:tplc="355EAA10" w:tentative="1">
      <w:start w:val="1"/>
      <w:numFmt w:val="lowerLetter"/>
      <w:lvlText w:val="%8."/>
      <w:lvlJc w:val="left"/>
      <w:pPr>
        <w:tabs>
          <w:tab w:val="num" w:pos="5760"/>
        </w:tabs>
        <w:ind w:left="5760" w:hanging="360"/>
      </w:pPr>
    </w:lvl>
    <w:lvl w:ilvl="8" w:tplc="A106C9CC" w:tentative="1">
      <w:start w:val="1"/>
      <w:numFmt w:val="lowerRoman"/>
      <w:lvlText w:val="%9."/>
      <w:lvlJc w:val="right"/>
      <w:pPr>
        <w:tabs>
          <w:tab w:val="num" w:pos="6480"/>
        </w:tabs>
        <w:ind w:left="6480" w:hanging="180"/>
      </w:pPr>
    </w:lvl>
  </w:abstractNum>
  <w:abstractNum w:abstractNumId="5" w15:restartNumberingAfterBreak="0">
    <w:nsid w:val="14C21BA8"/>
    <w:multiLevelType w:val="hybridMultilevel"/>
    <w:tmpl w:val="897CF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B34"/>
    <w:multiLevelType w:val="hybridMultilevel"/>
    <w:tmpl w:val="8AA20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206A30B3"/>
    <w:multiLevelType w:val="hybridMultilevel"/>
    <w:tmpl w:val="EB5A6246"/>
    <w:lvl w:ilvl="0" w:tplc="FFF298A0">
      <w:numFmt w:val="bullet"/>
      <w:lvlText w:val="-"/>
      <w:lvlJc w:val="left"/>
      <w:pPr>
        <w:ind w:left="39" w:hanging="465"/>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909BA"/>
    <w:multiLevelType w:val="hybridMultilevel"/>
    <w:tmpl w:val="AE4E8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935FC"/>
    <w:multiLevelType w:val="hybridMultilevel"/>
    <w:tmpl w:val="79505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C1E36"/>
    <w:multiLevelType w:val="hybridMultilevel"/>
    <w:tmpl w:val="58A89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D6658"/>
    <w:multiLevelType w:val="hybridMultilevel"/>
    <w:tmpl w:val="17F8F9DC"/>
    <w:lvl w:ilvl="0" w:tplc="E7AC75F6">
      <w:start w:val="1"/>
      <w:numFmt w:val="bullet"/>
      <w:lvlText w:val=""/>
      <w:lvlJc w:val="left"/>
      <w:pPr>
        <w:tabs>
          <w:tab w:val="num" w:pos="567"/>
        </w:tabs>
        <w:ind w:left="567" w:hanging="454"/>
      </w:pPr>
      <w:rPr>
        <w:rFonts w:ascii="Symbol" w:hAnsi="Symbol" w:hint="default"/>
      </w:rPr>
    </w:lvl>
    <w:lvl w:ilvl="1" w:tplc="C7B4E792">
      <w:start w:val="1"/>
      <w:numFmt w:val="bullet"/>
      <w:lvlText w:val="o"/>
      <w:lvlJc w:val="left"/>
      <w:pPr>
        <w:tabs>
          <w:tab w:val="num" w:pos="1440"/>
        </w:tabs>
        <w:ind w:left="1440" w:hanging="360"/>
      </w:pPr>
      <w:rPr>
        <w:rFonts w:ascii="Courier New" w:hAnsi="Courier New" w:hint="default"/>
      </w:rPr>
    </w:lvl>
    <w:lvl w:ilvl="2" w:tplc="55203150" w:tentative="1">
      <w:start w:val="1"/>
      <w:numFmt w:val="bullet"/>
      <w:lvlText w:val=""/>
      <w:lvlJc w:val="left"/>
      <w:pPr>
        <w:tabs>
          <w:tab w:val="num" w:pos="2160"/>
        </w:tabs>
        <w:ind w:left="2160" w:hanging="360"/>
      </w:pPr>
      <w:rPr>
        <w:rFonts w:ascii="Wingdings" w:hAnsi="Wingdings" w:hint="default"/>
      </w:rPr>
    </w:lvl>
    <w:lvl w:ilvl="3" w:tplc="527AA656" w:tentative="1">
      <w:start w:val="1"/>
      <w:numFmt w:val="bullet"/>
      <w:lvlText w:val=""/>
      <w:lvlJc w:val="left"/>
      <w:pPr>
        <w:tabs>
          <w:tab w:val="num" w:pos="2880"/>
        </w:tabs>
        <w:ind w:left="2880" w:hanging="360"/>
      </w:pPr>
      <w:rPr>
        <w:rFonts w:ascii="Symbol" w:hAnsi="Symbol" w:hint="default"/>
      </w:rPr>
    </w:lvl>
    <w:lvl w:ilvl="4" w:tplc="CA302590" w:tentative="1">
      <w:start w:val="1"/>
      <w:numFmt w:val="bullet"/>
      <w:lvlText w:val="o"/>
      <w:lvlJc w:val="left"/>
      <w:pPr>
        <w:tabs>
          <w:tab w:val="num" w:pos="3600"/>
        </w:tabs>
        <w:ind w:left="3600" w:hanging="360"/>
      </w:pPr>
      <w:rPr>
        <w:rFonts w:ascii="Courier New" w:hAnsi="Courier New" w:hint="default"/>
      </w:rPr>
    </w:lvl>
    <w:lvl w:ilvl="5" w:tplc="7E88C562" w:tentative="1">
      <w:start w:val="1"/>
      <w:numFmt w:val="bullet"/>
      <w:lvlText w:val=""/>
      <w:lvlJc w:val="left"/>
      <w:pPr>
        <w:tabs>
          <w:tab w:val="num" w:pos="4320"/>
        </w:tabs>
        <w:ind w:left="4320" w:hanging="360"/>
      </w:pPr>
      <w:rPr>
        <w:rFonts w:ascii="Wingdings" w:hAnsi="Wingdings" w:hint="default"/>
      </w:rPr>
    </w:lvl>
    <w:lvl w:ilvl="6" w:tplc="F3629DCE" w:tentative="1">
      <w:start w:val="1"/>
      <w:numFmt w:val="bullet"/>
      <w:lvlText w:val=""/>
      <w:lvlJc w:val="left"/>
      <w:pPr>
        <w:tabs>
          <w:tab w:val="num" w:pos="5040"/>
        </w:tabs>
        <w:ind w:left="5040" w:hanging="360"/>
      </w:pPr>
      <w:rPr>
        <w:rFonts w:ascii="Symbol" w:hAnsi="Symbol" w:hint="default"/>
      </w:rPr>
    </w:lvl>
    <w:lvl w:ilvl="7" w:tplc="6D48DA00" w:tentative="1">
      <w:start w:val="1"/>
      <w:numFmt w:val="bullet"/>
      <w:lvlText w:val="o"/>
      <w:lvlJc w:val="left"/>
      <w:pPr>
        <w:tabs>
          <w:tab w:val="num" w:pos="5760"/>
        </w:tabs>
        <w:ind w:left="5760" w:hanging="360"/>
      </w:pPr>
      <w:rPr>
        <w:rFonts w:ascii="Courier New" w:hAnsi="Courier New" w:hint="default"/>
      </w:rPr>
    </w:lvl>
    <w:lvl w:ilvl="8" w:tplc="EA5A39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76340"/>
    <w:multiLevelType w:val="hybridMultilevel"/>
    <w:tmpl w:val="BDBC6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AAE36F1"/>
    <w:multiLevelType w:val="hybridMultilevel"/>
    <w:tmpl w:val="E3DAD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54AFE"/>
    <w:multiLevelType w:val="hybridMultilevel"/>
    <w:tmpl w:val="B1A46980"/>
    <w:lvl w:ilvl="0" w:tplc="675C9202">
      <w:start w:val="8"/>
      <w:numFmt w:val="decimal"/>
      <w:lvlText w:val="%1."/>
      <w:lvlJc w:val="left"/>
      <w:pPr>
        <w:tabs>
          <w:tab w:val="num" w:pos="570"/>
        </w:tabs>
        <w:ind w:left="570" w:hanging="570"/>
      </w:pPr>
      <w:rPr>
        <w:rFonts w:hint="default"/>
      </w:rPr>
    </w:lvl>
    <w:lvl w:ilvl="1" w:tplc="FA60C86C" w:tentative="1">
      <w:start w:val="1"/>
      <w:numFmt w:val="lowerLetter"/>
      <w:lvlText w:val="%2."/>
      <w:lvlJc w:val="left"/>
      <w:pPr>
        <w:tabs>
          <w:tab w:val="num" w:pos="1080"/>
        </w:tabs>
        <w:ind w:left="1080" w:hanging="360"/>
      </w:pPr>
    </w:lvl>
    <w:lvl w:ilvl="2" w:tplc="7ED2E21A" w:tentative="1">
      <w:start w:val="1"/>
      <w:numFmt w:val="lowerRoman"/>
      <w:lvlText w:val="%3."/>
      <w:lvlJc w:val="right"/>
      <w:pPr>
        <w:tabs>
          <w:tab w:val="num" w:pos="1800"/>
        </w:tabs>
        <w:ind w:left="1800" w:hanging="180"/>
      </w:pPr>
    </w:lvl>
    <w:lvl w:ilvl="3" w:tplc="C2747EDA" w:tentative="1">
      <w:start w:val="1"/>
      <w:numFmt w:val="decimal"/>
      <w:lvlText w:val="%4."/>
      <w:lvlJc w:val="left"/>
      <w:pPr>
        <w:tabs>
          <w:tab w:val="num" w:pos="2520"/>
        </w:tabs>
        <w:ind w:left="2520" w:hanging="360"/>
      </w:pPr>
    </w:lvl>
    <w:lvl w:ilvl="4" w:tplc="104693FA" w:tentative="1">
      <w:start w:val="1"/>
      <w:numFmt w:val="lowerLetter"/>
      <w:lvlText w:val="%5."/>
      <w:lvlJc w:val="left"/>
      <w:pPr>
        <w:tabs>
          <w:tab w:val="num" w:pos="3240"/>
        </w:tabs>
        <w:ind w:left="3240" w:hanging="360"/>
      </w:pPr>
    </w:lvl>
    <w:lvl w:ilvl="5" w:tplc="80C23762" w:tentative="1">
      <w:start w:val="1"/>
      <w:numFmt w:val="lowerRoman"/>
      <w:lvlText w:val="%6."/>
      <w:lvlJc w:val="right"/>
      <w:pPr>
        <w:tabs>
          <w:tab w:val="num" w:pos="3960"/>
        </w:tabs>
        <w:ind w:left="3960" w:hanging="180"/>
      </w:pPr>
    </w:lvl>
    <w:lvl w:ilvl="6" w:tplc="FFBA2208" w:tentative="1">
      <w:start w:val="1"/>
      <w:numFmt w:val="decimal"/>
      <w:lvlText w:val="%7."/>
      <w:lvlJc w:val="left"/>
      <w:pPr>
        <w:tabs>
          <w:tab w:val="num" w:pos="4680"/>
        </w:tabs>
        <w:ind w:left="4680" w:hanging="360"/>
      </w:pPr>
    </w:lvl>
    <w:lvl w:ilvl="7" w:tplc="D19AAB08" w:tentative="1">
      <w:start w:val="1"/>
      <w:numFmt w:val="lowerLetter"/>
      <w:lvlText w:val="%8."/>
      <w:lvlJc w:val="left"/>
      <w:pPr>
        <w:tabs>
          <w:tab w:val="num" w:pos="5400"/>
        </w:tabs>
        <w:ind w:left="5400" w:hanging="360"/>
      </w:pPr>
    </w:lvl>
    <w:lvl w:ilvl="8" w:tplc="EF24D13C" w:tentative="1">
      <w:start w:val="1"/>
      <w:numFmt w:val="lowerRoman"/>
      <w:lvlText w:val="%9."/>
      <w:lvlJc w:val="right"/>
      <w:pPr>
        <w:tabs>
          <w:tab w:val="num" w:pos="6120"/>
        </w:tabs>
        <w:ind w:left="6120" w:hanging="180"/>
      </w:pPr>
    </w:lvl>
  </w:abstractNum>
  <w:abstractNum w:abstractNumId="21" w15:restartNumberingAfterBreak="0">
    <w:nsid w:val="4F715EA8"/>
    <w:multiLevelType w:val="hybridMultilevel"/>
    <w:tmpl w:val="85242A24"/>
    <w:lvl w:ilvl="0" w:tplc="3C3088B8">
      <w:start w:val="4"/>
      <w:numFmt w:val="decimal"/>
      <w:lvlText w:val="%1."/>
      <w:lvlJc w:val="left"/>
      <w:pPr>
        <w:tabs>
          <w:tab w:val="num" w:pos="720"/>
        </w:tabs>
        <w:ind w:left="720" w:hanging="360"/>
      </w:pPr>
      <w:rPr>
        <w:rFonts w:hint="default"/>
      </w:rPr>
    </w:lvl>
    <w:lvl w:ilvl="1" w:tplc="724A0302" w:tentative="1">
      <w:start w:val="1"/>
      <w:numFmt w:val="lowerLetter"/>
      <w:lvlText w:val="%2."/>
      <w:lvlJc w:val="left"/>
      <w:pPr>
        <w:tabs>
          <w:tab w:val="num" w:pos="1440"/>
        </w:tabs>
        <w:ind w:left="1440" w:hanging="360"/>
      </w:pPr>
    </w:lvl>
    <w:lvl w:ilvl="2" w:tplc="A77817CE" w:tentative="1">
      <w:start w:val="1"/>
      <w:numFmt w:val="lowerRoman"/>
      <w:lvlText w:val="%3."/>
      <w:lvlJc w:val="right"/>
      <w:pPr>
        <w:tabs>
          <w:tab w:val="num" w:pos="2160"/>
        </w:tabs>
        <w:ind w:left="2160" w:hanging="180"/>
      </w:pPr>
    </w:lvl>
    <w:lvl w:ilvl="3" w:tplc="B874BE8C" w:tentative="1">
      <w:start w:val="1"/>
      <w:numFmt w:val="decimal"/>
      <w:lvlText w:val="%4."/>
      <w:lvlJc w:val="left"/>
      <w:pPr>
        <w:tabs>
          <w:tab w:val="num" w:pos="2880"/>
        </w:tabs>
        <w:ind w:left="2880" w:hanging="360"/>
      </w:pPr>
    </w:lvl>
    <w:lvl w:ilvl="4" w:tplc="86921EF8" w:tentative="1">
      <w:start w:val="1"/>
      <w:numFmt w:val="lowerLetter"/>
      <w:lvlText w:val="%5."/>
      <w:lvlJc w:val="left"/>
      <w:pPr>
        <w:tabs>
          <w:tab w:val="num" w:pos="3600"/>
        </w:tabs>
        <w:ind w:left="3600" w:hanging="360"/>
      </w:pPr>
    </w:lvl>
    <w:lvl w:ilvl="5" w:tplc="5F1C4FA2" w:tentative="1">
      <w:start w:val="1"/>
      <w:numFmt w:val="lowerRoman"/>
      <w:lvlText w:val="%6."/>
      <w:lvlJc w:val="right"/>
      <w:pPr>
        <w:tabs>
          <w:tab w:val="num" w:pos="4320"/>
        </w:tabs>
        <w:ind w:left="4320" w:hanging="180"/>
      </w:pPr>
    </w:lvl>
    <w:lvl w:ilvl="6" w:tplc="58B22C1E" w:tentative="1">
      <w:start w:val="1"/>
      <w:numFmt w:val="decimal"/>
      <w:lvlText w:val="%7."/>
      <w:lvlJc w:val="left"/>
      <w:pPr>
        <w:tabs>
          <w:tab w:val="num" w:pos="5040"/>
        </w:tabs>
        <w:ind w:left="5040" w:hanging="360"/>
      </w:pPr>
    </w:lvl>
    <w:lvl w:ilvl="7" w:tplc="F19A535A" w:tentative="1">
      <w:start w:val="1"/>
      <w:numFmt w:val="lowerLetter"/>
      <w:lvlText w:val="%8."/>
      <w:lvlJc w:val="left"/>
      <w:pPr>
        <w:tabs>
          <w:tab w:val="num" w:pos="5760"/>
        </w:tabs>
        <w:ind w:left="5760" w:hanging="360"/>
      </w:pPr>
    </w:lvl>
    <w:lvl w:ilvl="8" w:tplc="FB42BFE6" w:tentative="1">
      <w:start w:val="1"/>
      <w:numFmt w:val="lowerRoman"/>
      <w:lvlText w:val="%9."/>
      <w:lvlJc w:val="right"/>
      <w:pPr>
        <w:tabs>
          <w:tab w:val="num" w:pos="6480"/>
        </w:tabs>
        <w:ind w:left="6480" w:hanging="180"/>
      </w:pPr>
    </w:lvl>
  </w:abstractNum>
  <w:abstractNum w:abstractNumId="22"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DA01EF9"/>
    <w:multiLevelType w:val="hybridMultilevel"/>
    <w:tmpl w:val="CD060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C3428"/>
    <w:multiLevelType w:val="hybridMultilevel"/>
    <w:tmpl w:val="25267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6D4F3A43"/>
    <w:multiLevelType w:val="hybridMultilevel"/>
    <w:tmpl w:val="44EA2960"/>
    <w:lvl w:ilvl="0" w:tplc="306048F6">
      <w:start w:val="5"/>
      <w:numFmt w:val="decimal"/>
      <w:lvlText w:val="%1."/>
      <w:lvlJc w:val="left"/>
      <w:pPr>
        <w:tabs>
          <w:tab w:val="num" w:pos="930"/>
        </w:tabs>
        <w:ind w:left="930" w:hanging="570"/>
      </w:pPr>
      <w:rPr>
        <w:rFonts w:hint="default"/>
        <w:color w:val="auto"/>
      </w:rPr>
    </w:lvl>
    <w:lvl w:ilvl="1" w:tplc="54A81894" w:tentative="1">
      <w:start w:val="1"/>
      <w:numFmt w:val="lowerLetter"/>
      <w:lvlText w:val="%2."/>
      <w:lvlJc w:val="left"/>
      <w:pPr>
        <w:tabs>
          <w:tab w:val="num" w:pos="1440"/>
        </w:tabs>
        <w:ind w:left="1440" w:hanging="360"/>
      </w:pPr>
    </w:lvl>
    <w:lvl w:ilvl="2" w:tplc="69DA68CE" w:tentative="1">
      <w:start w:val="1"/>
      <w:numFmt w:val="lowerRoman"/>
      <w:lvlText w:val="%3."/>
      <w:lvlJc w:val="right"/>
      <w:pPr>
        <w:tabs>
          <w:tab w:val="num" w:pos="2160"/>
        </w:tabs>
        <w:ind w:left="2160" w:hanging="180"/>
      </w:pPr>
    </w:lvl>
    <w:lvl w:ilvl="3" w:tplc="474E0948" w:tentative="1">
      <w:start w:val="1"/>
      <w:numFmt w:val="decimal"/>
      <w:lvlText w:val="%4."/>
      <w:lvlJc w:val="left"/>
      <w:pPr>
        <w:tabs>
          <w:tab w:val="num" w:pos="2880"/>
        </w:tabs>
        <w:ind w:left="2880" w:hanging="360"/>
      </w:pPr>
    </w:lvl>
    <w:lvl w:ilvl="4" w:tplc="855A4372" w:tentative="1">
      <w:start w:val="1"/>
      <w:numFmt w:val="lowerLetter"/>
      <w:lvlText w:val="%5."/>
      <w:lvlJc w:val="left"/>
      <w:pPr>
        <w:tabs>
          <w:tab w:val="num" w:pos="3600"/>
        </w:tabs>
        <w:ind w:left="3600" w:hanging="360"/>
      </w:pPr>
    </w:lvl>
    <w:lvl w:ilvl="5" w:tplc="C8226FDE" w:tentative="1">
      <w:start w:val="1"/>
      <w:numFmt w:val="lowerRoman"/>
      <w:lvlText w:val="%6."/>
      <w:lvlJc w:val="right"/>
      <w:pPr>
        <w:tabs>
          <w:tab w:val="num" w:pos="4320"/>
        </w:tabs>
        <w:ind w:left="4320" w:hanging="180"/>
      </w:pPr>
    </w:lvl>
    <w:lvl w:ilvl="6" w:tplc="347AA44C" w:tentative="1">
      <w:start w:val="1"/>
      <w:numFmt w:val="decimal"/>
      <w:lvlText w:val="%7."/>
      <w:lvlJc w:val="left"/>
      <w:pPr>
        <w:tabs>
          <w:tab w:val="num" w:pos="5040"/>
        </w:tabs>
        <w:ind w:left="5040" w:hanging="360"/>
      </w:pPr>
    </w:lvl>
    <w:lvl w:ilvl="7" w:tplc="7242A8C4" w:tentative="1">
      <w:start w:val="1"/>
      <w:numFmt w:val="lowerLetter"/>
      <w:lvlText w:val="%8."/>
      <w:lvlJc w:val="left"/>
      <w:pPr>
        <w:tabs>
          <w:tab w:val="num" w:pos="5760"/>
        </w:tabs>
        <w:ind w:left="5760" w:hanging="360"/>
      </w:pPr>
    </w:lvl>
    <w:lvl w:ilvl="8" w:tplc="12A6C2DC" w:tentative="1">
      <w:start w:val="1"/>
      <w:numFmt w:val="lowerRoman"/>
      <w:lvlText w:val="%9."/>
      <w:lvlJc w:val="right"/>
      <w:pPr>
        <w:tabs>
          <w:tab w:val="num" w:pos="6480"/>
        </w:tabs>
        <w:ind w:left="6480" w:hanging="180"/>
      </w:pPr>
    </w:lvl>
  </w:abstractNum>
  <w:abstractNum w:abstractNumId="2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0" w15:restartNumberingAfterBreak="0">
    <w:nsid w:val="72712C64"/>
    <w:multiLevelType w:val="hybridMultilevel"/>
    <w:tmpl w:val="6BA4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709E1"/>
    <w:multiLevelType w:val="hybridMultilevel"/>
    <w:tmpl w:val="440A813E"/>
    <w:lvl w:ilvl="0" w:tplc="B32405E2">
      <w:start w:val="4"/>
      <w:numFmt w:val="decimal"/>
      <w:lvlText w:val="%1."/>
      <w:lvlJc w:val="left"/>
      <w:pPr>
        <w:tabs>
          <w:tab w:val="num" w:pos="720"/>
        </w:tabs>
        <w:ind w:left="720" w:hanging="360"/>
      </w:pPr>
      <w:rPr>
        <w:rFonts w:hint="default"/>
      </w:rPr>
    </w:lvl>
    <w:lvl w:ilvl="1" w:tplc="1F684A70" w:tentative="1">
      <w:start w:val="1"/>
      <w:numFmt w:val="lowerLetter"/>
      <w:lvlText w:val="%2."/>
      <w:lvlJc w:val="left"/>
      <w:pPr>
        <w:tabs>
          <w:tab w:val="num" w:pos="1440"/>
        </w:tabs>
        <w:ind w:left="1440" w:hanging="360"/>
      </w:pPr>
    </w:lvl>
    <w:lvl w:ilvl="2" w:tplc="FC40B53A" w:tentative="1">
      <w:start w:val="1"/>
      <w:numFmt w:val="lowerRoman"/>
      <w:lvlText w:val="%3."/>
      <w:lvlJc w:val="right"/>
      <w:pPr>
        <w:tabs>
          <w:tab w:val="num" w:pos="2160"/>
        </w:tabs>
        <w:ind w:left="2160" w:hanging="180"/>
      </w:pPr>
    </w:lvl>
    <w:lvl w:ilvl="3" w:tplc="E5581FC8" w:tentative="1">
      <w:start w:val="1"/>
      <w:numFmt w:val="decimal"/>
      <w:lvlText w:val="%4."/>
      <w:lvlJc w:val="left"/>
      <w:pPr>
        <w:tabs>
          <w:tab w:val="num" w:pos="2880"/>
        </w:tabs>
        <w:ind w:left="2880" w:hanging="360"/>
      </w:pPr>
    </w:lvl>
    <w:lvl w:ilvl="4" w:tplc="AAD67DD0" w:tentative="1">
      <w:start w:val="1"/>
      <w:numFmt w:val="lowerLetter"/>
      <w:lvlText w:val="%5."/>
      <w:lvlJc w:val="left"/>
      <w:pPr>
        <w:tabs>
          <w:tab w:val="num" w:pos="3600"/>
        </w:tabs>
        <w:ind w:left="3600" w:hanging="360"/>
      </w:pPr>
    </w:lvl>
    <w:lvl w:ilvl="5" w:tplc="34B44780" w:tentative="1">
      <w:start w:val="1"/>
      <w:numFmt w:val="lowerRoman"/>
      <w:lvlText w:val="%6."/>
      <w:lvlJc w:val="right"/>
      <w:pPr>
        <w:tabs>
          <w:tab w:val="num" w:pos="4320"/>
        </w:tabs>
        <w:ind w:left="4320" w:hanging="180"/>
      </w:pPr>
    </w:lvl>
    <w:lvl w:ilvl="6" w:tplc="69C8B1FA" w:tentative="1">
      <w:start w:val="1"/>
      <w:numFmt w:val="decimal"/>
      <w:lvlText w:val="%7."/>
      <w:lvlJc w:val="left"/>
      <w:pPr>
        <w:tabs>
          <w:tab w:val="num" w:pos="5040"/>
        </w:tabs>
        <w:ind w:left="5040" w:hanging="360"/>
      </w:pPr>
    </w:lvl>
    <w:lvl w:ilvl="7" w:tplc="471C7FD4" w:tentative="1">
      <w:start w:val="1"/>
      <w:numFmt w:val="lowerLetter"/>
      <w:lvlText w:val="%8."/>
      <w:lvlJc w:val="left"/>
      <w:pPr>
        <w:tabs>
          <w:tab w:val="num" w:pos="5760"/>
        </w:tabs>
        <w:ind w:left="5760" w:hanging="360"/>
      </w:pPr>
    </w:lvl>
    <w:lvl w:ilvl="8" w:tplc="5C06B3C8" w:tentative="1">
      <w:start w:val="1"/>
      <w:numFmt w:val="lowerRoman"/>
      <w:lvlText w:val="%9."/>
      <w:lvlJc w:val="right"/>
      <w:pPr>
        <w:tabs>
          <w:tab w:val="num" w:pos="6480"/>
        </w:tabs>
        <w:ind w:left="6480" w:hanging="180"/>
      </w:pPr>
    </w:lvl>
  </w:abstractNum>
  <w:abstractNum w:abstractNumId="32" w15:restartNumberingAfterBreak="0">
    <w:nsid w:val="769A42AA"/>
    <w:multiLevelType w:val="hybridMultilevel"/>
    <w:tmpl w:val="538481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B52F6"/>
    <w:multiLevelType w:val="hybridMultilevel"/>
    <w:tmpl w:val="B7EC6880"/>
    <w:lvl w:ilvl="0" w:tplc="B386CAC8">
      <w:start w:val="1"/>
      <w:numFmt w:val="decimal"/>
      <w:lvlText w:val="%1."/>
      <w:lvlJc w:val="left"/>
      <w:pPr>
        <w:tabs>
          <w:tab w:val="num" w:pos="360"/>
        </w:tabs>
        <w:ind w:left="360" w:hanging="360"/>
      </w:pPr>
    </w:lvl>
    <w:lvl w:ilvl="1" w:tplc="EB3C1828" w:tentative="1">
      <w:start w:val="1"/>
      <w:numFmt w:val="lowerLetter"/>
      <w:lvlText w:val="%2."/>
      <w:lvlJc w:val="left"/>
      <w:pPr>
        <w:tabs>
          <w:tab w:val="num" w:pos="1080"/>
        </w:tabs>
        <w:ind w:left="1080" w:hanging="360"/>
      </w:pPr>
    </w:lvl>
    <w:lvl w:ilvl="2" w:tplc="0882D768" w:tentative="1">
      <w:start w:val="1"/>
      <w:numFmt w:val="lowerRoman"/>
      <w:lvlText w:val="%3."/>
      <w:lvlJc w:val="right"/>
      <w:pPr>
        <w:tabs>
          <w:tab w:val="num" w:pos="1800"/>
        </w:tabs>
        <w:ind w:left="1800" w:hanging="180"/>
      </w:pPr>
    </w:lvl>
    <w:lvl w:ilvl="3" w:tplc="293EB148" w:tentative="1">
      <w:start w:val="1"/>
      <w:numFmt w:val="decimal"/>
      <w:lvlText w:val="%4."/>
      <w:lvlJc w:val="left"/>
      <w:pPr>
        <w:tabs>
          <w:tab w:val="num" w:pos="2520"/>
        </w:tabs>
        <w:ind w:left="2520" w:hanging="360"/>
      </w:pPr>
    </w:lvl>
    <w:lvl w:ilvl="4" w:tplc="9E56F26E" w:tentative="1">
      <w:start w:val="1"/>
      <w:numFmt w:val="lowerLetter"/>
      <w:lvlText w:val="%5."/>
      <w:lvlJc w:val="left"/>
      <w:pPr>
        <w:tabs>
          <w:tab w:val="num" w:pos="3240"/>
        </w:tabs>
        <w:ind w:left="3240" w:hanging="360"/>
      </w:pPr>
    </w:lvl>
    <w:lvl w:ilvl="5" w:tplc="10A26812" w:tentative="1">
      <w:start w:val="1"/>
      <w:numFmt w:val="lowerRoman"/>
      <w:lvlText w:val="%6."/>
      <w:lvlJc w:val="right"/>
      <w:pPr>
        <w:tabs>
          <w:tab w:val="num" w:pos="3960"/>
        </w:tabs>
        <w:ind w:left="3960" w:hanging="180"/>
      </w:pPr>
    </w:lvl>
    <w:lvl w:ilvl="6" w:tplc="015EC568" w:tentative="1">
      <w:start w:val="1"/>
      <w:numFmt w:val="decimal"/>
      <w:lvlText w:val="%7."/>
      <w:lvlJc w:val="left"/>
      <w:pPr>
        <w:tabs>
          <w:tab w:val="num" w:pos="4680"/>
        </w:tabs>
        <w:ind w:left="4680" w:hanging="360"/>
      </w:pPr>
    </w:lvl>
    <w:lvl w:ilvl="7" w:tplc="C7E2A982" w:tentative="1">
      <w:start w:val="1"/>
      <w:numFmt w:val="lowerLetter"/>
      <w:lvlText w:val="%8."/>
      <w:lvlJc w:val="left"/>
      <w:pPr>
        <w:tabs>
          <w:tab w:val="num" w:pos="5400"/>
        </w:tabs>
        <w:ind w:left="5400" w:hanging="360"/>
      </w:pPr>
    </w:lvl>
    <w:lvl w:ilvl="8" w:tplc="9350D288" w:tentative="1">
      <w:start w:val="1"/>
      <w:numFmt w:val="lowerRoman"/>
      <w:lvlText w:val="%9."/>
      <w:lvlJc w:val="right"/>
      <w:pPr>
        <w:tabs>
          <w:tab w:val="num" w:pos="6120"/>
        </w:tabs>
        <w:ind w:left="6120" w:hanging="180"/>
      </w:pPr>
    </w:lvl>
  </w:abstractNum>
  <w:abstractNum w:abstractNumId="34" w15:restartNumberingAfterBreak="0">
    <w:nsid w:val="7F5C3544"/>
    <w:multiLevelType w:val="hybridMultilevel"/>
    <w:tmpl w:val="77EE4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674848">
    <w:abstractNumId w:val="0"/>
    <w:lvlOverride w:ilvl="0">
      <w:lvl w:ilvl="0">
        <w:start w:val="1"/>
        <w:numFmt w:val="bullet"/>
        <w:lvlText w:val="-"/>
        <w:legacy w:legacy="1" w:legacySpace="0" w:legacyIndent="360"/>
        <w:lvlJc w:val="left"/>
        <w:pPr>
          <w:ind w:left="360" w:hanging="360"/>
        </w:pPr>
      </w:lvl>
    </w:lvlOverride>
  </w:num>
  <w:num w:numId="2" w16cid:durableId="11291326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35552293">
    <w:abstractNumId w:val="29"/>
  </w:num>
  <w:num w:numId="4" w16cid:durableId="115026007">
    <w:abstractNumId w:val="27"/>
  </w:num>
  <w:num w:numId="5" w16cid:durableId="517089484">
    <w:abstractNumId w:val="12"/>
  </w:num>
  <w:num w:numId="6" w16cid:durableId="52198598">
    <w:abstractNumId w:val="23"/>
  </w:num>
  <w:num w:numId="7" w16cid:durableId="1904901942">
    <w:abstractNumId w:val="18"/>
  </w:num>
  <w:num w:numId="8" w16cid:durableId="1330787592">
    <w:abstractNumId w:val="7"/>
  </w:num>
  <w:num w:numId="9" w16cid:durableId="1109621219">
    <w:abstractNumId w:val="26"/>
  </w:num>
  <w:num w:numId="10" w16cid:durableId="1229535667">
    <w:abstractNumId w:val="20"/>
  </w:num>
  <w:num w:numId="11" w16cid:durableId="1584031253">
    <w:abstractNumId w:val="28"/>
  </w:num>
  <w:num w:numId="12" w16cid:durableId="972294804">
    <w:abstractNumId w:val="4"/>
  </w:num>
  <w:num w:numId="13" w16cid:durableId="126822599">
    <w:abstractNumId w:val="9"/>
  </w:num>
  <w:num w:numId="14" w16cid:durableId="305008543">
    <w:abstractNumId w:val="33"/>
  </w:num>
  <w:num w:numId="15" w16cid:durableId="973559464">
    <w:abstractNumId w:val="31"/>
  </w:num>
  <w:num w:numId="16" w16cid:durableId="891499141">
    <w:abstractNumId w:val="21"/>
  </w:num>
  <w:num w:numId="17" w16cid:durableId="1365400034">
    <w:abstractNumId w:val="16"/>
  </w:num>
  <w:num w:numId="18" w16cid:durableId="1487939990">
    <w:abstractNumId w:val="3"/>
  </w:num>
  <w:num w:numId="19" w16cid:durableId="446583196">
    <w:abstractNumId w:val="13"/>
  </w:num>
  <w:num w:numId="20" w16cid:durableId="276134700">
    <w:abstractNumId w:val="14"/>
  </w:num>
  <w:num w:numId="21" w16cid:durableId="1910993774">
    <w:abstractNumId w:val="22"/>
  </w:num>
  <w:num w:numId="22" w16cid:durableId="819927611">
    <w:abstractNumId w:val="1"/>
  </w:num>
  <w:num w:numId="23" w16cid:durableId="1554777194">
    <w:abstractNumId w:val="32"/>
  </w:num>
  <w:num w:numId="24" w16cid:durableId="554507701">
    <w:abstractNumId w:val="30"/>
  </w:num>
  <w:num w:numId="25" w16cid:durableId="1040477505">
    <w:abstractNumId w:val="24"/>
  </w:num>
  <w:num w:numId="26" w16cid:durableId="810831761">
    <w:abstractNumId w:val="6"/>
  </w:num>
  <w:num w:numId="27" w16cid:durableId="520827797">
    <w:abstractNumId w:val="11"/>
  </w:num>
  <w:num w:numId="28" w16cid:durableId="1436437844">
    <w:abstractNumId w:val="8"/>
  </w:num>
  <w:num w:numId="29" w16cid:durableId="1740781880">
    <w:abstractNumId w:val="17"/>
  </w:num>
  <w:num w:numId="30" w16cid:durableId="2065057492">
    <w:abstractNumId w:val="2"/>
  </w:num>
  <w:num w:numId="31" w16cid:durableId="271740926">
    <w:abstractNumId w:val="19"/>
  </w:num>
  <w:num w:numId="32" w16cid:durableId="389159610">
    <w:abstractNumId w:val="34"/>
  </w:num>
  <w:num w:numId="33" w16cid:durableId="716665623">
    <w:abstractNumId w:val="25"/>
  </w:num>
  <w:num w:numId="34" w16cid:durableId="1397127703">
    <w:abstractNumId w:val="10"/>
  </w:num>
  <w:num w:numId="35" w16cid:durableId="1787844019">
    <w:abstractNumId w:val="5"/>
  </w:num>
  <w:num w:numId="36" w16cid:durableId="6699137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03FB"/>
    <w:rsid w:val="00001D78"/>
    <w:rsid w:val="00002CC2"/>
    <w:rsid w:val="00006F4C"/>
    <w:rsid w:val="0000722C"/>
    <w:rsid w:val="000174DB"/>
    <w:rsid w:val="00020C95"/>
    <w:rsid w:val="00022295"/>
    <w:rsid w:val="000235FD"/>
    <w:rsid w:val="000328DD"/>
    <w:rsid w:val="00033061"/>
    <w:rsid w:val="00033516"/>
    <w:rsid w:val="00047156"/>
    <w:rsid w:val="000502D6"/>
    <w:rsid w:val="000531F0"/>
    <w:rsid w:val="000535C0"/>
    <w:rsid w:val="00067D94"/>
    <w:rsid w:val="0007753D"/>
    <w:rsid w:val="000802BB"/>
    <w:rsid w:val="00081F8A"/>
    <w:rsid w:val="00083B2F"/>
    <w:rsid w:val="000A2D24"/>
    <w:rsid w:val="000A5FA6"/>
    <w:rsid w:val="000B1F30"/>
    <w:rsid w:val="000B367B"/>
    <w:rsid w:val="000C4A6B"/>
    <w:rsid w:val="000C61CB"/>
    <w:rsid w:val="000D074E"/>
    <w:rsid w:val="000D7A48"/>
    <w:rsid w:val="000E09A7"/>
    <w:rsid w:val="000E6CD5"/>
    <w:rsid w:val="000E72E4"/>
    <w:rsid w:val="000F29D2"/>
    <w:rsid w:val="000F4516"/>
    <w:rsid w:val="000F71E6"/>
    <w:rsid w:val="0010226E"/>
    <w:rsid w:val="00106702"/>
    <w:rsid w:val="00106DE1"/>
    <w:rsid w:val="00111F6F"/>
    <w:rsid w:val="00113A9A"/>
    <w:rsid w:val="00117E6F"/>
    <w:rsid w:val="00121C5E"/>
    <w:rsid w:val="00125D8A"/>
    <w:rsid w:val="00127324"/>
    <w:rsid w:val="0013092A"/>
    <w:rsid w:val="00132092"/>
    <w:rsid w:val="00133CDB"/>
    <w:rsid w:val="0013440A"/>
    <w:rsid w:val="00135C1E"/>
    <w:rsid w:val="001400C6"/>
    <w:rsid w:val="00143320"/>
    <w:rsid w:val="0015082E"/>
    <w:rsid w:val="00152A35"/>
    <w:rsid w:val="001549D6"/>
    <w:rsid w:val="001550FB"/>
    <w:rsid w:val="0016329F"/>
    <w:rsid w:val="00165887"/>
    <w:rsid w:val="00166F7A"/>
    <w:rsid w:val="00171350"/>
    <w:rsid w:val="0017355A"/>
    <w:rsid w:val="00173936"/>
    <w:rsid w:val="0017424E"/>
    <w:rsid w:val="00174C2A"/>
    <w:rsid w:val="00176DD3"/>
    <w:rsid w:val="0017731A"/>
    <w:rsid w:val="00191A71"/>
    <w:rsid w:val="001945B4"/>
    <w:rsid w:val="001B3C0B"/>
    <w:rsid w:val="001C3EDE"/>
    <w:rsid w:val="001D0FE7"/>
    <w:rsid w:val="001D29AD"/>
    <w:rsid w:val="001D37B5"/>
    <w:rsid w:val="001F40CC"/>
    <w:rsid w:val="001F6B00"/>
    <w:rsid w:val="0020023E"/>
    <w:rsid w:val="00200E68"/>
    <w:rsid w:val="00204C37"/>
    <w:rsid w:val="0020587A"/>
    <w:rsid w:val="00205D51"/>
    <w:rsid w:val="00206FE3"/>
    <w:rsid w:val="002133B5"/>
    <w:rsid w:val="002214B2"/>
    <w:rsid w:val="002362A1"/>
    <w:rsid w:val="00250339"/>
    <w:rsid w:val="00261D24"/>
    <w:rsid w:val="0026357D"/>
    <w:rsid w:val="00264794"/>
    <w:rsid w:val="00273FDB"/>
    <w:rsid w:val="0027668E"/>
    <w:rsid w:val="00282286"/>
    <w:rsid w:val="00285F9A"/>
    <w:rsid w:val="00297165"/>
    <w:rsid w:val="002A5A82"/>
    <w:rsid w:val="002A61E1"/>
    <w:rsid w:val="002A7161"/>
    <w:rsid w:val="002B5EFC"/>
    <w:rsid w:val="002B7FDE"/>
    <w:rsid w:val="002C629B"/>
    <w:rsid w:val="002E6194"/>
    <w:rsid w:val="002E6643"/>
    <w:rsid w:val="002E7566"/>
    <w:rsid w:val="002F4FE4"/>
    <w:rsid w:val="00302BAC"/>
    <w:rsid w:val="00304243"/>
    <w:rsid w:val="00310B93"/>
    <w:rsid w:val="00320AF5"/>
    <w:rsid w:val="003448C6"/>
    <w:rsid w:val="00344AA6"/>
    <w:rsid w:val="003502D1"/>
    <w:rsid w:val="00355E96"/>
    <w:rsid w:val="0035750F"/>
    <w:rsid w:val="0036012D"/>
    <w:rsid w:val="003642F4"/>
    <w:rsid w:val="00364DCD"/>
    <w:rsid w:val="003651F4"/>
    <w:rsid w:val="003662BE"/>
    <w:rsid w:val="00366581"/>
    <w:rsid w:val="00376990"/>
    <w:rsid w:val="00384EF9"/>
    <w:rsid w:val="00392A08"/>
    <w:rsid w:val="00392D1F"/>
    <w:rsid w:val="00397B67"/>
    <w:rsid w:val="003A34E9"/>
    <w:rsid w:val="003B0FF0"/>
    <w:rsid w:val="003B4753"/>
    <w:rsid w:val="003B5C38"/>
    <w:rsid w:val="003C0ED4"/>
    <w:rsid w:val="003D21CC"/>
    <w:rsid w:val="003D5F90"/>
    <w:rsid w:val="003E09EF"/>
    <w:rsid w:val="003E4528"/>
    <w:rsid w:val="003E5910"/>
    <w:rsid w:val="003F6B24"/>
    <w:rsid w:val="00402556"/>
    <w:rsid w:val="00402F09"/>
    <w:rsid w:val="00411995"/>
    <w:rsid w:val="004124E9"/>
    <w:rsid w:val="00413A30"/>
    <w:rsid w:val="00431088"/>
    <w:rsid w:val="004313AE"/>
    <w:rsid w:val="00434CCE"/>
    <w:rsid w:val="00452BE1"/>
    <w:rsid w:val="00454015"/>
    <w:rsid w:val="00456979"/>
    <w:rsid w:val="00457F98"/>
    <w:rsid w:val="00463269"/>
    <w:rsid w:val="004650E4"/>
    <w:rsid w:val="00465F40"/>
    <w:rsid w:val="00487D7A"/>
    <w:rsid w:val="00487E4A"/>
    <w:rsid w:val="00494905"/>
    <w:rsid w:val="004A0BA7"/>
    <w:rsid w:val="004A5FFE"/>
    <w:rsid w:val="004B588D"/>
    <w:rsid w:val="004B5AE1"/>
    <w:rsid w:val="004C3423"/>
    <w:rsid w:val="004C3B43"/>
    <w:rsid w:val="004D271B"/>
    <w:rsid w:val="004D591D"/>
    <w:rsid w:val="004E461A"/>
    <w:rsid w:val="004E764D"/>
    <w:rsid w:val="004F3C23"/>
    <w:rsid w:val="0050077F"/>
    <w:rsid w:val="00503EC2"/>
    <w:rsid w:val="00507519"/>
    <w:rsid w:val="00511CAF"/>
    <w:rsid w:val="00514157"/>
    <w:rsid w:val="00524BD9"/>
    <w:rsid w:val="00532635"/>
    <w:rsid w:val="005473FE"/>
    <w:rsid w:val="00551EC9"/>
    <w:rsid w:val="0055610E"/>
    <w:rsid w:val="00556D0F"/>
    <w:rsid w:val="005647B1"/>
    <w:rsid w:val="005656A8"/>
    <w:rsid w:val="00565B11"/>
    <w:rsid w:val="00570396"/>
    <w:rsid w:val="005742C8"/>
    <w:rsid w:val="00575204"/>
    <w:rsid w:val="005A0D7B"/>
    <w:rsid w:val="005A5B8A"/>
    <w:rsid w:val="005C2D15"/>
    <w:rsid w:val="005C7C3A"/>
    <w:rsid w:val="005D2535"/>
    <w:rsid w:val="005D4E04"/>
    <w:rsid w:val="005F6B45"/>
    <w:rsid w:val="006077A0"/>
    <w:rsid w:val="0061299A"/>
    <w:rsid w:val="00612CD2"/>
    <w:rsid w:val="00612D5B"/>
    <w:rsid w:val="0062783E"/>
    <w:rsid w:val="00644D26"/>
    <w:rsid w:val="00645687"/>
    <w:rsid w:val="00654DB9"/>
    <w:rsid w:val="00656FCD"/>
    <w:rsid w:val="006609D5"/>
    <w:rsid w:val="0067229D"/>
    <w:rsid w:val="006731D6"/>
    <w:rsid w:val="006748A1"/>
    <w:rsid w:val="0068129F"/>
    <w:rsid w:val="006878EC"/>
    <w:rsid w:val="006901F1"/>
    <w:rsid w:val="006937C5"/>
    <w:rsid w:val="00694CD6"/>
    <w:rsid w:val="006A1C69"/>
    <w:rsid w:val="006A6775"/>
    <w:rsid w:val="006A76A5"/>
    <w:rsid w:val="006B35EF"/>
    <w:rsid w:val="006B5B51"/>
    <w:rsid w:val="006B66E4"/>
    <w:rsid w:val="006B6D68"/>
    <w:rsid w:val="006B7DCE"/>
    <w:rsid w:val="006C1EE1"/>
    <w:rsid w:val="006C6A11"/>
    <w:rsid w:val="006D1D2B"/>
    <w:rsid w:val="006E77CB"/>
    <w:rsid w:val="006F1008"/>
    <w:rsid w:val="006F1885"/>
    <w:rsid w:val="00705D29"/>
    <w:rsid w:val="0071303C"/>
    <w:rsid w:val="00721416"/>
    <w:rsid w:val="007226E0"/>
    <w:rsid w:val="00723557"/>
    <w:rsid w:val="007240AA"/>
    <w:rsid w:val="0072506A"/>
    <w:rsid w:val="00733255"/>
    <w:rsid w:val="00734C57"/>
    <w:rsid w:val="007419C2"/>
    <w:rsid w:val="00744090"/>
    <w:rsid w:val="00746F67"/>
    <w:rsid w:val="0075170E"/>
    <w:rsid w:val="00770166"/>
    <w:rsid w:val="007779D1"/>
    <w:rsid w:val="007856F2"/>
    <w:rsid w:val="0079357E"/>
    <w:rsid w:val="00796B9B"/>
    <w:rsid w:val="007A0102"/>
    <w:rsid w:val="007B0320"/>
    <w:rsid w:val="007B2924"/>
    <w:rsid w:val="007B627F"/>
    <w:rsid w:val="007D7144"/>
    <w:rsid w:val="007E009F"/>
    <w:rsid w:val="007E1441"/>
    <w:rsid w:val="007F079E"/>
    <w:rsid w:val="007F6F1A"/>
    <w:rsid w:val="00800E45"/>
    <w:rsid w:val="008029D8"/>
    <w:rsid w:val="00804933"/>
    <w:rsid w:val="00806DB9"/>
    <w:rsid w:val="008167C6"/>
    <w:rsid w:val="00821D0A"/>
    <w:rsid w:val="0082246A"/>
    <w:rsid w:val="00826195"/>
    <w:rsid w:val="0082641B"/>
    <w:rsid w:val="00841879"/>
    <w:rsid w:val="00842E64"/>
    <w:rsid w:val="00846418"/>
    <w:rsid w:val="00855AAD"/>
    <w:rsid w:val="00865F72"/>
    <w:rsid w:val="00870E9B"/>
    <w:rsid w:val="008726E3"/>
    <w:rsid w:val="00874715"/>
    <w:rsid w:val="008806F9"/>
    <w:rsid w:val="0088508A"/>
    <w:rsid w:val="0088703C"/>
    <w:rsid w:val="008871B0"/>
    <w:rsid w:val="0088729D"/>
    <w:rsid w:val="0088790A"/>
    <w:rsid w:val="00892E4E"/>
    <w:rsid w:val="008A6E13"/>
    <w:rsid w:val="008B16E1"/>
    <w:rsid w:val="008B1EB3"/>
    <w:rsid w:val="008B345C"/>
    <w:rsid w:val="008B4A52"/>
    <w:rsid w:val="008C59E2"/>
    <w:rsid w:val="008E1135"/>
    <w:rsid w:val="008E47ED"/>
    <w:rsid w:val="008F26B5"/>
    <w:rsid w:val="00901D15"/>
    <w:rsid w:val="00910F65"/>
    <w:rsid w:val="0091143B"/>
    <w:rsid w:val="00911DDF"/>
    <w:rsid w:val="00915A9E"/>
    <w:rsid w:val="0092508B"/>
    <w:rsid w:val="00930DF2"/>
    <w:rsid w:val="00933BD5"/>
    <w:rsid w:val="00944384"/>
    <w:rsid w:val="009451A8"/>
    <w:rsid w:val="00952955"/>
    <w:rsid w:val="00953E29"/>
    <w:rsid w:val="00953EC0"/>
    <w:rsid w:val="0095616F"/>
    <w:rsid w:val="00960884"/>
    <w:rsid w:val="0097039A"/>
    <w:rsid w:val="009710D6"/>
    <w:rsid w:val="00972808"/>
    <w:rsid w:val="0097548A"/>
    <w:rsid w:val="00975CD2"/>
    <w:rsid w:val="009765AB"/>
    <w:rsid w:val="00980C1E"/>
    <w:rsid w:val="00981BC3"/>
    <w:rsid w:val="00985101"/>
    <w:rsid w:val="0098512F"/>
    <w:rsid w:val="00987C7B"/>
    <w:rsid w:val="00991A58"/>
    <w:rsid w:val="00996121"/>
    <w:rsid w:val="00996C31"/>
    <w:rsid w:val="009A5E66"/>
    <w:rsid w:val="009C141A"/>
    <w:rsid w:val="009C5A02"/>
    <w:rsid w:val="009C74AE"/>
    <w:rsid w:val="009D0443"/>
    <w:rsid w:val="009D7B0B"/>
    <w:rsid w:val="009E61FF"/>
    <w:rsid w:val="009E70C5"/>
    <w:rsid w:val="009F66E2"/>
    <w:rsid w:val="00A0046D"/>
    <w:rsid w:val="00A07E21"/>
    <w:rsid w:val="00A12EA6"/>
    <w:rsid w:val="00A146BB"/>
    <w:rsid w:val="00A152BC"/>
    <w:rsid w:val="00A16429"/>
    <w:rsid w:val="00A170C5"/>
    <w:rsid w:val="00A243D8"/>
    <w:rsid w:val="00A3078D"/>
    <w:rsid w:val="00A31AB3"/>
    <w:rsid w:val="00A41BF7"/>
    <w:rsid w:val="00A5743C"/>
    <w:rsid w:val="00A71FBA"/>
    <w:rsid w:val="00A81339"/>
    <w:rsid w:val="00A85D34"/>
    <w:rsid w:val="00A9036F"/>
    <w:rsid w:val="00AA191F"/>
    <w:rsid w:val="00AB5116"/>
    <w:rsid w:val="00AB5426"/>
    <w:rsid w:val="00AC7184"/>
    <w:rsid w:val="00AD4C34"/>
    <w:rsid w:val="00AD7124"/>
    <w:rsid w:val="00AE2AFB"/>
    <w:rsid w:val="00AE33F7"/>
    <w:rsid w:val="00AF7200"/>
    <w:rsid w:val="00AF7829"/>
    <w:rsid w:val="00B00F71"/>
    <w:rsid w:val="00B14CD8"/>
    <w:rsid w:val="00B27D6D"/>
    <w:rsid w:val="00B305FD"/>
    <w:rsid w:val="00B35171"/>
    <w:rsid w:val="00B47451"/>
    <w:rsid w:val="00B47BC3"/>
    <w:rsid w:val="00B54420"/>
    <w:rsid w:val="00B55366"/>
    <w:rsid w:val="00B60DD2"/>
    <w:rsid w:val="00B667C8"/>
    <w:rsid w:val="00B73742"/>
    <w:rsid w:val="00B77803"/>
    <w:rsid w:val="00B84AD3"/>
    <w:rsid w:val="00B9121A"/>
    <w:rsid w:val="00B918B6"/>
    <w:rsid w:val="00B93291"/>
    <w:rsid w:val="00B94087"/>
    <w:rsid w:val="00BA2050"/>
    <w:rsid w:val="00BA4E56"/>
    <w:rsid w:val="00BB107B"/>
    <w:rsid w:val="00BB4728"/>
    <w:rsid w:val="00BC432B"/>
    <w:rsid w:val="00BE0A15"/>
    <w:rsid w:val="00BE471D"/>
    <w:rsid w:val="00BF212A"/>
    <w:rsid w:val="00BF3296"/>
    <w:rsid w:val="00C02A17"/>
    <w:rsid w:val="00C05C34"/>
    <w:rsid w:val="00C0787C"/>
    <w:rsid w:val="00C1388A"/>
    <w:rsid w:val="00C16020"/>
    <w:rsid w:val="00C17973"/>
    <w:rsid w:val="00C24EAE"/>
    <w:rsid w:val="00C255E0"/>
    <w:rsid w:val="00C422A7"/>
    <w:rsid w:val="00C45907"/>
    <w:rsid w:val="00C54608"/>
    <w:rsid w:val="00C63046"/>
    <w:rsid w:val="00C630D9"/>
    <w:rsid w:val="00C72656"/>
    <w:rsid w:val="00C7465E"/>
    <w:rsid w:val="00C85F68"/>
    <w:rsid w:val="00C92A04"/>
    <w:rsid w:val="00CA4B8B"/>
    <w:rsid w:val="00CB5A2B"/>
    <w:rsid w:val="00CC2412"/>
    <w:rsid w:val="00CC4E9B"/>
    <w:rsid w:val="00CD10AA"/>
    <w:rsid w:val="00CD2E1C"/>
    <w:rsid w:val="00CD356F"/>
    <w:rsid w:val="00CF1E9D"/>
    <w:rsid w:val="00CF2163"/>
    <w:rsid w:val="00CF33EC"/>
    <w:rsid w:val="00CF7C84"/>
    <w:rsid w:val="00D04831"/>
    <w:rsid w:val="00D14E21"/>
    <w:rsid w:val="00D22029"/>
    <w:rsid w:val="00D228D2"/>
    <w:rsid w:val="00D231AF"/>
    <w:rsid w:val="00D257F8"/>
    <w:rsid w:val="00D27362"/>
    <w:rsid w:val="00D3695E"/>
    <w:rsid w:val="00D4124F"/>
    <w:rsid w:val="00D6136B"/>
    <w:rsid w:val="00D6219F"/>
    <w:rsid w:val="00D66B58"/>
    <w:rsid w:val="00D816C4"/>
    <w:rsid w:val="00D85772"/>
    <w:rsid w:val="00D9220D"/>
    <w:rsid w:val="00D94C7F"/>
    <w:rsid w:val="00D96B64"/>
    <w:rsid w:val="00DA7190"/>
    <w:rsid w:val="00DB7DFE"/>
    <w:rsid w:val="00DC0582"/>
    <w:rsid w:val="00DC072C"/>
    <w:rsid w:val="00DC66A7"/>
    <w:rsid w:val="00DD5C34"/>
    <w:rsid w:val="00DD6158"/>
    <w:rsid w:val="00DD75E5"/>
    <w:rsid w:val="00DE3DCB"/>
    <w:rsid w:val="00DE4BCB"/>
    <w:rsid w:val="00DF15FB"/>
    <w:rsid w:val="00DF4CA5"/>
    <w:rsid w:val="00DF5D5C"/>
    <w:rsid w:val="00E01AD2"/>
    <w:rsid w:val="00E02000"/>
    <w:rsid w:val="00E11F9F"/>
    <w:rsid w:val="00E12A00"/>
    <w:rsid w:val="00E14A72"/>
    <w:rsid w:val="00E1568B"/>
    <w:rsid w:val="00E1735A"/>
    <w:rsid w:val="00E17A75"/>
    <w:rsid w:val="00E2542E"/>
    <w:rsid w:val="00E25F94"/>
    <w:rsid w:val="00E35C49"/>
    <w:rsid w:val="00E40DB0"/>
    <w:rsid w:val="00E53972"/>
    <w:rsid w:val="00E539FF"/>
    <w:rsid w:val="00E569E6"/>
    <w:rsid w:val="00E6306B"/>
    <w:rsid w:val="00E63580"/>
    <w:rsid w:val="00E64E8C"/>
    <w:rsid w:val="00E7067F"/>
    <w:rsid w:val="00E82A40"/>
    <w:rsid w:val="00E83D30"/>
    <w:rsid w:val="00E86EB0"/>
    <w:rsid w:val="00E87F00"/>
    <w:rsid w:val="00E92CB6"/>
    <w:rsid w:val="00EA0142"/>
    <w:rsid w:val="00EA0D42"/>
    <w:rsid w:val="00EA0DAD"/>
    <w:rsid w:val="00EA4EDE"/>
    <w:rsid w:val="00EA6310"/>
    <w:rsid w:val="00EB142D"/>
    <w:rsid w:val="00EB14BB"/>
    <w:rsid w:val="00EB4D97"/>
    <w:rsid w:val="00EC0807"/>
    <w:rsid w:val="00EC38F4"/>
    <w:rsid w:val="00ED4652"/>
    <w:rsid w:val="00ED7507"/>
    <w:rsid w:val="00ED7FA0"/>
    <w:rsid w:val="00EE3377"/>
    <w:rsid w:val="00EE686D"/>
    <w:rsid w:val="00EF5B2C"/>
    <w:rsid w:val="00F02B22"/>
    <w:rsid w:val="00F03511"/>
    <w:rsid w:val="00F06A0C"/>
    <w:rsid w:val="00F1595E"/>
    <w:rsid w:val="00F27009"/>
    <w:rsid w:val="00F311D8"/>
    <w:rsid w:val="00F31302"/>
    <w:rsid w:val="00F34B82"/>
    <w:rsid w:val="00F36843"/>
    <w:rsid w:val="00F41417"/>
    <w:rsid w:val="00F41868"/>
    <w:rsid w:val="00F42F5D"/>
    <w:rsid w:val="00F44A1A"/>
    <w:rsid w:val="00F468C4"/>
    <w:rsid w:val="00F46DB8"/>
    <w:rsid w:val="00F47D07"/>
    <w:rsid w:val="00F50C4D"/>
    <w:rsid w:val="00F70660"/>
    <w:rsid w:val="00F74B6A"/>
    <w:rsid w:val="00F7536C"/>
    <w:rsid w:val="00F8203C"/>
    <w:rsid w:val="00F835F2"/>
    <w:rsid w:val="00F8600A"/>
    <w:rsid w:val="00F944D3"/>
    <w:rsid w:val="00FA03F8"/>
    <w:rsid w:val="00FA0D4C"/>
    <w:rsid w:val="00FA3562"/>
    <w:rsid w:val="00FB475A"/>
    <w:rsid w:val="00FB67DA"/>
    <w:rsid w:val="00FC17DA"/>
    <w:rsid w:val="00FC3C89"/>
    <w:rsid w:val="00FC78CD"/>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552D0F"/>
  <w15:chartTrackingRefBased/>
  <w15:docId w15:val="{C36D2CFF-1A2E-4D89-A211-7A4824FA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styleId="BodyText">
    <w:name w:val="Body Text"/>
    <w:basedOn w:val="Normal"/>
    <w:link w:val="BodyTextChar"/>
    <w:rsid w:val="00C85F68"/>
    <w:pPr>
      <w:spacing w:after="120"/>
    </w:pPr>
    <w:rPr>
      <w:lang w:val="x-none"/>
    </w:rPr>
  </w:style>
  <w:style w:type="character" w:customStyle="1" w:styleId="BodyTextChar">
    <w:name w:val="Body Text Char"/>
    <w:link w:val="BodyText"/>
    <w:rsid w:val="00C85F68"/>
    <w:rPr>
      <w:sz w:val="22"/>
      <w:lang w:eastAsia="en-US"/>
    </w:rPr>
  </w:style>
  <w:style w:type="character" w:customStyle="1" w:styleId="tw4winJump">
    <w:name w:val="tw4winJump"/>
    <w:rsid w:val="00143320"/>
    <w:rPr>
      <w:rFonts w:ascii="Courier New" w:hAnsi="Courier New"/>
      <w:noProof/>
      <w:color w:val="008080"/>
    </w:rPr>
  </w:style>
  <w:style w:type="paragraph" w:styleId="Revision">
    <w:name w:val="Revision"/>
    <w:hidden/>
    <w:uiPriority w:val="99"/>
    <w:semiHidden/>
    <w:rsid w:val="00487E4A"/>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va.gov.l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EEBAE-F932-4411-9CDC-05549B6025C4}">
  <ds:schemaRefs>
    <ds:schemaRef ds:uri="http://schemas.openxmlformats.org/officeDocument/2006/bibliography"/>
  </ds:schemaRefs>
</ds:datastoreItem>
</file>

<file path=customXml/itemProps2.xml><?xml version="1.0" encoding="utf-8"?>
<ds:datastoreItem xmlns:ds="http://schemas.openxmlformats.org/officeDocument/2006/customXml" ds:itemID="{D437CFB6-7B26-44FF-B75B-983B076D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6215</Words>
  <Characters>42379</Characters>
  <Application>Microsoft Office Word</Application>
  <DocSecurity>0</DocSecurity>
  <Lines>353</Lines>
  <Paragraphs>96</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48498</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5</cp:revision>
  <cp:lastPrinted>2003-10-21T08:46:00Z</cp:lastPrinted>
  <dcterms:created xsi:type="dcterms:W3CDTF">2023-05-09T12:03:00Z</dcterms:created>
  <dcterms:modified xsi:type="dcterms:W3CDTF">2023-05-15T09:27:00Z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