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27FA" w14:textId="77777777" w:rsidR="00DE2B2C" w:rsidRPr="00520FC7" w:rsidRDefault="00DE2B2C" w:rsidP="00DE2B2C">
      <w:pPr>
        <w:tabs>
          <w:tab w:val="clear" w:pos="567"/>
        </w:tabs>
        <w:spacing w:line="240" w:lineRule="auto"/>
        <w:ind w:left="567" w:hanging="567"/>
        <w:jc w:val="center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ZĀĻU APRAKSTS</w:t>
      </w:r>
    </w:p>
    <w:p w14:paraId="324F652F" w14:textId="77777777" w:rsidR="00B80503" w:rsidRPr="00520FC7" w:rsidRDefault="00B80503" w:rsidP="00520FC7">
      <w:pPr>
        <w:rPr>
          <w:szCs w:val="22"/>
          <w:lang w:val="lv-LV"/>
        </w:rPr>
      </w:pPr>
    </w:p>
    <w:p w14:paraId="2AE97ADE" w14:textId="77777777" w:rsidR="00DE2B2C" w:rsidRPr="00520FC7" w:rsidRDefault="00DE2B2C" w:rsidP="00520FC7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1.</w:t>
      </w:r>
      <w:r w:rsidRPr="00520FC7">
        <w:rPr>
          <w:b/>
          <w:szCs w:val="22"/>
          <w:lang w:val="lv-LV"/>
        </w:rPr>
        <w:tab/>
        <w:t>ZĀĻU NOSAUKUMS</w:t>
      </w:r>
    </w:p>
    <w:p w14:paraId="5A1B525D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6533B112" w14:textId="77777777" w:rsidR="00DE2B2C" w:rsidRPr="00520FC7" w:rsidRDefault="00DE2B2C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Neiratax 100 mg/100 mg/1 mg/20 mg/2 ml šķīdums injekcijām</w:t>
      </w:r>
    </w:p>
    <w:p w14:paraId="0B1CDFFA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6DC92487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588B3D69" w14:textId="77777777" w:rsidR="00DE2B2C" w:rsidRPr="00520FC7" w:rsidRDefault="00DE2B2C" w:rsidP="00520FC7">
      <w:pPr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2.</w:t>
      </w:r>
      <w:r w:rsidRPr="00520FC7">
        <w:rPr>
          <w:b/>
          <w:szCs w:val="22"/>
          <w:lang w:val="lv-LV"/>
        </w:rPr>
        <w:tab/>
        <w:t>KVALITATĪVAIS UN KVANTITATĪVAIS SASTĀVS</w:t>
      </w:r>
    </w:p>
    <w:p w14:paraId="70BFD469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0A44B63C" w14:textId="77777777" w:rsidR="00EF79A4" w:rsidRPr="00520FC7" w:rsidRDefault="00EF79A4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1 ml šķīduma </w:t>
      </w:r>
      <w:r w:rsidR="00271AA8" w:rsidRPr="00520FC7">
        <w:rPr>
          <w:szCs w:val="22"/>
          <w:lang w:val="lv-LV"/>
        </w:rPr>
        <w:t xml:space="preserve">injekcijām </w:t>
      </w:r>
      <w:r w:rsidRPr="00520FC7">
        <w:rPr>
          <w:szCs w:val="22"/>
          <w:lang w:val="lv-LV"/>
        </w:rPr>
        <w:t>satur: 50 mg piridoksīna hidrohlorīda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6 </w:t>
      </w:r>
      <w:r w:rsidR="00E130FF" w:rsidRPr="00520FC7">
        <w:rPr>
          <w:szCs w:val="22"/>
          <w:lang w:val="lv-LV"/>
        </w:rPr>
        <w:t>vitamī</w:t>
      </w:r>
      <w:r w:rsidRPr="00520FC7">
        <w:rPr>
          <w:szCs w:val="22"/>
          <w:lang w:val="lv-LV"/>
        </w:rPr>
        <w:t>ns)</w:t>
      </w:r>
      <w:r w:rsidR="005A09AE" w:rsidRPr="00520FC7">
        <w:rPr>
          <w:szCs w:val="22"/>
          <w:lang w:val="lv-LV"/>
        </w:rPr>
        <w:t xml:space="preserve"> (</w:t>
      </w:r>
      <w:r w:rsidR="005A09AE" w:rsidRPr="00520FC7">
        <w:rPr>
          <w:rStyle w:val="Emphasis"/>
          <w:szCs w:val="22"/>
          <w:lang w:val="lv-LV"/>
        </w:rPr>
        <w:t>Pyridoxini hydrochloridum)</w:t>
      </w:r>
      <w:r w:rsidRPr="00520FC7">
        <w:rPr>
          <w:szCs w:val="22"/>
          <w:lang w:val="lv-LV"/>
        </w:rPr>
        <w:t>, 50 mg tiamīna hidrohlor</w:t>
      </w:r>
      <w:r w:rsidR="00E130FF" w:rsidRPr="00520FC7">
        <w:rPr>
          <w:szCs w:val="22"/>
          <w:lang w:val="lv-LV"/>
        </w:rPr>
        <w:t>īda</w:t>
      </w:r>
      <w:r w:rsidRPr="00520FC7">
        <w:rPr>
          <w:szCs w:val="22"/>
          <w:lang w:val="lv-LV"/>
        </w:rPr>
        <w:t xml:space="preserve">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1 </w:t>
      </w:r>
      <w:r w:rsidRPr="00520FC7">
        <w:rPr>
          <w:szCs w:val="22"/>
          <w:lang w:val="lv-LV"/>
        </w:rPr>
        <w:t>vitamīns)</w:t>
      </w:r>
      <w:r w:rsidR="005A09AE" w:rsidRPr="00520FC7">
        <w:rPr>
          <w:szCs w:val="22"/>
          <w:lang w:val="lv-LV"/>
        </w:rPr>
        <w:t xml:space="preserve"> (</w:t>
      </w:r>
      <w:r w:rsidR="005A09AE" w:rsidRPr="00520FC7">
        <w:rPr>
          <w:rStyle w:val="Emphasis"/>
          <w:szCs w:val="22"/>
          <w:lang w:val="lv-LV"/>
        </w:rPr>
        <w:t>Thiamini hydrochloridum)</w:t>
      </w:r>
      <w:r w:rsidRPr="00520FC7">
        <w:rPr>
          <w:szCs w:val="22"/>
          <w:lang w:val="lv-LV"/>
        </w:rPr>
        <w:t>, 0,5</w:t>
      </w:r>
      <w:r w:rsidR="00B164D1" w:rsidRPr="00520FC7">
        <w:rPr>
          <w:szCs w:val="22"/>
          <w:lang w:val="lv-LV"/>
        </w:rPr>
        <w:t> </w:t>
      </w:r>
      <w:r w:rsidRPr="00520FC7">
        <w:rPr>
          <w:szCs w:val="22"/>
          <w:lang w:val="lv-LV"/>
        </w:rPr>
        <w:t xml:space="preserve">mg </w:t>
      </w:r>
      <w:r w:rsidR="001F274E" w:rsidRPr="00520FC7">
        <w:rPr>
          <w:szCs w:val="22"/>
          <w:lang w:val="lv-LV"/>
        </w:rPr>
        <w:t>ciān</w:t>
      </w:r>
      <w:r w:rsidR="009A3CAD" w:rsidRPr="00520FC7">
        <w:rPr>
          <w:szCs w:val="22"/>
          <w:lang w:val="lv-LV"/>
        </w:rPr>
        <w:t>koba</w:t>
      </w:r>
      <w:r w:rsidRPr="00520FC7">
        <w:rPr>
          <w:szCs w:val="22"/>
          <w:lang w:val="lv-LV"/>
        </w:rPr>
        <w:t>lamīn</w:t>
      </w:r>
      <w:r w:rsidR="00E130FF" w:rsidRPr="00520FC7">
        <w:rPr>
          <w:szCs w:val="22"/>
          <w:lang w:val="lv-LV"/>
        </w:rPr>
        <w:t>a</w:t>
      </w:r>
      <w:r w:rsidRPr="00520FC7">
        <w:rPr>
          <w:szCs w:val="22"/>
          <w:lang w:val="lv-LV"/>
        </w:rPr>
        <w:t xml:space="preserve">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12 </w:t>
      </w:r>
      <w:r w:rsidRPr="00520FC7">
        <w:rPr>
          <w:szCs w:val="22"/>
          <w:lang w:val="lv-LV"/>
        </w:rPr>
        <w:t>vitamīns)</w:t>
      </w:r>
      <w:r w:rsidR="005A09AE" w:rsidRPr="00520FC7">
        <w:rPr>
          <w:szCs w:val="22"/>
          <w:lang w:val="lv-LV"/>
        </w:rPr>
        <w:t xml:space="preserve"> (</w:t>
      </w:r>
      <w:r w:rsidR="005A09AE" w:rsidRPr="00520FC7">
        <w:rPr>
          <w:rStyle w:val="Emphasis"/>
          <w:szCs w:val="22"/>
          <w:lang w:val="lv-LV"/>
        </w:rPr>
        <w:t>Cyanocobalaminum)</w:t>
      </w:r>
      <w:r w:rsidRPr="00520FC7">
        <w:rPr>
          <w:szCs w:val="22"/>
          <w:lang w:val="lv-LV"/>
        </w:rPr>
        <w:t>, 10 mg lidokaīna hidrohlorīda</w:t>
      </w:r>
      <w:r w:rsidR="005A09AE" w:rsidRPr="00520FC7">
        <w:rPr>
          <w:szCs w:val="22"/>
          <w:lang w:val="lv-LV"/>
        </w:rPr>
        <w:t xml:space="preserve"> (</w:t>
      </w:r>
      <w:r w:rsidR="005A09AE" w:rsidRPr="00520FC7">
        <w:rPr>
          <w:rStyle w:val="Emphasis"/>
          <w:szCs w:val="22"/>
          <w:lang w:val="lv-LV"/>
        </w:rPr>
        <w:t>Lidocaini hydrochloridum)</w:t>
      </w:r>
      <w:r w:rsidRPr="00520FC7">
        <w:rPr>
          <w:szCs w:val="22"/>
          <w:lang w:val="lv-LV"/>
        </w:rPr>
        <w:t>.</w:t>
      </w:r>
    </w:p>
    <w:p w14:paraId="090FD977" w14:textId="77777777" w:rsidR="00E130FF" w:rsidRPr="00520FC7" w:rsidRDefault="007D0319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Viena</w:t>
      </w:r>
      <w:r w:rsidR="00EF79A4" w:rsidRPr="00520FC7">
        <w:rPr>
          <w:szCs w:val="22"/>
          <w:lang w:val="lv-LV"/>
        </w:rPr>
        <w:t xml:space="preserve"> ampula </w:t>
      </w:r>
      <w:r w:rsidR="00E130FF" w:rsidRPr="00520FC7">
        <w:rPr>
          <w:szCs w:val="22"/>
          <w:lang w:val="lv-LV"/>
        </w:rPr>
        <w:t>(</w:t>
      </w:r>
      <w:r w:rsidR="00EF79A4" w:rsidRPr="00520FC7">
        <w:rPr>
          <w:szCs w:val="22"/>
          <w:lang w:val="lv-LV"/>
        </w:rPr>
        <w:t>2 ml</w:t>
      </w:r>
      <w:r w:rsidR="00E130FF" w:rsidRPr="00520FC7">
        <w:rPr>
          <w:szCs w:val="22"/>
          <w:lang w:val="lv-LV"/>
        </w:rPr>
        <w:t>)</w:t>
      </w:r>
      <w:r w:rsidR="00EF79A4" w:rsidRPr="00520FC7">
        <w:rPr>
          <w:szCs w:val="22"/>
          <w:lang w:val="lv-LV"/>
        </w:rPr>
        <w:t xml:space="preserve"> satur:</w:t>
      </w:r>
      <w:r w:rsidR="00E130FF" w:rsidRPr="00520FC7">
        <w:rPr>
          <w:szCs w:val="22"/>
          <w:lang w:val="lv-LV"/>
        </w:rPr>
        <w:t xml:space="preserve"> 100 mg piridoksīna hidrohlorīda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6 </w:t>
      </w:r>
      <w:r w:rsidR="00E130FF" w:rsidRPr="00520FC7">
        <w:rPr>
          <w:szCs w:val="22"/>
          <w:lang w:val="lv-LV"/>
        </w:rPr>
        <w:t>vitamīns), 100 mg tiamīna hidrohlorīda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1 </w:t>
      </w:r>
      <w:r w:rsidR="00E130FF" w:rsidRPr="00520FC7">
        <w:rPr>
          <w:szCs w:val="22"/>
          <w:lang w:val="lv-LV"/>
        </w:rPr>
        <w:t>vitamīns</w:t>
      </w:r>
      <w:r w:rsidR="001F274E" w:rsidRPr="00520FC7">
        <w:rPr>
          <w:szCs w:val="22"/>
          <w:lang w:val="lv-LV"/>
        </w:rPr>
        <w:t>), 1 mg ciān</w:t>
      </w:r>
      <w:r w:rsidR="009A3CAD" w:rsidRPr="00520FC7">
        <w:rPr>
          <w:szCs w:val="22"/>
          <w:lang w:val="lv-LV"/>
        </w:rPr>
        <w:t>koba</w:t>
      </w:r>
      <w:r w:rsidR="00E130FF" w:rsidRPr="00520FC7">
        <w:rPr>
          <w:szCs w:val="22"/>
          <w:lang w:val="lv-LV"/>
        </w:rPr>
        <w:t>lamīna (</w:t>
      </w:r>
      <w:r w:rsidR="005D1447" w:rsidRPr="00520FC7">
        <w:rPr>
          <w:szCs w:val="22"/>
          <w:lang w:val="lv-LV"/>
        </w:rPr>
        <w:t>B</w:t>
      </w:r>
      <w:r w:rsidR="005D1447" w:rsidRPr="00520FC7">
        <w:rPr>
          <w:szCs w:val="22"/>
          <w:vertAlign w:val="subscript"/>
          <w:lang w:val="lv-LV"/>
        </w:rPr>
        <w:t xml:space="preserve">12 </w:t>
      </w:r>
      <w:r w:rsidR="00E130FF" w:rsidRPr="00520FC7">
        <w:rPr>
          <w:szCs w:val="22"/>
          <w:lang w:val="lv-LV"/>
        </w:rPr>
        <w:t>vitamīns), 20 mg lidokaīna hidrohlorīda.</w:t>
      </w:r>
    </w:p>
    <w:p w14:paraId="40167083" w14:textId="77777777" w:rsidR="00EF79A4" w:rsidRPr="00520FC7" w:rsidRDefault="00EF79A4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</w:p>
    <w:p w14:paraId="37E739F7" w14:textId="77777777" w:rsidR="008C4AFC" w:rsidRPr="00520FC7" w:rsidRDefault="008C4AFC" w:rsidP="00520FC7">
      <w:pPr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u w:val="single"/>
          <w:lang w:val="lv-LV"/>
        </w:rPr>
        <w:t>Palīgvielas ar zināmu iedarbību</w:t>
      </w:r>
      <w:r w:rsidRPr="00520FC7">
        <w:rPr>
          <w:szCs w:val="22"/>
          <w:lang w:val="lv-LV"/>
        </w:rPr>
        <w:t>:</w:t>
      </w:r>
    </w:p>
    <w:p w14:paraId="3CA7938B" w14:textId="77777777" w:rsidR="008C4AFC" w:rsidRPr="00520FC7" w:rsidRDefault="008C4AFC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Benzilspirts </w:t>
      </w:r>
      <w:r w:rsidRPr="00520FC7">
        <w:rPr>
          <w:szCs w:val="22"/>
          <w:lang w:val="lv-LV"/>
        </w:rPr>
        <w:tab/>
        <w:t>40 mg (20 mg/ml);</w:t>
      </w:r>
    </w:p>
    <w:p w14:paraId="03D41B09" w14:textId="77777777" w:rsidR="008C4AFC" w:rsidRPr="00520FC7" w:rsidRDefault="008C4AFC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Nātrijs</w:t>
      </w:r>
      <w:r w:rsidRPr="00520FC7">
        <w:rPr>
          <w:szCs w:val="22"/>
          <w:lang w:val="lv-LV"/>
        </w:rPr>
        <w:tab/>
      </w:r>
      <w:r w:rsidRPr="00520FC7">
        <w:rPr>
          <w:szCs w:val="22"/>
          <w:lang w:val="lv-LV"/>
        </w:rPr>
        <w:tab/>
        <w:t>12 mg;</w:t>
      </w:r>
    </w:p>
    <w:p w14:paraId="7B1DCC15" w14:textId="77777777" w:rsidR="008C4AFC" w:rsidRPr="00520FC7" w:rsidRDefault="008C4AFC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Kālijs </w:t>
      </w:r>
      <w:r w:rsidRPr="00520FC7">
        <w:rPr>
          <w:szCs w:val="22"/>
          <w:lang w:val="lv-LV"/>
        </w:rPr>
        <w:tab/>
      </w:r>
      <w:r w:rsidRPr="00520FC7">
        <w:rPr>
          <w:szCs w:val="22"/>
          <w:lang w:val="lv-LV"/>
        </w:rPr>
        <w:tab/>
      </w:r>
      <w:r w:rsidR="00596411" w:rsidRPr="00520FC7">
        <w:rPr>
          <w:szCs w:val="22"/>
          <w:lang w:val="lv-LV"/>
        </w:rPr>
        <w:t>0,</w:t>
      </w:r>
      <w:r w:rsidRPr="00520FC7">
        <w:rPr>
          <w:szCs w:val="22"/>
          <w:lang w:val="lv-LV"/>
        </w:rPr>
        <w:t>07 mg.</w:t>
      </w:r>
    </w:p>
    <w:p w14:paraId="412B3B17" w14:textId="77777777" w:rsidR="00DE2B2C" w:rsidRPr="00520FC7" w:rsidRDefault="00DE2B2C" w:rsidP="00520FC7">
      <w:pPr>
        <w:spacing w:line="240" w:lineRule="auto"/>
        <w:rPr>
          <w:szCs w:val="22"/>
          <w:lang w:val="lv-LV"/>
        </w:rPr>
      </w:pPr>
    </w:p>
    <w:p w14:paraId="3286A5C4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Pilnu palīgvielu sarakstu skatīt 6.1. </w:t>
      </w:r>
      <w:r w:rsidR="00A27306" w:rsidRPr="00520FC7">
        <w:rPr>
          <w:szCs w:val="22"/>
          <w:lang w:val="lv-LV"/>
        </w:rPr>
        <w:t>apakšpunktā.</w:t>
      </w:r>
    </w:p>
    <w:p w14:paraId="729223D2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6B752466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080259AA" w14:textId="77777777" w:rsidR="00DE2B2C" w:rsidRPr="00520FC7" w:rsidRDefault="00DE2B2C" w:rsidP="00520FC7">
      <w:pPr>
        <w:spacing w:line="240" w:lineRule="auto"/>
        <w:ind w:left="567" w:hanging="567"/>
        <w:rPr>
          <w:b/>
          <w:caps/>
          <w:szCs w:val="22"/>
          <w:lang w:val="lv-LV"/>
        </w:rPr>
      </w:pPr>
      <w:r w:rsidRPr="00520FC7">
        <w:rPr>
          <w:b/>
          <w:szCs w:val="22"/>
          <w:lang w:val="lv-LV"/>
        </w:rPr>
        <w:t>3.</w:t>
      </w:r>
      <w:r w:rsidRPr="00520FC7">
        <w:rPr>
          <w:b/>
          <w:szCs w:val="22"/>
          <w:lang w:val="lv-LV"/>
        </w:rPr>
        <w:tab/>
        <w:t>ZĀĻU FORMA</w:t>
      </w:r>
    </w:p>
    <w:p w14:paraId="5D3684EE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0F9684D1" w14:textId="77777777" w:rsidR="00DE2B2C" w:rsidRPr="00520FC7" w:rsidRDefault="008B0D83" w:rsidP="00520FC7">
      <w:pPr>
        <w:tabs>
          <w:tab w:val="clear" w:pos="567"/>
          <w:tab w:val="left" w:pos="0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Šķīdums injekcijām (injekcija</w:t>
      </w:r>
      <w:r w:rsidR="0006149A" w:rsidRPr="00520FC7">
        <w:rPr>
          <w:szCs w:val="22"/>
          <w:lang w:val="lv-LV"/>
        </w:rPr>
        <w:t>).</w:t>
      </w:r>
    </w:p>
    <w:p w14:paraId="1C71FE0D" w14:textId="77777777" w:rsidR="0006149A" w:rsidRPr="00520FC7" w:rsidRDefault="006065C9" w:rsidP="00520FC7">
      <w:pPr>
        <w:tabs>
          <w:tab w:val="clear" w:pos="567"/>
          <w:tab w:val="left" w:pos="0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Dzidrs</w:t>
      </w:r>
      <w:r w:rsidR="00C13A69" w:rsidRPr="00520FC7">
        <w:rPr>
          <w:szCs w:val="22"/>
          <w:lang w:val="lv-LV"/>
        </w:rPr>
        <w:t>,</w:t>
      </w:r>
      <w:r w:rsidRPr="00520FC7">
        <w:rPr>
          <w:szCs w:val="22"/>
          <w:lang w:val="lv-LV"/>
        </w:rPr>
        <w:t xml:space="preserve"> s</w:t>
      </w:r>
      <w:r w:rsidR="00A9163B" w:rsidRPr="00520FC7">
        <w:rPr>
          <w:szCs w:val="22"/>
          <w:lang w:val="lv-LV"/>
        </w:rPr>
        <w:t xml:space="preserve">arkans </w:t>
      </w:r>
      <w:r w:rsidR="00B40C87" w:rsidRPr="00520FC7">
        <w:rPr>
          <w:szCs w:val="22"/>
          <w:lang w:val="lv-LV"/>
        </w:rPr>
        <w:t>šķīdums bez redzamām daļiņ</w:t>
      </w:r>
      <w:r w:rsidR="0006149A" w:rsidRPr="00520FC7">
        <w:rPr>
          <w:szCs w:val="22"/>
          <w:lang w:val="lv-LV"/>
        </w:rPr>
        <w:t>ām.</w:t>
      </w:r>
    </w:p>
    <w:p w14:paraId="5C2BEE12" w14:textId="77777777" w:rsidR="00694A20" w:rsidRPr="00520FC7" w:rsidRDefault="00F15664" w:rsidP="00520FC7">
      <w:pPr>
        <w:tabs>
          <w:tab w:val="clear" w:pos="567"/>
          <w:tab w:val="left" w:pos="0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Šķīduma</w:t>
      </w:r>
      <w:r w:rsidR="002625FE" w:rsidRPr="00520FC7">
        <w:rPr>
          <w:szCs w:val="22"/>
          <w:lang w:val="lv-LV"/>
        </w:rPr>
        <w:t xml:space="preserve"> pH ir 4,4 </w:t>
      </w:r>
      <w:r w:rsidR="00B179F2" w:rsidRPr="00520FC7">
        <w:rPr>
          <w:szCs w:val="22"/>
          <w:lang w:val="lv-LV"/>
        </w:rPr>
        <w:t>-</w:t>
      </w:r>
      <w:r w:rsidR="002625FE" w:rsidRPr="00520FC7">
        <w:rPr>
          <w:szCs w:val="22"/>
          <w:lang w:val="lv-LV"/>
        </w:rPr>
        <w:t> </w:t>
      </w:r>
      <w:r w:rsidR="0069542B" w:rsidRPr="00520FC7">
        <w:rPr>
          <w:szCs w:val="22"/>
          <w:lang w:val="lv-LV"/>
        </w:rPr>
        <w:t>4,8.</w:t>
      </w:r>
    </w:p>
    <w:p w14:paraId="1C590EF8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1F9FFF30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580D85AA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caps/>
          <w:szCs w:val="22"/>
          <w:lang w:val="lv-LV"/>
        </w:rPr>
        <w:t>4.</w:t>
      </w:r>
      <w:r w:rsidRPr="00520FC7">
        <w:rPr>
          <w:b/>
          <w:caps/>
          <w:szCs w:val="22"/>
          <w:lang w:val="lv-LV"/>
        </w:rPr>
        <w:tab/>
        <w:t xml:space="preserve">KLĪNISKĀ INFORMĀCIJA </w:t>
      </w:r>
    </w:p>
    <w:p w14:paraId="19CDB190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03219CE2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4.1.</w:t>
      </w:r>
      <w:r w:rsidRPr="00520FC7">
        <w:rPr>
          <w:b/>
          <w:szCs w:val="22"/>
          <w:lang w:val="lv-LV"/>
        </w:rPr>
        <w:tab/>
        <w:t>Terapeitiskās indikācijas</w:t>
      </w:r>
    </w:p>
    <w:p w14:paraId="3B8C4D1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0762DAC" w14:textId="77777777" w:rsidR="001006D6" w:rsidRPr="00520FC7" w:rsidRDefault="001006D6" w:rsidP="00520FC7">
      <w:pPr>
        <w:autoSpaceDE w:val="0"/>
        <w:autoSpaceDN w:val="0"/>
        <w:adjustRightInd w:val="0"/>
        <w:spacing w:line="240" w:lineRule="auto"/>
        <w:rPr>
          <w:szCs w:val="22"/>
          <w:u w:val="single"/>
          <w:lang w:val="lv-LV"/>
        </w:rPr>
      </w:pPr>
      <w:r w:rsidRPr="00520FC7">
        <w:rPr>
          <w:szCs w:val="22"/>
          <w:u w:val="single"/>
          <w:lang w:val="lv-LV"/>
        </w:rPr>
        <w:t>Pieaugušie un bērni vecāki par 12 gadiem</w:t>
      </w:r>
    </w:p>
    <w:p w14:paraId="20C2E073" w14:textId="77777777" w:rsidR="005E5E49" w:rsidRPr="00520FC7" w:rsidRDefault="005E5E49" w:rsidP="00520FC7">
      <w:pPr>
        <w:shd w:val="clear" w:color="auto" w:fill="FFFFFF"/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Hematoloģisko un neiroloģisko simptomu, ko izraisa nepārtraukts </w:t>
      </w:r>
      <w:r w:rsidR="00C50374" w:rsidRPr="00520FC7">
        <w:rPr>
          <w:szCs w:val="22"/>
          <w:lang w:val="lv-LV"/>
        </w:rPr>
        <w:t>B</w:t>
      </w:r>
      <w:r w:rsidR="00C50374" w:rsidRPr="00520FC7">
        <w:rPr>
          <w:szCs w:val="22"/>
          <w:vertAlign w:val="subscript"/>
          <w:lang w:val="lv-LV"/>
        </w:rPr>
        <w:t>1</w:t>
      </w:r>
      <w:r w:rsidR="00C50374" w:rsidRPr="00520FC7">
        <w:rPr>
          <w:szCs w:val="22"/>
          <w:lang w:val="lv-LV"/>
        </w:rPr>
        <w:t>, B</w:t>
      </w:r>
      <w:r w:rsidR="00C50374" w:rsidRPr="00520FC7">
        <w:rPr>
          <w:szCs w:val="22"/>
          <w:vertAlign w:val="subscript"/>
          <w:lang w:val="lv-LV"/>
        </w:rPr>
        <w:t>6</w:t>
      </w:r>
      <w:r w:rsidR="00C50374" w:rsidRPr="00520FC7">
        <w:rPr>
          <w:szCs w:val="22"/>
          <w:lang w:val="lv-LV"/>
        </w:rPr>
        <w:t xml:space="preserve"> un B</w:t>
      </w:r>
      <w:r w:rsidR="00C50374" w:rsidRPr="00520FC7">
        <w:rPr>
          <w:szCs w:val="22"/>
          <w:vertAlign w:val="subscript"/>
          <w:lang w:val="lv-LV"/>
        </w:rPr>
        <w:t>12</w:t>
      </w:r>
      <w:r w:rsidR="00C50374" w:rsidRPr="00520FC7">
        <w:rPr>
          <w:szCs w:val="22"/>
          <w:lang w:val="lv-LV"/>
        </w:rPr>
        <w:t xml:space="preserve"> </w:t>
      </w:r>
      <w:r w:rsidRPr="00520FC7">
        <w:rPr>
          <w:szCs w:val="22"/>
          <w:lang w:val="lv-LV"/>
        </w:rPr>
        <w:t>vitamīnu deficīts, ārstēšanai.</w:t>
      </w:r>
    </w:p>
    <w:p w14:paraId="6F2961C2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2198425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4.2.</w:t>
      </w:r>
      <w:r w:rsidRPr="00520FC7">
        <w:rPr>
          <w:b/>
          <w:szCs w:val="22"/>
          <w:lang w:val="lv-LV"/>
        </w:rPr>
        <w:tab/>
        <w:t>Devas un lietošanas veids</w:t>
      </w:r>
    </w:p>
    <w:p w14:paraId="6935EEFA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51DD1D3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  <w:r w:rsidRPr="00520FC7">
        <w:rPr>
          <w:szCs w:val="22"/>
          <w:u w:val="single"/>
          <w:lang w:val="lv-LV"/>
        </w:rPr>
        <w:t xml:space="preserve">Devas </w:t>
      </w:r>
    </w:p>
    <w:p w14:paraId="74075FCB" w14:textId="77777777" w:rsidR="006B0D34" w:rsidRPr="00520FC7" w:rsidRDefault="006B0D34" w:rsidP="003023E0">
      <w:pPr>
        <w:rPr>
          <w:bCs/>
          <w:szCs w:val="22"/>
          <w:lang w:val="lv-LV"/>
        </w:rPr>
      </w:pPr>
      <w:r w:rsidRPr="00520FC7">
        <w:rPr>
          <w:bCs/>
          <w:szCs w:val="22"/>
          <w:lang w:val="lv-LV"/>
        </w:rPr>
        <w:t>Smagu</w:t>
      </w:r>
      <w:r w:rsidR="00BA66A3" w:rsidRPr="00520FC7">
        <w:rPr>
          <w:bCs/>
          <w:szCs w:val="22"/>
          <w:lang w:val="lv-LV"/>
        </w:rPr>
        <w:t xml:space="preserve"> un akūtu simptomu</w:t>
      </w:r>
      <w:r w:rsidRPr="00520FC7">
        <w:rPr>
          <w:bCs/>
          <w:szCs w:val="22"/>
          <w:lang w:val="lv-LV"/>
        </w:rPr>
        <w:t xml:space="preserve"> gadījumos sākotnēji katru dienu veic 1 injekciju (2 ml), lai sasniegtu augstu aktīvo vielu līmeni asinīs. Mazinoties s</w:t>
      </w:r>
      <w:r w:rsidR="009735CD" w:rsidRPr="00520FC7">
        <w:rPr>
          <w:bCs/>
          <w:szCs w:val="22"/>
          <w:lang w:val="lv-LV"/>
        </w:rPr>
        <w:t>imptomiem</w:t>
      </w:r>
      <w:r w:rsidRPr="00520FC7">
        <w:rPr>
          <w:bCs/>
          <w:szCs w:val="22"/>
          <w:lang w:val="lv-LV"/>
        </w:rPr>
        <w:t xml:space="preserve"> akūtajā fāzē un viegli izteiktu simptomu gadījumā nozīmē 1 injekciju 2 - 3 reizes nedēļā.</w:t>
      </w:r>
    </w:p>
    <w:p w14:paraId="59F2EE46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</w:p>
    <w:p w14:paraId="57ABD343" w14:textId="247862DA" w:rsidR="007F04D6" w:rsidRPr="00520FC7" w:rsidRDefault="00181147" w:rsidP="00520FC7">
      <w:pPr>
        <w:tabs>
          <w:tab w:val="clear" w:pos="567"/>
        </w:tabs>
        <w:spacing w:line="240" w:lineRule="auto"/>
        <w:rPr>
          <w:i/>
          <w:szCs w:val="22"/>
          <w:lang w:val="lv-LV"/>
        </w:rPr>
      </w:pPr>
      <w:r>
        <w:rPr>
          <w:i/>
          <w:szCs w:val="22"/>
          <w:lang w:val="lv-LV"/>
        </w:rPr>
        <w:t>Gados vecāki</w:t>
      </w:r>
      <w:r w:rsidR="007F04D6" w:rsidRPr="00520FC7">
        <w:rPr>
          <w:i/>
          <w:szCs w:val="22"/>
          <w:lang w:val="lv-LV"/>
        </w:rPr>
        <w:t xml:space="preserve"> cilvēki</w:t>
      </w:r>
    </w:p>
    <w:p w14:paraId="75D49764" w14:textId="77777777" w:rsidR="007F04D6" w:rsidRPr="00520FC7" w:rsidRDefault="007F04D6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Devas pielāgošana nav nepieciešama.</w:t>
      </w:r>
    </w:p>
    <w:p w14:paraId="77C0C04D" w14:textId="77777777" w:rsidR="007F04D6" w:rsidRPr="00520FC7" w:rsidRDefault="007F04D6" w:rsidP="00520FC7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</w:p>
    <w:p w14:paraId="389E363F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i/>
          <w:szCs w:val="22"/>
          <w:lang w:val="lv-LV"/>
        </w:rPr>
      </w:pPr>
      <w:r w:rsidRPr="00520FC7">
        <w:rPr>
          <w:i/>
          <w:szCs w:val="22"/>
          <w:lang w:val="lv-LV"/>
        </w:rPr>
        <w:t>Pediatriskā populācija</w:t>
      </w:r>
    </w:p>
    <w:p w14:paraId="2893D47F" w14:textId="77777777" w:rsidR="00DE2B2C" w:rsidRPr="00520FC7" w:rsidRDefault="008705C7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Neiratax šķīdumu injekcijām n</w:t>
      </w:r>
      <w:r w:rsidR="002E6258" w:rsidRPr="00520FC7">
        <w:rPr>
          <w:szCs w:val="22"/>
          <w:lang w:val="lv-LV"/>
        </w:rPr>
        <w:t>av ieteicams</w:t>
      </w:r>
      <w:r w:rsidRPr="00520FC7">
        <w:rPr>
          <w:szCs w:val="22"/>
          <w:lang w:val="lv-LV"/>
        </w:rPr>
        <w:t xml:space="preserve"> ievadīt bērniem līdz 12 gadu vecumam.</w:t>
      </w:r>
    </w:p>
    <w:p w14:paraId="4A4BDC29" w14:textId="77777777" w:rsidR="00DE2B2C" w:rsidRPr="00520FC7" w:rsidRDefault="00DE2B2C" w:rsidP="003023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lv-LV"/>
        </w:rPr>
      </w:pPr>
    </w:p>
    <w:p w14:paraId="5B49EA6F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  <w:r w:rsidRPr="00520FC7">
        <w:rPr>
          <w:szCs w:val="22"/>
          <w:u w:val="single"/>
          <w:lang w:val="lv-LV"/>
        </w:rPr>
        <w:t>Lietošanas veids</w:t>
      </w:r>
    </w:p>
    <w:p w14:paraId="3DB3807D" w14:textId="77777777" w:rsidR="00407FB8" w:rsidRPr="00520FC7" w:rsidRDefault="00407FB8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Intramuskulārai lietošanai.</w:t>
      </w:r>
    </w:p>
    <w:p w14:paraId="2A54FEEC" w14:textId="77777777" w:rsidR="00407FB8" w:rsidRPr="00520FC7" w:rsidRDefault="00407FB8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Šķīdumu injekcijām ievada dziļi muskuļu audos, lai izvairītos no </w:t>
      </w:r>
      <w:r w:rsidR="004E62C6" w:rsidRPr="00520FC7">
        <w:rPr>
          <w:szCs w:val="22"/>
          <w:lang w:val="lv-LV"/>
        </w:rPr>
        <w:t>sirds un asinsvadu sistēmas blakusparādībām</w:t>
      </w:r>
      <w:r w:rsidRPr="00520FC7">
        <w:rPr>
          <w:szCs w:val="22"/>
          <w:lang w:val="lv-LV"/>
        </w:rPr>
        <w:t xml:space="preserve"> (skatīt </w:t>
      </w:r>
      <w:r w:rsidR="009D30FA" w:rsidRPr="00520FC7">
        <w:rPr>
          <w:szCs w:val="22"/>
          <w:lang w:val="lv-LV"/>
        </w:rPr>
        <w:t xml:space="preserve">4.4. un 4.8. </w:t>
      </w:r>
      <w:r w:rsidRPr="00520FC7">
        <w:rPr>
          <w:szCs w:val="22"/>
          <w:lang w:val="lv-LV"/>
        </w:rPr>
        <w:t>apakšpunktu).</w:t>
      </w:r>
    </w:p>
    <w:p w14:paraId="19C4707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01B38B5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lastRenderedPageBreak/>
        <w:t>4.3.</w:t>
      </w:r>
      <w:r w:rsidRPr="00520FC7">
        <w:rPr>
          <w:b/>
          <w:szCs w:val="22"/>
          <w:lang w:val="lv-LV"/>
        </w:rPr>
        <w:tab/>
        <w:t xml:space="preserve">Kontrindikācijas </w:t>
      </w:r>
    </w:p>
    <w:p w14:paraId="4F5B496D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C1CB3FC" w14:textId="77777777" w:rsidR="00DE2B2C" w:rsidRPr="00520FC7" w:rsidRDefault="00DE2B2C" w:rsidP="003023E0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Paau</w:t>
      </w:r>
      <w:r w:rsidR="006E2179" w:rsidRPr="00520FC7">
        <w:rPr>
          <w:szCs w:val="22"/>
          <w:lang w:val="lv-LV"/>
        </w:rPr>
        <w:t>gstināta jutība pret aktīvajām vielām</w:t>
      </w:r>
      <w:r w:rsidRPr="00520FC7">
        <w:rPr>
          <w:szCs w:val="22"/>
          <w:lang w:val="lv-LV"/>
        </w:rPr>
        <w:t xml:space="preserve"> vai jebkuru no 6.1. apakšpunktā uz</w:t>
      </w:r>
      <w:r w:rsidR="006E2179" w:rsidRPr="00520FC7">
        <w:rPr>
          <w:szCs w:val="22"/>
          <w:lang w:val="lv-LV"/>
        </w:rPr>
        <w:t>skaitītajām palīgvielām.</w:t>
      </w:r>
    </w:p>
    <w:p w14:paraId="7431BF22" w14:textId="77777777" w:rsidR="00810631" w:rsidRPr="00520FC7" w:rsidRDefault="00810631" w:rsidP="003023E0">
      <w:pPr>
        <w:pStyle w:val="ListParagraph"/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Zāles nelietot izteiktu sirds vadīšanas traucējumu un akūtas dekompensētas sirds mazspējas gadījumā.</w:t>
      </w:r>
    </w:p>
    <w:p w14:paraId="337E6D78" w14:textId="77777777" w:rsidR="00810631" w:rsidRPr="00520FC7" w:rsidRDefault="00810631" w:rsidP="003023E0">
      <w:pPr>
        <w:pStyle w:val="ListParagraph"/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val="lv-LV"/>
        </w:rPr>
      </w:pPr>
      <w:r w:rsidRPr="00520FC7">
        <w:rPr>
          <w:iCs/>
          <w:szCs w:val="22"/>
          <w:lang w:val="lv-LV"/>
        </w:rPr>
        <w:t>S</w:t>
      </w:r>
      <w:r w:rsidRPr="00520FC7">
        <w:rPr>
          <w:szCs w:val="22"/>
          <w:lang w:val="lv-LV"/>
        </w:rPr>
        <w:t>astāvā esošā benzilspirta dēļ zāles nedrīks</w:t>
      </w:r>
      <w:r w:rsidR="00985A00" w:rsidRPr="00520FC7">
        <w:rPr>
          <w:szCs w:val="22"/>
          <w:lang w:val="lv-LV"/>
        </w:rPr>
        <w:t>t izmantot jaundzimuš</w:t>
      </w:r>
      <w:r w:rsidR="000F1D98" w:rsidRPr="00520FC7">
        <w:rPr>
          <w:szCs w:val="22"/>
          <w:lang w:val="lv-LV"/>
        </w:rPr>
        <w:t>aj</w:t>
      </w:r>
      <w:r w:rsidR="00985A00" w:rsidRPr="00520FC7">
        <w:rPr>
          <w:szCs w:val="22"/>
          <w:lang w:val="lv-LV"/>
        </w:rPr>
        <w:t xml:space="preserve">iem, īpaši </w:t>
      </w:r>
      <w:r w:rsidR="00B06E06" w:rsidRPr="00520FC7">
        <w:rPr>
          <w:szCs w:val="22"/>
          <w:lang w:val="lv-LV"/>
        </w:rPr>
        <w:t>priekšlaicīgi</w:t>
      </w:r>
      <w:r w:rsidRPr="00520FC7">
        <w:rPr>
          <w:szCs w:val="22"/>
          <w:lang w:val="lv-LV"/>
        </w:rPr>
        <w:t xml:space="preserve"> dzimušiem bērniem (skatīt </w:t>
      </w:r>
      <w:r w:rsidR="009D30FA" w:rsidRPr="00520FC7">
        <w:rPr>
          <w:szCs w:val="22"/>
          <w:lang w:val="lv-LV"/>
        </w:rPr>
        <w:t xml:space="preserve">4.4. </w:t>
      </w:r>
      <w:r w:rsidRPr="00520FC7">
        <w:rPr>
          <w:szCs w:val="22"/>
          <w:lang w:val="lv-LV"/>
        </w:rPr>
        <w:t xml:space="preserve">apakšpunktu). </w:t>
      </w:r>
    </w:p>
    <w:p w14:paraId="143A60A6" w14:textId="77777777" w:rsidR="006E2179" w:rsidRPr="00520FC7" w:rsidRDefault="00985A00" w:rsidP="003023E0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Zāles nedrīkst </w:t>
      </w:r>
      <w:r w:rsidR="007D0319" w:rsidRPr="00520FC7">
        <w:rPr>
          <w:szCs w:val="22"/>
          <w:lang w:val="lv-LV"/>
        </w:rPr>
        <w:t xml:space="preserve">lietot </w:t>
      </w:r>
      <w:r w:rsidRPr="00520FC7">
        <w:rPr>
          <w:szCs w:val="22"/>
          <w:lang w:val="lv-LV"/>
        </w:rPr>
        <w:t>g</w:t>
      </w:r>
      <w:r w:rsidR="003C4C74" w:rsidRPr="00520FC7">
        <w:rPr>
          <w:szCs w:val="22"/>
          <w:lang w:val="lv-LV"/>
        </w:rPr>
        <w:t>rūtniecības un barošanas ar krūti period</w:t>
      </w:r>
      <w:r w:rsidRPr="00520FC7">
        <w:rPr>
          <w:szCs w:val="22"/>
          <w:lang w:val="lv-LV"/>
        </w:rPr>
        <w:t>ā</w:t>
      </w:r>
      <w:r w:rsidR="003C4C74" w:rsidRPr="00520FC7">
        <w:rPr>
          <w:szCs w:val="22"/>
          <w:lang w:val="lv-LV"/>
        </w:rPr>
        <w:t xml:space="preserve"> (skatīt </w:t>
      </w:r>
      <w:r w:rsidR="0033354B" w:rsidRPr="00520FC7">
        <w:rPr>
          <w:szCs w:val="22"/>
          <w:lang w:val="lv-LV"/>
        </w:rPr>
        <w:t xml:space="preserve">4.6. </w:t>
      </w:r>
      <w:r w:rsidR="003C4C74" w:rsidRPr="00520FC7">
        <w:rPr>
          <w:szCs w:val="22"/>
          <w:lang w:val="lv-LV"/>
        </w:rPr>
        <w:t>apakšpunktu).</w:t>
      </w:r>
    </w:p>
    <w:p w14:paraId="1E9A81CB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8721925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4.4.</w:t>
      </w:r>
      <w:r w:rsidRPr="00520FC7">
        <w:rPr>
          <w:b/>
          <w:szCs w:val="22"/>
          <w:lang w:val="lv-LV"/>
        </w:rPr>
        <w:tab/>
        <w:t>Īpaši brīdinājumi un piesardzība lietošanā</w:t>
      </w:r>
    </w:p>
    <w:p w14:paraId="3C3B7676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C02E4A9" w14:textId="2ECC5377" w:rsidR="00C70E6E" w:rsidRPr="00520FC7" w:rsidRDefault="00241B7B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Šķīdumu injekcijām drīkst ievadīt tikai intramuskulāri (i.m.</w:t>
      </w:r>
      <w:r w:rsidR="00C70E6E" w:rsidRPr="00520FC7">
        <w:rPr>
          <w:szCs w:val="22"/>
          <w:lang w:val="lv-LV"/>
        </w:rPr>
        <w:t>)</w:t>
      </w:r>
      <w:r w:rsidRPr="00520FC7">
        <w:rPr>
          <w:szCs w:val="22"/>
          <w:lang w:val="lv-LV"/>
        </w:rPr>
        <w:t>, bet ne intravenozi (i.v.</w:t>
      </w:r>
      <w:r w:rsidR="00C70E6E" w:rsidRPr="00520FC7">
        <w:rPr>
          <w:szCs w:val="22"/>
          <w:lang w:val="lv-LV"/>
        </w:rPr>
        <w:t>)</w:t>
      </w:r>
      <w:r w:rsidRPr="00520FC7">
        <w:rPr>
          <w:szCs w:val="22"/>
          <w:lang w:val="lv-LV"/>
        </w:rPr>
        <w:t xml:space="preserve">, lai izvairītos no sirds un asinsvadu sistēmas blakusparādībām (skatīt </w:t>
      </w:r>
      <w:r w:rsidR="001367D5" w:rsidRPr="00520FC7">
        <w:rPr>
          <w:szCs w:val="22"/>
          <w:lang w:val="lv-LV"/>
        </w:rPr>
        <w:t xml:space="preserve">4.8. </w:t>
      </w:r>
      <w:r w:rsidRPr="00520FC7">
        <w:rPr>
          <w:szCs w:val="22"/>
          <w:lang w:val="lv-LV"/>
        </w:rPr>
        <w:t>apakšpunktu).</w:t>
      </w:r>
      <w:r w:rsidR="00C118DF" w:rsidRPr="00520FC7">
        <w:rPr>
          <w:szCs w:val="22"/>
          <w:lang w:val="lv-LV"/>
        </w:rPr>
        <w:t xml:space="preserve"> </w:t>
      </w:r>
      <w:r w:rsidR="00D45D73" w:rsidRPr="00520FC7">
        <w:rPr>
          <w:szCs w:val="22"/>
          <w:lang w:val="lv-LV"/>
        </w:rPr>
        <w:t>Nejaušas intravenozas injekcijas gadījumā</w:t>
      </w:r>
      <w:r w:rsidR="00C70E6E" w:rsidRPr="00520FC7">
        <w:rPr>
          <w:szCs w:val="22"/>
          <w:lang w:val="lv-LV"/>
        </w:rPr>
        <w:t xml:space="preserve"> </w:t>
      </w:r>
      <w:r w:rsidR="00C118DF" w:rsidRPr="00520FC7">
        <w:rPr>
          <w:szCs w:val="22"/>
          <w:lang w:val="lv-LV"/>
        </w:rPr>
        <w:t>pacienta</w:t>
      </w:r>
      <w:r w:rsidR="006F1091" w:rsidRPr="00520FC7">
        <w:rPr>
          <w:szCs w:val="22"/>
          <w:lang w:val="lv-LV"/>
        </w:rPr>
        <w:t>m ir jāveic</w:t>
      </w:r>
      <w:r w:rsidR="00C118DF" w:rsidRPr="00520FC7">
        <w:rPr>
          <w:szCs w:val="22"/>
          <w:lang w:val="lv-LV"/>
        </w:rPr>
        <w:t xml:space="preserve"> sirdsdarbības kontrole (EKG)</w:t>
      </w:r>
      <w:r w:rsidR="00D45D73" w:rsidRPr="00520FC7">
        <w:rPr>
          <w:szCs w:val="22"/>
          <w:lang w:val="lv-LV"/>
        </w:rPr>
        <w:t xml:space="preserve"> vai </w:t>
      </w:r>
      <w:r w:rsidR="006F1091" w:rsidRPr="00520FC7">
        <w:rPr>
          <w:szCs w:val="22"/>
          <w:lang w:val="lv-LV"/>
        </w:rPr>
        <w:t xml:space="preserve">arī </w:t>
      </w:r>
      <w:r w:rsidR="00BD4F85">
        <w:rPr>
          <w:szCs w:val="22"/>
          <w:lang w:val="lv-LV"/>
        </w:rPr>
        <w:t xml:space="preserve">pacients </w:t>
      </w:r>
      <w:r w:rsidR="00D45D73" w:rsidRPr="00520FC7">
        <w:rPr>
          <w:szCs w:val="22"/>
          <w:lang w:val="lv-LV"/>
        </w:rPr>
        <w:t xml:space="preserve">jāhospitalizē </w:t>
      </w:r>
      <w:r w:rsidR="00C70E6E" w:rsidRPr="00520FC7">
        <w:rPr>
          <w:szCs w:val="22"/>
          <w:lang w:val="lv-LV"/>
        </w:rPr>
        <w:t xml:space="preserve">atkarībā no </w:t>
      </w:r>
      <w:r w:rsidR="00D45D73" w:rsidRPr="00520FC7">
        <w:rPr>
          <w:szCs w:val="22"/>
          <w:lang w:val="lv-LV"/>
        </w:rPr>
        <w:t xml:space="preserve">sirds un asinsvadu sistēmas </w:t>
      </w:r>
      <w:r w:rsidR="00C70E6E" w:rsidRPr="00520FC7">
        <w:rPr>
          <w:szCs w:val="22"/>
          <w:lang w:val="lv-LV"/>
        </w:rPr>
        <w:t>s</w:t>
      </w:r>
      <w:r w:rsidR="00D45D73" w:rsidRPr="00520FC7">
        <w:rPr>
          <w:szCs w:val="22"/>
          <w:lang w:val="lv-LV"/>
        </w:rPr>
        <w:t>imptomu smaguma pakāpes (aritmija, bradikardija)</w:t>
      </w:r>
      <w:r w:rsidR="00C70E6E" w:rsidRPr="00520FC7">
        <w:rPr>
          <w:szCs w:val="22"/>
          <w:lang w:val="lv-LV"/>
        </w:rPr>
        <w:t>.</w:t>
      </w:r>
    </w:p>
    <w:p w14:paraId="160B33AA" w14:textId="5B2C9FF3" w:rsidR="00DE2B2C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A010983" w14:textId="3B7940E6" w:rsidR="00DC5D23" w:rsidRPr="00C05185" w:rsidRDefault="00DC5D23" w:rsidP="00520FC7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lv-LV"/>
        </w:rPr>
      </w:pPr>
      <w:r w:rsidRPr="00C05185">
        <w:rPr>
          <w:szCs w:val="22"/>
          <w:u w:val="single"/>
          <w:lang w:val="lv-LV"/>
        </w:rPr>
        <w:t>Palīgvielas</w:t>
      </w:r>
    </w:p>
    <w:p w14:paraId="35BB785E" w14:textId="39751B24" w:rsidR="00DC5D23" w:rsidRPr="00C05185" w:rsidRDefault="00DC5D23" w:rsidP="00520FC7">
      <w:pPr>
        <w:tabs>
          <w:tab w:val="clear" w:pos="567"/>
        </w:tabs>
        <w:spacing w:line="240" w:lineRule="auto"/>
        <w:ind w:left="567" w:hanging="567"/>
        <w:rPr>
          <w:i/>
          <w:iCs/>
          <w:szCs w:val="22"/>
          <w:lang w:val="lv-LV"/>
        </w:rPr>
      </w:pPr>
      <w:r w:rsidRPr="00C05185">
        <w:rPr>
          <w:i/>
          <w:iCs/>
          <w:szCs w:val="22"/>
          <w:lang w:val="lv-LV"/>
        </w:rPr>
        <w:t>Benzilspirts</w:t>
      </w:r>
    </w:p>
    <w:p w14:paraId="32C93F3B" w14:textId="343DC71E" w:rsidR="00DC5D23" w:rsidRPr="00DC5D23" w:rsidRDefault="00DC5D23" w:rsidP="00C05185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DC5D23">
        <w:rPr>
          <w:szCs w:val="22"/>
          <w:lang w:val="lv-LV"/>
        </w:rPr>
        <w:t>Lietošanas ierobežojumi ir 90 mg un vairāk benzilspirta dienā: bērniem līdz 3 gadu vecumam var izraisīt toksiskas un anafilaktoīdas reakcijas.</w:t>
      </w:r>
    </w:p>
    <w:p w14:paraId="6D8B9BEA" w14:textId="25E9D7D1" w:rsidR="00DC5D23" w:rsidRPr="00DC5D23" w:rsidRDefault="00DC5D23" w:rsidP="00C05185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C05185">
        <w:rPr>
          <w:szCs w:val="22"/>
          <w:lang w:val="lv-LV"/>
        </w:rPr>
        <w:t>Lieli tilpumi jālieto piesardzīgi un tikai tad, ja nepieciešams, īpaši personām ar aknu vai nieru darbības traucējumiem, jo pastāv uzkrāšanās un toksicitātes (metaboliskas acidozes) risks.</w:t>
      </w:r>
    </w:p>
    <w:p w14:paraId="5554E939" w14:textId="5C9EF4AA" w:rsidR="00DC5D23" w:rsidRPr="00C05185" w:rsidRDefault="00DC5D23" w:rsidP="00520FC7">
      <w:pPr>
        <w:tabs>
          <w:tab w:val="clear" w:pos="567"/>
        </w:tabs>
        <w:spacing w:line="240" w:lineRule="auto"/>
        <w:ind w:left="567" w:hanging="567"/>
        <w:rPr>
          <w:i/>
          <w:iCs/>
          <w:szCs w:val="22"/>
          <w:lang w:val="lv-LV"/>
        </w:rPr>
      </w:pPr>
      <w:r w:rsidRPr="00C05185">
        <w:rPr>
          <w:i/>
          <w:iCs/>
          <w:szCs w:val="22"/>
          <w:lang w:val="lv-LV"/>
        </w:rPr>
        <w:t>Nātrijs</w:t>
      </w:r>
    </w:p>
    <w:p w14:paraId="6E29A41B" w14:textId="245F24A0" w:rsidR="00DC5D23" w:rsidRPr="006B4E81" w:rsidRDefault="006B4E81" w:rsidP="00C05185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C05185">
        <w:rPr>
          <w:szCs w:val="22"/>
          <w:lang w:val="lv-LV"/>
        </w:rPr>
        <w:t xml:space="preserve">Šīs zāles satur mazāk par 1 mmol nātrija (23 mg) katrā </w:t>
      </w:r>
      <w:r w:rsidRPr="006B4E81">
        <w:rPr>
          <w:szCs w:val="22"/>
          <w:lang w:val="lv-LV"/>
        </w:rPr>
        <w:t>devā</w:t>
      </w:r>
      <w:r w:rsidRPr="00C05185">
        <w:rPr>
          <w:szCs w:val="22"/>
          <w:lang w:val="lv-LV"/>
        </w:rPr>
        <w:t>, - būtībā tās ir “nātriju nesaturošas”.</w:t>
      </w:r>
    </w:p>
    <w:p w14:paraId="7AC17C93" w14:textId="591D0DA0" w:rsidR="00DC5D23" w:rsidRPr="00C05185" w:rsidRDefault="00DC5D23" w:rsidP="00520FC7">
      <w:pPr>
        <w:tabs>
          <w:tab w:val="clear" w:pos="567"/>
        </w:tabs>
        <w:spacing w:line="240" w:lineRule="auto"/>
        <w:ind w:left="567" w:hanging="567"/>
        <w:rPr>
          <w:i/>
          <w:iCs/>
          <w:szCs w:val="22"/>
          <w:lang w:val="lv-LV"/>
        </w:rPr>
      </w:pPr>
      <w:r w:rsidRPr="00C05185">
        <w:rPr>
          <w:i/>
          <w:iCs/>
          <w:szCs w:val="22"/>
          <w:lang w:val="lv-LV"/>
        </w:rPr>
        <w:t>Kālijs</w:t>
      </w:r>
    </w:p>
    <w:p w14:paraId="2AE5A4DC" w14:textId="73DF4290" w:rsidR="006B4E81" w:rsidRPr="006B4E81" w:rsidRDefault="006B4E81" w:rsidP="00C05185">
      <w:pPr>
        <w:pStyle w:val="ListParagraph"/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C05185">
        <w:rPr>
          <w:szCs w:val="22"/>
          <w:lang w:val="lv-LV"/>
        </w:rPr>
        <w:t xml:space="preserve">Šīs zāles satur kāliju mazāk par 1 mmol (39 mg) katrā </w:t>
      </w:r>
      <w:r w:rsidRPr="006B4E81">
        <w:rPr>
          <w:szCs w:val="22"/>
          <w:lang w:val="lv-LV"/>
        </w:rPr>
        <w:t>devā</w:t>
      </w:r>
      <w:r w:rsidRPr="00C05185">
        <w:rPr>
          <w:szCs w:val="22"/>
          <w:lang w:val="lv-LV"/>
        </w:rPr>
        <w:t>, - būtībā tās ir “kāliju nesaturošas”.</w:t>
      </w:r>
    </w:p>
    <w:p w14:paraId="2B5BD484" w14:textId="77777777" w:rsidR="006B4E81" w:rsidRPr="006B4E81" w:rsidRDefault="006B4E81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6C9B56F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4.5.</w:t>
      </w:r>
      <w:r w:rsidRPr="00520FC7">
        <w:rPr>
          <w:b/>
          <w:szCs w:val="22"/>
          <w:lang w:val="lv-LV"/>
        </w:rPr>
        <w:tab/>
        <w:t>Mijiedarbība ar citām zālēm un citi mijiedarbības veidi</w:t>
      </w:r>
    </w:p>
    <w:p w14:paraId="43423166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D6DFA3B" w14:textId="77777777" w:rsidR="00DF16CF" w:rsidRPr="00520FC7" w:rsidRDefault="00DF16CF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Sulfītu saturošos šķīdumos tiamīns tiek pilnīgi noārdīts. Citi vitamīni var inaktivēties B</w:t>
      </w:r>
      <w:r w:rsidRPr="00520FC7">
        <w:rPr>
          <w:szCs w:val="22"/>
          <w:vertAlign w:val="subscript"/>
          <w:lang w:val="lv-LV"/>
        </w:rPr>
        <w:t>1</w:t>
      </w:r>
      <w:r w:rsidRPr="00520FC7">
        <w:rPr>
          <w:szCs w:val="22"/>
          <w:lang w:val="lv-LV"/>
        </w:rPr>
        <w:t xml:space="preserve"> vitamīna noārdīšanās produktu klātbūtnē. 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vitamīns te</w:t>
      </w:r>
      <w:r w:rsidR="004E25D6" w:rsidRPr="00520FC7">
        <w:rPr>
          <w:szCs w:val="22"/>
          <w:lang w:val="lv-LV"/>
        </w:rPr>
        <w:t xml:space="preserve">rapeitiskās devās var pavājināt </w:t>
      </w:r>
      <w:r w:rsidRPr="00520FC7">
        <w:rPr>
          <w:szCs w:val="22"/>
          <w:lang w:val="lv-LV"/>
        </w:rPr>
        <w:t>levodopas iedarbību. Pastāv arī mijiedarbība ar izoniazīda preparātiem, D - pe</w:t>
      </w:r>
      <w:r w:rsidR="00D15F51" w:rsidRPr="00520FC7">
        <w:rPr>
          <w:szCs w:val="22"/>
          <w:lang w:val="lv-LV"/>
        </w:rPr>
        <w:t>nicilamīnu un cikloserīnu</w:t>
      </w:r>
      <w:r w:rsidRPr="00520FC7">
        <w:rPr>
          <w:szCs w:val="22"/>
          <w:lang w:val="lv-LV"/>
        </w:rPr>
        <w:t xml:space="preserve">. </w:t>
      </w:r>
    </w:p>
    <w:p w14:paraId="5F25A404" w14:textId="77777777" w:rsidR="004E25D6" w:rsidRPr="00520FC7" w:rsidRDefault="004E25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</w:p>
    <w:p w14:paraId="42120D96" w14:textId="77777777" w:rsidR="00DF16CF" w:rsidRPr="00520FC7" w:rsidRDefault="00DF16CF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Lidokaīna parenterālas ievadīšanas gadījumā, papildus lietojot epinefrīnu vai norepinefrīnu, var pastiprināties kardiālas blakusparādības. Pastāv arī mijiedarbība ar sulfanilamīdiem. </w:t>
      </w:r>
    </w:p>
    <w:p w14:paraId="49A00F0E" w14:textId="77777777" w:rsidR="004E25D6" w:rsidRPr="00520FC7" w:rsidRDefault="004E25D6" w:rsidP="00520FC7">
      <w:pPr>
        <w:rPr>
          <w:szCs w:val="22"/>
          <w:lang w:val="lv-LV"/>
        </w:rPr>
      </w:pPr>
    </w:p>
    <w:p w14:paraId="1C6E6494" w14:textId="77777777" w:rsidR="00DF16CF" w:rsidRPr="00520FC7" w:rsidRDefault="00DF16CF" w:rsidP="00520FC7">
      <w:pPr>
        <w:rPr>
          <w:szCs w:val="22"/>
          <w:lang w:val="lv-LV"/>
        </w:rPr>
      </w:pPr>
      <w:r w:rsidRPr="00520FC7">
        <w:rPr>
          <w:szCs w:val="22"/>
          <w:lang w:val="lv-LV"/>
        </w:rPr>
        <w:t>Pārdozējot vietējās anestēzijas līdzekļus, nedrīkst papildus lietot epinefrīnu un norepinefrīnu.</w:t>
      </w:r>
    </w:p>
    <w:p w14:paraId="52154919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5A21AED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4.6.</w:t>
      </w:r>
      <w:r w:rsidRPr="00520FC7">
        <w:rPr>
          <w:b/>
          <w:szCs w:val="22"/>
          <w:lang w:val="lv-LV"/>
        </w:rPr>
        <w:tab/>
        <w:t>Fertilitāte, grūtniecība un barošana ar krūti</w:t>
      </w:r>
    </w:p>
    <w:p w14:paraId="06EFBD95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3648BB8C" w14:textId="77777777" w:rsidR="00BF5CAF" w:rsidRPr="00520FC7" w:rsidRDefault="00BF5CAF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Droša 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vitamīna dienas deva grūtniecības un barošanas ar krūti laikā ir līdz 25 mg. Tā kā šīs zāles satur 100 mg 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vitamīna 2 ml ampulā, grūtniecības un barošanas ar krūti laikā tās lietot nedrīkst.</w:t>
      </w:r>
    </w:p>
    <w:p w14:paraId="1F4FA91A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E17099C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4.7.</w:t>
      </w:r>
      <w:r w:rsidRPr="00520FC7">
        <w:rPr>
          <w:b/>
          <w:szCs w:val="22"/>
          <w:lang w:val="lv-LV"/>
        </w:rPr>
        <w:tab/>
        <w:t>Ietekme uz spēju vadīt transportlīdzekļus un apkalpot mehānismus</w:t>
      </w:r>
    </w:p>
    <w:p w14:paraId="64D8843B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155AE1D" w14:textId="77777777" w:rsidR="00DE2B2C" w:rsidRPr="00520FC7" w:rsidRDefault="00BF54DF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Neiratax </w:t>
      </w:r>
      <w:r w:rsidR="00DE2B2C" w:rsidRPr="00520FC7">
        <w:rPr>
          <w:szCs w:val="22"/>
          <w:lang w:val="lv-LV"/>
        </w:rPr>
        <w:t>neietekmē vai nenozīmīgi ietekmē spēju vadīt transportlī</w:t>
      </w:r>
      <w:r w:rsidRPr="00520FC7">
        <w:rPr>
          <w:szCs w:val="22"/>
          <w:lang w:val="lv-LV"/>
        </w:rPr>
        <w:t>dzekļus un apkalpot mehānismus.</w:t>
      </w:r>
    </w:p>
    <w:p w14:paraId="2F0570D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EC6CDEE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4.8.</w:t>
      </w:r>
      <w:r w:rsidRPr="00520FC7">
        <w:rPr>
          <w:b/>
          <w:szCs w:val="22"/>
          <w:lang w:val="lv-LV"/>
        </w:rPr>
        <w:tab/>
        <w:t>Nevēlamās blakusparādības</w:t>
      </w:r>
    </w:p>
    <w:p w14:paraId="2BD71DE5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6A2AC89" w14:textId="77777777" w:rsidR="00DE2B2C" w:rsidRPr="00520FC7" w:rsidRDefault="006065C9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Blakusparādības ir norādītas saskaņā ar MedDRA orgānu sistēmu klasifikāciju un pamatojoties pēc to biežuma: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</w:tblGrid>
      <w:tr w:rsidR="002E7094" w:rsidRPr="00520FC7" w14:paraId="00F4723E" w14:textId="77777777" w:rsidTr="006E4A9C">
        <w:trPr>
          <w:trHeight w:val="25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1F582" w14:textId="139173DC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t>Ļoti bieži: ≥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>1/10 (≥ 10%)</w:t>
            </w:r>
          </w:p>
        </w:tc>
      </w:tr>
      <w:tr w:rsidR="002E7094" w:rsidRPr="00520FC7" w14:paraId="7C51341C" w14:textId="77777777" w:rsidTr="006E4A9C">
        <w:trPr>
          <w:trHeight w:val="29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F6B39" w14:textId="1AE26805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t>Bieži: ≥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 xml:space="preserve">1/100 </w:t>
            </w:r>
            <w:r w:rsidR="00DA6D86" w:rsidRPr="00DA6D86">
              <w:rPr>
                <w:bCs/>
                <w:szCs w:val="22"/>
                <w:lang w:val="sv-SE"/>
              </w:rPr>
              <w:t>līdz</w:t>
            </w:r>
            <w:r w:rsidRPr="00520FC7">
              <w:rPr>
                <w:szCs w:val="22"/>
                <w:lang w:val="lv-LV"/>
              </w:rPr>
              <w:t xml:space="preserve"> &lt;1/10 (≥ 1% </w:t>
            </w:r>
            <w:r w:rsidR="00DA6D86" w:rsidRPr="00DA6D86">
              <w:rPr>
                <w:bCs/>
                <w:szCs w:val="22"/>
                <w:lang w:val="sv-SE"/>
              </w:rPr>
              <w:t>līdz</w:t>
            </w:r>
            <w:r w:rsidRPr="00520FC7">
              <w:rPr>
                <w:szCs w:val="22"/>
                <w:lang w:val="lv-LV"/>
              </w:rPr>
              <w:t xml:space="preserve"> &lt; 10%)</w:t>
            </w:r>
          </w:p>
        </w:tc>
      </w:tr>
      <w:tr w:rsidR="002E7094" w:rsidRPr="00520FC7" w14:paraId="5703889B" w14:textId="77777777" w:rsidTr="006E4A9C">
        <w:trPr>
          <w:trHeight w:val="29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909A3" w14:textId="72E0D820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t>Retāk: ≥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>1/1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 xml:space="preserve">000 </w:t>
            </w:r>
            <w:r w:rsidR="00DA6D86" w:rsidRPr="00DA6D86">
              <w:rPr>
                <w:bCs/>
                <w:szCs w:val="22"/>
                <w:lang w:val="sv-SE"/>
              </w:rPr>
              <w:t xml:space="preserve">līdz </w:t>
            </w:r>
            <w:r w:rsidRPr="00520FC7">
              <w:rPr>
                <w:szCs w:val="22"/>
                <w:lang w:val="lv-LV"/>
              </w:rPr>
              <w:t>&lt;1/100 (≥ 0</w:t>
            </w:r>
            <w:r w:rsidR="00DA6D86">
              <w:rPr>
                <w:szCs w:val="22"/>
                <w:lang w:val="lv-LV"/>
              </w:rPr>
              <w:t>,</w:t>
            </w:r>
            <w:r w:rsidRPr="00520FC7">
              <w:rPr>
                <w:szCs w:val="22"/>
                <w:lang w:val="lv-LV"/>
              </w:rPr>
              <w:t xml:space="preserve">1% </w:t>
            </w:r>
            <w:r w:rsidR="00DA6D86" w:rsidRPr="00DA6D86">
              <w:rPr>
                <w:bCs/>
                <w:szCs w:val="22"/>
                <w:lang w:val="sv-SE"/>
              </w:rPr>
              <w:t xml:space="preserve">līdz </w:t>
            </w:r>
            <w:r w:rsidRPr="00520FC7">
              <w:rPr>
                <w:szCs w:val="22"/>
                <w:lang w:val="lv-LV"/>
              </w:rPr>
              <w:t>&lt; 1%)</w:t>
            </w:r>
          </w:p>
        </w:tc>
      </w:tr>
      <w:tr w:rsidR="002E7094" w:rsidRPr="00520FC7" w14:paraId="39CED2E5" w14:textId="77777777" w:rsidTr="006E4A9C">
        <w:trPr>
          <w:trHeight w:val="29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C8CB5" w14:textId="08E46801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lastRenderedPageBreak/>
              <w:t>Reti: ≥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 xml:space="preserve">1/10 000 </w:t>
            </w:r>
            <w:r w:rsidR="00DA6D86" w:rsidRPr="00DA6D86">
              <w:rPr>
                <w:bCs/>
                <w:szCs w:val="22"/>
                <w:lang w:val="sv-SE"/>
              </w:rPr>
              <w:t>līdz</w:t>
            </w:r>
            <w:r w:rsidRPr="00520FC7">
              <w:rPr>
                <w:szCs w:val="22"/>
                <w:lang w:val="lv-LV"/>
              </w:rPr>
              <w:t xml:space="preserve"> &lt; 1/1</w:t>
            </w:r>
            <w:r w:rsidR="00DA6D86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>000 (≥ 0</w:t>
            </w:r>
            <w:r w:rsidR="00DA6D86">
              <w:rPr>
                <w:szCs w:val="22"/>
                <w:lang w:val="lv-LV"/>
              </w:rPr>
              <w:t>,</w:t>
            </w:r>
            <w:r w:rsidRPr="00520FC7">
              <w:rPr>
                <w:szCs w:val="22"/>
                <w:lang w:val="lv-LV"/>
              </w:rPr>
              <w:t xml:space="preserve">01% </w:t>
            </w:r>
            <w:r w:rsidR="00DA6D86" w:rsidRPr="00DA6D86">
              <w:rPr>
                <w:bCs/>
                <w:szCs w:val="22"/>
                <w:lang w:val="sv-SE"/>
              </w:rPr>
              <w:t xml:space="preserve">līdz </w:t>
            </w:r>
            <w:r w:rsidRPr="00520FC7">
              <w:rPr>
                <w:szCs w:val="22"/>
                <w:lang w:val="lv-LV"/>
              </w:rPr>
              <w:t>&lt; 0</w:t>
            </w:r>
            <w:r w:rsidR="00DA6D86">
              <w:rPr>
                <w:szCs w:val="22"/>
                <w:lang w:val="lv-LV"/>
              </w:rPr>
              <w:t>,</w:t>
            </w:r>
            <w:r w:rsidRPr="00520FC7">
              <w:rPr>
                <w:szCs w:val="22"/>
                <w:lang w:val="lv-LV"/>
              </w:rPr>
              <w:t>1%)</w:t>
            </w:r>
          </w:p>
        </w:tc>
      </w:tr>
      <w:tr w:rsidR="002E7094" w:rsidRPr="00520FC7" w14:paraId="3F6C9527" w14:textId="77777777" w:rsidTr="006E4A9C">
        <w:trPr>
          <w:trHeight w:val="29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7E8C" w14:textId="5828CF91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t>Ļoti reti: &lt;</w:t>
            </w:r>
            <w:r w:rsidR="00520FC7">
              <w:rPr>
                <w:szCs w:val="22"/>
                <w:lang w:val="lv-LV"/>
              </w:rPr>
              <w:t> </w:t>
            </w:r>
            <w:r w:rsidRPr="00520FC7">
              <w:rPr>
                <w:szCs w:val="22"/>
                <w:lang w:val="lv-LV"/>
              </w:rPr>
              <w:t>1/10 000 (&lt; 0</w:t>
            </w:r>
            <w:r w:rsidR="00DA6D86">
              <w:rPr>
                <w:szCs w:val="22"/>
                <w:lang w:val="lv-LV"/>
              </w:rPr>
              <w:t>,</w:t>
            </w:r>
            <w:r w:rsidRPr="00520FC7">
              <w:rPr>
                <w:szCs w:val="22"/>
                <w:lang w:val="lv-LV"/>
              </w:rPr>
              <w:t xml:space="preserve">01%), </w:t>
            </w:r>
            <w:r w:rsidR="00322FA1">
              <w:rPr>
                <w:szCs w:val="22"/>
                <w:lang w:val="lv-LV"/>
              </w:rPr>
              <w:t>ieskaitot izolētus gadījumus</w:t>
            </w:r>
          </w:p>
        </w:tc>
      </w:tr>
      <w:tr w:rsidR="002E7094" w:rsidRPr="00520FC7" w14:paraId="5A828E82" w14:textId="77777777" w:rsidTr="006E4A9C">
        <w:trPr>
          <w:trHeight w:val="29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045" w14:textId="77777777" w:rsidR="002E7094" w:rsidRPr="00520FC7" w:rsidRDefault="002E7094" w:rsidP="003023E0">
            <w:pPr>
              <w:rPr>
                <w:szCs w:val="22"/>
                <w:lang w:val="lv-LV"/>
              </w:rPr>
            </w:pPr>
            <w:r w:rsidRPr="00520FC7">
              <w:rPr>
                <w:szCs w:val="22"/>
                <w:lang w:val="lv-LV"/>
              </w:rPr>
              <w:t>Nav zināms (nevar noteikt pēc pieejamajiem datiem)</w:t>
            </w:r>
          </w:p>
        </w:tc>
      </w:tr>
    </w:tbl>
    <w:p w14:paraId="5DA1EA17" w14:textId="77777777" w:rsidR="00D15CF2" w:rsidRPr="00520FC7" w:rsidRDefault="00D15CF2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279E5E88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Imūnās sistēmas traucējumi</w:t>
      </w:r>
    </w:p>
    <w:p w14:paraId="019D49A6" w14:textId="77777777" w:rsidR="00DD0652" w:rsidRPr="00520FC7" w:rsidRDefault="00A97450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Reti:</w:t>
      </w:r>
      <w:r w:rsidRPr="00520FC7">
        <w:rPr>
          <w:szCs w:val="22"/>
          <w:lang w:val="lv-LV"/>
        </w:rPr>
        <w:t xml:space="preserve"> paaugstinātas jutības reakcijas (pi</w:t>
      </w:r>
      <w:r w:rsidR="00D23BAD" w:rsidRPr="00520FC7">
        <w:rPr>
          <w:szCs w:val="22"/>
          <w:lang w:val="lv-LV"/>
        </w:rPr>
        <w:t xml:space="preserve">emēram, </w:t>
      </w:r>
      <w:r w:rsidR="00DD0652" w:rsidRPr="00520FC7">
        <w:rPr>
          <w:szCs w:val="22"/>
          <w:lang w:val="lv-LV"/>
        </w:rPr>
        <w:t>izsitumi</w:t>
      </w:r>
      <w:r w:rsidR="00D23BAD" w:rsidRPr="00520FC7">
        <w:rPr>
          <w:szCs w:val="22"/>
          <w:lang w:val="lv-LV"/>
        </w:rPr>
        <w:t xml:space="preserve"> uz ādas, elpošanas nomākums</w:t>
      </w:r>
      <w:r w:rsidRPr="00520FC7">
        <w:rPr>
          <w:szCs w:val="22"/>
          <w:lang w:val="lv-LV"/>
        </w:rPr>
        <w:t xml:space="preserve">, šoks, </w:t>
      </w:r>
      <w:r w:rsidR="009832B2" w:rsidRPr="00520FC7">
        <w:rPr>
          <w:szCs w:val="22"/>
          <w:lang w:val="lv-LV"/>
        </w:rPr>
        <w:t>angioedēma</w:t>
      </w:r>
      <w:r w:rsidRPr="00520FC7">
        <w:rPr>
          <w:szCs w:val="22"/>
          <w:lang w:val="lv-LV"/>
        </w:rPr>
        <w:t xml:space="preserve">). </w:t>
      </w:r>
    </w:p>
    <w:p w14:paraId="0A1F084D" w14:textId="77777777" w:rsidR="00A97450" w:rsidRPr="00520FC7" w:rsidRDefault="00DD0652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Benzilspirts: </w:t>
      </w:r>
      <w:r w:rsidR="00A97450" w:rsidRPr="00520FC7">
        <w:rPr>
          <w:szCs w:val="22"/>
          <w:lang w:val="lv-LV"/>
        </w:rPr>
        <w:t>paaugstinātas jutības reakcijas</w:t>
      </w:r>
      <w:r w:rsidRPr="00520FC7">
        <w:rPr>
          <w:szCs w:val="22"/>
          <w:lang w:val="lv-LV"/>
        </w:rPr>
        <w:t>.</w:t>
      </w:r>
    </w:p>
    <w:p w14:paraId="638E1EC7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val="lv-LV"/>
        </w:rPr>
      </w:pPr>
    </w:p>
    <w:p w14:paraId="5E3FB576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Nervu sistēmas traucējumi</w:t>
      </w:r>
    </w:p>
    <w:p w14:paraId="4D214715" w14:textId="77777777" w:rsidR="00A97450" w:rsidRPr="00520FC7" w:rsidRDefault="00EC75A1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N</w:t>
      </w:r>
      <w:r w:rsidR="00777F2C" w:rsidRPr="00520FC7">
        <w:rPr>
          <w:i/>
          <w:szCs w:val="22"/>
          <w:lang w:val="lv-LV"/>
        </w:rPr>
        <w:t>av zin</w:t>
      </w:r>
      <w:r w:rsidR="0014518F" w:rsidRPr="00520FC7">
        <w:rPr>
          <w:i/>
          <w:szCs w:val="22"/>
          <w:lang w:val="lv-LV"/>
        </w:rPr>
        <w:t>āms: vertigo</w:t>
      </w:r>
      <w:r w:rsidR="0014518F" w:rsidRPr="00520FC7">
        <w:rPr>
          <w:szCs w:val="22"/>
          <w:lang w:val="lv-LV"/>
        </w:rPr>
        <w:t>, apziņas aptumšošanās</w:t>
      </w:r>
      <w:r w:rsidR="00A97450" w:rsidRPr="00520FC7">
        <w:rPr>
          <w:szCs w:val="22"/>
          <w:lang w:val="lv-LV"/>
        </w:rPr>
        <w:t>.</w:t>
      </w:r>
    </w:p>
    <w:p w14:paraId="10B0DAF5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lang w:val="lv-LV"/>
        </w:rPr>
      </w:pPr>
    </w:p>
    <w:p w14:paraId="6BCC92D0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Sirds funkcijas traucējumi</w:t>
      </w:r>
    </w:p>
    <w:p w14:paraId="22291D0A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Ļoti reti:</w:t>
      </w:r>
      <w:r w:rsidRPr="00520FC7">
        <w:rPr>
          <w:szCs w:val="22"/>
          <w:lang w:val="lv-LV"/>
        </w:rPr>
        <w:t xml:space="preserve"> tahikardija.</w:t>
      </w:r>
    </w:p>
    <w:p w14:paraId="1E4BDCA1" w14:textId="77777777" w:rsidR="00A97450" w:rsidRPr="00520FC7" w:rsidRDefault="00EC4A9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N</w:t>
      </w:r>
      <w:r w:rsidR="00A97450" w:rsidRPr="00520FC7">
        <w:rPr>
          <w:i/>
          <w:szCs w:val="22"/>
          <w:lang w:val="lv-LV"/>
        </w:rPr>
        <w:t>av zināms:</w:t>
      </w:r>
      <w:r w:rsidR="00A97450" w:rsidRPr="00520FC7">
        <w:rPr>
          <w:szCs w:val="22"/>
          <w:lang w:val="lv-LV"/>
        </w:rPr>
        <w:t xml:space="preserve"> bradikardija, aritmija.</w:t>
      </w:r>
    </w:p>
    <w:p w14:paraId="5F5BD7B7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val="lv-LV"/>
        </w:rPr>
      </w:pPr>
    </w:p>
    <w:p w14:paraId="616F6F67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Kuņģa-zarnu trakta traucējumi</w:t>
      </w:r>
    </w:p>
    <w:p w14:paraId="0B11C027" w14:textId="77777777" w:rsidR="00A97450" w:rsidRPr="00520FC7" w:rsidRDefault="004D0F9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N</w:t>
      </w:r>
      <w:r w:rsidR="00A97450" w:rsidRPr="00520FC7">
        <w:rPr>
          <w:i/>
          <w:szCs w:val="22"/>
          <w:lang w:val="lv-LV"/>
        </w:rPr>
        <w:t xml:space="preserve">av zināms: </w:t>
      </w:r>
      <w:r w:rsidR="00A97450" w:rsidRPr="00520FC7">
        <w:rPr>
          <w:szCs w:val="22"/>
          <w:lang w:val="lv-LV"/>
        </w:rPr>
        <w:t>vemšana.</w:t>
      </w:r>
    </w:p>
    <w:p w14:paraId="430543B4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val="lv-LV"/>
        </w:rPr>
      </w:pPr>
    </w:p>
    <w:p w14:paraId="3C031853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Ādas un zemādas audu bojājumi</w:t>
      </w:r>
    </w:p>
    <w:p w14:paraId="5DC8EA03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Ļoti reti:</w:t>
      </w:r>
      <w:r w:rsidRPr="00520FC7">
        <w:rPr>
          <w:szCs w:val="22"/>
          <w:lang w:val="lv-LV"/>
        </w:rPr>
        <w:t xml:space="preserve"> stipra svīšana, pinnes, ādas reakcijas ar niezi un nātreni.</w:t>
      </w:r>
    </w:p>
    <w:p w14:paraId="7FC66853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val="lv-LV"/>
        </w:rPr>
      </w:pPr>
    </w:p>
    <w:p w14:paraId="799D464A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Skeleta-muskuļu un saistaudu sistēmas bojājumi</w:t>
      </w:r>
    </w:p>
    <w:p w14:paraId="219E74C1" w14:textId="77777777" w:rsidR="00A97450" w:rsidRPr="00520FC7" w:rsidRDefault="00D9561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N</w:t>
      </w:r>
      <w:r w:rsidR="00A97450" w:rsidRPr="00520FC7">
        <w:rPr>
          <w:i/>
          <w:szCs w:val="22"/>
          <w:lang w:val="lv-LV"/>
        </w:rPr>
        <w:t>av zināms:</w:t>
      </w:r>
      <w:r w:rsidR="00A97450" w:rsidRPr="00520FC7">
        <w:rPr>
          <w:szCs w:val="22"/>
          <w:lang w:val="lv-LV"/>
        </w:rPr>
        <w:t xml:space="preserve"> krampji.</w:t>
      </w:r>
    </w:p>
    <w:p w14:paraId="56F1CAEE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val="lv-LV"/>
        </w:rPr>
      </w:pPr>
    </w:p>
    <w:p w14:paraId="1502FCDB" w14:textId="77777777" w:rsidR="00A97450" w:rsidRPr="00520FC7" w:rsidRDefault="00A97450" w:rsidP="00520FC7">
      <w:pPr>
        <w:autoSpaceDE w:val="0"/>
        <w:autoSpaceDN w:val="0"/>
        <w:adjustRightInd w:val="0"/>
        <w:spacing w:line="240" w:lineRule="auto"/>
        <w:rPr>
          <w:iCs/>
          <w:szCs w:val="22"/>
          <w:u w:val="single"/>
          <w:lang w:val="lv-LV"/>
        </w:rPr>
      </w:pPr>
      <w:r w:rsidRPr="00520FC7">
        <w:rPr>
          <w:iCs/>
          <w:szCs w:val="22"/>
          <w:u w:val="single"/>
          <w:lang w:val="lv-LV"/>
        </w:rPr>
        <w:t>Vispārēji traucējumi un reakcijas ievadīšanas vietā</w:t>
      </w:r>
    </w:p>
    <w:p w14:paraId="2EAB22B8" w14:textId="695A4A89" w:rsidR="00A97450" w:rsidRPr="00520FC7" w:rsidRDefault="00297900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i/>
          <w:szCs w:val="22"/>
          <w:lang w:val="lv-LV"/>
        </w:rPr>
        <w:t>N</w:t>
      </w:r>
      <w:r w:rsidR="00A97450" w:rsidRPr="00520FC7">
        <w:rPr>
          <w:i/>
          <w:szCs w:val="22"/>
          <w:lang w:val="lv-LV"/>
        </w:rPr>
        <w:t>a</w:t>
      </w:r>
      <w:r w:rsidR="00777F2C" w:rsidRPr="00520FC7">
        <w:rPr>
          <w:i/>
          <w:szCs w:val="22"/>
          <w:lang w:val="lv-LV"/>
        </w:rPr>
        <w:t>v zināms:</w:t>
      </w:r>
      <w:r w:rsidR="00777F2C" w:rsidRPr="00520FC7">
        <w:rPr>
          <w:szCs w:val="22"/>
          <w:lang w:val="lv-LV"/>
        </w:rPr>
        <w:t xml:space="preserve"> ātras ievadīšanas (i.v.</w:t>
      </w:r>
      <w:r w:rsidR="00A97450" w:rsidRPr="00520FC7">
        <w:rPr>
          <w:szCs w:val="22"/>
          <w:lang w:val="lv-LV"/>
        </w:rPr>
        <w:t xml:space="preserve"> injekcija aiz pārskatīšanās, injekcija stipri apasiņotos audos) vai pārdozēšanas rezultātā iespējamas sistēmiskas reakcijas</w:t>
      </w:r>
      <w:r w:rsidR="00853B40" w:rsidRPr="00520FC7">
        <w:rPr>
          <w:szCs w:val="22"/>
          <w:lang w:val="lv-LV"/>
        </w:rPr>
        <w:t>, tostarp</w:t>
      </w:r>
      <w:r w:rsidR="00777F2C" w:rsidRPr="00520FC7">
        <w:rPr>
          <w:szCs w:val="22"/>
          <w:lang w:val="lv-LV"/>
        </w:rPr>
        <w:t xml:space="preserve"> c</w:t>
      </w:r>
      <w:r w:rsidR="00853B40" w:rsidRPr="00520FC7">
        <w:rPr>
          <w:szCs w:val="22"/>
          <w:lang w:val="lv-LV"/>
        </w:rPr>
        <w:t>entrālās nervu si</w:t>
      </w:r>
      <w:r w:rsidR="00520FC7">
        <w:rPr>
          <w:szCs w:val="22"/>
          <w:lang w:val="lv-LV"/>
        </w:rPr>
        <w:t>s</w:t>
      </w:r>
      <w:r w:rsidR="00853B40" w:rsidRPr="00520FC7">
        <w:rPr>
          <w:szCs w:val="22"/>
          <w:lang w:val="lv-LV"/>
        </w:rPr>
        <w:t>tēmas uzbudinājums</w:t>
      </w:r>
      <w:r w:rsidR="00777F2C" w:rsidRPr="00520FC7">
        <w:rPr>
          <w:szCs w:val="22"/>
          <w:lang w:val="lv-LV"/>
        </w:rPr>
        <w:t xml:space="preserve"> un/vai depresij</w:t>
      </w:r>
      <w:r w:rsidR="00DF10AB" w:rsidRPr="00520FC7">
        <w:rPr>
          <w:szCs w:val="22"/>
          <w:lang w:val="lv-LV"/>
        </w:rPr>
        <w:t>a</w:t>
      </w:r>
      <w:r w:rsidR="00777F2C" w:rsidRPr="00520FC7">
        <w:rPr>
          <w:szCs w:val="22"/>
          <w:lang w:val="lv-LV"/>
        </w:rPr>
        <w:t xml:space="preserve"> (līdzsvara trauc</w:t>
      </w:r>
      <w:r w:rsidR="005D7CD8" w:rsidRPr="00520FC7">
        <w:rPr>
          <w:szCs w:val="22"/>
          <w:lang w:val="lv-LV"/>
        </w:rPr>
        <w:t>ējumi, nervozitāte, briesmu</w:t>
      </w:r>
      <w:r w:rsidR="00777F2C" w:rsidRPr="00520FC7">
        <w:rPr>
          <w:szCs w:val="22"/>
          <w:lang w:val="lv-LV"/>
        </w:rPr>
        <w:t xml:space="preserve"> sajūta, eiforija, apjuku</w:t>
      </w:r>
      <w:r w:rsidR="00D8502E" w:rsidRPr="00520FC7">
        <w:rPr>
          <w:szCs w:val="22"/>
          <w:lang w:val="lv-LV"/>
        </w:rPr>
        <w:t>ms, reibonis, apziņas aptumšošanās</w:t>
      </w:r>
      <w:r w:rsidR="00777F2C" w:rsidRPr="00520FC7">
        <w:rPr>
          <w:szCs w:val="22"/>
          <w:lang w:val="lv-LV"/>
        </w:rPr>
        <w:t>, troksnis ausīs, neskaidra redze vai redzes dubultošanās, vemšana, aukstuma vai kars</w:t>
      </w:r>
      <w:r w:rsidR="00852A57" w:rsidRPr="00520FC7">
        <w:rPr>
          <w:szCs w:val="22"/>
          <w:lang w:val="lv-LV"/>
        </w:rPr>
        <w:t>t</w:t>
      </w:r>
      <w:r w:rsidR="00777F2C" w:rsidRPr="00520FC7">
        <w:rPr>
          <w:szCs w:val="22"/>
          <w:lang w:val="lv-LV"/>
        </w:rPr>
        <w:t xml:space="preserve">uma sajūta, </w:t>
      </w:r>
      <w:r w:rsidR="00141350" w:rsidRPr="00520FC7">
        <w:rPr>
          <w:szCs w:val="22"/>
          <w:lang w:val="lv-LV"/>
        </w:rPr>
        <w:t>nejutīgums)</w:t>
      </w:r>
      <w:r w:rsidR="00A97450" w:rsidRPr="00520FC7">
        <w:rPr>
          <w:szCs w:val="22"/>
          <w:lang w:val="lv-LV"/>
        </w:rPr>
        <w:t>.</w:t>
      </w:r>
    </w:p>
    <w:p w14:paraId="765FB96B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lv-LV"/>
        </w:rPr>
      </w:pPr>
    </w:p>
    <w:p w14:paraId="51593023" w14:textId="77777777" w:rsidR="00DE2B2C" w:rsidRPr="00520FC7" w:rsidRDefault="00DE2B2C" w:rsidP="003023E0">
      <w:pPr>
        <w:autoSpaceDE w:val="0"/>
        <w:autoSpaceDN w:val="0"/>
        <w:adjustRightInd w:val="0"/>
        <w:spacing w:line="240" w:lineRule="auto"/>
        <w:rPr>
          <w:szCs w:val="22"/>
          <w:u w:val="single"/>
          <w:lang w:val="lv-LV"/>
        </w:rPr>
      </w:pPr>
      <w:r w:rsidRPr="00520FC7">
        <w:rPr>
          <w:szCs w:val="22"/>
          <w:u w:val="single"/>
          <w:lang w:val="lv-LV"/>
        </w:rPr>
        <w:t>Ziņošana par iespējamām nevēlamām blakusparādībām</w:t>
      </w:r>
    </w:p>
    <w:p w14:paraId="659888B4" w14:textId="3807CF3A" w:rsidR="00A97450" w:rsidRPr="00520FC7" w:rsidRDefault="00DE2B2C" w:rsidP="00520FC7">
      <w:pPr>
        <w:autoSpaceDE w:val="0"/>
        <w:autoSpaceDN w:val="0"/>
        <w:adjustRightInd w:val="0"/>
        <w:rPr>
          <w:b/>
          <w:bCs/>
          <w:szCs w:val="22"/>
          <w:lang w:val="lv-LV"/>
        </w:rPr>
      </w:pPr>
      <w:r w:rsidRPr="00520FC7">
        <w:rPr>
          <w:szCs w:val="22"/>
          <w:lang w:val="lv-LV"/>
        </w:rPr>
        <w:t>Ir svarīgi ziņot par iespējamām nevēlamām blakusparādībām pēc zāļu reģistrācijas. Tādējādi zāļu ieguvuma/riska attiecība tiek nepārtraukti uzraudzīta. Veselības aprūpes speciālisti tiek lūgti ziņot par jebkādām iespējamām nevēlamām blakusparādībām</w:t>
      </w:r>
      <w:r w:rsidR="00A97450" w:rsidRPr="00520FC7">
        <w:rPr>
          <w:color w:val="000000"/>
          <w:szCs w:val="22"/>
          <w:lang w:val="lv-LV"/>
        </w:rPr>
        <w:t xml:space="preserve"> Zāļu valsts aģentū</w:t>
      </w:r>
      <w:r w:rsidR="00960174" w:rsidRPr="00520FC7">
        <w:rPr>
          <w:color w:val="000000"/>
          <w:szCs w:val="22"/>
          <w:lang w:val="lv-LV"/>
        </w:rPr>
        <w:t>rai, Jersikas ielā 15, Rīgā, LV</w:t>
      </w:r>
      <w:r w:rsidR="00322FA1">
        <w:rPr>
          <w:color w:val="000000"/>
          <w:szCs w:val="22"/>
          <w:lang w:val="lv-LV"/>
        </w:rPr>
        <w:t> </w:t>
      </w:r>
      <w:r w:rsidR="00A97450" w:rsidRPr="00520FC7">
        <w:rPr>
          <w:color w:val="000000"/>
          <w:szCs w:val="22"/>
          <w:lang w:val="lv-LV"/>
        </w:rPr>
        <w:t xml:space="preserve">1003. Tīmekļa </w:t>
      </w:r>
      <w:r w:rsidR="00A97450" w:rsidRPr="00520FC7">
        <w:rPr>
          <w:szCs w:val="22"/>
          <w:lang w:val="lv-LV"/>
        </w:rPr>
        <w:t>vietne: www.zva.gov.lv</w:t>
      </w:r>
    </w:p>
    <w:p w14:paraId="27C14100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3BE76E26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4.9.</w:t>
      </w:r>
      <w:r w:rsidRPr="00520FC7">
        <w:rPr>
          <w:b/>
          <w:szCs w:val="22"/>
          <w:lang w:val="lv-LV"/>
        </w:rPr>
        <w:tab/>
        <w:t>Pārdozēšana</w:t>
      </w:r>
    </w:p>
    <w:p w14:paraId="387976C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6CE9B5E" w14:textId="77777777" w:rsidR="00EA4D5C" w:rsidRPr="00520FC7" w:rsidRDefault="00020B94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Tiamīna, piridoksīna vai ciānkoba</w:t>
      </w:r>
      <w:r w:rsidR="00EA4D5C" w:rsidRPr="00520FC7">
        <w:rPr>
          <w:szCs w:val="22"/>
          <w:lang w:val="lv-LV"/>
        </w:rPr>
        <w:t>lamīna toksicitāt</w:t>
      </w:r>
      <w:r w:rsidR="00875BE6" w:rsidRPr="00520FC7">
        <w:rPr>
          <w:szCs w:val="22"/>
          <w:lang w:val="lv-LV"/>
        </w:rPr>
        <w:t>i</w:t>
      </w:r>
      <w:r w:rsidR="000031A5" w:rsidRPr="00520FC7">
        <w:rPr>
          <w:szCs w:val="22"/>
          <w:lang w:val="lv-LV"/>
        </w:rPr>
        <w:t xml:space="preserve"> var novērtēt kā ļoti zemu</w:t>
      </w:r>
      <w:r w:rsidR="00EA4D5C" w:rsidRPr="00520FC7">
        <w:rPr>
          <w:szCs w:val="22"/>
          <w:lang w:val="lv-LV"/>
        </w:rPr>
        <w:t>.</w:t>
      </w:r>
      <w:r w:rsidR="000031A5" w:rsidRPr="00520FC7">
        <w:rPr>
          <w:szCs w:val="22"/>
          <w:lang w:val="lv-LV"/>
        </w:rPr>
        <w:t xml:space="preserve"> Pārdozēšanas izraisīto smago blakusparādību </w:t>
      </w:r>
      <w:r w:rsidR="00B65E40" w:rsidRPr="00520FC7">
        <w:rPr>
          <w:szCs w:val="22"/>
          <w:lang w:val="lv-LV"/>
        </w:rPr>
        <w:t>attīstību var saga</w:t>
      </w:r>
      <w:r w:rsidR="00875BE6" w:rsidRPr="00520FC7">
        <w:rPr>
          <w:szCs w:val="22"/>
          <w:lang w:val="lv-LV"/>
        </w:rPr>
        <w:t>idīt tikai ta</w:t>
      </w:r>
      <w:r w:rsidR="004B119D" w:rsidRPr="00520FC7">
        <w:rPr>
          <w:szCs w:val="22"/>
          <w:lang w:val="lv-LV"/>
        </w:rPr>
        <w:t>d, ja tiek ievadīts</w:t>
      </w:r>
      <w:r w:rsidR="00B65E40" w:rsidRPr="00520FC7">
        <w:rPr>
          <w:szCs w:val="22"/>
          <w:lang w:val="lv-LV"/>
        </w:rPr>
        <w:t xml:space="preserve"> aptuveni 1 g šo vielu.</w:t>
      </w:r>
      <w:r w:rsidR="0026177B" w:rsidRPr="00520FC7">
        <w:rPr>
          <w:szCs w:val="22"/>
          <w:lang w:val="lv-LV"/>
        </w:rPr>
        <w:t xml:space="preserve"> Lidokaīna pārdozēšanas izraisītas reakcijas (augsts plazmas līmenis) ir sistēmiskas un ietver centrālo nervu sistēmu un sirds un asinsvadu sistēmu.</w:t>
      </w:r>
      <w:r w:rsidR="00C748C3" w:rsidRPr="00520FC7">
        <w:rPr>
          <w:szCs w:val="22"/>
          <w:lang w:val="lv-LV"/>
        </w:rPr>
        <w:t xml:space="preserve"> Blakusparādības var būt </w:t>
      </w:r>
      <w:r w:rsidR="00717353" w:rsidRPr="00520FC7">
        <w:rPr>
          <w:szCs w:val="22"/>
          <w:lang w:val="lv-LV"/>
        </w:rPr>
        <w:t>medulāra depresija, toniski vai kloniski krampji un sirds un asinsvadu sistēmas kolapss.</w:t>
      </w:r>
      <w:r w:rsidR="00C748C3" w:rsidRPr="00520FC7">
        <w:rPr>
          <w:szCs w:val="22"/>
          <w:lang w:val="lv-LV"/>
        </w:rPr>
        <w:t xml:space="preserve"> Ārstēšana p</w:t>
      </w:r>
      <w:r w:rsidR="00EA4D5C" w:rsidRPr="00520FC7">
        <w:rPr>
          <w:szCs w:val="22"/>
          <w:lang w:val="lv-LV"/>
        </w:rPr>
        <w:t xml:space="preserve">ārdozēšanas gadījumā </w:t>
      </w:r>
      <w:r w:rsidR="00C748C3" w:rsidRPr="00520FC7">
        <w:rPr>
          <w:szCs w:val="22"/>
          <w:lang w:val="lv-LV"/>
        </w:rPr>
        <w:t>ir</w:t>
      </w:r>
      <w:r w:rsidR="00EA4D5C" w:rsidRPr="00520FC7">
        <w:rPr>
          <w:szCs w:val="22"/>
          <w:lang w:val="lv-LV"/>
        </w:rPr>
        <w:t xml:space="preserve"> simptomātiska.</w:t>
      </w:r>
    </w:p>
    <w:p w14:paraId="5F2B2E47" w14:textId="77777777" w:rsidR="00DE2B2C" w:rsidRPr="00520FC7" w:rsidRDefault="00DE2B2C" w:rsidP="00520FC7">
      <w:pPr>
        <w:tabs>
          <w:tab w:val="clear" w:pos="567"/>
          <w:tab w:val="center" w:pos="4536"/>
        </w:tabs>
        <w:spacing w:line="240" w:lineRule="auto"/>
        <w:ind w:left="567" w:hanging="567"/>
        <w:rPr>
          <w:szCs w:val="22"/>
          <w:lang w:val="lv-LV"/>
        </w:rPr>
      </w:pPr>
    </w:p>
    <w:p w14:paraId="169B3E6D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CB68CE6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5.</w:t>
      </w:r>
      <w:r w:rsidRPr="00520FC7">
        <w:rPr>
          <w:b/>
          <w:szCs w:val="22"/>
          <w:lang w:val="lv-LV"/>
        </w:rPr>
        <w:tab/>
        <w:t xml:space="preserve">FARMAKOLOĢISKĀS ĪPAŠĪBAS </w:t>
      </w:r>
    </w:p>
    <w:p w14:paraId="62484153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08FEEAF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5.1.</w:t>
      </w:r>
      <w:r w:rsidRPr="00520FC7">
        <w:rPr>
          <w:b/>
          <w:szCs w:val="22"/>
          <w:lang w:val="lv-LV"/>
        </w:rPr>
        <w:tab/>
        <w:t>Farmakodinamiskās īpašības</w:t>
      </w:r>
    </w:p>
    <w:p w14:paraId="3688C918" w14:textId="77777777" w:rsidR="00DE2B2C" w:rsidRPr="00520FC7" w:rsidRDefault="00DE2B2C" w:rsidP="00520FC7">
      <w:pPr>
        <w:spacing w:line="240" w:lineRule="auto"/>
        <w:ind w:left="567" w:hanging="567"/>
        <w:rPr>
          <w:szCs w:val="22"/>
          <w:lang w:val="lv-LV"/>
        </w:rPr>
      </w:pPr>
    </w:p>
    <w:p w14:paraId="38975C82" w14:textId="1D1F9992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Farmakoterapeitiskā grupa: B</w:t>
      </w:r>
      <w:r w:rsidRPr="00520FC7">
        <w:rPr>
          <w:szCs w:val="22"/>
          <w:vertAlign w:val="subscript"/>
          <w:lang w:val="lv-LV"/>
        </w:rPr>
        <w:t>1</w:t>
      </w:r>
      <w:r w:rsidRPr="00520FC7">
        <w:rPr>
          <w:szCs w:val="22"/>
          <w:lang w:val="lv-LV"/>
        </w:rPr>
        <w:t xml:space="preserve"> vitamīns</w:t>
      </w:r>
      <w:r w:rsidR="00520D24">
        <w:rPr>
          <w:szCs w:val="22"/>
          <w:lang w:val="lv-LV"/>
        </w:rPr>
        <w:t>, monopreparāti</w:t>
      </w:r>
      <w:r w:rsidRPr="00520FC7">
        <w:rPr>
          <w:szCs w:val="22"/>
          <w:lang w:val="lv-LV"/>
        </w:rPr>
        <w:t xml:space="preserve"> un kombinācijas ar 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un B</w:t>
      </w:r>
      <w:r w:rsidRPr="00520FC7">
        <w:rPr>
          <w:szCs w:val="22"/>
          <w:vertAlign w:val="subscript"/>
          <w:lang w:val="lv-LV"/>
        </w:rPr>
        <w:t>12</w:t>
      </w:r>
      <w:r w:rsidRPr="00520FC7">
        <w:rPr>
          <w:szCs w:val="22"/>
          <w:lang w:val="lv-LV"/>
        </w:rPr>
        <w:t xml:space="preserve"> vitamīnu, ATĶ kods: A11DB</w:t>
      </w:r>
    </w:p>
    <w:p w14:paraId="21C4C94F" w14:textId="77777777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</w:p>
    <w:p w14:paraId="156BACA0" w14:textId="77777777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lastRenderedPageBreak/>
        <w:t xml:space="preserve">Neirotropie B grupas vitamīni labvēlīgi iedarbojas uz iekaisīgām un deģeneratīvām nervu un kustību aparāta slimībām. </w:t>
      </w:r>
    </w:p>
    <w:p w14:paraId="5ECA3031" w14:textId="77777777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</w:t>
      </w:r>
      <w:r w:rsidRPr="00520FC7">
        <w:rPr>
          <w:szCs w:val="22"/>
          <w:vertAlign w:val="subscript"/>
          <w:lang w:val="lv-LV"/>
        </w:rPr>
        <w:t>1</w:t>
      </w:r>
      <w:r w:rsidRPr="00520FC7">
        <w:rPr>
          <w:szCs w:val="22"/>
          <w:lang w:val="lv-LV"/>
        </w:rPr>
        <w:t xml:space="preserve"> vitamīnu sauc arī par pretneirītu vitamīnu. Tā fosforilētā forma (TPP) kokarboksilāzes veidā regulē ogļhidrātu noārdīšanu un tiek lietot</w:t>
      </w:r>
      <w:r w:rsidR="00201271" w:rsidRPr="00520FC7">
        <w:rPr>
          <w:szCs w:val="22"/>
          <w:lang w:val="lv-LV"/>
        </w:rPr>
        <w:t>a</w:t>
      </w:r>
      <w:r w:rsidRPr="00520FC7">
        <w:rPr>
          <w:szCs w:val="22"/>
          <w:lang w:val="lv-LV"/>
        </w:rPr>
        <w:t xml:space="preserve"> </w:t>
      </w:r>
      <w:r w:rsidR="00FE1034" w:rsidRPr="00520FC7">
        <w:rPr>
          <w:szCs w:val="22"/>
          <w:lang w:val="lv-LV"/>
        </w:rPr>
        <w:t>metabolās acidozes gadīju</w:t>
      </w:r>
      <w:r w:rsidR="00507521" w:rsidRPr="00520FC7">
        <w:rPr>
          <w:szCs w:val="22"/>
          <w:lang w:val="lv-LV"/>
        </w:rPr>
        <w:t>mā</w:t>
      </w:r>
      <w:r w:rsidRPr="00520FC7">
        <w:rPr>
          <w:szCs w:val="22"/>
          <w:lang w:val="lv-LV"/>
        </w:rPr>
        <w:t xml:space="preserve">. </w:t>
      </w:r>
    </w:p>
    <w:p w14:paraId="0DA7BF3D" w14:textId="77777777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vitamīns regulē olbaltumvielu, tauku un ogļhidrātu noārdīšanu. </w:t>
      </w:r>
    </w:p>
    <w:p w14:paraId="77604F2A" w14:textId="77777777" w:rsidR="008950BE" w:rsidRPr="00520FC7" w:rsidRDefault="008950BE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</w:t>
      </w:r>
      <w:r w:rsidRPr="00520FC7">
        <w:rPr>
          <w:szCs w:val="22"/>
          <w:vertAlign w:val="subscript"/>
          <w:lang w:val="lv-LV"/>
        </w:rPr>
        <w:t>12</w:t>
      </w:r>
      <w:r w:rsidRPr="00520FC7">
        <w:rPr>
          <w:szCs w:val="22"/>
          <w:lang w:val="lv-LV"/>
        </w:rPr>
        <w:t xml:space="preserve"> vitamīns nepieciešams šūnu vielma</w:t>
      </w:r>
      <w:r w:rsidR="00DC4751" w:rsidRPr="00520FC7">
        <w:rPr>
          <w:szCs w:val="22"/>
          <w:lang w:val="lv-LV"/>
        </w:rPr>
        <w:t>iņai, eritrocītu veidošanai</w:t>
      </w:r>
      <w:r w:rsidRPr="00520FC7">
        <w:rPr>
          <w:szCs w:val="22"/>
          <w:lang w:val="lv-LV"/>
        </w:rPr>
        <w:t xml:space="preserve"> un nervu sistēmas darbībai. Tas katalīzē bioloģisko nukleīnskābju sintēzi un līdz ar to jaunu šūnu kodolu izveidi. </w:t>
      </w:r>
    </w:p>
    <w:p w14:paraId="44C9ED74" w14:textId="77777777" w:rsidR="00DE2B2C" w:rsidRPr="00520FC7" w:rsidRDefault="00285B41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Lidokaīna hidrohlorīds ir</w:t>
      </w:r>
      <w:r w:rsidR="00DC4751" w:rsidRPr="00520FC7">
        <w:rPr>
          <w:szCs w:val="22"/>
          <w:lang w:val="lv-LV"/>
        </w:rPr>
        <w:t xml:space="preserve"> pievienots, lai mazinātu sāpes pēc procedūras.</w:t>
      </w:r>
    </w:p>
    <w:p w14:paraId="11A743E6" w14:textId="77777777" w:rsidR="00DC4751" w:rsidRPr="00520FC7" w:rsidRDefault="00DC4751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8E49057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5.2.</w:t>
      </w:r>
      <w:r w:rsidRPr="00520FC7">
        <w:rPr>
          <w:b/>
          <w:szCs w:val="22"/>
          <w:lang w:val="lv-LV"/>
        </w:rPr>
        <w:tab/>
        <w:t>Farmakokinētiskās īpašības</w:t>
      </w:r>
    </w:p>
    <w:p w14:paraId="538245E0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70"/>
        <w:rPr>
          <w:b/>
          <w:szCs w:val="22"/>
          <w:lang w:val="lv-LV"/>
        </w:rPr>
      </w:pPr>
    </w:p>
    <w:p w14:paraId="47BF8E46" w14:textId="77777777" w:rsidR="00866DE0" w:rsidRPr="00520FC7" w:rsidRDefault="00454A7D" w:rsidP="00520FC7">
      <w:pPr>
        <w:pStyle w:val="HTMLPreformatted"/>
        <w:shd w:val="clear" w:color="auto" w:fill="FFFFFF"/>
        <w:rPr>
          <w:rFonts w:ascii="Times New Roman" w:hAnsi="Times New Roman" w:cs="Times New Roman"/>
          <w:snapToGrid w:val="0"/>
          <w:sz w:val="22"/>
          <w:szCs w:val="22"/>
          <w:lang w:eastAsia="zh-CN"/>
        </w:rPr>
      </w:pPr>
      <w:r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>Nepiecie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šamais tiamīna daudzums dienā </w:t>
      </w:r>
      <w:r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aptuveni 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ir </w:t>
      </w:r>
      <w:r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>1 mg. Tiamīna pārpalikums tiek izdalīts ar urīnu.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 B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vertAlign w:val="subscript"/>
          <w:lang w:eastAsia="zh-CN"/>
        </w:rPr>
        <w:t>1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 statusa noteikšanai izmanto TPP atkarīgā enzīma - transketolazes aktivitātes noteikšanu. </w:t>
      </w:r>
      <w:r w:rsidR="00D06B27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>K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>oncentrācija</w:t>
      </w:r>
      <w:r w:rsidR="00D06B27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 plazmā</w:t>
      </w:r>
      <w:r w:rsidR="00866DE0" w:rsidRPr="00520FC7">
        <w:rPr>
          <w:rFonts w:ascii="Times New Roman" w:hAnsi="Times New Roman" w:cs="Times New Roman"/>
          <w:snapToGrid w:val="0"/>
          <w:sz w:val="22"/>
          <w:szCs w:val="22"/>
          <w:lang w:eastAsia="zh-CN"/>
        </w:rPr>
        <w:t xml:space="preserve"> ir 2-4 μg/100 ml.</w:t>
      </w:r>
    </w:p>
    <w:p w14:paraId="1AC1DC7D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1A345EB6" w14:textId="77777777" w:rsidR="00F931DF" w:rsidRPr="00520FC7" w:rsidRDefault="00F931DF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Piridoksīns, piridoksāls un piridoksamīns fosforilējas un oksidējas par piridoksāl-5- fosfātu (</w:t>
      </w:r>
      <w:r w:rsidRPr="00520FC7">
        <w:rPr>
          <w:iCs/>
          <w:szCs w:val="22"/>
          <w:lang w:val="lv-LV"/>
        </w:rPr>
        <w:t>PALP</w:t>
      </w:r>
      <w:r w:rsidRPr="00520FC7">
        <w:rPr>
          <w:szCs w:val="22"/>
          <w:lang w:val="lv-LV"/>
        </w:rPr>
        <w:t>). Galvenais izvadīšanās produkts ir 4 - piridoksīnskābe.</w:t>
      </w:r>
      <w:r w:rsidRPr="00520FC7">
        <w:rPr>
          <w:color w:val="00B050"/>
          <w:szCs w:val="22"/>
          <w:lang w:val="lv-LV"/>
        </w:rPr>
        <w:t xml:space="preserve"> </w:t>
      </w:r>
      <w:r w:rsidRPr="00520FC7">
        <w:rPr>
          <w:szCs w:val="22"/>
          <w:lang w:val="lv-LV"/>
        </w:rPr>
        <w:t>B</w:t>
      </w:r>
      <w:r w:rsidRPr="00520FC7">
        <w:rPr>
          <w:szCs w:val="22"/>
          <w:vertAlign w:val="subscript"/>
          <w:lang w:val="lv-LV"/>
        </w:rPr>
        <w:t>6</w:t>
      </w:r>
      <w:r w:rsidRPr="00520FC7">
        <w:rPr>
          <w:szCs w:val="22"/>
          <w:lang w:val="lv-LV"/>
        </w:rPr>
        <w:t xml:space="preserve"> vitamīna noteikšanai ir piemērots triptofāna tests.</w:t>
      </w:r>
      <w:r w:rsidR="00AB33CB" w:rsidRPr="00520FC7">
        <w:rPr>
          <w:szCs w:val="22"/>
          <w:lang w:val="lv-LV"/>
        </w:rPr>
        <w:t xml:space="preserve"> Pieaugušajiem vidējā PALP seruma vērtība ir 1,2 μg/100 ml.</w:t>
      </w:r>
    </w:p>
    <w:p w14:paraId="6622218A" w14:textId="77777777" w:rsidR="000B593F" w:rsidRPr="00520FC7" w:rsidRDefault="000B593F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466D9887" w14:textId="77777777" w:rsidR="0019349A" w:rsidRPr="00520FC7" w:rsidRDefault="0019349A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napToGrid/>
          <w:szCs w:val="22"/>
          <w:lang w:val="lv-LV"/>
        </w:rPr>
        <w:t>Nepieciešamais B</w:t>
      </w:r>
      <w:r w:rsidRPr="00520FC7">
        <w:rPr>
          <w:snapToGrid/>
          <w:szCs w:val="22"/>
          <w:vertAlign w:val="subscript"/>
          <w:lang w:val="lv-LV"/>
        </w:rPr>
        <w:t>12</w:t>
      </w:r>
      <w:r w:rsidRPr="00520FC7">
        <w:rPr>
          <w:snapToGrid/>
          <w:szCs w:val="22"/>
          <w:lang w:val="lv-LV"/>
        </w:rPr>
        <w:t xml:space="preserve"> vitamīna daudzums dienā aptuveni ir 1 </w:t>
      </w:r>
      <w:r w:rsidRPr="00520FC7">
        <w:rPr>
          <w:szCs w:val="22"/>
          <w:lang w:val="lv-LV"/>
        </w:rPr>
        <w:t>μ</w:t>
      </w:r>
      <w:r w:rsidRPr="00520FC7">
        <w:rPr>
          <w:snapToGrid/>
          <w:szCs w:val="22"/>
          <w:lang w:val="lv-LV"/>
        </w:rPr>
        <w:t>g.</w:t>
      </w:r>
      <w:r w:rsidR="00064197" w:rsidRPr="00520FC7">
        <w:rPr>
          <w:color w:val="00B050"/>
          <w:szCs w:val="22"/>
          <w:lang w:val="lv-LV"/>
        </w:rPr>
        <w:t xml:space="preserve"> </w:t>
      </w:r>
      <w:r w:rsidR="00064197" w:rsidRPr="00520FC7">
        <w:rPr>
          <w:szCs w:val="22"/>
          <w:lang w:val="lv-LV"/>
        </w:rPr>
        <w:t>Vidēji 1,5 - 3,5 μg B</w:t>
      </w:r>
      <w:r w:rsidR="00064197" w:rsidRPr="00520FC7">
        <w:rPr>
          <w:szCs w:val="22"/>
          <w:vertAlign w:val="subscript"/>
          <w:lang w:val="lv-LV"/>
        </w:rPr>
        <w:t>12</w:t>
      </w:r>
      <w:r w:rsidR="00064197" w:rsidRPr="00520FC7">
        <w:rPr>
          <w:szCs w:val="22"/>
          <w:lang w:val="lv-LV"/>
        </w:rPr>
        <w:t xml:space="preserve"> vitamīna uzsūcas no uztura.</w:t>
      </w:r>
      <w:r w:rsidR="00D06B27" w:rsidRPr="00520FC7">
        <w:rPr>
          <w:szCs w:val="22"/>
          <w:lang w:val="lv-LV"/>
        </w:rPr>
        <w:t xml:space="preserve"> </w:t>
      </w:r>
      <w:r w:rsidR="00086E18" w:rsidRPr="00520FC7">
        <w:rPr>
          <w:szCs w:val="22"/>
          <w:lang w:val="lv-LV"/>
        </w:rPr>
        <w:t>Normālos apstākļos</w:t>
      </w:r>
      <w:r w:rsidR="00D06B27" w:rsidRPr="00520FC7">
        <w:rPr>
          <w:szCs w:val="22"/>
          <w:lang w:val="lv-LV"/>
        </w:rPr>
        <w:t xml:space="preserve"> </w:t>
      </w:r>
      <w:r w:rsidR="00086E18" w:rsidRPr="00520FC7">
        <w:rPr>
          <w:szCs w:val="22"/>
          <w:lang w:val="lv-LV"/>
        </w:rPr>
        <w:t>B</w:t>
      </w:r>
      <w:r w:rsidR="00086E18" w:rsidRPr="00520FC7">
        <w:rPr>
          <w:szCs w:val="22"/>
          <w:vertAlign w:val="subscript"/>
          <w:lang w:val="lv-LV"/>
        </w:rPr>
        <w:t>12</w:t>
      </w:r>
      <w:r w:rsidR="00086E18" w:rsidRPr="00520FC7">
        <w:rPr>
          <w:szCs w:val="22"/>
          <w:lang w:val="lv-LV"/>
        </w:rPr>
        <w:t xml:space="preserve"> </w:t>
      </w:r>
      <w:r w:rsidR="00D06B27" w:rsidRPr="00520FC7">
        <w:rPr>
          <w:szCs w:val="22"/>
          <w:lang w:val="lv-LV"/>
        </w:rPr>
        <w:t>vitam</w:t>
      </w:r>
      <w:r w:rsidR="00547F47" w:rsidRPr="00520FC7">
        <w:rPr>
          <w:szCs w:val="22"/>
          <w:lang w:val="lv-LV"/>
        </w:rPr>
        <w:t>īna koncentrācija plazmā ir 200</w:t>
      </w:r>
      <w:r w:rsidR="00547F47" w:rsidRPr="00520FC7">
        <w:rPr>
          <w:szCs w:val="22"/>
          <w:lang w:val="lv-LV"/>
        </w:rPr>
        <w:noBreakHyphen/>
      </w:r>
      <w:r w:rsidR="00D06B27" w:rsidRPr="00520FC7">
        <w:rPr>
          <w:szCs w:val="22"/>
          <w:lang w:val="lv-LV"/>
        </w:rPr>
        <w:t>900 μg</w:t>
      </w:r>
      <w:r w:rsidR="00125DF6" w:rsidRPr="00520FC7">
        <w:rPr>
          <w:szCs w:val="22"/>
          <w:lang w:val="lv-LV"/>
        </w:rPr>
        <w:t>/ml, vērtība zemāka par 200 μg/ml tiek uzskatīta par deficītu.</w:t>
      </w:r>
      <w:r w:rsidR="00A44A5D" w:rsidRPr="00520FC7">
        <w:rPr>
          <w:szCs w:val="22"/>
          <w:lang w:val="lv-LV"/>
        </w:rPr>
        <w:t xml:space="preserve"> Cirkulējošais B</w:t>
      </w:r>
      <w:r w:rsidR="00A44A5D" w:rsidRPr="00520FC7">
        <w:rPr>
          <w:szCs w:val="22"/>
          <w:vertAlign w:val="subscript"/>
          <w:lang w:val="lv-LV"/>
        </w:rPr>
        <w:t>12</w:t>
      </w:r>
      <w:r w:rsidR="00A44A5D" w:rsidRPr="00520FC7">
        <w:rPr>
          <w:szCs w:val="22"/>
          <w:lang w:val="lv-LV"/>
        </w:rPr>
        <w:t xml:space="preserve"> vitamīns atbilst aptuveni 0,1% no kopējā vitamīnu daudzuma.</w:t>
      </w:r>
    </w:p>
    <w:p w14:paraId="7581545F" w14:textId="77777777" w:rsidR="0019349A" w:rsidRPr="00520FC7" w:rsidRDefault="0019349A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7D8EBED6" w14:textId="77777777" w:rsidR="00987D55" w:rsidRPr="00520FC7" w:rsidRDefault="00FA375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Ir zināma informācija, ka 20</w:t>
      </w:r>
      <w:r w:rsidR="00E175E9" w:rsidRPr="00520FC7">
        <w:rPr>
          <w:szCs w:val="22"/>
          <w:lang w:val="lv-LV"/>
        </w:rPr>
        <w:t>0</w:t>
      </w:r>
      <w:r w:rsidRPr="00520FC7">
        <w:rPr>
          <w:szCs w:val="22"/>
          <w:lang w:val="lv-LV"/>
        </w:rPr>
        <w:t xml:space="preserve"> mg 10% lidokaīna intramuskulāra injekcija dod seruma koncentrāciju 1,3-1,9 μg/ml. </w:t>
      </w:r>
    </w:p>
    <w:p w14:paraId="683C2188" w14:textId="7DB30564" w:rsidR="000B593F" w:rsidRPr="00520FC7" w:rsidRDefault="00673E84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Lidokaīns ātri metabolizējas aknās, un metabolīti un arī</w:t>
      </w:r>
      <w:r w:rsidR="00987D55" w:rsidRPr="00520FC7">
        <w:rPr>
          <w:szCs w:val="22"/>
          <w:lang w:val="lv-LV"/>
        </w:rPr>
        <w:t xml:space="preserve"> neizmainīta aktīvā viela</w:t>
      </w:r>
      <w:r w:rsidRPr="00520FC7">
        <w:rPr>
          <w:szCs w:val="22"/>
          <w:lang w:val="lv-LV"/>
        </w:rPr>
        <w:t xml:space="preserve"> tiek izdalīt</w:t>
      </w:r>
      <w:r w:rsidR="00CA152A" w:rsidRPr="00520FC7">
        <w:rPr>
          <w:szCs w:val="22"/>
          <w:lang w:val="lv-LV"/>
        </w:rPr>
        <w:t>i</w:t>
      </w:r>
      <w:r w:rsidRPr="00520FC7">
        <w:rPr>
          <w:szCs w:val="22"/>
          <w:lang w:val="lv-LV"/>
        </w:rPr>
        <w:t xml:space="preserve"> caur nierēm.</w:t>
      </w:r>
      <w:r w:rsidR="00987D55" w:rsidRPr="00520FC7">
        <w:rPr>
          <w:szCs w:val="22"/>
          <w:lang w:val="lv-LV"/>
        </w:rPr>
        <w:t xml:space="preserve"> Lai gan neizmainītā veidā lidokaīns izdalās ar urīnu, tas ir neliels izvadīšanas veids un sastāda mazāk par 11%.</w:t>
      </w:r>
      <w:r w:rsidR="00D7464B" w:rsidRPr="00520FC7">
        <w:rPr>
          <w:szCs w:val="22"/>
          <w:lang w:val="lv-LV"/>
        </w:rPr>
        <w:t xml:space="preserve"> Lidokaīna sākotnējais pusperiods ir 7-30 minūtes un terminālais pusperiods ir 1,5</w:t>
      </w:r>
      <w:r w:rsidR="00520FC7">
        <w:rPr>
          <w:szCs w:val="22"/>
          <w:lang w:val="lv-LV"/>
        </w:rPr>
        <w:noBreakHyphen/>
      </w:r>
      <w:r w:rsidR="00D7464B" w:rsidRPr="00520FC7">
        <w:rPr>
          <w:szCs w:val="22"/>
          <w:lang w:val="lv-LV"/>
        </w:rPr>
        <w:t>2</w:t>
      </w:r>
      <w:r w:rsidR="00520FC7">
        <w:rPr>
          <w:szCs w:val="22"/>
          <w:lang w:val="lv-LV"/>
        </w:rPr>
        <w:t> </w:t>
      </w:r>
      <w:r w:rsidR="00D7464B" w:rsidRPr="00520FC7">
        <w:rPr>
          <w:szCs w:val="22"/>
          <w:lang w:val="lv-LV"/>
        </w:rPr>
        <w:t>stundas.</w:t>
      </w:r>
    </w:p>
    <w:p w14:paraId="65DF601B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4576D5C2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b/>
          <w:szCs w:val="22"/>
          <w:lang w:val="lv-LV"/>
        </w:rPr>
        <w:t>5.3.</w:t>
      </w:r>
      <w:r w:rsidRPr="00520FC7">
        <w:rPr>
          <w:b/>
          <w:szCs w:val="22"/>
          <w:lang w:val="lv-LV"/>
        </w:rPr>
        <w:tab/>
        <w:t>Preklīniskie dati par drošumu</w:t>
      </w:r>
    </w:p>
    <w:p w14:paraId="7AF3472B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1FE38B3" w14:textId="77777777" w:rsidR="00EA777D" w:rsidRPr="00520FC7" w:rsidRDefault="00EA777D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Ievado</w:t>
      </w:r>
      <w:r w:rsidR="00FC54F7" w:rsidRPr="00520FC7">
        <w:rPr>
          <w:szCs w:val="22"/>
          <w:lang w:val="lv-LV"/>
        </w:rPr>
        <w:t>t lidokaīnu žurkām, veidojas metabolisma produkts 2,6- ksilidīns, kam var</w:t>
      </w:r>
      <w:r w:rsidRPr="00520FC7">
        <w:rPr>
          <w:szCs w:val="22"/>
          <w:lang w:val="lv-LV"/>
        </w:rPr>
        <w:t xml:space="preserve"> būt mutagēna iedarbība. Šie rezultāti ir iegūti no </w:t>
      </w:r>
      <w:r w:rsidRPr="00520FC7">
        <w:rPr>
          <w:i/>
          <w:szCs w:val="22"/>
          <w:lang w:val="lv-LV"/>
        </w:rPr>
        <w:t>in vitro</w:t>
      </w:r>
      <w:r w:rsidRPr="00520FC7">
        <w:rPr>
          <w:szCs w:val="22"/>
          <w:lang w:val="lv-LV"/>
        </w:rPr>
        <w:t xml:space="preserve"> pētījumiem, kuros šis metabolīts</w:t>
      </w:r>
      <w:r w:rsidR="00A94CF8" w:rsidRPr="00520FC7">
        <w:rPr>
          <w:szCs w:val="22"/>
          <w:lang w:val="lv-LV"/>
        </w:rPr>
        <w:t xml:space="preserve"> tika ievadīts</w:t>
      </w:r>
      <w:r w:rsidRPr="00520FC7">
        <w:rPr>
          <w:szCs w:val="22"/>
          <w:lang w:val="lv-LV"/>
        </w:rPr>
        <w:t xml:space="preserve"> ļoti augstās, gandrīz toksiskās koncentrācijās.</w:t>
      </w:r>
      <w:r w:rsidR="00A94CF8" w:rsidRPr="00520FC7">
        <w:rPr>
          <w:szCs w:val="22"/>
          <w:lang w:val="lv-LV"/>
        </w:rPr>
        <w:t xml:space="preserve"> Tādēļ nav pamata uzskatīt, ka arī pats lidokaīns ir mutagēns.</w:t>
      </w:r>
    </w:p>
    <w:p w14:paraId="70D2236F" w14:textId="77777777" w:rsidR="000B593F" w:rsidRPr="00520FC7" w:rsidRDefault="0026504F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Kancerogenitātes pētījumos, kuros žurkām tika ievadīts 2,6</w:t>
      </w:r>
      <w:r w:rsidR="00E175E9" w:rsidRPr="00520FC7">
        <w:rPr>
          <w:szCs w:val="22"/>
          <w:lang w:val="lv-LV"/>
        </w:rPr>
        <w:t>-</w:t>
      </w:r>
      <w:r w:rsidRPr="00520FC7">
        <w:rPr>
          <w:szCs w:val="22"/>
          <w:lang w:val="lv-LV"/>
        </w:rPr>
        <w:t xml:space="preserve">ksilidīns grūtniecības laikā un pēc dzemdībām vairāk nekā 2 gadus, tika novēroti ļaundabīgi un labdabīgi audzēji īpaši deguna dobumā. </w:t>
      </w:r>
      <w:r w:rsidR="000B593F" w:rsidRPr="00520FC7">
        <w:rPr>
          <w:szCs w:val="22"/>
          <w:lang w:val="lv-LV"/>
        </w:rPr>
        <w:t xml:space="preserve">Tādēļ </w:t>
      </w:r>
      <w:r w:rsidRPr="00520FC7">
        <w:rPr>
          <w:iCs/>
          <w:szCs w:val="22"/>
          <w:lang w:val="lv-LV"/>
        </w:rPr>
        <w:t xml:space="preserve">Neiratax </w:t>
      </w:r>
      <w:r w:rsidR="000B593F" w:rsidRPr="00520FC7">
        <w:rPr>
          <w:szCs w:val="22"/>
          <w:lang w:val="lv-LV"/>
        </w:rPr>
        <w:t>nedrīkst lietot lielās devās ilgu laiku.</w:t>
      </w:r>
    </w:p>
    <w:p w14:paraId="48A6558E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302D08B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AB4566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6.</w:t>
      </w:r>
      <w:r w:rsidRPr="00520FC7">
        <w:rPr>
          <w:b/>
          <w:szCs w:val="22"/>
          <w:lang w:val="lv-LV"/>
        </w:rPr>
        <w:tab/>
        <w:t>FARMACEITISKĀ INFORMĀCIJA</w:t>
      </w:r>
    </w:p>
    <w:p w14:paraId="0363AC4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1D4C0C3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6.1.</w:t>
      </w:r>
      <w:r w:rsidRPr="00520FC7">
        <w:rPr>
          <w:b/>
          <w:szCs w:val="22"/>
          <w:lang w:val="lv-LV"/>
        </w:rPr>
        <w:tab/>
        <w:t>Palīgvielu saraksts</w:t>
      </w:r>
    </w:p>
    <w:p w14:paraId="79F3CFAE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</w:p>
    <w:p w14:paraId="1973340F" w14:textId="77777777" w:rsidR="000B593F" w:rsidRPr="00520FC7" w:rsidRDefault="004E01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</w:t>
      </w:r>
      <w:r w:rsidR="000B593F" w:rsidRPr="00520FC7">
        <w:rPr>
          <w:szCs w:val="22"/>
          <w:lang w:val="lv-LV"/>
        </w:rPr>
        <w:t>enzilspirts</w:t>
      </w:r>
    </w:p>
    <w:p w14:paraId="73A0E203" w14:textId="77777777" w:rsidR="004E01D6" w:rsidRPr="00520FC7" w:rsidRDefault="004E01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Nātrija tripolifosfāts</w:t>
      </w:r>
    </w:p>
    <w:p w14:paraId="7E0B80A0" w14:textId="77777777" w:rsidR="004E01D6" w:rsidRPr="00520FC7" w:rsidRDefault="004E01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Nātrija hidroksīds (pH pielāgošanai)</w:t>
      </w:r>
    </w:p>
    <w:p w14:paraId="1A527DED" w14:textId="77777777" w:rsidR="004E01D6" w:rsidRPr="00520FC7" w:rsidRDefault="004E01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Kālija heksacianoferāts (III)</w:t>
      </w:r>
    </w:p>
    <w:p w14:paraId="69B5B40D" w14:textId="77777777" w:rsidR="000B593F" w:rsidRPr="00520FC7" w:rsidRDefault="004E01D6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Ū</w:t>
      </w:r>
      <w:r w:rsidR="000B593F" w:rsidRPr="00520FC7">
        <w:rPr>
          <w:szCs w:val="22"/>
          <w:lang w:val="lv-LV"/>
        </w:rPr>
        <w:t>dens injekcijām</w:t>
      </w:r>
    </w:p>
    <w:p w14:paraId="7AC95772" w14:textId="77777777" w:rsidR="000B593F" w:rsidRPr="00520FC7" w:rsidRDefault="000B593F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92CB2DE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2D6AB43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6.2.</w:t>
      </w:r>
      <w:r w:rsidRPr="00520FC7">
        <w:rPr>
          <w:b/>
          <w:szCs w:val="22"/>
          <w:lang w:val="lv-LV"/>
        </w:rPr>
        <w:tab/>
        <w:t>Nesaderība</w:t>
      </w:r>
    </w:p>
    <w:p w14:paraId="60752784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0979EEAA" w14:textId="77777777" w:rsidR="000B593F" w:rsidRPr="00520FC7" w:rsidRDefault="000B593F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Tiamīns ir nesaderīgs ar oksidējošām un reducējošām vielām, dzīvsudraba hlorīdu, jodīdiem, karbonātiem, acetātiem, dzelzs sulfātu, tannīnskābi, dzelzs amonija citrātu, arī ar fenobarbitāla nātrija </w:t>
      </w:r>
      <w:r w:rsidRPr="00520FC7">
        <w:rPr>
          <w:szCs w:val="22"/>
          <w:lang w:val="lv-LV"/>
        </w:rPr>
        <w:lastRenderedPageBreak/>
        <w:t xml:space="preserve">sāli, riboflavīnu, benzilpenicilīnu, glikozi un metabisulfītu. Varš paātrina tiamīna noārdīšanu, </w:t>
      </w:r>
      <w:r w:rsidR="00C2674B" w:rsidRPr="00520FC7">
        <w:rPr>
          <w:szCs w:val="22"/>
          <w:lang w:val="lv-LV"/>
        </w:rPr>
        <w:t>turklāt</w:t>
      </w:r>
      <w:r w:rsidRPr="00520FC7">
        <w:rPr>
          <w:szCs w:val="22"/>
          <w:lang w:val="lv-LV"/>
        </w:rPr>
        <w:t xml:space="preserve"> palielinātas pH vērtības</w:t>
      </w:r>
      <w:r w:rsidR="00C2674B" w:rsidRPr="00520FC7">
        <w:rPr>
          <w:szCs w:val="22"/>
          <w:lang w:val="lv-LV"/>
        </w:rPr>
        <w:t xml:space="preserve"> </w:t>
      </w:r>
      <w:r w:rsidRPr="00520FC7">
        <w:rPr>
          <w:szCs w:val="22"/>
          <w:lang w:val="lv-LV"/>
        </w:rPr>
        <w:t>gadījumā tiamīns zaudē savas iedarbības spējas (&gt; pH 3).</w:t>
      </w:r>
    </w:p>
    <w:p w14:paraId="25C59EF7" w14:textId="77777777" w:rsidR="000B593F" w:rsidRPr="00520FC7" w:rsidRDefault="000B593F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B</w:t>
      </w:r>
      <w:r w:rsidRPr="00520FC7">
        <w:rPr>
          <w:szCs w:val="22"/>
          <w:vertAlign w:val="subscript"/>
          <w:lang w:val="lv-LV"/>
        </w:rPr>
        <w:t>12</w:t>
      </w:r>
      <w:r w:rsidRPr="00520FC7">
        <w:rPr>
          <w:szCs w:val="22"/>
          <w:lang w:val="lv-LV"/>
        </w:rPr>
        <w:t xml:space="preserve"> vitamīns ir nesaderīgs ar oksidējošām un reducējošām vi</w:t>
      </w:r>
      <w:r w:rsidR="00C2674B" w:rsidRPr="00520FC7">
        <w:rPr>
          <w:szCs w:val="22"/>
          <w:lang w:val="lv-LV"/>
        </w:rPr>
        <w:t xml:space="preserve">elām un ar smago metālu sāļiem. </w:t>
      </w:r>
      <w:r w:rsidRPr="00520FC7">
        <w:rPr>
          <w:szCs w:val="22"/>
          <w:lang w:val="lv-LV"/>
        </w:rPr>
        <w:t>Tiamīnu saturošos šķīdumos B</w:t>
      </w:r>
      <w:r w:rsidRPr="00520FC7">
        <w:rPr>
          <w:szCs w:val="22"/>
          <w:vertAlign w:val="subscript"/>
          <w:lang w:val="lv-LV"/>
        </w:rPr>
        <w:t>12</w:t>
      </w:r>
      <w:r w:rsidRPr="00520FC7">
        <w:rPr>
          <w:szCs w:val="22"/>
          <w:lang w:val="lv-LV"/>
        </w:rPr>
        <w:t xml:space="preserve"> vitamīns, arī citi B grupas vitamīni tiamīna noārd</w:t>
      </w:r>
      <w:r w:rsidR="00C2674B" w:rsidRPr="00520FC7">
        <w:rPr>
          <w:szCs w:val="22"/>
          <w:lang w:val="lv-LV"/>
        </w:rPr>
        <w:t>īšanās produktu ietekmē</w:t>
      </w:r>
      <w:r w:rsidRPr="00520FC7">
        <w:rPr>
          <w:szCs w:val="22"/>
          <w:lang w:val="lv-LV"/>
        </w:rPr>
        <w:t xml:space="preserve"> sadalās (no tā var pasargāt dzelzs joni zemā k</w:t>
      </w:r>
      <w:r w:rsidR="00C2674B" w:rsidRPr="00520FC7">
        <w:rPr>
          <w:szCs w:val="22"/>
          <w:lang w:val="lv-LV"/>
        </w:rPr>
        <w:t>oncentrācijā). Arī riboflavīnam</w:t>
      </w:r>
      <w:r w:rsidRPr="00520FC7">
        <w:rPr>
          <w:szCs w:val="22"/>
          <w:lang w:val="lv-LV"/>
        </w:rPr>
        <w:t xml:space="preserve"> </w:t>
      </w:r>
      <w:r w:rsidR="00C2674B" w:rsidRPr="00520FC7">
        <w:rPr>
          <w:szCs w:val="22"/>
          <w:lang w:val="lv-LV"/>
        </w:rPr>
        <w:t>(it īpaši vienlaicīgi ar gaismas iedarbību), piemīt degradējošs efekts. N</w:t>
      </w:r>
      <w:r w:rsidRPr="00520FC7">
        <w:rPr>
          <w:szCs w:val="22"/>
          <w:lang w:val="lv-LV"/>
        </w:rPr>
        <w:t>ik</w:t>
      </w:r>
      <w:r w:rsidR="00132844" w:rsidRPr="00520FC7">
        <w:rPr>
          <w:szCs w:val="22"/>
          <w:lang w:val="lv-LV"/>
        </w:rPr>
        <w:t>otīnamīds paātrina fotolīzi,</w:t>
      </w:r>
      <w:r w:rsidRPr="00520FC7">
        <w:rPr>
          <w:szCs w:val="22"/>
          <w:lang w:val="lv-LV"/>
        </w:rPr>
        <w:t xml:space="preserve"> </w:t>
      </w:r>
      <w:r w:rsidR="00C2674B" w:rsidRPr="00520FC7">
        <w:rPr>
          <w:szCs w:val="22"/>
          <w:lang w:val="lv-LV"/>
        </w:rPr>
        <w:t xml:space="preserve">tajā pašā laikā </w:t>
      </w:r>
      <w:r w:rsidRPr="00520FC7">
        <w:rPr>
          <w:szCs w:val="22"/>
          <w:lang w:val="lv-LV"/>
        </w:rPr>
        <w:t>antioksidanti darbojas kavējoši.</w:t>
      </w:r>
    </w:p>
    <w:p w14:paraId="29702DD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F9B6F3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6.3.</w:t>
      </w:r>
      <w:r w:rsidRPr="00520FC7">
        <w:rPr>
          <w:b/>
          <w:szCs w:val="22"/>
          <w:lang w:val="lv-LV"/>
        </w:rPr>
        <w:tab/>
        <w:t>Uzglabāšanas laiks</w:t>
      </w:r>
    </w:p>
    <w:p w14:paraId="1906703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70BC2A7" w14:textId="77777777" w:rsidR="00DE2B2C" w:rsidRPr="00520FC7" w:rsidRDefault="001933B1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2 gadi</w:t>
      </w:r>
    </w:p>
    <w:p w14:paraId="09373DE3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74DF04D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6.4.</w:t>
      </w:r>
      <w:r w:rsidRPr="00520FC7">
        <w:rPr>
          <w:b/>
          <w:szCs w:val="22"/>
          <w:lang w:val="lv-LV"/>
        </w:rPr>
        <w:tab/>
        <w:t>Īpaši uzglabāšanas nosacījumi</w:t>
      </w:r>
    </w:p>
    <w:p w14:paraId="740894B5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083DE2B0" w14:textId="77777777" w:rsidR="000B593F" w:rsidRPr="00520FC7" w:rsidRDefault="00C219C2" w:rsidP="00520FC7">
      <w:pPr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Uzglabāt ledusskapī </w:t>
      </w:r>
      <w:r w:rsidR="000B593F" w:rsidRPr="00520FC7">
        <w:rPr>
          <w:szCs w:val="22"/>
          <w:lang w:val="lv-LV"/>
        </w:rPr>
        <w:t xml:space="preserve">(2°C – 8°C). </w:t>
      </w:r>
      <w:r w:rsidRPr="00520FC7">
        <w:rPr>
          <w:szCs w:val="22"/>
          <w:lang w:val="lv-LV"/>
        </w:rPr>
        <w:t>Nesasaldēt. Uzglabāt oriģinālā iepakojumā, lai pasargātu no gaismas.</w:t>
      </w:r>
    </w:p>
    <w:p w14:paraId="492E2206" w14:textId="77777777" w:rsidR="00E175E9" w:rsidRPr="00520FC7" w:rsidRDefault="00E175E9" w:rsidP="00520FC7">
      <w:pPr>
        <w:autoSpaceDE w:val="0"/>
        <w:autoSpaceDN w:val="0"/>
        <w:adjustRightInd w:val="0"/>
        <w:spacing w:line="240" w:lineRule="auto"/>
        <w:rPr>
          <w:color w:val="00B050"/>
          <w:szCs w:val="22"/>
          <w:lang w:val="lv-LV"/>
        </w:rPr>
      </w:pPr>
      <w:r w:rsidRPr="00520FC7">
        <w:rPr>
          <w:szCs w:val="22"/>
          <w:lang w:val="lv-LV"/>
        </w:rPr>
        <w:t>Tiklīdz ampula tiek atvērta, zāles ir jāizlieto nekavējoties.</w:t>
      </w:r>
    </w:p>
    <w:p w14:paraId="09DC20D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CE497B8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6.5.</w:t>
      </w:r>
      <w:r w:rsidRPr="00520FC7">
        <w:rPr>
          <w:b/>
          <w:szCs w:val="22"/>
          <w:lang w:val="lv-LV"/>
        </w:rPr>
        <w:tab/>
        <w:t xml:space="preserve">Iepakojuma veids un saturs </w:t>
      </w:r>
    </w:p>
    <w:p w14:paraId="489D4FDA" w14:textId="77777777" w:rsidR="000B593F" w:rsidRPr="00520FC7" w:rsidRDefault="000B593F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60D2826" w14:textId="77777777" w:rsidR="00DA1EC0" w:rsidRPr="00520FC7" w:rsidRDefault="00DA1EC0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2 ml I hidrolītiskās klases </w:t>
      </w:r>
      <w:r w:rsidR="001F06E3" w:rsidRPr="00520FC7">
        <w:rPr>
          <w:szCs w:val="22"/>
          <w:lang w:val="lv-LV"/>
        </w:rPr>
        <w:t xml:space="preserve">dzintarkrāsas </w:t>
      </w:r>
      <w:r w:rsidRPr="00520FC7">
        <w:rPr>
          <w:szCs w:val="22"/>
          <w:lang w:val="lv-LV"/>
        </w:rPr>
        <w:t>stikla ampulas.</w:t>
      </w:r>
    </w:p>
    <w:p w14:paraId="51CA1E5C" w14:textId="77777777" w:rsidR="00980198" w:rsidRPr="00520FC7" w:rsidRDefault="00980198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5 ampul</w:t>
      </w:r>
      <w:r w:rsidR="001F06E3" w:rsidRPr="00520FC7">
        <w:rPr>
          <w:szCs w:val="22"/>
          <w:lang w:val="lv-LV"/>
        </w:rPr>
        <w:t>as ievietotas</w:t>
      </w:r>
      <w:r w:rsidRPr="00520FC7">
        <w:rPr>
          <w:szCs w:val="22"/>
          <w:lang w:val="lv-LV"/>
        </w:rPr>
        <w:t xml:space="preserve"> PVH paliktnī. </w:t>
      </w:r>
      <w:r w:rsidR="001F06E3" w:rsidRPr="00520FC7">
        <w:rPr>
          <w:szCs w:val="22"/>
          <w:lang w:val="lv-LV"/>
        </w:rPr>
        <w:t xml:space="preserve">Kartona kastītē ievietoti </w:t>
      </w:r>
      <w:r w:rsidRPr="00520FC7">
        <w:rPr>
          <w:szCs w:val="22"/>
          <w:lang w:val="lv-LV"/>
        </w:rPr>
        <w:t>1,</w:t>
      </w:r>
      <w:r w:rsidR="00132844" w:rsidRPr="00520FC7">
        <w:rPr>
          <w:szCs w:val="22"/>
          <w:lang w:val="lv-LV"/>
        </w:rPr>
        <w:t xml:space="preserve"> </w:t>
      </w:r>
      <w:r w:rsidRPr="00520FC7">
        <w:rPr>
          <w:szCs w:val="22"/>
          <w:lang w:val="lv-LV"/>
        </w:rPr>
        <w:t>2 vai 5 paliktņi.</w:t>
      </w:r>
    </w:p>
    <w:p w14:paraId="51FB801E" w14:textId="77777777" w:rsidR="00980198" w:rsidRPr="00520FC7" w:rsidRDefault="00980198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86EF0CA" w14:textId="77777777" w:rsidR="00980198" w:rsidRPr="00520FC7" w:rsidRDefault="00980198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Iepakojuma lielums: 5, 10 vai 25 ampulas. </w:t>
      </w:r>
    </w:p>
    <w:p w14:paraId="131852D2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Visi iepakojuma li</w:t>
      </w:r>
      <w:r w:rsidR="00980198" w:rsidRPr="00520FC7">
        <w:rPr>
          <w:szCs w:val="22"/>
          <w:lang w:val="lv-LV"/>
        </w:rPr>
        <w:t>elumi tirgū var nebūt pieejami.</w:t>
      </w:r>
    </w:p>
    <w:p w14:paraId="272E092C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C22B062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color w:val="000000"/>
          <w:szCs w:val="22"/>
          <w:lang w:val="lv-LV"/>
        </w:rPr>
      </w:pPr>
      <w:r w:rsidRPr="00520FC7">
        <w:rPr>
          <w:b/>
          <w:szCs w:val="22"/>
          <w:lang w:val="lv-LV"/>
        </w:rPr>
        <w:t>6.6.</w:t>
      </w:r>
      <w:r w:rsidRPr="00520FC7">
        <w:rPr>
          <w:b/>
          <w:szCs w:val="22"/>
          <w:lang w:val="lv-LV"/>
        </w:rPr>
        <w:tab/>
      </w:r>
      <w:r w:rsidRPr="00520FC7">
        <w:rPr>
          <w:b/>
          <w:color w:val="000000"/>
          <w:szCs w:val="22"/>
          <w:lang w:val="lv-LV"/>
        </w:rPr>
        <w:t>Īpaši nor</w:t>
      </w:r>
      <w:r w:rsidR="00C22CDB" w:rsidRPr="00520FC7">
        <w:rPr>
          <w:b/>
          <w:color w:val="000000"/>
          <w:szCs w:val="22"/>
          <w:lang w:val="lv-LV"/>
        </w:rPr>
        <w:t xml:space="preserve">ādījumi atkritumu likvidēšanai </w:t>
      </w:r>
      <w:r w:rsidRPr="00520FC7">
        <w:rPr>
          <w:b/>
          <w:color w:val="000000"/>
          <w:szCs w:val="22"/>
          <w:lang w:val="lv-LV"/>
        </w:rPr>
        <w:t>u</w:t>
      </w:r>
      <w:r w:rsidR="00C22CDB" w:rsidRPr="00520FC7">
        <w:rPr>
          <w:b/>
          <w:color w:val="000000"/>
          <w:szCs w:val="22"/>
          <w:lang w:val="lv-LV"/>
        </w:rPr>
        <w:t>n citi norādījumi par rīkošanos</w:t>
      </w:r>
    </w:p>
    <w:p w14:paraId="49D55972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8D54CF3" w14:textId="77777777" w:rsidR="00DE2B2C" w:rsidRPr="00520FC7" w:rsidRDefault="00421984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>Nav īpašu atkritumu likvidēšanas prasību.</w:t>
      </w:r>
    </w:p>
    <w:p w14:paraId="49F5B448" w14:textId="77777777" w:rsidR="00DE2B2C" w:rsidRPr="00520FC7" w:rsidRDefault="00DE2B2C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20FC7">
        <w:rPr>
          <w:szCs w:val="22"/>
          <w:lang w:val="lv-LV"/>
        </w:rPr>
        <w:t>Neizlietotās zāles vai izlietotie materiāli jāiznīcin</w:t>
      </w:r>
      <w:r w:rsidR="00421984" w:rsidRPr="00520FC7">
        <w:rPr>
          <w:szCs w:val="22"/>
          <w:lang w:val="lv-LV"/>
        </w:rPr>
        <w:t>a atbilstoši vietējām prasībām.</w:t>
      </w:r>
    </w:p>
    <w:p w14:paraId="72121C39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BD1B064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668C591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7.</w:t>
      </w:r>
      <w:r w:rsidRPr="00520FC7">
        <w:rPr>
          <w:b/>
          <w:szCs w:val="22"/>
          <w:lang w:val="lv-LV"/>
        </w:rPr>
        <w:tab/>
        <w:t>REĢISTRĀCIJAS APLIECĪBAS ĪPAŠNIEKS</w:t>
      </w:r>
    </w:p>
    <w:p w14:paraId="2C703254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74794A8" w14:textId="77777777" w:rsidR="00421984" w:rsidRPr="00520FC7" w:rsidRDefault="00421984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AS KALCEKS </w:t>
      </w:r>
    </w:p>
    <w:p w14:paraId="401EF08F" w14:textId="658CDCA8" w:rsidR="00421984" w:rsidRPr="00520FC7" w:rsidRDefault="00421984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Krustpils iela </w:t>
      </w:r>
      <w:r w:rsidR="00DE3C41">
        <w:rPr>
          <w:szCs w:val="22"/>
          <w:lang w:val="lv-LV"/>
        </w:rPr>
        <w:t>71E</w:t>
      </w:r>
      <w:r w:rsidRPr="00520FC7">
        <w:rPr>
          <w:szCs w:val="22"/>
          <w:lang w:val="lv-LV"/>
        </w:rPr>
        <w:t>, Rīga, LV-1057, Latvija</w:t>
      </w:r>
    </w:p>
    <w:p w14:paraId="7DFF7DA1" w14:textId="77777777" w:rsidR="00421984" w:rsidRPr="00520FC7" w:rsidRDefault="00421984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Tel.: +371 67083320</w:t>
      </w:r>
    </w:p>
    <w:p w14:paraId="4D8387F7" w14:textId="00E1F213" w:rsidR="00421984" w:rsidRPr="00520FC7" w:rsidRDefault="00421984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E-</w:t>
      </w:r>
      <w:r w:rsidR="005665DF">
        <w:rPr>
          <w:szCs w:val="22"/>
          <w:lang w:val="lv-LV"/>
        </w:rPr>
        <w:t>pasts</w:t>
      </w:r>
      <w:r w:rsidRPr="00520FC7">
        <w:rPr>
          <w:szCs w:val="22"/>
          <w:lang w:val="lv-LV"/>
        </w:rPr>
        <w:t>: kalceks@kalceks.lv</w:t>
      </w:r>
    </w:p>
    <w:p w14:paraId="4A03FFF2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67ED25D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A58FF65" w14:textId="77777777" w:rsidR="00DE2B2C" w:rsidRPr="00520FC7" w:rsidRDefault="00DE2B2C" w:rsidP="00520FC7">
      <w:pPr>
        <w:spacing w:line="240" w:lineRule="auto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8.</w:t>
      </w:r>
      <w:r w:rsidRPr="00520FC7">
        <w:rPr>
          <w:b/>
          <w:szCs w:val="22"/>
          <w:lang w:val="lv-LV"/>
        </w:rPr>
        <w:tab/>
        <w:t xml:space="preserve">REĢISTRĀCIJAS APLIECĪBAS NUMURS(-I) </w:t>
      </w:r>
    </w:p>
    <w:p w14:paraId="634A95B7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F5E6705" w14:textId="77777777" w:rsidR="009C756E" w:rsidRPr="00520FC7" w:rsidRDefault="009C756E" w:rsidP="003023E0">
      <w:pPr>
        <w:rPr>
          <w:szCs w:val="22"/>
          <w:lang w:val="lv-LV"/>
        </w:rPr>
      </w:pPr>
      <w:r w:rsidRPr="00520FC7">
        <w:rPr>
          <w:szCs w:val="22"/>
          <w:lang w:val="lv-LV"/>
        </w:rPr>
        <w:t>17-0180</w:t>
      </w:r>
    </w:p>
    <w:p w14:paraId="23A306FB" w14:textId="77777777" w:rsidR="009C756E" w:rsidRPr="00520FC7" w:rsidRDefault="009C756E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04F8EB2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7220F64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b/>
          <w:szCs w:val="22"/>
          <w:lang w:val="lv-LV"/>
        </w:rPr>
        <w:t>9.</w:t>
      </w:r>
      <w:r w:rsidRPr="00520FC7">
        <w:rPr>
          <w:b/>
          <w:szCs w:val="22"/>
          <w:lang w:val="lv-LV"/>
        </w:rPr>
        <w:tab/>
        <w:t>PIRMĀS REĢISTRĀCIJAS/PĀRREĢISTRĀCIJAS DATUMS</w:t>
      </w:r>
    </w:p>
    <w:p w14:paraId="00B5492C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5C4C84B" w14:textId="77777777" w:rsidR="00DE2B2C" w:rsidRPr="00520FC7" w:rsidRDefault="00122816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520FC7">
        <w:rPr>
          <w:szCs w:val="22"/>
          <w:lang w:val="lv-LV"/>
        </w:rPr>
        <w:t xml:space="preserve">Reģistrācijas datums: </w:t>
      </w:r>
      <w:r w:rsidR="003A2CFE" w:rsidRPr="00520FC7">
        <w:rPr>
          <w:szCs w:val="22"/>
          <w:lang w:val="lv-LV"/>
        </w:rPr>
        <w:t>2017. gada 1. augusts</w:t>
      </w:r>
    </w:p>
    <w:p w14:paraId="2944BEA3" w14:textId="4D3F1531" w:rsidR="00DE2B2C" w:rsidRPr="0055413B" w:rsidRDefault="00F74D1E" w:rsidP="00520FC7">
      <w:pPr>
        <w:tabs>
          <w:tab w:val="clear" w:pos="567"/>
        </w:tabs>
        <w:spacing w:line="240" w:lineRule="auto"/>
        <w:rPr>
          <w:szCs w:val="22"/>
          <w:lang w:val="lv-LV"/>
        </w:rPr>
      </w:pPr>
      <w:r w:rsidRPr="0055413B">
        <w:rPr>
          <w:szCs w:val="22"/>
          <w:lang w:val="lv-LV"/>
        </w:rPr>
        <w:t>Pēdējās pārreģistrācijas datums:</w:t>
      </w:r>
      <w:r w:rsidR="000C49A5">
        <w:rPr>
          <w:szCs w:val="22"/>
          <w:lang w:val="lv-LV"/>
        </w:rPr>
        <w:t xml:space="preserve"> 2022.gada 25. marts</w:t>
      </w:r>
    </w:p>
    <w:p w14:paraId="4D524CE7" w14:textId="22DA3A5F" w:rsidR="00DE2B2C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8FE1AB7" w14:textId="77777777" w:rsidR="0007127C" w:rsidRPr="00520FC7" w:rsidRDefault="0007127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95D2404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lv-LV"/>
        </w:rPr>
      </w:pPr>
      <w:r w:rsidRPr="00520FC7">
        <w:rPr>
          <w:b/>
          <w:szCs w:val="22"/>
          <w:lang w:val="lv-LV"/>
        </w:rPr>
        <w:t>10.</w:t>
      </w:r>
      <w:r w:rsidRPr="00520FC7">
        <w:rPr>
          <w:b/>
          <w:szCs w:val="22"/>
          <w:lang w:val="lv-LV"/>
        </w:rPr>
        <w:tab/>
        <w:t>TEKSTA PĀRSKATĪŠANAS DATUMS</w:t>
      </w:r>
    </w:p>
    <w:p w14:paraId="353B8F16" w14:textId="77777777" w:rsidR="00DE2B2C" w:rsidRPr="00520FC7" w:rsidRDefault="00DE2B2C" w:rsidP="00520FC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8ED0C78" w14:textId="1DDE64BB" w:rsidR="00DE2B2C" w:rsidRPr="00520FC7" w:rsidRDefault="00520FC7" w:rsidP="00524267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>
        <w:rPr>
          <w:szCs w:val="22"/>
          <w:lang w:val="lv-LV"/>
        </w:rPr>
        <w:t>0</w:t>
      </w:r>
      <w:r w:rsidR="007E7625">
        <w:rPr>
          <w:szCs w:val="22"/>
          <w:lang w:val="lv-LV"/>
        </w:rPr>
        <w:t>3</w:t>
      </w:r>
      <w:r>
        <w:rPr>
          <w:szCs w:val="22"/>
          <w:lang w:val="lv-LV"/>
        </w:rPr>
        <w:t>/2022</w:t>
      </w:r>
    </w:p>
    <w:sectPr w:rsidR="00DE2B2C" w:rsidRPr="00520FC7" w:rsidSect="0030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7D91" w14:textId="77777777" w:rsidR="00295D9E" w:rsidRDefault="00295D9E" w:rsidP="00295D9E">
      <w:pPr>
        <w:spacing w:line="240" w:lineRule="auto"/>
      </w:pPr>
      <w:r>
        <w:separator/>
      </w:r>
    </w:p>
  </w:endnote>
  <w:endnote w:type="continuationSeparator" w:id="0">
    <w:p w14:paraId="11DE223D" w14:textId="77777777" w:rsidR="00295D9E" w:rsidRDefault="00295D9E" w:rsidP="00295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6B61" w14:textId="77777777" w:rsidR="005B1780" w:rsidRDefault="005B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A594" w14:textId="77777777" w:rsidR="005B1780" w:rsidRDefault="005B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FACB" w14:textId="77777777" w:rsidR="005B1780" w:rsidRDefault="005B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6E4E" w14:textId="77777777" w:rsidR="00295D9E" w:rsidRDefault="00295D9E" w:rsidP="00295D9E">
      <w:pPr>
        <w:spacing w:line="240" w:lineRule="auto"/>
      </w:pPr>
      <w:r>
        <w:separator/>
      </w:r>
    </w:p>
  </w:footnote>
  <w:footnote w:type="continuationSeparator" w:id="0">
    <w:p w14:paraId="4AF53EA2" w14:textId="77777777" w:rsidR="00295D9E" w:rsidRDefault="00295D9E" w:rsidP="00295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6A05" w14:textId="77777777" w:rsidR="005B1780" w:rsidRDefault="005B1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0ED" w14:textId="24E5586E" w:rsidR="00295D9E" w:rsidRPr="005B1780" w:rsidRDefault="005B1780" w:rsidP="00295D9E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10-05-2022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9C39" w14:textId="77777777" w:rsidR="005B1780" w:rsidRDefault="005B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98B"/>
    <w:multiLevelType w:val="hybridMultilevel"/>
    <w:tmpl w:val="1B6C7EF8"/>
    <w:lvl w:ilvl="0" w:tplc="4BA6B7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2C"/>
    <w:rsid w:val="000031A5"/>
    <w:rsid w:val="00020B94"/>
    <w:rsid w:val="0006149A"/>
    <w:rsid w:val="00063135"/>
    <w:rsid w:val="00064197"/>
    <w:rsid w:val="0007127C"/>
    <w:rsid w:val="00086E18"/>
    <w:rsid w:val="000B593F"/>
    <w:rsid w:val="000C49A5"/>
    <w:rsid w:val="000F1D98"/>
    <w:rsid w:val="001006D6"/>
    <w:rsid w:val="00122816"/>
    <w:rsid w:val="00123831"/>
    <w:rsid w:val="00125DF6"/>
    <w:rsid w:val="00130F63"/>
    <w:rsid w:val="00132844"/>
    <w:rsid w:val="001367D5"/>
    <w:rsid w:val="00141350"/>
    <w:rsid w:val="0014518F"/>
    <w:rsid w:val="00181147"/>
    <w:rsid w:val="001933B1"/>
    <w:rsid w:val="0019349A"/>
    <w:rsid w:val="001D6160"/>
    <w:rsid w:val="001F06E3"/>
    <w:rsid w:val="001F274E"/>
    <w:rsid w:val="00201271"/>
    <w:rsid w:val="00241B7B"/>
    <w:rsid w:val="002456F7"/>
    <w:rsid w:val="0026177B"/>
    <w:rsid w:val="002625FE"/>
    <w:rsid w:val="0026504F"/>
    <w:rsid w:val="00271AA8"/>
    <w:rsid w:val="00275D5B"/>
    <w:rsid w:val="00285B41"/>
    <w:rsid w:val="0029008A"/>
    <w:rsid w:val="00295D9E"/>
    <w:rsid w:val="00297900"/>
    <w:rsid w:val="002A550A"/>
    <w:rsid w:val="002E248C"/>
    <w:rsid w:val="002E6258"/>
    <w:rsid w:val="002E7094"/>
    <w:rsid w:val="003016D7"/>
    <w:rsid w:val="003023E0"/>
    <w:rsid w:val="00322FA1"/>
    <w:rsid w:val="0033354B"/>
    <w:rsid w:val="00334958"/>
    <w:rsid w:val="00361C14"/>
    <w:rsid w:val="003A2CFE"/>
    <w:rsid w:val="003C4C74"/>
    <w:rsid w:val="003F60F7"/>
    <w:rsid w:val="00407FB8"/>
    <w:rsid w:val="00421984"/>
    <w:rsid w:val="00454A7D"/>
    <w:rsid w:val="004854D1"/>
    <w:rsid w:val="00487F99"/>
    <w:rsid w:val="004B119D"/>
    <w:rsid w:val="004D0F96"/>
    <w:rsid w:val="004E01D6"/>
    <w:rsid w:val="004E25D6"/>
    <w:rsid w:val="004E62C6"/>
    <w:rsid w:val="004F18E9"/>
    <w:rsid w:val="00507521"/>
    <w:rsid w:val="00520D24"/>
    <w:rsid w:val="00520FC7"/>
    <w:rsid w:val="00524267"/>
    <w:rsid w:val="0052700E"/>
    <w:rsid w:val="005450F9"/>
    <w:rsid w:val="00547F47"/>
    <w:rsid w:val="0055413B"/>
    <w:rsid w:val="005665DF"/>
    <w:rsid w:val="005673B5"/>
    <w:rsid w:val="0057219F"/>
    <w:rsid w:val="00585690"/>
    <w:rsid w:val="00596411"/>
    <w:rsid w:val="005A09AE"/>
    <w:rsid w:val="005B1780"/>
    <w:rsid w:val="005D1447"/>
    <w:rsid w:val="005D7CD8"/>
    <w:rsid w:val="005E5E49"/>
    <w:rsid w:val="006065C9"/>
    <w:rsid w:val="006250EE"/>
    <w:rsid w:val="00673E84"/>
    <w:rsid w:val="00694A20"/>
    <w:rsid w:val="0069542B"/>
    <w:rsid w:val="006A2FAB"/>
    <w:rsid w:val="006B0D34"/>
    <w:rsid w:val="006B4E81"/>
    <w:rsid w:val="006C1149"/>
    <w:rsid w:val="006E2179"/>
    <w:rsid w:val="006E7BEB"/>
    <w:rsid w:val="006F1091"/>
    <w:rsid w:val="00717353"/>
    <w:rsid w:val="00777F2C"/>
    <w:rsid w:val="007A2168"/>
    <w:rsid w:val="007B6411"/>
    <w:rsid w:val="007D0319"/>
    <w:rsid w:val="007E19AD"/>
    <w:rsid w:val="007E7625"/>
    <w:rsid w:val="007F04D6"/>
    <w:rsid w:val="00810631"/>
    <w:rsid w:val="00852A57"/>
    <w:rsid w:val="00853B40"/>
    <w:rsid w:val="00863647"/>
    <w:rsid w:val="00866DE0"/>
    <w:rsid w:val="008705C7"/>
    <w:rsid w:val="00875BE6"/>
    <w:rsid w:val="008950BE"/>
    <w:rsid w:val="008B0D83"/>
    <w:rsid w:val="008C4AFC"/>
    <w:rsid w:val="00925CA2"/>
    <w:rsid w:val="00960174"/>
    <w:rsid w:val="009735CD"/>
    <w:rsid w:val="00975010"/>
    <w:rsid w:val="00980198"/>
    <w:rsid w:val="009832B2"/>
    <w:rsid w:val="00985A00"/>
    <w:rsid w:val="00987D55"/>
    <w:rsid w:val="009A3CAD"/>
    <w:rsid w:val="009B49AB"/>
    <w:rsid w:val="009C756E"/>
    <w:rsid w:val="009D2229"/>
    <w:rsid w:val="009D30FA"/>
    <w:rsid w:val="00A27306"/>
    <w:rsid w:val="00A44A5D"/>
    <w:rsid w:val="00A9163B"/>
    <w:rsid w:val="00A94CF8"/>
    <w:rsid w:val="00A97450"/>
    <w:rsid w:val="00AB33CB"/>
    <w:rsid w:val="00B06E06"/>
    <w:rsid w:val="00B164D1"/>
    <w:rsid w:val="00B179F2"/>
    <w:rsid w:val="00B40C87"/>
    <w:rsid w:val="00B54157"/>
    <w:rsid w:val="00B65E40"/>
    <w:rsid w:val="00B73D6E"/>
    <w:rsid w:val="00B80503"/>
    <w:rsid w:val="00B91B3C"/>
    <w:rsid w:val="00BA66A3"/>
    <w:rsid w:val="00BC109C"/>
    <w:rsid w:val="00BD4F85"/>
    <w:rsid w:val="00BD7702"/>
    <w:rsid w:val="00BF54DF"/>
    <w:rsid w:val="00BF5CAF"/>
    <w:rsid w:val="00C05185"/>
    <w:rsid w:val="00C118DF"/>
    <w:rsid w:val="00C13A69"/>
    <w:rsid w:val="00C219C2"/>
    <w:rsid w:val="00C22CDB"/>
    <w:rsid w:val="00C2674B"/>
    <w:rsid w:val="00C50374"/>
    <w:rsid w:val="00C70E6E"/>
    <w:rsid w:val="00C72EA4"/>
    <w:rsid w:val="00C748C3"/>
    <w:rsid w:val="00C8688B"/>
    <w:rsid w:val="00C946E1"/>
    <w:rsid w:val="00CA152A"/>
    <w:rsid w:val="00D01642"/>
    <w:rsid w:val="00D06B27"/>
    <w:rsid w:val="00D15CF2"/>
    <w:rsid w:val="00D15F51"/>
    <w:rsid w:val="00D23BAD"/>
    <w:rsid w:val="00D45D73"/>
    <w:rsid w:val="00D7464B"/>
    <w:rsid w:val="00D8502E"/>
    <w:rsid w:val="00D9561E"/>
    <w:rsid w:val="00DA1EC0"/>
    <w:rsid w:val="00DA6D86"/>
    <w:rsid w:val="00DC4751"/>
    <w:rsid w:val="00DC5D23"/>
    <w:rsid w:val="00DD0652"/>
    <w:rsid w:val="00DE2B2C"/>
    <w:rsid w:val="00DE3C41"/>
    <w:rsid w:val="00DF10AB"/>
    <w:rsid w:val="00DF16CF"/>
    <w:rsid w:val="00E130FF"/>
    <w:rsid w:val="00E175E9"/>
    <w:rsid w:val="00E2718F"/>
    <w:rsid w:val="00E5798D"/>
    <w:rsid w:val="00E95686"/>
    <w:rsid w:val="00EA4D5C"/>
    <w:rsid w:val="00EA777D"/>
    <w:rsid w:val="00EC4A96"/>
    <w:rsid w:val="00EC75A1"/>
    <w:rsid w:val="00EF79A4"/>
    <w:rsid w:val="00F15664"/>
    <w:rsid w:val="00F4659A"/>
    <w:rsid w:val="00F74D1E"/>
    <w:rsid w:val="00F931DF"/>
    <w:rsid w:val="00FA3756"/>
    <w:rsid w:val="00FC54F7"/>
    <w:rsid w:val="00FC6D37"/>
    <w:rsid w:val="00FE1034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3294"/>
  <w15:docId w15:val="{CC72A476-18F8-44BC-8836-2DEFD216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2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2B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E49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E4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E2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02"/>
    <w:rPr>
      <w:rFonts w:ascii="Tahoma" w:eastAsia="Times New Roman" w:hAnsi="Tahoma" w:cs="Tahoma"/>
      <w:snapToGrid w:val="0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D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3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319"/>
    <w:rPr>
      <w:rFonts w:ascii="Times New Roman" w:eastAsia="Times New Roman" w:hAnsi="Times New Roman" w:cs="Times New Roman"/>
      <w:snapToGrid w:val="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19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7D031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5A09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5D9E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9E"/>
    <w:rPr>
      <w:rFonts w:ascii="Times New Roman" w:eastAsia="Times New Roman" w:hAnsi="Times New Roman" w:cs="Times New Roman"/>
      <w:snapToGrid w:val="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95D9E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9E"/>
    <w:rPr>
      <w:rFonts w:ascii="Times New Roman" w:eastAsia="Times New Roman" w:hAnsi="Times New Roman" w:cs="Times New Roman"/>
      <w:snapToGrid w:val="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EEFD-57D0-44CC-95BD-64E07912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7265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Sneidere</dc:creator>
  <cp:lastModifiedBy>Skaidrīte Lapsenīte</cp:lastModifiedBy>
  <cp:revision>7</cp:revision>
  <dcterms:created xsi:type="dcterms:W3CDTF">2022-03-29T12:25:00Z</dcterms:created>
  <dcterms:modified xsi:type="dcterms:W3CDTF">2022-05-06T09:18:00Z</dcterms:modified>
</cp:coreProperties>
</file>