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9FD7" w14:textId="4DB5DA9F" w:rsidR="00E122B3" w:rsidRPr="00556BDB" w:rsidRDefault="00E122B3" w:rsidP="00E122B3">
      <w:pPr>
        <w:spacing w:line="240" w:lineRule="auto"/>
        <w:jc w:val="center"/>
        <w:rPr>
          <w:b/>
          <w:szCs w:val="22"/>
          <w:lang w:val="lv-LV"/>
        </w:rPr>
      </w:pPr>
      <w:r w:rsidRPr="00556BDB">
        <w:rPr>
          <w:b/>
          <w:szCs w:val="22"/>
          <w:lang w:val="lv-LV"/>
        </w:rPr>
        <w:t>Lietošanas instru</w:t>
      </w:r>
      <w:r w:rsidR="00631733" w:rsidRPr="00556BDB">
        <w:rPr>
          <w:b/>
          <w:szCs w:val="22"/>
          <w:lang w:val="lv-LV"/>
        </w:rPr>
        <w:t>kcija: informācija lietotājam</w:t>
      </w:r>
    </w:p>
    <w:p w14:paraId="2526B2A1" w14:textId="77777777" w:rsidR="00E122B3" w:rsidRPr="00556BDB" w:rsidRDefault="00E122B3" w:rsidP="00E122B3">
      <w:pPr>
        <w:tabs>
          <w:tab w:val="clear" w:pos="567"/>
        </w:tabs>
        <w:spacing w:line="240" w:lineRule="auto"/>
        <w:ind w:left="567" w:hanging="567"/>
        <w:jc w:val="center"/>
        <w:rPr>
          <w:b/>
          <w:szCs w:val="22"/>
          <w:lang w:val="lv-LV"/>
        </w:rPr>
      </w:pPr>
    </w:p>
    <w:p w14:paraId="589F94D1" w14:textId="77777777" w:rsidR="00631733" w:rsidRPr="00556BDB" w:rsidRDefault="00631733" w:rsidP="00631733">
      <w:pPr>
        <w:jc w:val="center"/>
        <w:rPr>
          <w:b/>
          <w:szCs w:val="22"/>
          <w:lang w:val="lv-LV"/>
        </w:rPr>
      </w:pPr>
      <w:proofErr w:type="spellStart"/>
      <w:r w:rsidRPr="00556BDB">
        <w:rPr>
          <w:b/>
          <w:szCs w:val="22"/>
          <w:lang w:val="lv-LV"/>
        </w:rPr>
        <w:t>Neiratax</w:t>
      </w:r>
      <w:proofErr w:type="spellEnd"/>
      <w:r w:rsidRPr="00556BDB">
        <w:rPr>
          <w:b/>
          <w:szCs w:val="22"/>
          <w:lang w:val="lv-LV"/>
        </w:rPr>
        <w:t xml:space="preserve"> 100 mg/100 mg/1 mg/20 mg/2 ml šķīdums injekcijām</w:t>
      </w:r>
    </w:p>
    <w:p w14:paraId="7D1CF6F4" w14:textId="77777777" w:rsidR="00552518" w:rsidRDefault="00552518" w:rsidP="00E122B3">
      <w:pPr>
        <w:tabs>
          <w:tab w:val="clear" w:pos="567"/>
        </w:tabs>
        <w:spacing w:line="240" w:lineRule="auto"/>
        <w:ind w:left="567" w:hanging="567"/>
        <w:jc w:val="center"/>
        <w:rPr>
          <w:i/>
          <w:iCs/>
          <w:szCs w:val="22"/>
          <w:lang w:val="lv-LV"/>
        </w:rPr>
      </w:pPr>
    </w:p>
    <w:p w14:paraId="5B3AF775" w14:textId="77777777" w:rsidR="00E122B3" w:rsidRPr="001A2774" w:rsidRDefault="00631733" w:rsidP="00E122B3">
      <w:pPr>
        <w:tabs>
          <w:tab w:val="clear" w:pos="567"/>
        </w:tabs>
        <w:spacing w:line="240" w:lineRule="auto"/>
        <w:ind w:left="567" w:hanging="567"/>
        <w:jc w:val="center"/>
        <w:rPr>
          <w:i/>
          <w:iCs/>
          <w:szCs w:val="22"/>
          <w:lang w:val="lv-LV"/>
        </w:rPr>
      </w:pPr>
      <w:proofErr w:type="spellStart"/>
      <w:r w:rsidRPr="001A2774">
        <w:rPr>
          <w:i/>
          <w:iCs/>
          <w:szCs w:val="22"/>
          <w:lang w:val="lv-LV"/>
        </w:rPr>
        <w:t>Pyridoxini</w:t>
      </w:r>
      <w:proofErr w:type="spellEnd"/>
      <w:r w:rsidRPr="001A2774">
        <w:rPr>
          <w:i/>
          <w:iCs/>
          <w:szCs w:val="22"/>
          <w:lang w:val="lv-LV"/>
        </w:rPr>
        <w:t xml:space="preserve"> </w:t>
      </w:r>
      <w:proofErr w:type="spellStart"/>
      <w:r w:rsidRPr="001A2774">
        <w:rPr>
          <w:i/>
          <w:iCs/>
          <w:szCs w:val="22"/>
          <w:lang w:val="lv-LV"/>
        </w:rPr>
        <w:t>hydrochloridum</w:t>
      </w:r>
      <w:proofErr w:type="spellEnd"/>
      <w:r w:rsidRPr="001A2774">
        <w:rPr>
          <w:i/>
          <w:iCs/>
          <w:szCs w:val="22"/>
          <w:lang w:val="lv-LV"/>
        </w:rPr>
        <w:t xml:space="preserve">, </w:t>
      </w:r>
      <w:proofErr w:type="spellStart"/>
      <w:r w:rsidRPr="001A2774">
        <w:rPr>
          <w:i/>
          <w:iCs/>
          <w:szCs w:val="22"/>
          <w:lang w:val="lv-LV"/>
        </w:rPr>
        <w:t>Thiamini</w:t>
      </w:r>
      <w:proofErr w:type="spellEnd"/>
      <w:r w:rsidRPr="001A2774">
        <w:rPr>
          <w:i/>
          <w:iCs/>
          <w:szCs w:val="22"/>
          <w:lang w:val="lv-LV"/>
        </w:rPr>
        <w:t xml:space="preserve"> </w:t>
      </w:r>
      <w:proofErr w:type="spellStart"/>
      <w:r w:rsidRPr="001A2774">
        <w:rPr>
          <w:i/>
          <w:iCs/>
          <w:szCs w:val="22"/>
          <w:lang w:val="lv-LV"/>
        </w:rPr>
        <w:t>hydrochloridum</w:t>
      </w:r>
      <w:proofErr w:type="spellEnd"/>
      <w:r w:rsidRPr="001A2774">
        <w:rPr>
          <w:i/>
          <w:iCs/>
          <w:szCs w:val="22"/>
          <w:lang w:val="lv-LV"/>
        </w:rPr>
        <w:t xml:space="preserve">, </w:t>
      </w:r>
      <w:proofErr w:type="spellStart"/>
      <w:r w:rsidRPr="001A2774">
        <w:rPr>
          <w:i/>
          <w:iCs/>
          <w:szCs w:val="22"/>
          <w:lang w:val="lv-LV"/>
        </w:rPr>
        <w:t>Cyanocobalaminum</w:t>
      </w:r>
      <w:proofErr w:type="spellEnd"/>
      <w:r w:rsidRPr="001A2774">
        <w:rPr>
          <w:i/>
          <w:iCs/>
          <w:szCs w:val="22"/>
          <w:lang w:val="lv-LV"/>
        </w:rPr>
        <w:t xml:space="preserve">, </w:t>
      </w:r>
      <w:proofErr w:type="spellStart"/>
      <w:r w:rsidRPr="001A2774">
        <w:rPr>
          <w:i/>
          <w:iCs/>
          <w:szCs w:val="22"/>
          <w:lang w:val="lv-LV"/>
        </w:rPr>
        <w:t>Lidocaini</w:t>
      </w:r>
      <w:proofErr w:type="spellEnd"/>
      <w:r w:rsidRPr="001A2774">
        <w:rPr>
          <w:i/>
          <w:iCs/>
          <w:szCs w:val="22"/>
          <w:lang w:val="lv-LV"/>
        </w:rPr>
        <w:t xml:space="preserve"> </w:t>
      </w:r>
      <w:proofErr w:type="spellStart"/>
      <w:r w:rsidRPr="001A2774">
        <w:rPr>
          <w:i/>
          <w:iCs/>
          <w:szCs w:val="22"/>
          <w:lang w:val="lv-LV"/>
        </w:rPr>
        <w:t>hydrochloridum</w:t>
      </w:r>
      <w:proofErr w:type="spellEnd"/>
    </w:p>
    <w:p w14:paraId="0034376C" w14:textId="77777777" w:rsidR="00631733" w:rsidRPr="00556BDB" w:rsidRDefault="00631733" w:rsidP="00E122B3">
      <w:pPr>
        <w:tabs>
          <w:tab w:val="clear" w:pos="567"/>
        </w:tabs>
        <w:spacing w:line="240" w:lineRule="auto"/>
        <w:ind w:left="567" w:hanging="567"/>
        <w:jc w:val="center"/>
        <w:rPr>
          <w:szCs w:val="22"/>
          <w:lang w:val="lv-LV"/>
        </w:rPr>
      </w:pPr>
    </w:p>
    <w:p w14:paraId="6E3EDDA2" w14:textId="77777777" w:rsidR="00E122B3" w:rsidRPr="00556BDB" w:rsidRDefault="00E122B3" w:rsidP="00A062EA">
      <w:pPr>
        <w:tabs>
          <w:tab w:val="clear" w:pos="567"/>
        </w:tabs>
        <w:spacing w:line="240" w:lineRule="auto"/>
        <w:rPr>
          <w:szCs w:val="22"/>
          <w:lang w:val="lv-LV"/>
        </w:rPr>
      </w:pPr>
      <w:r w:rsidRPr="00556BDB">
        <w:rPr>
          <w:b/>
          <w:szCs w:val="22"/>
          <w:lang w:val="lv-LV"/>
        </w:rPr>
        <w:t>Pirms zāļu lietošanas uzmanīgi izlasiet visu instrukciju, jo tā satur Jums svarīgu informāciju.</w:t>
      </w:r>
    </w:p>
    <w:p w14:paraId="7CC980EB" w14:textId="77777777" w:rsidR="00E122B3" w:rsidRPr="00556BDB" w:rsidRDefault="00E122B3" w:rsidP="00A062EA">
      <w:pPr>
        <w:tabs>
          <w:tab w:val="clear" w:pos="567"/>
        </w:tabs>
        <w:spacing w:line="240" w:lineRule="auto"/>
        <w:ind w:left="567" w:hanging="567"/>
        <w:rPr>
          <w:szCs w:val="22"/>
          <w:lang w:val="lv-LV"/>
        </w:rPr>
      </w:pPr>
      <w:r w:rsidRPr="00556BDB">
        <w:rPr>
          <w:szCs w:val="22"/>
          <w:lang w:val="lv-LV"/>
        </w:rPr>
        <w:t>-</w:t>
      </w:r>
      <w:r w:rsidRPr="00556BDB">
        <w:rPr>
          <w:szCs w:val="22"/>
          <w:lang w:val="lv-LV"/>
        </w:rPr>
        <w:tab/>
        <w:t>Saglabājiet šo instrukciju! Iespējams, ka vēlāk to vajadzēs pārlasīt.</w:t>
      </w:r>
    </w:p>
    <w:p w14:paraId="5963A357" w14:textId="77777777" w:rsidR="00E122B3" w:rsidRPr="00556BDB" w:rsidRDefault="00E122B3" w:rsidP="00A062EA">
      <w:pPr>
        <w:tabs>
          <w:tab w:val="clear" w:pos="567"/>
        </w:tabs>
        <w:spacing w:line="240" w:lineRule="auto"/>
        <w:ind w:left="567" w:hanging="567"/>
        <w:rPr>
          <w:szCs w:val="22"/>
          <w:lang w:val="lv-LV"/>
        </w:rPr>
      </w:pPr>
      <w:r w:rsidRPr="00556BDB">
        <w:rPr>
          <w:szCs w:val="22"/>
          <w:lang w:val="lv-LV"/>
        </w:rPr>
        <w:t>-</w:t>
      </w:r>
      <w:r w:rsidRPr="00556BDB">
        <w:rPr>
          <w:szCs w:val="22"/>
          <w:lang w:val="lv-LV"/>
        </w:rPr>
        <w:tab/>
        <w:t>Ja Jums roda</w:t>
      </w:r>
      <w:r w:rsidR="00631733" w:rsidRPr="00556BDB">
        <w:rPr>
          <w:szCs w:val="22"/>
          <w:lang w:val="lv-LV"/>
        </w:rPr>
        <w:t xml:space="preserve">s jebkādi jautājumi, vaicājiet </w:t>
      </w:r>
      <w:r w:rsidRPr="00556BDB">
        <w:rPr>
          <w:szCs w:val="22"/>
          <w:lang w:val="lv-LV"/>
        </w:rPr>
        <w:t>ārstam</w:t>
      </w:r>
      <w:r w:rsidR="00631733" w:rsidRPr="00556BDB">
        <w:rPr>
          <w:szCs w:val="22"/>
          <w:lang w:val="lv-LV"/>
        </w:rPr>
        <w:t xml:space="preserve"> vai</w:t>
      </w:r>
      <w:r w:rsidRPr="00556BDB">
        <w:rPr>
          <w:szCs w:val="22"/>
          <w:lang w:val="lv-LV"/>
        </w:rPr>
        <w:t xml:space="preserve"> medmāsai.</w:t>
      </w:r>
    </w:p>
    <w:p w14:paraId="5E7E3711" w14:textId="77777777" w:rsidR="00E122B3" w:rsidRPr="00556BDB" w:rsidRDefault="00631733" w:rsidP="00A062EA">
      <w:pPr>
        <w:tabs>
          <w:tab w:val="clear" w:pos="567"/>
        </w:tabs>
        <w:spacing w:line="240" w:lineRule="auto"/>
        <w:ind w:left="567" w:hanging="567"/>
        <w:rPr>
          <w:szCs w:val="22"/>
          <w:lang w:val="lv-LV"/>
        </w:rPr>
      </w:pPr>
      <w:r w:rsidRPr="00556BDB">
        <w:rPr>
          <w:szCs w:val="22"/>
          <w:lang w:val="lv-LV"/>
        </w:rPr>
        <w:t>-</w:t>
      </w:r>
      <w:r w:rsidRPr="00556BDB">
        <w:rPr>
          <w:szCs w:val="22"/>
          <w:lang w:val="lv-LV"/>
        </w:rPr>
        <w:tab/>
      </w:r>
      <w:r w:rsidR="00E122B3" w:rsidRPr="00556BDB">
        <w:rPr>
          <w:szCs w:val="22"/>
          <w:lang w:val="lv-LV"/>
        </w:rPr>
        <w:t>Šīs zāles ir parakstītas tikai Jums. Nedodiet tās citiem. Tās var nodarīt ļaunumu pat tad, ja šiem cilvēkie</w:t>
      </w:r>
      <w:r w:rsidRPr="00556BDB">
        <w:rPr>
          <w:szCs w:val="22"/>
          <w:lang w:val="lv-LV"/>
        </w:rPr>
        <w:t>m ir līdzīgas slimības pazīmes.</w:t>
      </w:r>
    </w:p>
    <w:p w14:paraId="2B1367AF" w14:textId="77777777" w:rsidR="00E122B3" w:rsidRPr="00556BDB" w:rsidRDefault="00E122B3" w:rsidP="00A062EA">
      <w:pPr>
        <w:numPr>
          <w:ilvl w:val="0"/>
          <w:numId w:val="1"/>
        </w:numPr>
        <w:tabs>
          <w:tab w:val="clear" w:pos="567"/>
        </w:tabs>
        <w:spacing w:line="240" w:lineRule="auto"/>
        <w:ind w:left="567" w:hanging="567"/>
        <w:rPr>
          <w:szCs w:val="22"/>
          <w:lang w:val="lv-LV"/>
        </w:rPr>
      </w:pPr>
      <w:r w:rsidRPr="00556BDB">
        <w:rPr>
          <w:szCs w:val="22"/>
          <w:lang w:val="lv-LV"/>
        </w:rPr>
        <w:t>Ja Jums rodas jebkādas blaku</w:t>
      </w:r>
      <w:r w:rsidR="00631733" w:rsidRPr="00556BDB">
        <w:rPr>
          <w:szCs w:val="22"/>
          <w:lang w:val="lv-LV"/>
        </w:rPr>
        <w:t xml:space="preserve">sparādības, konsultējieties ar </w:t>
      </w:r>
      <w:r w:rsidRPr="00556BDB">
        <w:rPr>
          <w:szCs w:val="22"/>
          <w:lang w:val="lv-LV"/>
        </w:rPr>
        <w:t>ārstu</w:t>
      </w:r>
      <w:r w:rsidR="00631733" w:rsidRPr="00556BDB">
        <w:rPr>
          <w:szCs w:val="22"/>
          <w:lang w:val="lv-LV"/>
        </w:rPr>
        <w:t xml:space="preserve"> </w:t>
      </w:r>
      <w:r w:rsidRPr="00556BDB">
        <w:rPr>
          <w:szCs w:val="22"/>
          <w:lang w:val="lv-LV"/>
        </w:rPr>
        <w:t>vai medmāsu. Tas attiecas arī uz iespējamām blakusparādībām, kas nav minētas šajā instrukcijā</w:t>
      </w:r>
      <w:r w:rsidR="00631733" w:rsidRPr="00556BDB">
        <w:rPr>
          <w:szCs w:val="22"/>
          <w:lang w:val="lv-LV"/>
        </w:rPr>
        <w:t>. Skatīt 4. punktu.</w:t>
      </w:r>
    </w:p>
    <w:p w14:paraId="227D7C9E" w14:textId="77777777" w:rsidR="00E122B3" w:rsidRPr="00556BDB" w:rsidRDefault="00E122B3" w:rsidP="00A062EA">
      <w:pPr>
        <w:numPr>
          <w:ilvl w:val="12"/>
          <w:numId w:val="0"/>
        </w:numPr>
        <w:tabs>
          <w:tab w:val="clear" w:pos="567"/>
        </w:tabs>
        <w:spacing w:line="240" w:lineRule="auto"/>
        <w:rPr>
          <w:szCs w:val="22"/>
          <w:lang w:val="lv-LV"/>
        </w:rPr>
      </w:pPr>
    </w:p>
    <w:p w14:paraId="43227D49" w14:textId="77777777" w:rsidR="00E122B3" w:rsidRPr="00556BDB" w:rsidRDefault="00E122B3" w:rsidP="00A062EA">
      <w:pPr>
        <w:numPr>
          <w:ilvl w:val="12"/>
          <w:numId w:val="0"/>
        </w:numPr>
        <w:tabs>
          <w:tab w:val="clear" w:pos="567"/>
        </w:tabs>
        <w:spacing w:line="240" w:lineRule="auto"/>
        <w:ind w:left="567" w:hanging="567"/>
        <w:rPr>
          <w:szCs w:val="22"/>
          <w:lang w:val="lv-LV"/>
        </w:rPr>
      </w:pPr>
      <w:r w:rsidRPr="00556BDB">
        <w:rPr>
          <w:b/>
          <w:szCs w:val="22"/>
          <w:lang w:val="lv-LV"/>
        </w:rPr>
        <w:t>Šajā instrukcijā varat uzzināt</w:t>
      </w:r>
      <w:r w:rsidRPr="00556BDB">
        <w:rPr>
          <w:szCs w:val="22"/>
          <w:lang w:val="lv-LV"/>
        </w:rPr>
        <w:t xml:space="preserve">: </w:t>
      </w:r>
    </w:p>
    <w:p w14:paraId="1D2D22BA" w14:textId="77777777" w:rsidR="00E122B3" w:rsidRPr="00556BDB" w:rsidRDefault="00F162A1" w:rsidP="00A062EA">
      <w:pPr>
        <w:tabs>
          <w:tab w:val="clear" w:pos="567"/>
        </w:tabs>
        <w:spacing w:line="240" w:lineRule="auto"/>
        <w:ind w:left="567" w:hanging="567"/>
        <w:rPr>
          <w:szCs w:val="22"/>
          <w:lang w:val="lv-LV"/>
        </w:rPr>
      </w:pPr>
      <w:r w:rsidRPr="00556BDB">
        <w:rPr>
          <w:szCs w:val="22"/>
          <w:lang w:val="lv-LV"/>
        </w:rPr>
        <w:t>1.</w:t>
      </w:r>
      <w:r w:rsidRPr="00556BDB">
        <w:rPr>
          <w:szCs w:val="22"/>
          <w:lang w:val="lv-LV"/>
        </w:rPr>
        <w:tab/>
        <w:t xml:space="preserve">Kas ir </w:t>
      </w:r>
      <w:proofErr w:type="spellStart"/>
      <w:r w:rsidRPr="00556BDB">
        <w:rPr>
          <w:szCs w:val="22"/>
          <w:lang w:val="lv-LV"/>
        </w:rPr>
        <w:t>Neiratax</w:t>
      </w:r>
      <w:proofErr w:type="spellEnd"/>
      <w:r w:rsidR="00E122B3" w:rsidRPr="00556BDB">
        <w:rPr>
          <w:szCs w:val="22"/>
          <w:lang w:val="lv-LV"/>
        </w:rPr>
        <w:t xml:space="preserve"> un kādam nolūkam </w:t>
      </w:r>
      <w:r w:rsidR="00E122B3" w:rsidRPr="004A6A7F">
        <w:rPr>
          <w:szCs w:val="22"/>
          <w:lang w:val="lv-LV"/>
        </w:rPr>
        <w:t>to</w:t>
      </w:r>
      <w:r w:rsidR="00E122B3" w:rsidRPr="00556BDB">
        <w:rPr>
          <w:szCs w:val="22"/>
          <w:lang w:val="lv-LV"/>
        </w:rPr>
        <w:t xml:space="preserve"> lieto</w:t>
      </w:r>
    </w:p>
    <w:p w14:paraId="6799FECD" w14:textId="77777777" w:rsidR="00E122B3" w:rsidRPr="00556BDB" w:rsidRDefault="00E122B3" w:rsidP="00A062EA">
      <w:pPr>
        <w:tabs>
          <w:tab w:val="clear" w:pos="567"/>
        </w:tabs>
        <w:spacing w:line="240" w:lineRule="auto"/>
        <w:ind w:left="567" w:hanging="567"/>
        <w:rPr>
          <w:szCs w:val="22"/>
          <w:lang w:val="lv-LV"/>
        </w:rPr>
      </w:pPr>
      <w:r w:rsidRPr="00556BDB">
        <w:rPr>
          <w:szCs w:val="22"/>
          <w:lang w:val="lv-LV"/>
        </w:rPr>
        <w:t>2.</w:t>
      </w:r>
      <w:r w:rsidRPr="00556BDB">
        <w:rPr>
          <w:szCs w:val="22"/>
          <w:lang w:val="lv-LV"/>
        </w:rPr>
        <w:tab/>
        <w:t xml:space="preserve">Kas Jums jāzina pirms </w:t>
      </w:r>
      <w:proofErr w:type="spellStart"/>
      <w:r w:rsidR="00F162A1" w:rsidRPr="00556BDB">
        <w:rPr>
          <w:szCs w:val="22"/>
          <w:lang w:val="lv-LV"/>
        </w:rPr>
        <w:t>Neiratax</w:t>
      </w:r>
      <w:proofErr w:type="spellEnd"/>
      <w:r w:rsidRPr="00556BDB">
        <w:rPr>
          <w:szCs w:val="22"/>
          <w:lang w:val="lv-LV"/>
        </w:rPr>
        <w:t xml:space="preserve"> lietošanas</w:t>
      </w:r>
    </w:p>
    <w:p w14:paraId="19D0F862" w14:textId="77777777" w:rsidR="00E122B3" w:rsidRPr="00556BDB" w:rsidRDefault="00E122B3" w:rsidP="00A062EA">
      <w:pPr>
        <w:tabs>
          <w:tab w:val="clear" w:pos="567"/>
        </w:tabs>
        <w:spacing w:line="240" w:lineRule="auto"/>
        <w:ind w:left="567" w:hanging="567"/>
        <w:rPr>
          <w:szCs w:val="22"/>
          <w:lang w:val="lv-LV"/>
        </w:rPr>
      </w:pPr>
      <w:r w:rsidRPr="00556BDB">
        <w:rPr>
          <w:szCs w:val="22"/>
          <w:lang w:val="lv-LV"/>
        </w:rPr>
        <w:t>3.</w:t>
      </w:r>
      <w:r w:rsidRPr="00556BDB">
        <w:rPr>
          <w:szCs w:val="22"/>
          <w:lang w:val="lv-LV"/>
        </w:rPr>
        <w:tab/>
        <w:t xml:space="preserve">Kā lietot </w:t>
      </w:r>
      <w:proofErr w:type="spellStart"/>
      <w:r w:rsidR="00F162A1" w:rsidRPr="00556BDB">
        <w:rPr>
          <w:szCs w:val="22"/>
          <w:lang w:val="lv-LV"/>
        </w:rPr>
        <w:t>Neiratax</w:t>
      </w:r>
      <w:proofErr w:type="spellEnd"/>
    </w:p>
    <w:p w14:paraId="00D58F63" w14:textId="77777777" w:rsidR="00E122B3" w:rsidRPr="00556BDB" w:rsidRDefault="00E122B3" w:rsidP="00A062EA">
      <w:pPr>
        <w:tabs>
          <w:tab w:val="clear" w:pos="567"/>
        </w:tabs>
        <w:spacing w:line="240" w:lineRule="auto"/>
        <w:ind w:left="567" w:hanging="567"/>
        <w:rPr>
          <w:szCs w:val="22"/>
          <w:lang w:val="lv-LV"/>
        </w:rPr>
      </w:pPr>
      <w:r w:rsidRPr="00556BDB">
        <w:rPr>
          <w:szCs w:val="22"/>
          <w:lang w:val="lv-LV"/>
        </w:rPr>
        <w:t>4.</w:t>
      </w:r>
      <w:r w:rsidRPr="00556BDB">
        <w:rPr>
          <w:szCs w:val="22"/>
          <w:lang w:val="lv-LV"/>
        </w:rPr>
        <w:tab/>
        <w:t>Iespējamās blakusparādības</w:t>
      </w:r>
    </w:p>
    <w:p w14:paraId="1BEA7CE5" w14:textId="77777777" w:rsidR="00E122B3" w:rsidRPr="00556BDB" w:rsidRDefault="00E122B3" w:rsidP="00A062EA">
      <w:pPr>
        <w:tabs>
          <w:tab w:val="clear" w:pos="567"/>
        </w:tabs>
        <w:spacing w:line="240" w:lineRule="auto"/>
        <w:ind w:left="567" w:hanging="567"/>
        <w:rPr>
          <w:szCs w:val="22"/>
          <w:lang w:val="lv-LV"/>
        </w:rPr>
      </w:pPr>
      <w:r w:rsidRPr="00556BDB">
        <w:rPr>
          <w:szCs w:val="22"/>
          <w:lang w:val="lv-LV"/>
        </w:rPr>
        <w:t>5</w:t>
      </w:r>
      <w:r w:rsidRPr="00556BDB">
        <w:rPr>
          <w:szCs w:val="22"/>
          <w:lang w:val="lv-LV"/>
        </w:rPr>
        <w:tab/>
        <w:t xml:space="preserve">Kā uzglabāt </w:t>
      </w:r>
      <w:proofErr w:type="spellStart"/>
      <w:r w:rsidR="00F162A1" w:rsidRPr="00556BDB">
        <w:rPr>
          <w:szCs w:val="22"/>
          <w:lang w:val="lv-LV"/>
        </w:rPr>
        <w:t>Neiratax</w:t>
      </w:r>
      <w:proofErr w:type="spellEnd"/>
      <w:r w:rsidRPr="00556BDB">
        <w:rPr>
          <w:szCs w:val="22"/>
          <w:lang w:val="lv-LV"/>
        </w:rPr>
        <w:t xml:space="preserve"> </w:t>
      </w:r>
    </w:p>
    <w:p w14:paraId="0DC60BF4" w14:textId="77777777" w:rsidR="00E122B3" w:rsidRPr="00556BDB" w:rsidRDefault="00E122B3" w:rsidP="00A062EA">
      <w:pPr>
        <w:tabs>
          <w:tab w:val="clear" w:pos="567"/>
        </w:tabs>
        <w:spacing w:line="240" w:lineRule="auto"/>
        <w:ind w:left="567" w:hanging="567"/>
        <w:rPr>
          <w:szCs w:val="22"/>
          <w:lang w:val="lv-LV"/>
        </w:rPr>
      </w:pPr>
      <w:r w:rsidRPr="00556BDB">
        <w:rPr>
          <w:szCs w:val="22"/>
          <w:lang w:val="lv-LV"/>
        </w:rPr>
        <w:t>6.</w:t>
      </w:r>
      <w:r w:rsidRPr="00556BDB">
        <w:rPr>
          <w:szCs w:val="22"/>
          <w:lang w:val="lv-LV"/>
        </w:rPr>
        <w:tab/>
        <w:t>Iepakojuma saturs un cita informācija</w:t>
      </w:r>
    </w:p>
    <w:p w14:paraId="01C53572"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05A00F2D"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6872E862" w14:textId="77777777" w:rsidR="00E122B3" w:rsidRPr="00556BDB" w:rsidRDefault="00AA3E6F" w:rsidP="00A062EA">
      <w:pPr>
        <w:numPr>
          <w:ilvl w:val="12"/>
          <w:numId w:val="0"/>
        </w:numPr>
        <w:tabs>
          <w:tab w:val="clear" w:pos="567"/>
        </w:tabs>
        <w:spacing w:line="240" w:lineRule="auto"/>
        <w:ind w:left="567" w:hanging="567"/>
        <w:rPr>
          <w:szCs w:val="22"/>
          <w:lang w:val="lv-LV"/>
        </w:rPr>
      </w:pPr>
      <w:r w:rsidRPr="00556BDB">
        <w:rPr>
          <w:b/>
          <w:szCs w:val="22"/>
          <w:lang w:val="lv-LV"/>
        </w:rPr>
        <w:t>1.</w:t>
      </w:r>
      <w:r w:rsidRPr="00556BDB">
        <w:rPr>
          <w:b/>
          <w:szCs w:val="22"/>
          <w:lang w:val="lv-LV"/>
        </w:rPr>
        <w:tab/>
        <w:t xml:space="preserve">Kas ir </w:t>
      </w:r>
      <w:proofErr w:type="spellStart"/>
      <w:r w:rsidRPr="00556BDB">
        <w:rPr>
          <w:b/>
          <w:szCs w:val="22"/>
          <w:lang w:val="lv-LV"/>
        </w:rPr>
        <w:t>Neiratax</w:t>
      </w:r>
      <w:proofErr w:type="spellEnd"/>
      <w:r w:rsidR="00E122B3" w:rsidRPr="00556BDB">
        <w:rPr>
          <w:b/>
          <w:szCs w:val="22"/>
          <w:lang w:val="lv-LV"/>
        </w:rPr>
        <w:t xml:space="preserve"> un kādam nolūkam </w:t>
      </w:r>
      <w:r w:rsidR="00E122B3" w:rsidRPr="004A6A7F">
        <w:rPr>
          <w:b/>
          <w:szCs w:val="22"/>
          <w:lang w:val="lv-LV"/>
        </w:rPr>
        <w:t>to</w:t>
      </w:r>
      <w:r w:rsidR="00E122B3" w:rsidRPr="00556BDB">
        <w:rPr>
          <w:b/>
          <w:szCs w:val="22"/>
          <w:lang w:val="lv-LV"/>
        </w:rPr>
        <w:t xml:space="preserve"> lieto</w:t>
      </w:r>
    </w:p>
    <w:p w14:paraId="1B49E52D"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7CE9BFAB" w14:textId="77777777" w:rsidR="00AA3E6F" w:rsidRPr="00556BDB" w:rsidRDefault="00AA3E6F" w:rsidP="00A062EA">
      <w:pPr>
        <w:autoSpaceDE w:val="0"/>
        <w:autoSpaceDN w:val="0"/>
        <w:adjustRightInd w:val="0"/>
        <w:spacing w:line="240" w:lineRule="auto"/>
        <w:rPr>
          <w:szCs w:val="22"/>
          <w:lang w:val="lv-LV"/>
        </w:rPr>
      </w:pPr>
      <w:proofErr w:type="spellStart"/>
      <w:r w:rsidRPr="00556BDB">
        <w:rPr>
          <w:szCs w:val="22"/>
          <w:lang w:val="lv-LV"/>
        </w:rPr>
        <w:t>Neiratax</w:t>
      </w:r>
      <w:proofErr w:type="spellEnd"/>
      <w:r w:rsidRPr="00556BDB">
        <w:rPr>
          <w:szCs w:val="22"/>
          <w:lang w:val="lv-LV"/>
        </w:rPr>
        <w:t xml:space="preserve"> aktīvās vielas ir </w:t>
      </w:r>
      <w:proofErr w:type="spellStart"/>
      <w:r w:rsidRPr="00556BDB">
        <w:rPr>
          <w:szCs w:val="22"/>
          <w:lang w:val="lv-LV"/>
        </w:rPr>
        <w:t>piridoksīna</w:t>
      </w:r>
      <w:proofErr w:type="spellEnd"/>
      <w:r w:rsidRPr="00556BDB">
        <w:rPr>
          <w:szCs w:val="22"/>
          <w:lang w:val="lv-LV"/>
        </w:rPr>
        <w:t xml:space="preserve"> </w:t>
      </w:r>
      <w:proofErr w:type="spellStart"/>
      <w:r w:rsidRPr="00556BDB">
        <w:rPr>
          <w:szCs w:val="22"/>
          <w:lang w:val="lv-LV"/>
        </w:rPr>
        <w:t>hidrohlorīds</w:t>
      </w:r>
      <w:proofErr w:type="spellEnd"/>
      <w:r w:rsidRPr="00556BDB">
        <w:rPr>
          <w:szCs w:val="22"/>
          <w:lang w:val="lv-LV"/>
        </w:rPr>
        <w:t xml:space="preserve"> (</w:t>
      </w:r>
      <w:r w:rsidR="001F018E" w:rsidRPr="00556BDB">
        <w:rPr>
          <w:szCs w:val="22"/>
          <w:lang w:val="lv-LV"/>
        </w:rPr>
        <w:t>B</w:t>
      </w:r>
      <w:r w:rsidR="001F018E" w:rsidRPr="00556BDB">
        <w:rPr>
          <w:szCs w:val="22"/>
          <w:vertAlign w:val="subscript"/>
          <w:lang w:val="lv-LV"/>
        </w:rPr>
        <w:t>6</w:t>
      </w:r>
      <w:r w:rsidR="001F018E">
        <w:rPr>
          <w:szCs w:val="22"/>
          <w:vertAlign w:val="subscript"/>
          <w:lang w:val="lv-LV"/>
        </w:rPr>
        <w:t xml:space="preserve"> </w:t>
      </w:r>
      <w:r w:rsidRPr="00556BDB">
        <w:rPr>
          <w:szCs w:val="22"/>
          <w:lang w:val="lv-LV"/>
        </w:rPr>
        <w:t xml:space="preserve">vitamīns), </w:t>
      </w:r>
      <w:proofErr w:type="spellStart"/>
      <w:r w:rsidRPr="00556BDB">
        <w:rPr>
          <w:szCs w:val="22"/>
          <w:lang w:val="lv-LV"/>
        </w:rPr>
        <w:t>tiamīna</w:t>
      </w:r>
      <w:proofErr w:type="spellEnd"/>
      <w:r w:rsidRPr="00556BDB">
        <w:rPr>
          <w:szCs w:val="22"/>
          <w:lang w:val="lv-LV"/>
        </w:rPr>
        <w:t xml:space="preserve"> </w:t>
      </w:r>
      <w:proofErr w:type="spellStart"/>
      <w:r w:rsidRPr="00556BDB">
        <w:rPr>
          <w:szCs w:val="22"/>
          <w:lang w:val="lv-LV"/>
        </w:rPr>
        <w:t>hidrohlorīds</w:t>
      </w:r>
      <w:proofErr w:type="spellEnd"/>
      <w:r w:rsidRPr="00556BDB">
        <w:rPr>
          <w:szCs w:val="22"/>
          <w:lang w:val="lv-LV"/>
        </w:rPr>
        <w:t xml:space="preserve"> (</w:t>
      </w:r>
      <w:r w:rsidR="001F018E" w:rsidRPr="00556BDB">
        <w:rPr>
          <w:szCs w:val="22"/>
          <w:lang w:val="lv-LV"/>
        </w:rPr>
        <w:t>B</w:t>
      </w:r>
      <w:r w:rsidR="001F018E" w:rsidRPr="00556BDB">
        <w:rPr>
          <w:szCs w:val="22"/>
          <w:vertAlign w:val="subscript"/>
          <w:lang w:val="lv-LV"/>
        </w:rPr>
        <w:t>1</w:t>
      </w:r>
      <w:r w:rsidR="001F018E">
        <w:rPr>
          <w:szCs w:val="22"/>
          <w:vertAlign w:val="subscript"/>
          <w:lang w:val="lv-LV"/>
        </w:rPr>
        <w:t> </w:t>
      </w:r>
      <w:r w:rsidRPr="00556BDB">
        <w:rPr>
          <w:szCs w:val="22"/>
          <w:lang w:val="lv-LV"/>
        </w:rPr>
        <w:t xml:space="preserve">vitamīns), </w:t>
      </w:r>
      <w:proofErr w:type="spellStart"/>
      <w:r w:rsidRPr="00556BDB">
        <w:rPr>
          <w:szCs w:val="22"/>
          <w:lang w:val="lv-LV"/>
        </w:rPr>
        <w:t>ciānkobalamīns</w:t>
      </w:r>
      <w:proofErr w:type="spellEnd"/>
      <w:r w:rsidRPr="00556BDB">
        <w:rPr>
          <w:szCs w:val="22"/>
          <w:lang w:val="lv-LV"/>
        </w:rPr>
        <w:t xml:space="preserve"> (</w:t>
      </w:r>
      <w:r w:rsidR="001F018E" w:rsidRPr="00556BDB">
        <w:rPr>
          <w:szCs w:val="22"/>
          <w:lang w:val="lv-LV"/>
        </w:rPr>
        <w:t>B</w:t>
      </w:r>
      <w:r w:rsidR="001F018E" w:rsidRPr="00556BDB">
        <w:rPr>
          <w:szCs w:val="22"/>
          <w:vertAlign w:val="subscript"/>
          <w:lang w:val="lv-LV"/>
        </w:rPr>
        <w:t>12</w:t>
      </w:r>
      <w:r w:rsidR="001F018E">
        <w:rPr>
          <w:szCs w:val="22"/>
          <w:vertAlign w:val="subscript"/>
          <w:lang w:val="lv-LV"/>
        </w:rPr>
        <w:t xml:space="preserve"> </w:t>
      </w:r>
      <w:r w:rsidRPr="00556BDB">
        <w:rPr>
          <w:szCs w:val="22"/>
          <w:lang w:val="lv-LV"/>
        </w:rPr>
        <w:t>vitamīns</w:t>
      </w:r>
      <w:r w:rsidR="009E1917" w:rsidRPr="00556BDB">
        <w:rPr>
          <w:szCs w:val="22"/>
          <w:lang w:val="lv-LV"/>
        </w:rPr>
        <w:t xml:space="preserve">), </w:t>
      </w:r>
      <w:proofErr w:type="spellStart"/>
      <w:r w:rsidRPr="00556BDB">
        <w:rPr>
          <w:szCs w:val="22"/>
          <w:lang w:val="lv-LV"/>
        </w:rPr>
        <w:t>lidokaīna</w:t>
      </w:r>
      <w:proofErr w:type="spellEnd"/>
      <w:r w:rsidRPr="00556BDB">
        <w:rPr>
          <w:szCs w:val="22"/>
          <w:lang w:val="lv-LV"/>
        </w:rPr>
        <w:t xml:space="preserve"> </w:t>
      </w:r>
      <w:proofErr w:type="spellStart"/>
      <w:r w:rsidRPr="00556BDB">
        <w:rPr>
          <w:szCs w:val="22"/>
          <w:lang w:val="lv-LV"/>
        </w:rPr>
        <w:t>hidrohlorīds</w:t>
      </w:r>
      <w:proofErr w:type="spellEnd"/>
      <w:r w:rsidRPr="00556BDB">
        <w:rPr>
          <w:szCs w:val="22"/>
          <w:lang w:val="lv-LV"/>
        </w:rPr>
        <w:t>.</w:t>
      </w:r>
    </w:p>
    <w:p w14:paraId="2E6AF889"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58CD6B85" w14:textId="77777777" w:rsidR="00556BDB" w:rsidRPr="00556BDB" w:rsidRDefault="00AD6F0F" w:rsidP="008D50E3">
      <w:pPr>
        <w:pStyle w:val="BodyText"/>
        <w:jc w:val="left"/>
        <w:rPr>
          <w:sz w:val="22"/>
          <w:szCs w:val="22"/>
          <w:lang w:val="lv-LV"/>
        </w:rPr>
      </w:pPr>
      <w:proofErr w:type="spellStart"/>
      <w:r>
        <w:rPr>
          <w:sz w:val="22"/>
          <w:szCs w:val="22"/>
          <w:lang w:val="lv-LV"/>
        </w:rPr>
        <w:t>Neiratax</w:t>
      </w:r>
      <w:proofErr w:type="spellEnd"/>
      <w:r w:rsidR="00556BDB" w:rsidRPr="00556BDB">
        <w:rPr>
          <w:sz w:val="22"/>
          <w:szCs w:val="22"/>
          <w:lang w:val="lv-LV"/>
        </w:rPr>
        <w:t xml:space="preserve"> lieto, lai ārstētu </w:t>
      </w:r>
      <w:proofErr w:type="spellStart"/>
      <w:r w:rsidR="00556BDB" w:rsidRPr="00556BDB">
        <w:rPr>
          <w:sz w:val="22"/>
          <w:szCs w:val="22"/>
          <w:lang w:val="lv-LV"/>
        </w:rPr>
        <w:t>hematoloģiskus</w:t>
      </w:r>
      <w:proofErr w:type="spellEnd"/>
      <w:r w:rsidR="00556BDB" w:rsidRPr="00556BDB">
        <w:rPr>
          <w:sz w:val="22"/>
          <w:szCs w:val="22"/>
          <w:lang w:val="lv-LV"/>
        </w:rPr>
        <w:t xml:space="preserve"> un neiroloģiskus simptomus, ko izraisa nepārtraukts </w:t>
      </w:r>
      <w:r w:rsidR="00FA130A" w:rsidRPr="00556BDB">
        <w:rPr>
          <w:sz w:val="22"/>
          <w:szCs w:val="22"/>
          <w:lang w:val="lv-LV"/>
        </w:rPr>
        <w:t>B</w:t>
      </w:r>
      <w:r w:rsidR="00FA130A" w:rsidRPr="00556BDB">
        <w:rPr>
          <w:sz w:val="22"/>
          <w:szCs w:val="22"/>
          <w:vertAlign w:val="subscript"/>
          <w:lang w:val="lv-LV"/>
        </w:rPr>
        <w:t>1</w:t>
      </w:r>
      <w:r w:rsidR="00FA130A" w:rsidRPr="00556BDB">
        <w:rPr>
          <w:sz w:val="22"/>
          <w:szCs w:val="22"/>
          <w:lang w:val="lv-LV"/>
        </w:rPr>
        <w:t>, B</w:t>
      </w:r>
      <w:r w:rsidR="00FA130A" w:rsidRPr="00556BDB">
        <w:rPr>
          <w:sz w:val="22"/>
          <w:szCs w:val="22"/>
          <w:vertAlign w:val="subscript"/>
          <w:lang w:val="lv-LV"/>
        </w:rPr>
        <w:t>6</w:t>
      </w:r>
      <w:r w:rsidR="00FA130A" w:rsidRPr="00556BDB">
        <w:rPr>
          <w:sz w:val="22"/>
          <w:szCs w:val="22"/>
          <w:lang w:val="lv-LV"/>
        </w:rPr>
        <w:t xml:space="preserve"> un B</w:t>
      </w:r>
      <w:r w:rsidR="00FA130A" w:rsidRPr="00556BDB">
        <w:rPr>
          <w:sz w:val="22"/>
          <w:szCs w:val="22"/>
          <w:vertAlign w:val="subscript"/>
          <w:lang w:val="lv-LV"/>
        </w:rPr>
        <w:t>12</w:t>
      </w:r>
      <w:r w:rsidR="00FA130A" w:rsidRPr="00556BDB">
        <w:rPr>
          <w:sz w:val="22"/>
          <w:szCs w:val="22"/>
          <w:lang w:val="lv-LV"/>
        </w:rPr>
        <w:t xml:space="preserve"> </w:t>
      </w:r>
      <w:r w:rsidR="00556BDB" w:rsidRPr="00556BDB">
        <w:rPr>
          <w:sz w:val="22"/>
          <w:szCs w:val="22"/>
          <w:lang w:val="lv-LV"/>
        </w:rPr>
        <w:t>vitamīnu trūkums</w:t>
      </w:r>
      <w:r w:rsidR="005B6788">
        <w:rPr>
          <w:sz w:val="22"/>
          <w:szCs w:val="22"/>
          <w:lang w:val="lv-LV"/>
        </w:rPr>
        <w:t xml:space="preserve"> pieaugušajiem un bērniem vecākiem par 12 gadiem</w:t>
      </w:r>
      <w:r w:rsidR="00556BDB" w:rsidRPr="00556BDB">
        <w:rPr>
          <w:sz w:val="22"/>
          <w:szCs w:val="22"/>
          <w:lang w:val="lv-LV"/>
        </w:rPr>
        <w:t>.</w:t>
      </w:r>
    </w:p>
    <w:p w14:paraId="5BA2BFA8"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0D9F70EB"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38BB9587" w14:textId="77777777" w:rsidR="00E122B3" w:rsidRPr="00556BDB" w:rsidRDefault="00E122B3" w:rsidP="00A062EA">
      <w:pPr>
        <w:numPr>
          <w:ilvl w:val="12"/>
          <w:numId w:val="0"/>
        </w:numPr>
        <w:tabs>
          <w:tab w:val="clear" w:pos="567"/>
        </w:tabs>
        <w:spacing w:line="240" w:lineRule="auto"/>
        <w:ind w:left="567" w:hanging="567"/>
        <w:rPr>
          <w:szCs w:val="22"/>
          <w:lang w:val="lv-LV"/>
        </w:rPr>
      </w:pPr>
      <w:r w:rsidRPr="00556BDB">
        <w:rPr>
          <w:b/>
          <w:szCs w:val="22"/>
          <w:lang w:val="lv-LV"/>
        </w:rPr>
        <w:t>2.</w:t>
      </w:r>
      <w:r w:rsidRPr="00556BDB">
        <w:rPr>
          <w:b/>
          <w:szCs w:val="22"/>
          <w:lang w:val="lv-LV"/>
        </w:rPr>
        <w:tab/>
        <w:t xml:space="preserve">Kas Jums jāzina pirms </w:t>
      </w:r>
      <w:proofErr w:type="spellStart"/>
      <w:r w:rsidR="003C7696" w:rsidRPr="00556BDB">
        <w:rPr>
          <w:b/>
          <w:szCs w:val="22"/>
          <w:lang w:val="lv-LV"/>
        </w:rPr>
        <w:t>Neiratax</w:t>
      </w:r>
      <w:proofErr w:type="spellEnd"/>
      <w:r w:rsidRPr="00556BDB">
        <w:rPr>
          <w:b/>
          <w:szCs w:val="22"/>
          <w:lang w:val="lv-LV"/>
        </w:rPr>
        <w:t xml:space="preserve"> lietošanas</w:t>
      </w:r>
    </w:p>
    <w:p w14:paraId="0F6431B0"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11D2F805" w14:textId="77777777" w:rsidR="00E122B3" w:rsidRPr="00556BDB" w:rsidRDefault="00E122B3" w:rsidP="00A062EA">
      <w:pPr>
        <w:numPr>
          <w:ilvl w:val="12"/>
          <w:numId w:val="0"/>
        </w:numPr>
        <w:tabs>
          <w:tab w:val="clear" w:pos="567"/>
        </w:tabs>
        <w:spacing w:line="240" w:lineRule="auto"/>
        <w:ind w:left="567" w:hanging="567"/>
        <w:rPr>
          <w:szCs w:val="22"/>
          <w:lang w:val="lv-LV"/>
        </w:rPr>
      </w:pPr>
      <w:r w:rsidRPr="00556BDB">
        <w:rPr>
          <w:b/>
          <w:szCs w:val="22"/>
          <w:lang w:val="lv-LV"/>
        </w:rPr>
        <w:t xml:space="preserve">Nelietojiet </w:t>
      </w:r>
      <w:proofErr w:type="spellStart"/>
      <w:r w:rsidR="00CA56C0" w:rsidRPr="00556BDB">
        <w:rPr>
          <w:b/>
          <w:szCs w:val="22"/>
          <w:lang w:val="lv-LV"/>
        </w:rPr>
        <w:t>Neiratax</w:t>
      </w:r>
      <w:proofErr w:type="spellEnd"/>
      <w:r w:rsidR="009E1917" w:rsidRPr="00556BDB">
        <w:rPr>
          <w:b/>
          <w:szCs w:val="22"/>
          <w:lang w:val="lv-LV"/>
        </w:rPr>
        <w:t xml:space="preserve"> šādos gadījumos:</w:t>
      </w:r>
    </w:p>
    <w:p w14:paraId="65818B71" w14:textId="77777777" w:rsidR="007F33C2" w:rsidRPr="00556BDB" w:rsidRDefault="009E1917" w:rsidP="00A062EA">
      <w:pPr>
        <w:numPr>
          <w:ilvl w:val="12"/>
          <w:numId w:val="0"/>
        </w:numPr>
        <w:tabs>
          <w:tab w:val="clear" w:pos="567"/>
        </w:tabs>
        <w:spacing w:line="240" w:lineRule="auto"/>
        <w:ind w:left="567" w:hanging="567"/>
        <w:rPr>
          <w:szCs w:val="22"/>
          <w:lang w:val="lv-LV"/>
        </w:rPr>
      </w:pPr>
      <w:r w:rsidRPr="00556BDB">
        <w:rPr>
          <w:szCs w:val="22"/>
          <w:lang w:val="lv-LV"/>
        </w:rPr>
        <w:t>-</w:t>
      </w:r>
      <w:r w:rsidRPr="00556BDB">
        <w:rPr>
          <w:szCs w:val="22"/>
          <w:lang w:val="lv-LV"/>
        </w:rPr>
        <w:tab/>
      </w:r>
      <w:r w:rsidR="00E122B3" w:rsidRPr="00556BDB">
        <w:rPr>
          <w:szCs w:val="22"/>
          <w:lang w:val="lv-LV"/>
        </w:rPr>
        <w:t xml:space="preserve">ja Jums ir alerģija pret </w:t>
      </w:r>
      <w:proofErr w:type="spellStart"/>
      <w:r w:rsidRPr="00556BDB">
        <w:rPr>
          <w:szCs w:val="22"/>
          <w:lang w:val="lv-LV"/>
        </w:rPr>
        <w:t>piridoksīna</w:t>
      </w:r>
      <w:proofErr w:type="spellEnd"/>
      <w:r w:rsidRPr="00556BDB">
        <w:rPr>
          <w:szCs w:val="22"/>
          <w:lang w:val="lv-LV"/>
        </w:rPr>
        <w:t xml:space="preserve"> </w:t>
      </w:r>
      <w:proofErr w:type="spellStart"/>
      <w:r w:rsidRPr="00556BDB">
        <w:rPr>
          <w:szCs w:val="22"/>
          <w:lang w:val="lv-LV"/>
        </w:rPr>
        <w:t>hidrohlorīdu</w:t>
      </w:r>
      <w:proofErr w:type="spellEnd"/>
      <w:r w:rsidRPr="00556BDB">
        <w:rPr>
          <w:szCs w:val="22"/>
          <w:lang w:val="lv-LV"/>
        </w:rPr>
        <w:t xml:space="preserve"> (</w:t>
      </w:r>
      <w:r w:rsidR="000E49A7" w:rsidRPr="00556BDB">
        <w:rPr>
          <w:szCs w:val="22"/>
          <w:lang w:val="lv-LV"/>
        </w:rPr>
        <w:t>B</w:t>
      </w:r>
      <w:r w:rsidR="000E49A7" w:rsidRPr="00556BDB">
        <w:rPr>
          <w:szCs w:val="22"/>
          <w:vertAlign w:val="subscript"/>
          <w:lang w:val="lv-LV"/>
        </w:rPr>
        <w:t>6</w:t>
      </w:r>
      <w:r w:rsidR="000E49A7">
        <w:rPr>
          <w:szCs w:val="22"/>
          <w:vertAlign w:val="subscript"/>
          <w:lang w:val="lv-LV"/>
        </w:rPr>
        <w:t xml:space="preserve"> </w:t>
      </w:r>
      <w:r w:rsidRPr="00556BDB">
        <w:rPr>
          <w:szCs w:val="22"/>
          <w:lang w:val="lv-LV"/>
        </w:rPr>
        <w:t xml:space="preserve">vitamīns), </w:t>
      </w:r>
      <w:proofErr w:type="spellStart"/>
      <w:r w:rsidRPr="00556BDB">
        <w:rPr>
          <w:szCs w:val="22"/>
          <w:lang w:val="lv-LV"/>
        </w:rPr>
        <w:t>tiamīna</w:t>
      </w:r>
      <w:proofErr w:type="spellEnd"/>
      <w:r w:rsidRPr="00556BDB">
        <w:rPr>
          <w:szCs w:val="22"/>
          <w:lang w:val="lv-LV"/>
        </w:rPr>
        <w:t xml:space="preserve"> </w:t>
      </w:r>
      <w:proofErr w:type="spellStart"/>
      <w:r w:rsidRPr="00556BDB">
        <w:rPr>
          <w:szCs w:val="22"/>
          <w:lang w:val="lv-LV"/>
        </w:rPr>
        <w:t>hidrohlorīdu</w:t>
      </w:r>
      <w:proofErr w:type="spellEnd"/>
      <w:r w:rsidRPr="00556BDB">
        <w:rPr>
          <w:szCs w:val="22"/>
          <w:lang w:val="lv-LV"/>
        </w:rPr>
        <w:t xml:space="preserve"> (</w:t>
      </w:r>
      <w:r w:rsidR="000E49A7" w:rsidRPr="00556BDB">
        <w:rPr>
          <w:szCs w:val="22"/>
          <w:lang w:val="lv-LV"/>
        </w:rPr>
        <w:t>B</w:t>
      </w:r>
      <w:r w:rsidR="000E49A7" w:rsidRPr="00556BDB">
        <w:rPr>
          <w:szCs w:val="22"/>
          <w:vertAlign w:val="subscript"/>
          <w:lang w:val="lv-LV"/>
        </w:rPr>
        <w:t>1</w:t>
      </w:r>
      <w:r w:rsidR="000E49A7">
        <w:rPr>
          <w:szCs w:val="22"/>
          <w:vertAlign w:val="subscript"/>
          <w:lang w:val="lv-LV"/>
        </w:rPr>
        <w:t> </w:t>
      </w:r>
      <w:r w:rsidRPr="00556BDB">
        <w:rPr>
          <w:szCs w:val="22"/>
          <w:lang w:val="lv-LV"/>
        </w:rPr>
        <w:t xml:space="preserve">vitamīns), </w:t>
      </w:r>
      <w:proofErr w:type="spellStart"/>
      <w:r w:rsidRPr="00556BDB">
        <w:rPr>
          <w:szCs w:val="22"/>
          <w:lang w:val="lv-LV"/>
        </w:rPr>
        <w:t>ciānkobalamīnu</w:t>
      </w:r>
      <w:proofErr w:type="spellEnd"/>
      <w:r w:rsidRPr="00556BDB">
        <w:rPr>
          <w:szCs w:val="22"/>
          <w:lang w:val="lv-LV"/>
        </w:rPr>
        <w:t xml:space="preserve"> (</w:t>
      </w:r>
      <w:r w:rsidR="000E49A7" w:rsidRPr="00556BDB">
        <w:rPr>
          <w:szCs w:val="22"/>
          <w:lang w:val="lv-LV"/>
        </w:rPr>
        <w:t>B</w:t>
      </w:r>
      <w:r w:rsidR="000E49A7" w:rsidRPr="00556BDB">
        <w:rPr>
          <w:szCs w:val="22"/>
          <w:vertAlign w:val="subscript"/>
          <w:lang w:val="lv-LV"/>
        </w:rPr>
        <w:t>12</w:t>
      </w:r>
      <w:r w:rsidR="000E49A7">
        <w:rPr>
          <w:szCs w:val="22"/>
          <w:vertAlign w:val="subscript"/>
          <w:lang w:val="lv-LV"/>
        </w:rPr>
        <w:t xml:space="preserve"> </w:t>
      </w:r>
      <w:r w:rsidRPr="00556BDB">
        <w:rPr>
          <w:szCs w:val="22"/>
          <w:lang w:val="lv-LV"/>
        </w:rPr>
        <w:t xml:space="preserve">vitamīns), </w:t>
      </w:r>
      <w:proofErr w:type="spellStart"/>
      <w:r w:rsidRPr="00556BDB">
        <w:rPr>
          <w:szCs w:val="22"/>
          <w:lang w:val="lv-LV"/>
        </w:rPr>
        <w:t>lidokaīna</w:t>
      </w:r>
      <w:proofErr w:type="spellEnd"/>
      <w:r w:rsidRPr="00556BDB">
        <w:rPr>
          <w:szCs w:val="22"/>
          <w:lang w:val="lv-LV"/>
        </w:rPr>
        <w:t xml:space="preserve"> </w:t>
      </w:r>
      <w:proofErr w:type="spellStart"/>
      <w:r w:rsidRPr="00556BDB">
        <w:rPr>
          <w:szCs w:val="22"/>
          <w:lang w:val="lv-LV"/>
        </w:rPr>
        <w:t>hidrohlorīdu</w:t>
      </w:r>
      <w:proofErr w:type="spellEnd"/>
      <w:r w:rsidRPr="00556BDB">
        <w:rPr>
          <w:szCs w:val="22"/>
          <w:lang w:val="lv-LV"/>
        </w:rPr>
        <w:t xml:space="preserve"> </w:t>
      </w:r>
      <w:r w:rsidR="00E122B3" w:rsidRPr="00556BDB">
        <w:rPr>
          <w:szCs w:val="22"/>
          <w:lang w:val="lv-LV"/>
        </w:rPr>
        <w:t>vai kādu citu (6. punktā</w:t>
      </w:r>
      <w:r w:rsidR="007F33C2" w:rsidRPr="00556BDB">
        <w:rPr>
          <w:szCs w:val="22"/>
          <w:lang w:val="lv-LV"/>
        </w:rPr>
        <w:t xml:space="preserve"> minēto) šo zāļu sastāvdaļu;</w:t>
      </w:r>
    </w:p>
    <w:p w14:paraId="35CF4DA9" w14:textId="77777777" w:rsidR="004E3F05" w:rsidRPr="00556BDB" w:rsidRDefault="00556BDB" w:rsidP="00A062EA">
      <w:pPr>
        <w:pStyle w:val="ListParagraph"/>
        <w:numPr>
          <w:ilvl w:val="0"/>
          <w:numId w:val="2"/>
        </w:numPr>
        <w:tabs>
          <w:tab w:val="clear" w:pos="567"/>
        </w:tabs>
        <w:spacing w:line="240" w:lineRule="auto"/>
        <w:ind w:left="567" w:hanging="567"/>
        <w:rPr>
          <w:szCs w:val="22"/>
          <w:lang w:val="lv-LV"/>
        </w:rPr>
      </w:pPr>
      <w:r>
        <w:rPr>
          <w:lang w:val="lv-LV"/>
        </w:rPr>
        <w:t>ja Jums ir smagi</w:t>
      </w:r>
      <w:r w:rsidRPr="00874316">
        <w:rPr>
          <w:lang w:val="lv-LV"/>
        </w:rPr>
        <w:t xml:space="preserve"> sirds vadīšanas traucējumi un akūta </w:t>
      </w:r>
      <w:proofErr w:type="spellStart"/>
      <w:r w:rsidRPr="00874316">
        <w:rPr>
          <w:lang w:val="lv-LV"/>
        </w:rPr>
        <w:t>dekompensēta</w:t>
      </w:r>
      <w:proofErr w:type="spellEnd"/>
      <w:r w:rsidRPr="00874316">
        <w:rPr>
          <w:lang w:val="lv-LV"/>
        </w:rPr>
        <w:t xml:space="preserve"> sirds mazspēja</w:t>
      </w:r>
      <w:r w:rsidR="004E3F05" w:rsidRPr="00556BDB">
        <w:rPr>
          <w:szCs w:val="22"/>
          <w:lang w:val="lv-LV"/>
        </w:rPr>
        <w:t>;</w:t>
      </w:r>
    </w:p>
    <w:p w14:paraId="6CE31D8A" w14:textId="77777777" w:rsidR="00E122B3" w:rsidRPr="00556BDB" w:rsidRDefault="004E3F05" w:rsidP="00A062EA">
      <w:pPr>
        <w:pStyle w:val="ListParagraph"/>
        <w:numPr>
          <w:ilvl w:val="0"/>
          <w:numId w:val="2"/>
        </w:numPr>
        <w:tabs>
          <w:tab w:val="clear" w:pos="567"/>
        </w:tabs>
        <w:spacing w:line="240" w:lineRule="auto"/>
        <w:ind w:left="567" w:hanging="567"/>
        <w:rPr>
          <w:szCs w:val="22"/>
          <w:lang w:val="lv-LV"/>
        </w:rPr>
      </w:pPr>
      <w:r w:rsidRPr="00556BDB">
        <w:rPr>
          <w:szCs w:val="22"/>
          <w:lang w:val="lv-LV"/>
        </w:rPr>
        <w:t>grūtniecības un barošanas ar krūti periodā.</w:t>
      </w:r>
      <w:r w:rsidR="00E122B3" w:rsidRPr="00556BDB">
        <w:rPr>
          <w:szCs w:val="22"/>
          <w:lang w:val="lv-LV"/>
        </w:rPr>
        <w:t xml:space="preserve"> </w:t>
      </w:r>
    </w:p>
    <w:p w14:paraId="5FF12C78"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4243E2D1" w14:textId="77777777" w:rsidR="00700B92" w:rsidRPr="00556BDB" w:rsidRDefault="00700B92" w:rsidP="00A062EA">
      <w:pPr>
        <w:numPr>
          <w:ilvl w:val="12"/>
          <w:numId w:val="0"/>
        </w:numPr>
        <w:tabs>
          <w:tab w:val="clear" w:pos="567"/>
        </w:tabs>
        <w:spacing w:line="240" w:lineRule="auto"/>
        <w:rPr>
          <w:szCs w:val="22"/>
          <w:lang w:val="lv-LV"/>
        </w:rPr>
      </w:pPr>
      <w:r w:rsidRPr="00556BDB">
        <w:rPr>
          <w:iCs/>
          <w:szCs w:val="22"/>
          <w:lang w:val="lv-LV"/>
        </w:rPr>
        <w:t>S</w:t>
      </w:r>
      <w:r w:rsidRPr="00556BDB">
        <w:rPr>
          <w:szCs w:val="22"/>
          <w:lang w:val="lv-LV"/>
        </w:rPr>
        <w:t xml:space="preserve">astāvā esošā </w:t>
      </w:r>
      <w:proofErr w:type="spellStart"/>
      <w:r w:rsidRPr="00556BDB">
        <w:rPr>
          <w:szCs w:val="22"/>
          <w:lang w:val="lv-LV"/>
        </w:rPr>
        <w:t>benzilspirta</w:t>
      </w:r>
      <w:proofErr w:type="spellEnd"/>
      <w:r w:rsidRPr="00556BDB">
        <w:rPr>
          <w:szCs w:val="22"/>
          <w:lang w:val="lv-LV"/>
        </w:rPr>
        <w:t xml:space="preserve"> dēļ zāles nedrīks</w:t>
      </w:r>
      <w:r w:rsidR="00EE72A1">
        <w:rPr>
          <w:szCs w:val="22"/>
          <w:lang w:val="lv-LV"/>
        </w:rPr>
        <w:t>t nozīmēt</w:t>
      </w:r>
      <w:r w:rsidRPr="00556BDB">
        <w:rPr>
          <w:szCs w:val="22"/>
          <w:lang w:val="lv-LV"/>
        </w:rPr>
        <w:t xml:space="preserve"> jaundzimuš</w:t>
      </w:r>
      <w:r w:rsidR="00AC5569">
        <w:rPr>
          <w:szCs w:val="22"/>
          <w:lang w:val="lv-LV"/>
        </w:rPr>
        <w:t>aj</w:t>
      </w:r>
      <w:r w:rsidRPr="00556BDB">
        <w:rPr>
          <w:szCs w:val="22"/>
          <w:lang w:val="lv-LV"/>
        </w:rPr>
        <w:t xml:space="preserve">iem, īpaši </w:t>
      </w:r>
      <w:r w:rsidR="00EE72A1" w:rsidRPr="00FC38E9">
        <w:rPr>
          <w:lang w:val="lv-LV"/>
        </w:rPr>
        <w:t>priekšlaicīgi</w:t>
      </w:r>
      <w:r w:rsidRPr="00556BDB">
        <w:rPr>
          <w:szCs w:val="22"/>
          <w:lang w:val="lv-LV"/>
        </w:rPr>
        <w:t xml:space="preserve"> </w:t>
      </w:r>
      <w:r w:rsidR="001B3AB2">
        <w:rPr>
          <w:szCs w:val="22"/>
          <w:lang w:val="lv-LV"/>
        </w:rPr>
        <w:t xml:space="preserve">dzimušiem </w:t>
      </w:r>
      <w:r w:rsidRPr="00556BDB">
        <w:rPr>
          <w:szCs w:val="22"/>
          <w:lang w:val="lv-LV"/>
        </w:rPr>
        <w:t>bērniem.</w:t>
      </w:r>
    </w:p>
    <w:p w14:paraId="416142FE" w14:textId="77777777" w:rsidR="004C5DC2" w:rsidRDefault="004C5DC2" w:rsidP="008D50E3">
      <w:pPr>
        <w:autoSpaceDE w:val="0"/>
        <w:autoSpaceDN w:val="0"/>
        <w:adjustRightInd w:val="0"/>
        <w:rPr>
          <w:lang w:val="lv-LV"/>
        </w:rPr>
      </w:pPr>
      <w:r w:rsidRPr="00FC38E9">
        <w:rPr>
          <w:lang w:val="lv-LV"/>
        </w:rPr>
        <w:t xml:space="preserve">Jāņem vērā, ka </w:t>
      </w:r>
      <w:proofErr w:type="spellStart"/>
      <w:r w:rsidRPr="00FC38E9">
        <w:rPr>
          <w:lang w:val="lv-LV"/>
        </w:rPr>
        <w:t>benzilspirta</w:t>
      </w:r>
      <w:proofErr w:type="spellEnd"/>
      <w:r w:rsidRPr="00FC38E9">
        <w:rPr>
          <w:lang w:val="lv-LV"/>
        </w:rPr>
        <w:t xml:space="preserve"> koncentrācijas, kas pārsniedz 90</w:t>
      </w:r>
      <w:r>
        <w:rPr>
          <w:lang w:val="lv-LV"/>
        </w:rPr>
        <w:t> </w:t>
      </w:r>
      <w:r w:rsidRPr="00FC38E9">
        <w:rPr>
          <w:lang w:val="lv-LV"/>
        </w:rPr>
        <w:t>mg</w:t>
      </w:r>
      <w:r>
        <w:rPr>
          <w:lang w:val="lv-LV"/>
        </w:rPr>
        <w:t xml:space="preserve"> dienā</w:t>
      </w:r>
      <w:r w:rsidRPr="00FC38E9">
        <w:rPr>
          <w:lang w:val="lv-LV"/>
        </w:rPr>
        <w:t xml:space="preserve">, var izraisīt toksiskas un </w:t>
      </w:r>
      <w:proofErr w:type="spellStart"/>
      <w:r w:rsidRPr="00FC38E9">
        <w:rPr>
          <w:lang w:val="lv-LV"/>
        </w:rPr>
        <w:t>anafilaktiskas</w:t>
      </w:r>
      <w:proofErr w:type="spellEnd"/>
      <w:r w:rsidRPr="00FC38E9">
        <w:rPr>
          <w:lang w:val="lv-LV"/>
        </w:rPr>
        <w:t xml:space="preserve"> reakcijas bērniem līdz 3 gadu vecumam</w:t>
      </w:r>
      <w:r>
        <w:rPr>
          <w:lang w:val="lv-LV"/>
        </w:rPr>
        <w:t>.</w:t>
      </w:r>
    </w:p>
    <w:p w14:paraId="4B53E6A9" w14:textId="77777777" w:rsidR="00700B92" w:rsidRPr="00556BDB" w:rsidRDefault="00700B92" w:rsidP="00A062EA">
      <w:pPr>
        <w:numPr>
          <w:ilvl w:val="12"/>
          <w:numId w:val="0"/>
        </w:numPr>
        <w:tabs>
          <w:tab w:val="clear" w:pos="567"/>
        </w:tabs>
        <w:spacing w:line="240" w:lineRule="auto"/>
        <w:rPr>
          <w:szCs w:val="22"/>
          <w:lang w:val="lv-LV"/>
        </w:rPr>
      </w:pPr>
    </w:p>
    <w:p w14:paraId="6CC4B9CF" w14:textId="77777777" w:rsidR="00E122B3" w:rsidRPr="00556BDB" w:rsidRDefault="00E122B3" w:rsidP="00A062EA">
      <w:pPr>
        <w:numPr>
          <w:ilvl w:val="12"/>
          <w:numId w:val="0"/>
        </w:numPr>
        <w:tabs>
          <w:tab w:val="clear" w:pos="567"/>
        </w:tabs>
        <w:spacing w:line="240" w:lineRule="auto"/>
        <w:ind w:left="567" w:hanging="567"/>
        <w:rPr>
          <w:b/>
          <w:szCs w:val="22"/>
          <w:lang w:val="lv-LV"/>
        </w:rPr>
      </w:pPr>
      <w:r w:rsidRPr="00556BDB">
        <w:rPr>
          <w:b/>
          <w:szCs w:val="22"/>
          <w:lang w:val="lv-LV"/>
        </w:rPr>
        <w:t>Brīdinājumi un piesardzība lietošanā</w:t>
      </w:r>
    </w:p>
    <w:p w14:paraId="521920ED" w14:textId="77777777" w:rsidR="00700B92" w:rsidRPr="00556BDB" w:rsidRDefault="00700B92" w:rsidP="00A062EA">
      <w:pPr>
        <w:autoSpaceDE w:val="0"/>
        <w:rPr>
          <w:rFonts w:eastAsia="TimesNewRomanPSMT"/>
          <w:color w:val="000000"/>
          <w:szCs w:val="22"/>
          <w:lang w:val="lv-LV"/>
        </w:rPr>
      </w:pPr>
      <w:r w:rsidRPr="00556BDB">
        <w:rPr>
          <w:rFonts w:eastAsia="TimesNewRomanPSMT"/>
          <w:color w:val="000000"/>
          <w:szCs w:val="22"/>
          <w:lang w:val="lv-LV"/>
        </w:rPr>
        <w:t>Zāles drīkst ievadīt tikai intramuskulāri (</w:t>
      </w:r>
      <w:proofErr w:type="spellStart"/>
      <w:r w:rsidRPr="00556BDB">
        <w:rPr>
          <w:rFonts w:eastAsia="TimesNewRomanPSMT"/>
          <w:color w:val="000000"/>
          <w:szCs w:val="22"/>
          <w:lang w:val="lv-LV"/>
        </w:rPr>
        <w:t>i</w:t>
      </w:r>
      <w:r w:rsidR="002B3355">
        <w:rPr>
          <w:rFonts w:eastAsia="TimesNewRomanPSMT"/>
          <w:color w:val="000000"/>
          <w:szCs w:val="22"/>
          <w:lang w:val="lv-LV"/>
        </w:rPr>
        <w:t>.m</w:t>
      </w:r>
      <w:proofErr w:type="spellEnd"/>
      <w:r w:rsidR="002B3355">
        <w:rPr>
          <w:rFonts w:eastAsia="TimesNewRomanPSMT"/>
          <w:color w:val="000000"/>
          <w:szCs w:val="22"/>
          <w:lang w:val="lv-LV"/>
        </w:rPr>
        <w:t>.), bet ne vēnā (</w:t>
      </w:r>
      <w:proofErr w:type="spellStart"/>
      <w:r w:rsidR="002B3355">
        <w:rPr>
          <w:rFonts w:eastAsia="TimesNewRomanPSMT"/>
          <w:color w:val="000000"/>
          <w:szCs w:val="22"/>
          <w:lang w:val="lv-LV"/>
        </w:rPr>
        <w:t>i.v</w:t>
      </w:r>
      <w:proofErr w:type="spellEnd"/>
      <w:r w:rsidR="002B3355">
        <w:rPr>
          <w:rFonts w:eastAsia="TimesNewRomanPSMT"/>
          <w:color w:val="000000"/>
          <w:szCs w:val="22"/>
          <w:lang w:val="lv-LV"/>
        </w:rPr>
        <w:t>.). Nejaušas</w:t>
      </w:r>
      <w:r w:rsidRPr="00556BDB">
        <w:rPr>
          <w:rFonts w:eastAsia="TimesNewRomanPSMT"/>
          <w:color w:val="000000"/>
          <w:szCs w:val="22"/>
          <w:lang w:val="lv-LV"/>
        </w:rPr>
        <w:t xml:space="preserve"> intravenozas injekcijas gadījumā Jūs uzraudzīs </w:t>
      </w:r>
      <w:r w:rsidR="00636EE4">
        <w:rPr>
          <w:rFonts w:eastAsia="TimesNewRomanPSMT"/>
          <w:color w:val="000000"/>
          <w:szCs w:val="22"/>
          <w:lang w:val="lv-LV"/>
        </w:rPr>
        <w:t xml:space="preserve">ārsts </w:t>
      </w:r>
      <w:r w:rsidRPr="00556BDB">
        <w:rPr>
          <w:rFonts w:eastAsia="TimesNewRomanPSMT"/>
          <w:color w:val="000000"/>
          <w:szCs w:val="22"/>
          <w:lang w:val="lv-LV"/>
        </w:rPr>
        <w:t>vai arī, atkarībā no simpto</w:t>
      </w:r>
      <w:r w:rsidR="00CC1DF8">
        <w:rPr>
          <w:rFonts w:eastAsia="TimesNewRomanPSMT"/>
          <w:color w:val="000000"/>
          <w:szCs w:val="22"/>
          <w:lang w:val="lv-LV"/>
        </w:rPr>
        <w:t xml:space="preserve">mu smaguma pakāpes, var būt </w:t>
      </w:r>
      <w:r w:rsidRPr="00556BDB">
        <w:rPr>
          <w:rFonts w:eastAsia="TimesNewRomanPSMT"/>
          <w:color w:val="000000"/>
          <w:szCs w:val="22"/>
          <w:lang w:val="lv-LV"/>
        </w:rPr>
        <w:t>nepieciešams uzturēties slimnīcā.</w:t>
      </w:r>
    </w:p>
    <w:p w14:paraId="2910FF23"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0C18AFCB" w14:textId="77777777" w:rsidR="00E122B3" w:rsidRPr="00556BDB" w:rsidRDefault="00556BDB" w:rsidP="00A062EA">
      <w:pPr>
        <w:numPr>
          <w:ilvl w:val="12"/>
          <w:numId w:val="0"/>
        </w:numPr>
        <w:tabs>
          <w:tab w:val="clear" w:pos="567"/>
        </w:tabs>
        <w:spacing w:line="240" w:lineRule="auto"/>
        <w:ind w:left="567" w:hanging="567"/>
        <w:rPr>
          <w:szCs w:val="22"/>
          <w:lang w:val="lv-LV"/>
        </w:rPr>
      </w:pPr>
      <w:r w:rsidRPr="00556BDB">
        <w:rPr>
          <w:b/>
          <w:szCs w:val="22"/>
          <w:lang w:val="lv-LV"/>
        </w:rPr>
        <w:t xml:space="preserve">Citas zāles un </w:t>
      </w:r>
      <w:proofErr w:type="spellStart"/>
      <w:r w:rsidRPr="00556BDB">
        <w:rPr>
          <w:b/>
          <w:szCs w:val="22"/>
          <w:lang w:val="lv-LV"/>
        </w:rPr>
        <w:t>Neiratax</w:t>
      </w:r>
      <w:proofErr w:type="spellEnd"/>
    </w:p>
    <w:p w14:paraId="2A1CBC90" w14:textId="77777777" w:rsidR="00E122B3" w:rsidRPr="00556BDB" w:rsidRDefault="00556BDB" w:rsidP="00A062EA">
      <w:pPr>
        <w:numPr>
          <w:ilvl w:val="12"/>
          <w:numId w:val="0"/>
        </w:numPr>
        <w:tabs>
          <w:tab w:val="clear" w:pos="567"/>
        </w:tabs>
        <w:spacing w:line="240" w:lineRule="auto"/>
        <w:rPr>
          <w:szCs w:val="22"/>
          <w:lang w:val="lv-LV"/>
        </w:rPr>
      </w:pPr>
      <w:r w:rsidRPr="00556BDB">
        <w:rPr>
          <w:szCs w:val="22"/>
          <w:lang w:val="lv-LV"/>
        </w:rPr>
        <w:t xml:space="preserve">Pastāstiet </w:t>
      </w:r>
      <w:r w:rsidR="00E122B3" w:rsidRPr="00556BDB">
        <w:rPr>
          <w:szCs w:val="22"/>
          <w:lang w:val="lv-LV"/>
        </w:rPr>
        <w:t>ārstam par visām zālēm, kuras lietojat, pēdējā laikā esat liet</w:t>
      </w:r>
      <w:r w:rsidR="003123D0">
        <w:rPr>
          <w:szCs w:val="22"/>
          <w:lang w:val="lv-LV"/>
        </w:rPr>
        <w:t>ojis</w:t>
      </w:r>
      <w:r w:rsidRPr="00556BDB">
        <w:rPr>
          <w:szCs w:val="22"/>
          <w:lang w:val="lv-LV"/>
        </w:rPr>
        <w:t xml:space="preserve"> vai varētu lietot.</w:t>
      </w:r>
    </w:p>
    <w:p w14:paraId="2B7AB489" w14:textId="77777777" w:rsidR="00556BDB" w:rsidRPr="00556BDB" w:rsidRDefault="00556BDB" w:rsidP="00A062EA">
      <w:pPr>
        <w:autoSpaceDE w:val="0"/>
        <w:rPr>
          <w:rFonts w:eastAsia="TimesNewRomanPSMT"/>
          <w:color w:val="000000"/>
          <w:szCs w:val="22"/>
          <w:lang w:val="lv-LV"/>
        </w:rPr>
      </w:pPr>
    </w:p>
    <w:p w14:paraId="1D6CA58B" w14:textId="77777777" w:rsidR="00556BDB" w:rsidRPr="00556BDB" w:rsidRDefault="00556BDB" w:rsidP="00A062EA">
      <w:pPr>
        <w:autoSpaceDE w:val="0"/>
        <w:rPr>
          <w:rFonts w:eastAsia="TimesNewRomanPSMT"/>
          <w:color w:val="000000"/>
          <w:szCs w:val="22"/>
          <w:lang w:val="lv-LV"/>
        </w:rPr>
      </w:pPr>
      <w:r w:rsidRPr="00556BDB">
        <w:rPr>
          <w:rFonts w:eastAsia="TimesNewRomanPSMT"/>
          <w:color w:val="000000"/>
          <w:szCs w:val="22"/>
          <w:lang w:val="lv-LV"/>
        </w:rPr>
        <w:t>Īpaši svarīgi ir zin</w:t>
      </w:r>
      <w:r w:rsidRPr="00556BDB">
        <w:rPr>
          <w:rFonts w:eastAsia="TimesNewRoman"/>
          <w:color w:val="000000"/>
          <w:szCs w:val="22"/>
          <w:lang w:val="lv-LV"/>
        </w:rPr>
        <w:t>ā</w:t>
      </w:r>
      <w:r w:rsidRPr="00556BDB">
        <w:rPr>
          <w:rFonts w:eastAsia="TimesNewRomanPSMT"/>
          <w:color w:val="000000"/>
          <w:szCs w:val="22"/>
          <w:lang w:val="lv-LV"/>
        </w:rPr>
        <w:t>t par sekojošām zālēm:</w:t>
      </w:r>
    </w:p>
    <w:p w14:paraId="6C177AB1" w14:textId="77777777" w:rsidR="00556BDB" w:rsidRPr="00556BDB" w:rsidRDefault="00556BDB" w:rsidP="00A062EA">
      <w:pPr>
        <w:numPr>
          <w:ilvl w:val="0"/>
          <w:numId w:val="5"/>
        </w:numPr>
        <w:tabs>
          <w:tab w:val="clear" w:pos="567"/>
        </w:tabs>
        <w:suppressAutoHyphens/>
        <w:autoSpaceDE w:val="0"/>
        <w:spacing w:line="240" w:lineRule="auto"/>
        <w:ind w:left="567" w:hanging="567"/>
        <w:rPr>
          <w:rFonts w:eastAsia="TimesNewRomanPSMT"/>
          <w:color w:val="000000"/>
          <w:szCs w:val="22"/>
          <w:lang w:val="lv-LV"/>
        </w:rPr>
      </w:pPr>
      <w:r w:rsidRPr="00556BDB">
        <w:rPr>
          <w:rFonts w:eastAsia="TimesNewRomanPSMT"/>
          <w:color w:val="000000"/>
          <w:szCs w:val="22"/>
          <w:lang w:val="lv-LV"/>
        </w:rPr>
        <w:lastRenderedPageBreak/>
        <w:t xml:space="preserve">šķīdumi, kas satur </w:t>
      </w:r>
      <w:proofErr w:type="spellStart"/>
      <w:r w:rsidRPr="00556BDB">
        <w:rPr>
          <w:rFonts w:eastAsia="TimesNewRomanPSMT"/>
          <w:color w:val="000000"/>
          <w:szCs w:val="22"/>
          <w:lang w:val="lv-LV"/>
        </w:rPr>
        <w:t>sulfītgrupu</w:t>
      </w:r>
      <w:proofErr w:type="spellEnd"/>
      <w:r w:rsidRPr="00556BDB">
        <w:rPr>
          <w:rFonts w:eastAsia="TimesNewRomanPSMT"/>
          <w:color w:val="000000"/>
          <w:szCs w:val="22"/>
          <w:lang w:val="lv-LV"/>
        </w:rPr>
        <w:t xml:space="preserve"> (B</w:t>
      </w:r>
      <w:r w:rsidRPr="00556BDB">
        <w:rPr>
          <w:rFonts w:eastAsia="TimesNewRomanPSMT"/>
          <w:color w:val="000000"/>
          <w:szCs w:val="22"/>
          <w:vertAlign w:val="subscript"/>
          <w:lang w:val="lv-LV"/>
        </w:rPr>
        <w:t>1</w:t>
      </w:r>
      <w:r w:rsidRPr="00556BDB">
        <w:rPr>
          <w:rFonts w:eastAsia="TimesNewRomanPSMT"/>
          <w:color w:val="000000"/>
          <w:szCs w:val="22"/>
          <w:lang w:val="lv-LV"/>
        </w:rPr>
        <w:t xml:space="preserve"> vitamīns to ietekmē tiek pilnīgi noārdīts. Citi vitamīni B</w:t>
      </w:r>
      <w:r w:rsidRPr="00556BDB">
        <w:rPr>
          <w:rFonts w:eastAsia="TimesNewRomanPSMT"/>
          <w:color w:val="000000"/>
          <w:szCs w:val="22"/>
          <w:vertAlign w:val="subscript"/>
          <w:lang w:val="lv-LV"/>
        </w:rPr>
        <w:t>1</w:t>
      </w:r>
      <w:r w:rsidRPr="00556BDB">
        <w:rPr>
          <w:rFonts w:eastAsia="TimesNewRomanPSMT"/>
          <w:color w:val="000000"/>
          <w:szCs w:val="22"/>
          <w:lang w:val="lv-LV"/>
        </w:rPr>
        <w:t xml:space="preserve"> vitamīna noārdīšanās produktu klātbūtnē var kļūt neaktīvi);</w:t>
      </w:r>
    </w:p>
    <w:p w14:paraId="5BCAD727" w14:textId="399F68E1" w:rsidR="00556BDB" w:rsidRPr="00556BDB" w:rsidRDefault="00556BDB" w:rsidP="00A062EA">
      <w:pPr>
        <w:numPr>
          <w:ilvl w:val="0"/>
          <w:numId w:val="5"/>
        </w:numPr>
        <w:tabs>
          <w:tab w:val="clear" w:pos="567"/>
        </w:tabs>
        <w:suppressAutoHyphens/>
        <w:autoSpaceDE w:val="0"/>
        <w:spacing w:line="240" w:lineRule="auto"/>
        <w:ind w:left="567" w:hanging="567"/>
        <w:rPr>
          <w:rFonts w:eastAsia="TimesNewRomanPSMT"/>
          <w:color w:val="000000"/>
          <w:szCs w:val="22"/>
          <w:lang w:val="lv-LV"/>
        </w:rPr>
      </w:pPr>
      <w:proofErr w:type="spellStart"/>
      <w:r w:rsidRPr="00556BDB">
        <w:rPr>
          <w:rFonts w:eastAsia="TimesNewRomanPSMT"/>
          <w:color w:val="000000"/>
          <w:szCs w:val="22"/>
          <w:lang w:val="lv-LV"/>
        </w:rPr>
        <w:t>izoniazīds</w:t>
      </w:r>
      <w:proofErr w:type="spellEnd"/>
      <w:r w:rsidRPr="00556BDB">
        <w:rPr>
          <w:rFonts w:eastAsia="TimesNewRomanPSMT"/>
          <w:color w:val="000000"/>
          <w:szCs w:val="22"/>
          <w:lang w:val="lv-LV"/>
        </w:rPr>
        <w:t xml:space="preserve">, </w:t>
      </w:r>
      <w:proofErr w:type="spellStart"/>
      <w:r w:rsidRPr="00556BDB">
        <w:rPr>
          <w:rFonts w:eastAsia="TimesNewRomanPSMT"/>
          <w:color w:val="000000"/>
          <w:szCs w:val="22"/>
          <w:lang w:val="lv-LV"/>
        </w:rPr>
        <w:t>cikloserīns</w:t>
      </w:r>
      <w:proofErr w:type="spellEnd"/>
      <w:r w:rsidRPr="00556BDB">
        <w:rPr>
          <w:rFonts w:eastAsia="TimesNewRomanPSMT"/>
          <w:color w:val="000000"/>
          <w:szCs w:val="22"/>
          <w:lang w:val="lv-LV"/>
        </w:rPr>
        <w:t xml:space="preserve"> – </w:t>
      </w:r>
      <w:r w:rsidR="005F12A9">
        <w:rPr>
          <w:rFonts w:eastAsia="TimesNewRomanPSMT"/>
          <w:color w:val="000000"/>
          <w:szCs w:val="22"/>
          <w:lang w:val="lv-LV"/>
        </w:rPr>
        <w:t>zāles</w:t>
      </w:r>
      <w:r w:rsidRPr="00556BDB">
        <w:rPr>
          <w:rFonts w:eastAsia="TimesNewRoman"/>
          <w:color w:val="000000"/>
          <w:szCs w:val="22"/>
          <w:lang w:val="lv-LV"/>
        </w:rPr>
        <w:t xml:space="preserve">, </w:t>
      </w:r>
      <w:r w:rsidRPr="00556BDB">
        <w:rPr>
          <w:rFonts w:eastAsia="TimesNewRomanPSMT"/>
          <w:color w:val="000000"/>
          <w:szCs w:val="22"/>
          <w:lang w:val="lv-LV"/>
        </w:rPr>
        <w:t>kas tiek lietot</w:t>
      </w:r>
      <w:r w:rsidR="005F12A9">
        <w:rPr>
          <w:rFonts w:eastAsia="TimesNewRomanPSMT"/>
          <w:color w:val="000000"/>
          <w:szCs w:val="22"/>
          <w:lang w:val="lv-LV"/>
        </w:rPr>
        <w:t>as</w:t>
      </w:r>
      <w:r w:rsidRPr="00556BDB">
        <w:rPr>
          <w:rFonts w:eastAsia="TimesNewRomanPSMT"/>
          <w:color w:val="000000"/>
          <w:szCs w:val="22"/>
          <w:lang w:val="lv-LV"/>
        </w:rPr>
        <w:t xml:space="preserve"> tuberkulozes ārstēšanā;</w:t>
      </w:r>
    </w:p>
    <w:p w14:paraId="0FACE0F1" w14:textId="77777777" w:rsidR="00556BDB" w:rsidRPr="00556BDB" w:rsidRDefault="00556BDB" w:rsidP="00A062EA">
      <w:pPr>
        <w:numPr>
          <w:ilvl w:val="0"/>
          <w:numId w:val="5"/>
        </w:numPr>
        <w:tabs>
          <w:tab w:val="clear" w:pos="567"/>
        </w:tabs>
        <w:suppressAutoHyphens/>
        <w:autoSpaceDE w:val="0"/>
        <w:spacing w:line="240" w:lineRule="auto"/>
        <w:ind w:left="567" w:hanging="567"/>
        <w:rPr>
          <w:rFonts w:eastAsia="TimesNewRomanPSMT"/>
          <w:color w:val="000000"/>
          <w:szCs w:val="22"/>
          <w:lang w:val="lv-LV"/>
        </w:rPr>
      </w:pPr>
      <w:r w:rsidRPr="00556BDB">
        <w:rPr>
          <w:rFonts w:eastAsia="TimesNewRomanPSMT"/>
          <w:color w:val="000000"/>
          <w:szCs w:val="22"/>
          <w:lang w:val="lv-LV"/>
        </w:rPr>
        <w:t>D-</w:t>
      </w:r>
      <w:proofErr w:type="spellStart"/>
      <w:r w:rsidRPr="00556BDB">
        <w:rPr>
          <w:rFonts w:eastAsia="TimesNewRomanPSMT"/>
          <w:color w:val="000000"/>
          <w:szCs w:val="22"/>
          <w:lang w:val="lv-LV"/>
        </w:rPr>
        <w:t>penicilamīns</w:t>
      </w:r>
      <w:proofErr w:type="spellEnd"/>
      <w:r w:rsidRPr="00556BDB">
        <w:rPr>
          <w:rFonts w:eastAsia="TimesNewRomanPSMT"/>
          <w:color w:val="000000"/>
          <w:szCs w:val="22"/>
          <w:lang w:val="lv-LV"/>
        </w:rPr>
        <w:t xml:space="preserve"> – lieto </w:t>
      </w:r>
      <w:proofErr w:type="spellStart"/>
      <w:r w:rsidRPr="00556BDB">
        <w:rPr>
          <w:rFonts w:eastAsia="TimesNewRomanPSMT"/>
          <w:color w:val="000000"/>
          <w:szCs w:val="22"/>
          <w:lang w:val="lv-LV"/>
        </w:rPr>
        <w:t>reimatoīdā</w:t>
      </w:r>
      <w:proofErr w:type="spellEnd"/>
      <w:r w:rsidRPr="00556BDB">
        <w:rPr>
          <w:rFonts w:eastAsia="TimesNewRomanPSMT"/>
          <w:color w:val="000000"/>
          <w:szCs w:val="22"/>
          <w:lang w:val="lv-LV"/>
        </w:rPr>
        <w:t xml:space="preserve"> artrīta ārstēšanā;</w:t>
      </w:r>
    </w:p>
    <w:p w14:paraId="763E34FF" w14:textId="77777777" w:rsidR="00556BDB" w:rsidRPr="00556BDB" w:rsidRDefault="00556BDB" w:rsidP="00A062EA">
      <w:pPr>
        <w:numPr>
          <w:ilvl w:val="0"/>
          <w:numId w:val="5"/>
        </w:numPr>
        <w:tabs>
          <w:tab w:val="clear" w:pos="567"/>
        </w:tabs>
        <w:suppressAutoHyphens/>
        <w:autoSpaceDE w:val="0"/>
        <w:spacing w:line="240" w:lineRule="auto"/>
        <w:ind w:left="567" w:hanging="567"/>
        <w:rPr>
          <w:rFonts w:eastAsia="TimesNewRomanPSMT"/>
          <w:color w:val="000000"/>
          <w:szCs w:val="22"/>
          <w:lang w:val="lv-LV"/>
        </w:rPr>
      </w:pPr>
      <w:proofErr w:type="spellStart"/>
      <w:r w:rsidRPr="00556BDB">
        <w:rPr>
          <w:rFonts w:eastAsia="TimesNewRomanPSMT"/>
          <w:color w:val="000000"/>
          <w:szCs w:val="22"/>
          <w:lang w:val="lv-LV"/>
        </w:rPr>
        <w:t>epinefrīns</w:t>
      </w:r>
      <w:proofErr w:type="spellEnd"/>
      <w:r w:rsidRPr="00556BDB">
        <w:rPr>
          <w:rFonts w:eastAsia="TimesNewRomanPSMT"/>
          <w:color w:val="000000"/>
          <w:szCs w:val="22"/>
          <w:lang w:val="lv-LV"/>
        </w:rPr>
        <w:t xml:space="preserve"> – izmanto smagu alerģisku reakciju ārstēšanā (</w:t>
      </w:r>
      <w:proofErr w:type="spellStart"/>
      <w:r w:rsidRPr="00556BDB">
        <w:rPr>
          <w:rFonts w:eastAsia="TimesNewRomanPSMT"/>
          <w:color w:val="000000"/>
          <w:szCs w:val="22"/>
          <w:lang w:val="lv-LV"/>
        </w:rPr>
        <w:t>anafilakse</w:t>
      </w:r>
      <w:proofErr w:type="spellEnd"/>
      <w:r w:rsidRPr="00556BDB">
        <w:rPr>
          <w:rFonts w:eastAsia="TimesNewRomanPSMT"/>
          <w:color w:val="000000"/>
          <w:szCs w:val="22"/>
          <w:lang w:val="lv-LV"/>
        </w:rPr>
        <w:t>);</w:t>
      </w:r>
    </w:p>
    <w:p w14:paraId="4B84045C" w14:textId="77777777" w:rsidR="00556BDB" w:rsidRPr="00556BDB" w:rsidRDefault="00556BDB" w:rsidP="00A062EA">
      <w:pPr>
        <w:numPr>
          <w:ilvl w:val="0"/>
          <w:numId w:val="5"/>
        </w:numPr>
        <w:tabs>
          <w:tab w:val="clear" w:pos="567"/>
        </w:tabs>
        <w:suppressAutoHyphens/>
        <w:autoSpaceDE w:val="0"/>
        <w:spacing w:line="240" w:lineRule="auto"/>
        <w:ind w:left="567" w:hanging="567"/>
        <w:rPr>
          <w:rFonts w:eastAsia="TimesNewRomanPSMT"/>
          <w:color w:val="000000"/>
          <w:szCs w:val="22"/>
          <w:lang w:val="lv-LV"/>
        </w:rPr>
      </w:pPr>
      <w:proofErr w:type="spellStart"/>
      <w:r w:rsidRPr="00556BDB">
        <w:rPr>
          <w:rFonts w:eastAsia="TimesNewRomanPSMT"/>
          <w:color w:val="000000"/>
          <w:szCs w:val="22"/>
          <w:lang w:val="lv-LV"/>
        </w:rPr>
        <w:t>norepinefrīns</w:t>
      </w:r>
      <w:proofErr w:type="spellEnd"/>
      <w:r w:rsidRPr="00556BDB">
        <w:rPr>
          <w:rFonts w:eastAsia="TimesNewRomanPSMT"/>
          <w:color w:val="000000"/>
          <w:szCs w:val="22"/>
          <w:lang w:val="lv-LV"/>
        </w:rPr>
        <w:t xml:space="preserve"> – izmanto depresijas un pazemin</w:t>
      </w:r>
      <w:r w:rsidRPr="00556BDB">
        <w:rPr>
          <w:rFonts w:eastAsia="TimesNewRoman"/>
          <w:color w:val="000000"/>
          <w:szCs w:val="22"/>
          <w:lang w:val="lv-LV"/>
        </w:rPr>
        <w:t>ā</w:t>
      </w:r>
      <w:r w:rsidRPr="00556BDB">
        <w:rPr>
          <w:rFonts w:eastAsia="TimesNewRomanPSMT"/>
          <w:color w:val="000000"/>
          <w:szCs w:val="22"/>
          <w:lang w:val="lv-LV"/>
        </w:rPr>
        <w:t>ta asinsspiediena ārstēšanā;</w:t>
      </w:r>
    </w:p>
    <w:p w14:paraId="22A822A7" w14:textId="77777777" w:rsidR="00556BDB" w:rsidRPr="00556BDB" w:rsidRDefault="00556BDB" w:rsidP="00A062EA">
      <w:pPr>
        <w:numPr>
          <w:ilvl w:val="0"/>
          <w:numId w:val="5"/>
        </w:numPr>
        <w:tabs>
          <w:tab w:val="clear" w:pos="567"/>
        </w:tabs>
        <w:suppressAutoHyphens/>
        <w:autoSpaceDE w:val="0"/>
        <w:spacing w:line="240" w:lineRule="auto"/>
        <w:ind w:left="567" w:hanging="567"/>
        <w:rPr>
          <w:rFonts w:eastAsia="TimesNewRomanPSMT"/>
          <w:color w:val="000000"/>
          <w:szCs w:val="22"/>
          <w:lang w:val="lv-LV"/>
        </w:rPr>
      </w:pPr>
      <w:proofErr w:type="spellStart"/>
      <w:r w:rsidRPr="00556BDB">
        <w:rPr>
          <w:rFonts w:eastAsia="TimesNewRomanPSMT"/>
          <w:color w:val="000000"/>
          <w:szCs w:val="22"/>
          <w:lang w:val="lv-LV"/>
        </w:rPr>
        <w:t>sulfanilamīdi</w:t>
      </w:r>
      <w:proofErr w:type="spellEnd"/>
      <w:r w:rsidRPr="00556BDB">
        <w:rPr>
          <w:rFonts w:eastAsia="TimesNewRomanPSMT"/>
          <w:color w:val="000000"/>
          <w:szCs w:val="22"/>
          <w:lang w:val="lv-LV"/>
        </w:rPr>
        <w:t xml:space="preserve"> – antibiotikas, kuras lieto arī </w:t>
      </w:r>
      <w:proofErr w:type="spellStart"/>
      <w:r w:rsidRPr="00556BDB">
        <w:rPr>
          <w:rFonts w:eastAsia="TimesNewRomanPSMT"/>
          <w:color w:val="000000"/>
          <w:szCs w:val="22"/>
          <w:lang w:val="lv-LV"/>
        </w:rPr>
        <w:t>iekaisīgu</w:t>
      </w:r>
      <w:proofErr w:type="spellEnd"/>
      <w:r w:rsidRPr="00556BDB">
        <w:rPr>
          <w:rFonts w:eastAsia="TimesNewRomanPSMT"/>
          <w:color w:val="000000"/>
          <w:szCs w:val="22"/>
          <w:lang w:val="lv-LV"/>
        </w:rPr>
        <w:t xml:space="preserve"> zarnu slimību ārstēšanā;</w:t>
      </w:r>
    </w:p>
    <w:p w14:paraId="2746235B" w14:textId="77777777" w:rsidR="00556BDB" w:rsidRPr="00556BDB" w:rsidRDefault="00556BDB" w:rsidP="00A062EA">
      <w:pPr>
        <w:numPr>
          <w:ilvl w:val="0"/>
          <w:numId w:val="5"/>
        </w:numPr>
        <w:tabs>
          <w:tab w:val="clear" w:pos="567"/>
        </w:tabs>
        <w:suppressAutoHyphens/>
        <w:autoSpaceDE w:val="0"/>
        <w:spacing w:line="240" w:lineRule="auto"/>
        <w:ind w:left="567" w:hanging="567"/>
        <w:rPr>
          <w:rFonts w:eastAsia="TimesNewRomanPSMT"/>
          <w:color w:val="000000"/>
          <w:szCs w:val="22"/>
          <w:lang w:val="lv-LV"/>
        </w:rPr>
      </w:pPr>
      <w:proofErr w:type="spellStart"/>
      <w:r w:rsidRPr="00556BDB">
        <w:rPr>
          <w:rFonts w:eastAsia="TimesNewRomanPSMT"/>
          <w:color w:val="000000"/>
          <w:szCs w:val="22"/>
          <w:lang w:val="lv-LV"/>
        </w:rPr>
        <w:t>levodopa</w:t>
      </w:r>
      <w:proofErr w:type="spellEnd"/>
      <w:r w:rsidRPr="00556BDB">
        <w:rPr>
          <w:rFonts w:eastAsia="TimesNewRomanPSMT"/>
          <w:color w:val="000000"/>
          <w:szCs w:val="22"/>
          <w:lang w:val="lv-LV"/>
        </w:rPr>
        <w:t xml:space="preserve"> </w:t>
      </w:r>
      <w:r w:rsidRPr="00556BDB">
        <w:rPr>
          <w:rFonts w:eastAsia="TimesNewRomanPS-ItalicMT"/>
          <w:i/>
          <w:iCs/>
          <w:color w:val="000000"/>
          <w:szCs w:val="22"/>
          <w:lang w:val="lv-LV"/>
        </w:rPr>
        <w:t xml:space="preserve">– </w:t>
      </w:r>
      <w:r w:rsidRPr="00556BDB">
        <w:rPr>
          <w:rFonts w:eastAsia="TimesNewRomanPSMT"/>
          <w:color w:val="000000"/>
          <w:szCs w:val="22"/>
          <w:lang w:val="lv-LV"/>
        </w:rPr>
        <w:t>lieto</w:t>
      </w:r>
      <w:r w:rsidR="00636EE4">
        <w:rPr>
          <w:rFonts w:eastAsia="TimesNewRomanPSMT"/>
          <w:color w:val="000000"/>
          <w:szCs w:val="22"/>
          <w:lang w:val="lv-LV"/>
        </w:rPr>
        <w:t xml:space="preserve"> </w:t>
      </w:r>
      <w:proofErr w:type="spellStart"/>
      <w:r w:rsidR="00636EE4">
        <w:rPr>
          <w:rFonts w:eastAsia="TimesNewRomanPSMT"/>
          <w:color w:val="000000"/>
          <w:szCs w:val="22"/>
          <w:lang w:val="lv-LV"/>
        </w:rPr>
        <w:t>parkinsonisma</w:t>
      </w:r>
      <w:proofErr w:type="spellEnd"/>
      <w:r w:rsidR="00636EE4">
        <w:rPr>
          <w:rFonts w:eastAsia="TimesNewRomanPSMT"/>
          <w:color w:val="000000"/>
          <w:szCs w:val="22"/>
          <w:lang w:val="lv-LV"/>
        </w:rPr>
        <w:t xml:space="preserve"> ārstēšanā.</w:t>
      </w:r>
    </w:p>
    <w:p w14:paraId="48C726DC" w14:textId="77777777" w:rsidR="00556BDB" w:rsidRPr="00556BDB" w:rsidRDefault="00556BDB" w:rsidP="00A062EA">
      <w:pPr>
        <w:numPr>
          <w:ilvl w:val="12"/>
          <w:numId w:val="0"/>
        </w:numPr>
        <w:tabs>
          <w:tab w:val="clear" w:pos="567"/>
        </w:tabs>
        <w:spacing w:line="240" w:lineRule="auto"/>
        <w:rPr>
          <w:szCs w:val="22"/>
          <w:lang w:val="lv-LV"/>
        </w:rPr>
      </w:pPr>
    </w:p>
    <w:p w14:paraId="1B2AA6BB" w14:textId="77777777" w:rsidR="00E122B3" w:rsidRPr="00556BDB" w:rsidRDefault="00636EE4" w:rsidP="00A062EA">
      <w:pPr>
        <w:numPr>
          <w:ilvl w:val="12"/>
          <w:numId w:val="0"/>
        </w:numPr>
        <w:tabs>
          <w:tab w:val="clear" w:pos="567"/>
        </w:tabs>
        <w:spacing w:line="240" w:lineRule="auto"/>
        <w:ind w:left="567" w:hanging="567"/>
        <w:rPr>
          <w:b/>
          <w:szCs w:val="22"/>
          <w:lang w:val="lv-LV"/>
        </w:rPr>
      </w:pPr>
      <w:r>
        <w:rPr>
          <w:b/>
          <w:szCs w:val="22"/>
          <w:lang w:val="lv-LV"/>
        </w:rPr>
        <w:t xml:space="preserve">Grūtniecība un </w:t>
      </w:r>
      <w:r w:rsidR="00E122B3" w:rsidRPr="00556BDB">
        <w:rPr>
          <w:b/>
          <w:szCs w:val="22"/>
          <w:lang w:val="lv-LV"/>
        </w:rPr>
        <w:t>barošana ar krūti</w:t>
      </w:r>
    </w:p>
    <w:p w14:paraId="4E4B217C" w14:textId="77777777" w:rsidR="00E122B3" w:rsidRPr="00AB5744" w:rsidRDefault="00E122B3" w:rsidP="00A062EA">
      <w:pPr>
        <w:numPr>
          <w:ilvl w:val="12"/>
          <w:numId w:val="0"/>
        </w:numPr>
        <w:tabs>
          <w:tab w:val="clear" w:pos="567"/>
        </w:tabs>
        <w:spacing w:line="240" w:lineRule="auto"/>
        <w:rPr>
          <w:lang w:val="lv-LV" w:bidi="lo-LA"/>
        </w:rPr>
      </w:pPr>
      <w:r w:rsidRPr="00556BDB">
        <w:rPr>
          <w:szCs w:val="22"/>
          <w:lang w:val="lv-LV"/>
        </w:rPr>
        <w:t xml:space="preserve">Ja Jūs </w:t>
      </w:r>
      <w:r w:rsidRPr="00992C48">
        <w:rPr>
          <w:szCs w:val="22"/>
          <w:lang w:val="lv-LV"/>
        </w:rPr>
        <w:t>esat grūtniece vai barojat bērnu ar krūti, ja domājat, ka Jums varētu būt grūtniecība,</w:t>
      </w:r>
      <w:r w:rsidR="00992C48" w:rsidRPr="00992C48">
        <w:rPr>
          <w:szCs w:val="22"/>
          <w:lang w:val="lv-LV"/>
        </w:rPr>
        <w:t xml:space="preserve"> vai </w:t>
      </w:r>
      <w:r w:rsidRPr="00AB5744">
        <w:rPr>
          <w:lang w:val="lv-LV" w:bidi="lo-LA"/>
        </w:rPr>
        <w:t>plānojat</w:t>
      </w:r>
      <w:r w:rsidR="00992C48" w:rsidRPr="00AB5744">
        <w:rPr>
          <w:lang w:val="lv-LV" w:bidi="lo-LA"/>
        </w:rPr>
        <w:t xml:space="preserve"> </w:t>
      </w:r>
      <w:r w:rsidRPr="00AB5744">
        <w:rPr>
          <w:lang w:val="lv-LV" w:bidi="lo-LA"/>
        </w:rPr>
        <w:t>grūtniecību, pirms šo zāļu</w:t>
      </w:r>
      <w:r w:rsidR="00992C48" w:rsidRPr="00AB5744">
        <w:rPr>
          <w:lang w:val="lv-LV" w:bidi="lo-LA"/>
        </w:rPr>
        <w:t xml:space="preserve"> lietošanas konsultējieties ar </w:t>
      </w:r>
      <w:r w:rsidRPr="00AB5744">
        <w:rPr>
          <w:lang w:val="lv-LV" w:bidi="lo-LA"/>
        </w:rPr>
        <w:t>ārstu</w:t>
      </w:r>
      <w:r w:rsidR="00992C48" w:rsidRPr="00AB5744">
        <w:rPr>
          <w:lang w:val="lv-LV" w:bidi="lo-LA"/>
        </w:rPr>
        <w:t xml:space="preserve"> vai medmāsu.</w:t>
      </w:r>
    </w:p>
    <w:p w14:paraId="33506BD0" w14:textId="77777777" w:rsidR="00AB5744" w:rsidRDefault="00AB5744" w:rsidP="00A062EA">
      <w:pPr>
        <w:numPr>
          <w:ilvl w:val="12"/>
          <w:numId w:val="0"/>
        </w:numPr>
        <w:tabs>
          <w:tab w:val="clear" w:pos="567"/>
        </w:tabs>
        <w:spacing w:line="240" w:lineRule="auto"/>
        <w:rPr>
          <w:szCs w:val="22"/>
          <w:lang w:val="lv-LV"/>
        </w:rPr>
      </w:pPr>
    </w:p>
    <w:p w14:paraId="2F44D544" w14:textId="77777777" w:rsidR="00AB5744" w:rsidRPr="00F24FD7" w:rsidRDefault="00AB5744" w:rsidP="008D50E3">
      <w:pPr>
        <w:numPr>
          <w:ilvl w:val="12"/>
          <w:numId w:val="0"/>
        </w:numPr>
        <w:rPr>
          <w:lang w:val="lv-LV" w:bidi="lo-LA"/>
        </w:rPr>
      </w:pPr>
      <w:r>
        <w:rPr>
          <w:lang w:val="lv-LV" w:bidi="lo-LA"/>
        </w:rPr>
        <w:t>G</w:t>
      </w:r>
      <w:r w:rsidRPr="00F24FD7">
        <w:rPr>
          <w:lang w:val="lv-LV" w:bidi="lo-LA"/>
        </w:rPr>
        <w:t xml:space="preserve">rūtniecības un </w:t>
      </w:r>
      <w:r>
        <w:rPr>
          <w:lang w:val="lv-LV" w:bidi="lo-LA"/>
        </w:rPr>
        <w:t xml:space="preserve">barošanas ar krūti laikā </w:t>
      </w:r>
      <w:r w:rsidR="00BC2002">
        <w:rPr>
          <w:lang w:val="lv-LV" w:bidi="lo-LA"/>
        </w:rPr>
        <w:t>droša</w:t>
      </w:r>
      <w:r w:rsidR="00BC2002" w:rsidRPr="00F24FD7">
        <w:rPr>
          <w:lang w:val="lv-LV" w:bidi="lo-LA"/>
        </w:rPr>
        <w:t xml:space="preserve"> </w:t>
      </w:r>
      <w:r w:rsidRPr="00F24FD7">
        <w:rPr>
          <w:lang w:val="lv-LV" w:bidi="lo-LA"/>
        </w:rPr>
        <w:t>B</w:t>
      </w:r>
      <w:r w:rsidRPr="00855F2B">
        <w:rPr>
          <w:vertAlign w:val="subscript"/>
          <w:lang w:val="lv-LV" w:bidi="lo-LA"/>
        </w:rPr>
        <w:t>6</w:t>
      </w:r>
      <w:r w:rsidRPr="00F24FD7">
        <w:rPr>
          <w:lang w:val="lv-LV" w:bidi="lo-LA"/>
        </w:rPr>
        <w:t xml:space="preserve"> vitamīna dienas deva </w:t>
      </w:r>
      <w:r>
        <w:rPr>
          <w:lang w:val="lv-LV" w:bidi="lo-LA"/>
        </w:rPr>
        <w:t>ir līdz 25 </w:t>
      </w:r>
      <w:r w:rsidRPr="00F24FD7">
        <w:rPr>
          <w:lang w:val="lv-LV" w:bidi="lo-LA"/>
        </w:rPr>
        <w:t>mg.</w:t>
      </w:r>
      <w:r>
        <w:rPr>
          <w:lang w:val="lv-LV" w:bidi="lo-LA"/>
        </w:rPr>
        <w:t xml:space="preserve"> Tā k</w:t>
      </w:r>
      <w:r w:rsidRPr="00F24FD7">
        <w:rPr>
          <w:lang w:val="lv-LV" w:bidi="lo-LA"/>
        </w:rPr>
        <w:t xml:space="preserve">ā </w:t>
      </w:r>
      <w:r w:rsidR="00BC2002">
        <w:rPr>
          <w:lang w:val="lv-LV" w:bidi="lo-LA"/>
        </w:rPr>
        <w:t xml:space="preserve">šīs zāles satur 100 mg </w:t>
      </w:r>
      <w:r w:rsidRPr="00F24FD7">
        <w:rPr>
          <w:lang w:val="lv-LV" w:bidi="lo-LA"/>
        </w:rPr>
        <w:t>B</w:t>
      </w:r>
      <w:r w:rsidRPr="00855F2B">
        <w:rPr>
          <w:vertAlign w:val="subscript"/>
          <w:lang w:val="lv-LV" w:bidi="lo-LA"/>
        </w:rPr>
        <w:t>6</w:t>
      </w:r>
      <w:r w:rsidRPr="00F24FD7">
        <w:rPr>
          <w:lang w:val="lv-LV" w:bidi="lo-LA"/>
        </w:rPr>
        <w:t xml:space="preserve"> v</w:t>
      </w:r>
      <w:r>
        <w:rPr>
          <w:lang w:val="lv-LV" w:bidi="lo-LA"/>
        </w:rPr>
        <w:t>itamīna vienā 2 ml ampulā</w:t>
      </w:r>
      <w:r w:rsidRPr="00F24FD7">
        <w:rPr>
          <w:lang w:val="lv-LV" w:bidi="lo-LA"/>
        </w:rPr>
        <w:t>, t</w:t>
      </w:r>
      <w:r w:rsidR="00403D87">
        <w:rPr>
          <w:lang w:val="lv-LV" w:bidi="lo-LA"/>
        </w:rPr>
        <w:t>ās</w:t>
      </w:r>
      <w:r w:rsidRPr="00F24FD7">
        <w:rPr>
          <w:lang w:val="lv-LV" w:bidi="lo-LA"/>
        </w:rPr>
        <w:t xml:space="preserve"> nedrīkst lietot grūtniecības un barošanas ar krūti laikā.</w:t>
      </w:r>
    </w:p>
    <w:p w14:paraId="7EB66F36" w14:textId="77777777" w:rsidR="00E122B3" w:rsidRPr="00556BDB" w:rsidRDefault="00E122B3" w:rsidP="00A062EA">
      <w:pPr>
        <w:numPr>
          <w:ilvl w:val="12"/>
          <w:numId w:val="0"/>
        </w:numPr>
        <w:tabs>
          <w:tab w:val="clear" w:pos="567"/>
        </w:tabs>
        <w:spacing w:line="240" w:lineRule="auto"/>
        <w:ind w:left="567" w:hanging="567"/>
        <w:rPr>
          <w:b/>
          <w:szCs w:val="22"/>
          <w:lang w:val="lv-LV"/>
        </w:rPr>
      </w:pPr>
    </w:p>
    <w:p w14:paraId="37D55ED5" w14:textId="77777777" w:rsidR="00E122B3" w:rsidRPr="00556BDB" w:rsidRDefault="00E122B3" w:rsidP="00A062EA">
      <w:pPr>
        <w:numPr>
          <w:ilvl w:val="12"/>
          <w:numId w:val="0"/>
        </w:numPr>
        <w:tabs>
          <w:tab w:val="clear" w:pos="567"/>
        </w:tabs>
        <w:spacing w:line="240" w:lineRule="auto"/>
        <w:ind w:left="567" w:hanging="567"/>
        <w:rPr>
          <w:b/>
          <w:szCs w:val="22"/>
          <w:lang w:val="lv-LV"/>
        </w:rPr>
      </w:pPr>
      <w:r w:rsidRPr="00556BDB">
        <w:rPr>
          <w:b/>
          <w:szCs w:val="22"/>
          <w:lang w:val="lv-LV"/>
        </w:rPr>
        <w:t>Transportlīdzekļu vadīšana un mehānismu apkalpošana</w:t>
      </w:r>
    </w:p>
    <w:p w14:paraId="0FA3E0BB" w14:textId="77777777" w:rsidR="00AB5744" w:rsidRPr="001C697E" w:rsidRDefault="00AB5744" w:rsidP="008D50E3">
      <w:pPr>
        <w:autoSpaceDE w:val="0"/>
        <w:autoSpaceDN w:val="0"/>
        <w:adjustRightInd w:val="0"/>
        <w:rPr>
          <w:lang w:val="lv-LV"/>
        </w:rPr>
      </w:pPr>
      <w:r w:rsidRPr="001C697E">
        <w:rPr>
          <w:lang w:val="lv-LV"/>
        </w:rPr>
        <w:t>N</w:t>
      </w:r>
      <w:r>
        <w:rPr>
          <w:lang w:val="lv-LV"/>
        </w:rPr>
        <w:t>eietekmē</w:t>
      </w:r>
      <w:r w:rsidRPr="001C697E">
        <w:rPr>
          <w:lang w:val="lv-LV"/>
        </w:rPr>
        <w:t xml:space="preserve"> vai </w:t>
      </w:r>
      <w:r>
        <w:rPr>
          <w:lang w:val="lv-LV"/>
        </w:rPr>
        <w:t xml:space="preserve">ir </w:t>
      </w:r>
      <w:r w:rsidRPr="001C697E">
        <w:rPr>
          <w:lang w:val="lv-LV"/>
        </w:rPr>
        <w:t>nenozīmīga ietekme uz spēju vadīt transportlīdzekļus un apkalpot mehānismus.</w:t>
      </w:r>
    </w:p>
    <w:p w14:paraId="1CF12720" w14:textId="77777777" w:rsidR="00E122B3" w:rsidRPr="00556BDB" w:rsidRDefault="00E122B3" w:rsidP="00A062EA">
      <w:pPr>
        <w:numPr>
          <w:ilvl w:val="12"/>
          <w:numId w:val="0"/>
        </w:numPr>
        <w:tabs>
          <w:tab w:val="clear" w:pos="567"/>
        </w:tabs>
        <w:spacing w:line="240" w:lineRule="auto"/>
        <w:ind w:left="567" w:hanging="567"/>
        <w:rPr>
          <w:b/>
          <w:szCs w:val="22"/>
          <w:lang w:val="lv-LV"/>
        </w:rPr>
      </w:pPr>
    </w:p>
    <w:p w14:paraId="6A76AB26" w14:textId="77777777" w:rsidR="004E35AC" w:rsidRDefault="00AB5744" w:rsidP="004E35AC">
      <w:pPr>
        <w:numPr>
          <w:ilvl w:val="12"/>
          <w:numId w:val="0"/>
        </w:numPr>
        <w:tabs>
          <w:tab w:val="clear" w:pos="567"/>
        </w:tabs>
        <w:spacing w:line="240" w:lineRule="auto"/>
        <w:ind w:left="567" w:hanging="567"/>
        <w:rPr>
          <w:b/>
          <w:szCs w:val="22"/>
          <w:lang w:val="lv-LV"/>
        </w:rPr>
      </w:pPr>
      <w:proofErr w:type="spellStart"/>
      <w:r>
        <w:rPr>
          <w:b/>
          <w:szCs w:val="22"/>
          <w:lang w:val="lv-LV"/>
        </w:rPr>
        <w:t>Neiratax</w:t>
      </w:r>
      <w:proofErr w:type="spellEnd"/>
      <w:r w:rsidR="00E122B3" w:rsidRPr="00556BDB">
        <w:rPr>
          <w:b/>
          <w:szCs w:val="22"/>
          <w:lang w:val="lv-LV"/>
        </w:rPr>
        <w:t xml:space="preserve"> </w:t>
      </w:r>
      <w:r>
        <w:rPr>
          <w:b/>
          <w:szCs w:val="22"/>
          <w:lang w:val="lv-LV"/>
        </w:rPr>
        <w:t xml:space="preserve">satur </w:t>
      </w:r>
      <w:proofErr w:type="spellStart"/>
      <w:r>
        <w:rPr>
          <w:b/>
          <w:szCs w:val="22"/>
          <w:lang w:val="lv-LV"/>
        </w:rPr>
        <w:t>benzilspirtu</w:t>
      </w:r>
      <w:proofErr w:type="spellEnd"/>
      <w:r w:rsidR="00552518">
        <w:rPr>
          <w:b/>
          <w:szCs w:val="22"/>
          <w:lang w:val="lv-LV"/>
        </w:rPr>
        <w:t>, nātriju un kāliju</w:t>
      </w:r>
    </w:p>
    <w:p w14:paraId="6590B74E" w14:textId="33874B6B" w:rsidR="004E35AC" w:rsidRPr="007A41AA" w:rsidRDefault="004E35AC" w:rsidP="004E35AC">
      <w:pPr>
        <w:numPr>
          <w:ilvl w:val="12"/>
          <w:numId w:val="0"/>
        </w:numPr>
        <w:tabs>
          <w:tab w:val="clear" w:pos="567"/>
        </w:tabs>
        <w:spacing w:line="240" w:lineRule="auto"/>
        <w:ind w:left="567" w:hanging="567"/>
        <w:rPr>
          <w:bCs/>
          <w:szCs w:val="22"/>
          <w:lang w:val="lv-LV"/>
        </w:rPr>
      </w:pPr>
      <w:proofErr w:type="spellStart"/>
      <w:r w:rsidRPr="00C05185">
        <w:rPr>
          <w:i/>
          <w:iCs/>
          <w:szCs w:val="22"/>
          <w:lang w:val="lv-LV"/>
        </w:rPr>
        <w:t>Benzilspirts</w:t>
      </w:r>
      <w:proofErr w:type="spellEnd"/>
    </w:p>
    <w:p w14:paraId="7BD517C1" w14:textId="77777777" w:rsidR="00F2077C" w:rsidRDefault="00552518" w:rsidP="008D50E3">
      <w:pPr>
        <w:numPr>
          <w:ilvl w:val="0"/>
          <w:numId w:val="5"/>
        </w:numPr>
        <w:tabs>
          <w:tab w:val="clear" w:pos="567"/>
        </w:tabs>
        <w:spacing w:line="240" w:lineRule="auto"/>
        <w:ind w:left="567" w:hanging="567"/>
        <w:rPr>
          <w:szCs w:val="22"/>
          <w:lang w:val="lv-LV"/>
        </w:rPr>
      </w:pPr>
      <w:r w:rsidRPr="00552518">
        <w:rPr>
          <w:szCs w:val="22"/>
          <w:lang w:val="lv-LV"/>
        </w:rPr>
        <w:t xml:space="preserve">Šīs zāles satur </w:t>
      </w:r>
      <w:r>
        <w:rPr>
          <w:szCs w:val="22"/>
          <w:lang w:val="lv-LV"/>
        </w:rPr>
        <w:t>40</w:t>
      </w:r>
      <w:r w:rsidR="004E35AC">
        <w:rPr>
          <w:szCs w:val="22"/>
          <w:lang w:val="lv-LV"/>
        </w:rPr>
        <w:t> </w:t>
      </w:r>
      <w:r w:rsidRPr="00552518">
        <w:rPr>
          <w:szCs w:val="22"/>
          <w:lang w:val="lv-LV"/>
        </w:rPr>
        <w:t xml:space="preserve">mg </w:t>
      </w:r>
      <w:proofErr w:type="spellStart"/>
      <w:r w:rsidRPr="00552518">
        <w:rPr>
          <w:szCs w:val="22"/>
          <w:lang w:val="lv-LV"/>
        </w:rPr>
        <w:t>benzilspirta</w:t>
      </w:r>
      <w:proofErr w:type="spellEnd"/>
      <w:r w:rsidRPr="00552518">
        <w:rPr>
          <w:szCs w:val="22"/>
          <w:lang w:val="lv-LV"/>
        </w:rPr>
        <w:t xml:space="preserve"> katrā </w:t>
      </w:r>
      <w:r>
        <w:rPr>
          <w:szCs w:val="22"/>
          <w:lang w:val="lv-LV"/>
        </w:rPr>
        <w:t xml:space="preserve">ampulā, </w:t>
      </w:r>
      <w:r w:rsidRPr="00552518">
        <w:rPr>
          <w:szCs w:val="22"/>
          <w:lang w:val="lv-LV"/>
        </w:rPr>
        <w:t xml:space="preserve">kas ir līdzvērtīgi </w:t>
      </w:r>
      <w:r>
        <w:rPr>
          <w:szCs w:val="22"/>
          <w:lang w:val="lv-LV"/>
        </w:rPr>
        <w:t>20</w:t>
      </w:r>
      <w:r w:rsidR="004E35AC">
        <w:rPr>
          <w:szCs w:val="22"/>
          <w:lang w:val="lv-LV"/>
        </w:rPr>
        <w:t> </w:t>
      </w:r>
      <w:r w:rsidRPr="00552518">
        <w:rPr>
          <w:szCs w:val="22"/>
          <w:lang w:val="lv-LV"/>
        </w:rPr>
        <w:t>mg/</w:t>
      </w:r>
      <w:r>
        <w:rPr>
          <w:szCs w:val="22"/>
          <w:lang w:val="lv-LV"/>
        </w:rPr>
        <w:t xml:space="preserve">ml. </w:t>
      </w:r>
      <w:proofErr w:type="spellStart"/>
      <w:r w:rsidRPr="00552518">
        <w:rPr>
          <w:szCs w:val="22"/>
          <w:lang w:val="lv-LV"/>
        </w:rPr>
        <w:t>Benzilspirts</w:t>
      </w:r>
      <w:proofErr w:type="spellEnd"/>
      <w:r w:rsidRPr="00552518">
        <w:rPr>
          <w:szCs w:val="22"/>
          <w:lang w:val="lv-LV"/>
        </w:rPr>
        <w:t xml:space="preserve"> var izraisīt alerģiskas reakcijas.</w:t>
      </w:r>
    </w:p>
    <w:p w14:paraId="38FD40F3" w14:textId="77777777" w:rsidR="00DA3628" w:rsidRPr="00DA3628" w:rsidRDefault="00904033" w:rsidP="008D50E3">
      <w:pPr>
        <w:numPr>
          <w:ilvl w:val="0"/>
          <w:numId w:val="5"/>
        </w:numPr>
        <w:tabs>
          <w:tab w:val="clear" w:pos="567"/>
        </w:tabs>
        <w:spacing w:line="240" w:lineRule="auto"/>
        <w:ind w:left="567" w:hanging="567"/>
        <w:rPr>
          <w:szCs w:val="22"/>
          <w:lang w:val="lv-LV"/>
        </w:rPr>
      </w:pPr>
      <w:r>
        <w:rPr>
          <w:szCs w:val="22"/>
          <w:lang w:val="lv-LV"/>
        </w:rPr>
        <w:t>Nedrīkst lietot</w:t>
      </w:r>
      <w:r w:rsidR="00DA3628" w:rsidRPr="00DA3628">
        <w:rPr>
          <w:szCs w:val="22"/>
          <w:lang w:val="lv-LV"/>
        </w:rPr>
        <w:t xml:space="preserve"> priekšlaicīgi dzimušajiem un jaundzimušajiem bērniem.</w:t>
      </w:r>
    </w:p>
    <w:p w14:paraId="66B16B3D" w14:textId="77777777" w:rsidR="00DA3628" w:rsidRDefault="00DA3628" w:rsidP="004E35AC">
      <w:pPr>
        <w:numPr>
          <w:ilvl w:val="0"/>
          <w:numId w:val="5"/>
        </w:numPr>
        <w:tabs>
          <w:tab w:val="clear" w:pos="567"/>
        </w:tabs>
        <w:spacing w:line="240" w:lineRule="auto"/>
        <w:ind w:left="567" w:hanging="567"/>
        <w:rPr>
          <w:szCs w:val="22"/>
          <w:lang w:val="lv-LV"/>
        </w:rPr>
      </w:pPr>
      <w:r w:rsidRPr="00DA3628">
        <w:rPr>
          <w:szCs w:val="22"/>
          <w:lang w:val="lv-LV"/>
        </w:rPr>
        <w:t>Var izraisīt toksiskas un alerģiskas reakcijas zīdaiņiem un bērniem līdz 3 gadu vecumam</w:t>
      </w:r>
      <w:r w:rsidR="002F6F18">
        <w:rPr>
          <w:szCs w:val="22"/>
          <w:lang w:val="lv-LV"/>
        </w:rPr>
        <w:t>.</w:t>
      </w:r>
    </w:p>
    <w:p w14:paraId="3F6BEF82" w14:textId="48A95C03" w:rsidR="004E35AC" w:rsidRPr="00DA3628" w:rsidRDefault="00C46575" w:rsidP="008D50E3">
      <w:pPr>
        <w:numPr>
          <w:ilvl w:val="0"/>
          <w:numId w:val="5"/>
        </w:numPr>
        <w:tabs>
          <w:tab w:val="clear" w:pos="567"/>
        </w:tabs>
        <w:spacing w:line="240" w:lineRule="auto"/>
        <w:ind w:left="567" w:hanging="567"/>
        <w:rPr>
          <w:szCs w:val="22"/>
          <w:lang w:val="lv-LV"/>
        </w:rPr>
      </w:pPr>
      <w:r w:rsidRPr="00C46575">
        <w:rPr>
          <w:szCs w:val="22"/>
          <w:lang w:val="lv-LV"/>
        </w:rPr>
        <w:t>Ja esat grūtniece vai barojat bērnu ar krūti,</w:t>
      </w:r>
      <w:r>
        <w:rPr>
          <w:szCs w:val="22"/>
          <w:lang w:val="lv-LV"/>
        </w:rPr>
        <w:t xml:space="preserve"> vai j</w:t>
      </w:r>
      <w:r w:rsidR="004E35AC" w:rsidRPr="008D50E3">
        <w:rPr>
          <w:szCs w:val="22"/>
          <w:lang w:val="lv-LV"/>
        </w:rPr>
        <w:t xml:space="preserve">a Jums ir aknu vai nieru slimība, konsultējieties ar ārstu vai farmaceitu. Tas nepieciešams tādēļ, ka liels daudzums </w:t>
      </w:r>
      <w:proofErr w:type="spellStart"/>
      <w:r w:rsidR="004E35AC" w:rsidRPr="008D50E3">
        <w:rPr>
          <w:szCs w:val="22"/>
          <w:lang w:val="lv-LV"/>
        </w:rPr>
        <w:t>benzilspirta</w:t>
      </w:r>
      <w:proofErr w:type="spellEnd"/>
      <w:r w:rsidR="004E35AC" w:rsidRPr="008D50E3">
        <w:rPr>
          <w:szCs w:val="22"/>
          <w:lang w:val="lv-LV"/>
        </w:rPr>
        <w:t xml:space="preserve"> var uzkrāties Jūsu organismā un izraisīt blakusparādības (ko sauc par metabolisko acidozi).</w:t>
      </w:r>
    </w:p>
    <w:p w14:paraId="2AD01ABB" w14:textId="15F21429" w:rsidR="004E35AC" w:rsidRPr="00C05185" w:rsidRDefault="004E35AC" w:rsidP="004E35AC">
      <w:pPr>
        <w:tabs>
          <w:tab w:val="clear" w:pos="567"/>
        </w:tabs>
        <w:spacing w:line="240" w:lineRule="auto"/>
        <w:ind w:left="567" w:hanging="567"/>
        <w:rPr>
          <w:i/>
          <w:iCs/>
          <w:szCs w:val="22"/>
          <w:lang w:val="lv-LV"/>
        </w:rPr>
      </w:pPr>
      <w:r w:rsidRPr="00C05185">
        <w:rPr>
          <w:i/>
          <w:iCs/>
          <w:szCs w:val="22"/>
          <w:lang w:val="lv-LV"/>
        </w:rPr>
        <w:t>Nātrijs</w:t>
      </w:r>
    </w:p>
    <w:p w14:paraId="0C9E3CDF" w14:textId="77777777" w:rsidR="00F2077C" w:rsidRDefault="004E35AC" w:rsidP="008D50E3">
      <w:pPr>
        <w:numPr>
          <w:ilvl w:val="0"/>
          <w:numId w:val="5"/>
        </w:numPr>
        <w:tabs>
          <w:tab w:val="clear" w:pos="567"/>
        </w:tabs>
        <w:spacing w:line="240" w:lineRule="auto"/>
        <w:ind w:left="567" w:hanging="567"/>
        <w:rPr>
          <w:szCs w:val="22"/>
          <w:lang w:val="lv-LV"/>
        </w:rPr>
      </w:pPr>
      <w:r>
        <w:rPr>
          <w:szCs w:val="22"/>
          <w:lang w:val="lv-LV"/>
        </w:rPr>
        <w:t>Šīs z</w:t>
      </w:r>
      <w:r w:rsidR="00DA3628" w:rsidRPr="00DA3628">
        <w:rPr>
          <w:szCs w:val="22"/>
          <w:lang w:val="lv-LV"/>
        </w:rPr>
        <w:t>āles satur mazāk pa</w:t>
      </w:r>
      <w:r w:rsidR="00DA3628">
        <w:rPr>
          <w:szCs w:val="22"/>
          <w:lang w:val="lv-LV"/>
        </w:rPr>
        <w:t xml:space="preserve">r 1 </w:t>
      </w:r>
      <w:proofErr w:type="spellStart"/>
      <w:r w:rsidR="00DA3628">
        <w:rPr>
          <w:szCs w:val="22"/>
          <w:lang w:val="lv-LV"/>
        </w:rPr>
        <w:t>mmol</w:t>
      </w:r>
      <w:proofErr w:type="spellEnd"/>
      <w:r w:rsidR="00DA3628">
        <w:rPr>
          <w:szCs w:val="22"/>
          <w:lang w:val="lv-LV"/>
        </w:rPr>
        <w:t xml:space="preserve"> nātrija (23 mg) katrā devā, </w:t>
      </w:r>
      <w:r>
        <w:rPr>
          <w:szCs w:val="22"/>
          <w:lang w:val="lv-LV"/>
        </w:rPr>
        <w:t>-</w:t>
      </w:r>
      <w:r w:rsidR="00DA3628" w:rsidRPr="00DA3628">
        <w:rPr>
          <w:szCs w:val="22"/>
          <w:lang w:val="lv-LV"/>
        </w:rPr>
        <w:t xml:space="preserve"> būtībā tās ir </w:t>
      </w:r>
      <w:r>
        <w:rPr>
          <w:szCs w:val="22"/>
          <w:lang w:val="lv-LV"/>
        </w:rPr>
        <w:t>“</w:t>
      </w:r>
      <w:r w:rsidR="00DA3628" w:rsidRPr="00DA3628">
        <w:rPr>
          <w:szCs w:val="22"/>
          <w:lang w:val="lv-LV"/>
        </w:rPr>
        <w:t>nātriju nesaturošas</w:t>
      </w:r>
      <w:r>
        <w:rPr>
          <w:szCs w:val="22"/>
          <w:lang w:val="lv-LV"/>
        </w:rPr>
        <w:t>”</w:t>
      </w:r>
      <w:r w:rsidR="00DA3628">
        <w:rPr>
          <w:szCs w:val="22"/>
          <w:lang w:val="lv-LV"/>
        </w:rPr>
        <w:t>.</w:t>
      </w:r>
    </w:p>
    <w:p w14:paraId="2D91EEAF" w14:textId="02FC2C7C" w:rsidR="004E35AC" w:rsidRPr="00C05185" w:rsidRDefault="004E35AC" w:rsidP="004E35AC">
      <w:pPr>
        <w:tabs>
          <w:tab w:val="clear" w:pos="567"/>
        </w:tabs>
        <w:spacing w:line="240" w:lineRule="auto"/>
        <w:ind w:left="567" w:hanging="567"/>
        <w:rPr>
          <w:i/>
          <w:iCs/>
          <w:szCs w:val="22"/>
          <w:lang w:val="lv-LV"/>
        </w:rPr>
      </w:pPr>
      <w:r w:rsidRPr="00C05185">
        <w:rPr>
          <w:i/>
          <w:iCs/>
          <w:szCs w:val="22"/>
          <w:lang w:val="lv-LV"/>
        </w:rPr>
        <w:t>Kālijs</w:t>
      </w:r>
    </w:p>
    <w:p w14:paraId="527E87D7" w14:textId="77777777" w:rsidR="00DA3628" w:rsidRPr="00DA3628" w:rsidRDefault="004E35AC" w:rsidP="008D50E3">
      <w:pPr>
        <w:numPr>
          <w:ilvl w:val="0"/>
          <w:numId w:val="5"/>
        </w:numPr>
        <w:tabs>
          <w:tab w:val="clear" w:pos="567"/>
        </w:tabs>
        <w:spacing w:line="240" w:lineRule="auto"/>
        <w:ind w:left="567" w:hanging="567"/>
        <w:rPr>
          <w:szCs w:val="22"/>
          <w:lang w:val="lv-LV"/>
        </w:rPr>
      </w:pPr>
      <w:r>
        <w:rPr>
          <w:szCs w:val="22"/>
          <w:lang w:val="lv-LV"/>
        </w:rPr>
        <w:t>Šīs</w:t>
      </w:r>
      <w:r w:rsidRPr="00DA3628">
        <w:rPr>
          <w:szCs w:val="22"/>
          <w:lang w:val="lv-LV"/>
        </w:rPr>
        <w:t xml:space="preserve"> </w:t>
      </w:r>
      <w:r>
        <w:rPr>
          <w:szCs w:val="22"/>
          <w:lang w:val="lv-LV"/>
        </w:rPr>
        <w:t>z</w:t>
      </w:r>
      <w:r w:rsidR="00DA3628" w:rsidRPr="00DA3628">
        <w:rPr>
          <w:szCs w:val="22"/>
          <w:lang w:val="lv-LV"/>
        </w:rPr>
        <w:t xml:space="preserve">āles satur kāliju </w:t>
      </w:r>
      <w:r w:rsidR="00DA3628">
        <w:rPr>
          <w:szCs w:val="22"/>
          <w:lang w:val="lv-LV"/>
        </w:rPr>
        <w:t xml:space="preserve">mazāk par 1 </w:t>
      </w:r>
      <w:proofErr w:type="spellStart"/>
      <w:r w:rsidR="00DA3628">
        <w:rPr>
          <w:szCs w:val="22"/>
          <w:lang w:val="lv-LV"/>
        </w:rPr>
        <w:t>mmol</w:t>
      </w:r>
      <w:proofErr w:type="spellEnd"/>
      <w:r w:rsidR="00DA3628">
        <w:rPr>
          <w:szCs w:val="22"/>
          <w:lang w:val="lv-LV"/>
        </w:rPr>
        <w:t xml:space="preserve"> (39 mg) katrā devā</w:t>
      </w:r>
      <w:r w:rsidR="00DA3628" w:rsidRPr="00DA3628">
        <w:rPr>
          <w:szCs w:val="22"/>
          <w:lang w:val="lv-LV"/>
        </w:rPr>
        <w:t xml:space="preserve">, </w:t>
      </w:r>
      <w:r>
        <w:rPr>
          <w:szCs w:val="22"/>
          <w:lang w:val="lv-LV"/>
        </w:rPr>
        <w:t xml:space="preserve">- </w:t>
      </w:r>
      <w:r w:rsidR="00DA3628" w:rsidRPr="00DA3628">
        <w:rPr>
          <w:szCs w:val="22"/>
          <w:lang w:val="lv-LV"/>
        </w:rPr>
        <w:t xml:space="preserve">būtībā tās ir </w:t>
      </w:r>
      <w:r>
        <w:rPr>
          <w:szCs w:val="22"/>
          <w:lang w:val="lv-LV"/>
        </w:rPr>
        <w:t>“</w:t>
      </w:r>
      <w:r w:rsidR="00DA3628" w:rsidRPr="00DA3628">
        <w:rPr>
          <w:szCs w:val="22"/>
          <w:lang w:val="lv-LV"/>
        </w:rPr>
        <w:t>kāliju nesaturošas</w:t>
      </w:r>
      <w:r>
        <w:rPr>
          <w:szCs w:val="22"/>
          <w:lang w:val="lv-LV"/>
        </w:rPr>
        <w:t>”</w:t>
      </w:r>
      <w:r w:rsidR="00DA3628">
        <w:rPr>
          <w:szCs w:val="22"/>
          <w:lang w:val="lv-LV"/>
        </w:rPr>
        <w:t>.</w:t>
      </w:r>
    </w:p>
    <w:p w14:paraId="5B2E1BE5"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12F10366" w14:textId="77777777" w:rsidR="00E122B3" w:rsidRPr="00556BDB" w:rsidRDefault="00E122B3" w:rsidP="00A062EA">
      <w:pPr>
        <w:numPr>
          <w:ilvl w:val="12"/>
          <w:numId w:val="0"/>
        </w:numPr>
        <w:tabs>
          <w:tab w:val="clear" w:pos="567"/>
        </w:tabs>
        <w:spacing w:line="240" w:lineRule="auto"/>
        <w:rPr>
          <w:szCs w:val="22"/>
          <w:lang w:val="lv-LV"/>
        </w:rPr>
      </w:pPr>
    </w:p>
    <w:p w14:paraId="431C266A" w14:textId="77777777" w:rsidR="00E122B3" w:rsidRPr="00556BDB" w:rsidRDefault="00E122B3" w:rsidP="00A062EA">
      <w:pPr>
        <w:numPr>
          <w:ilvl w:val="12"/>
          <w:numId w:val="0"/>
        </w:numPr>
        <w:tabs>
          <w:tab w:val="clear" w:pos="567"/>
        </w:tabs>
        <w:spacing w:line="240" w:lineRule="auto"/>
        <w:ind w:left="567" w:hanging="567"/>
        <w:rPr>
          <w:szCs w:val="22"/>
          <w:lang w:val="lv-LV"/>
        </w:rPr>
      </w:pPr>
      <w:r w:rsidRPr="00556BDB">
        <w:rPr>
          <w:b/>
          <w:szCs w:val="22"/>
          <w:lang w:val="lv-LV"/>
        </w:rPr>
        <w:t>3.</w:t>
      </w:r>
      <w:r w:rsidRPr="00556BDB">
        <w:rPr>
          <w:b/>
          <w:szCs w:val="22"/>
          <w:lang w:val="lv-LV"/>
        </w:rPr>
        <w:tab/>
        <w:t xml:space="preserve">Kā lietot </w:t>
      </w:r>
      <w:proofErr w:type="spellStart"/>
      <w:r w:rsidR="003C7696" w:rsidRPr="00556BDB">
        <w:rPr>
          <w:b/>
          <w:szCs w:val="22"/>
          <w:lang w:val="lv-LV"/>
        </w:rPr>
        <w:t>Neiratax</w:t>
      </w:r>
      <w:proofErr w:type="spellEnd"/>
    </w:p>
    <w:p w14:paraId="29FA797D"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0913871B" w14:textId="77777777" w:rsidR="00E122B3" w:rsidRPr="00556BDB" w:rsidRDefault="00E122B3" w:rsidP="00A062EA">
      <w:pPr>
        <w:numPr>
          <w:ilvl w:val="12"/>
          <w:numId w:val="0"/>
        </w:numPr>
        <w:tabs>
          <w:tab w:val="clear" w:pos="567"/>
        </w:tabs>
        <w:spacing w:line="240" w:lineRule="auto"/>
        <w:rPr>
          <w:szCs w:val="22"/>
          <w:lang w:val="lv-LV"/>
        </w:rPr>
      </w:pPr>
      <w:r w:rsidRPr="00556BDB">
        <w:rPr>
          <w:szCs w:val="22"/>
          <w:lang w:val="lv-LV"/>
        </w:rPr>
        <w:t>Vienmēr lietojiet šīs zāles tieši tā, kā ārsts Jums teicis. Neskaidrību gadījumā vaicājie</w:t>
      </w:r>
      <w:r w:rsidR="00BA77F9">
        <w:rPr>
          <w:szCs w:val="22"/>
          <w:lang w:val="lv-LV"/>
        </w:rPr>
        <w:t>t ārstam.</w:t>
      </w:r>
    </w:p>
    <w:p w14:paraId="4D32D05A" w14:textId="77777777" w:rsidR="00E122B3" w:rsidRPr="00556BDB" w:rsidRDefault="00E122B3" w:rsidP="00A062EA">
      <w:pPr>
        <w:numPr>
          <w:ilvl w:val="12"/>
          <w:numId w:val="0"/>
        </w:numPr>
        <w:tabs>
          <w:tab w:val="clear" w:pos="567"/>
        </w:tabs>
        <w:spacing w:line="240" w:lineRule="auto"/>
        <w:rPr>
          <w:szCs w:val="22"/>
          <w:lang w:val="lv-LV"/>
        </w:rPr>
      </w:pPr>
    </w:p>
    <w:p w14:paraId="316FF9B8" w14:textId="77777777" w:rsidR="00BA77F9" w:rsidRPr="00556BDB" w:rsidRDefault="00BA77F9" w:rsidP="00A062EA">
      <w:pPr>
        <w:autoSpaceDE w:val="0"/>
        <w:rPr>
          <w:rFonts w:eastAsia="TimesNewRomanPSMT"/>
          <w:color w:val="000000"/>
          <w:szCs w:val="22"/>
          <w:lang w:val="lv-LV"/>
        </w:rPr>
      </w:pPr>
      <w:r w:rsidRPr="00EF6440">
        <w:rPr>
          <w:lang w:val="lv-LV"/>
        </w:rPr>
        <w:t>Šīs zāles jāinjicē tikai intramuskulāri (</w:t>
      </w:r>
      <w:proofErr w:type="spellStart"/>
      <w:r w:rsidRPr="00EF6440">
        <w:rPr>
          <w:lang w:val="lv-LV"/>
        </w:rPr>
        <w:t>i.m</w:t>
      </w:r>
      <w:proofErr w:type="spellEnd"/>
      <w:r w:rsidRPr="00EF6440">
        <w:rPr>
          <w:lang w:val="lv-LV"/>
        </w:rPr>
        <w:t>.), nevis vēnā (</w:t>
      </w:r>
      <w:proofErr w:type="spellStart"/>
      <w:r w:rsidRPr="00EF6440">
        <w:rPr>
          <w:lang w:val="lv-LV"/>
        </w:rPr>
        <w:t>i.v</w:t>
      </w:r>
      <w:proofErr w:type="spellEnd"/>
      <w:r w:rsidRPr="00EF6440">
        <w:rPr>
          <w:lang w:val="lv-LV"/>
        </w:rPr>
        <w:t>.)</w:t>
      </w:r>
      <w:r>
        <w:rPr>
          <w:lang w:val="lv-LV"/>
        </w:rPr>
        <w:t xml:space="preserve">. </w:t>
      </w:r>
      <w:r w:rsidR="006C7207">
        <w:rPr>
          <w:rFonts w:eastAsia="TimesNewRomanPSMT"/>
          <w:color w:val="000000"/>
          <w:szCs w:val="22"/>
          <w:lang w:val="lv-LV"/>
        </w:rPr>
        <w:t>Nejaušas</w:t>
      </w:r>
      <w:r w:rsidRPr="00556BDB">
        <w:rPr>
          <w:rFonts w:eastAsia="TimesNewRomanPSMT"/>
          <w:color w:val="000000"/>
          <w:szCs w:val="22"/>
          <w:lang w:val="lv-LV"/>
        </w:rPr>
        <w:t xml:space="preserve"> intravenozas injekcijas gadījumā Jūs uzraudzīs </w:t>
      </w:r>
      <w:r>
        <w:rPr>
          <w:rFonts w:eastAsia="TimesNewRomanPSMT"/>
          <w:color w:val="000000"/>
          <w:szCs w:val="22"/>
          <w:lang w:val="lv-LV"/>
        </w:rPr>
        <w:t xml:space="preserve">ārsts </w:t>
      </w:r>
      <w:r w:rsidRPr="00556BDB">
        <w:rPr>
          <w:rFonts w:eastAsia="TimesNewRomanPSMT"/>
          <w:color w:val="000000"/>
          <w:szCs w:val="22"/>
          <w:lang w:val="lv-LV"/>
        </w:rPr>
        <w:t>vai arī, atkarībā no simpto</w:t>
      </w:r>
      <w:r w:rsidR="006C7207">
        <w:rPr>
          <w:rFonts w:eastAsia="TimesNewRomanPSMT"/>
          <w:color w:val="000000"/>
          <w:szCs w:val="22"/>
          <w:lang w:val="lv-LV"/>
        </w:rPr>
        <w:t xml:space="preserve">mu smaguma pakāpes, var būt </w:t>
      </w:r>
      <w:r w:rsidRPr="00556BDB">
        <w:rPr>
          <w:rFonts w:eastAsia="TimesNewRomanPSMT"/>
          <w:color w:val="000000"/>
          <w:szCs w:val="22"/>
          <w:lang w:val="lv-LV"/>
        </w:rPr>
        <w:t>nepieciešams uzturēties slimnīcā.</w:t>
      </w:r>
    </w:p>
    <w:p w14:paraId="2FCBC656" w14:textId="77777777" w:rsidR="00BA77F9" w:rsidRPr="004A4748" w:rsidRDefault="00BA77F9" w:rsidP="008D50E3">
      <w:pPr>
        <w:rPr>
          <w:lang w:val="lv-LV"/>
        </w:rPr>
      </w:pPr>
    </w:p>
    <w:p w14:paraId="37849773" w14:textId="77777777" w:rsidR="00BA77F9" w:rsidRPr="004A4748" w:rsidRDefault="00BA77F9" w:rsidP="008D50E3">
      <w:pPr>
        <w:rPr>
          <w:lang w:val="lv-LV"/>
        </w:rPr>
      </w:pPr>
      <w:r w:rsidRPr="004A4748">
        <w:rPr>
          <w:lang w:val="lv-LV"/>
        </w:rPr>
        <w:t>Jūsu ārsts izvēlēsies Jums nepieciešamo pareizo devu</w:t>
      </w:r>
      <w:r>
        <w:rPr>
          <w:lang w:val="lv-LV"/>
        </w:rPr>
        <w:t xml:space="preserve"> un injekcijas ievadīšanas biežumu</w:t>
      </w:r>
      <w:r w:rsidRPr="004A4748">
        <w:rPr>
          <w:lang w:val="lv-LV"/>
        </w:rPr>
        <w:t>.</w:t>
      </w:r>
    </w:p>
    <w:p w14:paraId="74B2F82E" w14:textId="77777777" w:rsidR="00BA77F9" w:rsidRDefault="00BA77F9" w:rsidP="008D50E3">
      <w:pPr>
        <w:rPr>
          <w:b/>
          <w:bCs/>
          <w:lang w:val="lv-LV"/>
        </w:rPr>
      </w:pPr>
    </w:p>
    <w:p w14:paraId="10E80203" w14:textId="77777777" w:rsidR="00640EA0" w:rsidRPr="00640EA0" w:rsidRDefault="00640EA0" w:rsidP="008D50E3">
      <w:pPr>
        <w:rPr>
          <w:bCs/>
          <w:i/>
          <w:lang w:val="lv-LV"/>
        </w:rPr>
      </w:pPr>
      <w:r>
        <w:rPr>
          <w:bCs/>
          <w:i/>
          <w:lang w:val="lv-LV"/>
        </w:rPr>
        <w:t>Pieaugušie un bērni vecāki par 12 gadiem</w:t>
      </w:r>
    </w:p>
    <w:p w14:paraId="2FA1E5F6" w14:textId="77777777" w:rsidR="00BA77F9" w:rsidRDefault="00BA77F9" w:rsidP="008D50E3">
      <w:pPr>
        <w:rPr>
          <w:bCs/>
          <w:lang w:val="lv-LV"/>
        </w:rPr>
      </w:pPr>
      <w:r>
        <w:rPr>
          <w:bCs/>
          <w:lang w:val="lv-LV"/>
        </w:rPr>
        <w:t>Smagu</w:t>
      </w:r>
      <w:r w:rsidR="009E1CBC">
        <w:rPr>
          <w:bCs/>
          <w:lang w:val="lv-LV"/>
        </w:rPr>
        <w:t xml:space="preserve"> un akūtu simptomu</w:t>
      </w:r>
      <w:r w:rsidRPr="005B1548">
        <w:rPr>
          <w:bCs/>
          <w:lang w:val="lv-LV"/>
        </w:rPr>
        <w:t xml:space="preserve"> gadījumos sākotnēji katr</w:t>
      </w:r>
      <w:r>
        <w:rPr>
          <w:bCs/>
          <w:lang w:val="lv-LV"/>
        </w:rPr>
        <w:t>u dienu veic 1 injekciju (2 ml),</w:t>
      </w:r>
      <w:r w:rsidRPr="005B1548">
        <w:rPr>
          <w:bCs/>
          <w:lang w:val="lv-LV"/>
        </w:rPr>
        <w:t xml:space="preserve"> </w:t>
      </w:r>
      <w:r w:rsidRPr="00EF6440">
        <w:rPr>
          <w:bCs/>
          <w:lang w:val="lv-LV"/>
        </w:rPr>
        <w:t>lai sasniegtu augstu aktīv</w:t>
      </w:r>
      <w:r>
        <w:rPr>
          <w:bCs/>
          <w:lang w:val="lv-LV"/>
        </w:rPr>
        <w:t>o</w:t>
      </w:r>
      <w:r w:rsidRPr="00EF6440">
        <w:rPr>
          <w:bCs/>
          <w:lang w:val="lv-LV"/>
        </w:rPr>
        <w:t xml:space="preserve"> viel</w:t>
      </w:r>
      <w:r>
        <w:rPr>
          <w:bCs/>
          <w:lang w:val="lv-LV"/>
        </w:rPr>
        <w:t>u</w:t>
      </w:r>
      <w:r w:rsidRPr="00EF6440">
        <w:rPr>
          <w:bCs/>
          <w:lang w:val="lv-LV"/>
        </w:rPr>
        <w:t xml:space="preserve"> līmeni asinīs. </w:t>
      </w:r>
      <w:r>
        <w:rPr>
          <w:bCs/>
          <w:lang w:val="lv-LV"/>
        </w:rPr>
        <w:t>M</w:t>
      </w:r>
      <w:r w:rsidRPr="005B1548">
        <w:rPr>
          <w:bCs/>
          <w:lang w:val="lv-LV"/>
        </w:rPr>
        <w:t>azinoties</w:t>
      </w:r>
      <w:r w:rsidR="006713C4">
        <w:rPr>
          <w:bCs/>
          <w:lang w:val="lv-LV"/>
        </w:rPr>
        <w:t xml:space="preserve"> simptomiem</w:t>
      </w:r>
      <w:r>
        <w:rPr>
          <w:bCs/>
          <w:lang w:val="lv-LV"/>
        </w:rPr>
        <w:t xml:space="preserve"> akūtajā fāzē </w:t>
      </w:r>
      <w:r w:rsidRPr="005B1548">
        <w:rPr>
          <w:bCs/>
          <w:lang w:val="lv-LV"/>
        </w:rPr>
        <w:t>un viegli izteiktu simptomu gadījumā nozīmē 1 injekciju 2 - 3 reizes nedēļā.</w:t>
      </w:r>
    </w:p>
    <w:p w14:paraId="70FFE309" w14:textId="77777777" w:rsidR="00E122B3" w:rsidRDefault="00E122B3" w:rsidP="00A062EA">
      <w:pPr>
        <w:numPr>
          <w:ilvl w:val="12"/>
          <w:numId w:val="0"/>
        </w:numPr>
        <w:tabs>
          <w:tab w:val="clear" w:pos="567"/>
        </w:tabs>
        <w:spacing w:line="240" w:lineRule="auto"/>
        <w:ind w:left="567" w:hanging="567"/>
        <w:rPr>
          <w:szCs w:val="22"/>
          <w:lang w:val="lv-LV"/>
        </w:rPr>
      </w:pPr>
    </w:p>
    <w:p w14:paraId="23B5B3DA" w14:textId="77777777" w:rsidR="004C4C18" w:rsidRPr="00123831" w:rsidRDefault="000A24AC" w:rsidP="00A062EA">
      <w:pPr>
        <w:tabs>
          <w:tab w:val="clear" w:pos="567"/>
        </w:tabs>
        <w:spacing w:line="240" w:lineRule="auto"/>
        <w:rPr>
          <w:i/>
          <w:szCs w:val="22"/>
          <w:lang w:val="lv-LV"/>
        </w:rPr>
      </w:pPr>
      <w:r>
        <w:rPr>
          <w:i/>
          <w:szCs w:val="22"/>
          <w:lang w:val="lv-LV"/>
        </w:rPr>
        <w:t>Gados vecāki</w:t>
      </w:r>
      <w:r w:rsidR="004C4C18" w:rsidRPr="00123831">
        <w:rPr>
          <w:i/>
          <w:szCs w:val="22"/>
          <w:lang w:val="lv-LV"/>
        </w:rPr>
        <w:t xml:space="preserve"> cilvēki</w:t>
      </w:r>
    </w:p>
    <w:p w14:paraId="0CC1751C" w14:textId="77777777" w:rsidR="004C4C18" w:rsidRPr="00123831" w:rsidRDefault="004C4C18" w:rsidP="00A062EA">
      <w:pPr>
        <w:tabs>
          <w:tab w:val="clear" w:pos="567"/>
        </w:tabs>
        <w:spacing w:line="240" w:lineRule="auto"/>
        <w:rPr>
          <w:szCs w:val="22"/>
          <w:lang w:val="lv-LV"/>
        </w:rPr>
      </w:pPr>
      <w:r w:rsidRPr="00123831">
        <w:rPr>
          <w:szCs w:val="22"/>
          <w:lang w:val="lv-LV"/>
        </w:rPr>
        <w:t>Devas pielāgošana nav nepieciešama.</w:t>
      </w:r>
    </w:p>
    <w:p w14:paraId="74B66E83" w14:textId="77777777" w:rsidR="004C4C18" w:rsidRPr="00123831" w:rsidRDefault="004C4C18" w:rsidP="00A062EA">
      <w:pPr>
        <w:tabs>
          <w:tab w:val="clear" w:pos="567"/>
        </w:tabs>
        <w:spacing w:line="240" w:lineRule="auto"/>
        <w:rPr>
          <w:szCs w:val="22"/>
          <w:u w:val="single"/>
          <w:lang w:val="lv-LV"/>
        </w:rPr>
      </w:pPr>
    </w:p>
    <w:p w14:paraId="15BA9266" w14:textId="77777777" w:rsidR="00E75EC6" w:rsidRDefault="00E75EC6" w:rsidP="00A062EA">
      <w:pPr>
        <w:tabs>
          <w:tab w:val="clear" w:pos="567"/>
        </w:tabs>
        <w:spacing w:line="240" w:lineRule="auto"/>
        <w:rPr>
          <w:i/>
          <w:szCs w:val="22"/>
          <w:lang w:val="lv-LV"/>
        </w:rPr>
      </w:pPr>
      <w:r>
        <w:rPr>
          <w:i/>
          <w:szCs w:val="22"/>
          <w:lang w:val="lv-LV"/>
        </w:rPr>
        <w:t>Lietošana bērniem</w:t>
      </w:r>
    </w:p>
    <w:p w14:paraId="318F21CE" w14:textId="77777777" w:rsidR="004C4C18" w:rsidRDefault="004C4C18" w:rsidP="00A062EA">
      <w:pPr>
        <w:tabs>
          <w:tab w:val="clear" w:pos="567"/>
        </w:tabs>
        <w:spacing w:line="240" w:lineRule="auto"/>
        <w:rPr>
          <w:szCs w:val="22"/>
          <w:lang w:val="lv-LV"/>
        </w:rPr>
      </w:pPr>
      <w:proofErr w:type="spellStart"/>
      <w:r w:rsidRPr="00123831">
        <w:rPr>
          <w:szCs w:val="22"/>
          <w:lang w:val="lv-LV"/>
        </w:rPr>
        <w:t>Neiratax</w:t>
      </w:r>
      <w:proofErr w:type="spellEnd"/>
      <w:r w:rsidRPr="00123831">
        <w:rPr>
          <w:szCs w:val="22"/>
          <w:lang w:val="lv-LV"/>
        </w:rPr>
        <w:t xml:space="preserve"> šķīdumu injekcijām </w:t>
      </w:r>
      <w:r w:rsidR="00E75EC6">
        <w:rPr>
          <w:szCs w:val="22"/>
          <w:lang w:val="lv-LV"/>
        </w:rPr>
        <w:t>nav ieteicams</w:t>
      </w:r>
      <w:r w:rsidRPr="00123831">
        <w:rPr>
          <w:szCs w:val="22"/>
          <w:lang w:val="lv-LV"/>
        </w:rPr>
        <w:t xml:space="preserve"> ievadīt bērniem līdz 12 gadu vecumam.</w:t>
      </w:r>
    </w:p>
    <w:p w14:paraId="5B10B201" w14:textId="77777777" w:rsidR="008C74D4" w:rsidRDefault="008C74D4" w:rsidP="00A062EA">
      <w:pPr>
        <w:tabs>
          <w:tab w:val="clear" w:pos="567"/>
        </w:tabs>
        <w:spacing w:line="240" w:lineRule="auto"/>
        <w:rPr>
          <w:szCs w:val="22"/>
          <w:lang w:val="lv-LV"/>
        </w:rPr>
      </w:pPr>
    </w:p>
    <w:p w14:paraId="2A89A5DC" w14:textId="77777777" w:rsidR="008C74D4" w:rsidRPr="008C74D4" w:rsidRDefault="008C74D4" w:rsidP="00A062EA">
      <w:pPr>
        <w:rPr>
          <w:szCs w:val="22"/>
          <w:lang w:val="lv-LV"/>
        </w:rPr>
      </w:pPr>
      <w:r w:rsidRPr="008C74D4">
        <w:rPr>
          <w:szCs w:val="22"/>
          <w:lang w:val="lv-LV"/>
        </w:rPr>
        <w:t>Norādījumi ampulas atvēršanai</w:t>
      </w:r>
    </w:p>
    <w:p w14:paraId="7DACA60F" w14:textId="77777777" w:rsidR="008C74D4" w:rsidRPr="008C74D4" w:rsidRDefault="008C74D4" w:rsidP="00A062EA">
      <w:pPr>
        <w:pStyle w:val="ListParagraph"/>
        <w:numPr>
          <w:ilvl w:val="0"/>
          <w:numId w:val="6"/>
        </w:numPr>
        <w:tabs>
          <w:tab w:val="clear" w:pos="567"/>
        </w:tabs>
        <w:spacing w:after="200" w:line="276" w:lineRule="auto"/>
        <w:ind w:left="426" w:hanging="426"/>
        <w:rPr>
          <w:szCs w:val="22"/>
          <w:lang w:val="lv-LV"/>
        </w:rPr>
      </w:pPr>
      <w:r w:rsidRPr="008C74D4">
        <w:rPr>
          <w:szCs w:val="22"/>
          <w:lang w:val="lv-LV"/>
        </w:rPr>
        <w:t>Pagriez</w:t>
      </w:r>
      <w:r w:rsidR="00403D87">
        <w:rPr>
          <w:szCs w:val="22"/>
          <w:lang w:val="lv-LV"/>
        </w:rPr>
        <w:t>iet</w:t>
      </w:r>
      <w:r w:rsidRPr="008C74D4">
        <w:rPr>
          <w:szCs w:val="22"/>
          <w:lang w:val="lv-LV"/>
        </w:rPr>
        <w:t xml:space="preserve"> ampulu ar krāsaino punktu uz augšu. Viegli piesitot ar pirkstu, ļau</w:t>
      </w:r>
      <w:r w:rsidR="00403D87">
        <w:rPr>
          <w:szCs w:val="22"/>
          <w:lang w:val="lv-LV"/>
        </w:rPr>
        <w:t>jiet</w:t>
      </w:r>
      <w:r w:rsidRPr="008C74D4">
        <w:rPr>
          <w:szCs w:val="22"/>
          <w:lang w:val="lv-LV"/>
        </w:rPr>
        <w:t xml:space="preserve"> šķīdumam, kas atrodas ampulas augšējā daļā, notecēt uz leju.</w:t>
      </w:r>
    </w:p>
    <w:p w14:paraId="636B960B" w14:textId="77777777" w:rsidR="008C74D4" w:rsidRPr="008C74D4" w:rsidRDefault="008C74D4" w:rsidP="00A062EA">
      <w:pPr>
        <w:pStyle w:val="ListParagraph"/>
        <w:numPr>
          <w:ilvl w:val="0"/>
          <w:numId w:val="6"/>
        </w:numPr>
        <w:tabs>
          <w:tab w:val="clear" w:pos="567"/>
        </w:tabs>
        <w:spacing w:after="200" w:line="276" w:lineRule="auto"/>
        <w:ind w:left="426" w:hanging="426"/>
        <w:rPr>
          <w:szCs w:val="22"/>
          <w:lang w:val="lv-LV"/>
        </w:rPr>
      </w:pPr>
      <w:r w:rsidRPr="008C74D4">
        <w:rPr>
          <w:szCs w:val="22"/>
          <w:lang w:val="lv-LV"/>
        </w:rPr>
        <w:t>Izmantojiet abas rokas, lai atvērtu ampulu; ar vienu roku pieturiet ampulas apakšējo daļu, tikmēr ar otru roku nolauziet ampulas augšējo daļu virzienā prom no krāsainā punkta (skat. attēlus zemāk).</w:t>
      </w:r>
    </w:p>
    <w:p w14:paraId="316802EE" w14:textId="2857D55E" w:rsidR="008C74D4" w:rsidRPr="008C74D4" w:rsidRDefault="00CE0398" w:rsidP="00A062EA">
      <w:pPr>
        <w:tabs>
          <w:tab w:val="clear" w:pos="567"/>
        </w:tabs>
        <w:spacing w:line="240" w:lineRule="auto"/>
        <w:rPr>
          <w:szCs w:val="22"/>
        </w:rPr>
      </w:pPr>
      <w:r w:rsidRPr="00AE42F4">
        <w:rPr>
          <w:noProof/>
          <w:snapToGrid/>
          <w:lang w:val="en-US" w:eastAsia="en-US"/>
        </w:rPr>
        <w:drawing>
          <wp:inline distT="0" distB="0" distL="0" distR="0" wp14:anchorId="295A526A" wp14:editId="47A88DE1">
            <wp:extent cx="3124200"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238375"/>
                    </a:xfrm>
                    <a:prstGeom prst="rect">
                      <a:avLst/>
                    </a:prstGeom>
                    <a:noFill/>
                    <a:ln>
                      <a:noFill/>
                    </a:ln>
                  </pic:spPr>
                </pic:pic>
              </a:graphicData>
            </a:graphic>
          </wp:inline>
        </w:drawing>
      </w:r>
    </w:p>
    <w:p w14:paraId="7E45439E" w14:textId="77777777" w:rsidR="004C4C18" w:rsidRPr="00556BDB" w:rsidRDefault="004C4C18" w:rsidP="00A062EA">
      <w:pPr>
        <w:numPr>
          <w:ilvl w:val="12"/>
          <w:numId w:val="0"/>
        </w:numPr>
        <w:tabs>
          <w:tab w:val="clear" w:pos="567"/>
        </w:tabs>
        <w:spacing w:line="240" w:lineRule="auto"/>
        <w:ind w:left="567" w:hanging="567"/>
        <w:rPr>
          <w:szCs w:val="22"/>
          <w:lang w:val="lv-LV"/>
        </w:rPr>
      </w:pPr>
    </w:p>
    <w:p w14:paraId="423FF876" w14:textId="77777777" w:rsidR="004C4C18" w:rsidRPr="007A41AA" w:rsidRDefault="004C4C18" w:rsidP="008D50E3">
      <w:pPr>
        <w:autoSpaceDE w:val="0"/>
        <w:autoSpaceDN w:val="0"/>
        <w:adjustRightInd w:val="0"/>
        <w:rPr>
          <w:b/>
          <w:bCs/>
          <w:szCs w:val="22"/>
          <w:lang w:val="lv-LV"/>
        </w:rPr>
      </w:pPr>
      <w:r w:rsidRPr="007A41AA">
        <w:rPr>
          <w:b/>
          <w:bCs/>
          <w:szCs w:val="22"/>
          <w:lang w:val="lv-LV"/>
        </w:rPr>
        <w:t xml:space="preserve">Ja esat saņēmis </w:t>
      </w:r>
      <w:proofErr w:type="spellStart"/>
      <w:r w:rsidR="00EE6F84" w:rsidRPr="007A41AA">
        <w:rPr>
          <w:b/>
          <w:bCs/>
          <w:szCs w:val="22"/>
          <w:lang w:val="lv-LV"/>
        </w:rPr>
        <w:t>Neiratax</w:t>
      </w:r>
      <w:proofErr w:type="spellEnd"/>
      <w:r w:rsidRPr="007A41AA" w:rsidDel="002529C0">
        <w:rPr>
          <w:b/>
          <w:bCs/>
          <w:szCs w:val="22"/>
          <w:lang w:val="lv-LV"/>
        </w:rPr>
        <w:t xml:space="preserve"> </w:t>
      </w:r>
      <w:r w:rsidRPr="007A41AA">
        <w:rPr>
          <w:b/>
          <w:bCs/>
          <w:szCs w:val="22"/>
          <w:lang w:val="lv-LV"/>
        </w:rPr>
        <w:t>vairāk nekā noteikts</w:t>
      </w:r>
    </w:p>
    <w:p w14:paraId="2B2BAEA5" w14:textId="77777777" w:rsidR="004C4C18" w:rsidRPr="008D50E3" w:rsidRDefault="004C4C18" w:rsidP="008D50E3">
      <w:pPr>
        <w:pStyle w:val="Default"/>
        <w:rPr>
          <w:rFonts w:ascii="Times New Roman" w:hAnsi="Times New Roman"/>
          <w:color w:val="auto"/>
          <w:sz w:val="22"/>
          <w:szCs w:val="22"/>
          <w:lang w:val="lv-LV"/>
        </w:rPr>
      </w:pPr>
      <w:r w:rsidRPr="008D50E3">
        <w:rPr>
          <w:rFonts w:ascii="Times New Roman" w:hAnsi="Times New Roman"/>
          <w:color w:val="auto"/>
          <w:sz w:val="22"/>
          <w:szCs w:val="22"/>
          <w:lang w:val="lv-LV"/>
        </w:rPr>
        <w:t xml:space="preserve">Šīs zāles Jums injicēs veselības aprūpes speciālists, tādēļ maz ticams, ka Jūs saņemsiet </w:t>
      </w:r>
      <w:proofErr w:type="spellStart"/>
      <w:r w:rsidRPr="008D50E3">
        <w:rPr>
          <w:rFonts w:ascii="Times New Roman" w:hAnsi="Times New Roman"/>
          <w:bCs/>
          <w:color w:val="auto"/>
          <w:sz w:val="22"/>
          <w:szCs w:val="22"/>
          <w:lang w:val="lv-LV"/>
        </w:rPr>
        <w:t>Neiratax</w:t>
      </w:r>
      <w:proofErr w:type="spellEnd"/>
      <w:r w:rsidRPr="008D50E3" w:rsidDel="002529C0">
        <w:rPr>
          <w:rFonts w:ascii="Times New Roman" w:hAnsi="Times New Roman"/>
          <w:b/>
          <w:bCs/>
          <w:color w:val="auto"/>
          <w:sz w:val="22"/>
          <w:szCs w:val="22"/>
          <w:lang w:val="lv-LV"/>
        </w:rPr>
        <w:t xml:space="preserve"> </w:t>
      </w:r>
      <w:r w:rsidRPr="008D50E3">
        <w:rPr>
          <w:rFonts w:ascii="Times New Roman" w:hAnsi="Times New Roman"/>
          <w:color w:val="auto"/>
          <w:sz w:val="22"/>
          <w:szCs w:val="22"/>
          <w:lang w:val="lv-LV"/>
        </w:rPr>
        <w:t>par daudz vai par maz.</w:t>
      </w:r>
    </w:p>
    <w:p w14:paraId="45D7B95F" w14:textId="77777777" w:rsidR="004C4C18" w:rsidRDefault="004C4C18" w:rsidP="008D50E3">
      <w:pPr>
        <w:autoSpaceDE w:val="0"/>
        <w:autoSpaceDN w:val="0"/>
        <w:adjustRightInd w:val="0"/>
        <w:rPr>
          <w:lang w:val="lv-LV"/>
        </w:rPr>
      </w:pPr>
    </w:p>
    <w:p w14:paraId="7FEF4BA6" w14:textId="77777777" w:rsidR="004C4C18" w:rsidRPr="00DB6257" w:rsidRDefault="0031382A" w:rsidP="008D50E3">
      <w:pPr>
        <w:autoSpaceDE w:val="0"/>
        <w:autoSpaceDN w:val="0"/>
        <w:adjustRightInd w:val="0"/>
        <w:rPr>
          <w:lang w:val="lv-LV"/>
        </w:rPr>
      </w:pPr>
      <w:r>
        <w:rPr>
          <w:lang w:val="lv-LV"/>
        </w:rPr>
        <w:t xml:space="preserve">Ja Jums </w:t>
      </w:r>
      <w:r w:rsidR="00F713F8">
        <w:rPr>
          <w:lang w:val="lv-LV"/>
        </w:rPr>
        <w:t>šķiet</w:t>
      </w:r>
      <w:r w:rsidR="004C4C18" w:rsidRPr="00DB6257">
        <w:rPr>
          <w:lang w:val="lv-LV"/>
        </w:rPr>
        <w:t xml:space="preserve">, ka </w:t>
      </w:r>
      <w:proofErr w:type="spellStart"/>
      <w:r w:rsidR="004C4C18" w:rsidRPr="00EF6440">
        <w:rPr>
          <w:bCs/>
          <w:lang w:val="lv-LV"/>
        </w:rPr>
        <w:t>N</w:t>
      </w:r>
      <w:r w:rsidR="004C4C18">
        <w:rPr>
          <w:bCs/>
          <w:lang w:val="lv-LV"/>
        </w:rPr>
        <w:t>eiratax</w:t>
      </w:r>
      <w:proofErr w:type="spellEnd"/>
      <w:r w:rsidR="004C4C18" w:rsidRPr="00DB6257" w:rsidDel="002529C0">
        <w:rPr>
          <w:b/>
          <w:bCs/>
          <w:lang w:val="lv-LV"/>
        </w:rPr>
        <w:t xml:space="preserve"> </w:t>
      </w:r>
      <w:r w:rsidR="004C4C18" w:rsidRPr="00DB6257">
        <w:rPr>
          <w:lang w:val="lv-LV"/>
        </w:rPr>
        <w:t>iedarbība ir par stipru vai par vāju, konsultējieties ar ārstu vai medmāsu.</w:t>
      </w:r>
    </w:p>
    <w:p w14:paraId="1A360CDA"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2697D041"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291D04E9" w14:textId="77777777" w:rsidR="00E122B3" w:rsidRPr="00556BDB" w:rsidRDefault="00E122B3" w:rsidP="008D50E3">
      <w:pPr>
        <w:tabs>
          <w:tab w:val="clear" w:pos="567"/>
        </w:tabs>
        <w:spacing w:line="240" w:lineRule="auto"/>
        <w:ind w:left="567" w:hanging="567"/>
        <w:rPr>
          <w:b/>
          <w:szCs w:val="22"/>
          <w:lang w:val="lv-LV"/>
        </w:rPr>
      </w:pPr>
      <w:r w:rsidRPr="00556BDB">
        <w:rPr>
          <w:b/>
          <w:szCs w:val="22"/>
          <w:lang w:val="lv-LV"/>
        </w:rPr>
        <w:t>4.</w:t>
      </w:r>
      <w:r w:rsidRPr="00556BDB">
        <w:rPr>
          <w:b/>
          <w:szCs w:val="22"/>
          <w:lang w:val="lv-LV"/>
        </w:rPr>
        <w:tab/>
        <w:t>Iespējamās blakusparādības</w:t>
      </w:r>
    </w:p>
    <w:p w14:paraId="59523A6E" w14:textId="77777777" w:rsidR="00E122B3" w:rsidRPr="00556BDB" w:rsidRDefault="00E122B3" w:rsidP="00A062EA">
      <w:pPr>
        <w:tabs>
          <w:tab w:val="clear" w:pos="567"/>
        </w:tabs>
        <w:spacing w:line="240" w:lineRule="auto"/>
        <w:ind w:left="567" w:hanging="567"/>
        <w:rPr>
          <w:szCs w:val="22"/>
          <w:lang w:val="lv-LV"/>
        </w:rPr>
      </w:pPr>
    </w:p>
    <w:p w14:paraId="42987B5B" w14:textId="77777777" w:rsidR="00E122B3" w:rsidRPr="00556BDB" w:rsidRDefault="00E122B3" w:rsidP="00A062EA">
      <w:pPr>
        <w:numPr>
          <w:ilvl w:val="12"/>
          <w:numId w:val="0"/>
        </w:numPr>
        <w:tabs>
          <w:tab w:val="clear" w:pos="567"/>
        </w:tabs>
        <w:spacing w:line="240" w:lineRule="auto"/>
        <w:ind w:left="567" w:hanging="567"/>
        <w:rPr>
          <w:szCs w:val="22"/>
          <w:lang w:val="lv-LV"/>
        </w:rPr>
      </w:pPr>
      <w:r w:rsidRPr="00556BDB">
        <w:rPr>
          <w:szCs w:val="22"/>
          <w:lang w:val="lv-LV"/>
        </w:rPr>
        <w:t>Tāpat kā visas zāles,</w:t>
      </w:r>
      <w:r w:rsidR="004746E1">
        <w:rPr>
          <w:szCs w:val="22"/>
          <w:lang w:val="lv-LV"/>
        </w:rPr>
        <w:t xml:space="preserve"> </w:t>
      </w:r>
      <w:r w:rsidRPr="00556BDB">
        <w:rPr>
          <w:szCs w:val="22"/>
          <w:lang w:val="lv-LV"/>
        </w:rPr>
        <w:t>šīs zāles var izraisīt blakusparādības, kaut arī ne visiem tās izpaužas.</w:t>
      </w:r>
    </w:p>
    <w:p w14:paraId="6EC13363" w14:textId="77777777" w:rsidR="00E122B3" w:rsidRDefault="00E122B3" w:rsidP="00A062EA">
      <w:pPr>
        <w:numPr>
          <w:ilvl w:val="12"/>
          <w:numId w:val="0"/>
        </w:numPr>
        <w:tabs>
          <w:tab w:val="clear" w:pos="567"/>
        </w:tabs>
        <w:spacing w:line="240" w:lineRule="auto"/>
        <w:ind w:left="567" w:hanging="567"/>
        <w:rPr>
          <w:szCs w:val="22"/>
          <w:lang w:val="lv-LV"/>
        </w:rPr>
      </w:pPr>
    </w:p>
    <w:p w14:paraId="04DD5B4C" w14:textId="77777777" w:rsidR="006A51FA" w:rsidRPr="008D50E3" w:rsidRDefault="006A51FA" w:rsidP="00A062EA">
      <w:pPr>
        <w:pStyle w:val="Default"/>
        <w:rPr>
          <w:rFonts w:ascii="Times New Roman" w:hAnsi="Times New Roman"/>
          <w:sz w:val="22"/>
          <w:szCs w:val="22"/>
          <w:lang w:val="lv-LV"/>
        </w:rPr>
      </w:pPr>
      <w:r w:rsidRPr="008D50E3">
        <w:rPr>
          <w:rFonts w:ascii="Times New Roman" w:hAnsi="Times New Roman"/>
          <w:sz w:val="22"/>
          <w:szCs w:val="22"/>
          <w:lang w:val="lv-LV"/>
        </w:rPr>
        <w:t>Nevēlamās blakusparādības, pamatojoties uz to biežumu</w:t>
      </w:r>
    </w:p>
    <w:p w14:paraId="3B042FAD" w14:textId="77777777" w:rsidR="006A51FA" w:rsidRPr="00EF6440" w:rsidRDefault="006A51FA" w:rsidP="00A062EA">
      <w:pPr>
        <w:pStyle w:val="Default"/>
        <w:rPr>
          <w:rFonts w:ascii="Times New Roman" w:hAnsi="Times New Roman"/>
          <w:lang w:val="lv-LV"/>
        </w:rPr>
      </w:pPr>
    </w:p>
    <w:p w14:paraId="2AA5DB1D" w14:textId="77777777" w:rsidR="006A51FA" w:rsidRPr="00A146F3" w:rsidRDefault="006A51FA" w:rsidP="008D50E3">
      <w:pPr>
        <w:autoSpaceDE w:val="0"/>
        <w:autoSpaceDN w:val="0"/>
        <w:adjustRightInd w:val="0"/>
        <w:rPr>
          <w:lang w:val="lv-LV"/>
        </w:rPr>
      </w:pPr>
      <w:r w:rsidRPr="00A146F3">
        <w:rPr>
          <w:i/>
          <w:lang w:val="lv-LV"/>
        </w:rPr>
        <w:t xml:space="preserve">Reti </w:t>
      </w:r>
      <w:r w:rsidRPr="00A146F3">
        <w:rPr>
          <w:lang w:val="lv-LV"/>
        </w:rPr>
        <w:t>(var rasties mazāk nekā 1 no 1</w:t>
      </w:r>
      <w:r w:rsidR="00D4572A">
        <w:rPr>
          <w:lang w:val="lv-LV"/>
        </w:rPr>
        <w:t> </w:t>
      </w:r>
      <w:r w:rsidRPr="00A146F3">
        <w:rPr>
          <w:lang w:val="lv-LV"/>
        </w:rPr>
        <w:t>000 cilvēkiem):</w:t>
      </w:r>
    </w:p>
    <w:p w14:paraId="37D3A427" w14:textId="77777777" w:rsidR="006A51FA" w:rsidRPr="001814AD" w:rsidRDefault="006A51FA" w:rsidP="008D50E3">
      <w:pPr>
        <w:numPr>
          <w:ilvl w:val="0"/>
          <w:numId w:val="10"/>
        </w:numPr>
        <w:tabs>
          <w:tab w:val="clear" w:pos="567"/>
        </w:tabs>
        <w:autoSpaceDE w:val="0"/>
        <w:autoSpaceDN w:val="0"/>
        <w:adjustRightInd w:val="0"/>
        <w:spacing w:line="240" w:lineRule="auto"/>
        <w:ind w:left="567" w:hanging="567"/>
        <w:rPr>
          <w:lang w:val="lv-LV"/>
        </w:rPr>
      </w:pPr>
      <w:r>
        <w:rPr>
          <w:lang w:val="lv-LV"/>
        </w:rPr>
        <w:t>p</w:t>
      </w:r>
      <w:r w:rsidRPr="001814AD">
        <w:rPr>
          <w:lang w:val="lv-LV"/>
        </w:rPr>
        <w:t xml:space="preserve">aaugstinātas jutības reakcijas (piemēram, izsitumi uz ādas, elpošanas nomākums, šoks, </w:t>
      </w:r>
      <w:proofErr w:type="spellStart"/>
      <w:r w:rsidR="00B44B87">
        <w:rPr>
          <w:lang w:val="lv-LV"/>
        </w:rPr>
        <w:t>angioedēma</w:t>
      </w:r>
      <w:proofErr w:type="spellEnd"/>
      <w:r w:rsidRPr="001814AD">
        <w:rPr>
          <w:lang w:val="lv-LV"/>
        </w:rPr>
        <w:t xml:space="preserve">). </w:t>
      </w:r>
      <w:proofErr w:type="spellStart"/>
      <w:r w:rsidRPr="001814AD">
        <w:rPr>
          <w:lang w:val="lv-LV"/>
        </w:rPr>
        <w:t>Benzilspirts</w:t>
      </w:r>
      <w:proofErr w:type="spellEnd"/>
      <w:r w:rsidRPr="001814AD">
        <w:rPr>
          <w:lang w:val="lv-LV"/>
        </w:rPr>
        <w:t>: paaugstinātas jutības reakcijas.</w:t>
      </w:r>
    </w:p>
    <w:p w14:paraId="4D4D43FC" w14:textId="77777777" w:rsidR="006A51FA" w:rsidRDefault="006A51FA" w:rsidP="008D50E3">
      <w:pPr>
        <w:autoSpaceDE w:val="0"/>
        <w:autoSpaceDN w:val="0"/>
        <w:adjustRightInd w:val="0"/>
        <w:ind w:left="567" w:hanging="567"/>
        <w:rPr>
          <w:lang w:val="lv-LV"/>
        </w:rPr>
      </w:pPr>
    </w:p>
    <w:p w14:paraId="2835EFE4" w14:textId="77777777" w:rsidR="006A51FA" w:rsidRPr="00A146F3" w:rsidRDefault="006A51FA" w:rsidP="008D50E3">
      <w:pPr>
        <w:autoSpaceDE w:val="0"/>
        <w:autoSpaceDN w:val="0"/>
        <w:adjustRightInd w:val="0"/>
        <w:rPr>
          <w:lang w:val="lv-LV"/>
        </w:rPr>
      </w:pPr>
      <w:r w:rsidRPr="00A146F3">
        <w:rPr>
          <w:i/>
          <w:lang w:val="lv-LV"/>
        </w:rPr>
        <w:t xml:space="preserve">Ļoti reti </w:t>
      </w:r>
      <w:r w:rsidRPr="00A146F3">
        <w:rPr>
          <w:lang w:val="lv-LV"/>
        </w:rPr>
        <w:t>(var rasties mazāk nekā 1 no 10 000 cilvēku):</w:t>
      </w:r>
    </w:p>
    <w:p w14:paraId="3840D366" w14:textId="77777777" w:rsidR="006A51FA" w:rsidRPr="00424C96" w:rsidRDefault="00EF2B85" w:rsidP="008D50E3">
      <w:pPr>
        <w:numPr>
          <w:ilvl w:val="0"/>
          <w:numId w:val="11"/>
        </w:numPr>
        <w:tabs>
          <w:tab w:val="clear" w:pos="567"/>
        </w:tabs>
        <w:autoSpaceDE w:val="0"/>
        <w:autoSpaceDN w:val="0"/>
        <w:adjustRightInd w:val="0"/>
        <w:spacing w:line="240" w:lineRule="auto"/>
        <w:ind w:left="567" w:hanging="567"/>
        <w:rPr>
          <w:lang w:val="lv-LV"/>
        </w:rPr>
      </w:pPr>
      <w:r>
        <w:rPr>
          <w:lang w:val="lv-LV"/>
        </w:rPr>
        <w:t>s</w:t>
      </w:r>
      <w:r w:rsidR="006A51FA">
        <w:rPr>
          <w:lang w:val="lv-LV"/>
        </w:rPr>
        <w:t>irdsklauves (tahikardija)</w:t>
      </w:r>
      <w:r>
        <w:rPr>
          <w:lang w:val="lv-LV"/>
        </w:rPr>
        <w:t>;</w:t>
      </w:r>
    </w:p>
    <w:p w14:paraId="29FAB42B" w14:textId="77777777" w:rsidR="006A51FA" w:rsidRPr="00A146F3" w:rsidRDefault="00EF2B85" w:rsidP="008D50E3">
      <w:pPr>
        <w:numPr>
          <w:ilvl w:val="0"/>
          <w:numId w:val="11"/>
        </w:numPr>
        <w:tabs>
          <w:tab w:val="clear" w:pos="567"/>
        </w:tabs>
        <w:autoSpaceDE w:val="0"/>
        <w:autoSpaceDN w:val="0"/>
        <w:adjustRightInd w:val="0"/>
        <w:spacing w:line="240" w:lineRule="auto"/>
        <w:ind w:left="567" w:hanging="567"/>
        <w:rPr>
          <w:lang w:val="lv-LV"/>
        </w:rPr>
      </w:pPr>
      <w:r>
        <w:rPr>
          <w:lang w:val="lv-LV"/>
        </w:rPr>
        <w:t>s</w:t>
      </w:r>
      <w:r w:rsidR="006A51FA">
        <w:rPr>
          <w:lang w:val="lv-LV"/>
        </w:rPr>
        <w:t>tipra</w:t>
      </w:r>
      <w:r w:rsidR="006A51FA" w:rsidRPr="00424C96">
        <w:rPr>
          <w:lang w:val="lv-LV"/>
        </w:rPr>
        <w:t xml:space="preserve"> svīšana, pinnes, ādas reakcijas ar niezi un nātreni.</w:t>
      </w:r>
    </w:p>
    <w:p w14:paraId="11DE8D5F" w14:textId="77777777" w:rsidR="006A51FA" w:rsidRPr="00A146F3" w:rsidRDefault="006A51FA" w:rsidP="008D50E3">
      <w:pPr>
        <w:autoSpaceDE w:val="0"/>
        <w:autoSpaceDN w:val="0"/>
        <w:adjustRightInd w:val="0"/>
        <w:rPr>
          <w:lang w:val="lv-LV"/>
        </w:rPr>
      </w:pPr>
    </w:p>
    <w:p w14:paraId="21E22E62" w14:textId="77777777" w:rsidR="006A51FA" w:rsidRPr="00B652E4" w:rsidRDefault="006A51FA" w:rsidP="008D50E3">
      <w:pPr>
        <w:ind w:right="43"/>
        <w:rPr>
          <w:szCs w:val="22"/>
          <w:lang w:val="lv-LV"/>
        </w:rPr>
      </w:pPr>
      <w:r w:rsidRPr="00B652E4">
        <w:rPr>
          <w:i/>
          <w:szCs w:val="22"/>
          <w:lang w:val="lv-LV"/>
        </w:rPr>
        <w:t>Nav zināms</w:t>
      </w:r>
      <w:r w:rsidRPr="00B652E4">
        <w:rPr>
          <w:szCs w:val="22"/>
          <w:lang w:val="lv-LV"/>
        </w:rPr>
        <w:t xml:space="preserve"> (sastopamības biežumu nevar noteikt pēc pieejamajiem datiem):</w:t>
      </w:r>
    </w:p>
    <w:p w14:paraId="7D1A3A44" w14:textId="77777777" w:rsidR="006A51FA" w:rsidRPr="008D50E3" w:rsidRDefault="00EF2B85" w:rsidP="008D50E3">
      <w:pPr>
        <w:pStyle w:val="BodyText"/>
        <w:numPr>
          <w:ilvl w:val="0"/>
          <w:numId w:val="12"/>
        </w:numPr>
        <w:ind w:left="567" w:hanging="567"/>
        <w:jc w:val="left"/>
        <w:rPr>
          <w:sz w:val="22"/>
          <w:szCs w:val="22"/>
          <w:lang w:val="lv-LV"/>
        </w:rPr>
      </w:pPr>
      <w:r w:rsidRPr="008D50E3">
        <w:rPr>
          <w:sz w:val="22"/>
          <w:szCs w:val="22"/>
          <w:lang w:val="lv-LV"/>
        </w:rPr>
        <w:t>r</w:t>
      </w:r>
      <w:r w:rsidR="006A51FA" w:rsidRPr="008D50E3">
        <w:rPr>
          <w:sz w:val="22"/>
          <w:szCs w:val="22"/>
          <w:lang w:val="lv-LV"/>
        </w:rPr>
        <w:t>eibonis, apziņas aptumšošanās</w:t>
      </w:r>
      <w:r w:rsidRPr="008D50E3">
        <w:rPr>
          <w:sz w:val="22"/>
          <w:szCs w:val="22"/>
          <w:lang w:val="lv-LV"/>
        </w:rPr>
        <w:t>;</w:t>
      </w:r>
    </w:p>
    <w:p w14:paraId="723A4CA5" w14:textId="77777777" w:rsidR="006A51FA" w:rsidRPr="008D50E3" w:rsidRDefault="00EF2B85" w:rsidP="008D50E3">
      <w:pPr>
        <w:pStyle w:val="BodyText"/>
        <w:numPr>
          <w:ilvl w:val="0"/>
          <w:numId w:val="12"/>
        </w:numPr>
        <w:ind w:left="567" w:hanging="567"/>
        <w:jc w:val="left"/>
        <w:rPr>
          <w:spacing w:val="-2"/>
          <w:sz w:val="22"/>
          <w:szCs w:val="22"/>
          <w:lang w:val="lv-LV"/>
        </w:rPr>
      </w:pPr>
      <w:r w:rsidRPr="008D50E3">
        <w:rPr>
          <w:spacing w:val="-2"/>
          <w:sz w:val="22"/>
          <w:szCs w:val="22"/>
          <w:lang w:val="lv-LV"/>
        </w:rPr>
        <w:t>s</w:t>
      </w:r>
      <w:r w:rsidR="006A51FA" w:rsidRPr="008D50E3">
        <w:rPr>
          <w:spacing w:val="-2"/>
          <w:sz w:val="22"/>
          <w:szCs w:val="22"/>
          <w:lang w:val="lv-LV"/>
        </w:rPr>
        <w:t>irdsdarbības palēnināšanās (bradikardija), sirds ritma traucējumi</w:t>
      </w:r>
      <w:r w:rsidRPr="008D50E3">
        <w:rPr>
          <w:spacing w:val="-2"/>
          <w:sz w:val="22"/>
          <w:szCs w:val="22"/>
          <w:lang w:val="lv-LV"/>
        </w:rPr>
        <w:t>;</w:t>
      </w:r>
      <w:r w:rsidR="006A51FA" w:rsidRPr="008D50E3">
        <w:rPr>
          <w:spacing w:val="-2"/>
          <w:sz w:val="22"/>
          <w:szCs w:val="22"/>
          <w:lang w:val="lv-LV"/>
        </w:rPr>
        <w:t xml:space="preserve"> </w:t>
      </w:r>
    </w:p>
    <w:p w14:paraId="419B3F37" w14:textId="77777777" w:rsidR="006A51FA" w:rsidRPr="008D50E3" w:rsidRDefault="007904C4" w:rsidP="008D50E3">
      <w:pPr>
        <w:pStyle w:val="BodyText"/>
        <w:numPr>
          <w:ilvl w:val="0"/>
          <w:numId w:val="12"/>
        </w:numPr>
        <w:ind w:left="567" w:hanging="567"/>
        <w:jc w:val="left"/>
        <w:rPr>
          <w:sz w:val="22"/>
          <w:szCs w:val="22"/>
          <w:lang w:val="lv-LV"/>
        </w:rPr>
      </w:pPr>
      <w:r w:rsidRPr="008D50E3">
        <w:rPr>
          <w:sz w:val="22"/>
          <w:szCs w:val="22"/>
          <w:lang w:val="lv-LV"/>
        </w:rPr>
        <w:t>v</w:t>
      </w:r>
      <w:r w:rsidR="006A51FA" w:rsidRPr="008D50E3">
        <w:rPr>
          <w:sz w:val="22"/>
          <w:szCs w:val="22"/>
          <w:lang w:val="lv-LV"/>
        </w:rPr>
        <w:t>emšana</w:t>
      </w:r>
      <w:r w:rsidR="00476572" w:rsidRPr="008D50E3">
        <w:rPr>
          <w:sz w:val="22"/>
          <w:szCs w:val="22"/>
          <w:lang w:val="lv-LV"/>
        </w:rPr>
        <w:t>;</w:t>
      </w:r>
    </w:p>
    <w:p w14:paraId="7BD502C2" w14:textId="77777777" w:rsidR="006A51FA" w:rsidRPr="008D50E3" w:rsidRDefault="007904C4" w:rsidP="008D50E3">
      <w:pPr>
        <w:pStyle w:val="BodyText"/>
        <w:numPr>
          <w:ilvl w:val="0"/>
          <w:numId w:val="12"/>
        </w:numPr>
        <w:ind w:left="567" w:hanging="567"/>
        <w:jc w:val="left"/>
        <w:rPr>
          <w:sz w:val="22"/>
          <w:szCs w:val="22"/>
          <w:lang w:val="lv-LV"/>
        </w:rPr>
      </w:pPr>
      <w:r w:rsidRPr="008D50E3">
        <w:rPr>
          <w:sz w:val="22"/>
          <w:szCs w:val="22"/>
          <w:lang w:val="lv-LV"/>
        </w:rPr>
        <w:t>k</w:t>
      </w:r>
      <w:r w:rsidR="00867D64" w:rsidRPr="008D50E3">
        <w:rPr>
          <w:sz w:val="22"/>
          <w:szCs w:val="22"/>
          <w:lang w:val="lv-LV"/>
        </w:rPr>
        <w:t>rampji</w:t>
      </w:r>
      <w:r w:rsidRPr="008D50E3">
        <w:rPr>
          <w:sz w:val="22"/>
          <w:szCs w:val="22"/>
          <w:lang w:val="lv-LV"/>
        </w:rPr>
        <w:t>;</w:t>
      </w:r>
    </w:p>
    <w:p w14:paraId="35D7CE41" w14:textId="77777777" w:rsidR="006A51FA" w:rsidRPr="008D50E3" w:rsidRDefault="007904C4" w:rsidP="008D50E3">
      <w:pPr>
        <w:pStyle w:val="BodyText"/>
        <w:numPr>
          <w:ilvl w:val="0"/>
          <w:numId w:val="12"/>
        </w:numPr>
        <w:ind w:left="567" w:hanging="567"/>
        <w:jc w:val="left"/>
        <w:rPr>
          <w:sz w:val="22"/>
          <w:szCs w:val="22"/>
          <w:lang w:val="lv-LV"/>
        </w:rPr>
      </w:pPr>
      <w:r w:rsidRPr="008D50E3">
        <w:rPr>
          <w:sz w:val="22"/>
          <w:szCs w:val="22"/>
          <w:lang w:val="lv-LV"/>
        </w:rPr>
        <w:t>s</w:t>
      </w:r>
      <w:r w:rsidR="006A51FA" w:rsidRPr="008D50E3">
        <w:rPr>
          <w:sz w:val="22"/>
          <w:szCs w:val="22"/>
          <w:lang w:val="lv-LV"/>
        </w:rPr>
        <w:t>istēmiskas reakcijas, tostarp centrālās</w:t>
      </w:r>
      <w:r w:rsidR="004E7E0F" w:rsidRPr="008D50E3">
        <w:rPr>
          <w:sz w:val="22"/>
          <w:szCs w:val="22"/>
          <w:lang w:val="lv-LV"/>
        </w:rPr>
        <w:t xml:space="preserve"> nervu sistēmas uzbudinājums</w:t>
      </w:r>
      <w:r w:rsidR="006A51FA" w:rsidRPr="008D50E3">
        <w:rPr>
          <w:sz w:val="22"/>
          <w:szCs w:val="22"/>
          <w:lang w:val="lv-LV"/>
        </w:rPr>
        <w:t xml:space="preserve"> un/vai depresija (līdzsvara traucējumi, nervozitāte, briesmu sajūta, eiforija, apjukums, reibonis, apziņas aptumšošanās, troksnis ausīs, neskaidra redze vai redzes dubultošanās, vemšana, aukstuma vai karstuma sajūta, nejutīgums), var rasties ātras injekcijas (nejauša intravenoza ievadīšana, injekcija stipri apasiņotos audos) vai pārdozēšanas rezultātā.</w:t>
      </w:r>
    </w:p>
    <w:p w14:paraId="33105E2B" w14:textId="77777777" w:rsidR="006A51FA" w:rsidRPr="00556BDB" w:rsidRDefault="006A51FA" w:rsidP="00A062EA">
      <w:pPr>
        <w:numPr>
          <w:ilvl w:val="12"/>
          <w:numId w:val="0"/>
        </w:numPr>
        <w:tabs>
          <w:tab w:val="clear" w:pos="567"/>
        </w:tabs>
        <w:spacing w:line="240" w:lineRule="auto"/>
        <w:ind w:left="567" w:hanging="567"/>
        <w:rPr>
          <w:szCs w:val="22"/>
          <w:lang w:val="lv-LV"/>
        </w:rPr>
      </w:pPr>
    </w:p>
    <w:p w14:paraId="15F96733" w14:textId="77777777" w:rsidR="00E122B3" w:rsidRPr="00556BDB" w:rsidRDefault="00E122B3" w:rsidP="00A062EA">
      <w:pPr>
        <w:numPr>
          <w:ilvl w:val="12"/>
          <w:numId w:val="0"/>
        </w:numPr>
        <w:spacing w:line="240" w:lineRule="auto"/>
        <w:outlineLvl w:val="0"/>
        <w:rPr>
          <w:b/>
          <w:szCs w:val="22"/>
          <w:lang w:val="lv-LV"/>
        </w:rPr>
      </w:pPr>
      <w:r w:rsidRPr="00556BDB">
        <w:rPr>
          <w:b/>
          <w:szCs w:val="22"/>
          <w:lang w:val="lv-LV"/>
        </w:rPr>
        <w:t>Ziņošana par blakusparādībām</w:t>
      </w:r>
    </w:p>
    <w:p w14:paraId="1BF8BF42" w14:textId="77777777" w:rsidR="00E122B3" w:rsidRPr="006A51FA" w:rsidRDefault="00E122B3" w:rsidP="00A062EA">
      <w:pPr>
        <w:autoSpaceDE w:val="0"/>
        <w:autoSpaceDN w:val="0"/>
        <w:adjustRightInd w:val="0"/>
        <w:rPr>
          <w:b/>
          <w:bCs/>
          <w:szCs w:val="22"/>
          <w:lang w:val="lv-LV"/>
        </w:rPr>
      </w:pPr>
      <w:r w:rsidRPr="00556BDB">
        <w:rPr>
          <w:szCs w:val="22"/>
          <w:lang w:val="lv-LV"/>
        </w:rPr>
        <w:lastRenderedPageBreak/>
        <w:t>Ja Jums rodas jebkādas blaku</w:t>
      </w:r>
      <w:r w:rsidR="006A51FA">
        <w:rPr>
          <w:szCs w:val="22"/>
          <w:lang w:val="lv-LV"/>
        </w:rPr>
        <w:t xml:space="preserve">sparādības, konsultējieties ar </w:t>
      </w:r>
      <w:r w:rsidRPr="00556BDB">
        <w:rPr>
          <w:szCs w:val="22"/>
          <w:lang w:val="lv-LV"/>
        </w:rPr>
        <w:t>ārstu</w:t>
      </w:r>
      <w:r w:rsidR="006A51FA">
        <w:rPr>
          <w:szCs w:val="22"/>
          <w:lang w:val="lv-LV"/>
        </w:rPr>
        <w:t xml:space="preserve"> </w:t>
      </w:r>
      <w:r w:rsidRPr="00556BDB">
        <w:rPr>
          <w:szCs w:val="22"/>
          <w:lang w:val="lv-LV"/>
        </w:rPr>
        <w:t>vai medmāsu. Tas attiecas arī uz iespējamajām blakusparādībām, kas nav minētas šajā instrukcijā. Jūs varat ziņot par blakusparādībām arī tieši</w:t>
      </w:r>
      <w:r w:rsidR="006A51FA" w:rsidRPr="006A51FA">
        <w:rPr>
          <w:color w:val="000000"/>
          <w:szCs w:val="22"/>
          <w:lang w:val="lv-LV"/>
        </w:rPr>
        <w:t xml:space="preserve"> </w:t>
      </w:r>
      <w:r w:rsidR="006A51FA" w:rsidRPr="00123831">
        <w:rPr>
          <w:color w:val="000000"/>
          <w:szCs w:val="22"/>
          <w:lang w:val="lv-LV"/>
        </w:rPr>
        <w:t>Zāļu valsts aģentū</w:t>
      </w:r>
      <w:r w:rsidR="00427E19">
        <w:rPr>
          <w:color w:val="000000"/>
          <w:szCs w:val="22"/>
          <w:lang w:val="lv-LV"/>
        </w:rPr>
        <w:t>rai, Jersikas ielā 15, Rīgā, LV</w:t>
      </w:r>
      <w:r w:rsidR="00B652E4">
        <w:rPr>
          <w:color w:val="000000"/>
          <w:szCs w:val="22"/>
          <w:lang w:val="lv-LV"/>
        </w:rPr>
        <w:t> </w:t>
      </w:r>
      <w:r w:rsidR="006A51FA" w:rsidRPr="00123831">
        <w:rPr>
          <w:color w:val="000000"/>
          <w:szCs w:val="22"/>
          <w:lang w:val="lv-LV"/>
        </w:rPr>
        <w:t xml:space="preserve">1003. Tīmekļa </w:t>
      </w:r>
      <w:r w:rsidR="006A51FA" w:rsidRPr="00123831">
        <w:rPr>
          <w:szCs w:val="22"/>
          <w:lang w:val="lv-LV"/>
        </w:rPr>
        <w:t>vietne: www.zva.gov.lv</w:t>
      </w:r>
      <w:r w:rsidRPr="00556BDB">
        <w:rPr>
          <w:szCs w:val="22"/>
          <w:lang w:val="lv-LV"/>
        </w:rPr>
        <w:t>. Ziņojot par blakusparādībām, Jūs varat palīdzēt nodrošināt daudz plašāku informāciju par šo zāļu drošumu.</w:t>
      </w:r>
    </w:p>
    <w:p w14:paraId="30CE1581" w14:textId="77777777" w:rsidR="00E122B3" w:rsidRPr="00556BDB" w:rsidRDefault="00E122B3" w:rsidP="00A062EA">
      <w:pPr>
        <w:numPr>
          <w:ilvl w:val="12"/>
          <w:numId w:val="0"/>
        </w:numPr>
        <w:tabs>
          <w:tab w:val="clear" w:pos="567"/>
        </w:tabs>
        <w:spacing w:line="240" w:lineRule="auto"/>
        <w:rPr>
          <w:szCs w:val="22"/>
          <w:lang w:val="lv-LV"/>
        </w:rPr>
      </w:pPr>
    </w:p>
    <w:p w14:paraId="6D1BB720"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5B4D287B" w14:textId="77777777" w:rsidR="00E122B3" w:rsidRPr="00556BDB" w:rsidRDefault="00E122B3" w:rsidP="00A062EA">
      <w:pPr>
        <w:numPr>
          <w:ilvl w:val="12"/>
          <w:numId w:val="0"/>
        </w:numPr>
        <w:tabs>
          <w:tab w:val="clear" w:pos="567"/>
        </w:tabs>
        <w:spacing w:line="240" w:lineRule="auto"/>
        <w:ind w:left="567" w:hanging="567"/>
        <w:rPr>
          <w:szCs w:val="22"/>
          <w:lang w:val="lv-LV"/>
        </w:rPr>
      </w:pPr>
      <w:r w:rsidRPr="00556BDB">
        <w:rPr>
          <w:b/>
          <w:szCs w:val="22"/>
          <w:lang w:val="lv-LV"/>
        </w:rPr>
        <w:t>5.</w:t>
      </w:r>
      <w:r w:rsidRPr="00556BDB">
        <w:rPr>
          <w:b/>
          <w:szCs w:val="22"/>
          <w:lang w:val="lv-LV"/>
        </w:rPr>
        <w:tab/>
        <w:t xml:space="preserve">Kā uzglabāt </w:t>
      </w:r>
      <w:proofErr w:type="spellStart"/>
      <w:r w:rsidR="003C7696" w:rsidRPr="00556BDB">
        <w:rPr>
          <w:b/>
          <w:szCs w:val="22"/>
          <w:lang w:val="lv-LV"/>
        </w:rPr>
        <w:t>Neiratax</w:t>
      </w:r>
      <w:proofErr w:type="spellEnd"/>
    </w:p>
    <w:p w14:paraId="3A16D937"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1997E75A" w14:textId="77777777" w:rsidR="00A52DD1" w:rsidRPr="00C46575" w:rsidRDefault="00A52DD1" w:rsidP="00A062EA">
      <w:pPr>
        <w:autoSpaceDE w:val="0"/>
        <w:autoSpaceDN w:val="0"/>
        <w:adjustRightInd w:val="0"/>
        <w:spacing w:line="240" w:lineRule="auto"/>
        <w:rPr>
          <w:szCs w:val="22"/>
          <w:lang w:val="lv-LV"/>
        </w:rPr>
      </w:pPr>
      <w:r w:rsidRPr="00C46575">
        <w:rPr>
          <w:szCs w:val="22"/>
          <w:lang w:val="lv-LV"/>
        </w:rPr>
        <w:t>Uzglabāt ledusskapī (2°C – 8°C). Nesasaldēt. Uzglabāt oriģinālā iepakojumā, lai pasargātu no gaismas.</w:t>
      </w:r>
    </w:p>
    <w:p w14:paraId="73932F66" w14:textId="77777777" w:rsidR="00A52DD1" w:rsidRPr="00C46575" w:rsidRDefault="00A52DD1" w:rsidP="00A062EA">
      <w:pPr>
        <w:numPr>
          <w:ilvl w:val="12"/>
          <w:numId w:val="0"/>
        </w:numPr>
        <w:tabs>
          <w:tab w:val="clear" w:pos="567"/>
        </w:tabs>
        <w:spacing w:line="240" w:lineRule="auto"/>
        <w:rPr>
          <w:szCs w:val="22"/>
          <w:lang w:val="lv-LV"/>
        </w:rPr>
      </w:pPr>
      <w:r w:rsidRPr="00C46575">
        <w:rPr>
          <w:szCs w:val="22"/>
          <w:lang w:val="lv-LV"/>
        </w:rPr>
        <w:t>Uzglabāt šīs zāles bērniem neredzamā un nepieejamā vietā.</w:t>
      </w:r>
    </w:p>
    <w:p w14:paraId="708E55BC" w14:textId="77777777" w:rsidR="00A52DD1" w:rsidRDefault="00A52DD1" w:rsidP="00A062EA">
      <w:pPr>
        <w:numPr>
          <w:ilvl w:val="12"/>
          <w:numId w:val="0"/>
        </w:numPr>
        <w:tabs>
          <w:tab w:val="clear" w:pos="567"/>
        </w:tabs>
        <w:spacing w:line="240" w:lineRule="auto"/>
        <w:rPr>
          <w:szCs w:val="22"/>
          <w:lang w:val="lv-LV"/>
        </w:rPr>
      </w:pPr>
    </w:p>
    <w:p w14:paraId="1F7C0CE7" w14:textId="77777777" w:rsidR="00A52DD1" w:rsidRPr="00556BDB" w:rsidRDefault="00A52DD1" w:rsidP="00A062EA">
      <w:pPr>
        <w:numPr>
          <w:ilvl w:val="12"/>
          <w:numId w:val="0"/>
        </w:numPr>
        <w:tabs>
          <w:tab w:val="clear" w:pos="567"/>
        </w:tabs>
        <w:spacing w:line="240" w:lineRule="auto"/>
        <w:rPr>
          <w:szCs w:val="22"/>
          <w:lang w:val="lv-LV"/>
        </w:rPr>
      </w:pPr>
      <w:r>
        <w:rPr>
          <w:szCs w:val="22"/>
          <w:lang w:val="lv-LV"/>
        </w:rPr>
        <w:t>Tiklīdz ampula tiek atvērta, zāles ir jāizlieto nekavējoties.</w:t>
      </w:r>
    </w:p>
    <w:p w14:paraId="7507BA47" w14:textId="77777777" w:rsidR="00E122B3" w:rsidRPr="00556BDB" w:rsidRDefault="00E122B3" w:rsidP="00A062EA">
      <w:pPr>
        <w:numPr>
          <w:ilvl w:val="12"/>
          <w:numId w:val="0"/>
        </w:numPr>
        <w:tabs>
          <w:tab w:val="clear" w:pos="567"/>
        </w:tabs>
        <w:spacing w:line="240" w:lineRule="auto"/>
        <w:rPr>
          <w:szCs w:val="22"/>
          <w:lang w:val="lv-LV"/>
        </w:rPr>
      </w:pPr>
    </w:p>
    <w:p w14:paraId="4482371F" w14:textId="77777777" w:rsidR="00E122B3" w:rsidRPr="00556BDB" w:rsidRDefault="00E122B3" w:rsidP="00A062EA">
      <w:pPr>
        <w:numPr>
          <w:ilvl w:val="12"/>
          <w:numId w:val="0"/>
        </w:numPr>
        <w:tabs>
          <w:tab w:val="clear" w:pos="567"/>
        </w:tabs>
        <w:spacing w:line="240" w:lineRule="auto"/>
        <w:rPr>
          <w:szCs w:val="22"/>
          <w:lang w:val="lv-LV"/>
        </w:rPr>
      </w:pPr>
      <w:r w:rsidRPr="00556BDB">
        <w:rPr>
          <w:szCs w:val="22"/>
          <w:lang w:val="lv-LV"/>
        </w:rPr>
        <w:t>Nelietot šīs zāles pēc derīguma t</w:t>
      </w:r>
      <w:r w:rsidR="00A52DD1">
        <w:rPr>
          <w:szCs w:val="22"/>
          <w:lang w:val="lv-LV"/>
        </w:rPr>
        <w:t xml:space="preserve">ermiņa beigām, kas norādīts uz </w:t>
      </w:r>
      <w:r w:rsidRPr="00556BDB">
        <w:rPr>
          <w:szCs w:val="22"/>
          <w:lang w:val="lv-LV"/>
        </w:rPr>
        <w:t>kastītes</w:t>
      </w:r>
      <w:r w:rsidR="00A52DD1">
        <w:rPr>
          <w:szCs w:val="22"/>
          <w:lang w:val="lv-LV"/>
        </w:rPr>
        <w:t xml:space="preserve"> </w:t>
      </w:r>
      <w:r w:rsidRPr="00556BDB">
        <w:rPr>
          <w:szCs w:val="22"/>
          <w:lang w:val="lv-LV"/>
        </w:rPr>
        <w:t xml:space="preserve">pēc </w:t>
      </w:r>
      <w:r w:rsidR="0097012E">
        <w:rPr>
          <w:szCs w:val="22"/>
          <w:lang w:val="lv-LV"/>
        </w:rPr>
        <w:t>“</w:t>
      </w:r>
      <w:r w:rsidR="00A52DD1">
        <w:rPr>
          <w:szCs w:val="22"/>
          <w:lang w:val="lv-LV"/>
        </w:rPr>
        <w:t>Derīgs līdz</w:t>
      </w:r>
      <w:r w:rsidR="0097012E">
        <w:rPr>
          <w:szCs w:val="22"/>
          <w:lang w:val="lv-LV"/>
        </w:rPr>
        <w:t>”</w:t>
      </w:r>
      <w:r w:rsidR="00A52DD1">
        <w:rPr>
          <w:szCs w:val="22"/>
          <w:lang w:val="lv-LV"/>
        </w:rPr>
        <w:t xml:space="preserve">. </w:t>
      </w:r>
      <w:r w:rsidRPr="00556BDB">
        <w:rPr>
          <w:szCs w:val="22"/>
          <w:lang w:val="lv-LV"/>
        </w:rPr>
        <w:t>Derīguma termiņš attiecas u</w:t>
      </w:r>
      <w:r w:rsidR="00A52DD1">
        <w:rPr>
          <w:szCs w:val="22"/>
          <w:lang w:val="lv-LV"/>
        </w:rPr>
        <w:t>z norādītā mēneša pēdējo dienu.</w:t>
      </w:r>
    </w:p>
    <w:p w14:paraId="52896785" w14:textId="77777777" w:rsidR="00E122B3" w:rsidRPr="00556BDB" w:rsidRDefault="00E122B3" w:rsidP="00A062EA">
      <w:pPr>
        <w:numPr>
          <w:ilvl w:val="12"/>
          <w:numId w:val="0"/>
        </w:numPr>
        <w:tabs>
          <w:tab w:val="clear" w:pos="567"/>
        </w:tabs>
        <w:spacing w:line="240" w:lineRule="auto"/>
        <w:rPr>
          <w:szCs w:val="22"/>
          <w:lang w:val="lv-LV"/>
        </w:rPr>
      </w:pPr>
    </w:p>
    <w:p w14:paraId="7C552930"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6A1A0867" w14:textId="77777777" w:rsidR="00E122B3" w:rsidRPr="00556BDB" w:rsidRDefault="00E122B3" w:rsidP="00A062EA">
      <w:pPr>
        <w:numPr>
          <w:ilvl w:val="12"/>
          <w:numId w:val="0"/>
        </w:numPr>
        <w:tabs>
          <w:tab w:val="clear" w:pos="567"/>
        </w:tabs>
        <w:spacing w:line="240" w:lineRule="auto"/>
        <w:ind w:left="567" w:hanging="567"/>
        <w:rPr>
          <w:b/>
          <w:szCs w:val="22"/>
          <w:lang w:val="lv-LV"/>
        </w:rPr>
      </w:pPr>
      <w:r w:rsidRPr="00556BDB">
        <w:rPr>
          <w:b/>
          <w:szCs w:val="22"/>
          <w:lang w:val="lv-LV"/>
        </w:rPr>
        <w:t>6.</w:t>
      </w:r>
      <w:r w:rsidRPr="00556BDB">
        <w:rPr>
          <w:b/>
          <w:szCs w:val="22"/>
          <w:lang w:val="lv-LV"/>
        </w:rPr>
        <w:tab/>
        <w:t>Iepakojuma saturs un cita informācija</w:t>
      </w:r>
    </w:p>
    <w:p w14:paraId="03C13BE7" w14:textId="77777777" w:rsidR="00E122B3" w:rsidRPr="00556BDB" w:rsidRDefault="00E122B3" w:rsidP="00A062EA">
      <w:pPr>
        <w:numPr>
          <w:ilvl w:val="12"/>
          <w:numId w:val="0"/>
        </w:numPr>
        <w:tabs>
          <w:tab w:val="clear" w:pos="567"/>
        </w:tabs>
        <w:spacing w:line="240" w:lineRule="auto"/>
        <w:ind w:left="567" w:hanging="567"/>
        <w:rPr>
          <w:szCs w:val="22"/>
          <w:lang w:val="lv-LV"/>
        </w:rPr>
      </w:pPr>
    </w:p>
    <w:p w14:paraId="2723B049" w14:textId="77777777" w:rsidR="00E122B3" w:rsidRPr="00556BDB" w:rsidRDefault="00BB4265" w:rsidP="00A062EA">
      <w:pPr>
        <w:numPr>
          <w:ilvl w:val="12"/>
          <w:numId w:val="0"/>
        </w:numPr>
        <w:tabs>
          <w:tab w:val="clear" w:pos="567"/>
        </w:tabs>
        <w:spacing w:line="240" w:lineRule="auto"/>
        <w:ind w:left="567" w:hanging="567"/>
        <w:rPr>
          <w:b/>
          <w:szCs w:val="22"/>
          <w:lang w:val="lv-LV"/>
        </w:rPr>
      </w:pPr>
      <w:r>
        <w:rPr>
          <w:b/>
          <w:szCs w:val="22"/>
          <w:lang w:val="lv-LV"/>
        </w:rPr>
        <w:t xml:space="preserve">Ko </w:t>
      </w:r>
      <w:proofErr w:type="spellStart"/>
      <w:r>
        <w:rPr>
          <w:b/>
          <w:szCs w:val="22"/>
          <w:lang w:val="lv-LV"/>
        </w:rPr>
        <w:t>Neiratax</w:t>
      </w:r>
      <w:proofErr w:type="spellEnd"/>
      <w:r w:rsidR="00E122B3" w:rsidRPr="00556BDB">
        <w:rPr>
          <w:b/>
          <w:szCs w:val="22"/>
          <w:lang w:val="lv-LV"/>
        </w:rPr>
        <w:t xml:space="preserve"> satur</w:t>
      </w:r>
    </w:p>
    <w:p w14:paraId="1F2EB02C" w14:textId="77777777" w:rsidR="00A52DD1" w:rsidRPr="00A52DD1" w:rsidRDefault="00A52DD1" w:rsidP="00A062EA">
      <w:pPr>
        <w:pStyle w:val="ListParagraph"/>
        <w:numPr>
          <w:ilvl w:val="0"/>
          <w:numId w:val="9"/>
        </w:numPr>
        <w:autoSpaceDE w:val="0"/>
        <w:autoSpaceDN w:val="0"/>
        <w:adjustRightInd w:val="0"/>
        <w:spacing w:line="240" w:lineRule="auto"/>
        <w:ind w:left="567" w:hanging="567"/>
        <w:rPr>
          <w:szCs w:val="22"/>
          <w:lang w:val="lv-LV"/>
        </w:rPr>
      </w:pPr>
      <w:r w:rsidRPr="00A52DD1">
        <w:rPr>
          <w:szCs w:val="22"/>
          <w:lang w:val="lv-LV"/>
        </w:rPr>
        <w:t xml:space="preserve">Aktīvās vielas ir </w:t>
      </w:r>
      <w:proofErr w:type="spellStart"/>
      <w:r w:rsidRPr="00A52DD1">
        <w:rPr>
          <w:szCs w:val="22"/>
          <w:lang w:val="lv-LV"/>
        </w:rPr>
        <w:t>piridoksīna</w:t>
      </w:r>
      <w:proofErr w:type="spellEnd"/>
      <w:r w:rsidRPr="00A52DD1">
        <w:rPr>
          <w:szCs w:val="22"/>
          <w:lang w:val="lv-LV"/>
        </w:rPr>
        <w:t xml:space="preserve"> </w:t>
      </w:r>
      <w:proofErr w:type="spellStart"/>
      <w:r w:rsidRPr="00A52DD1">
        <w:rPr>
          <w:szCs w:val="22"/>
          <w:lang w:val="lv-LV"/>
        </w:rPr>
        <w:t>hidrohlorīds</w:t>
      </w:r>
      <w:proofErr w:type="spellEnd"/>
      <w:r w:rsidRPr="00A52DD1">
        <w:rPr>
          <w:szCs w:val="22"/>
          <w:lang w:val="lv-LV"/>
        </w:rPr>
        <w:t xml:space="preserve"> (</w:t>
      </w:r>
      <w:r w:rsidR="00C762EA" w:rsidRPr="00A52DD1">
        <w:rPr>
          <w:szCs w:val="22"/>
          <w:lang w:val="lv-LV"/>
        </w:rPr>
        <w:t>B</w:t>
      </w:r>
      <w:r w:rsidR="00C762EA" w:rsidRPr="00A52DD1">
        <w:rPr>
          <w:szCs w:val="22"/>
          <w:vertAlign w:val="subscript"/>
          <w:lang w:val="lv-LV"/>
        </w:rPr>
        <w:t>6</w:t>
      </w:r>
      <w:r w:rsidR="00C762EA">
        <w:rPr>
          <w:szCs w:val="22"/>
          <w:vertAlign w:val="subscript"/>
          <w:lang w:val="lv-LV"/>
        </w:rPr>
        <w:t xml:space="preserve"> </w:t>
      </w:r>
      <w:r w:rsidRPr="00A52DD1">
        <w:rPr>
          <w:szCs w:val="22"/>
          <w:lang w:val="lv-LV"/>
        </w:rPr>
        <w:t xml:space="preserve">vitamīns), </w:t>
      </w:r>
      <w:proofErr w:type="spellStart"/>
      <w:r w:rsidRPr="00A52DD1">
        <w:rPr>
          <w:szCs w:val="22"/>
          <w:lang w:val="lv-LV"/>
        </w:rPr>
        <w:t>tiamīna</w:t>
      </w:r>
      <w:proofErr w:type="spellEnd"/>
      <w:r w:rsidRPr="00A52DD1">
        <w:rPr>
          <w:szCs w:val="22"/>
          <w:lang w:val="lv-LV"/>
        </w:rPr>
        <w:t xml:space="preserve"> </w:t>
      </w:r>
      <w:proofErr w:type="spellStart"/>
      <w:r w:rsidRPr="00A52DD1">
        <w:rPr>
          <w:szCs w:val="22"/>
          <w:lang w:val="lv-LV"/>
        </w:rPr>
        <w:t>hidrohlorīds</w:t>
      </w:r>
      <w:proofErr w:type="spellEnd"/>
      <w:r w:rsidRPr="00A52DD1">
        <w:rPr>
          <w:szCs w:val="22"/>
          <w:lang w:val="lv-LV"/>
        </w:rPr>
        <w:t xml:space="preserve"> (</w:t>
      </w:r>
      <w:r w:rsidR="00C762EA" w:rsidRPr="00A52DD1">
        <w:rPr>
          <w:szCs w:val="22"/>
          <w:lang w:val="lv-LV"/>
        </w:rPr>
        <w:t>B</w:t>
      </w:r>
      <w:r w:rsidR="00C762EA" w:rsidRPr="00A52DD1">
        <w:rPr>
          <w:szCs w:val="22"/>
          <w:vertAlign w:val="subscript"/>
          <w:lang w:val="lv-LV"/>
        </w:rPr>
        <w:t>1</w:t>
      </w:r>
      <w:r w:rsidR="00C762EA">
        <w:rPr>
          <w:szCs w:val="22"/>
          <w:vertAlign w:val="subscript"/>
          <w:lang w:val="lv-LV"/>
        </w:rPr>
        <w:t> </w:t>
      </w:r>
      <w:r w:rsidRPr="00A52DD1">
        <w:rPr>
          <w:szCs w:val="22"/>
          <w:lang w:val="lv-LV"/>
        </w:rPr>
        <w:t xml:space="preserve">vitamīns), </w:t>
      </w:r>
      <w:proofErr w:type="spellStart"/>
      <w:r w:rsidRPr="00A52DD1">
        <w:rPr>
          <w:szCs w:val="22"/>
          <w:lang w:val="lv-LV"/>
        </w:rPr>
        <w:t>ciānkobalamīns</w:t>
      </w:r>
      <w:proofErr w:type="spellEnd"/>
      <w:r w:rsidRPr="00A52DD1">
        <w:rPr>
          <w:szCs w:val="22"/>
          <w:lang w:val="lv-LV"/>
        </w:rPr>
        <w:t xml:space="preserve"> (</w:t>
      </w:r>
      <w:r w:rsidR="00B16806" w:rsidRPr="00A52DD1">
        <w:rPr>
          <w:szCs w:val="22"/>
          <w:lang w:val="lv-LV"/>
        </w:rPr>
        <w:t>B</w:t>
      </w:r>
      <w:r w:rsidR="00B16806" w:rsidRPr="00A52DD1">
        <w:rPr>
          <w:szCs w:val="22"/>
          <w:vertAlign w:val="subscript"/>
          <w:lang w:val="lv-LV"/>
        </w:rPr>
        <w:t>12</w:t>
      </w:r>
      <w:r w:rsidR="00B16806">
        <w:rPr>
          <w:szCs w:val="22"/>
          <w:vertAlign w:val="subscript"/>
          <w:lang w:val="lv-LV"/>
        </w:rPr>
        <w:t xml:space="preserve"> </w:t>
      </w:r>
      <w:r w:rsidRPr="00A52DD1">
        <w:rPr>
          <w:szCs w:val="22"/>
          <w:lang w:val="lv-LV"/>
        </w:rPr>
        <w:t xml:space="preserve">vitamīns), </w:t>
      </w:r>
      <w:proofErr w:type="spellStart"/>
      <w:r w:rsidRPr="00A52DD1">
        <w:rPr>
          <w:szCs w:val="22"/>
          <w:lang w:val="lv-LV"/>
        </w:rPr>
        <w:t>lidokaīna</w:t>
      </w:r>
      <w:proofErr w:type="spellEnd"/>
      <w:r w:rsidRPr="00A52DD1">
        <w:rPr>
          <w:szCs w:val="22"/>
          <w:lang w:val="lv-LV"/>
        </w:rPr>
        <w:t xml:space="preserve"> </w:t>
      </w:r>
      <w:proofErr w:type="spellStart"/>
      <w:r w:rsidRPr="00A52DD1">
        <w:rPr>
          <w:szCs w:val="22"/>
          <w:lang w:val="lv-LV"/>
        </w:rPr>
        <w:t>hidrohlorīds</w:t>
      </w:r>
      <w:proofErr w:type="spellEnd"/>
      <w:r w:rsidRPr="00A52DD1">
        <w:rPr>
          <w:szCs w:val="22"/>
          <w:lang w:val="lv-LV"/>
        </w:rPr>
        <w:t>.</w:t>
      </w:r>
    </w:p>
    <w:p w14:paraId="5D293EAE" w14:textId="77777777" w:rsidR="00A52DD1" w:rsidRDefault="00A52DD1" w:rsidP="00A062EA">
      <w:pPr>
        <w:tabs>
          <w:tab w:val="clear" w:pos="567"/>
        </w:tabs>
        <w:autoSpaceDE w:val="0"/>
        <w:autoSpaceDN w:val="0"/>
        <w:adjustRightInd w:val="0"/>
        <w:spacing w:line="240" w:lineRule="auto"/>
        <w:rPr>
          <w:szCs w:val="22"/>
          <w:lang w:val="lv-LV"/>
        </w:rPr>
      </w:pPr>
    </w:p>
    <w:p w14:paraId="125689FB" w14:textId="77777777" w:rsidR="00A52DD1" w:rsidRPr="00A52DD1" w:rsidRDefault="00A52DD1" w:rsidP="00A062EA">
      <w:pPr>
        <w:tabs>
          <w:tab w:val="clear" w:pos="567"/>
        </w:tabs>
        <w:autoSpaceDE w:val="0"/>
        <w:autoSpaceDN w:val="0"/>
        <w:adjustRightInd w:val="0"/>
        <w:spacing w:line="240" w:lineRule="auto"/>
        <w:rPr>
          <w:szCs w:val="22"/>
          <w:lang w:val="lv-LV"/>
        </w:rPr>
      </w:pPr>
      <w:r w:rsidRPr="00A52DD1">
        <w:rPr>
          <w:szCs w:val="22"/>
          <w:lang w:val="lv-LV"/>
        </w:rPr>
        <w:t xml:space="preserve">1 ml šķīduma </w:t>
      </w:r>
      <w:r w:rsidR="001A0E00">
        <w:rPr>
          <w:szCs w:val="22"/>
          <w:lang w:val="lv-LV"/>
        </w:rPr>
        <w:t xml:space="preserve">injekcijām </w:t>
      </w:r>
      <w:r w:rsidRPr="00A52DD1">
        <w:rPr>
          <w:szCs w:val="22"/>
          <w:lang w:val="lv-LV"/>
        </w:rPr>
        <w:t xml:space="preserve">satur: 50 mg </w:t>
      </w:r>
      <w:proofErr w:type="spellStart"/>
      <w:r w:rsidRPr="00A52DD1">
        <w:rPr>
          <w:szCs w:val="22"/>
          <w:lang w:val="lv-LV"/>
        </w:rPr>
        <w:t>piridoksīna</w:t>
      </w:r>
      <w:proofErr w:type="spellEnd"/>
      <w:r w:rsidRPr="00A52DD1">
        <w:rPr>
          <w:szCs w:val="22"/>
          <w:lang w:val="lv-LV"/>
        </w:rPr>
        <w:t xml:space="preserve"> </w:t>
      </w:r>
      <w:proofErr w:type="spellStart"/>
      <w:r w:rsidRPr="00A52DD1">
        <w:rPr>
          <w:szCs w:val="22"/>
          <w:lang w:val="lv-LV"/>
        </w:rPr>
        <w:t>hidrohlorīda</w:t>
      </w:r>
      <w:proofErr w:type="spellEnd"/>
      <w:r w:rsidRPr="00A52DD1">
        <w:rPr>
          <w:szCs w:val="22"/>
          <w:lang w:val="lv-LV"/>
        </w:rPr>
        <w:t xml:space="preserve">, 50 mg </w:t>
      </w:r>
      <w:proofErr w:type="spellStart"/>
      <w:r w:rsidRPr="00A52DD1">
        <w:rPr>
          <w:szCs w:val="22"/>
          <w:lang w:val="lv-LV"/>
        </w:rPr>
        <w:t>tiamīna</w:t>
      </w:r>
      <w:proofErr w:type="spellEnd"/>
      <w:r w:rsidRPr="00A52DD1">
        <w:rPr>
          <w:szCs w:val="22"/>
          <w:lang w:val="lv-LV"/>
        </w:rPr>
        <w:t xml:space="preserve"> </w:t>
      </w:r>
      <w:proofErr w:type="spellStart"/>
      <w:r w:rsidRPr="00A52DD1">
        <w:rPr>
          <w:szCs w:val="22"/>
          <w:lang w:val="lv-LV"/>
        </w:rPr>
        <w:t>hidrohlorīda</w:t>
      </w:r>
      <w:proofErr w:type="spellEnd"/>
      <w:r w:rsidRPr="00A52DD1">
        <w:rPr>
          <w:szCs w:val="22"/>
          <w:lang w:val="lv-LV"/>
        </w:rPr>
        <w:t>, 0,5</w:t>
      </w:r>
      <w:r w:rsidR="00D4572A">
        <w:rPr>
          <w:szCs w:val="22"/>
          <w:lang w:val="lv-LV"/>
        </w:rPr>
        <w:t> </w:t>
      </w:r>
      <w:r w:rsidRPr="00A52DD1">
        <w:rPr>
          <w:szCs w:val="22"/>
          <w:lang w:val="lv-LV"/>
        </w:rPr>
        <w:t xml:space="preserve">mg </w:t>
      </w:r>
      <w:proofErr w:type="spellStart"/>
      <w:r w:rsidRPr="00A52DD1">
        <w:rPr>
          <w:szCs w:val="22"/>
          <w:lang w:val="lv-LV"/>
        </w:rPr>
        <w:t>ciānkobalamīna</w:t>
      </w:r>
      <w:proofErr w:type="spellEnd"/>
      <w:r w:rsidRPr="00A52DD1">
        <w:rPr>
          <w:szCs w:val="22"/>
          <w:lang w:val="lv-LV"/>
        </w:rPr>
        <w:t xml:space="preserve">, 10 mg </w:t>
      </w:r>
      <w:proofErr w:type="spellStart"/>
      <w:r w:rsidRPr="00A52DD1">
        <w:rPr>
          <w:szCs w:val="22"/>
          <w:lang w:val="lv-LV"/>
        </w:rPr>
        <w:t>lidokaīna</w:t>
      </w:r>
      <w:proofErr w:type="spellEnd"/>
      <w:r w:rsidRPr="00A52DD1">
        <w:rPr>
          <w:szCs w:val="22"/>
          <w:lang w:val="lv-LV"/>
        </w:rPr>
        <w:t xml:space="preserve"> </w:t>
      </w:r>
      <w:proofErr w:type="spellStart"/>
      <w:r w:rsidRPr="00A52DD1">
        <w:rPr>
          <w:szCs w:val="22"/>
          <w:lang w:val="lv-LV"/>
        </w:rPr>
        <w:t>hidrohlorīda</w:t>
      </w:r>
      <w:proofErr w:type="spellEnd"/>
      <w:r w:rsidRPr="00A52DD1">
        <w:rPr>
          <w:szCs w:val="22"/>
          <w:lang w:val="lv-LV"/>
        </w:rPr>
        <w:t>.</w:t>
      </w:r>
    </w:p>
    <w:p w14:paraId="1CF823D3" w14:textId="77777777" w:rsidR="00A52DD1" w:rsidRPr="00A52DD1" w:rsidRDefault="001A0E00" w:rsidP="00A062EA">
      <w:pPr>
        <w:tabs>
          <w:tab w:val="clear" w:pos="567"/>
        </w:tabs>
        <w:autoSpaceDE w:val="0"/>
        <w:autoSpaceDN w:val="0"/>
        <w:adjustRightInd w:val="0"/>
        <w:spacing w:line="240" w:lineRule="auto"/>
        <w:rPr>
          <w:szCs w:val="22"/>
          <w:lang w:val="lv-LV"/>
        </w:rPr>
      </w:pPr>
      <w:r>
        <w:rPr>
          <w:szCs w:val="22"/>
          <w:lang w:val="lv-LV"/>
        </w:rPr>
        <w:t>Viena</w:t>
      </w:r>
      <w:r w:rsidR="00A52DD1" w:rsidRPr="00A52DD1">
        <w:rPr>
          <w:szCs w:val="22"/>
          <w:lang w:val="lv-LV"/>
        </w:rPr>
        <w:t xml:space="preserve"> ampula (2 ml) satur: 100 mg </w:t>
      </w:r>
      <w:proofErr w:type="spellStart"/>
      <w:r w:rsidR="00A52DD1" w:rsidRPr="00A52DD1">
        <w:rPr>
          <w:szCs w:val="22"/>
          <w:lang w:val="lv-LV"/>
        </w:rPr>
        <w:t>piridoksīna</w:t>
      </w:r>
      <w:proofErr w:type="spellEnd"/>
      <w:r w:rsidR="00A52DD1" w:rsidRPr="00A52DD1">
        <w:rPr>
          <w:szCs w:val="22"/>
          <w:lang w:val="lv-LV"/>
        </w:rPr>
        <w:t xml:space="preserve"> </w:t>
      </w:r>
      <w:proofErr w:type="spellStart"/>
      <w:r w:rsidR="00A52DD1" w:rsidRPr="00A52DD1">
        <w:rPr>
          <w:szCs w:val="22"/>
          <w:lang w:val="lv-LV"/>
        </w:rPr>
        <w:t>hidrohlorīda</w:t>
      </w:r>
      <w:proofErr w:type="spellEnd"/>
      <w:r w:rsidR="00A52DD1" w:rsidRPr="00A52DD1">
        <w:rPr>
          <w:szCs w:val="22"/>
          <w:lang w:val="lv-LV"/>
        </w:rPr>
        <w:t xml:space="preserve">, 100 mg </w:t>
      </w:r>
      <w:proofErr w:type="spellStart"/>
      <w:r w:rsidR="00A52DD1" w:rsidRPr="00A52DD1">
        <w:rPr>
          <w:szCs w:val="22"/>
          <w:lang w:val="lv-LV"/>
        </w:rPr>
        <w:t>tiamīna</w:t>
      </w:r>
      <w:proofErr w:type="spellEnd"/>
      <w:r w:rsidR="00A52DD1" w:rsidRPr="00A52DD1">
        <w:rPr>
          <w:szCs w:val="22"/>
          <w:lang w:val="lv-LV"/>
        </w:rPr>
        <w:t xml:space="preserve"> </w:t>
      </w:r>
      <w:proofErr w:type="spellStart"/>
      <w:r w:rsidR="00A52DD1" w:rsidRPr="00A52DD1">
        <w:rPr>
          <w:szCs w:val="22"/>
          <w:lang w:val="lv-LV"/>
        </w:rPr>
        <w:t>hidrohlorīda</w:t>
      </w:r>
      <w:proofErr w:type="spellEnd"/>
      <w:r w:rsidR="00A52DD1" w:rsidRPr="00A52DD1">
        <w:rPr>
          <w:szCs w:val="22"/>
          <w:lang w:val="lv-LV"/>
        </w:rPr>
        <w:t>, 1</w:t>
      </w:r>
      <w:r>
        <w:rPr>
          <w:szCs w:val="22"/>
          <w:lang w:val="lv-LV"/>
        </w:rPr>
        <w:t> </w:t>
      </w:r>
      <w:r w:rsidR="00A52DD1" w:rsidRPr="00A52DD1">
        <w:rPr>
          <w:szCs w:val="22"/>
          <w:lang w:val="lv-LV"/>
        </w:rPr>
        <w:t xml:space="preserve">mg </w:t>
      </w:r>
      <w:proofErr w:type="spellStart"/>
      <w:r w:rsidR="00A52DD1" w:rsidRPr="00A52DD1">
        <w:rPr>
          <w:szCs w:val="22"/>
          <w:lang w:val="lv-LV"/>
        </w:rPr>
        <w:t>ciānkobalamīna</w:t>
      </w:r>
      <w:proofErr w:type="spellEnd"/>
      <w:r w:rsidR="00A52DD1" w:rsidRPr="00A52DD1">
        <w:rPr>
          <w:szCs w:val="22"/>
          <w:lang w:val="lv-LV"/>
        </w:rPr>
        <w:t xml:space="preserve">, 20 mg </w:t>
      </w:r>
      <w:proofErr w:type="spellStart"/>
      <w:r w:rsidR="00A52DD1" w:rsidRPr="00A52DD1">
        <w:rPr>
          <w:szCs w:val="22"/>
          <w:lang w:val="lv-LV"/>
        </w:rPr>
        <w:t>lidokaīna</w:t>
      </w:r>
      <w:proofErr w:type="spellEnd"/>
      <w:r w:rsidR="00A52DD1" w:rsidRPr="00A52DD1">
        <w:rPr>
          <w:szCs w:val="22"/>
          <w:lang w:val="lv-LV"/>
        </w:rPr>
        <w:t xml:space="preserve"> </w:t>
      </w:r>
      <w:proofErr w:type="spellStart"/>
      <w:r w:rsidR="00A52DD1" w:rsidRPr="00A52DD1">
        <w:rPr>
          <w:szCs w:val="22"/>
          <w:lang w:val="lv-LV"/>
        </w:rPr>
        <w:t>hidrohlorīda</w:t>
      </w:r>
      <w:proofErr w:type="spellEnd"/>
      <w:r w:rsidR="00A52DD1" w:rsidRPr="00A52DD1">
        <w:rPr>
          <w:szCs w:val="22"/>
          <w:lang w:val="lv-LV"/>
        </w:rPr>
        <w:t>.</w:t>
      </w:r>
    </w:p>
    <w:p w14:paraId="76830D9F" w14:textId="77777777" w:rsidR="00E122B3" w:rsidRPr="00556BDB" w:rsidRDefault="00E122B3" w:rsidP="00A062EA">
      <w:pPr>
        <w:tabs>
          <w:tab w:val="clear" w:pos="567"/>
        </w:tabs>
        <w:spacing w:line="240" w:lineRule="auto"/>
        <w:ind w:left="567"/>
        <w:rPr>
          <w:szCs w:val="22"/>
          <w:lang w:val="lv-LV"/>
        </w:rPr>
      </w:pPr>
    </w:p>
    <w:p w14:paraId="1CAE80E7" w14:textId="77777777" w:rsidR="00E122B3" w:rsidRPr="00A52DD1" w:rsidRDefault="00E122B3" w:rsidP="00A062EA">
      <w:pPr>
        <w:pStyle w:val="ListParagraph"/>
        <w:numPr>
          <w:ilvl w:val="0"/>
          <w:numId w:val="9"/>
        </w:numPr>
        <w:autoSpaceDE w:val="0"/>
        <w:autoSpaceDN w:val="0"/>
        <w:adjustRightInd w:val="0"/>
        <w:spacing w:line="240" w:lineRule="auto"/>
        <w:ind w:left="567" w:hanging="567"/>
        <w:rPr>
          <w:szCs w:val="22"/>
          <w:lang w:val="lv-LV"/>
        </w:rPr>
      </w:pPr>
      <w:r w:rsidRPr="00A52DD1">
        <w:rPr>
          <w:szCs w:val="22"/>
          <w:lang w:val="lv-LV"/>
        </w:rPr>
        <w:t>Cit</w:t>
      </w:r>
      <w:r w:rsidR="00A52DD1" w:rsidRPr="00A52DD1">
        <w:rPr>
          <w:szCs w:val="22"/>
          <w:lang w:val="lv-LV"/>
        </w:rPr>
        <w:t xml:space="preserve">as </w:t>
      </w:r>
      <w:proofErr w:type="spellStart"/>
      <w:r w:rsidR="00A52DD1" w:rsidRPr="00A52DD1">
        <w:rPr>
          <w:szCs w:val="22"/>
          <w:lang w:val="lv-LV"/>
        </w:rPr>
        <w:t>palīgvielas</w:t>
      </w:r>
      <w:proofErr w:type="spellEnd"/>
      <w:r w:rsidR="00A52DD1" w:rsidRPr="00A52DD1">
        <w:rPr>
          <w:szCs w:val="22"/>
          <w:lang w:val="lv-LV"/>
        </w:rPr>
        <w:t xml:space="preserve"> ir </w:t>
      </w:r>
      <w:proofErr w:type="spellStart"/>
      <w:r w:rsidR="00A52DD1" w:rsidRPr="00A52DD1">
        <w:rPr>
          <w:szCs w:val="22"/>
          <w:lang w:val="lv-LV"/>
        </w:rPr>
        <w:t>benzilspirts</w:t>
      </w:r>
      <w:proofErr w:type="spellEnd"/>
      <w:r w:rsidR="00A52DD1" w:rsidRPr="00A52DD1">
        <w:rPr>
          <w:szCs w:val="22"/>
          <w:lang w:val="lv-LV"/>
        </w:rPr>
        <w:t xml:space="preserve">, nātrija </w:t>
      </w:r>
      <w:proofErr w:type="spellStart"/>
      <w:r w:rsidR="00A52DD1" w:rsidRPr="00A52DD1">
        <w:rPr>
          <w:szCs w:val="22"/>
          <w:lang w:val="lv-LV"/>
        </w:rPr>
        <w:t>tripolifosfāts</w:t>
      </w:r>
      <w:proofErr w:type="spellEnd"/>
      <w:r w:rsidR="00A52DD1" w:rsidRPr="00A52DD1">
        <w:rPr>
          <w:szCs w:val="22"/>
          <w:lang w:val="lv-LV"/>
        </w:rPr>
        <w:t>, nātrija hidroksīds (</w:t>
      </w:r>
      <w:proofErr w:type="spellStart"/>
      <w:r w:rsidR="00A52DD1" w:rsidRPr="00A52DD1">
        <w:rPr>
          <w:szCs w:val="22"/>
          <w:lang w:val="lv-LV"/>
        </w:rPr>
        <w:t>pH</w:t>
      </w:r>
      <w:proofErr w:type="spellEnd"/>
      <w:r w:rsidR="00A52DD1" w:rsidRPr="00A52DD1">
        <w:rPr>
          <w:szCs w:val="22"/>
          <w:lang w:val="lv-LV"/>
        </w:rPr>
        <w:t xml:space="preserve"> pielāgošanai), kālija </w:t>
      </w:r>
      <w:proofErr w:type="spellStart"/>
      <w:r w:rsidR="00A52DD1" w:rsidRPr="00A52DD1">
        <w:rPr>
          <w:szCs w:val="22"/>
          <w:lang w:val="lv-LV"/>
        </w:rPr>
        <w:t>heksacianoferāts</w:t>
      </w:r>
      <w:proofErr w:type="spellEnd"/>
      <w:r w:rsidR="00A52DD1" w:rsidRPr="00A52DD1">
        <w:rPr>
          <w:szCs w:val="22"/>
          <w:lang w:val="lv-LV"/>
        </w:rPr>
        <w:t xml:space="preserve"> (III), ūdens injekcijām</w:t>
      </w:r>
      <w:r w:rsidR="00D31FAA">
        <w:rPr>
          <w:szCs w:val="22"/>
          <w:lang w:val="lv-LV"/>
        </w:rPr>
        <w:t>.</w:t>
      </w:r>
    </w:p>
    <w:p w14:paraId="6D93E65F" w14:textId="77777777" w:rsidR="00E122B3" w:rsidRPr="00556BDB" w:rsidRDefault="00E122B3" w:rsidP="00A062EA">
      <w:pPr>
        <w:tabs>
          <w:tab w:val="clear" w:pos="567"/>
        </w:tabs>
        <w:spacing w:line="240" w:lineRule="auto"/>
        <w:rPr>
          <w:szCs w:val="22"/>
          <w:lang w:val="lv-LV"/>
        </w:rPr>
      </w:pPr>
    </w:p>
    <w:p w14:paraId="5DF9BD27" w14:textId="77777777" w:rsidR="00E122B3" w:rsidRPr="00556BDB" w:rsidRDefault="0045470F" w:rsidP="00A062EA">
      <w:pPr>
        <w:tabs>
          <w:tab w:val="clear" w:pos="567"/>
        </w:tabs>
        <w:spacing w:line="240" w:lineRule="auto"/>
        <w:rPr>
          <w:b/>
          <w:szCs w:val="22"/>
          <w:lang w:val="lv-LV"/>
        </w:rPr>
      </w:pPr>
      <w:proofErr w:type="spellStart"/>
      <w:r>
        <w:rPr>
          <w:b/>
          <w:szCs w:val="22"/>
          <w:lang w:val="lv-LV"/>
        </w:rPr>
        <w:t>Neiratax</w:t>
      </w:r>
      <w:proofErr w:type="spellEnd"/>
      <w:r w:rsidR="00E122B3" w:rsidRPr="00556BDB">
        <w:rPr>
          <w:b/>
          <w:szCs w:val="22"/>
          <w:lang w:val="lv-LV"/>
        </w:rPr>
        <w:t xml:space="preserve"> ārējais izskats un iepakojums</w:t>
      </w:r>
    </w:p>
    <w:p w14:paraId="50DA57B6" w14:textId="77777777" w:rsidR="00D03D70" w:rsidRDefault="00D03D70" w:rsidP="00A062EA">
      <w:pPr>
        <w:tabs>
          <w:tab w:val="clear" w:pos="567"/>
          <w:tab w:val="left" w:pos="0"/>
        </w:tabs>
        <w:spacing w:line="240" w:lineRule="auto"/>
        <w:rPr>
          <w:szCs w:val="22"/>
          <w:lang w:val="lv-LV"/>
        </w:rPr>
      </w:pPr>
      <w:r w:rsidRPr="006E4942">
        <w:rPr>
          <w:szCs w:val="22"/>
          <w:lang w:val="lv-LV"/>
        </w:rPr>
        <w:t>Dzidrs</w:t>
      </w:r>
      <w:r w:rsidR="00154FC2">
        <w:rPr>
          <w:szCs w:val="22"/>
          <w:lang w:val="lv-LV"/>
        </w:rPr>
        <w:t>,</w:t>
      </w:r>
      <w:r w:rsidRPr="006E4942">
        <w:rPr>
          <w:szCs w:val="22"/>
          <w:lang w:val="lv-LV"/>
        </w:rPr>
        <w:t xml:space="preserve"> s</w:t>
      </w:r>
      <w:r w:rsidRPr="001F018E">
        <w:rPr>
          <w:szCs w:val="22"/>
          <w:lang w:val="lv-LV"/>
        </w:rPr>
        <w:t xml:space="preserve">arkans </w:t>
      </w:r>
      <w:r w:rsidRPr="004A6A7F">
        <w:rPr>
          <w:szCs w:val="22"/>
          <w:lang w:val="lv-LV"/>
        </w:rPr>
        <w:t xml:space="preserve">šķīdums </w:t>
      </w:r>
      <w:r w:rsidRPr="00E75EC6">
        <w:rPr>
          <w:szCs w:val="22"/>
          <w:lang w:val="lv-LV"/>
        </w:rPr>
        <w:t>injekcijām (injekcija).</w:t>
      </w:r>
    </w:p>
    <w:p w14:paraId="6363B316" w14:textId="77777777" w:rsidR="00D03D70" w:rsidRDefault="00D03D70" w:rsidP="00A062EA">
      <w:pPr>
        <w:tabs>
          <w:tab w:val="clear" w:pos="567"/>
          <w:tab w:val="left" w:pos="0"/>
        </w:tabs>
        <w:spacing w:line="240" w:lineRule="auto"/>
        <w:rPr>
          <w:szCs w:val="22"/>
          <w:lang w:val="lv-LV"/>
        </w:rPr>
      </w:pPr>
      <w:proofErr w:type="spellStart"/>
      <w:r>
        <w:rPr>
          <w:szCs w:val="22"/>
          <w:lang w:val="lv-LV"/>
        </w:rPr>
        <w:t>Neiratax</w:t>
      </w:r>
      <w:proofErr w:type="spellEnd"/>
      <w:r>
        <w:rPr>
          <w:szCs w:val="22"/>
          <w:lang w:val="lv-LV"/>
        </w:rPr>
        <w:t xml:space="preserve"> tiek ražots 2 ml </w:t>
      </w:r>
      <w:r w:rsidR="00154FC2">
        <w:rPr>
          <w:szCs w:val="22"/>
          <w:lang w:val="lv-LV"/>
        </w:rPr>
        <w:t xml:space="preserve">dzintarkrāsas </w:t>
      </w:r>
      <w:r>
        <w:rPr>
          <w:szCs w:val="22"/>
          <w:lang w:val="lv-LV"/>
        </w:rPr>
        <w:t>stikla ampulās.</w:t>
      </w:r>
    </w:p>
    <w:p w14:paraId="02DA4842" w14:textId="77777777" w:rsidR="00D03D70" w:rsidRPr="00123831" w:rsidRDefault="00D03D70" w:rsidP="00A062EA">
      <w:pPr>
        <w:tabs>
          <w:tab w:val="clear" w:pos="567"/>
        </w:tabs>
        <w:spacing w:line="240" w:lineRule="auto"/>
        <w:ind w:left="567" w:hanging="567"/>
        <w:rPr>
          <w:szCs w:val="22"/>
          <w:lang w:val="lv-LV"/>
        </w:rPr>
      </w:pPr>
      <w:r w:rsidRPr="00123831">
        <w:rPr>
          <w:szCs w:val="22"/>
          <w:lang w:val="lv-LV"/>
        </w:rPr>
        <w:t>5 ampul</w:t>
      </w:r>
      <w:r w:rsidR="00154FC2">
        <w:rPr>
          <w:szCs w:val="22"/>
          <w:lang w:val="lv-LV"/>
        </w:rPr>
        <w:t>as ievietotas</w:t>
      </w:r>
      <w:r w:rsidRPr="00123831">
        <w:rPr>
          <w:szCs w:val="22"/>
          <w:lang w:val="lv-LV"/>
        </w:rPr>
        <w:t xml:space="preserve"> PVH paliktnī. </w:t>
      </w:r>
      <w:r w:rsidR="00154FC2">
        <w:rPr>
          <w:szCs w:val="22"/>
          <w:lang w:val="lv-LV"/>
        </w:rPr>
        <w:t>K</w:t>
      </w:r>
      <w:r w:rsidR="00154FC2" w:rsidRPr="00123831">
        <w:rPr>
          <w:szCs w:val="22"/>
          <w:lang w:val="lv-LV"/>
        </w:rPr>
        <w:t xml:space="preserve">artona kastītē </w:t>
      </w:r>
      <w:r w:rsidR="00154FC2">
        <w:rPr>
          <w:szCs w:val="22"/>
          <w:lang w:val="lv-LV"/>
        </w:rPr>
        <w:t>ievietoti</w:t>
      </w:r>
      <w:r w:rsidRPr="00123831">
        <w:rPr>
          <w:szCs w:val="22"/>
          <w:lang w:val="lv-LV"/>
        </w:rPr>
        <w:t xml:space="preserve"> 1,</w:t>
      </w:r>
      <w:r>
        <w:rPr>
          <w:szCs w:val="22"/>
          <w:lang w:val="lv-LV"/>
        </w:rPr>
        <w:t xml:space="preserve"> </w:t>
      </w:r>
      <w:r w:rsidRPr="00123831">
        <w:rPr>
          <w:szCs w:val="22"/>
          <w:lang w:val="lv-LV"/>
        </w:rPr>
        <w:t>2 vai 5 paliktņi.</w:t>
      </w:r>
    </w:p>
    <w:p w14:paraId="0B12C9B9" w14:textId="77777777" w:rsidR="00D03D70" w:rsidRPr="00123831" w:rsidRDefault="00D03D70" w:rsidP="00A062EA">
      <w:pPr>
        <w:tabs>
          <w:tab w:val="clear" w:pos="567"/>
        </w:tabs>
        <w:spacing w:line="240" w:lineRule="auto"/>
        <w:ind w:left="567" w:hanging="567"/>
        <w:rPr>
          <w:szCs w:val="22"/>
          <w:lang w:val="lv-LV"/>
        </w:rPr>
      </w:pPr>
    </w:p>
    <w:p w14:paraId="6AD16518" w14:textId="77777777" w:rsidR="00D03D70" w:rsidRPr="00123831" w:rsidRDefault="00D03D70" w:rsidP="00A062EA">
      <w:pPr>
        <w:tabs>
          <w:tab w:val="clear" w:pos="567"/>
        </w:tabs>
        <w:spacing w:line="240" w:lineRule="auto"/>
        <w:ind w:left="567" w:hanging="567"/>
        <w:rPr>
          <w:szCs w:val="22"/>
          <w:lang w:val="lv-LV"/>
        </w:rPr>
      </w:pPr>
      <w:r w:rsidRPr="00123831">
        <w:rPr>
          <w:szCs w:val="22"/>
          <w:lang w:val="lv-LV"/>
        </w:rPr>
        <w:t xml:space="preserve">Iepakojuma lielums: 5, 10 vai 25 ampulas. </w:t>
      </w:r>
    </w:p>
    <w:p w14:paraId="7E2044F7" w14:textId="77777777" w:rsidR="00D03D70" w:rsidRPr="00123831" w:rsidRDefault="00D03D70" w:rsidP="00A062EA">
      <w:pPr>
        <w:tabs>
          <w:tab w:val="clear" w:pos="567"/>
        </w:tabs>
        <w:spacing w:line="240" w:lineRule="auto"/>
        <w:rPr>
          <w:szCs w:val="22"/>
          <w:lang w:val="lv-LV"/>
        </w:rPr>
      </w:pPr>
      <w:r w:rsidRPr="00123831">
        <w:rPr>
          <w:szCs w:val="22"/>
          <w:lang w:val="lv-LV"/>
        </w:rPr>
        <w:t>Visi iepakojuma lielumi tirgū var nebūt pieejami.</w:t>
      </w:r>
    </w:p>
    <w:p w14:paraId="3702A101" w14:textId="77777777" w:rsidR="00E122B3" w:rsidRPr="00556BDB" w:rsidRDefault="00E122B3" w:rsidP="00A062EA">
      <w:pPr>
        <w:tabs>
          <w:tab w:val="clear" w:pos="567"/>
        </w:tabs>
        <w:spacing w:line="240" w:lineRule="auto"/>
        <w:rPr>
          <w:b/>
          <w:szCs w:val="22"/>
          <w:lang w:val="lv-LV"/>
        </w:rPr>
      </w:pPr>
    </w:p>
    <w:p w14:paraId="7AE78524" w14:textId="68B0077E" w:rsidR="00E122B3" w:rsidRPr="00556BDB" w:rsidRDefault="00E122B3" w:rsidP="00A062EA">
      <w:pPr>
        <w:tabs>
          <w:tab w:val="clear" w:pos="567"/>
        </w:tabs>
        <w:spacing w:line="240" w:lineRule="auto"/>
        <w:rPr>
          <w:b/>
          <w:szCs w:val="22"/>
          <w:lang w:val="lv-LV"/>
        </w:rPr>
      </w:pPr>
      <w:r w:rsidRPr="00556BDB">
        <w:rPr>
          <w:b/>
          <w:szCs w:val="22"/>
          <w:lang w:val="lv-LV"/>
        </w:rPr>
        <w:t>Reģistrācijas apliecības īpašnieks</w:t>
      </w:r>
      <w:r w:rsidR="00EF79FE">
        <w:rPr>
          <w:b/>
          <w:szCs w:val="22"/>
          <w:lang w:val="lv-LV"/>
        </w:rPr>
        <w:t xml:space="preserve"> un r</w:t>
      </w:r>
      <w:r w:rsidR="00EF79FE" w:rsidRPr="00EF79FE">
        <w:rPr>
          <w:b/>
          <w:szCs w:val="22"/>
          <w:lang w:val="lv-LV"/>
        </w:rPr>
        <w:t>ažotājs</w:t>
      </w:r>
    </w:p>
    <w:p w14:paraId="1EEBB7DB" w14:textId="77777777" w:rsidR="00D03D70" w:rsidRPr="00B06E06" w:rsidRDefault="00D03D70" w:rsidP="008D50E3">
      <w:pPr>
        <w:rPr>
          <w:szCs w:val="22"/>
          <w:lang w:val="lv-LV"/>
        </w:rPr>
      </w:pPr>
      <w:r w:rsidRPr="00B06E06">
        <w:rPr>
          <w:szCs w:val="22"/>
          <w:lang w:val="lv-LV"/>
        </w:rPr>
        <w:t xml:space="preserve">AS KALCEKS </w:t>
      </w:r>
    </w:p>
    <w:p w14:paraId="53F9171D" w14:textId="70925E66" w:rsidR="00D03D70" w:rsidRPr="00B06E06" w:rsidRDefault="00D03D70" w:rsidP="008D50E3">
      <w:pPr>
        <w:rPr>
          <w:szCs w:val="22"/>
          <w:lang w:val="lv-LV"/>
        </w:rPr>
      </w:pPr>
      <w:r w:rsidRPr="00B06E06">
        <w:rPr>
          <w:szCs w:val="22"/>
          <w:lang w:val="lv-LV"/>
        </w:rPr>
        <w:t xml:space="preserve">Krustpils iela </w:t>
      </w:r>
      <w:r w:rsidR="00EF79FE">
        <w:rPr>
          <w:szCs w:val="22"/>
          <w:lang w:val="lv-LV"/>
        </w:rPr>
        <w:t>71E</w:t>
      </w:r>
      <w:r w:rsidRPr="00B06E06">
        <w:rPr>
          <w:szCs w:val="22"/>
          <w:lang w:val="lv-LV"/>
        </w:rPr>
        <w:t>, Rīga, LV-1057, Latvija</w:t>
      </w:r>
    </w:p>
    <w:p w14:paraId="15F8831D" w14:textId="77777777" w:rsidR="00D03D70" w:rsidRPr="00123831" w:rsidRDefault="00D03D70" w:rsidP="008D50E3">
      <w:pPr>
        <w:rPr>
          <w:szCs w:val="22"/>
          <w:lang w:val="lv-LV"/>
        </w:rPr>
      </w:pPr>
      <w:r w:rsidRPr="00123831">
        <w:rPr>
          <w:szCs w:val="22"/>
          <w:lang w:val="lv-LV"/>
        </w:rPr>
        <w:t>Tel.: +371 67083320</w:t>
      </w:r>
    </w:p>
    <w:p w14:paraId="79CA9F43" w14:textId="0FF7B2E6" w:rsidR="00D03D70" w:rsidRPr="00904033" w:rsidRDefault="00D03D70" w:rsidP="008D50E3">
      <w:pPr>
        <w:rPr>
          <w:szCs w:val="22"/>
          <w:lang w:val="lv-LV"/>
        </w:rPr>
      </w:pPr>
      <w:r w:rsidRPr="00904033">
        <w:rPr>
          <w:szCs w:val="22"/>
          <w:lang w:val="lv-LV"/>
        </w:rPr>
        <w:t>E-</w:t>
      </w:r>
      <w:r w:rsidR="00892B57">
        <w:rPr>
          <w:szCs w:val="22"/>
          <w:lang w:val="lv-LV"/>
        </w:rPr>
        <w:t>pasts</w:t>
      </w:r>
      <w:r w:rsidRPr="00904033">
        <w:rPr>
          <w:szCs w:val="22"/>
          <w:lang w:val="lv-LV"/>
        </w:rPr>
        <w:t>: kalceks@kalceks.lv</w:t>
      </w:r>
    </w:p>
    <w:p w14:paraId="47026B5A" w14:textId="77777777" w:rsidR="004C202E" w:rsidRDefault="004C202E" w:rsidP="00A062EA">
      <w:pPr>
        <w:rPr>
          <w:szCs w:val="22"/>
          <w:lang w:val="lv-LV"/>
        </w:rPr>
      </w:pPr>
    </w:p>
    <w:p w14:paraId="42DD2C18" w14:textId="77777777" w:rsidR="00D03D70" w:rsidRDefault="00D03D70" w:rsidP="00A062EA">
      <w:pPr>
        <w:rPr>
          <w:b/>
          <w:noProof/>
          <w:lang w:val="lv-LV"/>
        </w:rPr>
      </w:pPr>
      <w:r w:rsidRPr="00D03D70">
        <w:rPr>
          <w:b/>
          <w:noProof/>
          <w:lang w:val="lv-LV"/>
        </w:rPr>
        <w:t>Šīs zāles Eiropas Ekonomikas zonas (EEZ) dalībvalstīs ir reģistrētas ar šādiem nosaukumiem:</w:t>
      </w:r>
    </w:p>
    <w:p w14:paraId="39F16ABD" w14:textId="77777777" w:rsidR="00DF00A5" w:rsidRPr="007C60BB" w:rsidRDefault="00DF00A5" w:rsidP="00A062EA">
      <w:pPr>
        <w:pStyle w:val="Header"/>
        <w:tabs>
          <w:tab w:val="clear" w:pos="567"/>
          <w:tab w:val="clear" w:pos="4153"/>
          <w:tab w:val="left" w:pos="2268"/>
        </w:tabs>
        <w:rPr>
          <w:rFonts w:ascii="Times New Roman" w:hAnsi="Times New Roman"/>
          <w:bCs/>
          <w:sz w:val="22"/>
          <w:szCs w:val="22"/>
          <w:lang w:val="lv-LV"/>
        </w:rPr>
      </w:pPr>
      <w:r w:rsidRPr="007C60BB">
        <w:rPr>
          <w:rFonts w:ascii="Times New Roman" w:hAnsi="Times New Roman"/>
          <w:bCs/>
          <w:sz w:val="22"/>
          <w:szCs w:val="22"/>
          <w:lang w:val="lv-LV"/>
        </w:rPr>
        <w:t>Igaunija</w:t>
      </w:r>
      <w:r w:rsidRPr="007C60BB">
        <w:rPr>
          <w:rFonts w:ascii="Times New Roman" w:hAnsi="Times New Roman"/>
          <w:bCs/>
          <w:sz w:val="22"/>
          <w:szCs w:val="22"/>
          <w:lang w:val="lv-LV"/>
        </w:rPr>
        <w:tab/>
      </w:r>
      <w:proofErr w:type="spellStart"/>
      <w:r w:rsidRPr="007C60BB">
        <w:rPr>
          <w:rFonts w:ascii="Times New Roman" w:hAnsi="Times New Roman"/>
          <w:bCs/>
          <w:sz w:val="22"/>
          <w:szCs w:val="22"/>
          <w:lang w:val="lv-LV"/>
        </w:rPr>
        <w:t>Neiratax</w:t>
      </w:r>
      <w:proofErr w:type="spellEnd"/>
      <w:r w:rsidRPr="007C60BB">
        <w:rPr>
          <w:rFonts w:ascii="Times New Roman" w:hAnsi="Times New Roman"/>
          <w:bCs/>
          <w:sz w:val="22"/>
          <w:szCs w:val="22"/>
          <w:lang w:val="lv-LV"/>
        </w:rPr>
        <w:t xml:space="preserve"> </w:t>
      </w:r>
    </w:p>
    <w:p w14:paraId="7D989C37" w14:textId="77777777" w:rsidR="00DF00A5" w:rsidRPr="00DF00A5" w:rsidRDefault="00DF00A5" w:rsidP="00A062EA">
      <w:pPr>
        <w:tabs>
          <w:tab w:val="left" w:pos="2268"/>
        </w:tabs>
        <w:rPr>
          <w:bCs/>
          <w:szCs w:val="22"/>
          <w:lang w:val="lv-LV"/>
        </w:rPr>
      </w:pPr>
      <w:r>
        <w:rPr>
          <w:bCs/>
          <w:szCs w:val="22"/>
          <w:lang w:val="lv-LV"/>
        </w:rPr>
        <w:t>Latvija</w:t>
      </w:r>
      <w:r w:rsidRPr="00DF00A5">
        <w:rPr>
          <w:bCs/>
          <w:szCs w:val="22"/>
          <w:lang w:val="lv-LV"/>
        </w:rPr>
        <w:tab/>
      </w:r>
      <w:proofErr w:type="spellStart"/>
      <w:r w:rsidRPr="00DF00A5">
        <w:rPr>
          <w:bCs/>
          <w:szCs w:val="22"/>
          <w:lang w:val="lv-LV"/>
        </w:rPr>
        <w:t>Neiratax</w:t>
      </w:r>
      <w:proofErr w:type="spellEnd"/>
      <w:r w:rsidRPr="00DF00A5">
        <w:rPr>
          <w:bCs/>
          <w:szCs w:val="22"/>
          <w:lang w:val="lv-LV"/>
        </w:rPr>
        <w:t xml:space="preserve"> 100 mg/100 mg/1 mg/20 mg/2 ml šķīdums injekcijām </w:t>
      </w:r>
    </w:p>
    <w:p w14:paraId="62ADD5BA" w14:textId="77777777" w:rsidR="00DF00A5" w:rsidRPr="00DF00A5" w:rsidRDefault="00DF00A5" w:rsidP="00A062EA">
      <w:pPr>
        <w:tabs>
          <w:tab w:val="left" w:pos="2268"/>
        </w:tabs>
        <w:rPr>
          <w:bCs/>
          <w:szCs w:val="22"/>
          <w:lang w:val="lv-LV"/>
        </w:rPr>
      </w:pPr>
      <w:r>
        <w:rPr>
          <w:bCs/>
          <w:szCs w:val="22"/>
          <w:lang w:val="lv-LV"/>
        </w:rPr>
        <w:t>Lietuva</w:t>
      </w:r>
      <w:r w:rsidRPr="00DF00A5">
        <w:rPr>
          <w:bCs/>
          <w:szCs w:val="22"/>
          <w:lang w:val="lv-LV"/>
        </w:rPr>
        <w:tab/>
      </w:r>
      <w:proofErr w:type="spellStart"/>
      <w:r w:rsidRPr="00DF00A5">
        <w:rPr>
          <w:bCs/>
          <w:szCs w:val="22"/>
          <w:lang w:val="lv-LV"/>
        </w:rPr>
        <w:t>Neiratax</w:t>
      </w:r>
      <w:proofErr w:type="spellEnd"/>
      <w:r w:rsidRPr="00DF00A5">
        <w:rPr>
          <w:bCs/>
          <w:szCs w:val="22"/>
          <w:lang w:val="lv-LV"/>
        </w:rPr>
        <w:t xml:space="preserve"> 100 mg/100 mg/1 mg/20 mg/2 ml </w:t>
      </w:r>
      <w:proofErr w:type="spellStart"/>
      <w:r w:rsidRPr="00DF00A5">
        <w:rPr>
          <w:bCs/>
          <w:szCs w:val="22"/>
          <w:lang w:val="lv-LV"/>
        </w:rPr>
        <w:t>injekcinis</w:t>
      </w:r>
      <w:proofErr w:type="spellEnd"/>
      <w:r w:rsidRPr="00DF00A5">
        <w:rPr>
          <w:bCs/>
          <w:szCs w:val="22"/>
          <w:lang w:val="lv-LV"/>
        </w:rPr>
        <w:t xml:space="preserve"> </w:t>
      </w:r>
      <w:proofErr w:type="spellStart"/>
      <w:r w:rsidRPr="00DF00A5">
        <w:rPr>
          <w:bCs/>
          <w:szCs w:val="22"/>
          <w:lang w:val="lv-LV"/>
        </w:rPr>
        <w:t>tirpalas</w:t>
      </w:r>
      <w:proofErr w:type="spellEnd"/>
      <w:r w:rsidRPr="00DF00A5">
        <w:rPr>
          <w:bCs/>
          <w:szCs w:val="22"/>
          <w:lang w:val="lv-LV"/>
        </w:rPr>
        <w:t xml:space="preserve"> </w:t>
      </w:r>
    </w:p>
    <w:p w14:paraId="41ED2234" w14:textId="77777777" w:rsidR="00DF00A5" w:rsidRPr="00DF00A5" w:rsidRDefault="00DF00A5" w:rsidP="00A062EA">
      <w:pPr>
        <w:tabs>
          <w:tab w:val="left" w:pos="2268"/>
        </w:tabs>
        <w:rPr>
          <w:bCs/>
          <w:szCs w:val="22"/>
          <w:lang w:val="lv-LV"/>
        </w:rPr>
      </w:pPr>
      <w:r>
        <w:rPr>
          <w:bCs/>
          <w:szCs w:val="22"/>
          <w:lang w:val="lv-LV"/>
        </w:rPr>
        <w:t>Čehija</w:t>
      </w:r>
      <w:r w:rsidRPr="00DF00A5">
        <w:rPr>
          <w:bCs/>
          <w:szCs w:val="22"/>
          <w:lang w:val="lv-LV"/>
        </w:rPr>
        <w:tab/>
      </w:r>
      <w:proofErr w:type="spellStart"/>
      <w:r w:rsidRPr="00DF00A5">
        <w:rPr>
          <w:bCs/>
          <w:szCs w:val="22"/>
          <w:lang w:val="lv-LV"/>
        </w:rPr>
        <w:t>Neiraxin</w:t>
      </w:r>
      <w:proofErr w:type="spellEnd"/>
    </w:p>
    <w:p w14:paraId="4145F25E" w14:textId="77777777" w:rsidR="00DF00A5" w:rsidRPr="00DF00A5" w:rsidRDefault="00DF00A5" w:rsidP="00A062EA">
      <w:pPr>
        <w:tabs>
          <w:tab w:val="left" w:pos="2268"/>
        </w:tabs>
        <w:rPr>
          <w:bCs/>
          <w:szCs w:val="22"/>
          <w:lang w:val="lv-LV"/>
        </w:rPr>
      </w:pPr>
      <w:r>
        <w:rPr>
          <w:bCs/>
          <w:szCs w:val="22"/>
          <w:lang w:val="lv-LV"/>
        </w:rPr>
        <w:t>Ungārija</w:t>
      </w:r>
      <w:r w:rsidRPr="00DF00A5">
        <w:rPr>
          <w:bCs/>
          <w:szCs w:val="22"/>
          <w:lang w:val="lv-LV"/>
        </w:rPr>
        <w:tab/>
      </w:r>
      <w:proofErr w:type="spellStart"/>
      <w:r w:rsidRPr="00DF00A5">
        <w:rPr>
          <w:bCs/>
          <w:szCs w:val="22"/>
          <w:lang w:val="lv-LV"/>
        </w:rPr>
        <w:t>Neiratax</w:t>
      </w:r>
      <w:proofErr w:type="spellEnd"/>
      <w:r w:rsidRPr="00DF00A5">
        <w:rPr>
          <w:bCs/>
          <w:szCs w:val="22"/>
          <w:lang w:val="lv-LV"/>
        </w:rPr>
        <w:t xml:space="preserve"> 100 mg/100 mg/1 mg/20 mg/2 ml </w:t>
      </w:r>
      <w:proofErr w:type="spellStart"/>
      <w:r w:rsidRPr="00DF00A5">
        <w:rPr>
          <w:bCs/>
          <w:szCs w:val="22"/>
          <w:lang w:val="lv-LV"/>
        </w:rPr>
        <w:t>oldatos</w:t>
      </w:r>
      <w:proofErr w:type="spellEnd"/>
      <w:r w:rsidRPr="00DF00A5">
        <w:rPr>
          <w:bCs/>
          <w:szCs w:val="22"/>
          <w:lang w:val="lv-LV"/>
        </w:rPr>
        <w:t xml:space="preserve"> </w:t>
      </w:r>
      <w:proofErr w:type="spellStart"/>
      <w:r w:rsidRPr="00DF00A5">
        <w:rPr>
          <w:bCs/>
          <w:szCs w:val="22"/>
          <w:lang w:val="lv-LV"/>
        </w:rPr>
        <w:t>injekció</w:t>
      </w:r>
      <w:proofErr w:type="spellEnd"/>
    </w:p>
    <w:p w14:paraId="336FD2F2" w14:textId="77777777" w:rsidR="00DF00A5" w:rsidRPr="00DF00A5" w:rsidRDefault="00DF00A5" w:rsidP="00A062EA">
      <w:pPr>
        <w:tabs>
          <w:tab w:val="left" w:pos="2268"/>
        </w:tabs>
        <w:ind w:left="2268" w:hanging="2268"/>
        <w:rPr>
          <w:bCs/>
          <w:szCs w:val="22"/>
          <w:lang w:val="lv-LV"/>
        </w:rPr>
      </w:pPr>
      <w:r w:rsidRPr="00DF00A5">
        <w:rPr>
          <w:bCs/>
          <w:szCs w:val="22"/>
          <w:lang w:val="lv-LV"/>
        </w:rPr>
        <w:t>Bulg</w:t>
      </w:r>
      <w:r>
        <w:rPr>
          <w:bCs/>
          <w:szCs w:val="22"/>
          <w:lang w:val="lv-LV"/>
        </w:rPr>
        <w:t>ārija</w:t>
      </w:r>
      <w:r w:rsidRPr="00DF00A5">
        <w:rPr>
          <w:bCs/>
          <w:szCs w:val="22"/>
          <w:lang w:val="lv-LV"/>
        </w:rPr>
        <w:tab/>
      </w:r>
      <w:proofErr w:type="spellStart"/>
      <w:r w:rsidRPr="00DF00A5">
        <w:rPr>
          <w:bCs/>
          <w:szCs w:val="22"/>
          <w:lang w:val="lv-LV"/>
        </w:rPr>
        <w:t>Neiraxin</w:t>
      </w:r>
      <w:proofErr w:type="spellEnd"/>
      <w:r w:rsidRPr="00DF00A5">
        <w:rPr>
          <w:bCs/>
          <w:szCs w:val="22"/>
          <w:lang w:val="lv-LV"/>
        </w:rPr>
        <w:t xml:space="preserve"> B 100 mg/100 mg/1 mg/20 mg/2 ml </w:t>
      </w:r>
      <w:proofErr w:type="spellStart"/>
      <w:r w:rsidR="00B652E4" w:rsidRPr="00DF00A5">
        <w:rPr>
          <w:bCs/>
          <w:szCs w:val="22"/>
          <w:lang w:val="lv-LV"/>
        </w:rPr>
        <w:t>инжекционен</w:t>
      </w:r>
      <w:proofErr w:type="spellEnd"/>
      <w:r w:rsidR="00B652E4" w:rsidRPr="00DF00A5">
        <w:rPr>
          <w:bCs/>
          <w:szCs w:val="22"/>
          <w:lang w:val="lv-LV"/>
        </w:rPr>
        <w:t xml:space="preserve"> </w:t>
      </w:r>
      <w:proofErr w:type="spellStart"/>
      <w:r w:rsidRPr="00DF00A5">
        <w:rPr>
          <w:bCs/>
          <w:szCs w:val="22"/>
          <w:lang w:val="lv-LV"/>
        </w:rPr>
        <w:t>разтвор</w:t>
      </w:r>
      <w:proofErr w:type="spellEnd"/>
      <w:r w:rsidRPr="00DF00A5">
        <w:rPr>
          <w:bCs/>
          <w:szCs w:val="22"/>
          <w:lang w:val="lv-LV"/>
        </w:rPr>
        <w:t xml:space="preserve"> </w:t>
      </w:r>
    </w:p>
    <w:p w14:paraId="63FC5CBD" w14:textId="77777777" w:rsidR="00DF00A5" w:rsidRPr="001A2774" w:rsidRDefault="00DF00A5" w:rsidP="00A062EA">
      <w:pPr>
        <w:tabs>
          <w:tab w:val="left" w:pos="2268"/>
        </w:tabs>
        <w:rPr>
          <w:bCs/>
          <w:szCs w:val="22"/>
          <w:lang w:val="lv-LV"/>
        </w:rPr>
      </w:pPr>
      <w:r w:rsidRPr="001A2774">
        <w:rPr>
          <w:bCs/>
          <w:szCs w:val="22"/>
          <w:lang w:val="lv-LV"/>
        </w:rPr>
        <w:t>Polija</w:t>
      </w:r>
      <w:r w:rsidRPr="001A2774">
        <w:rPr>
          <w:bCs/>
          <w:szCs w:val="22"/>
          <w:lang w:val="lv-LV"/>
        </w:rPr>
        <w:tab/>
      </w:r>
      <w:r w:rsidRPr="001A2774">
        <w:rPr>
          <w:bCs/>
          <w:szCs w:val="22"/>
          <w:lang w:val="lv-LV"/>
        </w:rPr>
        <w:tab/>
      </w:r>
      <w:proofErr w:type="spellStart"/>
      <w:r w:rsidRPr="001A2774">
        <w:rPr>
          <w:bCs/>
          <w:szCs w:val="22"/>
          <w:lang w:val="lv-LV"/>
        </w:rPr>
        <w:t>Neiraxin</w:t>
      </w:r>
      <w:proofErr w:type="spellEnd"/>
      <w:r w:rsidRPr="001A2774">
        <w:rPr>
          <w:bCs/>
          <w:szCs w:val="22"/>
          <w:lang w:val="lv-LV"/>
        </w:rPr>
        <w:t xml:space="preserve"> B</w:t>
      </w:r>
    </w:p>
    <w:p w14:paraId="637E9BCB" w14:textId="77777777" w:rsidR="00DF00A5" w:rsidRPr="001A2774" w:rsidRDefault="00DF00A5" w:rsidP="00A062EA">
      <w:pPr>
        <w:tabs>
          <w:tab w:val="left" w:pos="2268"/>
        </w:tabs>
        <w:rPr>
          <w:bCs/>
          <w:szCs w:val="22"/>
          <w:lang w:val="lv-LV"/>
        </w:rPr>
      </w:pPr>
      <w:r w:rsidRPr="001A2774">
        <w:rPr>
          <w:bCs/>
          <w:szCs w:val="22"/>
          <w:lang w:val="lv-LV"/>
        </w:rPr>
        <w:t>Slovākija</w:t>
      </w:r>
      <w:r w:rsidRPr="001A2774">
        <w:rPr>
          <w:bCs/>
          <w:szCs w:val="22"/>
          <w:lang w:val="lv-LV"/>
        </w:rPr>
        <w:tab/>
      </w:r>
      <w:proofErr w:type="spellStart"/>
      <w:r w:rsidRPr="001A2774">
        <w:rPr>
          <w:bCs/>
          <w:szCs w:val="22"/>
          <w:lang w:val="lv-LV"/>
        </w:rPr>
        <w:t>Neiraxin</w:t>
      </w:r>
      <w:proofErr w:type="spellEnd"/>
    </w:p>
    <w:p w14:paraId="0B2BB27C" w14:textId="77777777" w:rsidR="00DF00A5" w:rsidRPr="001A2774" w:rsidRDefault="00DF00A5" w:rsidP="00A062EA">
      <w:pPr>
        <w:tabs>
          <w:tab w:val="left" w:pos="2268"/>
        </w:tabs>
        <w:rPr>
          <w:bCs/>
          <w:szCs w:val="22"/>
          <w:lang w:val="lv-LV"/>
        </w:rPr>
      </w:pPr>
      <w:r w:rsidRPr="001A2774">
        <w:rPr>
          <w:bCs/>
          <w:szCs w:val="22"/>
          <w:lang w:val="lv-LV"/>
        </w:rPr>
        <w:lastRenderedPageBreak/>
        <w:t>Rumānija</w:t>
      </w:r>
      <w:r w:rsidRPr="001A2774">
        <w:rPr>
          <w:bCs/>
          <w:szCs w:val="22"/>
          <w:lang w:val="lv-LV"/>
        </w:rPr>
        <w:tab/>
      </w:r>
      <w:proofErr w:type="spellStart"/>
      <w:r w:rsidRPr="001A2774">
        <w:rPr>
          <w:bCs/>
          <w:szCs w:val="22"/>
          <w:lang w:val="lv-LV"/>
        </w:rPr>
        <w:t>Neiraxin</w:t>
      </w:r>
      <w:proofErr w:type="spellEnd"/>
      <w:r w:rsidRPr="001A2774">
        <w:rPr>
          <w:bCs/>
          <w:szCs w:val="22"/>
          <w:lang w:val="lv-LV"/>
        </w:rPr>
        <w:t xml:space="preserve"> </w:t>
      </w:r>
      <w:proofErr w:type="spellStart"/>
      <w:r w:rsidRPr="001A2774">
        <w:rPr>
          <w:bCs/>
          <w:szCs w:val="22"/>
          <w:lang w:val="lv-LV"/>
        </w:rPr>
        <w:t>soluţie</w:t>
      </w:r>
      <w:proofErr w:type="spellEnd"/>
      <w:r w:rsidRPr="001A2774">
        <w:rPr>
          <w:bCs/>
          <w:szCs w:val="22"/>
          <w:lang w:val="lv-LV"/>
        </w:rPr>
        <w:t xml:space="preserve"> </w:t>
      </w:r>
      <w:proofErr w:type="spellStart"/>
      <w:r w:rsidRPr="001A2774">
        <w:rPr>
          <w:bCs/>
          <w:szCs w:val="22"/>
          <w:lang w:val="lv-LV"/>
        </w:rPr>
        <w:t>injectabilă</w:t>
      </w:r>
      <w:proofErr w:type="spellEnd"/>
    </w:p>
    <w:p w14:paraId="266AFC91" w14:textId="77777777" w:rsidR="00DF00A5" w:rsidRPr="001A2774" w:rsidRDefault="00DF00A5" w:rsidP="00A062EA">
      <w:pPr>
        <w:tabs>
          <w:tab w:val="left" w:pos="2268"/>
        </w:tabs>
        <w:rPr>
          <w:bCs/>
          <w:szCs w:val="22"/>
          <w:lang w:val="lv-LV"/>
        </w:rPr>
      </w:pPr>
      <w:r w:rsidRPr="001A2774">
        <w:rPr>
          <w:bCs/>
          <w:szCs w:val="22"/>
          <w:lang w:val="lv-LV"/>
        </w:rPr>
        <w:t>Nīderlande</w:t>
      </w:r>
      <w:r w:rsidRPr="001A2774">
        <w:rPr>
          <w:bCs/>
          <w:szCs w:val="22"/>
          <w:lang w:val="lv-LV"/>
        </w:rPr>
        <w:tab/>
      </w:r>
      <w:proofErr w:type="spellStart"/>
      <w:r w:rsidRPr="001A2774">
        <w:rPr>
          <w:bCs/>
          <w:szCs w:val="22"/>
          <w:lang w:val="lv-LV"/>
        </w:rPr>
        <w:t>Neiraxin</w:t>
      </w:r>
      <w:proofErr w:type="spellEnd"/>
      <w:r w:rsidRPr="001A2774">
        <w:rPr>
          <w:bCs/>
          <w:szCs w:val="22"/>
          <w:lang w:val="lv-LV"/>
        </w:rPr>
        <w:t xml:space="preserve"> 100 mg/100 mg/1 mg/20 mg/2 ml </w:t>
      </w:r>
      <w:proofErr w:type="spellStart"/>
      <w:r w:rsidRPr="001A2774">
        <w:rPr>
          <w:bCs/>
          <w:szCs w:val="22"/>
          <w:lang w:val="lv-LV"/>
        </w:rPr>
        <w:t>oplossing</w:t>
      </w:r>
      <w:proofErr w:type="spellEnd"/>
      <w:r w:rsidRPr="001A2774">
        <w:rPr>
          <w:bCs/>
          <w:szCs w:val="22"/>
          <w:lang w:val="lv-LV"/>
        </w:rPr>
        <w:t xml:space="preserve"> </w:t>
      </w:r>
      <w:proofErr w:type="spellStart"/>
      <w:r w:rsidRPr="001A2774">
        <w:rPr>
          <w:bCs/>
          <w:szCs w:val="22"/>
          <w:lang w:val="lv-LV"/>
        </w:rPr>
        <w:t>voor</w:t>
      </w:r>
      <w:proofErr w:type="spellEnd"/>
      <w:r w:rsidRPr="001A2774">
        <w:rPr>
          <w:bCs/>
          <w:szCs w:val="22"/>
          <w:lang w:val="lv-LV"/>
        </w:rPr>
        <w:t xml:space="preserve"> </w:t>
      </w:r>
      <w:proofErr w:type="spellStart"/>
      <w:r w:rsidRPr="001A2774">
        <w:rPr>
          <w:bCs/>
          <w:szCs w:val="22"/>
          <w:lang w:val="lv-LV"/>
        </w:rPr>
        <w:t>injectie</w:t>
      </w:r>
      <w:proofErr w:type="spellEnd"/>
    </w:p>
    <w:p w14:paraId="7167FF05" w14:textId="77777777" w:rsidR="00D03D70" w:rsidRPr="001A2774" w:rsidRDefault="00D03D70" w:rsidP="00A062EA">
      <w:pPr>
        <w:rPr>
          <w:b/>
          <w:noProof/>
          <w:lang w:val="lv-LV"/>
        </w:rPr>
      </w:pPr>
    </w:p>
    <w:p w14:paraId="3DAF536F" w14:textId="77777777" w:rsidR="00D03D70" w:rsidRPr="00D03D70" w:rsidRDefault="00D03D70" w:rsidP="00A062EA">
      <w:pPr>
        <w:rPr>
          <w:szCs w:val="22"/>
          <w:lang w:val="lv-LV"/>
        </w:rPr>
      </w:pPr>
    </w:p>
    <w:p w14:paraId="212BD36A" w14:textId="07A3DE85" w:rsidR="00E122B3" w:rsidRPr="00556BDB" w:rsidRDefault="00E122B3" w:rsidP="00C46575">
      <w:pPr>
        <w:numPr>
          <w:ilvl w:val="12"/>
          <w:numId w:val="0"/>
        </w:numPr>
        <w:tabs>
          <w:tab w:val="clear" w:pos="567"/>
        </w:tabs>
        <w:spacing w:line="240" w:lineRule="auto"/>
        <w:rPr>
          <w:szCs w:val="22"/>
          <w:lang w:val="lv-LV"/>
        </w:rPr>
      </w:pPr>
      <w:r w:rsidRPr="00556BDB">
        <w:rPr>
          <w:b/>
          <w:szCs w:val="22"/>
          <w:lang w:val="lv-LV"/>
        </w:rPr>
        <w:t xml:space="preserve">Šī lietošanas instrukcija pēdējo reizi pārskatīta </w:t>
      </w:r>
      <w:r w:rsidR="00B652E4">
        <w:rPr>
          <w:b/>
          <w:szCs w:val="22"/>
          <w:lang w:val="lv-LV"/>
        </w:rPr>
        <w:t>0</w:t>
      </w:r>
      <w:r w:rsidR="000C7DC4">
        <w:rPr>
          <w:b/>
          <w:szCs w:val="22"/>
          <w:lang w:val="lv-LV"/>
        </w:rPr>
        <w:t>3</w:t>
      </w:r>
      <w:r w:rsidR="00B652E4">
        <w:rPr>
          <w:b/>
          <w:szCs w:val="22"/>
          <w:lang w:val="lv-LV"/>
        </w:rPr>
        <w:t>/2022</w:t>
      </w:r>
    </w:p>
    <w:sectPr w:rsidR="00E122B3" w:rsidRPr="00556BDB" w:rsidSect="008D50E3">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949D" w14:textId="77777777" w:rsidR="004E4BC9" w:rsidRDefault="004E4BC9" w:rsidP="00773772">
      <w:pPr>
        <w:spacing w:line="240" w:lineRule="auto"/>
      </w:pPr>
      <w:r>
        <w:separator/>
      </w:r>
    </w:p>
  </w:endnote>
  <w:endnote w:type="continuationSeparator" w:id="0">
    <w:p w14:paraId="7F46DCBC" w14:textId="77777777" w:rsidR="004E4BC9" w:rsidRDefault="004E4BC9" w:rsidP="00773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87" w:usb1="00000000" w:usb2="00000000" w:usb3="00000000" w:csb0="0000000B"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83CB" w14:textId="77777777" w:rsidR="00124561" w:rsidRDefault="00124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9CD3" w14:textId="77777777" w:rsidR="00124561" w:rsidRDefault="00124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9368" w14:textId="77777777" w:rsidR="00124561" w:rsidRDefault="00124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70FA" w14:textId="77777777" w:rsidR="004E4BC9" w:rsidRDefault="004E4BC9" w:rsidP="00773772">
      <w:pPr>
        <w:spacing w:line="240" w:lineRule="auto"/>
      </w:pPr>
      <w:r>
        <w:separator/>
      </w:r>
    </w:p>
  </w:footnote>
  <w:footnote w:type="continuationSeparator" w:id="0">
    <w:p w14:paraId="102E4524" w14:textId="77777777" w:rsidR="004E4BC9" w:rsidRDefault="004E4BC9" w:rsidP="00773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2594" w14:textId="77777777" w:rsidR="00124561" w:rsidRDefault="00124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8B60" w14:textId="77777777" w:rsidR="00124561" w:rsidRPr="00124561" w:rsidRDefault="00124561" w:rsidP="00124561">
    <w:pPr>
      <w:pStyle w:val="Header"/>
      <w:jc w:val="right"/>
      <w:rPr>
        <w:rFonts w:ascii="Times New Roman" w:hAnsi="Times New Roman"/>
        <w:sz w:val="24"/>
        <w:szCs w:val="24"/>
        <w:lang w:val="en-US" w:eastAsia="zh-CN"/>
      </w:rPr>
    </w:pPr>
    <w:r w:rsidRPr="00124561">
      <w:rPr>
        <w:rFonts w:ascii="Times New Roman" w:hAnsi="Times New Roman"/>
        <w:sz w:val="24"/>
        <w:szCs w:val="24"/>
        <w:lang w:val="en-US"/>
      </w:rPr>
      <w:t>SASKAŅOTS ZVA 10-05-2022</w:t>
    </w:r>
  </w:p>
  <w:p w14:paraId="7A244760" w14:textId="77777777" w:rsidR="00773772" w:rsidRPr="00A33B4F" w:rsidRDefault="00773772" w:rsidP="00773772">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8F68" w14:textId="77777777" w:rsidR="00124561" w:rsidRDefault="0012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055673"/>
    <w:multiLevelType w:val="hybridMultilevel"/>
    <w:tmpl w:val="D346BA6C"/>
    <w:lvl w:ilvl="0" w:tplc="4BA6B75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1072CF"/>
    <w:multiLevelType w:val="hybridMultilevel"/>
    <w:tmpl w:val="9138850E"/>
    <w:lvl w:ilvl="0" w:tplc="4BA6B75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AD586D"/>
    <w:multiLevelType w:val="hybridMultilevel"/>
    <w:tmpl w:val="1A4671D4"/>
    <w:lvl w:ilvl="0" w:tplc="3C1C6A0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F3732C"/>
    <w:multiLevelType w:val="hybridMultilevel"/>
    <w:tmpl w:val="CB1CAEEA"/>
    <w:lvl w:ilvl="0" w:tplc="3C1C6A0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C022937"/>
    <w:multiLevelType w:val="hybridMultilevel"/>
    <w:tmpl w:val="D004D550"/>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F234C8"/>
    <w:multiLevelType w:val="hybridMultilevel"/>
    <w:tmpl w:val="D88643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FD6203"/>
    <w:multiLevelType w:val="hybridMultilevel"/>
    <w:tmpl w:val="9F388FB6"/>
    <w:lvl w:ilvl="0" w:tplc="4BA6B758">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B9170A1"/>
    <w:multiLevelType w:val="hybridMultilevel"/>
    <w:tmpl w:val="453C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84143"/>
    <w:multiLevelType w:val="hybridMultilevel"/>
    <w:tmpl w:val="B6E88A06"/>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573F19"/>
    <w:multiLevelType w:val="hybridMultilevel"/>
    <w:tmpl w:val="A886BEBE"/>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3"/>
  </w:num>
  <w:num w:numId="3">
    <w:abstractNumId w:val="1"/>
  </w:num>
  <w:num w:numId="4">
    <w:abstractNumId w:val="9"/>
  </w:num>
  <w:num w:numId="5">
    <w:abstractNumId w:val="8"/>
  </w:num>
  <w:num w:numId="6">
    <w:abstractNumId w:val="7"/>
  </w:num>
  <w:num w:numId="7">
    <w:abstractNumId w:val="5"/>
  </w:num>
  <w:num w:numId="8">
    <w:abstractNumId w:val="4"/>
  </w:num>
  <w:num w:numId="9">
    <w:abstractNumId w:val="2"/>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B3"/>
    <w:rsid w:val="0003042C"/>
    <w:rsid w:val="000512B2"/>
    <w:rsid w:val="00084FF6"/>
    <w:rsid w:val="000A24AC"/>
    <w:rsid w:val="000A31DF"/>
    <w:rsid w:val="000A77EA"/>
    <w:rsid w:val="000C7DC4"/>
    <w:rsid w:val="000E49A7"/>
    <w:rsid w:val="00106B6A"/>
    <w:rsid w:val="00124561"/>
    <w:rsid w:val="001429DD"/>
    <w:rsid w:val="00147777"/>
    <w:rsid w:val="00154FC2"/>
    <w:rsid w:val="001A0E00"/>
    <w:rsid w:val="001A2774"/>
    <w:rsid w:val="001B3AB2"/>
    <w:rsid w:val="001F018E"/>
    <w:rsid w:val="00224BA8"/>
    <w:rsid w:val="002B3355"/>
    <w:rsid w:val="002D056A"/>
    <w:rsid w:val="002F6F18"/>
    <w:rsid w:val="003123D0"/>
    <w:rsid w:val="0031382A"/>
    <w:rsid w:val="003A359E"/>
    <w:rsid w:val="003C5444"/>
    <w:rsid w:val="003C7696"/>
    <w:rsid w:val="00403D87"/>
    <w:rsid w:val="00427E19"/>
    <w:rsid w:val="0045470F"/>
    <w:rsid w:val="00455A59"/>
    <w:rsid w:val="00466C1B"/>
    <w:rsid w:val="004746E1"/>
    <w:rsid w:val="00476572"/>
    <w:rsid w:val="004A6A7F"/>
    <w:rsid w:val="004C202E"/>
    <w:rsid w:val="004C4C18"/>
    <w:rsid w:val="004C5DC2"/>
    <w:rsid w:val="004D1B20"/>
    <w:rsid w:val="004E35AC"/>
    <w:rsid w:val="004E3F05"/>
    <w:rsid w:val="004E4BC9"/>
    <w:rsid w:val="004E7E0F"/>
    <w:rsid w:val="005058DB"/>
    <w:rsid w:val="00552518"/>
    <w:rsid w:val="00556BDB"/>
    <w:rsid w:val="005B6788"/>
    <w:rsid w:val="005D637B"/>
    <w:rsid w:val="005F12A9"/>
    <w:rsid w:val="00631733"/>
    <w:rsid w:val="00636EE4"/>
    <w:rsid w:val="00640EA0"/>
    <w:rsid w:val="006713C4"/>
    <w:rsid w:val="006A51FA"/>
    <w:rsid w:val="006C33E9"/>
    <w:rsid w:val="006C7207"/>
    <w:rsid w:val="006E4942"/>
    <w:rsid w:val="00700B92"/>
    <w:rsid w:val="00773772"/>
    <w:rsid w:val="007904C4"/>
    <w:rsid w:val="007A41AA"/>
    <w:rsid w:val="007C60BB"/>
    <w:rsid w:val="007F33C2"/>
    <w:rsid w:val="00867D64"/>
    <w:rsid w:val="00892B57"/>
    <w:rsid w:val="008A04AE"/>
    <w:rsid w:val="008C74D4"/>
    <w:rsid w:val="008D50E3"/>
    <w:rsid w:val="008F101F"/>
    <w:rsid w:val="00904033"/>
    <w:rsid w:val="0097012E"/>
    <w:rsid w:val="00992C48"/>
    <w:rsid w:val="009E1917"/>
    <w:rsid w:val="009E1CBC"/>
    <w:rsid w:val="009E4383"/>
    <w:rsid w:val="00A062EA"/>
    <w:rsid w:val="00A33B4F"/>
    <w:rsid w:val="00A371C2"/>
    <w:rsid w:val="00A52DD1"/>
    <w:rsid w:val="00A772A7"/>
    <w:rsid w:val="00AA3E6F"/>
    <w:rsid w:val="00AA45C5"/>
    <w:rsid w:val="00AB5744"/>
    <w:rsid w:val="00AC5569"/>
    <w:rsid w:val="00AD54AA"/>
    <w:rsid w:val="00AD6F0F"/>
    <w:rsid w:val="00AE42F4"/>
    <w:rsid w:val="00B16806"/>
    <w:rsid w:val="00B44B87"/>
    <w:rsid w:val="00B652E4"/>
    <w:rsid w:val="00B80503"/>
    <w:rsid w:val="00BA0F6E"/>
    <w:rsid w:val="00BA77F9"/>
    <w:rsid w:val="00BB161C"/>
    <w:rsid w:val="00BB4265"/>
    <w:rsid w:val="00BC2002"/>
    <w:rsid w:val="00C4010D"/>
    <w:rsid w:val="00C46575"/>
    <w:rsid w:val="00C61E98"/>
    <w:rsid w:val="00C66B8B"/>
    <w:rsid w:val="00C762EA"/>
    <w:rsid w:val="00CA56C0"/>
    <w:rsid w:val="00CB469D"/>
    <w:rsid w:val="00CC1DF8"/>
    <w:rsid w:val="00CE0398"/>
    <w:rsid w:val="00D03D70"/>
    <w:rsid w:val="00D31FAA"/>
    <w:rsid w:val="00D4572A"/>
    <w:rsid w:val="00D51532"/>
    <w:rsid w:val="00DA3628"/>
    <w:rsid w:val="00DF00A5"/>
    <w:rsid w:val="00E05B68"/>
    <w:rsid w:val="00E11AE8"/>
    <w:rsid w:val="00E122B3"/>
    <w:rsid w:val="00E7586B"/>
    <w:rsid w:val="00E75EC6"/>
    <w:rsid w:val="00E82C74"/>
    <w:rsid w:val="00E8337F"/>
    <w:rsid w:val="00ED2922"/>
    <w:rsid w:val="00EE6F84"/>
    <w:rsid w:val="00EE72A1"/>
    <w:rsid w:val="00EF2B85"/>
    <w:rsid w:val="00EF79FE"/>
    <w:rsid w:val="00F162A1"/>
    <w:rsid w:val="00F2077C"/>
    <w:rsid w:val="00F67EB8"/>
    <w:rsid w:val="00F713F8"/>
    <w:rsid w:val="00FA1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62C5"/>
  <w15:chartTrackingRefBased/>
  <w15:docId w15:val="{74C9831C-9854-4D57-8FF7-662DF156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B3"/>
    <w:pPr>
      <w:tabs>
        <w:tab w:val="left" w:pos="567"/>
      </w:tabs>
      <w:spacing w:line="260" w:lineRule="exact"/>
    </w:pPr>
    <w:rPr>
      <w:rFonts w:ascii="Times New Roman" w:eastAsia="Times New Roman" w:hAnsi="Times New Roman"/>
      <w:snapToGrid w:val="0"/>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2B3"/>
    <w:rPr>
      <w:color w:val="0000FF"/>
      <w:u w:val="single"/>
    </w:rPr>
  </w:style>
  <w:style w:type="paragraph" w:styleId="BalloonText">
    <w:name w:val="Balloon Text"/>
    <w:basedOn w:val="Normal"/>
    <w:link w:val="BalloonTextChar"/>
    <w:uiPriority w:val="99"/>
    <w:semiHidden/>
    <w:unhideWhenUsed/>
    <w:rsid w:val="00E122B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122B3"/>
    <w:rPr>
      <w:rFonts w:ascii="Tahoma" w:eastAsia="Times New Roman" w:hAnsi="Tahoma" w:cs="Tahoma"/>
      <w:snapToGrid w:val="0"/>
      <w:sz w:val="16"/>
      <w:szCs w:val="16"/>
      <w:lang w:val="en-GB" w:eastAsia="zh-CN"/>
    </w:rPr>
  </w:style>
  <w:style w:type="paragraph" w:styleId="ListParagraph">
    <w:name w:val="List Paragraph"/>
    <w:basedOn w:val="Normal"/>
    <w:uiPriority w:val="34"/>
    <w:qFormat/>
    <w:rsid w:val="004E3F05"/>
    <w:pPr>
      <w:ind w:left="720"/>
      <w:contextualSpacing/>
    </w:pPr>
  </w:style>
  <w:style w:type="paragraph" w:styleId="BodyText">
    <w:name w:val="Body Text"/>
    <w:basedOn w:val="Normal"/>
    <w:link w:val="BodyTextChar"/>
    <w:rsid w:val="00556BDB"/>
    <w:pPr>
      <w:tabs>
        <w:tab w:val="clear" w:pos="567"/>
      </w:tabs>
      <w:autoSpaceDE w:val="0"/>
      <w:autoSpaceDN w:val="0"/>
      <w:adjustRightInd w:val="0"/>
      <w:spacing w:line="240" w:lineRule="auto"/>
      <w:jc w:val="both"/>
    </w:pPr>
    <w:rPr>
      <w:snapToGrid/>
      <w:sz w:val="24"/>
      <w:szCs w:val="24"/>
      <w:lang w:val="en-US" w:eastAsia="en-US"/>
    </w:rPr>
  </w:style>
  <w:style w:type="character" w:customStyle="1" w:styleId="BodyTextChar">
    <w:name w:val="Body Text Char"/>
    <w:link w:val="BodyText"/>
    <w:rsid w:val="00556BDB"/>
    <w:rPr>
      <w:rFonts w:ascii="Times New Roman" w:eastAsia="Times New Roman" w:hAnsi="Times New Roman" w:cs="Times New Roman"/>
      <w:sz w:val="24"/>
      <w:szCs w:val="24"/>
      <w:lang w:val="en-US"/>
    </w:rPr>
  </w:style>
  <w:style w:type="paragraph" w:customStyle="1" w:styleId="tvhtml">
    <w:name w:val="tv_html"/>
    <w:basedOn w:val="Normal"/>
    <w:rsid w:val="00DA3628"/>
    <w:pPr>
      <w:tabs>
        <w:tab w:val="clear" w:pos="567"/>
      </w:tabs>
      <w:spacing w:before="100" w:beforeAutospacing="1" w:after="100" w:afterAutospacing="1" w:line="240" w:lineRule="auto"/>
    </w:pPr>
    <w:rPr>
      <w:snapToGrid/>
      <w:sz w:val="24"/>
      <w:szCs w:val="24"/>
      <w:lang w:val="lv-LV" w:eastAsia="lv-LV"/>
    </w:rPr>
  </w:style>
  <w:style w:type="paragraph" w:customStyle="1" w:styleId="Default">
    <w:name w:val="Default"/>
    <w:rsid w:val="004C4C18"/>
    <w:pPr>
      <w:autoSpaceDE w:val="0"/>
      <w:autoSpaceDN w:val="0"/>
      <w:adjustRightInd w:val="0"/>
    </w:pPr>
    <w:rPr>
      <w:rFonts w:ascii="Dutch TL" w:eastAsia="Times New Roman" w:hAnsi="Dutch TL"/>
      <w:color w:val="000000"/>
      <w:sz w:val="24"/>
      <w:szCs w:val="24"/>
      <w:lang w:val="en-US" w:eastAsia="en-US"/>
    </w:rPr>
  </w:style>
  <w:style w:type="paragraph" w:styleId="Header">
    <w:name w:val="header"/>
    <w:basedOn w:val="Normal"/>
    <w:link w:val="HeaderChar"/>
    <w:uiPriority w:val="99"/>
    <w:rsid w:val="00DF00A5"/>
    <w:pPr>
      <w:tabs>
        <w:tab w:val="center" w:pos="4153"/>
        <w:tab w:val="right" w:pos="8306"/>
      </w:tabs>
      <w:spacing w:line="240" w:lineRule="auto"/>
    </w:pPr>
    <w:rPr>
      <w:rFonts w:ascii="Helvetica" w:hAnsi="Helvetica"/>
      <w:snapToGrid/>
      <w:sz w:val="20"/>
      <w:lang w:eastAsia="en-US"/>
    </w:rPr>
  </w:style>
  <w:style w:type="character" w:customStyle="1" w:styleId="HeaderChar">
    <w:name w:val="Header Char"/>
    <w:link w:val="Header"/>
    <w:uiPriority w:val="99"/>
    <w:rsid w:val="00DF00A5"/>
    <w:rPr>
      <w:rFonts w:ascii="Helvetica" w:eastAsia="Times New Roman" w:hAnsi="Helvetica" w:cs="Times New Roman"/>
      <w:sz w:val="20"/>
      <w:szCs w:val="20"/>
      <w:lang w:val="en-GB"/>
    </w:rPr>
  </w:style>
  <w:style w:type="character" w:styleId="CommentReference">
    <w:name w:val="annotation reference"/>
    <w:uiPriority w:val="99"/>
    <w:semiHidden/>
    <w:unhideWhenUsed/>
    <w:rsid w:val="00BA0F6E"/>
    <w:rPr>
      <w:sz w:val="16"/>
      <w:szCs w:val="16"/>
    </w:rPr>
  </w:style>
  <w:style w:type="paragraph" w:styleId="CommentText">
    <w:name w:val="annotation text"/>
    <w:basedOn w:val="Normal"/>
    <w:link w:val="CommentTextChar"/>
    <w:uiPriority w:val="99"/>
    <w:unhideWhenUsed/>
    <w:rsid w:val="00BA0F6E"/>
    <w:pPr>
      <w:spacing w:line="240" w:lineRule="auto"/>
    </w:pPr>
    <w:rPr>
      <w:sz w:val="20"/>
    </w:rPr>
  </w:style>
  <w:style w:type="character" w:customStyle="1" w:styleId="CommentTextChar">
    <w:name w:val="Comment Text Char"/>
    <w:link w:val="CommentText"/>
    <w:uiPriority w:val="99"/>
    <w:rsid w:val="00BA0F6E"/>
    <w:rPr>
      <w:rFonts w:ascii="Times New Roman" w:eastAsia="Times New Roman" w:hAnsi="Times New Roman" w:cs="Times New Roman"/>
      <w:snapToGrid w:val="0"/>
      <w:sz w:val="20"/>
      <w:szCs w:val="20"/>
      <w:lang w:val="en-GB" w:eastAsia="zh-CN"/>
    </w:rPr>
  </w:style>
  <w:style w:type="paragraph" w:styleId="CommentSubject">
    <w:name w:val="annotation subject"/>
    <w:basedOn w:val="CommentText"/>
    <w:next w:val="CommentText"/>
    <w:link w:val="CommentSubjectChar"/>
    <w:uiPriority w:val="99"/>
    <w:semiHidden/>
    <w:unhideWhenUsed/>
    <w:rsid w:val="00BA0F6E"/>
    <w:rPr>
      <w:b/>
      <w:bCs/>
    </w:rPr>
  </w:style>
  <w:style w:type="character" w:customStyle="1" w:styleId="CommentSubjectChar">
    <w:name w:val="Comment Subject Char"/>
    <w:link w:val="CommentSubject"/>
    <w:uiPriority w:val="99"/>
    <w:semiHidden/>
    <w:rsid w:val="00BA0F6E"/>
    <w:rPr>
      <w:rFonts w:ascii="Times New Roman" w:eastAsia="Times New Roman" w:hAnsi="Times New Roman" w:cs="Times New Roman"/>
      <w:b/>
      <w:bCs/>
      <w:snapToGrid w:val="0"/>
      <w:sz w:val="20"/>
      <w:szCs w:val="20"/>
      <w:lang w:val="en-GB" w:eastAsia="zh-CN"/>
    </w:rPr>
  </w:style>
  <w:style w:type="paragraph" w:styleId="Revision">
    <w:name w:val="Revision"/>
    <w:hidden/>
    <w:uiPriority w:val="99"/>
    <w:semiHidden/>
    <w:rsid w:val="00BA0F6E"/>
    <w:rPr>
      <w:rFonts w:ascii="Times New Roman" w:eastAsia="Times New Roman" w:hAnsi="Times New Roman"/>
      <w:snapToGrid w:val="0"/>
      <w:sz w:val="22"/>
      <w:lang w:val="en-GB" w:eastAsia="zh-CN"/>
    </w:rPr>
  </w:style>
  <w:style w:type="paragraph" w:styleId="Footer">
    <w:name w:val="footer"/>
    <w:basedOn w:val="Normal"/>
    <w:link w:val="FooterChar"/>
    <w:uiPriority w:val="99"/>
    <w:unhideWhenUsed/>
    <w:rsid w:val="00773772"/>
    <w:pPr>
      <w:tabs>
        <w:tab w:val="clear" w:pos="567"/>
        <w:tab w:val="center" w:pos="4680"/>
        <w:tab w:val="right" w:pos="9360"/>
      </w:tabs>
      <w:spacing w:line="240" w:lineRule="auto"/>
    </w:pPr>
  </w:style>
  <w:style w:type="character" w:customStyle="1" w:styleId="FooterChar">
    <w:name w:val="Footer Char"/>
    <w:link w:val="Footer"/>
    <w:uiPriority w:val="99"/>
    <w:rsid w:val="00773772"/>
    <w:rPr>
      <w:rFonts w:ascii="Times New Roman" w:eastAsia="Times New Roman" w:hAnsi="Times New Roman" w:cs="Times New Roman"/>
      <w:snapToGrid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36814">
      <w:bodyDiv w:val="1"/>
      <w:marLeft w:val="0"/>
      <w:marRight w:val="0"/>
      <w:marTop w:val="0"/>
      <w:marBottom w:val="0"/>
      <w:divBdr>
        <w:top w:val="none" w:sz="0" w:space="0" w:color="auto"/>
        <w:left w:val="none" w:sz="0" w:space="0" w:color="auto"/>
        <w:bottom w:val="none" w:sz="0" w:space="0" w:color="auto"/>
        <w:right w:val="none" w:sz="0" w:space="0" w:color="auto"/>
      </w:divBdr>
    </w:div>
    <w:div w:id="1269893528">
      <w:bodyDiv w:val="1"/>
      <w:marLeft w:val="0"/>
      <w:marRight w:val="0"/>
      <w:marTop w:val="0"/>
      <w:marBottom w:val="0"/>
      <w:divBdr>
        <w:top w:val="none" w:sz="0" w:space="0" w:color="auto"/>
        <w:left w:val="none" w:sz="0" w:space="0" w:color="auto"/>
        <w:bottom w:val="none" w:sz="0" w:space="0" w:color="auto"/>
        <w:right w:val="none" w:sz="0" w:space="0" w:color="auto"/>
      </w:divBdr>
    </w:div>
    <w:div w:id="18082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9FCF-CAAD-4251-8872-5A2A4125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6158</Words>
  <Characters>3511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Grindeks</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Sneidere</dc:creator>
  <cp:keywords/>
  <cp:lastModifiedBy>Skaidrīte Lapsenīte</cp:lastModifiedBy>
  <cp:revision>5</cp:revision>
  <dcterms:created xsi:type="dcterms:W3CDTF">2022-03-29T12:23:00Z</dcterms:created>
  <dcterms:modified xsi:type="dcterms:W3CDTF">2022-05-06T09:19:00Z</dcterms:modified>
</cp:coreProperties>
</file>