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8B85" w14:textId="336B4642" w:rsidR="00C16504" w:rsidRDefault="00C16504" w:rsidP="00C16504">
      <w:pPr>
        <w:spacing w:after="0" w:line="240" w:lineRule="auto"/>
        <w:jc w:val="center"/>
        <w:rPr>
          <w:b/>
        </w:rPr>
      </w:pPr>
      <w:r w:rsidRPr="00A35B22">
        <w:rPr>
          <w:b/>
        </w:rPr>
        <w:t>ZĀĻU APRAKSTS</w:t>
      </w:r>
    </w:p>
    <w:p w14:paraId="35731CC2" w14:textId="77777777" w:rsidR="00C16504" w:rsidRPr="00A35B22" w:rsidRDefault="00C16504" w:rsidP="00C16504">
      <w:pPr>
        <w:spacing w:after="0" w:line="240" w:lineRule="auto"/>
        <w:jc w:val="center"/>
        <w:rPr>
          <w:b/>
        </w:rPr>
      </w:pPr>
    </w:p>
    <w:p w14:paraId="498DE535" w14:textId="77777777" w:rsidR="00834D31" w:rsidRDefault="00834D31" w:rsidP="00834D31">
      <w:pPr>
        <w:spacing w:after="0" w:line="259" w:lineRule="auto"/>
        <w:ind w:left="0" w:firstLine="0"/>
      </w:pPr>
      <w:r>
        <w:rPr>
          <w:b/>
        </w:rPr>
        <w:t xml:space="preserve">1. </w:t>
      </w:r>
      <w:r>
        <w:rPr>
          <w:b/>
        </w:rPr>
        <w:tab/>
        <w:t xml:space="preserve">ZĀĻU NOSAUKUMS </w:t>
      </w:r>
    </w:p>
    <w:p w14:paraId="639F0ED3" w14:textId="77777777" w:rsidR="00834D31" w:rsidRDefault="00834D31" w:rsidP="00834D31">
      <w:pPr>
        <w:spacing w:after="7" w:line="259" w:lineRule="auto"/>
        <w:ind w:left="0" w:firstLine="0"/>
      </w:pPr>
    </w:p>
    <w:p w14:paraId="6808960F" w14:textId="27C6B667" w:rsidR="00834D31" w:rsidRDefault="00834D31" w:rsidP="00834D31">
      <w:pPr>
        <w:ind w:left="0" w:firstLine="0"/>
      </w:pPr>
      <w:r w:rsidRPr="00633E07">
        <w:t>Bimatoprost/Timolol Mylan 0,3 mg/5 mg/ml acu pilieni</w:t>
      </w:r>
      <w:r w:rsidR="00526DDC">
        <w:t>, šķīdums</w:t>
      </w:r>
    </w:p>
    <w:p w14:paraId="2C719C63" w14:textId="77777777" w:rsidR="00834D31" w:rsidRDefault="00834D31" w:rsidP="00834D31">
      <w:pPr>
        <w:spacing w:after="33" w:line="259" w:lineRule="auto"/>
        <w:ind w:left="0" w:firstLine="0"/>
      </w:pPr>
    </w:p>
    <w:p w14:paraId="1D893AC3" w14:textId="77777777" w:rsidR="00834D31" w:rsidRDefault="00834D31" w:rsidP="00834D31">
      <w:pPr>
        <w:spacing w:after="33" w:line="259" w:lineRule="auto"/>
        <w:ind w:left="0" w:firstLine="0"/>
      </w:pPr>
    </w:p>
    <w:p w14:paraId="34A0188B" w14:textId="77777777" w:rsidR="00834D31" w:rsidRDefault="00834D31" w:rsidP="00834D31">
      <w:pPr>
        <w:pStyle w:val="Heading1"/>
        <w:tabs>
          <w:tab w:val="center" w:pos="3166"/>
        </w:tabs>
        <w:ind w:left="0" w:firstLine="0"/>
      </w:pPr>
      <w:r>
        <w:t xml:space="preserve">2. </w:t>
      </w:r>
      <w:r>
        <w:tab/>
        <w:t xml:space="preserve">KVALITATĪVAIS UN KVANTITATĪVAIS SASTĀVS </w:t>
      </w:r>
    </w:p>
    <w:p w14:paraId="7CDA4DD5" w14:textId="77777777" w:rsidR="00834D31" w:rsidRDefault="00834D31" w:rsidP="00834D31">
      <w:pPr>
        <w:spacing w:after="0" w:line="259" w:lineRule="auto"/>
        <w:ind w:left="0" w:firstLine="0"/>
      </w:pPr>
    </w:p>
    <w:p w14:paraId="5DE8CD34" w14:textId="77777777" w:rsidR="00834D31" w:rsidRDefault="00834D31" w:rsidP="00834D31">
      <w:pPr>
        <w:ind w:left="0" w:firstLine="0"/>
      </w:pPr>
      <w:r>
        <w:t>Viens ml šķīduma satur 0,3 mg bimatoprosta (</w:t>
      </w:r>
      <w:r>
        <w:rPr>
          <w:i/>
        </w:rPr>
        <w:t>bimatoprostum</w:t>
      </w:r>
      <w:r>
        <w:t>) un 5 mg timolola (</w:t>
      </w:r>
      <w:r>
        <w:rPr>
          <w:i/>
        </w:rPr>
        <w:t>timololum</w:t>
      </w:r>
      <w:r>
        <w:t xml:space="preserve">) (kā </w:t>
      </w:r>
    </w:p>
    <w:p w14:paraId="4715223A" w14:textId="77777777" w:rsidR="00834D31" w:rsidRDefault="00834D31" w:rsidP="00834D31">
      <w:pPr>
        <w:ind w:left="0" w:firstLine="0"/>
      </w:pPr>
      <w:r>
        <w:t xml:space="preserve">6,8 mg timolola maleāta). </w:t>
      </w:r>
    </w:p>
    <w:p w14:paraId="10CED8D9" w14:textId="77777777" w:rsidR="00834D31" w:rsidRDefault="00834D31" w:rsidP="00834D31">
      <w:pPr>
        <w:spacing w:after="25" w:line="259" w:lineRule="auto"/>
        <w:ind w:left="0" w:firstLine="0"/>
      </w:pPr>
    </w:p>
    <w:p w14:paraId="6A61C523" w14:textId="77777777" w:rsidR="00834D31" w:rsidRDefault="00834D31" w:rsidP="00834D31">
      <w:pPr>
        <w:pStyle w:val="Heading2"/>
        <w:ind w:left="0" w:firstLine="0"/>
      </w:pPr>
      <w:r>
        <w:t>Palīgviela ar zināmu iedarbību</w:t>
      </w:r>
      <w:r>
        <w:rPr>
          <w:u w:val="none"/>
        </w:rPr>
        <w:t xml:space="preserve"> </w:t>
      </w:r>
    </w:p>
    <w:p w14:paraId="43D4B46B" w14:textId="6CED4C92" w:rsidR="00834D31" w:rsidRDefault="00834D31" w:rsidP="00834D31">
      <w:pPr>
        <w:ind w:left="0" w:firstLine="0"/>
      </w:pPr>
      <w:r>
        <w:t>Viens ml šķīduma satur 0,05 mg benzalkonija hlorīda</w:t>
      </w:r>
      <w:r w:rsidR="009B1856">
        <w:t xml:space="preserve"> un 0,95 mg fosfātu</w:t>
      </w:r>
      <w:r>
        <w:t xml:space="preserve">. </w:t>
      </w:r>
    </w:p>
    <w:p w14:paraId="521A4B81" w14:textId="77777777" w:rsidR="00834D31" w:rsidRDefault="00834D31" w:rsidP="00834D31">
      <w:pPr>
        <w:ind w:left="0" w:firstLine="0"/>
      </w:pPr>
      <w:r>
        <w:t xml:space="preserve">Pilnu palīgvielu sarakstu skatīt 6.1. apakšpunktā. </w:t>
      </w:r>
    </w:p>
    <w:p w14:paraId="55CF7D83" w14:textId="77777777" w:rsidR="00834D31" w:rsidRDefault="00834D31" w:rsidP="00834D31">
      <w:pPr>
        <w:spacing w:after="0" w:line="259" w:lineRule="auto"/>
        <w:ind w:left="0" w:firstLine="0"/>
      </w:pPr>
    </w:p>
    <w:p w14:paraId="140EE8C7" w14:textId="77777777" w:rsidR="00834D31" w:rsidRDefault="00834D31" w:rsidP="00834D31">
      <w:pPr>
        <w:spacing w:after="28" w:line="259" w:lineRule="auto"/>
        <w:ind w:left="0" w:firstLine="0"/>
      </w:pPr>
    </w:p>
    <w:p w14:paraId="1B04DA22" w14:textId="77777777" w:rsidR="00834D31" w:rsidRDefault="00834D31" w:rsidP="00834D31">
      <w:pPr>
        <w:pStyle w:val="Heading1"/>
        <w:tabs>
          <w:tab w:val="center" w:pos="1315"/>
        </w:tabs>
        <w:ind w:left="0" w:firstLine="0"/>
      </w:pPr>
      <w:r>
        <w:t xml:space="preserve">3. </w:t>
      </w:r>
      <w:r>
        <w:tab/>
        <w:t xml:space="preserve">ZĀĻU FORMA </w:t>
      </w:r>
    </w:p>
    <w:p w14:paraId="24311AE7" w14:textId="77777777" w:rsidR="00834D31" w:rsidRDefault="00834D31" w:rsidP="00834D31">
      <w:pPr>
        <w:spacing w:after="25" w:line="259" w:lineRule="auto"/>
        <w:ind w:left="0" w:firstLine="0"/>
      </w:pPr>
    </w:p>
    <w:p w14:paraId="0AE1CD83" w14:textId="03F434EE" w:rsidR="00834D31" w:rsidRDefault="00834D31" w:rsidP="00834D31">
      <w:pPr>
        <w:ind w:left="0" w:firstLine="0"/>
      </w:pPr>
      <w:r>
        <w:t>Acu pilieni, šķīdums</w:t>
      </w:r>
      <w:r w:rsidR="00E94A69">
        <w:t xml:space="preserve"> (acu pilieni)</w:t>
      </w:r>
      <w:r>
        <w:t xml:space="preserve">. </w:t>
      </w:r>
    </w:p>
    <w:p w14:paraId="1395D9E8" w14:textId="77777777" w:rsidR="00834D31" w:rsidRDefault="00834D31" w:rsidP="00834D31">
      <w:pPr>
        <w:ind w:left="0" w:firstLine="0"/>
      </w:pPr>
      <w:r>
        <w:t xml:space="preserve">Bezkrāsains līdz mazliet iedzeltens šķīdums. </w:t>
      </w:r>
    </w:p>
    <w:p w14:paraId="73DB240E" w14:textId="77777777" w:rsidR="006E4FF8" w:rsidRDefault="00834D31" w:rsidP="00834D31">
      <w:pPr>
        <w:ind w:left="0" w:firstLine="0"/>
      </w:pPr>
      <w:r>
        <w:t xml:space="preserve">Šķīduma pH: 6,5 līdz 7,8 </w:t>
      </w:r>
    </w:p>
    <w:p w14:paraId="76D55F69" w14:textId="1572E580" w:rsidR="00834D31" w:rsidRDefault="00834D31" w:rsidP="00834D31">
      <w:pPr>
        <w:ind w:left="0" w:firstLine="0"/>
      </w:pPr>
      <w:r>
        <w:t>Osmolalitāte: 260 līdz 320 mOsmol/kg.</w:t>
      </w:r>
    </w:p>
    <w:p w14:paraId="72BA3FF2" w14:textId="77777777" w:rsidR="00834D31" w:rsidRDefault="00834D31" w:rsidP="00834D31">
      <w:pPr>
        <w:spacing w:after="0" w:line="259" w:lineRule="auto"/>
        <w:ind w:left="0" w:firstLine="0"/>
      </w:pPr>
    </w:p>
    <w:p w14:paraId="6E340A0B" w14:textId="77777777" w:rsidR="00834D31" w:rsidRDefault="00834D31" w:rsidP="00834D31">
      <w:pPr>
        <w:spacing w:after="28" w:line="259" w:lineRule="auto"/>
        <w:ind w:left="0" w:firstLine="0"/>
      </w:pPr>
    </w:p>
    <w:p w14:paraId="5D722DD2" w14:textId="77777777" w:rsidR="00834D31" w:rsidRDefault="00834D31" w:rsidP="00834D31">
      <w:pPr>
        <w:pStyle w:val="Heading1"/>
        <w:tabs>
          <w:tab w:val="center" w:pos="1943"/>
        </w:tabs>
        <w:ind w:left="0" w:firstLine="0"/>
      </w:pPr>
      <w:r>
        <w:t xml:space="preserve">4. </w:t>
      </w:r>
      <w:r>
        <w:tab/>
        <w:t xml:space="preserve">KLĪNISKĀ INFORMĀCIJA </w:t>
      </w:r>
    </w:p>
    <w:p w14:paraId="0054CBCD" w14:textId="77777777" w:rsidR="00834D31" w:rsidRDefault="00834D31" w:rsidP="00834D31">
      <w:pPr>
        <w:spacing w:after="27" w:line="259" w:lineRule="auto"/>
        <w:ind w:left="0" w:firstLine="0"/>
      </w:pPr>
    </w:p>
    <w:p w14:paraId="501B2A46" w14:textId="77777777" w:rsidR="00834D31" w:rsidRDefault="00834D31" w:rsidP="00834D31">
      <w:pPr>
        <w:pStyle w:val="Heading2"/>
        <w:tabs>
          <w:tab w:val="center" w:pos="1750"/>
        </w:tabs>
        <w:spacing w:after="14" w:line="249" w:lineRule="auto"/>
        <w:ind w:left="0" w:firstLine="0"/>
      </w:pPr>
      <w:r>
        <w:rPr>
          <w:b/>
          <w:u w:val="none"/>
        </w:rPr>
        <w:t xml:space="preserve">4.1. </w:t>
      </w:r>
      <w:r>
        <w:rPr>
          <w:b/>
          <w:u w:val="none"/>
        </w:rPr>
        <w:tab/>
        <w:t>Terapeitiskās indikācijas</w:t>
      </w:r>
      <w:r>
        <w:rPr>
          <w:u w:val="none"/>
        </w:rPr>
        <w:t xml:space="preserve"> </w:t>
      </w:r>
    </w:p>
    <w:p w14:paraId="3D319F1D" w14:textId="77777777" w:rsidR="00834D31" w:rsidRDefault="00834D31" w:rsidP="00834D31">
      <w:pPr>
        <w:spacing w:after="24" w:line="259" w:lineRule="auto"/>
        <w:ind w:left="0" w:firstLine="0"/>
      </w:pPr>
    </w:p>
    <w:p w14:paraId="33B2020A" w14:textId="77777777" w:rsidR="00834D31" w:rsidRDefault="00834D31" w:rsidP="00834D31">
      <w:pPr>
        <w:ind w:left="0" w:firstLine="0"/>
      </w:pPr>
      <w:r>
        <w:t xml:space="preserve">Paaugstināta acs intraokulārā spiediena (IOS) pazemināšanai pieaugušajiem pacientiem ar atvērtā kakta glaukomu vai okulāru hipertensiju, kuriem nav pietiekamas reakcijas uz vietēji lietojamiem bēta blokatoriem vai prostaglandīna analogiem. </w:t>
      </w:r>
    </w:p>
    <w:p w14:paraId="4F04FFB1" w14:textId="77777777" w:rsidR="00834D31" w:rsidRDefault="00834D31" w:rsidP="00834D31">
      <w:pPr>
        <w:spacing w:after="28" w:line="259" w:lineRule="auto"/>
        <w:ind w:left="0" w:firstLine="0"/>
      </w:pPr>
    </w:p>
    <w:p w14:paraId="0DD1FCC6" w14:textId="77777777" w:rsidR="00834D31" w:rsidRDefault="00834D31" w:rsidP="00834D31">
      <w:pPr>
        <w:tabs>
          <w:tab w:val="center" w:pos="1755"/>
        </w:tabs>
        <w:spacing w:after="14" w:line="249" w:lineRule="auto"/>
        <w:ind w:left="0" w:firstLine="0"/>
      </w:pPr>
      <w:r>
        <w:rPr>
          <w:b/>
        </w:rPr>
        <w:t xml:space="preserve">4.2. </w:t>
      </w:r>
      <w:r>
        <w:rPr>
          <w:b/>
        </w:rPr>
        <w:tab/>
        <w:t>Devas un lietošanas veids</w:t>
      </w:r>
      <w:r>
        <w:t xml:space="preserve"> </w:t>
      </w:r>
    </w:p>
    <w:p w14:paraId="4BDAF8BE" w14:textId="77777777" w:rsidR="00834D31" w:rsidRDefault="00834D31" w:rsidP="00834D31">
      <w:pPr>
        <w:spacing w:after="0" w:line="259" w:lineRule="auto"/>
        <w:ind w:left="0" w:firstLine="0"/>
      </w:pPr>
    </w:p>
    <w:p w14:paraId="2A856F6F" w14:textId="77777777" w:rsidR="00834D31" w:rsidRDefault="00834D31" w:rsidP="00834D31">
      <w:pPr>
        <w:pStyle w:val="Heading2"/>
        <w:ind w:left="0" w:firstLine="0"/>
      </w:pPr>
      <w:r>
        <w:t>Devas</w:t>
      </w:r>
      <w:r>
        <w:rPr>
          <w:u w:val="none"/>
        </w:rPr>
        <w:t xml:space="preserve"> </w:t>
      </w:r>
    </w:p>
    <w:p w14:paraId="5C10CA11" w14:textId="77777777" w:rsidR="00834D31" w:rsidRDefault="00834D31" w:rsidP="00834D31">
      <w:pPr>
        <w:spacing w:after="19" w:line="259" w:lineRule="auto"/>
        <w:ind w:left="0" w:firstLine="0"/>
      </w:pPr>
      <w:r>
        <w:t xml:space="preserve"> </w:t>
      </w:r>
    </w:p>
    <w:p w14:paraId="0B24D8BA" w14:textId="77777777" w:rsidR="00834D31" w:rsidRDefault="00834D31" w:rsidP="00834D31">
      <w:pPr>
        <w:spacing w:after="4" w:line="259" w:lineRule="auto"/>
        <w:ind w:left="0" w:firstLine="0"/>
      </w:pPr>
      <w:r>
        <w:rPr>
          <w:i/>
        </w:rPr>
        <w:t xml:space="preserve">Ieteicamā deva pieaugušajiem (arī gados vecākiem cilvēkiem) </w:t>
      </w:r>
    </w:p>
    <w:p w14:paraId="1F9B164A" w14:textId="4DF23390" w:rsidR="00834D31" w:rsidRDefault="00834D31" w:rsidP="00834D31">
      <w:pPr>
        <w:ind w:left="0" w:firstLine="0"/>
      </w:pPr>
      <w:r>
        <w:t xml:space="preserve">Ieteicamā deva ir viens </w:t>
      </w:r>
      <w:r w:rsidR="00424560">
        <w:t xml:space="preserve">Bimatoprost/Timolol Mylan </w:t>
      </w:r>
      <w:r>
        <w:t xml:space="preserve">piliens dienā slimajā acī (acīs), lietojot no rīta vai vakarā. Zāles jālieto vienā un tajā pašā laikā katru dienu. </w:t>
      </w:r>
    </w:p>
    <w:p w14:paraId="1BB2C9A3" w14:textId="77777777" w:rsidR="00834D31" w:rsidRDefault="00834D31" w:rsidP="00834D31">
      <w:pPr>
        <w:spacing w:after="19" w:line="259" w:lineRule="auto"/>
        <w:ind w:left="0" w:firstLine="0"/>
      </w:pPr>
      <w:r>
        <w:t xml:space="preserve"> </w:t>
      </w:r>
    </w:p>
    <w:p w14:paraId="34EE20E5" w14:textId="77777777" w:rsidR="00834D31" w:rsidRDefault="00834D31" w:rsidP="00834D31">
      <w:pPr>
        <w:ind w:left="0" w:firstLine="0"/>
      </w:pPr>
      <w:r>
        <w:t xml:space="preserve">Pašreizējie literatūras dati liecina, ka, </w:t>
      </w:r>
      <w:r w:rsidRPr="00F6367A">
        <w:t>lietojot bimatoprostu/timololu vakarā</w:t>
      </w:r>
      <w:r>
        <w:t xml:space="preserve">, IOS pazeminošā iedarbība var būt efektīvāka, nekā lietojot tās no rīta. Taču, apsverot, vai šīs zāles lietot no rīta vai vakarā, jāņem vērā iespējamā līdzestība (skatīt 5.1. apakšpunktu). </w:t>
      </w:r>
    </w:p>
    <w:p w14:paraId="2E70D140" w14:textId="77777777" w:rsidR="00834D31" w:rsidRDefault="00834D31" w:rsidP="00834D31">
      <w:pPr>
        <w:spacing w:after="24" w:line="259" w:lineRule="auto"/>
        <w:ind w:left="0" w:firstLine="0"/>
      </w:pPr>
      <w:r>
        <w:t xml:space="preserve"> </w:t>
      </w:r>
    </w:p>
    <w:p w14:paraId="391858D8" w14:textId="77777777" w:rsidR="00834D31" w:rsidRDefault="00834D31" w:rsidP="00834D31">
      <w:pPr>
        <w:ind w:left="0" w:firstLine="0"/>
      </w:pPr>
      <w:r>
        <w:lastRenderedPageBreak/>
        <w:t xml:space="preserve">Ja viena deva tiek izlaista, ārstēšana jāturpina ar nākamo plānoto devu. Deva slimajai acij (acīm) nedrīkst pārsniegt vienu pilienu dienā. </w:t>
      </w:r>
    </w:p>
    <w:p w14:paraId="76153314" w14:textId="77777777" w:rsidR="00834D31" w:rsidRDefault="00834D31" w:rsidP="00834D31">
      <w:pPr>
        <w:spacing w:after="12" w:line="259" w:lineRule="auto"/>
        <w:ind w:left="0" w:firstLine="0"/>
      </w:pPr>
      <w:r>
        <w:t xml:space="preserve"> </w:t>
      </w:r>
    </w:p>
    <w:p w14:paraId="26557397" w14:textId="77777777" w:rsidR="00834D31" w:rsidRDefault="00834D31" w:rsidP="00834D31">
      <w:pPr>
        <w:spacing w:after="4" w:line="259" w:lineRule="auto"/>
        <w:ind w:left="0" w:firstLine="0"/>
      </w:pPr>
      <w:r>
        <w:rPr>
          <w:i/>
        </w:rPr>
        <w:t xml:space="preserve">Nieru un aknu darbības traucējumu gadījumā </w:t>
      </w:r>
    </w:p>
    <w:p w14:paraId="37401BEE" w14:textId="77777777" w:rsidR="00834D31" w:rsidRDefault="00834D31" w:rsidP="00834D31">
      <w:pPr>
        <w:ind w:left="0" w:firstLine="0"/>
      </w:pPr>
      <w:r>
        <w:t xml:space="preserve">Bimatoprosta/timolola iedarbība nav pētīta pacientiem ar aknu darbības vai nieru darbības traucējumiem, tāpēc šādu pacientu ārstēšanā jāievēro piesardzība. </w:t>
      </w:r>
    </w:p>
    <w:p w14:paraId="317C5C84" w14:textId="77777777" w:rsidR="00834D31" w:rsidRDefault="00834D31" w:rsidP="00834D31">
      <w:pPr>
        <w:spacing w:after="25" w:line="259" w:lineRule="auto"/>
        <w:ind w:left="0" w:firstLine="0"/>
      </w:pPr>
      <w:r>
        <w:t xml:space="preserve"> </w:t>
      </w:r>
    </w:p>
    <w:p w14:paraId="0AF612BE" w14:textId="77777777" w:rsidR="00834D31" w:rsidRDefault="00834D31" w:rsidP="00834D31">
      <w:pPr>
        <w:spacing w:after="4" w:line="259" w:lineRule="auto"/>
        <w:ind w:left="0" w:firstLine="0"/>
      </w:pPr>
      <w:r>
        <w:rPr>
          <w:i/>
        </w:rPr>
        <w:t xml:space="preserve">Pediatriskā populācija </w:t>
      </w:r>
    </w:p>
    <w:p w14:paraId="1D39ADE3" w14:textId="77777777" w:rsidR="00834D31" w:rsidRDefault="00834D31" w:rsidP="00834D31">
      <w:pPr>
        <w:ind w:left="0" w:firstLine="0"/>
      </w:pPr>
      <w:r>
        <w:t xml:space="preserve">Bimatoprosta/timolola drošums un efektivitāte, lietojot bērniem vecumā no 0 līdz 18 gadiem, nav pierādīta. Dati nav pieejami. </w:t>
      </w:r>
    </w:p>
    <w:p w14:paraId="48D08D0B" w14:textId="77777777" w:rsidR="00834D31" w:rsidRDefault="00834D31" w:rsidP="00834D31">
      <w:pPr>
        <w:spacing w:after="25" w:line="259" w:lineRule="auto"/>
        <w:ind w:left="0" w:firstLine="0"/>
      </w:pPr>
      <w:r>
        <w:t xml:space="preserve"> </w:t>
      </w:r>
    </w:p>
    <w:p w14:paraId="03BFC5F4" w14:textId="77777777" w:rsidR="00834D31" w:rsidRDefault="00834D31" w:rsidP="00834D31">
      <w:pPr>
        <w:pStyle w:val="Heading2"/>
        <w:ind w:left="0" w:firstLine="0"/>
      </w:pPr>
      <w:r>
        <w:t>Lietošanas veids</w:t>
      </w:r>
      <w:r>
        <w:rPr>
          <w:u w:val="none"/>
        </w:rPr>
        <w:t xml:space="preserve"> </w:t>
      </w:r>
    </w:p>
    <w:p w14:paraId="6F19C4C8" w14:textId="77777777" w:rsidR="00834D31" w:rsidRDefault="00834D31" w:rsidP="00834D31">
      <w:pPr>
        <w:ind w:left="0" w:firstLine="0"/>
      </w:pPr>
      <w:r>
        <w:t xml:space="preserve">Ja jālieto vairāk nekā viens vietēji lietojams oftalmoloģiskais līdzeklis, starp to lietošanas reizēm jānogaida vismaz 5 minūtes. </w:t>
      </w:r>
    </w:p>
    <w:p w14:paraId="4A9F0DC3" w14:textId="77777777" w:rsidR="00834D31" w:rsidRDefault="00834D31" w:rsidP="00834D31">
      <w:pPr>
        <w:ind w:left="0" w:firstLine="0"/>
      </w:pPr>
      <w:r>
        <w:t xml:space="preserve">Ja izmanto nazolakrimālo oklūziju vai uz 2 minūtēm aizver plakstiņus, sistēmiskā uzsūkšanās samazinās. Tādējādi var samazināt sistēmiskās blakusparādības un palielināt lokālo iedarbību. </w:t>
      </w:r>
    </w:p>
    <w:p w14:paraId="52DFDB43" w14:textId="77777777" w:rsidR="00834D31" w:rsidRDefault="00834D31" w:rsidP="00834D31">
      <w:pPr>
        <w:spacing w:after="25" w:line="259" w:lineRule="auto"/>
        <w:ind w:left="0" w:firstLine="0"/>
      </w:pPr>
      <w:r>
        <w:t xml:space="preserve"> </w:t>
      </w:r>
    </w:p>
    <w:p w14:paraId="70EB88FB" w14:textId="77777777" w:rsidR="00834D31" w:rsidRDefault="00834D31" w:rsidP="00834D31">
      <w:pPr>
        <w:pStyle w:val="Heading3"/>
        <w:tabs>
          <w:tab w:val="center" w:pos="1372"/>
        </w:tabs>
        <w:ind w:left="0" w:firstLine="0"/>
      </w:pPr>
      <w:r>
        <w:t xml:space="preserve">4.3. </w:t>
      </w:r>
      <w:r>
        <w:tab/>
        <w:t>Kontrindikācijas</w:t>
      </w:r>
      <w:r>
        <w:rPr>
          <w:b w:val="0"/>
        </w:rPr>
        <w:t xml:space="preserve"> </w:t>
      </w:r>
    </w:p>
    <w:p w14:paraId="16F2F7C0" w14:textId="77777777" w:rsidR="00834D31" w:rsidRDefault="00834D31" w:rsidP="00834D31">
      <w:pPr>
        <w:spacing w:after="27" w:line="259" w:lineRule="auto"/>
        <w:ind w:left="0" w:firstLine="0"/>
      </w:pPr>
    </w:p>
    <w:p w14:paraId="02175041" w14:textId="77777777" w:rsidR="00834D31" w:rsidRDefault="00834D31" w:rsidP="00834D31">
      <w:pPr>
        <w:numPr>
          <w:ilvl w:val="0"/>
          <w:numId w:val="1"/>
        </w:numPr>
        <w:ind w:left="540" w:right="15" w:hanging="540"/>
      </w:pPr>
      <w:r>
        <w:t xml:space="preserve">Paaugstināta jutība pret aktīvajām vielām vai jebkuru no 6.1. apakšpunktā uzskaitītajām palīgvielām. </w:t>
      </w:r>
    </w:p>
    <w:p w14:paraId="536E7660" w14:textId="77777777" w:rsidR="00834D31" w:rsidRDefault="00834D31" w:rsidP="00834D31">
      <w:pPr>
        <w:numPr>
          <w:ilvl w:val="0"/>
          <w:numId w:val="1"/>
        </w:numPr>
        <w:ind w:left="540" w:right="15" w:hanging="540"/>
      </w:pPr>
      <w:r>
        <w:t xml:space="preserve">Reaktīvas elpceļu slimības, to skaitā bronhiālā astma vai agrāk izslimota bronhiālā astma, smaga hroniska obstruktīva plaušu slimība. </w:t>
      </w:r>
    </w:p>
    <w:p w14:paraId="4FC01386" w14:textId="77777777" w:rsidR="00834D31" w:rsidRDefault="00834D31" w:rsidP="00834D31">
      <w:pPr>
        <w:numPr>
          <w:ilvl w:val="0"/>
          <w:numId w:val="1"/>
        </w:numPr>
        <w:ind w:left="540" w:right="15" w:hanging="540"/>
      </w:pPr>
      <w:r>
        <w:t xml:space="preserve">Sinusa bradikardija, sinusa vājuma sindroms, sinuatriālā blokāde, otrās vai trešās pakāpes atrioventrikulāra blokāde, kuru nekontrolē ar kardiostimulatoru. Atklāta sirds mazspēja, kardiogēns šoks. </w:t>
      </w:r>
    </w:p>
    <w:p w14:paraId="16B9D393" w14:textId="77777777" w:rsidR="00834D31" w:rsidRDefault="00834D31" w:rsidP="00834D31">
      <w:pPr>
        <w:spacing w:after="30" w:line="259" w:lineRule="auto"/>
        <w:ind w:left="0" w:firstLine="0"/>
      </w:pPr>
    </w:p>
    <w:p w14:paraId="71F66459" w14:textId="77777777" w:rsidR="00834D31" w:rsidRDefault="00834D31" w:rsidP="00834D31">
      <w:pPr>
        <w:pStyle w:val="Heading3"/>
        <w:tabs>
          <w:tab w:val="center" w:pos="2570"/>
        </w:tabs>
        <w:ind w:left="-15" w:firstLine="0"/>
      </w:pPr>
      <w:r>
        <w:t xml:space="preserve">4.4. </w:t>
      </w:r>
      <w:r>
        <w:tab/>
        <w:t>Īpaši brīdinājumi un piesardzība lietošanā</w:t>
      </w:r>
      <w:r>
        <w:rPr>
          <w:b w:val="0"/>
        </w:rPr>
        <w:t xml:space="preserve"> </w:t>
      </w:r>
    </w:p>
    <w:p w14:paraId="1474A225" w14:textId="77777777" w:rsidR="00834D31" w:rsidRDefault="00834D31" w:rsidP="00834D31">
      <w:pPr>
        <w:spacing w:after="19" w:line="259" w:lineRule="auto"/>
        <w:ind w:left="0" w:firstLine="0"/>
      </w:pPr>
    </w:p>
    <w:p w14:paraId="4EBEBE6C" w14:textId="0041E396" w:rsidR="00834D31" w:rsidRDefault="00834D31" w:rsidP="00424560">
      <w:pPr>
        <w:ind w:left="0" w:right="15" w:firstLine="0"/>
      </w:pPr>
      <w:r>
        <w:t xml:space="preserve">Līdzīgi kā citas vietēji lietotas oftalmoloģiskās zāles, arī </w:t>
      </w:r>
      <w:r w:rsidR="00424560">
        <w:t>Bimatoprost/Timolol Mylan</w:t>
      </w:r>
      <w:r w:rsidR="00003DC8">
        <w:t xml:space="preserve"> </w:t>
      </w:r>
      <w:r>
        <w:t>aktīvās vielas (timolols/bimatoprosts) var uzsūkties sistēmiski. Nav novērota atsevišķu aktīvo vielu sistēmiskas uzsūkšanās pastiprināšanās. Bēta adrenerģiskās sastāvdaļas timolola dēļ var novērot tādas pašas nevēlamas kardiovaskulāras, pulmonālas un citas blakusparādības, kādas novērotas, lietojot sistēmiskus bēta blokatorus. Pēc zāļu vietējas oftalmoloģiskas lietošanas sistēmisku nevēlamu blakusparādību rašanās biežums ir mazāks nekā pēc sistēmiskas ievadīšanas. Informāciju par sistēmiskās uzsūkšanās</w:t>
      </w:r>
      <w:r w:rsidR="00796500">
        <w:t xml:space="preserve"> </w:t>
      </w:r>
      <w:r>
        <w:t xml:space="preserve">samazināšanu skatīt 4.2. apakšpunktā. </w:t>
      </w:r>
    </w:p>
    <w:p w14:paraId="069C03B0" w14:textId="77777777" w:rsidR="00834D31" w:rsidRDefault="00834D31" w:rsidP="00834D31">
      <w:pPr>
        <w:spacing w:after="26" w:line="259" w:lineRule="auto"/>
        <w:ind w:left="0" w:firstLine="0"/>
      </w:pPr>
    </w:p>
    <w:p w14:paraId="2A46313C" w14:textId="77777777" w:rsidR="00834D31" w:rsidRDefault="00834D31" w:rsidP="00834D31">
      <w:pPr>
        <w:pStyle w:val="Heading2"/>
        <w:ind w:left="-5"/>
      </w:pPr>
      <w:r>
        <w:t>Sirds funkcijas traucējumi</w:t>
      </w:r>
      <w:r>
        <w:rPr>
          <w:u w:val="none"/>
        </w:rPr>
        <w:t xml:space="preserve"> </w:t>
      </w:r>
    </w:p>
    <w:p w14:paraId="61DB8A69" w14:textId="036BE052" w:rsidR="00834D31" w:rsidRDefault="00834D31" w:rsidP="00834D31">
      <w:pPr>
        <w:ind w:left="-5" w:right="15"/>
      </w:pPr>
      <w:r>
        <w:t xml:space="preserve">Pacientiem ar kardiovaskulārām slimībām (piem., koronāro sirds slimību, Princmetāla stenokardiju un sirds mazspēju) un hipotensīvas terapijas gadījumā ar bēta blokatoriem kritiski jānovērtē stāvoklis un jāapsver terapija ar citām aktīvajām vielām. Pacientiem ar kardiovaskulārām slimībām jāuzrauga šo slimību pasliktināšanās un blakusparādību pazīmes. </w:t>
      </w:r>
    </w:p>
    <w:p w14:paraId="5C8954A6" w14:textId="77777777" w:rsidR="00796500" w:rsidRDefault="00796500" w:rsidP="00834D31">
      <w:pPr>
        <w:ind w:left="-5" w:right="15"/>
      </w:pPr>
    </w:p>
    <w:p w14:paraId="3E59C027" w14:textId="77777777" w:rsidR="00834D31" w:rsidRDefault="00834D31" w:rsidP="00834D31">
      <w:pPr>
        <w:ind w:left="-5" w:right="15"/>
      </w:pPr>
      <w:r>
        <w:t xml:space="preserve">Bēta blokatoru negatīvās iedarbības dēļ uz vadīšanas laiku tos tikai piesardzīgi drīkst dot pacientiem ar pirmās pakāpes sirds blokādi. </w:t>
      </w:r>
    </w:p>
    <w:p w14:paraId="2C1A23D1" w14:textId="77777777" w:rsidR="00834D31" w:rsidRDefault="00834D31" w:rsidP="00834D31">
      <w:pPr>
        <w:pStyle w:val="Heading2"/>
        <w:ind w:left="-5"/>
      </w:pPr>
      <w:r>
        <w:lastRenderedPageBreak/>
        <w:t>Asinsvadu sistēmas traucējumi</w:t>
      </w:r>
      <w:r>
        <w:rPr>
          <w:u w:val="none"/>
        </w:rPr>
        <w:t xml:space="preserve"> </w:t>
      </w:r>
    </w:p>
    <w:p w14:paraId="01DCD9A1" w14:textId="77777777" w:rsidR="00834D31" w:rsidRDefault="00834D31" w:rsidP="00834D31">
      <w:pPr>
        <w:ind w:left="-5" w:right="15"/>
      </w:pPr>
      <w:r>
        <w:t xml:space="preserve">Pacienti ar smagām perifērās asinsrites slimībām/traucējumiem (piem., Reino slimības smagām formām vai Reino sindromu) jāārstē piesardzīgi. </w:t>
      </w:r>
    </w:p>
    <w:p w14:paraId="10959AA8" w14:textId="77777777" w:rsidR="00834D31" w:rsidRDefault="00834D31" w:rsidP="00834D31">
      <w:pPr>
        <w:spacing w:after="26" w:line="259" w:lineRule="auto"/>
        <w:ind w:left="0" w:firstLine="0"/>
      </w:pPr>
    </w:p>
    <w:p w14:paraId="565AD61B" w14:textId="38DDAE29" w:rsidR="00834D31" w:rsidRDefault="00834D31" w:rsidP="00834D31">
      <w:pPr>
        <w:pStyle w:val="Heading2"/>
        <w:ind w:left="-5"/>
      </w:pPr>
      <w:r>
        <w:t>Elpošanas sistēmas traucējumi</w:t>
      </w:r>
      <w:r>
        <w:rPr>
          <w:u w:val="none"/>
        </w:rPr>
        <w:t xml:space="preserve"> </w:t>
      </w:r>
      <w:r w:rsidR="00FE69B8">
        <w:rPr>
          <w:u w:val="none"/>
        </w:rPr>
        <w:t xml:space="preserve"> </w:t>
      </w:r>
    </w:p>
    <w:p w14:paraId="75D4A7B1" w14:textId="77777777" w:rsidR="00834D31" w:rsidRDefault="00834D31" w:rsidP="00834D31">
      <w:pPr>
        <w:ind w:left="-5" w:right="15"/>
      </w:pPr>
      <w:r>
        <w:t xml:space="preserve">Pēc dažu oftalmoloģisku bēta blokatoru lietošanas ir ziņots par elpošanas sistēmas reakcijām, to skaitā par astmas pacientu nāvi, ko izraisījušas bronhu spazmas. </w:t>
      </w:r>
    </w:p>
    <w:p w14:paraId="7A3221FD" w14:textId="77777777" w:rsidR="00834D31" w:rsidRDefault="00834D31" w:rsidP="00834D31">
      <w:pPr>
        <w:spacing w:after="0" w:line="259" w:lineRule="auto"/>
        <w:ind w:left="0" w:firstLine="0"/>
      </w:pPr>
    </w:p>
    <w:p w14:paraId="704EEE4E" w14:textId="57BF1A83" w:rsidR="00834D31" w:rsidRDefault="00003DC8" w:rsidP="00834D31">
      <w:pPr>
        <w:ind w:left="-5" w:right="15"/>
      </w:pPr>
      <w:r>
        <w:t xml:space="preserve">Bimatoprost/Timolol Mylan </w:t>
      </w:r>
      <w:r w:rsidR="00834D31">
        <w:t xml:space="preserve">piesardzīgi jālieto pacientiem ar vieglu/vidēju hronisku obstruktīvu plaušu slimību (HOPS) un tikai tad, ja iespējamā lietderība atsver iespējamo risku. </w:t>
      </w:r>
    </w:p>
    <w:p w14:paraId="1F1908DE" w14:textId="77777777" w:rsidR="00834D31" w:rsidRDefault="00834D31" w:rsidP="00834D31">
      <w:pPr>
        <w:spacing w:after="26" w:line="259" w:lineRule="auto"/>
        <w:ind w:left="0" w:firstLine="0"/>
      </w:pPr>
    </w:p>
    <w:p w14:paraId="1E760118" w14:textId="77777777" w:rsidR="00834D31" w:rsidRDefault="00834D31" w:rsidP="00834D31">
      <w:pPr>
        <w:pStyle w:val="Heading2"/>
        <w:ind w:left="-5"/>
      </w:pPr>
      <w:r>
        <w:t>Endokrīnās sistēmas traucējumi</w:t>
      </w:r>
      <w:r>
        <w:rPr>
          <w:u w:val="none"/>
        </w:rPr>
        <w:t xml:space="preserve"> </w:t>
      </w:r>
    </w:p>
    <w:p w14:paraId="3014C465" w14:textId="77777777" w:rsidR="00834D31" w:rsidRDefault="00834D31" w:rsidP="00834D31">
      <w:pPr>
        <w:ind w:left="-5" w:right="15"/>
      </w:pPr>
      <w:r>
        <w:t xml:space="preserve">Bēta adrenoreceptoru blokatori jālieto piesardzīgi tiem pacientiem, kuriem iespējama spontāna hipoglikēmija, vai pacientiem ar labilu diabētu, jo bēta blokatori var maskēt akūtas hipoglikēmijas pazīmes un simptomus. </w:t>
      </w:r>
    </w:p>
    <w:p w14:paraId="27BF25E4" w14:textId="77777777" w:rsidR="00834D31" w:rsidRDefault="00834D31" w:rsidP="00834D31">
      <w:pPr>
        <w:spacing w:after="0" w:line="259" w:lineRule="auto"/>
        <w:ind w:left="0" w:firstLine="0"/>
      </w:pPr>
    </w:p>
    <w:p w14:paraId="6B1D7571" w14:textId="77777777" w:rsidR="00834D31" w:rsidRDefault="00834D31" w:rsidP="00834D31">
      <w:pPr>
        <w:ind w:left="-5" w:right="15"/>
      </w:pPr>
      <w:r>
        <w:t xml:space="preserve">Bēta blokatori var maskēt arī hipertireoīdisma pazīmes. </w:t>
      </w:r>
    </w:p>
    <w:p w14:paraId="642F532E" w14:textId="77777777" w:rsidR="00834D31" w:rsidRDefault="00834D31" w:rsidP="00834D31">
      <w:pPr>
        <w:spacing w:after="26" w:line="259" w:lineRule="auto"/>
        <w:ind w:left="0" w:firstLine="0"/>
      </w:pPr>
    </w:p>
    <w:p w14:paraId="0696F18B" w14:textId="77777777" w:rsidR="00834D31" w:rsidRDefault="00834D31" w:rsidP="00834D31">
      <w:pPr>
        <w:pStyle w:val="Heading2"/>
        <w:ind w:left="-5"/>
      </w:pPr>
      <w:r>
        <w:t>Radzenes slimības</w:t>
      </w:r>
      <w:r>
        <w:rPr>
          <w:u w:val="none"/>
        </w:rPr>
        <w:t xml:space="preserve"> </w:t>
      </w:r>
    </w:p>
    <w:p w14:paraId="67BD0F33" w14:textId="77777777" w:rsidR="00834D31" w:rsidRDefault="00834D31" w:rsidP="00834D31">
      <w:pPr>
        <w:ind w:left="-5" w:right="15"/>
      </w:pPr>
      <w:r>
        <w:t xml:space="preserve">Oftalmoloģiskie β-blokatori var izraisīt acu sausumu. Pacienti ar radzenes slimībām jāārstē piesardzīgi. </w:t>
      </w:r>
    </w:p>
    <w:p w14:paraId="5AFD1016" w14:textId="77777777" w:rsidR="00834D31" w:rsidRDefault="00834D31" w:rsidP="00834D31">
      <w:pPr>
        <w:spacing w:after="0" w:line="259" w:lineRule="auto"/>
        <w:ind w:left="0" w:firstLine="0"/>
      </w:pPr>
    </w:p>
    <w:p w14:paraId="395EFFCC" w14:textId="77777777" w:rsidR="00834D31" w:rsidRDefault="00834D31" w:rsidP="00834D31">
      <w:pPr>
        <w:pStyle w:val="Heading2"/>
        <w:ind w:left="-5"/>
      </w:pPr>
      <w:r>
        <w:t>Citi bēta blokatori</w:t>
      </w:r>
      <w:r>
        <w:rPr>
          <w:u w:val="none"/>
        </w:rPr>
        <w:t xml:space="preserve"> </w:t>
      </w:r>
    </w:p>
    <w:p w14:paraId="0C880CDB" w14:textId="77777777" w:rsidR="00834D31" w:rsidRDefault="00834D31" w:rsidP="00834D31">
      <w:pPr>
        <w:ind w:left="-5" w:right="15"/>
      </w:pPr>
      <w:r>
        <w:t xml:space="preserve">Iedarbība uz intraokulāro spiedienu vai cita zināmā sistēmisko bēta blokatoru iedarbība var būt spēcīgāka, ja timololu ievada pacientiem, kuri jau saņem sistēmisku bēta blokatoru. Rūpīgi jāvēro šo pacientu atbildes reakcija. Nav ieteicams lietot divus lokālus bēta adrenerģiskos blokatorus (skatīt 4.5. apakšpunktu). </w:t>
      </w:r>
    </w:p>
    <w:p w14:paraId="5A61D592" w14:textId="77777777" w:rsidR="00834D31" w:rsidRDefault="00834D31" w:rsidP="00834D31">
      <w:pPr>
        <w:spacing w:after="0" w:line="259" w:lineRule="auto"/>
        <w:ind w:left="0" w:firstLine="0"/>
      </w:pPr>
    </w:p>
    <w:p w14:paraId="764B1BBA" w14:textId="77777777" w:rsidR="00834D31" w:rsidRDefault="00834D31" w:rsidP="00834D31">
      <w:pPr>
        <w:pStyle w:val="Heading2"/>
        <w:ind w:left="-5"/>
      </w:pPr>
      <w:r>
        <w:t>Anafilaktiskas reakcijas</w:t>
      </w:r>
      <w:r>
        <w:rPr>
          <w:u w:val="none"/>
        </w:rPr>
        <w:t xml:space="preserve"> </w:t>
      </w:r>
    </w:p>
    <w:p w14:paraId="3A7398AB" w14:textId="77777777" w:rsidR="00834D31" w:rsidRDefault="00834D31" w:rsidP="00834D31">
      <w:pPr>
        <w:ind w:left="-5" w:right="15"/>
      </w:pPr>
      <w:r>
        <w:t xml:space="preserve">Bēta blokatoru lietošanas laikā pacientiem, kuru slimības vēsturē bijusi atopija vai smaga anafilaktiska reakcija pret dažādiem alergēniem, var būt izteiktāka reakcija uz šādu alergēnu atkārtotu iedarbību, un parastā adrenalīna deva, kas lietota anafilaktisku reakciju ārstēšanai, var nebūt efektīva. </w:t>
      </w:r>
    </w:p>
    <w:p w14:paraId="7FB4B9C0" w14:textId="77777777" w:rsidR="00834D31" w:rsidRDefault="00834D31" w:rsidP="00834D31">
      <w:pPr>
        <w:spacing w:after="10" w:line="259" w:lineRule="auto"/>
        <w:ind w:left="0" w:firstLine="0"/>
      </w:pPr>
    </w:p>
    <w:p w14:paraId="5346EE97" w14:textId="77777777" w:rsidR="00834D31" w:rsidRDefault="00834D31" w:rsidP="00834D31">
      <w:pPr>
        <w:pStyle w:val="Heading2"/>
        <w:ind w:left="-5"/>
      </w:pPr>
      <w:r>
        <w:t>Horija atslāņošanās</w:t>
      </w:r>
      <w:r>
        <w:rPr>
          <w:u w:val="none"/>
        </w:rPr>
        <w:t xml:space="preserve"> </w:t>
      </w:r>
    </w:p>
    <w:p w14:paraId="633BE9CD" w14:textId="77777777" w:rsidR="00834D31" w:rsidRDefault="00834D31" w:rsidP="00834D31">
      <w:pPr>
        <w:ind w:left="-5" w:right="15"/>
      </w:pPr>
      <w:r>
        <w:t xml:space="preserve">Ir ziņots par horija atslāņošanos, lietojot šķidruma supresantu terapiju (piem., timololu, acetazolamīdu) pēc filtrācijas procedūrām. </w:t>
      </w:r>
    </w:p>
    <w:p w14:paraId="0C853A3D" w14:textId="77777777" w:rsidR="00834D31" w:rsidRDefault="00834D31" w:rsidP="00834D31">
      <w:pPr>
        <w:spacing w:after="26" w:line="259" w:lineRule="auto"/>
        <w:ind w:left="0" w:firstLine="0"/>
      </w:pPr>
    </w:p>
    <w:p w14:paraId="6E17E4B0" w14:textId="77777777" w:rsidR="00834D31" w:rsidRDefault="00834D31" w:rsidP="00834D31">
      <w:pPr>
        <w:ind w:left="-5" w:right="330"/>
      </w:pPr>
      <w:r>
        <w:rPr>
          <w:u w:val="single" w:color="000000"/>
        </w:rPr>
        <w:t>Anestēzija operācijas laikā</w:t>
      </w:r>
      <w:r>
        <w:t xml:space="preserve"> </w:t>
      </w:r>
    </w:p>
    <w:p w14:paraId="25AD2C6D" w14:textId="77777777" w:rsidR="00834D31" w:rsidRDefault="00834D31" w:rsidP="00834D31">
      <w:pPr>
        <w:ind w:left="-5" w:right="330"/>
      </w:pPr>
      <w:r>
        <w:t xml:space="preserve">β-bloķējoši oftalmoloģiski preparāti var bloķēt sistēmisko β-agonistu, piem., adrenalīna, iedarbību. Anesteziologs jāinformē, ja pacients saņem timololu. </w:t>
      </w:r>
    </w:p>
    <w:p w14:paraId="7F8E0811" w14:textId="77777777" w:rsidR="00834D31" w:rsidRDefault="00834D31" w:rsidP="00834D31">
      <w:pPr>
        <w:spacing w:after="15" w:line="259" w:lineRule="auto"/>
        <w:ind w:left="0" w:firstLine="0"/>
      </w:pPr>
    </w:p>
    <w:p w14:paraId="06D87668" w14:textId="7214687C" w:rsidR="00834D31" w:rsidRDefault="00834D31" w:rsidP="00834D31">
      <w:pPr>
        <w:pStyle w:val="Heading2"/>
        <w:ind w:left="-5"/>
      </w:pPr>
      <w:r>
        <w:t>Akn</w:t>
      </w:r>
      <w:r w:rsidR="00AA02ED">
        <w:t>as</w:t>
      </w:r>
    </w:p>
    <w:p w14:paraId="39431B92" w14:textId="77777777" w:rsidR="00834D31" w:rsidRDefault="00834D31" w:rsidP="00834D31">
      <w:pPr>
        <w:ind w:left="-5" w:right="15"/>
      </w:pPr>
      <w:r>
        <w:t xml:space="preserve">Pacientiem ar vieglu aknu slimību anamnēzē vai normai neatbilstošu alanīna aminotransferāzes (AlAT), aspartāta aminotransferāzes (AsAT) un/vai bilirubīna līmeni asinīs bimatoprosts 24 mēnešu laikā neizraisīja nevēlamas blakusparādības uz aknu funkciju. Nav zināmas okulārā timolola izraisītas nevēlamās blakusparādības uz aknu funkciju. </w:t>
      </w:r>
    </w:p>
    <w:p w14:paraId="40DF92C0" w14:textId="5F0862C1" w:rsidR="00834D31" w:rsidRDefault="00834D31" w:rsidP="00834D31">
      <w:pPr>
        <w:pStyle w:val="Heading2"/>
        <w:ind w:left="-5"/>
      </w:pPr>
      <w:r>
        <w:lastRenderedPageBreak/>
        <w:t>Ac</w:t>
      </w:r>
      <w:r w:rsidR="00AA02ED">
        <w:t>is</w:t>
      </w:r>
    </w:p>
    <w:p w14:paraId="3B0263D1" w14:textId="752BDD23" w:rsidR="00834D31" w:rsidRDefault="00834D31" w:rsidP="00767488">
      <w:pPr>
        <w:ind w:left="-5" w:right="15"/>
      </w:pPr>
      <w:r>
        <w:t xml:space="preserve">Pirms ārstēšanas pacienti jāinformē, ka ir iespējama </w:t>
      </w:r>
      <w:r w:rsidR="00767488" w:rsidRPr="00767488">
        <w:t>prostaglandīna analoga periorbitopātija (PAP)</w:t>
      </w:r>
      <w:r>
        <w:t xml:space="preserve"> un</w:t>
      </w:r>
      <w:r w:rsidR="00767488">
        <w:t xml:space="preserve"> var</w:t>
      </w:r>
      <w:r>
        <w:t xml:space="preserve"> pastiprināties acs varavīksnenes brūnā pigmentācija, jo šīs parādības novērotas ārstēšanās laikā ar bimatoprostu un bimatoprostu/timololu. </w:t>
      </w:r>
      <w:r w:rsidR="00767488">
        <w:t>Dažas no šīm pārmaiņām var būt pastāvīgas un dažiem pacientiem var izraisīt mazāku redzes lauku</w:t>
      </w:r>
      <w:r w:rsidR="00BC7057">
        <w:t xml:space="preserve"> ptozes dēļ</w:t>
      </w:r>
      <w:r w:rsidR="00767488">
        <w:t xml:space="preserve"> un atšķirības izskatā, ja tiek ārstēta tikai viena acs (skatīt 4.8. apakšpunktu).</w:t>
      </w:r>
    </w:p>
    <w:p w14:paraId="51329D7B" w14:textId="1081AE70" w:rsidR="00AC36E9" w:rsidRDefault="00AC36E9" w:rsidP="00AC36E9">
      <w:pPr>
        <w:ind w:left="-5" w:right="15"/>
      </w:pPr>
      <w:r>
        <w:t xml:space="preserve">Ārstējot ar bimatoprostu/timololu, ir novērota makulas tūska, arī cistiskā makulas tūska. Tāpēc Bimatoprost/Timolol Mylan piesardzīgi jālieto afakijas pacientiem, pseidofakijas pacientiem ar ieplēstu mugurējo lēcas kapsulu vai pacientiem ar zināmiem makulas tūskas riska faktoriem (piemēram, intraokulāra operācija, tīklenes vēnu oklūzija, iekaisīga acu slimība un diabētiskā retinopātija). </w:t>
      </w:r>
    </w:p>
    <w:p w14:paraId="2ECF8DEA" w14:textId="4F3CFAE3" w:rsidR="00AC36E9" w:rsidRDefault="00AC36E9" w:rsidP="00AC36E9">
      <w:pPr>
        <w:ind w:left="-5" w:right="15"/>
      </w:pPr>
      <w:r>
        <w:t>Bimatoprost/Timolol Mylan piesardzīgi jālieto pacientiem ar aktīvu intraokulāru iekaisumu (piemēram, uveītu), jo iekaisums var paasināties</w:t>
      </w:r>
      <w:r w:rsidR="008B10A9">
        <w:t>.</w:t>
      </w:r>
    </w:p>
    <w:p w14:paraId="65BC1C78" w14:textId="1F519601" w:rsidR="00834D31" w:rsidRDefault="00834D31" w:rsidP="00834D31">
      <w:pPr>
        <w:spacing w:after="21" w:line="259" w:lineRule="auto"/>
        <w:ind w:left="0" w:firstLine="0"/>
      </w:pPr>
    </w:p>
    <w:p w14:paraId="7C9D15BC" w14:textId="77777777" w:rsidR="00834D31" w:rsidRDefault="00834D31" w:rsidP="00834D31">
      <w:pPr>
        <w:pStyle w:val="Heading2"/>
        <w:ind w:left="-5"/>
      </w:pPr>
      <w:r>
        <w:t>Āda</w:t>
      </w:r>
      <w:r>
        <w:rPr>
          <w:u w:val="none"/>
        </w:rPr>
        <w:t xml:space="preserve"> </w:t>
      </w:r>
    </w:p>
    <w:p w14:paraId="3157CDF3" w14:textId="2F331059" w:rsidR="00834D31" w:rsidRDefault="00834D31" w:rsidP="00834D31">
      <w:pPr>
        <w:ind w:left="-5" w:right="15"/>
      </w:pPr>
      <w:r>
        <w:t xml:space="preserve">Vietās, kur </w:t>
      </w:r>
      <w:r w:rsidR="00424560">
        <w:t>Bimatoprost/Timolol Mylan</w:t>
      </w:r>
      <w:r>
        <w:t xml:space="preserve"> šķīdums atkārtoti saskaras ar ādas virsmu, iespējama matiņu augšana. Tāpēc ir svarīgi </w:t>
      </w:r>
      <w:r w:rsidR="00424560">
        <w:t>Bimatoprost/Timolol Mylan</w:t>
      </w:r>
      <w:r>
        <w:t xml:space="preserve"> lietot, kā norādīts, un nepieļaut, ka tas notek uz vaiga vai citām vietām uz ādas. </w:t>
      </w:r>
    </w:p>
    <w:p w14:paraId="1084B879" w14:textId="77777777" w:rsidR="00834D31" w:rsidRDefault="00834D31" w:rsidP="00834D31">
      <w:pPr>
        <w:spacing w:after="24" w:line="259" w:lineRule="auto"/>
        <w:ind w:left="0" w:firstLine="0"/>
      </w:pPr>
      <w:r>
        <w:t xml:space="preserve"> </w:t>
      </w:r>
    </w:p>
    <w:p w14:paraId="7C015698" w14:textId="6F8F72B2" w:rsidR="00834D31" w:rsidRDefault="00834D31" w:rsidP="00834D31">
      <w:pPr>
        <w:pStyle w:val="Heading2"/>
        <w:ind w:left="-5"/>
      </w:pPr>
      <w:r>
        <w:t>Cit</w:t>
      </w:r>
      <w:r w:rsidR="007D0BEC">
        <w:t>i</w:t>
      </w:r>
      <w:r>
        <w:t xml:space="preserve"> </w:t>
      </w:r>
      <w:r w:rsidR="007D0BEC">
        <w:t>traucējumi</w:t>
      </w:r>
      <w:r>
        <w:rPr>
          <w:u w:val="none"/>
        </w:rPr>
        <w:t xml:space="preserve"> </w:t>
      </w:r>
    </w:p>
    <w:p w14:paraId="5A6411A2" w14:textId="0D254921" w:rsidR="00834D31" w:rsidRDefault="00834D31" w:rsidP="00834D31">
      <w:pPr>
        <w:ind w:left="-5" w:right="15"/>
      </w:pPr>
      <w:r>
        <w:t>Bimatoprosta/timolola lietošanas ietekme nav pētīta pacientiem ar iekaisīgām acu slimībām, neovaskulāru, iekaisīgu,</w:t>
      </w:r>
      <w:r w:rsidR="00C573D7">
        <w:t xml:space="preserve"> </w:t>
      </w:r>
      <w:r>
        <w:t xml:space="preserve">slēgta kakta glaukomu, iedzimtu glaukomu vai šaurā leņķa glaukomu. </w:t>
      </w:r>
    </w:p>
    <w:p w14:paraId="4C055CFA" w14:textId="77777777" w:rsidR="00834D31" w:rsidRDefault="00834D31" w:rsidP="00834D31">
      <w:pPr>
        <w:spacing w:after="2" w:line="259" w:lineRule="auto"/>
        <w:ind w:left="0" w:firstLine="0"/>
      </w:pPr>
    </w:p>
    <w:p w14:paraId="05FAAB11" w14:textId="77777777" w:rsidR="004A27BD" w:rsidRDefault="00834D31" w:rsidP="00834D31">
      <w:pPr>
        <w:ind w:left="-5" w:right="15"/>
      </w:pPr>
      <w:r>
        <w:t xml:space="preserve">Bimatoprosta 0,3 mg/ml pētījumos ar pacientiem, kam ir glaukoma vai okulāra hipertensija, </w:t>
      </w:r>
      <w:r w:rsidRPr="007D0BEC">
        <w:t>pierādīts,</w:t>
      </w:r>
      <w:r>
        <w:t xml:space="preserve"> ka, ja biežāk acī lieto vairāk par 1 devu bimatoprosta dienā, var mazināties IOS pazeminošā iedarbība. Pacientiem, kas </w:t>
      </w:r>
      <w:r w:rsidR="00424560">
        <w:t>Bimatoprost/Timolol Mylan</w:t>
      </w:r>
      <w:r>
        <w:t xml:space="preserve"> lieto kopā ar citiem prostaglandīna analogiem, jānovēro intraokulārā spiediena izmaiņas.</w:t>
      </w:r>
    </w:p>
    <w:p w14:paraId="04CCB698" w14:textId="5AFBB925" w:rsidR="00834D31" w:rsidRDefault="00834D31" w:rsidP="00834D31">
      <w:pPr>
        <w:ind w:left="-5" w:right="15"/>
      </w:pPr>
      <w:r>
        <w:t xml:space="preserve"> </w:t>
      </w:r>
    </w:p>
    <w:p w14:paraId="09FE7488" w14:textId="0B507C22" w:rsidR="004A27BD" w:rsidRDefault="004A27BD" w:rsidP="004A27BD">
      <w:pPr>
        <w:pStyle w:val="Heading2"/>
        <w:ind w:left="-5"/>
        <w:rPr>
          <w:u w:val="none"/>
        </w:rPr>
      </w:pPr>
      <w:r>
        <w:t>Palīgvielas ar zināmu iedarbību</w:t>
      </w:r>
      <w:r>
        <w:rPr>
          <w:u w:val="none"/>
        </w:rPr>
        <w:t xml:space="preserve"> </w:t>
      </w:r>
    </w:p>
    <w:p w14:paraId="1E253875" w14:textId="77777777" w:rsidR="004A27BD" w:rsidRDefault="004A27BD" w:rsidP="004A27BD">
      <w:r w:rsidRPr="00D61149">
        <w:t>Šīs zāles satur 0,05 mg benzalkonija hlorīd</w:t>
      </w:r>
      <w:r w:rsidRPr="002B4B97">
        <w:t xml:space="preserve">a katrā mililitrā. </w:t>
      </w:r>
    </w:p>
    <w:p w14:paraId="14F3B46E" w14:textId="498C2EB9" w:rsidR="004A27BD" w:rsidRDefault="004A27BD" w:rsidP="004A27BD">
      <w:r>
        <w:t>Mīkstās kontaktlēcas var absorbēt benzalkonija hlorīdu, un tas var mainīt kontaktlēcu krāsu. Pirms šo zāļu</w:t>
      </w:r>
      <w:r w:rsidRPr="002B4B97">
        <w:t xml:space="preserve"> </w:t>
      </w:r>
      <w:r>
        <w:t>lietošanas pacientam ir jāizņem kontaktlēcas, un tās jāievieto atpakaļ pēc 15 minūtēm.</w:t>
      </w:r>
    </w:p>
    <w:p w14:paraId="645D94DC" w14:textId="77777777" w:rsidR="004A27BD" w:rsidRDefault="004A27BD" w:rsidP="004A27BD">
      <w:r>
        <w:t xml:space="preserve">Benzalkonija hlorīds var izraisīt acu kairinājumu, it īpaši, ja </w:t>
      </w:r>
      <w:r w:rsidRPr="002B4B97">
        <w:t>pacientam</w:t>
      </w:r>
      <w:r>
        <w:t xml:space="preserve"> ir sausas acis vai radzenes (caurspīdīgs slānis acs priekšējā daļā) bojājumi. Ja pēc šo zāļu lietošanas ir neparastas sajūtas acīs, durstīšanas sajūta vai sāpes acīs, </w:t>
      </w:r>
      <w:r w:rsidRPr="002B4B97">
        <w:t>pacientam jākonsultējas ar ārstu.</w:t>
      </w:r>
    </w:p>
    <w:p w14:paraId="3C859B8B" w14:textId="77777777" w:rsidR="00834D31" w:rsidRDefault="00834D31" w:rsidP="00834D31">
      <w:pPr>
        <w:spacing w:after="31" w:line="259" w:lineRule="auto"/>
        <w:ind w:left="0" w:firstLine="0"/>
      </w:pPr>
    </w:p>
    <w:p w14:paraId="6CACF16B" w14:textId="77777777" w:rsidR="00834D31" w:rsidRDefault="00834D31" w:rsidP="00834D31">
      <w:pPr>
        <w:pStyle w:val="Heading3"/>
        <w:tabs>
          <w:tab w:val="center" w:pos="3189"/>
        </w:tabs>
        <w:ind w:left="-15" w:firstLine="0"/>
      </w:pPr>
      <w:r>
        <w:t xml:space="preserve">4.5. </w:t>
      </w:r>
      <w:r>
        <w:tab/>
        <w:t>Mijiedarbība ar citām zālēm un citi mijiedarbības veidi</w:t>
      </w:r>
      <w:r>
        <w:rPr>
          <w:b w:val="0"/>
        </w:rPr>
        <w:t xml:space="preserve"> </w:t>
      </w:r>
    </w:p>
    <w:p w14:paraId="41B6927A" w14:textId="77777777" w:rsidR="00834D31" w:rsidRDefault="00834D31" w:rsidP="00834D31">
      <w:pPr>
        <w:spacing w:after="3" w:line="259" w:lineRule="auto"/>
        <w:ind w:left="0" w:firstLine="0"/>
      </w:pPr>
      <w:r>
        <w:t xml:space="preserve"> </w:t>
      </w:r>
    </w:p>
    <w:p w14:paraId="141E2EDC" w14:textId="77777777" w:rsidR="00834D31" w:rsidRDefault="00834D31" w:rsidP="00834D31">
      <w:pPr>
        <w:ind w:left="-5" w:right="15"/>
      </w:pPr>
      <w:r>
        <w:t xml:space="preserve">Specifiski mijiedarbības pētījumi par fiksētu bimatoprosta/timolola kombināciju nav veikti. </w:t>
      </w:r>
    </w:p>
    <w:p w14:paraId="64F86DE9" w14:textId="77777777" w:rsidR="00834D31" w:rsidRDefault="00834D31" w:rsidP="00834D31">
      <w:pPr>
        <w:spacing w:after="3" w:line="259" w:lineRule="auto"/>
        <w:ind w:left="0" w:firstLine="0"/>
      </w:pPr>
    </w:p>
    <w:p w14:paraId="299D6221" w14:textId="77777777" w:rsidR="00834D31" w:rsidRDefault="00834D31" w:rsidP="00834D31">
      <w:pPr>
        <w:ind w:left="-5" w:right="15"/>
      </w:pPr>
      <w:r>
        <w:t xml:space="preserve">Ir iespējama papildinoša ietekme, kas izraisa hipotensiju un/vai izteiktu bradikardiju, vienlaikus lietojot oftalmoloģiskus bēta blokatoru šķīdumus un perorālus kalcija kanālu blokatorus, guanetidīnu, bēta adrenerģiskos blokatorus, parasimpatomimētiskus līdzekļus, pretaritmijas līdzekļus (tai skaitā amiodaronu) un </w:t>
      </w:r>
      <w:r>
        <w:rPr>
          <w:i/>
        </w:rPr>
        <w:t>digitalis</w:t>
      </w:r>
      <w:r>
        <w:t xml:space="preserve"> glikozīdus. </w:t>
      </w:r>
    </w:p>
    <w:p w14:paraId="10F92475" w14:textId="77777777" w:rsidR="00834D31" w:rsidRDefault="00834D31" w:rsidP="00834D31">
      <w:pPr>
        <w:ind w:left="-5" w:right="15"/>
      </w:pPr>
      <w:r>
        <w:lastRenderedPageBreak/>
        <w:t xml:space="preserve">Ir ziņots par pastiprinātu sistēmisko bēta blokādi (piem., samazinātu sirdsdarbības ātrumu, nomākumu) kombinētas terapijas laikā ar CYP2D6 inhibitoriem (piem., hinidīnu, fluoksetīnu, paroksetīnu) un timololu. </w:t>
      </w:r>
    </w:p>
    <w:p w14:paraId="12DEADD0" w14:textId="77777777" w:rsidR="00834D31" w:rsidRDefault="00834D31" w:rsidP="00834D31">
      <w:pPr>
        <w:ind w:left="-5" w:right="15"/>
      </w:pPr>
      <w:r>
        <w:t xml:space="preserve">Atsevišķos gadījumos ziņots par midriāzi vienlaicīgas oftalmoloģisko bēta blokatoru un adrenalīna (epinefrīna) lietošanas rezultātā. </w:t>
      </w:r>
    </w:p>
    <w:p w14:paraId="03BEC501" w14:textId="77777777" w:rsidR="00834D31" w:rsidRDefault="00834D31" w:rsidP="00834D31">
      <w:pPr>
        <w:spacing w:after="27" w:line="259" w:lineRule="auto"/>
        <w:ind w:left="0" w:firstLine="0"/>
      </w:pPr>
    </w:p>
    <w:p w14:paraId="489872EE" w14:textId="77777777" w:rsidR="00834D31" w:rsidRDefault="00834D31" w:rsidP="00834D31">
      <w:pPr>
        <w:tabs>
          <w:tab w:val="center" w:pos="2652"/>
        </w:tabs>
        <w:spacing w:after="14" w:line="249" w:lineRule="auto"/>
        <w:ind w:left="-15" w:firstLine="0"/>
      </w:pPr>
      <w:r>
        <w:rPr>
          <w:b/>
        </w:rPr>
        <w:t xml:space="preserve">4.6. </w:t>
      </w:r>
      <w:r>
        <w:rPr>
          <w:b/>
        </w:rPr>
        <w:tab/>
        <w:t>Fertilitāte, grūtniecība un barošana ar krūti</w:t>
      </w:r>
      <w:r>
        <w:t xml:space="preserve"> </w:t>
      </w:r>
    </w:p>
    <w:p w14:paraId="1B7DFDD0" w14:textId="77777777" w:rsidR="00834D31" w:rsidRDefault="00834D31" w:rsidP="00834D31">
      <w:pPr>
        <w:spacing w:after="24" w:line="259" w:lineRule="auto"/>
        <w:ind w:left="0" w:firstLine="0"/>
      </w:pPr>
      <w:r>
        <w:t xml:space="preserve"> </w:t>
      </w:r>
    </w:p>
    <w:p w14:paraId="4B7ED6E0" w14:textId="77777777" w:rsidR="00834D31" w:rsidRDefault="00834D31" w:rsidP="00834D31">
      <w:pPr>
        <w:pStyle w:val="Heading2"/>
        <w:ind w:left="-5"/>
      </w:pPr>
      <w:r>
        <w:t>Grūtniecība</w:t>
      </w:r>
      <w:r>
        <w:rPr>
          <w:u w:val="none"/>
        </w:rPr>
        <w:t xml:space="preserve"> </w:t>
      </w:r>
    </w:p>
    <w:p w14:paraId="5C061FB2" w14:textId="07DCC99A" w:rsidR="00834D31" w:rsidRDefault="00834D31" w:rsidP="00834D31">
      <w:pPr>
        <w:ind w:left="-5" w:right="15"/>
      </w:pPr>
      <w:r>
        <w:t xml:space="preserve">Dati par fiksētas bimatoprosta/timolola kombinācijas lietošanu grūtniecības laikā nav pietiekami. </w:t>
      </w:r>
      <w:r w:rsidR="00424560">
        <w:t>Bimatoprost/Timolol Mylan</w:t>
      </w:r>
      <w:r>
        <w:t xml:space="preserve"> grūtniecības laikā nevajadzētu lietot, ja vien nav absolūtas nepieciešamības. Informāciju par sistēmiskās uzsūkšanās samazināšanu skatīt 4.2. apakšpunktā. </w:t>
      </w:r>
    </w:p>
    <w:p w14:paraId="71FAE513" w14:textId="77777777" w:rsidR="00834D31" w:rsidRDefault="00834D31" w:rsidP="00834D31">
      <w:pPr>
        <w:spacing w:after="0" w:line="259" w:lineRule="auto"/>
        <w:ind w:left="0" w:firstLine="0"/>
      </w:pPr>
      <w:r>
        <w:t xml:space="preserve"> </w:t>
      </w:r>
    </w:p>
    <w:p w14:paraId="4132FBF2" w14:textId="77777777" w:rsidR="00834D31" w:rsidRDefault="00834D31" w:rsidP="00834D31">
      <w:pPr>
        <w:spacing w:after="26" w:line="259" w:lineRule="auto"/>
        <w:ind w:left="-5"/>
      </w:pPr>
      <w:r>
        <w:rPr>
          <w:i/>
        </w:rPr>
        <w:t xml:space="preserve">Bimatoprosts </w:t>
      </w:r>
    </w:p>
    <w:p w14:paraId="5BF83812" w14:textId="77777777" w:rsidR="00834D31" w:rsidRDefault="00834D31" w:rsidP="00834D31">
      <w:pPr>
        <w:ind w:left="-5" w:right="15"/>
      </w:pPr>
      <w:r>
        <w:t xml:space="preserve">Nav pietiekamu klīnisku datu par lietošanu grūtniecēm. Pētījumi ar dzīvniekiem pierāda reproduktīvo toksicitāti, mātītei lietojot lielas toksiskas devas (skatīt 5.3. apakšpunktu). </w:t>
      </w:r>
    </w:p>
    <w:p w14:paraId="5C8BFD7A" w14:textId="77777777" w:rsidR="00834D31" w:rsidRDefault="00834D31" w:rsidP="00834D31">
      <w:pPr>
        <w:spacing w:after="0" w:line="259" w:lineRule="auto"/>
        <w:ind w:left="0" w:firstLine="0"/>
      </w:pPr>
      <w:r>
        <w:t xml:space="preserve"> </w:t>
      </w:r>
    </w:p>
    <w:p w14:paraId="01882397" w14:textId="77777777" w:rsidR="00834D31" w:rsidRDefault="00834D31" w:rsidP="00834D31">
      <w:pPr>
        <w:spacing w:after="4" w:line="259" w:lineRule="auto"/>
        <w:ind w:left="-5"/>
      </w:pPr>
      <w:r>
        <w:rPr>
          <w:i/>
        </w:rPr>
        <w:t xml:space="preserve">Timolols </w:t>
      </w:r>
    </w:p>
    <w:p w14:paraId="5ECA0B68" w14:textId="6A7329A3" w:rsidR="00834D31" w:rsidRDefault="00834D31" w:rsidP="00834D31">
      <w:pPr>
        <w:ind w:left="-5" w:right="15"/>
      </w:pPr>
      <w:r>
        <w:t xml:space="preserve">Epidemioloģiskos pētījumos netika novērota </w:t>
      </w:r>
      <w:r w:rsidR="0084000A">
        <w:t>anomālijas izraisoša</w:t>
      </w:r>
      <w:r>
        <w:t xml:space="preserve"> iedarbība, bet tika novērota intrauterīnās augšanas palēnināšanās, bēta blokatorus lietojot perorāli. Turklāt, ja līdz dzemdībām lietoja bēta blokatorus, jaundzimušajiem novēroja bēta blokādes pazīmes un simptomus (piem., bradikardiju, hipotensiju, elpošanas traucējumus un hipoglikēmiju). </w:t>
      </w:r>
      <w:r w:rsidR="00424560">
        <w:t>Bimatoprost/Timolol Mylan</w:t>
      </w:r>
      <w:r>
        <w:t xml:space="preserve"> lietojot līdz dzemdībām, jaundzimušais pirmajās dzīves dienās rūpīgi jāuzrauga. Pētījumi ar dzīvniekiem, tiem dodot timololu, pierāda reproduktīvo toksicitāti, ja devas būtiski pārsniedz klīniskajā praksē lietojamās (skatīt 5.3. apakšpunktu). </w:t>
      </w:r>
    </w:p>
    <w:p w14:paraId="08246D6D" w14:textId="77777777" w:rsidR="00834D31" w:rsidRDefault="00834D31" w:rsidP="00834D31">
      <w:pPr>
        <w:spacing w:after="0" w:line="259" w:lineRule="auto"/>
        <w:ind w:left="0" w:firstLine="0"/>
      </w:pPr>
    </w:p>
    <w:p w14:paraId="7886A8F7" w14:textId="77777777" w:rsidR="00834D31" w:rsidRDefault="00834D31" w:rsidP="00834D31">
      <w:pPr>
        <w:pStyle w:val="Heading2"/>
        <w:ind w:left="-5"/>
      </w:pPr>
      <w:r>
        <w:t>Barošana ar krūti</w:t>
      </w:r>
      <w:r>
        <w:rPr>
          <w:u w:val="none"/>
        </w:rPr>
        <w:t xml:space="preserve"> </w:t>
      </w:r>
    </w:p>
    <w:p w14:paraId="610CF8AD" w14:textId="77777777" w:rsidR="00834D31" w:rsidRDefault="00834D31" w:rsidP="00834D31">
      <w:pPr>
        <w:spacing w:after="4" w:line="259" w:lineRule="auto"/>
        <w:ind w:left="-5"/>
        <w:rPr>
          <w:i/>
        </w:rPr>
      </w:pPr>
    </w:p>
    <w:p w14:paraId="49ACE2E2" w14:textId="77777777" w:rsidR="00834D31" w:rsidRDefault="00834D31" w:rsidP="00834D31">
      <w:pPr>
        <w:spacing w:after="4" w:line="259" w:lineRule="auto"/>
        <w:ind w:left="-5"/>
      </w:pPr>
      <w:r>
        <w:rPr>
          <w:i/>
        </w:rPr>
        <w:t xml:space="preserve">Timolols </w:t>
      </w:r>
    </w:p>
    <w:p w14:paraId="0888D05F" w14:textId="77777777" w:rsidR="00834D31" w:rsidRDefault="00834D31" w:rsidP="00834D31">
      <w:pPr>
        <w:ind w:left="-5" w:right="15"/>
      </w:pPr>
      <w:r>
        <w:t xml:space="preserve">Bēta blokatori izdalās cilvēka pienā. Tomēr, lietojot terapeitiskas timolola devas acu pilienos, maz ticams, ka cilvēka pienā varētu nokļūt daudzums, kas būtu pietiekams, lai izraisītu bēta blokādes klīniskos simptomus zīdainim. Informāciju par sistēmiskās uzsūkšanās samazināšanu skatīt 4.2. apakšpunktā. </w:t>
      </w:r>
    </w:p>
    <w:p w14:paraId="03AE7EF1" w14:textId="77777777" w:rsidR="00834D31" w:rsidRDefault="00834D31" w:rsidP="00834D31">
      <w:pPr>
        <w:spacing w:after="0" w:line="259" w:lineRule="auto"/>
        <w:ind w:left="0" w:firstLine="0"/>
      </w:pPr>
    </w:p>
    <w:p w14:paraId="5848A064" w14:textId="77777777" w:rsidR="00834D31" w:rsidRDefault="00834D31" w:rsidP="00834D31">
      <w:pPr>
        <w:spacing w:after="4" w:line="259" w:lineRule="auto"/>
        <w:ind w:left="-5"/>
      </w:pPr>
      <w:r>
        <w:rPr>
          <w:i/>
        </w:rPr>
        <w:t>Bimatoprosts</w:t>
      </w:r>
    </w:p>
    <w:p w14:paraId="753E090C" w14:textId="038C705E" w:rsidR="00834D31" w:rsidRDefault="00834D31" w:rsidP="00834D31">
      <w:pPr>
        <w:ind w:left="-5" w:right="15"/>
      </w:pPr>
      <w:r>
        <w:t xml:space="preserve">Nav zināms, vai bimatoprosts izdalās cilvēka pienā, tomēr žurkas pienā tas tika izdalīts. </w:t>
      </w:r>
      <w:r w:rsidR="00424560">
        <w:t>Bimatoprost/Timolol Mylan</w:t>
      </w:r>
      <w:r>
        <w:t xml:space="preserve"> barošanas ar krūti laikā lietot nevajadzētu. </w:t>
      </w:r>
    </w:p>
    <w:p w14:paraId="67EE00B3" w14:textId="77777777" w:rsidR="00834D31" w:rsidRDefault="00834D31" w:rsidP="00834D31">
      <w:pPr>
        <w:spacing w:after="24" w:line="259" w:lineRule="auto"/>
        <w:ind w:left="0" w:firstLine="0"/>
      </w:pPr>
    </w:p>
    <w:p w14:paraId="309DD03C" w14:textId="77777777" w:rsidR="00834D31" w:rsidRDefault="00834D31" w:rsidP="00834D31">
      <w:pPr>
        <w:pStyle w:val="Heading2"/>
        <w:ind w:left="-5"/>
      </w:pPr>
      <w:r>
        <w:t>Fertilitāte</w:t>
      </w:r>
      <w:r>
        <w:rPr>
          <w:u w:val="none"/>
        </w:rPr>
        <w:t xml:space="preserve"> </w:t>
      </w:r>
    </w:p>
    <w:p w14:paraId="314A5548" w14:textId="77777777" w:rsidR="00834D31" w:rsidRDefault="00834D31" w:rsidP="00834D31">
      <w:pPr>
        <w:ind w:left="-5" w:right="15"/>
      </w:pPr>
      <w:r>
        <w:t xml:space="preserve">Par bimatoprosta/timolola ietekmi uz cilvēku fertilitāti datu nav. </w:t>
      </w:r>
    </w:p>
    <w:p w14:paraId="0BB66993" w14:textId="77777777" w:rsidR="00834D31" w:rsidRDefault="00834D31" w:rsidP="00834D31">
      <w:pPr>
        <w:spacing w:after="32" w:line="259" w:lineRule="auto"/>
        <w:ind w:left="0" w:firstLine="0"/>
      </w:pPr>
    </w:p>
    <w:p w14:paraId="6FFCEBA4" w14:textId="77777777" w:rsidR="00834D31" w:rsidRDefault="00834D31" w:rsidP="00834D31">
      <w:pPr>
        <w:pStyle w:val="Heading3"/>
        <w:tabs>
          <w:tab w:val="center" w:pos="3739"/>
        </w:tabs>
        <w:ind w:left="-15" w:firstLine="0"/>
      </w:pPr>
      <w:r>
        <w:t xml:space="preserve">4.7. </w:t>
      </w:r>
      <w:r>
        <w:tab/>
        <w:t>Ietekme uz spēju vadīt transportlīdzekļus un apkalpot mehānismus</w:t>
      </w:r>
      <w:r>
        <w:rPr>
          <w:b w:val="0"/>
        </w:rPr>
        <w:t xml:space="preserve"> </w:t>
      </w:r>
    </w:p>
    <w:p w14:paraId="54E8D81B" w14:textId="77777777" w:rsidR="00834D31" w:rsidRDefault="00834D31" w:rsidP="00834D31">
      <w:pPr>
        <w:spacing w:after="21" w:line="259" w:lineRule="auto"/>
        <w:ind w:left="0" w:firstLine="0"/>
      </w:pPr>
    </w:p>
    <w:p w14:paraId="03B76272" w14:textId="764AB98D" w:rsidR="00834D31" w:rsidRDefault="00424560" w:rsidP="00834D31">
      <w:pPr>
        <w:ind w:left="-5" w:right="15"/>
      </w:pPr>
      <w:r>
        <w:t>Bimatoprost/Timolol Mylan</w:t>
      </w:r>
      <w:r w:rsidR="00834D31">
        <w:t xml:space="preserve"> nenozīmīgi ietekmē spēju vadīt transportlīdzekļus un apkalpot mehānismus. Tāpat kā lietojot jebkurus okulārus medikamentus, ja pēc iepilināšanas rodas pārejoša redzes miglošanās, pacientam jānogaida, līdz tā pāriet, lai vadītu transportlīdzekli vai apkalpotu mehānismus. </w:t>
      </w:r>
    </w:p>
    <w:p w14:paraId="2D4872B3" w14:textId="77777777" w:rsidR="00834D31" w:rsidRDefault="00834D31" w:rsidP="00834D31">
      <w:pPr>
        <w:spacing w:after="28" w:line="259" w:lineRule="auto"/>
        <w:ind w:left="0" w:firstLine="0"/>
      </w:pPr>
    </w:p>
    <w:p w14:paraId="4F651B36" w14:textId="77777777" w:rsidR="00834D31" w:rsidRDefault="00834D31" w:rsidP="00834D31">
      <w:pPr>
        <w:tabs>
          <w:tab w:val="center" w:pos="1889"/>
        </w:tabs>
        <w:spacing w:after="14" w:line="249" w:lineRule="auto"/>
        <w:ind w:left="-15" w:firstLine="0"/>
      </w:pPr>
      <w:r>
        <w:rPr>
          <w:b/>
        </w:rPr>
        <w:t xml:space="preserve">4.8. </w:t>
      </w:r>
      <w:r>
        <w:rPr>
          <w:b/>
        </w:rPr>
        <w:tab/>
        <w:t xml:space="preserve">Nevēlamās blakusparādības </w:t>
      </w:r>
    </w:p>
    <w:p w14:paraId="74D1CCD1" w14:textId="77777777" w:rsidR="00834D31" w:rsidRDefault="00834D31" w:rsidP="00834D31">
      <w:pPr>
        <w:spacing w:after="0" w:line="259" w:lineRule="auto"/>
        <w:ind w:left="0" w:firstLine="0"/>
      </w:pPr>
    </w:p>
    <w:p w14:paraId="2FAB64D7" w14:textId="19812728" w:rsidR="00834D31" w:rsidRDefault="00424560" w:rsidP="00834D31">
      <w:pPr>
        <w:pStyle w:val="Heading2"/>
        <w:ind w:left="-5"/>
      </w:pPr>
      <w:r>
        <w:t>Bimatoprost/Timolol Mylan</w:t>
      </w:r>
    </w:p>
    <w:p w14:paraId="5D4849C5" w14:textId="77777777" w:rsidR="00834D31" w:rsidRDefault="00834D31" w:rsidP="00834D31">
      <w:pPr>
        <w:spacing w:after="4" w:line="259" w:lineRule="auto"/>
        <w:ind w:left="-5"/>
        <w:rPr>
          <w:i/>
        </w:rPr>
      </w:pPr>
    </w:p>
    <w:p w14:paraId="3942F737" w14:textId="4607016C" w:rsidR="00834D31" w:rsidRDefault="00834D31" w:rsidP="00834D31">
      <w:pPr>
        <w:spacing w:after="4" w:line="259" w:lineRule="auto"/>
        <w:ind w:left="-5"/>
      </w:pPr>
      <w:r>
        <w:rPr>
          <w:i/>
        </w:rPr>
        <w:t xml:space="preserve">Drošuma </w:t>
      </w:r>
      <w:r w:rsidR="008C6C75" w:rsidRPr="0022127A">
        <w:rPr>
          <w:i/>
        </w:rPr>
        <w:t>profila</w:t>
      </w:r>
      <w:r>
        <w:rPr>
          <w:i/>
        </w:rPr>
        <w:t xml:space="preserve"> kopsavilkums </w:t>
      </w:r>
    </w:p>
    <w:p w14:paraId="5912BAFE" w14:textId="77777777" w:rsidR="00834D31" w:rsidRDefault="00834D31" w:rsidP="00834D31">
      <w:pPr>
        <w:ind w:left="-5" w:right="15"/>
      </w:pPr>
      <w:r>
        <w:t xml:space="preserve">Nevēlamās blakusparādības, par kurām ziņots klīniskajos pētījumos, lietojot bimatoprostu/timololu, bija tikai tādas, par ko agrāk ziņots saistībā ar katru aktīvo vielu: bimatoprostu un timololu. Jaunas, bimatoprosta/timolola specifiskas nevēlamās blakusparādības klīniskajos pētījumos netika novērotas. </w:t>
      </w:r>
    </w:p>
    <w:p w14:paraId="3E9C7D16" w14:textId="77777777" w:rsidR="00834D31" w:rsidRDefault="00834D31" w:rsidP="00834D31">
      <w:pPr>
        <w:spacing w:after="23" w:line="259" w:lineRule="auto"/>
        <w:ind w:left="0" w:firstLine="0"/>
      </w:pPr>
    </w:p>
    <w:p w14:paraId="14779487" w14:textId="15CE74E9" w:rsidR="00834D31" w:rsidRDefault="00834D31" w:rsidP="00834D31">
      <w:pPr>
        <w:ind w:left="-5" w:right="15"/>
      </w:pPr>
      <w:r>
        <w:t xml:space="preserve">Lielākā daļa nevēlamo blakusparādību, par kurām ziņots klīniskajos pētījumos, lietojot bimatoprostu/timololu, ietekmēja acis, </w:t>
      </w:r>
      <w:r w:rsidR="00E2298D">
        <w:t xml:space="preserve">vieglā pakāpē, </w:t>
      </w:r>
      <w:r>
        <w:t xml:space="preserve">neviena no blakusparādībām nebija nopietna. Atbilstoši 12 mēnešu ilgā laikā iegūtiem klīniskiem datiem visbiežāk novērotā nevēlamā blakusparādība bija konjunktīvas hiperēmija (lielākoties ļoti niecīga līdz viegla un, domājams, neiekaisīga) aptuveni 26% pacientu, tāpēc 1,5% pacientu zāļu lietošanu pārtrauca. </w:t>
      </w:r>
    </w:p>
    <w:p w14:paraId="4A89C939" w14:textId="77777777" w:rsidR="00834D31" w:rsidRDefault="00834D31" w:rsidP="00834D31">
      <w:pPr>
        <w:spacing w:after="13" w:line="259" w:lineRule="auto"/>
        <w:ind w:left="0" w:firstLine="0"/>
      </w:pPr>
      <w:r>
        <w:t xml:space="preserve"> </w:t>
      </w:r>
    </w:p>
    <w:p w14:paraId="22F962CE" w14:textId="77777777" w:rsidR="00834D31" w:rsidRDefault="00834D31" w:rsidP="00834D31">
      <w:pPr>
        <w:spacing w:after="4" w:line="259" w:lineRule="auto"/>
        <w:ind w:left="-5"/>
      </w:pPr>
      <w:r>
        <w:rPr>
          <w:i/>
        </w:rPr>
        <w:t>Nevēlamo blakusparādību</w:t>
      </w:r>
      <w:r>
        <w:t xml:space="preserve"> </w:t>
      </w:r>
      <w:r>
        <w:rPr>
          <w:i/>
        </w:rPr>
        <w:t>saraksts</w:t>
      </w:r>
      <w:r>
        <w:t xml:space="preserve"> </w:t>
      </w:r>
      <w:r>
        <w:rPr>
          <w:i/>
        </w:rPr>
        <w:t xml:space="preserve">tabulas veidā </w:t>
      </w:r>
    </w:p>
    <w:p w14:paraId="54503D2B" w14:textId="588781C7" w:rsidR="00834D31" w:rsidRDefault="00834D31" w:rsidP="00834D31">
      <w:pPr>
        <w:ind w:left="-5" w:right="15"/>
      </w:pPr>
      <w:r>
        <w:t>1. tabulā apkopotas nevēlamās blakusparādības, kas, lietojot bimatoprosta/timolola form</w:t>
      </w:r>
      <w:r w:rsidR="00B66663">
        <w:t xml:space="preserve">as </w:t>
      </w:r>
      <w:r w:rsidR="00B66663" w:rsidRPr="00B66663">
        <w:t>(daudzdevu un vienreizējās devas</w:t>
      </w:r>
      <w:r w:rsidR="00B66663">
        <w:t>)</w:t>
      </w:r>
      <w:r>
        <w:t xml:space="preserve">, konstatētas klīniskajos pētījumos (katrā biežuma grupā nevēlamās blakusparādības sniegtas tādā secībā, kā samazinās to nopietnība) vai pēcreģistrācijas periodā. Iespējamo nevēlamo blakusparādību biežums tiek noteikts pēc šāda iedalījuma: </w:t>
      </w:r>
    </w:p>
    <w:p w14:paraId="25478DA3" w14:textId="77777777" w:rsidR="00834D31" w:rsidRDefault="00834D31" w:rsidP="00834D31">
      <w:pPr>
        <w:spacing w:after="0" w:line="259" w:lineRule="auto"/>
        <w:ind w:left="0" w:firstLine="0"/>
      </w:pPr>
      <w:r>
        <w:t xml:space="preserve"> </w:t>
      </w:r>
    </w:p>
    <w:tbl>
      <w:tblPr>
        <w:tblStyle w:val="TableGrid"/>
        <w:tblW w:w="9324" w:type="dxa"/>
        <w:tblInd w:w="-108" w:type="dxa"/>
        <w:tblCellMar>
          <w:top w:w="14" w:type="dxa"/>
          <w:left w:w="108" w:type="dxa"/>
          <w:right w:w="115" w:type="dxa"/>
        </w:tblCellMar>
        <w:tblLook w:val="04A0" w:firstRow="1" w:lastRow="0" w:firstColumn="1" w:lastColumn="0" w:noHBand="0" w:noVBand="1"/>
      </w:tblPr>
      <w:tblGrid>
        <w:gridCol w:w="3085"/>
        <w:gridCol w:w="6239"/>
      </w:tblGrid>
      <w:tr w:rsidR="00834D31" w14:paraId="3CF9F609" w14:textId="77777777" w:rsidTr="001D4FCA">
        <w:trPr>
          <w:trHeight w:val="283"/>
        </w:trPr>
        <w:tc>
          <w:tcPr>
            <w:tcW w:w="3085" w:type="dxa"/>
            <w:tcBorders>
              <w:top w:val="single" w:sz="4" w:space="0" w:color="000000"/>
              <w:left w:val="single" w:sz="4" w:space="0" w:color="000000"/>
              <w:bottom w:val="single" w:sz="4" w:space="0" w:color="000000"/>
              <w:right w:val="single" w:sz="4" w:space="0" w:color="000000"/>
            </w:tcBorders>
          </w:tcPr>
          <w:p w14:paraId="45117916" w14:textId="77777777" w:rsidR="00834D31" w:rsidRDefault="00834D31" w:rsidP="001D4FCA">
            <w:pPr>
              <w:spacing w:after="0" w:line="259" w:lineRule="auto"/>
              <w:ind w:left="0" w:firstLine="0"/>
            </w:pPr>
            <w:r>
              <w:t xml:space="preserve">Ļoti bieži </w:t>
            </w:r>
          </w:p>
        </w:tc>
        <w:tc>
          <w:tcPr>
            <w:tcW w:w="6239" w:type="dxa"/>
            <w:tcBorders>
              <w:top w:val="single" w:sz="4" w:space="0" w:color="000000"/>
              <w:left w:val="single" w:sz="4" w:space="0" w:color="000000"/>
              <w:bottom w:val="single" w:sz="4" w:space="0" w:color="000000"/>
              <w:right w:val="single" w:sz="4" w:space="0" w:color="000000"/>
            </w:tcBorders>
          </w:tcPr>
          <w:p w14:paraId="4A5F16C9" w14:textId="77777777" w:rsidR="00834D31" w:rsidRDefault="00834D31" w:rsidP="001D4FCA">
            <w:pPr>
              <w:spacing w:after="0" w:line="259" w:lineRule="auto"/>
              <w:ind w:left="0" w:firstLine="0"/>
            </w:pPr>
            <w:r w:rsidRPr="009622FD">
              <w:rPr>
                <w:rFonts w:ascii="Symbol" w:eastAsia="Segoe UI Symbol" w:hAnsi="Symbol" w:cs="Segoe UI Symbol"/>
              </w:rPr>
              <w:t></w:t>
            </w:r>
            <w:r>
              <w:t xml:space="preserve">1/10 </w:t>
            </w:r>
          </w:p>
        </w:tc>
      </w:tr>
      <w:tr w:rsidR="00834D31" w14:paraId="72F77BAA" w14:textId="77777777" w:rsidTr="001D4FCA">
        <w:trPr>
          <w:trHeight w:val="283"/>
        </w:trPr>
        <w:tc>
          <w:tcPr>
            <w:tcW w:w="3085" w:type="dxa"/>
            <w:tcBorders>
              <w:top w:val="single" w:sz="4" w:space="0" w:color="000000"/>
              <w:left w:val="single" w:sz="4" w:space="0" w:color="000000"/>
              <w:bottom w:val="single" w:sz="4" w:space="0" w:color="000000"/>
              <w:right w:val="single" w:sz="4" w:space="0" w:color="000000"/>
            </w:tcBorders>
          </w:tcPr>
          <w:p w14:paraId="5C608904" w14:textId="77777777" w:rsidR="00834D31" w:rsidRDefault="00834D31" w:rsidP="001D4FCA">
            <w:pPr>
              <w:spacing w:after="0" w:line="259" w:lineRule="auto"/>
              <w:ind w:left="0" w:firstLine="0"/>
            </w:pPr>
            <w:r>
              <w:t xml:space="preserve">Bieži </w:t>
            </w:r>
          </w:p>
        </w:tc>
        <w:tc>
          <w:tcPr>
            <w:tcW w:w="6239" w:type="dxa"/>
            <w:tcBorders>
              <w:top w:val="single" w:sz="4" w:space="0" w:color="000000"/>
              <w:left w:val="single" w:sz="4" w:space="0" w:color="000000"/>
              <w:bottom w:val="single" w:sz="4" w:space="0" w:color="000000"/>
              <w:right w:val="single" w:sz="4" w:space="0" w:color="000000"/>
            </w:tcBorders>
          </w:tcPr>
          <w:p w14:paraId="7E753ECF" w14:textId="77777777" w:rsidR="00834D31" w:rsidRDefault="00834D31" w:rsidP="001D4FCA">
            <w:pPr>
              <w:spacing w:after="0" w:line="259" w:lineRule="auto"/>
              <w:ind w:left="0" w:firstLine="0"/>
            </w:pPr>
            <w:r w:rsidRPr="009622FD">
              <w:rPr>
                <w:rFonts w:ascii="Symbol" w:eastAsia="Segoe UI Symbol" w:hAnsi="Symbol" w:cs="Segoe UI Symbol"/>
              </w:rPr>
              <w:t></w:t>
            </w:r>
            <w:r>
              <w:t xml:space="preserve">1/100 līdz &lt;1/10 </w:t>
            </w:r>
          </w:p>
        </w:tc>
      </w:tr>
      <w:tr w:rsidR="00834D31" w14:paraId="6D7FEBCA" w14:textId="77777777" w:rsidTr="001D4FCA">
        <w:trPr>
          <w:trHeight w:val="284"/>
        </w:trPr>
        <w:tc>
          <w:tcPr>
            <w:tcW w:w="3085" w:type="dxa"/>
            <w:tcBorders>
              <w:top w:val="single" w:sz="4" w:space="0" w:color="000000"/>
              <w:left w:val="single" w:sz="4" w:space="0" w:color="000000"/>
              <w:bottom w:val="single" w:sz="4" w:space="0" w:color="000000"/>
              <w:right w:val="single" w:sz="4" w:space="0" w:color="000000"/>
            </w:tcBorders>
          </w:tcPr>
          <w:p w14:paraId="1B501B53" w14:textId="77777777" w:rsidR="00834D31" w:rsidRDefault="00834D31" w:rsidP="001D4FCA">
            <w:pPr>
              <w:spacing w:after="0" w:line="259" w:lineRule="auto"/>
              <w:ind w:left="0" w:firstLine="0"/>
            </w:pPr>
            <w:r>
              <w:t xml:space="preserve">Retāk </w:t>
            </w:r>
          </w:p>
        </w:tc>
        <w:tc>
          <w:tcPr>
            <w:tcW w:w="6239" w:type="dxa"/>
            <w:tcBorders>
              <w:top w:val="single" w:sz="4" w:space="0" w:color="000000"/>
              <w:left w:val="single" w:sz="4" w:space="0" w:color="000000"/>
              <w:bottom w:val="single" w:sz="4" w:space="0" w:color="000000"/>
              <w:right w:val="single" w:sz="4" w:space="0" w:color="000000"/>
            </w:tcBorders>
          </w:tcPr>
          <w:p w14:paraId="6B350EA6" w14:textId="77777777" w:rsidR="00834D31" w:rsidRDefault="00834D31" w:rsidP="001D4FCA">
            <w:pPr>
              <w:spacing w:after="0" w:line="259" w:lineRule="auto"/>
              <w:ind w:left="0" w:firstLine="0"/>
            </w:pPr>
            <w:r w:rsidRPr="009622FD">
              <w:rPr>
                <w:rFonts w:ascii="Symbol" w:eastAsia="Segoe UI Symbol" w:hAnsi="Symbol" w:cs="Segoe UI Symbol"/>
              </w:rPr>
              <w:t></w:t>
            </w:r>
            <w:r>
              <w:t xml:space="preserve">1/1000 līdz &lt;1/100 </w:t>
            </w:r>
          </w:p>
        </w:tc>
      </w:tr>
      <w:tr w:rsidR="00834D31" w14:paraId="5FCAAF03" w14:textId="77777777" w:rsidTr="001D4FCA">
        <w:trPr>
          <w:trHeight w:val="283"/>
        </w:trPr>
        <w:tc>
          <w:tcPr>
            <w:tcW w:w="3085" w:type="dxa"/>
            <w:tcBorders>
              <w:top w:val="single" w:sz="4" w:space="0" w:color="000000"/>
              <w:left w:val="single" w:sz="4" w:space="0" w:color="000000"/>
              <w:bottom w:val="single" w:sz="4" w:space="0" w:color="000000"/>
              <w:right w:val="single" w:sz="4" w:space="0" w:color="000000"/>
            </w:tcBorders>
          </w:tcPr>
          <w:p w14:paraId="5F859D64" w14:textId="77777777" w:rsidR="00834D31" w:rsidRDefault="00834D31" w:rsidP="001D4FCA">
            <w:pPr>
              <w:spacing w:after="0" w:line="259" w:lineRule="auto"/>
              <w:ind w:left="0" w:firstLine="0"/>
            </w:pPr>
            <w:r>
              <w:t xml:space="preserve">Reti </w:t>
            </w:r>
          </w:p>
        </w:tc>
        <w:tc>
          <w:tcPr>
            <w:tcW w:w="6239" w:type="dxa"/>
            <w:tcBorders>
              <w:top w:val="single" w:sz="4" w:space="0" w:color="000000"/>
              <w:left w:val="single" w:sz="4" w:space="0" w:color="000000"/>
              <w:bottom w:val="single" w:sz="4" w:space="0" w:color="000000"/>
              <w:right w:val="single" w:sz="4" w:space="0" w:color="000000"/>
            </w:tcBorders>
          </w:tcPr>
          <w:p w14:paraId="23F3ECA8" w14:textId="77777777" w:rsidR="00834D31" w:rsidRDefault="00834D31" w:rsidP="001D4FCA">
            <w:pPr>
              <w:spacing w:after="0" w:line="259" w:lineRule="auto"/>
              <w:ind w:left="0" w:firstLine="0"/>
            </w:pPr>
            <w:r w:rsidRPr="009622FD">
              <w:rPr>
                <w:rFonts w:ascii="Symbol" w:eastAsia="Segoe UI Symbol" w:hAnsi="Symbol" w:cs="Segoe UI Symbol"/>
              </w:rPr>
              <w:t></w:t>
            </w:r>
            <w:r>
              <w:t xml:space="preserve">1/10 000 līdz &lt;1/1000 </w:t>
            </w:r>
          </w:p>
        </w:tc>
      </w:tr>
      <w:tr w:rsidR="00834D31" w14:paraId="452F3C39" w14:textId="77777777" w:rsidTr="001D4FCA">
        <w:trPr>
          <w:trHeight w:val="269"/>
        </w:trPr>
        <w:tc>
          <w:tcPr>
            <w:tcW w:w="3085" w:type="dxa"/>
            <w:tcBorders>
              <w:top w:val="single" w:sz="4" w:space="0" w:color="000000"/>
              <w:left w:val="single" w:sz="4" w:space="0" w:color="000000"/>
              <w:bottom w:val="single" w:sz="4" w:space="0" w:color="000000"/>
              <w:right w:val="single" w:sz="4" w:space="0" w:color="000000"/>
            </w:tcBorders>
          </w:tcPr>
          <w:p w14:paraId="7DA8F8F4" w14:textId="77777777" w:rsidR="00834D31" w:rsidRDefault="00834D31" w:rsidP="001D4FCA">
            <w:pPr>
              <w:spacing w:after="0" w:line="259" w:lineRule="auto"/>
              <w:ind w:left="0" w:firstLine="0"/>
            </w:pPr>
            <w:r>
              <w:t xml:space="preserve">Ļoti reti </w:t>
            </w:r>
          </w:p>
        </w:tc>
        <w:tc>
          <w:tcPr>
            <w:tcW w:w="6239" w:type="dxa"/>
            <w:tcBorders>
              <w:top w:val="single" w:sz="4" w:space="0" w:color="000000"/>
              <w:left w:val="single" w:sz="4" w:space="0" w:color="000000"/>
              <w:bottom w:val="single" w:sz="4" w:space="0" w:color="000000"/>
              <w:right w:val="single" w:sz="4" w:space="0" w:color="000000"/>
            </w:tcBorders>
          </w:tcPr>
          <w:p w14:paraId="566393F0" w14:textId="77777777" w:rsidR="00834D31" w:rsidRDefault="00834D31" w:rsidP="001D4FCA">
            <w:pPr>
              <w:spacing w:after="0" w:line="259" w:lineRule="auto"/>
              <w:ind w:left="0" w:firstLine="0"/>
            </w:pPr>
            <w:r>
              <w:t xml:space="preserve">&lt;1/10 000 </w:t>
            </w:r>
          </w:p>
        </w:tc>
      </w:tr>
      <w:tr w:rsidR="00834D31" w14:paraId="4E555717" w14:textId="77777777" w:rsidTr="001D4FCA">
        <w:trPr>
          <w:trHeight w:val="269"/>
        </w:trPr>
        <w:tc>
          <w:tcPr>
            <w:tcW w:w="3085" w:type="dxa"/>
            <w:tcBorders>
              <w:top w:val="single" w:sz="4" w:space="0" w:color="000000"/>
              <w:left w:val="single" w:sz="4" w:space="0" w:color="000000"/>
              <w:bottom w:val="single" w:sz="4" w:space="0" w:color="000000"/>
              <w:right w:val="single" w:sz="4" w:space="0" w:color="000000"/>
            </w:tcBorders>
          </w:tcPr>
          <w:p w14:paraId="40262EF9" w14:textId="77777777" w:rsidR="00834D31" w:rsidRDefault="00834D31" w:rsidP="001D4FCA">
            <w:pPr>
              <w:spacing w:after="0" w:line="259" w:lineRule="auto"/>
              <w:ind w:left="0" w:firstLine="0"/>
            </w:pPr>
            <w:r>
              <w:t xml:space="preserve">Nav zināmi </w:t>
            </w:r>
          </w:p>
        </w:tc>
        <w:tc>
          <w:tcPr>
            <w:tcW w:w="6239" w:type="dxa"/>
            <w:tcBorders>
              <w:top w:val="single" w:sz="4" w:space="0" w:color="000000"/>
              <w:left w:val="single" w:sz="4" w:space="0" w:color="000000"/>
              <w:bottom w:val="single" w:sz="4" w:space="0" w:color="000000"/>
              <w:right w:val="single" w:sz="4" w:space="0" w:color="000000"/>
            </w:tcBorders>
          </w:tcPr>
          <w:p w14:paraId="13E4DF40" w14:textId="77777777" w:rsidR="00834D31" w:rsidRDefault="00834D31" w:rsidP="001D4FCA">
            <w:pPr>
              <w:spacing w:after="0" w:line="259" w:lineRule="auto"/>
              <w:ind w:left="0" w:firstLine="0"/>
            </w:pPr>
            <w:r>
              <w:t xml:space="preserve">biežumu nevar noteikt pēc pieejamiem datiem </w:t>
            </w:r>
          </w:p>
        </w:tc>
      </w:tr>
    </w:tbl>
    <w:p w14:paraId="3AFAFA14" w14:textId="77777777" w:rsidR="00834D31" w:rsidRDefault="00834D31" w:rsidP="00834D31">
      <w:pPr>
        <w:spacing w:after="0" w:line="259" w:lineRule="auto"/>
        <w:ind w:left="0" w:firstLine="0"/>
      </w:pPr>
      <w:r>
        <w:t xml:space="preserve"> </w:t>
      </w:r>
    </w:p>
    <w:p w14:paraId="49589A3F" w14:textId="77777777" w:rsidR="00834D31" w:rsidRDefault="00834D31" w:rsidP="00834D31">
      <w:pPr>
        <w:pStyle w:val="Heading3"/>
        <w:ind w:left="-5"/>
      </w:pPr>
      <w:r>
        <w:t>1. tabula</w:t>
      </w:r>
    </w:p>
    <w:tbl>
      <w:tblPr>
        <w:tblStyle w:val="TableGrid"/>
        <w:tblW w:w="9324" w:type="dxa"/>
        <w:tblInd w:w="-108" w:type="dxa"/>
        <w:tblCellMar>
          <w:top w:w="14" w:type="dxa"/>
          <w:left w:w="108" w:type="dxa"/>
          <w:right w:w="82" w:type="dxa"/>
        </w:tblCellMar>
        <w:tblLook w:val="04A0" w:firstRow="1" w:lastRow="0" w:firstColumn="1" w:lastColumn="0" w:noHBand="0" w:noVBand="1"/>
      </w:tblPr>
      <w:tblGrid>
        <w:gridCol w:w="2944"/>
        <w:gridCol w:w="1985"/>
        <w:gridCol w:w="4395"/>
      </w:tblGrid>
      <w:tr w:rsidR="00834D31" w14:paraId="541292B7" w14:textId="77777777" w:rsidTr="004A2DA9">
        <w:trPr>
          <w:trHeight w:val="269"/>
        </w:trPr>
        <w:tc>
          <w:tcPr>
            <w:tcW w:w="2944" w:type="dxa"/>
            <w:tcBorders>
              <w:top w:val="single" w:sz="4" w:space="0" w:color="000000"/>
              <w:left w:val="single" w:sz="4" w:space="0" w:color="000000"/>
              <w:bottom w:val="single" w:sz="4" w:space="0" w:color="000000"/>
              <w:right w:val="single" w:sz="4" w:space="0" w:color="000000"/>
            </w:tcBorders>
          </w:tcPr>
          <w:p w14:paraId="67223994" w14:textId="15A31A1F" w:rsidR="00834D31" w:rsidRDefault="00834D31" w:rsidP="008C6C75">
            <w:pPr>
              <w:spacing w:after="0" w:line="259" w:lineRule="auto"/>
              <w:ind w:left="0" w:firstLine="0"/>
            </w:pPr>
            <w:r>
              <w:rPr>
                <w:b/>
              </w:rPr>
              <w:t xml:space="preserve">Orgānu sistēmu </w:t>
            </w:r>
            <w:r w:rsidR="008C6C75" w:rsidRPr="0022127A">
              <w:rPr>
                <w:b/>
                <w:spacing w:val="-1"/>
              </w:rPr>
              <w:t>klasifikācija</w:t>
            </w:r>
            <w:r w:rsidR="008C6C75">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707C2AD" w14:textId="77777777" w:rsidR="00834D31" w:rsidRDefault="00834D31" w:rsidP="001D4FCA">
            <w:pPr>
              <w:spacing w:after="0" w:line="259" w:lineRule="auto"/>
              <w:ind w:left="0" w:firstLine="0"/>
            </w:pPr>
            <w:r>
              <w:rPr>
                <w:b/>
              </w:rPr>
              <w:t xml:space="preserve">Biežums </w:t>
            </w:r>
          </w:p>
        </w:tc>
        <w:tc>
          <w:tcPr>
            <w:tcW w:w="4395" w:type="dxa"/>
            <w:tcBorders>
              <w:top w:val="single" w:sz="4" w:space="0" w:color="000000"/>
              <w:left w:val="single" w:sz="4" w:space="0" w:color="000000"/>
              <w:bottom w:val="single" w:sz="4" w:space="0" w:color="000000"/>
              <w:right w:val="single" w:sz="4" w:space="0" w:color="000000"/>
            </w:tcBorders>
          </w:tcPr>
          <w:p w14:paraId="6FC42D81" w14:textId="77777777" w:rsidR="00834D31" w:rsidRDefault="00834D31" w:rsidP="001D4FCA">
            <w:pPr>
              <w:spacing w:after="0" w:line="259" w:lineRule="auto"/>
              <w:ind w:left="0" w:firstLine="0"/>
            </w:pPr>
            <w:r>
              <w:rPr>
                <w:b/>
              </w:rPr>
              <w:t xml:space="preserve">Nevēlamā blakusparādība </w:t>
            </w:r>
          </w:p>
        </w:tc>
      </w:tr>
      <w:tr w:rsidR="00834D31" w14:paraId="3D82D04D" w14:textId="77777777" w:rsidTr="004A2DA9">
        <w:trPr>
          <w:trHeight w:val="787"/>
        </w:trPr>
        <w:tc>
          <w:tcPr>
            <w:tcW w:w="2944" w:type="dxa"/>
            <w:tcBorders>
              <w:top w:val="single" w:sz="4" w:space="0" w:color="000000"/>
              <w:left w:val="single" w:sz="4" w:space="0" w:color="000000"/>
              <w:bottom w:val="single" w:sz="4" w:space="0" w:color="000000"/>
              <w:right w:val="single" w:sz="4" w:space="0" w:color="000000"/>
            </w:tcBorders>
          </w:tcPr>
          <w:p w14:paraId="67936333" w14:textId="77777777" w:rsidR="00834D31" w:rsidRDefault="00834D31" w:rsidP="001D4FCA">
            <w:pPr>
              <w:spacing w:after="0" w:line="259" w:lineRule="auto"/>
              <w:ind w:left="0" w:firstLine="0"/>
            </w:pPr>
            <w:r>
              <w:rPr>
                <w:i/>
              </w:rPr>
              <w:t>Imūnās sistēmas traucējumi</w:t>
            </w:r>
            <w:r>
              <w:rPr>
                <w:b/>
                <w: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C518AE0" w14:textId="77777777" w:rsidR="00834D31" w:rsidRDefault="00834D31" w:rsidP="001D4FCA">
            <w:pPr>
              <w:spacing w:after="0" w:line="259" w:lineRule="auto"/>
              <w:ind w:left="0" w:firstLine="0"/>
            </w:pPr>
            <w:r>
              <w:t>nav zināmi</w:t>
            </w:r>
            <w:r>
              <w:rPr>
                <w:b/>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7F4963B3" w14:textId="77777777" w:rsidR="00834D31" w:rsidRDefault="00834D31" w:rsidP="001D4FCA">
            <w:pPr>
              <w:spacing w:after="0" w:line="259" w:lineRule="auto"/>
              <w:ind w:left="0" w:firstLine="0"/>
            </w:pPr>
            <w:r>
              <w:t xml:space="preserve">paaugstinātas jutības reakcijas, tostarp alerģiskā dermatīta pazīmes vai simptomi, angioedēma, acu alerģija </w:t>
            </w:r>
          </w:p>
        </w:tc>
      </w:tr>
      <w:tr w:rsidR="00834D31" w14:paraId="7D3D4AC0" w14:textId="77777777" w:rsidTr="004A2DA9">
        <w:trPr>
          <w:trHeight w:val="269"/>
        </w:trPr>
        <w:tc>
          <w:tcPr>
            <w:tcW w:w="2944" w:type="dxa"/>
            <w:tcBorders>
              <w:top w:val="single" w:sz="4" w:space="0" w:color="000000"/>
              <w:left w:val="single" w:sz="4" w:space="0" w:color="000000"/>
              <w:bottom w:val="single" w:sz="4" w:space="0" w:color="000000"/>
              <w:right w:val="single" w:sz="4" w:space="0" w:color="000000"/>
            </w:tcBorders>
          </w:tcPr>
          <w:p w14:paraId="5E7DE0A1" w14:textId="77777777" w:rsidR="00834D31" w:rsidRDefault="00834D31" w:rsidP="001D4FCA">
            <w:pPr>
              <w:spacing w:after="0" w:line="259" w:lineRule="auto"/>
              <w:ind w:left="0" w:firstLine="0"/>
            </w:pPr>
            <w:r>
              <w:rPr>
                <w:i/>
              </w:rPr>
              <w:t xml:space="preserve">Psihiskie traucējumi </w:t>
            </w:r>
          </w:p>
        </w:tc>
        <w:tc>
          <w:tcPr>
            <w:tcW w:w="1985" w:type="dxa"/>
            <w:tcBorders>
              <w:top w:val="single" w:sz="4" w:space="0" w:color="000000"/>
              <w:left w:val="single" w:sz="4" w:space="0" w:color="000000"/>
              <w:bottom w:val="single" w:sz="4" w:space="0" w:color="000000"/>
              <w:right w:val="single" w:sz="4" w:space="0" w:color="000000"/>
            </w:tcBorders>
          </w:tcPr>
          <w:p w14:paraId="1E1F6558" w14:textId="77777777" w:rsidR="00834D31" w:rsidRDefault="00834D31" w:rsidP="001D4FCA">
            <w:pPr>
              <w:spacing w:after="0" w:line="259" w:lineRule="auto"/>
              <w:ind w:left="0" w:firstLine="0"/>
            </w:pPr>
            <w:r>
              <w:t>nav zināmi</w:t>
            </w:r>
            <w:r>
              <w:rPr>
                <w:b/>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357FA72D" w14:textId="46A72A9F" w:rsidR="00834D31" w:rsidRDefault="000D4B02" w:rsidP="001D4FCA">
            <w:pPr>
              <w:spacing w:after="0" w:line="259" w:lineRule="auto"/>
              <w:ind w:left="0" w:firstLine="0"/>
            </w:pPr>
            <w:r>
              <w:t>B</w:t>
            </w:r>
            <w:r w:rsidR="00834D31">
              <w:t>ezmiegs</w:t>
            </w:r>
            <w:r w:rsidRPr="00A27731">
              <w:rPr>
                <w:vertAlign w:val="superscript"/>
              </w:rPr>
              <w:t>2</w:t>
            </w:r>
            <w:r w:rsidR="00834D31">
              <w:t xml:space="preserve">, nakts murgi </w:t>
            </w:r>
            <w:r w:rsidRPr="007C56FD">
              <w:rPr>
                <w:vertAlign w:val="superscript"/>
              </w:rPr>
              <w:t>2</w:t>
            </w:r>
          </w:p>
        </w:tc>
      </w:tr>
      <w:tr w:rsidR="00834D31" w14:paraId="0F1BDB33" w14:textId="77777777" w:rsidTr="004A2DA9">
        <w:trPr>
          <w:trHeight w:val="269"/>
        </w:trPr>
        <w:tc>
          <w:tcPr>
            <w:tcW w:w="2944" w:type="dxa"/>
            <w:vMerge w:val="restart"/>
            <w:tcBorders>
              <w:top w:val="single" w:sz="4" w:space="0" w:color="000000"/>
              <w:left w:val="single" w:sz="4" w:space="0" w:color="000000"/>
              <w:bottom w:val="single" w:sz="4" w:space="0" w:color="000000"/>
              <w:right w:val="single" w:sz="4" w:space="0" w:color="000000"/>
            </w:tcBorders>
          </w:tcPr>
          <w:p w14:paraId="3369AD0C" w14:textId="77777777" w:rsidR="00834D31" w:rsidRDefault="00834D31" w:rsidP="001D4FCA">
            <w:pPr>
              <w:spacing w:after="0" w:line="259" w:lineRule="auto"/>
              <w:ind w:left="0" w:firstLine="0"/>
            </w:pPr>
            <w:r>
              <w:rPr>
                <w:i/>
              </w:rPr>
              <w:t>Nervu sistēmas traucējumi</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8208497" w14:textId="77777777" w:rsidR="00834D31" w:rsidRDefault="00834D31" w:rsidP="001D4FCA">
            <w:pPr>
              <w:spacing w:after="0" w:line="259" w:lineRule="auto"/>
              <w:ind w:left="0" w:firstLine="0"/>
            </w:pPr>
            <w:r>
              <w:t xml:space="preserve">bieži </w:t>
            </w:r>
          </w:p>
        </w:tc>
        <w:tc>
          <w:tcPr>
            <w:tcW w:w="4395" w:type="dxa"/>
            <w:tcBorders>
              <w:top w:val="single" w:sz="4" w:space="0" w:color="000000"/>
              <w:left w:val="single" w:sz="4" w:space="0" w:color="000000"/>
              <w:bottom w:val="single" w:sz="4" w:space="0" w:color="000000"/>
              <w:right w:val="single" w:sz="4" w:space="0" w:color="000000"/>
            </w:tcBorders>
          </w:tcPr>
          <w:p w14:paraId="128B8FE4" w14:textId="54E4D5C3" w:rsidR="00834D31" w:rsidRDefault="00834D31" w:rsidP="001D4FCA">
            <w:pPr>
              <w:spacing w:after="0" w:line="259" w:lineRule="auto"/>
              <w:ind w:left="0" w:firstLine="0"/>
            </w:pPr>
            <w:r>
              <w:t>galvassāpes</w:t>
            </w:r>
          </w:p>
        </w:tc>
      </w:tr>
      <w:tr w:rsidR="00834D31" w14:paraId="32EF9E16" w14:textId="77777777" w:rsidTr="008C6C75">
        <w:trPr>
          <w:trHeight w:val="269"/>
        </w:trPr>
        <w:tc>
          <w:tcPr>
            <w:tcW w:w="0" w:type="auto"/>
            <w:vMerge/>
            <w:tcBorders>
              <w:top w:val="nil"/>
              <w:left w:val="single" w:sz="4" w:space="0" w:color="000000"/>
              <w:bottom w:val="single" w:sz="4" w:space="0" w:color="000000"/>
              <w:right w:val="single" w:sz="4" w:space="0" w:color="000000"/>
            </w:tcBorders>
          </w:tcPr>
          <w:p w14:paraId="3AB4DDF0" w14:textId="77777777" w:rsidR="00834D31" w:rsidRDefault="00834D31" w:rsidP="001D4FCA">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47B312AF" w14:textId="77777777" w:rsidR="00834D31" w:rsidRDefault="00834D31" w:rsidP="001D4FCA">
            <w:pPr>
              <w:spacing w:after="0" w:line="259" w:lineRule="auto"/>
              <w:ind w:left="0" w:firstLine="0"/>
            </w:pPr>
            <w:r>
              <w:t xml:space="preserve">nav zināmi </w:t>
            </w:r>
          </w:p>
        </w:tc>
        <w:tc>
          <w:tcPr>
            <w:tcW w:w="4395" w:type="dxa"/>
            <w:tcBorders>
              <w:top w:val="single" w:sz="4" w:space="0" w:color="000000"/>
              <w:left w:val="single" w:sz="4" w:space="0" w:color="000000"/>
              <w:bottom w:val="single" w:sz="4" w:space="0" w:color="000000"/>
              <w:right w:val="single" w:sz="4" w:space="0" w:color="000000"/>
            </w:tcBorders>
          </w:tcPr>
          <w:p w14:paraId="3BE09CE4" w14:textId="2365228E" w:rsidR="00834D31" w:rsidRPr="00483B29" w:rsidRDefault="00834D31" w:rsidP="001D4FCA">
            <w:pPr>
              <w:spacing w:after="0" w:line="259" w:lineRule="auto"/>
              <w:ind w:left="0" w:firstLine="0"/>
            </w:pPr>
            <w:r>
              <w:t>garšas sajūtas pārmaiņas</w:t>
            </w:r>
            <w:r w:rsidR="00225B6B" w:rsidRPr="007C56FD">
              <w:rPr>
                <w:vertAlign w:val="superscript"/>
              </w:rPr>
              <w:t>2</w:t>
            </w:r>
            <w:r w:rsidR="00483B29">
              <w:t>, reibonis</w:t>
            </w:r>
          </w:p>
        </w:tc>
      </w:tr>
      <w:tr w:rsidR="00834D31" w14:paraId="2D27B3CB" w14:textId="77777777" w:rsidTr="004A2DA9">
        <w:trPr>
          <w:trHeight w:val="269"/>
        </w:trPr>
        <w:tc>
          <w:tcPr>
            <w:tcW w:w="2944" w:type="dxa"/>
            <w:vMerge w:val="restart"/>
            <w:tcBorders>
              <w:top w:val="single" w:sz="4" w:space="0" w:color="000000"/>
              <w:left w:val="single" w:sz="4" w:space="0" w:color="000000"/>
              <w:bottom w:val="single" w:sz="4" w:space="0" w:color="000000"/>
              <w:right w:val="single" w:sz="4" w:space="0" w:color="000000"/>
            </w:tcBorders>
          </w:tcPr>
          <w:p w14:paraId="2D9081DE" w14:textId="77777777" w:rsidR="00834D31" w:rsidRDefault="00834D31" w:rsidP="001D4FCA">
            <w:pPr>
              <w:spacing w:after="0" w:line="259" w:lineRule="auto"/>
              <w:ind w:left="0" w:firstLine="0"/>
            </w:pPr>
            <w:r>
              <w:rPr>
                <w:i/>
              </w:rPr>
              <w:t>Acu bojājumi</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BD2ED41" w14:textId="77777777" w:rsidR="00834D31" w:rsidRDefault="00834D31" w:rsidP="001D4FCA">
            <w:pPr>
              <w:spacing w:after="0" w:line="259" w:lineRule="auto"/>
              <w:ind w:left="0" w:firstLine="0"/>
            </w:pPr>
            <w:r>
              <w:t xml:space="preserve">ļoti bieži </w:t>
            </w:r>
          </w:p>
        </w:tc>
        <w:tc>
          <w:tcPr>
            <w:tcW w:w="4395" w:type="dxa"/>
            <w:tcBorders>
              <w:top w:val="single" w:sz="4" w:space="0" w:color="000000"/>
              <w:left w:val="single" w:sz="4" w:space="0" w:color="000000"/>
              <w:bottom w:val="single" w:sz="4" w:space="0" w:color="000000"/>
              <w:right w:val="single" w:sz="4" w:space="0" w:color="000000"/>
            </w:tcBorders>
          </w:tcPr>
          <w:p w14:paraId="05E494A8" w14:textId="0D61BE56" w:rsidR="00767488" w:rsidRDefault="00834D31" w:rsidP="001D4FCA">
            <w:pPr>
              <w:spacing w:after="0" w:line="259" w:lineRule="auto"/>
              <w:ind w:left="0" w:firstLine="0"/>
            </w:pPr>
            <w:r>
              <w:t>konjunktīvas hiperēmija</w:t>
            </w:r>
            <w:r w:rsidR="00767488">
              <w:t>, p</w:t>
            </w:r>
            <w:r w:rsidR="00767488" w:rsidRPr="00767488">
              <w:t>rostaglandīna analoga periorbitopātija</w:t>
            </w:r>
          </w:p>
        </w:tc>
      </w:tr>
      <w:tr w:rsidR="00834D31" w14:paraId="3A4D8A1B" w14:textId="77777777" w:rsidTr="008C6C75">
        <w:trPr>
          <w:trHeight w:val="2342"/>
        </w:trPr>
        <w:tc>
          <w:tcPr>
            <w:tcW w:w="0" w:type="auto"/>
            <w:vMerge/>
            <w:tcBorders>
              <w:top w:val="nil"/>
              <w:left w:val="single" w:sz="4" w:space="0" w:color="000000"/>
              <w:bottom w:val="nil"/>
              <w:right w:val="single" w:sz="4" w:space="0" w:color="000000"/>
            </w:tcBorders>
          </w:tcPr>
          <w:p w14:paraId="67294684" w14:textId="77777777" w:rsidR="00834D31" w:rsidRDefault="00834D31" w:rsidP="001D4FCA">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358312A4" w14:textId="77777777" w:rsidR="00834D31" w:rsidRDefault="00834D31" w:rsidP="001D4FCA">
            <w:pPr>
              <w:spacing w:after="0" w:line="259" w:lineRule="auto"/>
              <w:ind w:left="0" w:firstLine="0"/>
            </w:pPr>
            <w:r>
              <w:t xml:space="preserve">bieži </w:t>
            </w:r>
          </w:p>
        </w:tc>
        <w:tc>
          <w:tcPr>
            <w:tcW w:w="4395" w:type="dxa"/>
            <w:tcBorders>
              <w:top w:val="single" w:sz="4" w:space="0" w:color="000000"/>
              <w:left w:val="single" w:sz="4" w:space="0" w:color="000000"/>
              <w:bottom w:val="single" w:sz="4" w:space="0" w:color="000000"/>
              <w:right w:val="single" w:sz="4" w:space="0" w:color="000000"/>
            </w:tcBorders>
          </w:tcPr>
          <w:p w14:paraId="006EEB82" w14:textId="69E97F11" w:rsidR="00834D31" w:rsidRDefault="00834D31" w:rsidP="001D4FCA">
            <w:pPr>
              <w:spacing w:after="0" w:line="259" w:lineRule="auto"/>
              <w:ind w:left="0" w:firstLine="0"/>
            </w:pPr>
            <w:r>
              <w:t>punktveida keratīts, radzenes erozija</w:t>
            </w:r>
            <w:r w:rsidR="000D4B02" w:rsidRPr="007C56FD">
              <w:rPr>
                <w:vertAlign w:val="superscript"/>
              </w:rPr>
              <w:t>2</w:t>
            </w:r>
            <w:r>
              <w:t>, dedzināšanas sajūta</w:t>
            </w:r>
            <w:r w:rsidR="000D4B02" w:rsidRPr="007C56FD">
              <w:rPr>
                <w:vertAlign w:val="superscript"/>
              </w:rPr>
              <w:t>2</w:t>
            </w:r>
            <w:r>
              <w:t>, konjunktīvas kairinājums</w:t>
            </w:r>
            <w:r w:rsidR="00DA1627">
              <w:rPr>
                <w:vertAlign w:val="superscript"/>
              </w:rPr>
              <w:t>1</w:t>
            </w:r>
            <w:r>
              <w:t>, acs nieze, dzeloša sajūta acī</w:t>
            </w:r>
            <w:r w:rsidR="000D4B02" w:rsidRPr="007C56FD">
              <w:rPr>
                <w:vertAlign w:val="superscript"/>
              </w:rPr>
              <w:t>2</w:t>
            </w:r>
            <w:r>
              <w:t>, svešķermeņa sajūta acī, sausās acs sindroms, plakstiņu eritēma, sāpes acī, fotofobija, izdalījumi no acs, redzes traucējumi</w:t>
            </w:r>
            <w:r w:rsidR="00E673F1" w:rsidRPr="007C56FD">
              <w:rPr>
                <w:vertAlign w:val="superscript"/>
              </w:rPr>
              <w:t>2</w:t>
            </w:r>
            <w:r>
              <w:t>, plakstiņu nieze, redzes asuma pavājināšanās</w:t>
            </w:r>
            <w:r w:rsidR="00E673F1" w:rsidRPr="007C56FD">
              <w:rPr>
                <w:vertAlign w:val="superscript"/>
              </w:rPr>
              <w:t>2</w:t>
            </w:r>
            <w:r>
              <w:t>, blefarīts</w:t>
            </w:r>
            <w:r w:rsidR="00E673F1" w:rsidRPr="007C56FD">
              <w:rPr>
                <w:vertAlign w:val="superscript"/>
              </w:rPr>
              <w:t>2</w:t>
            </w:r>
            <w:r>
              <w:t xml:space="preserve">, plakstiņu tūska, acs kairinājums, pārmērīga asarošana, skropstu augšana </w:t>
            </w:r>
          </w:p>
        </w:tc>
      </w:tr>
      <w:tr w:rsidR="00834D31" w14:paraId="0815524A" w14:textId="77777777" w:rsidTr="008C6C75">
        <w:trPr>
          <w:trHeight w:val="1565"/>
        </w:trPr>
        <w:tc>
          <w:tcPr>
            <w:tcW w:w="0" w:type="auto"/>
            <w:vMerge/>
            <w:tcBorders>
              <w:top w:val="nil"/>
              <w:left w:val="single" w:sz="4" w:space="0" w:color="000000"/>
              <w:bottom w:val="nil"/>
              <w:right w:val="single" w:sz="4" w:space="0" w:color="000000"/>
            </w:tcBorders>
          </w:tcPr>
          <w:p w14:paraId="4BB80A45" w14:textId="77777777" w:rsidR="00834D31" w:rsidRDefault="00834D31" w:rsidP="001D4FCA">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6E6EE3E9" w14:textId="77777777" w:rsidR="00834D31" w:rsidRDefault="00834D31" w:rsidP="001D4FCA">
            <w:pPr>
              <w:spacing w:after="0" w:line="259" w:lineRule="auto"/>
              <w:ind w:left="0" w:firstLine="0"/>
            </w:pPr>
            <w:r>
              <w:t xml:space="preserve">retāk </w:t>
            </w:r>
          </w:p>
        </w:tc>
        <w:tc>
          <w:tcPr>
            <w:tcW w:w="4395" w:type="dxa"/>
            <w:tcBorders>
              <w:top w:val="single" w:sz="4" w:space="0" w:color="000000"/>
              <w:left w:val="single" w:sz="4" w:space="0" w:color="000000"/>
              <w:bottom w:val="single" w:sz="4" w:space="0" w:color="000000"/>
              <w:right w:val="single" w:sz="4" w:space="0" w:color="000000"/>
            </w:tcBorders>
          </w:tcPr>
          <w:p w14:paraId="2F2A6299" w14:textId="79CF91C6" w:rsidR="00834D31" w:rsidRDefault="00834D31" w:rsidP="001D4FCA">
            <w:pPr>
              <w:spacing w:after="0" w:line="259" w:lineRule="auto"/>
              <w:ind w:left="0" w:firstLine="0"/>
            </w:pPr>
            <w:r>
              <w:t>varavīksnenes iekaisums</w:t>
            </w:r>
            <w:r w:rsidR="000D4B02" w:rsidRPr="007C56FD">
              <w:rPr>
                <w:vertAlign w:val="superscript"/>
              </w:rPr>
              <w:t>2</w:t>
            </w:r>
            <w:r>
              <w:t>, konjunktīvas tūska</w:t>
            </w:r>
            <w:r w:rsidR="000D4B02" w:rsidRPr="007C56FD">
              <w:rPr>
                <w:vertAlign w:val="superscript"/>
              </w:rPr>
              <w:t>2</w:t>
            </w:r>
            <w:r>
              <w:t>, plakstiņu sāpes</w:t>
            </w:r>
            <w:r w:rsidR="000D4B02" w:rsidRPr="007C56FD">
              <w:rPr>
                <w:vertAlign w:val="superscript"/>
              </w:rPr>
              <w:t>2</w:t>
            </w:r>
            <w:r>
              <w:t>, netipiska sajūta acī</w:t>
            </w:r>
            <w:r w:rsidR="00483B29">
              <w:rPr>
                <w:vertAlign w:val="superscript"/>
              </w:rPr>
              <w:t>1</w:t>
            </w:r>
            <w:r>
              <w:t>, redzes vājums, trihiāze</w:t>
            </w:r>
            <w:r w:rsidR="000D4B02" w:rsidRPr="007C56FD">
              <w:rPr>
                <w:vertAlign w:val="superscript"/>
              </w:rPr>
              <w:t>2</w:t>
            </w:r>
            <w:r>
              <w:t>, varavīksnenes hiperpigmentācija</w:t>
            </w:r>
            <w:r w:rsidR="000D4B02" w:rsidRPr="007C56FD">
              <w:rPr>
                <w:vertAlign w:val="superscript"/>
              </w:rPr>
              <w:t>2</w:t>
            </w:r>
            <w:r>
              <w:t>, acu plakstiņu retrakcija</w:t>
            </w:r>
            <w:r w:rsidR="000D4B02" w:rsidRPr="007C56FD">
              <w:rPr>
                <w:vertAlign w:val="superscript"/>
              </w:rPr>
              <w:t>2</w:t>
            </w:r>
            <w:r>
              <w:t>, skropstu krāsas izmaiņas (kļūst tumšākas)</w:t>
            </w:r>
            <w:r w:rsidR="000D4B02" w:rsidRPr="007C56FD">
              <w:rPr>
                <w:vertAlign w:val="superscript"/>
              </w:rPr>
              <w:t xml:space="preserve"> </w:t>
            </w:r>
            <w:r w:rsidR="000D4B02">
              <w:rPr>
                <w:vertAlign w:val="superscript"/>
              </w:rPr>
              <w:t>1</w:t>
            </w:r>
            <w:r>
              <w:rPr>
                <w:vertAlign w:val="superscript"/>
              </w:rPr>
              <w:t xml:space="preserve"> </w:t>
            </w:r>
          </w:p>
        </w:tc>
      </w:tr>
      <w:tr w:rsidR="00834D31" w14:paraId="1C915B56" w14:textId="77777777" w:rsidTr="008C6C75">
        <w:trPr>
          <w:trHeight w:val="528"/>
        </w:trPr>
        <w:tc>
          <w:tcPr>
            <w:tcW w:w="0" w:type="auto"/>
            <w:vMerge/>
            <w:tcBorders>
              <w:top w:val="nil"/>
              <w:left w:val="single" w:sz="4" w:space="0" w:color="000000"/>
              <w:bottom w:val="single" w:sz="4" w:space="0" w:color="000000"/>
              <w:right w:val="single" w:sz="4" w:space="0" w:color="000000"/>
            </w:tcBorders>
          </w:tcPr>
          <w:p w14:paraId="35029808" w14:textId="77777777" w:rsidR="00834D31" w:rsidRDefault="00834D31" w:rsidP="001D4FCA">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3F8F38C2" w14:textId="77777777" w:rsidR="00834D31" w:rsidRDefault="00834D31" w:rsidP="001D4FCA">
            <w:pPr>
              <w:spacing w:after="0" w:line="259" w:lineRule="auto"/>
              <w:ind w:left="0" w:firstLine="0"/>
            </w:pPr>
            <w:r>
              <w:t xml:space="preserve">nav zināmi  </w:t>
            </w:r>
          </w:p>
        </w:tc>
        <w:tc>
          <w:tcPr>
            <w:tcW w:w="4395" w:type="dxa"/>
            <w:tcBorders>
              <w:top w:val="single" w:sz="4" w:space="0" w:color="000000"/>
              <w:left w:val="single" w:sz="4" w:space="0" w:color="000000"/>
              <w:bottom w:val="single" w:sz="4" w:space="0" w:color="000000"/>
              <w:right w:val="single" w:sz="4" w:space="0" w:color="000000"/>
            </w:tcBorders>
          </w:tcPr>
          <w:p w14:paraId="748139BF" w14:textId="69D196DC" w:rsidR="00834D31" w:rsidRPr="00392C52" w:rsidRDefault="00834D31" w:rsidP="001D4FCA">
            <w:pPr>
              <w:spacing w:after="0" w:line="259" w:lineRule="auto"/>
              <w:ind w:left="0" w:firstLine="0"/>
            </w:pPr>
            <w:r>
              <w:t>cistiska makulas tūska</w:t>
            </w:r>
            <w:r w:rsidR="000D4B02" w:rsidRPr="007C56FD">
              <w:rPr>
                <w:vertAlign w:val="superscript"/>
              </w:rPr>
              <w:t>2</w:t>
            </w:r>
            <w:r>
              <w:t>, acs pietūkums, redzes miglošanās</w:t>
            </w:r>
            <w:r w:rsidR="000D4B02" w:rsidRPr="007C56FD">
              <w:rPr>
                <w:vertAlign w:val="superscript"/>
              </w:rPr>
              <w:t>2</w:t>
            </w:r>
            <w:r w:rsidR="00392C52">
              <w:t xml:space="preserve">, </w:t>
            </w:r>
            <w:r w:rsidR="005F5EC2" w:rsidRPr="005F5EC2">
              <w:t>diskomforta sajūta acī</w:t>
            </w:r>
          </w:p>
        </w:tc>
      </w:tr>
      <w:tr w:rsidR="00834D31" w14:paraId="4A3B2663" w14:textId="77777777" w:rsidTr="004A2DA9">
        <w:trPr>
          <w:trHeight w:val="269"/>
        </w:trPr>
        <w:tc>
          <w:tcPr>
            <w:tcW w:w="2944" w:type="dxa"/>
            <w:tcBorders>
              <w:top w:val="single" w:sz="4" w:space="0" w:color="000000"/>
              <w:left w:val="single" w:sz="4" w:space="0" w:color="000000"/>
              <w:bottom w:val="single" w:sz="4" w:space="0" w:color="000000"/>
              <w:right w:val="single" w:sz="4" w:space="0" w:color="000000"/>
            </w:tcBorders>
          </w:tcPr>
          <w:p w14:paraId="0F69AAF7" w14:textId="77777777" w:rsidR="00834D31" w:rsidRDefault="00834D31" w:rsidP="001D4FCA">
            <w:pPr>
              <w:spacing w:after="0" w:line="259" w:lineRule="auto"/>
              <w:ind w:left="0" w:firstLine="0"/>
            </w:pPr>
            <w:r>
              <w:rPr>
                <w:i/>
              </w:rPr>
              <w:t xml:space="preserve">Sirds funkcijas traucējumi </w:t>
            </w:r>
          </w:p>
        </w:tc>
        <w:tc>
          <w:tcPr>
            <w:tcW w:w="1985" w:type="dxa"/>
            <w:tcBorders>
              <w:top w:val="single" w:sz="4" w:space="0" w:color="000000"/>
              <w:left w:val="single" w:sz="4" w:space="0" w:color="000000"/>
              <w:bottom w:val="single" w:sz="4" w:space="0" w:color="000000"/>
              <w:right w:val="single" w:sz="4" w:space="0" w:color="000000"/>
            </w:tcBorders>
          </w:tcPr>
          <w:p w14:paraId="63D08C76" w14:textId="77777777" w:rsidR="00834D31" w:rsidRDefault="00834D31" w:rsidP="001D4FCA">
            <w:pPr>
              <w:spacing w:after="0" w:line="259" w:lineRule="auto"/>
              <w:ind w:left="0" w:firstLine="0"/>
            </w:pPr>
            <w:r>
              <w:t xml:space="preserve">nav zināmi </w:t>
            </w:r>
          </w:p>
        </w:tc>
        <w:tc>
          <w:tcPr>
            <w:tcW w:w="4395" w:type="dxa"/>
            <w:tcBorders>
              <w:top w:val="single" w:sz="4" w:space="0" w:color="000000"/>
              <w:left w:val="single" w:sz="4" w:space="0" w:color="000000"/>
              <w:bottom w:val="single" w:sz="4" w:space="0" w:color="000000"/>
              <w:right w:val="single" w:sz="4" w:space="0" w:color="000000"/>
            </w:tcBorders>
          </w:tcPr>
          <w:p w14:paraId="52A976B0" w14:textId="77777777" w:rsidR="00834D31" w:rsidRDefault="00834D31" w:rsidP="001D4FCA">
            <w:pPr>
              <w:spacing w:after="0" w:line="259" w:lineRule="auto"/>
              <w:ind w:left="0" w:firstLine="0"/>
            </w:pPr>
            <w:r>
              <w:t xml:space="preserve">bradikardija </w:t>
            </w:r>
          </w:p>
        </w:tc>
      </w:tr>
      <w:tr w:rsidR="00483B29" w14:paraId="5EE6B9DF" w14:textId="77777777" w:rsidTr="004A2DA9">
        <w:trPr>
          <w:trHeight w:val="269"/>
        </w:trPr>
        <w:tc>
          <w:tcPr>
            <w:tcW w:w="2944" w:type="dxa"/>
            <w:tcBorders>
              <w:top w:val="single" w:sz="4" w:space="0" w:color="000000"/>
              <w:left w:val="single" w:sz="4" w:space="0" w:color="000000"/>
              <w:bottom w:val="single" w:sz="4" w:space="0" w:color="000000"/>
              <w:right w:val="single" w:sz="4" w:space="0" w:color="000000"/>
            </w:tcBorders>
          </w:tcPr>
          <w:p w14:paraId="614D60C1" w14:textId="4F686407" w:rsidR="00483B29" w:rsidRDefault="00483B29" w:rsidP="00483B29">
            <w:pPr>
              <w:spacing w:after="0" w:line="259" w:lineRule="auto"/>
              <w:ind w:left="0" w:firstLine="0"/>
              <w:rPr>
                <w:i/>
              </w:rPr>
            </w:pPr>
            <w:r w:rsidRPr="00483B29">
              <w:rPr>
                <w:i/>
              </w:rPr>
              <w:t>Asinsvadu sistēmas traucējumi</w:t>
            </w:r>
          </w:p>
        </w:tc>
        <w:tc>
          <w:tcPr>
            <w:tcW w:w="1985" w:type="dxa"/>
            <w:tcBorders>
              <w:top w:val="single" w:sz="4" w:space="0" w:color="000000"/>
              <w:left w:val="single" w:sz="4" w:space="0" w:color="000000"/>
              <w:bottom w:val="single" w:sz="4" w:space="0" w:color="000000"/>
              <w:right w:val="single" w:sz="4" w:space="0" w:color="000000"/>
            </w:tcBorders>
          </w:tcPr>
          <w:p w14:paraId="7085C113" w14:textId="64C3E60E" w:rsidR="00483B29" w:rsidRDefault="00483B29" w:rsidP="00483B29">
            <w:pPr>
              <w:spacing w:after="0" w:line="259" w:lineRule="auto"/>
              <w:ind w:left="0" w:firstLine="0"/>
            </w:pPr>
            <w:r>
              <w:t xml:space="preserve">nav zināmi </w:t>
            </w:r>
          </w:p>
        </w:tc>
        <w:tc>
          <w:tcPr>
            <w:tcW w:w="4395" w:type="dxa"/>
            <w:tcBorders>
              <w:top w:val="single" w:sz="4" w:space="0" w:color="000000"/>
              <w:left w:val="single" w:sz="4" w:space="0" w:color="000000"/>
              <w:bottom w:val="single" w:sz="4" w:space="0" w:color="000000"/>
              <w:right w:val="single" w:sz="4" w:space="0" w:color="000000"/>
            </w:tcBorders>
          </w:tcPr>
          <w:p w14:paraId="564CE47F" w14:textId="020AC00C" w:rsidR="00483B29" w:rsidRDefault="00483B29" w:rsidP="00483B29">
            <w:pPr>
              <w:spacing w:after="0" w:line="259" w:lineRule="auto"/>
              <w:ind w:left="0" w:firstLine="0"/>
            </w:pPr>
            <w:r w:rsidRPr="00483B29">
              <w:t>hipertensija</w:t>
            </w:r>
          </w:p>
        </w:tc>
      </w:tr>
      <w:tr w:rsidR="00483B29" w14:paraId="1207D61F" w14:textId="77777777" w:rsidTr="004A2DA9">
        <w:trPr>
          <w:trHeight w:val="269"/>
        </w:trPr>
        <w:tc>
          <w:tcPr>
            <w:tcW w:w="2944" w:type="dxa"/>
            <w:vMerge w:val="restart"/>
            <w:tcBorders>
              <w:top w:val="single" w:sz="4" w:space="0" w:color="000000"/>
              <w:left w:val="single" w:sz="4" w:space="0" w:color="000000"/>
              <w:bottom w:val="single" w:sz="4" w:space="0" w:color="000000"/>
              <w:right w:val="single" w:sz="4" w:space="0" w:color="000000"/>
            </w:tcBorders>
          </w:tcPr>
          <w:p w14:paraId="5A3C85BF" w14:textId="77777777" w:rsidR="00483B29" w:rsidRDefault="00483B29" w:rsidP="00483B29">
            <w:pPr>
              <w:spacing w:after="0" w:line="259" w:lineRule="auto"/>
              <w:ind w:left="0" w:firstLine="0"/>
            </w:pPr>
            <w:r>
              <w:rPr>
                <w:i/>
              </w:rPr>
              <w:t>Elpošanas sistēmas traucējumi, krūšu kurvja un videnes slimības</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EE3CBCC" w14:textId="77777777" w:rsidR="00483B29" w:rsidRDefault="00483B29" w:rsidP="00483B29">
            <w:pPr>
              <w:spacing w:after="0" w:line="259" w:lineRule="auto"/>
              <w:ind w:left="0" w:firstLine="0"/>
            </w:pPr>
            <w:r>
              <w:t xml:space="preserve">bieži </w:t>
            </w:r>
          </w:p>
        </w:tc>
        <w:tc>
          <w:tcPr>
            <w:tcW w:w="4395" w:type="dxa"/>
            <w:tcBorders>
              <w:top w:val="single" w:sz="4" w:space="0" w:color="000000"/>
              <w:left w:val="single" w:sz="4" w:space="0" w:color="000000"/>
              <w:bottom w:val="single" w:sz="4" w:space="0" w:color="000000"/>
              <w:right w:val="single" w:sz="4" w:space="0" w:color="000000"/>
            </w:tcBorders>
          </w:tcPr>
          <w:p w14:paraId="640E4206" w14:textId="4590A034" w:rsidR="00483B29" w:rsidRDefault="00483B29" w:rsidP="00483B29">
            <w:pPr>
              <w:spacing w:after="0" w:line="259" w:lineRule="auto"/>
              <w:ind w:left="0" w:firstLine="0"/>
            </w:pPr>
            <w:r>
              <w:t>rinīts</w:t>
            </w:r>
            <w:r w:rsidRPr="007C56FD">
              <w:rPr>
                <w:vertAlign w:val="superscript"/>
              </w:rPr>
              <w:t>2</w:t>
            </w:r>
          </w:p>
        </w:tc>
      </w:tr>
      <w:tr w:rsidR="00483B29" w14:paraId="6536AB27" w14:textId="77777777" w:rsidTr="008C6C75">
        <w:trPr>
          <w:trHeight w:val="269"/>
        </w:trPr>
        <w:tc>
          <w:tcPr>
            <w:tcW w:w="0" w:type="auto"/>
            <w:vMerge/>
            <w:tcBorders>
              <w:top w:val="nil"/>
              <w:left w:val="single" w:sz="4" w:space="0" w:color="000000"/>
              <w:bottom w:val="nil"/>
              <w:right w:val="single" w:sz="4" w:space="0" w:color="000000"/>
            </w:tcBorders>
          </w:tcPr>
          <w:p w14:paraId="51AE12FE" w14:textId="77777777" w:rsidR="00483B29" w:rsidRDefault="00483B29" w:rsidP="00483B29">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1E1B68CD" w14:textId="77777777" w:rsidR="00483B29" w:rsidRDefault="00483B29" w:rsidP="00483B29">
            <w:pPr>
              <w:spacing w:after="0" w:line="259" w:lineRule="auto"/>
              <w:ind w:left="0" w:firstLine="0"/>
            </w:pPr>
            <w:r>
              <w:t xml:space="preserve">retāk </w:t>
            </w:r>
          </w:p>
        </w:tc>
        <w:tc>
          <w:tcPr>
            <w:tcW w:w="4395" w:type="dxa"/>
            <w:tcBorders>
              <w:top w:val="single" w:sz="4" w:space="0" w:color="000000"/>
              <w:left w:val="single" w:sz="4" w:space="0" w:color="000000"/>
              <w:bottom w:val="single" w:sz="4" w:space="0" w:color="000000"/>
              <w:right w:val="single" w:sz="4" w:space="0" w:color="000000"/>
            </w:tcBorders>
          </w:tcPr>
          <w:p w14:paraId="1C9041BD" w14:textId="77777777" w:rsidR="00483B29" w:rsidRDefault="00483B29" w:rsidP="00483B29">
            <w:pPr>
              <w:spacing w:after="0" w:line="259" w:lineRule="auto"/>
              <w:ind w:left="0" w:firstLine="0"/>
            </w:pPr>
            <w:r>
              <w:t xml:space="preserve">aizdusa </w:t>
            </w:r>
          </w:p>
        </w:tc>
      </w:tr>
      <w:tr w:rsidR="00483B29" w14:paraId="40AC97C1" w14:textId="77777777" w:rsidTr="008C6C75">
        <w:trPr>
          <w:trHeight w:val="528"/>
        </w:trPr>
        <w:tc>
          <w:tcPr>
            <w:tcW w:w="0" w:type="auto"/>
            <w:vMerge/>
            <w:tcBorders>
              <w:top w:val="nil"/>
              <w:left w:val="single" w:sz="4" w:space="0" w:color="000000"/>
              <w:bottom w:val="single" w:sz="4" w:space="0" w:color="000000"/>
              <w:right w:val="single" w:sz="4" w:space="0" w:color="000000"/>
            </w:tcBorders>
          </w:tcPr>
          <w:p w14:paraId="7D50D98C" w14:textId="77777777" w:rsidR="00483B29" w:rsidRDefault="00483B29" w:rsidP="00483B29">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21B6BCA8" w14:textId="77777777" w:rsidR="00483B29" w:rsidRDefault="00483B29" w:rsidP="00483B29">
            <w:pPr>
              <w:spacing w:after="0" w:line="259" w:lineRule="auto"/>
              <w:ind w:left="0" w:firstLine="0"/>
            </w:pPr>
            <w:r>
              <w:t xml:space="preserve">nav zināmi </w:t>
            </w:r>
          </w:p>
        </w:tc>
        <w:tc>
          <w:tcPr>
            <w:tcW w:w="4395" w:type="dxa"/>
            <w:tcBorders>
              <w:top w:val="single" w:sz="4" w:space="0" w:color="000000"/>
              <w:left w:val="single" w:sz="4" w:space="0" w:color="000000"/>
              <w:bottom w:val="single" w:sz="4" w:space="0" w:color="000000"/>
              <w:right w:val="single" w:sz="4" w:space="0" w:color="000000"/>
            </w:tcBorders>
          </w:tcPr>
          <w:p w14:paraId="7A7048FA" w14:textId="747078D0" w:rsidR="00483B29" w:rsidRDefault="00483B29" w:rsidP="00483B29">
            <w:pPr>
              <w:spacing w:after="0" w:line="259" w:lineRule="auto"/>
              <w:ind w:left="0" w:firstLine="0"/>
            </w:pPr>
            <w:r>
              <w:t>bronhu spazmas (galvenokārt pacientiem ar iepriekšēju bronhospastisku slimību)</w:t>
            </w:r>
            <w:r w:rsidRPr="007C56FD">
              <w:rPr>
                <w:vertAlign w:val="superscript"/>
              </w:rPr>
              <w:t xml:space="preserve"> 2</w:t>
            </w:r>
            <w:r>
              <w:t xml:space="preserve">, astma </w:t>
            </w:r>
          </w:p>
        </w:tc>
      </w:tr>
      <w:tr w:rsidR="00483B29" w14:paraId="58A49235" w14:textId="77777777" w:rsidTr="004A2DA9">
        <w:trPr>
          <w:trHeight w:val="528"/>
        </w:trPr>
        <w:tc>
          <w:tcPr>
            <w:tcW w:w="2944" w:type="dxa"/>
            <w:vMerge w:val="restart"/>
            <w:tcBorders>
              <w:top w:val="single" w:sz="4" w:space="0" w:color="000000"/>
              <w:left w:val="single" w:sz="4" w:space="0" w:color="000000"/>
              <w:bottom w:val="single" w:sz="4" w:space="0" w:color="000000"/>
              <w:right w:val="single" w:sz="4" w:space="0" w:color="000000"/>
            </w:tcBorders>
          </w:tcPr>
          <w:p w14:paraId="3846A78C" w14:textId="77777777" w:rsidR="00483B29" w:rsidRDefault="00483B29" w:rsidP="00483B29">
            <w:pPr>
              <w:spacing w:after="0" w:line="259" w:lineRule="auto"/>
              <w:ind w:left="0" w:firstLine="0"/>
            </w:pPr>
            <w:r>
              <w:rPr>
                <w:i/>
              </w:rPr>
              <w:t>Ādas un zemādas audu bojājumi</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99676EF" w14:textId="77777777" w:rsidR="00483B29" w:rsidRDefault="00483B29" w:rsidP="00483B29">
            <w:pPr>
              <w:spacing w:after="0" w:line="259" w:lineRule="auto"/>
              <w:ind w:left="0" w:firstLine="0"/>
            </w:pPr>
            <w:r>
              <w:t xml:space="preserve">bieži </w:t>
            </w:r>
          </w:p>
        </w:tc>
        <w:tc>
          <w:tcPr>
            <w:tcW w:w="4395" w:type="dxa"/>
            <w:tcBorders>
              <w:top w:val="single" w:sz="4" w:space="0" w:color="000000"/>
              <w:left w:val="single" w:sz="4" w:space="0" w:color="000000"/>
              <w:bottom w:val="single" w:sz="4" w:space="0" w:color="000000"/>
              <w:right w:val="single" w:sz="4" w:space="0" w:color="000000"/>
            </w:tcBorders>
          </w:tcPr>
          <w:p w14:paraId="6C5D76D4" w14:textId="7F4B5FB8" w:rsidR="00483B29" w:rsidRDefault="00483B29" w:rsidP="00483B29">
            <w:pPr>
              <w:spacing w:after="0" w:line="259" w:lineRule="auto"/>
              <w:ind w:left="0" w:firstLine="0"/>
              <w:jc w:val="both"/>
            </w:pPr>
            <w:r>
              <w:t>acu plakstiņu pigmentācija</w:t>
            </w:r>
            <w:r w:rsidRPr="007C56FD">
              <w:rPr>
                <w:vertAlign w:val="superscript"/>
              </w:rPr>
              <w:t>2</w:t>
            </w:r>
            <w:r>
              <w:t>, hirsutisms</w:t>
            </w:r>
            <w:r w:rsidRPr="007C56FD">
              <w:rPr>
                <w:vertAlign w:val="superscript"/>
              </w:rPr>
              <w:t>2</w:t>
            </w:r>
            <w:r>
              <w:t xml:space="preserve">, ādas hiperpigmentācija (periokulāra) </w:t>
            </w:r>
          </w:p>
        </w:tc>
      </w:tr>
      <w:tr w:rsidR="00483B29" w14:paraId="1ECA1EA8" w14:textId="77777777" w:rsidTr="008C6C75">
        <w:trPr>
          <w:trHeight w:val="269"/>
        </w:trPr>
        <w:tc>
          <w:tcPr>
            <w:tcW w:w="0" w:type="auto"/>
            <w:vMerge/>
            <w:tcBorders>
              <w:top w:val="nil"/>
              <w:left w:val="single" w:sz="4" w:space="0" w:color="000000"/>
              <w:bottom w:val="single" w:sz="4" w:space="0" w:color="000000"/>
              <w:right w:val="single" w:sz="4" w:space="0" w:color="000000"/>
            </w:tcBorders>
          </w:tcPr>
          <w:p w14:paraId="3C89EA60" w14:textId="77777777" w:rsidR="00483B29" w:rsidRDefault="00483B29" w:rsidP="00483B29">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11F126AA" w14:textId="77777777" w:rsidR="00483B29" w:rsidRDefault="00483B29" w:rsidP="00483B29">
            <w:pPr>
              <w:spacing w:after="0" w:line="259" w:lineRule="auto"/>
              <w:ind w:left="0" w:firstLine="0"/>
            </w:pPr>
            <w:r>
              <w:t xml:space="preserve">nav zināmi </w:t>
            </w:r>
          </w:p>
        </w:tc>
        <w:tc>
          <w:tcPr>
            <w:tcW w:w="4395" w:type="dxa"/>
            <w:tcBorders>
              <w:top w:val="single" w:sz="4" w:space="0" w:color="000000"/>
              <w:left w:val="single" w:sz="4" w:space="0" w:color="000000"/>
              <w:bottom w:val="single" w:sz="4" w:space="0" w:color="000000"/>
              <w:right w:val="single" w:sz="4" w:space="0" w:color="000000"/>
            </w:tcBorders>
          </w:tcPr>
          <w:p w14:paraId="6B650DAA" w14:textId="0728B5E0" w:rsidR="00483B29" w:rsidRPr="00392C52" w:rsidRDefault="00483B29" w:rsidP="00483B29">
            <w:pPr>
              <w:spacing w:after="0" w:line="259" w:lineRule="auto"/>
              <w:ind w:left="0" w:firstLine="0"/>
            </w:pPr>
            <w:r>
              <w:t xml:space="preserve">alopēcija, </w:t>
            </w:r>
            <w:r w:rsidRPr="00392C52">
              <w:t>ādas krāsas maiņa (</w:t>
            </w:r>
            <w:r>
              <w:t>periokulāra)</w:t>
            </w:r>
          </w:p>
        </w:tc>
      </w:tr>
      <w:tr w:rsidR="00483B29" w:rsidRPr="002B4B97" w14:paraId="0364E68A" w14:textId="77777777" w:rsidTr="004A2DA9">
        <w:trPr>
          <w:trHeight w:val="528"/>
        </w:trPr>
        <w:tc>
          <w:tcPr>
            <w:tcW w:w="2944" w:type="dxa"/>
            <w:tcBorders>
              <w:top w:val="single" w:sz="4" w:space="0" w:color="000000"/>
              <w:left w:val="single" w:sz="4" w:space="0" w:color="000000"/>
              <w:bottom w:val="single" w:sz="4" w:space="0" w:color="000000"/>
              <w:right w:val="single" w:sz="4" w:space="0" w:color="000000"/>
            </w:tcBorders>
          </w:tcPr>
          <w:p w14:paraId="4B06DC16" w14:textId="77777777" w:rsidR="00483B29" w:rsidRPr="002B4B97" w:rsidRDefault="00483B29" w:rsidP="00483B29">
            <w:pPr>
              <w:spacing w:after="0" w:line="259" w:lineRule="auto"/>
              <w:ind w:left="0" w:firstLine="0"/>
            </w:pPr>
            <w:r w:rsidRPr="002B4B97">
              <w:rPr>
                <w:i/>
              </w:rPr>
              <w:t xml:space="preserve">Vispārēji traucējumi un reakcijas ievadīšanas vietā </w:t>
            </w:r>
          </w:p>
        </w:tc>
        <w:tc>
          <w:tcPr>
            <w:tcW w:w="1985" w:type="dxa"/>
            <w:tcBorders>
              <w:top w:val="single" w:sz="4" w:space="0" w:color="000000"/>
              <w:left w:val="single" w:sz="4" w:space="0" w:color="000000"/>
              <w:bottom w:val="single" w:sz="4" w:space="0" w:color="000000"/>
              <w:right w:val="single" w:sz="4" w:space="0" w:color="000000"/>
            </w:tcBorders>
          </w:tcPr>
          <w:p w14:paraId="613615A7" w14:textId="77777777" w:rsidR="00483B29" w:rsidRPr="002B4B97" w:rsidRDefault="00483B29" w:rsidP="00483B29">
            <w:pPr>
              <w:spacing w:after="0" w:line="259" w:lineRule="auto"/>
              <w:ind w:left="0" w:firstLine="0"/>
            </w:pPr>
            <w:r w:rsidRPr="002B4B97">
              <w:t xml:space="preserve">nav zināmi </w:t>
            </w:r>
          </w:p>
        </w:tc>
        <w:tc>
          <w:tcPr>
            <w:tcW w:w="4395" w:type="dxa"/>
            <w:tcBorders>
              <w:top w:val="single" w:sz="4" w:space="0" w:color="000000"/>
              <w:left w:val="single" w:sz="4" w:space="0" w:color="000000"/>
              <w:bottom w:val="single" w:sz="4" w:space="0" w:color="000000"/>
              <w:right w:val="single" w:sz="4" w:space="0" w:color="000000"/>
            </w:tcBorders>
          </w:tcPr>
          <w:p w14:paraId="72E98374" w14:textId="77777777" w:rsidR="00483B29" w:rsidRPr="002B4B97" w:rsidRDefault="00483B29" w:rsidP="00483B29">
            <w:pPr>
              <w:spacing w:after="0" w:line="259" w:lineRule="auto"/>
              <w:ind w:left="0" w:firstLine="0"/>
            </w:pPr>
            <w:r w:rsidRPr="002B4B97">
              <w:t xml:space="preserve">nogurums </w:t>
            </w:r>
          </w:p>
        </w:tc>
      </w:tr>
    </w:tbl>
    <w:p w14:paraId="69CBBB13" w14:textId="100783DD" w:rsidR="004A2DA9" w:rsidRPr="00A27731" w:rsidRDefault="004A2DA9" w:rsidP="004A2DA9">
      <w:pPr>
        <w:pStyle w:val="BodyText"/>
        <w:kinsoku w:val="0"/>
        <w:overflowPunct w:val="0"/>
        <w:rPr>
          <w:kern w:val="22"/>
          <w:lang w:val="lv-LV"/>
        </w:rPr>
      </w:pPr>
      <w:r w:rsidRPr="00A27731">
        <w:rPr>
          <w:kern w:val="22"/>
          <w:vertAlign w:val="superscript"/>
          <w:lang w:val="lv-LV"/>
        </w:rPr>
        <w:t>1</w:t>
      </w:r>
      <w:r w:rsidR="002D62E3" w:rsidRPr="002D62E3">
        <w:rPr>
          <w:kern w:val="22"/>
          <w:vertAlign w:val="superscript"/>
          <w:lang w:val="lv-LV"/>
        </w:rPr>
        <w:t xml:space="preserve"> </w:t>
      </w:r>
      <w:r w:rsidR="002D62E3" w:rsidRPr="002D62E3">
        <w:rPr>
          <w:kern w:val="22"/>
          <w:lang w:val="lv-LV"/>
        </w:rPr>
        <w:t xml:space="preserve">Tikai </w:t>
      </w:r>
      <w:r w:rsidR="002D62E3" w:rsidRPr="00E81BE6">
        <w:rPr>
          <w:kern w:val="22"/>
          <w:lang w:val="lv-LV"/>
        </w:rPr>
        <w:t>bimatoprosta/timolola</w:t>
      </w:r>
      <w:r w:rsidR="002D62E3" w:rsidRPr="002D62E3">
        <w:rPr>
          <w:kern w:val="22"/>
          <w:lang w:val="lv-LV"/>
        </w:rPr>
        <w:t xml:space="preserve"> vienreizējās devas formas lietošanas laikā konstatētās nevēlamās</w:t>
      </w:r>
      <w:r w:rsidR="002D62E3">
        <w:rPr>
          <w:kern w:val="22"/>
          <w:lang w:val="lv-LV"/>
        </w:rPr>
        <w:t xml:space="preserve"> </w:t>
      </w:r>
      <w:r w:rsidR="002D62E3" w:rsidRPr="002D62E3">
        <w:rPr>
          <w:kern w:val="22"/>
          <w:lang w:val="lv-LV"/>
        </w:rPr>
        <w:t>blakusparādības.</w:t>
      </w:r>
    </w:p>
    <w:p w14:paraId="47D4B78C" w14:textId="2501E311" w:rsidR="004A2DA9" w:rsidRPr="00A27731" w:rsidRDefault="004A2DA9" w:rsidP="004A2DA9">
      <w:pPr>
        <w:pStyle w:val="BodyText"/>
        <w:kinsoku w:val="0"/>
        <w:overflowPunct w:val="0"/>
        <w:rPr>
          <w:kern w:val="22"/>
          <w:lang w:val="lv-LV"/>
        </w:rPr>
      </w:pPr>
      <w:r w:rsidRPr="00A27731">
        <w:rPr>
          <w:kern w:val="22"/>
          <w:vertAlign w:val="superscript"/>
          <w:lang w:val="lv-LV"/>
        </w:rPr>
        <w:t>2</w:t>
      </w:r>
      <w:r w:rsidR="002D62E3" w:rsidRPr="002D62E3">
        <w:rPr>
          <w:kern w:val="22"/>
          <w:vertAlign w:val="superscript"/>
          <w:lang w:val="lv-LV"/>
        </w:rPr>
        <w:t xml:space="preserve"> </w:t>
      </w:r>
      <w:r w:rsidR="002D62E3" w:rsidRPr="002D62E3">
        <w:rPr>
          <w:kern w:val="22"/>
          <w:lang w:val="lv-LV"/>
        </w:rPr>
        <w:t xml:space="preserve">Tikai </w:t>
      </w:r>
      <w:r w:rsidR="002D62E3" w:rsidRPr="00E81BE6">
        <w:rPr>
          <w:kern w:val="22"/>
          <w:lang w:val="lv-LV"/>
        </w:rPr>
        <w:t>bimatoprosta/timolola</w:t>
      </w:r>
      <w:r w:rsidR="002D62E3" w:rsidRPr="002D62E3">
        <w:rPr>
          <w:kern w:val="22"/>
          <w:lang w:val="lv-LV"/>
        </w:rPr>
        <w:t xml:space="preserve"> daudzdevu formas lietošanas laikā konstatētās nevēlamās blakusparādības.</w:t>
      </w:r>
    </w:p>
    <w:p w14:paraId="50ECF71A" w14:textId="77777777" w:rsidR="00834D31" w:rsidRDefault="00834D31" w:rsidP="00834D31">
      <w:pPr>
        <w:spacing w:after="0" w:line="259" w:lineRule="auto"/>
        <w:ind w:left="0" w:firstLine="0"/>
      </w:pPr>
    </w:p>
    <w:p w14:paraId="2DD0786A" w14:textId="719A3568" w:rsidR="00834D31" w:rsidRDefault="00834D31" w:rsidP="00834D31">
      <w:pPr>
        <w:ind w:left="-5" w:right="15"/>
      </w:pPr>
      <w:r>
        <w:t xml:space="preserve">Tāpat kā citas lokāli lietojamas oftalmoloģiskas zāles, arī </w:t>
      </w:r>
      <w:r w:rsidR="00424560">
        <w:t>Bimatoprost/Timolol Mylan</w:t>
      </w:r>
      <w:r>
        <w:t xml:space="preserve"> uzsūcas vispārējā asinsritē. Timolola absorbcija var izraisīt līdzīgas nevēlamas blakusparādības, kādas novērotas, lietojot sistēmiskus bēta blokatorus. Pēc zāļu vietējas oftalmoloģiskas lietošanas sistēmisku nevēlamu blakusparādību rašanās biežums ir mazāks nekā pēc sistēmiskas ievadīšanas. Informāciju par sistēmiskās uzsūkšanās samazināšanu skatīt 4.2. apakšpunktā. </w:t>
      </w:r>
    </w:p>
    <w:p w14:paraId="31A8376D" w14:textId="77777777" w:rsidR="00834D31" w:rsidRDefault="00834D31" w:rsidP="00834D31">
      <w:pPr>
        <w:spacing w:after="15" w:line="259" w:lineRule="auto"/>
        <w:ind w:left="0" w:firstLine="0"/>
      </w:pPr>
      <w:r>
        <w:t xml:space="preserve"> </w:t>
      </w:r>
    </w:p>
    <w:p w14:paraId="1D631DED" w14:textId="77777777" w:rsidR="00834D31" w:rsidRDefault="00834D31" w:rsidP="00834D31">
      <w:pPr>
        <w:ind w:left="-5" w:right="15"/>
      </w:pPr>
      <w:r>
        <w:t xml:space="preserve">Citas nevēlamās blakusparādības, kas novērotas, lietojot vienu vai otru aktīvo vielu (bimatoprostu vai timololu), un, iespējams, var parādīties, arī lietojot bimatoprostu/timololu, norādītas 2. tabulā. </w:t>
      </w:r>
    </w:p>
    <w:p w14:paraId="7E7FD1F4" w14:textId="77777777" w:rsidR="00834D31" w:rsidRDefault="00834D31" w:rsidP="00834D31">
      <w:pPr>
        <w:spacing w:after="0" w:line="259" w:lineRule="auto"/>
        <w:ind w:left="0" w:firstLine="0"/>
      </w:pPr>
      <w:r>
        <w:t xml:space="preserve"> </w:t>
      </w:r>
    </w:p>
    <w:p w14:paraId="08A67B13" w14:textId="77777777" w:rsidR="00834D31" w:rsidRDefault="00834D31" w:rsidP="00834D31">
      <w:pPr>
        <w:pStyle w:val="Heading3"/>
        <w:ind w:left="-5"/>
      </w:pPr>
      <w:r>
        <w:t>2. tabula</w:t>
      </w:r>
      <w:r>
        <w:rPr>
          <w:b w:val="0"/>
        </w:rPr>
        <w:t xml:space="preserve"> </w:t>
      </w:r>
    </w:p>
    <w:p w14:paraId="75CC3E13" w14:textId="77777777" w:rsidR="00834D31" w:rsidRDefault="00834D31" w:rsidP="00834D31">
      <w:pPr>
        <w:spacing w:after="0" w:line="259" w:lineRule="auto"/>
        <w:ind w:left="0" w:firstLine="0"/>
      </w:pPr>
      <w:r>
        <w:t xml:space="preserve"> </w:t>
      </w:r>
    </w:p>
    <w:tbl>
      <w:tblPr>
        <w:tblStyle w:val="TableGrid"/>
        <w:tblW w:w="9290" w:type="dxa"/>
        <w:tblInd w:w="-108" w:type="dxa"/>
        <w:tblCellMar>
          <w:top w:w="14" w:type="dxa"/>
          <w:left w:w="108" w:type="dxa"/>
          <w:right w:w="74" w:type="dxa"/>
        </w:tblCellMar>
        <w:tblLook w:val="04A0" w:firstRow="1" w:lastRow="0" w:firstColumn="1" w:lastColumn="0" w:noHBand="0" w:noVBand="1"/>
      </w:tblPr>
      <w:tblGrid>
        <w:gridCol w:w="4645"/>
        <w:gridCol w:w="4645"/>
      </w:tblGrid>
      <w:tr w:rsidR="00834D31" w14:paraId="2542338A" w14:textId="77777777" w:rsidTr="008C6C75">
        <w:trPr>
          <w:trHeight w:val="269"/>
        </w:trPr>
        <w:tc>
          <w:tcPr>
            <w:tcW w:w="4645" w:type="dxa"/>
            <w:tcBorders>
              <w:top w:val="single" w:sz="4" w:space="0" w:color="000000"/>
              <w:left w:val="single" w:sz="4" w:space="0" w:color="000000"/>
              <w:bottom w:val="single" w:sz="4" w:space="0" w:color="000000"/>
              <w:right w:val="single" w:sz="4" w:space="0" w:color="000000"/>
            </w:tcBorders>
          </w:tcPr>
          <w:p w14:paraId="37764541" w14:textId="2D2DDC46" w:rsidR="00834D31" w:rsidRDefault="00834D31" w:rsidP="001D4FCA">
            <w:pPr>
              <w:spacing w:after="0" w:line="259" w:lineRule="auto"/>
              <w:ind w:left="0" w:firstLine="0"/>
            </w:pPr>
            <w:r>
              <w:rPr>
                <w:b/>
              </w:rPr>
              <w:t>Orgānu sistēmu</w:t>
            </w:r>
            <w:r w:rsidR="008C6C75">
              <w:rPr>
                <w:b/>
              </w:rPr>
              <w:t xml:space="preserve"> </w:t>
            </w:r>
            <w:r w:rsidR="008C6C75" w:rsidRPr="0022127A">
              <w:rPr>
                <w:b/>
                <w:spacing w:val="-1"/>
              </w:rPr>
              <w:t>klasifikācija</w:t>
            </w:r>
            <w: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4F4BAD3F" w14:textId="77777777" w:rsidR="00834D31" w:rsidRDefault="00834D31" w:rsidP="001D4FCA">
            <w:pPr>
              <w:spacing w:after="0" w:line="259" w:lineRule="auto"/>
              <w:ind w:left="0" w:firstLine="0"/>
            </w:pPr>
            <w:r>
              <w:rPr>
                <w:b/>
              </w:rPr>
              <w:t>Nevēlamā blakusparādība</w:t>
            </w:r>
            <w:r>
              <w:t xml:space="preserve"> </w:t>
            </w:r>
          </w:p>
        </w:tc>
      </w:tr>
      <w:tr w:rsidR="00834D31" w14:paraId="1E955905" w14:textId="77777777" w:rsidTr="008C6C75">
        <w:trPr>
          <w:trHeight w:val="528"/>
        </w:trPr>
        <w:tc>
          <w:tcPr>
            <w:tcW w:w="4645" w:type="dxa"/>
            <w:tcBorders>
              <w:top w:val="single" w:sz="4" w:space="0" w:color="000000"/>
              <w:left w:val="single" w:sz="4" w:space="0" w:color="000000"/>
              <w:bottom w:val="single" w:sz="4" w:space="0" w:color="000000"/>
              <w:right w:val="single" w:sz="4" w:space="0" w:color="000000"/>
            </w:tcBorders>
          </w:tcPr>
          <w:p w14:paraId="77BFECF4" w14:textId="77777777" w:rsidR="00834D31" w:rsidRDefault="00834D31" w:rsidP="001D4FCA">
            <w:pPr>
              <w:spacing w:after="0" w:line="259" w:lineRule="auto"/>
              <w:ind w:left="0" w:firstLine="0"/>
            </w:pPr>
            <w:r>
              <w:rPr>
                <w:i/>
              </w:rPr>
              <w:t xml:space="preserve">Imūnās sistēmas traucējumi </w:t>
            </w:r>
          </w:p>
        </w:tc>
        <w:tc>
          <w:tcPr>
            <w:tcW w:w="4645" w:type="dxa"/>
            <w:tcBorders>
              <w:top w:val="single" w:sz="4" w:space="0" w:color="000000"/>
              <w:left w:val="single" w:sz="4" w:space="0" w:color="000000"/>
              <w:bottom w:val="single" w:sz="4" w:space="0" w:color="000000"/>
              <w:right w:val="single" w:sz="4" w:space="0" w:color="000000"/>
            </w:tcBorders>
          </w:tcPr>
          <w:p w14:paraId="18F232D8" w14:textId="77777777" w:rsidR="00834D31" w:rsidRDefault="00834D31" w:rsidP="001D4FCA">
            <w:pPr>
              <w:spacing w:after="0" w:line="259" w:lineRule="auto"/>
              <w:ind w:left="0" w:firstLine="0"/>
            </w:pPr>
            <w:r>
              <w:t>sistēmiskas alerģiskas reakcijas, to skaitā anafilakse</w:t>
            </w:r>
            <w:r>
              <w:rPr>
                <w:vertAlign w:val="superscript"/>
              </w:rPr>
              <w:t>1</w:t>
            </w:r>
            <w:r>
              <w:t xml:space="preserve"> </w:t>
            </w:r>
          </w:p>
        </w:tc>
      </w:tr>
      <w:tr w:rsidR="00834D31" w14:paraId="460C0600" w14:textId="77777777" w:rsidTr="008C6C75">
        <w:trPr>
          <w:trHeight w:val="269"/>
        </w:trPr>
        <w:tc>
          <w:tcPr>
            <w:tcW w:w="4645" w:type="dxa"/>
            <w:tcBorders>
              <w:top w:val="single" w:sz="4" w:space="0" w:color="000000"/>
              <w:left w:val="single" w:sz="4" w:space="0" w:color="000000"/>
              <w:bottom w:val="single" w:sz="4" w:space="0" w:color="000000"/>
              <w:right w:val="single" w:sz="4" w:space="0" w:color="000000"/>
            </w:tcBorders>
          </w:tcPr>
          <w:p w14:paraId="6284D268" w14:textId="77777777" w:rsidR="00834D31" w:rsidRDefault="00834D31" w:rsidP="001D4FCA">
            <w:pPr>
              <w:spacing w:after="0" w:line="259" w:lineRule="auto"/>
              <w:ind w:left="0" w:firstLine="0"/>
            </w:pPr>
            <w:r>
              <w:rPr>
                <w:i/>
              </w:rPr>
              <w:lastRenderedPageBreak/>
              <w:t xml:space="preserve">Vielmaiņas un uztures traucējumi </w:t>
            </w:r>
          </w:p>
        </w:tc>
        <w:tc>
          <w:tcPr>
            <w:tcW w:w="4645" w:type="dxa"/>
            <w:tcBorders>
              <w:top w:val="single" w:sz="4" w:space="0" w:color="000000"/>
              <w:left w:val="single" w:sz="4" w:space="0" w:color="000000"/>
              <w:bottom w:val="single" w:sz="4" w:space="0" w:color="000000"/>
              <w:right w:val="single" w:sz="4" w:space="0" w:color="000000"/>
            </w:tcBorders>
          </w:tcPr>
          <w:p w14:paraId="1C88C576" w14:textId="77777777" w:rsidR="00834D31" w:rsidRDefault="00834D31" w:rsidP="001D4FCA">
            <w:pPr>
              <w:spacing w:after="0" w:line="259" w:lineRule="auto"/>
              <w:ind w:left="0" w:firstLine="0"/>
            </w:pPr>
            <w:r>
              <w:t>hipoglikēmija</w:t>
            </w:r>
            <w:r>
              <w:rPr>
                <w:vertAlign w:val="superscript"/>
              </w:rPr>
              <w:t>1</w:t>
            </w:r>
            <w:r>
              <w:t xml:space="preserve"> </w:t>
            </w:r>
          </w:p>
        </w:tc>
      </w:tr>
      <w:tr w:rsidR="00834D31" w14:paraId="7147BECE" w14:textId="77777777" w:rsidTr="008C6C75">
        <w:trPr>
          <w:trHeight w:val="269"/>
        </w:trPr>
        <w:tc>
          <w:tcPr>
            <w:tcW w:w="4645" w:type="dxa"/>
            <w:tcBorders>
              <w:top w:val="single" w:sz="4" w:space="0" w:color="000000"/>
              <w:left w:val="single" w:sz="4" w:space="0" w:color="000000"/>
              <w:bottom w:val="single" w:sz="4" w:space="0" w:color="000000"/>
              <w:right w:val="single" w:sz="4" w:space="0" w:color="000000"/>
            </w:tcBorders>
          </w:tcPr>
          <w:p w14:paraId="564F0870" w14:textId="77777777" w:rsidR="00834D31" w:rsidRDefault="00834D31" w:rsidP="001D4FCA">
            <w:pPr>
              <w:spacing w:after="0" w:line="259" w:lineRule="auto"/>
              <w:ind w:left="0" w:firstLine="0"/>
            </w:pPr>
            <w:r>
              <w:rPr>
                <w:i/>
              </w:rPr>
              <w:t>Psihiskie traucējumi</w:t>
            </w:r>
            <w: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310393BE" w14:textId="044CB011" w:rsidR="00834D31" w:rsidRDefault="00834D31" w:rsidP="001D4FCA">
            <w:pPr>
              <w:spacing w:after="0" w:line="259" w:lineRule="auto"/>
              <w:ind w:left="0" w:firstLine="0"/>
            </w:pPr>
            <w:r>
              <w:t>depresija</w:t>
            </w:r>
            <w:r>
              <w:rPr>
                <w:vertAlign w:val="superscript"/>
              </w:rPr>
              <w:t>1</w:t>
            </w:r>
            <w:r>
              <w:t>, atmiņas zudums</w:t>
            </w:r>
            <w:r>
              <w:rPr>
                <w:vertAlign w:val="superscript"/>
              </w:rPr>
              <w:t>1</w:t>
            </w:r>
            <w:r w:rsidR="00E94A69">
              <w:t>, halucinācijas</w:t>
            </w:r>
            <w:r w:rsidR="00E94A69">
              <w:rPr>
                <w:vertAlign w:val="superscript"/>
              </w:rPr>
              <w:t>1</w:t>
            </w:r>
          </w:p>
        </w:tc>
      </w:tr>
      <w:tr w:rsidR="00834D31" w14:paraId="7C9C324C" w14:textId="77777777" w:rsidTr="008C6C75">
        <w:trPr>
          <w:trHeight w:val="787"/>
        </w:trPr>
        <w:tc>
          <w:tcPr>
            <w:tcW w:w="4645" w:type="dxa"/>
            <w:tcBorders>
              <w:top w:val="single" w:sz="4" w:space="0" w:color="000000"/>
              <w:left w:val="single" w:sz="4" w:space="0" w:color="000000"/>
              <w:bottom w:val="single" w:sz="4" w:space="0" w:color="000000"/>
              <w:right w:val="single" w:sz="4" w:space="0" w:color="000000"/>
            </w:tcBorders>
          </w:tcPr>
          <w:p w14:paraId="686FDC6B" w14:textId="77777777" w:rsidR="00834D31" w:rsidRDefault="00834D31" w:rsidP="001D4FCA">
            <w:pPr>
              <w:spacing w:after="0" w:line="259" w:lineRule="auto"/>
              <w:ind w:left="0" w:firstLine="0"/>
            </w:pPr>
            <w:r>
              <w:rPr>
                <w:i/>
              </w:rPr>
              <w:t>Nervu sistēmas traucējumi</w:t>
            </w:r>
            <w: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2667F12E" w14:textId="77777777" w:rsidR="00834D31" w:rsidRDefault="00834D31" w:rsidP="001D4FCA">
            <w:pPr>
              <w:spacing w:after="0" w:line="259" w:lineRule="auto"/>
              <w:ind w:left="0" w:firstLine="0"/>
            </w:pPr>
            <w:r>
              <w:t>ģībonis</w:t>
            </w:r>
            <w:r>
              <w:rPr>
                <w:vertAlign w:val="superscript"/>
              </w:rPr>
              <w:t>1</w:t>
            </w:r>
            <w:r>
              <w:t>, smadzeņu asinsrites traucējumi</w:t>
            </w:r>
            <w:r>
              <w:rPr>
                <w:vertAlign w:val="superscript"/>
              </w:rPr>
              <w:t>1</w:t>
            </w:r>
            <w:r>
              <w:t xml:space="preserve">, </w:t>
            </w:r>
            <w:r>
              <w:rPr>
                <w:i/>
              </w:rPr>
              <w:t>myasthenia gravis</w:t>
            </w:r>
            <w:r>
              <w:t xml:space="preserve"> pazīmju un simptomu pastiprināšanās</w:t>
            </w:r>
            <w:r>
              <w:rPr>
                <w:vertAlign w:val="superscript"/>
              </w:rPr>
              <w:t>1</w:t>
            </w:r>
            <w:r>
              <w:t>, parestēzija</w:t>
            </w:r>
            <w:r>
              <w:rPr>
                <w:vertAlign w:val="superscript"/>
              </w:rPr>
              <w:t>1</w:t>
            </w:r>
            <w:r>
              <w:t>, cerebrāla išēmija</w:t>
            </w:r>
            <w:r>
              <w:rPr>
                <w:vertAlign w:val="superscript"/>
              </w:rPr>
              <w:t>1</w:t>
            </w:r>
            <w:r>
              <w:t xml:space="preserve"> </w:t>
            </w:r>
          </w:p>
        </w:tc>
      </w:tr>
      <w:tr w:rsidR="00834D31" w14:paraId="6A0528E4" w14:textId="77777777" w:rsidTr="008C6C75">
        <w:trPr>
          <w:trHeight w:val="787"/>
        </w:trPr>
        <w:tc>
          <w:tcPr>
            <w:tcW w:w="4645" w:type="dxa"/>
            <w:tcBorders>
              <w:top w:val="single" w:sz="4" w:space="0" w:color="000000"/>
              <w:left w:val="single" w:sz="4" w:space="0" w:color="000000"/>
              <w:bottom w:val="single" w:sz="4" w:space="0" w:color="000000"/>
              <w:right w:val="single" w:sz="4" w:space="0" w:color="000000"/>
            </w:tcBorders>
          </w:tcPr>
          <w:p w14:paraId="0F427D7B" w14:textId="77777777" w:rsidR="00834D31" w:rsidRDefault="00834D31" w:rsidP="001D4FCA">
            <w:pPr>
              <w:spacing w:after="0" w:line="259" w:lineRule="auto"/>
              <w:ind w:left="0" w:firstLine="0"/>
            </w:pPr>
            <w:r>
              <w:rPr>
                <w:i/>
              </w:rPr>
              <w:t>Acu bojājumi</w:t>
            </w:r>
            <w: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04D49282" w14:textId="4F43327F" w:rsidR="00834D31" w:rsidRDefault="00834D31" w:rsidP="001D4FCA">
            <w:pPr>
              <w:spacing w:after="0" w:line="259" w:lineRule="auto"/>
              <w:ind w:left="0" w:firstLine="0"/>
            </w:pPr>
            <w:r>
              <w:t>pazemināta radzenes jutība</w:t>
            </w:r>
            <w:r>
              <w:rPr>
                <w:vertAlign w:val="superscript"/>
              </w:rPr>
              <w:t>1</w:t>
            </w:r>
            <w:r>
              <w:t>, diplopija</w:t>
            </w:r>
            <w:r>
              <w:rPr>
                <w:vertAlign w:val="superscript"/>
              </w:rPr>
              <w:t>1</w:t>
            </w:r>
            <w:r>
              <w:t>, ptoze</w:t>
            </w:r>
            <w:r>
              <w:rPr>
                <w:vertAlign w:val="superscript"/>
              </w:rPr>
              <w:t>1</w:t>
            </w:r>
            <w:r>
              <w:t>, horija atslāņošanās pēc filtrācijas ķirurģiskas operācijas (skatīt 4.4. apakšpunktu)</w:t>
            </w:r>
            <w:r>
              <w:rPr>
                <w:vertAlign w:val="superscript"/>
              </w:rPr>
              <w:t>1</w:t>
            </w:r>
            <w:r>
              <w:t>, keratīts</w:t>
            </w:r>
            <w:r>
              <w:rPr>
                <w:vertAlign w:val="superscript"/>
              </w:rPr>
              <w:t>1</w:t>
            </w:r>
            <w:r>
              <w:t xml:space="preserve">, </w:t>
            </w:r>
            <w:r w:rsidR="007643EC">
              <w:t>blefarospazma</w:t>
            </w:r>
            <w:r w:rsidR="007643EC">
              <w:rPr>
                <w:vertAlign w:val="superscript"/>
              </w:rPr>
              <w:t>2</w:t>
            </w:r>
            <w:r w:rsidR="007643EC">
              <w:t>, asinsizplūdums tīklenē</w:t>
            </w:r>
            <w:r w:rsidR="007643EC">
              <w:rPr>
                <w:vertAlign w:val="superscript"/>
              </w:rPr>
              <w:t>2</w:t>
            </w:r>
            <w:r w:rsidR="007643EC">
              <w:t>, uveīts</w:t>
            </w:r>
            <w:r w:rsidR="007643EC">
              <w:rPr>
                <w:vertAlign w:val="superscript"/>
              </w:rPr>
              <w:t>2</w:t>
            </w:r>
          </w:p>
        </w:tc>
      </w:tr>
      <w:tr w:rsidR="00834D31" w14:paraId="37D1713C" w14:textId="77777777" w:rsidTr="008C6C75">
        <w:trPr>
          <w:trHeight w:val="1047"/>
        </w:trPr>
        <w:tc>
          <w:tcPr>
            <w:tcW w:w="4645" w:type="dxa"/>
            <w:tcBorders>
              <w:top w:val="single" w:sz="4" w:space="0" w:color="000000"/>
              <w:left w:val="single" w:sz="4" w:space="0" w:color="000000"/>
              <w:bottom w:val="single" w:sz="4" w:space="0" w:color="000000"/>
              <w:right w:val="single" w:sz="4" w:space="0" w:color="000000"/>
            </w:tcBorders>
          </w:tcPr>
          <w:p w14:paraId="225682CC" w14:textId="77777777" w:rsidR="00834D31" w:rsidRDefault="00834D31" w:rsidP="001D4FCA">
            <w:pPr>
              <w:spacing w:after="0" w:line="259" w:lineRule="auto"/>
              <w:ind w:left="0" w:firstLine="0"/>
            </w:pPr>
            <w:r>
              <w:rPr>
                <w:i/>
              </w:rPr>
              <w:t>Sirds funkcijas traucējumi</w:t>
            </w:r>
            <w: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6BE47E62" w14:textId="77777777" w:rsidR="00834D31" w:rsidRDefault="00834D31" w:rsidP="001D4FCA">
            <w:pPr>
              <w:spacing w:after="0" w:line="259" w:lineRule="auto"/>
              <w:ind w:left="0" w:right="9" w:firstLine="0"/>
            </w:pPr>
            <w:r>
              <w:t>atrioventrikulāra blokāde</w:t>
            </w:r>
            <w:r>
              <w:rPr>
                <w:vertAlign w:val="superscript"/>
              </w:rPr>
              <w:t>1</w:t>
            </w:r>
            <w:r>
              <w:t>, sirdsdarbības apstāšanās</w:t>
            </w:r>
            <w:r>
              <w:rPr>
                <w:vertAlign w:val="superscript"/>
              </w:rPr>
              <w:t>1</w:t>
            </w:r>
            <w:r>
              <w:t>, aritmija</w:t>
            </w:r>
            <w:r>
              <w:rPr>
                <w:vertAlign w:val="superscript"/>
              </w:rPr>
              <w:t>1</w:t>
            </w:r>
            <w:r>
              <w:t>, sirds mazspēja</w:t>
            </w:r>
            <w:r>
              <w:rPr>
                <w:vertAlign w:val="superscript"/>
              </w:rPr>
              <w:t>1</w:t>
            </w:r>
            <w:r>
              <w:t>, sastrēguma sirds mazspēja</w:t>
            </w:r>
            <w:r>
              <w:rPr>
                <w:vertAlign w:val="superscript"/>
              </w:rPr>
              <w:t>1</w:t>
            </w:r>
            <w:r>
              <w:t>, sāpes krūškurvī</w:t>
            </w:r>
            <w:r>
              <w:rPr>
                <w:vertAlign w:val="superscript"/>
              </w:rPr>
              <w:t>1</w:t>
            </w:r>
            <w:r>
              <w:t>, sirdsklauves</w:t>
            </w:r>
            <w:r>
              <w:rPr>
                <w:vertAlign w:val="superscript"/>
              </w:rPr>
              <w:t>1</w:t>
            </w:r>
            <w:r>
              <w:t>, tūska</w:t>
            </w:r>
            <w:r>
              <w:rPr>
                <w:vertAlign w:val="superscript"/>
              </w:rPr>
              <w:t>1</w:t>
            </w:r>
            <w:r>
              <w:t xml:space="preserve"> </w:t>
            </w:r>
          </w:p>
        </w:tc>
      </w:tr>
      <w:tr w:rsidR="00834D31" w14:paraId="6575302F" w14:textId="77777777" w:rsidTr="008C6C75">
        <w:trPr>
          <w:trHeight w:val="528"/>
        </w:trPr>
        <w:tc>
          <w:tcPr>
            <w:tcW w:w="4645" w:type="dxa"/>
            <w:tcBorders>
              <w:top w:val="single" w:sz="4" w:space="0" w:color="000000"/>
              <w:left w:val="single" w:sz="4" w:space="0" w:color="000000"/>
              <w:bottom w:val="single" w:sz="4" w:space="0" w:color="000000"/>
              <w:right w:val="single" w:sz="4" w:space="0" w:color="000000"/>
            </w:tcBorders>
          </w:tcPr>
          <w:p w14:paraId="78F1D98B" w14:textId="77777777" w:rsidR="00834D31" w:rsidRDefault="00834D31" w:rsidP="001D4FCA">
            <w:pPr>
              <w:spacing w:after="0" w:line="259" w:lineRule="auto"/>
              <w:ind w:left="0" w:firstLine="0"/>
            </w:pPr>
            <w:r>
              <w:rPr>
                <w:i/>
              </w:rPr>
              <w:t>Asinsvadu sistēmas traucējumi</w:t>
            </w:r>
            <w: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7133A606" w14:textId="266B8EDF" w:rsidR="00834D31" w:rsidRDefault="00834D31" w:rsidP="001D4FCA">
            <w:pPr>
              <w:spacing w:after="0" w:line="259" w:lineRule="auto"/>
              <w:ind w:left="0" w:firstLine="0"/>
            </w:pPr>
            <w:r>
              <w:t>hipotensija</w:t>
            </w:r>
            <w:r>
              <w:rPr>
                <w:vertAlign w:val="superscript"/>
              </w:rPr>
              <w:t>1</w:t>
            </w:r>
            <w:r>
              <w:t>, Reino fenomens</w:t>
            </w:r>
            <w:r>
              <w:rPr>
                <w:vertAlign w:val="superscript"/>
              </w:rPr>
              <w:t>1</w:t>
            </w:r>
            <w:r>
              <w:t>, aukstas rokas un pēdas</w:t>
            </w:r>
            <w:r>
              <w:rPr>
                <w:vertAlign w:val="superscript"/>
              </w:rPr>
              <w:t>1</w:t>
            </w:r>
            <w:r>
              <w:t xml:space="preserve"> </w:t>
            </w:r>
          </w:p>
        </w:tc>
      </w:tr>
      <w:tr w:rsidR="00834D31" w14:paraId="5CBEB00C" w14:textId="77777777" w:rsidTr="008C6C75">
        <w:trPr>
          <w:trHeight w:val="528"/>
        </w:trPr>
        <w:tc>
          <w:tcPr>
            <w:tcW w:w="4645" w:type="dxa"/>
            <w:tcBorders>
              <w:top w:val="single" w:sz="4" w:space="0" w:color="000000"/>
              <w:left w:val="single" w:sz="4" w:space="0" w:color="000000"/>
              <w:bottom w:val="single" w:sz="4" w:space="0" w:color="000000"/>
              <w:right w:val="single" w:sz="4" w:space="0" w:color="000000"/>
            </w:tcBorders>
          </w:tcPr>
          <w:p w14:paraId="5BC66C97" w14:textId="77777777" w:rsidR="00834D31" w:rsidRDefault="00834D31" w:rsidP="001D4FCA">
            <w:pPr>
              <w:spacing w:after="0" w:line="259" w:lineRule="auto"/>
              <w:ind w:left="0" w:firstLine="0"/>
            </w:pPr>
            <w:r>
              <w:rPr>
                <w:i/>
              </w:rPr>
              <w:t>Elpošanas sistēmas traucējumi, krūšu kurvja un videnes slimības</w:t>
            </w:r>
            <w: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6640BDD0" w14:textId="77777777" w:rsidR="00834D31" w:rsidRDefault="00834D31" w:rsidP="001D4FCA">
            <w:pPr>
              <w:spacing w:after="0" w:line="259" w:lineRule="auto"/>
              <w:ind w:left="0" w:firstLine="0"/>
            </w:pPr>
            <w:r>
              <w:t>astmas paasinājums</w:t>
            </w:r>
            <w:r>
              <w:rPr>
                <w:vertAlign w:val="superscript"/>
              </w:rPr>
              <w:t>2</w:t>
            </w:r>
            <w:r>
              <w:t>, HOPS paasinājums</w:t>
            </w:r>
            <w:r>
              <w:rPr>
                <w:vertAlign w:val="superscript"/>
              </w:rPr>
              <w:t>2</w:t>
            </w:r>
            <w:r>
              <w:t>, klepus</w:t>
            </w:r>
            <w:r>
              <w:rPr>
                <w:vertAlign w:val="superscript"/>
              </w:rPr>
              <w:t>1</w:t>
            </w:r>
            <w:r>
              <w:t xml:space="preserve"> </w:t>
            </w:r>
          </w:p>
        </w:tc>
      </w:tr>
      <w:tr w:rsidR="00834D31" w14:paraId="799B0012" w14:textId="77777777" w:rsidTr="008C6C75">
        <w:trPr>
          <w:trHeight w:val="528"/>
        </w:trPr>
        <w:tc>
          <w:tcPr>
            <w:tcW w:w="4645" w:type="dxa"/>
            <w:tcBorders>
              <w:top w:val="single" w:sz="4" w:space="0" w:color="000000"/>
              <w:left w:val="single" w:sz="4" w:space="0" w:color="000000"/>
              <w:bottom w:val="single" w:sz="4" w:space="0" w:color="000000"/>
              <w:right w:val="single" w:sz="4" w:space="0" w:color="000000"/>
            </w:tcBorders>
          </w:tcPr>
          <w:p w14:paraId="1A74B43F" w14:textId="77777777" w:rsidR="00834D31" w:rsidRDefault="00834D31" w:rsidP="001D4FCA">
            <w:pPr>
              <w:spacing w:after="0" w:line="259" w:lineRule="auto"/>
              <w:ind w:left="0" w:firstLine="0"/>
            </w:pPr>
            <w:r>
              <w:rPr>
                <w:i/>
              </w:rPr>
              <w:t>Kuņģa-zarnu trakta traucējumi</w:t>
            </w:r>
            <w: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0A33A058" w14:textId="77777777" w:rsidR="00834D31" w:rsidRDefault="00834D31" w:rsidP="001D4FCA">
            <w:pPr>
              <w:spacing w:after="0" w:line="259" w:lineRule="auto"/>
              <w:ind w:left="0" w:firstLine="0"/>
            </w:pPr>
            <w:r>
              <w:t>slikta dūša</w:t>
            </w:r>
            <w:r>
              <w:rPr>
                <w:vertAlign w:val="superscript"/>
              </w:rPr>
              <w:t>1,2</w:t>
            </w:r>
            <w:r>
              <w:t>, caureja</w:t>
            </w:r>
            <w:r>
              <w:rPr>
                <w:vertAlign w:val="superscript"/>
              </w:rPr>
              <w:t>1</w:t>
            </w:r>
            <w:r>
              <w:t>, dispepsija</w:t>
            </w:r>
            <w:r>
              <w:rPr>
                <w:vertAlign w:val="superscript"/>
              </w:rPr>
              <w:t>1</w:t>
            </w:r>
            <w:r>
              <w:t>, sausums mutē</w:t>
            </w:r>
            <w:r>
              <w:rPr>
                <w:vertAlign w:val="superscript"/>
              </w:rPr>
              <w:t>1</w:t>
            </w:r>
            <w:r>
              <w:t>, sāpes vēderā</w:t>
            </w:r>
            <w:r>
              <w:rPr>
                <w:vertAlign w:val="superscript"/>
              </w:rPr>
              <w:t>1</w:t>
            </w:r>
            <w:r>
              <w:t>, vemšana</w:t>
            </w:r>
            <w:r>
              <w:rPr>
                <w:vertAlign w:val="superscript"/>
              </w:rPr>
              <w:t>1</w:t>
            </w:r>
            <w:r>
              <w:t xml:space="preserve"> </w:t>
            </w:r>
          </w:p>
        </w:tc>
      </w:tr>
      <w:tr w:rsidR="00834D31" w14:paraId="6B742392" w14:textId="77777777" w:rsidTr="008C6C75">
        <w:trPr>
          <w:trHeight w:val="528"/>
        </w:trPr>
        <w:tc>
          <w:tcPr>
            <w:tcW w:w="4645" w:type="dxa"/>
            <w:tcBorders>
              <w:top w:val="single" w:sz="4" w:space="0" w:color="000000"/>
              <w:left w:val="single" w:sz="4" w:space="0" w:color="000000"/>
              <w:bottom w:val="single" w:sz="4" w:space="0" w:color="000000"/>
              <w:right w:val="single" w:sz="4" w:space="0" w:color="000000"/>
            </w:tcBorders>
          </w:tcPr>
          <w:p w14:paraId="4A5EA3E8" w14:textId="77777777" w:rsidR="00834D31" w:rsidRDefault="00834D31" w:rsidP="001D4FCA">
            <w:pPr>
              <w:spacing w:after="0" w:line="259" w:lineRule="auto"/>
              <w:ind w:left="0" w:firstLine="0"/>
            </w:pPr>
            <w:r>
              <w:rPr>
                <w:i/>
              </w:rPr>
              <w:t>Ādas un zemādas audu bojājumi</w:t>
            </w:r>
            <w:r>
              <w:t xml:space="preserve"> </w:t>
            </w:r>
          </w:p>
        </w:tc>
        <w:tc>
          <w:tcPr>
            <w:tcW w:w="4645" w:type="dxa"/>
            <w:tcBorders>
              <w:top w:val="single" w:sz="4" w:space="0" w:color="000000"/>
              <w:left w:val="single" w:sz="4" w:space="0" w:color="000000"/>
              <w:bottom w:val="single" w:sz="4" w:space="0" w:color="000000"/>
              <w:right w:val="single" w:sz="4" w:space="0" w:color="000000"/>
            </w:tcBorders>
          </w:tcPr>
          <w:p w14:paraId="2BC2CE61" w14:textId="77777777" w:rsidR="00834D31" w:rsidRDefault="00834D31" w:rsidP="001D4FCA">
            <w:pPr>
              <w:spacing w:after="0" w:line="259" w:lineRule="auto"/>
              <w:ind w:left="0" w:firstLine="0"/>
            </w:pPr>
            <w:r>
              <w:t>psoriāzes veida izsitumi</w:t>
            </w:r>
            <w:r>
              <w:rPr>
                <w:vertAlign w:val="superscript"/>
              </w:rPr>
              <w:t>1</w:t>
            </w:r>
            <w:r>
              <w:t xml:space="preserve"> vai psoriāzes paasinājums</w:t>
            </w:r>
            <w:r>
              <w:rPr>
                <w:vertAlign w:val="superscript"/>
              </w:rPr>
              <w:t>1</w:t>
            </w:r>
            <w:r>
              <w:t>, ādas izsitumi</w:t>
            </w:r>
            <w:r>
              <w:rPr>
                <w:vertAlign w:val="superscript"/>
              </w:rPr>
              <w:t>1</w:t>
            </w:r>
            <w:r>
              <w:t xml:space="preserve"> </w:t>
            </w:r>
          </w:p>
        </w:tc>
      </w:tr>
      <w:tr w:rsidR="00834D31" w14:paraId="04FAEEAC" w14:textId="77777777" w:rsidTr="008C6C75">
        <w:trPr>
          <w:trHeight w:val="269"/>
        </w:trPr>
        <w:tc>
          <w:tcPr>
            <w:tcW w:w="4645" w:type="dxa"/>
            <w:tcBorders>
              <w:top w:val="single" w:sz="4" w:space="0" w:color="000000"/>
              <w:left w:val="single" w:sz="4" w:space="0" w:color="000000"/>
              <w:bottom w:val="single" w:sz="4" w:space="0" w:color="000000"/>
              <w:right w:val="single" w:sz="4" w:space="0" w:color="000000"/>
            </w:tcBorders>
          </w:tcPr>
          <w:p w14:paraId="61858B0D" w14:textId="77777777" w:rsidR="00834D31" w:rsidRDefault="00834D31" w:rsidP="001D4FCA">
            <w:pPr>
              <w:spacing w:after="0" w:line="259" w:lineRule="auto"/>
              <w:ind w:left="0" w:firstLine="0"/>
            </w:pPr>
            <w:r>
              <w:rPr>
                <w:i/>
              </w:rPr>
              <w:t xml:space="preserve">Skeleta-muskuļu un saistaudu sistēmas bojājumi </w:t>
            </w:r>
          </w:p>
        </w:tc>
        <w:tc>
          <w:tcPr>
            <w:tcW w:w="4645" w:type="dxa"/>
            <w:tcBorders>
              <w:top w:val="single" w:sz="4" w:space="0" w:color="000000"/>
              <w:left w:val="single" w:sz="4" w:space="0" w:color="000000"/>
              <w:bottom w:val="single" w:sz="4" w:space="0" w:color="000000"/>
              <w:right w:val="single" w:sz="4" w:space="0" w:color="000000"/>
            </w:tcBorders>
          </w:tcPr>
          <w:p w14:paraId="5B346B08" w14:textId="77777777" w:rsidR="00834D31" w:rsidRDefault="00834D31" w:rsidP="001D4FCA">
            <w:pPr>
              <w:spacing w:after="0" w:line="259" w:lineRule="auto"/>
              <w:ind w:left="0" w:firstLine="0"/>
            </w:pPr>
            <w:r>
              <w:t xml:space="preserve">mialģija </w:t>
            </w:r>
            <w:r>
              <w:rPr>
                <w:vertAlign w:val="superscript"/>
              </w:rPr>
              <w:t>1</w:t>
            </w:r>
            <w:r>
              <w:t xml:space="preserve"> </w:t>
            </w:r>
          </w:p>
        </w:tc>
      </w:tr>
      <w:tr w:rsidR="00834D31" w14:paraId="3A4E463D" w14:textId="77777777" w:rsidTr="008C6C75">
        <w:trPr>
          <w:trHeight w:val="529"/>
        </w:trPr>
        <w:tc>
          <w:tcPr>
            <w:tcW w:w="4645" w:type="dxa"/>
            <w:tcBorders>
              <w:top w:val="single" w:sz="4" w:space="0" w:color="000000"/>
              <w:left w:val="single" w:sz="4" w:space="0" w:color="000000"/>
              <w:bottom w:val="single" w:sz="4" w:space="0" w:color="000000"/>
              <w:right w:val="single" w:sz="4" w:space="0" w:color="000000"/>
            </w:tcBorders>
          </w:tcPr>
          <w:p w14:paraId="29A2EB04" w14:textId="77777777" w:rsidR="00834D31" w:rsidRDefault="00834D31" w:rsidP="001D4FCA">
            <w:pPr>
              <w:spacing w:after="0" w:line="259" w:lineRule="auto"/>
              <w:ind w:left="0" w:firstLine="0"/>
            </w:pPr>
            <w:r>
              <w:rPr>
                <w:i/>
              </w:rPr>
              <w:t xml:space="preserve">Reproduktīvās sistēmas traucējumi un krūts slimības </w:t>
            </w:r>
          </w:p>
        </w:tc>
        <w:tc>
          <w:tcPr>
            <w:tcW w:w="4645" w:type="dxa"/>
            <w:tcBorders>
              <w:top w:val="single" w:sz="4" w:space="0" w:color="000000"/>
              <w:left w:val="single" w:sz="4" w:space="0" w:color="000000"/>
              <w:bottom w:val="single" w:sz="4" w:space="0" w:color="000000"/>
              <w:right w:val="single" w:sz="4" w:space="0" w:color="000000"/>
            </w:tcBorders>
          </w:tcPr>
          <w:p w14:paraId="6A1ECA93" w14:textId="77777777" w:rsidR="00834D31" w:rsidRDefault="00834D31" w:rsidP="001D4FCA">
            <w:pPr>
              <w:spacing w:after="0" w:line="259" w:lineRule="auto"/>
              <w:ind w:left="0" w:firstLine="0"/>
            </w:pPr>
            <w:r>
              <w:t>seksuāla disfunkcija</w:t>
            </w:r>
            <w:r>
              <w:rPr>
                <w:vertAlign w:val="superscript"/>
              </w:rPr>
              <w:t>1</w:t>
            </w:r>
            <w:r>
              <w:t>, pavājināta dzimumtieksme</w:t>
            </w:r>
            <w:r>
              <w:rPr>
                <w:vertAlign w:val="superscript"/>
              </w:rPr>
              <w:t>1</w:t>
            </w:r>
            <w:r>
              <w:t xml:space="preserve"> </w:t>
            </w:r>
          </w:p>
        </w:tc>
      </w:tr>
      <w:tr w:rsidR="00834D31" w14:paraId="764383EB" w14:textId="77777777" w:rsidTr="008C6C75">
        <w:trPr>
          <w:trHeight w:val="528"/>
        </w:trPr>
        <w:tc>
          <w:tcPr>
            <w:tcW w:w="4645" w:type="dxa"/>
            <w:tcBorders>
              <w:top w:val="single" w:sz="4" w:space="0" w:color="000000"/>
              <w:left w:val="single" w:sz="4" w:space="0" w:color="000000"/>
              <w:bottom w:val="single" w:sz="4" w:space="0" w:color="000000"/>
              <w:right w:val="single" w:sz="4" w:space="0" w:color="000000"/>
            </w:tcBorders>
          </w:tcPr>
          <w:p w14:paraId="67E96E05" w14:textId="77777777" w:rsidR="00834D31" w:rsidRDefault="00834D31" w:rsidP="001D4FCA">
            <w:pPr>
              <w:spacing w:after="0" w:line="259" w:lineRule="auto"/>
              <w:ind w:left="0" w:firstLine="0"/>
            </w:pPr>
            <w:r>
              <w:rPr>
                <w:i/>
              </w:rPr>
              <w:t xml:space="preserve">Vispārēji traucējumi un reakcijas ievadīšanas vietā </w:t>
            </w:r>
          </w:p>
        </w:tc>
        <w:tc>
          <w:tcPr>
            <w:tcW w:w="4645" w:type="dxa"/>
            <w:tcBorders>
              <w:top w:val="single" w:sz="4" w:space="0" w:color="000000"/>
              <w:left w:val="single" w:sz="4" w:space="0" w:color="000000"/>
              <w:bottom w:val="single" w:sz="4" w:space="0" w:color="000000"/>
              <w:right w:val="single" w:sz="4" w:space="0" w:color="000000"/>
            </w:tcBorders>
          </w:tcPr>
          <w:p w14:paraId="012EAA2F" w14:textId="77777777" w:rsidR="00834D31" w:rsidRDefault="00834D31" w:rsidP="001D4FCA">
            <w:pPr>
              <w:spacing w:after="0" w:line="259" w:lineRule="auto"/>
              <w:ind w:left="0" w:firstLine="0"/>
            </w:pPr>
            <w:r>
              <w:t>astēnija</w:t>
            </w:r>
            <w:r>
              <w:rPr>
                <w:vertAlign w:val="superscript"/>
              </w:rPr>
              <w:t xml:space="preserve">1,2 </w:t>
            </w:r>
          </w:p>
        </w:tc>
      </w:tr>
      <w:tr w:rsidR="00834D31" w14:paraId="084B8B70" w14:textId="77777777" w:rsidTr="008C6C75">
        <w:trPr>
          <w:trHeight w:val="528"/>
        </w:trPr>
        <w:tc>
          <w:tcPr>
            <w:tcW w:w="4645" w:type="dxa"/>
            <w:tcBorders>
              <w:top w:val="single" w:sz="4" w:space="0" w:color="000000"/>
              <w:left w:val="single" w:sz="4" w:space="0" w:color="000000"/>
              <w:bottom w:val="single" w:sz="4" w:space="0" w:color="000000"/>
              <w:right w:val="single" w:sz="4" w:space="0" w:color="000000"/>
            </w:tcBorders>
          </w:tcPr>
          <w:p w14:paraId="1728CD14" w14:textId="77777777" w:rsidR="00834D31" w:rsidRDefault="00834D31" w:rsidP="001D4FCA">
            <w:pPr>
              <w:spacing w:after="0" w:line="259" w:lineRule="auto"/>
              <w:ind w:left="0" w:firstLine="0"/>
            </w:pPr>
            <w:r>
              <w:rPr>
                <w:i/>
              </w:rPr>
              <w:t xml:space="preserve">Izmeklējumi </w:t>
            </w:r>
          </w:p>
        </w:tc>
        <w:tc>
          <w:tcPr>
            <w:tcW w:w="4645" w:type="dxa"/>
            <w:tcBorders>
              <w:top w:val="single" w:sz="4" w:space="0" w:color="000000"/>
              <w:left w:val="single" w:sz="4" w:space="0" w:color="000000"/>
              <w:bottom w:val="single" w:sz="4" w:space="0" w:color="000000"/>
              <w:right w:val="single" w:sz="4" w:space="0" w:color="000000"/>
            </w:tcBorders>
          </w:tcPr>
          <w:p w14:paraId="13503D47" w14:textId="77777777" w:rsidR="00834D31" w:rsidRDefault="00834D31" w:rsidP="001D4FCA">
            <w:pPr>
              <w:spacing w:after="0" w:line="259" w:lineRule="auto"/>
              <w:ind w:left="0" w:right="25" w:firstLine="0"/>
            </w:pPr>
            <w:r>
              <w:t>ārpusnormas aknu funkcijas izmeklējumu rādītāji</w:t>
            </w:r>
            <w:r>
              <w:rPr>
                <w:vertAlign w:val="superscript"/>
              </w:rPr>
              <w:t>2</w:t>
            </w:r>
            <w:r>
              <w:t xml:space="preserve"> </w:t>
            </w:r>
          </w:p>
        </w:tc>
      </w:tr>
    </w:tbl>
    <w:p w14:paraId="5530F578" w14:textId="77777777" w:rsidR="00834D31" w:rsidRDefault="00834D31" w:rsidP="00834D31">
      <w:pPr>
        <w:ind w:left="-5" w:right="1809"/>
      </w:pPr>
      <w:r>
        <w:rPr>
          <w:vertAlign w:val="superscript"/>
        </w:rPr>
        <w:t>1</w:t>
      </w:r>
      <w:r>
        <w:t xml:space="preserve"> Nevēlamās blakusparādības, kas konstatētas, lietojot timololu monoterapijā. </w:t>
      </w:r>
    </w:p>
    <w:p w14:paraId="5245D5C2" w14:textId="77777777" w:rsidR="00834D31" w:rsidRDefault="00834D31" w:rsidP="00834D31">
      <w:pPr>
        <w:ind w:left="-5" w:right="1809"/>
      </w:pPr>
      <w:r>
        <w:rPr>
          <w:vertAlign w:val="superscript"/>
        </w:rPr>
        <w:t>2</w:t>
      </w:r>
      <w:r>
        <w:t xml:space="preserve"> Nevēlamās blakusparādības, kas konstatētas, lietojot bimatoprostu monoterapijā. </w:t>
      </w:r>
    </w:p>
    <w:p w14:paraId="5C265329" w14:textId="77777777" w:rsidR="00834D31" w:rsidRDefault="00834D31" w:rsidP="00834D31">
      <w:pPr>
        <w:spacing w:after="26" w:line="259" w:lineRule="auto"/>
        <w:ind w:left="0" w:firstLine="0"/>
      </w:pPr>
    </w:p>
    <w:p w14:paraId="45512403" w14:textId="77777777" w:rsidR="00834D31" w:rsidRDefault="00834D31" w:rsidP="00834D31">
      <w:pPr>
        <w:pStyle w:val="Heading2"/>
        <w:ind w:left="-5"/>
      </w:pPr>
      <w:r>
        <w:t>Nevēlamās blakusparādības, par kurām ziņots pēc fosfātus saturošu acu pilienu lietošanas</w:t>
      </w:r>
      <w:r>
        <w:rPr>
          <w:u w:val="none"/>
        </w:rPr>
        <w:t xml:space="preserve"> </w:t>
      </w:r>
    </w:p>
    <w:p w14:paraId="54DF51F1" w14:textId="3856BBCE" w:rsidR="00834D31" w:rsidRDefault="00834D31" w:rsidP="00834D31">
      <w:pPr>
        <w:ind w:left="-5" w:right="15"/>
      </w:pPr>
      <w:r>
        <w:t xml:space="preserve">Ļoti </w:t>
      </w:r>
      <w:r w:rsidR="00741EA6">
        <w:t>retos gadījumos saistībā ar fosfātus saturošu acu pilienu lietošanu dažiem pacientiem ar būtiskiem radzenes bojājumiem</w:t>
      </w:r>
      <w:r>
        <w:t xml:space="preserve"> ziņots par radzenes </w:t>
      </w:r>
      <w:r w:rsidR="00741EA6" w:rsidRPr="00741EA6">
        <w:t>kalcifikāciju</w:t>
      </w:r>
      <w:r>
        <w:t xml:space="preserve">. </w:t>
      </w:r>
    </w:p>
    <w:p w14:paraId="16577600" w14:textId="4CAB0DD3" w:rsidR="00834D31" w:rsidRDefault="00834D31" w:rsidP="00834D31">
      <w:pPr>
        <w:spacing w:after="28" w:line="259" w:lineRule="auto"/>
        <w:ind w:left="0" w:firstLine="0"/>
      </w:pPr>
    </w:p>
    <w:p w14:paraId="7A2B32DA" w14:textId="407CF6B7" w:rsidR="00DA5F27" w:rsidRDefault="00DA5F27" w:rsidP="00DA5F27">
      <w:pPr>
        <w:spacing w:after="28" w:line="259" w:lineRule="auto"/>
        <w:ind w:left="0" w:firstLine="0"/>
        <w:rPr>
          <w:u w:val="single"/>
        </w:rPr>
      </w:pPr>
      <w:r w:rsidRPr="00E377C3">
        <w:rPr>
          <w:u w:val="single"/>
        </w:rPr>
        <w:t>Atsevišķu blakusparādību apraksts</w:t>
      </w:r>
    </w:p>
    <w:p w14:paraId="151195B6" w14:textId="77777777" w:rsidR="00DA5F27" w:rsidRPr="00E377C3" w:rsidRDefault="00DA5F27" w:rsidP="00DA5F27">
      <w:pPr>
        <w:spacing w:after="28" w:line="259" w:lineRule="auto"/>
        <w:ind w:left="0" w:firstLine="0"/>
        <w:rPr>
          <w:u w:val="single"/>
        </w:rPr>
      </w:pPr>
    </w:p>
    <w:p w14:paraId="664ABE3E" w14:textId="77777777" w:rsidR="00DA5F27" w:rsidRPr="00E377C3" w:rsidRDefault="00DA5F27" w:rsidP="00DA5F27">
      <w:pPr>
        <w:spacing w:after="28" w:line="259" w:lineRule="auto"/>
        <w:ind w:left="0" w:firstLine="0"/>
        <w:rPr>
          <w:u w:val="single"/>
        </w:rPr>
      </w:pPr>
      <w:r w:rsidRPr="00E377C3">
        <w:rPr>
          <w:u w:val="single"/>
        </w:rPr>
        <w:t>Prostaglandīna analoga periorbitopātija (PAP)</w:t>
      </w:r>
    </w:p>
    <w:p w14:paraId="593E4618" w14:textId="1A88F578" w:rsidR="00DA5F27" w:rsidRDefault="00DA5F27" w:rsidP="00DA5F27">
      <w:pPr>
        <w:spacing w:after="28" w:line="259" w:lineRule="auto"/>
        <w:ind w:left="0" w:firstLine="0"/>
      </w:pPr>
      <w:r>
        <w:t xml:space="preserve">Prostaglandīna analogi, tostarp </w:t>
      </w:r>
      <w:r w:rsidRPr="00E81BE6">
        <w:rPr>
          <w:kern w:val="22"/>
        </w:rPr>
        <w:t>bimatoprost</w:t>
      </w:r>
      <w:r>
        <w:rPr>
          <w:kern w:val="22"/>
        </w:rPr>
        <w:t>s</w:t>
      </w:r>
      <w:r w:rsidRPr="00E81BE6">
        <w:rPr>
          <w:kern w:val="22"/>
        </w:rPr>
        <w:t>/timolol</w:t>
      </w:r>
      <w:r>
        <w:rPr>
          <w:kern w:val="22"/>
        </w:rPr>
        <w:t>s</w:t>
      </w:r>
      <w:r>
        <w:t xml:space="preserve">, var radīt periorbitālas lipodistrofiskas izmaiņas, kas var izraisīt plakstiņu rievas padziļināšanos, ptozi, enoftalmu, plakstiņu retrakciju, dermatohalāzes involūciju un apakšējās sklēras redzamību. Izmaiņas parasti ir vieglas, var rasties jau vienu mēnesi pēc ārstēšanas ar </w:t>
      </w:r>
      <w:r w:rsidRPr="00E81BE6">
        <w:rPr>
          <w:kern w:val="22"/>
        </w:rPr>
        <w:t>bimatoprost</w:t>
      </w:r>
      <w:r>
        <w:rPr>
          <w:kern w:val="22"/>
        </w:rPr>
        <w:t>u</w:t>
      </w:r>
      <w:r w:rsidRPr="00E81BE6">
        <w:rPr>
          <w:kern w:val="22"/>
        </w:rPr>
        <w:t>/timolol</w:t>
      </w:r>
      <w:r>
        <w:rPr>
          <w:kern w:val="22"/>
        </w:rPr>
        <w:t>u</w:t>
      </w:r>
      <w:r w:rsidRPr="002D62E3">
        <w:rPr>
          <w:kern w:val="22"/>
        </w:rPr>
        <w:t xml:space="preserve"> </w:t>
      </w:r>
      <w:r>
        <w:t>uzsākšanas un var izraisīt traucētu redzes lauku pat tad, ja pacients to nepamana. PAP ir arī saistīta ar periokulāru ādas hiperpigmentāciju vai krāsas izmaiņām un hipertrihozi. Ir norādīts, kas visas izmaiņas ir pilnībā vai daļēji atgriezeniskas, pārtraucot prostaglandīnu lietošanu vai izvēloties alternatīvu ārstēšanu.</w:t>
      </w:r>
    </w:p>
    <w:p w14:paraId="3BE3FBC3" w14:textId="343E45BA" w:rsidR="00DA5F27" w:rsidRDefault="00DA5F27" w:rsidP="00DA5F27">
      <w:pPr>
        <w:spacing w:after="28" w:line="259" w:lineRule="auto"/>
        <w:ind w:left="0" w:firstLine="0"/>
      </w:pPr>
    </w:p>
    <w:p w14:paraId="1DC6DB7A" w14:textId="77777777" w:rsidR="00DA5F27" w:rsidRPr="00E377C3" w:rsidRDefault="00DA5F27" w:rsidP="00DA5F27">
      <w:pPr>
        <w:spacing w:after="28" w:line="259" w:lineRule="auto"/>
        <w:ind w:left="0" w:firstLine="0"/>
        <w:rPr>
          <w:u w:val="single"/>
        </w:rPr>
      </w:pPr>
      <w:r w:rsidRPr="00E377C3">
        <w:rPr>
          <w:u w:val="single"/>
        </w:rPr>
        <w:t>Varavīksnenes pigmentācija</w:t>
      </w:r>
    </w:p>
    <w:p w14:paraId="5405BAE6" w14:textId="7AB6FBA5" w:rsidR="00DA5F27" w:rsidRDefault="00DA5F27" w:rsidP="00DA5F27">
      <w:pPr>
        <w:spacing w:after="28" w:line="259" w:lineRule="auto"/>
        <w:ind w:left="0" w:firstLine="0"/>
      </w:pPr>
      <w:r>
        <w:t>Pastiprināta varavīksnenes pigmentācija, iespējams, būs pastāvīga. Pigmentācijas izmaiņas drīzāk izraisa palielināta melanīna koncentrācija melanocītos, nevis melanocītu skaita palielināšanās. Ilgstošas pastiprinātas varavīksnenes pigmentācijas sekas nav zināmas. Varavīksnenes krāsas izmaiņas, oftalmoloģiski lietojot bimatoprostu, var nebūt pamanāmas vairākus mēnešus vai pat gadus. Brūnā pigmentācija ap zīlīti parasti izplatās koncentriski uz varavīksnenes ārpusi, un varavīksnene vai tās daļas kļūst brūnākas. Ārstēšana neietekmē ne varavīksnenes nēvusus, ne vasarraibumus. Pēc 12 mēnešus ilgas ārstēšanas ar bimatoprosta 0,1 mg/ml acu pilienu šķīdumu varavīksnenes hiperpigmentācijas biežums bija 0,5 %. Pēc 12 mēnešus ilgas ārstēšanas ar bimatoprosta 0,3 mg/ml acu pilienu šķīdumu šīs parādības biežums bija 1,5 % (skatīt 4.8. apakšpunkta 2. tabulu), un tas nepalielinājās pēc 3 gadus ilgas ārstēšanas.</w:t>
      </w:r>
    </w:p>
    <w:p w14:paraId="4E021218" w14:textId="77777777" w:rsidR="00DA5F27" w:rsidRDefault="00DA5F27" w:rsidP="00DA5F27">
      <w:pPr>
        <w:spacing w:after="28" w:line="259" w:lineRule="auto"/>
        <w:ind w:left="0" w:firstLine="0"/>
      </w:pPr>
    </w:p>
    <w:p w14:paraId="3456A39C" w14:textId="77777777" w:rsidR="00834D31" w:rsidRDefault="00834D31" w:rsidP="00834D31">
      <w:pPr>
        <w:pStyle w:val="Heading2"/>
        <w:ind w:left="-5"/>
      </w:pPr>
      <w:r>
        <w:t>Ziņošana par iespējamām nevēlamām blakusparādībām</w:t>
      </w:r>
      <w:r>
        <w:rPr>
          <w:u w:val="none"/>
        </w:rPr>
        <w:t xml:space="preserve"> </w:t>
      </w:r>
    </w:p>
    <w:p w14:paraId="7ACF67B1" w14:textId="77777777" w:rsidR="00834D31" w:rsidRDefault="00834D31" w:rsidP="00834D31">
      <w:pPr>
        <w:ind w:left="-5" w:right="15"/>
      </w:pPr>
      <w:r>
        <w:t xml:space="preserve">Ir svarīgi ziņot par iespējamām nevēlamām blakusparādībām pēc zāļu reģistrācijas. Tādējādi zāļu ieguvuma/riska attiecība tiek nepārtraukti uzraudzīta. </w:t>
      </w:r>
      <w:r w:rsidRPr="000A5D79">
        <w:t>Veselības aprūpes speciālisti tiek lūgti ziņot par jebkādām iespējamām nevēlamām blakusparādībām Zāļu valsts aģentūrai, Jersikas ielā 15, Rīgā, LV 1003. Tīmekļa vietne: </w:t>
      </w:r>
      <w:hyperlink r:id="rId11" w:history="1">
        <w:r w:rsidRPr="000A5D79">
          <w:t>www.zva.gov.lv</w:t>
        </w:r>
      </w:hyperlink>
      <w:r w:rsidRPr="000A5D79">
        <w:t>.</w:t>
      </w:r>
      <w:r>
        <w:t xml:space="preserve"> </w:t>
      </w:r>
    </w:p>
    <w:p w14:paraId="34F78D25" w14:textId="77777777" w:rsidR="00CC2319" w:rsidRDefault="00CC2319" w:rsidP="00834D31">
      <w:pPr>
        <w:ind w:left="-5" w:right="15"/>
      </w:pPr>
    </w:p>
    <w:p w14:paraId="3B373421" w14:textId="77777777" w:rsidR="00834D31" w:rsidRDefault="00834D31" w:rsidP="00834D31">
      <w:pPr>
        <w:pStyle w:val="Heading3"/>
        <w:tabs>
          <w:tab w:val="center" w:pos="1168"/>
        </w:tabs>
        <w:ind w:left="-15" w:firstLine="0"/>
      </w:pPr>
      <w:r>
        <w:t xml:space="preserve">4.9. </w:t>
      </w:r>
      <w:r>
        <w:tab/>
        <w:t>Pārdozēšana</w:t>
      </w:r>
      <w:r>
        <w:rPr>
          <w:b w:val="0"/>
        </w:rPr>
        <w:t xml:space="preserve"> </w:t>
      </w:r>
    </w:p>
    <w:p w14:paraId="4FD7A078" w14:textId="77777777" w:rsidR="00834D31" w:rsidRDefault="00834D31" w:rsidP="00834D31">
      <w:pPr>
        <w:spacing w:after="10" w:line="259" w:lineRule="auto"/>
        <w:ind w:left="0" w:firstLine="0"/>
      </w:pPr>
    </w:p>
    <w:p w14:paraId="1E33FB34" w14:textId="77777777" w:rsidR="00834D31" w:rsidRDefault="00834D31" w:rsidP="00834D31">
      <w:pPr>
        <w:ind w:left="-5" w:right="15"/>
      </w:pPr>
      <w:r>
        <w:t xml:space="preserve">Maz ticams, ka, vietēji lietojot, bimatoprosts/timolols varētu pārdozēt vai saistīt ar toksicitāti. </w:t>
      </w:r>
    </w:p>
    <w:p w14:paraId="4B38CB0A" w14:textId="77777777" w:rsidR="00834D31" w:rsidRDefault="00834D31" w:rsidP="00834D31">
      <w:pPr>
        <w:spacing w:after="0" w:line="259" w:lineRule="auto"/>
        <w:ind w:left="0" w:firstLine="0"/>
      </w:pPr>
    </w:p>
    <w:p w14:paraId="5CD20D9B" w14:textId="77777777" w:rsidR="00834D31" w:rsidRDefault="00834D31" w:rsidP="00834D31">
      <w:pPr>
        <w:ind w:left="-5" w:right="332"/>
      </w:pPr>
      <w:r>
        <w:rPr>
          <w:u w:val="single" w:color="000000"/>
        </w:rPr>
        <w:t>Bimatoprosts</w:t>
      </w:r>
      <w:r>
        <w:t xml:space="preserve"> </w:t>
      </w:r>
    </w:p>
    <w:p w14:paraId="0160DE63" w14:textId="77777777" w:rsidR="00834D31" w:rsidRDefault="00834D31" w:rsidP="00834D31">
      <w:pPr>
        <w:ind w:left="-5" w:right="332"/>
      </w:pPr>
      <w:r>
        <w:t>Ja bimatoprosts/timolols nejauši tiek uzņemts perorāli, var noderēt šāda informācija: divu nedēļu ilgos pētījumos žurkām un pelēm, perorāli saņemot bimatoprostu līdz 100 mg/kg dienā, nenovēroja toksicitāti. Šo devu izsakot mg/m</w:t>
      </w:r>
      <w:r>
        <w:rPr>
          <w:vertAlign w:val="superscript"/>
        </w:rPr>
        <w:t>2</w:t>
      </w:r>
      <w:r>
        <w:t xml:space="preserve">, tā vismaz 70 reižu pārsniedz nejaušu bimatoprosta/timolola vienas pudelītes devu 10 kg smagam bērnam. </w:t>
      </w:r>
    </w:p>
    <w:p w14:paraId="7C401EBA" w14:textId="77777777" w:rsidR="00834D31" w:rsidRDefault="00834D31" w:rsidP="00834D31">
      <w:pPr>
        <w:spacing w:after="0" w:line="259" w:lineRule="auto"/>
        <w:ind w:left="0" w:firstLine="0"/>
      </w:pPr>
    </w:p>
    <w:p w14:paraId="42E7D090" w14:textId="77777777" w:rsidR="00834D31" w:rsidRDefault="00834D31" w:rsidP="00834D31">
      <w:pPr>
        <w:pStyle w:val="Heading2"/>
        <w:ind w:left="-5"/>
      </w:pPr>
      <w:r>
        <w:t>Timolols</w:t>
      </w:r>
      <w:r>
        <w:rPr>
          <w:u w:val="none"/>
        </w:rPr>
        <w:t xml:space="preserve"> </w:t>
      </w:r>
    </w:p>
    <w:p w14:paraId="52390797" w14:textId="4E28A2E1" w:rsidR="00834D31" w:rsidRDefault="00834D31" w:rsidP="00834D31">
      <w:pPr>
        <w:ind w:left="-5" w:right="15"/>
      </w:pPr>
      <w:r>
        <w:t>Sistēmiskas timolola pārdozēšanas simptomi iekļauj bradikardij</w:t>
      </w:r>
      <w:r w:rsidR="00354186">
        <w:t>u</w:t>
      </w:r>
      <w:r>
        <w:t>, hipotensij</w:t>
      </w:r>
      <w:r w:rsidR="00354186">
        <w:t>u</w:t>
      </w:r>
      <w:r>
        <w:t>, bronhospazmas, galvassāpes, reiboni, elpas trūkum</w:t>
      </w:r>
      <w:r w:rsidR="00354186">
        <w:t>u</w:t>
      </w:r>
      <w:r>
        <w:t xml:space="preserve"> un sirdsdarbības apstāšan</w:t>
      </w:r>
      <w:r w:rsidR="00227958">
        <w:t>o</w:t>
      </w:r>
      <w:r>
        <w:t xml:space="preserve">s. Pētījumā ar pacientiem, kam ir nieru mazspēja, novēroja, ka timolols nav viegli dializējams. </w:t>
      </w:r>
    </w:p>
    <w:p w14:paraId="70E51F8B" w14:textId="77777777" w:rsidR="00834D31" w:rsidRDefault="00834D31" w:rsidP="00834D31">
      <w:pPr>
        <w:spacing w:after="21" w:line="259" w:lineRule="auto"/>
        <w:ind w:left="0" w:firstLine="0"/>
      </w:pPr>
    </w:p>
    <w:p w14:paraId="20F802B9" w14:textId="77777777" w:rsidR="00834D31" w:rsidRDefault="00834D31" w:rsidP="00834D31">
      <w:pPr>
        <w:ind w:left="-5" w:right="15"/>
      </w:pPr>
      <w:r>
        <w:t xml:space="preserve">Ja notiek pārdozēšana, ārstēšanai jābūt simptomātiskai un uzturošai. </w:t>
      </w:r>
    </w:p>
    <w:p w14:paraId="658D23FC" w14:textId="77777777" w:rsidR="00834D31" w:rsidRDefault="00834D31" w:rsidP="00834D31">
      <w:pPr>
        <w:spacing w:after="0" w:line="259" w:lineRule="auto"/>
        <w:ind w:left="0" w:firstLine="0"/>
      </w:pPr>
    </w:p>
    <w:p w14:paraId="72AA5DE6" w14:textId="77777777" w:rsidR="00834D31" w:rsidRDefault="00834D31" w:rsidP="00834D31">
      <w:pPr>
        <w:spacing w:after="0" w:line="259" w:lineRule="auto"/>
        <w:ind w:left="0" w:firstLine="0"/>
      </w:pPr>
    </w:p>
    <w:p w14:paraId="0CE13B37" w14:textId="77777777" w:rsidR="00834D31" w:rsidRDefault="00834D31" w:rsidP="00834D31">
      <w:pPr>
        <w:pStyle w:val="Heading1"/>
        <w:tabs>
          <w:tab w:val="center" w:pos="2263"/>
        </w:tabs>
        <w:ind w:left="-15" w:firstLine="0"/>
      </w:pPr>
      <w:r>
        <w:t>5.</w:t>
      </w:r>
      <w:r>
        <w:tab/>
        <w:t xml:space="preserve">FARMAKOLOĢISKĀS ĪPAŠĪBAS </w:t>
      </w:r>
    </w:p>
    <w:p w14:paraId="37A96DCB" w14:textId="77777777" w:rsidR="00834D31" w:rsidRDefault="00834D31" w:rsidP="00834D31">
      <w:pPr>
        <w:spacing w:after="29" w:line="259" w:lineRule="auto"/>
        <w:ind w:left="0" w:firstLine="0"/>
      </w:pPr>
    </w:p>
    <w:p w14:paraId="79E5E327" w14:textId="77777777" w:rsidR="00834D31" w:rsidRDefault="00834D31" w:rsidP="00834D31">
      <w:pPr>
        <w:tabs>
          <w:tab w:val="center" w:pos="1947"/>
        </w:tabs>
        <w:spacing w:after="14" w:line="249" w:lineRule="auto"/>
        <w:ind w:left="-15" w:firstLine="0"/>
      </w:pPr>
      <w:r>
        <w:rPr>
          <w:b/>
        </w:rPr>
        <w:t xml:space="preserve">5.1. </w:t>
      </w:r>
      <w:r>
        <w:rPr>
          <w:b/>
        </w:rPr>
        <w:tab/>
        <w:t>Farmakodinamiskās īpašības</w:t>
      </w:r>
      <w:r>
        <w:t xml:space="preserve"> </w:t>
      </w:r>
    </w:p>
    <w:p w14:paraId="03484A47" w14:textId="77777777" w:rsidR="00834D31" w:rsidRDefault="00834D31" w:rsidP="00834D31">
      <w:pPr>
        <w:spacing w:after="25" w:line="259" w:lineRule="auto"/>
        <w:ind w:left="0" w:firstLine="0"/>
      </w:pPr>
    </w:p>
    <w:p w14:paraId="07564A0E" w14:textId="075A8575" w:rsidR="00834D31" w:rsidRDefault="00834D31" w:rsidP="00834D31">
      <w:pPr>
        <w:ind w:left="-5" w:right="15"/>
      </w:pPr>
      <w:r>
        <w:t>Farmakoterapeitiskā grupa: oftalmoloģiskie</w:t>
      </w:r>
      <w:r w:rsidR="009D2FBB" w:rsidRPr="009D2FBB">
        <w:t xml:space="preserve"> </w:t>
      </w:r>
      <w:r w:rsidR="009D2FBB">
        <w:t>līdzekļi</w:t>
      </w:r>
      <w:r w:rsidR="00225300">
        <w:t xml:space="preserve">. </w:t>
      </w:r>
      <w:r w:rsidR="00225300" w:rsidRPr="00225300">
        <w:t>Pretglaukomas un miotiskie līdzekļi</w:t>
      </w:r>
      <w:r w:rsidR="00225300">
        <w:t>. B</w:t>
      </w:r>
      <w:r>
        <w:t xml:space="preserve">ēta </w:t>
      </w:r>
      <w:r w:rsidR="009D2FBB" w:rsidRPr="003D3226">
        <w:t>adrenoreceptoru</w:t>
      </w:r>
      <w:r w:rsidR="009D2FBB">
        <w:t xml:space="preserve"> </w:t>
      </w:r>
      <w:r>
        <w:t>blokator</w:t>
      </w:r>
      <w:r w:rsidR="009D2FBB">
        <w:t>i</w:t>
      </w:r>
      <w:r>
        <w:t xml:space="preserve">; ATĶ kods: S01ED51. </w:t>
      </w:r>
    </w:p>
    <w:p w14:paraId="1463C0C6" w14:textId="77777777" w:rsidR="00834D31" w:rsidRDefault="00834D31" w:rsidP="00834D31">
      <w:pPr>
        <w:spacing w:after="25" w:line="259" w:lineRule="auto"/>
        <w:ind w:left="0" w:firstLine="0"/>
      </w:pPr>
    </w:p>
    <w:p w14:paraId="51E7338D" w14:textId="77777777" w:rsidR="00834D31" w:rsidRDefault="00834D31" w:rsidP="00834D31">
      <w:pPr>
        <w:pStyle w:val="Heading2"/>
        <w:ind w:left="-5"/>
      </w:pPr>
      <w:r>
        <w:lastRenderedPageBreak/>
        <w:t>Darbības mehānisms</w:t>
      </w:r>
      <w:r>
        <w:rPr>
          <w:u w:val="none"/>
        </w:rPr>
        <w:t xml:space="preserve"> </w:t>
      </w:r>
    </w:p>
    <w:p w14:paraId="2DB18BB1" w14:textId="69DD3293" w:rsidR="00834D31" w:rsidRDefault="00424560" w:rsidP="00834D31">
      <w:pPr>
        <w:ind w:left="-5" w:right="15"/>
      </w:pPr>
      <w:r>
        <w:t>Bimatoprost/Timolol Mylan</w:t>
      </w:r>
      <w:r w:rsidR="00834D31">
        <w:t xml:space="preserve"> sastāv no divām aktīvajām vielām – bimatoprosta un timolola. Abas šīs sastāvdaļas ar papildu mehānismu darbību pazemina paaugstinātu intraokulāro spiedienu (IOS), un kombinētā iedarbība intraokulāro spiedienu (IOS) pazemina vairāk, nekā atsevišķi lietojot katru sastāvdaļu. </w:t>
      </w:r>
      <w:r>
        <w:t>Bimatoprost/Timolol Mylan</w:t>
      </w:r>
      <w:r w:rsidR="00834D31">
        <w:t xml:space="preserve"> iedarbojas ātri. </w:t>
      </w:r>
    </w:p>
    <w:p w14:paraId="0F48D0D5" w14:textId="77777777" w:rsidR="00834D31" w:rsidRDefault="00834D31" w:rsidP="00834D31">
      <w:pPr>
        <w:spacing w:after="20" w:line="259" w:lineRule="auto"/>
        <w:ind w:left="0" w:firstLine="0"/>
      </w:pPr>
      <w:r>
        <w:t xml:space="preserve"> </w:t>
      </w:r>
    </w:p>
    <w:p w14:paraId="77803273" w14:textId="44848461" w:rsidR="00834D31" w:rsidRDefault="00834D31" w:rsidP="00834D31">
      <w:pPr>
        <w:ind w:left="-5" w:right="15"/>
      </w:pPr>
      <w:r>
        <w:t xml:space="preserve">Bimatoprosts ir spēcīga okulāra hipotensīva aktīvā viela. Tas ir sintētisks prostamīds, kas pēc struktūras līdzīgs prostaglandīnam </w:t>
      </w:r>
      <w:r w:rsidRPr="00424560">
        <w:t>F</w:t>
      </w:r>
      <w:r w:rsidRPr="00424560">
        <w:rPr>
          <w:vertAlign w:val="subscript"/>
        </w:rPr>
        <w:t>2</w:t>
      </w:r>
      <w:r w:rsidR="00424560">
        <w:rPr>
          <w:rFonts w:ascii="Segoe UI Symbol" w:eastAsia="Segoe UI Symbol" w:hAnsi="Segoe UI Symbol" w:cs="Segoe UI Symbol"/>
          <w:vertAlign w:val="subscript"/>
        </w:rPr>
        <w:t>α</w:t>
      </w:r>
      <w:r w:rsidRPr="00424560">
        <w:t xml:space="preserve"> (PGF</w:t>
      </w:r>
      <w:r w:rsidR="00424560" w:rsidRPr="00424560">
        <w:rPr>
          <w:vertAlign w:val="subscript"/>
        </w:rPr>
        <w:t>2</w:t>
      </w:r>
      <w:r w:rsidR="00424560">
        <w:rPr>
          <w:rFonts w:ascii="Segoe UI Symbol" w:eastAsia="Segoe UI Symbol" w:hAnsi="Segoe UI Symbol" w:cs="Segoe UI Symbol"/>
          <w:vertAlign w:val="subscript"/>
        </w:rPr>
        <w:t>α</w:t>
      </w:r>
      <w:r w:rsidRPr="00424560">
        <w:t>),</w:t>
      </w:r>
      <w:r>
        <w:t xml:space="preserve"> kas neiedarbojas ne ar vienu no zināmo prostaglandīna receptoru starpniecību. Bimatoprosts selektīvi imitē nesen atklāto biosintētisko vielu – prostamīdu efektu. Prostamīda receptors tomēr vēl joprojām nav strukturāli identificēts. Cilvēkam bimatoprosta darbības mehānisms, ar kura palīdzību tas pazemina intraokulāro spiedienu, ir saistīts ar acs iekšējā šķidruma atteces pastiprināšanu caur trabekulāro tīklu un uveosklerālās atteces veicināšanu. </w:t>
      </w:r>
    </w:p>
    <w:p w14:paraId="0C1C5307" w14:textId="77777777" w:rsidR="00834D31" w:rsidRDefault="00834D31" w:rsidP="00834D31">
      <w:pPr>
        <w:spacing w:after="20" w:line="259" w:lineRule="auto"/>
        <w:ind w:left="0" w:firstLine="0"/>
      </w:pPr>
    </w:p>
    <w:p w14:paraId="35A9E0BA" w14:textId="77777777" w:rsidR="00834D31" w:rsidRDefault="00834D31" w:rsidP="00834D31">
      <w:pPr>
        <w:ind w:left="-5" w:right="15"/>
      </w:pPr>
      <w:r>
        <w:t>Timolols ir bēta</w:t>
      </w:r>
      <w:r>
        <w:rPr>
          <w:vertAlign w:val="subscript"/>
        </w:rPr>
        <w:t>1</w:t>
      </w:r>
      <w:r>
        <w:t xml:space="preserve"> un bēta</w:t>
      </w:r>
      <w:r>
        <w:rPr>
          <w:vertAlign w:val="subscript"/>
        </w:rPr>
        <w:t>2</w:t>
      </w:r>
      <w:r>
        <w:t xml:space="preserve"> neselektīvs adrenoreceptoru blokators, kam nav būtiskas iekšējas simpatomimētiskas, tiešas nomācošas ietekmes uz miokardu vai vietējas anestezējošas (membrānu stabilizējošas) iedarbības. Timolols pazemina IOS, samazinot acs iekšējā šķidruma veidošanos. Precīzs darbības mehānisms nav skaidri noteikts, taču, iespējams, tiek kavēta palielinātās cikliskās AMP sintēze, kuru izraisa endogēna bēta adrenoreceptoru stimulēšana. </w:t>
      </w:r>
    </w:p>
    <w:p w14:paraId="511F075A" w14:textId="77777777" w:rsidR="00834D31" w:rsidRDefault="00834D31" w:rsidP="00834D31">
      <w:pPr>
        <w:spacing w:after="25" w:line="259" w:lineRule="auto"/>
        <w:ind w:left="0" w:firstLine="0"/>
      </w:pPr>
    </w:p>
    <w:p w14:paraId="2E69E1FC" w14:textId="77777777" w:rsidR="00834D31" w:rsidRDefault="00834D31" w:rsidP="00834D31">
      <w:pPr>
        <w:pStyle w:val="Heading2"/>
        <w:ind w:left="-5"/>
      </w:pPr>
      <w:r>
        <w:t>Klīniskā iedarbība</w:t>
      </w:r>
      <w:r>
        <w:rPr>
          <w:u w:val="none"/>
        </w:rPr>
        <w:t xml:space="preserve"> </w:t>
      </w:r>
    </w:p>
    <w:p w14:paraId="2F0F55AB" w14:textId="64A8F70A" w:rsidR="00834D31" w:rsidRDefault="00424560" w:rsidP="00834D31">
      <w:pPr>
        <w:ind w:left="-5" w:right="15"/>
      </w:pPr>
      <w:r>
        <w:t>Bimatoprost/Timolol Mylan</w:t>
      </w:r>
      <w:r w:rsidR="00834D31">
        <w:t xml:space="preserve"> IOS pazeminošais efekts nav sliktāks par to, kādu iegūst ar bimatoprosta (vienreiz dienā) un timolola (divreiz dienā) papildu terapiju. </w:t>
      </w:r>
    </w:p>
    <w:p w14:paraId="7A5641C8" w14:textId="77777777" w:rsidR="00834D31" w:rsidRDefault="00834D31" w:rsidP="00834D31">
      <w:pPr>
        <w:spacing w:after="19" w:line="259" w:lineRule="auto"/>
        <w:ind w:left="0" w:firstLine="0"/>
      </w:pPr>
    </w:p>
    <w:p w14:paraId="5A268C7E" w14:textId="77777777" w:rsidR="00834D31" w:rsidRDefault="00834D31" w:rsidP="00834D31">
      <w:pPr>
        <w:ind w:left="-5" w:right="15"/>
      </w:pPr>
      <w:r>
        <w:t xml:space="preserve">Pašreizējie literatūras dati liecina, ka, lietojot bimatoprostu/timololu vakarā, IOS pazeminošā iedarbība var būt efektīvāka, nekā lietojot tās no rīta. Taču, apsverot, vai šīs zāles lietot no rīta vai vakarā, jāņem vērā iespējamā līdzestība. </w:t>
      </w:r>
    </w:p>
    <w:p w14:paraId="13E89AEA" w14:textId="77777777" w:rsidR="00834D31" w:rsidRDefault="00834D31" w:rsidP="00834D31">
      <w:pPr>
        <w:spacing w:after="25" w:line="259" w:lineRule="auto"/>
        <w:ind w:left="0" w:firstLine="0"/>
      </w:pPr>
    </w:p>
    <w:p w14:paraId="5D8BAE04" w14:textId="77777777" w:rsidR="00834D31" w:rsidRDefault="00834D31" w:rsidP="00834D31">
      <w:pPr>
        <w:pStyle w:val="Heading2"/>
        <w:ind w:left="-5"/>
      </w:pPr>
      <w:r>
        <w:t>Pediatriskā populācija</w:t>
      </w:r>
      <w:r>
        <w:rPr>
          <w:u w:val="none"/>
        </w:rPr>
        <w:t xml:space="preserve"> </w:t>
      </w:r>
    </w:p>
    <w:p w14:paraId="529FB355" w14:textId="77777777" w:rsidR="00834D31" w:rsidRDefault="00834D31" w:rsidP="00834D31">
      <w:pPr>
        <w:ind w:left="-5" w:right="15"/>
      </w:pPr>
      <w:r>
        <w:t xml:space="preserve">Bimatoprosta/timolola drošums un efektivitāte, lietojot bērniem vecumā no 0 līdz 18 gadiem, nav pierādīta. </w:t>
      </w:r>
    </w:p>
    <w:p w14:paraId="53AFA296" w14:textId="77777777" w:rsidR="00834D31" w:rsidRDefault="00834D31" w:rsidP="00834D31">
      <w:pPr>
        <w:spacing w:after="28" w:line="259" w:lineRule="auto"/>
        <w:ind w:left="0" w:firstLine="0"/>
      </w:pPr>
    </w:p>
    <w:p w14:paraId="13FD451D" w14:textId="77777777" w:rsidR="00834D31" w:rsidRDefault="00834D31" w:rsidP="00834D31">
      <w:pPr>
        <w:tabs>
          <w:tab w:val="center" w:pos="1886"/>
        </w:tabs>
        <w:spacing w:after="14" w:line="249" w:lineRule="auto"/>
        <w:ind w:left="-15" w:firstLine="0"/>
      </w:pPr>
      <w:r>
        <w:rPr>
          <w:b/>
        </w:rPr>
        <w:t xml:space="preserve">5.2. </w:t>
      </w:r>
      <w:r>
        <w:rPr>
          <w:b/>
        </w:rPr>
        <w:tab/>
        <w:t>Farmakokinētiskās īpašības</w:t>
      </w:r>
      <w:r>
        <w:t xml:space="preserve"> </w:t>
      </w:r>
    </w:p>
    <w:p w14:paraId="76511D3C" w14:textId="77777777" w:rsidR="00834D31" w:rsidRDefault="00834D31" w:rsidP="00834D31">
      <w:pPr>
        <w:spacing w:after="0" w:line="259" w:lineRule="auto"/>
        <w:ind w:left="0" w:firstLine="0"/>
      </w:pPr>
    </w:p>
    <w:p w14:paraId="20DB6D60" w14:textId="4966B182" w:rsidR="00834D31" w:rsidRDefault="00424560" w:rsidP="00834D31">
      <w:pPr>
        <w:pStyle w:val="Heading2"/>
        <w:ind w:left="-5"/>
      </w:pPr>
      <w:r>
        <w:t>Bimatoprost/Timolol Mylan</w:t>
      </w:r>
      <w:r w:rsidR="00834D31">
        <w:t xml:space="preserve"> </w:t>
      </w:r>
    </w:p>
    <w:p w14:paraId="1CFFC8FB" w14:textId="56DC15F6" w:rsidR="00834D31" w:rsidRDefault="00834D31" w:rsidP="00834D31">
      <w:pPr>
        <w:ind w:left="-5" w:right="15"/>
      </w:pPr>
      <w:r>
        <w:t xml:space="preserve">Bimatoprosta un timolola koncentrācijas plazmā tika noteiktas krustotā pētījumā, veseliem </w:t>
      </w:r>
      <w:r w:rsidR="003C010B">
        <w:t>cilvēkiem</w:t>
      </w:r>
      <w:r>
        <w:t xml:space="preserve"> monoterapiju ārstēšanu salīdzinot ar bimatoprosta/timolola terapiju. Atsevišķu sastāvdaļu sistēmiska uzsūkšanās bija minimāla, un to neietekmēja vienlaicīga ievadīšana. </w:t>
      </w:r>
    </w:p>
    <w:p w14:paraId="1BCDF524" w14:textId="77777777" w:rsidR="00834D31" w:rsidRDefault="00834D31" w:rsidP="00834D31">
      <w:pPr>
        <w:spacing w:after="0" w:line="259" w:lineRule="auto"/>
        <w:ind w:left="0" w:firstLine="0"/>
      </w:pPr>
    </w:p>
    <w:p w14:paraId="47422325" w14:textId="77777777" w:rsidR="00834D31" w:rsidRDefault="00834D31" w:rsidP="00834D31">
      <w:pPr>
        <w:ind w:left="-5" w:right="15"/>
      </w:pPr>
      <w:r>
        <w:t xml:space="preserve">Divos 12 mēnešu ilgos pētījumos, kuros noteica sistēmisku uzsūkšanos, nenovēroja nevienas atsevišķās sastāvdaļas akumulēšanos. </w:t>
      </w:r>
    </w:p>
    <w:p w14:paraId="4F4B1DB4" w14:textId="77777777" w:rsidR="00834D31" w:rsidRDefault="00834D31" w:rsidP="00834D31">
      <w:pPr>
        <w:spacing w:after="0" w:line="259" w:lineRule="auto"/>
        <w:ind w:left="0" w:firstLine="0"/>
      </w:pPr>
    </w:p>
    <w:p w14:paraId="0FBF6560" w14:textId="77777777" w:rsidR="00834D31" w:rsidRDefault="00834D31" w:rsidP="00834D31">
      <w:pPr>
        <w:pStyle w:val="Heading2"/>
        <w:ind w:left="-5"/>
      </w:pPr>
      <w:r>
        <w:t>Bimatoprosts</w:t>
      </w:r>
      <w:r>
        <w:rPr>
          <w:i/>
          <w:u w:val="none"/>
        </w:rPr>
        <w:t xml:space="preserve"> </w:t>
      </w:r>
    </w:p>
    <w:p w14:paraId="3CA0C554" w14:textId="77777777" w:rsidR="00834D31" w:rsidRDefault="00834D31" w:rsidP="00834D31">
      <w:pPr>
        <w:ind w:left="-5" w:right="15"/>
      </w:pPr>
      <w:r>
        <w:t xml:space="preserve">Bimatoprosts </w:t>
      </w:r>
      <w:r>
        <w:rPr>
          <w:i/>
        </w:rPr>
        <w:t>in vitro</w:t>
      </w:r>
      <w:r>
        <w:t xml:space="preserve"> labi iekļūst cilvēka radzenes un sklēras audos. Pēc okulāras ievadīšanas sistēmiskā bimatoprosta iedarbība ir ļoti zema, un laika gaitā nenotiek akumulēšanās. Pēc okulāras ievadīšanas vienu reizi dienā pa vienam pilienam 0,03% bimatoprosta abās acīs divas nedēļas, vielas koncentrācija asinīs </w:t>
      </w:r>
      <w:r>
        <w:lastRenderedPageBreak/>
        <w:t>maksimumu sasniedza 10 minūtes pēc devas ievadīšanas un nokritās zem zemākā nosakāmā līmeņa (0,025 ng/ml) 1,5 stundu laikā pēc devas ievadīšanas. Vidējās C</w:t>
      </w:r>
      <w:r>
        <w:rPr>
          <w:vertAlign w:val="subscript"/>
        </w:rPr>
        <w:t>max</w:t>
      </w:r>
      <w:r>
        <w:t xml:space="preserve"> un AUC</w:t>
      </w:r>
      <w:r>
        <w:rPr>
          <w:vertAlign w:val="subscript"/>
        </w:rPr>
        <w:t>0-24st</w:t>
      </w:r>
      <w:r>
        <w:t xml:space="preserve"> vērtības bija līdzīgas septītajā un četrpadsmitajā dienā – apmēram 0,08 ng/ml un 0,09 ng</w:t>
      </w:r>
      <w:r w:rsidRPr="00F963DC">
        <w:rPr>
          <w:rFonts w:ascii="Symbol" w:eastAsia="Segoe UI Symbol" w:hAnsi="Symbol" w:cs="Segoe UI Symbol"/>
        </w:rPr>
        <w:t></w:t>
      </w:r>
      <w:r>
        <w:t xml:space="preserve">stundā/ml attiecīgi, kas norāda, ka vienmērīga koncentrācija okulāras ievadīšanas gadījumā tika sasniegta pirmās nedēļas laikā. </w:t>
      </w:r>
    </w:p>
    <w:p w14:paraId="7EBEFCDB" w14:textId="77777777" w:rsidR="00834D31" w:rsidRDefault="00834D31" w:rsidP="00834D31">
      <w:pPr>
        <w:spacing w:after="0" w:line="259" w:lineRule="auto"/>
        <w:ind w:left="0" w:firstLine="0"/>
      </w:pPr>
      <w:r>
        <w:t xml:space="preserve"> </w:t>
      </w:r>
    </w:p>
    <w:p w14:paraId="7FF7597D" w14:textId="77777777" w:rsidR="00834D31" w:rsidRDefault="00834D31" w:rsidP="00834D31">
      <w:pPr>
        <w:ind w:left="-5" w:right="15"/>
      </w:pPr>
      <w:r>
        <w:t xml:space="preserve">Bimatoprosts mēreni izplatās ķermeņa audos un sistēmiskais izplatīšanas tilpums cilvēkam miera stāvoklī ir 0,67 l/kg. Cilvēka asinīs bimatoprosts galvenokārt atrodas plazmā. Saistīšanās ar plazmas proteīnu bimatoprostam ir aptuveni 88%. </w:t>
      </w:r>
    </w:p>
    <w:p w14:paraId="4F30FB08" w14:textId="77777777" w:rsidR="00834D31" w:rsidRDefault="00834D31" w:rsidP="00834D31">
      <w:pPr>
        <w:spacing w:after="26" w:line="259" w:lineRule="auto"/>
        <w:ind w:left="0" w:firstLine="0"/>
      </w:pPr>
      <w:r>
        <w:t xml:space="preserve"> </w:t>
      </w:r>
    </w:p>
    <w:p w14:paraId="251B4E08" w14:textId="77777777" w:rsidR="00834D31" w:rsidRDefault="00834D31" w:rsidP="00834D31">
      <w:pPr>
        <w:ind w:left="-5" w:right="15"/>
      </w:pPr>
      <w:r>
        <w:t xml:space="preserve">Bimatoprosts, pēc okulāras devas ievadīšanas sasniedzot sistēmisku cirkulāciju, asinsritē atrodas galvenokārt neizmainītā formā. Pēc tam bimatoprosts ir pakļauts oksidācijai, N-deetilācijai un glikuronidācijai, veidojot daudz dažādu metabolītu. </w:t>
      </w:r>
    </w:p>
    <w:p w14:paraId="238D4081" w14:textId="77777777" w:rsidR="00834D31" w:rsidRDefault="00834D31" w:rsidP="00834D31">
      <w:pPr>
        <w:spacing w:after="18" w:line="259" w:lineRule="auto"/>
        <w:ind w:left="0" w:firstLine="0"/>
      </w:pPr>
      <w:r>
        <w:t xml:space="preserve"> </w:t>
      </w:r>
    </w:p>
    <w:p w14:paraId="7CF06628" w14:textId="7D562DE6" w:rsidR="00834D31" w:rsidRDefault="00834D31" w:rsidP="00834D31">
      <w:pPr>
        <w:ind w:left="-5" w:right="15"/>
      </w:pPr>
      <w:r>
        <w:t>Bimatoprosts tiek izvadīts galvenokārt caur nierēm, līdz pat 67% intravenozas devas, kas ievadīta veseliem brīvprātīgajiem, tika izvadīti ar urīnu, 25% no devas tika izvadīti ar fēcēm. Pēc intravenozās ievadīšanas noteiktais eliminācijas pusperiods bija aptuveni 45 minūtes, t</w:t>
      </w:r>
      <w:r w:rsidR="00003DC8">
        <w:t>otālais asins klīrenss bija 1,5 </w:t>
      </w:r>
      <w:r>
        <w:t xml:space="preserve">l/stundā/kg. </w:t>
      </w:r>
    </w:p>
    <w:p w14:paraId="2D8C0FCF" w14:textId="77777777" w:rsidR="00834D31" w:rsidRDefault="00834D31" w:rsidP="00834D31">
      <w:pPr>
        <w:spacing w:after="18" w:line="259" w:lineRule="auto"/>
        <w:ind w:left="0" w:firstLine="0"/>
      </w:pPr>
      <w:r>
        <w:t xml:space="preserve"> </w:t>
      </w:r>
    </w:p>
    <w:p w14:paraId="714734AA" w14:textId="77777777" w:rsidR="00834D31" w:rsidRDefault="00834D31" w:rsidP="00834D31">
      <w:pPr>
        <w:pStyle w:val="Heading2"/>
        <w:spacing w:after="32"/>
        <w:ind w:left="-5"/>
      </w:pPr>
      <w:r>
        <w:t>Īpatnības gados vecākiem cilvēkiem</w:t>
      </w:r>
      <w:r>
        <w:rPr>
          <w:i/>
          <w:u w:val="none"/>
        </w:rPr>
        <w:t xml:space="preserve"> </w:t>
      </w:r>
    </w:p>
    <w:p w14:paraId="53BC4E00" w14:textId="77777777" w:rsidR="00834D31" w:rsidRDefault="00834D31" w:rsidP="00834D31">
      <w:pPr>
        <w:ind w:left="-5" w:right="15"/>
      </w:pPr>
      <w:r>
        <w:t>Pēc devas, kas ievadīta divreiz dienā, vidējā AUC</w:t>
      </w:r>
      <w:r>
        <w:rPr>
          <w:vertAlign w:val="subscript"/>
        </w:rPr>
        <w:t>0-24st</w:t>
      </w:r>
      <w:r>
        <w:t xml:space="preserve"> vērtība 0,0634 ng</w:t>
      </w:r>
      <w:r w:rsidRPr="003F2EA0">
        <w:rPr>
          <w:rFonts w:ascii="Symbol" w:eastAsia="Segoe UI Symbol" w:hAnsi="Symbol" w:cs="Segoe UI Symbol"/>
        </w:rPr>
        <w:t></w:t>
      </w:r>
      <w:r>
        <w:t>stundā/ml bimatoprosta vecākiem cilvēkiem (65 gadi un vecāki) bija būtiski augstāka par šo vērtību jauniem, veseliem, pieaugušiem cilvēkiem – 0,0218 ng</w:t>
      </w:r>
      <w:r w:rsidRPr="003F2EA0">
        <w:rPr>
          <w:rFonts w:ascii="Symbol" w:eastAsia="Segoe UI Symbol" w:hAnsi="Symbol" w:cs="Segoe UI Symbol"/>
        </w:rPr>
        <w:t></w:t>
      </w:r>
      <w:r>
        <w:t xml:space="preserve">stundā/ml. Tomēr šie lielumi pēc okulāras ievadīšanas nav klīniski nozīmīgi, jo sistēmiska ekspozīcija ir ļoti zema gan veciem, gan jauniem cilvēkiem. Nenotiek bimatoprosta akumulēšanās asinīs pēc ilgāka laika, un drošības līmenis ir līdzīgs gan jauniem, gan vecākiem cilvēkiem. </w:t>
      </w:r>
    </w:p>
    <w:p w14:paraId="7A0933BB" w14:textId="77777777" w:rsidR="00834D31" w:rsidRDefault="00834D31" w:rsidP="00834D31">
      <w:pPr>
        <w:spacing w:after="0" w:line="259" w:lineRule="auto"/>
        <w:ind w:left="0" w:firstLine="0"/>
      </w:pPr>
      <w:r>
        <w:t xml:space="preserve"> </w:t>
      </w:r>
    </w:p>
    <w:p w14:paraId="4E12960D" w14:textId="77777777" w:rsidR="00834D31" w:rsidRDefault="00834D31" w:rsidP="00834D31">
      <w:pPr>
        <w:pStyle w:val="Heading2"/>
        <w:ind w:left="-5"/>
      </w:pPr>
      <w:r>
        <w:t>Timolols</w:t>
      </w:r>
      <w:r>
        <w:rPr>
          <w:i/>
          <w:u w:val="none"/>
        </w:rPr>
        <w:t xml:space="preserve"> </w:t>
      </w:r>
    </w:p>
    <w:p w14:paraId="3A135A26" w14:textId="77777777" w:rsidR="00834D31" w:rsidRDefault="00834D31" w:rsidP="00834D31">
      <w:pPr>
        <w:ind w:left="-5" w:right="15"/>
      </w:pPr>
      <w:r>
        <w:t xml:space="preserve">Pēc 0,5% acu pilienu šķīduma okulāras ievadīšanas cilvēkiem, kuri pārcieš kataraktas operāciju, vienu stundu pēc devas ievadīšanas maksimālā timolola koncentrācija acs iekšējā šķidrumā bija 898 ng/ml. Daļa devas uzsūcas sistēmiski, kur tā plaši metabolizējas aknās. Timolola pusperiods aknās ir apmēram no 4 līdz 6 stundām. Timolols daļēji metabolizējas aknās, timololu un tā metabolītus izvadot caur nierēm. Timolols plaši nesaistās ar plazmu. </w:t>
      </w:r>
    </w:p>
    <w:p w14:paraId="13762D16" w14:textId="77777777" w:rsidR="00834D31" w:rsidRDefault="00834D31" w:rsidP="00834D31">
      <w:pPr>
        <w:spacing w:after="23" w:line="259" w:lineRule="auto"/>
        <w:ind w:left="0" w:firstLine="0"/>
      </w:pPr>
      <w:r>
        <w:t xml:space="preserve"> </w:t>
      </w:r>
    </w:p>
    <w:p w14:paraId="37AC7132" w14:textId="77777777" w:rsidR="00834D31" w:rsidRDefault="00834D31" w:rsidP="00834D31">
      <w:pPr>
        <w:tabs>
          <w:tab w:val="center" w:pos="1991"/>
        </w:tabs>
        <w:spacing w:after="14" w:line="249" w:lineRule="auto"/>
        <w:ind w:left="-15" w:firstLine="0"/>
      </w:pPr>
      <w:r>
        <w:rPr>
          <w:b/>
        </w:rPr>
        <w:t xml:space="preserve">5.3. </w:t>
      </w:r>
      <w:r>
        <w:rPr>
          <w:b/>
        </w:rPr>
        <w:tab/>
        <w:t>Preklīniskie dati par drošumu</w:t>
      </w:r>
      <w:r>
        <w:t xml:space="preserve"> </w:t>
      </w:r>
    </w:p>
    <w:p w14:paraId="6D7F5A96" w14:textId="77777777" w:rsidR="00834D31" w:rsidRDefault="00834D31" w:rsidP="00834D31">
      <w:pPr>
        <w:spacing w:after="0" w:line="259" w:lineRule="auto"/>
        <w:ind w:left="0" w:firstLine="0"/>
      </w:pPr>
      <w:r>
        <w:t xml:space="preserve"> </w:t>
      </w:r>
    </w:p>
    <w:p w14:paraId="49C31B03" w14:textId="03F1A11A" w:rsidR="00834D31" w:rsidRDefault="00424560" w:rsidP="00834D31">
      <w:pPr>
        <w:pStyle w:val="Heading2"/>
        <w:ind w:left="-5"/>
      </w:pPr>
      <w:r>
        <w:t>Bimatoprost/Timolol Mylan</w:t>
      </w:r>
      <w:r w:rsidR="00834D31">
        <w:t xml:space="preserve"> zāles</w:t>
      </w:r>
      <w:r w:rsidR="00834D31">
        <w:rPr>
          <w:u w:val="none"/>
        </w:rPr>
        <w:t xml:space="preserve"> </w:t>
      </w:r>
    </w:p>
    <w:p w14:paraId="5CF018EE" w14:textId="54437115" w:rsidR="00834D31" w:rsidRDefault="00834D31" w:rsidP="00834D31">
      <w:pPr>
        <w:ind w:left="-5" w:right="15"/>
      </w:pPr>
      <w:r>
        <w:t>Atkārtotas okulāras devas toksicitātes pētījumi ar bimatoprostu/timololu neparādīja kādu īpašu risku cilvēkiem. Atsevišķu sastāvdaļu okulārais un sistēmiskais droš</w:t>
      </w:r>
      <w:r w:rsidR="002B7D9F">
        <w:t>uma</w:t>
      </w:r>
      <w:r>
        <w:t xml:space="preserve"> līmenis ir labi zināms. </w:t>
      </w:r>
    </w:p>
    <w:p w14:paraId="01F9504F" w14:textId="77777777" w:rsidR="00834D31" w:rsidRDefault="00834D31" w:rsidP="00834D31">
      <w:pPr>
        <w:spacing w:after="0" w:line="259" w:lineRule="auto"/>
        <w:ind w:left="0" w:firstLine="0"/>
      </w:pPr>
    </w:p>
    <w:p w14:paraId="548AA51D" w14:textId="77777777" w:rsidR="00834D31" w:rsidRDefault="00834D31" w:rsidP="00834D31">
      <w:pPr>
        <w:pStyle w:val="Heading2"/>
        <w:ind w:left="-5"/>
      </w:pPr>
      <w:r>
        <w:t>Bimatoprosts</w:t>
      </w:r>
      <w:r>
        <w:rPr>
          <w:i/>
          <w:u w:val="none"/>
        </w:rPr>
        <w:t xml:space="preserve"> </w:t>
      </w:r>
    </w:p>
    <w:p w14:paraId="65ED2F23" w14:textId="78E699B2" w:rsidR="00834D31" w:rsidRDefault="00834D31" w:rsidP="00834D31">
      <w:pPr>
        <w:ind w:left="-5" w:right="15"/>
      </w:pPr>
      <w:r>
        <w:t xml:space="preserve">Neklīniskajos standartpētījumos iegūtie dati par farmakoloģisko drošumu, genotoksicitāti, iespējamu kancerogenitāti neliecina par īpašu risku cilvēkam. Pētījumos grauzējiem tika izraisīti </w:t>
      </w:r>
      <w:r w:rsidR="00A37E62">
        <w:t xml:space="preserve">sugai specifiski </w:t>
      </w:r>
      <w:r>
        <w:t xml:space="preserve">aborti ar sistēmiskām devām, kas no 33 līdz 97 reizēm pārsniedza cilvēkiem ievadītās okulārās devas. </w:t>
      </w:r>
    </w:p>
    <w:p w14:paraId="57364E3F" w14:textId="77777777" w:rsidR="00834D31" w:rsidRDefault="00834D31" w:rsidP="00834D31">
      <w:pPr>
        <w:spacing w:after="0" w:line="259" w:lineRule="auto"/>
        <w:ind w:left="0" w:firstLine="0"/>
      </w:pPr>
    </w:p>
    <w:p w14:paraId="59649C61" w14:textId="3A560FFD" w:rsidR="00834D31" w:rsidRDefault="00834D31" w:rsidP="00834D31">
      <w:pPr>
        <w:ind w:left="-5" w:right="15"/>
      </w:pPr>
      <w:r>
        <w:lastRenderedPageBreak/>
        <w:t xml:space="preserve">Pērtiķiem, kuriem bimatoprostu ievadīja okulāri ik dienas 1 gada laikā </w:t>
      </w:r>
      <w:r w:rsidRPr="007E056B">
        <w:rPr>
          <w:rFonts w:ascii="Symbol" w:eastAsia="Segoe UI Symbol" w:hAnsi="Symbol" w:cs="Segoe UI Symbol"/>
        </w:rPr>
        <w:t></w:t>
      </w:r>
      <w:r>
        <w:t xml:space="preserve">0,03% koncentrācijā, pastiprinājās varavīksnenes pigmentācija un radās atgriezeniski devas atkarīgi periokulāri efekti, kurus raksturoja apakšējās un/vai augšējās rievas izvirzīšanās un </w:t>
      </w:r>
      <w:r w:rsidR="00E24547">
        <w:t>acs</w:t>
      </w:r>
      <w:r>
        <w:t xml:space="preserve"> spraugas paplašināšanās. Pastiprinātā varavīksnenes pigmentācija, visticamāk, rodas, pastiprināti stimulējot melanīna veidošanos melanocītos, nevis palielinoties melanocītu skaitam. Netika novērotas nekādas funkcionālas vai mikroskopiskas izmaiņas, kas saistītas ar minētajiem periokulārajiem efektiem, un šo izmaiņu mehānisms nav zināms. </w:t>
      </w:r>
    </w:p>
    <w:p w14:paraId="03D018BF" w14:textId="77777777" w:rsidR="00834D31" w:rsidRDefault="00834D31" w:rsidP="00834D31">
      <w:pPr>
        <w:spacing w:after="0" w:line="259" w:lineRule="auto"/>
        <w:ind w:left="0" w:firstLine="0"/>
      </w:pPr>
    </w:p>
    <w:p w14:paraId="61521341" w14:textId="77777777" w:rsidR="00834D31" w:rsidRDefault="00834D31" w:rsidP="00834D31">
      <w:pPr>
        <w:pStyle w:val="Heading2"/>
        <w:ind w:left="-5"/>
      </w:pPr>
      <w:r>
        <w:t>Timolols</w:t>
      </w:r>
      <w:r>
        <w:rPr>
          <w:i/>
          <w:u w:val="none"/>
        </w:rPr>
        <w:t xml:space="preserve"> </w:t>
      </w:r>
    </w:p>
    <w:p w14:paraId="24B98379" w14:textId="77777777" w:rsidR="00834D31" w:rsidRDefault="00834D31" w:rsidP="00834D31">
      <w:pPr>
        <w:ind w:left="-5" w:right="15"/>
      </w:pPr>
      <w:r>
        <w:t xml:space="preserve">Neklīniskajos standartpētījumos iegūtie dati par farmakoloģisko drošumu, atkārtotu devu toksicitāti, genotoksicitāti, iespējamu kancerogenitāti un toksisku ietekmi uz reproduktivitāti neliecina par īpašu risku cilvēkam. </w:t>
      </w:r>
    </w:p>
    <w:p w14:paraId="7BF59125" w14:textId="77777777" w:rsidR="00834D31" w:rsidRDefault="00834D31" w:rsidP="00834D31">
      <w:pPr>
        <w:tabs>
          <w:tab w:val="left" w:pos="1275"/>
        </w:tabs>
        <w:spacing w:after="0" w:line="259" w:lineRule="auto"/>
        <w:ind w:left="0" w:firstLine="0"/>
      </w:pPr>
    </w:p>
    <w:p w14:paraId="16CE30A1" w14:textId="77777777" w:rsidR="00834D31" w:rsidRDefault="00834D31" w:rsidP="00834D31">
      <w:pPr>
        <w:tabs>
          <w:tab w:val="left" w:pos="1275"/>
        </w:tabs>
        <w:spacing w:after="0" w:line="259" w:lineRule="auto"/>
        <w:ind w:left="0" w:firstLine="0"/>
      </w:pPr>
    </w:p>
    <w:p w14:paraId="7F2C5173" w14:textId="77777777" w:rsidR="00834D31" w:rsidRDefault="00834D31" w:rsidP="00834D31">
      <w:pPr>
        <w:pStyle w:val="Heading1"/>
        <w:tabs>
          <w:tab w:val="center" w:pos="2340"/>
        </w:tabs>
        <w:ind w:left="-15" w:firstLine="0"/>
      </w:pPr>
      <w:r>
        <w:t>6.</w:t>
      </w:r>
      <w:r>
        <w:tab/>
        <w:t xml:space="preserve">FARMACEITISKĀ INFORMĀCIJA </w:t>
      </w:r>
    </w:p>
    <w:p w14:paraId="623D951F" w14:textId="77777777" w:rsidR="00834D31" w:rsidRDefault="00834D31" w:rsidP="00834D31">
      <w:pPr>
        <w:spacing w:after="26" w:line="259" w:lineRule="auto"/>
        <w:ind w:left="0" w:firstLine="0"/>
      </w:pPr>
    </w:p>
    <w:p w14:paraId="6F8EB946" w14:textId="77777777" w:rsidR="00834D31" w:rsidRDefault="00834D31" w:rsidP="00834D31">
      <w:pPr>
        <w:pStyle w:val="Heading2"/>
        <w:tabs>
          <w:tab w:val="center" w:pos="1450"/>
        </w:tabs>
        <w:spacing w:after="14" w:line="249" w:lineRule="auto"/>
        <w:ind w:left="-15" w:firstLine="0"/>
      </w:pPr>
      <w:r>
        <w:rPr>
          <w:b/>
          <w:u w:val="none"/>
        </w:rPr>
        <w:t xml:space="preserve">6.1. </w:t>
      </w:r>
      <w:r>
        <w:rPr>
          <w:b/>
          <w:u w:val="none"/>
        </w:rPr>
        <w:tab/>
        <w:t>Palīgvielu saraksts</w:t>
      </w:r>
      <w:r>
        <w:rPr>
          <w:u w:val="none"/>
        </w:rPr>
        <w:t xml:space="preserve"> </w:t>
      </w:r>
    </w:p>
    <w:p w14:paraId="5166ABAA" w14:textId="77777777" w:rsidR="00834D31" w:rsidRDefault="00834D31" w:rsidP="00834D31">
      <w:pPr>
        <w:spacing w:after="25" w:line="259" w:lineRule="auto"/>
        <w:ind w:left="0" w:firstLine="0"/>
      </w:pPr>
    </w:p>
    <w:p w14:paraId="6AD46EB3" w14:textId="77777777" w:rsidR="00834D31" w:rsidRDefault="00834D31" w:rsidP="00834D31">
      <w:pPr>
        <w:ind w:left="-5" w:right="15"/>
      </w:pPr>
      <w:r>
        <w:t xml:space="preserve">Benzalkonija hlorīds </w:t>
      </w:r>
    </w:p>
    <w:p w14:paraId="72A7AFFA" w14:textId="77777777" w:rsidR="00834D31" w:rsidRDefault="00834D31" w:rsidP="00834D31">
      <w:pPr>
        <w:ind w:left="-5" w:right="15"/>
      </w:pPr>
      <w:r>
        <w:t xml:space="preserve">Nātrija hlorīds </w:t>
      </w:r>
    </w:p>
    <w:p w14:paraId="2616F9D7" w14:textId="4C83E8B3" w:rsidR="00834D31" w:rsidRDefault="006E4FF8" w:rsidP="00834D31">
      <w:pPr>
        <w:ind w:left="-5" w:right="15"/>
      </w:pPr>
      <w:r>
        <w:t>N</w:t>
      </w:r>
      <w:r w:rsidR="00834D31">
        <w:t xml:space="preserve">ātrija </w:t>
      </w:r>
      <w:r>
        <w:t>hidrogēn</w:t>
      </w:r>
      <w:r w:rsidR="00834D31">
        <w:t xml:space="preserve">fosfāta heptahidrāts </w:t>
      </w:r>
    </w:p>
    <w:p w14:paraId="5A7B75DC" w14:textId="77777777" w:rsidR="00834D31" w:rsidRDefault="00834D31" w:rsidP="00834D31">
      <w:pPr>
        <w:ind w:left="-5" w:right="15"/>
      </w:pPr>
      <w:r>
        <w:t xml:space="preserve">Citronskābes monohidrāts </w:t>
      </w:r>
    </w:p>
    <w:p w14:paraId="4D656112" w14:textId="43587C3F" w:rsidR="00834D31" w:rsidRDefault="00834D31" w:rsidP="00834D31">
      <w:pPr>
        <w:ind w:left="-5" w:right="15"/>
      </w:pPr>
      <w:r>
        <w:t>Sālsskābe vai nātrija hidroksīds (pH</w:t>
      </w:r>
      <w:r w:rsidR="0012216A">
        <w:t xml:space="preserve"> regulēšanai</w:t>
      </w:r>
      <w:r>
        <w:t xml:space="preserve">) </w:t>
      </w:r>
    </w:p>
    <w:p w14:paraId="4549DBCF" w14:textId="77777777" w:rsidR="00834D31" w:rsidRDefault="00834D31" w:rsidP="00834D31">
      <w:pPr>
        <w:ind w:left="-5" w:right="15"/>
      </w:pPr>
      <w:r>
        <w:t xml:space="preserve">Attīrīts ūdens </w:t>
      </w:r>
    </w:p>
    <w:p w14:paraId="3D828019" w14:textId="77777777" w:rsidR="00834D31" w:rsidRDefault="00834D31" w:rsidP="00834D31">
      <w:pPr>
        <w:spacing w:after="10" w:line="259" w:lineRule="auto"/>
        <w:ind w:left="0" w:firstLine="0"/>
      </w:pPr>
    </w:p>
    <w:p w14:paraId="52790823" w14:textId="77777777" w:rsidR="00834D31" w:rsidRDefault="00834D31" w:rsidP="00834D31">
      <w:pPr>
        <w:tabs>
          <w:tab w:val="center" w:pos="1100"/>
        </w:tabs>
        <w:spacing w:after="14" w:line="249" w:lineRule="auto"/>
        <w:ind w:left="-15" w:firstLine="0"/>
      </w:pPr>
      <w:r>
        <w:rPr>
          <w:b/>
        </w:rPr>
        <w:t xml:space="preserve">6.2. </w:t>
      </w:r>
      <w:r>
        <w:rPr>
          <w:b/>
        </w:rPr>
        <w:tab/>
        <w:t>Nesaderība</w:t>
      </w:r>
      <w:r>
        <w:t xml:space="preserve"> </w:t>
      </w:r>
    </w:p>
    <w:p w14:paraId="083A0461" w14:textId="77777777" w:rsidR="00834D31" w:rsidRDefault="00834D31" w:rsidP="00834D31">
      <w:pPr>
        <w:spacing w:after="25" w:line="259" w:lineRule="auto"/>
        <w:ind w:left="0" w:firstLine="0"/>
      </w:pPr>
    </w:p>
    <w:p w14:paraId="34C6B2AA" w14:textId="77777777" w:rsidR="00834D31" w:rsidRDefault="00834D31" w:rsidP="00834D31">
      <w:pPr>
        <w:ind w:left="-5" w:right="15"/>
      </w:pPr>
      <w:r>
        <w:t xml:space="preserve">Nav piemērojama. </w:t>
      </w:r>
    </w:p>
    <w:p w14:paraId="45C0EACA" w14:textId="77777777" w:rsidR="00834D31" w:rsidRDefault="00834D31" w:rsidP="00834D31">
      <w:pPr>
        <w:spacing w:after="26" w:line="259" w:lineRule="auto"/>
        <w:ind w:left="0" w:firstLine="0"/>
      </w:pPr>
    </w:p>
    <w:p w14:paraId="14FC28B8" w14:textId="77777777" w:rsidR="00834D31" w:rsidRDefault="00834D31" w:rsidP="00834D31">
      <w:pPr>
        <w:pStyle w:val="Heading2"/>
        <w:tabs>
          <w:tab w:val="center" w:pos="1459"/>
        </w:tabs>
        <w:spacing w:after="14" w:line="249" w:lineRule="auto"/>
        <w:ind w:left="-15" w:firstLine="0"/>
      </w:pPr>
      <w:r>
        <w:rPr>
          <w:b/>
          <w:u w:val="none"/>
        </w:rPr>
        <w:t xml:space="preserve">6.3. </w:t>
      </w:r>
      <w:r>
        <w:rPr>
          <w:b/>
          <w:u w:val="none"/>
        </w:rPr>
        <w:tab/>
        <w:t>Uzglabāšanas laiks</w:t>
      </w:r>
      <w:r>
        <w:rPr>
          <w:u w:val="none"/>
        </w:rPr>
        <w:t xml:space="preserve"> </w:t>
      </w:r>
    </w:p>
    <w:p w14:paraId="28B2CC73" w14:textId="77777777" w:rsidR="00834D31" w:rsidRDefault="00834D31" w:rsidP="00834D31">
      <w:pPr>
        <w:spacing w:after="0" w:line="259" w:lineRule="auto"/>
        <w:ind w:left="0" w:firstLine="0"/>
      </w:pPr>
    </w:p>
    <w:p w14:paraId="6E5A14B1" w14:textId="77777777" w:rsidR="00834D31" w:rsidRDefault="00834D31" w:rsidP="00834D31">
      <w:pPr>
        <w:ind w:left="-5" w:right="15"/>
      </w:pPr>
      <w:r>
        <w:t xml:space="preserve">3 gadi </w:t>
      </w:r>
    </w:p>
    <w:p w14:paraId="10D8BDFE" w14:textId="77777777" w:rsidR="00834D31" w:rsidRDefault="00834D31" w:rsidP="00834D31">
      <w:pPr>
        <w:spacing w:after="41" w:line="259" w:lineRule="auto"/>
        <w:ind w:left="0" w:firstLine="0"/>
      </w:pPr>
    </w:p>
    <w:p w14:paraId="65FD7E21" w14:textId="77777777" w:rsidR="00834D31" w:rsidRDefault="00834D31" w:rsidP="00834D31">
      <w:pPr>
        <w:spacing w:after="29" w:line="259" w:lineRule="auto"/>
        <w:ind w:left="0" w:firstLine="0"/>
      </w:pPr>
      <w:r>
        <w:t>4 nedēļas pēc pirmās atvēršanas.</w:t>
      </w:r>
    </w:p>
    <w:p w14:paraId="48DCB56B" w14:textId="77777777" w:rsidR="00834D31" w:rsidRDefault="00834D31" w:rsidP="00834D31">
      <w:pPr>
        <w:spacing w:after="29" w:line="259" w:lineRule="auto"/>
        <w:ind w:left="0" w:firstLine="0"/>
      </w:pPr>
    </w:p>
    <w:p w14:paraId="5628A642" w14:textId="77777777" w:rsidR="00834D31" w:rsidRDefault="00834D31" w:rsidP="00834D31">
      <w:pPr>
        <w:tabs>
          <w:tab w:val="center" w:pos="1997"/>
        </w:tabs>
        <w:spacing w:after="14" w:line="249" w:lineRule="auto"/>
        <w:ind w:left="-15" w:firstLine="0"/>
      </w:pPr>
      <w:r>
        <w:rPr>
          <w:b/>
        </w:rPr>
        <w:t xml:space="preserve">6.4. </w:t>
      </w:r>
      <w:r>
        <w:rPr>
          <w:b/>
        </w:rPr>
        <w:tab/>
        <w:t>Īpaši uzglabāšanas nosacījumi</w:t>
      </w:r>
      <w:r>
        <w:t xml:space="preserve"> </w:t>
      </w:r>
    </w:p>
    <w:p w14:paraId="707F0A64" w14:textId="77777777" w:rsidR="00834D31" w:rsidRDefault="00834D31" w:rsidP="00834D31">
      <w:pPr>
        <w:spacing w:after="26" w:line="259" w:lineRule="auto"/>
        <w:ind w:left="0" w:firstLine="0"/>
      </w:pPr>
      <w:r>
        <w:t xml:space="preserve"> </w:t>
      </w:r>
    </w:p>
    <w:p w14:paraId="54BE850E" w14:textId="77777777" w:rsidR="00834D31" w:rsidRDefault="00834D31" w:rsidP="00834D31">
      <w:pPr>
        <w:ind w:left="-5" w:right="15"/>
      </w:pPr>
      <w:r>
        <w:t xml:space="preserve">Šīm zālēm nav nepieciešami īpaši uzglabāšanas apstākļi. </w:t>
      </w:r>
    </w:p>
    <w:p w14:paraId="2C034520" w14:textId="77777777" w:rsidR="00834D31" w:rsidRDefault="00834D31" w:rsidP="00834D31">
      <w:pPr>
        <w:spacing w:after="0" w:line="259" w:lineRule="auto"/>
        <w:ind w:left="0" w:firstLine="0"/>
      </w:pPr>
    </w:p>
    <w:p w14:paraId="147FAAB4" w14:textId="77777777" w:rsidR="00834D31" w:rsidRDefault="00834D31" w:rsidP="00834D31">
      <w:pPr>
        <w:pStyle w:val="Heading2"/>
        <w:tabs>
          <w:tab w:val="center" w:pos="1871"/>
        </w:tabs>
        <w:spacing w:after="14" w:line="249" w:lineRule="auto"/>
        <w:ind w:left="-15" w:firstLine="0"/>
      </w:pPr>
      <w:r>
        <w:rPr>
          <w:b/>
          <w:u w:val="none"/>
        </w:rPr>
        <w:t xml:space="preserve">6.5. </w:t>
      </w:r>
      <w:r>
        <w:rPr>
          <w:b/>
          <w:u w:val="none"/>
        </w:rPr>
        <w:tab/>
        <w:t>Iepakojuma veids un saturs</w:t>
      </w:r>
      <w:r>
        <w:rPr>
          <w:u w:val="none"/>
        </w:rPr>
        <w:t xml:space="preserve"> </w:t>
      </w:r>
    </w:p>
    <w:p w14:paraId="00C47936" w14:textId="77777777" w:rsidR="00834D31" w:rsidRDefault="00834D31" w:rsidP="00834D31">
      <w:pPr>
        <w:spacing w:after="26" w:line="259" w:lineRule="auto"/>
        <w:ind w:left="0" w:firstLine="0"/>
      </w:pPr>
    </w:p>
    <w:p w14:paraId="0C6ABA7A" w14:textId="0F496950" w:rsidR="00834D31" w:rsidRDefault="00834D31" w:rsidP="00834D31">
      <w:pPr>
        <w:ind w:left="-5" w:right="15"/>
      </w:pPr>
      <w:r>
        <w:t xml:space="preserve">Baltas ZBPE pudeles ar tumši zilu </w:t>
      </w:r>
      <w:r w:rsidR="008C405D" w:rsidRPr="008C405D">
        <w:t xml:space="preserve">līdz pirmajai atvēršanai nodrošinātu </w:t>
      </w:r>
      <w:r>
        <w:t>ABPE uzskrūvējamu vāciņu un baltu ZBPE</w:t>
      </w:r>
      <w:r w:rsidR="006004C6">
        <w:t xml:space="preserve"> </w:t>
      </w:r>
      <w:r>
        <w:t>pi</w:t>
      </w:r>
      <w:r w:rsidR="00F1267C">
        <w:t>linātāju</w:t>
      </w:r>
      <w:r>
        <w:t xml:space="preserve">. </w:t>
      </w:r>
    </w:p>
    <w:p w14:paraId="75809417" w14:textId="77777777" w:rsidR="00834D31" w:rsidRDefault="00834D31" w:rsidP="00834D31">
      <w:pPr>
        <w:ind w:left="-5" w:right="15"/>
      </w:pPr>
      <w:r>
        <w:t xml:space="preserve">Katrā pudelē ir 3 ml preparāta. </w:t>
      </w:r>
    </w:p>
    <w:p w14:paraId="65AADDA0" w14:textId="77777777" w:rsidR="008C405D" w:rsidRDefault="0012216A" w:rsidP="00834D31">
      <w:pPr>
        <w:ind w:left="-5" w:right="15"/>
      </w:pPr>
      <w:r>
        <w:t>Ir pieejami</w:t>
      </w:r>
      <w:r w:rsidR="00834D31">
        <w:t xml:space="preserve"> šādi </w:t>
      </w:r>
      <w:r>
        <w:t>iepakojumi</w:t>
      </w:r>
      <w:r w:rsidR="00834D31">
        <w:t xml:space="preserve">: </w:t>
      </w:r>
    </w:p>
    <w:p w14:paraId="787B790B" w14:textId="5544DB08" w:rsidR="00834D31" w:rsidRDefault="00834D31" w:rsidP="00A27731">
      <w:pPr>
        <w:numPr>
          <w:ilvl w:val="0"/>
          <w:numId w:val="1"/>
        </w:numPr>
        <w:ind w:left="540" w:right="15" w:hanging="540"/>
      </w:pPr>
      <w:r>
        <w:t>kartona kastītes ar 1 vai 3 pudelēm</w:t>
      </w:r>
      <w:r w:rsidR="00B66F33">
        <w:t xml:space="preserve"> šķīduma</w:t>
      </w:r>
      <w:r>
        <w:t xml:space="preserve">. </w:t>
      </w:r>
    </w:p>
    <w:p w14:paraId="39122F12" w14:textId="77777777" w:rsidR="008C405D" w:rsidRDefault="008C405D" w:rsidP="00A27731">
      <w:pPr>
        <w:pStyle w:val="ListParagraph"/>
        <w:ind w:right="15" w:firstLine="0"/>
      </w:pPr>
    </w:p>
    <w:p w14:paraId="33DF9FC5" w14:textId="77777777" w:rsidR="00834D31" w:rsidRDefault="00834D31" w:rsidP="00834D31">
      <w:pPr>
        <w:ind w:left="-5" w:right="15"/>
      </w:pPr>
      <w:r>
        <w:t xml:space="preserve">Visi iepakojuma lielumi tirgū var nebūt pieejami. </w:t>
      </w:r>
    </w:p>
    <w:p w14:paraId="25011D50" w14:textId="77777777" w:rsidR="00834D31" w:rsidRDefault="00834D31" w:rsidP="00834D31">
      <w:pPr>
        <w:spacing w:after="30" w:line="259" w:lineRule="auto"/>
        <w:ind w:left="0" w:firstLine="0"/>
      </w:pPr>
    </w:p>
    <w:p w14:paraId="36CE4A40" w14:textId="77777777" w:rsidR="00834D31" w:rsidRDefault="00834D31" w:rsidP="00834D31">
      <w:pPr>
        <w:tabs>
          <w:tab w:val="center" w:pos="2470"/>
        </w:tabs>
        <w:spacing w:after="14" w:line="249" w:lineRule="auto"/>
        <w:ind w:left="-15" w:firstLine="0"/>
      </w:pPr>
      <w:r>
        <w:rPr>
          <w:b/>
        </w:rPr>
        <w:t xml:space="preserve">6.6. </w:t>
      </w:r>
      <w:r>
        <w:rPr>
          <w:b/>
        </w:rPr>
        <w:tab/>
        <w:t>Īpaši norādījumi atkritumu likvidēšanai</w:t>
      </w:r>
      <w:r>
        <w:t xml:space="preserve"> </w:t>
      </w:r>
    </w:p>
    <w:p w14:paraId="230337F8" w14:textId="77777777" w:rsidR="00834D31" w:rsidRDefault="00834D31" w:rsidP="00834D31">
      <w:pPr>
        <w:spacing w:after="25" w:line="259" w:lineRule="auto"/>
        <w:ind w:left="0" w:firstLine="0"/>
      </w:pPr>
    </w:p>
    <w:p w14:paraId="49600883" w14:textId="323B0687" w:rsidR="00834D31" w:rsidRDefault="006D0EBC" w:rsidP="00834D31">
      <w:pPr>
        <w:spacing w:after="0" w:line="259" w:lineRule="auto"/>
        <w:ind w:left="0" w:firstLine="0"/>
      </w:pPr>
      <w:r w:rsidRPr="00A27731">
        <w:t>Neizlietotās zāles vai</w:t>
      </w:r>
      <w:r w:rsidR="004A53C5">
        <w:t xml:space="preserve"> </w:t>
      </w:r>
      <w:r w:rsidRPr="00A27731">
        <w:t>izlietotie materiāli jāiznicina atbilstoši vietējām prasībām.</w:t>
      </w:r>
      <w:r w:rsidDel="006D0EBC">
        <w:t xml:space="preserve"> </w:t>
      </w:r>
    </w:p>
    <w:p w14:paraId="043369A7" w14:textId="77777777" w:rsidR="00834D31" w:rsidRDefault="00834D31" w:rsidP="00834D31">
      <w:pPr>
        <w:spacing w:after="0" w:line="259" w:lineRule="auto"/>
        <w:ind w:left="0" w:firstLine="0"/>
      </w:pPr>
    </w:p>
    <w:p w14:paraId="4368D9E6" w14:textId="77777777" w:rsidR="00834D31" w:rsidRDefault="00834D31" w:rsidP="00834D31">
      <w:pPr>
        <w:pStyle w:val="Heading1"/>
        <w:tabs>
          <w:tab w:val="center" w:pos="2782"/>
        </w:tabs>
        <w:ind w:left="-15" w:firstLine="0"/>
      </w:pPr>
      <w:r>
        <w:t xml:space="preserve">7. </w:t>
      </w:r>
      <w:r>
        <w:tab/>
        <w:t>REĢISTRĀCIJAS APLIECĪBAS ĪPAŠNIEKS</w:t>
      </w:r>
      <w:r>
        <w:rPr>
          <w:b w:val="0"/>
        </w:rPr>
        <w:t xml:space="preserve"> </w:t>
      </w:r>
    </w:p>
    <w:p w14:paraId="287C292B" w14:textId="77777777" w:rsidR="00834D31" w:rsidRDefault="00834D31" w:rsidP="00834D31">
      <w:pPr>
        <w:spacing w:after="0" w:line="259" w:lineRule="auto"/>
        <w:ind w:left="0" w:firstLine="0"/>
      </w:pPr>
    </w:p>
    <w:p w14:paraId="7770D021" w14:textId="77777777" w:rsidR="002F3FA3" w:rsidRPr="00512740" w:rsidRDefault="002F3FA3" w:rsidP="005E3666">
      <w:pPr>
        <w:pStyle w:val="paragraph"/>
        <w:spacing w:before="0" w:beforeAutospacing="0" w:after="0" w:afterAutospacing="0"/>
        <w:textAlignment w:val="baseline"/>
        <w:rPr>
          <w:rFonts w:ascii="Times New Roman" w:hAnsi="Times New Roman" w:cs="Times New Roman"/>
          <w:lang w:val="lv-LV"/>
        </w:rPr>
      </w:pPr>
      <w:r w:rsidRPr="00512740">
        <w:rPr>
          <w:rStyle w:val="normaltextrun"/>
          <w:rFonts w:ascii="Times New Roman" w:hAnsi="Times New Roman" w:cs="Times New Roman"/>
          <w:lang w:val="lv-LV"/>
        </w:rPr>
        <w:t>Mylan Pharmaceuticals Limited</w:t>
      </w:r>
    </w:p>
    <w:p w14:paraId="3DED7C46" w14:textId="76F442D0" w:rsidR="002F3FA3" w:rsidRPr="002F3FA3" w:rsidRDefault="002F3FA3" w:rsidP="002F3FA3">
      <w:pPr>
        <w:autoSpaceDE w:val="0"/>
        <w:autoSpaceDN w:val="0"/>
        <w:adjustRightInd w:val="0"/>
        <w:spacing w:after="0" w:line="240" w:lineRule="auto"/>
        <w:ind w:left="0" w:firstLine="0"/>
        <w:rPr>
          <w:rFonts w:eastAsiaTheme="minorHAnsi"/>
          <w:lang w:val="en-US" w:eastAsia="en-US"/>
        </w:rPr>
      </w:pPr>
      <w:r w:rsidRPr="002F3FA3">
        <w:rPr>
          <w:rFonts w:eastAsiaTheme="minorHAnsi"/>
          <w:lang w:val="en-US" w:eastAsia="en-US"/>
        </w:rPr>
        <w:t>Damastown Industrial Park</w:t>
      </w:r>
    </w:p>
    <w:p w14:paraId="5AC54DB0" w14:textId="13B41D60" w:rsidR="002F3FA3" w:rsidRPr="002F3FA3" w:rsidRDefault="002F3FA3" w:rsidP="002F3FA3">
      <w:pPr>
        <w:autoSpaceDE w:val="0"/>
        <w:autoSpaceDN w:val="0"/>
        <w:adjustRightInd w:val="0"/>
        <w:spacing w:after="0" w:line="240" w:lineRule="auto"/>
        <w:ind w:left="0" w:firstLine="0"/>
        <w:rPr>
          <w:rFonts w:eastAsiaTheme="minorHAnsi"/>
          <w:lang w:val="en-US" w:eastAsia="en-US"/>
        </w:rPr>
      </w:pPr>
      <w:r w:rsidRPr="002F3FA3">
        <w:rPr>
          <w:rFonts w:eastAsiaTheme="minorHAnsi"/>
          <w:lang w:val="en-US" w:eastAsia="en-US"/>
        </w:rPr>
        <w:t>Mulhuddart</w:t>
      </w:r>
    </w:p>
    <w:p w14:paraId="5E4244FC" w14:textId="7FD7B06E" w:rsidR="002F3FA3" w:rsidRPr="002F3FA3" w:rsidRDefault="002F3FA3">
      <w:pPr>
        <w:autoSpaceDE w:val="0"/>
        <w:autoSpaceDN w:val="0"/>
        <w:adjustRightInd w:val="0"/>
        <w:spacing w:after="0" w:line="240" w:lineRule="auto"/>
        <w:ind w:left="0" w:firstLine="0"/>
        <w:rPr>
          <w:rFonts w:eastAsiaTheme="minorHAnsi"/>
          <w:lang w:val="en-US" w:eastAsia="en-US"/>
        </w:rPr>
      </w:pPr>
      <w:r w:rsidRPr="002F3FA3">
        <w:rPr>
          <w:rFonts w:eastAsiaTheme="minorHAnsi"/>
          <w:lang w:val="en-US" w:eastAsia="en-US"/>
        </w:rPr>
        <w:t>Dublin 15</w:t>
      </w:r>
    </w:p>
    <w:p w14:paraId="2F5D4E8A" w14:textId="77777777" w:rsidR="002F3FA3" w:rsidRPr="002F3FA3" w:rsidRDefault="002F3FA3">
      <w:pPr>
        <w:spacing w:after="0" w:line="240" w:lineRule="auto"/>
        <w:ind w:left="-5" w:right="15"/>
        <w:rPr>
          <w:rFonts w:eastAsiaTheme="minorHAnsi"/>
          <w:lang w:val="en-US" w:eastAsia="en-US"/>
        </w:rPr>
      </w:pPr>
      <w:r w:rsidRPr="002F3FA3">
        <w:rPr>
          <w:rFonts w:eastAsiaTheme="minorHAnsi"/>
          <w:lang w:val="en-US" w:eastAsia="en-US"/>
        </w:rPr>
        <w:t>DUBLIN</w:t>
      </w:r>
    </w:p>
    <w:p w14:paraId="38EB580C" w14:textId="384A163E" w:rsidR="00834D31" w:rsidRDefault="002F3FA3" w:rsidP="00834D31">
      <w:pPr>
        <w:ind w:left="-5" w:right="15"/>
      </w:pPr>
      <w:r w:rsidRPr="002F3FA3">
        <w:rPr>
          <w:rFonts w:eastAsiaTheme="minorHAnsi"/>
          <w:color w:val="auto"/>
          <w:lang w:val="en-US" w:eastAsia="en-US"/>
        </w:rPr>
        <w:t>Īrija</w:t>
      </w:r>
      <w:r>
        <w:rPr>
          <w:rFonts w:ascii="Tahoma" w:eastAsiaTheme="minorHAnsi" w:hAnsi="Tahoma" w:cs="Tahoma"/>
          <w:sz w:val="20"/>
          <w:szCs w:val="20"/>
        </w:rPr>
        <w:t xml:space="preserve"> </w:t>
      </w:r>
    </w:p>
    <w:p w14:paraId="379D9DD3" w14:textId="1345D001" w:rsidR="00834D31" w:rsidRDefault="00834D31" w:rsidP="00834D31">
      <w:pPr>
        <w:spacing w:after="0" w:line="259" w:lineRule="auto"/>
        <w:ind w:left="0" w:firstLine="0"/>
      </w:pPr>
    </w:p>
    <w:p w14:paraId="7849686A" w14:textId="77777777" w:rsidR="005E3666" w:rsidRDefault="005E3666" w:rsidP="00834D31">
      <w:pPr>
        <w:spacing w:after="0" w:line="259" w:lineRule="auto"/>
        <w:ind w:left="0" w:firstLine="0"/>
      </w:pPr>
    </w:p>
    <w:p w14:paraId="34BC7CD9" w14:textId="77777777" w:rsidR="00834D31" w:rsidRDefault="00834D31" w:rsidP="00834D31">
      <w:pPr>
        <w:tabs>
          <w:tab w:val="center" w:pos="2825"/>
        </w:tabs>
        <w:spacing w:after="14" w:line="249" w:lineRule="auto"/>
        <w:ind w:left="-15" w:firstLine="0"/>
      </w:pPr>
      <w:r>
        <w:rPr>
          <w:b/>
        </w:rPr>
        <w:t xml:space="preserve">8. </w:t>
      </w:r>
      <w:r>
        <w:rPr>
          <w:b/>
        </w:rPr>
        <w:tab/>
        <w:t xml:space="preserve">REĢISTRĀCIJAS APLIECĪBAS NUMURS(-I)  </w:t>
      </w:r>
    </w:p>
    <w:p w14:paraId="3E0E5877" w14:textId="77777777" w:rsidR="00834D31" w:rsidRDefault="00834D31" w:rsidP="00834D31">
      <w:pPr>
        <w:spacing w:after="0" w:line="259" w:lineRule="auto"/>
        <w:ind w:left="0" w:firstLine="0"/>
      </w:pPr>
    </w:p>
    <w:p w14:paraId="679BD661" w14:textId="0089D5A1" w:rsidR="00FF3967" w:rsidRDefault="00FF3967" w:rsidP="00834D31">
      <w:pPr>
        <w:spacing w:after="0" w:line="259" w:lineRule="auto"/>
        <w:ind w:left="0" w:firstLine="0"/>
      </w:pPr>
      <w:r w:rsidRPr="00FF3967">
        <w:t>17-0169</w:t>
      </w:r>
    </w:p>
    <w:p w14:paraId="47649995" w14:textId="77777777" w:rsidR="00834D31" w:rsidRDefault="00834D31" w:rsidP="00834D31">
      <w:pPr>
        <w:spacing w:after="0" w:line="259" w:lineRule="auto"/>
        <w:ind w:left="0" w:firstLine="0"/>
      </w:pPr>
    </w:p>
    <w:p w14:paraId="7964C67D" w14:textId="77777777" w:rsidR="00834D31" w:rsidRDefault="00834D31" w:rsidP="00834D31">
      <w:pPr>
        <w:pStyle w:val="Heading1"/>
        <w:tabs>
          <w:tab w:val="center" w:pos="3574"/>
        </w:tabs>
        <w:ind w:left="-15" w:firstLine="0"/>
      </w:pPr>
      <w:r>
        <w:t>9.</w:t>
      </w:r>
      <w:r>
        <w:tab/>
        <w:t>PIRMĀS REĢISTRĀCIJAS/PĀRREĢISTRĀCIJAS DATUMS</w:t>
      </w:r>
      <w:r>
        <w:rPr>
          <w:b w:val="0"/>
        </w:rPr>
        <w:t xml:space="preserve"> </w:t>
      </w:r>
    </w:p>
    <w:p w14:paraId="2A1F8FB0" w14:textId="77777777" w:rsidR="00834D31" w:rsidRDefault="00834D31" w:rsidP="00834D31">
      <w:pPr>
        <w:spacing w:after="4" w:line="259" w:lineRule="auto"/>
        <w:ind w:left="0" w:firstLine="0"/>
      </w:pPr>
    </w:p>
    <w:p w14:paraId="17D82A88" w14:textId="3034BAC6" w:rsidR="00834D31" w:rsidRDefault="00834D31" w:rsidP="00834D31">
      <w:pPr>
        <w:ind w:left="-5" w:right="15"/>
      </w:pPr>
      <w:r>
        <w:t xml:space="preserve">Reģistrācijas datums: </w:t>
      </w:r>
      <w:r w:rsidR="004A53C5">
        <w:t>2017. gada 26. jūlijs</w:t>
      </w:r>
    </w:p>
    <w:p w14:paraId="5AE463D8" w14:textId="77777777" w:rsidR="00834D31" w:rsidRDefault="00834D31" w:rsidP="00834D31">
      <w:pPr>
        <w:spacing w:after="31" w:line="259" w:lineRule="auto"/>
        <w:ind w:left="0" w:firstLine="0"/>
      </w:pPr>
    </w:p>
    <w:p w14:paraId="06D73767" w14:textId="77777777" w:rsidR="00834D31" w:rsidRDefault="00834D31" w:rsidP="00834D31">
      <w:pPr>
        <w:spacing w:after="31" w:line="259" w:lineRule="auto"/>
        <w:ind w:left="0" w:firstLine="0"/>
      </w:pPr>
    </w:p>
    <w:p w14:paraId="09752D68" w14:textId="77777777" w:rsidR="00834D31" w:rsidRDefault="00834D31" w:rsidP="00834D31">
      <w:pPr>
        <w:pStyle w:val="Heading1"/>
        <w:tabs>
          <w:tab w:val="center" w:pos="2474"/>
        </w:tabs>
        <w:ind w:left="-15" w:firstLine="0"/>
      </w:pPr>
      <w:r>
        <w:t xml:space="preserve">10. </w:t>
      </w:r>
      <w:r>
        <w:tab/>
        <w:t xml:space="preserve">TEKSTA PĀRSKATĪŠANAS DATUMS </w:t>
      </w:r>
    </w:p>
    <w:p w14:paraId="6F5BB117" w14:textId="77777777" w:rsidR="00834D31" w:rsidRDefault="00834D31" w:rsidP="00834D31">
      <w:pPr>
        <w:spacing w:after="0" w:line="259" w:lineRule="auto"/>
        <w:ind w:left="0" w:firstLine="0"/>
      </w:pPr>
    </w:p>
    <w:p w14:paraId="2BA5B60B" w14:textId="5988C3FB" w:rsidR="00834D31" w:rsidRDefault="002F3FA3" w:rsidP="00834D31">
      <w:pPr>
        <w:ind w:left="-5" w:right="15"/>
      </w:pPr>
      <w:r>
        <w:t>0</w:t>
      </w:r>
      <w:r w:rsidR="00E377A7">
        <w:t>5</w:t>
      </w:r>
      <w:r w:rsidR="00834D31">
        <w:t>/20</w:t>
      </w:r>
      <w:r w:rsidR="00483B29">
        <w:t>2</w:t>
      </w:r>
      <w:r w:rsidR="00767488">
        <w:t>2</w:t>
      </w:r>
    </w:p>
    <w:p w14:paraId="0F45930C" w14:textId="77777777" w:rsidR="00D93E48" w:rsidRDefault="00D93E48"/>
    <w:sectPr w:rsidR="00D93E4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37AF" w14:textId="77777777" w:rsidR="008B10A9" w:rsidRDefault="008B10A9" w:rsidP="00C16504">
      <w:pPr>
        <w:spacing w:after="0" w:line="240" w:lineRule="auto"/>
      </w:pPr>
      <w:r>
        <w:separator/>
      </w:r>
    </w:p>
  </w:endnote>
  <w:endnote w:type="continuationSeparator" w:id="0">
    <w:p w14:paraId="005685C9" w14:textId="77777777" w:rsidR="008B10A9" w:rsidRDefault="008B10A9" w:rsidP="00C16504">
      <w:pPr>
        <w:spacing w:after="0" w:line="240" w:lineRule="auto"/>
      </w:pPr>
      <w:r>
        <w:continuationSeparator/>
      </w:r>
    </w:p>
  </w:endnote>
  <w:endnote w:type="continuationNotice" w:id="1">
    <w:p w14:paraId="0278723A" w14:textId="77777777" w:rsidR="008B10A9" w:rsidRDefault="008B1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CC66" w14:textId="77777777" w:rsidR="00512740" w:rsidRDefault="00512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D969" w14:textId="77777777" w:rsidR="008B10A9" w:rsidRDefault="008B1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351E" w14:textId="77777777" w:rsidR="00512740" w:rsidRDefault="0051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3F76" w14:textId="77777777" w:rsidR="008B10A9" w:rsidRDefault="008B10A9" w:rsidP="00C16504">
      <w:pPr>
        <w:spacing w:after="0" w:line="240" w:lineRule="auto"/>
      </w:pPr>
      <w:r>
        <w:separator/>
      </w:r>
    </w:p>
  </w:footnote>
  <w:footnote w:type="continuationSeparator" w:id="0">
    <w:p w14:paraId="1D4E0022" w14:textId="77777777" w:rsidR="008B10A9" w:rsidRDefault="008B10A9" w:rsidP="00C16504">
      <w:pPr>
        <w:spacing w:after="0" w:line="240" w:lineRule="auto"/>
      </w:pPr>
      <w:r>
        <w:continuationSeparator/>
      </w:r>
    </w:p>
  </w:footnote>
  <w:footnote w:type="continuationNotice" w:id="1">
    <w:p w14:paraId="4537CDFA" w14:textId="77777777" w:rsidR="008B10A9" w:rsidRDefault="008B1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76CD" w14:textId="77777777" w:rsidR="00512740" w:rsidRDefault="0051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8A31" w14:textId="49003CDD" w:rsidR="00512740" w:rsidRDefault="00512740" w:rsidP="00512740">
    <w:pPr>
      <w:pStyle w:val="Header"/>
      <w:jc w:val="right"/>
    </w:pPr>
    <w:r>
      <w:t>SASKAŅOTS ZVA 14-06-2022</w:t>
    </w:r>
  </w:p>
  <w:p w14:paraId="7FC14F11" w14:textId="53CD4D97" w:rsidR="000F07A2" w:rsidRPr="003A2B40" w:rsidRDefault="000F07A2" w:rsidP="000F07A2">
    <w:pPr>
      <w:pStyle w:val="Header"/>
      <w:jc w:val="right"/>
      <w:rPr>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9B78" w14:textId="77777777" w:rsidR="00512740" w:rsidRDefault="0051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02B2A"/>
    <w:multiLevelType w:val="hybridMultilevel"/>
    <w:tmpl w:val="4224E226"/>
    <w:lvl w:ilvl="0" w:tplc="C0F053A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7CF2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020C4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1E68CE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3AB8E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8B2B09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CA98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E67D6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BB45C0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83803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31"/>
    <w:rsid w:val="00003DC8"/>
    <w:rsid w:val="000344E7"/>
    <w:rsid w:val="000521F4"/>
    <w:rsid w:val="000D4B02"/>
    <w:rsid w:val="000F0610"/>
    <w:rsid w:val="000F07A2"/>
    <w:rsid w:val="0012216A"/>
    <w:rsid w:val="00167A25"/>
    <w:rsid w:val="00172A10"/>
    <w:rsid w:val="001806DF"/>
    <w:rsid w:val="0018394C"/>
    <w:rsid w:val="00186283"/>
    <w:rsid w:val="001A45E5"/>
    <w:rsid w:val="001A71E4"/>
    <w:rsid w:val="001B5CB5"/>
    <w:rsid w:val="00210978"/>
    <w:rsid w:val="00225300"/>
    <w:rsid w:val="00225B6B"/>
    <w:rsid w:val="00227958"/>
    <w:rsid w:val="00232880"/>
    <w:rsid w:val="0024435B"/>
    <w:rsid w:val="002A4E9B"/>
    <w:rsid w:val="002B4B97"/>
    <w:rsid w:val="002B7D9F"/>
    <w:rsid w:val="002D62E3"/>
    <w:rsid w:val="002F3FA3"/>
    <w:rsid w:val="0032278A"/>
    <w:rsid w:val="00326D41"/>
    <w:rsid w:val="00354186"/>
    <w:rsid w:val="00360483"/>
    <w:rsid w:val="00392C52"/>
    <w:rsid w:val="003A2B40"/>
    <w:rsid w:val="003C010B"/>
    <w:rsid w:val="003E490A"/>
    <w:rsid w:val="00403232"/>
    <w:rsid w:val="00410E88"/>
    <w:rsid w:val="00424560"/>
    <w:rsid w:val="004355CE"/>
    <w:rsid w:val="00461400"/>
    <w:rsid w:val="00474A96"/>
    <w:rsid w:val="00480CD0"/>
    <w:rsid w:val="00483B29"/>
    <w:rsid w:val="004A0570"/>
    <w:rsid w:val="004A27BD"/>
    <w:rsid w:val="004A2DA9"/>
    <w:rsid w:val="004A53C5"/>
    <w:rsid w:val="004B0274"/>
    <w:rsid w:val="004D5CEF"/>
    <w:rsid w:val="004F25B3"/>
    <w:rsid w:val="00512740"/>
    <w:rsid w:val="00521D87"/>
    <w:rsid w:val="00526DDC"/>
    <w:rsid w:val="00570BEF"/>
    <w:rsid w:val="005A24A2"/>
    <w:rsid w:val="005A71AD"/>
    <w:rsid w:val="005B6D9B"/>
    <w:rsid w:val="005E3666"/>
    <w:rsid w:val="005F5EC2"/>
    <w:rsid w:val="006004C6"/>
    <w:rsid w:val="006170CA"/>
    <w:rsid w:val="006301F4"/>
    <w:rsid w:val="0065469E"/>
    <w:rsid w:val="00665BC6"/>
    <w:rsid w:val="00677D29"/>
    <w:rsid w:val="006A7518"/>
    <w:rsid w:val="006D0EBC"/>
    <w:rsid w:val="006E4FF8"/>
    <w:rsid w:val="007247D1"/>
    <w:rsid w:val="00741EA6"/>
    <w:rsid w:val="007643EC"/>
    <w:rsid w:val="00767488"/>
    <w:rsid w:val="00796500"/>
    <w:rsid w:val="007D0BEC"/>
    <w:rsid w:val="007D2EB7"/>
    <w:rsid w:val="00832220"/>
    <w:rsid w:val="00834D31"/>
    <w:rsid w:val="0084000A"/>
    <w:rsid w:val="0084306B"/>
    <w:rsid w:val="008B10A9"/>
    <w:rsid w:val="008C405D"/>
    <w:rsid w:val="008C6C75"/>
    <w:rsid w:val="008D6FFF"/>
    <w:rsid w:val="00907383"/>
    <w:rsid w:val="00934C51"/>
    <w:rsid w:val="009354C5"/>
    <w:rsid w:val="009B1856"/>
    <w:rsid w:val="009D1B12"/>
    <w:rsid w:val="009D2FBB"/>
    <w:rsid w:val="00A106B8"/>
    <w:rsid w:val="00A2723D"/>
    <w:rsid w:val="00A27731"/>
    <w:rsid w:val="00A37E62"/>
    <w:rsid w:val="00A556F7"/>
    <w:rsid w:val="00A80FB5"/>
    <w:rsid w:val="00A8334A"/>
    <w:rsid w:val="00AA02ED"/>
    <w:rsid w:val="00AC36E9"/>
    <w:rsid w:val="00B001CE"/>
    <w:rsid w:val="00B52568"/>
    <w:rsid w:val="00B66663"/>
    <w:rsid w:val="00B66F33"/>
    <w:rsid w:val="00BC6014"/>
    <w:rsid w:val="00BC703F"/>
    <w:rsid w:val="00BC7057"/>
    <w:rsid w:val="00BF1059"/>
    <w:rsid w:val="00C16504"/>
    <w:rsid w:val="00C4089A"/>
    <w:rsid w:val="00C573D7"/>
    <w:rsid w:val="00C616F4"/>
    <w:rsid w:val="00C629DD"/>
    <w:rsid w:val="00C62ED0"/>
    <w:rsid w:val="00C932D6"/>
    <w:rsid w:val="00CB0542"/>
    <w:rsid w:val="00CC0F95"/>
    <w:rsid w:val="00CC2319"/>
    <w:rsid w:val="00CC6382"/>
    <w:rsid w:val="00D134B7"/>
    <w:rsid w:val="00D1496B"/>
    <w:rsid w:val="00D429FC"/>
    <w:rsid w:val="00D61149"/>
    <w:rsid w:val="00D91C8F"/>
    <w:rsid w:val="00D93E48"/>
    <w:rsid w:val="00DA1627"/>
    <w:rsid w:val="00DA5F27"/>
    <w:rsid w:val="00DB641D"/>
    <w:rsid w:val="00DD3523"/>
    <w:rsid w:val="00E04AC9"/>
    <w:rsid w:val="00E172BE"/>
    <w:rsid w:val="00E2298D"/>
    <w:rsid w:val="00E24547"/>
    <w:rsid w:val="00E377A7"/>
    <w:rsid w:val="00E377C3"/>
    <w:rsid w:val="00E673F1"/>
    <w:rsid w:val="00E94A69"/>
    <w:rsid w:val="00EC0051"/>
    <w:rsid w:val="00ED6282"/>
    <w:rsid w:val="00F07366"/>
    <w:rsid w:val="00F10181"/>
    <w:rsid w:val="00F1267C"/>
    <w:rsid w:val="00F25ED2"/>
    <w:rsid w:val="00F4425A"/>
    <w:rsid w:val="00F76E50"/>
    <w:rsid w:val="00FC4972"/>
    <w:rsid w:val="00FE69B8"/>
    <w:rsid w:val="00FE711C"/>
    <w:rsid w:val="00FF3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D037B"/>
  <w15:docId w15:val="{2ED0D6B1-4ECB-4E86-86F7-C0BDFA73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1"/>
    <w:pPr>
      <w:spacing w:after="5" w:line="271" w:lineRule="auto"/>
      <w:ind w:left="10" w:hanging="10"/>
    </w:pPr>
    <w:rPr>
      <w:rFonts w:ascii="Times New Roman" w:eastAsia="Times New Roman" w:hAnsi="Times New Roman" w:cs="Times New Roman"/>
      <w:color w:val="000000"/>
      <w:lang w:val="lv-LV" w:eastAsia="lv-LV"/>
    </w:rPr>
  </w:style>
  <w:style w:type="paragraph" w:styleId="Heading1">
    <w:name w:val="heading 1"/>
    <w:next w:val="Normal"/>
    <w:link w:val="Heading1Char"/>
    <w:uiPriority w:val="9"/>
    <w:unhideWhenUsed/>
    <w:qFormat/>
    <w:rsid w:val="00834D31"/>
    <w:pPr>
      <w:keepNext/>
      <w:keepLines/>
      <w:spacing w:after="14" w:line="249" w:lineRule="auto"/>
      <w:ind w:left="3843" w:hanging="10"/>
      <w:outlineLvl w:val="0"/>
    </w:pPr>
    <w:rPr>
      <w:rFonts w:ascii="Times New Roman" w:eastAsia="Times New Roman" w:hAnsi="Times New Roman" w:cs="Times New Roman"/>
      <w:b/>
      <w:color w:val="000000"/>
      <w:lang w:val="lv-LV" w:eastAsia="lv-LV"/>
    </w:rPr>
  </w:style>
  <w:style w:type="paragraph" w:styleId="Heading2">
    <w:name w:val="heading 2"/>
    <w:next w:val="Normal"/>
    <w:link w:val="Heading2Char"/>
    <w:uiPriority w:val="9"/>
    <w:unhideWhenUsed/>
    <w:qFormat/>
    <w:rsid w:val="00834D31"/>
    <w:pPr>
      <w:keepNext/>
      <w:keepLines/>
      <w:spacing w:after="5" w:line="271" w:lineRule="auto"/>
      <w:ind w:left="10" w:hanging="10"/>
      <w:outlineLvl w:val="1"/>
    </w:pPr>
    <w:rPr>
      <w:rFonts w:ascii="Times New Roman" w:eastAsia="Times New Roman" w:hAnsi="Times New Roman" w:cs="Times New Roman"/>
      <w:color w:val="000000"/>
      <w:u w:val="single" w:color="000000"/>
      <w:lang w:val="lv-LV" w:eastAsia="lv-LV"/>
    </w:rPr>
  </w:style>
  <w:style w:type="paragraph" w:styleId="Heading3">
    <w:name w:val="heading 3"/>
    <w:next w:val="Normal"/>
    <w:link w:val="Heading3Char"/>
    <w:uiPriority w:val="9"/>
    <w:unhideWhenUsed/>
    <w:qFormat/>
    <w:rsid w:val="00834D31"/>
    <w:pPr>
      <w:keepNext/>
      <w:keepLines/>
      <w:spacing w:after="14" w:line="249" w:lineRule="auto"/>
      <w:ind w:left="3843" w:hanging="10"/>
      <w:outlineLvl w:val="2"/>
    </w:pPr>
    <w:rPr>
      <w:rFonts w:ascii="Times New Roman" w:eastAsia="Times New Roman" w:hAnsi="Times New Roman" w:cs="Times New Roman"/>
      <w:b/>
      <w:color w:val="00000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D31"/>
    <w:rPr>
      <w:rFonts w:ascii="Times New Roman" w:eastAsia="Times New Roman" w:hAnsi="Times New Roman" w:cs="Times New Roman"/>
      <w:b/>
      <w:color w:val="000000"/>
      <w:lang w:val="lv-LV" w:eastAsia="lv-LV"/>
    </w:rPr>
  </w:style>
  <w:style w:type="character" w:customStyle="1" w:styleId="Heading2Char">
    <w:name w:val="Heading 2 Char"/>
    <w:basedOn w:val="DefaultParagraphFont"/>
    <w:link w:val="Heading2"/>
    <w:uiPriority w:val="9"/>
    <w:rsid w:val="00834D31"/>
    <w:rPr>
      <w:rFonts w:ascii="Times New Roman" w:eastAsia="Times New Roman" w:hAnsi="Times New Roman" w:cs="Times New Roman"/>
      <w:color w:val="000000"/>
      <w:u w:val="single" w:color="000000"/>
      <w:lang w:val="lv-LV" w:eastAsia="lv-LV"/>
    </w:rPr>
  </w:style>
  <w:style w:type="character" w:customStyle="1" w:styleId="Heading3Char">
    <w:name w:val="Heading 3 Char"/>
    <w:basedOn w:val="DefaultParagraphFont"/>
    <w:link w:val="Heading3"/>
    <w:uiPriority w:val="9"/>
    <w:rsid w:val="00834D31"/>
    <w:rPr>
      <w:rFonts w:ascii="Times New Roman" w:eastAsia="Times New Roman" w:hAnsi="Times New Roman" w:cs="Times New Roman"/>
      <w:b/>
      <w:color w:val="000000"/>
      <w:lang w:val="lv-LV" w:eastAsia="lv-LV"/>
    </w:rPr>
  </w:style>
  <w:style w:type="table" w:customStyle="1" w:styleId="TableGrid">
    <w:name w:val="TableGrid"/>
    <w:rsid w:val="00834D31"/>
    <w:pPr>
      <w:spacing w:after="0" w:line="240" w:lineRule="auto"/>
    </w:pPr>
    <w:rPr>
      <w:rFonts w:eastAsiaTheme="minorEastAsia"/>
      <w:lang w:val="lv-LV" w:eastAsia="lv-LV"/>
    </w:rPr>
    <w:tblPr>
      <w:tblCellMar>
        <w:top w:w="0" w:type="dxa"/>
        <w:left w:w="0" w:type="dxa"/>
        <w:bottom w:w="0" w:type="dxa"/>
        <w:right w:w="0" w:type="dxa"/>
      </w:tblCellMar>
    </w:tblPr>
  </w:style>
  <w:style w:type="paragraph" w:styleId="BodyText">
    <w:name w:val="Body Text"/>
    <w:basedOn w:val="Normal"/>
    <w:link w:val="BodyTextChar"/>
    <w:uiPriority w:val="1"/>
    <w:qFormat/>
    <w:rsid w:val="00834D31"/>
    <w:pPr>
      <w:widowControl w:val="0"/>
      <w:autoSpaceDE w:val="0"/>
      <w:autoSpaceDN w:val="0"/>
      <w:spacing w:after="0" w:line="240" w:lineRule="auto"/>
      <w:ind w:left="0" w:firstLine="0"/>
    </w:pPr>
    <w:rPr>
      <w:color w:val="auto"/>
      <w:lang w:val="en-US" w:eastAsia="en-US"/>
    </w:rPr>
  </w:style>
  <w:style w:type="character" w:customStyle="1" w:styleId="BodyTextChar">
    <w:name w:val="Body Text Char"/>
    <w:basedOn w:val="DefaultParagraphFont"/>
    <w:link w:val="BodyText"/>
    <w:uiPriority w:val="1"/>
    <w:rsid w:val="00834D3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C6382"/>
    <w:rPr>
      <w:sz w:val="16"/>
      <w:szCs w:val="16"/>
    </w:rPr>
  </w:style>
  <w:style w:type="paragraph" w:styleId="CommentText">
    <w:name w:val="annotation text"/>
    <w:basedOn w:val="Normal"/>
    <w:link w:val="CommentTextChar"/>
    <w:uiPriority w:val="99"/>
    <w:unhideWhenUsed/>
    <w:rsid w:val="008B10A9"/>
    <w:pPr>
      <w:spacing w:line="240" w:lineRule="auto"/>
    </w:pPr>
    <w:rPr>
      <w:sz w:val="20"/>
      <w:szCs w:val="20"/>
    </w:rPr>
  </w:style>
  <w:style w:type="character" w:customStyle="1" w:styleId="CommentTextChar">
    <w:name w:val="Comment Text Char"/>
    <w:basedOn w:val="DefaultParagraphFont"/>
    <w:link w:val="CommentText"/>
    <w:uiPriority w:val="99"/>
    <w:rsid w:val="00CC6382"/>
    <w:rPr>
      <w:rFonts w:ascii="Times New Roman" w:eastAsia="Times New Roman" w:hAnsi="Times New Roman" w:cs="Times New Roman"/>
      <w:color w:val="000000"/>
      <w:sz w:val="20"/>
      <w:szCs w:val="20"/>
      <w:lang w:val="lv-LV" w:eastAsia="lv-LV"/>
    </w:rPr>
  </w:style>
  <w:style w:type="paragraph" w:styleId="CommentSubject">
    <w:name w:val="annotation subject"/>
    <w:basedOn w:val="CommentText"/>
    <w:next w:val="CommentText"/>
    <w:link w:val="CommentSubjectChar"/>
    <w:uiPriority w:val="99"/>
    <w:semiHidden/>
    <w:unhideWhenUsed/>
    <w:rsid w:val="00CC6382"/>
    <w:rPr>
      <w:b/>
      <w:bCs/>
    </w:rPr>
  </w:style>
  <w:style w:type="character" w:customStyle="1" w:styleId="CommentSubjectChar">
    <w:name w:val="Comment Subject Char"/>
    <w:basedOn w:val="CommentTextChar"/>
    <w:link w:val="CommentSubject"/>
    <w:uiPriority w:val="99"/>
    <w:semiHidden/>
    <w:rsid w:val="00CC6382"/>
    <w:rPr>
      <w:rFonts w:ascii="Times New Roman" w:eastAsia="Times New Roman" w:hAnsi="Times New Roman" w:cs="Times New Roman"/>
      <w:b/>
      <w:bCs/>
      <w:color w:val="000000"/>
      <w:sz w:val="20"/>
      <w:szCs w:val="20"/>
      <w:lang w:val="lv-LV" w:eastAsia="lv-LV"/>
    </w:rPr>
  </w:style>
  <w:style w:type="paragraph" w:styleId="BalloonText">
    <w:name w:val="Balloon Text"/>
    <w:basedOn w:val="Normal"/>
    <w:link w:val="BalloonTextChar"/>
    <w:uiPriority w:val="99"/>
    <w:semiHidden/>
    <w:unhideWhenUsed/>
    <w:rsid w:val="00CC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82"/>
    <w:rPr>
      <w:rFonts w:ascii="Segoe UI" w:eastAsia="Times New Roman" w:hAnsi="Segoe UI" w:cs="Segoe UI"/>
      <w:color w:val="000000"/>
      <w:sz w:val="18"/>
      <w:szCs w:val="18"/>
      <w:lang w:val="lv-LV" w:eastAsia="lv-LV"/>
    </w:rPr>
  </w:style>
  <w:style w:type="paragraph" w:styleId="Revision">
    <w:name w:val="Revision"/>
    <w:hidden/>
    <w:uiPriority w:val="99"/>
    <w:semiHidden/>
    <w:rsid w:val="00EC0051"/>
    <w:pPr>
      <w:spacing w:after="0" w:line="240" w:lineRule="auto"/>
    </w:pPr>
    <w:rPr>
      <w:rFonts w:ascii="Times New Roman" w:eastAsia="Times New Roman" w:hAnsi="Times New Roman" w:cs="Times New Roman"/>
      <w:color w:val="000000"/>
      <w:lang w:val="lv-LV" w:eastAsia="lv-LV"/>
    </w:rPr>
  </w:style>
  <w:style w:type="paragraph" w:styleId="Header">
    <w:name w:val="header"/>
    <w:basedOn w:val="Normal"/>
    <w:link w:val="HeaderChar"/>
    <w:uiPriority w:val="99"/>
    <w:unhideWhenUsed/>
    <w:rsid w:val="00C16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504"/>
    <w:rPr>
      <w:rFonts w:ascii="Times New Roman" w:eastAsia="Times New Roman" w:hAnsi="Times New Roman" w:cs="Times New Roman"/>
      <w:color w:val="000000"/>
      <w:lang w:val="lv-LV" w:eastAsia="lv-LV"/>
    </w:rPr>
  </w:style>
  <w:style w:type="paragraph" w:styleId="Footer">
    <w:name w:val="footer"/>
    <w:basedOn w:val="Normal"/>
    <w:link w:val="FooterChar"/>
    <w:uiPriority w:val="99"/>
    <w:unhideWhenUsed/>
    <w:rsid w:val="00C1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504"/>
    <w:rPr>
      <w:rFonts w:ascii="Times New Roman" w:eastAsia="Times New Roman" w:hAnsi="Times New Roman" w:cs="Times New Roman"/>
      <w:color w:val="000000"/>
      <w:lang w:val="lv-LV" w:eastAsia="lv-LV"/>
    </w:rPr>
  </w:style>
  <w:style w:type="character" w:styleId="Emphasis">
    <w:name w:val="Emphasis"/>
    <w:basedOn w:val="DefaultParagraphFont"/>
    <w:uiPriority w:val="20"/>
    <w:qFormat/>
    <w:rsid w:val="006D0EBC"/>
    <w:rPr>
      <w:i/>
      <w:iCs/>
    </w:rPr>
  </w:style>
  <w:style w:type="paragraph" w:styleId="ListParagraph">
    <w:name w:val="List Paragraph"/>
    <w:basedOn w:val="Normal"/>
    <w:uiPriority w:val="34"/>
    <w:qFormat/>
    <w:rsid w:val="008C405D"/>
    <w:pPr>
      <w:ind w:left="720"/>
      <w:contextualSpacing/>
    </w:pPr>
  </w:style>
  <w:style w:type="paragraph" w:customStyle="1" w:styleId="paragraph">
    <w:name w:val="paragraph"/>
    <w:basedOn w:val="Normal"/>
    <w:rsid w:val="002F3FA3"/>
    <w:pPr>
      <w:spacing w:before="100" w:beforeAutospacing="1" w:after="100" w:afterAutospacing="1" w:line="240" w:lineRule="auto"/>
      <w:ind w:left="0" w:firstLine="0"/>
    </w:pPr>
    <w:rPr>
      <w:rFonts w:ascii="Calibri" w:eastAsiaTheme="minorHAnsi" w:hAnsi="Calibri" w:cs="Calibri"/>
      <w:color w:val="auto"/>
      <w:lang w:val="en-US" w:eastAsia="en-US"/>
    </w:rPr>
  </w:style>
  <w:style w:type="character" w:customStyle="1" w:styleId="normaltextrun">
    <w:name w:val="normaltextrun"/>
    <w:basedOn w:val="DefaultParagraphFont"/>
    <w:rsid w:val="002F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685">
      <w:bodyDiv w:val="1"/>
      <w:marLeft w:val="0"/>
      <w:marRight w:val="0"/>
      <w:marTop w:val="0"/>
      <w:marBottom w:val="0"/>
      <w:divBdr>
        <w:top w:val="none" w:sz="0" w:space="0" w:color="auto"/>
        <w:left w:val="none" w:sz="0" w:space="0" w:color="auto"/>
        <w:bottom w:val="none" w:sz="0" w:space="0" w:color="auto"/>
        <w:right w:val="none" w:sz="0" w:space="0" w:color="auto"/>
      </w:divBdr>
    </w:div>
    <w:div w:id="4719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5177CA345CC4AB2C0C4176BEDAF2C" ma:contentTypeVersion="7" ma:contentTypeDescription="Create a new document." ma:contentTypeScope="" ma:versionID="48cd50793a09496dfa14c1230a45a743">
  <xsd:schema xmlns:xsd="http://www.w3.org/2001/XMLSchema" xmlns:xs="http://www.w3.org/2001/XMLSchema" xmlns:p="http://schemas.microsoft.com/office/2006/metadata/properties" xmlns:ns3="dfa0fa6a-10d8-4d94-9668-4f2833f4a7e0" targetNamespace="http://schemas.microsoft.com/office/2006/metadata/properties" ma:root="true" ma:fieldsID="b204c0f2cfc6f98d06f730fadd5adb5b" ns3:_="">
    <xsd:import namespace="dfa0fa6a-10d8-4d94-9668-4f2833f4a7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0fa6a-10d8-4d94-9668-4f2833f4a7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6E55F-B9CD-4A2C-B5B0-10F7A553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0fa6a-10d8-4d94-9668-4f2833f4a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3A3F1-1797-451F-8F08-7E5A47B7929B}">
  <ds:schemaRefs>
    <ds:schemaRef ds:uri="http://schemas.microsoft.com/sharepoint/v3/contenttype/forms"/>
  </ds:schemaRefs>
</ds:datastoreItem>
</file>

<file path=customXml/itemProps3.xml><?xml version="1.0" encoding="utf-8"?>
<ds:datastoreItem xmlns:ds="http://schemas.openxmlformats.org/officeDocument/2006/customXml" ds:itemID="{247F02AE-B6CE-4562-A2BB-CE955EC2749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fa0fa6a-10d8-4d94-9668-4f2833f4a7e0"/>
    <ds:schemaRef ds:uri="http://purl.org/dc/terms/"/>
    <ds:schemaRef ds:uri="http://www.w3.org/XML/1998/namespace"/>
  </ds:schemaRefs>
</ds:datastoreItem>
</file>

<file path=customXml/itemProps4.xml><?xml version="1.0" encoding="utf-8"?>
<ds:datastoreItem xmlns:ds="http://schemas.openxmlformats.org/officeDocument/2006/customXml" ds:itemID="{86E6CB93-6CD9-4178-A39E-B2ABEAB3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18073</Words>
  <Characters>10303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RA Consulting</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RA1</dc:creator>
  <cp:lastModifiedBy>Marita Laviceviča</cp:lastModifiedBy>
  <cp:revision>2</cp:revision>
  <cp:lastPrinted>2021-06-29T14:32:00Z</cp:lastPrinted>
  <dcterms:created xsi:type="dcterms:W3CDTF">2022-02-07T11:39:00Z</dcterms:created>
  <dcterms:modified xsi:type="dcterms:W3CDTF">2022-06-10T13:28:00Z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0x010100DF55177CA345CC4AB2C0C4176BEDAF2C</vt:lpwstr>
  </property>
</Properties>
</file>