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2709" w14:textId="77777777" w:rsidR="008D7D6A" w:rsidRPr="00337F21" w:rsidRDefault="008D7D6A" w:rsidP="00B31533">
      <w:pPr>
        <w:ind w:left="720" w:hanging="720"/>
        <w:jc w:val="center"/>
        <w:rPr>
          <w:b/>
          <w:sz w:val="22"/>
          <w:szCs w:val="22"/>
        </w:rPr>
      </w:pPr>
      <w:r w:rsidRPr="00337F21">
        <w:rPr>
          <w:b/>
          <w:sz w:val="22"/>
          <w:szCs w:val="22"/>
        </w:rPr>
        <w:t>ZĀĻU APRAKSTS</w:t>
      </w:r>
    </w:p>
    <w:p w14:paraId="26085126" w14:textId="77777777" w:rsidR="004938F2" w:rsidRPr="00337F21" w:rsidRDefault="004938F2" w:rsidP="004938F2">
      <w:pPr>
        <w:keepNext/>
        <w:jc w:val="both"/>
        <w:outlineLvl w:val="0"/>
        <w:rPr>
          <w:b/>
          <w:kern w:val="28"/>
          <w:sz w:val="22"/>
          <w:szCs w:val="22"/>
        </w:rPr>
      </w:pPr>
      <w:bookmarkStart w:id="0" w:name="_Toc441573731"/>
    </w:p>
    <w:p w14:paraId="281DE038" w14:textId="77777777" w:rsidR="004938F2" w:rsidRPr="00337F21" w:rsidRDefault="004938F2" w:rsidP="004938F2">
      <w:pPr>
        <w:keepNext/>
        <w:jc w:val="both"/>
        <w:outlineLvl w:val="0"/>
        <w:rPr>
          <w:b/>
          <w:kern w:val="28"/>
          <w:sz w:val="22"/>
          <w:szCs w:val="22"/>
        </w:rPr>
      </w:pPr>
    </w:p>
    <w:bookmarkEnd w:id="0"/>
    <w:p w14:paraId="1D2F8DC7" w14:textId="77777777" w:rsidR="003902C9" w:rsidRPr="00337F21" w:rsidRDefault="003902C9" w:rsidP="003902C9">
      <w:pPr>
        <w:widowControl w:val="0"/>
        <w:rPr>
          <w:sz w:val="22"/>
          <w:szCs w:val="22"/>
        </w:rPr>
      </w:pPr>
      <w:r w:rsidRPr="00337F21">
        <w:rPr>
          <w:b/>
          <w:bCs/>
          <w:iCs/>
          <w:sz w:val="22"/>
          <w:szCs w:val="22"/>
        </w:rPr>
        <w:t>1.</w:t>
      </w:r>
      <w:r w:rsidRPr="00337F21">
        <w:rPr>
          <w:b/>
          <w:bCs/>
          <w:iCs/>
          <w:sz w:val="22"/>
          <w:szCs w:val="22"/>
        </w:rPr>
        <w:tab/>
      </w:r>
      <w:r w:rsidRPr="00337F21">
        <w:rPr>
          <w:b/>
          <w:sz w:val="22"/>
          <w:szCs w:val="22"/>
        </w:rPr>
        <w:t>ZĀĻU NOSAUKUMS</w:t>
      </w:r>
    </w:p>
    <w:p w14:paraId="445EBF12" w14:textId="77777777" w:rsidR="008D7D6A" w:rsidRPr="00337F21" w:rsidRDefault="008D7D6A" w:rsidP="004938F2">
      <w:pPr>
        <w:ind w:left="720"/>
        <w:jc w:val="both"/>
        <w:rPr>
          <w:sz w:val="22"/>
          <w:szCs w:val="22"/>
        </w:rPr>
      </w:pPr>
    </w:p>
    <w:p w14:paraId="01D4DCBA" w14:textId="77777777" w:rsidR="008D7D6A" w:rsidRPr="00FE4246" w:rsidRDefault="006839E4" w:rsidP="003902C9">
      <w:pPr>
        <w:jc w:val="both"/>
        <w:rPr>
          <w:b/>
          <w:sz w:val="22"/>
          <w:szCs w:val="22"/>
        </w:rPr>
      </w:pPr>
      <w:r>
        <w:rPr>
          <w:b/>
          <w:sz w:val="22"/>
          <w:szCs w:val="22"/>
        </w:rPr>
        <w:t>Druniler</w:t>
      </w:r>
      <w:r w:rsidR="008D7D6A" w:rsidRPr="00FE4246">
        <w:rPr>
          <w:b/>
          <w:sz w:val="22"/>
          <w:szCs w:val="22"/>
        </w:rPr>
        <w:t xml:space="preserve"> 80</w:t>
      </w:r>
      <w:r w:rsidR="00B31533" w:rsidRPr="00FE4246">
        <w:rPr>
          <w:b/>
          <w:sz w:val="22"/>
          <w:szCs w:val="22"/>
        </w:rPr>
        <w:t> </w:t>
      </w:r>
      <w:r w:rsidR="008D7D6A" w:rsidRPr="00FE4246">
        <w:rPr>
          <w:b/>
          <w:sz w:val="22"/>
          <w:szCs w:val="22"/>
        </w:rPr>
        <w:t>mg apvalkotās tabletes</w:t>
      </w:r>
    </w:p>
    <w:p w14:paraId="5E246E1C" w14:textId="77777777" w:rsidR="00D34789" w:rsidRPr="00FE4246" w:rsidRDefault="006839E4" w:rsidP="00FE4246">
      <w:pPr>
        <w:jc w:val="both"/>
        <w:rPr>
          <w:b/>
          <w:sz w:val="22"/>
          <w:szCs w:val="22"/>
        </w:rPr>
      </w:pPr>
      <w:r>
        <w:rPr>
          <w:b/>
          <w:sz w:val="22"/>
          <w:szCs w:val="22"/>
        </w:rPr>
        <w:t>Druniler</w:t>
      </w:r>
      <w:r w:rsidR="00B31533" w:rsidRPr="00FE4246">
        <w:rPr>
          <w:b/>
          <w:sz w:val="22"/>
          <w:szCs w:val="22"/>
        </w:rPr>
        <w:t xml:space="preserve"> 120 </w:t>
      </w:r>
      <w:r w:rsidR="00D34789" w:rsidRPr="00FE4246">
        <w:rPr>
          <w:b/>
          <w:sz w:val="22"/>
          <w:szCs w:val="22"/>
        </w:rPr>
        <w:t>mg apvalkotās tabletes</w:t>
      </w:r>
    </w:p>
    <w:p w14:paraId="36A11E43" w14:textId="77777777" w:rsidR="008D7D6A" w:rsidRPr="00337F21" w:rsidRDefault="008D7D6A" w:rsidP="00B17DF4">
      <w:pPr>
        <w:keepNext/>
        <w:jc w:val="both"/>
        <w:outlineLvl w:val="0"/>
        <w:rPr>
          <w:b/>
          <w:kern w:val="28"/>
          <w:sz w:val="22"/>
          <w:szCs w:val="22"/>
        </w:rPr>
      </w:pPr>
    </w:p>
    <w:p w14:paraId="5E12C502" w14:textId="77777777" w:rsidR="008D7D6A" w:rsidRPr="00337F21" w:rsidRDefault="008D7D6A" w:rsidP="00B17DF4">
      <w:pPr>
        <w:keepNext/>
        <w:jc w:val="both"/>
        <w:outlineLvl w:val="0"/>
        <w:rPr>
          <w:b/>
          <w:kern w:val="28"/>
          <w:sz w:val="22"/>
          <w:szCs w:val="22"/>
        </w:rPr>
      </w:pPr>
    </w:p>
    <w:p w14:paraId="111CC14F" w14:textId="77777777" w:rsidR="008D7D6A" w:rsidRPr="00337F21" w:rsidRDefault="003902C9" w:rsidP="003902C9">
      <w:pPr>
        <w:jc w:val="both"/>
        <w:rPr>
          <w:sz w:val="22"/>
          <w:szCs w:val="22"/>
        </w:rPr>
      </w:pPr>
      <w:r w:rsidRPr="00337F21">
        <w:rPr>
          <w:b/>
          <w:sz w:val="22"/>
          <w:szCs w:val="22"/>
        </w:rPr>
        <w:t>2.</w:t>
      </w:r>
      <w:r w:rsidRPr="00337F21">
        <w:rPr>
          <w:b/>
          <w:sz w:val="22"/>
          <w:szCs w:val="22"/>
        </w:rPr>
        <w:tab/>
        <w:t>KVALITATĪVAIS UN KVANTITATĪVAIS SASTĀVS</w:t>
      </w:r>
    </w:p>
    <w:p w14:paraId="1730B68A" w14:textId="77777777" w:rsidR="003902C9" w:rsidRPr="00337F21" w:rsidRDefault="003902C9" w:rsidP="003902C9">
      <w:pPr>
        <w:jc w:val="both"/>
        <w:rPr>
          <w:color w:val="000000"/>
          <w:sz w:val="22"/>
          <w:szCs w:val="22"/>
        </w:rPr>
      </w:pPr>
    </w:p>
    <w:p w14:paraId="42D78082" w14:textId="77777777" w:rsidR="00D21A61" w:rsidRPr="007E6D6B" w:rsidRDefault="006839E4" w:rsidP="001848EA">
      <w:pPr>
        <w:shd w:val="clear" w:color="auto" w:fill="FFFFFF"/>
        <w:jc w:val="both"/>
        <w:rPr>
          <w:i/>
          <w:color w:val="000000"/>
          <w:sz w:val="22"/>
          <w:szCs w:val="22"/>
        </w:rPr>
      </w:pPr>
      <w:r w:rsidRPr="007E6D6B">
        <w:rPr>
          <w:i/>
          <w:sz w:val="22"/>
          <w:szCs w:val="22"/>
        </w:rPr>
        <w:t>Druniler</w:t>
      </w:r>
      <w:r w:rsidR="00A40666" w:rsidRPr="007E6D6B">
        <w:rPr>
          <w:i/>
          <w:sz w:val="22"/>
          <w:szCs w:val="22"/>
        </w:rPr>
        <w:t xml:space="preserve"> 80 mg apvalkotās tabletes</w:t>
      </w:r>
      <w:r w:rsidR="00A40666" w:rsidRPr="007E6D6B">
        <w:rPr>
          <w:i/>
          <w:color w:val="000000"/>
          <w:sz w:val="22"/>
          <w:szCs w:val="22"/>
        </w:rPr>
        <w:t xml:space="preserve"> </w:t>
      </w:r>
    </w:p>
    <w:p w14:paraId="6069D3CA" w14:textId="61AA5E23" w:rsidR="00D21A61" w:rsidRPr="007E6D6B" w:rsidRDefault="00251BFF" w:rsidP="00C7324F">
      <w:pPr>
        <w:jc w:val="both"/>
        <w:rPr>
          <w:sz w:val="22"/>
          <w:szCs w:val="22"/>
        </w:rPr>
      </w:pPr>
      <w:r w:rsidRPr="007E6D6B">
        <w:rPr>
          <w:sz w:val="22"/>
          <w:szCs w:val="22"/>
        </w:rPr>
        <w:t xml:space="preserve">Katra apvalkotā tablete satur 80 mg febuksostata (hemihidrāta </w:t>
      </w:r>
      <w:r w:rsidR="00C2214B" w:rsidRPr="007E6D6B">
        <w:rPr>
          <w:sz w:val="22"/>
          <w:szCs w:val="22"/>
        </w:rPr>
        <w:t>veidā</w:t>
      </w:r>
      <w:r w:rsidRPr="007E6D6B">
        <w:rPr>
          <w:sz w:val="22"/>
          <w:szCs w:val="22"/>
        </w:rPr>
        <w:t>)</w:t>
      </w:r>
      <w:r w:rsidR="00B31533" w:rsidRPr="007E6D6B">
        <w:rPr>
          <w:sz w:val="22"/>
          <w:szCs w:val="22"/>
        </w:rPr>
        <w:t xml:space="preserve"> (</w:t>
      </w:r>
      <w:r w:rsidR="009171B6" w:rsidRPr="00F91656">
        <w:rPr>
          <w:i/>
          <w:sz w:val="22"/>
          <w:szCs w:val="22"/>
        </w:rPr>
        <w:t>f</w:t>
      </w:r>
      <w:r w:rsidR="00B31533" w:rsidRPr="00F91656">
        <w:rPr>
          <w:i/>
          <w:sz w:val="22"/>
          <w:szCs w:val="22"/>
        </w:rPr>
        <w:t>ebuxostatum</w:t>
      </w:r>
      <w:r w:rsidR="00B31533" w:rsidRPr="007E6D6B">
        <w:rPr>
          <w:sz w:val="22"/>
          <w:szCs w:val="22"/>
        </w:rPr>
        <w:t>)</w:t>
      </w:r>
      <w:r w:rsidR="00C2214B" w:rsidRPr="007E6D6B">
        <w:rPr>
          <w:sz w:val="22"/>
          <w:szCs w:val="22"/>
        </w:rPr>
        <w:t>.</w:t>
      </w:r>
    </w:p>
    <w:p w14:paraId="56EEE10C" w14:textId="77777777" w:rsidR="00C7324F" w:rsidRPr="007E6D6B" w:rsidRDefault="00C7324F" w:rsidP="00C7324F">
      <w:pPr>
        <w:jc w:val="both"/>
        <w:rPr>
          <w:color w:val="000000"/>
          <w:sz w:val="22"/>
          <w:szCs w:val="22"/>
        </w:rPr>
      </w:pPr>
    </w:p>
    <w:p w14:paraId="2EE088B0" w14:textId="77777777" w:rsidR="00645E05" w:rsidRPr="00F91656" w:rsidRDefault="00645E05" w:rsidP="00645E05">
      <w:pPr>
        <w:rPr>
          <w:sz w:val="22"/>
          <w:szCs w:val="22"/>
          <w:u w:val="single"/>
        </w:rPr>
      </w:pPr>
      <w:r w:rsidRPr="00F91656">
        <w:rPr>
          <w:sz w:val="22"/>
          <w:szCs w:val="22"/>
          <w:u w:val="single"/>
        </w:rPr>
        <w:t>Palīgviela(-s) ar zināmu iedarbību</w:t>
      </w:r>
    </w:p>
    <w:p w14:paraId="52294847" w14:textId="77777777" w:rsidR="00645E05" w:rsidRPr="007E6D6B" w:rsidRDefault="00645E05" w:rsidP="00645E05">
      <w:pPr>
        <w:rPr>
          <w:sz w:val="22"/>
          <w:szCs w:val="22"/>
        </w:rPr>
      </w:pPr>
      <w:r w:rsidRPr="007E6D6B">
        <w:rPr>
          <w:sz w:val="22"/>
          <w:szCs w:val="22"/>
        </w:rPr>
        <w:t>Katra apvalkotā tablete satur 72,68 mg laktozes (monohidrāta veidā).</w:t>
      </w:r>
    </w:p>
    <w:p w14:paraId="7A9ED09E" w14:textId="77777777" w:rsidR="00645E05" w:rsidRDefault="00645E05" w:rsidP="007E6D6B">
      <w:pPr>
        <w:rPr>
          <w:i/>
          <w:sz w:val="22"/>
          <w:szCs w:val="22"/>
        </w:rPr>
      </w:pPr>
    </w:p>
    <w:p w14:paraId="253C5C15" w14:textId="6922E457" w:rsidR="00D21A61" w:rsidRPr="00EF2CDA" w:rsidRDefault="006839E4" w:rsidP="007E6D6B">
      <w:pPr>
        <w:rPr>
          <w:i/>
          <w:sz w:val="22"/>
          <w:szCs w:val="22"/>
        </w:rPr>
      </w:pPr>
      <w:r w:rsidRPr="00EF2CDA">
        <w:rPr>
          <w:i/>
          <w:sz w:val="22"/>
          <w:szCs w:val="22"/>
        </w:rPr>
        <w:t>Druniler</w:t>
      </w:r>
      <w:r w:rsidR="00A40666" w:rsidRPr="00EF2CDA">
        <w:rPr>
          <w:i/>
          <w:sz w:val="22"/>
          <w:szCs w:val="22"/>
        </w:rPr>
        <w:t xml:space="preserve"> 120 mg apvalkotās tabletes </w:t>
      </w:r>
    </w:p>
    <w:p w14:paraId="17A5597D" w14:textId="4A74CE3C" w:rsidR="00251BFF" w:rsidRPr="007E6D6B" w:rsidRDefault="00251BFF" w:rsidP="007E6D6B">
      <w:pPr>
        <w:rPr>
          <w:sz w:val="22"/>
          <w:szCs w:val="22"/>
        </w:rPr>
      </w:pPr>
      <w:r w:rsidRPr="007E6D6B">
        <w:rPr>
          <w:sz w:val="22"/>
          <w:szCs w:val="22"/>
        </w:rPr>
        <w:t>Katra apvalkotā tablete satur 120</w:t>
      </w:r>
      <w:r w:rsidR="00B31533" w:rsidRPr="007E6D6B">
        <w:rPr>
          <w:sz w:val="22"/>
          <w:szCs w:val="22"/>
        </w:rPr>
        <w:t> </w:t>
      </w:r>
      <w:r w:rsidRPr="007E6D6B">
        <w:rPr>
          <w:sz w:val="22"/>
          <w:szCs w:val="22"/>
        </w:rPr>
        <w:t xml:space="preserve">mg febuksostata (hemihidrāta </w:t>
      </w:r>
      <w:r w:rsidR="00C2214B" w:rsidRPr="007E6D6B">
        <w:rPr>
          <w:sz w:val="22"/>
          <w:szCs w:val="22"/>
        </w:rPr>
        <w:t>veidā</w:t>
      </w:r>
      <w:r w:rsidRPr="007E6D6B">
        <w:rPr>
          <w:sz w:val="22"/>
          <w:szCs w:val="22"/>
        </w:rPr>
        <w:t>)</w:t>
      </w:r>
      <w:r w:rsidR="00B31533" w:rsidRPr="007E6D6B">
        <w:rPr>
          <w:sz w:val="22"/>
          <w:szCs w:val="22"/>
        </w:rPr>
        <w:t xml:space="preserve"> (</w:t>
      </w:r>
      <w:r w:rsidR="009171B6" w:rsidRPr="00F91656">
        <w:rPr>
          <w:i/>
          <w:sz w:val="22"/>
          <w:szCs w:val="22"/>
        </w:rPr>
        <w:t>f</w:t>
      </w:r>
      <w:r w:rsidR="00B31533" w:rsidRPr="00F91656">
        <w:rPr>
          <w:i/>
          <w:sz w:val="22"/>
          <w:szCs w:val="22"/>
        </w:rPr>
        <w:t>ebuxostatum</w:t>
      </w:r>
      <w:r w:rsidR="00B31533" w:rsidRPr="007E6D6B">
        <w:rPr>
          <w:sz w:val="22"/>
          <w:szCs w:val="22"/>
        </w:rPr>
        <w:t>)</w:t>
      </w:r>
      <w:r w:rsidR="00C2214B" w:rsidRPr="007E6D6B">
        <w:rPr>
          <w:sz w:val="22"/>
          <w:szCs w:val="22"/>
        </w:rPr>
        <w:t>.</w:t>
      </w:r>
    </w:p>
    <w:p w14:paraId="3D66CB4E" w14:textId="77777777" w:rsidR="00C7324F" w:rsidRPr="007E6D6B" w:rsidRDefault="00C7324F" w:rsidP="007E6D6B">
      <w:pPr>
        <w:rPr>
          <w:sz w:val="22"/>
          <w:szCs w:val="22"/>
        </w:rPr>
      </w:pPr>
    </w:p>
    <w:p w14:paraId="3DCF3D39" w14:textId="77777777" w:rsidR="00645E05" w:rsidRPr="00F91656" w:rsidRDefault="00645E05" w:rsidP="00645E05">
      <w:pPr>
        <w:rPr>
          <w:sz w:val="22"/>
          <w:szCs w:val="22"/>
          <w:u w:val="single"/>
        </w:rPr>
      </w:pPr>
      <w:r w:rsidRPr="00F91656">
        <w:rPr>
          <w:sz w:val="22"/>
          <w:szCs w:val="22"/>
          <w:u w:val="single"/>
        </w:rPr>
        <w:t>Palīgviela(-s) ar zināmu iedarbību</w:t>
      </w:r>
    </w:p>
    <w:p w14:paraId="6BF9E8B4" w14:textId="168125B7" w:rsidR="008D7D6A" w:rsidRPr="007E6D6B" w:rsidRDefault="009E2FF1" w:rsidP="007E6D6B">
      <w:pPr>
        <w:rPr>
          <w:sz w:val="22"/>
          <w:szCs w:val="22"/>
        </w:rPr>
      </w:pPr>
      <w:r w:rsidRPr="007E6D6B">
        <w:rPr>
          <w:sz w:val="22"/>
          <w:szCs w:val="22"/>
        </w:rPr>
        <w:t>Katra apvalkotā tablete satur 109,0</w:t>
      </w:r>
      <w:r w:rsidR="00645E05">
        <w:rPr>
          <w:sz w:val="22"/>
          <w:szCs w:val="22"/>
        </w:rPr>
        <w:t>1</w:t>
      </w:r>
      <w:r w:rsidR="00B31533" w:rsidRPr="007E6D6B">
        <w:rPr>
          <w:sz w:val="22"/>
          <w:szCs w:val="22"/>
        </w:rPr>
        <w:t> </w:t>
      </w:r>
      <w:r w:rsidRPr="007E6D6B">
        <w:rPr>
          <w:sz w:val="22"/>
          <w:szCs w:val="22"/>
        </w:rPr>
        <w:t xml:space="preserve">mg laktozes (monohidrāta </w:t>
      </w:r>
      <w:r w:rsidR="00C2214B" w:rsidRPr="007E6D6B">
        <w:rPr>
          <w:sz w:val="22"/>
          <w:szCs w:val="22"/>
        </w:rPr>
        <w:t>veidā</w:t>
      </w:r>
      <w:r w:rsidRPr="007E6D6B">
        <w:rPr>
          <w:sz w:val="22"/>
          <w:szCs w:val="22"/>
        </w:rPr>
        <w:t>).</w:t>
      </w:r>
    </w:p>
    <w:p w14:paraId="6D612B69" w14:textId="77777777" w:rsidR="009E2FF1" w:rsidRPr="007E6D6B" w:rsidRDefault="009E2FF1" w:rsidP="007E6D6B">
      <w:pPr>
        <w:rPr>
          <w:sz w:val="22"/>
          <w:szCs w:val="22"/>
        </w:rPr>
      </w:pPr>
    </w:p>
    <w:p w14:paraId="43CB5C3F" w14:textId="77777777" w:rsidR="008D7D6A" w:rsidRPr="007E6D6B" w:rsidRDefault="008D7D6A" w:rsidP="007E6D6B">
      <w:pPr>
        <w:rPr>
          <w:sz w:val="22"/>
          <w:szCs w:val="22"/>
        </w:rPr>
      </w:pPr>
      <w:r w:rsidRPr="007E6D6B">
        <w:rPr>
          <w:sz w:val="22"/>
          <w:szCs w:val="22"/>
        </w:rPr>
        <w:t>Pilnu palīgvielu sarakstu skatīt 6.1. apakšpunktā.</w:t>
      </w:r>
    </w:p>
    <w:p w14:paraId="6B9EB586" w14:textId="77777777" w:rsidR="008D7D6A" w:rsidRPr="007E6D6B" w:rsidRDefault="008D7D6A" w:rsidP="007E6D6B">
      <w:pPr>
        <w:rPr>
          <w:sz w:val="22"/>
          <w:szCs w:val="22"/>
        </w:rPr>
      </w:pPr>
    </w:p>
    <w:p w14:paraId="42A6D150" w14:textId="77777777" w:rsidR="008D7D6A" w:rsidRPr="007E6D6B" w:rsidRDefault="008D7D6A" w:rsidP="007E6D6B"/>
    <w:p w14:paraId="14B8B8D1" w14:textId="77777777" w:rsidR="008D7D6A" w:rsidRPr="00F91656" w:rsidRDefault="00E45487" w:rsidP="007E6D6B">
      <w:pPr>
        <w:rPr>
          <w:b/>
          <w:sz w:val="22"/>
          <w:szCs w:val="22"/>
        </w:rPr>
      </w:pPr>
      <w:r w:rsidRPr="00F91656">
        <w:rPr>
          <w:b/>
          <w:sz w:val="22"/>
          <w:szCs w:val="22"/>
        </w:rPr>
        <w:t>3.</w:t>
      </w:r>
      <w:r w:rsidRPr="00F91656">
        <w:rPr>
          <w:b/>
          <w:sz w:val="22"/>
          <w:szCs w:val="22"/>
        </w:rPr>
        <w:tab/>
        <w:t>ZĀĻU FORMA</w:t>
      </w:r>
    </w:p>
    <w:p w14:paraId="0D96D9BC" w14:textId="77777777" w:rsidR="008D7D6A" w:rsidRPr="007E6D6B" w:rsidRDefault="008D7D6A" w:rsidP="007E6D6B"/>
    <w:p w14:paraId="6F2BB06D" w14:textId="37ECEE42" w:rsidR="008D7D6A" w:rsidRPr="007E6D6B" w:rsidRDefault="000E143A" w:rsidP="007E6D6B">
      <w:pPr>
        <w:rPr>
          <w:sz w:val="22"/>
          <w:szCs w:val="22"/>
        </w:rPr>
      </w:pPr>
      <w:r w:rsidRPr="007E6D6B">
        <w:rPr>
          <w:sz w:val="22"/>
          <w:szCs w:val="22"/>
        </w:rPr>
        <w:t>Apvalkotā tablete</w:t>
      </w:r>
      <w:r w:rsidR="007F3ECC" w:rsidRPr="007E6D6B">
        <w:rPr>
          <w:sz w:val="22"/>
          <w:szCs w:val="22"/>
        </w:rPr>
        <w:t xml:space="preserve"> (tablete)</w:t>
      </w:r>
      <w:r w:rsidRPr="007E6D6B">
        <w:rPr>
          <w:sz w:val="22"/>
          <w:szCs w:val="22"/>
        </w:rPr>
        <w:t>.</w:t>
      </w:r>
    </w:p>
    <w:p w14:paraId="7A1C2919" w14:textId="77777777" w:rsidR="008D7D6A" w:rsidRPr="007E6D6B" w:rsidRDefault="008D7D6A" w:rsidP="007E6D6B">
      <w:pPr>
        <w:rPr>
          <w:sz w:val="22"/>
          <w:szCs w:val="22"/>
        </w:rPr>
      </w:pPr>
    </w:p>
    <w:p w14:paraId="2561ACAE" w14:textId="77777777" w:rsidR="00D21A61" w:rsidRPr="00EF2CDA" w:rsidRDefault="006839E4" w:rsidP="007E6D6B">
      <w:pPr>
        <w:rPr>
          <w:i/>
          <w:sz w:val="22"/>
          <w:szCs w:val="22"/>
        </w:rPr>
      </w:pPr>
      <w:r w:rsidRPr="00EF2CDA">
        <w:rPr>
          <w:i/>
          <w:sz w:val="22"/>
          <w:szCs w:val="22"/>
        </w:rPr>
        <w:t>Druniler</w:t>
      </w:r>
      <w:r w:rsidR="00BB2A83" w:rsidRPr="00EF2CDA">
        <w:rPr>
          <w:i/>
          <w:sz w:val="22"/>
          <w:szCs w:val="22"/>
        </w:rPr>
        <w:t xml:space="preserve"> 80 mg apvalkotās tabletes </w:t>
      </w:r>
    </w:p>
    <w:p w14:paraId="2F2A47C8" w14:textId="77777777" w:rsidR="00C777C9" w:rsidRPr="007E6D6B" w:rsidRDefault="00C777C9" w:rsidP="007E6D6B">
      <w:pPr>
        <w:rPr>
          <w:sz w:val="22"/>
          <w:szCs w:val="22"/>
        </w:rPr>
      </w:pPr>
      <w:r w:rsidRPr="007E6D6B">
        <w:rPr>
          <w:sz w:val="22"/>
          <w:szCs w:val="22"/>
        </w:rPr>
        <w:t>Gaiš</w:t>
      </w:r>
      <w:r w:rsidR="00B31533" w:rsidRPr="007E6D6B">
        <w:rPr>
          <w:sz w:val="22"/>
          <w:szCs w:val="22"/>
        </w:rPr>
        <w:t xml:space="preserve">i </w:t>
      </w:r>
      <w:r w:rsidRPr="007E6D6B">
        <w:rPr>
          <w:sz w:val="22"/>
          <w:szCs w:val="22"/>
        </w:rPr>
        <w:t xml:space="preserve">dzeltenas </w:t>
      </w:r>
      <w:r w:rsidR="00B31533" w:rsidRPr="007E6D6B">
        <w:rPr>
          <w:sz w:val="22"/>
          <w:szCs w:val="22"/>
        </w:rPr>
        <w:t>līdz</w:t>
      </w:r>
      <w:r w:rsidRPr="007E6D6B">
        <w:rPr>
          <w:sz w:val="22"/>
          <w:szCs w:val="22"/>
        </w:rPr>
        <w:t xml:space="preserve"> dzeltenas</w:t>
      </w:r>
      <w:r w:rsidR="005E2F3B" w:rsidRPr="007E6D6B">
        <w:rPr>
          <w:sz w:val="22"/>
          <w:szCs w:val="22"/>
        </w:rPr>
        <w:t>,</w:t>
      </w:r>
      <w:r w:rsidRPr="007E6D6B">
        <w:rPr>
          <w:sz w:val="22"/>
          <w:szCs w:val="22"/>
        </w:rPr>
        <w:t xml:space="preserve"> apvalkotas</w:t>
      </w:r>
      <w:r w:rsidR="005E2F3B" w:rsidRPr="007E6D6B">
        <w:rPr>
          <w:sz w:val="22"/>
          <w:szCs w:val="22"/>
        </w:rPr>
        <w:t>,</w:t>
      </w:r>
      <w:r w:rsidRPr="007E6D6B">
        <w:rPr>
          <w:sz w:val="22"/>
          <w:szCs w:val="22"/>
        </w:rPr>
        <w:t xml:space="preserve"> kapsulas formas tabletes ar gravējumu “80” vienā pusē un gludas otrā pusē, </w:t>
      </w:r>
      <w:r w:rsidR="00B31533" w:rsidRPr="007E6D6B">
        <w:rPr>
          <w:sz w:val="22"/>
          <w:szCs w:val="22"/>
        </w:rPr>
        <w:t>izmērs</w:t>
      </w:r>
      <w:r w:rsidRPr="007E6D6B">
        <w:rPr>
          <w:sz w:val="22"/>
          <w:szCs w:val="22"/>
        </w:rPr>
        <w:t xml:space="preserve"> 16,5 </w:t>
      </w:r>
      <w:r w:rsidR="005E2F3B" w:rsidRPr="007E6D6B">
        <w:rPr>
          <w:sz w:val="22"/>
          <w:szCs w:val="22"/>
        </w:rPr>
        <w:t xml:space="preserve">mm </w:t>
      </w:r>
      <w:r w:rsidRPr="007E6D6B">
        <w:rPr>
          <w:sz w:val="22"/>
          <w:szCs w:val="22"/>
        </w:rPr>
        <w:t>x 7,0 mm</w:t>
      </w:r>
      <w:r w:rsidR="00B31533" w:rsidRPr="007E6D6B">
        <w:rPr>
          <w:sz w:val="22"/>
          <w:szCs w:val="22"/>
        </w:rPr>
        <w:t>.</w:t>
      </w:r>
      <w:r w:rsidRPr="007E6D6B">
        <w:rPr>
          <w:sz w:val="22"/>
          <w:szCs w:val="22"/>
        </w:rPr>
        <w:t xml:space="preserve"> </w:t>
      </w:r>
    </w:p>
    <w:p w14:paraId="0410A2D2" w14:textId="77777777" w:rsidR="00D21A61" w:rsidRPr="007E6D6B" w:rsidRDefault="00D21A61" w:rsidP="007E6D6B">
      <w:pPr>
        <w:rPr>
          <w:sz w:val="22"/>
          <w:szCs w:val="22"/>
        </w:rPr>
      </w:pPr>
    </w:p>
    <w:p w14:paraId="0D42F9A1" w14:textId="77777777" w:rsidR="00D21A61" w:rsidRPr="00EF2CDA" w:rsidRDefault="006839E4" w:rsidP="007E6D6B">
      <w:pPr>
        <w:rPr>
          <w:i/>
          <w:sz w:val="22"/>
          <w:szCs w:val="22"/>
        </w:rPr>
      </w:pPr>
      <w:r w:rsidRPr="00EF2CDA">
        <w:rPr>
          <w:i/>
          <w:sz w:val="22"/>
          <w:szCs w:val="22"/>
        </w:rPr>
        <w:t>Druniler</w:t>
      </w:r>
      <w:r w:rsidR="00B31533" w:rsidRPr="00EF2CDA">
        <w:rPr>
          <w:i/>
          <w:sz w:val="22"/>
          <w:szCs w:val="22"/>
        </w:rPr>
        <w:t xml:space="preserve"> 120 </w:t>
      </w:r>
      <w:r w:rsidR="00BB2A83" w:rsidRPr="00EF2CDA">
        <w:rPr>
          <w:i/>
          <w:sz w:val="22"/>
          <w:szCs w:val="22"/>
        </w:rPr>
        <w:t xml:space="preserve">mg apvalkotās tabletes </w:t>
      </w:r>
    </w:p>
    <w:p w14:paraId="5D6F56D3" w14:textId="77777777" w:rsidR="008D7D6A" w:rsidRPr="007E6D6B" w:rsidRDefault="00C777C9" w:rsidP="007E6D6B">
      <w:pPr>
        <w:rPr>
          <w:sz w:val="22"/>
          <w:szCs w:val="22"/>
        </w:rPr>
      </w:pPr>
      <w:r w:rsidRPr="007E6D6B">
        <w:rPr>
          <w:sz w:val="22"/>
          <w:szCs w:val="22"/>
        </w:rPr>
        <w:t>Gaiš</w:t>
      </w:r>
      <w:r w:rsidR="00B31533" w:rsidRPr="007E6D6B">
        <w:rPr>
          <w:sz w:val="22"/>
          <w:szCs w:val="22"/>
        </w:rPr>
        <w:t xml:space="preserve">i </w:t>
      </w:r>
      <w:r w:rsidRPr="007E6D6B">
        <w:rPr>
          <w:sz w:val="22"/>
          <w:szCs w:val="22"/>
        </w:rPr>
        <w:t xml:space="preserve">dzeltenas </w:t>
      </w:r>
      <w:r w:rsidR="00B31533" w:rsidRPr="007E6D6B">
        <w:rPr>
          <w:sz w:val="22"/>
          <w:szCs w:val="22"/>
        </w:rPr>
        <w:t>līdz</w:t>
      </w:r>
      <w:r w:rsidRPr="007E6D6B">
        <w:rPr>
          <w:sz w:val="22"/>
          <w:szCs w:val="22"/>
        </w:rPr>
        <w:t xml:space="preserve"> dzeltenas</w:t>
      </w:r>
      <w:r w:rsidR="005F2742" w:rsidRPr="007E6D6B">
        <w:rPr>
          <w:sz w:val="22"/>
          <w:szCs w:val="22"/>
        </w:rPr>
        <w:t>,</w:t>
      </w:r>
      <w:r w:rsidRPr="007E6D6B">
        <w:rPr>
          <w:sz w:val="22"/>
          <w:szCs w:val="22"/>
        </w:rPr>
        <w:t xml:space="preserve"> apvalkotas</w:t>
      </w:r>
      <w:r w:rsidR="005F2742" w:rsidRPr="007E6D6B">
        <w:rPr>
          <w:sz w:val="22"/>
          <w:szCs w:val="22"/>
        </w:rPr>
        <w:t>,</w:t>
      </w:r>
      <w:r w:rsidRPr="007E6D6B">
        <w:rPr>
          <w:sz w:val="22"/>
          <w:szCs w:val="22"/>
        </w:rPr>
        <w:t xml:space="preserve"> kapsulas formas tabletes ar gravējumu “120” vienā pusē un gludas otrā pusē, </w:t>
      </w:r>
      <w:r w:rsidR="00B31533" w:rsidRPr="007E6D6B">
        <w:rPr>
          <w:sz w:val="22"/>
          <w:szCs w:val="22"/>
        </w:rPr>
        <w:t>izmērs</w:t>
      </w:r>
      <w:r w:rsidRPr="007E6D6B">
        <w:rPr>
          <w:sz w:val="22"/>
          <w:szCs w:val="22"/>
        </w:rPr>
        <w:t xml:space="preserve"> 18,5</w:t>
      </w:r>
      <w:r w:rsidR="005F2742" w:rsidRPr="007E6D6B">
        <w:rPr>
          <w:sz w:val="22"/>
          <w:szCs w:val="22"/>
        </w:rPr>
        <w:t xml:space="preserve"> mm</w:t>
      </w:r>
      <w:r w:rsidRPr="007E6D6B">
        <w:rPr>
          <w:sz w:val="22"/>
          <w:szCs w:val="22"/>
        </w:rPr>
        <w:t> x 9,0 mm</w:t>
      </w:r>
      <w:r w:rsidR="00B31533" w:rsidRPr="007E6D6B">
        <w:rPr>
          <w:sz w:val="22"/>
          <w:szCs w:val="22"/>
        </w:rPr>
        <w:t>.</w:t>
      </w:r>
      <w:r w:rsidRPr="007E6D6B">
        <w:rPr>
          <w:sz w:val="22"/>
          <w:szCs w:val="22"/>
        </w:rPr>
        <w:t xml:space="preserve"> </w:t>
      </w:r>
    </w:p>
    <w:p w14:paraId="1362C57B" w14:textId="77777777" w:rsidR="008D7D6A" w:rsidRPr="007E6D6B" w:rsidRDefault="008D7D6A" w:rsidP="007E6D6B"/>
    <w:p w14:paraId="4F3EB794" w14:textId="77777777" w:rsidR="008D7D6A" w:rsidRPr="007E6D6B" w:rsidRDefault="008D7D6A" w:rsidP="007E6D6B"/>
    <w:p w14:paraId="341595F0" w14:textId="77777777" w:rsidR="008D7D6A" w:rsidRPr="00F91656" w:rsidRDefault="001428FA" w:rsidP="007E6D6B">
      <w:pPr>
        <w:rPr>
          <w:b/>
          <w:sz w:val="22"/>
          <w:szCs w:val="22"/>
        </w:rPr>
      </w:pPr>
      <w:bookmarkStart w:id="1" w:name="_Toc441573734"/>
      <w:r w:rsidRPr="00F91656">
        <w:rPr>
          <w:b/>
          <w:sz w:val="22"/>
          <w:szCs w:val="22"/>
        </w:rPr>
        <w:t>4.</w:t>
      </w:r>
      <w:r w:rsidRPr="00F91656">
        <w:rPr>
          <w:b/>
          <w:sz w:val="22"/>
          <w:szCs w:val="22"/>
        </w:rPr>
        <w:tab/>
        <w:t>KLĪNISKĀ INFORMĀCIJA</w:t>
      </w:r>
      <w:bookmarkEnd w:id="1"/>
    </w:p>
    <w:p w14:paraId="3B25E49D" w14:textId="77777777" w:rsidR="008D7D6A" w:rsidRPr="00F91656" w:rsidRDefault="008D7D6A" w:rsidP="007E6D6B">
      <w:pPr>
        <w:rPr>
          <w:b/>
          <w:sz w:val="22"/>
          <w:szCs w:val="22"/>
        </w:rPr>
      </w:pPr>
    </w:p>
    <w:p w14:paraId="37C03F5D" w14:textId="77777777" w:rsidR="008D7D6A" w:rsidRPr="00F91656" w:rsidRDefault="008D7D6A" w:rsidP="007E6D6B">
      <w:pPr>
        <w:rPr>
          <w:b/>
          <w:sz w:val="22"/>
          <w:szCs w:val="22"/>
        </w:rPr>
      </w:pPr>
      <w:bookmarkStart w:id="2" w:name="_Toc441573735"/>
      <w:r w:rsidRPr="00F91656">
        <w:rPr>
          <w:b/>
          <w:sz w:val="22"/>
          <w:szCs w:val="22"/>
        </w:rPr>
        <w:t>4.1.</w:t>
      </w:r>
      <w:r w:rsidRPr="00F91656">
        <w:rPr>
          <w:b/>
          <w:sz w:val="22"/>
          <w:szCs w:val="22"/>
        </w:rPr>
        <w:tab/>
        <w:t>Terapeitiskās indikācijas</w:t>
      </w:r>
      <w:bookmarkEnd w:id="2"/>
    </w:p>
    <w:p w14:paraId="654BB4F0" w14:textId="77777777" w:rsidR="008D7D6A" w:rsidRPr="00F91656" w:rsidRDefault="008D7D6A" w:rsidP="007E6D6B">
      <w:pPr>
        <w:rPr>
          <w:b/>
        </w:rPr>
      </w:pPr>
    </w:p>
    <w:p w14:paraId="24695972" w14:textId="77777777" w:rsidR="00E85292" w:rsidRPr="007E6D6B" w:rsidRDefault="006839E4" w:rsidP="007E6D6B">
      <w:pPr>
        <w:rPr>
          <w:sz w:val="22"/>
          <w:szCs w:val="22"/>
        </w:rPr>
      </w:pPr>
      <w:r w:rsidRPr="007E6D6B">
        <w:rPr>
          <w:sz w:val="22"/>
          <w:szCs w:val="22"/>
        </w:rPr>
        <w:t>Druniler</w:t>
      </w:r>
      <w:r w:rsidR="005F789B" w:rsidRPr="007E6D6B">
        <w:rPr>
          <w:sz w:val="22"/>
          <w:szCs w:val="22"/>
        </w:rPr>
        <w:t xml:space="preserve"> ir indicēts hroni</w:t>
      </w:r>
      <w:r w:rsidR="00B31533" w:rsidRPr="007E6D6B">
        <w:rPr>
          <w:sz w:val="22"/>
          <w:szCs w:val="22"/>
        </w:rPr>
        <w:t xml:space="preserve">skas hiperurikēmijas ārstēšanai, ja urīnskābe jau uzkrājas organismā </w:t>
      </w:r>
      <w:r w:rsidR="005F789B" w:rsidRPr="007E6D6B">
        <w:rPr>
          <w:sz w:val="22"/>
          <w:szCs w:val="22"/>
        </w:rPr>
        <w:t xml:space="preserve">(arī </w:t>
      </w:r>
      <w:r w:rsidR="00AD72A7" w:rsidRPr="007E6D6B">
        <w:rPr>
          <w:sz w:val="22"/>
          <w:szCs w:val="22"/>
        </w:rPr>
        <w:t xml:space="preserve">tad, ja pacientam </w:t>
      </w:r>
      <w:r w:rsidR="005F789B" w:rsidRPr="007E6D6B">
        <w:rPr>
          <w:sz w:val="22"/>
          <w:szCs w:val="22"/>
        </w:rPr>
        <w:t xml:space="preserve">anamnēzē vai </w:t>
      </w:r>
      <w:r w:rsidR="00AD72A7" w:rsidRPr="007E6D6B">
        <w:rPr>
          <w:sz w:val="22"/>
          <w:szCs w:val="22"/>
        </w:rPr>
        <w:t>pašlaik</w:t>
      </w:r>
      <w:r w:rsidR="005F789B" w:rsidRPr="007E6D6B">
        <w:rPr>
          <w:sz w:val="22"/>
          <w:szCs w:val="22"/>
        </w:rPr>
        <w:t xml:space="preserve"> ir </w:t>
      </w:r>
      <w:r w:rsidR="00AD72A7" w:rsidRPr="007E6D6B">
        <w:rPr>
          <w:sz w:val="22"/>
          <w:szCs w:val="22"/>
        </w:rPr>
        <w:t>konstatēti urīnskābes depozīti</w:t>
      </w:r>
      <w:r w:rsidR="005F789B" w:rsidRPr="007E6D6B">
        <w:rPr>
          <w:sz w:val="22"/>
          <w:szCs w:val="22"/>
        </w:rPr>
        <w:t xml:space="preserve"> un (vai) podagrisks artrīts).</w:t>
      </w:r>
    </w:p>
    <w:p w14:paraId="7899205C" w14:textId="77777777" w:rsidR="00E85292" w:rsidRPr="007E6D6B" w:rsidRDefault="00E85292" w:rsidP="007E6D6B">
      <w:pPr>
        <w:rPr>
          <w:sz w:val="22"/>
          <w:szCs w:val="22"/>
        </w:rPr>
      </w:pPr>
    </w:p>
    <w:p w14:paraId="257B613C" w14:textId="77777777" w:rsidR="00056916" w:rsidRPr="00F91656" w:rsidRDefault="006839E4" w:rsidP="007E6D6B">
      <w:pPr>
        <w:rPr>
          <w:i/>
          <w:sz w:val="22"/>
          <w:szCs w:val="22"/>
        </w:rPr>
      </w:pPr>
      <w:r w:rsidRPr="00F91656">
        <w:rPr>
          <w:i/>
          <w:sz w:val="22"/>
          <w:szCs w:val="22"/>
        </w:rPr>
        <w:t>Druniler</w:t>
      </w:r>
      <w:r w:rsidR="00E745A2" w:rsidRPr="00F91656">
        <w:rPr>
          <w:i/>
          <w:sz w:val="22"/>
          <w:szCs w:val="22"/>
        </w:rPr>
        <w:t xml:space="preserve"> 120 mg apvalkotās tabletes</w:t>
      </w:r>
    </w:p>
    <w:p w14:paraId="094DFF5C" w14:textId="77777777" w:rsidR="00056916" w:rsidRPr="007E6D6B" w:rsidRDefault="006839E4" w:rsidP="007E6D6B">
      <w:pPr>
        <w:rPr>
          <w:sz w:val="22"/>
          <w:szCs w:val="22"/>
        </w:rPr>
      </w:pPr>
      <w:r w:rsidRPr="007E6D6B">
        <w:rPr>
          <w:sz w:val="22"/>
          <w:szCs w:val="22"/>
        </w:rPr>
        <w:t>Druniler</w:t>
      </w:r>
      <w:r w:rsidR="005F789B" w:rsidRPr="007E6D6B">
        <w:rPr>
          <w:sz w:val="22"/>
          <w:szCs w:val="22"/>
        </w:rPr>
        <w:t xml:space="preserve"> 120 mg apvalkotās tabletes ir indicētas hiperurikēmijas profilaksei un ārstēšanai pieaugušiem pacientiem, </w:t>
      </w:r>
      <w:r w:rsidR="00AD72A7" w:rsidRPr="007E6D6B">
        <w:rPr>
          <w:sz w:val="22"/>
          <w:szCs w:val="22"/>
        </w:rPr>
        <w:t>kuriem veic ļaundabīga asins šūnu audzēja (ar vidēju vai lielu tumora līzes sindroma (TLS) risku) ķīmijterapiju</w:t>
      </w:r>
      <w:r w:rsidR="005F789B" w:rsidRPr="007E6D6B">
        <w:rPr>
          <w:sz w:val="22"/>
          <w:szCs w:val="22"/>
        </w:rPr>
        <w:t>.</w:t>
      </w:r>
    </w:p>
    <w:p w14:paraId="104A279E" w14:textId="77777777" w:rsidR="00056916" w:rsidRPr="007E6D6B" w:rsidRDefault="00056916" w:rsidP="007E6D6B">
      <w:pPr>
        <w:rPr>
          <w:sz w:val="22"/>
          <w:szCs w:val="22"/>
        </w:rPr>
      </w:pPr>
    </w:p>
    <w:p w14:paraId="07DE9EE9" w14:textId="77777777" w:rsidR="008D7D6A" w:rsidRPr="007E6D6B" w:rsidRDefault="006839E4" w:rsidP="007E6D6B">
      <w:pPr>
        <w:rPr>
          <w:sz w:val="22"/>
          <w:szCs w:val="22"/>
        </w:rPr>
      </w:pPr>
      <w:r w:rsidRPr="007E6D6B">
        <w:rPr>
          <w:sz w:val="22"/>
          <w:szCs w:val="22"/>
        </w:rPr>
        <w:t>Druniler</w:t>
      </w:r>
      <w:r w:rsidR="0067091B" w:rsidRPr="007E6D6B">
        <w:rPr>
          <w:sz w:val="22"/>
          <w:szCs w:val="22"/>
        </w:rPr>
        <w:t xml:space="preserve"> ir indicēts pieaugušajiem.</w:t>
      </w:r>
    </w:p>
    <w:p w14:paraId="02830134" w14:textId="77777777" w:rsidR="008D7D6A" w:rsidRPr="00337F21" w:rsidRDefault="00E85292" w:rsidP="004938F2">
      <w:pPr>
        <w:jc w:val="both"/>
        <w:rPr>
          <w:sz w:val="22"/>
          <w:szCs w:val="22"/>
        </w:rPr>
      </w:pPr>
      <w:r w:rsidRPr="00337F21">
        <w:rPr>
          <w:sz w:val="22"/>
          <w:szCs w:val="22"/>
        </w:rPr>
        <w:tab/>
      </w:r>
    </w:p>
    <w:p w14:paraId="76D1CFF9" w14:textId="77777777" w:rsidR="008D7D6A" w:rsidRPr="00337F21" w:rsidRDefault="008D7D6A" w:rsidP="004938F2">
      <w:pPr>
        <w:keepNext/>
        <w:jc w:val="both"/>
        <w:outlineLvl w:val="1"/>
        <w:rPr>
          <w:b/>
          <w:sz w:val="22"/>
          <w:szCs w:val="22"/>
        </w:rPr>
      </w:pPr>
      <w:bookmarkStart w:id="3" w:name="_Toc441573736"/>
      <w:r w:rsidRPr="00337F21">
        <w:rPr>
          <w:b/>
          <w:sz w:val="22"/>
          <w:szCs w:val="22"/>
        </w:rPr>
        <w:lastRenderedPageBreak/>
        <w:t>4.2.</w:t>
      </w:r>
      <w:r w:rsidRPr="00337F21">
        <w:rPr>
          <w:b/>
          <w:sz w:val="22"/>
          <w:szCs w:val="22"/>
        </w:rPr>
        <w:tab/>
        <w:t>Devas un lietošanas veids</w:t>
      </w:r>
      <w:bookmarkEnd w:id="3"/>
    </w:p>
    <w:p w14:paraId="6A248A7A" w14:textId="77777777" w:rsidR="008D7D6A" w:rsidRPr="00337F21" w:rsidRDefault="008D7D6A" w:rsidP="004938F2">
      <w:pPr>
        <w:ind w:left="720"/>
        <w:jc w:val="both"/>
        <w:rPr>
          <w:sz w:val="22"/>
          <w:szCs w:val="22"/>
        </w:rPr>
      </w:pPr>
    </w:p>
    <w:p w14:paraId="16E16761" w14:textId="77777777" w:rsidR="0067091B" w:rsidRPr="00F91656" w:rsidRDefault="0067091B" w:rsidP="007E6D6B">
      <w:pPr>
        <w:rPr>
          <w:sz w:val="22"/>
          <w:szCs w:val="22"/>
          <w:u w:val="single"/>
        </w:rPr>
      </w:pPr>
      <w:r w:rsidRPr="00F91656">
        <w:rPr>
          <w:sz w:val="22"/>
          <w:szCs w:val="22"/>
          <w:u w:val="single"/>
        </w:rPr>
        <w:t>Devas</w:t>
      </w:r>
    </w:p>
    <w:p w14:paraId="6047ADC8" w14:textId="77777777" w:rsidR="00773DAB" w:rsidRPr="007E6D6B" w:rsidRDefault="00773DAB" w:rsidP="007E6D6B">
      <w:pPr>
        <w:rPr>
          <w:sz w:val="22"/>
          <w:szCs w:val="22"/>
        </w:rPr>
      </w:pPr>
    </w:p>
    <w:p w14:paraId="38E2BEAD" w14:textId="77777777" w:rsidR="008D7D6A" w:rsidRPr="007E6D6B" w:rsidRDefault="00773DAB" w:rsidP="007E6D6B">
      <w:pPr>
        <w:rPr>
          <w:sz w:val="22"/>
          <w:szCs w:val="22"/>
        </w:rPr>
      </w:pPr>
      <w:r w:rsidRPr="00F91656">
        <w:rPr>
          <w:i/>
          <w:sz w:val="22"/>
          <w:szCs w:val="22"/>
        </w:rPr>
        <w:t>Podagra</w:t>
      </w:r>
      <w:r w:rsidR="00AD72A7" w:rsidRPr="00F91656">
        <w:rPr>
          <w:i/>
          <w:sz w:val="22"/>
          <w:szCs w:val="22"/>
        </w:rPr>
        <w:t>:</w:t>
      </w:r>
      <w:r w:rsidRPr="00645E05">
        <w:rPr>
          <w:sz w:val="22"/>
          <w:szCs w:val="22"/>
        </w:rPr>
        <w:t xml:space="preserve"> </w:t>
      </w:r>
      <w:r w:rsidR="006839E4" w:rsidRPr="00645E05">
        <w:rPr>
          <w:sz w:val="22"/>
          <w:szCs w:val="22"/>
        </w:rPr>
        <w:t>D</w:t>
      </w:r>
      <w:r w:rsidR="006839E4" w:rsidRPr="007E6D6B">
        <w:rPr>
          <w:sz w:val="22"/>
          <w:szCs w:val="22"/>
        </w:rPr>
        <w:t>runiler</w:t>
      </w:r>
      <w:r w:rsidRPr="007E6D6B">
        <w:rPr>
          <w:sz w:val="22"/>
          <w:szCs w:val="22"/>
        </w:rPr>
        <w:t xml:space="preserve"> ieteicamā perorālā deva ir 80 mg vienreiz dienā neatkarīgi no ēdienreizēm. Ja pēc 2–4 nedēļām urīnskābes līmenis serumā ir &gt; 6 mg/dl (357 μmol/l), var apsvērt </w:t>
      </w:r>
      <w:r w:rsidR="006839E4" w:rsidRPr="007E6D6B">
        <w:rPr>
          <w:sz w:val="22"/>
          <w:szCs w:val="22"/>
        </w:rPr>
        <w:t>Druniler</w:t>
      </w:r>
      <w:r w:rsidRPr="007E6D6B">
        <w:rPr>
          <w:sz w:val="22"/>
          <w:szCs w:val="22"/>
        </w:rPr>
        <w:t xml:space="preserve"> lietošanu pa 120 mg vienreiz dienā.</w:t>
      </w:r>
    </w:p>
    <w:p w14:paraId="6DB9D7B3" w14:textId="77777777" w:rsidR="0067091B" w:rsidRPr="007E6D6B" w:rsidRDefault="0067091B" w:rsidP="007E6D6B">
      <w:pPr>
        <w:rPr>
          <w:sz w:val="22"/>
          <w:szCs w:val="22"/>
        </w:rPr>
      </w:pPr>
    </w:p>
    <w:p w14:paraId="0D94DA9A" w14:textId="77777777" w:rsidR="0067091B" w:rsidRPr="007E6D6B" w:rsidRDefault="006839E4" w:rsidP="007E6D6B">
      <w:pPr>
        <w:rPr>
          <w:sz w:val="22"/>
          <w:szCs w:val="22"/>
        </w:rPr>
      </w:pPr>
      <w:r w:rsidRPr="007E6D6B">
        <w:rPr>
          <w:sz w:val="22"/>
          <w:szCs w:val="22"/>
        </w:rPr>
        <w:t>Druniler</w:t>
      </w:r>
      <w:r w:rsidR="0058018F" w:rsidRPr="007E6D6B">
        <w:rPr>
          <w:sz w:val="22"/>
          <w:szCs w:val="22"/>
        </w:rPr>
        <w:t xml:space="preserve"> iedarbojas pietiekami ātri, lai pēc divām nedēļām urīnskābes līmeni serumā </w:t>
      </w:r>
      <w:r w:rsidR="00AD72A7" w:rsidRPr="007E6D6B">
        <w:rPr>
          <w:sz w:val="22"/>
          <w:szCs w:val="22"/>
        </w:rPr>
        <w:t>varētu</w:t>
      </w:r>
      <w:r w:rsidR="0058018F" w:rsidRPr="007E6D6B">
        <w:rPr>
          <w:sz w:val="22"/>
          <w:szCs w:val="22"/>
        </w:rPr>
        <w:t xml:space="preserve"> pārbaudīt atkārtoti. Ārstēšanas mērķis ir </w:t>
      </w:r>
      <w:r w:rsidR="00AD72A7" w:rsidRPr="007E6D6B">
        <w:rPr>
          <w:sz w:val="22"/>
          <w:szCs w:val="22"/>
        </w:rPr>
        <w:t>pazemināt</w:t>
      </w:r>
      <w:r w:rsidR="0058018F" w:rsidRPr="007E6D6B">
        <w:rPr>
          <w:sz w:val="22"/>
          <w:szCs w:val="22"/>
        </w:rPr>
        <w:t xml:space="preserve"> urīnskābes koncentrāciju serumā un to uzturēt līmenī, kas zemāks par 6 mg/dl (357 μmol/l).</w:t>
      </w:r>
    </w:p>
    <w:p w14:paraId="22930111" w14:textId="77777777" w:rsidR="0067091B" w:rsidRPr="007E6D6B" w:rsidRDefault="0067091B" w:rsidP="007E6D6B">
      <w:pPr>
        <w:rPr>
          <w:sz w:val="22"/>
          <w:szCs w:val="22"/>
        </w:rPr>
      </w:pPr>
    </w:p>
    <w:p w14:paraId="7C9CA8B6" w14:textId="77777777" w:rsidR="0067091B" w:rsidRPr="007E6D6B" w:rsidRDefault="00AD72A7" w:rsidP="007E6D6B">
      <w:pPr>
        <w:rPr>
          <w:sz w:val="22"/>
          <w:szCs w:val="22"/>
        </w:rPr>
      </w:pPr>
      <w:r w:rsidRPr="007E6D6B">
        <w:rPr>
          <w:sz w:val="22"/>
          <w:szCs w:val="22"/>
        </w:rPr>
        <w:t>I</w:t>
      </w:r>
      <w:r w:rsidR="0067091B" w:rsidRPr="007E6D6B">
        <w:rPr>
          <w:sz w:val="22"/>
          <w:szCs w:val="22"/>
        </w:rPr>
        <w:t xml:space="preserve">r ieteicama vismaz sešus mēnešus ilga </w:t>
      </w:r>
      <w:r w:rsidRPr="007E6D6B">
        <w:rPr>
          <w:sz w:val="22"/>
          <w:szCs w:val="22"/>
        </w:rPr>
        <w:t>podagras uzliesmojumu profilakse</w:t>
      </w:r>
      <w:r w:rsidR="0067091B" w:rsidRPr="007E6D6B">
        <w:rPr>
          <w:sz w:val="22"/>
          <w:szCs w:val="22"/>
        </w:rPr>
        <w:t xml:space="preserve"> (skatīt 4.4. apakšpunktu).</w:t>
      </w:r>
    </w:p>
    <w:p w14:paraId="21014F85" w14:textId="77777777" w:rsidR="0067091B" w:rsidRPr="007E6D6B" w:rsidRDefault="0067091B" w:rsidP="007E6D6B">
      <w:pPr>
        <w:rPr>
          <w:sz w:val="22"/>
          <w:szCs w:val="22"/>
        </w:rPr>
      </w:pPr>
    </w:p>
    <w:p w14:paraId="4A546F77" w14:textId="77777777" w:rsidR="00E745A2" w:rsidRPr="00F91656" w:rsidRDefault="006839E4" w:rsidP="007E6D6B">
      <w:pPr>
        <w:rPr>
          <w:i/>
          <w:sz w:val="22"/>
          <w:szCs w:val="22"/>
          <w:u w:val="single"/>
        </w:rPr>
      </w:pPr>
      <w:r w:rsidRPr="00F91656">
        <w:rPr>
          <w:i/>
          <w:sz w:val="22"/>
          <w:szCs w:val="22"/>
          <w:u w:val="single"/>
        </w:rPr>
        <w:t>Druniler</w:t>
      </w:r>
      <w:r w:rsidR="00E745A2" w:rsidRPr="00F91656">
        <w:rPr>
          <w:i/>
          <w:sz w:val="22"/>
          <w:szCs w:val="22"/>
          <w:u w:val="single"/>
        </w:rPr>
        <w:t xml:space="preserve"> 120 mg apvalkotās tabletes</w:t>
      </w:r>
    </w:p>
    <w:p w14:paraId="24451361" w14:textId="77777777" w:rsidR="00773DAB" w:rsidRPr="007E6D6B" w:rsidRDefault="00AD72A7" w:rsidP="007E6D6B">
      <w:pPr>
        <w:rPr>
          <w:sz w:val="22"/>
          <w:szCs w:val="22"/>
        </w:rPr>
      </w:pPr>
      <w:r w:rsidRPr="007E6D6B">
        <w:rPr>
          <w:sz w:val="22"/>
          <w:szCs w:val="22"/>
        </w:rPr>
        <w:t>Tumora līzes</w:t>
      </w:r>
      <w:r w:rsidR="00773DAB" w:rsidRPr="007E6D6B">
        <w:rPr>
          <w:sz w:val="22"/>
          <w:szCs w:val="22"/>
        </w:rPr>
        <w:t xml:space="preserve"> sindroms</w:t>
      </w:r>
      <w:r w:rsidR="00C2214B" w:rsidRPr="007E6D6B">
        <w:rPr>
          <w:sz w:val="22"/>
          <w:szCs w:val="22"/>
        </w:rPr>
        <w:t>:</w:t>
      </w:r>
      <w:r w:rsidR="00773DAB" w:rsidRPr="007E6D6B">
        <w:rPr>
          <w:sz w:val="22"/>
          <w:szCs w:val="22"/>
        </w:rPr>
        <w:t xml:space="preserve"> </w:t>
      </w:r>
      <w:r w:rsidR="006839E4" w:rsidRPr="007E6D6B">
        <w:rPr>
          <w:sz w:val="22"/>
          <w:szCs w:val="22"/>
        </w:rPr>
        <w:t>Druniler</w:t>
      </w:r>
      <w:r w:rsidR="00773DAB" w:rsidRPr="007E6D6B">
        <w:rPr>
          <w:sz w:val="22"/>
          <w:szCs w:val="22"/>
        </w:rPr>
        <w:t xml:space="preserve"> ieteicamā </w:t>
      </w:r>
      <w:r w:rsidRPr="007E6D6B">
        <w:rPr>
          <w:sz w:val="22"/>
          <w:szCs w:val="22"/>
        </w:rPr>
        <w:t>perorālā deva ir 120 </w:t>
      </w:r>
      <w:r w:rsidR="00773DAB" w:rsidRPr="007E6D6B">
        <w:rPr>
          <w:sz w:val="22"/>
          <w:szCs w:val="22"/>
        </w:rPr>
        <w:t>mg vienreiz dienā neatkarīgi no ēdienreizēm.</w:t>
      </w:r>
    </w:p>
    <w:p w14:paraId="09054057" w14:textId="77777777" w:rsidR="00773DAB" w:rsidRPr="007E6D6B" w:rsidRDefault="006839E4" w:rsidP="007E6D6B">
      <w:pPr>
        <w:rPr>
          <w:sz w:val="22"/>
          <w:szCs w:val="22"/>
        </w:rPr>
      </w:pPr>
      <w:r w:rsidRPr="007E6D6B">
        <w:rPr>
          <w:sz w:val="22"/>
          <w:szCs w:val="22"/>
        </w:rPr>
        <w:t>Druniler</w:t>
      </w:r>
      <w:r w:rsidR="00813C01" w:rsidRPr="007E6D6B">
        <w:rPr>
          <w:sz w:val="22"/>
          <w:szCs w:val="22"/>
        </w:rPr>
        <w:t xml:space="preserve"> lietošana jāuzsāk divas dienas pirms citotoksiskās terapijas uzsākšanas un jāturpina vismaz septiņas dienas, tomēr atkarībā no ķīmijterapijas ilguma</w:t>
      </w:r>
      <w:r w:rsidR="00AD72A7" w:rsidRPr="007E6D6B">
        <w:rPr>
          <w:sz w:val="22"/>
          <w:szCs w:val="22"/>
        </w:rPr>
        <w:t>,</w:t>
      </w:r>
      <w:r w:rsidR="00813C01" w:rsidRPr="007E6D6B">
        <w:rPr>
          <w:sz w:val="22"/>
          <w:szCs w:val="22"/>
        </w:rPr>
        <w:t xml:space="preserve"> un pamatojoties uz klīnisko novērtējumu</w:t>
      </w:r>
      <w:r w:rsidR="00AD72A7" w:rsidRPr="007E6D6B">
        <w:rPr>
          <w:sz w:val="22"/>
          <w:szCs w:val="22"/>
        </w:rPr>
        <w:t>,</w:t>
      </w:r>
      <w:r w:rsidR="00813C01" w:rsidRPr="007E6D6B">
        <w:rPr>
          <w:sz w:val="22"/>
          <w:szCs w:val="22"/>
        </w:rPr>
        <w:t xml:space="preserve"> ārstēšanu var paildzināt līdz deviņām dienām.</w:t>
      </w:r>
    </w:p>
    <w:p w14:paraId="298203C0" w14:textId="77777777" w:rsidR="00773DAB" w:rsidRPr="007E6D6B" w:rsidRDefault="00773DAB" w:rsidP="007E6D6B">
      <w:pPr>
        <w:rPr>
          <w:sz w:val="22"/>
          <w:szCs w:val="22"/>
        </w:rPr>
      </w:pPr>
    </w:p>
    <w:p w14:paraId="7BD6B4CA" w14:textId="77777777" w:rsidR="0067091B" w:rsidRPr="00337F21" w:rsidRDefault="0067091B" w:rsidP="00446618">
      <w:pPr>
        <w:jc w:val="both"/>
        <w:rPr>
          <w:i/>
          <w:sz w:val="22"/>
          <w:szCs w:val="22"/>
        </w:rPr>
      </w:pPr>
      <w:r w:rsidRPr="00337F21">
        <w:rPr>
          <w:i/>
          <w:sz w:val="22"/>
          <w:szCs w:val="22"/>
        </w:rPr>
        <w:t>Gados vecāki pacienti</w:t>
      </w:r>
    </w:p>
    <w:p w14:paraId="76E293A1" w14:textId="77777777" w:rsidR="0067091B" w:rsidRPr="00337F21" w:rsidRDefault="0067091B" w:rsidP="00446618">
      <w:pPr>
        <w:jc w:val="both"/>
        <w:rPr>
          <w:sz w:val="22"/>
          <w:szCs w:val="22"/>
        </w:rPr>
      </w:pPr>
      <w:r w:rsidRPr="00337F21">
        <w:rPr>
          <w:sz w:val="22"/>
          <w:szCs w:val="22"/>
        </w:rPr>
        <w:t>Gados vecākiem pacientiem deva nav jāpielāgo (skatīt 5.2. apakšpunktu).</w:t>
      </w:r>
    </w:p>
    <w:p w14:paraId="6D467734" w14:textId="77777777" w:rsidR="0067091B" w:rsidRPr="00337F21" w:rsidRDefault="0067091B" w:rsidP="004938F2">
      <w:pPr>
        <w:ind w:left="720"/>
        <w:jc w:val="both"/>
        <w:rPr>
          <w:sz w:val="22"/>
          <w:szCs w:val="22"/>
        </w:rPr>
      </w:pPr>
    </w:p>
    <w:p w14:paraId="4357FF80" w14:textId="77777777" w:rsidR="0067091B" w:rsidRPr="00337F21" w:rsidRDefault="0067091B" w:rsidP="00446618">
      <w:pPr>
        <w:jc w:val="both"/>
        <w:rPr>
          <w:i/>
          <w:sz w:val="22"/>
          <w:szCs w:val="22"/>
        </w:rPr>
      </w:pPr>
      <w:r w:rsidRPr="00337F21">
        <w:rPr>
          <w:i/>
          <w:sz w:val="22"/>
          <w:szCs w:val="22"/>
        </w:rPr>
        <w:t>Nieru darbības traucējumi</w:t>
      </w:r>
    </w:p>
    <w:p w14:paraId="21F1A3D9" w14:textId="77777777" w:rsidR="0067091B" w:rsidRPr="00337F21" w:rsidRDefault="0067091B" w:rsidP="00446618">
      <w:pPr>
        <w:jc w:val="both"/>
        <w:rPr>
          <w:sz w:val="22"/>
          <w:szCs w:val="22"/>
        </w:rPr>
      </w:pPr>
      <w:r w:rsidRPr="00337F21">
        <w:rPr>
          <w:sz w:val="22"/>
          <w:szCs w:val="22"/>
        </w:rPr>
        <w:t>Pacientiem ar smagiem nieru darbības traucējumiem (kreatinīna klīrens</w:t>
      </w:r>
      <w:r w:rsidR="00257175" w:rsidRPr="00337F21">
        <w:rPr>
          <w:sz w:val="22"/>
          <w:szCs w:val="22"/>
        </w:rPr>
        <w:t>s</w:t>
      </w:r>
      <w:r w:rsidRPr="00337F21">
        <w:rPr>
          <w:sz w:val="22"/>
          <w:szCs w:val="22"/>
        </w:rPr>
        <w:t xml:space="preserve"> &lt; 30 ml/min) šo zāļu efektivitāte un drošums nav pilnībā novērtēts (skatīt 5.2. apakšpunktu).</w:t>
      </w:r>
    </w:p>
    <w:p w14:paraId="4E278736" w14:textId="77777777" w:rsidR="0067091B" w:rsidRPr="00337F21" w:rsidRDefault="0067091B" w:rsidP="00446618">
      <w:pPr>
        <w:jc w:val="both"/>
        <w:rPr>
          <w:sz w:val="22"/>
          <w:szCs w:val="22"/>
        </w:rPr>
      </w:pPr>
      <w:r w:rsidRPr="00337F21">
        <w:rPr>
          <w:sz w:val="22"/>
          <w:szCs w:val="22"/>
        </w:rPr>
        <w:t>Pacientiem ar viegliem vai vidēji smagiem nieru darbības traucējumiem deva nav jāpielāgo.</w:t>
      </w:r>
    </w:p>
    <w:p w14:paraId="5D7AF21D" w14:textId="77777777" w:rsidR="0067091B" w:rsidRPr="00337F21" w:rsidRDefault="0067091B" w:rsidP="004938F2">
      <w:pPr>
        <w:ind w:left="720"/>
        <w:jc w:val="both"/>
        <w:rPr>
          <w:sz w:val="22"/>
          <w:szCs w:val="22"/>
        </w:rPr>
      </w:pPr>
    </w:p>
    <w:p w14:paraId="50A73806" w14:textId="77777777" w:rsidR="0067091B" w:rsidRPr="00337F21" w:rsidRDefault="0067091B" w:rsidP="00446618">
      <w:pPr>
        <w:jc w:val="both"/>
        <w:rPr>
          <w:i/>
          <w:sz w:val="22"/>
          <w:szCs w:val="22"/>
        </w:rPr>
      </w:pPr>
      <w:r w:rsidRPr="00337F21">
        <w:rPr>
          <w:i/>
          <w:sz w:val="22"/>
          <w:szCs w:val="22"/>
        </w:rPr>
        <w:t>Aknu darbības traucējumi</w:t>
      </w:r>
    </w:p>
    <w:p w14:paraId="3A1D10D4" w14:textId="77777777" w:rsidR="0067091B" w:rsidRPr="001A37E3" w:rsidRDefault="0067091B" w:rsidP="00446618">
      <w:pPr>
        <w:jc w:val="both"/>
        <w:rPr>
          <w:sz w:val="22"/>
          <w:szCs w:val="22"/>
        </w:rPr>
      </w:pPr>
      <w:r w:rsidRPr="00645E05">
        <w:rPr>
          <w:sz w:val="22"/>
          <w:szCs w:val="22"/>
        </w:rPr>
        <w:t>Febuksostata efektivitāte un drošums pacientiem ar smagiem aknu darbības traucējumiem (C pakāp</w:t>
      </w:r>
      <w:r w:rsidR="00257175" w:rsidRPr="001A37E3">
        <w:rPr>
          <w:sz w:val="22"/>
          <w:szCs w:val="22"/>
        </w:rPr>
        <w:t>e</w:t>
      </w:r>
      <w:r w:rsidRPr="001A37E3">
        <w:rPr>
          <w:sz w:val="22"/>
          <w:szCs w:val="22"/>
        </w:rPr>
        <w:t xml:space="preserve"> pēc </w:t>
      </w:r>
      <w:r w:rsidRPr="001A37E3">
        <w:rPr>
          <w:i/>
          <w:sz w:val="22"/>
          <w:szCs w:val="22"/>
        </w:rPr>
        <w:t>Child-Pugh</w:t>
      </w:r>
      <w:r w:rsidRPr="001A37E3">
        <w:rPr>
          <w:sz w:val="22"/>
          <w:szCs w:val="22"/>
        </w:rPr>
        <w:t xml:space="preserve"> klasifikācijas) nav pētīts.</w:t>
      </w:r>
    </w:p>
    <w:p w14:paraId="081B55E8" w14:textId="77777777" w:rsidR="0067091B" w:rsidRPr="001A37E3" w:rsidRDefault="00315B82" w:rsidP="00446618">
      <w:pPr>
        <w:jc w:val="both"/>
        <w:rPr>
          <w:sz w:val="22"/>
          <w:szCs w:val="22"/>
        </w:rPr>
      </w:pPr>
      <w:r w:rsidRPr="00F91656">
        <w:rPr>
          <w:sz w:val="22"/>
          <w:szCs w:val="22"/>
        </w:rPr>
        <w:t>Podagra</w:t>
      </w:r>
      <w:r w:rsidR="00257175" w:rsidRPr="00F91656">
        <w:rPr>
          <w:sz w:val="22"/>
          <w:szCs w:val="22"/>
        </w:rPr>
        <w:t>: p</w:t>
      </w:r>
      <w:r w:rsidRPr="00F91656">
        <w:rPr>
          <w:sz w:val="22"/>
          <w:szCs w:val="22"/>
        </w:rPr>
        <w:t xml:space="preserve">acientiem ar viegliem aknu darbības traucējumiem ieteicamā deva ir 80 mg. Par pacientiem, </w:t>
      </w:r>
      <w:r w:rsidR="00257175" w:rsidRPr="00F91656">
        <w:rPr>
          <w:sz w:val="22"/>
          <w:szCs w:val="22"/>
        </w:rPr>
        <w:t>kuriem</w:t>
      </w:r>
      <w:r w:rsidRPr="00645E05">
        <w:rPr>
          <w:sz w:val="22"/>
          <w:szCs w:val="22"/>
        </w:rPr>
        <w:t xml:space="preserve"> ir vidēji smagi aknu darbības traucējumi, pieejamā informācija ir ierobežota.</w:t>
      </w:r>
    </w:p>
    <w:p w14:paraId="1BBB644C" w14:textId="77777777" w:rsidR="0067091B" w:rsidRPr="007E6D6B" w:rsidRDefault="0067091B" w:rsidP="007E6D6B"/>
    <w:p w14:paraId="7F03883B" w14:textId="77777777" w:rsidR="00E745A2" w:rsidRPr="00F91656" w:rsidRDefault="006839E4" w:rsidP="007E6D6B">
      <w:pPr>
        <w:rPr>
          <w:i/>
          <w:sz w:val="22"/>
          <w:szCs w:val="22"/>
          <w:u w:val="single"/>
        </w:rPr>
      </w:pPr>
      <w:r w:rsidRPr="00F91656">
        <w:rPr>
          <w:i/>
          <w:sz w:val="22"/>
          <w:szCs w:val="22"/>
          <w:u w:val="single"/>
        </w:rPr>
        <w:t>Druniler</w:t>
      </w:r>
      <w:r w:rsidR="00E745A2" w:rsidRPr="00F91656">
        <w:rPr>
          <w:i/>
          <w:sz w:val="22"/>
          <w:szCs w:val="22"/>
          <w:u w:val="single"/>
        </w:rPr>
        <w:t xml:space="preserve"> 120 mg apvalkotās tabletes</w:t>
      </w:r>
    </w:p>
    <w:p w14:paraId="458E2A5B" w14:textId="77777777" w:rsidR="006E483F" w:rsidRPr="007E6D6B" w:rsidRDefault="00257175" w:rsidP="007E6D6B">
      <w:pPr>
        <w:rPr>
          <w:sz w:val="22"/>
          <w:szCs w:val="22"/>
        </w:rPr>
      </w:pPr>
      <w:r w:rsidRPr="007E6D6B">
        <w:rPr>
          <w:sz w:val="22"/>
          <w:szCs w:val="22"/>
        </w:rPr>
        <w:t>Tumora līzes</w:t>
      </w:r>
      <w:r w:rsidR="006E483F" w:rsidRPr="007E6D6B">
        <w:rPr>
          <w:sz w:val="22"/>
          <w:szCs w:val="22"/>
        </w:rPr>
        <w:t xml:space="preserve"> sindroms: no piedalīšanās pivotālajā 3. fāzes pētījumā FLORENCE tika izslēgti tikai tie pacienti, </w:t>
      </w:r>
      <w:r w:rsidRPr="007E6D6B">
        <w:rPr>
          <w:sz w:val="22"/>
          <w:szCs w:val="22"/>
        </w:rPr>
        <w:t>kuriem</w:t>
      </w:r>
      <w:r w:rsidR="006E483F" w:rsidRPr="007E6D6B">
        <w:rPr>
          <w:sz w:val="22"/>
          <w:szCs w:val="22"/>
        </w:rPr>
        <w:t xml:space="preserve"> bija smaga aknu </w:t>
      </w:r>
      <w:r w:rsidRPr="007E6D6B">
        <w:rPr>
          <w:sz w:val="22"/>
          <w:szCs w:val="22"/>
        </w:rPr>
        <w:t>mazspēja</w:t>
      </w:r>
      <w:r w:rsidR="006E483F" w:rsidRPr="007E6D6B">
        <w:rPr>
          <w:sz w:val="22"/>
          <w:szCs w:val="22"/>
        </w:rPr>
        <w:t xml:space="preserve">. Iekļautajiem pacientiem deva, pamatojoties uz aknu </w:t>
      </w:r>
      <w:r w:rsidRPr="007E6D6B">
        <w:rPr>
          <w:sz w:val="22"/>
          <w:szCs w:val="22"/>
        </w:rPr>
        <w:t>darbību</w:t>
      </w:r>
      <w:r w:rsidR="006E483F" w:rsidRPr="007E6D6B">
        <w:rPr>
          <w:sz w:val="22"/>
          <w:szCs w:val="22"/>
        </w:rPr>
        <w:t>, nebija jāpielāgo.</w:t>
      </w:r>
    </w:p>
    <w:p w14:paraId="79FBC6B0" w14:textId="77777777" w:rsidR="006E483F" w:rsidRPr="007E6D6B" w:rsidRDefault="006E483F" w:rsidP="007E6D6B"/>
    <w:p w14:paraId="4B0241C7" w14:textId="77777777" w:rsidR="0067091B" w:rsidRPr="00337F21" w:rsidRDefault="0067091B" w:rsidP="00446618">
      <w:pPr>
        <w:jc w:val="both"/>
        <w:rPr>
          <w:i/>
          <w:sz w:val="22"/>
          <w:szCs w:val="22"/>
        </w:rPr>
      </w:pPr>
      <w:r w:rsidRPr="00337F21">
        <w:rPr>
          <w:i/>
          <w:sz w:val="22"/>
          <w:szCs w:val="22"/>
        </w:rPr>
        <w:t>Pediatriskā populācija</w:t>
      </w:r>
    </w:p>
    <w:p w14:paraId="30A2423D" w14:textId="1E267A3C" w:rsidR="0067091B" w:rsidRPr="00337F21" w:rsidRDefault="0067091B" w:rsidP="00446618">
      <w:pPr>
        <w:jc w:val="both"/>
        <w:rPr>
          <w:sz w:val="22"/>
          <w:szCs w:val="22"/>
        </w:rPr>
      </w:pPr>
      <w:r w:rsidRPr="00337F21">
        <w:rPr>
          <w:sz w:val="22"/>
          <w:szCs w:val="22"/>
        </w:rPr>
        <w:t>Febuk</w:t>
      </w:r>
      <w:r w:rsidR="00257175" w:rsidRPr="00337F21">
        <w:rPr>
          <w:sz w:val="22"/>
          <w:szCs w:val="22"/>
        </w:rPr>
        <w:t>sostata drošums un efektivitāte, lietojot bērniem</w:t>
      </w:r>
      <w:r w:rsidR="005668F3">
        <w:rPr>
          <w:sz w:val="22"/>
          <w:szCs w:val="22"/>
        </w:rPr>
        <w:t xml:space="preserve"> un pusaudžiem</w:t>
      </w:r>
      <w:r w:rsidR="00257175" w:rsidRPr="00337F21">
        <w:rPr>
          <w:sz w:val="22"/>
          <w:szCs w:val="22"/>
        </w:rPr>
        <w:t xml:space="preserve"> vecumā līdz 18 gadiem, </w:t>
      </w:r>
      <w:r w:rsidRPr="00337F21">
        <w:rPr>
          <w:sz w:val="22"/>
          <w:szCs w:val="22"/>
        </w:rPr>
        <w:t xml:space="preserve">nav </w:t>
      </w:r>
      <w:r w:rsidR="00257175" w:rsidRPr="00337F21">
        <w:rPr>
          <w:sz w:val="22"/>
          <w:szCs w:val="22"/>
        </w:rPr>
        <w:t>pierādīta</w:t>
      </w:r>
      <w:r w:rsidRPr="00337F21">
        <w:rPr>
          <w:sz w:val="22"/>
          <w:szCs w:val="22"/>
        </w:rPr>
        <w:t>. Dati nav pieejami.</w:t>
      </w:r>
    </w:p>
    <w:p w14:paraId="5BD3FAEC" w14:textId="77777777" w:rsidR="0067091B" w:rsidRPr="00337F21" w:rsidRDefault="0067091B" w:rsidP="004938F2">
      <w:pPr>
        <w:ind w:left="720"/>
        <w:jc w:val="both"/>
        <w:rPr>
          <w:sz w:val="22"/>
          <w:szCs w:val="22"/>
        </w:rPr>
      </w:pPr>
    </w:p>
    <w:p w14:paraId="6E4E04A0" w14:textId="77777777" w:rsidR="006E483F" w:rsidRPr="00337F21" w:rsidRDefault="006E483F" w:rsidP="00446618">
      <w:pPr>
        <w:jc w:val="both"/>
        <w:rPr>
          <w:sz w:val="22"/>
          <w:szCs w:val="22"/>
          <w:u w:val="single"/>
        </w:rPr>
      </w:pPr>
      <w:r w:rsidRPr="00337F21">
        <w:rPr>
          <w:sz w:val="22"/>
          <w:szCs w:val="22"/>
          <w:u w:val="single"/>
        </w:rPr>
        <w:t>Lietošanas veids</w:t>
      </w:r>
    </w:p>
    <w:p w14:paraId="4214669C" w14:textId="77777777" w:rsidR="0067091B" w:rsidRPr="00337F21" w:rsidRDefault="0067091B" w:rsidP="00446618">
      <w:pPr>
        <w:jc w:val="both"/>
        <w:rPr>
          <w:sz w:val="22"/>
          <w:szCs w:val="22"/>
        </w:rPr>
      </w:pPr>
      <w:r w:rsidRPr="00337F21">
        <w:rPr>
          <w:sz w:val="22"/>
          <w:szCs w:val="22"/>
        </w:rPr>
        <w:t>Iekšķīgai lietošanai.</w:t>
      </w:r>
    </w:p>
    <w:p w14:paraId="23B14B83" w14:textId="77777777" w:rsidR="0067091B" w:rsidRPr="00337F21" w:rsidRDefault="006839E4" w:rsidP="00446618">
      <w:pPr>
        <w:jc w:val="both"/>
        <w:rPr>
          <w:sz w:val="22"/>
          <w:szCs w:val="22"/>
        </w:rPr>
      </w:pPr>
      <w:r>
        <w:rPr>
          <w:sz w:val="22"/>
          <w:szCs w:val="22"/>
        </w:rPr>
        <w:t>Druniler</w:t>
      </w:r>
      <w:r w:rsidR="0058018F" w:rsidRPr="00337F21">
        <w:rPr>
          <w:sz w:val="22"/>
          <w:szCs w:val="22"/>
        </w:rPr>
        <w:t xml:space="preserve"> jālieto iekšķīgi, neatkarīgi no ēdienreizēm.</w:t>
      </w:r>
    </w:p>
    <w:p w14:paraId="63AA9616" w14:textId="77777777" w:rsidR="008D7D6A" w:rsidRPr="00337F21" w:rsidRDefault="008D7D6A" w:rsidP="004938F2">
      <w:pPr>
        <w:jc w:val="both"/>
        <w:rPr>
          <w:sz w:val="22"/>
          <w:szCs w:val="22"/>
        </w:rPr>
      </w:pPr>
    </w:p>
    <w:p w14:paraId="224CBE5C" w14:textId="77777777" w:rsidR="008D7D6A" w:rsidRPr="00337F21" w:rsidRDefault="008D7D6A" w:rsidP="00257175">
      <w:pPr>
        <w:keepNext/>
        <w:jc w:val="both"/>
        <w:outlineLvl w:val="1"/>
        <w:rPr>
          <w:b/>
          <w:sz w:val="22"/>
          <w:szCs w:val="22"/>
        </w:rPr>
      </w:pPr>
      <w:bookmarkStart w:id="4" w:name="_Toc441573737"/>
      <w:r w:rsidRPr="00337F21">
        <w:rPr>
          <w:b/>
          <w:sz w:val="22"/>
          <w:szCs w:val="22"/>
        </w:rPr>
        <w:lastRenderedPageBreak/>
        <w:t>4.3.</w:t>
      </w:r>
      <w:r w:rsidRPr="00337F21">
        <w:rPr>
          <w:b/>
          <w:sz w:val="22"/>
          <w:szCs w:val="22"/>
        </w:rPr>
        <w:tab/>
        <w:t>Kontrindikācijas</w:t>
      </w:r>
      <w:bookmarkEnd w:id="4"/>
    </w:p>
    <w:p w14:paraId="752F8644" w14:textId="77777777" w:rsidR="008D7D6A" w:rsidRPr="00337F21" w:rsidRDefault="008D7D6A" w:rsidP="00257175">
      <w:pPr>
        <w:keepNext/>
        <w:ind w:left="720"/>
        <w:jc w:val="both"/>
        <w:rPr>
          <w:sz w:val="22"/>
          <w:szCs w:val="22"/>
        </w:rPr>
      </w:pPr>
    </w:p>
    <w:p w14:paraId="3B3EDD68" w14:textId="77777777" w:rsidR="008D7D6A" w:rsidRPr="00337F21" w:rsidRDefault="00603B1E" w:rsidP="00257175">
      <w:pPr>
        <w:keepNext/>
        <w:jc w:val="both"/>
        <w:rPr>
          <w:sz w:val="22"/>
          <w:szCs w:val="22"/>
        </w:rPr>
      </w:pPr>
      <w:r w:rsidRPr="00337F21">
        <w:rPr>
          <w:sz w:val="22"/>
          <w:szCs w:val="22"/>
        </w:rPr>
        <w:t>Paaugstināta jutība pret aktīvo vielu vai jebkuru no 6.1. apakšpunktā uzskaitītajām palīgvielām (skatīt arī 4.8. apakšpunktu).</w:t>
      </w:r>
    </w:p>
    <w:p w14:paraId="75C0BE9D" w14:textId="77777777" w:rsidR="008D7D6A" w:rsidRPr="00337F21" w:rsidRDefault="008D7D6A" w:rsidP="004938F2">
      <w:pPr>
        <w:jc w:val="both"/>
        <w:rPr>
          <w:sz w:val="22"/>
          <w:szCs w:val="22"/>
        </w:rPr>
      </w:pPr>
    </w:p>
    <w:p w14:paraId="7E5D7316" w14:textId="77777777" w:rsidR="008D7D6A" w:rsidRPr="00337F21" w:rsidRDefault="008D7D6A" w:rsidP="004938F2">
      <w:pPr>
        <w:keepNext/>
        <w:jc w:val="both"/>
        <w:outlineLvl w:val="1"/>
        <w:rPr>
          <w:b/>
          <w:sz w:val="22"/>
          <w:szCs w:val="22"/>
        </w:rPr>
      </w:pPr>
      <w:bookmarkStart w:id="5" w:name="_Toc441573738"/>
      <w:r w:rsidRPr="00337F21">
        <w:rPr>
          <w:b/>
          <w:sz w:val="22"/>
          <w:szCs w:val="22"/>
        </w:rPr>
        <w:t>4.4.</w:t>
      </w:r>
      <w:r w:rsidRPr="00337F21">
        <w:rPr>
          <w:b/>
          <w:sz w:val="22"/>
          <w:szCs w:val="22"/>
        </w:rPr>
        <w:tab/>
        <w:t>Īpaši brīdinājumi un piesardzība lietošanā</w:t>
      </w:r>
      <w:bookmarkEnd w:id="5"/>
    </w:p>
    <w:p w14:paraId="6214FC1D" w14:textId="77777777" w:rsidR="008D7D6A" w:rsidRPr="00337F21" w:rsidRDefault="008D7D6A" w:rsidP="004938F2">
      <w:pPr>
        <w:ind w:left="720"/>
        <w:jc w:val="both"/>
        <w:rPr>
          <w:sz w:val="22"/>
          <w:szCs w:val="22"/>
        </w:rPr>
      </w:pPr>
    </w:p>
    <w:p w14:paraId="5A18DEBE" w14:textId="77777777" w:rsidR="00603B1E" w:rsidRPr="00F91656" w:rsidRDefault="00257175" w:rsidP="007E6D6B">
      <w:pPr>
        <w:rPr>
          <w:i/>
          <w:sz w:val="22"/>
          <w:szCs w:val="22"/>
        </w:rPr>
      </w:pPr>
      <w:r w:rsidRPr="00F91656">
        <w:rPr>
          <w:i/>
          <w:sz w:val="22"/>
          <w:szCs w:val="22"/>
        </w:rPr>
        <w:t>Kardiovaskulārie</w:t>
      </w:r>
      <w:r w:rsidR="00603B1E" w:rsidRPr="00F91656">
        <w:rPr>
          <w:i/>
          <w:sz w:val="22"/>
          <w:szCs w:val="22"/>
        </w:rPr>
        <w:t xml:space="preserve"> traucējumi</w:t>
      </w:r>
    </w:p>
    <w:p w14:paraId="072602AF" w14:textId="77777777" w:rsidR="00802761" w:rsidRPr="00F91656" w:rsidRDefault="00802761" w:rsidP="007E6D6B">
      <w:pPr>
        <w:rPr>
          <w:i/>
          <w:sz w:val="22"/>
          <w:szCs w:val="22"/>
          <w:u w:val="single"/>
        </w:rPr>
      </w:pPr>
      <w:r w:rsidRPr="00F91656">
        <w:rPr>
          <w:i/>
          <w:sz w:val="22"/>
          <w:szCs w:val="22"/>
          <w:u w:val="single"/>
        </w:rPr>
        <w:t>Hroniskas hiperurikēmijas ārstēšana</w:t>
      </w:r>
    </w:p>
    <w:p w14:paraId="1521BFBA" w14:textId="4EB59CDD" w:rsidR="00F4444B" w:rsidRPr="00F4444B" w:rsidRDefault="00F4444B" w:rsidP="00F4444B">
      <w:pPr>
        <w:rPr>
          <w:sz w:val="22"/>
          <w:szCs w:val="22"/>
        </w:rPr>
      </w:pPr>
      <w:r w:rsidRPr="00F4444B">
        <w:rPr>
          <w:sz w:val="22"/>
          <w:szCs w:val="22"/>
        </w:rPr>
        <w:t>Pacientiem ar nozīmīgām kardiovaskulārām slimībām (piemēram, miokarda infarktu, insultu vai</w:t>
      </w:r>
      <w:r>
        <w:rPr>
          <w:sz w:val="22"/>
          <w:szCs w:val="22"/>
        </w:rPr>
        <w:t xml:space="preserve"> </w:t>
      </w:r>
      <w:r w:rsidRPr="00F4444B">
        <w:rPr>
          <w:sz w:val="22"/>
          <w:szCs w:val="22"/>
        </w:rPr>
        <w:t>nestabilu stenokardiju) zāļu izstrādes laikā un vienā pēcreģistrācijas pētījumā (CARES) febuksostata</w:t>
      </w:r>
      <w:r>
        <w:rPr>
          <w:sz w:val="22"/>
          <w:szCs w:val="22"/>
        </w:rPr>
        <w:t xml:space="preserve"> </w:t>
      </w:r>
      <w:r w:rsidRPr="00F4444B">
        <w:rPr>
          <w:sz w:val="22"/>
          <w:szCs w:val="22"/>
        </w:rPr>
        <w:t>lietošanas gadījumā novērots lielāks letālu kardiovaskulāru gadījumu skaits salīdzinājumā ar</w:t>
      </w:r>
      <w:r>
        <w:rPr>
          <w:sz w:val="22"/>
          <w:szCs w:val="22"/>
        </w:rPr>
        <w:t xml:space="preserve"> </w:t>
      </w:r>
      <w:r w:rsidRPr="00F4444B">
        <w:rPr>
          <w:sz w:val="22"/>
          <w:szCs w:val="22"/>
        </w:rPr>
        <w:t>allopurinola lietošanu.</w:t>
      </w:r>
    </w:p>
    <w:p w14:paraId="04E5D095" w14:textId="69643451" w:rsidR="00F4444B" w:rsidRPr="00F4444B" w:rsidRDefault="00F4444B" w:rsidP="00F4444B">
      <w:pPr>
        <w:rPr>
          <w:sz w:val="22"/>
          <w:szCs w:val="22"/>
        </w:rPr>
      </w:pPr>
      <w:r w:rsidRPr="00F4444B">
        <w:rPr>
          <w:sz w:val="22"/>
          <w:szCs w:val="22"/>
        </w:rPr>
        <w:t>Taču turpmākā pēcreģistrācijas pētījumā (FAST) febuksostata lietošana salīdzinājumā ar allopurinola</w:t>
      </w:r>
      <w:r>
        <w:rPr>
          <w:sz w:val="22"/>
          <w:szCs w:val="22"/>
        </w:rPr>
        <w:t xml:space="preserve"> </w:t>
      </w:r>
      <w:r w:rsidRPr="00F4444B">
        <w:rPr>
          <w:sz w:val="22"/>
          <w:szCs w:val="22"/>
        </w:rPr>
        <w:t>lietošanu nebija saistīta ar biežākiem gan letāliem, gan neletāliem kardiovaskulāriem gadījumiem.</w:t>
      </w:r>
    </w:p>
    <w:p w14:paraId="5AA8A4EC" w14:textId="606D9140" w:rsidR="00F4444B" w:rsidRPr="007E6D6B" w:rsidRDefault="00F4444B" w:rsidP="00F4444B">
      <w:pPr>
        <w:rPr>
          <w:sz w:val="22"/>
          <w:szCs w:val="22"/>
        </w:rPr>
      </w:pPr>
      <w:r w:rsidRPr="00F4444B">
        <w:rPr>
          <w:sz w:val="22"/>
          <w:szCs w:val="22"/>
        </w:rPr>
        <w:t>Šī pacientu grupa jāārstē uzmanīgi, pacienti regulāri jākontrolē. Vairāk informācijas par febuksostata</w:t>
      </w:r>
      <w:r>
        <w:rPr>
          <w:sz w:val="22"/>
          <w:szCs w:val="22"/>
        </w:rPr>
        <w:t xml:space="preserve"> </w:t>
      </w:r>
      <w:r w:rsidRPr="00F4444B">
        <w:rPr>
          <w:sz w:val="22"/>
          <w:szCs w:val="22"/>
        </w:rPr>
        <w:t>lietošanas drošumu saistībā ar kardiovaskulāro sistēmu skatīt 4.8. un 5.1. apakšpunktā.</w:t>
      </w:r>
    </w:p>
    <w:p w14:paraId="07DEC4AA" w14:textId="77777777" w:rsidR="001A37E3" w:rsidRDefault="001A37E3" w:rsidP="007E6D6B">
      <w:pPr>
        <w:rPr>
          <w:sz w:val="22"/>
          <w:szCs w:val="22"/>
        </w:rPr>
      </w:pPr>
    </w:p>
    <w:p w14:paraId="4E8BCA7A" w14:textId="06445E35" w:rsidR="00E745A2" w:rsidRPr="00F91656" w:rsidRDefault="006839E4" w:rsidP="007E6D6B">
      <w:pPr>
        <w:rPr>
          <w:i/>
          <w:sz w:val="22"/>
          <w:szCs w:val="22"/>
        </w:rPr>
      </w:pPr>
      <w:r w:rsidRPr="00F91656">
        <w:rPr>
          <w:i/>
          <w:sz w:val="22"/>
          <w:szCs w:val="22"/>
        </w:rPr>
        <w:t>Druniler</w:t>
      </w:r>
      <w:r w:rsidR="00E745A2" w:rsidRPr="00F91656">
        <w:rPr>
          <w:i/>
          <w:sz w:val="22"/>
          <w:szCs w:val="22"/>
        </w:rPr>
        <w:t xml:space="preserve"> 120 mg apvalkotās tabletes</w:t>
      </w:r>
    </w:p>
    <w:p w14:paraId="63E39B76" w14:textId="77777777" w:rsidR="00802761" w:rsidRPr="00F91656" w:rsidRDefault="00802761" w:rsidP="007E6D6B">
      <w:pPr>
        <w:rPr>
          <w:i/>
          <w:sz w:val="22"/>
          <w:szCs w:val="22"/>
          <w:u w:val="single"/>
        </w:rPr>
      </w:pPr>
      <w:r w:rsidRPr="00F91656">
        <w:rPr>
          <w:i/>
          <w:sz w:val="22"/>
          <w:szCs w:val="22"/>
          <w:u w:val="single"/>
        </w:rPr>
        <w:t>Hiperurikēmijas profilakse un ārstēšana pacientiem ar TLS risku</w:t>
      </w:r>
    </w:p>
    <w:p w14:paraId="2DCFE259" w14:textId="77777777" w:rsidR="00802761" w:rsidRPr="007E6D6B" w:rsidRDefault="00802761" w:rsidP="007E6D6B">
      <w:pPr>
        <w:rPr>
          <w:sz w:val="22"/>
          <w:szCs w:val="22"/>
        </w:rPr>
      </w:pPr>
      <w:r w:rsidRPr="007E6D6B">
        <w:rPr>
          <w:sz w:val="22"/>
          <w:szCs w:val="22"/>
        </w:rPr>
        <w:t xml:space="preserve">Ar </w:t>
      </w:r>
      <w:r w:rsidR="006839E4" w:rsidRPr="007E6D6B">
        <w:rPr>
          <w:sz w:val="22"/>
          <w:szCs w:val="22"/>
        </w:rPr>
        <w:t>Druniler</w:t>
      </w:r>
      <w:r w:rsidRPr="007E6D6B">
        <w:rPr>
          <w:sz w:val="22"/>
          <w:szCs w:val="22"/>
        </w:rPr>
        <w:t xml:space="preserve"> ārstētiem pacientiem, </w:t>
      </w:r>
      <w:r w:rsidR="00063265" w:rsidRPr="007E6D6B">
        <w:rPr>
          <w:sz w:val="22"/>
          <w:szCs w:val="22"/>
        </w:rPr>
        <w:t>kuri</w:t>
      </w:r>
      <w:r w:rsidRPr="007E6D6B">
        <w:rPr>
          <w:sz w:val="22"/>
          <w:szCs w:val="22"/>
        </w:rPr>
        <w:t xml:space="preserve"> saņem ķīmijterapiju ļaundabīgu </w:t>
      </w:r>
      <w:r w:rsidR="00063265" w:rsidRPr="007E6D6B">
        <w:rPr>
          <w:sz w:val="22"/>
          <w:szCs w:val="22"/>
        </w:rPr>
        <w:t>asins šūnu audzēju</w:t>
      </w:r>
      <w:r w:rsidRPr="007E6D6B">
        <w:rPr>
          <w:sz w:val="22"/>
          <w:szCs w:val="22"/>
        </w:rPr>
        <w:t xml:space="preserve"> </w:t>
      </w:r>
      <w:r w:rsidR="00063265" w:rsidRPr="007E6D6B">
        <w:rPr>
          <w:sz w:val="22"/>
          <w:szCs w:val="22"/>
        </w:rPr>
        <w:t>(ar vidēju vai lielu</w:t>
      </w:r>
      <w:r w:rsidRPr="007E6D6B">
        <w:rPr>
          <w:sz w:val="22"/>
          <w:szCs w:val="22"/>
        </w:rPr>
        <w:t xml:space="preserve"> </w:t>
      </w:r>
      <w:r w:rsidR="00063265" w:rsidRPr="007E6D6B">
        <w:rPr>
          <w:sz w:val="22"/>
          <w:szCs w:val="22"/>
        </w:rPr>
        <w:t>tumora līzes</w:t>
      </w:r>
      <w:r w:rsidRPr="007E6D6B">
        <w:rPr>
          <w:sz w:val="22"/>
          <w:szCs w:val="22"/>
        </w:rPr>
        <w:t xml:space="preserve"> sindroma risk</w:t>
      </w:r>
      <w:r w:rsidR="00063265" w:rsidRPr="007E6D6B">
        <w:rPr>
          <w:sz w:val="22"/>
          <w:szCs w:val="22"/>
        </w:rPr>
        <w:t>u) ārstēšanai</w:t>
      </w:r>
      <w:r w:rsidRPr="007E6D6B">
        <w:rPr>
          <w:sz w:val="22"/>
          <w:szCs w:val="22"/>
        </w:rPr>
        <w:t>, klīniski piemērotā veidā jākontrolē sirdsdarbība.</w:t>
      </w:r>
    </w:p>
    <w:p w14:paraId="1B2B3A10" w14:textId="77777777" w:rsidR="00603B1E" w:rsidRPr="007E6D6B" w:rsidRDefault="00603B1E" w:rsidP="007E6D6B"/>
    <w:p w14:paraId="645F4776" w14:textId="77777777" w:rsidR="00E045F2" w:rsidRPr="00337F21" w:rsidRDefault="00E045F2" w:rsidP="00446618">
      <w:pPr>
        <w:jc w:val="both"/>
        <w:rPr>
          <w:i/>
          <w:sz w:val="22"/>
          <w:szCs w:val="22"/>
        </w:rPr>
      </w:pPr>
      <w:r w:rsidRPr="00337F21">
        <w:rPr>
          <w:i/>
          <w:sz w:val="22"/>
          <w:szCs w:val="22"/>
        </w:rPr>
        <w:t xml:space="preserve">Alerģija </w:t>
      </w:r>
      <w:r w:rsidR="00063265" w:rsidRPr="00337F21">
        <w:rPr>
          <w:i/>
          <w:sz w:val="22"/>
          <w:szCs w:val="22"/>
        </w:rPr>
        <w:t>un (</w:t>
      </w:r>
      <w:r w:rsidRPr="00337F21">
        <w:rPr>
          <w:i/>
          <w:sz w:val="22"/>
          <w:szCs w:val="22"/>
        </w:rPr>
        <w:t>vai</w:t>
      </w:r>
      <w:r w:rsidR="00063265" w:rsidRPr="00337F21">
        <w:rPr>
          <w:i/>
          <w:sz w:val="22"/>
          <w:szCs w:val="22"/>
        </w:rPr>
        <w:t>)</w:t>
      </w:r>
      <w:r w:rsidRPr="00337F21">
        <w:rPr>
          <w:i/>
          <w:sz w:val="22"/>
          <w:szCs w:val="22"/>
        </w:rPr>
        <w:t xml:space="preserve"> paaugstināta jutība pret zālēm</w:t>
      </w:r>
    </w:p>
    <w:p w14:paraId="364556EE" w14:textId="77777777" w:rsidR="00E045F2" w:rsidRPr="00337F21" w:rsidRDefault="00E045F2" w:rsidP="00446618">
      <w:pPr>
        <w:jc w:val="both"/>
        <w:rPr>
          <w:sz w:val="22"/>
          <w:szCs w:val="22"/>
        </w:rPr>
      </w:pPr>
      <w:r w:rsidRPr="00337F21">
        <w:rPr>
          <w:sz w:val="22"/>
          <w:szCs w:val="22"/>
        </w:rPr>
        <w:t>Pēcreģistrācijas periodā ir apkopoti reti ziņojumi par nopietnām alerģiskām un</w:t>
      </w:r>
      <w:r w:rsidR="00592961" w:rsidRPr="00337F21">
        <w:rPr>
          <w:sz w:val="22"/>
          <w:szCs w:val="22"/>
        </w:rPr>
        <w:t xml:space="preserve"> (vai)</w:t>
      </w:r>
      <w:r w:rsidRPr="00337F21">
        <w:rPr>
          <w:sz w:val="22"/>
          <w:szCs w:val="22"/>
        </w:rPr>
        <w:t xml:space="preserve"> paaugstinātas jutības reakcijām, </w:t>
      </w:r>
      <w:r w:rsidR="00592961" w:rsidRPr="00337F21">
        <w:rPr>
          <w:sz w:val="22"/>
          <w:szCs w:val="22"/>
        </w:rPr>
        <w:t>tai skaitā</w:t>
      </w:r>
      <w:r w:rsidRPr="00337F21">
        <w:rPr>
          <w:sz w:val="22"/>
          <w:szCs w:val="22"/>
        </w:rPr>
        <w:t xml:space="preserve"> dzīvībai bīstamu Stīvensa-Džonsona sindromu, toksisku epidermas nekrolīzi, akūt</w:t>
      </w:r>
      <w:r w:rsidR="00592961" w:rsidRPr="00337F21">
        <w:rPr>
          <w:sz w:val="22"/>
          <w:szCs w:val="22"/>
        </w:rPr>
        <w:t>u</w:t>
      </w:r>
      <w:r w:rsidRPr="00337F21">
        <w:rPr>
          <w:sz w:val="22"/>
          <w:szCs w:val="22"/>
        </w:rPr>
        <w:t xml:space="preserve"> anafilaktisk</w:t>
      </w:r>
      <w:r w:rsidR="00592961" w:rsidRPr="00337F21">
        <w:rPr>
          <w:sz w:val="22"/>
          <w:szCs w:val="22"/>
        </w:rPr>
        <w:t>u reakciju</w:t>
      </w:r>
      <w:r w:rsidRPr="00337F21">
        <w:rPr>
          <w:sz w:val="22"/>
          <w:szCs w:val="22"/>
        </w:rPr>
        <w:t xml:space="preserve"> un </w:t>
      </w:r>
      <w:r w:rsidR="00592961" w:rsidRPr="00337F21">
        <w:rPr>
          <w:sz w:val="22"/>
          <w:szCs w:val="22"/>
        </w:rPr>
        <w:t xml:space="preserve">(vai) </w:t>
      </w:r>
      <w:r w:rsidRPr="00337F21">
        <w:rPr>
          <w:sz w:val="22"/>
          <w:szCs w:val="22"/>
        </w:rPr>
        <w:t xml:space="preserve">šoku. Vairumā gadījumu šīs reakcijas radās pirmajā febuksostata lietošanas mēnesī. Dažiem, bet ne visiem no šiem pacientiem bija novēroti nieru darbības traucējumi un (vai) iepriekš bijusi paaugstināta jutība pret allopurinolu. Smagas paaugstinātas jutības reakcijas, </w:t>
      </w:r>
      <w:r w:rsidR="00592961" w:rsidRPr="00337F21">
        <w:rPr>
          <w:sz w:val="22"/>
          <w:szCs w:val="22"/>
        </w:rPr>
        <w:t>tai skaitā</w:t>
      </w:r>
      <w:r w:rsidRPr="00337F21">
        <w:rPr>
          <w:sz w:val="22"/>
          <w:szCs w:val="22"/>
        </w:rPr>
        <w:t xml:space="preserve"> zāļu izraisīta reakcija ar</w:t>
      </w:r>
      <w:r w:rsidR="00592961" w:rsidRPr="00337F21">
        <w:rPr>
          <w:sz w:val="22"/>
          <w:szCs w:val="22"/>
        </w:rPr>
        <w:t xml:space="preserve"> eozinofī</w:t>
      </w:r>
      <w:r w:rsidRPr="00337F21">
        <w:rPr>
          <w:sz w:val="22"/>
          <w:szCs w:val="22"/>
        </w:rPr>
        <w:t>liju un sistēmiskiem simptomiem (</w:t>
      </w:r>
      <w:r w:rsidRPr="00337F21">
        <w:rPr>
          <w:i/>
          <w:sz w:val="22"/>
          <w:szCs w:val="22"/>
        </w:rPr>
        <w:t>DRESS</w:t>
      </w:r>
      <w:r w:rsidRPr="00337F21">
        <w:rPr>
          <w:sz w:val="22"/>
          <w:szCs w:val="22"/>
        </w:rPr>
        <w:t>), dažos gadījumos kopā ar drudzi un hematoloģiskām, nieru vai aknu patoloģijām.</w:t>
      </w:r>
    </w:p>
    <w:p w14:paraId="1D24B2DE" w14:textId="77777777" w:rsidR="00603B1E" w:rsidRPr="00337F21" w:rsidRDefault="00E045F2" w:rsidP="00446618">
      <w:pPr>
        <w:jc w:val="both"/>
        <w:rPr>
          <w:sz w:val="22"/>
          <w:szCs w:val="22"/>
        </w:rPr>
      </w:pPr>
      <w:r w:rsidRPr="00337F21">
        <w:rPr>
          <w:sz w:val="22"/>
          <w:szCs w:val="22"/>
        </w:rPr>
        <w:t xml:space="preserve">Pacienti jāinformē par šo parādību pazīmēm un simptomiem, kā arī rūpīgi jākontrolē attiecībā uz alerģijas </w:t>
      </w:r>
      <w:r w:rsidR="00592961" w:rsidRPr="00337F21">
        <w:rPr>
          <w:sz w:val="22"/>
          <w:szCs w:val="22"/>
        </w:rPr>
        <w:t>un (</w:t>
      </w:r>
      <w:r w:rsidRPr="00337F21">
        <w:rPr>
          <w:sz w:val="22"/>
          <w:szCs w:val="22"/>
        </w:rPr>
        <w:t>vai</w:t>
      </w:r>
      <w:r w:rsidR="00592961" w:rsidRPr="00337F21">
        <w:rPr>
          <w:sz w:val="22"/>
          <w:szCs w:val="22"/>
        </w:rPr>
        <w:t>)</w:t>
      </w:r>
      <w:r w:rsidRPr="00337F21">
        <w:rPr>
          <w:sz w:val="22"/>
          <w:szCs w:val="22"/>
        </w:rPr>
        <w:t xml:space="preserve"> paaugstinātas jutības </w:t>
      </w:r>
      <w:r w:rsidR="00592961" w:rsidRPr="00337F21">
        <w:rPr>
          <w:sz w:val="22"/>
          <w:szCs w:val="22"/>
        </w:rPr>
        <w:t xml:space="preserve">reakciju </w:t>
      </w:r>
      <w:r w:rsidRPr="00337F21">
        <w:rPr>
          <w:sz w:val="22"/>
          <w:szCs w:val="22"/>
        </w:rPr>
        <w:t xml:space="preserve">simptomiem (skatīt 4.8 apakšpunktu). Ja rodas nopietnas alerģiskas </w:t>
      </w:r>
      <w:r w:rsidR="00592961" w:rsidRPr="00337F21">
        <w:rPr>
          <w:sz w:val="22"/>
          <w:szCs w:val="22"/>
        </w:rPr>
        <w:t>un (</w:t>
      </w:r>
      <w:r w:rsidRPr="00337F21">
        <w:rPr>
          <w:sz w:val="22"/>
          <w:szCs w:val="22"/>
        </w:rPr>
        <w:t>vai</w:t>
      </w:r>
      <w:r w:rsidR="00592961" w:rsidRPr="00337F21">
        <w:rPr>
          <w:sz w:val="22"/>
          <w:szCs w:val="22"/>
        </w:rPr>
        <w:t>)</w:t>
      </w:r>
      <w:r w:rsidRPr="00337F21">
        <w:rPr>
          <w:sz w:val="22"/>
          <w:szCs w:val="22"/>
        </w:rPr>
        <w:t xml:space="preserve"> paaugstinātas jutības reakcijas, </w:t>
      </w:r>
      <w:r w:rsidR="00592961" w:rsidRPr="00337F21">
        <w:rPr>
          <w:sz w:val="22"/>
          <w:szCs w:val="22"/>
        </w:rPr>
        <w:t>tai skaitā</w:t>
      </w:r>
      <w:r w:rsidRPr="00337F21">
        <w:rPr>
          <w:sz w:val="22"/>
          <w:szCs w:val="22"/>
        </w:rPr>
        <w:t xml:space="preserve"> Stīvensa-Džonsona sindroms, ārstēšana ar febuksostatu nekavējoties jāpārtrauc, jo šo zāļu lietošanas agrīna pārtraukšana ir saistīta ar labāku prognozi. Ja pacientam ir attīstījušās alerģiskas</w:t>
      </w:r>
      <w:r w:rsidR="00592961" w:rsidRPr="00337F21">
        <w:rPr>
          <w:sz w:val="22"/>
          <w:szCs w:val="22"/>
        </w:rPr>
        <w:t xml:space="preserve"> un(vai) </w:t>
      </w:r>
      <w:r w:rsidRPr="00337F21">
        <w:rPr>
          <w:sz w:val="22"/>
          <w:szCs w:val="22"/>
        </w:rPr>
        <w:t xml:space="preserve">paaugstinātas jutības reakcijas, </w:t>
      </w:r>
      <w:r w:rsidR="00592961" w:rsidRPr="00337F21">
        <w:rPr>
          <w:sz w:val="22"/>
          <w:szCs w:val="22"/>
        </w:rPr>
        <w:t>tai skaitā</w:t>
      </w:r>
      <w:r w:rsidRPr="00337F21">
        <w:rPr>
          <w:sz w:val="22"/>
          <w:szCs w:val="22"/>
        </w:rPr>
        <w:t xml:space="preserve"> Stīvensa-Džonsona sindroms un akūta anafilaktiska reakcija vai šoks, viņš vairs nekad nedrīkst atsākt febuksostata lietošanu.</w:t>
      </w:r>
    </w:p>
    <w:p w14:paraId="23EEB04A" w14:textId="77777777" w:rsidR="00603B1E" w:rsidRPr="00337F21" w:rsidRDefault="00603B1E" w:rsidP="004938F2">
      <w:pPr>
        <w:ind w:left="720"/>
        <w:jc w:val="both"/>
        <w:rPr>
          <w:sz w:val="22"/>
          <w:szCs w:val="22"/>
        </w:rPr>
      </w:pPr>
    </w:p>
    <w:p w14:paraId="16EDBEDB" w14:textId="77777777" w:rsidR="009B135D" w:rsidRPr="00337F21" w:rsidRDefault="009B135D" w:rsidP="00446618">
      <w:pPr>
        <w:jc w:val="both"/>
        <w:rPr>
          <w:i/>
          <w:sz w:val="22"/>
          <w:szCs w:val="22"/>
        </w:rPr>
      </w:pPr>
      <w:r w:rsidRPr="00337F21">
        <w:rPr>
          <w:i/>
          <w:sz w:val="22"/>
          <w:szCs w:val="22"/>
        </w:rPr>
        <w:t>Akūtas podagras lēkmes (podagras uzliesmojumi)</w:t>
      </w:r>
    </w:p>
    <w:p w14:paraId="39BFA556" w14:textId="77777777" w:rsidR="009B135D" w:rsidRPr="00337F21" w:rsidRDefault="009B135D" w:rsidP="00446618">
      <w:pPr>
        <w:jc w:val="both"/>
        <w:rPr>
          <w:sz w:val="22"/>
          <w:szCs w:val="22"/>
        </w:rPr>
      </w:pPr>
      <w:r w:rsidRPr="00337F21">
        <w:rPr>
          <w:sz w:val="22"/>
          <w:szCs w:val="22"/>
        </w:rPr>
        <w:t>Febuksostata terapiju nav atļauts uzsākt, kamēr nav pilnībā pārgājusi akūta podagras lēkme. Podagras uzliesmojumi ir iespējami terapijas sākumā, jo serumā mainās urīnskābes līmenis, izraisot urātu mobilizāciju no izgulsnējumiem audos (skatīt 4.8. un 5.1. apakšpunktu). Uzsākot febuksostata terapiju, ir ieteicama vismaz sešus mēnešus ilga uzliesmojumu profilakse ar NPL vai kolhicīnu (skatīt 4.2. apakšpunktu).</w:t>
      </w:r>
    </w:p>
    <w:p w14:paraId="08369C8D" w14:textId="77777777" w:rsidR="00603B1E" w:rsidRPr="00337F21" w:rsidRDefault="009B135D" w:rsidP="00446618">
      <w:pPr>
        <w:jc w:val="both"/>
        <w:rPr>
          <w:sz w:val="22"/>
          <w:szCs w:val="22"/>
        </w:rPr>
      </w:pPr>
      <w:r w:rsidRPr="00337F21">
        <w:rPr>
          <w:sz w:val="22"/>
          <w:szCs w:val="22"/>
        </w:rPr>
        <w:t xml:space="preserve">Ja podagras uzliesmojums rodas febuksostata terapijas laikā, tā nav jāpārtrauc. </w:t>
      </w:r>
      <w:r w:rsidR="00BC300F">
        <w:rPr>
          <w:sz w:val="22"/>
          <w:szCs w:val="22"/>
        </w:rPr>
        <w:t>Vienlaicīgi</w:t>
      </w:r>
      <w:r w:rsidRPr="00337F21">
        <w:rPr>
          <w:sz w:val="22"/>
          <w:szCs w:val="22"/>
        </w:rPr>
        <w:t xml:space="preserve"> jāārstē podagras uzliesmojums, nozīmējot konkrētajam pacientam piemērotu terapiju. Nepārtraukta febuksostata terapija mazina podagras uzliesmojumu </w:t>
      </w:r>
      <w:r w:rsidR="004C1946" w:rsidRPr="00337F21">
        <w:rPr>
          <w:sz w:val="22"/>
          <w:szCs w:val="22"/>
        </w:rPr>
        <w:t>biežumu</w:t>
      </w:r>
      <w:r w:rsidRPr="00337F21">
        <w:rPr>
          <w:sz w:val="22"/>
          <w:szCs w:val="22"/>
        </w:rPr>
        <w:t xml:space="preserve"> un intensitāti.</w:t>
      </w:r>
    </w:p>
    <w:p w14:paraId="32208B90" w14:textId="77777777" w:rsidR="00603B1E" w:rsidRPr="00337F21" w:rsidRDefault="00603B1E" w:rsidP="004938F2">
      <w:pPr>
        <w:ind w:left="720"/>
        <w:jc w:val="both"/>
        <w:rPr>
          <w:sz w:val="22"/>
          <w:szCs w:val="22"/>
        </w:rPr>
      </w:pPr>
    </w:p>
    <w:p w14:paraId="2596F1F3" w14:textId="77777777" w:rsidR="009B135D" w:rsidRPr="00337F21" w:rsidRDefault="009B135D" w:rsidP="00446618">
      <w:pPr>
        <w:jc w:val="both"/>
        <w:rPr>
          <w:i/>
          <w:sz w:val="22"/>
          <w:szCs w:val="22"/>
        </w:rPr>
      </w:pPr>
      <w:r w:rsidRPr="00337F21">
        <w:rPr>
          <w:i/>
          <w:sz w:val="22"/>
          <w:szCs w:val="22"/>
        </w:rPr>
        <w:t>Ksantīna izgulsnēšanās</w:t>
      </w:r>
    </w:p>
    <w:p w14:paraId="2ACCBA91" w14:textId="558F65C1" w:rsidR="00790A4D" w:rsidRPr="00784BAE" w:rsidRDefault="009B135D" w:rsidP="00C7324F">
      <w:pPr>
        <w:autoSpaceDE w:val="0"/>
        <w:autoSpaceDN w:val="0"/>
        <w:adjustRightInd w:val="0"/>
        <w:rPr>
          <w:sz w:val="22"/>
          <w:szCs w:val="22"/>
        </w:rPr>
      </w:pPr>
      <w:r w:rsidRPr="00337F21">
        <w:rPr>
          <w:sz w:val="22"/>
          <w:szCs w:val="22"/>
        </w:rPr>
        <w:lastRenderedPageBreak/>
        <w:t>Pacientiem, kuru organismā ir ievērojami paātrinājusies urātu veidošanās (piemēram, ļaundabīgas slimības un tās ārstēšanas vai Leša-N</w:t>
      </w:r>
      <w:r w:rsidR="00421403">
        <w:rPr>
          <w:sz w:val="22"/>
          <w:szCs w:val="22"/>
        </w:rPr>
        <w:t>i</w:t>
      </w:r>
      <w:r w:rsidRPr="00337F21">
        <w:rPr>
          <w:sz w:val="22"/>
          <w:szCs w:val="22"/>
        </w:rPr>
        <w:t>h</w:t>
      </w:r>
      <w:r w:rsidR="00421403">
        <w:rPr>
          <w:sz w:val="22"/>
          <w:szCs w:val="22"/>
        </w:rPr>
        <w:t>a</w:t>
      </w:r>
      <w:r w:rsidRPr="00337F21">
        <w:rPr>
          <w:sz w:val="22"/>
          <w:szCs w:val="22"/>
        </w:rPr>
        <w:t xml:space="preserve">na sindroma dēļ), ksantīna absolūtā koncentrācija urīnā retos gadījumos var </w:t>
      </w:r>
      <w:r w:rsidR="004C1946" w:rsidRPr="00337F21">
        <w:rPr>
          <w:sz w:val="22"/>
          <w:szCs w:val="22"/>
        </w:rPr>
        <w:t>paaugstināties</w:t>
      </w:r>
      <w:r w:rsidRPr="00337F21">
        <w:rPr>
          <w:sz w:val="22"/>
          <w:szCs w:val="22"/>
        </w:rPr>
        <w:t xml:space="preserve"> tā, lai būtu iespējama izgulsnēšanās urīnceļos. </w:t>
      </w:r>
    </w:p>
    <w:p w14:paraId="0B1E0480" w14:textId="25A21414" w:rsidR="00C828A9" w:rsidRPr="00F91656" w:rsidRDefault="006839E4" w:rsidP="00784BAE">
      <w:pPr>
        <w:autoSpaceDE w:val="0"/>
        <w:autoSpaceDN w:val="0"/>
        <w:adjustRightInd w:val="0"/>
        <w:rPr>
          <w:i/>
          <w:sz w:val="22"/>
          <w:szCs w:val="22"/>
        </w:rPr>
      </w:pPr>
      <w:r w:rsidRPr="00F91656">
        <w:rPr>
          <w:i/>
          <w:sz w:val="22"/>
          <w:szCs w:val="22"/>
        </w:rPr>
        <w:t>Druniler</w:t>
      </w:r>
      <w:r w:rsidR="004C1946" w:rsidRPr="00F91656">
        <w:rPr>
          <w:i/>
          <w:sz w:val="22"/>
          <w:szCs w:val="22"/>
        </w:rPr>
        <w:t xml:space="preserve"> 120 mg</w:t>
      </w:r>
    </w:p>
    <w:p w14:paraId="199F6257" w14:textId="77777777" w:rsidR="000E2D1B" w:rsidRPr="00784BAE" w:rsidRDefault="00C828A9" w:rsidP="00784BAE">
      <w:pPr>
        <w:autoSpaceDE w:val="0"/>
        <w:autoSpaceDN w:val="0"/>
        <w:adjustRightInd w:val="0"/>
        <w:rPr>
          <w:sz w:val="22"/>
          <w:szCs w:val="22"/>
        </w:rPr>
      </w:pPr>
      <w:r w:rsidRPr="00784BAE">
        <w:rPr>
          <w:sz w:val="22"/>
          <w:szCs w:val="22"/>
        </w:rPr>
        <w:t xml:space="preserve">Minētā parādība nav novērota pivotālā klīniskā pētījumā par febuksostata lietošanu </w:t>
      </w:r>
      <w:r w:rsidR="004C1946" w:rsidRPr="00784BAE">
        <w:rPr>
          <w:sz w:val="22"/>
          <w:szCs w:val="22"/>
        </w:rPr>
        <w:t xml:space="preserve">tumora līzes </w:t>
      </w:r>
      <w:r w:rsidRPr="00784BAE">
        <w:rPr>
          <w:sz w:val="22"/>
          <w:szCs w:val="22"/>
        </w:rPr>
        <w:t>sindroma gadījum</w:t>
      </w:r>
      <w:r w:rsidR="004C1946" w:rsidRPr="00784BAE">
        <w:rPr>
          <w:sz w:val="22"/>
          <w:szCs w:val="22"/>
        </w:rPr>
        <w:t>ā</w:t>
      </w:r>
      <w:r w:rsidRPr="00784BAE">
        <w:rPr>
          <w:sz w:val="22"/>
          <w:szCs w:val="22"/>
        </w:rPr>
        <w:t xml:space="preserve">. </w:t>
      </w:r>
    </w:p>
    <w:p w14:paraId="128C7428" w14:textId="77777777" w:rsidR="00790A4D" w:rsidRPr="00784BAE" w:rsidRDefault="00790A4D" w:rsidP="00784BAE">
      <w:pPr>
        <w:autoSpaceDE w:val="0"/>
        <w:autoSpaceDN w:val="0"/>
        <w:adjustRightInd w:val="0"/>
        <w:rPr>
          <w:sz w:val="22"/>
          <w:szCs w:val="22"/>
        </w:rPr>
      </w:pPr>
    </w:p>
    <w:p w14:paraId="3150E020" w14:textId="15B73E4D" w:rsidR="00C828A9" w:rsidRPr="00784BAE" w:rsidRDefault="000E2D1B" w:rsidP="00784BAE">
      <w:pPr>
        <w:autoSpaceDE w:val="0"/>
        <w:autoSpaceDN w:val="0"/>
        <w:adjustRightInd w:val="0"/>
        <w:rPr>
          <w:sz w:val="22"/>
          <w:szCs w:val="22"/>
        </w:rPr>
      </w:pPr>
      <w:r w:rsidRPr="00784BAE">
        <w:rPr>
          <w:sz w:val="22"/>
          <w:szCs w:val="22"/>
        </w:rPr>
        <w:t>Tā kā nav iegūta pieredze par febuksostata lietošanu pacientiem ar Leša-N</w:t>
      </w:r>
      <w:r w:rsidR="00AC1CE9" w:rsidRPr="00784BAE">
        <w:rPr>
          <w:sz w:val="22"/>
          <w:szCs w:val="22"/>
        </w:rPr>
        <w:t>i</w:t>
      </w:r>
      <w:r w:rsidRPr="00784BAE">
        <w:rPr>
          <w:sz w:val="22"/>
          <w:szCs w:val="22"/>
        </w:rPr>
        <w:t>h</w:t>
      </w:r>
      <w:r w:rsidR="00AC1CE9" w:rsidRPr="00784BAE">
        <w:rPr>
          <w:sz w:val="22"/>
          <w:szCs w:val="22"/>
        </w:rPr>
        <w:t>a</w:t>
      </w:r>
      <w:r w:rsidRPr="00784BAE">
        <w:rPr>
          <w:sz w:val="22"/>
          <w:szCs w:val="22"/>
        </w:rPr>
        <w:t>na sindromu, tā nav ieteicama.</w:t>
      </w:r>
    </w:p>
    <w:p w14:paraId="06B2EAF1" w14:textId="77777777" w:rsidR="009B135D" w:rsidRPr="00337F21" w:rsidRDefault="009B135D" w:rsidP="004938F2">
      <w:pPr>
        <w:ind w:left="720"/>
        <w:jc w:val="both"/>
        <w:rPr>
          <w:sz w:val="22"/>
          <w:szCs w:val="22"/>
        </w:rPr>
      </w:pPr>
    </w:p>
    <w:p w14:paraId="18EBE5B0" w14:textId="77777777" w:rsidR="009B135D" w:rsidRPr="00337F21" w:rsidRDefault="009B135D" w:rsidP="00446618">
      <w:pPr>
        <w:jc w:val="both"/>
        <w:rPr>
          <w:i/>
          <w:sz w:val="22"/>
          <w:szCs w:val="22"/>
        </w:rPr>
      </w:pPr>
      <w:r w:rsidRPr="00337F21">
        <w:rPr>
          <w:i/>
          <w:sz w:val="22"/>
          <w:szCs w:val="22"/>
        </w:rPr>
        <w:t>Merkaptopu</w:t>
      </w:r>
      <w:r w:rsidR="004C1946" w:rsidRPr="00337F21">
        <w:rPr>
          <w:i/>
          <w:sz w:val="22"/>
          <w:szCs w:val="22"/>
        </w:rPr>
        <w:t>rīns/</w:t>
      </w:r>
      <w:r w:rsidRPr="00337F21">
        <w:rPr>
          <w:i/>
          <w:sz w:val="22"/>
          <w:szCs w:val="22"/>
        </w:rPr>
        <w:t>azatioprīns</w:t>
      </w:r>
    </w:p>
    <w:p w14:paraId="376ED42A" w14:textId="69885670" w:rsidR="0088265E" w:rsidRDefault="0088265E" w:rsidP="0088265E">
      <w:pPr>
        <w:rPr>
          <w:sz w:val="22"/>
          <w:szCs w:val="22"/>
        </w:rPr>
      </w:pPr>
      <w:r>
        <w:rPr>
          <w:sz w:val="22"/>
          <w:szCs w:val="22"/>
        </w:rPr>
        <w:t xml:space="preserve">Febuksostatu nav ieteicams lietot pacientiem, kurus vienlaicīgi ārstē ar merkaptopurīnu/azatioprīnu, jo febuksostata izraisīta ksantīnoksidāzes inhibīcija var paaugstināt merkaptopurīna/azatioprīna koncentrāciju plazmā, kas var izraisīt smagu toksicitāti. </w:t>
      </w:r>
    </w:p>
    <w:p w14:paraId="3AFD959B" w14:textId="2BA44470" w:rsidR="00504230" w:rsidRDefault="0088265E" w:rsidP="00EF2CDA">
      <w:pPr>
        <w:rPr>
          <w:sz w:val="22"/>
          <w:szCs w:val="22"/>
        </w:rPr>
      </w:pPr>
      <w:r>
        <w:rPr>
          <w:sz w:val="22"/>
          <w:szCs w:val="22"/>
        </w:rPr>
        <w:t xml:space="preserve">Ja no kombinācijas lietošanas nav iespējams izvairīties, ieteicams samazināt merkaptopurīna/azatioprīna devu līdz 20% vai mazāk no iepriekš parakstītās devas, lai izvairītos no iespējamas hematoloģiskas ietekmes (skatīt 4.5. un 5.3. apakšpunktu). </w:t>
      </w:r>
    </w:p>
    <w:p w14:paraId="071F86E7" w14:textId="5D41A902" w:rsidR="00784BAE" w:rsidRPr="00337F21" w:rsidRDefault="0088265E" w:rsidP="00EF2CDA">
      <w:pPr>
        <w:rPr>
          <w:sz w:val="22"/>
          <w:szCs w:val="22"/>
        </w:rPr>
      </w:pPr>
      <w:r>
        <w:rPr>
          <w:sz w:val="22"/>
          <w:szCs w:val="22"/>
        </w:rPr>
        <w:t>Pacienti stingri jāuzrauga un merkaptopurīna/azatiroprīna deva pēc tam jāpielāgo, pamatojoties uz terapeitiskās atbildes reakcijas un potenciāli toksiskās ietekmes sākuma novērtējumu</w:t>
      </w:r>
      <w:r w:rsidR="00784BAE" w:rsidRPr="006031F4">
        <w:rPr>
          <w:sz w:val="22"/>
          <w:szCs w:val="22"/>
        </w:rPr>
        <w:t>.</w:t>
      </w:r>
    </w:p>
    <w:p w14:paraId="597F6725" w14:textId="77777777" w:rsidR="009B135D" w:rsidRPr="00337F21" w:rsidRDefault="009B135D" w:rsidP="004938F2">
      <w:pPr>
        <w:ind w:left="720"/>
        <w:jc w:val="both"/>
        <w:rPr>
          <w:sz w:val="22"/>
          <w:szCs w:val="22"/>
        </w:rPr>
      </w:pPr>
    </w:p>
    <w:p w14:paraId="07A4D53B" w14:textId="77777777" w:rsidR="009B135D" w:rsidRPr="00337F21" w:rsidRDefault="009B135D" w:rsidP="00446618">
      <w:pPr>
        <w:jc w:val="both"/>
        <w:rPr>
          <w:i/>
          <w:sz w:val="22"/>
          <w:szCs w:val="22"/>
        </w:rPr>
      </w:pPr>
      <w:r w:rsidRPr="00337F21">
        <w:rPr>
          <w:i/>
          <w:sz w:val="22"/>
          <w:szCs w:val="22"/>
        </w:rPr>
        <w:t>Orgānu transplant</w:t>
      </w:r>
      <w:r w:rsidR="004C1946" w:rsidRPr="00337F21">
        <w:rPr>
          <w:i/>
          <w:sz w:val="22"/>
          <w:szCs w:val="22"/>
        </w:rPr>
        <w:t>ātu</w:t>
      </w:r>
      <w:r w:rsidRPr="00337F21">
        <w:rPr>
          <w:i/>
          <w:sz w:val="22"/>
          <w:szCs w:val="22"/>
        </w:rPr>
        <w:t xml:space="preserve"> recipienti</w:t>
      </w:r>
    </w:p>
    <w:p w14:paraId="5994E34B" w14:textId="77777777" w:rsidR="009B135D" w:rsidRPr="00337F21" w:rsidRDefault="009B135D" w:rsidP="00446618">
      <w:pPr>
        <w:jc w:val="both"/>
        <w:rPr>
          <w:sz w:val="22"/>
          <w:szCs w:val="22"/>
        </w:rPr>
      </w:pPr>
      <w:r w:rsidRPr="00337F21">
        <w:rPr>
          <w:sz w:val="22"/>
          <w:szCs w:val="22"/>
        </w:rPr>
        <w:t>Tā kā nav pieredzes par orgānu transplant</w:t>
      </w:r>
      <w:r w:rsidR="004C1946" w:rsidRPr="00337F21">
        <w:rPr>
          <w:sz w:val="22"/>
          <w:szCs w:val="22"/>
        </w:rPr>
        <w:t>āt</w:t>
      </w:r>
      <w:r w:rsidRPr="00337F21">
        <w:rPr>
          <w:sz w:val="22"/>
          <w:szCs w:val="22"/>
        </w:rPr>
        <w:t>u recipientiem, febuksostata lietošana šādiem pacientiem nav ieteicama (skatīt 5.1. apakšpunktu).</w:t>
      </w:r>
    </w:p>
    <w:p w14:paraId="3FE08A30" w14:textId="77777777" w:rsidR="009B135D" w:rsidRPr="00337F21" w:rsidRDefault="009B135D" w:rsidP="004938F2">
      <w:pPr>
        <w:ind w:left="720"/>
        <w:jc w:val="both"/>
        <w:rPr>
          <w:sz w:val="22"/>
          <w:szCs w:val="22"/>
        </w:rPr>
      </w:pPr>
    </w:p>
    <w:p w14:paraId="24223A64" w14:textId="77777777" w:rsidR="009B135D" w:rsidRPr="00337F21" w:rsidRDefault="009B135D" w:rsidP="00446618">
      <w:pPr>
        <w:jc w:val="both"/>
        <w:rPr>
          <w:i/>
          <w:sz w:val="22"/>
          <w:szCs w:val="22"/>
        </w:rPr>
      </w:pPr>
      <w:r w:rsidRPr="00337F21">
        <w:rPr>
          <w:i/>
          <w:sz w:val="22"/>
          <w:szCs w:val="22"/>
        </w:rPr>
        <w:t>Teofilīns</w:t>
      </w:r>
    </w:p>
    <w:p w14:paraId="5026D7D5" w14:textId="77777777" w:rsidR="009B135D" w:rsidRPr="00337F21" w:rsidRDefault="009B135D" w:rsidP="00446618">
      <w:pPr>
        <w:jc w:val="both"/>
        <w:rPr>
          <w:sz w:val="22"/>
          <w:szCs w:val="22"/>
        </w:rPr>
      </w:pPr>
      <w:r w:rsidRPr="00337F21">
        <w:rPr>
          <w:sz w:val="22"/>
          <w:szCs w:val="22"/>
        </w:rPr>
        <w:t xml:space="preserve">Vienlaicīga febuksostata </w:t>
      </w:r>
      <w:r w:rsidR="004C1946" w:rsidRPr="00337F21">
        <w:rPr>
          <w:sz w:val="22"/>
          <w:szCs w:val="22"/>
        </w:rPr>
        <w:t xml:space="preserve">80 mg </w:t>
      </w:r>
      <w:r w:rsidRPr="00337F21">
        <w:rPr>
          <w:sz w:val="22"/>
          <w:szCs w:val="22"/>
        </w:rPr>
        <w:t xml:space="preserve">devu un vienreizējas </w:t>
      </w:r>
      <w:r w:rsidR="004C1946" w:rsidRPr="00337F21">
        <w:rPr>
          <w:sz w:val="22"/>
          <w:szCs w:val="22"/>
        </w:rPr>
        <w:t xml:space="preserve">teofilīna </w:t>
      </w:r>
      <w:r w:rsidRPr="00337F21">
        <w:rPr>
          <w:sz w:val="22"/>
          <w:szCs w:val="22"/>
        </w:rPr>
        <w:t xml:space="preserve">400 mg devas lietošana veseliem brīvprātīgajiem nav izraisījusi nekādu farmakokinētisku mijiedarbību (skatīt 4.5. apakšpunktu). </w:t>
      </w:r>
      <w:r w:rsidR="004C1946" w:rsidRPr="00337F21">
        <w:rPr>
          <w:sz w:val="22"/>
          <w:szCs w:val="22"/>
        </w:rPr>
        <w:t>F</w:t>
      </w:r>
      <w:r w:rsidRPr="00337F21">
        <w:rPr>
          <w:sz w:val="22"/>
          <w:szCs w:val="22"/>
        </w:rPr>
        <w:t xml:space="preserve">ebuksostata </w:t>
      </w:r>
      <w:r w:rsidR="004C1946" w:rsidRPr="00337F21">
        <w:rPr>
          <w:sz w:val="22"/>
          <w:szCs w:val="22"/>
        </w:rPr>
        <w:t xml:space="preserve">80 mg </w:t>
      </w:r>
      <w:r w:rsidRPr="00337F21">
        <w:rPr>
          <w:sz w:val="22"/>
          <w:szCs w:val="22"/>
        </w:rPr>
        <w:t xml:space="preserve">devas var lietot pacientiem, </w:t>
      </w:r>
      <w:r w:rsidR="00A24D51" w:rsidRPr="00337F21">
        <w:rPr>
          <w:sz w:val="22"/>
          <w:szCs w:val="22"/>
        </w:rPr>
        <w:t>kurus vienlaicīgi ārstē ar</w:t>
      </w:r>
      <w:r w:rsidRPr="00337F21">
        <w:rPr>
          <w:sz w:val="22"/>
          <w:szCs w:val="22"/>
        </w:rPr>
        <w:t xml:space="preserve"> teofilīnu, neradot risku, ka plazmā paaugstināsies teofilīna līmenis.</w:t>
      </w:r>
    </w:p>
    <w:p w14:paraId="7D32E77C" w14:textId="77777777" w:rsidR="009B135D" w:rsidRPr="00337F21" w:rsidRDefault="009B135D" w:rsidP="00446618">
      <w:pPr>
        <w:jc w:val="both"/>
        <w:rPr>
          <w:sz w:val="22"/>
          <w:szCs w:val="22"/>
        </w:rPr>
      </w:pPr>
      <w:r w:rsidRPr="00337F21">
        <w:rPr>
          <w:sz w:val="22"/>
          <w:szCs w:val="22"/>
        </w:rPr>
        <w:t xml:space="preserve">Dati par febuksostata </w:t>
      </w:r>
      <w:r w:rsidR="00A24D51" w:rsidRPr="00337F21">
        <w:rPr>
          <w:sz w:val="22"/>
          <w:szCs w:val="22"/>
        </w:rPr>
        <w:t xml:space="preserve">120 mg </w:t>
      </w:r>
      <w:r w:rsidRPr="00337F21">
        <w:rPr>
          <w:sz w:val="22"/>
          <w:szCs w:val="22"/>
        </w:rPr>
        <w:t>devu lietošanu nav pieejami.</w:t>
      </w:r>
    </w:p>
    <w:p w14:paraId="24E76979" w14:textId="77777777" w:rsidR="009B135D" w:rsidRPr="00337F21" w:rsidRDefault="009B135D" w:rsidP="004938F2">
      <w:pPr>
        <w:ind w:left="720"/>
        <w:jc w:val="both"/>
        <w:rPr>
          <w:sz w:val="22"/>
          <w:szCs w:val="22"/>
        </w:rPr>
      </w:pPr>
    </w:p>
    <w:p w14:paraId="5CC6104F" w14:textId="77777777" w:rsidR="009B135D" w:rsidRPr="00337F21" w:rsidRDefault="009B135D" w:rsidP="00446618">
      <w:pPr>
        <w:jc w:val="both"/>
        <w:rPr>
          <w:i/>
          <w:sz w:val="22"/>
          <w:szCs w:val="22"/>
        </w:rPr>
      </w:pPr>
      <w:r w:rsidRPr="00337F21">
        <w:rPr>
          <w:i/>
          <w:sz w:val="22"/>
          <w:szCs w:val="22"/>
        </w:rPr>
        <w:t>Aknu darbības traucējumi</w:t>
      </w:r>
    </w:p>
    <w:p w14:paraId="356CA03C" w14:textId="77777777" w:rsidR="009B135D" w:rsidRPr="00337F21" w:rsidRDefault="009B135D" w:rsidP="00446618">
      <w:pPr>
        <w:jc w:val="both"/>
        <w:rPr>
          <w:sz w:val="22"/>
          <w:szCs w:val="22"/>
        </w:rPr>
      </w:pPr>
      <w:r w:rsidRPr="00337F21">
        <w:rPr>
          <w:sz w:val="22"/>
          <w:szCs w:val="22"/>
        </w:rPr>
        <w:t xml:space="preserve">3. fāzes klīnisko pētījumu apvienotie rezultāti liecina, ka 5 % ar febuksostatu ārstēto pacientu ir novērotas nelielas aknu darbības analīžu rezultātu </w:t>
      </w:r>
      <w:r w:rsidR="00A24D51" w:rsidRPr="00337F21">
        <w:rPr>
          <w:sz w:val="22"/>
          <w:szCs w:val="22"/>
        </w:rPr>
        <w:t>novirzes</w:t>
      </w:r>
      <w:r w:rsidRPr="00337F21">
        <w:rPr>
          <w:sz w:val="22"/>
          <w:szCs w:val="22"/>
        </w:rPr>
        <w:t>. Pirms uzsākt febuksostata terapiju un arī vēlāk, pamatojoties uz klīnisko novērtējumu, ir ieteicamas periodiskas pacientu aknu darbības pārbaudes (skatīt 5.1. apakšpunktu).</w:t>
      </w:r>
    </w:p>
    <w:p w14:paraId="234BE91A" w14:textId="77777777" w:rsidR="009B135D" w:rsidRPr="00337F21" w:rsidRDefault="009B135D" w:rsidP="004938F2">
      <w:pPr>
        <w:ind w:left="720"/>
        <w:jc w:val="both"/>
        <w:rPr>
          <w:sz w:val="22"/>
          <w:szCs w:val="22"/>
        </w:rPr>
      </w:pPr>
    </w:p>
    <w:p w14:paraId="323A52FA" w14:textId="77777777" w:rsidR="009B135D" w:rsidRPr="00337F21" w:rsidRDefault="009B135D" w:rsidP="00446618">
      <w:pPr>
        <w:jc w:val="both"/>
        <w:rPr>
          <w:i/>
          <w:sz w:val="22"/>
          <w:szCs w:val="22"/>
        </w:rPr>
      </w:pPr>
      <w:r w:rsidRPr="00337F21">
        <w:rPr>
          <w:i/>
          <w:sz w:val="22"/>
          <w:szCs w:val="22"/>
        </w:rPr>
        <w:t>Vairogdziedzera darbības traucējumi</w:t>
      </w:r>
    </w:p>
    <w:p w14:paraId="028E1412" w14:textId="77777777" w:rsidR="009B135D" w:rsidRPr="00337F21" w:rsidRDefault="00A24D51" w:rsidP="00446618">
      <w:pPr>
        <w:jc w:val="both"/>
        <w:rPr>
          <w:sz w:val="22"/>
          <w:szCs w:val="22"/>
        </w:rPr>
      </w:pPr>
      <w:r w:rsidRPr="00337F21">
        <w:rPr>
          <w:sz w:val="22"/>
          <w:szCs w:val="22"/>
        </w:rPr>
        <w:t>P</w:t>
      </w:r>
      <w:r w:rsidR="009B135D" w:rsidRPr="00337F21">
        <w:rPr>
          <w:sz w:val="22"/>
          <w:szCs w:val="22"/>
        </w:rPr>
        <w:t xml:space="preserve">ētījumu </w:t>
      </w:r>
      <w:r w:rsidRPr="00337F21">
        <w:rPr>
          <w:sz w:val="22"/>
          <w:szCs w:val="22"/>
        </w:rPr>
        <w:t xml:space="preserve">ilgtermiņa </w:t>
      </w:r>
      <w:r w:rsidR="009B135D" w:rsidRPr="00337F21">
        <w:rPr>
          <w:sz w:val="22"/>
          <w:szCs w:val="22"/>
        </w:rPr>
        <w:t>nemaskētajās pagarinājum</w:t>
      </w:r>
      <w:r w:rsidRPr="00337F21">
        <w:rPr>
          <w:sz w:val="22"/>
          <w:szCs w:val="22"/>
        </w:rPr>
        <w:t>a</w:t>
      </w:r>
      <w:r w:rsidR="009B135D" w:rsidRPr="00337F21">
        <w:rPr>
          <w:sz w:val="22"/>
          <w:szCs w:val="22"/>
        </w:rPr>
        <w:t xml:space="preserve"> fāzēs 5,5 % ar febuksostatu ilgstoši ārstēto pacientu ir novērots paaugstināts TSH līmenis (&gt;5,5 µSV/ml). Ja febuksostats tiek lietots pacientiem ar vairogdziedzera </w:t>
      </w:r>
      <w:r w:rsidRPr="00337F21">
        <w:rPr>
          <w:sz w:val="22"/>
          <w:szCs w:val="22"/>
        </w:rPr>
        <w:t>darbības</w:t>
      </w:r>
      <w:r w:rsidR="009B135D" w:rsidRPr="00337F21">
        <w:rPr>
          <w:sz w:val="22"/>
          <w:szCs w:val="22"/>
        </w:rPr>
        <w:t xml:space="preserve"> pārmaiņām, jāievēro piesardzība (skatīt 5.1. apakšpunktu).</w:t>
      </w:r>
    </w:p>
    <w:p w14:paraId="1FA4A273" w14:textId="77777777" w:rsidR="009B135D" w:rsidRPr="00337F21" w:rsidRDefault="009B135D" w:rsidP="004938F2">
      <w:pPr>
        <w:ind w:left="720"/>
        <w:jc w:val="both"/>
        <w:rPr>
          <w:sz w:val="22"/>
          <w:szCs w:val="22"/>
        </w:rPr>
      </w:pPr>
    </w:p>
    <w:p w14:paraId="09F8DA31" w14:textId="5B95C1B5" w:rsidR="009B135D" w:rsidRPr="00337F21" w:rsidRDefault="00E76CFB" w:rsidP="00446618">
      <w:pPr>
        <w:jc w:val="both"/>
        <w:rPr>
          <w:i/>
          <w:sz w:val="22"/>
          <w:szCs w:val="22"/>
        </w:rPr>
      </w:pPr>
      <w:r>
        <w:rPr>
          <w:i/>
          <w:sz w:val="22"/>
          <w:szCs w:val="22"/>
        </w:rPr>
        <w:t>Druniler satur l</w:t>
      </w:r>
      <w:r w:rsidR="009B135D" w:rsidRPr="00337F21">
        <w:rPr>
          <w:i/>
          <w:sz w:val="22"/>
          <w:szCs w:val="22"/>
        </w:rPr>
        <w:t>aktoz</w:t>
      </w:r>
      <w:r>
        <w:rPr>
          <w:i/>
          <w:sz w:val="22"/>
          <w:szCs w:val="22"/>
        </w:rPr>
        <w:t>i</w:t>
      </w:r>
    </w:p>
    <w:p w14:paraId="2AD74E10" w14:textId="610C3BBB" w:rsidR="00603B1E" w:rsidRDefault="009B135D" w:rsidP="00446618">
      <w:pPr>
        <w:jc w:val="both"/>
        <w:rPr>
          <w:sz w:val="22"/>
          <w:szCs w:val="22"/>
        </w:rPr>
      </w:pPr>
      <w:r w:rsidRPr="00337F21">
        <w:rPr>
          <w:sz w:val="22"/>
          <w:szCs w:val="22"/>
        </w:rPr>
        <w:t>Febu</w:t>
      </w:r>
      <w:r w:rsidR="005B5BE9">
        <w:rPr>
          <w:sz w:val="22"/>
          <w:szCs w:val="22"/>
        </w:rPr>
        <w:t>ks</w:t>
      </w:r>
      <w:r w:rsidRPr="00337F21">
        <w:rPr>
          <w:sz w:val="22"/>
          <w:szCs w:val="22"/>
        </w:rPr>
        <w:t>ostat</w:t>
      </w:r>
      <w:r w:rsidR="005B5BE9">
        <w:rPr>
          <w:sz w:val="22"/>
          <w:szCs w:val="22"/>
        </w:rPr>
        <w:t>a</w:t>
      </w:r>
      <w:r w:rsidRPr="00337F21">
        <w:rPr>
          <w:sz w:val="22"/>
          <w:szCs w:val="22"/>
        </w:rPr>
        <w:t xml:space="preserve"> tabletes satur laktozi. Šīs zāles </w:t>
      </w:r>
      <w:r w:rsidR="00A24D51" w:rsidRPr="00337F21">
        <w:rPr>
          <w:sz w:val="22"/>
          <w:szCs w:val="22"/>
        </w:rPr>
        <w:t>nevajadzētu</w:t>
      </w:r>
      <w:r w:rsidRPr="00337F21">
        <w:rPr>
          <w:sz w:val="22"/>
          <w:szCs w:val="22"/>
        </w:rPr>
        <w:t xml:space="preserve"> lietot pacientiem ar ret</w:t>
      </w:r>
      <w:r w:rsidR="00A24D51" w:rsidRPr="00337F21">
        <w:rPr>
          <w:sz w:val="22"/>
          <w:szCs w:val="22"/>
        </w:rPr>
        <w:t>u</w:t>
      </w:r>
      <w:r w:rsidRPr="00337F21">
        <w:rPr>
          <w:sz w:val="22"/>
          <w:szCs w:val="22"/>
        </w:rPr>
        <w:t xml:space="preserve"> iedzimt</w:t>
      </w:r>
      <w:r w:rsidR="00A24D51" w:rsidRPr="00337F21">
        <w:rPr>
          <w:sz w:val="22"/>
          <w:szCs w:val="22"/>
        </w:rPr>
        <w:t>u</w:t>
      </w:r>
      <w:r w:rsidRPr="00337F21">
        <w:rPr>
          <w:sz w:val="22"/>
          <w:szCs w:val="22"/>
        </w:rPr>
        <w:t xml:space="preserve"> galaktozes nepanesību, </w:t>
      </w:r>
      <w:r w:rsidR="00E76CFB">
        <w:rPr>
          <w:sz w:val="22"/>
          <w:szCs w:val="22"/>
        </w:rPr>
        <w:t xml:space="preserve">pilnīgu </w:t>
      </w:r>
      <w:r w:rsidRPr="00337F21">
        <w:rPr>
          <w:sz w:val="22"/>
          <w:szCs w:val="22"/>
        </w:rPr>
        <w:t xml:space="preserve">laktāzes deficītu vai glikozes-galaktozes </w:t>
      </w:r>
      <w:r w:rsidR="00A24D51" w:rsidRPr="00337F21">
        <w:rPr>
          <w:sz w:val="22"/>
          <w:szCs w:val="22"/>
        </w:rPr>
        <w:t>malabsorbciju</w:t>
      </w:r>
      <w:r w:rsidRPr="00337F21">
        <w:rPr>
          <w:sz w:val="22"/>
          <w:szCs w:val="22"/>
        </w:rPr>
        <w:t>.</w:t>
      </w:r>
    </w:p>
    <w:p w14:paraId="247C08A2" w14:textId="77777777" w:rsidR="00E76CFB" w:rsidRDefault="00E76CFB" w:rsidP="00446618">
      <w:pPr>
        <w:jc w:val="both"/>
        <w:rPr>
          <w:sz w:val="22"/>
          <w:szCs w:val="22"/>
        </w:rPr>
      </w:pPr>
    </w:p>
    <w:p w14:paraId="4563F356" w14:textId="58752A02" w:rsidR="00E76CFB" w:rsidRDefault="00E76CFB" w:rsidP="00446618">
      <w:pPr>
        <w:jc w:val="both"/>
        <w:rPr>
          <w:i/>
          <w:sz w:val="22"/>
          <w:szCs w:val="22"/>
        </w:rPr>
      </w:pPr>
      <w:r>
        <w:rPr>
          <w:i/>
          <w:sz w:val="22"/>
          <w:szCs w:val="22"/>
        </w:rPr>
        <w:t>Druniler satur nātriju</w:t>
      </w:r>
    </w:p>
    <w:p w14:paraId="2C0EDA0A" w14:textId="5590568F" w:rsidR="00E76CFB" w:rsidRPr="00E76CFB" w:rsidRDefault="00E76CFB" w:rsidP="00446618">
      <w:pPr>
        <w:jc w:val="both"/>
        <w:rPr>
          <w:sz w:val="22"/>
          <w:szCs w:val="22"/>
        </w:rPr>
      </w:pPr>
      <w:r w:rsidRPr="00E76CFB">
        <w:rPr>
          <w:sz w:val="22"/>
          <w:szCs w:val="22"/>
        </w:rPr>
        <w:t>Zāles satur mazāk par 1 mmol nātrija (23 mg) katrā devā, būtībā tās ir nātriju nesaturošas.</w:t>
      </w:r>
    </w:p>
    <w:p w14:paraId="20DA817F" w14:textId="77777777" w:rsidR="008D7D6A" w:rsidRPr="00337F21" w:rsidRDefault="008D7D6A" w:rsidP="004938F2">
      <w:pPr>
        <w:jc w:val="both"/>
        <w:rPr>
          <w:sz w:val="22"/>
          <w:szCs w:val="22"/>
        </w:rPr>
      </w:pPr>
    </w:p>
    <w:p w14:paraId="79A6BC20" w14:textId="77777777" w:rsidR="008D7D6A" w:rsidRPr="00337F21" w:rsidRDefault="008D7D6A" w:rsidP="00A24D51">
      <w:pPr>
        <w:keepNext/>
        <w:jc w:val="both"/>
        <w:outlineLvl w:val="1"/>
        <w:rPr>
          <w:b/>
          <w:sz w:val="22"/>
          <w:szCs w:val="22"/>
        </w:rPr>
      </w:pPr>
      <w:bookmarkStart w:id="6" w:name="_Toc441573739"/>
      <w:r w:rsidRPr="00337F21">
        <w:rPr>
          <w:b/>
          <w:sz w:val="22"/>
          <w:szCs w:val="22"/>
        </w:rPr>
        <w:lastRenderedPageBreak/>
        <w:t>4.5.</w:t>
      </w:r>
      <w:r w:rsidRPr="00337F21">
        <w:rPr>
          <w:b/>
          <w:sz w:val="22"/>
          <w:szCs w:val="22"/>
        </w:rPr>
        <w:tab/>
        <w:t>Mijiedarbība ar citām zālēm un citi mijiedarbības veidi</w:t>
      </w:r>
      <w:bookmarkEnd w:id="6"/>
    </w:p>
    <w:p w14:paraId="0C8C1369" w14:textId="77777777" w:rsidR="008D7D6A" w:rsidRPr="00337F21" w:rsidRDefault="008D7D6A" w:rsidP="00A24D51">
      <w:pPr>
        <w:keepNext/>
        <w:ind w:left="720"/>
        <w:jc w:val="both"/>
        <w:rPr>
          <w:i/>
          <w:sz w:val="22"/>
          <w:szCs w:val="22"/>
        </w:rPr>
      </w:pPr>
    </w:p>
    <w:p w14:paraId="74D15951" w14:textId="77777777" w:rsidR="007B351A" w:rsidRPr="00337F21" w:rsidRDefault="00A24D51" w:rsidP="00A24D51">
      <w:pPr>
        <w:keepNext/>
        <w:jc w:val="both"/>
        <w:rPr>
          <w:i/>
          <w:sz w:val="22"/>
          <w:szCs w:val="22"/>
        </w:rPr>
      </w:pPr>
      <w:r w:rsidRPr="00337F21">
        <w:rPr>
          <w:i/>
          <w:sz w:val="22"/>
          <w:szCs w:val="22"/>
        </w:rPr>
        <w:t>Merkaptopurīns/</w:t>
      </w:r>
      <w:r w:rsidR="007B351A" w:rsidRPr="00337F21">
        <w:rPr>
          <w:i/>
          <w:sz w:val="22"/>
          <w:szCs w:val="22"/>
        </w:rPr>
        <w:t>azatioprīns</w:t>
      </w:r>
    </w:p>
    <w:p w14:paraId="1E5C5EC8" w14:textId="3FA9ABB5" w:rsidR="001A4957" w:rsidRPr="00337F21" w:rsidRDefault="007B351A" w:rsidP="00A24D51">
      <w:pPr>
        <w:keepNext/>
        <w:jc w:val="both"/>
        <w:rPr>
          <w:sz w:val="22"/>
          <w:szCs w:val="22"/>
        </w:rPr>
      </w:pPr>
      <w:r w:rsidRPr="00337F21">
        <w:rPr>
          <w:sz w:val="22"/>
          <w:szCs w:val="22"/>
        </w:rPr>
        <w:t>Tā kā febuksostata darbības mehānisms ir saistīts ar ksantīnoksidāzes (</w:t>
      </w:r>
      <w:r w:rsidRPr="00337F21">
        <w:rPr>
          <w:i/>
          <w:sz w:val="22"/>
          <w:szCs w:val="22"/>
        </w:rPr>
        <w:t>XO</w:t>
      </w:r>
      <w:r w:rsidRPr="00337F21">
        <w:rPr>
          <w:sz w:val="22"/>
          <w:szCs w:val="22"/>
        </w:rPr>
        <w:t xml:space="preserve">) inhibīciju, vienlaicīga lietošana nav ieteicama. Febuksostata izraisītas </w:t>
      </w:r>
      <w:r w:rsidRPr="00337F21">
        <w:rPr>
          <w:i/>
          <w:sz w:val="22"/>
          <w:szCs w:val="22"/>
        </w:rPr>
        <w:t>XO</w:t>
      </w:r>
      <w:r w:rsidRPr="00337F21">
        <w:rPr>
          <w:sz w:val="22"/>
          <w:szCs w:val="22"/>
        </w:rPr>
        <w:t xml:space="preserve"> inhibīcijas dēļ var </w:t>
      </w:r>
      <w:r w:rsidR="00A24D51" w:rsidRPr="00337F21">
        <w:rPr>
          <w:sz w:val="22"/>
          <w:szCs w:val="22"/>
        </w:rPr>
        <w:t>paaugstināties</w:t>
      </w:r>
      <w:r w:rsidRPr="00337F21">
        <w:rPr>
          <w:sz w:val="22"/>
          <w:szCs w:val="22"/>
        </w:rPr>
        <w:t xml:space="preserve"> šo zāļu koncentrācija plazmā, izraisot to </w:t>
      </w:r>
      <w:r w:rsidR="00504230">
        <w:rPr>
          <w:sz w:val="22"/>
          <w:szCs w:val="22"/>
        </w:rPr>
        <w:t>mielo</w:t>
      </w:r>
      <w:r w:rsidRPr="00337F21">
        <w:rPr>
          <w:sz w:val="22"/>
          <w:szCs w:val="22"/>
        </w:rPr>
        <w:t xml:space="preserve">toksicitāti. </w:t>
      </w:r>
    </w:p>
    <w:p w14:paraId="31BF9CBE" w14:textId="62D98714" w:rsidR="001A37E3" w:rsidRDefault="001A37E7" w:rsidP="001A37E7">
      <w:pPr>
        <w:rPr>
          <w:sz w:val="22"/>
          <w:szCs w:val="22"/>
        </w:rPr>
      </w:pPr>
      <w:r>
        <w:rPr>
          <w:sz w:val="22"/>
          <w:szCs w:val="22"/>
        </w:rPr>
        <w:t>L</w:t>
      </w:r>
      <w:r w:rsidR="00B10A78">
        <w:rPr>
          <w:sz w:val="22"/>
          <w:szCs w:val="22"/>
        </w:rPr>
        <w:t>ietojot vienlaicīgi ar febuksostatu, merkaptopurīna/azatioprīna deva jāsamazina līdz 20% vai mazāk no iepriekš parakstītās devas (skatīt 4.4. un 5.3. apakšpunktu)</w:t>
      </w:r>
      <w:r w:rsidR="00784BAE" w:rsidRPr="00EF2CDA">
        <w:rPr>
          <w:sz w:val="22"/>
          <w:szCs w:val="22"/>
        </w:rPr>
        <w:t>.</w:t>
      </w:r>
      <w:r>
        <w:rPr>
          <w:sz w:val="22"/>
          <w:szCs w:val="22"/>
        </w:rPr>
        <w:t xml:space="preserve"> </w:t>
      </w:r>
      <w:r w:rsidRPr="001A37E7">
        <w:rPr>
          <w:sz w:val="22"/>
          <w:szCs w:val="22"/>
        </w:rPr>
        <w:t>Piedāvātās devas pielāgošanas atbilstību, pamatojoties uz žurkām veikto pirmsklīnisko datu</w:t>
      </w:r>
      <w:r>
        <w:rPr>
          <w:sz w:val="22"/>
          <w:szCs w:val="22"/>
        </w:rPr>
        <w:t xml:space="preserve"> </w:t>
      </w:r>
      <w:r w:rsidRPr="001A37E7">
        <w:rPr>
          <w:sz w:val="22"/>
          <w:szCs w:val="22"/>
        </w:rPr>
        <w:t>modelēšanas un simulācijas analīzi, apstiprināja klīniskā zāļu-zāļu mijiedarbības pētījuma rezultāti</w:t>
      </w:r>
      <w:r>
        <w:rPr>
          <w:sz w:val="22"/>
          <w:szCs w:val="22"/>
        </w:rPr>
        <w:t xml:space="preserve"> </w:t>
      </w:r>
      <w:r w:rsidRPr="001A37E7">
        <w:rPr>
          <w:sz w:val="22"/>
          <w:szCs w:val="22"/>
        </w:rPr>
        <w:t>veseliem brīvprātīgajiem, kuri saņēma tikai 100 mg azatioprīna vai samazinātu azatioprīna devu</w:t>
      </w:r>
      <w:r>
        <w:rPr>
          <w:sz w:val="22"/>
          <w:szCs w:val="22"/>
        </w:rPr>
        <w:t xml:space="preserve"> </w:t>
      </w:r>
      <w:r w:rsidRPr="001A37E7">
        <w:rPr>
          <w:sz w:val="22"/>
          <w:szCs w:val="22"/>
        </w:rPr>
        <w:t>(25</w:t>
      </w:r>
      <w:r w:rsidR="003A1832">
        <w:rPr>
          <w:sz w:val="22"/>
          <w:szCs w:val="22"/>
        </w:rPr>
        <w:t> </w:t>
      </w:r>
      <w:r w:rsidRPr="001A37E7">
        <w:rPr>
          <w:sz w:val="22"/>
          <w:szCs w:val="22"/>
        </w:rPr>
        <w:t>mg) kombinācijā ar febuksostatu (40 vai 120 mg).</w:t>
      </w:r>
    </w:p>
    <w:p w14:paraId="16551EE7" w14:textId="77777777" w:rsidR="001A37E7" w:rsidRDefault="001A37E7" w:rsidP="007E6D6B">
      <w:pPr>
        <w:rPr>
          <w:sz w:val="22"/>
          <w:szCs w:val="22"/>
        </w:rPr>
      </w:pPr>
    </w:p>
    <w:p w14:paraId="0B37DDD5" w14:textId="395D34B3" w:rsidR="001A37E3" w:rsidRDefault="007B351A" w:rsidP="007E6D6B">
      <w:pPr>
        <w:rPr>
          <w:sz w:val="22"/>
          <w:szCs w:val="22"/>
        </w:rPr>
      </w:pPr>
      <w:r w:rsidRPr="007E6D6B">
        <w:rPr>
          <w:sz w:val="22"/>
          <w:szCs w:val="22"/>
        </w:rPr>
        <w:t xml:space="preserve">Febuksostata mijiedarbība ar </w:t>
      </w:r>
      <w:r w:rsidR="005574DC">
        <w:rPr>
          <w:sz w:val="22"/>
          <w:szCs w:val="22"/>
        </w:rPr>
        <w:t>cit</w:t>
      </w:r>
      <w:r w:rsidR="001A37E7">
        <w:rPr>
          <w:sz w:val="22"/>
          <w:szCs w:val="22"/>
        </w:rPr>
        <w:t>i</w:t>
      </w:r>
      <w:r w:rsidR="005574DC">
        <w:rPr>
          <w:sz w:val="22"/>
          <w:szCs w:val="22"/>
        </w:rPr>
        <w:t xml:space="preserve">em </w:t>
      </w:r>
      <w:r w:rsidRPr="007E6D6B">
        <w:rPr>
          <w:sz w:val="22"/>
          <w:szCs w:val="22"/>
        </w:rPr>
        <w:t xml:space="preserve">citotoksiskajiem ķīmijterapeitiskajiem līdzekļiem nav pētīta. </w:t>
      </w:r>
    </w:p>
    <w:p w14:paraId="412AC3DF" w14:textId="77777777" w:rsidR="001A37E3" w:rsidRDefault="001A37E3" w:rsidP="007E6D6B">
      <w:pPr>
        <w:rPr>
          <w:sz w:val="22"/>
          <w:szCs w:val="22"/>
        </w:rPr>
      </w:pPr>
    </w:p>
    <w:p w14:paraId="0FA11C93" w14:textId="37674C94" w:rsidR="007B351A" w:rsidRPr="007E6D6B" w:rsidRDefault="006839E4" w:rsidP="007E6D6B">
      <w:pPr>
        <w:rPr>
          <w:sz w:val="22"/>
          <w:szCs w:val="22"/>
        </w:rPr>
      </w:pPr>
      <w:r w:rsidRPr="007E6D6B">
        <w:rPr>
          <w:sz w:val="22"/>
          <w:szCs w:val="22"/>
        </w:rPr>
        <w:t>Druniler</w:t>
      </w:r>
      <w:r w:rsidR="00A24D51" w:rsidRPr="007E6D6B">
        <w:rPr>
          <w:sz w:val="22"/>
          <w:szCs w:val="22"/>
        </w:rPr>
        <w:t xml:space="preserve"> 80 </w:t>
      </w:r>
      <w:r w:rsidR="007B351A" w:rsidRPr="007E6D6B">
        <w:rPr>
          <w:sz w:val="22"/>
          <w:szCs w:val="22"/>
        </w:rPr>
        <w:t>mg</w:t>
      </w:r>
      <w:r w:rsidR="00A24D51" w:rsidRPr="007E6D6B">
        <w:rPr>
          <w:sz w:val="22"/>
          <w:szCs w:val="22"/>
        </w:rPr>
        <w:t>: d</w:t>
      </w:r>
      <w:r w:rsidR="007B351A" w:rsidRPr="007E6D6B">
        <w:rPr>
          <w:sz w:val="22"/>
          <w:szCs w:val="22"/>
        </w:rPr>
        <w:t xml:space="preserve">ati par febuksostata lietošanas drošumu </w:t>
      </w:r>
      <w:r w:rsidR="001A37E7">
        <w:rPr>
          <w:sz w:val="22"/>
          <w:szCs w:val="22"/>
        </w:rPr>
        <w:t xml:space="preserve">citas </w:t>
      </w:r>
      <w:r w:rsidR="007B351A" w:rsidRPr="007E6D6B">
        <w:rPr>
          <w:sz w:val="22"/>
          <w:szCs w:val="22"/>
        </w:rPr>
        <w:t>citotoksiskas terapijas laikā nav pieejami.</w:t>
      </w:r>
    </w:p>
    <w:p w14:paraId="32D1F351" w14:textId="77777777" w:rsidR="001A4957" w:rsidRPr="007E6D6B" w:rsidRDefault="001A4957" w:rsidP="007E6D6B">
      <w:pPr>
        <w:rPr>
          <w:sz w:val="22"/>
          <w:szCs w:val="22"/>
        </w:rPr>
      </w:pPr>
    </w:p>
    <w:p w14:paraId="3B7041F1" w14:textId="77777777" w:rsidR="007B351A" w:rsidRPr="007E6D6B" w:rsidRDefault="006839E4" w:rsidP="007E6D6B">
      <w:pPr>
        <w:rPr>
          <w:sz w:val="22"/>
          <w:szCs w:val="22"/>
        </w:rPr>
      </w:pPr>
      <w:r w:rsidRPr="007E6D6B">
        <w:rPr>
          <w:sz w:val="22"/>
          <w:szCs w:val="22"/>
        </w:rPr>
        <w:t>Druniler</w:t>
      </w:r>
      <w:r w:rsidR="007A64C0" w:rsidRPr="007E6D6B">
        <w:rPr>
          <w:sz w:val="22"/>
          <w:szCs w:val="22"/>
        </w:rPr>
        <w:t xml:space="preserve"> 120 </w:t>
      </w:r>
      <w:r w:rsidR="00E745A2" w:rsidRPr="007E6D6B">
        <w:rPr>
          <w:sz w:val="22"/>
          <w:szCs w:val="22"/>
        </w:rPr>
        <w:t>mg</w:t>
      </w:r>
      <w:r w:rsidR="007A64C0" w:rsidRPr="007E6D6B">
        <w:rPr>
          <w:sz w:val="22"/>
          <w:szCs w:val="22"/>
        </w:rPr>
        <w:t>: p</w:t>
      </w:r>
      <w:r w:rsidR="00E745A2" w:rsidRPr="007E6D6B">
        <w:rPr>
          <w:sz w:val="22"/>
          <w:szCs w:val="22"/>
        </w:rPr>
        <w:t xml:space="preserve">ivotālā pētījumā par </w:t>
      </w:r>
      <w:r w:rsidR="007A64C0" w:rsidRPr="007E6D6B">
        <w:rPr>
          <w:sz w:val="22"/>
          <w:szCs w:val="22"/>
        </w:rPr>
        <w:t>tumora līzes</w:t>
      </w:r>
      <w:r w:rsidR="00E745A2" w:rsidRPr="007E6D6B">
        <w:rPr>
          <w:sz w:val="22"/>
          <w:szCs w:val="22"/>
        </w:rPr>
        <w:t xml:space="preserve"> sindromu pacientiem, </w:t>
      </w:r>
      <w:r w:rsidR="007A64C0" w:rsidRPr="007E6D6B">
        <w:rPr>
          <w:sz w:val="22"/>
          <w:szCs w:val="22"/>
        </w:rPr>
        <w:t>kuri</w:t>
      </w:r>
      <w:r w:rsidR="00E745A2" w:rsidRPr="007E6D6B">
        <w:rPr>
          <w:sz w:val="22"/>
          <w:szCs w:val="22"/>
        </w:rPr>
        <w:t xml:space="preserve"> saņēma vairākas ķīmijterapijas shēmas, arī monoklonālās antivielas, tika lietotas febuksostata </w:t>
      </w:r>
      <w:r w:rsidR="007A64C0" w:rsidRPr="007E6D6B">
        <w:rPr>
          <w:sz w:val="22"/>
          <w:szCs w:val="22"/>
        </w:rPr>
        <w:t xml:space="preserve">120 mg </w:t>
      </w:r>
      <w:r w:rsidR="00E745A2" w:rsidRPr="007E6D6B">
        <w:rPr>
          <w:sz w:val="22"/>
          <w:szCs w:val="22"/>
        </w:rPr>
        <w:t xml:space="preserve">dienas devas, tomēr zāļu savstarpējā mijiedarbība vai zāļu mijiedarbība ar slimību šajā pētījumā netika vērtēta, tādēļ nav izslēdzama iespējamība, ka var notikt mijiedarbība ar jebkurām </w:t>
      </w:r>
      <w:r w:rsidR="007A64C0" w:rsidRPr="007E6D6B">
        <w:rPr>
          <w:sz w:val="22"/>
          <w:szCs w:val="22"/>
        </w:rPr>
        <w:t>vienlaicīgi</w:t>
      </w:r>
      <w:r w:rsidR="00E745A2" w:rsidRPr="007E6D6B">
        <w:rPr>
          <w:sz w:val="22"/>
          <w:szCs w:val="22"/>
        </w:rPr>
        <w:t xml:space="preserve"> lietotajām citotoksiskajām zālēm.</w:t>
      </w:r>
    </w:p>
    <w:p w14:paraId="5C9E9A62" w14:textId="77777777" w:rsidR="00D650C9" w:rsidRPr="007E6D6B" w:rsidRDefault="00D650C9" w:rsidP="007E6D6B"/>
    <w:p w14:paraId="4B9587A7" w14:textId="77777777" w:rsidR="007B351A" w:rsidRPr="00EF2CDA" w:rsidRDefault="007A64C0" w:rsidP="00EF2CDA">
      <w:pPr>
        <w:jc w:val="both"/>
        <w:rPr>
          <w:i/>
          <w:sz w:val="22"/>
          <w:szCs w:val="22"/>
        </w:rPr>
      </w:pPr>
      <w:r w:rsidRPr="00EF2CDA">
        <w:rPr>
          <w:i/>
          <w:sz w:val="22"/>
          <w:szCs w:val="22"/>
        </w:rPr>
        <w:t>Rosiglitazons/</w:t>
      </w:r>
      <w:r w:rsidR="007B351A" w:rsidRPr="00EF2CDA">
        <w:rPr>
          <w:i/>
          <w:sz w:val="22"/>
          <w:szCs w:val="22"/>
        </w:rPr>
        <w:t>CYP2C8 substrāti</w:t>
      </w:r>
    </w:p>
    <w:p w14:paraId="4281FAA5" w14:textId="77777777" w:rsidR="008D7D6A" w:rsidRPr="00337F21" w:rsidRDefault="007A64C0" w:rsidP="00446618">
      <w:pPr>
        <w:jc w:val="both"/>
        <w:rPr>
          <w:sz w:val="22"/>
          <w:szCs w:val="22"/>
        </w:rPr>
      </w:pPr>
      <w:r w:rsidRPr="00337F21">
        <w:rPr>
          <w:sz w:val="22"/>
          <w:szCs w:val="22"/>
        </w:rPr>
        <w:t>Pierādīts</w:t>
      </w:r>
      <w:r w:rsidR="007B351A" w:rsidRPr="00337F21">
        <w:rPr>
          <w:sz w:val="22"/>
          <w:szCs w:val="22"/>
        </w:rPr>
        <w:t xml:space="preserve">, ka </w:t>
      </w:r>
      <w:r w:rsidR="007B351A" w:rsidRPr="00337F21">
        <w:rPr>
          <w:i/>
          <w:sz w:val="22"/>
          <w:szCs w:val="22"/>
        </w:rPr>
        <w:t>in vitro</w:t>
      </w:r>
      <w:r w:rsidR="007B351A" w:rsidRPr="00337F21">
        <w:rPr>
          <w:sz w:val="22"/>
          <w:szCs w:val="22"/>
        </w:rPr>
        <w:t xml:space="preserve"> febuksostats vāji inhibē CYP2C8. Pētījumā ar veseliem brīvprātīgajiem vienlaicīga febuksostata </w:t>
      </w:r>
      <w:r w:rsidRPr="00337F21">
        <w:rPr>
          <w:sz w:val="22"/>
          <w:szCs w:val="22"/>
        </w:rPr>
        <w:t xml:space="preserve">120 mg </w:t>
      </w:r>
      <w:r w:rsidR="007B351A" w:rsidRPr="00337F21">
        <w:rPr>
          <w:sz w:val="22"/>
          <w:szCs w:val="22"/>
        </w:rPr>
        <w:t xml:space="preserve">devu (vienreiz dienā) un vienreizējas perorālas rosiglitazona </w:t>
      </w:r>
      <w:r w:rsidRPr="00337F21">
        <w:rPr>
          <w:sz w:val="22"/>
          <w:szCs w:val="22"/>
        </w:rPr>
        <w:t xml:space="preserve">4 mg </w:t>
      </w:r>
      <w:r w:rsidR="007B351A" w:rsidRPr="00337F21">
        <w:rPr>
          <w:sz w:val="22"/>
          <w:szCs w:val="22"/>
        </w:rPr>
        <w:t xml:space="preserve">devas lietošana neietekmēja rosiglitazona un tā metabolīta N-demetilrosiglitazona farmakokinētiku. Tas nozīmē, ka </w:t>
      </w:r>
      <w:r w:rsidR="007B351A" w:rsidRPr="00337F21">
        <w:rPr>
          <w:i/>
          <w:sz w:val="22"/>
          <w:szCs w:val="22"/>
        </w:rPr>
        <w:t>in vivo</w:t>
      </w:r>
      <w:r w:rsidR="007B351A" w:rsidRPr="00337F21">
        <w:rPr>
          <w:sz w:val="22"/>
          <w:szCs w:val="22"/>
        </w:rPr>
        <w:t xml:space="preserve"> febuksostats nav enzīma CYP2C8 inhibitors un ka vienlaicīgas febuksostata un rosiglitazona vai citu CYP2C8 substrātu lietošanas laikā nav paredzams, ka būs jebkādā veidā jāpielāgo šo aktīvo vielu devas.</w:t>
      </w:r>
    </w:p>
    <w:p w14:paraId="0F7951C7" w14:textId="77777777" w:rsidR="007B351A" w:rsidRPr="00337F21" w:rsidRDefault="007B351A" w:rsidP="004938F2">
      <w:pPr>
        <w:ind w:left="720"/>
        <w:jc w:val="both"/>
        <w:rPr>
          <w:sz w:val="22"/>
          <w:szCs w:val="22"/>
        </w:rPr>
      </w:pPr>
    </w:p>
    <w:p w14:paraId="3C42FDDC" w14:textId="77777777" w:rsidR="007B351A" w:rsidRPr="00337F21" w:rsidRDefault="007B351A" w:rsidP="00446618">
      <w:pPr>
        <w:jc w:val="both"/>
        <w:rPr>
          <w:i/>
          <w:sz w:val="22"/>
          <w:szCs w:val="22"/>
        </w:rPr>
      </w:pPr>
      <w:r w:rsidRPr="00337F21">
        <w:rPr>
          <w:i/>
          <w:sz w:val="22"/>
          <w:szCs w:val="22"/>
        </w:rPr>
        <w:t>Teofilīns</w:t>
      </w:r>
    </w:p>
    <w:p w14:paraId="7111AE18" w14:textId="77777777" w:rsidR="007B351A" w:rsidRPr="00337F21" w:rsidRDefault="007B351A" w:rsidP="00446618">
      <w:pPr>
        <w:jc w:val="both"/>
        <w:rPr>
          <w:sz w:val="22"/>
          <w:szCs w:val="22"/>
        </w:rPr>
      </w:pPr>
      <w:r w:rsidRPr="00337F21">
        <w:rPr>
          <w:sz w:val="22"/>
          <w:szCs w:val="22"/>
        </w:rPr>
        <w:t xml:space="preserve">Ar veseliem brīvprātīgajiem ir noticis febuksostata mijiedarbības pētījums, lai vērtētu, vai </w:t>
      </w:r>
      <w:r w:rsidRPr="00337F21">
        <w:rPr>
          <w:i/>
          <w:sz w:val="22"/>
          <w:szCs w:val="22"/>
        </w:rPr>
        <w:t>XO</w:t>
      </w:r>
      <w:r w:rsidRPr="00337F21">
        <w:rPr>
          <w:sz w:val="22"/>
          <w:szCs w:val="22"/>
        </w:rPr>
        <w:t xml:space="preserve"> inhibīcija var paaugstināt cirkulējošā teofilīna līmeni, kā tas aprakstīts pēc citu </w:t>
      </w:r>
      <w:r w:rsidRPr="00337F21">
        <w:rPr>
          <w:i/>
          <w:sz w:val="22"/>
          <w:szCs w:val="22"/>
        </w:rPr>
        <w:t>XO</w:t>
      </w:r>
      <w:r w:rsidRPr="00337F21">
        <w:rPr>
          <w:sz w:val="22"/>
          <w:szCs w:val="22"/>
        </w:rPr>
        <w:t xml:space="preserve"> inhibitoru lietošanas. Šī pētījuma rezultāti ir parādījuši, ka vienlaicīga febuksostata </w:t>
      </w:r>
      <w:r w:rsidR="007A64C0" w:rsidRPr="00337F21">
        <w:rPr>
          <w:sz w:val="22"/>
          <w:szCs w:val="22"/>
        </w:rPr>
        <w:t xml:space="preserve">80 mg </w:t>
      </w:r>
      <w:r w:rsidRPr="00337F21">
        <w:rPr>
          <w:sz w:val="22"/>
          <w:szCs w:val="22"/>
        </w:rPr>
        <w:t xml:space="preserve">devu (vienreiz dienā) un vienreizējas teofilīna </w:t>
      </w:r>
      <w:r w:rsidR="007A64C0" w:rsidRPr="00337F21">
        <w:rPr>
          <w:sz w:val="22"/>
          <w:szCs w:val="22"/>
        </w:rPr>
        <w:t xml:space="preserve">400 mg </w:t>
      </w:r>
      <w:r w:rsidRPr="00337F21">
        <w:rPr>
          <w:sz w:val="22"/>
          <w:szCs w:val="22"/>
        </w:rPr>
        <w:t xml:space="preserve">devas lietošana neietekmē teofilīna farmakokinētiku vai drošumu, tādēļ netiek ieteikts ievērot īpašu piesardzību, </w:t>
      </w:r>
      <w:r w:rsidR="007A64C0" w:rsidRPr="00337F21">
        <w:rPr>
          <w:sz w:val="22"/>
          <w:szCs w:val="22"/>
        </w:rPr>
        <w:t>vienlaicīgi</w:t>
      </w:r>
      <w:r w:rsidRPr="00337F21">
        <w:rPr>
          <w:sz w:val="22"/>
          <w:szCs w:val="22"/>
        </w:rPr>
        <w:t xml:space="preserve"> lietojot febuksostata </w:t>
      </w:r>
      <w:r w:rsidR="007A64C0" w:rsidRPr="00337F21">
        <w:rPr>
          <w:sz w:val="22"/>
          <w:szCs w:val="22"/>
        </w:rPr>
        <w:t xml:space="preserve">80 mg </w:t>
      </w:r>
      <w:r w:rsidRPr="00337F21">
        <w:rPr>
          <w:sz w:val="22"/>
          <w:szCs w:val="22"/>
        </w:rPr>
        <w:t xml:space="preserve">devas un teofilīnu. Dati par febuksostata </w:t>
      </w:r>
      <w:r w:rsidR="007A64C0" w:rsidRPr="00337F21">
        <w:rPr>
          <w:sz w:val="22"/>
          <w:szCs w:val="22"/>
        </w:rPr>
        <w:t xml:space="preserve">120 mg </w:t>
      </w:r>
      <w:r w:rsidRPr="00337F21">
        <w:rPr>
          <w:sz w:val="22"/>
          <w:szCs w:val="22"/>
        </w:rPr>
        <w:t>devu lietošanu nav pieejami.</w:t>
      </w:r>
    </w:p>
    <w:p w14:paraId="4E50D25E" w14:textId="77777777" w:rsidR="007B351A" w:rsidRPr="00337F21" w:rsidRDefault="007B351A" w:rsidP="004938F2">
      <w:pPr>
        <w:ind w:left="720"/>
        <w:jc w:val="both"/>
        <w:rPr>
          <w:sz w:val="22"/>
          <w:szCs w:val="22"/>
        </w:rPr>
      </w:pPr>
    </w:p>
    <w:p w14:paraId="0DA33F89" w14:textId="77777777" w:rsidR="007B351A" w:rsidRPr="00337F21" w:rsidRDefault="007B351A" w:rsidP="00446618">
      <w:pPr>
        <w:jc w:val="both"/>
        <w:rPr>
          <w:i/>
          <w:sz w:val="22"/>
          <w:szCs w:val="22"/>
        </w:rPr>
      </w:pPr>
      <w:r w:rsidRPr="00337F21">
        <w:rPr>
          <w:i/>
          <w:sz w:val="22"/>
          <w:szCs w:val="22"/>
        </w:rPr>
        <w:t>Naproksēns un citi glikuronizēšanās inhibitori</w:t>
      </w:r>
    </w:p>
    <w:p w14:paraId="4AC92703" w14:textId="16978955" w:rsidR="007B351A" w:rsidRPr="00337F21" w:rsidRDefault="007B351A" w:rsidP="00446618">
      <w:pPr>
        <w:jc w:val="both"/>
        <w:rPr>
          <w:sz w:val="22"/>
          <w:szCs w:val="22"/>
        </w:rPr>
      </w:pPr>
      <w:r w:rsidRPr="00337F21">
        <w:rPr>
          <w:sz w:val="22"/>
          <w:szCs w:val="22"/>
        </w:rPr>
        <w:t xml:space="preserve">Febuksostata metabolisms ir atkarīgs no </w:t>
      </w:r>
      <w:r w:rsidR="001A37E7">
        <w:rPr>
          <w:sz w:val="22"/>
          <w:szCs w:val="22"/>
        </w:rPr>
        <w:t>uridīna</w:t>
      </w:r>
      <w:r w:rsidR="005668F3">
        <w:rPr>
          <w:sz w:val="22"/>
          <w:szCs w:val="22"/>
        </w:rPr>
        <w:t>-</w:t>
      </w:r>
      <w:r w:rsidRPr="00337F21">
        <w:rPr>
          <w:sz w:val="22"/>
          <w:szCs w:val="22"/>
        </w:rPr>
        <w:t>glikuronozil</w:t>
      </w:r>
      <w:r w:rsidR="005668F3">
        <w:rPr>
          <w:sz w:val="22"/>
          <w:szCs w:val="22"/>
        </w:rPr>
        <w:t xml:space="preserve">a </w:t>
      </w:r>
      <w:r w:rsidRPr="00337F21">
        <w:rPr>
          <w:sz w:val="22"/>
          <w:szCs w:val="22"/>
        </w:rPr>
        <w:t xml:space="preserve">transferāzes (UGT) grupas enzīmiem, tādēļ teorētiski zāles, kas inhibē glikuronizēšanos, piemēram, NPL un probenecīds, var ietekmēt febuksostata elimināciju. Veseliem brīvprātīgajiem vienlaicīga febuksostata un naproksēna </w:t>
      </w:r>
      <w:r w:rsidR="007A64C0" w:rsidRPr="00337F21">
        <w:rPr>
          <w:sz w:val="22"/>
          <w:szCs w:val="22"/>
        </w:rPr>
        <w:t xml:space="preserve">250 mg </w:t>
      </w:r>
      <w:r w:rsidRPr="00337F21">
        <w:rPr>
          <w:sz w:val="22"/>
          <w:szCs w:val="22"/>
        </w:rPr>
        <w:t>devu (divreiz dienā) lietošana bija saistīta ar febuksostata iedarbības intensitātes palielināšanos (</w:t>
      </w:r>
      <w:r w:rsidR="005668F3">
        <w:rPr>
          <w:sz w:val="22"/>
          <w:szCs w:val="22"/>
        </w:rPr>
        <w:t>c</w:t>
      </w:r>
      <w:r w:rsidRPr="00337F21">
        <w:rPr>
          <w:sz w:val="22"/>
          <w:szCs w:val="22"/>
          <w:vertAlign w:val="subscript"/>
        </w:rPr>
        <w:t>max</w:t>
      </w:r>
      <w:r w:rsidRPr="00337F21">
        <w:rPr>
          <w:sz w:val="22"/>
          <w:szCs w:val="22"/>
        </w:rPr>
        <w:t> </w:t>
      </w:r>
      <w:r w:rsidR="007A64C0" w:rsidRPr="00337F21">
        <w:rPr>
          <w:sz w:val="22"/>
          <w:szCs w:val="22"/>
        </w:rPr>
        <w:t>paaugstinājās</w:t>
      </w:r>
      <w:r w:rsidRPr="00337F21">
        <w:rPr>
          <w:sz w:val="22"/>
          <w:szCs w:val="22"/>
        </w:rPr>
        <w:t xml:space="preserve"> par 28 %, AUC palielinājās par 41 %, un t</w:t>
      </w:r>
      <w:r w:rsidRPr="00337F21">
        <w:rPr>
          <w:sz w:val="22"/>
          <w:szCs w:val="22"/>
          <w:vertAlign w:val="subscript"/>
        </w:rPr>
        <w:t>1/2</w:t>
      </w:r>
      <w:r w:rsidRPr="00337F21">
        <w:rPr>
          <w:sz w:val="22"/>
          <w:szCs w:val="22"/>
        </w:rPr>
        <w:t> palielinājās par 26 %). Klīniskajos pētījumos vienlaicīga naproksēna vai citu NPL/COX-2 inhibitoru lietošana nebija saistīta ne ar kādu klīniski nozīmīgu nevēlamo blakusparādību sastopamības palielināšanos.</w:t>
      </w:r>
    </w:p>
    <w:p w14:paraId="21EA796E" w14:textId="77777777" w:rsidR="007B351A" w:rsidRPr="00337F21" w:rsidRDefault="007B351A" w:rsidP="004938F2">
      <w:pPr>
        <w:ind w:left="720"/>
        <w:jc w:val="both"/>
        <w:rPr>
          <w:sz w:val="22"/>
          <w:szCs w:val="22"/>
        </w:rPr>
      </w:pPr>
    </w:p>
    <w:p w14:paraId="3B41348C" w14:textId="77777777" w:rsidR="007B351A" w:rsidRPr="00337F21" w:rsidRDefault="007B351A" w:rsidP="00446618">
      <w:pPr>
        <w:jc w:val="both"/>
        <w:rPr>
          <w:sz w:val="22"/>
          <w:szCs w:val="22"/>
        </w:rPr>
      </w:pPr>
      <w:r w:rsidRPr="00337F21">
        <w:rPr>
          <w:sz w:val="22"/>
          <w:szCs w:val="22"/>
        </w:rPr>
        <w:t xml:space="preserve">Febuksostatu var lietot </w:t>
      </w:r>
      <w:r w:rsidR="007A64C0" w:rsidRPr="00337F21">
        <w:rPr>
          <w:sz w:val="22"/>
          <w:szCs w:val="22"/>
        </w:rPr>
        <w:t>vienlaicīgi</w:t>
      </w:r>
      <w:r w:rsidRPr="00337F21">
        <w:rPr>
          <w:sz w:val="22"/>
          <w:szCs w:val="22"/>
        </w:rPr>
        <w:t xml:space="preserve"> ar naproksēnu, un šo zāļu devas nav jāpielāgo.</w:t>
      </w:r>
    </w:p>
    <w:p w14:paraId="4F89B28E" w14:textId="77777777" w:rsidR="007B351A" w:rsidRPr="00337F21" w:rsidRDefault="007B351A" w:rsidP="004938F2">
      <w:pPr>
        <w:ind w:left="720"/>
        <w:jc w:val="both"/>
        <w:rPr>
          <w:sz w:val="22"/>
          <w:szCs w:val="22"/>
        </w:rPr>
      </w:pPr>
    </w:p>
    <w:p w14:paraId="7093C74D" w14:textId="77777777" w:rsidR="007B351A" w:rsidRPr="00337F21" w:rsidRDefault="007B351A" w:rsidP="00446618">
      <w:pPr>
        <w:jc w:val="both"/>
        <w:rPr>
          <w:i/>
          <w:sz w:val="22"/>
          <w:szCs w:val="22"/>
        </w:rPr>
      </w:pPr>
      <w:r w:rsidRPr="00337F21">
        <w:rPr>
          <w:i/>
          <w:sz w:val="22"/>
          <w:szCs w:val="22"/>
        </w:rPr>
        <w:lastRenderedPageBreak/>
        <w:t>Glikuronizēšanās induktori</w:t>
      </w:r>
    </w:p>
    <w:p w14:paraId="7051CD61" w14:textId="77777777" w:rsidR="007B351A" w:rsidRPr="00337F21" w:rsidRDefault="007B351A" w:rsidP="00446618">
      <w:pPr>
        <w:jc w:val="both"/>
        <w:rPr>
          <w:sz w:val="22"/>
          <w:szCs w:val="22"/>
        </w:rPr>
      </w:pPr>
      <w:r w:rsidRPr="00337F21">
        <w:rPr>
          <w:sz w:val="22"/>
          <w:szCs w:val="22"/>
        </w:rPr>
        <w:t>Spēcīgi UGT grupas enzīmi var pastiprināt febuksostata metabolismu un mazināt febuksostata efektivitāti, tādēļ 1–2 nedēļas pēc spēcīga glikuronizēšanās induktora lietošanas uzsākšanas ir ieteicams uzraudzīt urīnskābes līmeni serumā, turpretim induktora lietošanas pārtraukšana var paaugstināt febuksostata līmeni plazmā.</w:t>
      </w:r>
    </w:p>
    <w:p w14:paraId="0D40FE8C" w14:textId="77777777" w:rsidR="007B351A" w:rsidRPr="00337F21" w:rsidRDefault="007B351A" w:rsidP="004938F2">
      <w:pPr>
        <w:ind w:left="720"/>
        <w:jc w:val="both"/>
        <w:rPr>
          <w:sz w:val="22"/>
          <w:szCs w:val="22"/>
        </w:rPr>
      </w:pPr>
    </w:p>
    <w:p w14:paraId="11720187" w14:textId="77777777" w:rsidR="007B351A" w:rsidRPr="00337F21" w:rsidRDefault="007B351A" w:rsidP="007A64C0">
      <w:pPr>
        <w:keepNext/>
        <w:jc w:val="both"/>
        <w:rPr>
          <w:i/>
          <w:sz w:val="22"/>
          <w:szCs w:val="22"/>
        </w:rPr>
      </w:pPr>
      <w:r w:rsidRPr="00337F21">
        <w:rPr>
          <w:i/>
          <w:sz w:val="22"/>
          <w:szCs w:val="22"/>
        </w:rPr>
        <w:t>Kolhicīns</w:t>
      </w:r>
      <w:r w:rsidR="007A64C0" w:rsidRPr="00337F21">
        <w:rPr>
          <w:i/>
          <w:sz w:val="22"/>
          <w:szCs w:val="22"/>
        </w:rPr>
        <w:t>/</w:t>
      </w:r>
      <w:r w:rsidRPr="00337F21">
        <w:rPr>
          <w:i/>
          <w:sz w:val="22"/>
          <w:szCs w:val="22"/>
        </w:rPr>
        <w:t>indometacīns</w:t>
      </w:r>
      <w:r w:rsidR="007A64C0" w:rsidRPr="00337F21">
        <w:rPr>
          <w:i/>
          <w:sz w:val="22"/>
          <w:szCs w:val="22"/>
        </w:rPr>
        <w:t>/hidrohlortiazīds/</w:t>
      </w:r>
      <w:r w:rsidRPr="00337F21">
        <w:rPr>
          <w:i/>
          <w:sz w:val="22"/>
          <w:szCs w:val="22"/>
        </w:rPr>
        <w:t>varfarīns</w:t>
      </w:r>
    </w:p>
    <w:p w14:paraId="5DB14227" w14:textId="77777777" w:rsidR="007B351A" w:rsidRPr="00337F21" w:rsidRDefault="007B351A" w:rsidP="007A64C0">
      <w:pPr>
        <w:keepNext/>
        <w:jc w:val="both"/>
        <w:rPr>
          <w:sz w:val="22"/>
          <w:szCs w:val="22"/>
        </w:rPr>
      </w:pPr>
      <w:r w:rsidRPr="00337F21">
        <w:rPr>
          <w:sz w:val="22"/>
          <w:szCs w:val="22"/>
        </w:rPr>
        <w:t xml:space="preserve">Febuksostatu var lietot </w:t>
      </w:r>
      <w:r w:rsidR="007A64C0" w:rsidRPr="00337F21">
        <w:rPr>
          <w:sz w:val="22"/>
          <w:szCs w:val="22"/>
        </w:rPr>
        <w:t>vienlaicīgi</w:t>
      </w:r>
      <w:r w:rsidRPr="00337F21">
        <w:rPr>
          <w:sz w:val="22"/>
          <w:szCs w:val="22"/>
        </w:rPr>
        <w:t xml:space="preserve"> ar kolhicīnu vai indometacīnu, un nav jāpielāgo febuksostata vai </w:t>
      </w:r>
      <w:r w:rsidR="007A64C0" w:rsidRPr="00337F21">
        <w:rPr>
          <w:sz w:val="22"/>
          <w:szCs w:val="22"/>
        </w:rPr>
        <w:t>vienlaicīgi</w:t>
      </w:r>
      <w:r w:rsidRPr="00337F21">
        <w:rPr>
          <w:sz w:val="22"/>
          <w:szCs w:val="22"/>
        </w:rPr>
        <w:t xml:space="preserve"> lietoto aktīvo vielu devas.</w:t>
      </w:r>
    </w:p>
    <w:p w14:paraId="7443AF27" w14:textId="77777777" w:rsidR="007B351A" w:rsidRPr="00337F21" w:rsidRDefault="007B351A" w:rsidP="004938F2">
      <w:pPr>
        <w:ind w:left="720"/>
        <w:jc w:val="both"/>
        <w:rPr>
          <w:sz w:val="22"/>
          <w:szCs w:val="22"/>
        </w:rPr>
      </w:pPr>
    </w:p>
    <w:p w14:paraId="63A354F7" w14:textId="77777777" w:rsidR="007B351A" w:rsidRPr="00337F21" w:rsidRDefault="007B351A" w:rsidP="00446618">
      <w:pPr>
        <w:jc w:val="both"/>
        <w:rPr>
          <w:sz w:val="22"/>
          <w:szCs w:val="22"/>
        </w:rPr>
      </w:pPr>
      <w:r w:rsidRPr="00337F21">
        <w:rPr>
          <w:sz w:val="22"/>
          <w:szCs w:val="22"/>
        </w:rPr>
        <w:t xml:space="preserve">Febuksostata deva nav jāpielāgo, </w:t>
      </w:r>
      <w:r w:rsidR="007A64C0" w:rsidRPr="00337F21">
        <w:rPr>
          <w:sz w:val="22"/>
          <w:szCs w:val="22"/>
        </w:rPr>
        <w:t>vienlaicīgi</w:t>
      </w:r>
      <w:r w:rsidRPr="00337F21">
        <w:rPr>
          <w:sz w:val="22"/>
          <w:szCs w:val="22"/>
        </w:rPr>
        <w:t xml:space="preserve"> lietojot hidrohlortiazīdu.</w:t>
      </w:r>
    </w:p>
    <w:p w14:paraId="0BFF73DB" w14:textId="77777777" w:rsidR="007B351A" w:rsidRPr="00337F21" w:rsidRDefault="007B351A" w:rsidP="004938F2">
      <w:pPr>
        <w:ind w:left="720"/>
        <w:jc w:val="both"/>
        <w:rPr>
          <w:sz w:val="22"/>
          <w:szCs w:val="22"/>
        </w:rPr>
      </w:pPr>
    </w:p>
    <w:p w14:paraId="620C5027" w14:textId="77777777" w:rsidR="007B351A" w:rsidRPr="00337F21" w:rsidRDefault="007B351A" w:rsidP="00446618">
      <w:pPr>
        <w:jc w:val="both"/>
        <w:rPr>
          <w:sz w:val="22"/>
          <w:szCs w:val="22"/>
        </w:rPr>
      </w:pPr>
      <w:r w:rsidRPr="00337F21">
        <w:rPr>
          <w:sz w:val="22"/>
          <w:szCs w:val="22"/>
        </w:rPr>
        <w:t xml:space="preserve">Lietojot </w:t>
      </w:r>
      <w:r w:rsidR="007A64C0" w:rsidRPr="00337F21">
        <w:rPr>
          <w:sz w:val="22"/>
          <w:szCs w:val="22"/>
        </w:rPr>
        <w:t>vienlaicīgi</w:t>
      </w:r>
      <w:r w:rsidRPr="00337F21">
        <w:rPr>
          <w:sz w:val="22"/>
          <w:szCs w:val="22"/>
        </w:rPr>
        <w:t xml:space="preserve"> ar febuksostatu, nav jāpielāgo varfarīna deva. Febuksostata (pa 80 </w:t>
      </w:r>
      <w:r w:rsidR="00EA6981" w:rsidRPr="00337F21">
        <w:rPr>
          <w:sz w:val="22"/>
          <w:szCs w:val="22"/>
        </w:rPr>
        <w:t xml:space="preserve">mg </w:t>
      </w:r>
      <w:r w:rsidRPr="00337F21">
        <w:rPr>
          <w:sz w:val="22"/>
          <w:szCs w:val="22"/>
        </w:rPr>
        <w:t xml:space="preserve">vai 120 mg vienreiz dienā) lietošana </w:t>
      </w:r>
      <w:r w:rsidR="00EA6981" w:rsidRPr="00337F21">
        <w:rPr>
          <w:sz w:val="22"/>
          <w:szCs w:val="22"/>
        </w:rPr>
        <w:t>vienlaicīgi</w:t>
      </w:r>
      <w:r w:rsidRPr="00337F21">
        <w:rPr>
          <w:sz w:val="22"/>
          <w:szCs w:val="22"/>
        </w:rPr>
        <w:t xml:space="preserve"> ar varfarīnu veselu brīvprātīgo organismā nav izraisījusi varfarīna farmakokinētikas pārmaiņas. </w:t>
      </w:r>
      <w:r w:rsidR="00EA6981" w:rsidRPr="00337F21">
        <w:rPr>
          <w:sz w:val="22"/>
          <w:szCs w:val="22"/>
        </w:rPr>
        <w:t>Vienlaicīgi</w:t>
      </w:r>
      <w:r w:rsidRPr="00337F21">
        <w:rPr>
          <w:sz w:val="22"/>
          <w:szCs w:val="22"/>
        </w:rPr>
        <w:t xml:space="preserve"> lietots febuksostats nav izraisījis arī </w:t>
      </w:r>
      <w:r w:rsidR="00EA6981" w:rsidRPr="00337F21">
        <w:rPr>
          <w:sz w:val="22"/>
          <w:szCs w:val="22"/>
        </w:rPr>
        <w:t>INR</w:t>
      </w:r>
      <w:r w:rsidRPr="00337F21">
        <w:rPr>
          <w:sz w:val="22"/>
          <w:szCs w:val="22"/>
        </w:rPr>
        <w:t> vai VII faktora aktivitātes pārmaiņas.</w:t>
      </w:r>
    </w:p>
    <w:p w14:paraId="0D6BDFD5" w14:textId="77777777" w:rsidR="007B351A" w:rsidRPr="00337F21" w:rsidRDefault="007B351A" w:rsidP="004938F2">
      <w:pPr>
        <w:ind w:left="720"/>
        <w:jc w:val="both"/>
        <w:rPr>
          <w:sz w:val="22"/>
          <w:szCs w:val="22"/>
        </w:rPr>
      </w:pPr>
    </w:p>
    <w:p w14:paraId="7E76A4EC" w14:textId="77777777" w:rsidR="007B351A" w:rsidRPr="00337F21" w:rsidRDefault="007B351A" w:rsidP="00446618">
      <w:pPr>
        <w:jc w:val="both"/>
        <w:rPr>
          <w:i/>
          <w:sz w:val="22"/>
          <w:szCs w:val="22"/>
        </w:rPr>
      </w:pPr>
      <w:r w:rsidRPr="00337F21">
        <w:rPr>
          <w:i/>
          <w:sz w:val="22"/>
          <w:szCs w:val="22"/>
        </w:rPr>
        <w:t>De</w:t>
      </w:r>
      <w:r w:rsidR="00EA6981" w:rsidRPr="00337F21">
        <w:rPr>
          <w:i/>
          <w:sz w:val="22"/>
          <w:szCs w:val="22"/>
        </w:rPr>
        <w:t>zipramīns/</w:t>
      </w:r>
      <w:r w:rsidRPr="00337F21">
        <w:rPr>
          <w:i/>
          <w:sz w:val="22"/>
          <w:szCs w:val="22"/>
        </w:rPr>
        <w:t>CYP2D6 substrāti</w:t>
      </w:r>
    </w:p>
    <w:p w14:paraId="28A1FAEE" w14:textId="77777777" w:rsidR="007B351A" w:rsidRPr="00337F21" w:rsidRDefault="00EA6981" w:rsidP="00446618">
      <w:pPr>
        <w:jc w:val="both"/>
        <w:rPr>
          <w:sz w:val="22"/>
          <w:szCs w:val="22"/>
        </w:rPr>
      </w:pPr>
      <w:r w:rsidRPr="00337F21">
        <w:rPr>
          <w:sz w:val="22"/>
          <w:szCs w:val="22"/>
        </w:rPr>
        <w:t>Pierādīts</w:t>
      </w:r>
      <w:r w:rsidR="007B351A" w:rsidRPr="00337F21">
        <w:rPr>
          <w:sz w:val="22"/>
          <w:szCs w:val="22"/>
        </w:rPr>
        <w:t xml:space="preserve">, ka </w:t>
      </w:r>
      <w:r w:rsidR="007B351A" w:rsidRPr="00337F21">
        <w:rPr>
          <w:i/>
          <w:sz w:val="22"/>
          <w:szCs w:val="22"/>
        </w:rPr>
        <w:t>in vitro</w:t>
      </w:r>
      <w:r w:rsidR="007B351A" w:rsidRPr="00337F21">
        <w:rPr>
          <w:sz w:val="22"/>
          <w:szCs w:val="22"/>
        </w:rPr>
        <w:t xml:space="preserve"> febuksostats vāji inhibē CYP2D6. Pētījumā ar veseliem brīvprātīgajiem vienreiz dienā lietotas febuksostata </w:t>
      </w:r>
      <w:r w:rsidR="008978E4" w:rsidRPr="00337F21">
        <w:rPr>
          <w:sz w:val="22"/>
          <w:szCs w:val="22"/>
        </w:rPr>
        <w:t xml:space="preserve">120 mg </w:t>
      </w:r>
      <w:r w:rsidR="007B351A" w:rsidRPr="00337F21">
        <w:rPr>
          <w:sz w:val="22"/>
          <w:szCs w:val="22"/>
        </w:rPr>
        <w:t>devas izraisīja CYP2D6 substrāta de</w:t>
      </w:r>
      <w:r w:rsidR="008978E4" w:rsidRPr="00337F21">
        <w:rPr>
          <w:sz w:val="22"/>
          <w:szCs w:val="22"/>
        </w:rPr>
        <w:t>z</w:t>
      </w:r>
      <w:r w:rsidR="007B351A" w:rsidRPr="00337F21">
        <w:rPr>
          <w:sz w:val="22"/>
          <w:szCs w:val="22"/>
        </w:rPr>
        <w:t xml:space="preserve">ipramīna AUC palielināšanos par vidēji 22 %, un tas </w:t>
      </w:r>
      <w:r w:rsidR="008978E4" w:rsidRPr="00337F21">
        <w:rPr>
          <w:sz w:val="22"/>
          <w:szCs w:val="22"/>
        </w:rPr>
        <w:t>liecina</w:t>
      </w:r>
      <w:r w:rsidR="007B351A" w:rsidRPr="00337F21">
        <w:rPr>
          <w:sz w:val="22"/>
          <w:szCs w:val="22"/>
        </w:rPr>
        <w:t xml:space="preserve">, ka febuksostats </w:t>
      </w:r>
      <w:r w:rsidR="007B351A" w:rsidRPr="00337F21">
        <w:rPr>
          <w:i/>
          <w:sz w:val="22"/>
          <w:szCs w:val="22"/>
        </w:rPr>
        <w:t>in vivo</w:t>
      </w:r>
      <w:r w:rsidR="007B351A" w:rsidRPr="00337F21">
        <w:rPr>
          <w:sz w:val="22"/>
          <w:szCs w:val="22"/>
        </w:rPr>
        <w:t xml:space="preserve"> var vāji inhibēt enzīmu CYP2D6, tādēļ vienlaicīgas febuksostata un citu CYP2D6 substrātu lietošanas laikā nav paredzams, ka būs jebkādā veidā jāpielāgo šo aktīvo vielu devas.</w:t>
      </w:r>
    </w:p>
    <w:p w14:paraId="6924466A" w14:textId="77777777" w:rsidR="007B351A" w:rsidRPr="00337F21" w:rsidRDefault="007B351A" w:rsidP="004938F2">
      <w:pPr>
        <w:ind w:left="720"/>
        <w:jc w:val="both"/>
        <w:rPr>
          <w:sz w:val="22"/>
          <w:szCs w:val="22"/>
        </w:rPr>
      </w:pPr>
    </w:p>
    <w:p w14:paraId="2FAE3510" w14:textId="77777777" w:rsidR="007B351A" w:rsidRPr="00337F21" w:rsidRDefault="007B351A" w:rsidP="00446618">
      <w:pPr>
        <w:jc w:val="both"/>
        <w:rPr>
          <w:i/>
          <w:sz w:val="22"/>
          <w:szCs w:val="22"/>
        </w:rPr>
      </w:pPr>
      <w:r w:rsidRPr="00337F21">
        <w:rPr>
          <w:i/>
          <w:sz w:val="22"/>
          <w:szCs w:val="22"/>
        </w:rPr>
        <w:t>Antacīdie līdzekļi</w:t>
      </w:r>
    </w:p>
    <w:p w14:paraId="49367783" w14:textId="65C20A12" w:rsidR="007B351A" w:rsidRPr="00337F21" w:rsidRDefault="008978E4" w:rsidP="00446618">
      <w:pPr>
        <w:jc w:val="both"/>
        <w:rPr>
          <w:sz w:val="22"/>
          <w:szCs w:val="22"/>
        </w:rPr>
      </w:pPr>
      <w:r w:rsidRPr="00337F21">
        <w:rPr>
          <w:sz w:val="22"/>
          <w:szCs w:val="22"/>
        </w:rPr>
        <w:t>Pierādīts</w:t>
      </w:r>
      <w:r w:rsidR="007B351A" w:rsidRPr="00337F21">
        <w:rPr>
          <w:sz w:val="22"/>
          <w:szCs w:val="22"/>
        </w:rPr>
        <w:t xml:space="preserve">, ka vienlaicīga magnija un alumīnija hidroksīdus saturoša antacīda līdzekļa perorāla lietošana par aptuveni vienu stundu aizkavē febuksostata uzsūkšanos un par 32 % </w:t>
      </w:r>
      <w:r w:rsidRPr="00337F21">
        <w:rPr>
          <w:sz w:val="22"/>
          <w:szCs w:val="22"/>
        </w:rPr>
        <w:t>pazemina</w:t>
      </w:r>
      <w:r w:rsidR="007B351A" w:rsidRPr="00337F21">
        <w:rPr>
          <w:sz w:val="22"/>
          <w:szCs w:val="22"/>
        </w:rPr>
        <w:t xml:space="preserve"> tā </w:t>
      </w:r>
      <w:r w:rsidR="005668F3">
        <w:rPr>
          <w:sz w:val="22"/>
          <w:szCs w:val="22"/>
        </w:rPr>
        <w:t>c</w:t>
      </w:r>
      <w:r w:rsidR="007B351A" w:rsidRPr="00337F21">
        <w:rPr>
          <w:sz w:val="22"/>
          <w:szCs w:val="22"/>
          <w:vertAlign w:val="subscript"/>
        </w:rPr>
        <w:t>max</w:t>
      </w:r>
      <w:r w:rsidR="007B351A" w:rsidRPr="00337F21">
        <w:rPr>
          <w:sz w:val="22"/>
          <w:szCs w:val="22"/>
        </w:rPr>
        <w:t xml:space="preserve">, tomēr būtiskas AUC pārmaiņas nav novērotas, tādēļ febuksostatu </w:t>
      </w:r>
      <w:r w:rsidRPr="00337F21">
        <w:rPr>
          <w:sz w:val="22"/>
          <w:szCs w:val="22"/>
        </w:rPr>
        <w:t>drīkst</w:t>
      </w:r>
      <w:r w:rsidR="007B351A" w:rsidRPr="00337F21">
        <w:rPr>
          <w:sz w:val="22"/>
          <w:szCs w:val="22"/>
        </w:rPr>
        <w:t xml:space="preserve"> lietot neatkarīgi no antacīdo līdzekļu lietošanas.</w:t>
      </w:r>
    </w:p>
    <w:p w14:paraId="4993A81E" w14:textId="77777777" w:rsidR="008D7D6A" w:rsidRPr="00337F21" w:rsidRDefault="008D7D6A" w:rsidP="004938F2">
      <w:pPr>
        <w:ind w:left="720"/>
        <w:jc w:val="both"/>
        <w:rPr>
          <w:sz w:val="22"/>
          <w:szCs w:val="22"/>
        </w:rPr>
      </w:pPr>
    </w:p>
    <w:p w14:paraId="40A56456" w14:textId="77777777" w:rsidR="008D7D6A" w:rsidRPr="00337F21" w:rsidRDefault="008D7D6A" w:rsidP="004938F2">
      <w:pPr>
        <w:keepNext/>
        <w:jc w:val="both"/>
        <w:outlineLvl w:val="1"/>
        <w:rPr>
          <w:b/>
          <w:sz w:val="22"/>
          <w:szCs w:val="22"/>
        </w:rPr>
      </w:pPr>
      <w:bookmarkStart w:id="7" w:name="_Toc441573740"/>
      <w:r w:rsidRPr="00337F21">
        <w:rPr>
          <w:b/>
          <w:sz w:val="22"/>
          <w:szCs w:val="22"/>
        </w:rPr>
        <w:t>4.6.</w:t>
      </w:r>
      <w:r w:rsidRPr="00337F21">
        <w:rPr>
          <w:b/>
          <w:sz w:val="22"/>
          <w:szCs w:val="22"/>
        </w:rPr>
        <w:tab/>
        <w:t xml:space="preserve">Fertilitāte, grūtniecība un </w:t>
      </w:r>
      <w:bookmarkEnd w:id="7"/>
      <w:r w:rsidR="008978E4" w:rsidRPr="00337F21">
        <w:rPr>
          <w:b/>
          <w:sz w:val="22"/>
          <w:szCs w:val="22"/>
        </w:rPr>
        <w:t>barošana ar krūti</w:t>
      </w:r>
    </w:p>
    <w:p w14:paraId="2406FE20" w14:textId="77777777" w:rsidR="008D7D6A" w:rsidRPr="00337F21" w:rsidRDefault="008D7D6A" w:rsidP="004938F2">
      <w:pPr>
        <w:ind w:left="720"/>
        <w:jc w:val="both"/>
        <w:rPr>
          <w:sz w:val="22"/>
          <w:szCs w:val="22"/>
        </w:rPr>
      </w:pPr>
    </w:p>
    <w:p w14:paraId="3B4FE505" w14:textId="77777777" w:rsidR="00D55772" w:rsidRPr="00337F21" w:rsidRDefault="00D55772" w:rsidP="00446618">
      <w:pPr>
        <w:jc w:val="both"/>
        <w:rPr>
          <w:i/>
          <w:color w:val="000000"/>
          <w:sz w:val="22"/>
          <w:szCs w:val="22"/>
        </w:rPr>
      </w:pPr>
      <w:r w:rsidRPr="00337F21">
        <w:rPr>
          <w:i/>
          <w:color w:val="000000"/>
          <w:sz w:val="22"/>
          <w:szCs w:val="22"/>
        </w:rPr>
        <w:t>Grūtniecība</w:t>
      </w:r>
    </w:p>
    <w:p w14:paraId="0311D107" w14:textId="77777777" w:rsidR="008D7D6A" w:rsidRPr="00337F21" w:rsidRDefault="00D55772" w:rsidP="00446618">
      <w:pPr>
        <w:jc w:val="both"/>
        <w:rPr>
          <w:color w:val="000000"/>
          <w:sz w:val="22"/>
          <w:szCs w:val="22"/>
        </w:rPr>
      </w:pPr>
      <w:r w:rsidRPr="00337F21">
        <w:rPr>
          <w:color w:val="000000"/>
          <w:sz w:val="22"/>
          <w:szCs w:val="22"/>
        </w:rPr>
        <w:t xml:space="preserve">Dati par ļoti ierobežotu skaitu febuksostata iedarbībai pakļautu grūtniecību </w:t>
      </w:r>
      <w:r w:rsidR="008978E4" w:rsidRPr="00337F21">
        <w:rPr>
          <w:color w:val="000000"/>
          <w:sz w:val="22"/>
          <w:szCs w:val="22"/>
        </w:rPr>
        <w:t>neliecina par</w:t>
      </w:r>
      <w:r w:rsidRPr="00337F21">
        <w:rPr>
          <w:color w:val="000000"/>
          <w:sz w:val="22"/>
          <w:szCs w:val="22"/>
        </w:rPr>
        <w:t xml:space="preserve"> nevēlamu ietekmi uz grūtniecību un augļa vai jaundzimušā veselību. Ar dzīvniekiem notikušo pētījumu rezultāti </w:t>
      </w:r>
      <w:r w:rsidR="008978E4" w:rsidRPr="00337F21">
        <w:rPr>
          <w:color w:val="000000"/>
          <w:sz w:val="22"/>
          <w:szCs w:val="22"/>
        </w:rPr>
        <w:t>neliecina par</w:t>
      </w:r>
      <w:r w:rsidRPr="00337F21">
        <w:rPr>
          <w:color w:val="000000"/>
          <w:sz w:val="22"/>
          <w:szCs w:val="22"/>
        </w:rPr>
        <w:t xml:space="preserve"> tiešu vai netiešu kaitī</w:t>
      </w:r>
      <w:r w:rsidR="008978E4" w:rsidRPr="00337F21">
        <w:rPr>
          <w:color w:val="000000"/>
          <w:sz w:val="22"/>
          <w:szCs w:val="22"/>
        </w:rPr>
        <w:t>gu ietekmi uz grūsnību, embrija/</w:t>
      </w:r>
      <w:r w:rsidRPr="00337F21">
        <w:rPr>
          <w:color w:val="000000"/>
          <w:sz w:val="22"/>
          <w:szCs w:val="22"/>
        </w:rPr>
        <w:t>augļa attīstību vai atnešanos (skatīt 5.3. apakšpunktu). Cilvēkam iespējamais risks nav zināms. Grūtniecības laikā lietot febuksostatu nav atļauts.</w:t>
      </w:r>
    </w:p>
    <w:p w14:paraId="5D8CB5B5" w14:textId="77777777" w:rsidR="00D55772" w:rsidRPr="00337F21" w:rsidRDefault="00D55772" w:rsidP="004938F2">
      <w:pPr>
        <w:ind w:left="720"/>
        <w:jc w:val="both"/>
        <w:rPr>
          <w:color w:val="000000"/>
          <w:sz w:val="22"/>
          <w:szCs w:val="22"/>
          <w:lang w:eastAsia="el-GR"/>
        </w:rPr>
      </w:pPr>
    </w:p>
    <w:p w14:paraId="7A23DB7C" w14:textId="77777777" w:rsidR="00D55772" w:rsidRPr="00337F21" w:rsidRDefault="00D55772" w:rsidP="00446618">
      <w:pPr>
        <w:jc w:val="both"/>
        <w:rPr>
          <w:i/>
          <w:color w:val="000000"/>
          <w:sz w:val="22"/>
          <w:szCs w:val="22"/>
        </w:rPr>
      </w:pPr>
      <w:r w:rsidRPr="00337F21">
        <w:rPr>
          <w:i/>
          <w:color w:val="000000"/>
          <w:sz w:val="22"/>
          <w:szCs w:val="22"/>
        </w:rPr>
        <w:t>Barošana ar krūti</w:t>
      </w:r>
    </w:p>
    <w:p w14:paraId="4CA8291E" w14:textId="464BF83A" w:rsidR="00D55772" w:rsidRPr="00337F21" w:rsidRDefault="00D55772" w:rsidP="00446618">
      <w:pPr>
        <w:jc w:val="both"/>
        <w:rPr>
          <w:color w:val="000000"/>
          <w:sz w:val="22"/>
          <w:szCs w:val="22"/>
        </w:rPr>
      </w:pPr>
      <w:r w:rsidRPr="00337F21">
        <w:rPr>
          <w:color w:val="000000"/>
          <w:sz w:val="22"/>
          <w:szCs w:val="22"/>
        </w:rPr>
        <w:t xml:space="preserve">Nav zināms, vai febuksostats </w:t>
      </w:r>
      <w:r w:rsidR="008978E4" w:rsidRPr="00337F21">
        <w:rPr>
          <w:color w:val="000000"/>
          <w:sz w:val="22"/>
          <w:szCs w:val="22"/>
        </w:rPr>
        <w:t xml:space="preserve">cilvēkam </w:t>
      </w:r>
      <w:r w:rsidRPr="00337F21">
        <w:rPr>
          <w:color w:val="000000"/>
          <w:sz w:val="22"/>
          <w:szCs w:val="22"/>
        </w:rPr>
        <w:t xml:space="preserve">izdalās </w:t>
      </w:r>
      <w:r w:rsidR="008978E4" w:rsidRPr="00337F21">
        <w:rPr>
          <w:color w:val="000000"/>
          <w:sz w:val="22"/>
          <w:szCs w:val="22"/>
        </w:rPr>
        <w:t xml:space="preserve">mātes </w:t>
      </w:r>
      <w:r w:rsidRPr="00337F21">
        <w:rPr>
          <w:color w:val="000000"/>
          <w:sz w:val="22"/>
          <w:szCs w:val="22"/>
        </w:rPr>
        <w:t>pienā. Ar dzīvniekiem notikušajos pētījumos ir novērota šīs aktīvās vielas izdalīšanās māt</w:t>
      </w:r>
      <w:r w:rsidR="008978E4" w:rsidRPr="00337F21">
        <w:rPr>
          <w:color w:val="000000"/>
          <w:sz w:val="22"/>
          <w:szCs w:val="22"/>
        </w:rPr>
        <w:t>īt</w:t>
      </w:r>
      <w:r w:rsidRPr="00337F21">
        <w:rPr>
          <w:color w:val="000000"/>
          <w:sz w:val="22"/>
          <w:szCs w:val="22"/>
        </w:rPr>
        <w:t xml:space="preserve">es pienā un zīdīto mazuļu attīstības traucējumi. Nav iespējams izslēgt risku zīdainim. </w:t>
      </w:r>
      <w:r w:rsidR="00085241">
        <w:rPr>
          <w:color w:val="000000"/>
          <w:sz w:val="22"/>
          <w:szCs w:val="22"/>
        </w:rPr>
        <w:t>B</w:t>
      </w:r>
      <w:r w:rsidR="0020558F">
        <w:rPr>
          <w:color w:val="000000"/>
          <w:sz w:val="22"/>
          <w:szCs w:val="22"/>
        </w:rPr>
        <w:t>arošanas ar krūti</w:t>
      </w:r>
      <w:r w:rsidRPr="00337F21">
        <w:rPr>
          <w:color w:val="000000"/>
          <w:sz w:val="22"/>
          <w:szCs w:val="22"/>
        </w:rPr>
        <w:t xml:space="preserve"> periodā lietot febuksostatu nav atļauts.</w:t>
      </w:r>
    </w:p>
    <w:p w14:paraId="6A3E5483" w14:textId="77777777" w:rsidR="00D55772" w:rsidRPr="00337F21" w:rsidRDefault="00D55772" w:rsidP="004938F2">
      <w:pPr>
        <w:ind w:left="720"/>
        <w:jc w:val="both"/>
        <w:rPr>
          <w:color w:val="000000"/>
          <w:sz w:val="22"/>
          <w:szCs w:val="22"/>
          <w:lang w:eastAsia="el-GR"/>
        </w:rPr>
      </w:pPr>
    </w:p>
    <w:p w14:paraId="743D2604" w14:textId="77777777" w:rsidR="00D55772" w:rsidRPr="00337F21" w:rsidRDefault="00D55772" w:rsidP="00446618">
      <w:pPr>
        <w:jc w:val="both"/>
        <w:rPr>
          <w:i/>
          <w:color w:val="000000"/>
          <w:sz w:val="22"/>
          <w:szCs w:val="22"/>
        </w:rPr>
      </w:pPr>
      <w:r w:rsidRPr="00337F21">
        <w:rPr>
          <w:i/>
          <w:color w:val="000000"/>
          <w:sz w:val="22"/>
          <w:szCs w:val="22"/>
        </w:rPr>
        <w:t>Fertilitāte</w:t>
      </w:r>
    </w:p>
    <w:p w14:paraId="68E84E07" w14:textId="77777777" w:rsidR="00D55772" w:rsidRPr="00337F21" w:rsidRDefault="00D55772" w:rsidP="00446618">
      <w:pPr>
        <w:jc w:val="both"/>
        <w:rPr>
          <w:color w:val="000000"/>
          <w:sz w:val="22"/>
          <w:szCs w:val="22"/>
        </w:rPr>
      </w:pPr>
      <w:r w:rsidRPr="00337F21">
        <w:rPr>
          <w:color w:val="000000"/>
          <w:sz w:val="22"/>
          <w:szCs w:val="22"/>
        </w:rPr>
        <w:t>Ar dzīvniekiem notikušajos reprodukcijas pētījumos nav novērots, ka līdz 48 mg/kg dienas devas būtu izraisījušas no saņemtās devas lieluma atkarīgu nevēlamu ietekmi uz fertilitāti (skatīt 5.3. apakšpunktu). Febuksostata ietekme uz cilvēka fertilitāti nav zināma.</w:t>
      </w:r>
    </w:p>
    <w:p w14:paraId="33065602" w14:textId="77777777" w:rsidR="008D7D6A" w:rsidRPr="00337F21" w:rsidRDefault="008D7D6A" w:rsidP="004938F2">
      <w:pPr>
        <w:jc w:val="both"/>
        <w:rPr>
          <w:sz w:val="22"/>
          <w:szCs w:val="22"/>
        </w:rPr>
      </w:pPr>
    </w:p>
    <w:p w14:paraId="151E610C" w14:textId="77777777" w:rsidR="008D7D6A" w:rsidRPr="00337F21" w:rsidRDefault="008D7D6A" w:rsidP="004938F2">
      <w:pPr>
        <w:keepNext/>
        <w:jc w:val="both"/>
        <w:outlineLvl w:val="1"/>
        <w:rPr>
          <w:b/>
          <w:sz w:val="22"/>
          <w:szCs w:val="22"/>
        </w:rPr>
      </w:pPr>
      <w:bookmarkStart w:id="8" w:name="_Toc441573741"/>
      <w:r w:rsidRPr="00337F21">
        <w:rPr>
          <w:b/>
          <w:sz w:val="22"/>
          <w:szCs w:val="22"/>
        </w:rPr>
        <w:t>4.7.</w:t>
      </w:r>
      <w:r w:rsidRPr="00337F21">
        <w:rPr>
          <w:b/>
          <w:sz w:val="22"/>
          <w:szCs w:val="22"/>
        </w:rPr>
        <w:tab/>
        <w:t>Ietekme uz spēju vadīt transportlīdzekļus un apkalpot mehānismus</w:t>
      </w:r>
      <w:bookmarkEnd w:id="8"/>
    </w:p>
    <w:p w14:paraId="497DC66D" w14:textId="77777777" w:rsidR="008D7D6A" w:rsidRPr="00337F21" w:rsidRDefault="008D7D6A" w:rsidP="004938F2">
      <w:pPr>
        <w:ind w:left="720"/>
        <w:jc w:val="both"/>
        <w:rPr>
          <w:sz w:val="22"/>
          <w:szCs w:val="22"/>
        </w:rPr>
      </w:pPr>
    </w:p>
    <w:p w14:paraId="79321EDB" w14:textId="77777777" w:rsidR="008D7D6A" w:rsidRPr="00337F21" w:rsidRDefault="005F3175" w:rsidP="00446618">
      <w:pPr>
        <w:jc w:val="both"/>
        <w:rPr>
          <w:sz w:val="22"/>
          <w:szCs w:val="22"/>
        </w:rPr>
      </w:pPr>
      <w:r w:rsidRPr="00337F21">
        <w:rPr>
          <w:sz w:val="22"/>
          <w:szCs w:val="22"/>
        </w:rPr>
        <w:t xml:space="preserve">Febuksostata lietošanas laikā ir ziņots par miegainību, </w:t>
      </w:r>
      <w:r w:rsidR="008978E4" w:rsidRPr="00337F21">
        <w:rPr>
          <w:sz w:val="22"/>
          <w:szCs w:val="22"/>
        </w:rPr>
        <w:t>reiboni</w:t>
      </w:r>
      <w:r w:rsidRPr="00337F21">
        <w:rPr>
          <w:sz w:val="22"/>
          <w:szCs w:val="22"/>
        </w:rPr>
        <w:t xml:space="preserve">, parestēzijām un redzes miglošanos. Kamēr pacienti nav pamatoti pārliecināti par to, ka </w:t>
      </w:r>
      <w:r w:rsidR="006839E4">
        <w:rPr>
          <w:sz w:val="22"/>
          <w:szCs w:val="22"/>
        </w:rPr>
        <w:t>Druniler</w:t>
      </w:r>
      <w:r w:rsidRPr="00337F21">
        <w:rPr>
          <w:sz w:val="22"/>
          <w:szCs w:val="22"/>
        </w:rPr>
        <w:t xml:space="preserve"> lietošana neizraisa </w:t>
      </w:r>
      <w:r w:rsidRPr="00337F21">
        <w:rPr>
          <w:sz w:val="22"/>
          <w:szCs w:val="22"/>
        </w:rPr>
        <w:lastRenderedPageBreak/>
        <w:t xml:space="preserve">nevēlamu ietekmi uz viņu </w:t>
      </w:r>
      <w:r w:rsidR="008978E4" w:rsidRPr="00337F21">
        <w:rPr>
          <w:sz w:val="22"/>
          <w:szCs w:val="22"/>
        </w:rPr>
        <w:t>funkcionālajām spējām</w:t>
      </w:r>
      <w:r w:rsidRPr="00337F21">
        <w:rPr>
          <w:sz w:val="22"/>
          <w:szCs w:val="22"/>
        </w:rPr>
        <w:t xml:space="preserve">, pirms transportlīdzekļa vadīšanas, </w:t>
      </w:r>
      <w:r w:rsidR="008978E4" w:rsidRPr="00337F21">
        <w:rPr>
          <w:sz w:val="22"/>
          <w:szCs w:val="22"/>
        </w:rPr>
        <w:t>mehānismu</w:t>
      </w:r>
      <w:r w:rsidRPr="00337F21">
        <w:rPr>
          <w:sz w:val="22"/>
          <w:szCs w:val="22"/>
        </w:rPr>
        <w:t xml:space="preserve"> apkalpošanas vai potenciāli bīstamām darbībām viņiem jāievēro piesardzība.</w:t>
      </w:r>
    </w:p>
    <w:p w14:paraId="12D6C0E8" w14:textId="77777777" w:rsidR="008D7D6A" w:rsidRPr="00337F21" w:rsidRDefault="008D7D6A" w:rsidP="004938F2">
      <w:pPr>
        <w:ind w:left="720"/>
        <w:jc w:val="both"/>
        <w:rPr>
          <w:sz w:val="22"/>
          <w:szCs w:val="22"/>
        </w:rPr>
      </w:pPr>
    </w:p>
    <w:p w14:paraId="53B335CF" w14:textId="77777777" w:rsidR="008D7D6A" w:rsidRPr="00337F21" w:rsidRDefault="008D7D6A" w:rsidP="008978E4">
      <w:pPr>
        <w:keepNext/>
        <w:jc w:val="both"/>
        <w:outlineLvl w:val="1"/>
        <w:rPr>
          <w:b/>
          <w:sz w:val="22"/>
          <w:szCs w:val="22"/>
        </w:rPr>
      </w:pPr>
      <w:bookmarkStart w:id="9" w:name="_Toc441573742"/>
      <w:r w:rsidRPr="00337F21">
        <w:rPr>
          <w:b/>
          <w:sz w:val="22"/>
          <w:szCs w:val="22"/>
        </w:rPr>
        <w:t>4.8.</w:t>
      </w:r>
      <w:r w:rsidRPr="00337F21">
        <w:rPr>
          <w:b/>
          <w:sz w:val="22"/>
          <w:szCs w:val="22"/>
        </w:rPr>
        <w:tab/>
        <w:t>Nevēlamās blakusparādības</w:t>
      </w:r>
      <w:bookmarkEnd w:id="9"/>
    </w:p>
    <w:p w14:paraId="1D242283" w14:textId="77777777" w:rsidR="008D7D6A" w:rsidRPr="00337F21" w:rsidRDefault="008D7D6A" w:rsidP="008978E4">
      <w:pPr>
        <w:keepNext/>
        <w:ind w:left="720"/>
        <w:jc w:val="both"/>
        <w:rPr>
          <w:i/>
          <w:sz w:val="22"/>
          <w:szCs w:val="22"/>
        </w:rPr>
      </w:pPr>
    </w:p>
    <w:p w14:paraId="0E4CCD0A" w14:textId="77777777" w:rsidR="006B78C1" w:rsidRPr="001A37E7" w:rsidRDefault="006B78C1" w:rsidP="008978E4">
      <w:pPr>
        <w:keepNext/>
        <w:jc w:val="both"/>
        <w:rPr>
          <w:i/>
          <w:sz w:val="22"/>
          <w:szCs w:val="22"/>
        </w:rPr>
      </w:pPr>
      <w:r w:rsidRPr="001A37E7">
        <w:rPr>
          <w:i/>
          <w:sz w:val="22"/>
          <w:szCs w:val="22"/>
        </w:rPr>
        <w:t>Drošuma īpašību apkopojums</w:t>
      </w:r>
    </w:p>
    <w:p w14:paraId="6EAF6EE9" w14:textId="7E455E43" w:rsidR="001A37E3" w:rsidRPr="001A37E7" w:rsidRDefault="001A37E7" w:rsidP="00E252FD">
      <w:pPr>
        <w:keepNext/>
        <w:rPr>
          <w:sz w:val="22"/>
          <w:szCs w:val="22"/>
        </w:rPr>
      </w:pPr>
      <w:r w:rsidRPr="001A37E7">
        <w:rPr>
          <w:sz w:val="22"/>
          <w:szCs w:val="22"/>
        </w:rPr>
        <w:t xml:space="preserve">Visbiežāk sastopamās nevēlamās blakusparādības klīniskajos pētījumos (4072 </w:t>
      </w:r>
      <w:r w:rsidR="001D4502">
        <w:rPr>
          <w:sz w:val="22"/>
          <w:szCs w:val="22"/>
        </w:rPr>
        <w:t>pētāmās personas</w:t>
      </w:r>
      <w:r w:rsidRPr="001A37E7">
        <w:rPr>
          <w:sz w:val="22"/>
          <w:szCs w:val="22"/>
        </w:rPr>
        <w:t>, kur</w:t>
      </w:r>
      <w:r w:rsidR="001D4502">
        <w:rPr>
          <w:sz w:val="22"/>
          <w:szCs w:val="22"/>
        </w:rPr>
        <w:t>as</w:t>
      </w:r>
      <w:r w:rsidRPr="001A37E7">
        <w:rPr>
          <w:sz w:val="22"/>
          <w:szCs w:val="22"/>
        </w:rPr>
        <w:t xml:space="preserve"> ārstēt</w:t>
      </w:r>
      <w:r w:rsidR="001D4502">
        <w:rPr>
          <w:sz w:val="22"/>
          <w:szCs w:val="22"/>
        </w:rPr>
        <w:t>as</w:t>
      </w:r>
      <w:r w:rsidRPr="001A37E7">
        <w:rPr>
          <w:sz w:val="22"/>
          <w:szCs w:val="22"/>
        </w:rPr>
        <w:t xml:space="preserve"> ar</w:t>
      </w:r>
      <w:r>
        <w:rPr>
          <w:sz w:val="22"/>
          <w:szCs w:val="22"/>
        </w:rPr>
        <w:t xml:space="preserve"> </w:t>
      </w:r>
      <w:r w:rsidRPr="001A37E7">
        <w:rPr>
          <w:sz w:val="22"/>
          <w:szCs w:val="22"/>
        </w:rPr>
        <w:t>vismaz vienu devu (no 10 mg līdz 300 mg)), pēcreģistrācijas drošuma pētījumos (FAST pētījumā:</w:t>
      </w:r>
      <w:r>
        <w:rPr>
          <w:sz w:val="22"/>
          <w:szCs w:val="22"/>
        </w:rPr>
        <w:t xml:space="preserve"> </w:t>
      </w:r>
      <w:r w:rsidRPr="001A37E7">
        <w:rPr>
          <w:sz w:val="22"/>
          <w:szCs w:val="22"/>
        </w:rPr>
        <w:t>3001 pētāmā persona, kura ārstēta ar vismaz vienu devu (no 80 mg līdz 120 mg) un pēcreģistrācijas</w:t>
      </w:r>
      <w:r>
        <w:rPr>
          <w:sz w:val="22"/>
          <w:szCs w:val="22"/>
        </w:rPr>
        <w:t xml:space="preserve"> </w:t>
      </w:r>
      <w:r w:rsidRPr="001A37E7">
        <w:rPr>
          <w:sz w:val="22"/>
          <w:szCs w:val="22"/>
        </w:rPr>
        <w:t>pieredzē ir podagras uzliesmojumi, aknu darbības traucējumi, caureja, slikta dūša, galvassāpes,</w:t>
      </w:r>
      <w:r>
        <w:rPr>
          <w:sz w:val="22"/>
          <w:szCs w:val="22"/>
        </w:rPr>
        <w:t xml:space="preserve"> </w:t>
      </w:r>
      <w:r w:rsidRPr="001A37E7">
        <w:rPr>
          <w:sz w:val="22"/>
          <w:szCs w:val="22"/>
        </w:rPr>
        <w:t>reibonis, elpas trūkums, izsitumi, nieze, locītavu sāpes, mialģija, sāpes ekstremitātē, tūska un</w:t>
      </w:r>
      <w:r>
        <w:rPr>
          <w:sz w:val="22"/>
          <w:szCs w:val="22"/>
        </w:rPr>
        <w:t xml:space="preserve"> </w:t>
      </w:r>
      <w:r w:rsidRPr="001A37E7">
        <w:rPr>
          <w:sz w:val="22"/>
          <w:szCs w:val="22"/>
        </w:rPr>
        <w:t>nogurums.</w:t>
      </w:r>
      <w:r>
        <w:rPr>
          <w:sz w:val="22"/>
          <w:szCs w:val="22"/>
        </w:rPr>
        <w:t xml:space="preserve"> </w:t>
      </w:r>
      <w:r w:rsidR="006B78C1" w:rsidRPr="00E252FD">
        <w:rPr>
          <w:sz w:val="22"/>
          <w:szCs w:val="22"/>
        </w:rPr>
        <w:t xml:space="preserve">Lielākoties šīs nevēlamās blakusparādības bija vieglas vai vidēji smagas. Pēcreģistrācijas periodā retos gadījumos ir novērotas febuksostata izraisītas </w:t>
      </w:r>
      <w:r w:rsidR="008978E4" w:rsidRPr="00E252FD">
        <w:rPr>
          <w:sz w:val="22"/>
          <w:szCs w:val="22"/>
        </w:rPr>
        <w:t xml:space="preserve">nopietnas </w:t>
      </w:r>
      <w:r w:rsidR="006B78C1" w:rsidRPr="00E252FD">
        <w:rPr>
          <w:sz w:val="22"/>
          <w:szCs w:val="22"/>
        </w:rPr>
        <w:t>paaugstinātas jutības reakcijas, turklāt dažas no tām ir bijušas saistītas ar sistēmiskiem simptomiem</w:t>
      </w:r>
      <w:r w:rsidR="001A37E3" w:rsidRPr="001A37E7">
        <w:rPr>
          <w:sz w:val="22"/>
          <w:szCs w:val="22"/>
        </w:rPr>
        <w:t>, un reti</w:t>
      </w:r>
    </w:p>
    <w:p w14:paraId="3362BD1E" w14:textId="7F6101DE" w:rsidR="006B78C1" w:rsidRPr="00767544" w:rsidRDefault="001A37E3" w:rsidP="001A37E3">
      <w:pPr>
        <w:rPr>
          <w:sz w:val="22"/>
          <w:szCs w:val="22"/>
        </w:rPr>
      </w:pPr>
      <w:r w:rsidRPr="001A37E7">
        <w:rPr>
          <w:sz w:val="22"/>
          <w:szCs w:val="22"/>
        </w:rPr>
        <w:t>novēroti pēkšņas kardiālas nāves gadījumi</w:t>
      </w:r>
      <w:r w:rsidR="006B78C1" w:rsidRPr="00767544">
        <w:rPr>
          <w:sz w:val="22"/>
          <w:szCs w:val="22"/>
        </w:rPr>
        <w:t>.</w:t>
      </w:r>
    </w:p>
    <w:p w14:paraId="6DFE027C" w14:textId="77777777" w:rsidR="006B78C1" w:rsidRPr="00E252FD" w:rsidRDefault="006B78C1" w:rsidP="007E6D6B">
      <w:pPr>
        <w:rPr>
          <w:sz w:val="22"/>
          <w:szCs w:val="22"/>
        </w:rPr>
      </w:pPr>
    </w:p>
    <w:p w14:paraId="44B2400A" w14:textId="77777777" w:rsidR="006B78C1" w:rsidRPr="00E252FD" w:rsidRDefault="006B78C1" w:rsidP="007E6D6B">
      <w:pPr>
        <w:rPr>
          <w:sz w:val="22"/>
          <w:szCs w:val="22"/>
        </w:rPr>
      </w:pPr>
      <w:r w:rsidRPr="00E252FD">
        <w:rPr>
          <w:sz w:val="22"/>
          <w:szCs w:val="22"/>
        </w:rPr>
        <w:t>Nevēlamo blakusparādību saraksts tabulas veidā</w:t>
      </w:r>
    </w:p>
    <w:p w14:paraId="054F962E" w14:textId="77777777" w:rsidR="006B78C1" w:rsidRPr="00E252FD" w:rsidRDefault="008978E4" w:rsidP="007E6D6B">
      <w:pPr>
        <w:rPr>
          <w:sz w:val="22"/>
          <w:szCs w:val="22"/>
        </w:rPr>
      </w:pPr>
      <w:r w:rsidRPr="00E252FD">
        <w:rPr>
          <w:sz w:val="22"/>
          <w:szCs w:val="22"/>
        </w:rPr>
        <w:t xml:space="preserve">Turpmāk </w:t>
      </w:r>
      <w:r w:rsidR="006B78C1" w:rsidRPr="00E252FD">
        <w:rPr>
          <w:sz w:val="22"/>
          <w:szCs w:val="22"/>
        </w:rPr>
        <w:t>ir uzskaitītas ar febuksostatu ārstētajiem pacientiem bieži (≥ 100 līdz &lt; 1/10), retāk (≥ 1/1000 līdz &lt; 1/100) un reti (≥ 1/10 000 līdz &lt; 1000) novērotās nevēlamās blakusparādības.</w:t>
      </w:r>
    </w:p>
    <w:p w14:paraId="2FCF2EB1" w14:textId="77777777" w:rsidR="00C32D7C" w:rsidRPr="00E252FD" w:rsidRDefault="006839E4" w:rsidP="007E6D6B">
      <w:pPr>
        <w:rPr>
          <w:i/>
          <w:sz w:val="22"/>
          <w:szCs w:val="22"/>
          <w:u w:val="single"/>
        </w:rPr>
      </w:pPr>
      <w:r w:rsidRPr="00E252FD">
        <w:rPr>
          <w:i/>
          <w:sz w:val="22"/>
          <w:szCs w:val="22"/>
          <w:u w:val="single"/>
        </w:rPr>
        <w:t>Druniler</w:t>
      </w:r>
      <w:r w:rsidR="00337F21" w:rsidRPr="00E252FD">
        <w:rPr>
          <w:i/>
          <w:sz w:val="22"/>
          <w:szCs w:val="22"/>
          <w:u w:val="single"/>
        </w:rPr>
        <w:t xml:space="preserve"> 120 </w:t>
      </w:r>
      <w:r w:rsidR="00C32D7C" w:rsidRPr="00E252FD">
        <w:rPr>
          <w:i/>
          <w:sz w:val="22"/>
          <w:szCs w:val="22"/>
          <w:u w:val="single"/>
        </w:rPr>
        <w:t>mg</w:t>
      </w:r>
    </w:p>
    <w:p w14:paraId="3A3EFA0B" w14:textId="77777777" w:rsidR="006B78C1" w:rsidRPr="00E252FD" w:rsidRDefault="00337F21" w:rsidP="007E6D6B">
      <w:pPr>
        <w:rPr>
          <w:sz w:val="22"/>
          <w:szCs w:val="22"/>
        </w:rPr>
      </w:pPr>
      <w:r w:rsidRPr="00E252FD">
        <w:rPr>
          <w:sz w:val="22"/>
          <w:szCs w:val="22"/>
        </w:rPr>
        <w:t>Biežuma</w:t>
      </w:r>
      <w:r w:rsidR="00C32D7C" w:rsidRPr="00E252FD">
        <w:rPr>
          <w:sz w:val="22"/>
          <w:szCs w:val="22"/>
        </w:rPr>
        <w:t xml:space="preserve"> novērtējuma pamatā ir pētījumu un pēcreģistrācijas novērojumu rezultāti par podagras slimniekiem.</w:t>
      </w:r>
    </w:p>
    <w:p w14:paraId="1D0B4540" w14:textId="77777777" w:rsidR="002A01C4" w:rsidRPr="00E252FD" w:rsidRDefault="002A01C4" w:rsidP="007E6D6B">
      <w:pPr>
        <w:rPr>
          <w:sz w:val="22"/>
          <w:szCs w:val="22"/>
        </w:rPr>
      </w:pPr>
    </w:p>
    <w:p w14:paraId="546C6624" w14:textId="77777777" w:rsidR="006B78C1" w:rsidRPr="00E252FD" w:rsidRDefault="006B78C1" w:rsidP="007E6D6B">
      <w:pPr>
        <w:rPr>
          <w:sz w:val="22"/>
          <w:szCs w:val="22"/>
        </w:rPr>
      </w:pPr>
      <w:r w:rsidRPr="00E252FD">
        <w:rPr>
          <w:sz w:val="22"/>
          <w:szCs w:val="22"/>
        </w:rPr>
        <w:t>Katrā biežuma grupā nevēlamās blakusparādības norādītas to nopietnības samazināšanās secībā.</w:t>
      </w:r>
    </w:p>
    <w:p w14:paraId="5D974E44" w14:textId="77777777" w:rsidR="00685DCD" w:rsidRPr="001A37E7" w:rsidRDefault="00685DCD" w:rsidP="00446618">
      <w:pPr>
        <w:jc w:val="both"/>
        <w:rPr>
          <w:i/>
          <w:sz w:val="22"/>
          <w:szCs w:val="22"/>
        </w:rPr>
      </w:pPr>
    </w:p>
    <w:p w14:paraId="10A262B8" w14:textId="463E1A10" w:rsidR="008D7D6A" w:rsidRPr="00767544" w:rsidRDefault="006B78C1" w:rsidP="00E252FD">
      <w:pPr>
        <w:rPr>
          <w:i/>
          <w:sz w:val="22"/>
          <w:szCs w:val="22"/>
        </w:rPr>
      </w:pPr>
      <w:r w:rsidRPr="001A37E7">
        <w:rPr>
          <w:i/>
          <w:sz w:val="22"/>
          <w:szCs w:val="22"/>
        </w:rPr>
        <w:t xml:space="preserve">1. tabula. </w:t>
      </w:r>
      <w:r w:rsidRPr="00E252FD">
        <w:rPr>
          <w:sz w:val="22"/>
          <w:szCs w:val="22"/>
        </w:rPr>
        <w:t>Podagras slimniekiem</w:t>
      </w:r>
      <w:r w:rsidRPr="001A37E7">
        <w:rPr>
          <w:i/>
          <w:sz w:val="22"/>
          <w:szCs w:val="22"/>
        </w:rPr>
        <w:t xml:space="preserve"> novērotās nevēlamās blakusparādības saskaņā ar apvienotajiem ilgstošu 3. fāzes pē</w:t>
      </w:r>
      <w:r w:rsidRPr="00767544">
        <w:rPr>
          <w:i/>
          <w:sz w:val="22"/>
          <w:szCs w:val="22"/>
        </w:rPr>
        <w:t>tījumu pagarinājumu</w:t>
      </w:r>
      <w:r w:rsidR="00767544">
        <w:rPr>
          <w:i/>
          <w:sz w:val="22"/>
          <w:szCs w:val="22"/>
        </w:rPr>
        <w:t>,</w:t>
      </w:r>
      <w:r w:rsidR="00767544" w:rsidRPr="00767544">
        <w:t xml:space="preserve"> </w:t>
      </w:r>
      <w:r w:rsidR="00767544" w:rsidRPr="00767544">
        <w:rPr>
          <w:i/>
          <w:sz w:val="22"/>
          <w:szCs w:val="22"/>
        </w:rPr>
        <w:t>pēcreģistrācijas drošuma pētījumos</w:t>
      </w:r>
      <w:r w:rsidR="00767544">
        <w:rPr>
          <w:i/>
          <w:sz w:val="22"/>
          <w:szCs w:val="22"/>
        </w:rPr>
        <w:t xml:space="preserve"> </w:t>
      </w:r>
      <w:r w:rsidRPr="00767544">
        <w:rPr>
          <w:i/>
          <w:sz w:val="22"/>
          <w:szCs w:val="22"/>
        </w:rPr>
        <w:t>un pēcreģistrācijas novērojumu datiem</w:t>
      </w:r>
    </w:p>
    <w:tbl>
      <w:tblPr>
        <w:tblW w:w="9046" w:type="dxa"/>
        <w:tblInd w:w="6" w:type="dxa"/>
        <w:tblLayout w:type="fixed"/>
        <w:tblCellMar>
          <w:left w:w="0" w:type="dxa"/>
          <w:right w:w="0" w:type="dxa"/>
        </w:tblCellMar>
        <w:tblLook w:val="01E0" w:firstRow="1" w:lastRow="1" w:firstColumn="1" w:lastColumn="1" w:noHBand="0" w:noVBand="0"/>
      </w:tblPr>
      <w:tblGrid>
        <w:gridCol w:w="3198"/>
        <w:gridCol w:w="5848"/>
      </w:tblGrid>
      <w:tr w:rsidR="00887292" w:rsidRPr="00337F21" w14:paraId="28D572E2" w14:textId="77777777" w:rsidTr="006C1D39">
        <w:trPr>
          <w:trHeight w:hRule="exact" w:val="709"/>
        </w:trPr>
        <w:tc>
          <w:tcPr>
            <w:tcW w:w="3198" w:type="dxa"/>
            <w:tcBorders>
              <w:top w:val="single" w:sz="5" w:space="0" w:color="000000"/>
              <w:left w:val="single" w:sz="5" w:space="0" w:color="000000"/>
              <w:bottom w:val="single" w:sz="5" w:space="0" w:color="000000"/>
              <w:right w:val="single" w:sz="5" w:space="0" w:color="000000"/>
            </w:tcBorders>
          </w:tcPr>
          <w:p w14:paraId="40B1E26B" w14:textId="77777777" w:rsidR="00887292" w:rsidRPr="00337F21" w:rsidRDefault="00887292" w:rsidP="004938F2">
            <w:pPr>
              <w:pStyle w:val="TableParagraph"/>
              <w:ind w:left="102" w:right="600"/>
              <w:rPr>
                <w:rFonts w:ascii="Times New Roman" w:eastAsia="Times New Roman" w:hAnsi="Times New Roman"/>
              </w:rPr>
            </w:pPr>
            <w:r w:rsidRPr="00337F21">
              <w:rPr>
                <w:rFonts w:ascii="Times New Roman" w:hAnsi="Times New Roman"/>
              </w:rPr>
              <w:t>Asins un limfātiskās sistēmas traucējumi</w:t>
            </w:r>
          </w:p>
        </w:tc>
        <w:tc>
          <w:tcPr>
            <w:tcW w:w="5848" w:type="dxa"/>
            <w:tcBorders>
              <w:top w:val="single" w:sz="5" w:space="0" w:color="000000"/>
              <w:left w:val="single" w:sz="5" w:space="0" w:color="000000"/>
              <w:bottom w:val="single" w:sz="5" w:space="0" w:color="000000"/>
              <w:right w:val="single" w:sz="5" w:space="0" w:color="000000"/>
            </w:tcBorders>
          </w:tcPr>
          <w:p w14:paraId="0347F7D8"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Reti</w:t>
            </w:r>
          </w:p>
          <w:p w14:paraId="7AFBCC31" w14:textId="32D59815"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rPr>
              <w:t>Pancitopēnija, trombocitopēnija</w:t>
            </w:r>
            <w:r w:rsidR="005574DC">
              <w:rPr>
                <w:rFonts w:ascii="Times New Roman" w:hAnsi="Times New Roman"/>
              </w:rPr>
              <w:t xml:space="preserve">, </w:t>
            </w:r>
            <w:r w:rsidR="005574DC" w:rsidRPr="005574DC">
              <w:rPr>
                <w:rFonts w:ascii="Times New Roman" w:hAnsi="Times New Roman"/>
              </w:rPr>
              <w:t>agranulocitoze</w:t>
            </w:r>
            <w:r w:rsidR="005574DC">
              <w:rPr>
                <w:rFonts w:ascii="Times New Roman" w:hAnsi="Times New Roman"/>
              </w:rPr>
              <w:t>*</w:t>
            </w:r>
            <w:r w:rsidR="00767544">
              <w:rPr>
                <w:rFonts w:ascii="Times New Roman" w:hAnsi="Times New Roman"/>
              </w:rPr>
              <w:t xml:space="preserve">, </w:t>
            </w:r>
            <w:r w:rsidR="00796F12">
              <w:rPr>
                <w:rFonts w:ascii="Times New Roman" w:hAnsi="Times New Roman"/>
              </w:rPr>
              <w:t>anēmija</w:t>
            </w:r>
            <w:r w:rsidR="00796F12" w:rsidRPr="00E252FD">
              <w:rPr>
                <w:rFonts w:ascii="Times New Roman" w:hAnsi="Times New Roman"/>
                <w:vertAlign w:val="superscript"/>
              </w:rPr>
              <w:t>#</w:t>
            </w:r>
          </w:p>
        </w:tc>
      </w:tr>
      <w:tr w:rsidR="00887292" w:rsidRPr="00337F21" w14:paraId="05484A6F" w14:textId="77777777" w:rsidTr="006C1D39">
        <w:trPr>
          <w:trHeight w:hRule="exact" w:val="709"/>
        </w:trPr>
        <w:tc>
          <w:tcPr>
            <w:tcW w:w="3198" w:type="dxa"/>
            <w:tcBorders>
              <w:top w:val="single" w:sz="5" w:space="0" w:color="000000"/>
              <w:left w:val="single" w:sz="5" w:space="0" w:color="000000"/>
              <w:bottom w:val="single" w:sz="5" w:space="0" w:color="000000"/>
              <w:right w:val="single" w:sz="5" w:space="0" w:color="000000"/>
            </w:tcBorders>
          </w:tcPr>
          <w:p w14:paraId="1FA5150E"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t>Imūnās sistēmas traucējumi</w:t>
            </w:r>
          </w:p>
        </w:tc>
        <w:tc>
          <w:tcPr>
            <w:tcW w:w="5848" w:type="dxa"/>
            <w:tcBorders>
              <w:top w:val="single" w:sz="5" w:space="0" w:color="000000"/>
              <w:left w:val="single" w:sz="5" w:space="0" w:color="000000"/>
              <w:bottom w:val="single" w:sz="5" w:space="0" w:color="000000"/>
              <w:right w:val="single" w:sz="5" w:space="0" w:color="000000"/>
            </w:tcBorders>
          </w:tcPr>
          <w:p w14:paraId="1B258278"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Reti</w:t>
            </w:r>
          </w:p>
          <w:p w14:paraId="090AFAE8"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rPr>
              <w:t>Anafilaktiska reakcija*, zāļu izraisīta paaugstināta jutība*</w:t>
            </w:r>
          </w:p>
        </w:tc>
      </w:tr>
      <w:tr w:rsidR="00887292" w:rsidRPr="00337F21" w14:paraId="0AED2668" w14:textId="77777777" w:rsidTr="00337F21">
        <w:trPr>
          <w:trHeight w:hRule="exact" w:val="916"/>
        </w:trPr>
        <w:tc>
          <w:tcPr>
            <w:tcW w:w="3198" w:type="dxa"/>
            <w:tcBorders>
              <w:top w:val="single" w:sz="5" w:space="0" w:color="000000"/>
              <w:left w:val="single" w:sz="5" w:space="0" w:color="000000"/>
              <w:bottom w:val="single" w:sz="5" w:space="0" w:color="000000"/>
              <w:right w:val="single" w:sz="5" w:space="0" w:color="000000"/>
            </w:tcBorders>
          </w:tcPr>
          <w:p w14:paraId="415C47FC"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t>Endokrīnās sistēmas traucējumi</w:t>
            </w:r>
          </w:p>
        </w:tc>
        <w:tc>
          <w:tcPr>
            <w:tcW w:w="5848" w:type="dxa"/>
            <w:tcBorders>
              <w:top w:val="single" w:sz="5" w:space="0" w:color="000000"/>
              <w:left w:val="single" w:sz="5" w:space="0" w:color="000000"/>
              <w:bottom w:val="single" w:sz="5" w:space="0" w:color="000000"/>
              <w:right w:val="single" w:sz="5" w:space="0" w:color="000000"/>
            </w:tcBorders>
          </w:tcPr>
          <w:p w14:paraId="0C426937"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Retāk</w:t>
            </w:r>
          </w:p>
          <w:p w14:paraId="6ACB0E36" w14:textId="42E8EDE3" w:rsidR="00887292" w:rsidRPr="00337F21" w:rsidRDefault="00337F21" w:rsidP="004938F2">
            <w:pPr>
              <w:pStyle w:val="TableParagraph"/>
              <w:ind w:left="99"/>
              <w:rPr>
                <w:rFonts w:ascii="Times New Roman" w:eastAsia="Times New Roman" w:hAnsi="Times New Roman"/>
              </w:rPr>
            </w:pPr>
            <w:r>
              <w:rPr>
                <w:rFonts w:ascii="Times New Roman" w:hAnsi="Times New Roman"/>
              </w:rPr>
              <w:t>Paaugstināta</w:t>
            </w:r>
            <w:r w:rsidR="00887292" w:rsidRPr="00337F21">
              <w:rPr>
                <w:rFonts w:ascii="Times New Roman" w:hAnsi="Times New Roman"/>
              </w:rPr>
              <w:t xml:space="preserve"> vairogdziedzeri stimulējošā hormona koncentrācija asinīs</w:t>
            </w:r>
            <w:r w:rsidR="00796F12">
              <w:rPr>
                <w:rFonts w:ascii="Times New Roman" w:hAnsi="Times New Roman"/>
              </w:rPr>
              <w:t xml:space="preserve">, </w:t>
            </w:r>
            <w:r w:rsidR="00796F12" w:rsidRPr="00796F12">
              <w:rPr>
                <w:rFonts w:ascii="Times New Roman" w:hAnsi="Times New Roman"/>
              </w:rPr>
              <w:t>hipotireoze</w:t>
            </w:r>
            <w:r w:rsidR="00796F12" w:rsidRPr="00E252FD">
              <w:rPr>
                <w:rFonts w:ascii="Times New Roman" w:hAnsi="Times New Roman"/>
                <w:vertAlign w:val="superscript"/>
              </w:rPr>
              <w:t>#</w:t>
            </w:r>
          </w:p>
        </w:tc>
      </w:tr>
      <w:tr w:rsidR="00887292" w:rsidRPr="00337F21" w14:paraId="3C72EB9D" w14:textId="77777777" w:rsidTr="00E252FD">
        <w:trPr>
          <w:trHeight w:hRule="exact" w:val="1145"/>
        </w:trPr>
        <w:tc>
          <w:tcPr>
            <w:tcW w:w="3198" w:type="dxa"/>
            <w:tcBorders>
              <w:top w:val="single" w:sz="5" w:space="0" w:color="000000"/>
              <w:left w:val="single" w:sz="5" w:space="0" w:color="000000"/>
              <w:bottom w:val="single" w:sz="5" w:space="0" w:color="000000"/>
              <w:right w:val="single" w:sz="5" w:space="0" w:color="000000"/>
            </w:tcBorders>
          </w:tcPr>
          <w:p w14:paraId="46E70FC4"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t>Acu bojājumi</w:t>
            </w:r>
          </w:p>
        </w:tc>
        <w:tc>
          <w:tcPr>
            <w:tcW w:w="5848" w:type="dxa"/>
            <w:tcBorders>
              <w:top w:val="single" w:sz="5" w:space="0" w:color="000000"/>
              <w:left w:val="single" w:sz="5" w:space="0" w:color="000000"/>
              <w:bottom w:val="single" w:sz="5" w:space="0" w:color="000000"/>
              <w:right w:val="single" w:sz="5" w:space="0" w:color="000000"/>
            </w:tcBorders>
          </w:tcPr>
          <w:p w14:paraId="6C0B95F9" w14:textId="77777777" w:rsidR="00796F12" w:rsidRPr="00796F12" w:rsidRDefault="00796F12" w:rsidP="00796F12">
            <w:pPr>
              <w:pStyle w:val="TableParagraph"/>
              <w:ind w:left="99"/>
              <w:rPr>
                <w:rFonts w:ascii="Times New Roman" w:hAnsi="Times New Roman"/>
                <w:u w:val="single" w:color="000000"/>
              </w:rPr>
            </w:pPr>
            <w:r w:rsidRPr="00796F12">
              <w:rPr>
                <w:rFonts w:ascii="Times New Roman" w:hAnsi="Times New Roman"/>
                <w:u w:val="single" w:color="000000"/>
              </w:rPr>
              <w:t>Retāk</w:t>
            </w:r>
          </w:p>
          <w:p w14:paraId="471202D2" w14:textId="77777777" w:rsidR="00796F12" w:rsidRPr="00E252FD" w:rsidRDefault="00796F12" w:rsidP="00796F12">
            <w:pPr>
              <w:pStyle w:val="TableParagraph"/>
              <w:ind w:left="99"/>
              <w:rPr>
                <w:rFonts w:ascii="Times New Roman" w:hAnsi="Times New Roman"/>
              </w:rPr>
            </w:pPr>
            <w:r w:rsidRPr="00E252FD">
              <w:rPr>
                <w:rFonts w:ascii="Times New Roman" w:hAnsi="Times New Roman"/>
              </w:rPr>
              <w:t>Neskaidra redze</w:t>
            </w:r>
          </w:p>
          <w:p w14:paraId="29549D95" w14:textId="7ECE2FF0" w:rsidR="00887292" w:rsidRPr="00337F21" w:rsidRDefault="00887292" w:rsidP="00796F12">
            <w:pPr>
              <w:pStyle w:val="TableParagraph"/>
              <w:ind w:left="99"/>
              <w:rPr>
                <w:rFonts w:ascii="Times New Roman" w:eastAsia="Times New Roman" w:hAnsi="Times New Roman"/>
              </w:rPr>
            </w:pPr>
            <w:r w:rsidRPr="00337F21">
              <w:rPr>
                <w:rFonts w:ascii="Times New Roman" w:hAnsi="Times New Roman"/>
                <w:u w:val="single" w:color="000000"/>
              </w:rPr>
              <w:t>Reti</w:t>
            </w:r>
          </w:p>
          <w:p w14:paraId="2E2E2CA1" w14:textId="173F62E5" w:rsidR="00887292" w:rsidRPr="00337F21" w:rsidRDefault="00796F12" w:rsidP="004938F2">
            <w:pPr>
              <w:pStyle w:val="TableParagraph"/>
              <w:ind w:left="99"/>
              <w:rPr>
                <w:rFonts w:ascii="Times New Roman" w:eastAsia="Times New Roman" w:hAnsi="Times New Roman"/>
              </w:rPr>
            </w:pPr>
            <w:r w:rsidRPr="00796F12">
              <w:rPr>
                <w:rFonts w:ascii="Times New Roman" w:hAnsi="Times New Roman"/>
              </w:rPr>
              <w:t>Tīklenes artērijas aizsprostojums</w:t>
            </w:r>
            <w:r w:rsidRPr="00E252FD">
              <w:rPr>
                <w:rFonts w:ascii="Times New Roman" w:hAnsi="Times New Roman"/>
                <w:vertAlign w:val="superscript"/>
              </w:rPr>
              <w:t>#</w:t>
            </w:r>
          </w:p>
        </w:tc>
      </w:tr>
      <w:tr w:rsidR="00887292" w:rsidRPr="00337F21" w14:paraId="2F6B59BC" w14:textId="77777777" w:rsidTr="00FE4246">
        <w:trPr>
          <w:trHeight w:hRule="exact" w:val="2129"/>
        </w:trPr>
        <w:tc>
          <w:tcPr>
            <w:tcW w:w="3198" w:type="dxa"/>
            <w:tcBorders>
              <w:top w:val="single" w:sz="5" w:space="0" w:color="000000"/>
              <w:left w:val="single" w:sz="5" w:space="0" w:color="000000"/>
              <w:bottom w:val="single" w:sz="5" w:space="0" w:color="000000"/>
              <w:right w:val="single" w:sz="5" w:space="0" w:color="000000"/>
            </w:tcBorders>
          </w:tcPr>
          <w:p w14:paraId="1FC5B8AF" w14:textId="77777777" w:rsidR="00887292" w:rsidRPr="00337F21" w:rsidRDefault="00887292" w:rsidP="004938F2">
            <w:pPr>
              <w:pStyle w:val="TableParagraph"/>
              <w:ind w:left="102" w:right="873"/>
              <w:rPr>
                <w:rFonts w:ascii="Times New Roman" w:eastAsia="Times New Roman" w:hAnsi="Times New Roman"/>
              </w:rPr>
            </w:pPr>
            <w:r w:rsidRPr="00337F21">
              <w:rPr>
                <w:rFonts w:ascii="Times New Roman" w:hAnsi="Times New Roman"/>
              </w:rPr>
              <w:t>Vielmaiņas un uztures traucējumi</w:t>
            </w:r>
          </w:p>
        </w:tc>
        <w:tc>
          <w:tcPr>
            <w:tcW w:w="5848" w:type="dxa"/>
            <w:tcBorders>
              <w:top w:val="single" w:sz="5" w:space="0" w:color="000000"/>
              <w:left w:val="single" w:sz="5" w:space="0" w:color="000000"/>
              <w:bottom w:val="single" w:sz="5" w:space="0" w:color="000000"/>
              <w:right w:val="single" w:sz="5" w:space="0" w:color="000000"/>
            </w:tcBorders>
          </w:tcPr>
          <w:p w14:paraId="7F4AD275" w14:textId="77777777" w:rsidR="002228B4" w:rsidRPr="00337F21" w:rsidRDefault="002228B4" w:rsidP="004938F2">
            <w:pPr>
              <w:pStyle w:val="TableParagraph"/>
              <w:ind w:left="99" w:right="450"/>
              <w:rPr>
                <w:rFonts w:ascii="Times New Roman" w:hAnsi="Times New Roman"/>
              </w:rPr>
            </w:pPr>
            <w:r w:rsidRPr="00337F21">
              <w:rPr>
                <w:rFonts w:ascii="Times New Roman" w:hAnsi="Times New Roman"/>
                <w:u w:val="single" w:color="000000"/>
              </w:rPr>
              <w:t>Bieži***</w:t>
            </w:r>
          </w:p>
          <w:p w14:paraId="7478DE3E" w14:textId="77777777" w:rsidR="002228B4" w:rsidRPr="00337F21" w:rsidRDefault="002228B4" w:rsidP="004938F2">
            <w:pPr>
              <w:pStyle w:val="TableParagraph"/>
              <w:ind w:left="99" w:right="450"/>
              <w:rPr>
                <w:rFonts w:ascii="Times New Roman" w:hAnsi="Times New Roman"/>
              </w:rPr>
            </w:pPr>
            <w:r w:rsidRPr="00337F21">
              <w:rPr>
                <w:rFonts w:ascii="Times New Roman" w:hAnsi="Times New Roman"/>
              </w:rPr>
              <w:t>Podagras uzliesmojumi</w:t>
            </w:r>
          </w:p>
          <w:p w14:paraId="5BF2E795" w14:textId="77777777" w:rsidR="002228B4" w:rsidRPr="00337F21" w:rsidRDefault="002228B4" w:rsidP="004938F2">
            <w:pPr>
              <w:pStyle w:val="TableParagraph"/>
              <w:ind w:left="99" w:right="450"/>
              <w:rPr>
                <w:rFonts w:ascii="Times New Roman" w:eastAsia="Times New Roman" w:hAnsi="Times New Roman"/>
              </w:rPr>
            </w:pPr>
            <w:r w:rsidRPr="00337F21">
              <w:rPr>
                <w:rFonts w:ascii="Times New Roman" w:hAnsi="Times New Roman"/>
                <w:u w:val="single" w:color="000000"/>
              </w:rPr>
              <w:t>Retāk</w:t>
            </w:r>
          </w:p>
          <w:p w14:paraId="10AB3119" w14:textId="77777777" w:rsidR="002228B4" w:rsidRPr="00337F21" w:rsidRDefault="002228B4" w:rsidP="004938F2">
            <w:pPr>
              <w:pStyle w:val="TableParagraph"/>
              <w:ind w:left="99" w:right="676"/>
              <w:rPr>
                <w:rFonts w:ascii="Times New Roman" w:eastAsia="Times New Roman" w:hAnsi="Times New Roman"/>
              </w:rPr>
            </w:pPr>
            <w:r w:rsidRPr="00337F21">
              <w:rPr>
                <w:rFonts w:ascii="Times New Roman" w:hAnsi="Times New Roman"/>
              </w:rPr>
              <w:t>Cukura diabēts, hiperlipidēmija, vājāka ēstgriba, ķermeņa masas palielināšanās</w:t>
            </w:r>
          </w:p>
          <w:p w14:paraId="12874A20" w14:textId="77777777" w:rsidR="002228B4" w:rsidRPr="00337F21" w:rsidRDefault="002228B4" w:rsidP="004938F2">
            <w:pPr>
              <w:pStyle w:val="TableParagraph"/>
              <w:ind w:left="99"/>
              <w:rPr>
                <w:rFonts w:ascii="Times New Roman" w:eastAsia="Times New Roman" w:hAnsi="Times New Roman"/>
              </w:rPr>
            </w:pPr>
            <w:r w:rsidRPr="00337F21">
              <w:rPr>
                <w:rFonts w:ascii="Times New Roman" w:hAnsi="Times New Roman"/>
                <w:u w:val="single" w:color="000000"/>
              </w:rPr>
              <w:t>Reti</w:t>
            </w:r>
          </w:p>
          <w:p w14:paraId="6B337062" w14:textId="77777777" w:rsidR="00887292" w:rsidRPr="00337F21" w:rsidRDefault="002228B4" w:rsidP="004938F2">
            <w:pPr>
              <w:pStyle w:val="TableParagraph"/>
              <w:ind w:left="99" w:right="360"/>
              <w:rPr>
                <w:rFonts w:ascii="Times New Roman" w:eastAsia="Times New Roman" w:hAnsi="Times New Roman"/>
              </w:rPr>
            </w:pPr>
            <w:r w:rsidRPr="00337F21">
              <w:rPr>
                <w:rFonts w:ascii="Times New Roman" w:hAnsi="Times New Roman"/>
              </w:rPr>
              <w:t>Ķermeņa masas samazināšanās, ēstgribas pastiprināšanās, anoreksija</w:t>
            </w:r>
          </w:p>
        </w:tc>
      </w:tr>
      <w:tr w:rsidR="00887292" w:rsidRPr="00337F21" w14:paraId="06AEE68F" w14:textId="77777777" w:rsidTr="00FE4246">
        <w:trPr>
          <w:trHeight w:hRule="exact" w:val="1139"/>
        </w:trPr>
        <w:tc>
          <w:tcPr>
            <w:tcW w:w="3198" w:type="dxa"/>
            <w:tcBorders>
              <w:top w:val="single" w:sz="5" w:space="0" w:color="000000"/>
              <w:left w:val="single" w:sz="5" w:space="0" w:color="000000"/>
              <w:bottom w:val="single" w:sz="5" w:space="0" w:color="000000"/>
              <w:right w:val="single" w:sz="5" w:space="0" w:color="000000"/>
            </w:tcBorders>
          </w:tcPr>
          <w:p w14:paraId="445E5E22"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lastRenderedPageBreak/>
              <w:t>Psihiskie traucējumi</w:t>
            </w:r>
          </w:p>
        </w:tc>
        <w:tc>
          <w:tcPr>
            <w:tcW w:w="5848" w:type="dxa"/>
            <w:tcBorders>
              <w:top w:val="single" w:sz="5" w:space="0" w:color="000000"/>
              <w:left w:val="single" w:sz="5" w:space="0" w:color="000000"/>
              <w:bottom w:val="single" w:sz="5" w:space="0" w:color="000000"/>
              <w:right w:val="single" w:sz="5" w:space="0" w:color="000000"/>
            </w:tcBorders>
          </w:tcPr>
          <w:p w14:paraId="734E1A36"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Retāk</w:t>
            </w:r>
          </w:p>
          <w:p w14:paraId="16507DFC" w14:textId="77777777" w:rsidR="002228B4" w:rsidRPr="00337F21" w:rsidRDefault="00337F21" w:rsidP="004938F2">
            <w:pPr>
              <w:pStyle w:val="TableParagraph"/>
              <w:tabs>
                <w:tab w:val="left" w:pos="4050"/>
              </w:tabs>
              <w:ind w:left="99" w:right="1710"/>
              <w:rPr>
                <w:rFonts w:ascii="Times New Roman" w:hAnsi="Times New Roman"/>
              </w:rPr>
            </w:pPr>
            <w:r>
              <w:rPr>
                <w:rFonts w:ascii="Times New Roman" w:hAnsi="Times New Roman"/>
              </w:rPr>
              <w:t>Samazināta dzimumtieksme</w:t>
            </w:r>
            <w:r w:rsidR="00887292" w:rsidRPr="00337F21">
              <w:rPr>
                <w:rFonts w:ascii="Times New Roman" w:hAnsi="Times New Roman"/>
              </w:rPr>
              <w:t>, bezmiegs</w:t>
            </w:r>
          </w:p>
          <w:p w14:paraId="28FDE379" w14:textId="77777777" w:rsidR="00887292" w:rsidRPr="00337F21" w:rsidRDefault="00887292" w:rsidP="004938F2">
            <w:pPr>
              <w:pStyle w:val="TableParagraph"/>
              <w:ind w:left="99" w:right="3554"/>
              <w:rPr>
                <w:rFonts w:ascii="Times New Roman" w:eastAsia="Times New Roman" w:hAnsi="Times New Roman"/>
              </w:rPr>
            </w:pPr>
            <w:r w:rsidRPr="00337F21">
              <w:rPr>
                <w:rFonts w:ascii="Times New Roman" w:hAnsi="Times New Roman"/>
                <w:u w:val="single" w:color="000000"/>
              </w:rPr>
              <w:t>Reti</w:t>
            </w:r>
          </w:p>
          <w:p w14:paraId="2F0C51E7" w14:textId="65753C1D"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rPr>
              <w:t>Nervozitāte</w:t>
            </w:r>
            <w:r w:rsidR="00796F12">
              <w:rPr>
                <w:rFonts w:ascii="Times New Roman" w:hAnsi="Times New Roman"/>
              </w:rPr>
              <w:t xml:space="preserve">, </w:t>
            </w:r>
            <w:r w:rsidR="00796F12" w:rsidRPr="00796F12">
              <w:rPr>
                <w:rFonts w:ascii="Times New Roman" w:hAnsi="Times New Roman"/>
              </w:rPr>
              <w:t>nomākts garastāvoklis</w:t>
            </w:r>
            <w:r w:rsidR="00796F12" w:rsidRPr="00E252FD">
              <w:rPr>
                <w:rFonts w:ascii="Times New Roman" w:hAnsi="Times New Roman"/>
                <w:vertAlign w:val="superscript"/>
              </w:rPr>
              <w:t>#</w:t>
            </w:r>
            <w:r w:rsidR="00796F12" w:rsidRPr="00796F12">
              <w:rPr>
                <w:rFonts w:ascii="Times New Roman" w:hAnsi="Times New Roman"/>
              </w:rPr>
              <w:t>, miega traucējumi</w:t>
            </w:r>
            <w:r w:rsidR="00796F12" w:rsidRPr="00E252FD">
              <w:rPr>
                <w:rFonts w:ascii="Times New Roman" w:hAnsi="Times New Roman"/>
                <w:vertAlign w:val="superscript"/>
              </w:rPr>
              <w:t>#</w:t>
            </w:r>
          </w:p>
        </w:tc>
      </w:tr>
      <w:tr w:rsidR="00887292" w:rsidRPr="00337F21" w14:paraId="6C868F49" w14:textId="77777777" w:rsidTr="00E252FD">
        <w:trPr>
          <w:trHeight w:hRule="exact" w:val="1843"/>
        </w:trPr>
        <w:tc>
          <w:tcPr>
            <w:tcW w:w="3198" w:type="dxa"/>
            <w:tcBorders>
              <w:top w:val="single" w:sz="5" w:space="0" w:color="000000"/>
              <w:left w:val="single" w:sz="5" w:space="0" w:color="000000"/>
              <w:bottom w:val="single" w:sz="5" w:space="0" w:color="000000"/>
              <w:right w:val="single" w:sz="5" w:space="0" w:color="000000"/>
            </w:tcBorders>
          </w:tcPr>
          <w:p w14:paraId="7ECFB50B"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t>Nervu sistēmas traucējumi</w:t>
            </w:r>
          </w:p>
        </w:tc>
        <w:tc>
          <w:tcPr>
            <w:tcW w:w="5848" w:type="dxa"/>
            <w:tcBorders>
              <w:top w:val="single" w:sz="5" w:space="0" w:color="000000"/>
              <w:left w:val="single" w:sz="5" w:space="0" w:color="000000"/>
              <w:bottom w:val="single" w:sz="5" w:space="0" w:color="000000"/>
              <w:right w:val="single" w:sz="5" w:space="0" w:color="000000"/>
            </w:tcBorders>
          </w:tcPr>
          <w:p w14:paraId="01615093" w14:textId="77777777" w:rsidR="002228B4" w:rsidRPr="00337F21" w:rsidRDefault="00887292" w:rsidP="004938F2">
            <w:pPr>
              <w:pStyle w:val="TableParagraph"/>
              <w:ind w:left="99" w:right="1890"/>
              <w:rPr>
                <w:rFonts w:ascii="Times New Roman" w:hAnsi="Times New Roman"/>
              </w:rPr>
            </w:pPr>
            <w:r w:rsidRPr="00337F21">
              <w:rPr>
                <w:rFonts w:ascii="Times New Roman" w:hAnsi="Times New Roman"/>
                <w:u w:val="single" w:color="000000"/>
              </w:rPr>
              <w:t>Bieži</w:t>
            </w:r>
          </w:p>
          <w:p w14:paraId="0D5CC855" w14:textId="4B3464E3" w:rsidR="002228B4" w:rsidRPr="00337F21" w:rsidRDefault="00887292" w:rsidP="004938F2">
            <w:pPr>
              <w:pStyle w:val="TableParagraph"/>
              <w:ind w:left="99" w:right="1890"/>
              <w:rPr>
                <w:rFonts w:ascii="Times New Roman" w:hAnsi="Times New Roman"/>
              </w:rPr>
            </w:pPr>
            <w:r w:rsidRPr="00337F21">
              <w:rPr>
                <w:rFonts w:ascii="Times New Roman" w:hAnsi="Times New Roman"/>
              </w:rPr>
              <w:t>Galvassāpes</w:t>
            </w:r>
            <w:r w:rsidR="00796F12">
              <w:rPr>
                <w:rFonts w:ascii="Times New Roman" w:hAnsi="Times New Roman"/>
              </w:rPr>
              <w:t>, reibonis</w:t>
            </w:r>
          </w:p>
          <w:p w14:paraId="3B7E2FCF" w14:textId="77777777" w:rsidR="00887292" w:rsidRPr="00337F21" w:rsidRDefault="00887292" w:rsidP="004938F2">
            <w:pPr>
              <w:pStyle w:val="TableParagraph"/>
              <w:ind w:left="99" w:right="1890"/>
              <w:rPr>
                <w:rFonts w:ascii="Times New Roman" w:eastAsia="Times New Roman" w:hAnsi="Times New Roman"/>
              </w:rPr>
            </w:pPr>
            <w:r w:rsidRPr="00337F21">
              <w:rPr>
                <w:rFonts w:ascii="Times New Roman" w:hAnsi="Times New Roman"/>
                <w:u w:val="single" w:color="000000"/>
              </w:rPr>
              <w:t>Retāk</w:t>
            </w:r>
          </w:p>
          <w:p w14:paraId="1949B61B" w14:textId="75C1B824" w:rsidR="00887292" w:rsidRDefault="00796F12" w:rsidP="00337F21">
            <w:pPr>
              <w:pStyle w:val="TableParagraph"/>
              <w:ind w:left="99" w:right="180" w:hanging="1"/>
              <w:rPr>
                <w:rFonts w:ascii="Times New Roman" w:hAnsi="Times New Roman"/>
              </w:rPr>
            </w:pPr>
            <w:r>
              <w:rPr>
                <w:rFonts w:ascii="Times New Roman" w:hAnsi="Times New Roman"/>
              </w:rPr>
              <w:t>P</w:t>
            </w:r>
            <w:r w:rsidR="00887292" w:rsidRPr="00337F21">
              <w:rPr>
                <w:rFonts w:ascii="Times New Roman" w:hAnsi="Times New Roman"/>
              </w:rPr>
              <w:t>arestēzija</w:t>
            </w:r>
            <w:r w:rsidR="00337F21">
              <w:rPr>
                <w:rFonts w:ascii="Times New Roman" w:hAnsi="Times New Roman"/>
              </w:rPr>
              <w:t>s</w:t>
            </w:r>
            <w:r w:rsidR="00887292" w:rsidRPr="00337F21">
              <w:rPr>
                <w:rFonts w:ascii="Times New Roman" w:hAnsi="Times New Roman"/>
              </w:rPr>
              <w:t xml:space="preserve">, </w:t>
            </w:r>
            <w:r w:rsidR="00337F21">
              <w:rPr>
                <w:rFonts w:ascii="Times New Roman" w:hAnsi="Times New Roman"/>
              </w:rPr>
              <w:t>hemiparēze</w:t>
            </w:r>
            <w:r w:rsidR="00887292" w:rsidRPr="00337F21">
              <w:rPr>
                <w:rFonts w:ascii="Times New Roman" w:hAnsi="Times New Roman"/>
              </w:rPr>
              <w:t xml:space="preserve">, miegainība, </w:t>
            </w:r>
            <w:r w:rsidRPr="00796F12">
              <w:rPr>
                <w:rFonts w:ascii="Times New Roman" w:hAnsi="Times New Roman"/>
              </w:rPr>
              <w:t>letarģija</w:t>
            </w:r>
            <w:r w:rsidRPr="00E252FD">
              <w:rPr>
                <w:rFonts w:ascii="Times New Roman" w:hAnsi="Times New Roman"/>
                <w:vertAlign w:val="superscript"/>
              </w:rPr>
              <w:t>#</w:t>
            </w:r>
            <w:r>
              <w:rPr>
                <w:rFonts w:ascii="Times New Roman" w:hAnsi="Times New Roman"/>
              </w:rPr>
              <w:t xml:space="preserve">, </w:t>
            </w:r>
            <w:r w:rsidR="00887292" w:rsidRPr="00337F21">
              <w:rPr>
                <w:rFonts w:ascii="Times New Roman" w:hAnsi="Times New Roman"/>
              </w:rPr>
              <w:t>garšas sajūtas pārmaiņas, hipoestēzija, hiposmija</w:t>
            </w:r>
          </w:p>
          <w:p w14:paraId="16B0F835" w14:textId="77777777" w:rsidR="00796F12" w:rsidRPr="00E252FD" w:rsidRDefault="00796F12" w:rsidP="00796F12">
            <w:pPr>
              <w:pStyle w:val="TableParagraph"/>
              <w:ind w:left="99" w:right="180" w:hanging="1"/>
              <w:rPr>
                <w:rFonts w:ascii="Times New Roman" w:eastAsia="Times New Roman" w:hAnsi="Times New Roman"/>
                <w:u w:val="single"/>
              </w:rPr>
            </w:pPr>
            <w:r w:rsidRPr="00E252FD">
              <w:rPr>
                <w:rFonts w:ascii="Times New Roman" w:eastAsia="Times New Roman" w:hAnsi="Times New Roman"/>
                <w:u w:val="single"/>
              </w:rPr>
              <w:t>Reti</w:t>
            </w:r>
          </w:p>
          <w:p w14:paraId="72FCEFC0" w14:textId="1E2EC353" w:rsidR="00796F12" w:rsidRPr="00337F21" w:rsidRDefault="00796F12" w:rsidP="00796F12">
            <w:pPr>
              <w:pStyle w:val="TableParagraph"/>
              <w:ind w:left="99" w:right="180" w:hanging="1"/>
              <w:rPr>
                <w:rFonts w:ascii="Times New Roman" w:eastAsia="Times New Roman" w:hAnsi="Times New Roman"/>
              </w:rPr>
            </w:pPr>
            <w:r w:rsidRPr="00796F12">
              <w:rPr>
                <w:rFonts w:ascii="Times New Roman" w:eastAsia="Times New Roman" w:hAnsi="Times New Roman"/>
              </w:rPr>
              <w:t>Ageizija</w:t>
            </w:r>
            <w:r w:rsidRPr="00E252FD">
              <w:rPr>
                <w:rFonts w:ascii="Times New Roman" w:eastAsia="Times New Roman" w:hAnsi="Times New Roman"/>
                <w:vertAlign w:val="superscript"/>
              </w:rPr>
              <w:t>#</w:t>
            </w:r>
            <w:r w:rsidRPr="00796F12">
              <w:rPr>
                <w:rFonts w:ascii="Times New Roman" w:eastAsia="Times New Roman" w:hAnsi="Times New Roman"/>
              </w:rPr>
              <w:t>, dedzinoša sajūta</w:t>
            </w:r>
            <w:r w:rsidRPr="00E252FD">
              <w:rPr>
                <w:rFonts w:ascii="Times New Roman" w:eastAsia="Times New Roman" w:hAnsi="Times New Roman"/>
                <w:vertAlign w:val="superscript"/>
              </w:rPr>
              <w:t>#</w:t>
            </w:r>
          </w:p>
        </w:tc>
      </w:tr>
      <w:tr w:rsidR="00887292" w:rsidRPr="00337F21" w14:paraId="7813E90F" w14:textId="77777777" w:rsidTr="00E252FD">
        <w:trPr>
          <w:trHeight w:hRule="exact" w:val="1131"/>
        </w:trPr>
        <w:tc>
          <w:tcPr>
            <w:tcW w:w="3198" w:type="dxa"/>
            <w:tcBorders>
              <w:top w:val="single" w:sz="5" w:space="0" w:color="000000"/>
              <w:left w:val="single" w:sz="5" w:space="0" w:color="000000"/>
              <w:bottom w:val="single" w:sz="5" w:space="0" w:color="000000"/>
              <w:right w:val="single" w:sz="5" w:space="0" w:color="000000"/>
            </w:tcBorders>
          </w:tcPr>
          <w:p w14:paraId="0133CB26"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t>Ausu un labirinta bojājumi</w:t>
            </w:r>
          </w:p>
        </w:tc>
        <w:tc>
          <w:tcPr>
            <w:tcW w:w="5848" w:type="dxa"/>
            <w:tcBorders>
              <w:top w:val="single" w:sz="5" w:space="0" w:color="000000"/>
              <w:left w:val="single" w:sz="5" w:space="0" w:color="000000"/>
              <w:bottom w:val="single" w:sz="5" w:space="0" w:color="000000"/>
              <w:right w:val="single" w:sz="5" w:space="0" w:color="000000"/>
            </w:tcBorders>
          </w:tcPr>
          <w:p w14:paraId="3B052C60" w14:textId="074882B2" w:rsidR="0052111A" w:rsidRPr="00337F21" w:rsidRDefault="00887292" w:rsidP="004938F2">
            <w:pPr>
              <w:pStyle w:val="TableParagraph"/>
              <w:ind w:left="99" w:right="4320"/>
              <w:rPr>
                <w:rFonts w:ascii="Times New Roman" w:hAnsi="Times New Roman"/>
              </w:rPr>
            </w:pPr>
            <w:r w:rsidRPr="00337F21">
              <w:rPr>
                <w:rFonts w:ascii="Times New Roman" w:hAnsi="Times New Roman"/>
                <w:u w:val="single" w:color="000000"/>
              </w:rPr>
              <w:t>Ret</w:t>
            </w:r>
            <w:r w:rsidR="00796F12">
              <w:rPr>
                <w:rFonts w:ascii="Times New Roman" w:hAnsi="Times New Roman"/>
                <w:u w:val="single" w:color="000000"/>
              </w:rPr>
              <w:t>āk</w:t>
            </w:r>
          </w:p>
          <w:p w14:paraId="5400A2D3" w14:textId="77777777" w:rsidR="00887292" w:rsidRDefault="00887292" w:rsidP="004938F2">
            <w:pPr>
              <w:pStyle w:val="TableParagraph"/>
              <w:ind w:left="99" w:right="4320"/>
              <w:rPr>
                <w:rFonts w:ascii="Times New Roman" w:hAnsi="Times New Roman"/>
              </w:rPr>
            </w:pPr>
            <w:r w:rsidRPr="00337F21">
              <w:rPr>
                <w:rFonts w:ascii="Times New Roman" w:hAnsi="Times New Roman"/>
              </w:rPr>
              <w:t>Troksnis ausīs</w:t>
            </w:r>
          </w:p>
          <w:p w14:paraId="5C7F5435" w14:textId="77777777" w:rsidR="00796F12" w:rsidRPr="00E252FD" w:rsidRDefault="00796F12" w:rsidP="00796F12">
            <w:pPr>
              <w:pStyle w:val="TableParagraph"/>
              <w:ind w:left="99" w:right="4320"/>
              <w:rPr>
                <w:rFonts w:ascii="Times New Roman" w:eastAsia="Times New Roman" w:hAnsi="Times New Roman"/>
                <w:u w:val="single"/>
              </w:rPr>
            </w:pPr>
            <w:r w:rsidRPr="00E252FD">
              <w:rPr>
                <w:rFonts w:ascii="Times New Roman" w:eastAsia="Times New Roman" w:hAnsi="Times New Roman"/>
                <w:u w:val="single"/>
              </w:rPr>
              <w:t>Reti</w:t>
            </w:r>
          </w:p>
          <w:p w14:paraId="508421DD" w14:textId="1BCE4F05" w:rsidR="00796F12" w:rsidRPr="00337F21" w:rsidRDefault="00796F12" w:rsidP="00796F12">
            <w:pPr>
              <w:pStyle w:val="TableParagraph"/>
              <w:ind w:left="99" w:right="4320"/>
              <w:rPr>
                <w:rFonts w:ascii="Times New Roman" w:eastAsia="Times New Roman" w:hAnsi="Times New Roman"/>
              </w:rPr>
            </w:pPr>
            <w:r w:rsidRPr="00796F12">
              <w:rPr>
                <w:rFonts w:ascii="Times New Roman" w:eastAsia="Times New Roman" w:hAnsi="Times New Roman"/>
              </w:rPr>
              <w:t>Vertigo</w:t>
            </w:r>
            <w:r w:rsidRPr="00E252FD">
              <w:rPr>
                <w:rFonts w:ascii="Times New Roman" w:eastAsia="Times New Roman" w:hAnsi="Times New Roman"/>
                <w:vertAlign w:val="superscript"/>
              </w:rPr>
              <w:t>#</w:t>
            </w:r>
          </w:p>
        </w:tc>
      </w:tr>
      <w:tr w:rsidR="00887292" w:rsidRPr="00337F21" w14:paraId="18966F2C" w14:textId="77777777" w:rsidTr="00E252FD">
        <w:trPr>
          <w:trHeight w:hRule="exact" w:val="2281"/>
        </w:trPr>
        <w:tc>
          <w:tcPr>
            <w:tcW w:w="3198" w:type="dxa"/>
            <w:tcBorders>
              <w:top w:val="single" w:sz="5" w:space="0" w:color="000000"/>
              <w:left w:val="single" w:sz="5" w:space="0" w:color="000000"/>
              <w:bottom w:val="single" w:sz="5" w:space="0" w:color="000000"/>
              <w:right w:val="single" w:sz="5" w:space="0" w:color="000000"/>
            </w:tcBorders>
          </w:tcPr>
          <w:p w14:paraId="2EE0D31F"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t>Sirds funkcijas traucējumi</w:t>
            </w:r>
          </w:p>
        </w:tc>
        <w:tc>
          <w:tcPr>
            <w:tcW w:w="5848" w:type="dxa"/>
            <w:tcBorders>
              <w:top w:val="single" w:sz="5" w:space="0" w:color="000000"/>
              <w:left w:val="single" w:sz="5" w:space="0" w:color="000000"/>
              <w:bottom w:val="single" w:sz="5" w:space="0" w:color="000000"/>
              <w:right w:val="single" w:sz="5" w:space="0" w:color="000000"/>
            </w:tcBorders>
          </w:tcPr>
          <w:p w14:paraId="02100AAE" w14:textId="77777777" w:rsidR="00887292" w:rsidRPr="00EF2CDA" w:rsidRDefault="00887292" w:rsidP="005574DC">
            <w:pPr>
              <w:ind w:left="51"/>
              <w:rPr>
                <w:sz w:val="22"/>
                <w:u w:val="single"/>
              </w:rPr>
            </w:pPr>
            <w:r w:rsidRPr="00EF2CDA">
              <w:rPr>
                <w:sz w:val="22"/>
                <w:u w:val="single"/>
              </w:rPr>
              <w:t>Retāk</w:t>
            </w:r>
          </w:p>
          <w:p w14:paraId="3C767473" w14:textId="77777777" w:rsidR="00ED3061" w:rsidRPr="00EF2CDA" w:rsidRDefault="00887292" w:rsidP="005574DC">
            <w:pPr>
              <w:ind w:left="51"/>
              <w:rPr>
                <w:sz w:val="22"/>
              </w:rPr>
            </w:pPr>
            <w:r w:rsidRPr="00EF2CDA">
              <w:rPr>
                <w:sz w:val="22"/>
              </w:rPr>
              <w:t xml:space="preserve">Priekškambaru </w:t>
            </w:r>
            <w:r w:rsidR="00337F21" w:rsidRPr="00EF2CDA">
              <w:rPr>
                <w:sz w:val="22"/>
              </w:rPr>
              <w:t>mirgošana</w:t>
            </w:r>
            <w:r w:rsidRPr="00EF2CDA">
              <w:rPr>
                <w:sz w:val="22"/>
              </w:rPr>
              <w:t xml:space="preserve">, </w:t>
            </w:r>
            <w:r w:rsidR="00337F21" w:rsidRPr="00EF2CDA">
              <w:rPr>
                <w:sz w:val="22"/>
              </w:rPr>
              <w:t>sirdsklauves</w:t>
            </w:r>
            <w:r w:rsidRPr="00EF2CDA">
              <w:rPr>
                <w:sz w:val="22"/>
              </w:rPr>
              <w:t>, EKG </w:t>
            </w:r>
            <w:r w:rsidR="00337F21" w:rsidRPr="00EF2CDA">
              <w:rPr>
                <w:sz w:val="22"/>
              </w:rPr>
              <w:t>novirzes.</w:t>
            </w:r>
            <w:r w:rsidRPr="00EF2CDA">
              <w:rPr>
                <w:sz w:val="22"/>
              </w:rPr>
              <w:t xml:space="preserve"> </w:t>
            </w:r>
          </w:p>
          <w:p w14:paraId="275E454F" w14:textId="77777777" w:rsidR="00127B24" w:rsidRPr="00EF2CDA" w:rsidRDefault="00337F21" w:rsidP="005574DC">
            <w:pPr>
              <w:ind w:left="51"/>
              <w:rPr>
                <w:sz w:val="22"/>
              </w:rPr>
            </w:pPr>
            <w:r w:rsidRPr="00EF2CDA">
              <w:rPr>
                <w:sz w:val="22"/>
              </w:rPr>
              <w:t>120 mg</w:t>
            </w:r>
            <w:r w:rsidR="00127B24" w:rsidRPr="00EF2CDA">
              <w:rPr>
                <w:sz w:val="22"/>
              </w:rPr>
              <w:t xml:space="preserve"> </w:t>
            </w:r>
          </w:p>
          <w:p w14:paraId="3F9F8183" w14:textId="577ABD0A" w:rsidR="00796F12" w:rsidRDefault="00136143" w:rsidP="003A1832">
            <w:pPr>
              <w:ind w:left="51"/>
              <w:rPr>
                <w:sz w:val="22"/>
              </w:rPr>
            </w:pPr>
            <w:r w:rsidRPr="00EF2CDA">
              <w:rPr>
                <w:sz w:val="22"/>
              </w:rPr>
              <w:t xml:space="preserve">Hisa kūlīša </w:t>
            </w:r>
            <w:r w:rsidR="00337F21" w:rsidRPr="00EF2CDA">
              <w:rPr>
                <w:sz w:val="22"/>
              </w:rPr>
              <w:t xml:space="preserve">kreisā </w:t>
            </w:r>
            <w:r w:rsidRPr="00EF2CDA">
              <w:rPr>
                <w:sz w:val="22"/>
              </w:rPr>
              <w:t>zara blokāde (skatīt apakšpunktu “</w:t>
            </w:r>
            <w:r w:rsidR="005668F3">
              <w:rPr>
                <w:sz w:val="22"/>
              </w:rPr>
              <w:t>t</w:t>
            </w:r>
            <w:r w:rsidR="00337F21" w:rsidRPr="00EF2CDA">
              <w:rPr>
                <w:sz w:val="22"/>
              </w:rPr>
              <w:t xml:space="preserve">umora līzes </w:t>
            </w:r>
            <w:r w:rsidRPr="00EF2CDA">
              <w:rPr>
                <w:sz w:val="22"/>
              </w:rPr>
              <w:t>sindroms”), sinusa tahikardija (skatīt apakšpunktu “</w:t>
            </w:r>
            <w:r w:rsidR="005668F3">
              <w:rPr>
                <w:sz w:val="22"/>
              </w:rPr>
              <w:t>t</w:t>
            </w:r>
            <w:r w:rsidR="00337F21" w:rsidRPr="00EF2CDA">
              <w:rPr>
                <w:sz w:val="22"/>
              </w:rPr>
              <w:t>umora līzes</w:t>
            </w:r>
            <w:r w:rsidRPr="00EF2CDA">
              <w:rPr>
                <w:sz w:val="22"/>
              </w:rPr>
              <w:t xml:space="preserve"> sindroms”)</w:t>
            </w:r>
            <w:r w:rsidR="003A1832">
              <w:rPr>
                <w:sz w:val="22"/>
              </w:rPr>
              <w:t xml:space="preserve">, </w:t>
            </w:r>
            <w:r w:rsidR="00796F12" w:rsidRPr="00796F12">
              <w:rPr>
                <w:sz w:val="22"/>
              </w:rPr>
              <w:t>aritmija</w:t>
            </w:r>
            <w:r w:rsidR="00796F12" w:rsidRPr="00E252FD">
              <w:rPr>
                <w:sz w:val="22"/>
                <w:vertAlign w:val="superscript"/>
              </w:rPr>
              <w:t>#</w:t>
            </w:r>
          </w:p>
          <w:p w14:paraId="62C4AD03" w14:textId="77777777" w:rsidR="00C4528D" w:rsidRPr="00F91656" w:rsidRDefault="00C4528D" w:rsidP="00C4528D">
            <w:pPr>
              <w:ind w:left="51"/>
              <w:rPr>
                <w:sz w:val="22"/>
                <w:szCs w:val="22"/>
                <w:u w:val="single"/>
              </w:rPr>
            </w:pPr>
            <w:r w:rsidRPr="00F91656">
              <w:rPr>
                <w:sz w:val="22"/>
                <w:szCs w:val="22"/>
                <w:u w:val="single"/>
              </w:rPr>
              <w:t>Reti</w:t>
            </w:r>
          </w:p>
          <w:p w14:paraId="6695B6E5" w14:textId="2E2E29FA" w:rsidR="00C4528D" w:rsidRPr="007E6D6B" w:rsidRDefault="00C4528D" w:rsidP="00C4528D">
            <w:pPr>
              <w:ind w:left="51"/>
            </w:pPr>
            <w:r w:rsidRPr="00F91656">
              <w:rPr>
                <w:sz w:val="22"/>
                <w:szCs w:val="22"/>
              </w:rPr>
              <w:t>Pēkšņa kardiāla nāve*</w:t>
            </w:r>
          </w:p>
        </w:tc>
      </w:tr>
      <w:tr w:rsidR="00887292" w:rsidRPr="00337F21" w14:paraId="2587228A" w14:textId="77777777" w:rsidTr="00E252FD">
        <w:trPr>
          <w:trHeight w:hRule="exact" w:val="1563"/>
        </w:trPr>
        <w:tc>
          <w:tcPr>
            <w:tcW w:w="3198" w:type="dxa"/>
            <w:tcBorders>
              <w:top w:val="single" w:sz="5" w:space="0" w:color="000000"/>
              <w:left w:val="single" w:sz="5" w:space="0" w:color="000000"/>
              <w:bottom w:val="single" w:sz="5" w:space="0" w:color="000000"/>
              <w:right w:val="single" w:sz="5" w:space="0" w:color="000000"/>
            </w:tcBorders>
          </w:tcPr>
          <w:p w14:paraId="5E33A7C0"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t>Asinsvadu sistēmas traucējumi</w:t>
            </w:r>
          </w:p>
        </w:tc>
        <w:tc>
          <w:tcPr>
            <w:tcW w:w="5848" w:type="dxa"/>
            <w:tcBorders>
              <w:top w:val="single" w:sz="5" w:space="0" w:color="000000"/>
              <w:left w:val="single" w:sz="5" w:space="0" w:color="000000"/>
              <w:bottom w:val="single" w:sz="5" w:space="0" w:color="000000"/>
              <w:right w:val="single" w:sz="5" w:space="0" w:color="000000"/>
            </w:tcBorders>
          </w:tcPr>
          <w:p w14:paraId="7EB75680" w14:textId="77777777" w:rsidR="00887292" w:rsidRPr="00EF2CDA" w:rsidRDefault="00887292" w:rsidP="00E252FD">
            <w:pPr>
              <w:ind w:firstLine="51"/>
              <w:rPr>
                <w:sz w:val="22"/>
                <w:u w:val="single"/>
              </w:rPr>
            </w:pPr>
            <w:r w:rsidRPr="00EF2CDA">
              <w:rPr>
                <w:sz w:val="22"/>
                <w:u w:val="single"/>
              </w:rPr>
              <w:t>Retāk</w:t>
            </w:r>
          </w:p>
          <w:p w14:paraId="5A7E5FF7" w14:textId="77777777" w:rsidR="00127B24" w:rsidRPr="00EF2CDA" w:rsidRDefault="00887292" w:rsidP="00E252FD">
            <w:pPr>
              <w:ind w:firstLine="51"/>
              <w:rPr>
                <w:sz w:val="22"/>
              </w:rPr>
            </w:pPr>
            <w:r w:rsidRPr="00EF2CDA">
              <w:rPr>
                <w:sz w:val="22"/>
              </w:rPr>
              <w:t>Hipertensija, pietvīkums, karstuma viļņi</w:t>
            </w:r>
            <w:r w:rsidR="00337F21" w:rsidRPr="00EF2CDA">
              <w:rPr>
                <w:sz w:val="22"/>
              </w:rPr>
              <w:t>.</w:t>
            </w:r>
            <w:r w:rsidRPr="00EF2CDA">
              <w:rPr>
                <w:sz w:val="22"/>
              </w:rPr>
              <w:t xml:space="preserve"> </w:t>
            </w:r>
          </w:p>
          <w:p w14:paraId="3D345D20" w14:textId="77777777" w:rsidR="00127B24" w:rsidRPr="00EF2CDA" w:rsidRDefault="00337F21" w:rsidP="00E252FD">
            <w:pPr>
              <w:ind w:firstLine="51"/>
              <w:rPr>
                <w:sz w:val="22"/>
              </w:rPr>
            </w:pPr>
            <w:r w:rsidRPr="00EF2CDA">
              <w:rPr>
                <w:sz w:val="22"/>
              </w:rPr>
              <w:t>120 mg</w:t>
            </w:r>
            <w:r w:rsidR="00127B24" w:rsidRPr="00EF2CDA">
              <w:rPr>
                <w:sz w:val="22"/>
              </w:rPr>
              <w:t xml:space="preserve"> </w:t>
            </w:r>
          </w:p>
          <w:p w14:paraId="2B391455" w14:textId="77777777" w:rsidR="00887292" w:rsidRDefault="00337F21" w:rsidP="00E252FD">
            <w:pPr>
              <w:ind w:firstLine="51"/>
              <w:rPr>
                <w:sz w:val="22"/>
              </w:rPr>
            </w:pPr>
            <w:r w:rsidRPr="00EF2CDA">
              <w:rPr>
                <w:sz w:val="22"/>
              </w:rPr>
              <w:t>A</w:t>
            </w:r>
            <w:r w:rsidR="00136143" w:rsidRPr="00EF2CDA">
              <w:rPr>
                <w:sz w:val="22"/>
              </w:rPr>
              <w:t>siņošana (skatīt apakšpunktu “</w:t>
            </w:r>
            <w:r w:rsidR="005668F3">
              <w:rPr>
                <w:sz w:val="22"/>
              </w:rPr>
              <w:t>t</w:t>
            </w:r>
            <w:r w:rsidRPr="00EF2CDA">
              <w:rPr>
                <w:sz w:val="22"/>
              </w:rPr>
              <w:t>umora līzes</w:t>
            </w:r>
            <w:r w:rsidR="00136143" w:rsidRPr="00EF2CDA">
              <w:rPr>
                <w:sz w:val="22"/>
              </w:rPr>
              <w:t xml:space="preserve"> sindroms”)</w:t>
            </w:r>
          </w:p>
          <w:p w14:paraId="17F5769F" w14:textId="77777777" w:rsidR="00796F12" w:rsidRPr="00E252FD" w:rsidRDefault="00796F12" w:rsidP="00E252FD">
            <w:pPr>
              <w:ind w:firstLine="51"/>
              <w:rPr>
                <w:sz w:val="22"/>
                <w:u w:val="single"/>
              </w:rPr>
            </w:pPr>
            <w:r w:rsidRPr="00E252FD">
              <w:rPr>
                <w:sz w:val="22"/>
                <w:u w:val="single"/>
              </w:rPr>
              <w:t>Reti</w:t>
            </w:r>
          </w:p>
          <w:p w14:paraId="1CE558AA" w14:textId="3ED461B7" w:rsidR="00796F12" w:rsidRPr="00EF2CDA" w:rsidRDefault="00796F12" w:rsidP="00E252FD">
            <w:pPr>
              <w:ind w:firstLine="51"/>
              <w:rPr>
                <w:sz w:val="22"/>
              </w:rPr>
            </w:pPr>
            <w:r w:rsidRPr="00796F12">
              <w:rPr>
                <w:sz w:val="22"/>
              </w:rPr>
              <w:t>Cirkulators kolapss</w:t>
            </w:r>
            <w:r w:rsidRPr="00E252FD">
              <w:rPr>
                <w:sz w:val="22"/>
                <w:vertAlign w:val="superscript"/>
              </w:rPr>
              <w:t>#</w:t>
            </w:r>
          </w:p>
        </w:tc>
      </w:tr>
      <w:tr w:rsidR="00887292" w:rsidRPr="00337F21" w14:paraId="1A868F67" w14:textId="77777777" w:rsidTr="00E252FD">
        <w:trPr>
          <w:trHeight w:hRule="exact" w:val="1840"/>
        </w:trPr>
        <w:tc>
          <w:tcPr>
            <w:tcW w:w="3198" w:type="dxa"/>
            <w:tcBorders>
              <w:top w:val="single" w:sz="5" w:space="0" w:color="000000"/>
              <w:left w:val="single" w:sz="5" w:space="0" w:color="000000"/>
              <w:bottom w:val="single" w:sz="5" w:space="0" w:color="000000"/>
              <w:right w:val="single" w:sz="5" w:space="0" w:color="000000"/>
            </w:tcBorders>
          </w:tcPr>
          <w:p w14:paraId="4C44C520"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t>Elpošanas sistēmas traucējumi</w:t>
            </w:r>
          </w:p>
        </w:tc>
        <w:tc>
          <w:tcPr>
            <w:tcW w:w="5848" w:type="dxa"/>
            <w:tcBorders>
              <w:top w:val="single" w:sz="5" w:space="0" w:color="000000"/>
              <w:left w:val="single" w:sz="5" w:space="0" w:color="000000"/>
              <w:bottom w:val="single" w:sz="5" w:space="0" w:color="000000"/>
              <w:right w:val="single" w:sz="5" w:space="0" w:color="000000"/>
            </w:tcBorders>
          </w:tcPr>
          <w:p w14:paraId="054B30EC" w14:textId="7254B5BB" w:rsidR="00887292" w:rsidRPr="00EF2CDA" w:rsidRDefault="00796F12" w:rsidP="007E6D6B">
            <w:pPr>
              <w:rPr>
                <w:sz w:val="22"/>
                <w:u w:val="single"/>
              </w:rPr>
            </w:pPr>
            <w:r>
              <w:rPr>
                <w:sz w:val="22"/>
                <w:u w:val="single"/>
              </w:rPr>
              <w:t>Bieži</w:t>
            </w:r>
          </w:p>
          <w:p w14:paraId="167B2862" w14:textId="77777777" w:rsidR="00796F12" w:rsidRDefault="00337F21" w:rsidP="007E6D6B">
            <w:pPr>
              <w:rPr>
                <w:sz w:val="22"/>
              </w:rPr>
            </w:pPr>
            <w:r w:rsidRPr="00EF2CDA">
              <w:rPr>
                <w:sz w:val="22"/>
              </w:rPr>
              <w:t>Dispnoja</w:t>
            </w:r>
          </w:p>
          <w:p w14:paraId="3BE93E85" w14:textId="77777777" w:rsidR="00796F12" w:rsidRPr="00E252FD" w:rsidRDefault="00796F12" w:rsidP="007E6D6B">
            <w:pPr>
              <w:rPr>
                <w:sz w:val="22"/>
                <w:u w:val="single"/>
              </w:rPr>
            </w:pPr>
            <w:r w:rsidRPr="00E252FD">
              <w:rPr>
                <w:sz w:val="22"/>
                <w:u w:val="single"/>
              </w:rPr>
              <w:t>Retāk</w:t>
            </w:r>
          </w:p>
          <w:p w14:paraId="2999F06F" w14:textId="6825E54A" w:rsidR="00796F12" w:rsidRPr="00796F12" w:rsidRDefault="00796F12" w:rsidP="00796F12">
            <w:pPr>
              <w:rPr>
                <w:sz w:val="22"/>
              </w:rPr>
            </w:pPr>
            <w:r>
              <w:rPr>
                <w:sz w:val="22"/>
              </w:rPr>
              <w:t>B</w:t>
            </w:r>
            <w:r w:rsidR="00887292" w:rsidRPr="00EF2CDA">
              <w:rPr>
                <w:sz w:val="22"/>
              </w:rPr>
              <w:t xml:space="preserve">ronhīts, augšējo elpceļu infekcija, </w:t>
            </w:r>
            <w:r w:rsidRPr="00796F12">
              <w:rPr>
                <w:sz w:val="22"/>
              </w:rPr>
              <w:t>dziļo elpceļu infekcijas</w:t>
            </w:r>
            <w:r w:rsidRPr="00E252FD">
              <w:rPr>
                <w:sz w:val="22"/>
                <w:vertAlign w:val="superscript"/>
              </w:rPr>
              <w:t>#</w:t>
            </w:r>
            <w:r w:rsidRPr="00796F12">
              <w:rPr>
                <w:sz w:val="22"/>
              </w:rPr>
              <w:t>,</w:t>
            </w:r>
            <w:r>
              <w:rPr>
                <w:sz w:val="22"/>
              </w:rPr>
              <w:t xml:space="preserve"> </w:t>
            </w:r>
            <w:r w:rsidR="00887292" w:rsidRPr="00EF2CDA">
              <w:rPr>
                <w:sz w:val="22"/>
              </w:rPr>
              <w:t>klepus</w:t>
            </w:r>
            <w:r>
              <w:rPr>
                <w:sz w:val="22"/>
              </w:rPr>
              <w:t xml:space="preserve">, </w:t>
            </w:r>
            <w:r w:rsidRPr="00796F12">
              <w:rPr>
                <w:sz w:val="22"/>
              </w:rPr>
              <w:t>rinoreja</w:t>
            </w:r>
            <w:r w:rsidRPr="00E252FD">
              <w:rPr>
                <w:sz w:val="22"/>
                <w:vertAlign w:val="superscript"/>
              </w:rPr>
              <w:t>#</w:t>
            </w:r>
          </w:p>
          <w:p w14:paraId="11A99683" w14:textId="77777777" w:rsidR="00796F12" w:rsidRPr="00E252FD" w:rsidRDefault="00796F12" w:rsidP="00796F12">
            <w:pPr>
              <w:rPr>
                <w:sz w:val="22"/>
                <w:u w:val="single"/>
              </w:rPr>
            </w:pPr>
            <w:r w:rsidRPr="00E252FD">
              <w:rPr>
                <w:sz w:val="22"/>
                <w:u w:val="single"/>
              </w:rPr>
              <w:t>Reti</w:t>
            </w:r>
          </w:p>
          <w:p w14:paraId="30A08E79" w14:textId="31FFDE4E" w:rsidR="00887292" w:rsidRPr="00EF2CDA" w:rsidRDefault="00796F12" w:rsidP="00796F12">
            <w:pPr>
              <w:rPr>
                <w:sz w:val="22"/>
              </w:rPr>
            </w:pPr>
            <w:r w:rsidRPr="00796F12">
              <w:rPr>
                <w:sz w:val="22"/>
              </w:rPr>
              <w:t>Pneimonija</w:t>
            </w:r>
            <w:r w:rsidRPr="00E252FD">
              <w:rPr>
                <w:sz w:val="22"/>
                <w:vertAlign w:val="superscript"/>
              </w:rPr>
              <w:t>#</w:t>
            </w:r>
          </w:p>
        </w:tc>
      </w:tr>
      <w:tr w:rsidR="00887292" w:rsidRPr="00337F21" w14:paraId="7FFFDC30" w14:textId="77777777" w:rsidTr="006C1D39">
        <w:trPr>
          <w:trHeight w:hRule="exact" w:val="2796"/>
        </w:trPr>
        <w:tc>
          <w:tcPr>
            <w:tcW w:w="3198" w:type="dxa"/>
            <w:tcBorders>
              <w:top w:val="single" w:sz="5" w:space="0" w:color="000000"/>
              <w:left w:val="single" w:sz="5" w:space="0" w:color="000000"/>
              <w:bottom w:val="single" w:sz="5" w:space="0" w:color="000000"/>
              <w:right w:val="single" w:sz="5" w:space="0" w:color="000000"/>
            </w:tcBorders>
          </w:tcPr>
          <w:p w14:paraId="373814EC"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t>Kuņģa-zarnu trakta traucējumi</w:t>
            </w:r>
          </w:p>
        </w:tc>
        <w:tc>
          <w:tcPr>
            <w:tcW w:w="5848" w:type="dxa"/>
            <w:tcBorders>
              <w:top w:val="single" w:sz="5" w:space="0" w:color="000000"/>
              <w:left w:val="single" w:sz="5" w:space="0" w:color="000000"/>
              <w:bottom w:val="single" w:sz="5" w:space="0" w:color="000000"/>
              <w:right w:val="single" w:sz="5" w:space="0" w:color="000000"/>
            </w:tcBorders>
          </w:tcPr>
          <w:p w14:paraId="7D87658B" w14:textId="77777777" w:rsidR="00337F21" w:rsidRDefault="00887292" w:rsidP="004938F2">
            <w:pPr>
              <w:pStyle w:val="TableParagraph"/>
              <w:ind w:left="99" w:right="3780"/>
              <w:rPr>
                <w:rFonts w:ascii="Times New Roman" w:hAnsi="Times New Roman"/>
              </w:rPr>
            </w:pPr>
            <w:r w:rsidRPr="00337F21">
              <w:rPr>
                <w:rFonts w:ascii="Times New Roman" w:hAnsi="Times New Roman"/>
                <w:u w:val="single"/>
              </w:rPr>
              <w:t>Bieži</w:t>
            </w:r>
            <w:r w:rsidRPr="00337F21">
              <w:rPr>
                <w:rFonts w:ascii="Times New Roman" w:hAnsi="Times New Roman"/>
              </w:rPr>
              <w:t xml:space="preserve"> </w:t>
            </w:r>
          </w:p>
          <w:p w14:paraId="4E4F6E18" w14:textId="77777777" w:rsidR="00337F21" w:rsidRDefault="00337F21" w:rsidP="00337F21">
            <w:pPr>
              <w:pStyle w:val="TableParagraph"/>
              <w:ind w:left="99" w:right="2809"/>
              <w:rPr>
                <w:rFonts w:ascii="Times New Roman" w:hAnsi="Times New Roman"/>
              </w:rPr>
            </w:pPr>
            <w:r>
              <w:rPr>
                <w:rFonts w:ascii="Times New Roman" w:hAnsi="Times New Roman"/>
              </w:rPr>
              <w:t>C</w:t>
            </w:r>
            <w:r w:rsidR="00887292" w:rsidRPr="00337F21">
              <w:rPr>
                <w:rFonts w:ascii="Times New Roman" w:hAnsi="Times New Roman"/>
              </w:rPr>
              <w:t xml:space="preserve">aureja**, slikta </w:t>
            </w:r>
            <w:r>
              <w:rPr>
                <w:rFonts w:ascii="Times New Roman" w:hAnsi="Times New Roman"/>
              </w:rPr>
              <w:t>d</w:t>
            </w:r>
            <w:r w:rsidR="00887292" w:rsidRPr="00337F21">
              <w:rPr>
                <w:rFonts w:ascii="Times New Roman" w:hAnsi="Times New Roman"/>
              </w:rPr>
              <w:t>ūša</w:t>
            </w:r>
          </w:p>
          <w:p w14:paraId="583F7E70" w14:textId="77777777" w:rsidR="00887292" w:rsidRPr="00337F21" w:rsidRDefault="00887292" w:rsidP="00337F21">
            <w:pPr>
              <w:pStyle w:val="TableParagraph"/>
              <w:ind w:left="99" w:right="2809"/>
              <w:rPr>
                <w:rFonts w:ascii="Times New Roman" w:eastAsia="Times New Roman" w:hAnsi="Times New Roman"/>
              </w:rPr>
            </w:pPr>
            <w:r w:rsidRPr="00337F21">
              <w:rPr>
                <w:rFonts w:ascii="Times New Roman" w:hAnsi="Times New Roman"/>
                <w:u w:val="single"/>
              </w:rPr>
              <w:t>Retāk</w:t>
            </w:r>
          </w:p>
          <w:p w14:paraId="683CE85E" w14:textId="6852FB17" w:rsidR="004C4F37" w:rsidRPr="004C4F37" w:rsidRDefault="00337F21" w:rsidP="004C4F37">
            <w:pPr>
              <w:pStyle w:val="TableParagraph"/>
              <w:ind w:left="99" w:right="179"/>
              <w:rPr>
                <w:rFonts w:ascii="Times New Roman" w:hAnsi="Times New Roman"/>
              </w:rPr>
            </w:pPr>
            <w:r>
              <w:rPr>
                <w:rFonts w:ascii="Times New Roman" w:hAnsi="Times New Roman"/>
              </w:rPr>
              <w:t>S</w:t>
            </w:r>
            <w:r w:rsidR="00887292" w:rsidRPr="00337F21">
              <w:rPr>
                <w:rFonts w:ascii="Times New Roman" w:hAnsi="Times New Roman"/>
              </w:rPr>
              <w:t xml:space="preserve">āpes vēderā, </w:t>
            </w:r>
            <w:r w:rsidR="004C4F37" w:rsidRPr="004C4F37">
              <w:rPr>
                <w:rFonts w:ascii="Times New Roman" w:hAnsi="Times New Roman"/>
              </w:rPr>
              <w:t>sāpes vēdera augšdaļā</w:t>
            </w:r>
            <w:r w:rsidR="004C4F37" w:rsidRPr="00E252FD">
              <w:rPr>
                <w:rFonts w:ascii="Times New Roman" w:hAnsi="Times New Roman"/>
                <w:vertAlign w:val="superscript"/>
              </w:rPr>
              <w:t>#</w:t>
            </w:r>
            <w:r w:rsidR="004C4F37">
              <w:rPr>
                <w:rFonts w:ascii="Times New Roman" w:hAnsi="Times New Roman"/>
              </w:rPr>
              <w:t xml:space="preserve">, </w:t>
            </w:r>
            <w:r w:rsidR="00887292" w:rsidRPr="00337F21">
              <w:rPr>
                <w:rFonts w:ascii="Times New Roman" w:hAnsi="Times New Roman"/>
              </w:rPr>
              <w:t xml:space="preserve">vēdera pūšanās, </w:t>
            </w:r>
            <w:r w:rsidR="002C11C3">
              <w:rPr>
                <w:rFonts w:ascii="Times New Roman" w:hAnsi="Times New Roman"/>
              </w:rPr>
              <w:t>gastroezofageālā</w:t>
            </w:r>
            <w:r w:rsidR="00887292" w:rsidRPr="00337F21">
              <w:rPr>
                <w:rFonts w:ascii="Times New Roman" w:hAnsi="Times New Roman"/>
              </w:rPr>
              <w:t xml:space="preserve"> atviļņa slimība, vemšana, mutes sausums, dispepsija, aizcietējums, bieža vēdera izeja, meteorisms, diskomforta sajūta kuņģa-zarnu traktā</w:t>
            </w:r>
            <w:r w:rsidR="004C4F37">
              <w:rPr>
                <w:rFonts w:ascii="Times New Roman" w:hAnsi="Times New Roman"/>
              </w:rPr>
              <w:t xml:space="preserve">, </w:t>
            </w:r>
            <w:r w:rsidR="004C4F37" w:rsidRPr="004C4F37">
              <w:rPr>
                <w:rFonts w:ascii="Times New Roman" w:hAnsi="Times New Roman"/>
              </w:rPr>
              <w:t>čūlas mutes dobumā,</w:t>
            </w:r>
          </w:p>
          <w:p w14:paraId="03AB4913" w14:textId="77777777" w:rsidR="004C4F37" w:rsidRPr="004C4F37" w:rsidRDefault="004C4F37" w:rsidP="004C4F37">
            <w:pPr>
              <w:pStyle w:val="TableParagraph"/>
              <w:ind w:left="99" w:right="179"/>
              <w:rPr>
                <w:rFonts w:ascii="Times New Roman" w:hAnsi="Times New Roman"/>
              </w:rPr>
            </w:pPr>
            <w:r w:rsidRPr="004C4F37">
              <w:rPr>
                <w:rFonts w:ascii="Times New Roman" w:hAnsi="Times New Roman"/>
              </w:rPr>
              <w:t>lūpu pietūkums</w:t>
            </w:r>
            <w:r w:rsidRPr="00E252FD">
              <w:rPr>
                <w:rFonts w:ascii="Times New Roman" w:hAnsi="Times New Roman"/>
                <w:vertAlign w:val="superscript"/>
              </w:rPr>
              <w:t>#</w:t>
            </w:r>
            <w:r w:rsidRPr="004C4F37">
              <w:rPr>
                <w:rFonts w:ascii="Times New Roman" w:hAnsi="Times New Roman"/>
              </w:rPr>
              <w:t>, pankreatīts</w:t>
            </w:r>
          </w:p>
          <w:p w14:paraId="5D1F1918" w14:textId="77777777" w:rsidR="004C4F37" w:rsidRPr="00E252FD" w:rsidRDefault="004C4F37" w:rsidP="004C4F37">
            <w:pPr>
              <w:pStyle w:val="TableParagraph"/>
              <w:ind w:left="99" w:right="179"/>
              <w:rPr>
                <w:rFonts w:ascii="Times New Roman" w:hAnsi="Times New Roman"/>
                <w:u w:val="single"/>
              </w:rPr>
            </w:pPr>
            <w:r w:rsidRPr="00E252FD">
              <w:rPr>
                <w:rFonts w:ascii="Times New Roman" w:hAnsi="Times New Roman"/>
                <w:u w:val="single"/>
              </w:rPr>
              <w:t>Reti</w:t>
            </w:r>
          </w:p>
          <w:p w14:paraId="3E02799A" w14:textId="0D129A98" w:rsidR="00887292" w:rsidRPr="00337F21" w:rsidRDefault="004C4F37" w:rsidP="00E252FD">
            <w:pPr>
              <w:pStyle w:val="TableParagraph"/>
              <w:ind w:left="99" w:right="179"/>
              <w:rPr>
                <w:rFonts w:ascii="Times New Roman" w:eastAsia="Times New Roman" w:hAnsi="Times New Roman"/>
              </w:rPr>
            </w:pPr>
            <w:r w:rsidRPr="004C4F37">
              <w:rPr>
                <w:rFonts w:ascii="Times New Roman" w:hAnsi="Times New Roman"/>
              </w:rPr>
              <w:t>Kuņģa-zarnu trakta perforācija</w:t>
            </w:r>
            <w:r w:rsidRPr="00E252FD">
              <w:rPr>
                <w:rFonts w:ascii="Times New Roman" w:hAnsi="Times New Roman"/>
                <w:vertAlign w:val="superscript"/>
              </w:rPr>
              <w:t>#</w:t>
            </w:r>
            <w:r w:rsidRPr="004C4F37">
              <w:rPr>
                <w:rFonts w:ascii="Times New Roman" w:hAnsi="Times New Roman"/>
              </w:rPr>
              <w:t>, stomatīts</w:t>
            </w:r>
            <w:r w:rsidRPr="00E252FD">
              <w:rPr>
                <w:rFonts w:ascii="Times New Roman" w:hAnsi="Times New Roman"/>
                <w:vertAlign w:val="superscript"/>
              </w:rPr>
              <w:t>#</w:t>
            </w:r>
          </w:p>
        </w:tc>
      </w:tr>
      <w:tr w:rsidR="00887292" w:rsidRPr="00337F21" w14:paraId="2AFB7DE0" w14:textId="77777777" w:rsidTr="00E252FD">
        <w:trPr>
          <w:trHeight w:hRule="exact" w:val="1572"/>
        </w:trPr>
        <w:tc>
          <w:tcPr>
            <w:tcW w:w="3198" w:type="dxa"/>
            <w:tcBorders>
              <w:top w:val="single" w:sz="5" w:space="0" w:color="000000"/>
              <w:left w:val="single" w:sz="5" w:space="0" w:color="000000"/>
              <w:bottom w:val="single" w:sz="5" w:space="0" w:color="000000"/>
              <w:right w:val="single" w:sz="5" w:space="0" w:color="000000"/>
            </w:tcBorders>
          </w:tcPr>
          <w:p w14:paraId="15AF1613"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lastRenderedPageBreak/>
              <w:t>Aknu un/vai žults izvades sistēmas traucējumi</w:t>
            </w:r>
          </w:p>
        </w:tc>
        <w:tc>
          <w:tcPr>
            <w:tcW w:w="5848" w:type="dxa"/>
            <w:tcBorders>
              <w:top w:val="single" w:sz="5" w:space="0" w:color="000000"/>
              <w:left w:val="single" w:sz="5" w:space="0" w:color="000000"/>
              <w:bottom w:val="single" w:sz="5" w:space="0" w:color="000000"/>
              <w:right w:val="single" w:sz="5" w:space="0" w:color="000000"/>
            </w:tcBorders>
          </w:tcPr>
          <w:p w14:paraId="78EE9B75"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Bieži</w:t>
            </w:r>
          </w:p>
          <w:p w14:paraId="74CEDF6C" w14:textId="77777777" w:rsidR="00B229C1" w:rsidRPr="00337F21" w:rsidRDefault="00887292" w:rsidP="002C11C3">
            <w:pPr>
              <w:pStyle w:val="TableParagraph"/>
              <w:ind w:left="99" w:right="824"/>
              <w:rPr>
                <w:rFonts w:ascii="Times New Roman" w:hAnsi="Times New Roman"/>
              </w:rPr>
            </w:pPr>
            <w:r w:rsidRPr="00337F21">
              <w:rPr>
                <w:rFonts w:ascii="Times New Roman" w:hAnsi="Times New Roman"/>
              </w:rPr>
              <w:t xml:space="preserve">Aknu darbības </w:t>
            </w:r>
            <w:r w:rsidR="002C11C3">
              <w:rPr>
                <w:rFonts w:ascii="Times New Roman" w:hAnsi="Times New Roman"/>
              </w:rPr>
              <w:t>patoloģiskas pārmaiņas</w:t>
            </w:r>
            <w:r w:rsidRPr="00337F21">
              <w:rPr>
                <w:rFonts w:ascii="Times New Roman" w:hAnsi="Times New Roman"/>
              </w:rPr>
              <w:t>**</w:t>
            </w:r>
          </w:p>
          <w:p w14:paraId="3F5E1F41" w14:textId="77777777" w:rsidR="00887292" w:rsidRPr="00337F21" w:rsidRDefault="00887292" w:rsidP="004938F2">
            <w:pPr>
              <w:pStyle w:val="TableParagraph"/>
              <w:ind w:left="99" w:right="3241"/>
              <w:rPr>
                <w:rFonts w:ascii="Times New Roman" w:eastAsia="Times New Roman" w:hAnsi="Times New Roman"/>
              </w:rPr>
            </w:pPr>
            <w:r w:rsidRPr="00337F21">
              <w:rPr>
                <w:rFonts w:ascii="Times New Roman" w:hAnsi="Times New Roman"/>
                <w:u w:val="single" w:color="000000"/>
              </w:rPr>
              <w:t>Retāk</w:t>
            </w:r>
          </w:p>
          <w:p w14:paraId="18E1E58B" w14:textId="77777777" w:rsidR="0052111A" w:rsidRPr="00337F21" w:rsidRDefault="00887292" w:rsidP="004938F2">
            <w:pPr>
              <w:pStyle w:val="TableParagraph"/>
              <w:ind w:left="99" w:right="3870"/>
              <w:rPr>
                <w:rFonts w:ascii="Times New Roman" w:hAnsi="Times New Roman"/>
              </w:rPr>
            </w:pPr>
            <w:r w:rsidRPr="00337F21">
              <w:rPr>
                <w:rFonts w:ascii="Times New Roman" w:hAnsi="Times New Roman"/>
              </w:rPr>
              <w:t>Žultsakmeņi</w:t>
            </w:r>
          </w:p>
          <w:p w14:paraId="2D2FD2AC" w14:textId="77777777" w:rsidR="00887292" w:rsidRPr="00337F21" w:rsidRDefault="00887292" w:rsidP="004938F2">
            <w:pPr>
              <w:pStyle w:val="TableParagraph"/>
              <w:ind w:left="99" w:right="3870"/>
              <w:rPr>
                <w:rFonts w:ascii="Times New Roman" w:eastAsia="Times New Roman" w:hAnsi="Times New Roman"/>
              </w:rPr>
            </w:pPr>
            <w:r w:rsidRPr="00337F21">
              <w:rPr>
                <w:rFonts w:ascii="Times New Roman" w:hAnsi="Times New Roman"/>
                <w:u w:val="single" w:color="000000"/>
              </w:rPr>
              <w:t>Reti</w:t>
            </w:r>
          </w:p>
          <w:p w14:paraId="1EB1EDC6" w14:textId="58DF9EB0" w:rsidR="00887292" w:rsidRPr="00337F21" w:rsidRDefault="00887292" w:rsidP="002C11C3">
            <w:pPr>
              <w:pStyle w:val="TableParagraph"/>
              <w:ind w:left="99"/>
              <w:rPr>
                <w:rFonts w:ascii="Times New Roman" w:eastAsia="Times New Roman" w:hAnsi="Times New Roman"/>
              </w:rPr>
            </w:pPr>
            <w:r w:rsidRPr="00337F21">
              <w:rPr>
                <w:rFonts w:ascii="Times New Roman" w:hAnsi="Times New Roman"/>
              </w:rPr>
              <w:t>Hepatīts, dzelte*, aknu bojājum</w:t>
            </w:r>
            <w:r w:rsidR="002C11C3">
              <w:rPr>
                <w:rFonts w:ascii="Times New Roman" w:hAnsi="Times New Roman"/>
              </w:rPr>
              <w:t>s</w:t>
            </w:r>
            <w:r w:rsidRPr="00337F21">
              <w:rPr>
                <w:rFonts w:ascii="Times New Roman" w:hAnsi="Times New Roman"/>
              </w:rPr>
              <w:t>*</w:t>
            </w:r>
            <w:r w:rsidR="004C4F37">
              <w:rPr>
                <w:rFonts w:ascii="Times New Roman" w:hAnsi="Times New Roman"/>
              </w:rPr>
              <w:t xml:space="preserve">, </w:t>
            </w:r>
            <w:r w:rsidR="004C4F37" w:rsidRPr="004C4F37">
              <w:rPr>
                <w:rFonts w:ascii="Times New Roman" w:hAnsi="Times New Roman"/>
              </w:rPr>
              <w:t>holecistīts</w:t>
            </w:r>
            <w:r w:rsidR="004C4F37" w:rsidRPr="00E252FD">
              <w:rPr>
                <w:rFonts w:ascii="Times New Roman" w:hAnsi="Times New Roman"/>
                <w:vertAlign w:val="superscript"/>
              </w:rPr>
              <w:t>#</w:t>
            </w:r>
          </w:p>
        </w:tc>
      </w:tr>
      <w:tr w:rsidR="00887292" w:rsidRPr="00337F21" w14:paraId="0A6EC513" w14:textId="77777777" w:rsidTr="00E252FD">
        <w:trPr>
          <w:trHeight w:hRule="exact" w:val="3819"/>
        </w:trPr>
        <w:tc>
          <w:tcPr>
            <w:tcW w:w="3198" w:type="dxa"/>
            <w:tcBorders>
              <w:top w:val="single" w:sz="5" w:space="0" w:color="000000"/>
              <w:left w:val="single" w:sz="5" w:space="0" w:color="000000"/>
              <w:bottom w:val="single" w:sz="5" w:space="0" w:color="000000"/>
              <w:right w:val="single" w:sz="5" w:space="0" w:color="000000"/>
            </w:tcBorders>
          </w:tcPr>
          <w:p w14:paraId="0D18D604" w14:textId="77777777" w:rsidR="00887292" w:rsidRPr="00337F21" w:rsidRDefault="00887292" w:rsidP="004938F2">
            <w:pPr>
              <w:pStyle w:val="TableParagraph"/>
              <w:ind w:left="102" w:right="539"/>
              <w:rPr>
                <w:rFonts w:ascii="Times New Roman" w:eastAsia="Times New Roman" w:hAnsi="Times New Roman"/>
              </w:rPr>
            </w:pPr>
            <w:r w:rsidRPr="00337F21">
              <w:rPr>
                <w:rFonts w:ascii="Times New Roman" w:hAnsi="Times New Roman"/>
              </w:rPr>
              <w:t>Ādas un zemādas audu bojājumi</w:t>
            </w:r>
          </w:p>
        </w:tc>
        <w:tc>
          <w:tcPr>
            <w:tcW w:w="5848" w:type="dxa"/>
            <w:tcBorders>
              <w:top w:val="single" w:sz="5" w:space="0" w:color="000000"/>
              <w:left w:val="single" w:sz="5" w:space="0" w:color="000000"/>
              <w:bottom w:val="single" w:sz="5" w:space="0" w:color="000000"/>
              <w:right w:val="single" w:sz="5" w:space="0" w:color="000000"/>
            </w:tcBorders>
          </w:tcPr>
          <w:p w14:paraId="0CD7108D"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Bieži</w:t>
            </w:r>
          </w:p>
          <w:p w14:paraId="31A2B46F" w14:textId="2F1EFFC8" w:rsidR="00887292" w:rsidRPr="00337F21" w:rsidRDefault="00887292" w:rsidP="002C11C3">
            <w:pPr>
              <w:pStyle w:val="TableParagraph"/>
              <w:ind w:left="99" w:right="399"/>
              <w:rPr>
                <w:rFonts w:ascii="Times New Roman" w:eastAsia="Times New Roman" w:hAnsi="Times New Roman"/>
              </w:rPr>
            </w:pPr>
            <w:r w:rsidRPr="00337F21">
              <w:rPr>
                <w:rFonts w:ascii="Times New Roman" w:hAnsi="Times New Roman"/>
              </w:rPr>
              <w:t xml:space="preserve">Izsitumi (arī dažādas retāk aprakstītas izsitumu formas, skatīt </w:t>
            </w:r>
            <w:r w:rsidR="002C11C3">
              <w:rPr>
                <w:rFonts w:ascii="Times New Roman" w:hAnsi="Times New Roman"/>
              </w:rPr>
              <w:t>turpmāk</w:t>
            </w:r>
            <w:r w:rsidRPr="00337F21">
              <w:rPr>
                <w:rFonts w:ascii="Times New Roman" w:hAnsi="Times New Roman"/>
              </w:rPr>
              <w:t>)</w:t>
            </w:r>
            <w:r w:rsidR="004C4F37">
              <w:rPr>
                <w:rFonts w:ascii="Times New Roman" w:hAnsi="Times New Roman"/>
              </w:rPr>
              <w:t>, nieze</w:t>
            </w:r>
          </w:p>
          <w:p w14:paraId="49F0DD8A"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Retāk</w:t>
            </w:r>
          </w:p>
          <w:p w14:paraId="386FE175" w14:textId="22E78A4F" w:rsidR="0052111A" w:rsidRPr="00337F21" w:rsidRDefault="00887292" w:rsidP="004C4F37">
            <w:pPr>
              <w:pStyle w:val="TableParagraph"/>
              <w:ind w:left="99" w:right="508"/>
              <w:rPr>
                <w:rFonts w:ascii="Times New Roman" w:hAnsi="Times New Roman"/>
              </w:rPr>
            </w:pPr>
            <w:r w:rsidRPr="00337F21">
              <w:rPr>
                <w:rFonts w:ascii="Times New Roman" w:hAnsi="Times New Roman"/>
              </w:rPr>
              <w:t>Dermatīts, nātrene, ādas krāsas pārmaiņas, ādas bojājumi, petēhijas, makulāri izsitumi, makulopapulāri izsitumi, papulāri izsitumi</w:t>
            </w:r>
            <w:r w:rsidR="004C4F37">
              <w:rPr>
                <w:rFonts w:ascii="Times New Roman" w:hAnsi="Times New Roman"/>
              </w:rPr>
              <w:t xml:space="preserve">, </w:t>
            </w:r>
            <w:r w:rsidR="004C4F37" w:rsidRPr="004C4F37">
              <w:rPr>
                <w:rFonts w:ascii="Times New Roman" w:hAnsi="Times New Roman"/>
              </w:rPr>
              <w:t>hiperhidroze, alopēcija, ekzēma</w:t>
            </w:r>
            <w:r w:rsidR="004C4F37" w:rsidRPr="00E252FD">
              <w:rPr>
                <w:rFonts w:ascii="Times New Roman" w:hAnsi="Times New Roman"/>
                <w:vertAlign w:val="superscript"/>
              </w:rPr>
              <w:t>#</w:t>
            </w:r>
            <w:r w:rsidR="004C4F37" w:rsidRPr="004C4F37">
              <w:rPr>
                <w:rFonts w:ascii="Times New Roman" w:hAnsi="Times New Roman"/>
              </w:rPr>
              <w:t>, eritēma, svīšana naktī</w:t>
            </w:r>
            <w:r w:rsidR="004C4F37" w:rsidRPr="00E252FD">
              <w:rPr>
                <w:rFonts w:ascii="Times New Roman" w:hAnsi="Times New Roman"/>
                <w:vertAlign w:val="superscript"/>
              </w:rPr>
              <w:t>#</w:t>
            </w:r>
            <w:r w:rsidR="004C4F37" w:rsidRPr="004C4F37">
              <w:rPr>
                <w:rFonts w:ascii="Times New Roman" w:hAnsi="Times New Roman"/>
              </w:rPr>
              <w:t>,</w:t>
            </w:r>
            <w:r w:rsidR="004C4F37">
              <w:rPr>
                <w:rFonts w:ascii="Times New Roman" w:hAnsi="Times New Roman"/>
              </w:rPr>
              <w:t xml:space="preserve"> </w:t>
            </w:r>
            <w:r w:rsidR="004C4F37" w:rsidRPr="004C4F37">
              <w:rPr>
                <w:rFonts w:ascii="Times New Roman" w:hAnsi="Times New Roman"/>
              </w:rPr>
              <w:t>psoriāze</w:t>
            </w:r>
            <w:r w:rsidR="004C4F37" w:rsidRPr="00E252FD">
              <w:rPr>
                <w:rFonts w:ascii="Times New Roman" w:hAnsi="Times New Roman"/>
                <w:vertAlign w:val="superscript"/>
              </w:rPr>
              <w:t>#</w:t>
            </w:r>
            <w:r w:rsidR="004C4F37" w:rsidRPr="004C4F37">
              <w:rPr>
                <w:rFonts w:ascii="Times New Roman" w:hAnsi="Times New Roman"/>
              </w:rPr>
              <w:t>, niezoši izsitumi</w:t>
            </w:r>
            <w:r w:rsidR="004C4F37" w:rsidRPr="00E252FD">
              <w:rPr>
                <w:rFonts w:ascii="Times New Roman" w:hAnsi="Times New Roman"/>
                <w:vertAlign w:val="superscript"/>
              </w:rPr>
              <w:t>#</w:t>
            </w:r>
          </w:p>
          <w:p w14:paraId="372915AE" w14:textId="77777777" w:rsidR="00887292" w:rsidRPr="00337F21" w:rsidRDefault="00887292" w:rsidP="004938F2">
            <w:pPr>
              <w:pStyle w:val="TableParagraph"/>
              <w:ind w:left="99" w:right="508"/>
              <w:rPr>
                <w:rFonts w:ascii="Times New Roman" w:eastAsia="Times New Roman" w:hAnsi="Times New Roman"/>
              </w:rPr>
            </w:pPr>
            <w:r w:rsidRPr="00337F21">
              <w:rPr>
                <w:rFonts w:ascii="Times New Roman" w:hAnsi="Times New Roman"/>
                <w:u w:val="single" w:color="000000"/>
              </w:rPr>
              <w:t>Reti</w:t>
            </w:r>
          </w:p>
          <w:p w14:paraId="3E317553" w14:textId="08D96921" w:rsidR="00887292" w:rsidRPr="00337F21" w:rsidRDefault="00887292" w:rsidP="002C11C3">
            <w:pPr>
              <w:pStyle w:val="TableParagraph"/>
              <w:ind w:left="99" w:right="361"/>
              <w:rPr>
                <w:rFonts w:ascii="Times New Roman" w:eastAsia="Times New Roman" w:hAnsi="Times New Roman"/>
              </w:rPr>
            </w:pPr>
            <w:r w:rsidRPr="00337F21">
              <w:rPr>
                <w:rFonts w:ascii="Times New Roman" w:hAnsi="Times New Roman"/>
              </w:rPr>
              <w:t xml:space="preserve">Toksiska epidermas nekrolīze*, Stīvensa-Džonsona sindroms*, </w:t>
            </w:r>
            <w:r w:rsidR="002C11C3">
              <w:rPr>
                <w:rFonts w:ascii="Times New Roman" w:hAnsi="Times New Roman"/>
              </w:rPr>
              <w:t>angioedēma</w:t>
            </w:r>
            <w:r w:rsidRPr="00337F21">
              <w:rPr>
                <w:rFonts w:ascii="Times New Roman" w:hAnsi="Times New Roman"/>
              </w:rPr>
              <w:t>*, zāļu izraisī</w:t>
            </w:r>
            <w:r w:rsidR="002C11C3">
              <w:rPr>
                <w:rFonts w:ascii="Times New Roman" w:hAnsi="Times New Roman"/>
              </w:rPr>
              <w:t>ta reakcija ar eozinofī</w:t>
            </w:r>
            <w:r w:rsidRPr="00337F21">
              <w:rPr>
                <w:rFonts w:ascii="Times New Roman" w:hAnsi="Times New Roman"/>
              </w:rPr>
              <w:t>liju un sistēmiskiem simptomiem*, ģeneralizēti izsitumi*</w:t>
            </w:r>
            <w:r w:rsidR="00E15348">
              <w:rPr>
                <w:rFonts w:ascii="Times New Roman" w:hAnsi="Times New Roman"/>
              </w:rPr>
              <w:t>(</w:t>
            </w:r>
            <w:r w:rsidR="00E15348" w:rsidRPr="00337F21">
              <w:rPr>
                <w:rFonts w:ascii="Times New Roman" w:hAnsi="Times New Roman"/>
              </w:rPr>
              <w:t>ļoti izteikti</w:t>
            </w:r>
            <w:r w:rsidR="00E15348">
              <w:rPr>
                <w:rFonts w:ascii="Times New Roman" w:hAnsi="Times New Roman"/>
              </w:rPr>
              <w:t>)</w:t>
            </w:r>
            <w:r w:rsidRPr="00337F21">
              <w:rPr>
                <w:rFonts w:ascii="Times New Roman" w:hAnsi="Times New Roman"/>
              </w:rPr>
              <w:t xml:space="preserve">, eksfoliatīvi izsitumi, folikulāri izsitumi, vezikulāri izsitumi, pustulozi izsitumi, eritematozi izsitumi, </w:t>
            </w:r>
            <w:r w:rsidR="002C11C3">
              <w:rPr>
                <w:rFonts w:ascii="Times New Roman" w:hAnsi="Times New Roman"/>
              </w:rPr>
              <w:t>masaliņu veida</w:t>
            </w:r>
            <w:r w:rsidRPr="00337F21">
              <w:rPr>
                <w:rFonts w:ascii="Times New Roman" w:hAnsi="Times New Roman"/>
              </w:rPr>
              <w:t xml:space="preserve"> izsitumi</w:t>
            </w:r>
          </w:p>
        </w:tc>
      </w:tr>
      <w:tr w:rsidR="00887292" w:rsidRPr="00337F21" w14:paraId="1821EEDA" w14:textId="77777777" w:rsidTr="00E252FD">
        <w:trPr>
          <w:trHeight w:hRule="exact" w:val="2568"/>
        </w:trPr>
        <w:tc>
          <w:tcPr>
            <w:tcW w:w="3198" w:type="dxa"/>
            <w:tcBorders>
              <w:top w:val="single" w:sz="5" w:space="0" w:color="000000"/>
              <w:left w:val="single" w:sz="5" w:space="0" w:color="000000"/>
              <w:bottom w:val="single" w:sz="5" w:space="0" w:color="000000"/>
              <w:right w:val="single" w:sz="5" w:space="0" w:color="000000"/>
            </w:tcBorders>
          </w:tcPr>
          <w:p w14:paraId="568B2E29" w14:textId="77777777" w:rsidR="00887292" w:rsidRPr="00337F21" w:rsidRDefault="00887292" w:rsidP="004938F2">
            <w:pPr>
              <w:pStyle w:val="TableParagraph"/>
              <w:ind w:left="102" w:right="287"/>
              <w:rPr>
                <w:rFonts w:ascii="Times New Roman" w:eastAsia="Times New Roman" w:hAnsi="Times New Roman"/>
              </w:rPr>
            </w:pPr>
            <w:r w:rsidRPr="00337F21">
              <w:rPr>
                <w:rFonts w:ascii="Times New Roman" w:hAnsi="Times New Roman"/>
              </w:rPr>
              <w:t>Skeleta-muskuļu un saistaudu sistēmas bojājumi</w:t>
            </w:r>
          </w:p>
        </w:tc>
        <w:tc>
          <w:tcPr>
            <w:tcW w:w="5848" w:type="dxa"/>
            <w:tcBorders>
              <w:top w:val="single" w:sz="5" w:space="0" w:color="000000"/>
              <w:left w:val="single" w:sz="5" w:space="0" w:color="000000"/>
              <w:bottom w:val="single" w:sz="5" w:space="0" w:color="000000"/>
              <w:right w:val="single" w:sz="5" w:space="0" w:color="000000"/>
            </w:tcBorders>
          </w:tcPr>
          <w:p w14:paraId="3476C6F1" w14:textId="0F91B237" w:rsidR="00887292" w:rsidRPr="00337F21" w:rsidRDefault="004C4F37" w:rsidP="004938F2">
            <w:pPr>
              <w:pStyle w:val="TableParagraph"/>
              <w:ind w:left="99"/>
              <w:rPr>
                <w:rFonts w:ascii="Times New Roman" w:eastAsia="Times New Roman" w:hAnsi="Times New Roman"/>
              </w:rPr>
            </w:pPr>
            <w:r>
              <w:rPr>
                <w:rFonts w:ascii="Times New Roman" w:hAnsi="Times New Roman"/>
                <w:u w:val="single" w:color="000000"/>
              </w:rPr>
              <w:t>Bieži</w:t>
            </w:r>
          </w:p>
          <w:p w14:paraId="1E2B9357" w14:textId="72DC3650" w:rsidR="00A9482E" w:rsidRDefault="00887292" w:rsidP="004938F2">
            <w:pPr>
              <w:pStyle w:val="TableParagraph"/>
              <w:ind w:left="99" w:right="763"/>
              <w:rPr>
                <w:rFonts w:ascii="Times New Roman" w:hAnsi="Times New Roman"/>
              </w:rPr>
            </w:pPr>
            <w:r w:rsidRPr="00337F21">
              <w:rPr>
                <w:rFonts w:ascii="Times New Roman" w:hAnsi="Times New Roman"/>
              </w:rPr>
              <w:t>Locītavu sāpes,</w:t>
            </w:r>
            <w:r w:rsidR="00A9482E">
              <w:rPr>
                <w:rFonts w:ascii="Times New Roman" w:hAnsi="Times New Roman"/>
              </w:rPr>
              <w:t xml:space="preserve"> </w:t>
            </w:r>
            <w:r w:rsidR="00A9482E" w:rsidRPr="00A9482E">
              <w:rPr>
                <w:rFonts w:ascii="Times New Roman" w:hAnsi="Times New Roman"/>
              </w:rPr>
              <w:t>mialģija, sāpes ekstremitātē</w:t>
            </w:r>
            <w:r w:rsidR="00A9482E" w:rsidRPr="00E252FD">
              <w:rPr>
                <w:rFonts w:ascii="Times New Roman" w:hAnsi="Times New Roman"/>
                <w:vertAlign w:val="superscript"/>
              </w:rPr>
              <w:t>#</w:t>
            </w:r>
          </w:p>
          <w:p w14:paraId="2D925DD6" w14:textId="77777777" w:rsidR="00A9482E" w:rsidRPr="00E252FD" w:rsidRDefault="00A9482E" w:rsidP="004938F2">
            <w:pPr>
              <w:pStyle w:val="TableParagraph"/>
              <w:ind w:left="99" w:right="763"/>
              <w:rPr>
                <w:rFonts w:ascii="Times New Roman" w:hAnsi="Times New Roman"/>
                <w:u w:val="single"/>
              </w:rPr>
            </w:pPr>
            <w:r w:rsidRPr="00E252FD">
              <w:rPr>
                <w:rFonts w:ascii="Times New Roman" w:hAnsi="Times New Roman"/>
                <w:u w:val="single"/>
              </w:rPr>
              <w:t>Retāk</w:t>
            </w:r>
          </w:p>
          <w:p w14:paraId="4BBAE28B" w14:textId="271A947C" w:rsidR="00887292" w:rsidRPr="00337F21" w:rsidRDefault="00A9482E" w:rsidP="00A9482E">
            <w:pPr>
              <w:pStyle w:val="TableParagraph"/>
              <w:ind w:left="99" w:right="763"/>
              <w:rPr>
                <w:rFonts w:ascii="Times New Roman" w:eastAsia="Times New Roman" w:hAnsi="Times New Roman"/>
              </w:rPr>
            </w:pPr>
            <w:r>
              <w:rPr>
                <w:rFonts w:ascii="Times New Roman" w:hAnsi="Times New Roman"/>
              </w:rPr>
              <w:t>A</w:t>
            </w:r>
            <w:r w:rsidR="00887292" w:rsidRPr="00337F21">
              <w:rPr>
                <w:rFonts w:ascii="Times New Roman" w:hAnsi="Times New Roman"/>
              </w:rPr>
              <w:t>rtrīts, skeleta muskuļu sāpes, muskuļu vājums, muskuļu spazmas, muskuļu stīvums, bursīts</w:t>
            </w:r>
            <w:r>
              <w:rPr>
                <w:rFonts w:ascii="Times New Roman" w:hAnsi="Times New Roman"/>
              </w:rPr>
              <w:t xml:space="preserve">, </w:t>
            </w:r>
            <w:r w:rsidRPr="00A9482E">
              <w:rPr>
                <w:rFonts w:ascii="Times New Roman" w:hAnsi="Times New Roman"/>
              </w:rPr>
              <w:t>locītavu pietūkums</w:t>
            </w:r>
            <w:r w:rsidRPr="00E252FD">
              <w:rPr>
                <w:rFonts w:ascii="Times New Roman" w:hAnsi="Times New Roman"/>
                <w:vertAlign w:val="superscript"/>
              </w:rPr>
              <w:t>#</w:t>
            </w:r>
            <w:r w:rsidRPr="00A9482E">
              <w:rPr>
                <w:rFonts w:ascii="Times New Roman" w:hAnsi="Times New Roman"/>
              </w:rPr>
              <w:t>,</w:t>
            </w:r>
            <w:r>
              <w:rPr>
                <w:rFonts w:ascii="Times New Roman" w:hAnsi="Times New Roman"/>
              </w:rPr>
              <w:t xml:space="preserve"> </w:t>
            </w:r>
            <w:r w:rsidRPr="00A9482E">
              <w:rPr>
                <w:rFonts w:ascii="Times New Roman" w:hAnsi="Times New Roman"/>
              </w:rPr>
              <w:t>muguras sāpes</w:t>
            </w:r>
            <w:r w:rsidRPr="00E252FD">
              <w:rPr>
                <w:rFonts w:ascii="Times New Roman" w:hAnsi="Times New Roman"/>
                <w:vertAlign w:val="superscript"/>
              </w:rPr>
              <w:t>#</w:t>
            </w:r>
            <w:r w:rsidRPr="00A9482E">
              <w:rPr>
                <w:rFonts w:ascii="Times New Roman" w:hAnsi="Times New Roman"/>
              </w:rPr>
              <w:t>, skeleta muskuļu stīvums</w:t>
            </w:r>
            <w:r w:rsidRPr="00E252FD">
              <w:rPr>
                <w:rFonts w:ascii="Times New Roman" w:hAnsi="Times New Roman"/>
                <w:vertAlign w:val="superscript"/>
              </w:rPr>
              <w:t>#</w:t>
            </w:r>
            <w:r w:rsidRPr="00A9482E">
              <w:rPr>
                <w:rFonts w:ascii="Times New Roman" w:hAnsi="Times New Roman"/>
              </w:rPr>
              <w:t>, locītavu stīvums</w:t>
            </w:r>
          </w:p>
          <w:p w14:paraId="5B91C3EA"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Reti</w:t>
            </w:r>
          </w:p>
          <w:p w14:paraId="05323C5C" w14:textId="77777777" w:rsidR="00A9482E" w:rsidRPr="00A9482E" w:rsidRDefault="00887292" w:rsidP="00A9482E">
            <w:pPr>
              <w:pStyle w:val="TableParagraph"/>
              <w:ind w:left="99"/>
              <w:rPr>
                <w:rFonts w:ascii="Times New Roman" w:hAnsi="Times New Roman"/>
              </w:rPr>
            </w:pPr>
            <w:r w:rsidRPr="00337F21">
              <w:rPr>
                <w:rFonts w:ascii="Times New Roman" w:hAnsi="Times New Roman"/>
              </w:rPr>
              <w:t>Rabdomiolīze</w:t>
            </w:r>
            <w:r w:rsidR="002C11C3">
              <w:rPr>
                <w:rFonts w:ascii="Times New Roman" w:hAnsi="Times New Roman"/>
              </w:rPr>
              <w:t>*</w:t>
            </w:r>
            <w:r w:rsidRPr="00337F21">
              <w:rPr>
                <w:rFonts w:ascii="Times New Roman" w:hAnsi="Times New Roman"/>
              </w:rPr>
              <w:t xml:space="preserve">, </w:t>
            </w:r>
            <w:r w:rsidR="00A9482E" w:rsidRPr="00A9482E">
              <w:rPr>
                <w:rFonts w:ascii="Times New Roman" w:hAnsi="Times New Roman"/>
              </w:rPr>
              <w:t>rotatoru manžetes sindroms</w:t>
            </w:r>
            <w:r w:rsidR="00A9482E" w:rsidRPr="00E252FD">
              <w:rPr>
                <w:rFonts w:ascii="Times New Roman" w:hAnsi="Times New Roman"/>
                <w:vertAlign w:val="superscript"/>
              </w:rPr>
              <w:t>#</w:t>
            </w:r>
            <w:r w:rsidR="00A9482E" w:rsidRPr="00A9482E">
              <w:rPr>
                <w:rFonts w:ascii="Times New Roman" w:hAnsi="Times New Roman"/>
              </w:rPr>
              <w:t>, reimatiska</w:t>
            </w:r>
          </w:p>
          <w:p w14:paraId="0215C48C" w14:textId="41BF2B3E" w:rsidR="00887292" w:rsidRPr="00337F21" w:rsidRDefault="00A9482E" w:rsidP="00A9482E">
            <w:pPr>
              <w:pStyle w:val="TableParagraph"/>
              <w:ind w:left="99"/>
              <w:rPr>
                <w:rFonts w:ascii="Times New Roman" w:eastAsia="Times New Roman" w:hAnsi="Times New Roman"/>
              </w:rPr>
            </w:pPr>
            <w:r w:rsidRPr="00A9482E">
              <w:rPr>
                <w:rFonts w:ascii="Times New Roman" w:hAnsi="Times New Roman"/>
              </w:rPr>
              <w:t>polimialģija</w:t>
            </w:r>
            <w:r w:rsidRPr="00E252FD">
              <w:rPr>
                <w:rFonts w:ascii="Times New Roman" w:hAnsi="Times New Roman"/>
                <w:vertAlign w:val="superscript"/>
              </w:rPr>
              <w:t>#</w:t>
            </w:r>
          </w:p>
        </w:tc>
      </w:tr>
      <w:tr w:rsidR="00887292" w:rsidRPr="00337F21" w14:paraId="6B21A2B8" w14:textId="77777777" w:rsidTr="006C1D39">
        <w:trPr>
          <w:trHeight w:hRule="exact" w:val="1859"/>
        </w:trPr>
        <w:tc>
          <w:tcPr>
            <w:tcW w:w="3198" w:type="dxa"/>
            <w:tcBorders>
              <w:top w:val="single" w:sz="5" w:space="0" w:color="000000"/>
              <w:left w:val="single" w:sz="5" w:space="0" w:color="000000"/>
              <w:bottom w:val="single" w:sz="5" w:space="0" w:color="000000"/>
              <w:right w:val="single" w:sz="5" w:space="0" w:color="000000"/>
            </w:tcBorders>
          </w:tcPr>
          <w:p w14:paraId="68D4D951" w14:textId="77777777" w:rsidR="00887292" w:rsidRPr="00337F21" w:rsidRDefault="00887292" w:rsidP="00A61059">
            <w:pPr>
              <w:pStyle w:val="TableParagraph"/>
              <w:ind w:left="102"/>
              <w:rPr>
                <w:rFonts w:ascii="Times New Roman" w:eastAsia="Times New Roman" w:hAnsi="Times New Roman"/>
              </w:rPr>
            </w:pPr>
            <w:r w:rsidRPr="00337F21">
              <w:rPr>
                <w:rFonts w:ascii="Times New Roman" w:hAnsi="Times New Roman"/>
              </w:rPr>
              <w:t xml:space="preserve">Nieru un </w:t>
            </w:r>
            <w:r w:rsidR="00A61059">
              <w:rPr>
                <w:rFonts w:ascii="Times New Roman" w:hAnsi="Times New Roman"/>
              </w:rPr>
              <w:t>urīna izvades sistēmas</w:t>
            </w:r>
            <w:r w:rsidRPr="00337F21">
              <w:rPr>
                <w:rFonts w:ascii="Times New Roman" w:hAnsi="Times New Roman"/>
              </w:rPr>
              <w:t xml:space="preserve"> traucējumi</w:t>
            </w:r>
          </w:p>
        </w:tc>
        <w:tc>
          <w:tcPr>
            <w:tcW w:w="5848" w:type="dxa"/>
            <w:tcBorders>
              <w:top w:val="single" w:sz="5" w:space="0" w:color="000000"/>
              <w:left w:val="single" w:sz="5" w:space="0" w:color="000000"/>
              <w:bottom w:val="single" w:sz="5" w:space="0" w:color="000000"/>
              <w:right w:val="single" w:sz="5" w:space="0" w:color="000000"/>
            </w:tcBorders>
          </w:tcPr>
          <w:p w14:paraId="48A1EB24"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Retāk</w:t>
            </w:r>
          </w:p>
          <w:p w14:paraId="06C6A171" w14:textId="3D6403E8" w:rsidR="0052111A" w:rsidRPr="00337F21" w:rsidRDefault="00887292" w:rsidP="004938F2">
            <w:pPr>
              <w:pStyle w:val="TableParagraph"/>
              <w:ind w:left="99" w:right="206"/>
              <w:rPr>
                <w:rFonts w:ascii="Times New Roman" w:hAnsi="Times New Roman"/>
              </w:rPr>
            </w:pPr>
            <w:r w:rsidRPr="00337F21">
              <w:rPr>
                <w:rFonts w:ascii="Times New Roman" w:hAnsi="Times New Roman"/>
              </w:rPr>
              <w:t>Nieru mazspēja, nierakmeņi, hematūrija, polakiūrija, proteinūrija</w:t>
            </w:r>
            <w:r w:rsidR="00A9482E">
              <w:rPr>
                <w:rFonts w:ascii="Times New Roman" w:hAnsi="Times New Roman"/>
              </w:rPr>
              <w:t xml:space="preserve">, </w:t>
            </w:r>
            <w:r w:rsidR="00A9482E" w:rsidRPr="00A9482E">
              <w:rPr>
                <w:rFonts w:ascii="Times New Roman" w:hAnsi="Times New Roman"/>
              </w:rPr>
              <w:t>neatliekama urinācijas tieksme, urīnceļu infekcija</w:t>
            </w:r>
            <w:r w:rsidR="00A9482E" w:rsidRPr="00E252FD">
              <w:rPr>
                <w:rFonts w:ascii="Times New Roman" w:hAnsi="Times New Roman"/>
                <w:vertAlign w:val="superscript"/>
              </w:rPr>
              <w:t>#</w:t>
            </w:r>
          </w:p>
          <w:p w14:paraId="0D2C2BF8" w14:textId="77777777" w:rsidR="00887292" w:rsidRPr="00337F21" w:rsidRDefault="00887292" w:rsidP="004938F2">
            <w:pPr>
              <w:pStyle w:val="TableParagraph"/>
              <w:ind w:left="99" w:right="206"/>
              <w:rPr>
                <w:rFonts w:ascii="Times New Roman" w:eastAsia="Times New Roman" w:hAnsi="Times New Roman"/>
              </w:rPr>
            </w:pPr>
            <w:r w:rsidRPr="00337F21">
              <w:rPr>
                <w:rFonts w:ascii="Times New Roman" w:hAnsi="Times New Roman"/>
                <w:u w:val="single" w:color="000000"/>
              </w:rPr>
              <w:t>Reti</w:t>
            </w:r>
          </w:p>
          <w:p w14:paraId="729F7A3E" w14:textId="2CB05F63"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rPr>
              <w:t>Tubulointersticiāls nefrīts*</w:t>
            </w:r>
          </w:p>
        </w:tc>
      </w:tr>
      <w:tr w:rsidR="00887292" w:rsidRPr="00337F21" w14:paraId="04EA202B" w14:textId="77777777" w:rsidTr="006C1D39">
        <w:trPr>
          <w:trHeight w:hRule="exact" w:val="771"/>
        </w:trPr>
        <w:tc>
          <w:tcPr>
            <w:tcW w:w="3198" w:type="dxa"/>
            <w:tcBorders>
              <w:top w:val="single" w:sz="5" w:space="0" w:color="000000"/>
              <w:left w:val="single" w:sz="5" w:space="0" w:color="000000"/>
              <w:bottom w:val="single" w:sz="5" w:space="0" w:color="000000"/>
              <w:right w:val="single" w:sz="5" w:space="0" w:color="000000"/>
            </w:tcBorders>
          </w:tcPr>
          <w:p w14:paraId="046C52FA" w14:textId="77777777" w:rsidR="00887292" w:rsidRPr="00337F21" w:rsidRDefault="00887292" w:rsidP="004938F2">
            <w:pPr>
              <w:pStyle w:val="TableParagraph"/>
              <w:ind w:left="102" w:right="307"/>
              <w:rPr>
                <w:rFonts w:ascii="Times New Roman" w:eastAsia="Times New Roman" w:hAnsi="Times New Roman"/>
              </w:rPr>
            </w:pPr>
            <w:r w:rsidRPr="00337F21">
              <w:rPr>
                <w:rFonts w:ascii="Times New Roman" w:hAnsi="Times New Roman"/>
              </w:rPr>
              <w:t>Reproduktīvās sistēmas traucējumi un krūts slimības</w:t>
            </w:r>
          </w:p>
        </w:tc>
        <w:tc>
          <w:tcPr>
            <w:tcW w:w="5848" w:type="dxa"/>
            <w:tcBorders>
              <w:top w:val="single" w:sz="5" w:space="0" w:color="000000"/>
              <w:left w:val="single" w:sz="5" w:space="0" w:color="000000"/>
              <w:bottom w:val="single" w:sz="5" w:space="0" w:color="000000"/>
              <w:right w:val="single" w:sz="5" w:space="0" w:color="000000"/>
            </w:tcBorders>
          </w:tcPr>
          <w:p w14:paraId="4AB7E41C"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Retāk</w:t>
            </w:r>
          </w:p>
          <w:p w14:paraId="0BB6F538"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rPr>
              <w:t>Erektilā disfunkcija</w:t>
            </w:r>
          </w:p>
        </w:tc>
      </w:tr>
      <w:tr w:rsidR="00887292" w:rsidRPr="00337F21" w14:paraId="3DD369CE" w14:textId="77777777" w:rsidTr="006C1D39">
        <w:trPr>
          <w:trHeight w:hRule="exact" w:val="2042"/>
        </w:trPr>
        <w:tc>
          <w:tcPr>
            <w:tcW w:w="3198" w:type="dxa"/>
            <w:tcBorders>
              <w:top w:val="single" w:sz="5" w:space="0" w:color="000000"/>
              <w:left w:val="single" w:sz="5" w:space="0" w:color="000000"/>
              <w:bottom w:val="single" w:sz="5" w:space="0" w:color="000000"/>
              <w:right w:val="single" w:sz="5" w:space="0" w:color="000000"/>
            </w:tcBorders>
          </w:tcPr>
          <w:p w14:paraId="24E0B54A" w14:textId="77777777" w:rsidR="00887292" w:rsidRPr="00337F21" w:rsidRDefault="00887292" w:rsidP="004938F2">
            <w:pPr>
              <w:pStyle w:val="TableParagraph"/>
              <w:ind w:left="102" w:right="508"/>
              <w:rPr>
                <w:rFonts w:ascii="Times New Roman" w:eastAsia="Times New Roman" w:hAnsi="Times New Roman"/>
              </w:rPr>
            </w:pPr>
            <w:r w:rsidRPr="00337F21">
              <w:rPr>
                <w:rFonts w:ascii="Times New Roman" w:hAnsi="Times New Roman"/>
              </w:rPr>
              <w:t>Vispārēji traucējumi un reakcijas ievadīšanas vietā</w:t>
            </w:r>
          </w:p>
        </w:tc>
        <w:tc>
          <w:tcPr>
            <w:tcW w:w="5848" w:type="dxa"/>
            <w:tcBorders>
              <w:top w:val="single" w:sz="5" w:space="0" w:color="000000"/>
              <w:left w:val="single" w:sz="5" w:space="0" w:color="000000"/>
              <w:bottom w:val="single" w:sz="5" w:space="0" w:color="000000"/>
              <w:right w:val="single" w:sz="5" w:space="0" w:color="000000"/>
            </w:tcBorders>
          </w:tcPr>
          <w:p w14:paraId="5B979D0A" w14:textId="77777777" w:rsidR="0052111A" w:rsidRPr="00337F21" w:rsidRDefault="00887292" w:rsidP="004938F2">
            <w:pPr>
              <w:pStyle w:val="TableParagraph"/>
              <w:ind w:left="99" w:right="3870"/>
              <w:rPr>
                <w:rFonts w:ascii="Times New Roman" w:hAnsi="Times New Roman"/>
              </w:rPr>
            </w:pPr>
            <w:r w:rsidRPr="00337F21">
              <w:rPr>
                <w:rFonts w:ascii="Times New Roman" w:hAnsi="Times New Roman"/>
                <w:u w:val="single" w:color="000000"/>
              </w:rPr>
              <w:t>Bieži</w:t>
            </w:r>
          </w:p>
          <w:p w14:paraId="62707B92" w14:textId="05481CB4" w:rsidR="00842B34" w:rsidRPr="00337F21" w:rsidRDefault="00887292" w:rsidP="004938F2">
            <w:pPr>
              <w:pStyle w:val="TableParagraph"/>
              <w:ind w:left="99" w:right="3870"/>
              <w:rPr>
                <w:rFonts w:ascii="Times New Roman" w:hAnsi="Times New Roman"/>
              </w:rPr>
            </w:pPr>
            <w:r w:rsidRPr="00337F21">
              <w:rPr>
                <w:rFonts w:ascii="Times New Roman" w:hAnsi="Times New Roman"/>
              </w:rPr>
              <w:t>Tūska</w:t>
            </w:r>
            <w:r w:rsidR="00A9482E">
              <w:rPr>
                <w:rFonts w:ascii="Times New Roman" w:hAnsi="Times New Roman"/>
              </w:rPr>
              <w:t>, nespēks</w:t>
            </w:r>
          </w:p>
          <w:p w14:paraId="3C30C440" w14:textId="77777777" w:rsidR="00887292" w:rsidRPr="00337F21" w:rsidRDefault="00887292" w:rsidP="004938F2">
            <w:pPr>
              <w:pStyle w:val="TableParagraph"/>
              <w:ind w:left="99" w:right="3870"/>
              <w:rPr>
                <w:rFonts w:ascii="Times New Roman" w:eastAsia="Times New Roman" w:hAnsi="Times New Roman"/>
              </w:rPr>
            </w:pPr>
            <w:r w:rsidRPr="00337F21">
              <w:rPr>
                <w:rFonts w:ascii="Times New Roman" w:hAnsi="Times New Roman"/>
                <w:u w:val="single" w:color="000000"/>
              </w:rPr>
              <w:t>Retāk</w:t>
            </w:r>
          </w:p>
          <w:p w14:paraId="59062631" w14:textId="1320BDCF" w:rsidR="00A9482E" w:rsidRPr="00A9482E" w:rsidRDefault="00A9482E" w:rsidP="00A9482E">
            <w:pPr>
              <w:pStyle w:val="TableParagraph"/>
              <w:ind w:left="99" w:right="115"/>
              <w:rPr>
                <w:rFonts w:ascii="Times New Roman" w:hAnsi="Times New Roman"/>
              </w:rPr>
            </w:pPr>
            <w:r>
              <w:rPr>
                <w:rFonts w:ascii="Times New Roman" w:hAnsi="Times New Roman"/>
              </w:rPr>
              <w:t>S</w:t>
            </w:r>
            <w:r w:rsidR="00887292" w:rsidRPr="00337F21">
              <w:rPr>
                <w:rFonts w:ascii="Times New Roman" w:hAnsi="Times New Roman"/>
              </w:rPr>
              <w:t>āpes krū</w:t>
            </w:r>
            <w:r w:rsidR="00A15D20">
              <w:rPr>
                <w:rFonts w:ascii="Times New Roman" w:hAnsi="Times New Roman"/>
              </w:rPr>
              <w:t>šu kurvī</w:t>
            </w:r>
            <w:r w:rsidR="00887292" w:rsidRPr="00337F21">
              <w:rPr>
                <w:rFonts w:ascii="Times New Roman" w:hAnsi="Times New Roman"/>
              </w:rPr>
              <w:t>, diskomforta sajūta krū</w:t>
            </w:r>
            <w:r w:rsidR="00A15D20">
              <w:rPr>
                <w:rFonts w:ascii="Times New Roman" w:hAnsi="Times New Roman"/>
              </w:rPr>
              <w:t>šu kurvī</w:t>
            </w:r>
            <w:r>
              <w:rPr>
                <w:rFonts w:ascii="Times New Roman" w:hAnsi="Times New Roman"/>
              </w:rPr>
              <w:t xml:space="preserve">, </w:t>
            </w:r>
            <w:r w:rsidRPr="00A9482E">
              <w:rPr>
                <w:rFonts w:ascii="Times New Roman" w:hAnsi="Times New Roman"/>
              </w:rPr>
              <w:t>sāpes</w:t>
            </w:r>
            <w:r w:rsidRPr="00E252FD">
              <w:rPr>
                <w:rFonts w:ascii="Times New Roman" w:hAnsi="Times New Roman"/>
                <w:vertAlign w:val="superscript"/>
              </w:rPr>
              <w:t>#</w:t>
            </w:r>
            <w:r w:rsidRPr="00A9482E">
              <w:rPr>
                <w:rFonts w:ascii="Times New Roman" w:hAnsi="Times New Roman"/>
              </w:rPr>
              <w:t>,</w:t>
            </w:r>
          </w:p>
          <w:p w14:paraId="35E5A3E4" w14:textId="5BF4058F" w:rsidR="0052111A" w:rsidRPr="00337F21" w:rsidRDefault="00A9482E" w:rsidP="00E252FD">
            <w:pPr>
              <w:pStyle w:val="TableParagraph"/>
              <w:ind w:left="99" w:right="115"/>
              <w:rPr>
                <w:rFonts w:ascii="Times New Roman" w:hAnsi="Times New Roman"/>
              </w:rPr>
            </w:pPr>
            <w:r w:rsidRPr="00A9482E">
              <w:rPr>
                <w:rFonts w:ascii="Times New Roman" w:hAnsi="Times New Roman"/>
              </w:rPr>
              <w:t>savārgums</w:t>
            </w:r>
            <w:r w:rsidRPr="00E252FD">
              <w:rPr>
                <w:rFonts w:ascii="Times New Roman" w:hAnsi="Times New Roman"/>
                <w:vertAlign w:val="superscript"/>
              </w:rPr>
              <w:t>#</w:t>
            </w:r>
          </w:p>
          <w:p w14:paraId="45CD3719" w14:textId="77777777" w:rsidR="00887292" w:rsidRPr="00337F21" w:rsidRDefault="00887292" w:rsidP="004938F2">
            <w:pPr>
              <w:pStyle w:val="TableParagraph"/>
              <w:ind w:left="99" w:right="2753"/>
              <w:rPr>
                <w:rFonts w:ascii="Times New Roman" w:eastAsia="Times New Roman" w:hAnsi="Times New Roman"/>
              </w:rPr>
            </w:pPr>
            <w:r w:rsidRPr="00337F21">
              <w:rPr>
                <w:rFonts w:ascii="Times New Roman" w:hAnsi="Times New Roman"/>
                <w:u w:val="single" w:color="000000"/>
              </w:rPr>
              <w:t>Reti</w:t>
            </w:r>
          </w:p>
          <w:p w14:paraId="6CC788AE" w14:textId="2BC9AC12"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rPr>
              <w:t>Slāpes</w:t>
            </w:r>
            <w:r w:rsidR="00A9482E">
              <w:rPr>
                <w:rFonts w:ascii="Times New Roman" w:hAnsi="Times New Roman"/>
              </w:rPr>
              <w:t xml:space="preserve">, </w:t>
            </w:r>
            <w:r w:rsidR="00A9482E" w:rsidRPr="00A9482E">
              <w:rPr>
                <w:rFonts w:ascii="Times New Roman" w:hAnsi="Times New Roman"/>
              </w:rPr>
              <w:t>karstuma sajūta</w:t>
            </w:r>
            <w:r w:rsidR="00A9482E" w:rsidRPr="00E252FD">
              <w:rPr>
                <w:rFonts w:ascii="Times New Roman" w:hAnsi="Times New Roman"/>
                <w:vertAlign w:val="superscript"/>
              </w:rPr>
              <w:t>#</w:t>
            </w:r>
          </w:p>
        </w:tc>
      </w:tr>
      <w:tr w:rsidR="00887292" w:rsidRPr="00337F21" w14:paraId="18A7BB78" w14:textId="77777777" w:rsidTr="006C1D39">
        <w:trPr>
          <w:trHeight w:hRule="exact" w:val="3974"/>
        </w:trPr>
        <w:tc>
          <w:tcPr>
            <w:tcW w:w="3198" w:type="dxa"/>
            <w:tcBorders>
              <w:top w:val="single" w:sz="5" w:space="0" w:color="000000"/>
              <w:left w:val="single" w:sz="5" w:space="0" w:color="000000"/>
              <w:bottom w:val="single" w:sz="5" w:space="0" w:color="000000"/>
              <w:right w:val="single" w:sz="5" w:space="0" w:color="000000"/>
            </w:tcBorders>
          </w:tcPr>
          <w:p w14:paraId="728EE192" w14:textId="77777777" w:rsidR="00887292" w:rsidRPr="00337F21" w:rsidRDefault="00887292" w:rsidP="004938F2">
            <w:pPr>
              <w:pStyle w:val="TableParagraph"/>
              <w:ind w:left="102"/>
              <w:rPr>
                <w:rFonts w:ascii="Times New Roman" w:eastAsia="Times New Roman" w:hAnsi="Times New Roman"/>
              </w:rPr>
            </w:pPr>
            <w:r w:rsidRPr="00337F21">
              <w:rPr>
                <w:rFonts w:ascii="Times New Roman" w:hAnsi="Times New Roman"/>
              </w:rPr>
              <w:lastRenderedPageBreak/>
              <w:t>Izmeklējumi</w:t>
            </w:r>
          </w:p>
        </w:tc>
        <w:tc>
          <w:tcPr>
            <w:tcW w:w="5848" w:type="dxa"/>
            <w:tcBorders>
              <w:top w:val="single" w:sz="5" w:space="0" w:color="000000"/>
              <w:left w:val="single" w:sz="5" w:space="0" w:color="000000"/>
              <w:bottom w:val="single" w:sz="5" w:space="0" w:color="000000"/>
              <w:right w:val="single" w:sz="5" w:space="0" w:color="000000"/>
            </w:tcBorders>
          </w:tcPr>
          <w:p w14:paraId="6E7080CB" w14:textId="77777777" w:rsidR="00887292" w:rsidRPr="00337F21" w:rsidRDefault="00887292" w:rsidP="004938F2">
            <w:pPr>
              <w:pStyle w:val="TableParagraph"/>
              <w:ind w:left="99"/>
              <w:rPr>
                <w:rFonts w:ascii="Times New Roman" w:eastAsia="Times New Roman" w:hAnsi="Times New Roman"/>
              </w:rPr>
            </w:pPr>
            <w:r w:rsidRPr="00337F21">
              <w:rPr>
                <w:rFonts w:ascii="Times New Roman" w:hAnsi="Times New Roman"/>
                <w:u w:val="single" w:color="000000"/>
              </w:rPr>
              <w:t>Retāk</w:t>
            </w:r>
          </w:p>
          <w:p w14:paraId="6D09D52B" w14:textId="1574B6BC" w:rsidR="00887292" w:rsidRPr="00337F21" w:rsidRDefault="00887292" w:rsidP="004938F2">
            <w:pPr>
              <w:pStyle w:val="TableParagraph"/>
              <w:ind w:left="99" w:right="295"/>
              <w:rPr>
                <w:rFonts w:ascii="Times New Roman" w:hAnsi="Times New Roman"/>
              </w:rPr>
            </w:pPr>
            <w:r w:rsidRPr="00337F21">
              <w:rPr>
                <w:rFonts w:ascii="Times New Roman" w:hAnsi="Times New Roman"/>
              </w:rPr>
              <w:t>Paaugstināts amilāzes līmenis asinīs, trombocītu skaita samazināšanās, leikocītu skaita samazināšanās, limfocītu skaita samazināšanās, paaugstināts kreatīna līmenis asinīs, paaugstināts kreatinīna līmenis asinīs, hemoglobīna līmeņa pazemināšanās, paaugstināts urīnvielas līmenis asinīs, paaugstināts triglicerīdu līmenis asinīs, paaugstināts holesterīna līmenis asinīs, hematokrīta samazināšanās, paaugstināts laktātdehidrogenāzes līmenis asinīs, paaugstināts kālija līmenis asinīs</w:t>
            </w:r>
            <w:r w:rsidR="00A9482E">
              <w:rPr>
                <w:rFonts w:ascii="Times New Roman" w:hAnsi="Times New Roman"/>
              </w:rPr>
              <w:t xml:space="preserve">, </w:t>
            </w:r>
            <w:r w:rsidR="00A9482E" w:rsidRPr="00A9482E">
              <w:rPr>
                <w:rFonts w:ascii="Times New Roman" w:hAnsi="Times New Roman"/>
              </w:rPr>
              <w:t>paaugstināts INR</w:t>
            </w:r>
            <w:r w:rsidR="00A9482E" w:rsidRPr="00E252FD">
              <w:rPr>
                <w:rFonts w:ascii="Times New Roman" w:hAnsi="Times New Roman"/>
                <w:vertAlign w:val="superscript"/>
              </w:rPr>
              <w:t>#</w:t>
            </w:r>
          </w:p>
          <w:p w14:paraId="2D43C257" w14:textId="77777777" w:rsidR="00654034" w:rsidRPr="00337F21" w:rsidRDefault="00654034" w:rsidP="004938F2">
            <w:pPr>
              <w:pStyle w:val="TableParagraph"/>
              <w:ind w:left="99" w:right="295"/>
              <w:rPr>
                <w:rFonts w:ascii="Times New Roman" w:hAnsi="Times New Roman"/>
                <w:u w:val="single"/>
              </w:rPr>
            </w:pPr>
            <w:r w:rsidRPr="00337F21">
              <w:rPr>
                <w:rFonts w:ascii="Times New Roman" w:hAnsi="Times New Roman"/>
                <w:u w:val="single"/>
              </w:rPr>
              <w:t>Reti</w:t>
            </w:r>
          </w:p>
          <w:p w14:paraId="1B8356DA" w14:textId="77777777" w:rsidR="00654034" w:rsidRPr="00337F21" w:rsidRDefault="00654034" w:rsidP="00A61059">
            <w:pPr>
              <w:pStyle w:val="TableParagraph"/>
              <w:ind w:left="99" w:right="295"/>
              <w:rPr>
                <w:rFonts w:ascii="Times New Roman" w:eastAsia="Times New Roman" w:hAnsi="Times New Roman"/>
              </w:rPr>
            </w:pPr>
            <w:r w:rsidRPr="00337F21">
              <w:rPr>
                <w:rFonts w:ascii="Times New Roman" w:hAnsi="Times New Roman"/>
              </w:rPr>
              <w:t xml:space="preserve">Paaugstināts glikozes līmenis asinīs, aktivētā </w:t>
            </w:r>
            <w:r w:rsidR="00A61059" w:rsidRPr="00337F21">
              <w:rPr>
                <w:rFonts w:ascii="Times New Roman" w:hAnsi="Times New Roman"/>
              </w:rPr>
              <w:t xml:space="preserve">parciālā </w:t>
            </w:r>
            <w:r w:rsidRPr="00337F21">
              <w:rPr>
                <w:rFonts w:ascii="Times New Roman" w:hAnsi="Times New Roman"/>
              </w:rPr>
              <w:t>tromboplastīna laika pagarināšanās, eritrocītu skaita samazināšanās, paaugstināts sārmainās fosfatāzes līmenis asinīs, paaugstināts kreatīnfosfokināzes līmenis asinīs*</w:t>
            </w:r>
          </w:p>
        </w:tc>
      </w:tr>
      <w:tr w:rsidR="00A9482E" w:rsidRPr="00337F21" w14:paraId="4EDC9CCF" w14:textId="77777777" w:rsidTr="006C1D39">
        <w:trPr>
          <w:trHeight w:hRule="exact" w:val="3974"/>
        </w:trPr>
        <w:tc>
          <w:tcPr>
            <w:tcW w:w="3198" w:type="dxa"/>
            <w:tcBorders>
              <w:top w:val="single" w:sz="5" w:space="0" w:color="000000"/>
              <w:left w:val="single" w:sz="5" w:space="0" w:color="000000"/>
              <w:bottom w:val="single" w:sz="5" w:space="0" w:color="000000"/>
              <w:right w:val="single" w:sz="5" w:space="0" w:color="000000"/>
            </w:tcBorders>
          </w:tcPr>
          <w:p w14:paraId="0B303DBB" w14:textId="77777777" w:rsidR="00A9482E" w:rsidRPr="00A9482E" w:rsidRDefault="00A9482E" w:rsidP="00A9482E">
            <w:pPr>
              <w:pStyle w:val="TableParagraph"/>
              <w:ind w:left="102"/>
              <w:rPr>
                <w:rFonts w:ascii="Times New Roman" w:hAnsi="Times New Roman"/>
              </w:rPr>
            </w:pPr>
            <w:r w:rsidRPr="00A9482E">
              <w:rPr>
                <w:rFonts w:ascii="Times New Roman" w:hAnsi="Times New Roman"/>
              </w:rPr>
              <w:t>Traumas, saindēšanās un ar</w:t>
            </w:r>
          </w:p>
          <w:p w14:paraId="54BCEF39" w14:textId="77777777" w:rsidR="00A9482E" w:rsidRPr="00A9482E" w:rsidRDefault="00A9482E" w:rsidP="00A9482E">
            <w:pPr>
              <w:pStyle w:val="TableParagraph"/>
              <w:ind w:left="102"/>
              <w:rPr>
                <w:rFonts w:ascii="Times New Roman" w:hAnsi="Times New Roman"/>
              </w:rPr>
            </w:pPr>
            <w:r w:rsidRPr="00A9482E">
              <w:rPr>
                <w:rFonts w:ascii="Times New Roman" w:hAnsi="Times New Roman"/>
              </w:rPr>
              <w:t>manipulācijām saistītas</w:t>
            </w:r>
          </w:p>
          <w:p w14:paraId="20C4781E" w14:textId="6F3231B3" w:rsidR="00A9482E" w:rsidRPr="00337F21" w:rsidRDefault="00A9482E" w:rsidP="00A9482E">
            <w:pPr>
              <w:pStyle w:val="TableParagraph"/>
              <w:ind w:left="102"/>
              <w:rPr>
                <w:rFonts w:ascii="Times New Roman" w:hAnsi="Times New Roman"/>
              </w:rPr>
            </w:pPr>
            <w:r w:rsidRPr="00A9482E">
              <w:rPr>
                <w:rFonts w:ascii="Times New Roman" w:hAnsi="Times New Roman"/>
              </w:rPr>
              <w:t>komplikācijas</w:t>
            </w:r>
          </w:p>
        </w:tc>
        <w:tc>
          <w:tcPr>
            <w:tcW w:w="5848" w:type="dxa"/>
            <w:tcBorders>
              <w:top w:val="single" w:sz="5" w:space="0" w:color="000000"/>
              <w:left w:val="single" w:sz="5" w:space="0" w:color="000000"/>
              <w:bottom w:val="single" w:sz="5" w:space="0" w:color="000000"/>
              <w:right w:val="single" w:sz="5" w:space="0" w:color="000000"/>
            </w:tcBorders>
          </w:tcPr>
          <w:p w14:paraId="24FC608B" w14:textId="77777777" w:rsidR="00A9482E" w:rsidRPr="00A9482E" w:rsidRDefault="00A9482E" w:rsidP="00A9482E">
            <w:pPr>
              <w:pStyle w:val="TableParagraph"/>
              <w:ind w:left="99"/>
              <w:rPr>
                <w:rFonts w:ascii="Times New Roman" w:hAnsi="Times New Roman"/>
                <w:u w:val="single" w:color="000000"/>
              </w:rPr>
            </w:pPr>
            <w:r w:rsidRPr="00A9482E">
              <w:rPr>
                <w:rFonts w:ascii="Times New Roman" w:hAnsi="Times New Roman"/>
                <w:u w:val="single" w:color="000000"/>
              </w:rPr>
              <w:t>Retāk</w:t>
            </w:r>
          </w:p>
          <w:p w14:paraId="2C40D949" w14:textId="011088A5" w:rsidR="00A9482E" w:rsidRPr="00E252FD" w:rsidRDefault="00A9482E" w:rsidP="00A9482E">
            <w:pPr>
              <w:pStyle w:val="TableParagraph"/>
              <w:ind w:left="99"/>
              <w:rPr>
                <w:rFonts w:ascii="Times New Roman" w:hAnsi="Times New Roman"/>
              </w:rPr>
            </w:pPr>
            <w:r w:rsidRPr="00E252FD">
              <w:rPr>
                <w:rFonts w:ascii="Times New Roman" w:hAnsi="Times New Roman"/>
              </w:rPr>
              <w:t>Sasitums</w:t>
            </w:r>
            <w:r w:rsidRPr="00E252FD">
              <w:rPr>
                <w:rFonts w:ascii="Times New Roman" w:hAnsi="Times New Roman"/>
                <w:vertAlign w:val="superscript"/>
              </w:rPr>
              <w:t>#</w:t>
            </w:r>
          </w:p>
        </w:tc>
      </w:tr>
    </w:tbl>
    <w:p w14:paraId="75CFAF00" w14:textId="77777777" w:rsidR="00887292" w:rsidRPr="00337F21" w:rsidRDefault="00887292" w:rsidP="00446618">
      <w:pPr>
        <w:pStyle w:val="BodyText"/>
        <w:spacing w:after="0"/>
        <w:jc w:val="both"/>
        <w:rPr>
          <w:sz w:val="22"/>
          <w:szCs w:val="22"/>
        </w:rPr>
      </w:pPr>
      <w:r w:rsidRPr="00337F21">
        <w:rPr>
          <w:sz w:val="22"/>
          <w:szCs w:val="22"/>
        </w:rPr>
        <w:t>* Pēcreģistrācijas periodā novērotās nevēlamās blakusparādības</w:t>
      </w:r>
    </w:p>
    <w:p w14:paraId="3B798CFC" w14:textId="77777777" w:rsidR="00887292" w:rsidRPr="00337F21" w:rsidRDefault="00887292" w:rsidP="00446618">
      <w:pPr>
        <w:pStyle w:val="BodyText"/>
        <w:spacing w:after="0"/>
        <w:ind w:right="-58"/>
        <w:jc w:val="both"/>
        <w:rPr>
          <w:sz w:val="22"/>
          <w:szCs w:val="22"/>
        </w:rPr>
      </w:pPr>
      <w:r w:rsidRPr="00337F21">
        <w:rPr>
          <w:sz w:val="22"/>
          <w:szCs w:val="22"/>
        </w:rPr>
        <w:t xml:space="preserve">** Apvienotie 3. fāzes pētījumu rezultāti liecina, ka ar kolhicīnu </w:t>
      </w:r>
      <w:r w:rsidR="00A61059">
        <w:rPr>
          <w:sz w:val="22"/>
          <w:szCs w:val="22"/>
        </w:rPr>
        <w:t>vienlaicīgi</w:t>
      </w:r>
      <w:r w:rsidRPr="00337F21">
        <w:rPr>
          <w:sz w:val="22"/>
          <w:szCs w:val="22"/>
        </w:rPr>
        <w:t xml:space="preserve"> ārstētiem pacientiem biežāk ir novērota ārstēšanas izraisīta neinfekcioza caureja un aknu </w:t>
      </w:r>
      <w:r w:rsidR="00A61059">
        <w:rPr>
          <w:sz w:val="22"/>
          <w:szCs w:val="22"/>
        </w:rPr>
        <w:t>darbības</w:t>
      </w:r>
      <w:r w:rsidRPr="00337F21">
        <w:rPr>
          <w:sz w:val="22"/>
          <w:szCs w:val="22"/>
        </w:rPr>
        <w:t xml:space="preserve"> analīžu rezultātu </w:t>
      </w:r>
      <w:r w:rsidR="00A61059">
        <w:rPr>
          <w:sz w:val="22"/>
          <w:szCs w:val="22"/>
        </w:rPr>
        <w:t>novirzes</w:t>
      </w:r>
    </w:p>
    <w:p w14:paraId="41226E4C" w14:textId="28ED6F7C" w:rsidR="00887292" w:rsidRDefault="00887292" w:rsidP="00446618">
      <w:pPr>
        <w:pStyle w:val="BodyText"/>
        <w:spacing w:after="0"/>
        <w:ind w:right="32"/>
        <w:jc w:val="both"/>
        <w:rPr>
          <w:sz w:val="22"/>
          <w:szCs w:val="22"/>
        </w:rPr>
      </w:pPr>
      <w:r w:rsidRPr="00337F21">
        <w:rPr>
          <w:sz w:val="22"/>
          <w:szCs w:val="22"/>
        </w:rPr>
        <w:t>*** Informāciju par podagras uzliesmojumu sastopamību atsevišķo 3. fāzes randomizēto kontrolēto pētījumu laikā skatīt 5.1. apakšpunktā</w:t>
      </w:r>
      <w:r w:rsidR="00A61059">
        <w:rPr>
          <w:sz w:val="22"/>
          <w:szCs w:val="22"/>
        </w:rPr>
        <w:t>.</w:t>
      </w:r>
    </w:p>
    <w:p w14:paraId="37DAB8D2" w14:textId="48ED0334" w:rsidR="00A9482E" w:rsidRPr="00337F21" w:rsidRDefault="00A9482E" w:rsidP="00446618">
      <w:pPr>
        <w:pStyle w:val="BodyText"/>
        <w:spacing w:after="0"/>
        <w:ind w:right="32"/>
        <w:jc w:val="both"/>
        <w:rPr>
          <w:sz w:val="21"/>
          <w:szCs w:val="21"/>
        </w:rPr>
      </w:pPr>
      <w:r w:rsidRPr="00E252FD">
        <w:rPr>
          <w:sz w:val="21"/>
          <w:szCs w:val="21"/>
          <w:vertAlign w:val="superscript"/>
        </w:rPr>
        <w:t>#</w:t>
      </w:r>
      <w:r w:rsidRPr="00A9482E">
        <w:rPr>
          <w:sz w:val="21"/>
          <w:szCs w:val="21"/>
        </w:rPr>
        <w:t xml:space="preserve"> Zāļu lietošanas izraisītas blakusparādības, kas iegūtas pēcreģistrācijas drošuma pētījumos.</w:t>
      </w:r>
    </w:p>
    <w:p w14:paraId="60EE2FC6" w14:textId="77777777" w:rsidR="008D7D6A" w:rsidRPr="00337F21" w:rsidRDefault="008D7D6A" w:rsidP="00E252FD">
      <w:pPr>
        <w:jc w:val="both"/>
        <w:rPr>
          <w:i/>
          <w:sz w:val="22"/>
        </w:rPr>
      </w:pPr>
    </w:p>
    <w:p w14:paraId="2CABBACA" w14:textId="77777777" w:rsidR="00490958" w:rsidRPr="00337F21" w:rsidRDefault="00490958" w:rsidP="00446618">
      <w:pPr>
        <w:jc w:val="both"/>
        <w:rPr>
          <w:i/>
          <w:sz w:val="22"/>
        </w:rPr>
      </w:pPr>
      <w:r w:rsidRPr="0032535F">
        <w:rPr>
          <w:i/>
          <w:sz w:val="22"/>
        </w:rPr>
        <w:t>Atsevišķu nevēlamo blakusparādību apraksts</w:t>
      </w:r>
    </w:p>
    <w:p w14:paraId="53299486" w14:textId="77777777" w:rsidR="00490958" w:rsidRPr="00337F21" w:rsidRDefault="00490958" w:rsidP="00446618">
      <w:pPr>
        <w:jc w:val="both"/>
        <w:rPr>
          <w:sz w:val="22"/>
        </w:rPr>
      </w:pPr>
      <w:r w:rsidRPr="00337F21">
        <w:rPr>
          <w:sz w:val="22"/>
        </w:rPr>
        <w:t xml:space="preserve">Pēcreģistrācijas periodā ir novērotas retas nopietnas febuksostata izraisītas paaugstinātas jutības reakcijas, </w:t>
      </w:r>
      <w:r w:rsidR="00A61059">
        <w:rPr>
          <w:sz w:val="22"/>
        </w:rPr>
        <w:t>tai skaitā</w:t>
      </w:r>
      <w:r w:rsidRPr="00337F21">
        <w:rPr>
          <w:sz w:val="22"/>
        </w:rPr>
        <w:t xml:space="preserve"> Stīvensa-Džonsona sindroms, toksiska epidermas nekrolīze un anafilaktiska reakcija</w:t>
      </w:r>
      <w:r w:rsidR="00A61059">
        <w:rPr>
          <w:sz w:val="22"/>
        </w:rPr>
        <w:t>/</w:t>
      </w:r>
      <w:r w:rsidRPr="00337F21">
        <w:rPr>
          <w:sz w:val="22"/>
        </w:rPr>
        <w:t xml:space="preserve">šoks. Stīvensa-Džonsona sindroms un toksiska epidermas nekrolīze ir raksturīga ar progresējošiem ādas izsitumiem un pūslīšu veidošanos vai gļotādu bojājumiem un acu kairinājumu. Febuksostata izraisītās paaugstinātās jutības reakcijas var būt saistītas ar tādiem simptomiem kā ādas reakcijas ar infiltrētiem makulopapulāriem izsitumiem, ģeneralizētiem vai eksfoliatīviem izsitumiem, ādas bojājumi, sejas tūska, drudzis, hematoloģiskas patoloģijas, piemēram, trombocitopēnija, un eozinofilija, viena vai vairāku orgānu darbības traucējumi (aknu un nieru darbības traucējumi, </w:t>
      </w:r>
      <w:r w:rsidR="00A61059">
        <w:rPr>
          <w:sz w:val="22"/>
        </w:rPr>
        <w:t>tai skaitā</w:t>
      </w:r>
      <w:r w:rsidRPr="00337F21">
        <w:rPr>
          <w:sz w:val="22"/>
        </w:rPr>
        <w:t xml:space="preserve"> tubulointersticiāls nefrīts) (skatīt 4.4. apakšpunktu).</w:t>
      </w:r>
    </w:p>
    <w:p w14:paraId="7D33BAE8" w14:textId="77777777" w:rsidR="00490958" w:rsidRPr="00337F21" w:rsidRDefault="00490958" w:rsidP="004938F2">
      <w:pPr>
        <w:ind w:firstLine="709"/>
        <w:jc w:val="both"/>
        <w:rPr>
          <w:sz w:val="22"/>
        </w:rPr>
      </w:pPr>
    </w:p>
    <w:p w14:paraId="44965B81" w14:textId="77777777" w:rsidR="00490958" w:rsidRPr="00337F21" w:rsidRDefault="00490958" w:rsidP="00446618">
      <w:pPr>
        <w:jc w:val="both"/>
        <w:rPr>
          <w:sz w:val="22"/>
        </w:rPr>
      </w:pPr>
      <w:r w:rsidRPr="00337F21">
        <w:rPr>
          <w:sz w:val="22"/>
        </w:rPr>
        <w:t xml:space="preserve">Drīz pēc terapijas sākuma vai pirmo terapijas mēnešu laikā bieži ir novēroti podagras uzliesmojumi, bet vēlāk tie ar laiku kļūst retāki. </w:t>
      </w:r>
      <w:r w:rsidR="00A61059">
        <w:rPr>
          <w:sz w:val="22"/>
        </w:rPr>
        <w:t>I</w:t>
      </w:r>
      <w:r w:rsidRPr="00337F21">
        <w:rPr>
          <w:sz w:val="22"/>
        </w:rPr>
        <w:t>eteicama podagras uzliesmojumu profilakse (skatīt 4.2. un 4.4. apakšpunktu).</w:t>
      </w:r>
    </w:p>
    <w:p w14:paraId="57413C34" w14:textId="77777777" w:rsidR="00490958" w:rsidRPr="00337F21" w:rsidRDefault="00490958" w:rsidP="004938F2">
      <w:pPr>
        <w:ind w:firstLine="709"/>
        <w:jc w:val="both"/>
        <w:rPr>
          <w:sz w:val="22"/>
          <w:szCs w:val="22"/>
        </w:rPr>
      </w:pPr>
    </w:p>
    <w:p w14:paraId="7CAF76A5" w14:textId="77777777" w:rsidR="00E745A2" w:rsidRPr="00F91656" w:rsidRDefault="006839E4" w:rsidP="007E6D6B">
      <w:pPr>
        <w:rPr>
          <w:i/>
          <w:sz w:val="22"/>
          <w:szCs w:val="22"/>
          <w:u w:val="single"/>
        </w:rPr>
      </w:pPr>
      <w:r w:rsidRPr="00F91656">
        <w:rPr>
          <w:i/>
          <w:sz w:val="22"/>
          <w:szCs w:val="22"/>
          <w:u w:val="single"/>
        </w:rPr>
        <w:t>Druniler</w:t>
      </w:r>
      <w:r w:rsidR="00A61059" w:rsidRPr="00F91656">
        <w:rPr>
          <w:i/>
          <w:sz w:val="22"/>
          <w:szCs w:val="22"/>
          <w:u w:val="single"/>
        </w:rPr>
        <w:t xml:space="preserve"> 120 </w:t>
      </w:r>
      <w:r w:rsidR="00E745A2" w:rsidRPr="00F91656">
        <w:rPr>
          <w:i/>
          <w:sz w:val="22"/>
          <w:szCs w:val="22"/>
          <w:u w:val="single"/>
        </w:rPr>
        <w:t xml:space="preserve">mg </w:t>
      </w:r>
    </w:p>
    <w:p w14:paraId="72679D63" w14:textId="77777777" w:rsidR="007744A0" w:rsidRPr="00F91656" w:rsidRDefault="00A61059" w:rsidP="007E6D6B">
      <w:pPr>
        <w:rPr>
          <w:sz w:val="22"/>
          <w:szCs w:val="22"/>
          <w:u w:val="single"/>
        </w:rPr>
      </w:pPr>
      <w:r w:rsidRPr="00F91656">
        <w:rPr>
          <w:sz w:val="22"/>
          <w:szCs w:val="22"/>
          <w:u w:val="single"/>
        </w:rPr>
        <w:t>Tumora līzes</w:t>
      </w:r>
      <w:r w:rsidR="007744A0" w:rsidRPr="00F91656">
        <w:rPr>
          <w:sz w:val="22"/>
          <w:szCs w:val="22"/>
          <w:u w:val="single"/>
        </w:rPr>
        <w:t xml:space="preserve"> sindroms</w:t>
      </w:r>
    </w:p>
    <w:p w14:paraId="0C0DCC24" w14:textId="77777777" w:rsidR="007744A0" w:rsidRPr="00F91656" w:rsidRDefault="007744A0" w:rsidP="007E6D6B">
      <w:pPr>
        <w:rPr>
          <w:i/>
          <w:sz w:val="22"/>
          <w:szCs w:val="22"/>
        </w:rPr>
      </w:pPr>
      <w:r w:rsidRPr="00F91656">
        <w:rPr>
          <w:i/>
          <w:sz w:val="22"/>
          <w:szCs w:val="22"/>
        </w:rPr>
        <w:t xml:space="preserve">Drošuma </w:t>
      </w:r>
      <w:r w:rsidR="00A61059" w:rsidRPr="00F91656">
        <w:rPr>
          <w:i/>
          <w:sz w:val="22"/>
          <w:szCs w:val="22"/>
        </w:rPr>
        <w:t>profila kopsavilkums</w:t>
      </w:r>
    </w:p>
    <w:p w14:paraId="085D2738" w14:textId="77777777" w:rsidR="007744A0" w:rsidRPr="007E6D6B" w:rsidRDefault="00104B85" w:rsidP="007E6D6B">
      <w:pPr>
        <w:rPr>
          <w:sz w:val="22"/>
          <w:szCs w:val="22"/>
        </w:rPr>
      </w:pPr>
      <w:r w:rsidRPr="007E6D6B">
        <w:rPr>
          <w:sz w:val="22"/>
          <w:szCs w:val="22"/>
        </w:rPr>
        <w:t>Pivotālā</w:t>
      </w:r>
      <w:r w:rsidR="00A61059" w:rsidRPr="007E6D6B">
        <w:rPr>
          <w:sz w:val="22"/>
          <w:szCs w:val="22"/>
        </w:rPr>
        <w:t>,</w:t>
      </w:r>
      <w:r w:rsidRPr="007E6D6B">
        <w:rPr>
          <w:sz w:val="22"/>
          <w:szCs w:val="22"/>
        </w:rPr>
        <w:t xml:space="preserve"> randomizētā</w:t>
      </w:r>
      <w:r w:rsidR="000126EF" w:rsidRPr="007E6D6B">
        <w:rPr>
          <w:sz w:val="22"/>
          <w:szCs w:val="22"/>
        </w:rPr>
        <w:t>,</w:t>
      </w:r>
      <w:r w:rsidRPr="007E6D6B">
        <w:rPr>
          <w:sz w:val="22"/>
          <w:szCs w:val="22"/>
        </w:rPr>
        <w:t xml:space="preserve"> dubultmaskētā 3. fāzes pētījumā FLORENCE (FLO-01)</w:t>
      </w:r>
      <w:r w:rsidR="000126EF" w:rsidRPr="007E6D6B">
        <w:rPr>
          <w:sz w:val="22"/>
          <w:szCs w:val="22"/>
        </w:rPr>
        <w:t>,</w:t>
      </w:r>
      <w:r w:rsidRPr="007E6D6B">
        <w:rPr>
          <w:sz w:val="22"/>
          <w:szCs w:val="22"/>
        </w:rPr>
        <w:t xml:space="preserve"> kura laikā febuksostats tika salīdzināts ar allopurinolu (346 pacienti saņēma ķīmijterapiju ļaundabīgu hematoloģisku slimību ārstēšanai, un viņiem bija vidēji liels līdz liels TLS risks), nevēlamas blakusparādības bija tikai 22 pacientiem (6,4 %), proti, pa 11 pacientiem (6,4 %) katrā terapijas grupā. Vairumā gadījumu nevēlamās blakusparādības bija vieglas vai vidēji smagas.</w:t>
      </w:r>
    </w:p>
    <w:p w14:paraId="78B65446" w14:textId="77777777" w:rsidR="00104B85" w:rsidRPr="007E6D6B" w:rsidRDefault="00104B85" w:rsidP="007E6D6B">
      <w:pPr>
        <w:rPr>
          <w:sz w:val="22"/>
          <w:szCs w:val="22"/>
        </w:rPr>
      </w:pPr>
      <w:r w:rsidRPr="007E6D6B">
        <w:rPr>
          <w:sz w:val="22"/>
          <w:szCs w:val="22"/>
        </w:rPr>
        <w:t xml:space="preserve">Kopumā pētījumā FLORENCE papildus jau iegūtajai pieredzei par febuksostata lietošanu podagras slimniekiem nav atklātas nekādas specifiskas drošuma problēmas. Izņēmums ir trīs </w:t>
      </w:r>
      <w:r w:rsidR="000126EF" w:rsidRPr="007E6D6B">
        <w:rPr>
          <w:sz w:val="22"/>
          <w:szCs w:val="22"/>
        </w:rPr>
        <w:t>turpmāk</w:t>
      </w:r>
      <w:r w:rsidRPr="007E6D6B">
        <w:rPr>
          <w:sz w:val="22"/>
          <w:szCs w:val="22"/>
        </w:rPr>
        <w:t xml:space="preserve"> minētās nevēlamās blakusparādības (uzskaitītas 1. tabulā iepriekš).</w:t>
      </w:r>
    </w:p>
    <w:p w14:paraId="05CC05D5" w14:textId="77777777" w:rsidR="00296025" w:rsidRPr="007E6D6B" w:rsidRDefault="00296025" w:rsidP="007E6D6B">
      <w:pPr>
        <w:rPr>
          <w:sz w:val="22"/>
          <w:szCs w:val="22"/>
        </w:rPr>
      </w:pPr>
    </w:p>
    <w:p w14:paraId="7F086E5A" w14:textId="77777777" w:rsidR="00296025" w:rsidRPr="007E6D6B" w:rsidRDefault="00296025" w:rsidP="007E6D6B">
      <w:pPr>
        <w:rPr>
          <w:sz w:val="22"/>
          <w:szCs w:val="22"/>
        </w:rPr>
      </w:pPr>
      <w:r w:rsidRPr="007E6D6B">
        <w:rPr>
          <w:sz w:val="22"/>
          <w:szCs w:val="22"/>
        </w:rPr>
        <w:t>Sirds funkcijas traucējumi</w:t>
      </w:r>
    </w:p>
    <w:p w14:paraId="017E78D2" w14:textId="77777777" w:rsidR="00296025" w:rsidRPr="007E6D6B" w:rsidRDefault="00296025" w:rsidP="007E6D6B">
      <w:pPr>
        <w:rPr>
          <w:sz w:val="22"/>
          <w:szCs w:val="22"/>
        </w:rPr>
      </w:pPr>
      <w:r w:rsidRPr="007E6D6B">
        <w:rPr>
          <w:sz w:val="22"/>
          <w:szCs w:val="22"/>
        </w:rPr>
        <w:t>Retāk: Hisa kūlīša</w:t>
      </w:r>
      <w:r w:rsidR="000126EF" w:rsidRPr="007E6D6B">
        <w:rPr>
          <w:sz w:val="22"/>
          <w:szCs w:val="22"/>
        </w:rPr>
        <w:t xml:space="preserve"> kreisā</w:t>
      </w:r>
      <w:r w:rsidRPr="007E6D6B">
        <w:rPr>
          <w:sz w:val="22"/>
          <w:szCs w:val="22"/>
        </w:rPr>
        <w:t xml:space="preserve"> zara blokāde, sinusa tahikardija</w:t>
      </w:r>
    </w:p>
    <w:p w14:paraId="6BEDC928" w14:textId="77777777" w:rsidR="00296025" w:rsidRPr="007E6D6B" w:rsidRDefault="00296025" w:rsidP="007E6D6B">
      <w:pPr>
        <w:rPr>
          <w:sz w:val="22"/>
          <w:szCs w:val="22"/>
        </w:rPr>
      </w:pPr>
    </w:p>
    <w:p w14:paraId="1C4AFE91" w14:textId="77777777" w:rsidR="00803366" w:rsidRPr="007E6D6B" w:rsidRDefault="00296025" w:rsidP="007E6D6B">
      <w:pPr>
        <w:rPr>
          <w:sz w:val="22"/>
          <w:szCs w:val="22"/>
        </w:rPr>
      </w:pPr>
      <w:r w:rsidRPr="007E6D6B">
        <w:rPr>
          <w:sz w:val="22"/>
          <w:szCs w:val="22"/>
        </w:rPr>
        <w:t xml:space="preserve">Asinsvadu sistēmas traucējumi </w:t>
      </w:r>
    </w:p>
    <w:p w14:paraId="0414C96F" w14:textId="77777777" w:rsidR="00296025" w:rsidRPr="007E6D6B" w:rsidRDefault="00296025" w:rsidP="007E6D6B">
      <w:pPr>
        <w:rPr>
          <w:sz w:val="22"/>
          <w:szCs w:val="22"/>
        </w:rPr>
      </w:pPr>
      <w:r w:rsidRPr="007E6D6B">
        <w:rPr>
          <w:sz w:val="22"/>
          <w:szCs w:val="22"/>
        </w:rPr>
        <w:t>Retāk: asiņošana</w:t>
      </w:r>
    </w:p>
    <w:p w14:paraId="2C80691D" w14:textId="77777777" w:rsidR="00104B85" w:rsidRPr="007E6D6B" w:rsidRDefault="00104B85" w:rsidP="004938F2">
      <w:pPr>
        <w:ind w:firstLine="709"/>
        <w:jc w:val="both"/>
        <w:rPr>
          <w:sz w:val="22"/>
          <w:szCs w:val="22"/>
        </w:rPr>
      </w:pPr>
    </w:p>
    <w:p w14:paraId="554D4371" w14:textId="77777777" w:rsidR="00480B02" w:rsidRPr="00337F21" w:rsidRDefault="00480B02" w:rsidP="00480B02">
      <w:pPr>
        <w:autoSpaceDE w:val="0"/>
        <w:autoSpaceDN w:val="0"/>
        <w:adjustRightInd w:val="0"/>
        <w:jc w:val="both"/>
        <w:rPr>
          <w:sz w:val="22"/>
          <w:szCs w:val="22"/>
          <w:u w:val="single"/>
        </w:rPr>
      </w:pPr>
      <w:r w:rsidRPr="00337F21">
        <w:rPr>
          <w:sz w:val="22"/>
          <w:szCs w:val="22"/>
          <w:u w:val="single"/>
        </w:rPr>
        <w:t>Ziņošana par iespējamām nevēlamām blakusparādībām</w:t>
      </w:r>
    </w:p>
    <w:p w14:paraId="102131F3" w14:textId="77777777" w:rsidR="005B5BE9" w:rsidRPr="003E43CF" w:rsidRDefault="00480B02" w:rsidP="005B5BE9">
      <w:pPr>
        <w:rPr>
          <w:color w:val="000000"/>
          <w:sz w:val="22"/>
          <w:szCs w:val="22"/>
        </w:rPr>
      </w:pPr>
      <w:r w:rsidRPr="00337F21">
        <w:rPr>
          <w:sz w:val="22"/>
          <w:szCs w:val="22"/>
        </w:rPr>
        <w:t>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w:t>
      </w:r>
      <w:r w:rsidR="005B5BE9">
        <w:rPr>
          <w:color w:val="000000"/>
          <w:sz w:val="22"/>
          <w:szCs w:val="22"/>
        </w:rPr>
        <w:t xml:space="preserve"> </w:t>
      </w:r>
      <w:r w:rsidR="005B5BE9" w:rsidRPr="003E43CF">
        <w:rPr>
          <w:color w:val="000000"/>
          <w:sz w:val="22"/>
          <w:szCs w:val="22"/>
        </w:rPr>
        <w:t xml:space="preserve">Zāļu valsts aģentūrai, Jersikas ielā 15, Rīgā, LV 1003. Tīmekļa vietne: </w:t>
      </w:r>
      <w:hyperlink r:id="rId11" w:history="1">
        <w:r w:rsidR="005B5BE9" w:rsidRPr="003E43CF">
          <w:rPr>
            <w:color w:val="233B72"/>
            <w:sz w:val="22"/>
            <w:szCs w:val="22"/>
            <w:u w:val="single"/>
          </w:rPr>
          <w:t>www.zva.gov.lv</w:t>
        </w:r>
      </w:hyperlink>
      <w:r w:rsidR="005B5BE9" w:rsidRPr="003E43CF">
        <w:rPr>
          <w:color w:val="000000"/>
          <w:sz w:val="22"/>
          <w:szCs w:val="22"/>
        </w:rPr>
        <w:t xml:space="preserve"> </w:t>
      </w:r>
    </w:p>
    <w:p w14:paraId="64860055" w14:textId="77777777" w:rsidR="006B78C1" w:rsidRPr="00337F21" w:rsidRDefault="006B78C1" w:rsidP="00FE4246">
      <w:pPr>
        <w:jc w:val="both"/>
        <w:rPr>
          <w:bCs/>
          <w:iCs/>
          <w:sz w:val="22"/>
          <w:szCs w:val="22"/>
        </w:rPr>
      </w:pPr>
    </w:p>
    <w:p w14:paraId="03C79A8B" w14:textId="77777777" w:rsidR="008D7D6A" w:rsidRPr="00337F21" w:rsidRDefault="008D7D6A" w:rsidP="00446618">
      <w:pPr>
        <w:jc w:val="both"/>
        <w:rPr>
          <w:b/>
          <w:sz w:val="22"/>
          <w:szCs w:val="22"/>
        </w:rPr>
      </w:pPr>
      <w:r w:rsidRPr="00337F21">
        <w:rPr>
          <w:b/>
          <w:sz w:val="22"/>
          <w:szCs w:val="22"/>
        </w:rPr>
        <w:t>4.9.</w:t>
      </w:r>
      <w:r w:rsidRPr="00337F21">
        <w:rPr>
          <w:b/>
          <w:sz w:val="22"/>
          <w:szCs w:val="22"/>
        </w:rPr>
        <w:tab/>
        <w:t>Pārdozēšana</w:t>
      </w:r>
    </w:p>
    <w:p w14:paraId="1B807BEC" w14:textId="77777777" w:rsidR="008D7D6A" w:rsidRPr="00337F21" w:rsidRDefault="008D7D6A" w:rsidP="004938F2">
      <w:pPr>
        <w:ind w:left="720"/>
        <w:jc w:val="both"/>
        <w:rPr>
          <w:sz w:val="22"/>
          <w:szCs w:val="22"/>
        </w:rPr>
      </w:pPr>
    </w:p>
    <w:p w14:paraId="2B1ED3C5" w14:textId="77777777" w:rsidR="008D7D6A" w:rsidRPr="00337F21" w:rsidRDefault="001B3AB0" w:rsidP="00446618">
      <w:pPr>
        <w:jc w:val="both"/>
        <w:rPr>
          <w:sz w:val="22"/>
          <w:szCs w:val="22"/>
        </w:rPr>
      </w:pPr>
      <w:r w:rsidRPr="00337F21">
        <w:rPr>
          <w:sz w:val="22"/>
          <w:szCs w:val="22"/>
        </w:rPr>
        <w:t>Pēc pārdozēšanas pacientiem ir nepieciešama simptomātiska un uzturoša terapija.</w:t>
      </w:r>
    </w:p>
    <w:p w14:paraId="58AEE789" w14:textId="77777777" w:rsidR="008D7D6A" w:rsidRPr="00337F21" w:rsidRDefault="008D7D6A" w:rsidP="004938F2">
      <w:pPr>
        <w:ind w:left="720"/>
        <w:jc w:val="both"/>
        <w:rPr>
          <w:sz w:val="22"/>
          <w:szCs w:val="22"/>
        </w:rPr>
      </w:pPr>
    </w:p>
    <w:p w14:paraId="48F54ABC" w14:textId="77777777" w:rsidR="008D7D6A" w:rsidRPr="00337F21" w:rsidRDefault="008D7D6A" w:rsidP="004938F2">
      <w:pPr>
        <w:ind w:left="720"/>
        <w:jc w:val="both"/>
        <w:rPr>
          <w:sz w:val="22"/>
          <w:szCs w:val="22"/>
        </w:rPr>
      </w:pPr>
    </w:p>
    <w:p w14:paraId="0540F195" w14:textId="77777777" w:rsidR="008D7D6A" w:rsidRPr="00337F21" w:rsidRDefault="008D7D6A" w:rsidP="004938F2">
      <w:pPr>
        <w:keepNext/>
        <w:jc w:val="both"/>
        <w:outlineLvl w:val="0"/>
        <w:rPr>
          <w:b/>
          <w:kern w:val="28"/>
          <w:sz w:val="22"/>
          <w:szCs w:val="22"/>
        </w:rPr>
      </w:pPr>
      <w:bookmarkStart w:id="10" w:name="_Toc441573743"/>
      <w:r w:rsidRPr="00337F21">
        <w:rPr>
          <w:b/>
          <w:sz w:val="22"/>
          <w:szCs w:val="22"/>
        </w:rPr>
        <w:t>5.</w:t>
      </w:r>
      <w:r w:rsidRPr="00337F21">
        <w:rPr>
          <w:b/>
          <w:sz w:val="22"/>
          <w:szCs w:val="22"/>
        </w:rPr>
        <w:tab/>
        <w:t>FARMAKOLOĢISKĀS ĪPAŠĪBAS</w:t>
      </w:r>
      <w:bookmarkEnd w:id="10"/>
    </w:p>
    <w:p w14:paraId="27808818" w14:textId="77777777" w:rsidR="008D7D6A" w:rsidRPr="00337F21" w:rsidRDefault="008D7D6A" w:rsidP="004938F2">
      <w:pPr>
        <w:ind w:left="720"/>
        <w:jc w:val="both"/>
        <w:rPr>
          <w:sz w:val="22"/>
          <w:szCs w:val="22"/>
        </w:rPr>
      </w:pPr>
    </w:p>
    <w:p w14:paraId="08F1C595" w14:textId="741DBD60" w:rsidR="008D7D6A" w:rsidRPr="00337F21" w:rsidRDefault="008D7D6A" w:rsidP="004938F2">
      <w:pPr>
        <w:keepNext/>
        <w:jc w:val="both"/>
        <w:outlineLvl w:val="1"/>
        <w:rPr>
          <w:b/>
          <w:sz w:val="22"/>
          <w:szCs w:val="22"/>
        </w:rPr>
      </w:pPr>
      <w:bookmarkStart w:id="11" w:name="_Toc441573744"/>
      <w:r w:rsidRPr="00337F21">
        <w:rPr>
          <w:b/>
          <w:sz w:val="22"/>
          <w:szCs w:val="22"/>
        </w:rPr>
        <w:t>5.1</w:t>
      </w:r>
      <w:r w:rsidR="002A72DF">
        <w:rPr>
          <w:b/>
          <w:sz w:val="22"/>
          <w:szCs w:val="22"/>
        </w:rPr>
        <w:t>.</w:t>
      </w:r>
      <w:r w:rsidRPr="00337F21">
        <w:rPr>
          <w:b/>
          <w:sz w:val="22"/>
          <w:szCs w:val="22"/>
        </w:rPr>
        <w:t xml:space="preserve"> </w:t>
      </w:r>
      <w:r w:rsidRPr="00337F21">
        <w:rPr>
          <w:b/>
          <w:sz w:val="22"/>
          <w:szCs w:val="22"/>
        </w:rPr>
        <w:tab/>
        <w:t>Farmakodinamiskās īpašības</w:t>
      </w:r>
      <w:bookmarkEnd w:id="11"/>
    </w:p>
    <w:p w14:paraId="3E3595D5" w14:textId="77777777" w:rsidR="008D7D6A" w:rsidRPr="00337F21" w:rsidRDefault="008D7D6A" w:rsidP="004938F2">
      <w:pPr>
        <w:ind w:left="720"/>
        <w:jc w:val="both"/>
        <w:rPr>
          <w:sz w:val="22"/>
          <w:szCs w:val="22"/>
        </w:rPr>
      </w:pPr>
    </w:p>
    <w:p w14:paraId="28C1E8C4" w14:textId="77777777" w:rsidR="008D7D6A" w:rsidRPr="00337F21" w:rsidRDefault="00930745" w:rsidP="00446618">
      <w:pPr>
        <w:jc w:val="both"/>
        <w:rPr>
          <w:sz w:val="22"/>
          <w:szCs w:val="22"/>
        </w:rPr>
      </w:pPr>
      <w:r w:rsidRPr="00337F21">
        <w:rPr>
          <w:sz w:val="22"/>
          <w:szCs w:val="22"/>
        </w:rPr>
        <w:t xml:space="preserve">Farmakoterapeitiskā grupa: pretpodagras līdzekļi, urīnskābes veidošanos inhibējošas </w:t>
      </w:r>
      <w:r w:rsidR="000126EF">
        <w:rPr>
          <w:sz w:val="22"/>
          <w:szCs w:val="22"/>
        </w:rPr>
        <w:t>zāles</w:t>
      </w:r>
      <w:r w:rsidRPr="00337F21">
        <w:rPr>
          <w:sz w:val="22"/>
          <w:szCs w:val="22"/>
        </w:rPr>
        <w:t>, ATĶ kods: M04AA03.</w:t>
      </w:r>
    </w:p>
    <w:p w14:paraId="320B7F9F" w14:textId="77777777" w:rsidR="00CE17A7" w:rsidRPr="00337F21" w:rsidRDefault="00CE17A7" w:rsidP="004938F2">
      <w:pPr>
        <w:ind w:left="720"/>
        <w:jc w:val="both"/>
        <w:rPr>
          <w:sz w:val="22"/>
          <w:szCs w:val="22"/>
        </w:rPr>
      </w:pPr>
    </w:p>
    <w:p w14:paraId="7E2BB71F" w14:textId="77777777" w:rsidR="00CE17A7" w:rsidRPr="00337F21" w:rsidRDefault="00CE17A7" w:rsidP="00446618">
      <w:pPr>
        <w:jc w:val="both"/>
        <w:rPr>
          <w:sz w:val="22"/>
          <w:szCs w:val="22"/>
          <w:u w:val="single"/>
        </w:rPr>
      </w:pPr>
      <w:r w:rsidRPr="00A15D20">
        <w:rPr>
          <w:sz w:val="22"/>
          <w:szCs w:val="22"/>
          <w:u w:val="single"/>
        </w:rPr>
        <w:t>Darbības mehānisms</w:t>
      </w:r>
    </w:p>
    <w:p w14:paraId="6E1D2196" w14:textId="77777777" w:rsidR="00CE17A7" w:rsidRPr="00337F21" w:rsidRDefault="00CE17A7" w:rsidP="004938F2">
      <w:pPr>
        <w:ind w:left="720"/>
        <w:jc w:val="both"/>
        <w:rPr>
          <w:sz w:val="22"/>
          <w:szCs w:val="22"/>
        </w:rPr>
      </w:pPr>
    </w:p>
    <w:p w14:paraId="6E9E651C" w14:textId="77777777" w:rsidR="00CE17A7" w:rsidRPr="000126EF" w:rsidRDefault="00CE17A7" w:rsidP="00446618">
      <w:pPr>
        <w:jc w:val="both"/>
        <w:rPr>
          <w:sz w:val="22"/>
          <w:szCs w:val="22"/>
        </w:rPr>
      </w:pPr>
      <w:r w:rsidRPr="000126EF">
        <w:rPr>
          <w:sz w:val="22"/>
          <w:szCs w:val="22"/>
        </w:rPr>
        <w:t>Urīnskābe ir cilvēka organismā notiekošā purīna metabolisma galaprodukts, un tā veidojas hipoksantīna </w:t>
      </w:r>
      <w:r w:rsidR="000126EF">
        <w:rPr>
          <w:sz w:val="22"/>
          <w:szCs w:val="22"/>
        </w:rPr>
        <w:t>→</w:t>
      </w:r>
      <w:r w:rsidRPr="000126EF">
        <w:rPr>
          <w:sz w:val="22"/>
          <w:szCs w:val="22"/>
        </w:rPr>
        <w:t xml:space="preserve"> ksantīna </w:t>
      </w:r>
      <w:r w:rsidR="000126EF">
        <w:rPr>
          <w:sz w:val="22"/>
          <w:szCs w:val="22"/>
        </w:rPr>
        <w:t xml:space="preserve">→ </w:t>
      </w:r>
      <w:r w:rsidRPr="000126EF">
        <w:rPr>
          <w:sz w:val="22"/>
          <w:szCs w:val="22"/>
        </w:rPr>
        <w:t>urīnskābes kaskādes laikā. Abas šīs transformācijas stadijas katalizē ksantīnoksidāze (</w:t>
      </w:r>
      <w:r w:rsidRPr="000126EF">
        <w:rPr>
          <w:i/>
          <w:sz w:val="22"/>
          <w:szCs w:val="22"/>
        </w:rPr>
        <w:t>XO</w:t>
      </w:r>
      <w:r w:rsidRPr="000126EF">
        <w:rPr>
          <w:sz w:val="22"/>
          <w:szCs w:val="22"/>
        </w:rPr>
        <w:t>). Febuksostats ir 2-ariltiazola atvasinājums, kas terapeitisko efektu nodrošina, selektīvi inhibējot </w:t>
      </w:r>
      <w:r w:rsidRPr="000126EF">
        <w:rPr>
          <w:i/>
          <w:sz w:val="22"/>
          <w:szCs w:val="22"/>
        </w:rPr>
        <w:t>XO</w:t>
      </w:r>
      <w:r w:rsidRPr="000126EF">
        <w:rPr>
          <w:sz w:val="22"/>
          <w:szCs w:val="22"/>
        </w:rPr>
        <w:t xml:space="preserve"> un tā pazeminot urīnskābes līmeni serumā. Febuksostats ir spēcīgs, purīnu grupai nepiederošs </w:t>
      </w:r>
      <w:r w:rsidR="000126EF">
        <w:rPr>
          <w:sz w:val="22"/>
          <w:szCs w:val="22"/>
        </w:rPr>
        <w:t xml:space="preserve">selektīvs </w:t>
      </w:r>
      <w:r w:rsidRPr="000126EF">
        <w:rPr>
          <w:i/>
          <w:sz w:val="22"/>
          <w:szCs w:val="22"/>
        </w:rPr>
        <w:t>XO</w:t>
      </w:r>
      <w:r w:rsidRPr="000126EF">
        <w:rPr>
          <w:sz w:val="22"/>
          <w:szCs w:val="22"/>
        </w:rPr>
        <w:t> (</w:t>
      </w:r>
      <w:r w:rsidRPr="000126EF">
        <w:rPr>
          <w:i/>
          <w:sz w:val="22"/>
          <w:szCs w:val="22"/>
        </w:rPr>
        <w:t>NP-SIXO</w:t>
      </w:r>
      <w:r w:rsidRPr="000126EF">
        <w:rPr>
          <w:sz w:val="22"/>
          <w:szCs w:val="22"/>
        </w:rPr>
        <w:t xml:space="preserve">) inhibitors, kam </w:t>
      </w:r>
      <w:r w:rsidRPr="000126EF">
        <w:rPr>
          <w:i/>
          <w:sz w:val="22"/>
          <w:szCs w:val="22"/>
        </w:rPr>
        <w:t>in vitro</w:t>
      </w:r>
      <w:r w:rsidRPr="000126EF">
        <w:rPr>
          <w:sz w:val="22"/>
          <w:szCs w:val="22"/>
        </w:rPr>
        <w:t xml:space="preserve"> inhibīciju raksturojošā Ki vērtība ir &lt; 1 nm. </w:t>
      </w:r>
      <w:r w:rsidR="000126EF">
        <w:rPr>
          <w:sz w:val="22"/>
          <w:szCs w:val="22"/>
        </w:rPr>
        <w:t>Pierādīts</w:t>
      </w:r>
      <w:r w:rsidRPr="000126EF">
        <w:rPr>
          <w:sz w:val="22"/>
          <w:szCs w:val="22"/>
        </w:rPr>
        <w:t xml:space="preserve">, ka febuksostats spēcīgi inhibē gan oksidēto, gan reducēto </w:t>
      </w:r>
      <w:r w:rsidRPr="000126EF">
        <w:rPr>
          <w:i/>
          <w:sz w:val="22"/>
          <w:szCs w:val="22"/>
        </w:rPr>
        <w:t>XO</w:t>
      </w:r>
      <w:r w:rsidRPr="000126EF">
        <w:rPr>
          <w:sz w:val="22"/>
          <w:szCs w:val="22"/>
        </w:rPr>
        <w:t> formu. Terapeitiskā koncentrācijā febuksostats neinhibē citus ar purīna vai pirimidīna metabolismu saistītos enzīmus, proti, guanīndeamināzi, hipoksantīnguanīnfosforiboziltransferāzi, orotātfosforiboziltransferāzi, orotidīnmonofosfātdekarboksilāzi vai purīna nukleozīdfosforilāzi.</w:t>
      </w:r>
    </w:p>
    <w:p w14:paraId="4D99D97C" w14:textId="77777777" w:rsidR="00930745" w:rsidRPr="00337F21" w:rsidRDefault="00930745" w:rsidP="004938F2">
      <w:pPr>
        <w:ind w:left="720"/>
        <w:jc w:val="both"/>
        <w:rPr>
          <w:sz w:val="22"/>
          <w:szCs w:val="22"/>
        </w:rPr>
      </w:pPr>
    </w:p>
    <w:p w14:paraId="22393CB2" w14:textId="77777777" w:rsidR="00CE17A7" w:rsidRPr="00337F21" w:rsidRDefault="00CE17A7" w:rsidP="00446618">
      <w:pPr>
        <w:jc w:val="both"/>
        <w:rPr>
          <w:sz w:val="22"/>
          <w:szCs w:val="22"/>
          <w:u w:val="single"/>
        </w:rPr>
      </w:pPr>
      <w:r w:rsidRPr="00337F21">
        <w:rPr>
          <w:sz w:val="22"/>
          <w:szCs w:val="22"/>
          <w:u w:val="single"/>
        </w:rPr>
        <w:t>Klīniskā efektivitāte un drošums</w:t>
      </w:r>
    </w:p>
    <w:p w14:paraId="08DA398E" w14:textId="77777777" w:rsidR="00CE17A7" w:rsidRPr="00337F21" w:rsidRDefault="00CE17A7" w:rsidP="004938F2">
      <w:pPr>
        <w:ind w:left="720"/>
        <w:jc w:val="both"/>
        <w:rPr>
          <w:sz w:val="22"/>
          <w:szCs w:val="22"/>
        </w:rPr>
      </w:pPr>
    </w:p>
    <w:p w14:paraId="36DEBB9A" w14:textId="77777777" w:rsidR="00207E3F" w:rsidRPr="00F91656" w:rsidRDefault="00207E3F" w:rsidP="007E6D6B">
      <w:pPr>
        <w:rPr>
          <w:i/>
          <w:sz w:val="22"/>
          <w:szCs w:val="22"/>
          <w:u w:val="single"/>
        </w:rPr>
      </w:pPr>
      <w:r w:rsidRPr="00F91656">
        <w:rPr>
          <w:i/>
          <w:sz w:val="22"/>
          <w:szCs w:val="22"/>
          <w:u w:val="single"/>
        </w:rPr>
        <w:t>Podagra</w:t>
      </w:r>
    </w:p>
    <w:p w14:paraId="19CFD392" w14:textId="77777777" w:rsidR="00207E3F" w:rsidRPr="007E6D6B" w:rsidRDefault="00207E3F" w:rsidP="007E6D6B">
      <w:pPr>
        <w:rPr>
          <w:sz w:val="22"/>
          <w:szCs w:val="22"/>
        </w:rPr>
      </w:pPr>
    </w:p>
    <w:p w14:paraId="54F44C99" w14:textId="77777777" w:rsidR="00CE17A7" w:rsidRPr="00337F21" w:rsidRDefault="00CE17A7" w:rsidP="00446618">
      <w:pPr>
        <w:jc w:val="both"/>
        <w:rPr>
          <w:sz w:val="22"/>
          <w:szCs w:val="22"/>
        </w:rPr>
      </w:pPr>
      <w:r w:rsidRPr="00337F21">
        <w:rPr>
          <w:sz w:val="22"/>
          <w:szCs w:val="22"/>
        </w:rPr>
        <w:lastRenderedPageBreak/>
        <w:t xml:space="preserve">Febuksostata efektivitāte ir pierādīta trijos pivotālos 3. fāzes pētījumos (divos pivotālajos pētījumos </w:t>
      </w:r>
      <w:r w:rsidRPr="00337F21">
        <w:rPr>
          <w:i/>
          <w:sz w:val="22"/>
          <w:szCs w:val="22"/>
        </w:rPr>
        <w:t>APEX</w:t>
      </w:r>
      <w:r w:rsidRPr="00337F21">
        <w:rPr>
          <w:sz w:val="22"/>
          <w:szCs w:val="22"/>
        </w:rPr>
        <w:t xml:space="preserve"> un </w:t>
      </w:r>
      <w:r w:rsidRPr="00337F21">
        <w:rPr>
          <w:i/>
          <w:sz w:val="22"/>
          <w:szCs w:val="22"/>
        </w:rPr>
        <w:t>FACT</w:t>
      </w:r>
      <w:r w:rsidRPr="00337F21">
        <w:rPr>
          <w:sz w:val="22"/>
          <w:szCs w:val="22"/>
        </w:rPr>
        <w:t xml:space="preserve">, kā arī </w:t>
      </w:r>
      <w:r w:rsidR="000126EF">
        <w:rPr>
          <w:sz w:val="22"/>
          <w:szCs w:val="22"/>
        </w:rPr>
        <w:t>turpmāk</w:t>
      </w:r>
      <w:r w:rsidRPr="00337F21">
        <w:rPr>
          <w:sz w:val="22"/>
          <w:szCs w:val="22"/>
        </w:rPr>
        <w:t xml:space="preserve"> aprakstītajā papildpētījumā </w:t>
      </w:r>
      <w:r w:rsidRPr="00337F21">
        <w:rPr>
          <w:i/>
          <w:sz w:val="22"/>
          <w:szCs w:val="22"/>
        </w:rPr>
        <w:t>CONFIRMS</w:t>
      </w:r>
      <w:r w:rsidRPr="00337F21">
        <w:rPr>
          <w:sz w:val="22"/>
          <w:szCs w:val="22"/>
        </w:rPr>
        <w:t xml:space="preserve">), kuros piedalījās 4101 hiperurikēmijas un podagras slimnieks. Visos pivotālajos 3. fāzes pētījumos tika novērots, ka salīdzinājumā ar allopurinolu febuksostats spēja iedarbīgāk pazemināt un uzturēt pazeminātu urīnskābes līmeni serumā. Pētījumos </w:t>
      </w:r>
      <w:r w:rsidRPr="00337F21">
        <w:rPr>
          <w:i/>
          <w:sz w:val="22"/>
          <w:szCs w:val="22"/>
        </w:rPr>
        <w:t>APEX</w:t>
      </w:r>
      <w:r w:rsidRPr="00337F21">
        <w:rPr>
          <w:sz w:val="22"/>
          <w:szCs w:val="22"/>
        </w:rPr>
        <w:t xml:space="preserve"> un </w:t>
      </w:r>
      <w:r w:rsidRPr="00337F21">
        <w:rPr>
          <w:i/>
          <w:sz w:val="22"/>
          <w:szCs w:val="22"/>
        </w:rPr>
        <w:t>FACT</w:t>
      </w:r>
      <w:r w:rsidRPr="00337F21">
        <w:rPr>
          <w:sz w:val="22"/>
          <w:szCs w:val="22"/>
        </w:rPr>
        <w:t xml:space="preserve"> primārais efektivitā</w:t>
      </w:r>
      <w:r w:rsidR="000126EF">
        <w:rPr>
          <w:sz w:val="22"/>
          <w:szCs w:val="22"/>
        </w:rPr>
        <w:t>tes</w:t>
      </w:r>
      <w:r w:rsidRPr="00337F21">
        <w:rPr>
          <w:sz w:val="22"/>
          <w:szCs w:val="22"/>
        </w:rPr>
        <w:t xml:space="preserve"> </w:t>
      </w:r>
      <w:r w:rsidR="000126EF">
        <w:rPr>
          <w:sz w:val="22"/>
          <w:szCs w:val="22"/>
        </w:rPr>
        <w:t>mērķa</w:t>
      </w:r>
      <w:r w:rsidRPr="00337F21">
        <w:rPr>
          <w:sz w:val="22"/>
          <w:szCs w:val="22"/>
        </w:rPr>
        <w:t xml:space="preserve"> kritērijs bija to pacientu daļa, kuriem pēdējos trijos mēnešos urīnskābes līmenis serumā bija &lt; 6,0 mg/dl (357 µmol/l). 3. fāzes papildpētījumā </w:t>
      </w:r>
      <w:r w:rsidRPr="00337F21">
        <w:rPr>
          <w:i/>
          <w:sz w:val="22"/>
          <w:szCs w:val="22"/>
        </w:rPr>
        <w:t>CONFIRMS</w:t>
      </w:r>
      <w:r w:rsidRPr="00337F21">
        <w:rPr>
          <w:sz w:val="22"/>
          <w:szCs w:val="22"/>
        </w:rPr>
        <w:t>, kura rezultāti kļuva pieejami pēc pirmās febuksostata reģistrācijas apliecības izsn</w:t>
      </w:r>
      <w:r w:rsidR="000126EF">
        <w:rPr>
          <w:sz w:val="22"/>
          <w:szCs w:val="22"/>
        </w:rPr>
        <w:t>iegšanas, primārais efektivitātes</w:t>
      </w:r>
      <w:r w:rsidRPr="00337F21">
        <w:rPr>
          <w:sz w:val="22"/>
          <w:szCs w:val="22"/>
        </w:rPr>
        <w:t xml:space="preserve"> </w:t>
      </w:r>
      <w:r w:rsidR="000126EF">
        <w:rPr>
          <w:sz w:val="22"/>
          <w:szCs w:val="22"/>
        </w:rPr>
        <w:t>mērķa kritērijs</w:t>
      </w:r>
      <w:r w:rsidRPr="00337F21">
        <w:rPr>
          <w:sz w:val="22"/>
          <w:szCs w:val="22"/>
        </w:rPr>
        <w:t xml:space="preserve"> bija to pacientu daļa, kuriem pēdējās vizītes laikā </w:t>
      </w:r>
      <w:r w:rsidR="000126EF">
        <w:rPr>
          <w:sz w:val="22"/>
          <w:szCs w:val="22"/>
        </w:rPr>
        <w:t>urātu</w:t>
      </w:r>
      <w:r w:rsidRPr="00337F21">
        <w:rPr>
          <w:sz w:val="22"/>
          <w:szCs w:val="22"/>
        </w:rPr>
        <w:t xml:space="preserve"> koncentrācija serumā bija &lt; 6,0 mg/dl. Šajos pētījumos nebija iekļauts neviens pacients ar transplantētiem orgāniem (skatīt 4.2. apakšpunktu).</w:t>
      </w:r>
    </w:p>
    <w:p w14:paraId="3B2B6B24" w14:textId="77777777" w:rsidR="00CE17A7" w:rsidRPr="00337F21" w:rsidRDefault="00CE17A7" w:rsidP="004938F2">
      <w:pPr>
        <w:ind w:left="720"/>
        <w:jc w:val="both"/>
        <w:rPr>
          <w:sz w:val="22"/>
          <w:szCs w:val="22"/>
        </w:rPr>
      </w:pPr>
    </w:p>
    <w:p w14:paraId="0BBA0A97" w14:textId="49622611" w:rsidR="00CE17A7" w:rsidRPr="000126EF" w:rsidRDefault="00CE17A7" w:rsidP="00446618">
      <w:pPr>
        <w:jc w:val="both"/>
        <w:rPr>
          <w:sz w:val="22"/>
          <w:szCs w:val="22"/>
        </w:rPr>
      </w:pPr>
      <w:r w:rsidRPr="000126EF">
        <w:rPr>
          <w:i/>
          <w:sz w:val="22"/>
          <w:szCs w:val="22"/>
        </w:rPr>
        <w:t xml:space="preserve">Pētījums </w:t>
      </w:r>
      <w:r w:rsidRPr="000126EF">
        <w:rPr>
          <w:sz w:val="22"/>
          <w:szCs w:val="22"/>
        </w:rPr>
        <w:t>APEX</w:t>
      </w:r>
      <w:r w:rsidRPr="000126EF">
        <w:rPr>
          <w:i/>
          <w:sz w:val="22"/>
          <w:szCs w:val="22"/>
        </w:rPr>
        <w:t>:</w:t>
      </w:r>
      <w:r w:rsidRPr="000126EF">
        <w:rPr>
          <w:sz w:val="22"/>
          <w:szCs w:val="22"/>
        </w:rPr>
        <w:t xml:space="preserve"> ar allopurinolu un placebo kontrolētais febuksostata efektivitātes pētījums </w:t>
      </w:r>
      <w:r w:rsidRPr="000126EF">
        <w:rPr>
          <w:i/>
          <w:sz w:val="22"/>
          <w:szCs w:val="22"/>
        </w:rPr>
        <w:t>APEX</w:t>
      </w:r>
      <w:r w:rsidRPr="000126EF">
        <w:rPr>
          <w:sz w:val="22"/>
          <w:szCs w:val="22"/>
        </w:rPr>
        <w:t xml:space="preserve"> bija 28 nedēļas ilgs</w:t>
      </w:r>
      <w:r w:rsidR="000126EF" w:rsidRPr="000126EF">
        <w:rPr>
          <w:sz w:val="22"/>
          <w:szCs w:val="22"/>
        </w:rPr>
        <w:t>,</w:t>
      </w:r>
      <w:r w:rsidRPr="000126EF">
        <w:rPr>
          <w:sz w:val="22"/>
          <w:szCs w:val="22"/>
        </w:rPr>
        <w:t xml:space="preserve"> randomizēts</w:t>
      </w:r>
      <w:r w:rsidR="000126EF" w:rsidRPr="000126EF">
        <w:rPr>
          <w:sz w:val="22"/>
          <w:szCs w:val="22"/>
        </w:rPr>
        <w:t>,</w:t>
      </w:r>
      <w:r w:rsidRPr="000126EF">
        <w:rPr>
          <w:sz w:val="22"/>
          <w:szCs w:val="22"/>
        </w:rPr>
        <w:t xml:space="preserve"> dubultmaskēts 3. fāzes daudzcentru pētījums. Tika randomizēti 1072 pacienti, no kuriem 134  saņēma placebo, 267 vienreiz dienā saņēma febuksostata </w:t>
      </w:r>
      <w:r w:rsidR="005E60CA" w:rsidRPr="000126EF">
        <w:rPr>
          <w:sz w:val="22"/>
          <w:szCs w:val="22"/>
        </w:rPr>
        <w:t xml:space="preserve">80 mg </w:t>
      </w:r>
      <w:r w:rsidRPr="000126EF">
        <w:rPr>
          <w:sz w:val="22"/>
          <w:szCs w:val="22"/>
        </w:rPr>
        <w:t xml:space="preserve">devas, 269 vienreiz dienā saņēma febuksostata </w:t>
      </w:r>
      <w:r w:rsidR="005E60CA" w:rsidRPr="000126EF">
        <w:rPr>
          <w:sz w:val="22"/>
          <w:szCs w:val="22"/>
        </w:rPr>
        <w:t xml:space="preserve">120 mg </w:t>
      </w:r>
      <w:r w:rsidRPr="000126EF">
        <w:rPr>
          <w:sz w:val="22"/>
          <w:szCs w:val="22"/>
        </w:rPr>
        <w:t xml:space="preserve">devas un 134 vienreiz dienā saņēma febuksostata </w:t>
      </w:r>
      <w:r w:rsidR="005E60CA" w:rsidRPr="000126EF">
        <w:rPr>
          <w:sz w:val="22"/>
          <w:szCs w:val="22"/>
        </w:rPr>
        <w:t xml:space="preserve">240 mg </w:t>
      </w:r>
      <w:r w:rsidRPr="000126EF">
        <w:rPr>
          <w:sz w:val="22"/>
          <w:szCs w:val="22"/>
        </w:rPr>
        <w:t xml:space="preserve">devas, bet pārējie pacienti saņēma allopurinolu (258 pacienti, </w:t>
      </w:r>
      <w:r w:rsidR="005E60CA">
        <w:rPr>
          <w:sz w:val="22"/>
          <w:szCs w:val="22"/>
        </w:rPr>
        <w:t>kuriem</w:t>
      </w:r>
      <w:r w:rsidRPr="000126EF">
        <w:rPr>
          <w:sz w:val="22"/>
          <w:szCs w:val="22"/>
        </w:rPr>
        <w:t xml:space="preserve"> sākotnējais kreatinīna līmenis serumā bija </w:t>
      </w:r>
      <w:r w:rsidR="005E60CA">
        <w:rPr>
          <w:sz w:val="22"/>
          <w:szCs w:val="22"/>
        </w:rPr>
        <w:t>≤</w:t>
      </w:r>
      <w:r w:rsidRPr="000126EF">
        <w:rPr>
          <w:sz w:val="22"/>
          <w:szCs w:val="22"/>
        </w:rPr>
        <w:t> 1,5 mg/dl, vienreiz dienā saņēma 300 mg allopurinola, bet 10 pacientu, kam sākotnējais kreatinīna līmenis serumā bija &gt; 1,5–</w:t>
      </w:r>
      <w:r w:rsidR="005E60CA">
        <w:rPr>
          <w:sz w:val="22"/>
          <w:szCs w:val="22"/>
        </w:rPr>
        <w:t>≤</w:t>
      </w:r>
      <w:r w:rsidRPr="000126EF">
        <w:rPr>
          <w:sz w:val="22"/>
          <w:szCs w:val="22"/>
        </w:rPr>
        <w:t>2,</w:t>
      </w:r>
      <w:r w:rsidR="00C772D9">
        <w:rPr>
          <w:sz w:val="22"/>
          <w:szCs w:val="22"/>
        </w:rPr>
        <w:t>0</w:t>
      </w:r>
      <w:r w:rsidRPr="000126EF">
        <w:rPr>
          <w:sz w:val="22"/>
          <w:szCs w:val="22"/>
        </w:rPr>
        <w:t xml:space="preserve"> mg/dl, vienreiz dienā saņēma 100 mg allopurinola). </w:t>
      </w:r>
      <w:r w:rsidR="00C772D9">
        <w:rPr>
          <w:sz w:val="22"/>
          <w:szCs w:val="22"/>
        </w:rPr>
        <w:t>F</w:t>
      </w:r>
      <w:r w:rsidRPr="000126EF">
        <w:rPr>
          <w:sz w:val="22"/>
          <w:szCs w:val="22"/>
        </w:rPr>
        <w:t xml:space="preserve">ebuksostata </w:t>
      </w:r>
      <w:r w:rsidR="005E60CA" w:rsidRPr="000126EF">
        <w:rPr>
          <w:sz w:val="22"/>
          <w:szCs w:val="22"/>
        </w:rPr>
        <w:t xml:space="preserve">240 mg </w:t>
      </w:r>
      <w:r w:rsidRPr="000126EF">
        <w:rPr>
          <w:sz w:val="22"/>
          <w:szCs w:val="22"/>
        </w:rPr>
        <w:t>devas tika lietotas tā drošuma vērtēšanai (šāda deva ir divreiz lielāka par maksimālo ieteicamo devu).</w:t>
      </w:r>
    </w:p>
    <w:p w14:paraId="7B34F368" w14:textId="77777777" w:rsidR="00CE17A7" w:rsidRPr="00337F21" w:rsidRDefault="00CE17A7" w:rsidP="004938F2">
      <w:pPr>
        <w:ind w:left="720"/>
        <w:jc w:val="both"/>
        <w:rPr>
          <w:sz w:val="22"/>
          <w:szCs w:val="22"/>
        </w:rPr>
      </w:pPr>
    </w:p>
    <w:p w14:paraId="396AD198" w14:textId="77777777" w:rsidR="00CE17A7" w:rsidRPr="00337F21" w:rsidRDefault="00CE17A7" w:rsidP="00446618">
      <w:pPr>
        <w:jc w:val="both"/>
        <w:rPr>
          <w:sz w:val="22"/>
          <w:szCs w:val="22"/>
        </w:rPr>
      </w:pPr>
      <w:r w:rsidRPr="00337F21">
        <w:rPr>
          <w:sz w:val="22"/>
          <w:szCs w:val="22"/>
        </w:rPr>
        <w:t xml:space="preserve">Pētījumā </w:t>
      </w:r>
      <w:r w:rsidRPr="00337F21">
        <w:rPr>
          <w:i/>
          <w:sz w:val="22"/>
          <w:szCs w:val="22"/>
        </w:rPr>
        <w:t>APEX</w:t>
      </w:r>
      <w:r w:rsidRPr="00337F21">
        <w:rPr>
          <w:sz w:val="22"/>
          <w:szCs w:val="22"/>
        </w:rPr>
        <w:t> tika novērots, ka gan 80</w:t>
      </w:r>
      <w:r w:rsidR="005E60CA">
        <w:rPr>
          <w:sz w:val="22"/>
          <w:szCs w:val="22"/>
        </w:rPr>
        <w:t> mg</w:t>
      </w:r>
      <w:r w:rsidRPr="00337F21">
        <w:rPr>
          <w:sz w:val="22"/>
          <w:szCs w:val="22"/>
        </w:rPr>
        <w:t xml:space="preserve">, gan 120 mg vienreiz dienā lietotas febuksostata devas ir statistiski nozīmīgi iedarbīgākas par konvencionālajām </w:t>
      </w:r>
      <w:r w:rsidR="005E60CA" w:rsidRPr="00337F21">
        <w:rPr>
          <w:sz w:val="22"/>
          <w:szCs w:val="22"/>
        </w:rPr>
        <w:t xml:space="preserve">allopurinola </w:t>
      </w:r>
      <w:r w:rsidRPr="00337F21">
        <w:rPr>
          <w:sz w:val="22"/>
          <w:szCs w:val="22"/>
        </w:rPr>
        <w:t>300 mg (n = 258) vai 100 mg (n = 10) devām, kas tika lietotas, lai urīnskābes līmeni serumā pazeminātu līdz &lt; 6 mg/dl jeb 357 µmol/l (skatīt 2. tabulu un 1. attēlu).</w:t>
      </w:r>
    </w:p>
    <w:p w14:paraId="51F794F3" w14:textId="77777777" w:rsidR="00CE17A7" w:rsidRPr="00337F21" w:rsidRDefault="00CE17A7" w:rsidP="004938F2">
      <w:pPr>
        <w:ind w:left="720"/>
        <w:jc w:val="both"/>
        <w:rPr>
          <w:sz w:val="22"/>
          <w:szCs w:val="22"/>
        </w:rPr>
      </w:pPr>
    </w:p>
    <w:p w14:paraId="221A1B3A" w14:textId="77777777" w:rsidR="00CE17A7" w:rsidRPr="00337F21" w:rsidRDefault="00CE17A7" w:rsidP="00446618">
      <w:pPr>
        <w:jc w:val="both"/>
        <w:rPr>
          <w:sz w:val="22"/>
          <w:szCs w:val="22"/>
        </w:rPr>
      </w:pPr>
      <w:r w:rsidRPr="00337F21">
        <w:rPr>
          <w:i/>
          <w:sz w:val="22"/>
          <w:szCs w:val="22"/>
        </w:rPr>
        <w:t xml:space="preserve">Pētījums </w:t>
      </w:r>
      <w:r w:rsidRPr="005E60CA">
        <w:rPr>
          <w:i/>
          <w:sz w:val="22"/>
          <w:szCs w:val="22"/>
        </w:rPr>
        <w:t>FACT</w:t>
      </w:r>
      <w:r w:rsidRPr="00337F21">
        <w:rPr>
          <w:i/>
          <w:sz w:val="22"/>
          <w:szCs w:val="22"/>
        </w:rPr>
        <w:t>:</w:t>
      </w:r>
      <w:r w:rsidRPr="00337F21">
        <w:rPr>
          <w:sz w:val="22"/>
          <w:szCs w:val="22"/>
        </w:rPr>
        <w:t xml:space="preserve"> ar allopurinolu kontrolētais febuksostata efektivitātes pētījums </w:t>
      </w:r>
      <w:r w:rsidRPr="00337F21">
        <w:rPr>
          <w:i/>
          <w:sz w:val="22"/>
          <w:szCs w:val="22"/>
        </w:rPr>
        <w:t>FACT</w:t>
      </w:r>
      <w:r w:rsidRPr="00337F21">
        <w:rPr>
          <w:sz w:val="22"/>
          <w:szCs w:val="22"/>
        </w:rPr>
        <w:t xml:space="preserve"> bija 52 nedēļas ilgs</w:t>
      </w:r>
      <w:r w:rsidR="005E60CA">
        <w:rPr>
          <w:sz w:val="22"/>
          <w:szCs w:val="22"/>
        </w:rPr>
        <w:t>,</w:t>
      </w:r>
      <w:r w:rsidRPr="00337F21">
        <w:rPr>
          <w:sz w:val="22"/>
          <w:szCs w:val="22"/>
        </w:rPr>
        <w:t xml:space="preserve"> randomizēts</w:t>
      </w:r>
      <w:r w:rsidR="001E6F7F">
        <w:rPr>
          <w:sz w:val="22"/>
          <w:szCs w:val="22"/>
        </w:rPr>
        <w:t>,</w:t>
      </w:r>
      <w:r w:rsidRPr="00337F21">
        <w:rPr>
          <w:sz w:val="22"/>
          <w:szCs w:val="22"/>
        </w:rPr>
        <w:t xml:space="preserve"> dubultmaskēts 3. fāzes daudzcentru pētījums. Tika randomizēti 760 pacienti, no kuriem 256 vienreiz dienā saņēma febuksostata </w:t>
      </w:r>
      <w:r w:rsidR="001E6F7F" w:rsidRPr="00337F21">
        <w:rPr>
          <w:sz w:val="22"/>
          <w:szCs w:val="22"/>
        </w:rPr>
        <w:t xml:space="preserve">80 mg </w:t>
      </w:r>
      <w:r w:rsidRPr="00337F21">
        <w:rPr>
          <w:sz w:val="22"/>
          <w:szCs w:val="22"/>
        </w:rPr>
        <w:t xml:space="preserve">devas, 251 vienreiz dienā saņēma febuksostata </w:t>
      </w:r>
      <w:r w:rsidR="001E6F7F" w:rsidRPr="00337F21">
        <w:rPr>
          <w:sz w:val="22"/>
          <w:szCs w:val="22"/>
        </w:rPr>
        <w:t xml:space="preserve">120 mg </w:t>
      </w:r>
      <w:r w:rsidRPr="00337F21">
        <w:rPr>
          <w:sz w:val="22"/>
          <w:szCs w:val="22"/>
        </w:rPr>
        <w:t xml:space="preserve">devas, un 253 vienreiz dienā saņēma allopurinola </w:t>
      </w:r>
      <w:r w:rsidR="001E6F7F" w:rsidRPr="00337F21">
        <w:rPr>
          <w:sz w:val="22"/>
          <w:szCs w:val="22"/>
        </w:rPr>
        <w:t xml:space="preserve">300 mg </w:t>
      </w:r>
      <w:r w:rsidRPr="00337F21">
        <w:rPr>
          <w:sz w:val="22"/>
          <w:szCs w:val="22"/>
        </w:rPr>
        <w:t>devas.</w:t>
      </w:r>
    </w:p>
    <w:p w14:paraId="5E933797" w14:textId="77777777" w:rsidR="00CE17A7" w:rsidRPr="00337F21" w:rsidRDefault="00CE17A7" w:rsidP="004938F2">
      <w:pPr>
        <w:ind w:left="720"/>
        <w:jc w:val="both"/>
        <w:rPr>
          <w:sz w:val="22"/>
          <w:szCs w:val="22"/>
        </w:rPr>
      </w:pPr>
    </w:p>
    <w:p w14:paraId="50C88C8C" w14:textId="77777777" w:rsidR="00CE17A7" w:rsidRPr="00337F21" w:rsidRDefault="00CE17A7" w:rsidP="00446618">
      <w:pPr>
        <w:jc w:val="both"/>
        <w:rPr>
          <w:sz w:val="22"/>
          <w:szCs w:val="22"/>
        </w:rPr>
      </w:pPr>
      <w:r w:rsidRPr="00136A4E">
        <w:rPr>
          <w:sz w:val="22"/>
          <w:szCs w:val="22"/>
        </w:rPr>
        <w:t xml:space="preserve">Pētījumā </w:t>
      </w:r>
      <w:r w:rsidRPr="00806BD0">
        <w:rPr>
          <w:i/>
          <w:sz w:val="22"/>
          <w:szCs w:val="22"/>
        </w:rPr>
        <w:t>FACT</w:t>
      </w:r>
      <w:r w:rsidRPr="00337F21">
        <w:rPr>
          <w:sz w:val="22"/>
          <w:szCs w:val="22"/>
        </w:rPr>
        <w:t> tika novērots, ka gan 80</w:t>
      </w:r>
      <w:r w:rsidR="001E6F7F">
        <w:rPr>
          <w:sz w:val="22"/>
          <w:szCs w:val="22"/>
        </w:rPr>
        <w:t> mg</w:t>
      </w:r>
      <w:r w:rsidRPr="00337F21">
        <w:rPr>
          <w:sz w:val="22"/>
          <w:szCs w:val="22"/>
        </w:rPr>
        <w:t xml:space="preserve">, gan 120 mg vienreiz dienā lietotas febuksostata devas ir statistiski nozīmīgi iedarbīgākas par konvencionālajām allopurinola </w:t>
      </w:r>
      <w:r w:rsidR="001E6F7F" w:rsidRPr="00337F21">
        <w:rPr>
          <w:sz w:val="22"/>
          <w:szCs w:val="22"/>
        </w:rPr>
        <w:t xml:space="preserve">300 mg </w:t>
      </w:r>
      <w:r w:rsidRPr="00337F21">
        <w:rPr>
          <w:sz w:val="22"/>
          <w:szCs w:val="22"/>
        </w:rPr>
        <w:t>devām, kas tika lietotas, lai urīnskābes līmeni serumā pazeminātu līdz &lt; 6 mg/dl jeb 357 µmol/l un tas nekļūtu augstāks.</w:t>
      </w:r>
    </w:p>
    <w:p w14:paraId="38C4B7E4" w14:textId="77777777" w:rsidR="00CE17A7" w:rsidRPr="00337F21" w:rsidRDefault="00CE17A7" w:rsidP="004938F2">
      <w:pPr>
        <w:ind w:left="720"/>
        <w:jc w:val="both"/>
        <w:rPr>
          <w:sz w:val="22"/>
          <w:szCs w:val="22"/>
        </w:rPr>
      </w:pPr>
    </w:p>
    <w:p w14:paraId="6DCF8848" w14:textId="77777777" w:rsidR="00930745" w:rsidRPr="00337F21" w:rsidRDefault="00CE17A7" w:rsidP="00446618">
      <w:pPr>
        <w:jc w:val="both"/>
        <w:rPr>
          <w:sz w:val="22"/>
          <w:szCs w:val="22"/>
        </w:rPr>
      </w:pPr>
      <w:r w:rsidRPr="00337F21">
        <w:rPr>
          <w:sz w:val="22"/>
          <w:szCs w:val="22"/>
        </w:rPr>
        <w:t>Primārie efektivitāti raksturojošie rezultāti ir apkopoti 2. tabulā.</w:t>
      </w:r>
    </w:p>
    <w:p w14:paraId="4DAC25EC" w14:textId="77777777" w:rsidR="00BA1A3C" w:rsidRPr="00337F21" w:rsidRDefault="00BA1A3C" w:rsidP="00446618">
      <w:pPr>
        <w:ind w:left="720"/>
        <w:jc w:val="center"/>
        <w:rPr>
          <w:sz w:val="22"/>
          <w:szCs w:val="22"/>
        </w:rPr>
      </w:pPr>
    </w:p>
    <w:p w14:paraId="60379AA3" w14:textId="77777777" w:rsidR="000432CC" w:rsidRPr="00337F21" w:rsidRDefault="000432CC" w:rsidP="00446618">
      <w:pPr>
        <w:jc w:val="center"/>
        <w:rPr>
          <w:b/>
          <w:sz w:val="22"/>
          <w:szCs w:val="22"/>
        </w:rPr>
      </w:pPr>
    </w:p>
    <w:p w14:paraId="50343921" w14:textId="77777777" w:rsidR="00BA1A3C" w:rsidRPr="00337F21" w:rsidRDefault="00BA1A3C" w:rsidP="005F7231">
      <w:pPr>
        <w:keepNext/>
        <w:jc w:val="center"/>
        <w:rPr>
          <w:b/>
          <w:sz w:val="22"/>
          <w:szCs w:val="22"/>
        </w:rPr>
      </w:pPr>
      <w:r w:rsidRPr="00337F21">
        <w:rPr>
          <w:b/>
          <w:sz w:val="22"/>
          <w:szCs w:val="22"/>
        </w:rPr>
        <w:t>2. tabula.</w:t>
      </w:r>
    </w:p>
    <w:p w14:paraId="7E807FA0" w14:textId="77777777" w:rsidR="00B01861" w:rsidRPr="00337F21" w:rsidRDefault="00BA1A3C" w:rsidP="005F7231">
      <w:pPr>
        <w:keepNext/>
        <w:jc w:val="center"/>
        <w:rPr>
          <w:b/>
          <w:sz w:val="22"/>
          <w:szCs w:val="22"/>
        </w:rPr>
      </w:pPr>
      <w:r w:rsidRPr="00337F21">
        <w:rPr>
          <w:b/>
          <w:sz w:val="22"/>
          <w:szCs w:val="22"/>
        </w:rPr>
        <w:t xml:space="preserve">To pacientu daļa, kuriem urīnskābes līmenis serumā bija &lt; 6,0 mg/dl (357 µmol/l) </w:t>
      </w:r>
    </w:p>
    <w:p w14:paraId="22AD18C2" w14:textId="77777777" w:rsidR="00930745" w:rsidRPr="00337F21" w:rsidRDefault="00BA1A3C" w:rsidP="005F7231">
      <w:pPr>
        <w:keepNext/>
        <w:jc w:val="center"/>
        <w:rPr>
          <w:b/>
          <w:sz w:val="22"/>
          <w:szCs w:val="22"/>
        </w:rPr>
      </w:pPr>
      <w:r w:rsidRPr="00337F21">
        <w:rPr>
          <w:b/>
          <w:sz w:val="22"/>
          <w:szCs w:val="22"/>
        </w:rPr>
        <w:t>Trīs pēdējās ikmēneša vizītes</w:t>
      </w:r>
    </w:p>
    <w:p w14:paraId="659B9939" w14:textId="77777777" w:rsidR="00930745" w:rsidRPr="00337F21" w:rsidRDefault="00930745" w:rsidP="004938F2">
      <w:pPr>
        <w:ind w:left="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418"/>
        <w:gridCol w:w="1559"/>
        <w:gridCol w:w="1559"/>
      </w:tblGrid>
      <w:tr w:rsidR="00DC1665" w:rsidRPr="00337F21" w14:paraId="0105994B" w14:textId="77777777" w:rsidTr="00DC1336">
        <w:trPr>
          <w:jc w:val="center"/>
        </w:trPr>
        <w:tc>
          <w:tcPr>
            <w:tcW w:w="1798" w:type="dxa"/>
            <w:shd w:val="clear" w:color="auto" w:fill="auto"/>
          </w:tcPr>
          <w:p w14:paraId="1D521C3E" w14:textId="77777777" w:rsidR="00DC1665" w:rsidRPr="00337F21" w:rsidRDefault="00DC1665" w:rsidP="004938F2">
            <w:pPr>
              <w:jc w:val="center"/>
              <w:rPr>
                <w:sz w:val="22"/>
                <w:szCs w:val="22"/>
              </w:rPr>
            </w:pPr>
            <w:r w:rsidRPr="00337F21">
              <w:rPr>
                <w:sz w:val="22"/>
                <w:szCs w:val="22"/>
              </w:rPr>
              <w:t>Pētījums</w:t>
            </w:r>
          </w:p>
        </w:tc>
        <w:tc>
          <w:tcPr>
            <w:tcW w:w="1418" w:type="dxa"/>
            <w:shd w:val="clear" w:color="auto" w:fill="auto"/>
          </w:tcPr>
          <w:p w14:paraId="721225A7" w14:textId="77777777" w:rsidR="00DC1665" w:rsidRPr="00337F21" w:rsidRDefault="00DC1665" w:rsidP="00FB06B9">
            <w:pPr>
              <w:jc w:val="center"/>
              <w:rPr>
                <w:sz w:val="22"/>
                <w:szCs w:val="22"/>
              </w:rPr>
            </w:pPr>
            <w:r w:rsidRPr="00337F21">
              <w:rPr>
                <w:sz w:val="22"/>
                <w:szCs w:val="22"/>
              </w:rPr>
              <w:t>Febuksostats</w:t>
            </w:r>
          </w:p>
          <w:p w14:paraId="3D3B5B2C" w14:textId="77777777" w:rsidR="00DC1665" w:rsidRPr="00337F21" w:rsidRDefault="00DC1665" w:rsidP="00FB06B9">
            <w:pPr>
              <w:jc w:val="center"/>
              <w:rPr>
                <w:sz w:val="22"/>
                <w:szCs w:val="22"/>
              </w:rPr>
            </w:pPr>
            <w:r w:rsidRPr="00337F21">
              <w:rPr>
                <w:sz w:val="22"/>
                <w:szCs w:val="22"/>
              </w:rPr>
              <w:t>80 mg vienreiz dienā</w:t>
            </w:r>
          </w:p>
        </w:tc>
        <w:tc>
          <w:tcPr>
            <w:tcW w:w="1559" w:type="dxa"/>
            <w:shd w:val="clear" w:color="auto" w:fill="auto"/>
          </w:tcPr>
          <w:p w14:paraId="29258938" w14:textId="77777777" w:rsidR="00DC1665" w:rsidRPr="00337F21" w:rsidRDefault="00DC1665" w:rsidP="00FB06B9">
            <w:pPr>
              <w:jc w:val="center"/>
              <w:rPr>
                <w:sz w:val="22"/>
                <w:szCs w:val="22"/>
              </w:rPr>
            </w:pPr>
            <w:r w:rsidRPr="00337F21">
              <w:rPr>
                <w:sz w:val="22"/>
                <w:szCs w:val="22"/>
              </w:rPr>
              <w:t>Febuksostats</w:t>
            </w:r>
          </w:p>
          <w:p w14:paraId="200DE1D8" w14:textId="77777777" w:rsidR="00DC1665" w:rsidRPr="00337F21" w:rsidRDefault="00DC1665" w:rsidP="00FB06B9">
            <w:pPr>
              <w:jc w:val="center"/>
              <w:rPr>
                <w:sz w:val="22"/>
                <w:szCs w:val="22"/>
              </w:rPr>
            </w:pPr>
            <w:r w:rsidRPr="00337F21">
              <w:rPr>
                <w:sz w:val="22"/>
                <w:szCs w:val="22"/>
              </w:rPr>
              <w:t>120 mg vienreiz dienā</w:t>
            </w:r>
          </w:p>
        </w:tc>
        <w:tc>
          <w:tcPr>
            <w:tcW w:w="1559" w:type="dxa"/>
            <w:shd w:val="clear" w:color="auto" w:fill="auto"/>
          </w:tcPr>
          <w:p w14:paraId="4F9DCD4C" w14:textId="77777777" w:rsidR="00DC1665" w:rsidRPr="00337F21" w:rsidRDefault="00DC1665" w:rsidP="00FB06B9">
            <w:pPr>
              <w:jc w:val="center"/>
              <w:rPr>
                <w:sz w:val="22"/>
                <w:szCs w:val="22"/>
              </w:rPr>
            </w:pPr>
            <w:r w:rsidRPr="00337F21">
              <w:rPr>
                <w:sz w:val="22"/>
                <w:szCs w:val="22"/>
              </w:rPr>
              <w:t>Allopurinols 300</w:t>
            </w:r>
            <w:r w:rsidR="001E6F7F">
              <w:rPr>
                <w:sz w:val="22"/>
                <w:szCs w:val="22"/>
              </w:rPr>
              <w:t> mg</w:t>
            </w:r>
            <w:r w:rsidRPr="00337F21">
              <w:rPr>
                <w:sz w:val="22"/>
                <w:szCs w:val="22"/>
              </w:rPr>
              <w:t>/</w:t>
            </w:r>
          </w:p>
          <w:p w14:paraId="73D9AE6E" w14:textId="77777777" w:rsidR="00DC1665" w:rsidRPr="00337F21" w:rsidRDefault="00DC1665" w:rsidP="00FB06B9">
            <w:pPr>
              <w:jc w:val="center"/>
              <w:rPr>
                <w:sz w:val="22"/>
                <w:szCs w:val="22"/>
              </w:rPr>
            </w:pPr>
            <w:r w:rsidRPr="00337F21">
              <w:rPr>
                <w:sz w:val="22"/>
                <w:szCs w:val="22"/>
              </w:rPr>
              <w:t>100 mg vienreiz dienā</w:t>
            </w:r>
            <w:r w:rsidRPr="00337F21">
              <w:rPr>
                <w:sz w:val="22"/>
                <w:szCs w:val="22"/>
                <w:vertAlign w:val="superscript"/>
              </w:rPr>
              <w:t>1</w:t>
            </w:r>
          </w:p>
        </w:tc>
      </w:tr>
      <w:tr w:rsidR="00DC1665" w:rsidRPr="00337F21" w14:paraId="57B3D2C7" w14:textId="77777777" w:rsidTr="00DC1336">
        <w:trPr>
          <w:jc w:val="center"/>
        </w:trPr>
        <w:tc>
          <w:tcPr>
            <w:tcW w:w="1798" w:type="dxa"/>
            <w:shd w:val="clear" w:color="auto" w:fill="auto"/>
          </w:tcPr>
          <w:p w14:paraId="4ED671F1" w14:textId="77777777" w:rsidR="00DC1665" w:rsidRPr="00337F21" w:rsidRDefault="00DC1665" w:rsidP="004938F2">
            <w:pPr>
              <w:jc w:val="center"/>
              <w:rPr>
                <w:sz w:val="22"/>
                <w:szCs w:val="22"/>
              </w:rPr>
            </w:pPr>
            <w:r w:rsidRPr="00337F21">
              <w:rPr>
                <w:i/>
                <w:sz w:val="22"/>
                <w:szCs w:val="22"/>
              </w:rPr>
              <w:t>APEX</w:t>
            </w:r>
          </w:p>
          <w:p w14:paraId="13DDFE06" w14:textId="77777777" w:rsidR="00DC1665" w:rsidRPr="00337F21" w:rsidRDefault="00DC1665" w:rsidP="004938F2">
            <w:pPr>
              <w:jc w:val="center"/>
              <w:rPr>
                <w:sz w:val="22"/>
                <w:szCs w:val="22"/>
              </w:rPr>
            </w:pPr>
            <w:r w:rsidRPr="00337F21">
              <w:rPr>
                <w:sz w:val="22"/>
                <w:szCs w:val="22"/>
              </w:rPr>
              <w:t>(28 nedēļas)</w:t>
            </w:r>
          </w:p>
        </w:tc>
        <w:tc>
          <w:tcPr>
            <w:tcW w:w="1418" w:type="dxa"/>
            <w:shd w:val="clear" w:color="auto" w:fill="auto"/>
          </w:tcPr>
          <w:p w14:paraId="4666F875" w14:textId="77777777" w:rsidR="00DC1665" w:rsidRPr="00337F21" w:rsidRDefault="00DC1665" w:rsidP="00FB06B9">
            <w:pPr>
              <w:jc w:val="center"/>
              <w:rPr>
                <w:sz w:val="22"/>
                <w:szCs w:val="22"/>
                <w:vertAlign w:val="superscript"/>
              </w:rPr>
            </w:pPr>
            <w:r w:rsidRPr="00337F21">
              <w:rPr>
                <w:sz w:val="22"/>
                <w:szCs w:val="22"/>
              </w:rPr>
              <w:t>48 %*</w:t>
            </w:r>
          </w:p>
          <w:p w14:paraId="775676E5" w14:textId="77777777" w:rsidR="00DC1665" w:rsidRPr="00337F21" w:rsidRDefault="00DC1665" w:rsidP="00FB06B9">
            <w:pPr>
              <w:jc w:val="center"/>
              <w:rPr>
                <w:sz w:val="22"/>
                <w:szCs w:val="22"/>
              </w:rPr>
            </w:pPr>
            <w:r w:rsidRPr="00337F21">
              <w:rPr>
                <w:sz w:val="22"/>
                <w:szCs w:val="22"/>
              </w:rPr>
              <w:t>(n = 262)</w:t>
            </w:r>
          </w:p>
        </w:tc>
        <w:tc>
          <w:tcPr>
            <w:tcW w:w="1559" w:type="dxa"/>
            <w:shd w:val="clear" w:color="auto" w:fill="auto"/>
          </w:tcPr>
          <w:p w14:paraId="4B1C1997" w14:textId="77777777" w:rsidR="00DC1665" w:rsidRPr="00337F21" w:rsidRDefault="00DC1665" w:rsidP="00FB06B9">
            <w:pPr>
              <w:jc w:val="center"/>
              <w:rPr>
                <w:sz w:val="22"/>
                <w:szCs w:val="22"/>
              </w:rPr>
            </w:pPr>
            <w:r w:rsidRPr="00337F21">
              <w:rPr>
                <w:sz w:val="22"/>
                <w:szCs w:val="22"/>
              </w:rPr>
              <w:t>65 %</w:t>
            </w:r>
            <w:r w:rsidRPr="00337F21">
              <w:rPr>
                <w:sz w:val="22"/>
                <w:szCs w:val="22"/>
                <w:vertAlign w:val="superscript"/>
              </w:rPr>
              <w:t>*, #</w:t>
            </w:r>
          </w:p>
          <w:p w14:paraId="100E8D00" w14:textId="77777777" w:rsidR="00DC1665" w:rsidRPr="00337F21" w:rsidRDefault="00DC1665" w:rsidP="00FB06B9">
            <w:pPr>
              <w:jc w:val="center"/>
              <w:rPr>
                <w:sz w:val="22"/>
                <w:szCs w:val="22"/>
              </w:rPr>
            </w:pPr>
            <w:r w:rsidRPr="00337F21">
              <w:rPr>
                <w:sz w:val="22"/>
                <w:szCs w:val="22"/>
              </w:rPr>
              <w:t>(n = 269)</w:t>
            </w:r>
          </w:p>
        </w:tc>
        <w:tc>
          <w:tcPr>
            <w:tcW w:w="1559" w:type="dxa"/>
            <w:shd w:val="clear" w:color="auto" w:fill="auto"/>
          </w:tcPr>
          <w:p w14:paraId="1943F5FF" w14:textId="77777777" w:rsidR="00DC1665" w:rsidRPr="00337F21" w:rsidRDefault="00DC1665" w:rsidP="00FB06B9">
            <w:pPr>
              <w:jc w:val="center"/>
              <w:rPr>
                <w:sz w:val="22"/>
                <w:szCs w:val="22"/>
              </w:rPr>
            </w:pPr>
            <w:r w:rsidRPr="00337F21">
              <w:rPr>
                <w:sz w:val="22"/>
                <w:szCs w:val="22"/>
              </w:rPr>
              <w:t>22 %</w:t>
            </w:r>
          </w:p>
          <w:p w14:paraId="5F40E591" w14:textId="77777777" w:rsidR="00DC1665" w:rsidRPr="00337F21" w:rsidRDefault="00DC1665" w:rsidP="00FB06B9">
            <w:pPr>
              <w:jc w:val="center"/>
              <w:rPr>
                <w:sz w:val="22"/>
                <w:szCs w:val="22"/>
              </w:rPr>
            </w:pPr>
            <w:r w:rsidRPr="00337F21">
              <w:rPr>
                <w:sz w:val="22"/>
                <w:szCs w:val="22"/>
              </w:rPr>
              <w:t>(n = 268)</w:t>
            </w:r>
          </w:p>
        </w:tc>
      </w:tr>
      <w:tr w:rsidR="00DC1665" w:rsidRPr="00337F21" w14:paraId="101CD67C" w14:textId="77777777" w:rsidTr="00DC1336">
        <w:trPr>
          <w:jc w:val="center"/>
        </w:trPr>
        <w:tc>
          <w:tcPr>
            <w:tcW w:w="1798" w:type="dxa"/>
            <w:shd w:val="clear" w:color="auto" w:fill="auto"/>
          </w:tcPr>
          <w:p w14:paraId="28A9F3BC" w14:textId="77777777" w:rsidR="00DC1665" w:rsidRPr="00337F21" w:rsidRDefault="00DC1665" w:rsidP="004938F2">
            <w:pPr>
              <w:jc w:val="center"/>
              <w:rPr>
                <w:sz w:val="22"/>
                <w:szCs w:val="22"/>
              </w:rPr>
            </w:pPr>
            <w:r w:rsidRPr="00337F21">
              <w:rPr>
                <w:i/>
                <w:sz w:val="22"/>
                <w:szCs w:val="22"/>
              </w:rPr>
              <w:t>FACT</w:t>
            </w:r>
          </w:p>
          <w:p w14:paraId="1AF84C2A" w14:textId="77777777" w:rsidR="00DC1665" w:rsidRPr="00337F21" w:rsidRDefault="00DC1665" w:rsidP="004938F2">
            <w:pPr>
              <w:jc w:val="center"/>
              <w:rPr>
                <w:sz w:val="22"/>
                <w:szCs w:val="22"/>
              </w:rPr>
            </w:pPr>
            <w:r w:rsidRPr="00337F21">
              <w:rPr>
                <w:sz w:val="22"/>
                <w:szCs w:val="22"/>
              </w:rPr>
              <w:t>(52 nedēļas)</w:t>
            </w:r>
          </w:p>
        </w:tc>
        <w:tc>
          <w:tcPr>
            <w:tcW w:w="1418" w:type="dxa"/>
            <w:shd w:val="clear" w:color="auto" w:fill="auto"/>
          </w:tcPr>
          <w:p w14:paraId="428EAB11" w14:textId="77777777" w:rsidR="00DC1665" w:rsidRPr="00337F21" w:rsidRDefault="00DC1665" w:rsidP="00FB06B9">
            <w:pPr>
              <w:jc w:val="center"/>
              <w:rPr>
                <w:sz w:val="22"/>
                <w:szCs w:val="22"/>
              </w:rPr>
            </w:pPr>
            <w:r w:rsidRPr="00337F21">
              <w:rPr>
                <w:sz w:val="22"/>
                <w:szCs w:val="22"/>
              </w:rPr>
              <w:t>53 %*</w:t>
            </w:r>
          </w:p>
          <w:p w14:paraId="764593C6" w14:textId="77777777" w:rsidR="00DC1665" w:rsidRPr="00337F21" w:rsidRDefault="00DC1665" w:rsidP="00FB06B9">
            <w:pPr>
              <w:jc w:val="center"/>
              <w:rPr>
                <w:sz w:val="22"/>
                <w:szCs w:val="22"/>
              </w:rPr>
            </w:pPr>
            <w:r w:rsidRPr="00337F21">
              <w:rPr>
                <w:sz w:val="22"/>
                <w:szCs w:val="22"/>
              </w:rPr>
              <w:t>(n = 255)</w:t>
            </w:r>
          </w:p>
        </w:tc>
        <w:tc>
          <w:tcPr>
            <w:tcW w:w="1559" w:type="dxa"/>
            <w:shd w:val="clear" w:color="auto" w:fill="auto"/>
          </w:tcPr>
          <w:p w14:paraId="664302A5" w14:textId="77777777" w:rsidR="00DC1665" w:rsidRPr="00337F21" w:rsidRDefault="00DC1665" w:rsidP="00FB06B9">
            <w:pPr>
              <w:jc w:val="center"/>
              <w:rPr>
                <w:sz w:val="22"/>
                <w:szCs w:val="22"/>
              </w:rPr>
            </w:pPr>
            <w:r w:rsidRPr="00337F21">
              <w:rPr>
                <w:sz w:val="22"/>
                <w:szCs w:val="22"/>
              </w:rPr>
              <w:t>62 %*</w:t>
            </w:r>
          </w:p>
          <w:p w14:paraId="33C96D8D" w14:textId="77777777" w:rsidR="00DC1665" w:rsidRPr="00337F21" w:rsidRDefault="00DC1665" w:rsidP="00FB06B9">
            <w:pPr>
              <w:jc w:val="center"/>
              <w:rPr>
                <w:sz w:val="22"/>
                <w:szCs w:val="22"/>
              </w:rPr>
            </w:pPr>
            <w:r w:rsidRPr="00337F21">
              <w:rPr>
                <w:sz w:val="22"/>
                <w:szCs w:val="22"/>
              </w:rPr>
              <w:t>(n = 250)</w:t>
            </w:r>
          </w:p>
        </w:tc>
        <w:tc>
          <w:tcPr>
            <w:tcW w:w="1559" w:type="dxa"/>
            <w:shd w:val="clear" w:color="auto" w:fill="auto"/>
          </w:tcPr>
          <w:p w14:paraId="517C8C7E" w14:textId="77777777" w:rsidR="00DC1665" w:rsidRPr="00337F21" w:rsidRDefault="00DC1665" w:rsidP="00FB06B9">
            <w:pPr>
              <w:jc w:val="center"/>
              <w:rPr>
                <w:sz w:val="22"/>
                <w:szCs w:val="22"/>
              </w:rPr>
            </w:pPr>
            <w:r w:rsidRPr="00337F21">
              <w:rPr>
                <w:sz w:val="22"/>
                <w:szCs w:val="22"/>
              </w:rPr>
              <w:t>21 %</w:t>
            </w:r>
          </w:p>
          <w:p w14:paraId="3226A88C" w14:textId="77777777" w:rsidR="00DC1665" w:rsidRPr="00337F21" w:rsidRDefault="00DC1665" w:rsidP="00FB06B9">
            <w:pPr>
              <w:jc w:val="center"/>
              <w:rPr>
                <w:sz w:val="22"/>
                <w:szCs w:val="22"/>
              </w:rPr>
            </w:pPr>
            <w:r w:rsidRPr="00337F21">
              <w:rPr>
                <w:sz w:val="22"/>
                <w:szCs w:val="22"/>
              </w:rPr>
              <w:t>(n = 251)</w:t>
            </w:r>
          </w:p>
        </w:tc>
      </w:tr>
      <w:tr w:rsidR="00DC1665" w:rsidRPr="00337F21" w14:paraId="5D80CEB6" w14:textId="77777777" w:rsidTr="00DC1336">
        <w:trPr>
          <w:jc w:val="center"/>
        </w:trPr>
        <w:tc>
          <w:tcPr>
            <w:tcW w:w="1798" w:type="dxa"/>
            <w:shd w:val="clear" w:color="auto" w:fill="auto"/>
          </w:tcPr>
          <w:p w14:paraId="3D5CFB6F" w14:textId="77777777" w:rsidR="00DC1665" w:rsidRPr="00337F21" w:rsidRDefault="00DC1665" w:rsidP="004938F2">
            <w:pPr>
              <w:jc w:val="center"/>
              <w:rPr>
                <w:sz w:val="22"/>
                <w:szCs w:val="22"/>
              </w:rPr>
            </w:pPr>
            <w:r w:rsidRPr="00337F21">
              <w:rPr>
                <w:sz w:val="22"/>
                <w:szCs w:val="22"/>
              </w:rPr>
              <w:t>Apvienotie</w:t>
            </w:r>
          </w:p>
          <w:p w14:paraId="3326A77E" w14:textId="77777777" w:rsidR="00DC1665" w:rsidRPr="00337F21" w:rsidRDefault="00DC1665" w:rsidP="004938F2">
            <w:pPr>
              <w:jc w:val="center"/>
              <w:rPr>
                <w:sz w:val="22"/>
                <w:szCs w:val="22"/>
              </w:rPr>
            </w:pPr>
            <w:r w:rsidRPr="00337F21">
              <w:rPr>
                <w:sz w:val="22"/>
                <w:szCs w:val="22"/>
              </w:rPr>
              <w:lastRenderedPageBreak/>
              <w:t>rezultāti</w:t>
            </w:r>
          </w:p>
        </w:tc>
        <w:tc>
          <w:tcPr>
            <w:tcW w:w="1418" w:type="dxa"/>
            <w:shd w:val="clear" w:color="auto" w:fill="auto"/>
          </w:tcPr>
          <w:p w14:paraId="6CF46244" w14:textId="77777777" w:rsidR="00DC1665" w:rsidRPr="00337F21" w:rsidRDefault="00DC1665" w:rsidP="00FB06B9">
            <w:pPr>
              <w:jc w:val="center"/>
              <w:rPr>
                <w:sz w:val="22"/>
                <w:szCs w:val="22"/>
              </w:rPr>
            </w:pPr>
            <w:r w:rsidRPr="00337F21">
              <w:rPr>
                <w:sz w:val="22"/>
                <w:szCs w:val="22"/>
              </w:rPr>
              <w:lastRenderedPageBreak/>
              <w:t>51 %*</w:t>
            </w:r>
          </w:p>
          <w:p w14:paraId="766AAE34" w14:textId="77777777" w:rsidR="00DC1665" w:rsidRPr="00337F21" w:rsidRDefault="00DC1665" w:rsidP="00FB06B9">
            <w:pPr>
              <w:jc w:val="center"/>
              <w:rPr>
                <w:sz w:val="22"/>
                <w:szCs w:val="22"/>
              </w:rPr>
            </w:pPr>
            <w:r w:rsidRPr="00337F21">
              <w:rPr>
                <w:sz w:val="22"/>
                <w:szCs w:val="22"/>
              </w:rPr>
              <w:lastRenderedPageBreak/>
              <w:t>(n = 517)</w:t>
            </w:r>
          </w:p>
        </w:tc>
        <w:tc>
          <w:tcPr>
            <w:tcW w:w="1559" w:type="dxa"/>
            <w:shd w:val="clear" w:color="auto" w:fill="auto"/>
          </w:tcPr>
          <w:p w14:paraId="75AA097B" w14:textId="77777777" w:rsidR="00DC1665" w:rsidRPr="00337F21" w:rsidRDefault="00DC1665" w:rsidP="00FB06B9">
            <w:pPr>
              <w:jc w:val="center"/>
              <w:rPr>
                <w:sz w:val="22"/>
                <w:szCs w:val="22"/>
              </w:rPr>
            </w:pPr>
            <w:r w:rsidRPr="00337F21">
              <w:rPr>
                <w:sz w:val="22"/>
                <w:szCs w:val="22"/>
              </w:rPr>
              <w:lastRenderedPageBreak/>
              <w:t>63 %</w:t>
            </w:r>
            <w:r w:rsidRPr="00337F21">
              <w:rPr>
                <w:sz w:val="22"/>
                <w:szCs w:val="22"/>
                <w:vertAlign w:val="superscript"/>
              </w:rPr>
              <w:t>*, #</w:t>
            </w:r>
          </w:p>
          <w:p w14:paraId="173AB8FC" w14:textId="77777777" w:rsidR="00DC1665" w:rsidRPr="00337F21" w:rsidRDefault="00DC1665" w:rsidP="00FB06B9">
            <w:pPr>
              <w:jc w:val="center"/>
              <w:rPr>
                <w:sz w:val="22"/>
                <w:szCs w:val="22"/>
              </w:rPr>
            </w:pPr>
            <w:r w:rsidRPr="00337F21">
              <w:rPr>
                <w:sz w:val="22"/>
                <w:szCs w:val="22"/>
              </w:rPr>
              <w:lastRenderedPageBreak/>
              <w:t>(n = 519)</w:t>
            </w:r>
          </w:p>
        </w:tc>
        <w:tc>
          <w:tcPr>
            <w:tcW w:w="1559" w:type="dxa"/>
            <w:shd w:val="clear" w:color="auto" w:fill="auto"/>
          </w:tcPr>
          <w:p w14:paraId="42D7546B" w14:textId="77777777" w:rsidR="00DC1665" w:rsidRPr="00337F21" w:rsidRDefault="00DC1665" w:rsidP="00FB06B9">
            <w:pPr>
              <w:jc w:val="center"/>
              <w:rPr>
                <w:sz w:val="22"/>
                <w:szCs w:val="22"/>
              </w:rPr>
            </w:pPr>
            <w:r w:rsidRPr="00337F21">
              <w:rPr>
                <w:sz w:val="22"/>
                <w:szCs w:val="22"/>
              </w:rPr>
              <w:lastRenderedPageBreak/>
              <w:t>22 %</w:t>
            </w:r>
          </w:p>
          <w:p w14:paraId="59CE618A" w14:textId="77777777" w:rsidR="00DC1665" w:rsidRPr="00337F21" w:rsidRDefault="00DC1665" w:rsidP="00FB06B9">
            <w:pPr>
              <w:jc w:val="center"/>
              <w:rPr>
                <w:sz w:val="22"/>
                <w:szCs w:val="22"/>
              </w:rPr>
            </w:pPr>
            <w:r w:rsidRPr="00337F21">
              <w:rPr>
                <w:sz w:val="22"/>
                <w:szCs w:val="22"/>
              </w:rPr>
              <w:lastRenderedPageBreak/>
              <w:t>(n = 519)</w:t>
            </w:r>
          </w:p>
        </w:tc>
      </w:tr>
      <w:tr w:rsidR="00DC1665" w:rsidRPr="00337F21" w14:paraId="758F56D2" w14:textId="77777777" w:rsidTr="00DC1336">
        <w:trPr>
          <w:jc w:val="center"/>
        </w:trPr>
        <w:tc>
          <w:tcPr>
            <w:tcW w:w="6334" w:type="dxa"/>
            <w:gridSpan w:val="4"/>
            <w:shd w:val="clear" w:color="auto" w:fill="auto"/>
          </w:tcPr>
          <w:p w14:paraId="31870551" w14:textId="77777777" w:rsidR="00DC1665" w:rsidRPr="00337F21" w:rsidRDefault="00DC1665" w:rsidP="004938F2">
            <w:pPr>
              <w:pStyle w:val="TableParagraph"/>
              <w:rPr>
                <w:rFonts w:ascii="Times New Roman" w:eastAsia="Times New Roman" w:hAnsi="Times New Roman"/>
              </w:rPr>
            </w:pPr>
            <w:r w:rsidRPr="00337F21">
              <w:rPr>
                <w:rFonts w:ascii="Times New Roman" w:hAnsi="Times New Roman"/>
                <w:vertAlign w:val="superscript"/>
              </w:rPr>
              <w:lastRenderedPageBreak/>
              <w:t>1 </w:t>
            </w:r>
            <w:r w:rsidRPr="00337F21">
              <w:rPr>
                <w:rFonts w:ascii="Times New Roman" w:hAnsi="Times New Roman"/>
              </w:rPr>
              <w:t xml:space="preserve">Analīzes nolūkiem rezultāti par 10 pacientiem, </w:t>
            </w:r>
            <w:r w:rsidR="001E6F7F">
              <w:rPr>
                <w:rFonts w:ascii="Times New Roman" w:hAnsi="Times New Roman"/>
              </w:rPr>
              <w:t>kuri</w:t>
            </w:r>
            <w:r w:rsidRPr="00337F21">
              <w:rPr>
                <w:rFonts w:ascii="Times New Roman" w:hAnsi="Times New Roman"/>
              </w:rPr>
              <w:t xml:space="preserve"> vienreiz dienā saņēma 100 mg devas (šo pacientu serumā kreatinīna līmenis bija &gt; 1,5–</w:t>
            </w:r>
            <w:r w:rsidR="001E6F7F">
              <w:rPr>
                <w:rFonts w:ascii="Times New Roman" w:hAnsi="Times New Roman"/>
              </w:rPr>
              <w:t>≤</w:t>
            </w:r>
            <w:r w:rsidRPr="00337F21">
              <w:rPr>
                <w:rFonts w:ascii="Times New Roman" w:hAnsi="Times New Roman"/>
              </w:rPr>
              <w:t xml:space="preserve">2,0 mg/dl), un 509 pacientiem, </w:t>
            </w:r>
            <w:r w:rsidR="001E6F7F">
              <w:rPr>
                <w:rFonts w:ascii="Times New Roman" w:hAnsi="Times New Roman"/>
              </w:rPr>
              <w:t>kuri</w:t>
            </w:r>
            <w:r w:rsidRPr="00337F21">
              <w:rPr>
                <w:rFonts w:ascii="Times New Roman" w:hAnsi="Times New Roman"/>
              </w:rPr>
              <w:t xml:space="preserve"> vienreiz dienā saņēma 300 mg devas, tika apvienoti.</w:t>
            </w:r>
          </w:p>
          <w:p w14:paraId="23E3CF2A" w14:textId="77777777" w:rsidR="00DC1665" w:rsidRPr="00337F21" w:rsidRDefault="00DC1665" w:rsidP="001E6F7F">
            <w:pPr>
              <w:rPr>
                <w:sz w:val="22"/>
                <w:szCs w:val="22"/>
              </w:rPr>
            </w:pPr>
            <w:r w:rsidRPr="00337F21">
              <w:rPr>
                <w:sz w:val="22"/>
                <w:szCs w:val="22"/>
              </w:rPr>
              <w:t xml:space="preserve">* p &lt; 0,001, salīdzinot ar allopurinolu; </w:t>
            </w:r>
            <w:r w:rsidRPr="00337F21">
              <w:rPr>
                <w:sz w:val="22"/>
                <w:szCs w:val="22"/>
                <w:vertAlign w:val="superscript"/>
              </w:rPr>
              <w:t># </w:t>
            </w:r>
            <w:r w:rsidRPr="00337F21">
              <w:rPr>
                <w:sz w:val="22"/>
                <w:szCs w:val="22"/>
              </w:rPr>
              <w:t>p &lt; 0,001, salīdzinot ar 80 mg devu lietošanu</w:t>
            </w:r>
          </w:p>
        </w:tc>
      </w:tr>
    </w:tbl>
    <w:p w14:paraId="1702AAF5" w14:textId="77777777" w:rsidR="00CE17A7" w:rsidRPr="00337F21" w:rsidRDefault="00CE17A7" w:rsidP="004938F2">
      <w:pPr>
        <w:ind w:left="720"/>
        <w:jc w:val="both"/>
        <w:rPr>
          <w:sz w:val="22"/>
          <w:szCs w:val="22"/>
        </w:rPr>
      </w:pPr>
    </w:p>
    <w:p w14:paraId="5C65256F" w14:textId="77777777" w:rsidR="00930745" w:rsidRPr="00337F21" w:rsidRDefault="00A54C81" w:rsidP="00C769DC">
      <w:pPr>
        <w:jc w:val="both"/>
        <w:rPr>
          <w:sz w:val="22"/>
          <w:szCs w:val="22"/>
        </w:rPr>
      </w:pPr>
      <w:r w:rsidRPr="00337F21">
        <w:rPr>
          <w:sz w:val="22"/>
          <w:szCs w:val="22"/>
        </w:rPr>
        <w:t xml:space="preserve">Febuksostats spēja strauji un noturīgi pazemināt urīnskābes līmeni serumā. Serumā esošās urīnskābes līmeņa pazemināšanās līdz &lt; 6,0 mg/dl (357 µmol/l) tika novērota ne vēlāk kā 2. nedēļā un saglabājās visā terapijas laikā. Visās divu pivotālo 3. fāzes pētījumu terapijas grupās novērotais vidējais urīnskābes līmenis serumā </w:t>
      </w:r>
      <w:r w:rsidR="001E6F7F">
        <w:rPr>
          <w:sz w:val="22"/>
          <w:szCs w:val="22"/>
        </w:rPr>
        <w:t xml:space="preserve">laika gaitā </w:t>
      </w:r>
      <w:r w:rsidRPr="00337F21">
        <w:rPr>
          <w:sz w:val="22"/>
          <w:szCs w:val="22"/>
        </w:rPr>
        <w:t>ir parādīts 1. attēlā</w:t>
      </w:r>
      <w:r w:rsidR="001E6F7F">
        <w:rPr>
          <w:sz w:val="22"/>
          <w:szCs w:val="22"/>
        </w:rPr>
        <w:t>.</w:t>
      </w:r>
    </w:p>
    <w:p w14:paraId="2F5A0883" w14:textId="77777777" w:rsidR="00C769DC" w:rsidRPr="00337F21" w:rsidRDefault="00C769DC" w:rsidP="00C769DC">
      <w:pPr>
        <w:jc w:val="both"/>
        <w:rPr>
          <w:sz w:val="22"/>
          <w:szCs w:val="22"/>
        </w:rPr>
      </w:pPr>
    </w:p>
    <w:p w14:paraId="2C0566BA" w14:textId="77777777" w:rsidR="001900B4" w:rsidRPr="00337F21" w:rsidRDefault="00E3235A" w:rsidP="00C769DC">
      <w:pPr>
        <w:ind w:left="720"/>
        <w:jc w:val="center"/>
        <w:rPr>
          <w:sz w:val="22"/>
          <w:szCs w:val="22"/>
        </w:rPr>
      </w:pPr>
      <w:r>
        <w:rPr>
          <w:noProof/>
          <w:sz w:val="22"/>
          <w:szCs w:val="22"/>
          <w:lang w:val="en-US" w:eastAsia="en-US"/>
        </w:rPr>
        <w:drawing>
          <wp:inline distT="0" distB="0" distL="0" distR="0" wp14:anchorId="0B03439D" wp14:editId="1745A632">
            <wp:extent cx="4770120" cy="3505200"/>
            <wp:effectExtent l="19050" t="0" r="0" b="0"/>
            <wp:docPr id="2" name="Picture 1" descr="C:\Users\A\AppData\Local\Microsoft\Windows\Temporary Internet Files\Content.IE5\A3HKDGVT\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Local\Microsoft\Windows\Temporary Internet Files\Content.IE5\A3HKDGVT\in1.jpg"/>
                    <pic:cNvPicPr>
                      <a:picLocks noChangeAspect="1" noChangeArrowheads="1"/>
                    </pic:cNvPicPr>
                  </pic:nvPicPr>
                  <pic:blipFill>
                    <a:blip r:embed="rId12" cstate="print"/>
                    <a:srcRect/>
                    <a:stretch>
                      <a:fillRect/>
                    </a:stretch>
                  </pic:blipFill>
                  <pic:spPr bwMode="auto">
                    <a:xfrm>
                      <a:off x="0" y="0"/>
                      <a:ext cx="4770120" cy="3505200"/>
                    </a:xfrm>
                    <a:prstGeom prst="rect">
                      <a:avLst/>
                    </a:prstGeom>
                    <a:noFill/>
                    <a:ln w="9525">
                      <a:noFill/>
                      <a:miter lim="800000"/>
                      <a:headEnd/>
                      <a:tailEnd/>
                    </a:ln>
                  </pic:spPr>
                </pic:pic>
              </a:graphicData>
            </a:graphic>
          </wp:inline>
        </w:drawing>
      </w:r>
    </w:p>
    <w:p w14:paraId="6642BEF1" w14:textId="77777777" w:rsidR="00930745" w:rsidRPr="00337F21" w:rsidRDefault="0097374D" w:rsidP="001A59F2">
      <w:pPr>
        <w:ind w:left="851" w:hanging="851"/>
        <w:jc w:val="both"/>
        <w:rPr>
          <w:sz w:val="22"/>
          <w:szCs w:val="22"/>
        </w:rPr>
      </w:pPr>
      <w:r w:rsidRPr="00337F21">
        <w:rPr>
          <w:sz w:val="22"/>
          <w:szCs w:val="22"/>
        </w:rPr>
        <w:t>Piebilde:</w:t>
      </w:r>
      <w:r w:rsidRPr="00337F21">
        <w:rPr>
          <w:sz w:val="22"/>
          <w:szCs w:val="22"/>
        </w:rPr>
        <w:tab/>
        <w:t xml:space="preserve">509 pacienti vienreiz dienā saņēma 300 mg allopurinola. 10 pacientu, </w:t>
      </w:r>
      <w:r w:rsidR="001E6F7F">
        <w:rPr>
          <w:sz w:val="22"/>
          <w:szCs w:val="22"/>
        </w:rPr>
        <w:t>kuriem</w:t>
      </w:r>
      <w:r w:rsidRPr="00337F21">
        <w:rPr>
          <w:sz w:val="22"/>
          <w:szCs w:val="22"/>
        </w:rPr>
        <w:t xml:space="preserve"> kreatinīna līmenis serumā bija &gt;1,5–&lt; 2,0 mg/dl, vienreiz dienā saņēma 100 mg allopurinola (10 no 268 pacientiem, </w:t>
      </w:r>
      <w:r w:rsidR="001E6F7F">
        <w:rPr>
          <w:sz w:val="22"/>
          <w:szCs w:val="22"/>
        </w:rPr>
        <w:t>kuri</w:t>
      </w:r>
      <w:r w:rsidRPr="00337F21">
        <w:rPr>
          <w:sz w:val="22"/>
          <w:szCs w:val="22"/>
        </w:rPr>
        <w:t xml:space="preserve"> piedalījās pētījumā </w:t>
      </w:r>
      <w:r w:rsidRPr="00337F21">
        <w:rPr>
          <w:i/>
          <w:sz w:val="22"/>
          <w:szCs w:val="22"/>
        </w:rPr>
        <w:t>APEX</w:t>
      </w:r>
      <w:r w:rsidRPr="00337F21">
        <w:rPr>
          <w:sz w:val="22"/>
          <w:szCs w:val="22"/>
        </w:rPr>
        <w:t xml:space="preserve">). </w:t>
      </w:r>
      <w:r w:rsidR="001E6F7F">
        <w:rPr>
          <w:sz w:val="22"/>
          <w:szCs w:val="22"/>
        </w:rPr>
        <w:t>Febuksostata</w:t>
      </w:r>
      <w:r w:rsidRPr="00337F21">
        <w:rPr>
          <w:sz w:val="22"/>
          <w:szCs w:val="22"/>
        </w:rPr>
        <w:t xml:space="preserve"> drošuma vērtēšanai tika lietotas febuksostata </w:t>
      </w:r>
      <w:r w:rsidR="001E6F7F" w:rsidRPr="00337F21">
        <w:rPr>
          <w:sz w:val="22"/>
          <w:szCs w:val="22"/>
        </w:rPr>
        <w:t xml:space="preserve">240 mg </w:t>
      </w:r>
      <w:r w:rsidRPr="00337F21">
        <w:rPr>
          <w:sz w:val="22"/>
          <w:szCs w:val="22"/>
        </w:rPr>
        <w:t xml:space="preserve">devas (tās ir divreiz lielākas par </w:t>
      </w:r>
      <w:r w:rsidR="001E6F7F">
        <w:rPr>
          <w:sz w:val="22"/>
          <w:szCs w:val="22"/>
        </w:rPr>
        <w:t>ieteicamo maksimālo devu</w:t>
      </w:r>
      <w:r w:rsidRPr="00337F21">
        <w:rPr>
          <w:sz w:val="22"/>
          <w:szCs w:val="22"/>
        </w:rPr>
        <w:t>).</w:t>
      </w:r>
    </w:p>
    <w:p w14:paraId="29A4076F" w14:textId="77777777" w:rsidR="00CE17A7" w:rsidRPr="00337F21" w:rsidRDefault="00CE17A7" w:rsidP="004938F2">
      <w:pPr>
        <w:ind w:left="720"/>
        <w:jc w:val="both"/>
        <w:rPr>
          <w:sz w:val="22"/>
          <w:szCs w:val="22"/>
        </w:rPr>
      </w:pPr>
    </w:p>
    <w:p w14:paraId="14BDE5AC" w14:textId="77777777" w:rsidR="004F406D" w:rsidRPr="00337F21" w:rsidRDefault="004F406D" w:rsidP="00446618">
      <w:pPr>
        <w:jc w:val="both"/>
        <w:rPr>
          <w:sz w:val="22"/>
          <w:szCs w:val="22"/>
        </w:rPr>
      </w:pPr>
      <w:r w:rsidRPr="00337F21">
        <w:rPr>
          <w:sz w:val="22"/>
          <w:szCs w:val="22"/>
        </w:rPr>
        <w:t xml:space="preserve">Pētījums </w:t>
      </w:r>
      <w:r w:rsidRPr="00337F21">
        <w:rPr>
          <w:i/>
          <w:sz w:val="22"/>
          <w:szCs w:val="22"/>
        </w:rPr>
        <w:t>CONFIRMS</w:t>
      </w:r>
      <w:r w:rsidRPr="00337F21">
        <w:rPr>
          <w:sz w:val="22"/>
          <w:szCs w:val="22"/>
        </w:rPr>
        <w:t xml:space="preserve"> bija randomizēts, kontrolēts, 26 nedēļas ilgs 3. fāzes pētījums, lai vērtētu </w:t>
      </w:r>
      <w:r w:rsidR="004E2C33" w:rsidRPr="00337F21">
        <w:rPr>
          <w:sz w:val="22"/>
          <w:szCs w:val="22"/>
        </w:rPr>
        <w:t xml:space="preserve">febuksostata </w:t>
      </w:r>
      <w:r w:rsidRPr="00337F21">
        <w:rPr>
          <w:sz w:val="22"/>
          <w:szCs w:val="22"/>
        </w:rPr>
        <w:t xml:space="preserve">40 mg un 80 mg devu lietošanas drošumu un efektivitāti podagras un hiperurikēmijas slimniekiem, šo zāļu lietošanu salīdzinot ar </w:t>
      </w:r>
      <w:r w:rsidR="004E2C33" w:rsidRPr="00337F21">
        <w:rPr>
          <w:sz w:val="22"/>
          <w:szCs w:val="22"/>
        </w:rPr>
        <w:t xml:space="preserve">allopurinola </w:t>
      </w:r>
      <w:r w:rsidRPr="00337F21">
        <w:rPr>
          <w:sz w:val="22"/>
          <w:szCs w:val="22"/>
        </w:rPr>
        <w:t>200 </w:t>
      </w:r>
      <w:r w:rsidR="004E2C33">
        <w:rPr>
          <w:sz w:val="22"/>
          <w:szCs w:val="22"/>
        </w:rPr>
        <w:t xml:space="preserve">mg </w:t>
      </w:r>
      <w:r w:rsidRPr="00337F21">
        <w:rPr>
          <w:sz w:val="22"/>
          <w:szCs w:val="22"/>
        </w:rPr>
        <w:t xml:space="preserve">vai 300 mg devu lietošanu. No 2269 randomizētajiem pacientiem 757 vienreiz dienā saņēma febuksostata </w:t>
      </w:r>
      <w:r w:rsidR="004E2C33" w:rsidRPr="00337F21">
        <w:rPr>
          <w:sz w:val="22"/>
          <w:szCs w:val="22"/>
        </w:rPr>
        <w:t xml:space="preserve">40 mg </w:t>
      </w:r>
      <w:r w:rsidRPr="00337F21">
        <w:rPr>
          <w:sz w:val="22"/>
          <w:szCs w:val="22"/>
        </w:rPr>
        <w:t xml:space="preserve">devas, 756 vienreiz dienā saņēma febuksostata </w:t>
      </w:r>
      <w:r w:rsidR="004E2C33" w:rsidRPr="00337F21">
        <w:rPr>
          <w:sz w:val="22"/>
          <w:szCs w:val="22"/>
        </w:rPr>
        <w:t xml:space="preserve">80 mg </w:t>
      </w:r>
      <w:r w:rsidRPr="00337F21">
        <w:rPr>
          <w:sz w:val="22"/>
          <w:szCs w:val="22"/>
        </w:rPr>
        <w:t xml:space="preserve">devas, un 756 vienreiz dienā saņēma </w:t>
      </w:r>
      <w:r w:rsidR="004E2C33" w:rsidRPr="00337F21">
        <w:rPr>
          <w:sz w:val="22"/>
          <w:szCs w:val="22"/>
        </w:rPr>
        <w:t xml:space="preserve">allopurinola </w:t>
      </w:r>
      <w:r w:rsidRPr="00337F21">
        <w:rPr>
          <w:sz w:val="22"/>
          <w:szCs w:val="22"/>
        </w:rPr>
        <w:t>200 </w:t>
      </w:r>
      <w:r w:rsidR="004E2C33">
        <w:rPr>
          <w:sz w:val="22"/>
          <w:szCs w:val="22"/>
        </w:rPr>
        <w:t xml:space="preserve">mg </w:t>
      </w:r>
      <w:r w:rsidRPr="00337F21">
        <w:rPr>
          <w:sz w:val="22"/>
          <w:szCs w:val="22"/>
        </w:rPr>
        <w:t>vai 300 mg devas. Vismaz 65 % pacientu bija viegli vai vidēji smagi nieru darbības</w:t>
      </w:r>
      <w:r w:rsidR="004E2C33">
        <w:rPr>
          <w:sz w:val="22"/>
          <w:szCs w:val="22"/>
        </w:rPr>
        <w:t xml:space="preserve"> traucējumi (kreatinīna klīrens</w:t>
      </w:r>
      <w:r w:rsidRPr="00337F21">
        <w:rPr>
          <w:sz w:val="22"/>
          <w:szCs w:val="22"/>
        </w:rPr>
        <w:t>s 30–89 ml/min). 26 nedēļu laikā bija obligāta podagras uzliesmojumu profilakse.</w:t>
      </w:r>
    </w:p>
    <w:p w14:paraId="5420C1BD" w14:textId="77777777" w:rsidR="004F406D" w:rsidRPr="00337F21" w:rsidRDefault="004F406D" w:rsidP="00446618">
      <w:pPr>
        <w:jc w:val="both"/>
        <w:rPr>
          <w:sz w:val="22"/>
          <w:szCs w:val="22"/>
        </w:rPr>
      </w:pPr>
      <w:r w:rsidRPr="00337F21">
        <w:rPr>
          <w:sz w:val="22"/>
          <w:szCs w:val="22"/>
        </w:rPr>
        <w:t xml:space="preserve">To pacientu, </w:t>
      </w:r>
      <w:r w:rsidR="004E2C33">
        <w:rPr>
          <w:sz w:val="22"/>
          <w:szCs w:val="22"/>
        </w:rPr>
        <w:t>kuriem</w:t>
      </w:r>
      <w:r w:rsidRPr="00337F21">
        <w:rPr>
          <w:sz w:val="22"/>
          <w:szCs w:val="22"/>
        </w:rPr>
        <w:t xml:space="preserve"> pēdējās vizītes laikā urātu koncentrācija serumā bija &lt; 6,0 mg/dl (357 µmol/l), daļa 40 mg febuksostata, 80 mg febuksostata un 300/200 mg allopurinola devu grupās bija attiecīgi 45</w:t>
      </w:r>
      <w:r w:rsidR="004E2C33">
        <w:rPr>
          <w:sz w:val="22"/>
          <w:szCs w:val="22"/>
        </w:rPr>
        <w:t> %</w:t>
      </w:r>
      <w:r w:rsidRPr="00337F21">
        <w:rPr>
          <w:sz w:val="22"/>
          <w:szCs w:val="22"/>
        </w:rPr>
        <w:t>, 67 </w:t>
      </w:r>
      <w:r w:rsidR="004E2C33">
        <w:rPr>
          <w:sz w:val="22"/>
          <w:szCs w:val="22"/>
        </w:rPr>
        <w:t xml:space="preserve">% </w:t>
      </w:r>
      <w:r w:rsidRPr="00337F21">
        <w:rPr>
          <w:sz w:val="22"/>
          <w:szCs w:val="22"/>
        </w:rPr>
        <w:t>un 42 %.</w:t>
      </w:r>
    </w:p>
    <w:p w14:paraId="07B549BA" w14:textId="77777777" w:rsidR="004F406D" w:rsidRPr="00337F21" w:rsidRDefault="004F406D" w:rsidP="004938F2">
      <w:pPr>
        <w:ind w:left="720"/>
        <w:jc w:val="both"/>
        <w:rPr>
          <w:sz w:val="22"/>
          <w:szCs w:val="22"/>
        </w:rPr>
      </w:pPr>
    </w:p>
    <w:p w14:paraId="50DA24C8" w14:textId="77777777" w:rsidR="004F406D" w:rsidRPr="00337F21" w:rsidRDefault="004F406D" w:rsidP="00446618">
      <w:pPr>
        <w:jc w:val="both"/>
        <w:rPr>
          <w:i/>
          <w:sz w:val="22"/>
          <w:szCs w:val="22"/>
        </w:rPr>
      </w:pPr>
      <w:r w:rsidRPr="00337F21">
        <w:rPr>
          <w:i/>
          <w:sz w:val="22"/>
          <w:szCs w:val="22"/>
        </w:rPr>
        <w:t xml:space="preserve">Primārais </w:t>
      </w:r>
      <w:r w:rsidR="004E2C33">
        <w:rPr>
          <w:i/>
          <w:sz w:val="22"/>
          <w:szCs w:val="22"/>
        </w:rPr>
        <w:t>mērķa</w:t>
      </w:r>
      <w:r w:rsidRPr="00337F21">
        <w:rPr>
          <w:i/>
          <w:sz w:val="22"/>
          <w:szCs w:val="22"/>
        </w:rPr>
        <w:t xml:space="preserve"> kritērijs to pacientu apakšgrupā, kuriem bija nieru darbības traucējumi</w:t>
      </w:r>
    </w:p>
    <w:p w14:paraId="5BC2000B" w14:textId="77777777" w:rsidR="004F406D" w:rsidRPr="004E2C33" w:rsidRDefault="004F406D" w:rsidP="00446618">
      <w:pPr>
        <w:jc w:val="both"/>
        <w:rPr>
          <w:sz w:val="22"/>
          <w:szCs w:val="22"/>
        </w:rPr>
      </w:pPr>
      <w:r w:rsidRPr="004E2C33">
        <w:rPr>
          <w:sz w:val="22"/>
          <w:szCs w:val="22"/>
        </w:rPr>
        <w:lastRenderedPageBreak/>
        <w:t xml:space="preserve">Pētījumā </w:t>
      </w:r>
      <w:r w:rsidRPr="004E2C33">
        <w:rPr>
          <w:i/>
          <w:sz w:val="22"/>
          <w:szCs w:val="22"/>
        </w:rPr>
        <w:t>APEX</w:t>
      </w:r>
      <w:r w:rsidRPr="004E2C33">
        <w:rPr>
          <w:sz w:val="22"/>
          <w:szCs w:val="22"/>
        </w:rPr>
        <w:t xml:space="preserve"> tika vērtēta febuksostata efektivitāte 40 pacientiem ar nieru darbības traucējumiem (t. i., pacientiem, </w:t>
      </w:r>
      <w:r w:rsidR="004E2C33">
        <w:rPr>
          <w:sz w:val="22"/>
          <w:szCs w:val="22"/>
        </w:rPr>
        <w:t>kuriem</w:t>
      </w:r>
      <w:r w:rsidRPr="004E2C33">
        <w:rPr>
          <w:sz w:val="22"/>
          <w:szCs w:val="22"/>
        </w:rPr>
        <w:t xml:space="preserve"> sākotnējais kreatinīna līmenis serumā bija &gt; 1,5–</w:t>
      </w:r>
      <w:r w:rsidR="004E2C33">
        <w:rPr>
          <w:sz w:val="22"/>
          <w:szCs w:val="22"/>
        </w:rPr>
        <w:t>≤</w:t>
      </w:r>
      <w:r w:rsidRPr="004E2C33">
        <w:rPr>
          <w:sz w:val="22"/>
          <w:szCs w:val="22"/>
        </w:rPr>
        <w:t> 2,0 mg/dl). Allopurinola lietošanai randomizētajiem pacientiem</w:t>
      </w:r>
      <w:r w:rsidR="004E2C33">
        <w:rPr>
          <w:sz w:val="22"/>
          <w:szCs w:val="22"/>
        </w:rPr>
        <w:t xml:space="preserve"> ar nieru darbības traucējumiem</w:t>
      </w:r>
      <w:r w:rsidRPr="004E2C33">
        <w:rPr>
          <w:sz w:val="22"/>
          <w:szCs w:val="22"/>
        </w:rPr>
        <w:t xml:space="preserve"> tā maksimālā deva bija 100 mg dienā. Vienreiz dienā lietojot </w:t>
      </w:r>
      <w:r w:rsidR="004E2C33" w:rsidRPr="004E2C33">
        <w:rPr>
          <w:sz w:val="22"/>
          <w:szCs w:val="22"/>
        </w:rPr>
        <w:t xml:space="preserve">febuksostata </w:t>
      </w:r>
      <w:r w:rsidRPr="004E2C33">
        <w:rPr>
          <w:sz w:val="22"/>
          <w:szCs w:val="22"/>
        </w:rPr>
        <w:t>80</w:t>
      </w:r>
      <w:r w:rsidR="004E2C33">
        <w:rPr>
          <w:sz w:val="22"/>
          <w:szCs w:val="22"/>
        </w:rPr>
        <w:t> mg</w:t>
      </w:r>
      <w:r w:rsidRPr="004E2C33">
        <w:rPr>
          <w:sz w:val="22"/>
          <w:szCs w:val="22"/>
        </w:rPr>
        <w:t>, 120 </w:t>
      </w:r>
      <w:r w:rsidR="004E2C33">
        <w:rPr>
          <w:sz w:val="22"/>
          <w:szCs w:val="22"/>
        </w:rPr>
        <w:t xml:space="preserve">mg </w:t>
      </w:r>
      <w:r w:rsidRPr="004E2C33">
        <w:rPr>
          <w:sz w:val="22"/>
          <w:szCs w:val="22"/>
        </w:rPr>
        <w:t>vai 240 mg devas, primārais efektivitāt</w:t>
      </w:r>
      <w:r w:rsidR="004E2C33">
        <w:rPr>
          <w:sz w:val="22"/>
          <w:szCs w:val="22"/>
        </w:rPr>
        <w:t>es</w:t>
      </w:r>
      <w:r w:rsidRPr="004E2C33">
        <w:rPr>
          <w:sz w:val="22"/>
          <w:szCs w:val="22"/>
        </w:rPr>
        <w:t xml:space="preserve"> </w:t>
      </w:r>
      <w:r w:rsidR="004E2C33">
        <w:rPr>
          <w:sz w:val="22"/>
          <w:szCs w:val="22"/>
        </w:rPr>
        <w:t>mērķa kritērijs</w:t>
      </w:r>
      <w:r w:rsidRPr="004E2C33">
        <w:rPr>
          <w:sz w:val="22"/>
          <w:szCs w:val="22"/>
        </w:rPr>
        <w:t xml:space="preserve"> tika sasniegts attiecīgi 44</w:t>
      </w:r>
      <w:r w:rsidR="004E2C33">
        <w:rPr>
          <w:sz w:val="22"/>
          <w:szCs w:val="22"/>
        </w:rPr>
        <w:t xml:space="preserve"> %</w:t>
      </w:r>
      <w:r w:rsidRPr="004E2C33">
        <w:rPr>
          <w:sz w:val="22"/>
          <w:szCs w:val="22"/>
        </w:rPr>
        <w:t>, 45 </w:t>
      </w:r>
      <w:r w:rsidR="004E2C33">
        <w:rPr>
          <w:sz w:val="22"/>
          <w:szCs w:val="22"/>
        </w:rPr>
        <w:t xml:space="preserve">% </w:t>
      </w:r>
      <w:r w:rsidRPr="004E2C33">
        <w:rPr>
          <w:sz w:val="22"/>
          <w:szCs w:val="22"/>
        </w:rPr>
        <w:t>un 60 % pacientu salīdzinājumā ar 0 % pacientu vienreiz dienā lietot</w:t>
      </w:r>
      <w:r w:rsidR="004E2C33">
        <w:rPr>
          <w:sz w:val="22"/>
          <w:szCs w:val="22"/>
        </w:rPr>
        <w:t>as</w:t>
      </w:r>
      <w:r w:rsidRPr="004E2C33">
        <w:rPr>
          <w:sz w:val="22"/>
          <w:szCs w:val="22"/>
        </w:rPr>
        <w:t xml:space="preserve"> allopurinola </w:t>
      </w:r>
      <w:r w:rsidR="004E2C33" w:rsidRPr="004E2C33">
        <w:rPr>
          <w:sz w:val="22"/>
          <w:szCs w:val="22"/>
        </w:rPr>
        <w:t xml:space="preserve">100 mg </w:t>
      </w:r>
      <w:r w:rsidR="004E2C33">
        <w:rPr>
          <w:sz w:val="22"/>
          <w:szCs w:val="22"/>
        </w:rPr>
        <w:t>devas</w:t>
      </w:r>
      <w:r w:rsidRPr="004E2C33">
        <w:rPr>
          <w:sz w:val="22"/>
          <w:szCs w:val="22"/>
        </w:rPr>
        <w:t xml:space="preserve"> vai placebo grupā.</w:t>
      </w:r>
    </w:p>
    <w:p w14:paraId="3C889BB5" w14:textId="77777777" w:rsidR="004F406D" w:rsidRPr="00337F21" w:rsidRDefault="004F406D" w:rsidP="004938F2">
      <w:pPr>
        <w:ind w:left="720"/>
        <w:jc w:val="both"/>
        <w:rPr>
          <w:sz w:val="22"/>
          <w:szCs w:val="22"/>
        </w:rPr>
      </w:pPr>
    </w:p>
    <w:p w14:paraId="5FCA564E" w14:textId="77777777" w:rsidR="004F406D" w:rsidRPr="00337F21" w:rsidRDefault="004F406D" w:rsidP="00446618">
      <w:pPr>
        <w:jc w:val="both"/>
        <w:rPr>
          <w:sz w:val="22"/>
          <w:szCs w:val="22"/>
        </w:rPr>
      </w:pPr>
      <w:r w:rsidRPr="00337F21">
        <w:rPr>
          <w:sz w:val="22"/>
          <w:szCs w:val="22"/>
        </w:rPr>
        <w:t xml:space="preserve">Veseliem brīvprātīgajiem neatkarīgi no viņu nieru darbības netika novērota klīniski nozīmīga serumā esošās urīnskābes koncentrācijas procentuālās samazināšanās atšķirība (personām ar normālu nieru darbību un personām ar smagiem nieru darbības traucējumiem urīnskābes koncentrācija serumā </w:t>
      </w:r>
      <w:r w:rsidR="004E2C33">
        <w:rPr>
          <w:sz w:val="22"/>
          <w:szCs w:val="22"/>
        </w:rPr>
        <w:t>pazeminājās</w:t>
      </w:r>
      <w:r w:rsidRPr="00337F21">
        <w:rPr>
          <w:sz w:val="22"/>
          <w:szCs w:val="22"/>
        </w:rPr>
        <w:t xml:space="preserve"> par attiecīgi 58 </w:t>
      </w:r>
      <w:r w:rsidR="004E2C33">
        <w:rPr>
          <w:sz w:val="22"/>
          <w:szCs w:val="22"/>
        </w:rPr>
        <w:t xml:space="preserve">% </w:t>
      </w:r>
      <w:r w:rsidRPr="00337F21">
        <w:rPr>
          <w:sz w:val="22"/>
          <w:szCs w:val="22"/>
        </w:rPr>
        <w:t>un 55 %).</w:t>
      </w:r>
    </w:p>
    <w:p w14:paraId="705DC939" w14:textId="77777777" w:rsidR="004F406D" w:rsidRPr="00337F21" w:rsidRDefault="004F406D" w:rsidP="004938F2">
      <w:pPr>
        <w:ind w:left="720"/>
        <w:jc w:val="both"/>
        <w:rPr>
          <w:sz w:val="22"/>
          <w:szCs w:val="22"/>
        </w:rPr>
      </w:pPr>
    </w:p>
    <w:p w14:paraId="58FD7635" w14:textId="77777777" w:rsidR="00CE17A7" w:rsidRPr="00337F21" w:rsidRDefault="004F406D" w:rsidP="00446618">
      <w:pPr>
        <w:jc w:val="both"/>
        <w:rPr>
          <w:sz w:val="22"/>
          <w:szCs w:val="22"/>
        </w:rPr>
      </w:pPr>
      <w:r w:rsidRPr="00337F21">
        <w:rPr>
          <w:sz w:val="22"/>
          <w:szCs w:val="22"/>
        </w:rPr>
        <w:t xml:space="preserve">Pētījuma </w:t>
      </w:r>
      <w:r w:rsidRPr="00337F21">
        <w:rPr>
          <w:i/>
          <w:sz w:val="22"/>
          <w:szCs w:val="22"/>
        </w:rPr>
        <w:t>CONFIRMS</w:t>
      </w:r>
      <w:r w:rsidRPr="00337F21">
        <w:rPr>
          <w:sz w:val="22"/>
          <w:szCs w:val="22"/>
        </w:rPr>
        <w:t xml:space="preserve"> laikā saskaņā ar prospektīvi definētiem parametriem tika analizēti dati, kas iegūti par pacientiem ar podagru un nieru darbības traucējumiem. Analīzes rezultāti parādīja, ka pacientiem ar viegliem vai vidēji smagiem nieru darbības traucējumiem (65 % pētīto pacientu) febuksostats urīnskābes līmeni līdz &lt; 6 mg/dl pazemina ievērojami efektīvāk nekā </w:t>
      </w:r>
      <w:r w:rsidR="004E2C33" w:rsidRPr="00337F21">
        <w:rPr>
          <w:sz w:val="22"/>
          <w:szCs w:val="22"/>
        </w:rPr>
        <w:t xml:space="preserve">allopurinola </w:t>
      </w:r>
      <w:r w:rsidRPr="00337F21">
        <w:rPr>
          <w:sz w:val="22"/>
          <w:szCs w:val="22"/>
        </w:rPr>
        <w:t>300 </w:t>
      </w:r>
      <w:r w:rsidR="004E2C33">
        <w:rPr>
          <w:sz w:val="22"/>
          <w:szCs w:val="22"/>
        </w:rPr>
        <w:t xml:space="preserve">mg </w:t>
      </w:r>
      <w:r w:rsidRPr="00337F21">
        <w:rPr>
          <w:sz w:val="22"/>
          <w:szCs w:val="22"/>
        </w:rPr>
        <w:t>vai 200 mg devas.</w:t>
      </w:r>
    </w:p>
    <w:p w14:paraId="0EACBBAE" w14:textId="77777777" w:rsidR="00CE17A7" w:rsidRPr="00337F21" w:rsidRDefault="00CE17A7" w:rsidP="004938F2">
      <w:pPr>
        <w:ind w:left="720"/>
        <w:jc w:val="both"/>
        <w:rPr>
          <w:sz w:val="22"/>
          <w:szCs w:val="22"/>
        </w:rPr>
      </w:pPr>
    </w:p>
    <w:p w14:paraId="13A8AF52" w14:textId="77777777" w:rsidR="00A52396" w:rsidRPr="00337F21" w:rsidRDefault="00A52396" w:rsidP="00446618">
      <w:pPr>
        <w:jc w:val="both"/>
        <w:rPr>
          <w:i/>
          <w:sz w:val="22"/>
          <w:szCs w:val="22"/>
        </w:rPr>
      </w:pPr>
      <w:r w:rsidRPr="00337F21">
        <w:rPr>
          <w:i/>
          <w:sz w:val="22"/>
          <w:szCs w:val="22"/>
        </w:rPr>
        <w:t xml:space="preserve">Primārais </w:t>
      </w:r>
      <w:r w:rsidR="004E2C33">
        <w:rPr>
          <w:i/>
          <w:sz w:val="22"/>
          <w:szCs w:val="22"/>
        </w:rPr>
        <w:t>mērķa</w:t>
      </w:r>
      <w:r w:rsidRPr="00337F21">
        <w:rPr>
          <w:i/>
          <w:sz w:val="22"/>
          <w:szCs w:val="22"/>
        </w:rPr>
        <w:t xml:space="preserve"> kritērijs to pacientu apakšgrupā, kuriem urīnskābes koncentrācija serumā bija ≥ 10 mg/dl</w:t>
      </w:r>
    </w:p>
    <w:p w14:paraId="495A9D9A" w14:textId="77777777" w:rsidR="00A52396" w:rsidRPr="00337F21" w:rsidRDefault="00A52396" w:rsidP="00446618">
      <w:pPr>
        <w:jc w:val="both"/>
        <w:rPr>
          <w:sz w:val="22"/>
          <w:szCs w:val="22"/>
        </w:rPr>
      </w:pPr>
      <w:r w:rsidRPr="00337F21">
        <w:rPr>
          <w:sz w:val="22"/>
          <w:szCs w:val="22"/>
        </w:rPr>
        <w:t xml:space="preserve">Aptuveni 40 % pacientu (pētījuma </w:t>
      </w:r>
      <w:r w:rsidRPr="00337F21">
        <w:rPr>
          <w:i/>
          <w:sz w:val="22"/>
          <w:szCs w:val="22"/>
        </w:rPr>
        <w:t>APEX</w:t>
      </w:r>
      <w:r w:rsidRPr="00337F21">
        <w:rPr>
          <w:sz w:val="22"/>
          <w:szCs w:val="22"/>
        </w:rPr>
        <w:t xml:space="preserve"> un </w:t>
      </w:r>
      <w:r w:rsidRPr="00337F21">
        <w:rPr>
          <w:i/>
          <w:sz w:val="22"/>
          <w:szCs w:val="22"/>
        </w:rPr>
        <w:t>FACT</w:t>
      </w:r>
      <w:r w:rsidRPr="00337F21">
        <w:rPr>
          <w:sz w:val="22"/>
          <w:szCs w:val="22"/>
        </w:rPr>
        <w:t xml:space="preserve"> dalībnieku apvienotajā grupā) urīnskābes sākotnējā koncentrācija serumā bija ≥ 10 mg/dl. Šajā apakšgrupā, vienreiz dienā lietojot </w:t>
      </w:r>
      <w:r w:rsidR="004E2C33" w:rsidRPr="00337F21">
        <w:rPr>
          <w:sz w:val="22"/>
          <w:szCs w:val="22"/>
        </w:rPr>
        <w:t xml:space="preserve">febuksostata </w:t>
      </w:r>
      <w:r w:rsidRPr="00337F21">
        <w:rPr>
          <w:sz w:val="22"/>
          <w:szCs w:val="22"/>
        </w:rPr>
        <w:t>80</w:t>
      </w:r>
      <w:r w:rsidR="004E2C33">
        <w:rPr>
          <w:sz w:val="22"/>
          <w:szCs w:val="22"/>
        </w:rPr>
        <w:t> mg</w:t>
      </w:r>
      <w:r w:rsidRPr="00337F21">
        <w:rPr>
          <w:sz w:val="22"/>
          <w:szCs w:val="22"/>
        </w:rPr>
        <w:t>, 120 </w:t>
      </w:r>
      <w:r w:rsidR="004E2C33">
        <w:rPr>
          <w:sz w:val="22"/>
          <w:szCs w:val="22"/>
        </w:rPr>
        <w:t xml:space="preserve">mg </w:t>
      </w:r>
      <w:r w:rsidRPr="00337F21">
        <w:rPr>
          <w:sz w:val="22"/>
          <w:szCs w:val="22"/>
        </w:rPr>
        <w:t>vai 240 mg devas, primārai</w:t>
      </w:r>
      <w:r w:rsidR="0004403B">
        <w:rPr>
          <w:sz w:val="22"/>
          <w:szCs w:val="22"/>
        </w:rPr>
        <w:t>s efektivitātes</w:t>
      </w:r>
      <w:r w:rsidRPr="00337F21">
        <w:rPr>
          <w:sz w:val="22"/>
          <w:szCs w:val="22"/>
        </w:rPr>
        <w:t xml:space="preserve"> </w:t>
      </w:r>
      <w:r w:rsidR="0004403B">
        <w:rPr>
          <w:sz w:val="22"/>
          <w:szCs w:val="22"/>
        </w:rPr>
        <w:t>mērķa kritērijs</w:t>
      </w:r>
      <w:r w:rsidRPr="00337F21">
        <w:rPr>
          <w:sz w:val="22"/>
          <w:szCs w:val="22"/>
        </w:rPr>
        <w:t xml:space="preserve"> (pēdējo triju vizīšu laikā konstatētā urīnskābes koncentrācija serumā &lt; 6,0 mg/dl) tika sasniegts attiecīgi 41</w:t>
      </w:r>
      <w:r w:rsidR="0004403B">
        <w:rPr>
          <w:sz w:val="22"/>
          <w:szCs w:val="22"/>
        </w:rPr>
        <w:t> %</w:t>
      </w:r>
      <w:r w:rsidRPr="00337F21">
        <w:rPr>
          <w:sz w:val="22"/>
          <w:szCs w:val="22"/>
        </w:rPr>
        <w:t>, 48 </w:t>
      </w:r>
      <w:r w:rsidR="0004403B">
        <w:rPr>
          <w:sz w:val="22"/>
          <w:szCs w:val="22"/>
        </w:rPr>
        <w:t>% un 6</w:t>
      </w:r>
      <w:r w:rsidRPr="00337F21">
        <w:rPr>
          <w:sz w:val="22"/>
          <w:szCs w:val="22"/>
        </w:rPr>
        <w:t>6</w:t>
      </w:r>
      <w:r w:rsidR="0004403B">
        <w:rPr>
          <w:sz w:val="22"/>
          <w:szCs w:val="22"/>
        </w:rPr>
        <w:t> </w:t>
      </w:r>
      <w:r w:rsidRPr="00337F21">
        <w:rPr>
          <w:sz w:val="22"/>
          <w:szCs w:val="22"/>
        </w:rPr>
        <w:t xml:space="preserve">% pacientu salīdzinājumā ar 9 % pacientu vienreiz dienā lietoto </w:t>
      </w:r>
      <w:r w:rsidR="0004403B" w:rsidRPr="00337F21">
        <w:rPr>
          <w:sz w:val="22"/>
          <w:szCs w:val="22"/>
        </w:rPr>
        <w:t xml:space="preserve">allopurinola </w:t>
      </w:r>
      <w:r w:rsidRPr="00337F21">
        <w:rPr>
          <w:sz w:val="22"/>
          <w:szCs w:val="22"/>
        </w:rPr>
        <w:t>300 </w:t>
      </w:r>
      <w:r w:rsidR="0004403B">
        <w:rPr>
          <w:sz w:val="22"/>
          <w:szCs w:val="22"/>
        </w:rPr>
        <w:t xml:space="preserve">mg </w:t>
      </w:r>
      <w:r w:rsidRPr="00337F21">
        <w:rPr>
          <w:sz w:val="22"/>
          <w:szCs w:val="22"/>
        </w:rPr>
        <w:t xml:space="preserve">vai 100 mg devu </w:t>
      </w:r>
      <w:r w:rsidR="0004403B">
        <w:rPr>
          <w:sz w:val="22"/>
          <w:szCs w:val="22"/>
        </w:rPr>
        <w:t xml:space="preserve">grupā </w:t>
      </w:r>
      <w:r w:rsidRPr="00337F21">
        <w:rPr>
          <w:sz w:val="22"/>
          <w:szCs w:val="22"/>
        </w:rPr>
        <w:t>un 0 % pacientu placebo grupā.</w:t>
      </w:r>
    </w:p>
    <w:p w14:paraId="345CFB5B" w14:textId="77777777" w:rsidR="00A52396" w:rsidRPr="00337F21" w:rsidRDefault="00A52396" w:rsidP="004938F2">
      <w:pPr>
        <w:ind w:left="720"/>
        <w:jc w:val="both"/>
        <w:rPr>
          <w:sz w:val="22"/>
          <w:szCs w:val="22"/>
        </w:rPr>
      </w:pPr>
    </w:p>
    <w:p w14:paraId="6E23A6CD" w14:textId="77777777" w:rsidR="00A52396" w:rsidRPr="00337F21" w:rsidRDefault="00A52396" w:rsidP="00446618">
      <w:pPr>
        <w:jc w:val="both"/>
        <w:rPr>
          <w:sz w:val="22"/>
          <w:szCs w:val="22"/>
        </w:rPr>
      </w:pPr>
      <w:r w:rsidRPr="00337F21">
        <w:rPr>
          <w:sz w:val="22"/>
          <w:szCs w:val="22"/>
        </w:rPr>
        <w:t xml:space="preserve">Pētījumā </w:t>
      </w:r>
      <w:r w:rsidRPr="00337F21">
        <w:rPr>
          <w:i/>
          <w:sz w:val="22"/>
          <w:szCs w:val="22"/>
        </w:rPr>
        <w:t>CONFIRMS</w:t>
      </w:r>
      <w:r w:rsidRPr="00337F21">
        <w:rPr>
          <w:sz w:val="22"/>
          <w:szCs w:val="22"/>
        </w:rPr>
        <w:t xml:space="preserve"> to pacientu, </w:t>
      </w:r>
      <w:r w:rsidR="0004403B">
        <w:rPr>
          <w:sz w:val="22"/>
          <w:szCs w:val="22"/>
        </w:rPr>
        <w:t xml:space="preserve">kuriem urātu </w:t>
      </w:r>
      <w:r w:rsidRPr="00337F21">
        <w:rPr>
          <w:sz w:val="22"/>
          <w:szCs w:val="22"/>
        </w:rPr>
        <w:t xml:space="preserve">sākotnējā koncentrācija serumā bija  10 mg/dl un </w:t>
      </w:r>
      <w:r w:rsidR="0004403B">
        <w:rPr>
          <w:sz w:val="22"/>
          <w:szCs w:val="22"/>
        </w:rPr>
        <w:t>kuri</w:t>
      </w:r>
      <w:r w:rsidRPr="00337F21">
        <w:rPr>
          <w:sz w:val="22"/>
          <w:szCs w:val="22"/>
        </w:rPr>
        <w:t xml:space="preserve"> sasniedza primāro </w:t>
      </w:r>
      <w:r w:rsidR="0004403B">
        <w:rPr>
          <w:sz w:val="22"/>
          <w:szCs w:val="22"/>
        </w:rPr>
        <w:t>efektivitātes mērķa kritēriju</w:t>
      </w:r>
      <w:r w:rsidRPr="00337F21">
        <w:rPr>
          <w:sz w:val="22"/>
          <w:szCs w:val="22"/>
        </w:rPr>
        <w:t xml:space="preserve"> (urīnskābes koncentrāciju serumā &lt; 6,0 mg/dl pēdējās vizītes laikā), daļa grupā, kas tika ārstēta ar vienreiz dienā lietojamām </w:t>
      </w:r>
      <w:r w:rsidR="0004403B" w:rsidRPr="00337F21">
        <w:rPr>
          <w:sz w:val="22"/>
          <w:szCs w:val="22"/>
        </w:rPr>
        <w:t xml:space="preserve">febuksostata </w:t>
      </w:r>
      <w:r w:rsidRPr="00337F21">
        <w:rPr>
          <w:sz w:val="22"/>
          <w:szCs w:val="22"/>
        </w:rPr>
        <w:t>40 </w:t>
      </w:r>
      <w:r w:rsidR="0004403B">
        <w:rPr>
          <w:sz w:val="22"/>
          <w:szCs w:val="22"/>
        </w:rPr>
        <w:t xml:space="preserve">mg </w:t>
      </w:r>
      <w:r w:rsidRPr="00337F21">
        <w:rPr>
          <w:sz w:val="22"/>
          <w:szCs w:val="22"/>
        </w:rPr>
        <w:t xml:space="preserve">vai 80 mg devām vai vienreiz dienā lietojamām </w:t>
      </w:r>
      <w:r w:rsidR="0004403B" w:rsidRPr="00337F21">
        <w:rPr>
          <w:sz w:val="22"/>
          <w:szCs w:val="22"/>
        </w:rPr>
        <w:t xml:space="preserve">allopurinola </w:t>
      </w:r>
      <w:r w:rsidRPr="00337F21">
        <w:rPr>
          <w:sz w:val="22"/>
          <w:szCs w:val="22"/>
        </w:rPr>
        <w:t>300 </w:t>
      </w:r>
      <w:r w:rsidR="0004403B">
        <w:rPr>
          <w:sz w:val="22"/>
          <w:szCs w:val="22"/>
        </w:rPr>
        <w:t xml:space="preserve">mg </w:t>
      </w:r>
      <w:r w:rsidRPr="00337F21">
        <w:rPr>
          <w:sz w:val="22"/>
          <w:szCs w:val="22"/>
        </w:rPr>
        <w:t>vai 200 mg devām, bija attiecīgi 27 </w:t>
      </w:r>
      <w:r w:rsidR="0004403B">
        <w:rPr>
          <w:sz w:val="22"/>
          <w:szCs w:val="22"/>
        </w:rPr>
        <w:t xml:space="preserve">% </w:t>
      </w:r>
      <w:r w:rsidRPr="00337F21">
        <w:rPr>
          <w:sz w:val="22"/>
          <w:szCs w:val="22"/>
        </w:rPr>
        <w:t>(66/249), 49 </w:t>
      </w:r>
      <w:r w:rsidR="0004403B">
        <w:rPr>
          <w:sz w:val="22"/>
          <w:szCs w:val="22"/>
        </w:rPr>
        <w:t>% (125/254)</w:t>
      </w:r>
      <w:r w:rsidRPr="00337F21">
        <w:rPr>
          <w:sz w:val="22"/>
          <w:szCs w:val="22"/>
        </w:rPr>
        <w:t xml:space="preserve"> un 31 % (72/230).</w:t>
      </w:r>
    </w:p>
    <w:p w14:paraId="68C2F105" w14:textId="77777777" w:rsidR="00A52396" w:rsidRPr="00337F21" w:rsidRDefault="00A52396" w:rsidP="004938F2">
      <w:pPr>
        <w:ind w:left="720"/>
        <w:jc w:val="both"/>
        <w:rPr>
          <w:sz w:val="22"/>
          <w:szCs w:val="22"/>
        </w:rPr>
      </w:pPr>
    </w:p>
    <w:p w14:paraId="19A5320C" w14:textId="77777777" w:rsidR="00A52396" w:rsidRPr="00337F21" w:rsidRDefault="00A52396" w:rsidP="00446618">
      <w:pPr>
        <w:jc w:val="both"/>
        <w:rPr>
          <w:i/>
          <w:sz w:val="22"/>
          <w:szCs w:val="22"/>
        </w:rPr>
      </w:pPr>
      <w:r w:rsidRPr="00337F21">
        <w:rPr>
          <w:i/>
          <w:sz w:val="22"/>
          <w:szCs w:val="22"/>
        </w:rPr>
        <w:t xml:space="preserve">Klīniskie </w:t>
      </w:r>
      <w:r w:rsidR="0004403B">
        <w:rPr>
          <w:i/>
          <w:sz w:val="22"/>
          <w:szCs w:val="22"/>
        </w:rPr>
        <w:t>iznākumi</w:t>
      </w:r>
      <w:r w:rsidRPr="00337F21">
        <w:rPr>
          <w:i/>
          <w:sz w:val="22"/>
          <w:szCs w:val="22"/>
        </w:rPr>
        <w:t>: to pacientu daļa, kuriem jāārstē podagras uzliesmojum</w:t>
      </w:r>
      <w:r w:rsidR="0004403B">
        <w:rPr>
          <w:i/>
          <w:sz w:val="22"/>
          <w:szCs w:val="22"/>
        </w:rPr>
        <w:t>s</w:t>
      </w:r>
    </w:p>
    <w:p w14:paraId="717DB90B" w14:textId="555B251A" w:rsidR="00A52396" w:rsidRPr="00337F21" w:rsidRDefault="00A52396" w:rsidP="00446618">
      <w:pPr>
        <w:jc w:val="both"/>
        <w:rPr>
          <w:sz w:val="22"/>
          <w:szCs w:val="22"/>
        </w:rPr>
      </w:pPr>
      <w:r w:rsidRPr="00337F21">
        <w:rPr>
          <w:sz w:val="22"/>
          <w:szCs w:val="22"/>
        </w:rPr>
        <w:t xml:space="preserve">Pētījums </w:t>
      </w:r>
      <w:r w:rsidRPr="00337F21">
        <w:rPr>
          <w:i/>
          <w:sz w:val="22"/>
          <w:szCs w:val="22"/>
        </w:rPr>
        <w:t>APEX</w:t>
      </w:r>
      <w:r w:rsidRPr="00337F21">
        <w:rPr>
          <w:sz w:val="22"/>
          <w:szCs w:val="22"/>
        </w:rPr>
        <w:t xml:space="preserve">: astoņas nedēļas ilgajā profilakses periodā </w:t>
      </w:r>
      <w:r w:rsidR="0004403B" w:rsidRPr="00337F21">
        <w:rPr>
          <w:sz w:val="22"/>
          <w:szCs w:val="22"/>
        </w:rPr>
        <w:t xml:space="preserve">febuksostata </w:t>
      </w:r>
      <w:r w:rsidRPr="00337F21">
        <w:rPr>
          <w:sz w:val="22"/>
          <w:szCs w:val="22"/>
        </w:rPr>
        <w:t xml:space="preserve">120 mg devu terapijas grupas pacientu, </w:t>
      </w:r>
      <w:r w:rsidR="0004403B">
        <w:rPr>
          <w:sz w:val="22"/>
          <w:szCs w:val="22"/>
        </w:rPr>
        <w:t>kuriem</w:t>
      </w:r>
      <w:r w:rsidRPr="00337F21">
        <w:rPr>
          <w:sz w:val="22"/>
          <w:szCs w:val="22"/>
        </w:rPr>
        <w:t xml:space="preserve"> bija jāārstē podagras uzliesmojum</w:t>
      </w:r>
      <w:r w:rsidR="0004403B">
        <w:rPr>
          <w:sz w:val="22"/>
          <w:szCs w:val="22"/>
        </w:rPr>
        <w:t>s</w:t>
      </w:r>
      <w:r w:rsidRPr="00337F21">
        <w:rPr>
          <w:sz w:val="22"/>
          <w:szCs w:val="22"/>
        </w:rPr>
        <w:t xml:space="preserve">, daļa (36 %) bija lielāka nekā febuksostata </w:t>
      </w:r>
      <w:r w:rsidR="0004403B" w:rsidRPr="00337F21">
        <w:rPr>
          <w:sz w:val="22"/>
          <w:szCs w:val="22"/>
        </w:rPr>
        <w:t xml:space="preserve">80 mg </w:t>
      </w:r>
      <w:r w:rsidRPr="00337F21">
        <w:rPr>
          <w:sz w:val="22"/>
          <w:szCs w:val="22"/>
        </w:rPr>
        <w:t xml:space="preserve">devu (28 %), allopurinola </w:t>
      </w:r>
      <w:r w:rsidR="0004403B" w:rsidRPr="00337F21">
        <w:rPr>
          <w:sz w:val="22"/>
          <w:szCs w:val="22"/>
        </w:rPr>
        <w:t xml:space="preserve">300 mg </w:t>
      </w:r>
      <w:r w:rsidRPr="00337F21">
        <w:rPr>
          <w:sz w:val="22"/>
          <w:szCs w:val="22"/>
        </w:rPr>
        <w:t>devu (23 %) un placebo (20 %) grupā. Pēc profilakses perioda uzliesmojumu sastopamība palielinājās un ar laiku atkal pakāpeniski samazinājās. 8.–28. nedēļ</w:t>
      </w:r>
      <w:r w:rsidR="00F466E9">
        <w:rPr>
          <w:sz w:val="22"/>
          <w:szCs w:val="22"/>
        </w:rPr>
        <w:t>ai</w:t>
      </w:r>
      <w:r w:rsidRPr="00337F21">
        <w:rPr>
          <w:sz w:val="22"/>
          <w:szCs w:val="22"/>
        </w:rPr>
        <w:t xml:space="preserve"> podagras uzliesmojumi tika ārstēti 46–55 % pacientu. Pētījuma pēdējās četrās nedēļās (24.–28. nedēļā) podagras uzliesmojumi bija 15 % </w:t>
      </w:r>
      <w:r w:rsidR="0004403B" w:rsidRPr="00337F21">
        <w:rPr>
          <w:sz w:val="22"/>
          <w:szCs w:val="22"/>
        </w:rPr>
        <w:t xml:space="preserve">febuksostata </w:t>
      </w:r>
      <w:r w:rsidRPr="00337F21">
        <w:rPr>
          <w:sz w:val="22"/>
          <w:szCs w:val="22"/>
        </w:rPr>
        <w:t>80 </w:t>
      </w:r>
      <w:r w:rsidR="0004403B">
        <w:rPr>
          <w:sz w:val="22"/>
          <w:szCs w:val="22"/>
        </w:rPr>
        <w:t xml:space="preserve">mg </w:t>
      </w:r>
      <w:r w:rsidRPr="00337F21">
        <w:rPr>
          <w:sz w:val="22"/>
          <w:szCs w:val="22"/>
        </w:rPr>
        <w:t xml:space="preserve">un 120 mg devas, 14 % </w:t>
      </w:r>
      <w:r w:rsidR="0004403B" w:rsidRPr="00337F21">
        <w:rPr>
          <w:sz w:val="22"/>
          <w:szCs w:val="22"/>
        </w:rPr>
        <w:t xml:space="preserve">allopurinola </w:t>
      </w:r>
      <w:r w:rsidRPr="00337F21">
        <w:rPr>
          <w:sz w:val="22"/>
          <w:szCs w:val="22"/>
        </w:rPr>
        <w:t xml:space="preserve">300 mg devas un 20 % placebo </w:t>
      </w:r>
      <w:r w:rsidR="0004403B">
        <w:rPr>
          <w:sz w:val="22"/>
          <w:szCs w:val="22"/>
        </w:rPr>
        <w:t>saņēmušo pacientu</w:t>
      </w:r>
      <w:r w:rsidRPr="00337F21">
        <w:rPr>
          <w:sz w:val="22"/>
          <w:szCs w:val="22"/>
        </w:rPr>
        <w:t>.</w:t>
      </w:r>
    </w:p>
    <w:p w14:paraId="7F30CE28" w14:textId="77777777" w:rsidR="00A52396" w:rsidRPr="00337F21" w:rsidRDefault="00A52396" w:rsidP="004938F2">
      <w:pPr>
        <w:ind w:left="720"/>
        <w:jc w:val="both"/>
        <w:rPr>
          <w:sz w:val="22"/>
          <w:szCs w:val="22"/>
        </w:rPr>
      </w:pPr>
    </w:p>
    <w:p w14:paraId="0E61DBC8" w14:textId="77777777" w:rsidR="00A52396" w:rsidRPr="00337F21" w:rsidRDefault="00A52396" w:rsidP="00446618">
      <w:pPr>
        <w:jc w:val="both"/>
        <w:rPr>
          <w:sz w:val="22"/>
          <w:szCs w:val="22"/>
        </w:rPr>
      </w:pPr>
      <w:r w:rsidRPr="00337F21">
        <w:rPr>
          <w:sz w:val="22"/>
          <w:szCs w:val="22"/>
        </w:rPr>
        <w:t xml:space="preserve">Pētījums </w:t>
      </w:r>
      <w:r w:rsidRPr="00337F21">
        <w:rPr>
          <w:i/>
          <w:sz w:val="22"/>
          <w:szCs w:val="22"/>
        </w:rPr>
        <w:t>FACT</w:t>
      </w:r>
      <w:r w:rsidRPr="00337F21">
        <w:rPr>
          <w:sz w:val="22"/>
          <w:szCs w:val="22"/>
        </w:rPr>
        <w:t xml:space="preserve">: astoņas nedēļas ilgajā profilakses periodā febuksostata </w:t>
      </w:r>
      <w:r w:rsidR="0004403B" w:rsidRPr="00337F21">
        <w:rPr>
          <w:sz w:val="22"/>
          <w:szCs w:val="22"/>
        </w:rPr>
        <w:t xml:space="preserve">120 mg </w:t>
      </w:r>
      <w:r w:rsidRPr="00337F21">
        <w:rPr>
          <w:sz w:val="22"/>
          <w:szCs w:val="22"/>
        </w:rPr>
        <w:t xml:space="preserve">devu terapijas grupas pacientu, </w:t>
      </w:r>
      <w:r w:rsidR="00AE435F">
        <w:rPr>
          <w:sz w:val="22"/>
          <w:szCs w:val="22"/>
        </w:rPr>
        <w:t>kuriem</w:t>
      </w:r>
      <w:r w:rsidRPr="00337F21">
        <w:rPr>
          <w:sz w:val="22"/>
          <w:szCs w:val="22"/>
        </w:rPr>
        <w:t xml:space="preserve"> bija jāārstē podagras uzliesmojum</w:t>
      </w:r>
      <w:r w:rsidR="00AE435F">
        <w:rPr>
          <w:sz w:val="22"/>
          <w:szCs w:val="22"/>
        </w:rPr>
        <w:t>s</w:t>
      </w:r>
      <w:r w:rsidRPr="00337F21">
        <w:rPr>
          <w:sz w:val="22"/>
          <w:szCs w:val="22"/>
        </w:rPr>
        <w:t xml:space="preserve">, daļa (36 %) bija lielāka nekā febuksostata </w:t>
      </w:r>
      <w:r w:rsidR="00AE435F" w:rsidRPr="00337F21">
        <w:rPr>
          <w:sz w:val="22"/>
          <w:szCs w:val="22"/>
        </w:rPr>
        <w:t xml:space="preserve">80 mg </w:t>
      </w:r>
      <w:r w:rsidRPr="00337F21">
        <w:rPr>
          <w:sz w:val="22"/>
          <w:szCs w:val="22"/>
        </w:rPr>
        <w:t xml:space="preserve">devu (22 %) un allopurinola </w:t>
      </w:r>
      <w:r w:rsidR="00AE435F" w:rsidRPr="00337F21">
        <w:rPr>
          <w:sz w:val="22"/>
          <w:szCs w:val="22"/>
        </w:rPr>
        <w:t xml:space="preserve">300 mg </w:t>
      </w:r>
      <w:r w:rsidRPr="00337F21">
        <w:rPr>
          <w:sz w:val="22"/>
          <w:szCs w:val="22"/>
        </w:rPr>
        <w:t xml:space="preserve">devu (23 %) grupā. Pēc astoņas nedēļas ilgā profilakses perioda uzliesmojumu sastopamība palielinājās un ar laiku atkal samazinājās (8.–52. nedēļā </w:t>
      </w:r>
      <w:r w:rsidR="00AE435F">
        <w:rPr>
          <w:sz w:val="22"/>
          <w:szCs w:val="22"/>
        </w:rPr>
        <w:t xml:space="preserve">podagras </w:t>
      </w:r>
      <w:r w:rsidRPr="00337F21">
        <w:rPr>
          <w:sz w:val="22"/>
          <w:szCs w:val="22"/>
        </w:rPr>
        <w:t>uzliesmojumi tika ārstēti 64 </w:t>
      </w:r>
      <w:r w:rsidR="00AE435F">
        <w:rPr>
          <w:sz w:val="22"/>
          <w:szCs w:val="22"/>
        </w:rPr>
        <w:t xml:space="preserve">% </w:t>
      </w:r>
      <w:r w:rsidRPr="00337F21">
        <w:rPr>
          <w:sz w:val="22"/>
          <w:szCs w:val="22"/>
        </w:rPr>
        <w:t xml:space="preserve">un 70 % pacientu). Pētījuma pēdējās četrās nedēļās (49.–52. nedēļā) podagras uzliesmojumi tika novēroti 6–8 % </w:t>
      </w:r>
      <w:r w:rsidR="00AE435F" w:rsidRPr="00337F21">
        <w:rPr>
          <w:sz w:val="22"/>
          <w:szCs w:val="22"/>
        </w:rPr>
        <w:t xml:space="preserve">febuksostata </w:t>
      </w:r>
      <w:r w:rsidRPr="00337F21">
        <w:rPr>
          <w:sz w:val="22"/>
          <w:szCs w:val="22"/>
        </w:rPr>
        <w:t>80 </w:t>
      </w:r>
      <w:r w:rsidR="00AE435F">
        <w:rPr>
          <w:sz w:val="22"/>
          <w:szCs w:val="22"/>
        </w:rPr>
        <w:t xml:space="preserve">mg </w:t>
      </w:r>
      <w:r w:rsidRPr="00337F21">
        <w:rPr>
          <w:sz w:val="22"/>
          <w:szCs w:val="22"/>
        </w:rPr>
        <w:t xml:space="preserve">un 120 mg devu un 11 % </w:t>
      </w:r>
      <w:r w:rsidR="00AE435F" w:rsidRPr="00337F21">
        <w:rPr>
          <w:sz w:val="22"/>
          <w:szCs w:val="22"/>
        </w:rPr>
        <w:t xml:space="preserve">allopurinola </w:t>
      </w:r>
      <w:r w:rsidRPr="00337F21">
        <w:rPr>
          <w:sz w:val="22"/>
          <w:szCs w:val="22"/>
        </w:rPr>
        <w:t>300 mg devu saņēmēju.</w:t>
      </w:r>
    </w:p>
    <w:p w14:paraId="5B3935E3" w14:textId="77777777" w:rsidR="00A52396" w:rsidRPr="00337F21" w:rsidRDefault="00A52396" w:rsidP="004938F2">
      <w:pPr>
        <w:ind w:left="720"/>
        <w:jc w:val="both"/>
        <w:rPr>
          <w:sz w:val="22"/>
          <w:szCs w:val="22"/>
        </w:rPr>
      </w:pPr>
    </w:p>
    <w:p w14:paraId="3CD52214" w14:textId="24AB48DD" w:rsidR="00A52396" w:rsidRPr="00337F21" w:rsidRDefault="00A52396" w:rsidP="00446618">
      <w:pPr>
        <w:jc w:val="both"/>
        <w:rPr>
          <w:sz w:val="22"/>
          <w:szCs w:val="22"/>
        </w:rPr>
      </w:pPr>
      <w:r w:rsidRPr="00337F21">
        <w:rPr>
          <w:sz w:val="22"/>
          <w:szCs w:val="22"/>
        </w:rPr>
        <w:t xml:space="preserve">Pētījumos </w:t>
      </w:r>
      <w:r w:rsidRPr="00337F21">
        <w:rPr>
          <w:i/>
          <w:sz w:val="22"/>
          <w:szCs w:val="22"/>
        </w:rPr>
        <w:t>APEX</w:t>
      </w:r>
      <w:r w:rsidRPr="00337F21">
        <w:rPr>
          <w:sz w:val="22"/>
          <w:szCs w:val="22"/>
        </w:rPr>
        <w:t xml:space="preserve"> un </w:t>
      </w:r>
      <w:r w:rsidRPr="00337F21">
        <w:rPr>
          <w:i/>
          <w:sz w:val="22"/>
          <w:szCs w:val="22"/>
        </w:rPr>
        <w:t>FACT</w:t>
      </w:r>
      <w:r w:rsidRPr="00337F21">
        <w:rPr>
          <w:sz w:val="22"/>
          <w:szCs w:val="22"/>
        </w:rPr>
        <w:t xml:space="preserve"> to pacientu daļa, kuriem bija jāārstē podagras uzliesmojumi, grupās, kas pētījuma perioda pēdējās 32 nedēļās (laikā no 20.–24. nedēļas līdz 49.–52. nedēļai) salīdzinājumā ar sākotnējo stāvokli sasniedza serumā esošo urātu</w:t>
      </w:r>
      <w:r w:rsidR="00AE435F">
        <w:rPr>
          <w:sz w:val="22"/>
          <w:szCs w:val="22"/>
        </w:rPr>
        <w:t xml:space="preserve"> vidēj</w:t>
      </w:r>
      <w:r w:rsidR="004E1966">
        <w:rPr>
          <w:sz w:val="22"/>
          <w:szCs w:val="22"/>
        </w:rPr>
        <w:t>o</w:t>
      </w:r>
      <w:r w:rsidRPr="00337F21">
        <w:rPr>
          <w:sz w:val="22"/>
          <w:szCs w:val="22"/>
        </w:rPr>
        <w:t xml:space="preserve"> līmeni &lt; 6,0</w:t>
      </w:r>
      <w:r w:rsidR="00AE435F">
        <w:rPr>
          <w:sz w:val="22"/>
          <w:szCs w:val="22"/>
        </w:rPr>
        <w:t> mg/dl</w:t>
      </w:r>
      <w:r w:rsidRPr="00337F21">
        <w:rPr>
          <w:sz w:val="22"/>
          <w:szCs w:val="22"/>
        </w:rPr>
        <w:t xml:space="preserve">, </w:t>
      </w:r>
      <w:r w:rsidRPr="00337F21">
        <w:rPr>
          <w:sz w:val="22"/>
          <w:szCs w:val="22"/>
        </w:rPr>
        <w:lastRenderedPageBreak/>
        <w:t>&lt; 5,0</w:t>
      </w:r>
      <w:r w:rsidR="00AE435F">
        <w:rPr>
          <w:sz w:val="22"/>
          <w:szCs w:val="22"/>
        </w:rPr>
        <w:t> mg/dl</w:t>
      </w:r>
      <w:r w:rsidRPr="00337F21">
        <w:rPr>
          <w:sz w:val="22"/>
          <w:szCs w:val="22"/>
        </w:rPr>
        <w:t> vai &lt; 4,0 mg/dl, bija skaitliski mazāka nekā grupā, kas salīdzinājumā ar sākotnējo stāvokli sasniedza serumā esošo urātu līmeni ≥ 6,0 mg/dl.</w:t>
      </w:r>
    </w:p>
    <w:p w14:paraId="57892039" w14:textId="77777777" w:rsidR="00A52396" w:rsidRPr="00337F21" w:rsidRDefault="00A52396" w:rsidP="004938F2">
      <w:pPr>
        <w:ind w:left="720"/>
        <w:jc w:val="both"/>
        <w:rPr>
          <w:sz w:val="22"/>
          <w:szCs w:val="22"/>
        </w:rPr>
      </w:pPr>
    </w:p>
    <w:p w14:paraId="42A60512" w14:textId="77777777" w:rsidR="00A52396" w:rsidRPr="00337F21" w:rsidRDefault="00A52396" w:rsidP="00446618">
      <w:pPr>
        <w:jc w:val="both"/>
        <w:rPr>
          <w:sz w:val="22"/>
          <w:szCs w:val="22"/>
        </w:rPr>
      </w:pPr>
      <w:r w:rsidRPr="00337F21">
        <w:rPr>
          <w:sz w:val="22"/>
          <w:szCs w:val="22"/>
        </w:rPr>
        <w:t xml:space="preserve">Pētījumā </w:t>
      </w:r>
      <w:r w:rsidRPr="00337F21">
        <w:rPr>
          <w:i/>
          <w:sz w:val="22"/>
          <w:szCs w:val="22"/>
        </w:rPr>
        <w:t>CONFIRMS</w:t>
      </w:r>
      <w:r w:rsidRPr="00337F21">
        <w:rPr>
          <w:sz w:val="22"/>
          <w:szCs w:val="22"/>
        </w:rPr>
        <w:t xml:space="preserve"> to pacientu, </w:t>
      </w:r>
      <w:r w:rsidR="00AE435F">
        <w:rPr>
          <w:sz w:val="22"/>
          <w:szCs w:val="22"/>
        </w:rPr>
        <w:t>kuriem</w:t>
      </w:r>
      <w:r w:rsidRPr="00337F21">
        <w:rPr>
          <w:sz w:val="22"/>
          <w:szCs w:val="22"/>
        </w:rPr>
        <w:t xml:space="preserve"> laikā starp 1. dienu un 6. mēneša beigām bija jāārstē podagras uzliesmojumi, procentuālā daļa </w:t>
      </w:r>
      <w:r w:rsidR="00AE435F" w:rsidRPr="00337F21">
        <w:rPr>
          <w:sz w:val="22"/>
          <w:szCs w:val="22"/>
        </w:rPr>
        <w:t xml:space="preserve">febuksostata </w:t>
      </w:r>
      <w:r w:rsidRPr="00337F21">
        <w:rPr>
          <w:sz w:val="22"/>
          <w:szCs w:val="22"/>
        </w:rPr>
        <w:t>80 mg devu un allopurinola grupā bija attiecīgi 31 </w:t>
      </w:r>
      <w:r w:rsidR="00AE435F">
        <w:rPr>
          <w:sz w:val="22"/>
          <w:szCs w:val="22"/>
        </w:rPr>
        <w:t xml:space="preserve">% </w:t>
      </w:r>
      <w:r w:rsidRPr="00337F21">
        <w:rPr>
          <w:sz w:val="22"/>
          <w:szCs w:val="22"/>
        </w:rPr>
        <w:t xml:space="preserve">un 25 %. </w:t>
      </w:r>
      <w:r w:rsidR="00AE435F">
        <w:rPr>
          <w:sz w:val="22"/>
          <w:szCs w:val="22"/>
        </w:rPr>
        <w:t>F</w:t>
      </w:r>
      <w:r w:rsidR="00AE435F" w:rsidRPr="00337F21">
        <w:rPr>
          <w:sz w:val="22"/>
          <w:szCs w:val="22"/>
        </w:rPr>
        <w:t xml:space="preserve">ebuksostata </w:t>
      </w:r>
      <w:r w:rsidRPr="00337F21">
        <w:rPr>
          <w:sz w:val="22"/>
          <w:szCs w:val="22"/>
        </w:rPr>
        <w:t>80 </w:t>
      </w:r>
      <w:r w:rsidR="00AE435F">
        <w:rPr>
          <w:sz w:val="22"/>
          <w:szCs w:val="22"/>
        </w:rPr>
        <w:t xml:space="preserve">mg </w:t>
      </w:r>
      <w:r w:rsidRPr="00337F21">
        <w:rPr>
          <w:sz w:val="22"/>
          <w:szCs w:val="22"/>
        </w:rPr>
        <w:t>un 40 mg devu grupās neatšķīrās to pacientu daļa, kuriem bija jāārstē podagras uzliesmojumi.</w:t>
      </w:r>
    </w:p>
    <w:p w14:paraId="761D5F9F" w14:textId="77777777" w:rsidR="00A52396" w:rsidRPr="00337F21" w:rsidRDefault="00A52396" w:rsidP="004938F2">
      <w:pPr>
        <w:ind w:left="720"/>
        <w:jc w:val="both"/>
        <w:rPr>
          <w:sz w:val="22"/>
          <w:szCs w:val="22"/>
        </w:rPr>
      </w:pPr>
    </w:p>
    <w:p w14:paraId="5FEA6007" w14:textId="77777777" w:rsidR="00A52396" w:rsidRPr="00337F21" w:rsidRDefault="00A52396" w:rsidP="00446618">
      <w:pPr>
        <w:jc w:val="both"/>
        <w:rPr>
          <w:i/>
          <w:sz w:val="22"/>
          <w:szCs w:val="22"/>
        </w:rPr>
      </w:pPr>
      <w:r w:rsidRPr="00337F21">
        <w:rPr>
          <w:i/>
          <w:sz w:val="22"/>
          <w:szCs w:val="22"/>
        </w:rPr>
        <w:t>Ilgstošie nemaskētie pētījumu pagarinājumi</w:t>
      </w:r>
    </w:p>
    <w:p w14:paraId="3D72E3C1" w14:textId="77777777" w:rsidR="00A52396" w:rsidRPr="00337F21" w:rsidRDefault="00A52396" w:rsidP="00446618">
      <w:pPr>
        <w:jc w:val="both"/>
        <w:rPr>
          <w:sz w:val="22"/>
          <w:szCs w:val="22"/>
        </w:rPr>
      </w:pPr>
      <w:r w:rsidRPr="00337F21">
        <w:rPr>
          <w:sz w:val="22"/>
          <w:szCs w:val="22"/>
        </w:rPr>
        <w:t xml:space="preserve">Pētījums </w:t>
      </w:r>
      <w:r w:rsidRPr="00337F21">
        <w:rPr>
          <w:i/>
          <w:sz w:val="22"/>
          <w:szCs w:val="22"/>
        </w:rPr>
        <w:t>EXCEL</w:t>
      </w:r>
      <w:r w:rsidRPr="00337F21">
        <w:rPr>
          <w:sz w:val="22"/>
          <w:szCs w:val="22"/>
        </w:rPr>
        <w:t> (C02-021) bija trīs gadus ilg</w:t>
      </w:r>
      <w:r w:rsidR="00AE435F">
        <w:rPr>
          <w:sz w:val="22"/>
          <w:szCs w:val="22"/>
        </w:rPr>
        <w:t>s,</w:t>
      </w:r>
      <w:r w:rsidRPr="00337F21">
        <w:rPr>
          <w:sz w:val="22"/>
          <w:szCs w:val="22"/>
        </w:rPr>
        <w:t xml:space="preserve"> nemaskēt</w:t>
      </w:r>
      <w:r w:rsidR="00AE435F">
        <w:rPr>
          <w:sz w:val="22"/>
          <w:szCs w:val="22"/>
        </w:rPr>
        <w:t>s, randomizēts, ar allopurinolu kontrolēts</w:t>
      </w:r>
      <w:r w:rsidRPr="00337F21">
        <w:rPr>
          <w:sz w:val="22"/>
          <w:szCs w:val="22"/>
        </w:rPr>
        <w:t xml:space="preserve"> 3. fāzes daudzcentru pētījum</w:t>
      </w:r>
      <w:r w:rsidR="00AE435F">
        <w:rPr>
          <w:sz w:val="22"/>
          <w:szCs w:val="22"/>
        </w:rPr>
        <w:t>u</w:t>
      </w:r>
      <w:r w:rsidRPr="00337F21">
        <w:rPr>
          <w:sz w:val="22"/>
          <w:szCs w:val="22"/>
        </w:rPr>
        <w:t xml:space="preserve"> pagarinājums, lai noteiktu lietošanas drošumu pacientiem, </w:t>
      </w:r>
      <w:r w:rsidR="00AE435F">
        <w:rPr>
          <w:sz w:val="22"/>
          <w:szCs w:val="22"/>
        </w:rPr>
        <w:t>kuri</w:t>
      </w:r>
      <w:r w:rsidRPr="00337F21">
        <w:rPr>
          <w:sz w:val="22"/>
          <w:szCs w:val="22"/>
        </w:rPr>
        <w:t xml:space="preserve"> bija pabeiguši piedalīšanos 3. fāzes pamatpētījumos </w:t>
      </w:r>
      <w:r w:rsidRPr="00337F21">
        <w:rPr>
          <w:i/>
          <w:sz w:val="22"/>
          <w:szCs w:val="22"/>
        </w:rPr>
        <w:t>APEX</w:t>
      </w:r>
      <w:r w:rsidRPr="00337F21">
        <w:rPr>
          <w:sz w:val="22"/>
          <w:szCs w:val="22"/>
        </w:rPr>
        <w:t xml:space="preserve"> vai </w:t>
      </w:r>
      <w:r w:rsidRPr="00337F21">
        <w:rPr>
          <w:i/>
          <w:sz w:val="22"/>
          <w:szCs w:val="22"/>
        </w:rPr>
        <w:t>FACT</w:t>
      </w:r>
      <w:r w:rsidRPr="00337F21">
        <w:rPr>
          <w:sz w:val="22"/>
          <w:szCs w:val="22"/>
        </w:rPr>
        <w:t xml:space="preserve">. Pavisam tika iekļauti 1086 pacienti, no kuriem 649 vienreiz dienā saņēma </w:t>
      </w:r>
      <w:r w:rsidR="00AE435F" w:rsidRPr="00337F21">
        <w:rPr>
          <w:sz w:val="22"/>
          <w:szCs w:val="22"/>
        </w:rPr>
        <w:t xml:space="preserve">febuksostata </w:t>
      </w:r>
      <w:r w:rsidRPr="00337F21">
        <w:rPr>
          <w:sz w:val="22"/>
          <w:szCs w:val="22"/>
        </w:rPr>
        <w:t xml:space="preserve">80 mg devas, 292 vienreiz dienā saņēma febuksostata </w:t>
      </w:r>
      <w:r w:rsidR="00AE435F" w:rsidRPr="00337F21">
        <w:rPr>
          <w:sz w:val="22"/>
          <w:szCs w:val="22"/>
        </w:rPr>
        <w:t xml:space="preserve">120 mg </w:t>
      </w:r>
      <w:r w:rsidRPr="00337F21">
        <w:rPr>
          <w:sz w:val="22"/>
          <w:szCs w:val="22"/>
        </w:rPr>
        <w:t xml:space="preserve">devas un 145 vienreiz dienā saņēma </w:t>
      </w:r>
      <w:r w:rsidR="00AE435F" w:rsidRPr="00337F21">
        <w:rPr>
          <w:sz w:val="22"/>
          <w:szCs w:val="22"/>
        </w:rPr>
        <w:t xml:space="preserve">allopurinola </w:t>
      </w:r>
      <w:r w:rsidRPr="00337F21">
        <w:rPr>
          <w:sz w:val="22"/>
          <w:szCs w:val="22"/>
        </w:rPr>
        <w:t>300 </w:t>
      </w:r>
      <w:r w:rsidR="00AE435F">
        <w:rPr>
          <w:sz w:val="22"/>
          <w:szCs w:val="22"/>
        </w:rPr>
        <w:t xml:space="preserve">mg </w:t>
      </w:r>
      <w:r w:rsidRPr="00337F21">
        <w:rPr>
          <w:sz w:val="22"/>
          <w:szCs w:val="22"/>
        </w:rPr>
        <w:t xml:space="preserve">vai 100 mg devas. Aptuveni 69 % pacientu stabilas galīgās terapijas shēmas sasniegšanai ārstēšanas veids nebija jāmaina. Pacienti, </w:t>
      </w:r>
      <w:r w:rsidR="00AE435F">
        <w:rPr>
          <w:sz w:val="22"/>
          <w:szCs w:val="22"/>
        </w:rPr>
        <w:t>kuriem</w:t>
      </w:r>
      <w:r w:rsidRPr="00337F21">
        <w:rPr>
          <w:sz w:val="22"/>
          <w:szCs w:val="22"/>
        </w:rPr>
        <w:t xml:space="preserve"> trīs reizes pēc kārtas urīnskābes līmenis serumā bija &gt; 6,0 mg/dl, no pētījuma tika izslēgti.</w:t>
      </w:r>
    </w:p>
    <w:p w14:paraId="7B983C93" w14:textId="77777777" w:rsidR="00A52396" w:rsidRPr="00337F21" w:rsidRDefault="00A52396" w:rsidP="00446618">
      <w:pPr>
        <w:jc w:val="both"/>
        <w:rPr>
          <w:sz w:val="22"/>
          <w:szCs w:val="22"/>
        </w:rPr>
      </w:pPr>
      <w:r w:rsidRPr="00337F21">
        <w:rPr>
          <w:sz w:val="22"/>
          <w:szCs w:val="22"/>
        </w:rPr>
        <w:t>Urātu līmenis serumā laika gaitā nemainījās, t. i., 91 </w:t>
      </w:r>
      <w:r w:rsidR="002C15E2">
        <w:rPr>
          <w:sz w:val="22"/>
          <w:szCs w:val="22"/>
        </w:rPr>
        <w:t xml:space="preserve">% </w:t>
      </w:r>
      <w:r w:rsidRPr="00337F21">
        <w:rPr>
          <w:sz w:val="22"/>
          <w:szCs w:val="22"/>
        </w:rPr>
        <w:t xml:space="preserve">un 93 % pacientu, </w:t>
      </w:r>
      <w:r w:rsidR="002C15E2">
        <w:rPr>
          <w:sz w:val="22"/>
          <w:szCs w:val="22"/>
        </w:rPr>
        <w:t>kuri</w:t>
      </w:r>
      <w:r w:rsidRPr="00337F21">
        <w:rPr>
          <w:sz w:val="22"/>
          <w:szCs w:val="22"/>
        </w:rPr>
        <w:t xml:space="preserve"> sākumā tika ārstēti ar attiecīgi 80 </w:t>
      </w:r>
      <w:r w:rsidR="002C15E2">
        <w:rPr>
          <w:sz w:val="22"/>
          <w:szCs w:val="22"/>
        </w:rPr>
        <w:t xml:space="preserve">mg </w:t>
      </w:r>
      <w:r w:rsidRPr="00337F21">
        <w:rPr>
          <w:sz w:val="22"/>
          <w:szCs w:val="22"/>
        </w:rPr>
        <w:t>un 120 mg febuksostata devām, pēc 36 mēnešiem urīnskābes līmenis serumā bija &lt; 6 mg/dl.</w:t>
      </w:r>
    </w:p>
    <w:p w14:paraId="1A58CEF6" w14:textId="77777777" w:rsidR="00A52396" w:rsidRPr="00337F21" w:rsidRDefault="00A52396" w:rsidP="004938F2">
      <w:pPr>
        <w:ind w:left="720"/>
        <w:jc w:val="both"/>
        <w:rPr>
          <w:sz w:val="22"/>
          <w:szCs w:val="22"/>
        </w:rPr>
      </w:pPr>
    </w:p>
    <w:p w14:paraId="5C087B12" w14:textId="77777777" w:rsidR="00A52396" w:rsidRPr="00337F21" w:rsidRDefault="00A52396" w:rsidP="00446618">
      <w:pPr>
        <w:jc w:val="both"/>
        <w:rPr>
          <w:sz w:val="22"/>
          <w:szCs w:val="22"/>
        </w:rPr>
      </w:pPr>
      <w:r w:rsidRPr="00337F21">
        <w:rPr>
          <w:sz w:val="22"/>
          <w:szCs w:val="22"/>
        </w:rPr>
        <w:t xml:space="preserve">Trijos gados iegūtie dati </w:t>
      </w:r>
      <w:r w:rsidR="002C15E2">
        <w:rPr>
          <w:sz w:val="22"/>
          <w:szCs w:val="22"/>
        </w:rPr>
        <w:t>liecināja par</w:t>
      </w:r>
      <w:r w:rsidRPr="00337F21">
        <w:rPr>
          <w:sz w:val="22"/>
          <w:szCs w:val="22"/>
        </w:rPr>
        <w:t xml:space="preserve"> podagras uzliesmojumu sastopamības samazināšanos, un 16.–24. un 30.–36. mēnesī uzliesmojumi bija jāārstē mazāk nekā 4 % pacientu (t. i., uzliesmojumi nebija jāārstē vairāk nekā 96 % pacientu).</w:t>
      </w:r>
    </w:p>
    <w:p w14:paraId="4C665B39" w14:textId="77777777" w:rsidR="00A52396" w:rsidRPr="00337F21" w:rsidRDefault="00A52396" w:rsidP="004938F2">
      <w:pPr>
        <w:ind w:left="720"/>
        <w:jc w:val="both"/>
        <w:rPr>
          <w:sz w:val="22"/>
          <w:szCs w:val="22"/>
        </w:rPr>
      </w:pPr>
    </w:p>
    <w:p w14:paraId="0DC672F3" w14:textId="77777777" w:rsidR="00A52396" w:rsidRPr="00337F21" w:rsidRDefault="00A52396" w:rsidP="00446618">
      <w:pPr>
        <w:jc w:val="both"/>
        <w:rPr>
          <w:sz w:val="22"/>
          <w:szCs w:val="22"/>
        </w:rPr>
      </w:pPr>
      <w:r w:rsidRPr="00337F21">
        <w:rPr>
          <w:sz w:val="22"/>
          <w:szCs w:val="22"/>
        </w:rPr>
        <w:t>46 </w:t>
      </w:r>
      <w:r w:rsidR="002C15E2">
        <w:rPr>
          <w:sz w:val="22"/>
          <w:szCs w:val="22"/>
        </w:rPr>
        <w:t xml:space="preserve">% </w:t>
      </w:r>
      <w:r w:rsidRPr="00337F21">
        <w:rPr>
          <w:sz w:val="22"/>
          <w:szCs w:val="22"/>
        </w:rPr>
        <w:t xml:space="preserve">un 38 % pacientu, </w:t>
      </w:r>
      <w:r w:rsidR="002C15E2">
        <w:rPr>
          <w:sz w:val="22"/>
          <w:szCs w:val="22"/>
        </w:rPr>
        <w:t>kuri</w:t>
      </w:r>
      <w:r w:rsidRPr="00337F21">
        <w:rPr>
          <w:sz w:val="22"/>
          <w:szCs w:val="22"/>
        </w:rPr>
        <w:t xml:space="preserve"> saņēma galīgo terapiju ar vienreiz dienā lietojamām attiecīgi 80 </w:t>
      </w:r>
      <w:r w:rsidR="002C15E2">
        <w:rPr>
          <w:sz w:val="22"/>
          <w:szCs w:val="22"/>
        </w:rPr>
        <w:t xml:space="preserve">mg </w:t>
      </w:r>
      <w:r w:rsidRPr="00337F21">
        <w:rPr>
          <w:sz w:val="22"/>
          <w:szCs w:val="22"/>
        </w:rPr>
        <w:t>vai 120 mg febuksostata devām, laikā starp terapijas sākumu un pēdējo vizīti pilnīgi izzuda primāri palpējamie sāļu izgulsnējumi.</w:t>
      </w:r>
    </w:p>
    <w:p w14:paraId="11349492" w14:textId="77777777" w:rsidR="00A52396" w:rsidRPr="00337F21" w:rsidRDefault="00A52396" w:rsidP="004938F2">
      <w:pPr>
        <w:ind w:left="720"/>
        <w:jc w:val="both"/>
        <w:rPr>
          <w:sz w:val="22"/>
          <w:szCs w:val="22"/>
        </w:rPr>
      </w:pPr>
    </w:p>
    <w:p w14:paraId="293452AC" w14:textId="77777777" w:rsidR="00A52396" w:rsidRPr="00337F21" w:rsidRDefault="00A52396" w:rsidP="00446618">
      <w:pPr>
        <w:jc w:val="both"/>
        <w:rPr>
          <w:sz w:val="22"/>
          <w:szCs w:val="22"/>
        </w:rPr>
      </w:pPr>
      <w:r w:rsidRPr="00337F21">
        <w:rPr>
          <w:sz w:val="22"/>
          <w:szCs w:val="22"/>
        </w:rPr>
        <w:t xml:space="preserve">Pētījums </w:t>
      </w:r>
      <w:r w:rsidRPr="00337F21">
        <w:rPr>
          <w:i/>
          <w:sz w:val="22"/>
          <w:szCs w:val="22"/>
        </w:rPr>
        <w:t>FOCUS</w:t>
      </w:r>
      <w:r w:rsidRPr="00337F21">
        <w:rPr>
          <w:sz w:val="22"/>
          <w:szCs w:val="22"/>
        </w:rPr>
        <w:t xml:space="preserve"> (</w:t>
      </w:r>
      <w:r w:rsidRPr="00337F21">
        <w:rPr>
          <w:i/>
          <w:sz w:val="22"/>
          <w:szCs w:val="22"/>
        </w:rPr>
        <w:t>TMX-01-005</w:t>
      </w:r>
      <w:r w:rsidRPr="00337F21">
        <w:rPr>
          <w:sz w:val="22"/>
          <w:szCs w:val="22"/>
        </w:rPr>
        <w:t xml:space="preserve">) bija piecus gadus ilgs nemaskēts 2. fāzes daudzcentru pētījuma pagarinājums, lai vērtētu lietošanas drošumu pacientiem, </w:t>
      </w:r>
      <w:r w:rsidR="002C15E2">
        <w:rPr>
          <w:sz w:val="22"/>
          <w:szCs w:val="22"/>
        </w:rPr>
        <w:t>kuri</w:t>
      </w:r>
      <w:r w:rsidRPr="00337F21">
        <w:rPr>
          <w:sz w:val="22"/>
          <w:szCs w:val="22"/>
        </w:rPr>
        <w:t xml:space="preserve"> pabeiguši četras nedēļas ilgu dubultmaskētu </w:t>
      </w:r>
      <w:r w:rsidR="002C15E2">
        <w:rPr>
          <w:sz w:val="22"/>
          <w:szCs w:val="22"/>
        </w:rPr>
        <w:t>febuksostata</w:t>
      </w:r>
      <w:r w:rsidRPr="00337F21">
        <w:rPr>
          <w:sz w:val="22"/>
          <w:szCs w:val="22"/>
        </w:rPr>
        <w:t xml:space="preserve"> lietošanu pētījumā </w:t>
      </w:r>
      <w:r w:rsidRPr="00337F21">
        <w:rPr>
          <w:i/>
          <w:sz w:val="22"/>
          <w:szCs w:val="22"/>
        </w:rPr>
        <w:t>TMX-00-004</w:t>
      </w:r>
      <w:r w:rsidRPr="00337F21">
        <w:rPr>
          <w:sz w:val="22"/>
          <w:szCs w:val="22"/>
        </w:rPr>
        <w:t xml:space="preserve">. Tika iekļauti 116 pacienti, </w:t>
      </w:r>
      <w:r w:rsidR="002C15E2">
        <w:rPr>
          <w:sz w:val="22"/>
          <w:szCs w:val="22"/>
        </w:rPr>
        <w:t>kuri</w:t>
      </w:r>
      <w:r w:rsidRPr="00337F21">
        <w:rPr>
          <w:sz w:val="22"/>
          <w:szCs w:val="22"/>
        </w:rPr>
        <w:t xml:space="preserve"> sākumā vienreiz dienā saņēma pa 80 mg febuksostata. 62 % pacientu serumā esošās urīnskābes koncentrācijas uzturēšanai &lt; 6 mg/dl līmenī deva nebija jāpielāgo, bet 38 % pacientu galīgās stabilās devas sasniegšanai bija jāpielāgo deva.</w:t>
      </w:r>
    </w:p>
    <w:p w14:paraId="57545BB6" w14:textId="77777777" w:rsidR="00A52396" w:rsidRPr="00337F21" w:rsidRDefault="00A52396" w:rsidP="004938F2">
      <w:pPr>
        <w:ind w:left="720"/>
        <w:jc w:val="both"/>
        <w:rPr>
          <w:sz w:val="22"/>
          <w:szCs w:val="22"/>
        </w:rPr>
      </w:pPr>
    </w:p>
    <w:p w14:paraId="5A4F3D0B" w14:textId="77777777" w:rsidR="00A52396" w:rsidRPr="00337F21" w:rsidRDefault="00A52396" w:rsidP="00446618">
      <w:pPr>
        <w:jc w:val="both"/>
        <w:rPr>
          <w:sz w:val="22"/>
          <w:szCs w:val="22"/>
        </w:rPr>
      </w:pPr>
      <w:r w:rsidRPr="00337F21">
        <w:rPr>
          <w:sz w:val="22"/>
          <w:szCs w:val="22"/>
        </w:rPr>
        <w:t xml:space="preserve">Pēc visu febuksostata devu lietošanas to pacientu daļa, kuriem pēdējās vizītes laikā urātu līmenis </w:t>
      </w:r>
      <w:r w:rsidR="002C15E2">
        <w:rPr>
          <w:sz w:val="22"/>
          <w:szCs w:val="22"/>
        </w:rPr>
        <w:t xml:space="preserve">serumā </w:t>
      </w:r>
      <w:r w:rsidRPr="00337F21">
        <w:rPr>
          <w:sz w:val="22"/>
          <w:szCs w:val="22"/>
        </w:rPr>
        <w:t>bija &lt; 6,0 mg/dl (357 µmol/l), bija lielāka par 80 % (81–100 %).</w:t>
      </w:r>
    </w:p>
    <w:p w14:paraId="2CE5A65D" w14:textId="77777777" w:rsidR="00A52396" w:rsidRPr="00337F21" w:rsidRDefault="00A52396" w:rsidP="004938F2">
      <w:pPr>
        <w:ind w:left="720"/>
        <w:jc w:val="both"/>
        <w:rPr>
          <w:sz w:val="22"/>
          <w:szCs w:val="22"/>
        </w:rPr>
      </w:pPr>
    </w:p>
    <w:p w14:paraId="012C0FB0" w14:textId="77777777" w:rsidR="008D7D6A" w:rsidRPr="00337F21" w:rsidRDefault="00A52396" w:rsidP="00446618">
      <w:pPr>
        <w:jc w:val="both"/>
        <w:rPr>
          <w:sz w:val="22"/>
          <w:szCs w:val="22"/>
        </w:rPr>
      </w:pPr>
      <w:r w:rsidRPr="00337F21">
        <w:rPr>
          <w:sz w:val="22"/>
          <w:szCs w:val="22"/>
        </w:rPr>
        <w:t xml:space="preserve">3. fāzes klīniskajos pētījumos 5 % ar febuksostatu ārstēto pacientu tika novērotas vieglas aknu darbības analīžu rezultātu </w:t>
      </w:r>
      <w:r w:rsidR="002C15E2">
        <w:rPr>
          <w:sz w:val="22"/>
          <w:szCs w:val="22"/>
        </w:rPr>
        <w:t>novirzes</w:t>
      </w:r>
      <w:r w:rsidRPr="00337F21">
        <w:rPr>
          <w:sz w:val="22"/>
          <w:szCs w:val="22"/>
        </w:rPr>
        <w:t xml:space="preserve">, un to sastopamība bija līdzīga tai, par kādu ziņots pēc allopurinola lietošanas </w:t>
      </w:r>
      <w:r w:rsidR="002C15E2" w:rsidRPr="00337F21">
        <w:rPr>
          <w:sz w:val="22"/>
          <w:szCs w:val="22"/>
        </w:rPr>
        <w:t xml:space="preserve">(4,2 %) </w:t>
      </w:r>
      <w:r w:rsidRPr="00337F21">
        <w:rPr>
          <w:sz w:val="22"/>
          <w:szCs w:val="22"/>
        </w:rPr>
        <w:t xml:space="preserve">(skatīt 4.4. apakšpunktu). Ilgtermiņa pētījumu nemaskētajās pagarinājumu fāzēs 5,5 % ar febuksostatu un 5,8 % ar allopurinolu ilgstoši ārstēto pacientu ir novērots paaugstināts </w:t>
      </w:r>
      <w:r w:rsidRPr="00337F21">
        <w:rPr>
          <w:i/>
          <w:sz w:val="22"/>
          <w:szCs w:val="22"/>
        </w:rPr>
        <w:t>TSH</w:t>
      </w:r>
      <w:r w:rsidRPr="00337F21">
        <w:rPr>
          <w:sz w:val="22"/>
          <w:szCs w:val="22"/>
        </w:rPr>
        <w:t> līmenis (&gt;5,5 µSV/ml; skatīt 4.4. apakšpunktu).</w:t>
      </w:r>
    </w:p>
    <w:p w14:paraId="12627482" w14:textId="77777777" w:rsidR="008D7D6A" w:rsidRPr="00337F21" w:rsidRDefault="008D7D6A" w:rsidP="004938F2">
      <w:pPr>
        <w:shd w:val="clear" w:color="auto" w:fill="FFFFFF"/>
        <w:ind w:left="720"/>
        <w:jc w:val="both"/>
        <w:rPr>
          <w:sz w:val="22"/>
          <w:szCs w:val="22"/>
        </w:rPr>
      </w:pPr>
    </w:p>
    <w:p w14:paraId="661C6116" w14:textId="77777777" w:rsidR="00E745A2" w:rsidRPr="00F91656" w:rsidRDefault="006839E4" w:rsidP="007E6D6B">
      <w:pPr>
        <w:rPr>
          <w:i/>
          <w:sz w:val="22"/>
          <w:szCs w:val="22"/>
          <w:u w:val="single"/>
        </w:rPr>
      </w:pPr>
      <w:r w:rsidRPr="00F91656">
        <w:rPr>
          <w:i/>
          <w:sz w:val="22"/>
          <w:szCs w:val="22"/>
          <w:u w:val="single"/>
        </w:rPr>
        <w:t>Druniler</w:t>
      </w:r>
      <w:r w:rsidR="00B2394A" w:rsidRPr="00F91656">
        <w:rPr>
          <w:i/>
          <w:sz w:val="22"/>
          <w:szCs w:val="22"/>
          <w:u w:val="single"/>
        </w:rPr>
        <w:t xml:space="preserve"> 120 mg</w:t>
      </w:r>
    </w:p>
    <w:p w14:paraId="69C587BB" w14:textId="77777777" w:rsidR="004612E5" w:rsidRPr="00F91656" w:rsidRDefault="00B2394A" w:rsidP="007E6D6B">
      <w:pPr>
        <w:rPr>
          <w:i/>
          <w:sz w:val="22"/>
          <w:szCs w:val="22"/>
          <w:u w:val="single"/>
        </w:rPr>
      </w:pPr>
      <w:r w:rsidRPr="00F91656">
        <w:rPr>
          <w:i/>
          <w:sz w:val="22"/>
          <w:szCs w:val="22"/>
          <w:u w:val="single"/>
        </w:rPr>
        <w:t>Tumora līzes</w:t>
      </w:r>
      <w:r w:rsidR="004612E5" w:rsidRPr="00F91656">
        <w:rPr>
          <w:i/>
          <w:sz w:val="22"/>
          <w:szCs w:val="22"/>
          <w:u w:val="single"/>
        </w:rPr>
        <w:t xml:space="preserve"> sindroms</w:t>
      </w:r>
    </w:p>
    <w:p w14:paraId="59F50752" w14:textId="77777777" w:rsidR="004612E5" w:rsidRPr="007E6D6B" w:rsidRDefault="004612E5" w:rsidP="007E6D6B">
      <w:pPr>
        <w:rPr>
          <w:sz w:val="22"/>
          <w:szCs w:val="22"/>
        </w:rPr>
      </w:pPr>
      <w:r w:rsidRPr="007E6D6B">
        <w:rPr>
          <w:sz w:val="22"/>
          <w:szCs w:val="22"/>
        </w:rPr>
        <w:t xml:space="preserve">Febuksostata efektivitāte un drošums saistībā ar profilaksi un ārstēšanu </w:t>
      </w:r>
      <w:r w:rsidR="00586612" w:rsidRPr="007E6D6B">
        <w:rPr>
          <w:sz w:val="22"/>
          <w:szCs w:val="22"/>
        </w:rPr>
        <w:t>tumora līzes</w:t>
      </w:r>
      <w:r w:rsidRPr="007E6D6B">
        <w:rPr>
          <w:sz w:val="22"/>
          <w:szCs w:val="22"/>
        </w:rPr>
        <w:t xml:space="preserve"> sindroma gadījum</w:t>
      </w:r>
      <w:r w:rsidR="00586612" w:rsidRPr="007E6D6B">
        <w:rPr>
          <w:sz w:val="22"/>
          <w:szCs w:val="22"/>
        </w:rPr>
        <w:t>ā</w:t>
      </w:r>
      <w:r w:rsidRPr="007E6D6B">
        <w:rPr>
          <w:sz w:val="22"/>
          <w:szCs w:val="22"/>
        </w:rPr>
        <w:t xml:space="preserve"> ir vērtēta pētījumā FLORENCE (FLO-01). Tika novērots, ka salīdzinājumā ar allopurinolu febuksostats urātu līmeni pazemina iedarbīgāk un straujāk.</w:t>
      </w:r>
    </w:p>
    <w:p w14:paraId="2826AE55" w14:textId="77777777" w:rsidR="004612E5" w:rsidRPr="007E6D6B" w:rsidRDefault="004612E5" w:rsidP="007E6D6B">
      <w:pPr>
        <w:rPr>
          <w:sz w:val="22"/>
          <w:szCs w:val="22"/>
        </w:rPr>
      </w:pPr>
      <w:r w:rsidRPr="007E6D6B">
        <w:rPr>
          <w:sz w:val="22"/>
          <w:szCs w:val="22"/>
        </w:rPr>
        <w:t>Pētījums FLORENCE bija 1:1 randomizēts</w:t>
      </w:r>
      <w:r w:rsidR="00586612" w:rsidRPr="007E6D6B">
        <w:rPr>
          <w:sz w:val="22"/>
          <w:szCs w:val="22"/>
        </w:rPr>
        <w:t>,</w:t>
      </w:r>
      <w:r w:rsidRPr="007E6D6B">
        <w:rPr>
          <w:sz w:val="22"/>
          <w:szCs w:val="22"/>
        </w:rPr>
        <w:t xml:space="preserve"> dubultmaskēts</w:t>
      </w:r>
      <w:r w:rsidR="00586612" w:rsidRPr="007E6D6B">
        <w:rPr>
          <w:sz w:val="22"/>
          <w:szCs w:val="22"/>
        </w:rPr>
        <w:t>,</w:t>
      </w:r>
      <w:r w:rsidRPr="007E6D6B">
        <w:rPr>
          <w:sz w:val="22"/>
          <w:szCs w:val="22"/>
        </w:rPr>
        <w:t xml:space="preserve"> pivotāls 3. fāzes pētījums, lai salīdzinātu </w:t>
      </w:r>
      <w:r w:rsidR="00586612" w:rsidRPr="007E6D6B">
        <w:rPr>
          <w:sz w:val="22"/>
          <w:szCs w:val="22"/>
        </w:rPr>
        <w:t xml:space="preserve">febuksostata </w:t>
      </w:r>
      <w:r w:rsidRPr="007E6D6B">
        <w:rPr>
          <w:sz w:val="22"/>
          <w:szCs w:val="22"/>
        </w:rPr>
        <w:t xml:space="preserve">120 mg devu lietošanu vienreiz dienā un </w:t>
      </w:r>
      <w:r w:rsidR="00586612" w:rsidRPr="007E6D6B">
        <w:rPr>
          <w:sz w:val="22"/>
          <w:szCs w:val="22"/>
        </w:rPr>
        <w:t xml:space="preserve">allopurinola </w:t>
      </w:r>
      <w:r w:rsidRPr="007E6D6B">
        <w:rPr>
          <w:sz w:val="22"/>
          <w:szCs w:val="22"/>
        </w:rPr>
        <w:t xml:space="preserve">200–600 mg dienas devu lietošanu (allopurinola vidējā dienas deva ± standartnovirze bija 349,7 ± 112,90 mg), lai kontrolētu urīnskābes līmeni serumā. Piemērotajiem pacientiem bija </w:t>
      </w:r>
      <w:r w:rsidRPr="007E6D6B">
        <w:rPr>
          <w:sz w:val="22"/>
          <w:szCs w:val="22"/>
        </w:rPr>
        <w:lastRenderedPageBreak/>
        <w:t xml:space="preserve">jābūt allopurinola terapijas kandidātiem vai arī viņi nedrīkstēja būt saņēmuši rasburikāzi. </w:t>
      </w:r>
      <w:r w:rsidR="00586612" w:rsidRPr="007E6D6B">
        <w:rPr>
          <w:sz w:val="22"/>
          <w:szCs w:val="22"/>
        </w:rPr>
        <w:t>Primārie mērķa kritēriji</w:t>
      </w:r>
      <w:r w:rsidRPr="007E6D6B">
        <w:rPr>
          <w:sz w:val="22"/>
          <w:szCs w:val="22"/>
        </w:rPr>
        <w:t xml:space="preserve"> bija serumā esošās urīnskābes laukums zem līknes (AUC sUA</w:t>
      </w:r>
      <w:r w:rsidRPr="00BF7B59">
        <w:rPr>
          <w:sz w:val="22"/>
          <w:szCs w:val="22"/>
          <w:vertAlign w:val="subscript"/>
        </w:rPr>
        <w:t>1–8</w:t>
      </w:r>
      <w:r w:rsidRPr="007E6D6B">
        <w:rPr>
          <w:sz w:val="22"/>
          <w:szCs w:val="22"/>
        </w:rPr>
        <w:t>) un serumā esošā kreatinīna līmeņa pārmaiņas pētījuma 1–8. dienā.</w:t>
      </w:r>
    </w:p>
    <w:p w14:paraId="6EFAA8AD" w14:textId="2D4EBEAD" w:rsidR="004612E5" w:rsidRDefault="004612E5" w:rsidP="007E6D6B">
      <w:pPr>
        <w:rPr>
          <w:sz w:val="22"/>
          <w:szCs w:val="22"/>
        </w:rPr>
      </w:pPr>
      <w:r w:rsidRPr="007E6D6B">
        <w:rPr>
          <w:sz w:val="22"/>
          <w:szCs w:val="22"/>
        </w:rPr>
        <w:t xml:space="preserve">Kopā tika iekļauti 346 pacienti ar ļaundabīgām hematoloģiskām slimībām, kuri saņēma ķīmijterapiju un </w:t>
      </w:r>
      <w:r w:rsidR="00B07C8E" w:rsidRPr="007E6D6B">
        <w:rPr>
          <w:sz w:val="22"/>
          <w:szCs w:val="22"/>
        </w:rPr>
        <w:t>kuriem bija mērens vai liels tumora līzes sindroma risks</w:t>
      </w:r>
      <w:r w:rsidRPr="007E6D6B">
        <w:rPr>
          <w:sz w:val="22"/>
          <w:szCs w:val="22"/>
        </w:rPr>
        <w:t>. Lietojot febuksostatu, AUC sUA1–8 vidējā vērtība bija ievērojami mazāka (514,0 ± 225,71 </w:t>
      </w:r>
      <w:r w:rsidR="00B07C8E" w:rsidRPr="007E6D6B">
        <w:rPr>
          <w:sz w:val="22"/>
          <w:szCs w:val="22"/>
        </w:rPr>
        <w:t>salīdzinājumā ar</w:t>
      </w:r>
      <w:r w:rsidRPr="007E6D6B">
        <w:rPr>
          <w:sz w:val="22"/>
          <w:szCs w:val="22"/>
        </w:rPr>
        <w:t xml:space="preserve"> 708,0 ± 234,42; mazāko kvadrātu vidējā atšķirība –196,794; 95 % ticamības intervālā –238,600 līdz –154,988; p &lt; 0,0001), turklāt febuksostata grupā jau pēc terapijas 24. stundas un jebkurā laikā arī vēlāk</w:t>
      </w:r>
      <w:r w:rsidR="00B07C8E" w:rsidRPr="007E6D6B">
        <w:rPr>
          <w:sz w:val="22"/>
          <w:szCs w:val="22"/>
        </w:rPr>
        <w:t xml:space="preserve"> vidējais</w:t>
      </w:r>
      <w:r w:rsidRPr="007E6D6B">
        <w:rPr>
          <w:sz w:val="22"/>
          <w:szCs w:val="22"/>
        </w:rPr>
        <w:t xml:space="preserve"> urīnskābes līmenis serumā bija ievērojami zemāks. Febuksostata un allopurinola grupā netika novērotas nozīmīgas serumā esošā kreatinīna </w:t>
      </w:r>
      <w:r w:rsidR="00B07C8E" w:rsidRPr="007E6D6B">
        <w:rPr>
          <w:sz w:val="22"/>
          <w:szCs w:val="22"/>
        </w:rPr>
        <w:t xml:space="preserve">vidējā </w:t>
      </w:r>
      <w:r w:rsidRPr="007E6D6B">
        <w:rPr>
          <w:sz w:val="22"/>
          <w:szCs w:val="22"/>
        </w:rPr>
        <w:t>līmeņa % pārmaiņas (attiecīgi –0,83 ± 26,98 </w:t>
      </w:r>
      <w:r w:rsidR="00B07C8E" w:rsidRPr="007E6D6B">
        <w:rPr>
          <w:sz w:val="22"/>
          <w:szCs w:val="22"/>
        </w:rPr>
        <w:t>salīdzinājumā ar</w:t>
      </w:r>
      <w:r w:rsidRPr="007E6D6B">
        <w:rPr>
          <w:sz w:val="22"/>
          <w:szCs w:val="22"/>
        </w:rPr>
        <w:t xml:space="preserve"> –4,92 ± 16,70; mazāko kvadrātu vidējā atšķirība 4,0970; 95 % ticamības intervālā –0,6467 līdz 8</w:t>
      </w:r>
      <w:r w:rsidR="00B07C8E" w:rsidRPr="007E6D6B">
        <w:rPr>
          <w:sz w:val="22"/>
          <w:szCs w:val="22"/>
        </w:rPr>
        <w:t>,8406; p =</w:t>
      </w:r>
      <w:r w:rsidRPr="007E6D6B">
        <w:rPr>
          <w:sz w:val="22"/>
          <w:szCs w:val="22"/>
        </w:rPr>
        <w:t xml:space="preserve"> 0,0903). Saistībā ar sekundārajiem </w:t>
      </w:r>
      <w:r w:rsidR="00B07C8E" w:rsidRPr="007E6D6B">
        <w:rPr>
          <w:sz w:val="22"/>
          <w:szCs w:val="22"/>
        </w:rPr>
        <w:t>mērķa</w:t>
      </w:r>
      <w:r w:rsidRPr="007E6D6B">
        <w:rPr>
          <w:sz w:val="22"/>
          <w:szCs w:val="22"/>
        </w:rPr>
        <w:t xml:space="preserve"> kritērijiem febuksostata un allopurinola grupās netika novērotas būtiskas laboratoriski noteikta TLS sastopamības atšķirības (bija attiecīgi 8,1 </w:t>
      </w:r>
      <w:r w:rsidR="00B07C8E" w:rsidRPr="007E6D6B">
        <w:rPr>
          <w:sz w:val="22"/>
          <w:szCs w:val="22"/>
        </w:rPr>
        <w:t xml:space="preserve">% </w:t>
      </w:r>
      <w:r w:rsidRPr="007E6D6B">
        <w:rPr>
          <w:sz w:val="22"/>
          <w:szCs w:val="22"/>
        </w:rPr>
        <w:t>un 9,2 % gadījumu), relatīvais risks – 0,875 (95 % ticamības intervālā 0,4408–1,7369; p = 0,8488), ne arī klīniska TLS sastopamības atšķirības (bija attiecīgi 1,7 </w:t>
      </w:r>
      <w:r w:rsidR="00B07C8E" w:rsidRPr="007E6D6B">
        <w:rPr>
          <w:sz w:val="22"/>
          <w:szCs w:val="22"/>
        </w:rPr>
        <w:t xml:space="preserve">% </w:t>
      </w:r>
      <w:r w:rsidRPr="007E6D6B">
        <w:rPr>
          <w:sz w:val="22"/>
          <w:szCs w:val="22"/>
        </w:rPr>
        <w:t>un 1,2 % gadījumu), relatīvais risks – 0,994 (95 % ticamības intervālā 0,9691–1,0199; p = 1,0000). Febuksostata un allopurinola grupā kopējā zāļu izraisīto pazīmju un simptomu un nevēlamo blakusparādību sastopamība bija attiecīgi 67,6 </w:t>
      </w:r>
      <w:r w:rsidR="00B07C8E" w:rsidRPr="007E6D6B">
        <w:rPr>
          <w:sz w:val="22"/>
          <w:szCs w:val="22"/>
        </w:rPr>
        <w:t>% salīdzinājumā ar</w:t>
      </w:r>
      <w:r w:rsidRPr="007E6D6B">
        <w:rPr>
          <w:sz w:val="22"/>
          <w:szCs w:val="22"/>
        </w:rPr>
        <w:t xml:space="preserve"> 64,7 % un 6,4 </w:t>
      </w:r>
      <w:r w:rsidR="00B07C8E" w:rsidRPr="007E6D6B">
        <w:rPr>
          <w:sz w:val="22"/>
          <w:szCs w:val="22"/>
        </w:rPr>
        <w:t>% salīdzinājumā</w:t>
      </w:r>
      <w:r w:rsidRPr="007E6D6B">
        <w:rPr>
          <w:sz w:val="22"/>
          <w:szCs w:val="22"/>
        </w:rPr>
        <w:t xml:space="preserve"> 6,4 % gadījumu. Pētījumā FLORENCE tika novērots, ka salīdzinājumā ar allopurinolu febuksostats pacientiem, </w:t>
      </w:r>
      <w:r w:rsidR="00B07C8E" w:rsidRPr="007E6D6B">
        <w:rPr>
          <w:sz w:val="22"/>
          <w:szCs w:val="22"/>
        </w:rPr>
        <w:t>kuriem</w:t>
      </w:r>
      <w:r w:rsidRPr="007E6D6B">
        <w:rPr>
          <w:sz w:val="22"/>
          <w:szCs w:val="22"/>
        </w:rPr>
        <w:t xml:space="preserve"> bija nozīmētas šīs zāles, palīdzēja labāk kontrolēt urīnskābes līmeni serumā. Dati par febuksostata un rasburikāzes salīdzināšanas rezultātiem pašlaik nav pieejami. Nav noteikta febuksostata efektivitāte un drošums pacientiem ar akūtu smagu TLS, piemēram, pacientiem, </w:t>
      </w:r>
      <w:r w:rsidR="00B07C8E" w:rsidRPr="007E6D6B">
        <w:rPr>
          <w:sz w:val="22"/>
          <w:szCs w:val="22"/>
        </w:rPr>
        <w:t>kuri</w:t>
      </w:r>
      <w:r w:rsidRPr="007E6D6B">
        <w:rPr>
          <w:sz w:val="22"/>
          <w:szCs w:val="22"/>
        </w:rPr>
        <w:t xml:space="preserve"> nesekmīgi ārstēti ar citām urātu līmeni pazeminošām zālēm.</w:t>
      </w:r>
    </w:p>
    <w:p w14:paraId="40F5AB58" w14:textId="6886DCC5" w:rsidR="009171B6" w:rsidRDefault="009171B6" w:rsidP="007E6D6B">
      <w:pPr>
        <w:rPr>
          <w:sz w:val="22"/>
          <w:szCs w:val="22"/>
        </w:rPr>
      </w:pPr>
    </w:p>
    <w:p w14:paraId="052F5B56" w14:textId="77777777" w:rsidR="009171B6" w:rsidRPr="00F91656" w:rsidRDefault="009171B6" w:rsidP="009171B6">
      <w:pPr>
        <w:rPr>
          <w:i/>
          <w:sz w:val="22"/>
          <w:szCs w:val="22"/>
        </w:rPr>
      </w:pPr>
      <w:r w:rsidRPr="00F91656">
        <w:rPr>
          <w:i/>
          <w:sz w:val="22"/>
          <w:szCs w:val="22"/>
        </w:rPr>
        <w:t>Pēcreģistrācijas ilgtermiņa pētījumi</w:t>
      </w:r>
    </w:p>
    <w:p w14:paraId="04CFB622" w14:textId="77777777" w:rsidR="009171B6" w:rsidRPr="009171B6" w:rsidRDefault="009171B6" w:rsidP="009171B6">
      <w:pPr>
        <w:rPr>
          <w:sz w:val="22"/>
          <w:szCs w:val="22"/>
        </w:rPr>
      </w:pPr>
      <w:r w:rsidRPr="009171B6">
        <w:rPr>
          <w:sz w:val="22"/>
          <w:szCs w:val="22"/>
        </w:rPr>
        <w:t>Pētījums CARES bija daudzcentru, randomizēts, dubultmaskēts, vismaz līdzvērtīgas</w:t>
      </w:r>
    </w:p>
    <w:p w14:paraId="2F8AD932" w14:textId="77777777" w:rsidR="009171B6" w:rsidRPr="009171B6" w:rsidRDefault="009171B6" w:rsidP="009171B6">
      <w:pPr>
        <w:rPr>
          <w:sz w:val="22"/>
          <w:szCs w:val="22"/>
        </w:rPr>
      </w:pPr>
      <w:r w:rsidRPr="009171B6">
        <w:rPr>
          <w:sz w:val="22"/>
          <w:szCs w:val="22"/>
        </w:rPr>
        <w:t>efektivitātes pētījums, kurā salīdzināja KV iznākumus, lietojot febuksostatu un allopurinolu</w:t>
      </w:r>
    </w:p>
    <w:p w14:paraId="7CBB1865" w14:textId="77777777" w:rsidR="009171B6" w:rsidRPr="009171B6" w:rsidRDefault="009171B6" w:rsidP="009171B6">
      <w:pPr>
        <w:rPr>
          <w:sz w:val="22"/>
          <w:szCs w:val="22"/>
        </w:rPr>
      </w:pPr>
      <w:r w:rsidRPr="009171B6">
        <w:rPr>
          <w:sz w:val="22"/>
          <w:szCs w:val="22"/>
        </w:rPr>
        <w:t>podagras slimniekiem, kuriem anamnēzē bija kāda no nozīmīgām KV slimībām, tai skaitā MI,</w:t>
      </w:r>
    </w:p>
    <w:p w14:paraId="30A3D49A" w14:textId="77777777" w:rsidR="009171B6" w:rsidRPr="009171B6" w:rsidRDefault="009171B6" w:rsidP="009171B6">
      <w:pPr>
        <w:rPr>
          <w:sz w:val="22"/>
          <w:szCs w:val="22"/>
        </w:rPr>
      </w:pPr>
      <w:r w:rsidRPr="009171B6">
        <w:rPr>
          <w:sz w:val="22"/>
          <w:szCs w:val="22"/>
        </w:rPr>
        <w:t>hospitalizācija nestabilas stenokardijas dēļ, koronāras vai cerebrālas revaskularizācijas</w:t>
      </w:r>
    </w:p>
    <w:p w14:paraId="181FDFCE" w14:textId="77777777" w:rsidR="009171B6" w:rsidRPr="009171B6" w:rsidRDefault="009171B6" w:rsidP="009171B6">
      <w:pPr>
        <w:rPr>
          <w:sz w:val="22"/>
          <w:szCs w:val="22"/>
        </w:rPr>
      </w:pPr>
      <w:r w:rsidRPr="009171B6">
        <w:rPr>
          <w:sz w:val="22"/>
          <w:szCs w:val="22"/>
        </w:rPr>
        <w:t>procedūra, insults, pārejoša išēmijas lēkme ar hospitalizāciju, perifēro asinsvadu slimība vai</w:t>
      </w:r>
    </w:p>
    <w:p w14:paraId="283DAE8B" w14:textId="150AA5B4" w:rsidR="009171B6" w:rsidRPr="009171B6" w:rsidRDefault="009171B6" w:rsidP="009171B6">
      <w:pPr>
        <w:rPr>
          <w:sz w:val="22"/>
          <w:szCs w:val="22"/>
        </w:rPr>
      </w:pPr>
      <w:r w:rsidRPr="009171B6">
        <w:rPr>
          <w:sz w:val="22"/>
          <w:szCs w:val="22"/>
        </w:rPr>
        <w:t xml:space="preserve">cukura diabēts ar pierādītu mikrovaskulāru vai makrovaskulāru </w:t>
      </w:r>
      <w:r>
        <w:rPr>
          <w:sz w:val="22"/>
          <w:szCs w:val="22"/>
        </w:rPr>
        <w:t xml:space="preserve">slimību. Lai panāktu sUS līmeni </w:t>
      </w:r>
      <w:r w:rsidRPr="009171B6">
        <w:rPr>
          <w:sz w:val="22"/>
          <w:szCs w:val="22"/>
        </w:rPr>
        <w:t>zem 6 mg/dl, febuksostata deva titrēta no 40 mg līdz 80 mg (neatkarīgi no nieru darbības</w:t>
      </w:r>
      <w:r>
        <w:rPr>
          <w:sz w:val="22"/>
          <w:szCs w:val="22"/>
        </w:rPr>
        <w:t xml:space="preserve"> </w:t>
      </w:r>
      <w:r w:rsidRPr="009171B6">
        <w:rPr>
          <w:sz w:val="22"/>
          <w:szCs w:val="22"/>
        </w:rPr>
        <w:t>rādītājiem), un allopurinola deva, palielinot par 100 mg, titrēta no 300 līdz 600 mg pacientiem</w:t>
      </w:r>
      <w:r>
        <w:rPr>
          <w:sz w:val="22"/>
          <w:szCs w:val="22"/>
        </w:rPr>
        <w:t xml:space="preserve"> </w:t>
      </w:r>
      <w:r w:rsidRPr="009171B6">
        <w:rPr>
          <w:sz w:val="22"/>
          <w:szCs w:val="22"/>
        </w:rPr>
        <w:t>ar normāliem nieru darbības rādītājiem vai viegliem nieru darbības traucējumiem un no 200 līdz</w:t>
      </w:r>
      <w:r>
        <w:rPr>
          <w:sz w:val="22"/>
          <w:szCs w:val="22"/>
        </w:rPr>
        <w:t xml:space="preserve"> </w:t>
      </w:r>
      <w:r w:rsidRPr="009171B6">
        <w:rPr>
          <w:sz w:val="22"/>
          <w:szCs w:val="22"/>
        </w:rPr>
        <w:t>400 mg pacientiem ar vidēji smagiem nieru darbības traucējumiem.</w:t>
      </w:r>
    </w:p>
    <w:p w14:paraId="615DCFF4" w14:textId="77777777" w:rsidR="009171B6" w:rsidRPr="009171B6" w:rsidRDefault="009171B6" w:rsidP="009171B6">
      <w:pPr>
        <w:rPr>
          <w:sz w:val="22"/>
          <w:szCs w:val="22"/>
        </w:rPr>
      </w:pPr>
      <w:r w:rsidRPr="009171B6">
        <w:rPr>
          <w:sz w:val="22"/>
          <w:szCs w:val="22"/>
        </w:rPr>
        <w:t>Primārais mērķa kritērijs pētījumā CARES bija laiks līdz pirmajam MACE (Major Adverse</w:t>
      </w:r>
    </w:p>
    <w:p w14:paraId="05052329" w14:textId="69880E7A" w:rsidR="009171B6" w:rsidRPr="009171B6" w:rsidRDefault="009171B6" w:rsidP="009171B6">
      <w:pPr>
        <w:rPr>
          <w:sz w:val="22"/>
          <w:szCs w:val="22"/>
        </w:rPr>
      </w:pPr>
      <w:r w:rsidRPr="009171B6">
        <w:rPr>
          <w:sz w:val="22"/>
          <w:szCs w:val="22"/>
        </w:rPr>
        <w:t>Cardiovascular Event) gadījumam: šajā kombinācijā ietilpst neletāls M</w:t>
      </w:r>
      <w:r>
        <w:rPr>
          <w:sz w:val="22"/>
          <w:szCs w:val="22"/>
        </w:rPr>
        <w:t xml:space="preserve">I, neletāls insults, KV nāve un </w:t>
      </w:r>
      <w:r w:rsidRPr="009171B6">
        <w:rPr>
          <w:sz w:val="22"/>
          <w:szCs w:val="22"/>
        </w:rPr>
        <w:t>nestabila stenokardija ar neatliekamu koronāru revaskularizāciju.</w:t>
      </w:r>
      <w:r w:rsidRPr="009171B6">
        <w:t xml:space="preserve"> </w:t>
      </w:r>
      <w:r w:rsidRPr="009171B6">
        <w:rPr>
          <w:sz w:val="22"/>
          <w:szCs w:val="22"/>
        </w:rPr>
        <w:t>Mērķa kritērijus (primāro un sekundāros) analizēja ārstēt paredzēto pacientu (intention-to-treat, ITT)</w:t>
      </w:r>
    </w:p>
    <w:p w14:paraId="4EE6171C" w14:textId="5F6083A1" w:rsidR="009171B6" w:rsidRPr="009171B6" w:rsidRDefault="009171B6" w:rsidP="009171B6">
      <w:pPr>
        <w:rPr>
          <w:sz w:val="22"/>
          <w:szCs w:val="22"/>
        </w:rPr>
      </w:pPr>
      <w:r w:rsidRPr="009171B6">
        <w:rPr>
          <w:sz w:val="22"/>
          <w:szCs w:val="22"/>
        </w:rPr>
        <w:t>populācijā, un analīzē tika iekļautas visas pētāmās personas, kuras</w:t>
      </w:r>
      <w:r>
        <w:rPr>
          <w:sz w:val="22"/>
          <w:szCs w:val="22"/>
        </w:rPr>
        <w:t xml:space="preserve"> bija randomizētas un saņēmušas </w:t>
      </w:r>
      <w:r w:rsidRPr="009171B6">
        <w:rPr>
          <w:sz w:val="22"/>
          <w:szCs w:val="22"/>
        </w:rPr>
        <w:t>vismaz vienu dubultmaskēto pētījuma zāļu devu.</w:t>
      </w:r>
      <w:r>
        <w:rPr>
          <w:sz w:val="22"/>
          <w:szCs w:val="22"/>
        </w:rPr>
        <w:t xml:space="preserve"> </w:t>
      </w:r>
      <w:r w:rsidRPr="009171B6">
        <w:rPr>
          <w:sz w:val="22"/>
          <w:szCs w:val="22"/>
        </w:rPr>
        <w:t>Kopumā 56,6% pacientu priekšlaicīgi pārtrauca dalību šajā pētī</w:t>
      </w:r>
      <w:r>
        <w:rPr>
          <w:sz w:val="22"/>
          <w:szCs w:val="22"/>
        </w:rPr>
        <w:t xml:space="preserve">jumā, un 45% neieradās uz visām </w:t>
      </w:r>
      <w:r w:rsidRPr="009171B6">
        <w:rPr>
          <w:sz w:val="22"/>
          <w:szCs w:val="22"/>
        </w:rPr>
        <w:t>pētījuma vizītēm.</w:t>
      </w:r>
    </w:p>
    <w:p w14:paraId="020CCEDA" w14:textId="2EAF2C51" w:rsidR="009171B6" w:rsidRPr="009171B6" w:rsidRDefault="009171B6" w:rsidP="009171B6">
      <w:pPr>
        <w:rPr>
          <w:sz w:val="22"/>
          <w:szCs w:val="22"/>
        </w:rPr>
      </w:pPr>
      <w:r w:rsidRPr="009171B6">
        <w:rPr>
          <w:sz w:val="22"/>
          <w:szCs w:val="22"/>
        </w:rPr>
        <w:t>Kopumā novēroja 6190 pacientus, un novērošanas ilguma mediān</w:t>
      </w:r>
      <w:r>
        <w:rPr>
          <w:sz w:val="22"/>
          <w:szCs w:val="22"/>
        </w:rPr>
        <w:t xml:space="preserve">a bija 32 mēneši, savukārt zāļu </w:t>
      </w:r>
      <w:r w:rsidRPr="009171B6">
        <w:rPr>
          <w:sz w:val="22"/>
          <w:szCs w:val="22"/>
        </w:rPr>
        <w:t>iedarbības ilguma mediāna bija 728 dienas pacientiem febuksostata grupā (n = 3098) un 719 dienas</w:t>
      </w:r>
      <w:r>
        <w:rPr>
          <w:sz w:val="22"/>
          <w:szCs w:val="22"/>
        </w:rPr>
        <w:t xml:space="preserve"> </w:t>
      </w:r>
      <w:r w:rsidRPr="009171B6">
        <w:rPr>
          <w:sz w:val="22"/>
          <w:szCs w:val="22"/>
        </w:rPr>
        <w:t>allopurinola grupā (n = 3092).</w:t>
      </w:r>
      <w:r>
        <w:rPr>
          <w:sz w:val="22"/>
          <w:szCs w:val="22"/>
        </w:rPr>
        <w:t xml:space="preserve"> </w:t>
      </w:r>
      <w:r w:rsidRPr="009171B6">
        <w:rPr>
          <w:sz w:val="22"/>
          <w:szCs w:val="22"/>
        </w:rPr>
        <w:t>Primāro MACE mērķa kritēriju ar līdzīgu biežumu konstatēja gan febuksostata, gan allopurinola</w:t>
      </w:r>
      <w:r>
        <w:rPr>
          <w:sz w:val="22"/>
          <w:szCs w:val="22"/>
        </w:rPr>
        <w:t xml:space="preserve"> </w:t>
      </w:r>
      <w:r w:rsidRPr="009171B6">
        <w:rPr>
          <w:sz w:val="22"/>
          <w:szCs w:val="22"/>
        </w:rPr>
        <w:t>grupās (attiecīgi 10,8% un 10,4% pacientu; riska attiecība [RA] 1,03; divpusējais atkārtotais</w:t>
      </w:r>
      <w:r>
        <w:rPr>
          <w:sz w:val="22"/>
          <w:szCs w:val="22"/>
        </w:rPr>
        <w:t xml:space="preserve"> </w:t>
      </w:r>
      <w:r w:rsidRPr="009171B6">
        <w:rPr>
          <w:sz w:val="22"/>
          <w:szCs w:val="22"/>
        </w:rPr>
        <w:t>ticamības intervāls [TI] 0,8</w:t>
      </w:r>
      <w:r w:rsidR="005C1E8C">
        <w:rPr>
          <w:sz w:val="22"/>
          <w:szCs w:val="22"/>
        </w:rPr>
        <w:t>9</w:t>
      </w:r>
      <w:r w:rsidRPr="009171B6">
        <w:rPr>
          <w:sz w:val="22"/>
          <w:szCs w:val="22"/>
        </w:rPr>
        <w:t>–1,2</w:t>
      </w:r>
      <w:r w:rsidR="005C1E8C">
        <w:rPr>
          <w:sz w:val="22"/>
          <w:szCs w:val="22"/>
        </w:rPr>
        <w:t>1</w:t>
      </w:r>
      <w:r w:rsidRPr="009171B6">
        <w:rPr>
          <w:sz w:val="22"/>
          <w:szCs w:val="22"/>
        </w:rPr>
        <w:t>).</w:t>
      </w:r>
      <w:r>
        <w:rPr>
          <w:sz w:val="22"/>
          <w:szCs w:val="22"/>
        </w:rPr>
        <w:t xml:space="preserve"> </w:t>
      </w:r>
      <w:r w:rsidRPr="009171B6">
        <w:rPr>
          <w:sz w:val="22"/>
          <w:szCs w:val="22"/>
        </w:rPr>
        <w:t>Atsevišķu MACE komponentu analīzē KV nāve biežāk bija konstatējama febuksostata nekā</w:t>
      </w:r>
      <w:r>
        <w:rPr>
          <w:sz w:val="22"/>
          <w:szCs w:val="22"/>
        </w:rPr>
        <w:t xml:space="preserve"> </w:t>
      </w:r>
      <w:r w:rsidRPr="009171B6">
        <w:rPr>
          <w:sz w:val="22"/>
          <w:szCs w:val="22"/>
        </w:rPr>
        <w:t>allopurinola grupā (4,3% salīdzinājumā ar 3,2% pacientu; RA 1,34; 95% TI 1,03–1,73). Citu MACE</w:t>
      </w:r>
    </w:p>
    <w:p w14:paraId="406836FE" w14:textId="77777777" w:rsidR="009171B6" w:rsidRPr="009171B6" w:rsidRDefault="009171B6" w:rsidP="009171B6">
      <w:pPr>
        <w:rPr>
          <w:sz w:val="22"/>
          <w:szCs w:val="22"/>
        </w:rPr>
      </w:pPr>
      <w:r w:rsidRPr="009171B6">
        <w:rPr>
          <w:sz w:val="22"/>
          <w:szCs w:val="22"/>
        </w:rPr>
        <w:t>notikumu biežums febuksostata un allopurinola grupā bija līdzīgs; t. i., neletāls MI (3,6%</w:t>
      </w:r>
    </w:p>
    <w:p w14:paraId="18D0737F" w14:textId="107AF1AC" w:rsidR="009171B6" w:rsidRDefault="009171B6" w:rsidP="009171B6">
      <w:pPr>
        <w:rPr>
          <w:sz w:val="22"/>
          <w:szCs w:val="22"/>
        </w:rPr>
      </w:pPr>
      <w:r w:rsidRPr="009171B6">
        <w:rPr>
          <w:sz w:val="22"/>
          <w:szCs w:val="22"/>
        </w:rPr>
        <w:t>salīdzinājumā ar 3,8% pacientu; RA 0,93; 95% TI 0,7</w:t>
      </w:r>
      <w:r>
        <w:rPr>
          <w:sz w:val="22"/>
          <w:szCs w:val="22"/>
        </w:rPr>
        <w:t xml:space="preserve">2–1,21), neletāls insults (2,3% </w:t>
      </w:r>
      <w:r w:rsidRPr="009171B6">
        <w:rPr>
          <w:sz w:val="22"/>
          <w:szCs w:val="22"/>
        </w:rPr>
        <w:t>salīdzinājumā ar</w:t>
      </w:r>
      <w:r>
        <w:rPr>
          <w:sz w:val="22"/>
          <w:szCs w:val="22"/>
        </w:rPr>
        <w:t xml:space="preserve"> </w:t>
      </w:r>
      <w:r w:rsidRPr="009171B6">
        <w:rPr>
          <w:sz w:val="22"/>
          <w:szCs w:val="22"/>
        </w:rPr>
        <w:t xml:space="preserve">2,3% pacientu; RA 1,01; 95% TI 0,73–1,41) un neatliekama </w:t>
      </w:r>
      <w:r w:rsidRPr="009171B6">
        <w:rPr>
          <w:sz w:val="22"/>
          <w:szCs w:val="22"/>
        </w:rPr>
        <w:lastRenderedPageBreak/>
        <w:t>revaskularizācija nestabilas stenokardijas</w:t>
      </w:r>
      <w:r>
        <w:rPr>
          <w:sz w:val="22"/>
          <w:szCs w:val="22"/>
        </w:rPr>
        <w:t xml:space="preserve"> </w:t>
      </w:r>
      <w:r w:rsidRPr="009171B6">
        <w:rPr>
          <w:sz w:val="22"/>
          <w:szCs w:val="22"/>
        </w:rPr>
        <w:t>dēļ (1,6% salīdzinājumā ar 1,8% pacientu; RA 0,86; 95% TI 0,59–1,26). Febuksostata grupā</w:t>
      </w:r>
      <w:r>
        <w:rPr>
          <w:sz w:val="22"/>
          <w:szCs w:val="22"/>
        </w:rPr>
        <w:t xml:space="preserve"> </w:t>
      </w:r>
      <w:r w:rsidRPr="009171B6">
        <w:rPr>
          <w:sz w:val="22"/>
          <w:szCs w:val="22"/>
        </w:rPr>
        <w:t>salīdzinājumā ar allopurinola grupu lielāks bija arī jebkāda cēloņa mirstības rādītājs (7,8%</w:t>
      </w:r>
      <w:r>
        <w:rPr>
          <w:sz w:val="22"/>
          <w:szCs w:val="22"/>
        </w:rPr>
        <w:t xml:space="preserve"> </w:t>
      </w:r>
      <w:r w:rsidRPr="009171B6">
        <w:rPr>
          <w:sz w:val="22"/>
          <w:szCs w:val="22"/>
        </w:rPr>
        <w:t>salīdzinājumā ar 6,4% pacientu; RA 1,22; 95% TI 1,01–1,47), ko galvenokārt noteica lielāks KV</w:t>
      </w:r>
      <w:r>
        <w:rPr>
          <w:sz w:val="22"/>
          <w:szCs w:val="22"/>
        </w:rPr>
        <w:t xml:space="preserve"> </w:t>
      </w:r>
      <w:r w:rsidRPr="009171B6">
        <w:rPr>
          <w:sz w:val="22"/>
          <w:szCs w:val="22"/>
        </w:rPr>
        <w:t>nāves rādītājs šajā grupā (skatīt 4.4. apakšpunktu).</w:t>
      </w:r>
      <w:r>
        <w:rPr>
          <w:sz w:val="22"/>
          <w:szCs w:val="22"/>
        </w:rPr>
        <w:t xml:space="preserve"> </w:t>
      </w:r>
      <w:r w:rsidRPr="009171B6">
        <w:rPr>
          <w:sz w:val="22"/>
          <w:szCs w:val="22"/>
        </w:rPr>
        <w:t>Hospitalizācijas konstatētas sirds mazspējas dēļ, stacionēšanas ar išēmiju nesaistītas aritmijas dēļ,</w:t>
      </w:r>
      <w:r>
        <w:rPr>
          <w:sz w:val="22"/>
          <w:szCs w:val="22"/>
        </w:rPr>
        <w:t xml:space="preserve"> </w:t>
      </w:r>
      <w:r w:rsidRPr="009171B6">
        <w:rPr>
          <w:sz w:val="22"/>
          <w:szCs w:val="22"/>
        </w:rPr>
        <w:t>venozas trombembolijas un hospitalizācijas pārejošu išēmijas lēkmju dēļ rādītāji febuksostata un</w:t>
      </w:r>
      <w:r>
        <w:rPr>
          <w:sz w:val="22"/>
          <w:szCs w:val="22"/>
        </w:rPr>
        <w:t xml:space="preserve"> </w:t>
      </w:r>
      <w:r w:rsidRPr="009171B6">
        <w:rPr>
          <w:sz w:val="22"/>
          <w:szCs w:val="22"/>
        </w:rPr>
        <w:t>allopurinola grupās bija līdzīgi.</w:t>
      </w:r>
    </w:p>
    <w:p w14:paraId="5796186B" w14:textId="34339EE8" w:rsidR="005C1E8C" w:rsidRDefault="005C1E8C" w:rsidP="009171B6">
      <w:pPr>
        <w:rPr>
          <w:sz w:val="22"/>
          <w:szCs w:val="22"/>
        </w:rPr>
      </w:pPr>
    </w:p>
    <w:p w14:paraId="6E2987C5" w14:textId="5B3B2908" w:rsidR="005C1E8C" w:rsidRPr="005C1E8C" w:rsidRDefault="005C1E8C" w:rsidP="005C1E8C">
      <w:pPr>
        <w:rPr>
          <w:sz w:val="22"/>
          <w:szCs w:val="22"/>
        </w:rPr>
      </w:pPr>
      <w:r w:rsidRPr="005C1E8C">
        <w:rPr>
          <w:sz w:val="22"/>
          <w:szCs w:val="22"/>
        </w:rPr>
        <w:t xml:space="preserve">FAST pētījums bija prospektīvs, </w:t>
      </w:r>
      <w:r w:rsidR="001D4502">
        <w:rPr>
          <w:sz w:val="22"/>
          <w:szCs w:val="22"/>
        </w:rPr>
        <w:t>randomizēts</w:t>
      </w:r>
      <w:r w:rsidRPr="005C1E8C">
        <w:rPr>
          <w:sz w:val="22"/>
          <w:szCs w:val="22"/>
        </w:rPr>
        <w:t>, atklāts pētījums ar maskētiem mērķa kritērijiem, kurā</w:t>
      </w:r>
      <w:r>
        <w:rPr>
          <w:sz w:val="22"/>
          <w:szCs w:val="22"/>
        </w:rPr>
        <w:t xml:space="preserve"> </w:t>
      </w:r>
      <w:r w:rsidRPr="005C1E8C">
        <w:rPr>
          <w:sz w:val="22"/>
          <w:szCs w:val="22"/>
        </w:rPr>
        <w:t>salīdzināja febuksostata un allopurinola lietošanas KV drošuma profilu pacientiem ar hronisku</w:t>
      </w:r>
      <w:r>
        <w:rPr>
          <w:sz w:val="22"/>
          <w:szCs w:val="22"/>
        </w:rPr>
        <w:t xml:space="preserve"> </w:t>
      </w:r>
      <w:r w:rsidRPr="005C1E8C">
        <w:rPr>
          <w:sz w:val="22"/>
          <w:szCs w:val="22"/>
        </w:rPr>
        <w:t>hiperurikēmiju (stāvokļos, kad jau izveidojušies urātu izgulsnējumi) un KV riska faktoriem (t. i.,</w:t>
      </w:r>
      <w:r>
        <w:rPr>
          <w:sz w:val="22"/>
          <w:szCs w:val="22"/>
        </w:rPr>
        <w:t xml:space="preserve"> </w:t>
      </w:r>
      <w:r w:rsidRPr="005C1E8C">
        <w:rPr>
          <w:sz w:val="22"/>
          <w:szCs w:val="22"/>
        </w:rPr>
        <w:t>pacientiem no 60 gadu vecuma vai vecākiem ar vismaz vēl vienu citu KV riska faktoru). Atbilstošie</w:t>
      </w:r>
      <w:r>
        <w:rPr>
          <w:sz w:val="22"/>
          <w:szCs w:val="22"/>
        </w:rPr>
        <w:t xml:space="preserve"> </w:t>
      </w:r>
      <w:r w:rsidRPr="005C1E8C">
        <w:rPr>
          <w:sz w:val="22"/>
          <w:szCs w:val="22"/>
        </w:rPr>
        <w:t>pacienti pirms randomizācijas saņēma ārstēšanu ar allopurinolu, un nepieciešamības gadījumā bija</w:t>
      </w:r>
      <w:r>
        <w:rPr>
          <w:sz w:val="22"/>
          <w:szCs w:val="22"/>
        </w:rPr>
        <w:t xml:space="preserve"> </w:t>
      </w:r>
      <w:r w:rsidRPr="005C1E8C">
        <w:rPr>
          <w:sz w:val="22"/>
          <w:szCs w:val="22"/>
        </w:rPr>
        <w:t>jāpielāgo deva saskaņā ar klīnisko slēdzienu, EULAR rekomendācijām un apstiprinātām devām.</w:t>
      </w:r>
      <w:r>
        <w:rPr>
          <w:sz w:val="22"/>
          <w:szCs w:val="22"/>
        </w:rPr>
        <w:t xml:space="preserve"> </w:t>
      </w:r>
      <w:r w:rsidRPr="005C1E8C">
        <w:rPr>
          <w:sz w:val="22"/>
          <w:szCs w:val="22"/>
        </w:rPr>
        <w:t>Allopurinola ievadfāzes beigās pacienti, kuriem sUA līmenis bija &lt;0,36 mmol/l (&lt;6 mg/dl) vai kuri</w:t>
      </w:r>
      <w:r>
        <w:rPr>
          <w:sz w:val="22"/>
          <w:szCs w:val="22"/>
        </w:rPr>
        <w:t xml:space="preserve"> </w:t>
      </w:r>
      <w:r w:rsidRPr="005C1E8C">
        <w:rPr>
          <w:sz w:val="22"/>
          <w:szCs w:val="22"/>
        </w:rPr>
        <w:t xml:space="preserve">saņēma maksimālo panesamo vai maksimālo apstiprināto allopurinola devu, tika </w:t>
      </w:r>
      <w:r w:rsidR="001D4502">
        <w:rPr>
          <w:sz w:val="22"/>
          <w:szCs w:val="22"/>
        </w:rPr>
        <w:t>randomizēti</w:t>
      </w:r>
      <w:r w:rsidRPr="005C1E8C">
        <w:rPr>
          <w:sz w:val="22"/>
          <w:szCs w:val="22"/>
        </w:rPr>
        <w:t xml:space="preserve"> iedalīti</w:t>
      </w:r>
      <w:r>
        <w:rPr>
          <w:sz w:val="22"/>
          <w:szCs w:val="22"/>
        </w:rPr>
        <w:t xml:space="preserve"> </w:t>
      </w:r>
      <w:r w:rsidRPr="005C1E8C">
        <w:rPr>
          <w:sz w:val="22"/>
          <w:szCs w:val="22"/>
        </w:rPr>
        <w:t>1:1 attiecībā saņemt ārstēšanu vai nu ar febuksostatu, vai allopurinolu. FAST pētījuma primārais</w:t>
      </w:r>
      <w:r>
        <w:rPr>
          <w:sz w:val="22"/>
          <w:szCs w:val="22"/>
        </w:rPr>
        <w:t xml:space="preserve"> </w:t>
      </w:r>
      <w:r w:rsidRPr="005C1E8C">
        <w:rPr>
          <w:sz w:val="22"/>
          <w:szCs w:val="22"/>
        </w:rPr>
        <w:t>mērķa kritērijs bija laiks līdz jebkādam pirmajam notikumam, iekļautajam Antitrombocītu Pētnieku</w:t>
      </w:r>
    </w:p>
    <w:p w14:paraId="63BA2704" w14:textId="7943BAE6" w:rsidR="005C1E8C" w:rsidRDefault="005C1E8C" w:rsidP="005C1E8C">
      <w:pPr>
        <w:rPr>
          <w:sz w:val="22"/>
          <w:szCs w:val="22"/>
        </w:rPr>
      </w:pPr>
      <w:r w:rsidRPr="005C1E8C">
        <w:rPr>
          <w:sz w:val="22"/>
          <w:szCs w:val="22"/>
        </w:rPr>
        <w:t>Sadarbības (Antiplatelet Trialists’ Collaborative; APTC) kompleksajā mērķa kritērijā, kas ietvēra i)</w:t>
      </w:r>
      <w:r>
        <w:rPr>
          <w:sz w:val="22"/>
          <w:szCs w:val="22"/>
        </w:rPr>
        <w:t xml:space="preserve"> </w:t>
      </w:r>
      <w:r w:rsidRPr="005C1E8C">
        <w:rPr>
          <w:sz w:val="22"/>
          <w:szCs w:val="22"/>
        </w:rPr>
        <w:t>hospitalizāciju neletāla MI/biomarķieru pozitīva akūta koronāra sindroma (ACS) dēļ; ii) neletālu</w:t>
      </w:r>
      <w:r>
        <w:rPr>
          <w:sz w:val="22"/>
          <w:szCs w:val="22"/>
        </w:rPr>
        <w:t xml:space="preserve"> </w:t>
      </w:r>
      <w:r w:rsidRPr="005C1E8C">
        <w:rPr>
          <w:sz w:val="22"/>
          <w:szCs w:val="22"/>
        </w:rPr>
        <w:t>insultu; iii) nāvi KV notikuma dēļ. Primārās analīzes pamatā bija pieeja ārstēšanas laikā (on-treatment</w:t>
      </w:r>
      <w:r>
        <w:rPr>
          <w:sz w:val="22"/>
          <w:szCs w:val="22"/>
        </w:rPr>
        <w:t xml:space="preserve"> </w:t>
      </w:r>
      <w:r w:rsidRPr="005C1E8C">
        <w:rPr>
          <w:sz w:val="22"/>
          <w:szCs w:val="22"/>
        </w:rPr>
        <w:t>(OT)).</w:t>
      </w:r>
    </w:p>
    <w:p w14:paraId="366602DD" w14:textId="77777777" w:rsidR="005C1E8C" w:rsidRPr="005C1E8C" w:rsidRDefault="005C1E8C" w:rsidP="005C1E8C">
      <w:pPr>
        <w:rPr>
          <w:sz w:val="22"/>
          <w:szCs w:val="22"/>
        </w:rPr>
      </w:pPr>
    </w:p>
    <w:p w14:paraId="7777A110" w14:textId="77777777" w:rsidR="005C1E8C" w:rsidRPr="005C1E8C" w:rsidRDefault="005C1E8C" w:rsidP="005C1E8C">
      <w:pPr>
        <w:rPr>
          <w:sz w:val="22"/>
          <w:szCs w:val="22"/>
        </w:rPr>
      </w:pPr>
      <w:r w:rsidRPr="005C1E8C">
        <w:rPr>
          <w:sz w:val="22"/>
          <w:szCs w:val="22"/>
        </w:rPr>
        <w:t>Kopumā tika randomizēti 6128 pacienti – 3063 saņemt febuksostatu un 3065 allopurinolu.</w:t>
      </w:r>
    </w:p>
    <w:p w14:paraId="51994220" w14:textId="77777777" w:rsidR="005C1E8C" w:rsidRDefault="005C1E8C" w:rsidP="005C1E8C">
      <w:pPr>
        <w:rPr>
          <w:sz w:val="22"/>
          <w:szCs w:val="22"/>
        </w:rPr>
      </w:pPr>
    </w:p>
    <w:p w14:paraId="615C3019" w14:textId="0288B520" w:rsidR="005C1E8C" w:rsidRPr="005C1E8C" w:rsidRDefault="005C1E8C" w:rsidP="005C1E8C">
      <w:pPr>
        <w:rPr>
          <w:sz w:val="22"/>
          <w:szCs w:val="22"/>
        </w:rPr>
      </w:pPr>
      <w:r w:rsidRPr="005C1E8C">
        <w:rPr>
          <w:sz w:val="22"/>
          <w:szCs w:val="22"/>
        </w:rPr>
        <w:t>Primārajā OT analīzē febuksostata lietošana nebija statistiski sliktāka par allopurinola lietošanu</w:t>
      </w:r>
      <w:r>
        <w:rPr>
          <w:sz w:val="22"/>
          <w:szCs w:val="22"/>
        </w:rPr>
        <w:t xml:space="preserve"> </w:t>
      </w:r>
      <w:r w:rsidRPr="005C1E8C">
        <w:rPr>
          <w:sz w:val="22"/>
          <w:szCs w:val="22"/>
        </w:rPr>
        <w:t>primārā mērķa kritērija biežuma ziņā, kas radās 172 pacientiem (1,72/100 pacientgadiem) febuksostata</w:t>
      </w:r>
      <w:r>
        <w:rPr>
          <w:sz w:val="22"/>
          <w:szCs w:val="22"/>
        </w:rPr>
        <w:t xml:space="preserve"> </w:t>
      </w:r>
      <w:r w:rsidRPr="005C1E8C">
        <w:rPr>
          <w:sz w:val="22"/>
          <w:szCs w:val="22"/>
        </w:rPr>
        <w:t>lietošanas gadījumā salīdzinājumā ar 241 pacientu (2,05/100 pacientgadiem) allopurinola lietošanas</w:t>
      </w:r>
      <w:r>
        <w:rPr>
          <w:sz w:val="22"/>
          <w:szCs w:val="22"/>
        </w:rPr>
        <w:t xml:space="preserve"> </w:t>
      </w:r>
      <w:r w:rsidRPr="005C1E8C">
        <w:rPr>
          <w:sz w:val="22"/>
          <w:szCs w:val="22"/>
        </w:rPr>
        <w:t>gadījumā ar koriģētu HR 0,85 (95% TI: 0,70, 1,03), p&lt;0,001. Primārā mērķa kritērija OT analīze</w:t>
      </w:r>
      <w:r>
        <w:rPr>
          <w:sz w:val="22"/>
          <w:szCs w:val="22"/>
        </w:rPr>
        <w:t xml:space="preserve"> </w:t>
      </w:r>
      <w:r w:rsidRPr="005C1E8C">
        <w:rPr>
          <w:sz w:val="22"/>
          <w:szCs w:val="22"/>
        </w:rPr>
        <w:t>pacientu apakšgrupā ar MI, insultu vai ACS anamnēzē neuzrādīja nekādu nozīmīgu atšķirību starp</w:t>
      </w:r>
      <w:r>
        <w:rPr>
          <w:sz w:val="22"/>
          <w:szCs w:val="22"/>
        </w:rPr>
        <w:t xml:space="preserve"> </w:t>
      </w:r>
      <w:r w:rsidRPr="005C1E8C">
        <w:rPr>
          <w:sz w:val="22"/>
          <w:szCs w:val="22"/>
        </w:rPr>
        <w:t>ārstēšanas grupām: bija 65 (9,5%) pacienti ar notikumiem febuksostata grupā un 83 (11,8%) pacienti</w:t>
      </w:r>
      <w:r>
        <w:rPr>
          <w:sz w:val="22"/>
          <w:szCs w:val="22"/>
        </w:rPr>
        <w:t xml:space="preserve"> </w:t>
      </w:r>
      <w:r w:rsidRPr="005C1E8C">
        <w:rPr>
          <w:sz w:val="22"/>
          <w:szCs w:val="22"/>
        </w:rPr>
        <w:t>ar notikumiem allopurinola grupā; koriģētais HR 1,02 (95% TI: 0,74-1,42); p=0,202.</w:t>
      </w:r>
    </w:p>
    <w:p w14:paraId="024E5558" w14:textId="77777777" w:rsidR="005C1E8C" w:rsidRDefault="005C1E8C" w:rsidP="005C1E8C">
      <w:pPr>
        <w:rPr>
          <w:sz w:val="22"/>
          <w:szCs w:val="22"/>
        </w:rPr>
      </w:pPr>
    </w:p>
    <w:p w14:paraId="25970A7D" w14:textId="7F8A93A0" w:rsidR="005C1E8C" w:rsidRPr="005C1E8C" w:rsidRDefault="005C1E8C" w:rsidP="005C1E8C">
      <w:pPr>
        <w:rPr>
          <w:sz w:val="22"/>
          <w:szCs w:val="22"/>
        </w:rPr>
      </w:pPr>
      <w:r w:rsidRPr="005C1E8C">
        <w:rPr>
          <w:sz w:val="22"/>
          <w:szCs w:val="22"/>
        </w:rPr>
        <w:t>Ārstēšana ar febuksostatu nebija saistīta ar biežāku KV nāvi vai jebkāda cēloņa izraisītu nāvi kopumā</w:t>
      </w:r>
      <w:r>
        <w:rPr>
          <w:sz w:val="22"/>
          <w:szCs w:val="22"/>
        </w:rPr>
        <w:t xml:space="preserve"> </w:t>
      </w:r>
      <w:r w:rsidRPr="005C1E8C">
        <w:rPr>
          <w:sz w:val="22"/>
          <w:szCs w:val="22"/>
        </w:rPr>
        <w:t>vai to pacientu apakšgrupā, kuriem sākotnējā anamnēzē bija MI, insults vai ACS. Kopumā</w:t>
      </w:r>
      <w:r>
        <w:rPr>
          <w:sz w:val="22"/>
          <w:szCs w:val="22"/>
        </w:rPr>
        <w:t xml:space="preserve"> </w:t>
      </w:r>
      <w:r w:rsidRPr="005C1E8C">
        <w:rPr>
          <w:sz w:val="22"/>
          <w:szCs w:val="22"/>
        </w:rPr>
        <w:t>febuksostata grupā bija mazāk nāves gadījumu (62 KV nāves gadījumi un 108 jebkāda cēloņa izraisīti</w:t>
      </w:r>
      <w:r>
        <w:rPr>
          <w:sz w:val="22"/>
          <w:szCs w:val="22"/>
        </w:rPr>
        <w:t xml:space="preserve"> </w:t>
      </w:r>
      <w:r w:rsidRPr="005C1E8C">
        <w:rPr>
          <w:sz w:val="22"/>
          <w:szCs w:val="22"/>
        </w:rPr>
        <w:t>nāves gadījumi) nekā allopurinola grupā (82 KV nāves gadījumi un 174 jebkāda cēloņa izraisīti nāves</w:t>
      </w:r>
      <w:r>
        <w:rPr>
          <w:sz w:val="22"/>
          <w:szCs w:val="22"/>
        </w:rPr>
        <w:t xml:space="preserve"> </w:t>
      </w:r>
      <w:r w:rsidRPr="005C1E8C">
        <w:rPr>
          <w:sz w:val="22"/>
          <w:szCs w:val="22"/>
        </w:rPr>
        <w:t>gadījumi).</w:t>
      </w:r>
    </w:p>
    <w:p w14:paraId="58E6AD31" w14:textId="77777777" w:rsidR="005C1E8C" w:rsidRDefault="005C1E8C" w:rsidP="005C1E8C">
      <w:pPr>
        <w:rPr>
          <w:sz w:val="22"/>
          <w:szCs w:val="22"/>
        </w:rPr>
      </w:pPr>
    </w:p>
    <w:p w14:paraId="3B64028C" w14:textId="122CB9F5" w:rsidR="005C1E8C" w:rsidRPr="007E6D6B" w:rsidRDefault="005C1E8C" w:rsidP="005C1E8C">
      <w:pPr>
        <w:rPr>
          <w:sz w:val="22"/>
          <w:szCs w:val="22"/>
        </w:rPr>
      </w:pPr>
      <w:r w:rsidRPr="005C1E8C">
        <w:rPr>
          <w:sz w:val="22"/>
          <w:szCs w:val="22"/>
        </w:rPr>
        <w:t>Ārstēšanas gadījumā ar febuksostatu urīnskābes līmenis pazeminājās vairāk nekā ārstēšanas gadījumā</w:t>
      </w:r>
      <w:r>
        <w:rPr>
          <w:sz w:val="22"/>
          <w:szCs w:val="22"/>
        </w:rPr>
        <w:t xml:space="preserve"> </w:t>
      </w:r>
      <w:r w:rsidRPr="005C1E8C">
        <w:rPr>
          <w:sz w:val="22"/>
          <w:szCs w:val="22"/>
        </w:rPr>
        <w:t>ar allopurinolu.</w:t>
      </w:r>
    </w:p>
    <w:p w14:paraId="2125DEB9" w14:textId="77777777" w:rsidR="004612E5" w:rsidRPr="007E6D6B" w:rsidRDefault="004612E5" w:rsidP="007E6D6B">
      <w:pPr>
        <w:rPr>
          <w:sz w:val="22"/>
          <w:szCs w:val="22"/>
        </w:rPr>
      </w:pPr>
    </w:p>
    <w:p w14:paraId="44DE2C02" w14:textId="77777777" w:rsidR="008D7D6A" w:rsidRPr="00EF2CDA" w:rsidRDefault="008D7D6A" w:rsidP="007E6D6B">
      <w:pPr>
        <w:rPr>
          <w:b/>
          <w:sz w:val="22"/>
        </w:rPr>
      </w:pPr>
      <w:bookmarkStart w:id="12" w:name="_Toc441573745"/>
      <w:r w:rsidRPr="00EF2CDA">
        <w:rPr>
          <w:b/>
          <w:sz w:val="22"/>
        </w:rPr>
        <w:t>5.2.</w:t>
      </w:r>
      <w:r w:rsidRPr="00EF2CDA">
        <w:rPr>
          <w:b/>
          <w:sz w:val="22"/>
        </w:rPr>
        <w:tab/>
        <w:t>Farmakokinētiskās īpašības</w:t>
      </w:r>
      <w:bookmarkEnd w:id="12"/>
    </w:p>
    <w:p w14:paraId="1A4B2989" w14:textId="77777777" w:rsidR="008D7D6A" w:rsidRPr="00337F21" w:rsidRDefault="008D7D6A" w:rsidP="004938F2">
      <w:pPr>
        <w:ind w:firstLine="709"/>
        <w:jc w:val="both"/>
        <w:rPr>
          <w:sz w:val="22"/>
          <w:szCs w:val="22"/>
          <w:u w:val="single"/>
        </w:rPr>
      </w:pPr>
    </w:p>
    <w:p w14:paraId="50853A52" w14:textId="1143F0CD" w:rsidR="00C45882" w:rsidRPr="00337F21" w:rsidRDefault="00C45882" w:rsidP="00E252FD">
      <w:pPr>
        <w:rPr>
          <w:sz w:val="22"/>
          <w:szCs w:val="22"/>
        </w:rPr>
      </w:pPr>
      <w:r w:rsidRPr="00337F21">
        <w:rPr>
          <w:sz w:val="22"/>
          <w:szCs w:val="22"/>
        </w:rPr>
        <w:t>Veseliem brīvprātīgajiem febuksostata maksimālā koncentrācija plazmā (</w:t>
      </w:r>
      <w:r w:rsidR="003D089A">
        <w:rPr>
          <w:sz w:val="22"/>
          <w:szCs w:val="22"/>
        </w:rPr>
        <w:t>c</w:t>
      </w:r>
      <w:r w:rsidRPr="00337F21">
        <w:rPr>
          <w:sz w:val="22"/>
          <w:szCs w:val="22"/>
          <w:vertAlign w:val="subscript"/>
        </w:rPr>
        <w:t>max</w:t>
      </w:r>
      <w:r w:rsidRPr="00337F21">
        <w:rPr>
          <w:sz w:val="22"/>
          <w:szCs w:val="22"/>
        </w:rPr>
        <w:t xml:space="preserve">) un laukums zem koncentrācijas plazmā un laika attiecības līknes (AUC) pēc vienreizēju un atkārtotu 10–120 mg devu lietošanas palielinās proporcionāli devas lielumam. Pēc </w:t>
      </w:r>
      <w:r w:rsidR="00B07C8E" w:rsidRPr="00337F21">
        <w:rPr>
          <w:sz w:val="22"/>
          <w:szCs w:val="22"/>
        </w:rPr>
        <w:t xml:space="preserve">febuksostata </w:t>
      </w:r>
      <w:r w:rsidRPr="00337F21">
        <w:rPr>
          <w:sz w:val="22"/>
          <w:szCs w:val="22"/>
        </w:rPr>
        <w:t xml:space="preserve">120–300 mg devu lietošanas novērojamā AUC palielināšanās ir lielāka nekā proporcionāla devas lielumam. Ik pēc 24 stundām lietojot </w:t>
      </w:r>
      <w:r w:rsidR="00B07C8E" w:rsidRPr="00337F21">
        <w:rPr>
          <w:sz w:val="22"/>
          <w:szCs w:val="22"/>
        </w:rPr>
        <w:t xml:space="preserve">febuksostata </w:t>
      </w:r>
      <w:r w:rsidRPr="00337F21">
        <w:rPr>
          <w:sz w:val="22"/>
          <w:szCs w:val="22"/>
        </w:rPr>
        <w:t xml:space="preserve">10–240 mg devas, būtiska tā uzkrāšanās organismā nav novērojama. Febuksostata </w:t>
      </w:r>
      <w:r w:rsidR="005C1E8C">
        <w:rPr>
          <w:sz w:val="22"/>
          <w:szCs w:val="22"/>
        </w:rPr>
        <w:t>vidējais galīgās</w:t>
      </w:r>
      <w:r w:rsidRPr="00337F21">
        <w:rPr>
          <w:sz w:val="22"/>
          <w:szCs w:val="22"/>
        </w:rPr>
        <w:t xml:space="preserve"> eliminācijas pusperiods (t</w:t>
      </w:r>
      <w:r w:rsidRPr="00337F21">
        <w:rPr>
          <w:sz w:val="22"/>
          <w:szCs w:val="22"/>
          <w:vertAlign w:val="subscript"/>
        </w:rPr>
        <w:t>1/2</w:t>
      </w:r>
      <w:r w:rsidRPr="00337F21">
        <w:rPr>
          <w:sz w:val="22"/>
          <w:szCs w:val="22"/>
        </w:rPr>
        <w:t>) ir aptuveni 5–8 stundas.</w:t>
      </w:r>
    </w:p>
    <w:p w14:paraId="221B358E" w14:textId="77777777" w:rsidR="00C45882" w:rsidRPr="00337F21" w:rsidRDefault="00C45882" w:rsidP="004938F2">
      <w:pPr>
        <w:ind w:firstLine="709"/>
        <w:jc w:val="both"/>
        <w:rPr>
          <w:sz w:val="22"/>
          <w:szCs w:val="22"/>
        </w:rPr>
      </w:pPr>
    </w:p>
    <w:p w14:paraId="08E2534B" w14:textId="77777777" w:rsidR="00C45882" w:rsidRPr="00337F21" w:rsidRDefault="00B07C8E" w:rsidP="00446618">
      <w:pPr>
        <w:jc w:val="both"/>
        <w:rPr>
          <w:sz w:val="22"/>
          <w:szCs w:val="22"/>
        </w:rPr>
      </w:pPr>
      <w:r>
        <w:rPr>
          <w:sz w:val="22"/>
          <w:szCs w:val="22"/>
        </w:rPr>
        <w:lastRenderedPageBreak/>
        <w:t>Populācijas farmakokinētikas/f</w:t>
      </w:r>
      <w:r w:rsidR="00C45882" w:rsidRPr="00337F21">
        <w:rPr>
          <w:sz w:val="22"/>
          <w:szCs w:val="22"/>
        </w:rPr>
        <w:t xml:space="preserve">armakodinamikas analīzes ir </w:t>
      </w:r>
      <w:r>
        <w:rPr>
          <w:sz w:val="22"/>
          <w:szCs w:val="22"/>
        </w:rPr>
        <w:t xml:space="preserve">veiktas </w:t>
      </w:r>
      <w:r w:rsidR="00C45882" w:rsidRPr="00337F21">
        <w:rPr>
          <w:sz w:val="22"/>
          <w:szCs w:val="22"/>
        </w:rPr>
        <w:t xml:space="preserve">211 hiperurikēmijas un podagras slimniekiem, </w:t>
      </w:r>
      <w:r>
        <w:rPr>
          <w:sz w:val="22"/>
          <w:szCs w:val="22"/>
        </w:rPr>
        <w:t>kuri</w:t>
      </w:r>
      <w:r w:rsidR="00C45882" w:rsidRPr="00337F21">
        <w:rPr>
          <w:sz w:val="22"/>
          <w:szCs w:val="22"/>
        </w:rPr>
        <w:t xml:space="preserve"> ārstēti ar vienreiz dienā lietotām </w:t>
      </w:r>
      <w:r w:rsidRPr="00337F21">
        <w:rPr>
          <w:sz w:val="22"/>
          <w:szCs w:val="22"/>
        </w:rPr>
        <w:t xml:space="preserve">febuksostata </w:t>
      </w:r>
      <w:r w:rsidR="00C45882" w:rsidRPr="00337F21">
        <w:rPr>
          <w:sz w:val="22"/>
          <w:szCs w:val="22"/>
        </w:rPr>
        <w:t>40–240 mg devām. Kopumā šo analīžu laikā aprēķinātie febuksostata farmakokinētikas parametri ir līdzīgi tiem, kas novēroti veseliem brīvprātīgajiem, un tas norāda, ka veseli brīvprātīgie ir reprezentatīvi, lai vērtētu febuksostata farmakokinētikas un farmakodinamikas parametrus podagras slimnieku populācijā.</w:t>
      </w:r>
    </w:p>
    <w:p w14:paraId="6DA21B64" w14:textId="77777777" w:rsidR="00C45882" w:rsidRPr="00337F21" w:rsidRDefault="00C45882" w:rsidP="004938F2">
      <w:pPr>
        <w:ind w:firstLine="709"/>
        <w:jc w:val="both"/>
        <w:rPr>
          <w:sz w:val="22"/>
          <w:szCs w:val="22"/>
        </w:rPr>
      </w:pPr>
    </w:p>
    <w:p w14:paraId="7F01BF8A" w14:textId="77777777" w:rsidR="00C45882" w:rsidRPr="00337F21" w:rsidRDefault="00C45882" w:rsidP="00446618">
      <w:pPr>
        <w:jc w:val="both"/>
        <w:rPr>
          <w:i/>
          <w:sz w:val="22"/>
          <w:szCs w:val="22"/>
        </w:rPr>
      </w:pPr>
      <w:r w:rsidRPr="00337F21">
        <w:rPr>
          <w:i/>
          <w:sz w:val="22"/>
          <w:szCs w:val="22"/>
        </w:rPr>
        <w:t>Uzsūkšanās</w:t>
      </w:r>
    </w:p>
    <w:p w14:paraId="011E06D9" w14:textId="630FCC0C" w:rsidR="00C45882" w:rsidRPr="00337F21" w:rsidRDefault="00C45882" w:rsidP="00446618">
      <w:pPr>
        <w:jc w:val="both"/>
        <w:rPr>
          <w:sz w:val="22"/>
          <w:szCs w:val="22"/>
        </w:rPr>
      </w:pPr>
      <w:r w:rsidRPr="00337F21">
        <w:rPr>
          <w:sz w:val="22"/>
          <w:szCs w:val="22"/>
        </w:rPr>
        <w:t>Febuksostats strauji (t</w:t>
      </w:r>
      <w:r w:rsidRPr="00337F21">
        <w:rPr>
          <w:sz w:val="22"/>
          <w:szCs w:val="22"/>
          <w:vertAlign w:val="subscript"/>
        </w:rPr>
        <w:t>max</w:t>
      </w:r>
      <w:r w:rsidR="00B07C8E">
        <w:rPr>
          <w:sz w:val="22"/>
          <w:szCs w:val="22"/>
        </w:rPr>
        <w:t> = 1,0–1,5 h</w:t>
      </w:r>
      <w:r w:rsidRPr="00337F21">
        <w:rPr>
          <w:sz w:val="22"/>
          <w:szCs w:val="22"/>
        </w:rPr>
        <w:t xml:space="preserve">) un efektīvi uzsūcas (vismaz 84 %). Pēc vienreizēju vai atkārtotu 80–120 mg devu perorālas lietošanas vienreiz dienā </w:t>
      </w:r>
      <w:r w:rsidR="003D089A">
        <w:rPr>
          <w:sz w:val="22"/>
          <w:szCs w:val="22"/>
        </w:rPr>
        <w:t>c</w:t>
      </w:r>
      <w:r w:rsidRPr="00337F21">
        <w:rPr>
          <w:sz w:val="22"/>
          <w:szCs w:val="22"/>
          <w:vertAlign w:val="subscript"/>
        </w:rPr>
        <w:t>max</w:t>
      </w:r>
      <w:r w:rsidRPr="00337F21">
        <w:rPr>
          <w:sz w:val="22"/>
          <w:szCs w:val="22"/>
        </w:rPr>
        <w:t> ir attiecīgi aptuveni 2,8–3,2 </w:t>
      </w:r>
      <w:r w:rsidR="00821FBB" w:rsidRPr="00337F21">
        <w:rPr>
          <w:sz w:val="22"/>
          <w:szCs w:val="22"/>
        </w:rPr>
        <w:t xml:space="preserve">µg/ml </w:t>
      </w:r>
      <w:r w:rsidRPr="00337F21">
        <w:rPr>
          <w:sz w:val="22"/>
          <w:szCs w:val="22"/>
        </w:rPr>
        <w:t>un 5,0–5,3 µg/ml. Febuksostata tablešu formas absolūtā biopieejamība nav pētīta.</w:t>
      </w:r>
    </w:p>
    <w:p w14:paraId="77F97417" w14:textId="77777777" w:rsidR="00C45882" w:rsidRPr="00337F21" w:rsidRDefault="00C45882" w:rsidP="004938F2">
      <w:pPr>
        <w:ind w:firstLine="709"/>
        <w:jc w:val="both"/>
        <w:rPr>
          <w:sz w:val="22"/>
          <w:szCs w:val="22"/>
        </w:rPr>
      </w:pPr>
    </w:p>
    <w:p w14:paraId="37E79E94" w14:textId="7013C74A" w:rsidR="00C45882" w:rsidRPr="00337F21" w:rsidRDefault="00C45882" w:rsidP="00446618">
      <w:pPr>
        <w:jc w:val="both"/>
        <w:rPr>
          <w:sz w:val="22"/>
          <w:szCs w:val="22"/>
        </w:rPr>
      </w:pPr>
      <w:r w:rsidRPr="00337F21">
        <w:rPr>
          <w:sz w:val="22"/>
          <w:szCs w:val="22"/>
        </w:rPr>
        <w:t xml:space="preserve">Pēc atkārtotu 80 mg devu lietošanas vienreiz dienā vai vienas 120 mg devas lietošanas kopā ar ļoti treknu ēdienu ir novērota </w:t>
      </w:r>
      <w:r w:rsidR="003D089A">
        <w:rPr>
          <w:sz w:val="22"/>
          <w:szCs w:val="22"/>
        </w:rPr>
        <w:t>c</w:t>
      </w:r>
      <w:r w:rsidRPr="00337F21">
        <w:rPr>
          <w:sz w:val="22"/>
          <w:szCs w:val="22"/>
          <w:vertAlign w:val="subscript"/>
        </w:rPr>
        <w:t>max</w:t>
      </w:r>
      <w:r w:rsidRPr="00337F21">
        <w:rPr>
          <w:sz w:val="22"/>
          <w:szCs w:val="22"/>
        </w:rPr>
        <w:t> </w:t>
      </w:r>
      <w:r w:rsidR="00821FBB">
        <w:rPr>
          <w:sz w:val="22"/>
          <w:szCs w:val="22"/>
        </w:rPr>
        <w:t>pazemināšanās</w:t>
      </w:r>
      <w:r w:rsidRPr="00337F21">
        <w:rPr>
          <w:sz w:val="22"/>
          <w:szCs w:val="22"/>
        </w:rPr>
        <w:t xml:space="preserve"> par attiecīgi 49 </w:t>
      </w:r>
      <w:r w:rsidR="00821FBB">
        <w:rPr>
          <w:sz w:val="22"/>
          <w:szCs w:val="22"/>
        </w:rPr>
        <w:t xml:space="preserve">% </w:t>
      </w:r>
      <w:r w:rsidRPr="00337F21">
        <w:rPr>
          <w:sz w:val="22"/>
          <w:szCs w:val="22"/>
        </w:rPr>
        <w:t>un 38 % un AUC samazināšanās par attiecīgi 18 </w:t>
      </w:r>
      <w:r w:rsidR="00821FBB">
        <w:rPr>
          <w:sz w:val="22"/>
          <w:szCs w:val="22"/>
        </w:rPr>
        <w:t xml:space="preserve">% </w:t>
      </w:r>
      <w:r w:rsidRPr="00337F21">
        <w:rPr>
          <w:sz w:val="22"/>
          <w:szCs w:val="22"/>
        </w:rPr>
        <w:t xml:space="preserve">un 16 %, tomēr pārbaudītajiem 80 mg atkārtotas devas saņēmušajiem pacientiem klīniski nozīmīgas serumā esošās urīnskābes koncentrācijas procentuālās </w:t>
      </w:r>
      <w:r w:rsidR="00821FBB">
        <w:rPr>
          <w:sz w:val="22"/>
          <w:szCs w:val="22"/>
        </w:rPr>
        <w:t>pazemināšanās</w:t>
      </w:r>
      <w:r w:rsidRPr="00337F21">
        <w:rPr>
          <w:sz w:val="22"/>
          <w:szCs w:val="22"/>
        </w:rPr>
        <w:t xml:space="preserve"> pārmaiņas nav novērotas. Tas nozīmē, ka febuksostatu var lietot neatkarīgi no ēdienreizēm.</w:t>
      </w:r>
    </w:p>
    <w:p w14:paraId="4BBB5B52" w14:textId="77777777" w:rsidR="00C45882" w:rsidRPr="00337F21" w:rsidRDefault="00C45882" w:rsidP="004938F2">
      <w:pPr>
        <w:ind w:firstLine="709"/>
        <w:jc w:val="both"/>
        <w:rPr>
          <w:sz w:val="22"/>
          <w:szCs w:val="22"/>
        </w:rPr>
      </w:pPr>
    </w:p>
    <w:p w14:paraId="6DAB4489" w14:textId="77777777" w:rsidR="00C45882" w:rsidRPr="00337F21" w:rsidRDefault="00C45882" w:rsidP="00446618">
      <w:pPr>
        <w:jc w:val="both"/>
        <w:rPr>
          <w:i/>
          <w:sz w:val="22"/>
          <w:szCs w:val="22"/>
        </w:rPr>
      </w:pPr>
      <w:r w:rsidRPr="00337F21">
        <w:rPr>
          <w:i/>
          <w:sz w:val="22"/>
          <w:szCs w:val="22"/>
        </w:rPr>
        <w:t>Izkliede</w:t>
      </w:r>
    </w:p>
    <w:p w14:paraId="5E711D40" w14:textId="77777777" w:rsidR="00C45882" w:rsidRPr="00337F21" w:rsidRDefault="00C45882" w:rsidP="00446618">
      <w:pPr>
        <w:jc w:val="both"/>
        <w:rPr>
          <w:sz w:val="22"/>
          <w:szCs w:val="22"/>
        </w:rPr>
      </w:pPr>
      <w:r w:rsidRPr="00337F21">
        <w:rPr>
          <w:sz w:val="22"/>
          <w:szCs w:val="22"/>
        </w:rPr>
        <w:t>Līdzsvara apstākļos pēc perorālas 10–300 mg devu lietošanas febuksostata šķietamais izkliedes tilpums (V</w:t>
      </w:r>
      <w:r w:rsidRPr="00337F21">
        <w:rPr>
          <w:sz w:val="22"/>
          <w:szCs w:val="22"/>
          <w:vertAlign w:val="subscript"/>
        </w:rPr>
        <w:t>ss</w:t>
      </w:r>
      <w:r w:rsidRPr="00337F21">
        <w:rPr>
          <w:sz w:val="22"/>
          <w:szCs w:val="22"/>
        </w:rPr>
        <w:t>/F) ir 2</w:t>
      </w:r>
      <w:r w:rsidR="00821FBB">
        <w:rPr>
          <w:sz w:val="22"/>
          <w:szCs w:val="22"/>
        </w:rPr>
        <w:t>9</w:t>
      </w:r>
      <w:r w:rsidRPr="00337F21">
        <w:rPr>
          <w:sz w:val="22"/>
          <w:szCs w:val="22"/>
        </w:rPr>
        <w:t>–75 l. Ar plazmas proteīniem (galvenokārt albumīn</w:t>
      </w:r>
      <w:r w:rsidR="00821FBB">
        <w:rPr>
          <w:sz w:val="22"/>
          <w:szCs w:val="22"/>
        </w:rPr>
        <w:t>u</w:t>
      </w:r>
      <w:r w:rsidRPr="00337F21">
        <w:rPr>
          <w:sz w:val="22"/>
          <w:szCs w:val="22"/>
        </w:rPr>
        <w:t>) saistās aptuveni 99,2 % febuksostata, un koncentrācijās, kas tiek sasniegtas pēc 80–120 mg devu lietošanas, šis daudzums saglabājas nemainīgs. Ar plazmas proteīniem saistās aptuveni 82–91 % aktīvo metabolītu.</w:t>
      </w:r>
    </w:p>
    <w:p w14:paraId="347C063A" w14:textId="77777777" w:rsidR="00C45882" w:rsidRPr="00337F21" w:rsidRDefault="00C45882" w:rsidP="004938F2">
      <w:pPr>
        <w:ind w:firstLine="709"/>
        <w:jc w:val="both"/>
        <w:rPr>
          <w:sz w:val="22"/>
          <w:szCs w:val="22"/>
        </w:rPr>
      </w:pPr>
    </w:p>
    <w:p w14:paraId="1507C114" w14:textId="77777777" w:rsidR="00C45882" w:rsidRPr="00337F21" w:rsidRDefault="00C45882" w:rsidP="00446618">
      <w:pPr>
        <w:jc w:val="both"/>
        <w:rPr>
          <w:i/>
          <w:sz w:val="22"/>
          <w:szCs w:val="22"/>
        </w:rPr>
      </w:pPr>
      <w:r w:rsidRPr="00337F21">
        <w:rPr>
          <w:i/>
          <w:sz w:val="22"/>
          <w:szCs w:val="22"/>
        </w:rPr>
        <w:t>Biotransformācija</w:t>
      </w:r>
    </w:p>
    <w:p w14:paraId="6586E638" w14:textId="77777777" w:rsidR="00C45882" w:rsidRPr="00337F21" w:rsidRDefault="00C45882" w:rsidP="00446618">
      <w:pPr>
        <w:jc w:val="both"/>
        <w:rPr>
          <w:sz w:val="22"/>
          <w:szCs w:val="22"/>
        </w:rPr>
      </w:pPr>
      <w:r w:rsidRPr="00337F21">
        <w:rPr>
          <w:sz w:val="22"/>
          <w:szCs w:val="22"/>
        </w:rPr>
        <w:t>Febuksostats plaši metabolizējas, ar uridīn</w:t>
      </w:r>
      <w:r w:rsidR="00821FBB">
        <w:rPr>
          <w:sz w:val="22"/>
          <w:szCs w:val="22"/>
        </w:rPr>
        <w:t xml:space="preserve">a </w:t>
      </w:r>
      <w:r w:rsidRPr="00337F21">
        <w:rPr>
          <w:sz w:val="22"/>
          <w:szCs w:val="22"/>
        </w:rPr>
        <w:t xml:space="preserve">difosfātglikuronoziltransferāzes (UDPGT) enzīmu sistēmas starpniecību konjugējoties, un ar citohroma P450 (CYP) sistēmas starpniecību oksidējoties. Ir identificēti četri farmakoloģiski aktīvi hidroksilmetabolīti, no kuriem trīs </w:t>
      </w:r>
      <w:r w:rsidR="00821FBB">
        <w:rPr>
          <w:sz w:val="22"/>
          <w:szCs w:val="22"/>
        </w:rPr>
        <w:t>konstatējami</w:t>
      </w:r>
      <w:r w:rsidRPr="00337F21">
        <w:rPr>
          <w:sz w:val="22"/>
          <w:szCs w:val="22"/>
        </w:rPr>
        <w:t xml:space="preserve"> cilvēka plazmā. </w:t>
      </w:r>
      <w:r w:rsidRPr="00337F21">
        <w:rPr>
          <w:i/>
          <w:sz w:val="22"/>
          <w:szCs w:val="22"/>
        </w:rPr>
        <w:t>In vitro</w:t>
      </w:r>
      <w:r w:rsidRPr="00337F21">
        <w:rPr>
          <w:sz w:val="22"/>
          <w:szCs w:val="22"/>
        </w:rPr>
        <w:t xml:space="preserve"> notikušos pētījumos ar cilvēka aknu mikrosomām ir novērots, ka ar oksidēto metabolītu veidošanos galvenokārt ir saistīts CYP1A1, CYP1A2, CYP2C8 vai CYP2C9, bet ar febuksostata glikuronīda veidošanos galvenokārt ir saistīts UGT 1A1, 1A8 un 1A9.</w:t>
      </w:r>
    </w:p>
    <w:p w14:paraId="033AD6E7" w14:textId="77777777" w:rsidR="00C45882" w:rsidRPr="00337F21" w:rsidRDefault="00C45882" w:rsidP="004938F2">
      <w:pPr>
        <w:ind w:firstLine="709"/>
        <w:jc w:val="both"/>
        <w:rPr>
          <w:sz w:val="22"/>
          <w:szCs w:val="22"/>
        </w:rPr>
      </w:pPr>
    </w:p>
    <w:p w14:paraId="03530642" w14:textId="77777777" w:rsidR="00C45882" w:rsidRPr="00337F21" w:rsidRDefault="00C45882" w:rsidP="00446618">
      <w:pPr>
        <w:jc w:val="both"/>
        <w:rPr>
          <w:i/>
          <w:sz w:val="22"/>
          <w:szCs w:val="22"/>
        </w:rPr>
      </w:pPr>
      <w:r w:rsidRPr="00337F21">
        <w:rPr>
          <w:i/>
          <w:sz w:val="22"/>
          <w:szCs w:val="22"/>
        </w:rPr>
        <w:t>Eliminācija</w:t>
      </w:r>
    </w:p>
    <w:p w14:paraId="2323B725" w14:textId="77777777" w:rsidR="00C45882" w:rsidRPr="00337F21" w:rsidRDefault="00C45882" w:rsidP="00446618">
      <w:pPr>
        <w:jc w:val="both"/>
        <w:rPr>
          <w:sz w:val="22"/>
          <w:szCs w:val="22"/>
        </w:rPr>
      </w:pPr>
      <w:r w:rsidRPr="00337F21">
        <w:rPr>
          <w:sz w:val="22"/>
          <w:szCs w:val="22"/>
        </w:rPr>
        <w:t xml:space="preserve">Febuksostats eliminējas gan ar nieru, gan aknu starpniecību. Pēc 80 mg ar </w:t>
      </w:r>
      <w:r w:rsidRPr="00337F21">
        <w:rPr>
          <w:sz w:val="22"/>
          <w:szCs w:val="22"/>
          <w:vertAlign w:val="superscript"/>
        </w:rPr>
        <w:t>14</w:t>
      </w:r>
      <w:r w:rsidRPr="00337F21">
        <w:rPr>
          <w:sz w:val="22"/>
          <w:szCs w:val="22"/>
        </w:rPr>
        <w:t>C iezīmēta febuksostata devas lietošanas no urīna tika izdalīti aptuveni 49 % devas – 3 % neizmainīta febuksostata, 30 % aktīvās vielas acilglikuronīda, 13 % pazīstamo oksidēto metabolītu un to konjugātu un 3 % citu, nepazīstamu metabolītu formā. Papildus ekskrēcijai ar urīnu no izkārnījumiem tika izdalīti aptuveni 45 % devas – 12 % neizmainīta febuksostata, 1 % aktīvās vielas acilglikuronīda, 25 % pazīstamo oksidēto metabolītu un to konjugātu un 7 % citu, nepazīstamu metabolītu formā.</w:t>
      </w:r>
    </w:p>
    <w:p w14:paraId="2C35D483" w14:textId="77777777" w:rsidR="00C45882" w:rsidRPr="00337F21" w:rsidRDefault="00C45882" w:rsidP="004938F2">
      <w:pPr>
        <w:ind w:left="709"/>
        <w:jc w:val="both"/>
        <w:rPr>
          <w:sz w:val="22"/>
          <w:szCs w:val="22"/>
        </w:rPr>
      </w:pPr>
    </w:p>
    <w:p w14:paraId="28268221" w14:textId="77777777" w:rsidR="00C45882" w:rsidRPr="00337F21" w:rsidRDefault="00C45882" w:rsidP="00446618">
      <w:pPr>
        <w:jc w:val="both"/>
        <w:rPr>
          <w:i/>
          <w:sz w:val="22"/>
          <w:szCs w:val="22"/>
        </w:rPr>
      </w:pPr>
      <w:r w:rsidRPr="00337F21">
        <w:rPr>
          <w:i/>
          <w:sz w:val="22"/>
          <w:szCs w:val="22"/>
        </w:rPr>
        <w:t>Nieru darbības traucējumi</w:t>
      </w:r>
    </w:p>
    <w:p w14:paraId="685AEBFA" w14:textId="1978CEA2" w:rsidR="00C45882" w:rsidRPr="00337F21" w:rsidRDefault="00C45882" w:rsidP="00446618">
      <w:pPr>
        <w:jc w:val="both"/>
        <w:rPr>
          <w:sz w:val="22"/>
          <w:szCs w:val="22"/>
        </w:rPr>
      </w:pPr>
      <w:r w:rsidRPr="00337F21">
        <w:rPr>
          <w:sz w:val="22"/>
          <w:szCs w:val="22"/>
        </w:rPr>
        <w:t xml:space="preserve">Pēc atkārtotu </w:t>
      </w:r>
      <w:r w:rsidR="009B2F8C" w:rsidRPr="00337F21">
        <w:rPr>
          <w:sz w:val="22"/>
          <w:szCs w:val="22"/>
        </w:rPr>
        <w:t xml:space="preserve">febuksostata </w:t>
      </w:r>
      <w:r w:rsidRPr="00337F21">
        <w:rPr>
          <w:sz w:val="22"/>
          <w:szCs w:val="22"/>
        </w:rPr>
        <w:t xml:space="preserve">80 mg devu lietošanas pacientiem ar viegliem, vidēji smagiem vai smagiem nieru darbības traucējumiem febuksostata </w:t>
      </w:r>
      <w:r w:rsidR="003D089A">
        <w:rPr>
          <w:sz w:val="22"/>
          <w:szCs w:val="22"/>
        </w:rPr>
        <w:t>c</w:t>
      </w:r>
      <w:r w:rsidRPr="00337F21">
        <w:rPr>
          <w:sz w:val="22"/>
          <w:szCs w:val="22"/>
          <w:vertAlign w:val="subscript"/>
        </w:rPr>
        <w:t>max</w:t>
      </w:r>
      <w:r w:rsidRPr="00337F21">
        <w:rPr>
          <w:sz w:val="22"/>
          <w:szCs w:val="22"/>
        </w:rPr>
        <w:t xml:space="preserve"> salīdzinājumā ar personām, </w:t>
      </w:r>
      <w:r w:rsidR="009B2F8C">
        <w:rPr>
          <w:sz w:val="22"/>
          <w:szCs w:val="22"/>
        </w:rPr>
        <w:t>kurām</w:t>
      </w:r>
      <w:r w:rsidRPr="00337F21">
        <w:rPr>
          <w:sz w:val="22"/>
          <w:szCs w:val="22"/>
        </w:rPr>
        <w:t xml:space="preserve"> ir normāla nieru darbība, nebija mainījusies. To pacientu grupā, kuriem ir smagi nieru darbības traucējumi, febuksostata v</w:t>
      </w:r>
      <w:r w:rsidR="009B2F8C">
        <w:rPr>
          <w:sz w:val="22"/>
          <w:szCs w:val="22"/>
        </w:rPr>
        <w:t>idējais kopējais AUC 7,5 μg x h</w:t>
      </w:r>
      <w:r w:rsidRPr="00337F21">
        <w:rPr>
          <w:sz w:val="22"/>
          <w:szCs w:val="22"/>
        </w:rPr>
        <w:t>/ml, kas raksturīgs personām ar normālu nieru darbību, palielinājās aptuveni 1,8 reizes un sasniedza 13,2 μg x </w:t>
      </w:r>
      <w:r w:rsidR="009B2F8C">
        <w:rPr>
          <w:sz w:val="22"/>
          <w:szCs w:val="22"/>
        </w:rPr>
        <w:t>h</w:t>
      </w:r>
      <w:r w:rsidRPr="00337F21">
        <w:rPr>
          <w:sz w:val="22"/>
          <w:szCs w:val="22"/>
        </w:rPr>
        <w:t xml:space="preserve">/ml. Aktīvo metabolītu </w:t>
      </w:r>
      <w:r w:rsidR="003D089A">
        <w:rPr>
          <w:sz w:val="22"/>
          <w:szCs w:val="22"/>
        </w:rPr>
        <w:t>c</w:t>
      </w:r>
      <w:r w:rsidRPr="00337F21">
        <w:rPr>
          <w:sz w:val="22"/>
          <w:szCs w:val="22"/>
          <w:vertAlign w:val="subscript"/>
        </w:rPr>
        <w:t>max</w:t>
      </w:r>
      <w:r w:rsidRPr="00337F21">
        <w:rPr>
          <w:sz w:val="22"/>
          <w:szCs w:val="22"/>
        </w:rPr>
        <w:t> un AUC palielinājās attiecīgi līdz divām un četrām reizēm, tomēr pacientiem ar viegliem vai vidēji smagiem nieru darbības traucējumiem deva nav jāpielāgo.</w:t>
      </w:r>
    </w:p>
    <w:p w14:paraId="031BB44F" w14:textId="77777777" w:rsidR="00C45882" w:rsidRPr="00337F21" w:rsidRDefault="00C45882" w:rsidP="004938F2">
      <w:pPr>
        <w:ind w:left="709"/>
        <w:jc w:val="both"/>
        <w:rPr>
          <w:sz w:val="22"/>
          <w:szCs w:val="22"/>
        </w:rPr>
      </w:pPr>
    </w:p>
    <w:p w14:paraId="58E0F00C" w14:textId="77777777" w:rsidR="00C45882" w:rsidRPr="00337F21" w:rsidRDefault="00C45882" w:rsidP="00446618">
      <w:pPr>
        <w:jc w:val="both"/>
        <w:rPr>
          <w:i/>
          <w:sz w:val="22"/>
          <w:szCs w:val="22"/>
        </w:rPr>
      </w:pPr>
      <w:r w:rsidRPr="00337F21">
        <w:rPr>
          <w:i/>
          <w:sz w:val="22"/>
          <w:szCs w:val="22"/>
        </w:rPr>
        <w:t>Aknu darbības traucējumi</w:t>
      </w:r>
    </w:p>
    <w:p w14:paraId="4865E2CA" w14:textId="4A9BEC20" w:rsidR="00C45882" w:rsidRPr="00337F21" w:rsidRDefault="00C45882" w:rsidP="00446618">
      <w:pPr>
        <w:jc w:val="both"/>
        <w:rPr>
          <w:sz w:val="22"/>
          <w:szCs w:val="22"/>
        </w:rPr>
      </w:pPr>
      <w:r w:rsidRPr="00337F21">
        <w:rPr>
          <w:sz w:val="22"/>
          <w:szCs w:val="22"/>
        </w:rPr>
        <w:lastRenderedPageBreak/>
        <w:t xml:space="preserve">Pēc atkārtotu </w:t>
      </w:r>
      <w:r w:rsidR="009B2F8C" w:rsidRPr="00337F21">
        <w:rPr>
          <w:sz w:val="22"/>
          <w:szCs w:val="22"/>
        </w:rPr>
        <w:t xml:space="preserve">febuksostata </w:t>
      </w:r>
      <w:r w:rsidRPr="00337F21">
        <w:rPr>
          <w:sz w:val="22"/>
          <w:szCs w:val="22"/>
        </w:rPr>
        <w:t>80 mg devu lietošanas pacientiem ar viegliem vai vidēji smagiem aknu darbības traucējumiem (attiecīgi A vai B pakāp</w:t>
      </w:r>
      <w:r w:rsidR="009B2F8C">
        <w:rPr>
          <w:sz w:val="22"/>
          <w:szCs w:val="22"/>
        </w:rPr>
        <w:t>e</w:t>
      </w:r>
      <w:r w:rsidRPr="00337F21">
        <w:rPr>
          <w:sz w:val="22"/>
          <w:szCs w:val="22"/>
        </w:rPr>
        <w:t xml:space="preserve"> pēc </w:t>
      </w:r>
      <w:r w:rsidRPr="00337F21">
        <w:rPr>
          <w:i/>
          <w:sz w:val="22"/>
          <w:szCs w:val="22"/>
        </w:rPr>
        <w:t>Child-Pugh</w:t>
      </w:r>
      <w:r w:rsidRPr="00337F21">
        <w:rPr>
          <w:sz w:val="22"/>
          <w:szCs w:val="22"/>
        </w:rPr>
        <w:t xml:space="preserve"> klasifikācijas) febuksostata un tā metabolītu </w:t>
      </w:r>
      <w:r w:rsidR="003D089A">
        <w:rPr>
          <w:sz w:val="22"/>
          <w:szCs w:val="22"/>
        </w:rPr>
        <w:t>c</w:t>
      </w:r>
      <w:r w:rsidRPr="00337F21">
        <w:rPr>
          <w:sz w:val="22"/>
          <w:szCs w:val="22"/>
          <w:vertAlign w:val="subscript"/>
        </w:rPr>
        <w:t>max</w:t>
      </w:r>
      <w:r w:rsidRPr="00337F21">
        <w:rPr>
          <w:sz w:val="22"/>
          <w:szCs w:val="22"/>
        </w:rPr>
        <w:t xml:space="preserve"> un AUC salīdzinājumā ar personām, </w:t>
      </w:r>
      <w:r w:rsidR="009B2F8C">
        <w:rPr>
          <w:sz w:val="22"/>
          <w:szCs w:val="22"/>
        </w:rPr>
        <w:t>kurām</w:t>
      </w:r>
      <w:r w:rsidRPr="00337F21">
        <w:rPr>
          <w:sz w:val="22"/>
          <w:szCs w:val="22"/>
        </w:rPr>
        <w:t xml:space="preserve"> ir normāla aknu darbība, būtiski nemainījās. Febuksostata lietošana pacientiem ar smagiem aknu</w:t>
      </w:r>
      <w:r w:rsidR="009B2F8C">
        <w:rPr>
          <w:sz w:val="22"/>
          <w:szCs w:val="22"/>
        </w:rPr>
        <w:t xml:space="preserve"> darbības traucējumiem (C pakāpe</w:t>
      </w:r>
      <w:r w:rsidRPr="00337F21">
        <w:rPr>
          <w:sz w:val="22"/>
          <w:szCs w:val="22"/>
        </w:rPr>
        <w:t xml:space="preserve"> pēc </w:t>
      </w:r>
      <w:r w:rsidRPr="00337F21">
        <w:rPr>
          <w:i/>
          <w:sz w:val="22"/>
          <w:szCs w:val="22"/>
        </w:rPr>
        <w:t>Child-Pugh</w:t>
      </w:r>
      <w:r w:rsidRPr="00337F21">
        <w:rPr>
          <w:sz w:val="22"/>
          <w:szCs w:val="22"/>
        </w:rPr>
        <w:t xml:space="preserve"> klasifikācijas) nav pētīta.</w:t>
      </w:r>
    </w:p>
    <w:p w14:paraId="07BA357B" w14:textId="77777777" w:rsidR="00C45882" w:rsidRPr="00337F21" w:rsidRDefault="00C45882" w:rsidP="004938F2">
      <w:pPr>
        <w:ind w:left="709"/>
        <w:jc w:val="both"/>
        <w:rPr>
          <w:sz w:val="22"/>
          <w:szCs w:val="22"/>
        </w:rPr>
      </w:pPr>
    </w:p>
    <w:p w14:paraId="0DA257D9" w14:textId="77777777" w:rsidR="00C45882" w:rsidRPr="00337F21" w:rsidRDefault="00C45882" w:rsidP="00446618">
      <w:pPr>
        <w:jc w:val="both"/>
        <w:rPr>
          <w:i/>
          <w:sz w:val="22"/>
          <w:szCs w:val="22"/>
        </w:rPr>
      </w:pPr>
      <w:r w:rsidRPr="00337F21">
        <w:rPr>
          <w:i/>
          <w:sz w:val="22"/>
          <w:szCs w:val="22"/>
        </w:rPr>
        <w:t>Vecums</w:t>
      </w:r>
    </w:p>
    <w:p w14:paraId="2810E119" w14:textId="77777777" w:rsidR="00C45882" w:rsidRPr="00337F21" w:rsidRDefault="00C45882" w:rsidP="00446618">
      <w:pPr>
        <w:jc w:val="both"/>
        <w:rPr>
          <w:sz w:val="22"/>
          <w:szCs w:val="22"/>
        </w:rPr>
      </w:pPr>
      <w:r w:rsidRPr="00337F21">
        <w:rPr>
          <w:sz w:val="22"/>
          <w:szCs w:val="22"/>
        </w:rPr>
        <w:t>Pēc atkārtotu febuksostata devu lietošanas gados vecākiem pacientiem nav novērotas nozīmīgas febuksostata vai tā metabolītu AUC pārmaiņas (salīdzinājumā ar gados jauniem veseliem brīvprātīgajiem).</w:t>
      </w:r>
    </w:p>
    <w:p w14:paraId="2A983794" w14:textId="77777777" w:rsidR="00C45882" w:rsidRPr="00337F21" w:rsidRDefault="00C45882" w:rsidP="004938F2">
      <w:pPr>
        <w:ind w:left="709"/>
        <w:jc w:val="both"/>
        <w:rPr>
          <w:sz w:val="22"/>
          <w:szCs w:val="22"/>
        </w:rPr>
      </w:pPr>
    </w:p>
    <w:p w14:paraId="2C98E4C9" w14:textId="77777777" w:rsidR="00C45882" w:rsidRPr="00337F21" w:rsidRDefault="00C45882" w:rsidP="00446618">
      <w:pPr>
        <w:jc w:val="both"/>
        <w:rPr>
          <w:i/>
          <w:sz w:val="22"/>
          <w:szCs w:val="22"/>
        </w:rPr>
      </w:pPr>
      <w:r w:rsidRPr="00337F21">
        <w:rPr>
          <w:i/>
          <w:sz w:val="22"/>
          <w:szCs w:val="22"/>
        </w:rPr>
        <w:t>Dzimums</w:t>
      </w:r>
    </w:p>
    <w:p w14:paraId="008DB975" w14:textId="55B09843" w:rsidR="00C45882" w:rsidRPr="00337F21" w:rsidRDefault="00C45882" w:rsidP="00446618">
      <w:pPr>
        <w:jc w:val="both"/>
        <w:rPr>
          <w:sz w:val="22"/>
          <w:szCs w:val="22"/>
          <w:u w:val="single"/>
        </w:rPr>
      </w:pPr>
      <w:r w:rsidRPr="00337F21">
        <w:rPr>
          <w:sz w:val="22"/>
          <w:szCs w:val="22"/>
        </w:rPr>
        <w:t xml:space="preserve">Pēc atkārtotu febuksostata devu perorālas lietošanas sievietēm </w:t>
      </w:r>
      <w:r w:rsidR="003D089A">
        <w:rPr>
          <w:sz w:val="22"/>
          <w:szCs w:val="22"/>
        </w:rPr>
        <w:t>c</w:t>
      </w:r>
      <w:r w:rsidRPr="00337F21">
        <w:rPr>
          <w:sz w:val="22"/>
          <w:szCs w:val="22"/>
          <w:vertAlign w:val="subscript"/>
        </w:rPr>
        <w:t>max</w:t>
      </w:r>
      <w:r w:rsidRPr="00337F21">
        <w:rPr>
          <w:sz w:val="22"/>
          <w:szCs w:val="22"/>
        </w:rPr>
        <w:t> un AUC  bija par attiecīgi 24 </w:t>
      </w:r>
      <w:r w:rsidR="009B2F8C">
        <w:rPr>
          <w:sz w:val="22"/>
          <w:szCs w:val="22"/>
        </w:rPr>
        <w:t xml:space="preserve">% </w:t>
      </w:r>
      <w:r w:rsidRPr="00337F21">
        <w:rPr>
          <w:sz w:val="22"/>
          <w:szCs w:val="22"/>
        </w:rPr>
        <w:t xml:space="preserve">un 12 % lielāks nekā vīriešiem, tomēr pēc ķermeņa masas koriģētās </w:t>
      </w:r>
      <w:r w:rsidR="003D089A">
        <w:rPr>
          <w:sz w:val="22"/>
          <w:szCs w:val="22"/>
        </w:rPr>
        <w:t>c</w:t>
      </w:r>
      <w:r w:rsidRPr="00337F21">
        <w:rPr>
          <w:sz w:val="22"/>
          <w:szCs w:val="22"/>
          <w:vertAlign w:val="subscript"/>
        </w:rPr>
        <w:t>max</w:t>
      </w:r>
      <w:r w:rsidRPr="00337F21">
        <w:rPr>
          <w:sz w:val="22"/>
          <w:szCs w:val="22"/>
        </w:rPr>
        <w:t> un AUC vērtības abu dzimumu personām bija līdzīgas. Dzimuma dēļ deva nav jāpielāgo.</w:t>
      </w:r>
    </w:p>
    <w:p w14:paraId="58106717" w14:textId="77777777" w:rsidR="008D7D6A" w:rsidRPr="00337F21" w:rsidRDefault="008D7D6A" w:rsidP="004938F2">
      <w:pPr>
        <w:ind w:firstLine="709"/>
        <w:jc w:val="both"/>
        <w:rPr>
          <w:sz w:val="22"/>
          <w:szCs w:val="22"/>
          <w:u w:val="single"/>
        </w:rPr>
      </w:pPr>
    </w:p>
    <w:p w14:paraId="084FAFEE" w14:textId="77777777" w:rsidR="008D7D6A" w:rsidRPr="00337F21" w:rsidRDefault="008D7D6A" w:rsidP="004938F2">
      <w:pPr>
        <w:keepNext/>
        <w:jc w:val="both"/>
        <w:outlineLvl w:val="1"/>
        <w:rPr>
          <w:b/>
          <w:sz w:val="22"/>
          <w:szCs w:val="22"/>
        </w:rPr>
      </w:pPr>
      <w:bookmarkStart w:id="13" w:name="_Toc441573746"/>
      <w:r w:rsidRPr="00337F21">
        <w:rPr>
          <w:b/>
          <w:sz w:val="22"/>
          <w:szCs w:val="22"/>
        </w:rPr>
        <w:t>5.3.</w:t>
      </w:r>
      <w:r w:rsidRPr="00337F21">
        <w:rPr>
          <w:b/>
          <w:sz w:val="22"/>
          <w:szCs w:val="22"/>
        </w:rPr>
        <w:tab/>
        <w:t>Preklīniskie dati par drošumu</w:t>
      </w:r>
      <w:bookmarkEnd w:id="13"/>
    </w:p>
    <w:p w14:paraId="741D02D7" w14:textId="77777777" w:rsidR="008D7D6A" w:rsidRPr="00337F21" w:rsidRDefault="008D7D6A" w:rsidP="004938F2">
      <w:pPr>
        <w:ind w:left="720"/>
        <w:jc w:val="both"/>
        <w:rPr>
          <w:sz w:val="22"/>
          <w:szCs w:val="22"/>
        </w:rPr>
      </w:pPr>
    </w:p>
    <w:p w14:paraId="1802F9F4" w14:textId="77777777" w:rsidR="00C45882" w:rsidRDefault="00C45882" w:rsidP="00446618">
      <w:pPr>
        <w:autoSpaceDE w:val="0"/>
        <w:autoSpaceDN w:val="0"/>
        <w:adjustRightInd w:val="0"/>
        <w:jc w:val="both"/>
        <w:rPr>
          <w:color w:val="000000"/>
          <w:sz w:val="22"/>
          <w:szCs w:val="22"/>
        </w:rPr>
      </w:pPr>
      <w:r w:rsidRPr="00337F21">
        <w:rPr>
          <w:color w:val="000000"/>
          <w:sz w:val="22"/>
          <w:szCs w:val="22"/>
        </w:rPr>
        <w:t>Neklīniskajos pētījumos visas parādības galvenokārt tika novērotas, kad iedarbības intensitāte pārsniedza maksimālo iedarbības intensitāti cilvēka organismā.</w:t>
      </w:r>
    </w:p>
    <w:p w14:paraId="4EDE873A" w14:textId="77777777" w:rsidR="00784BAE" w:rsidRDefault="00784BAE" w:rsidP="00446618">
      <w:pPr>
        <w:autoSpaceDE w:val="0"/>
        <w:autoSpaceDN w:val="0"/>
        <w:adjustRightInd w:val="0"/>
        <w:jc w:val="both"/>
        <w:rPr>
          <w:color w:val="000000"/>
          <w:sz w:val="22"/>
          <w:szCs w:val="22"/>
        </w:rPr>
      </w:pPr>
    </w:p>
    <w:p w14:paraId="11D994BA" w14:textId="7D213913" w:rsidR="00784BAE" w:rsidRPr="00133A06" w:rsidRDefault="000B516D" w:rsidP="00784BAE">
      <w:pPr>
        <w:autoSpaceDE w:val="0"/>
        <w:autoSpaceDN w:val="0"/>
        <w:adjustRightInd w:val="0"/>
        <w:rPr>
          <w:color w:val="000000"/>
          <w:sz w:val="22"/>
          <w:szCs w:val="22"/>
          <w:lang w:eastAsia="el-GR"/>
        </w:rPr>
      </w:pPr>
      <w:r w:rsidRPr="00C53139">
        <w:rPr>
          <w:sz w:val="22"/>
          <w:szCs w:val="22"/>
        </w:rPr>
        <w:t>Ar ž</w:t>
      </w:r>
      <w:r w:rsidR="00B10A78" w:rsidRPr="00C53139">
        <w:rPr>
          <w:sz w:val="22"/>
          <w:szCs w:val="22"/>
        </w:rPr>
        <w:t>urkām</w:t>
      </w:r>
      <w:r w:rsidR="00B10A78">
        <w:rPr>
          <w:sz w:val="22"/>
          <w:szCs w:val="22"/>
        </w:rPr>
        <w:t xml:space="preserve"> iegūto datu farmakokinētiskā modelēšana un simulācija liecina, ka, lietojot vienlaicīgi ar febuksostatu, merkaptopurīna/azatioprīna klīniskā deva jāsamazina līdz 20% vai mazāk no iepriekš parakstītās devas, lai izvairītos no iespējamas hematoloģiskas ietekmes (skatīt 4.4. un 4.5. apakšpunktu)</w:t>
      </w:r>
      <w:r w:rsidR="00784BAE" w:rsidRPr="00133A06">
        <w:rPr>
          <w:color w:val="000000"/>
          <w:sz w:val="22"/>
          <w:szCs w:val="22"/>
          <w:lang w:eastAsia="el-GR"/>
        </w:rPr>
        <w:t>.</w:t>
      </w:r>
    </w:p>
    <w:p w14:paraId="453BC541" w14:textId="77777777" w:rsidR="00C45882" w:rsidRPr="00337F21" w:rsidRDefault="00C45882" w:rsidP="00784BAE">
      <w:pPr>
        <w:autoSpaceDE w:val="0"/>
        <w:autoSpaceDN w:val="0"/>
        <w:adjustRightInd w:val="0"/>
        <w:jc w:val="both"/>
        <w:rPr>
          <w:color w:val="000000"/>
          <w:sz w:val="22"/>
          <w:szCs w:val="22"/>
          <w:lang w:eastAsia="el-GR"/>
        </w:rPr>
      </w:pPr>
    </w:p>
    <w:p w14:paraId="210B309F" w14:textId="77777777" w:rsidR="00C45882" w:rsidRPr="00337F21" w:rsidRDefault="00C45882" w:rsidP="00446618">
      <w:pPr>
        <w:autoSpaceDE w:val="0"/>
        <w:autoSpaceDN w:val="0"/>
        <w:adjustRightInd w:val="0"/>
        <w:jc w:val="both"/>
        <w:rPr>
          <w:i/>
          <w:color w:val="000000"/>
          <w:sz w:val="22"/>
          <w:szCs w:val="22"/>
        </w:rPr>
      </w:pPr>
      <w:r w:rsidRPr="00337F21">
        <w:rPr>
          <w:i/>
          <w:color w:val="000000"/>
          <w:sz w:val="22"/>
          <w:szCs w:val="22"/>
        </w:rPr>
        <w:t>Kancerogenitāte, mutagenitāte un fertilitātes traucējumi</w:t>
      </w:r>
    </w:p>
    <w:p w14:paraId="45550DB7" w14:textId="77777777" w:rsidR="00C45882" w:rsidRPr="00337F21" w:rsidRDefault="00C45882" w:rsidP="00446618">
      <w:pPr>
        <w:autoSpaceDE w:val="0"/>
        <w:autoSpaceDN w:val="0"/>
        <w:adjustRightInd w:val="0"/>
        <w:jc w:val="both"/>
        <w:rPr>
          <w:color w:val="000000"/>
          <w:sz w:val="22"/>
          <w:szCs w:val="22"/>
        </w:rPr>
      </w:pPr>
      <w:r w:rsidRPr="00337F21">
        <w:rPr>
          <w:color w:val="000000"/>
          <w:sz w:val="22"/>
          <w:szCs w:val="22"/>
        </w:rPr>
        <w:t xml:space="preserve">Žurku tēviņiem statistiski </w:t>
      </w:r>
      <w:r w:rsidR="009B2F8C">
        <w:rPr>
          <w:color w:val="000000"/>
          <w:sz w:val="22"/>
          <w:szCs w:val="22"/>
        </w:rPr>
        <w:t>ticama</w:t>
      </w:r>
      <w:r w:rsidRPr="00337F21">
        <w:rPr>
          <w:color w:val="000000"/>
          <w:sz w:val="22"/>
          <w:szCs w:val="22"/>
        </w:rPr>
        <w:t xml:space="preserve"> urīnpūšļa audzēju (pārejas šūnu papilomu un karcinomu) sastopamības palielināšanās ir novērota tikai saistībā ar ksantīna akmeņu klātbūtni lielas devas saņēmušo dzīvnieku grupā (šajā grupā febuksostata iedarbības intensitāte bija</w:t>
      </w:r>
      <w:r w:rsidR="009B2F8C">
        <w:rPr>
          <w:color w:val="000000"/>
          <w:sz w:val="22"/>
          <w:szCs w:val="22"/>
        </w:rPr>
        <w:t xml:space="preserve"> aptuveni</w:t>
      </w:r>
      <w:r w:rsidRPr="00337F21">
        <w:rPr>
          <w:color w:val="000000"/>
          <w:sz w:val="22"/>
          <w:szCs w:val="22"/>
        </w:rPr>
        <w:t xml:space="preserve"> 11 reizes lielāka nekā cilvēka organismā). Ne peļu, ne žurku tēviņiem vai mātītēm netika novērota nozīmīga jebkuru citu audzēju formu sastopamības palielināšanās. Tiek uzskatīts, ka minēto parādību iemesls ir sugai specifiskais purīna metabolisms un urīna sastāvs, un ka tām nav nozīmes klīniskajā praksē.</w:t>
      </w:r>
    </w:p>
    <w:p w14:paraId="6AFC0A08" w14:textId="77777777" w:rsidR="00C45882" w:rsidRPr="00337F21" w:rsidRDefault="00C45882" w:rsidP="004938F2">
      <w:pPr>
        <w:autoSpaceDE w:val="0"/>
        <w:autoSpaceDN w:val="0"/>
        <w:adjustRightInd w:val="0"/>
        <w:ind w:left="720"/>
        <w:jc w:val="both"/>
        <w:rPr>
          <w:color w:val="000000"/>
          <w:sz w:val="22"/>
          <w:szCs w:val="22"/>
          <w:lang w:eastAsia="el-GR"/>
        </w:rPr>
      </w:pPr>
    </w:p>
    <w:p w14:paraId="6219CBF7" w14:textId="77777777" w:rsidR="00C45882" w:rsidRPr="00337F21" w:rsidRDefault="00C45882" w:rsidP="00446618">
      <w:pPr>
        <w:autoSpaceDE w:val="0"/>
        <w:autoSpaceDN w:val="0"/>
        <w:adjustRightInd w:val="0"/>
        <w:jc w:val="both"/>
        <w:rPr>
          <w:color w:val="000000"/>
          <w:sz w:val="22"/>
          <w:szCs w:val="22"/>
        </w:rPr>
      </w:pPr>
      <w:r w:rsidRPr="00337F21">
        <w:rPr>
          <w:color w:val="000000"/>
          <w:sz w:val="22"/>
          <w:szCs w:val="22"/>
        </w:rPr>
        <w:t>Genotoksicitātes standarttestos nav atklāta nekāda bioloģiski nozīmīga febuksostata izraisīta genotoksicitāte.</w:t>
      </w:r>
    </w:p>
    <w:p w14:paraId="12B2B4B3" w14:textId="77777777" w:rsidR="00C45882" w:rsidRPr="00337F21" w:rsidRDefault="00C45882" w:rsidP="004938F2">
      <w:pPr>
        <w:autoSpaceDE w:val="0"/>
        <w:autoSpaceDN w:val="0"/>
        <w:adjustRightInd w:val="0"/>
        <w:ind w:left="720"/>
        <w:jc w:val="both"/>
        <w:rPr>
          <w:color w:val="000000"/>
          <w:sz w:val="22"/>
          <w:szCs w:val="22"/>
          <w:lang w:eastAsia="el-GR"/>
        </w:rPr>
      </w:pPr>
    </w:p>
    <w:p w14:paraId="6CCAF511" w14:textId="77777777" w:rsidR="00C45882" w:rsidRPr="00337F21" w:rsidRDefault="00C45882" w:rsidP="00446618">
      <w:pPr>
        <w:autoSpaceDE w:val="0"/>
        <w:autoSpaceDN w:val="0"/>
        <w:adjustRightInd w:val="0"/>
        <w:jc w:val="both"/>
        <w:rPr>
          <w:color w:val="000000"/>
          <w:sz w:val="22"/>
          <w:szCs w:val="22"/>
        </w:rPr>
      </w:pPr>
      <w:r w:rsidRPr="00337F21">
        <w:rPr>
          <w:color w:val="000000"/>
          <w:sz w:val="22"/>
          <w:szCs w:val="22"/>
        </w:rPr>
        <w:t>Ir konstatēts, ka līdz 48 mg/kg lielas febuksostata dienas devas neietekmē žurku tēviņu vai mātīšu fertilitāti vai reproduktivitāti.</w:t>
      </w:r>
    </w:p>
    <w:p w14:paraId="4128764D" w14:textId="77777777" w:rsidR="00C45882" w:rsidRPr="00337F21" w:rsidRDefault="00C45882" w:rsidP="004938F2">
      <w:pPr>
        <w:autoSpaceDE w:val="0"/>
        <w:autoSpaceDN w:val="0"/>
        <w:adjustRightInd w:val="0"/>
        <w:ind w:left="720"/>
        <w:jc w:val="both"/>
        <w:rPr>
          <w:color w:val="000000"/>
          <w:sz w:val="22"/>
          <w:szCs w:val="22"/>
          <w:lang w:eastAsia="el-GR"/>
        </w:rPr>
      </w:pPr>
    </w:p>
    <w:p w14:paraId="484F3BD1" w14:textId="77777777" w:rsidR="008D7D6A" w:rsidRPr="00337F21" w:rsidRDefault="009B2F8C" w:rsidP="00446618">
      <w:pPr>
        <w:autoSpaceDE w:val="0"/>
        <w:autoSpaceDN w:val="0"/>
        <w:adjustRightInd w:val="0"/>
        <w:jc w:val="both"/>
        <w:rPr>
          <w:sz w:val="22"/>
          <w:szCs w:val="22"/>
        </w:rPr>
      </w:pPr>
      <w:r>
        <w:rPr>
          <w:color w:val="000000"/>
          <w:sz w:val="22"/>
          <w:szCs w:val="22"/>
        </w:rPr>
        <w:t>D</w:t>
      </w:r>
      <w:r w:rsidR="00C45882" w:rsidRPr="00337F21">
        <w:rPr>
          <w:color w:val="000000"/>
          <w:sz w:val="22"/>
          <w:szCs w:val="22"/>
        </w:rPr>
        <w:t>atu par febuksostata izraisītiem fertilitātes traucējumiem, teratogenitāti vai kaitējumu auglim</w:t>
      </w:r>
      <w:r>
        <w:rPr>
          <w:color w:val="000000"/>
          <w:sz w:val="22"/>
          <w:szCs w:val="22"/>
        </w:rPr>
        <w:t xml:space="preserve"> nav</w:t>
      </w:r>
      <w:r w:rsidR="00C45882" w:rsidRPr="00337F21">
        <w:rPr>
          <w:color w:val="000000"/>
          <w:sz w:val="22"/>
          <w:szCs w:val="22"/>
        </w:rPr>
        <w:t>. Kad febuksostata iedarbības intensitāte bija aptuveni 4,3 reizes lielāka par iedarbības intensitāti cilvēka organismā, lielās devas toksiski ietekmēja māt</w:t>
      </w:r>
      <w:r>
        <w:rPr>
          <w:color w:val="000000"/>
          <w:sz w:val="22"/>
          <w:szCs w:val="22"/>
        </w:rPr>
        <w:t>īte</w:t>
      </w:r>
      <w:r w:rsidR="00C45882" w:rsidRPr="00337F21">
        <w:rPr>
          <w:color w:val="000000"/>
          <w:sz w:val="22"/>
          <w:szCs w:val="22"/>
        </w:rPr>
        <w:t xml:space="preserve">s organismu, kā arī izraisīja žurku mazuļu atradināšanas indeksa samazināšanos un attīstības palēnināšanos. Teratoloģiskajos pētījumos, kuru laikā grūsnas žurkas saņēma </w:t>
      </w:r>
      <w:r>
        <w:rPr>
          <w:color w:val="000000"/>
          <w:sz w:val="22"/>
          <w:szCs w:val="22"/>
        </w:rPr>
        <w:t>aptuveni</w:t>
      </w:r>
      <w:r w:rsidR="00C45882" w:rsidRPr="00337F21">
        <w:rPr>
          <w:color w:val="000000"/>
          <w:sz w:val="22"/>
          <w:szCs w:val="22"/>
        </w:rPr>
        <w:t xml:space="preserve"> 4,3 reizes, un grūsni truši – aptuveni 13 reižu lielākas devas nekā cilvēki, nekāda teratogēna iedarbība nav konstatēta.</w:t>
      </w:r>
    </w:p>
    <w:p w14:paraId="22B6A495" w14:textId="77777777" w:rsidR="008D7D6A" w:rsidRPr="00337F21" w:rsidRDefault="008D7D6A" w:rsidP="004938F2">
      <w:pPr>
        <w:ind w:left="720"/>
        <w:jc w:val="both"/>
        <w:rPr>
          <w:sz w:val="22"/>
          <w:szCs w:val="22"/>
        </w:rPr>
      </w:pPr>
    </w:p>
    <w:p w14:paraId="53D4B1EF" w14:textId="77777777" w:rsidR="00C45882" w:rsidRPr="00337F21" w:rsidRDefault="00C45882" w:rsidP="004938F2">
      <w:pPr>
        <w:ind w:left="720"/>
        <w:jc w:val="both"/>
        <w:rPr>
          <w:sz w:val="22"/>
          <w:szCs w:val="22"/>
        </w:rPr>
      </w:pPr>
    </w:p>
    <w:p w14:paraId="21BAF472" w14:textId="77777777" w:rsidR="008D7D6A" w:rsidRPr="00337F21" w:rsidRDefault="008D7D6A" w:rsidP="004938F2">
      <w:pPr>
        <w:keepNext/>
        <w:jc w:val="both"/>
        <w:outlineLvl w:val="0"/>
        <w:rPr>
          <w:b/>
          <w:kern w:val="28"/>
          <w:sz w:val="22"/>
          <w:szCs w:val="22"/>
        </w:rPr>
      </w:pPr>
      <w:bookmarkStart w:id="14" w:name="_Toc441573747"/>
      <w:r w:rsidRPr="00337F21">
        <w:rPr>
          <w:b/>
          <w:sz w:val="22"/>
          <w:szCs w:val="22"/>
        </w:rPr>
        <w:t>6.</w:t>
      </w:r>
      <w:r w:rsidRPr="00337F21">
        <w:rPr>
          <w:b/>
          <w:sz w:val="22"/>
          <w:szCs w:val="22"/>
        </w:rPr>
        <w:tab/>
        <w:t>FARMACEITISKĀ INFORMĀCIJA</w:t>
      </w:r>
      <w:bookmarkEnd w:id="14"/>
    </w:p>
    <w:p w14:paraId="1C406BFE" w14:textId="77777777" w:rsidR="008D7D6A" w:rsidRPr="00337F21" w:rsidRDefault="008D7D6A" w:rsidP="004938F2">
      <w:pPr>
        <w:ind w:left="720"/>
        <w:jc w:val="both"/>
        <w:rPr>
          <w:sz w:val="22"/>
          <w:szCs w:val="22"/>
        </w:rPr>
      </w:pPr>
    </w:p>
    <w:p w14:paraId="6E7BBA0D" w14:textId="77777777" w:rsidR="008D7D6A" w:rsidRPr="00337F21" w:rsidRDefault="008D7D6A" w:rsidP="004938F2">
      <w:pPr>
        <w:keepNext/>
        <w:jc w:val="both"/>
        <w:outlineLvl w:val="1"/>
        <w:rPr>
          <w:b/>
          <w:sz w:val="22"/>
          <w:szCs w:val="22"/>
        </w:rPr>
      </w:pPr>
      <w:bookmarkStart w:id="15" w:name="_Toc441573748"/>
      <w:r w:rsidRPr="00337F21">
        <w:rPr>
          <w:b/>
          <w:sz w:val="22"/>
          <w:szCs w:val="22"/>
        </w:rPr>
        <w:t>6.1.</w:t>
      </w:r>
      <w:r w:rsidRPr="00337F21">
        <w:rPr>
          <w:b/>
          <w:sz w:val="22"/>
          <w:szCs w:val="22"/>
        </w:rPr>
        <w:tab/>
        <w:t>Palīgvielu saraksts</w:t>
      </w:r>
      <w:bookmarkEnd w:id="15"/>
    </w:p>
    <w:p w14:paraId="1B9D6934" w14:textId="77777777" w:rsidR="008D7D6A" w:rsidRPr="00337F21" w:rsidRDefault="008D7D6A" w:rsidP="004938F2">
      <w:pPr>
        <w:ind w:left="720"/>
        <w:jc w:val="both"/>
        <w:rPr>
          <w:sz w:val="22"/>
          <w:szCs w:val="22"/>
        </w:rPr>
      </w:pPr>
    </w:p>
    <w:p w14:paraId="00D9B9B3" w14:textId="77777777" w:rsidR="008D7D6A" w:rsidRPr="00337F21" w:rsidRDefault="008D7D6A" w:rsidP="00446618">
      <w:pPr>
        <w:jc w:val="both"/>
        <w:rPr>
          <w:i/>
          <w:sz w:val="22"/>
          <w:szCs w:val="22"/>
        </w:rPr>
      </w:pPr>
      <w:r w:rsidRPr="00337F21">
        <w:rPr>
          <w:i/>
          <w:sz w:val="22"/>
          <w:szCs w:val="22"/>
        </w:rPr>
        <w:lastRenderedPageBreak/>
        <w:t>Tabletes kodols</w:t>
      </w:r>
    </w:p>
    <w:p w14:paraId="3BB5B848" w14:textId="77777777" w:rsidR="008D7D6A" w:rsidRPr="00337F21" w:rsidRDefault="00D26E47" w:rsidP="00446618">
      <w:pPr>
        <w:jc w:val="both"/>
        <w:rPr>
          <w:sz w:val="22"/>
          <w:szCs w:val="22"/>
        </w:rPr>
      </w:pPr>
      <w:r w:rsidRPr="00337F21">
        <w:rPr>
          <w:sz w:val="22"/>
          <w:szCs w:val="22"/>
        </w:rPr>
        <w:t>Laktozes monohidrāts</w:t>
      </w:r>
    </w:p>
    <w:p w14:paraId="456B7B19" w14:textId="1C5FC738" w:rsidR="00D26E47" w:rsidRPr="00337F21" w:rsidRDefault="00D26E47" w:rsidP="00446618">
      <w:pPr>
        <w:jc w:val="both"/>
        <w:rPr>
          <w:sz w:val="22"/>
          <w:szCs w:val="22"/>
        </w:rPr>
      </w:pPr>
      <w:r w:rsidRPr="00337F21">
        <w:rPr>
          <w:sz w:val="22"/>
          <w:szCs w:val="22"/>
        </w:rPr>
        <w:t>Mikrokristāliska celuloze (E</w:t>
      </w:r>
      <w:r w:rsidR="00C4528D">
        <w:rPr>
          <w:sz w:val="22"/>
          <w:szCs w:val="22"/>
        </w:rPr>
        <w:t xml:space="preserve"> </w:t>
      </w:r>
      <w:r w:rsidRPr="00337F21">
        <w:rPr>
          <w:sz w:val="22"/>
          <w:szCs w:val="22"/>
        </w:rPr>
        <w:t>460)</w:t>
      </w:r>
    </w:p>
    <w:p w14:paraId="475E4453" w14:textId="7F49F840" w:rsidR="00D26E47" w:rsidRPr="00337F21" w:rsidRDefault="00BC300F" w:rsidP="00446618">
      <w:pPr>
        <w:jc w:val="both"/>
        <w:rPr>
          <w:sz w:val="22"/>
          <w:szCs w:val="22"/>
        </w:rPr>
      </w:pPr>
      <w:r>
        <w:rPr>
          <w:sz w:val="22"/>
          <w:szCs w:val="22"/>
        </w:rPr>
        <w:t>Hidroksipropil</w:t>
      </w:r>
      <w:r w:rsidR="00D26E47" w:rsidRPr="00337F21">
        <w:rPr>
          <w:sz w:val="22"/>
          <w:szCs w:val="22"/>
        </w:rPr>
        <w:t>celuloze (E</w:t>
      </w:r>
      <w:r w:rsidR="00C4528D">
        <w:rPr>
          <w:sz w:val="22"/>
          <w:szCs w:val="22"/>
        </w:rPr>
        <w:t xml:space="preserve"> </w:t>
      </w:r>
      <w:r w:rsidR="00D26E47" w:rsidRPr="00337F21">
        <w:rPr>
          <w:sz w:val="22"/>
          <w:szCs w:val="22"/>
        </w:rPr>
        <w:t>463)</w:t>
      </w:r>
    </w:p>
    <w:p w14:paraId="0670009E" w14:textId="77777777" w:rsidR="00D26E47" w:rsidRPr="00337F21" w:rsidRDefault="00367E4A" w:rsidP="00446618">
      <w:pPr>
        <w:jc w:val="both"/>
        <w:rPr>
          <w:sz w:val="22"/>
          <w:szCs w:val="22"/>
        </w:rPr>
      </w:pPr>
      <w:r>
        <w:rPr>
          <w:sz w:val="22"/>
          <w:szCs w:val="22"/>
        </w:rPr>
        <w:t>Kroskar</w:t>
      </w:r>
      <w:r w:rsidR="00D26E47" w:rsidRPr="00337F21">
        <w:rPr>
          <w:sz w:val="22"/>
          <w:szCs w:val="22"/>
        </w:rPr>
        <w:t>melozes nātrija sāls</w:t>
      </w:r>
    </w:p>
    <w:p w14:paraId="11D4666C" w14:textId="155FBD99" w:rsidR="00D26E47" w:rsidRPr="00337F21" w:rsidRDefault="00D26E47" w:rsidP="00446618">
      <w:pPr>
        <w:jc w:val="both"/>
        <w:rPr>
          <w:sz w:val="22"/>
          <w:szCs w:val="22"/>
        </w:rPr>
      </w:pPr>
      <w:r w:rsidRPr="00337F21">
        <w:rPr>
          <w:sz w:val="22"/>
          <w:szCs w:val="22"/>
        </w:rPr>
        <w:t>Koloidāls bezūdens silīcija dioksīds (E</w:t>
      </w:r>
      <w:r w:rsidR="00C4528D">
        <w:rPr>
          <w:sz w:val="22"/>
          <w:szCs w:val="22"/>
        </w:rPr>
        <w:t xml:space="preserve"> </w:t>
      </w:r>
      <w:r w:rsidRPr="00337F21">
        <w:rPr>
          <w:sz w:val="22"/>
          <w:szCs w:val="22"/>
        </w:rPr>
        <w:t>551)</w:t>
      </w:r>
    </w:p>
    <w:p w14:paraId="1C69F97B" w14:textId="23D54EC2" w:rsidR="00D26E47" w:rsidRPr="00337F21" w:rsidRDefault="00D26E47" w:rsidP="00446618">
      <w:pPr>
        <w:jc w:val="both"/>
        <w:rPr>
          <w:sz w:val="22"/>
          <w:szCs w:val="22"/>
        </w:rPr>
      </w:pPr>
      <w:r w:rsidRPr="00337F21">
        <w:rPr>
          <w:sz w:val="22"/>
          <w:szCs w:val="22"/>
        </w:rPr>
        <w:t>Magnija stearāts (E</w:t>
      </w:r>
      <w:r w:rsidR="00C4528D">
        <w:rPr>
          <w:sz w:val="22"/>
          <w:szCs w:val="22"/>
        </w:rPr>
        <w:t xml:space="preserve"> </w:t>
      </w:r>
      <w:r w:rsidRPr="00337F21">
        <w:rPr>
          <w:sz w:val="22"/>
          <w:szCs w:val="22"/>
        </w:rPr>
        <w:t>470b)</w:t>
      </w:r>
    </w:p>
    <w:p w14:paraId="289498A9" w14:textId="77777777" w:rsidR="00D26E47" w:rsidRPr="00337F21" w:rsidRDefault="00D26E47" w:rsidP="004938F2">
      <w:pPr>
        <w:ind w:left="720"/>
        <w:jc w:val="both"/>
        <w:rPr>
          <w:i/>
          <w:sz w:val="22"/>
          <w:szCs w:val="22"/>
        </w:rPr>
      </w:pPr>
    </w:p>
    <w:p w14:paraId="67B14EFA" w14:textId="77777777" w:rsidR="008D7D6A" w:rsidRPr="00337F21" w:rsidRDefault="008D7D6A" w:rsidP="00446618">
      <w:pPr>
        <w:jc w:val="both"/>
        <w:rPr>
          <w:i/>
          <w:sz w:val="22"/>
          <w:szCs w:val="22"/>
        </w:rPr>
      </w:pPr>
      <w:r w:rsidRPr="00337F21">
        <w:rPr>
          <w:i/>
          <w:sz w:val="22"/>
          <w:szCs w:val="22"/>
        </w:rPr>
        <w:t>Tabletes apvalks</w:t>
      </w:r>
    </w:p>
    <w:p w14:paraId="182FC6E2" w14:textId="45109C26" w:rsidR="008D7D6A" w:rsidRPr="00337F21" w:rsidRDefault="00D26E47" w:rsidP="00446618">
      <w:pPr>
        <w:jc w:val="both"/>
        <w:rPr>
          <w:sz w:val="22"/>
          <w:szCs w:val="22"/>
        </w:rPr>
      </w:pPr>
      <w:r w:rsidRPr="00337F21">
        <w:rPr>
          <w:sz w:val="22"/>
          <w:szCs w:val="22"/>
        </w:rPr>
        <w:t>Polivinilspirts (E</w:t>
      </w:r>
      <w:r w:rsidR="00C4528D">
        <w:rPr>
          <w:sz w:val="22"/>
          <w:szCs w:val="22"/>
        </w:rPr>
        <w:t xml:space="preserve"> </w:t>
      </w:r>
      <w:r w:rsidRPr="00337F21">
        <w:rPr>
          <w:sz w:val="22"/>
          <w:szCs w:val="22"/>
        </w:rPr>
        <w:t>1203)</w:t>
      </w:r>
    </w:p>
    <w:p w14:paraId="7BED7B74" w14:textId="3BF1D865" w:rsidR="00D26E47" w:rsidRPr="00337F21" w:rsidRDefault="00D26E47" w:rsidP="00446618">
      <w:pPr>
        <w:jc w:val="both"/>
        <w:rPr>
          <w:sz w:val="22"/>
          <w:szCs w:val="22"/>
        </w:rPr>
      </w:pPr>
      <w:r w:rsidRPr="00337F21">
        <w:rPr>
          <w:sz w:val="22"/>
          <w:szCs w:val="22"/>
        </w:rPr>
        <w:t>Talks (E</w:t>
      </w:r>
      <w:r w:rsidR="00C4528D">
        <w:rPr>
          <w:sz w:val="22"/>
          <w:szCs w:val="22"/>
        </w:rPr>
        <w:t xml:space="preserve"> </w:t>
      </w:r>
      <w:r w:rsidRPr="00337F21">
        <w:rPr>
          <w:sz w:val="22"/>
          <w:szCs w:val="22"/>
        </w:rPr>
        <w:t>553b)</w:t>
      </w:r>
    </w:p>
    <w:p w14:paraId="60A6098C" w14:textId="6743CB29" w:rsidR="00D26E47" w:rsidRPr="00337F21" w:rsidRDefault="00D26E47" w:rsidP="00446618">
      <w:pPr>
        <w:jc w:val="both"/>
        <w:rPr>
          <w:sz w:val="22"/>
          <w:szCs w:val="22"/>
        </w:rPr>
      </w:pPr>
      <w:r w:rsidRPr="00337F21">
        <w:rPr>
          <w:sz w:val="22"/>
          <w:szCs w:val="22"/>
        </w:rPr>
        <w:t>Titāna dioksīds (E</w:t>
      </w:r>
      <w:r w:rsidR="00C4528D">
        <w:rPr>
          <w:sz w:val="22"/>
          <w:szCs w:val="22"/>
        </w:rPr>
        <w:t xml:space="preserve"> </w:t>
      </w:r>
      <w:r w:rsidRPr="00337F21">
        <w:rPr>
          <w:sz w:val="22"/>
          <w:szCs w:val="22"/>
        </w:rPr>
        <w:t>171)</w:t>
      </w:r>
    </w:p>
    <w:p w14:paraId="5CC93C2A" w14:textId="459586B8" w:rsidR="00D26E47" w:rsidRPr="00337F21" w:rsidRDefault="00D26E47" w:rsidP="00446618">
      <w:pPr>
        <w:jc w:val="both"/>
        <w:rPr>
          <w:sz w:val="22"/>
          <w:szCs w:val="22"/>
        </w:rPr>
      </w:pPr>
      <w:r w:rsidRPr="00337F21">
        <w:rPr>
          <w:sz w:val="22"/>
          <w:szCs w:val="22"/>
        </w:rPr>
        <w:t>Makrogols 3350 (E</w:t>
      </w:r>
      <w:r w:rsidR="00C4528D">
        <w:rPr>
          <w:sz w:val="22"/>
          <w:szCs w:val="22"/>
        </w:rPr>
        <w:t xml:space="preserve"> </w:t>
      </w:r>
      <w:r w:rsidRPr="00337F21">
        <w:rPr>
          <w:sz w:val="22"/>
          <w:szCs w:val="22"/>
        </w:rPr>
        <w:t>1521)</w:t>
      </w:r>
    </w:p>
    <w:p w14:paraId="2F15FE36" w14:textId="40920754" w:rsidR="00D26E47" w:rsidRPr="00337F21" w:rsidRDefault="00955647" w:rsidP="00446618">
      <w:pPr>
        <w:jc w:val="both"/>
        <w:rPr>
          <w:sz w:val="22"/>
          <w:szCs w:val="22"/>
        </w:rPr>
      </w:pPr>
      <w:r>
        <w:rPr>
          <w:sz w:val="22"/>
          <w:szCs w:val="22"/>
        </w:rPr>
        <w:t>M</w:t>
      </w:r>
      <w:r w:rsidR="00D26E47" w:rsidRPr="00337F21">
        <w:rPr>
          <w:sz w:val="22"/>
          <w:szCs w:val="22"/>
        </w:rPr>
        <w:t>etakrilskābes un etilakrilāta kopolimērs</w:t>
      </w:r>
      <w:r>
        <w:rPr>
          <w:sz w:val="22"/>
          <w:szCs w:val="22"/>
        </w:rPr>
        <w:t>, A tips</w:t>
      </w:r>
      <w:r w:rsidR="00D26E47" w:rsidRPr="00337F21">
        <w:rPr>
          <w:sz w:val="22"/>
          <w:szCs w:val="22"/>
        </w:rPr>
        <w:t> (1:1)</w:t>
      </w:r>
    </w:p>
    <w:p w14:paraId="79C6271E" w14:textId="74B834E5" w:rsidR="00D26E47" w:rsidRPr="00337F21" w:rsidRDefault="00D26E47" w:rsidP="00446618">
      <w:pPr>
        <w:jc w:val="both"/>
        <w:rPr>
          <w:sz w:val="22"/>
          <w:szCs w:val="22"/>
        </w:rPr>
      </w:pPr>
      <w:r w:rsidRPr="00337F21">
        <w:rPr>
          <w:sz w:val="22"/>
          <w:szCs w:val="22"/>
        </w:rPr>
        <w:t>Dzeltenais dzelzs oksīds (E</w:t>
      </w:r>
      <w:r w:rsidR="00C4528D">
        <w:rPr>
          <w:sz w:val="22"/>
          <w:szCs w:val="22"/>
        </w:rPr>
        <w:t xml:space="preserve"> </w:t>
      </w:r>
      <w:r w:rsidRPr="00337F21">
        <w:rPr>
          <w:sz w:val="22"/>
          <w:szCs w:val="22"/>
        </w:rPr>
        <w:t>172)</w:t>
      </w:r>
    </w:p>
    <w:p w14:paraId="41D7B15E" w14:textId="65C34D76" w:rsidR="00D26E47" w:rsidRPr="00337F21" w:rsidRDefault="00D26E47" w:rsidP="00446618">
      <w:pPr>
        <w:jc w:val="both"/>
        <w:rPr>
          <w:sz w:val="22"/>
          <w:szCs w:val="22"/>
        </w:rPr>
      </w:pPr>
      <w:r w:rsidRPr="00337F21">
        <w:rPr>
          <w:sz w:val="22"/>
          <w:szCs w:val="22"/>
        </w:rPr>
        <w:t>Nātrija hidrogēnkarbonāts (E</w:t>
      </w:r>
      <w:r w:rsidR="00C4528D">
        <w:rPr>
          <w:sz w:val="22"/>
          <w:szCs w:val="22"/>
        </w:rPr>
        <w:t xml:space="preserve"> </w:t>
      </w:r>
      <w:r w:rsidRPr="00337F21">
        <w:rPr>
          <w:sz w:val="22"/>
          <w:szCs w:val="22"/>
        </w:rPr>
        <w:t>500(ii))</w:t>
      </w:r>
    </w:p>
    <w:p w14:paraId="0ABC4C93" w14:textId="77777777" w:rsidR="00D26E47" w:rsidRPr="00337F21" w:rsidRDefault="00D26E47" w:rsidP="004938F2">
      <w:pPr>
        <w:ind w:left="720"/>
        <w:jc w:val="both"/>
        <w:rPr>
          <w:sz w:val="22"/>
          <w:szCs w:val="22"/>
          <w:highlight w:val="yellow"/>
        </w:rPr>
      </w:pPr>
    </w:p>
    <w:p w14:paraId="74D26CAE" w14:textId="77777777" w:rsidR="008D7D6A" w:rsidRPr="00337F21" w:rsidRDefault="008D7D6A" w:rsidP="004938F2">
      <w:pPr>
        <w:keepNext/>
        <w:jc w:val="both"/>
        <w:outlineLvl w:val="1"/>
        <w:rPr>
          <w:b/>
          <w:sz w:val="22"/>
          <w:szCs w:val="22"/>
        </w:rPr>
      </w:pPr>
      <w:bookmarkStart w:id="16" w:name="_Toc441573749"/>
      <w:r w:rsidRPr="00337F21">
        <w:rPr>
          <w:b/>
          <w:sz w:val="22"/>
          <w:szCs w:val="22"/>
        </w:rPr>
        <w:t>6.2.</w:t>
      </w:r>
      <w:r w:rsidRPr="00337F21">
        <w:rPr>
          <w:b/>
          <w:sz w:val="22"/>
          <w:szCs w:val="22"/>
        </w:rPr>
        <w:tab/>
        <w:t>Nesaderība</w:t>
      </w:r>
      <w:bookmarkEnd w:id="16"/>
    </w:p>
    <w:p w14:paraId="47A041C7" w14:textId="77777777" w:rsidR="008D7D6A" w:rsidRPr="00337F21" w:rsidRDefault="008D7D6A" w:rsidP="004938F2">
      <w:pPr>
        <w:ind w:left="720"/>
        <w:jc w:val="both"/>
        <w:rPr>
          <w:sz w:val="22"/>
          <w:szCs w:val="22"/>
        </w:rPr>
      </w:pPr>
    </w:p>
    <w:p w14:paraId="6A083ECA" w14:textId="77777777" w:rsidR="008D7D6A" w:rsidRPr="00337F21" w:rsidRDefault="008D7D6A" w:rsidP="00446618">
      <w:pPr>
        <w:jc w:val="both"/>
        <w:rPr>
          <w:sz w:val="22"/>
          <w:szCs w:val="22"/>
        </w:rPr>
      </w:pPr>
      <w:r w:rsidRPr="00337F21">
        <w:rPr>
          <w:sz w:val="22"/>
          <w:szCs w:val="22"/>
        </w:rPr>
        <w:t>Nav piemērojama.</w:t>
      </w:r>
    </w:p>
    <w:p w14:paraId="595DC0DF" w14:textId="77777777" w:rsidR="0095500E" w:rsidRPr="00337F21" w:rsidRDefault="0095500E" w:rsidP="004938F2">
      <w:pPr>
        <w:ind w:left="720"/>
        <w:jc w:val="both"/>
        <w:rPr>
          <w:sz w:val="22"/>
          <w:szCs w:val="22"/>
        </w:rPr>
      </w:pPr>
    </w:p>
    <w:p w14:paraId="7CBCFDA7" w14:textId="77777777" w:rsidR="008D7D6A" w:rsidRPr="00337F21" w:rsidRDefault="008D7D6A" w:rsidP="004938F2">
      <w:pPr>
        <w:keepNext/>
        <w:jc w:val="both"/>
        <w:outlineLvl w:val="1"/>
        <w:rPr>
          <w:b/>
          <w:sz w:val="22"/>
          <w:szCs w:val="22"/>
        </w:rPr>
      </w:pPr>
      <w:bookmarkStart w:id="17" w:name="_Toc441573750"/>
      <w:r w:rsidRPr="00337F21">
        <w:rPr>
          <w:b/>
          <w:sz w:val="22"/>
          <w:szCs w:val="22"/>
        </w:rPr>
        <w:t>6.3.</w:t>
      </w:r>
      <w:r w:rsidRPr="00337F21">
        <w:rPr>
          <w:b/>
          <w:sz w:val="22"/>
          <w:szCs w:val="22"/>
        </w:rPr>
        <w:tab/>
        <w:t>Uzglabāšanas laiks</w:t>
      </w:r>
      <w:bookmarkEnd w:id="17"/>
    </w:p>
    <w:p w14:paraId="795BFD47" w14:textId="77777777" w:rsidR="008D7D6A" w:rsidRPr="00337F21" w:rsidRDefault="008D7D6A" w:rsidP="004938F2">
      <w:pPr>
        <w:ind w:left="720"/>
        <w:jc w:val="both"/>
        <w:rPr>
          <w:sz w:val="22"/>
          <w:szCs w:val="22"/>
        </w:rPr>
      </w:pPr>
    </w:p>
    <w:p w14:paraId="591098AF" w14:textId="69F34D2C" w:rsidR="002759FF" w:rsidRPr="00337F21" w:rsidRDefault="00851834" w:rsidP="004938F2">
      <w:pPr>
        <w:keepNext/>
        <w:jc w:val="both"/>
        <w:outlineLvl w:val="1"/>
        <w:rPr>
          <w:sz w:val="22"/>
          <w:szCs w:val="22"/>
        </w:rPr>
      </w:pPr>
      <w:r w:rsidRPr="00337F21">
        <w:rPr>
          <w:sz w:val="22"/>
          <w:szCs w:val="22"/>
        </w:rPr>
        <w:t xml:space="preserve"> </w:t>
      </w:r>
      <w:bookmarkStart w:id="18" w:name="_Toc441573751"/>
      <w:r w:rsidRPr="00337F21">
        <w:rPr>
          <w:sz w:val="22"/>
          <w:szCs w:val="22"/>
        </w:rPr>
        <w:t xml:space="preserve">3 </w:t>
      </w:r>
      <w:r w:rsidR="00D723BE">
        <w:rPr>
          <w:sz w:val="22"/>
          <w:szCs w:val="22"/>
        </w:rPr>
        <w:t>gadi</w:t>
      </w:r>
    </w:p>
    <w:p w14:paraId="6CBE5035" w14:textId="77777777" w:rsidR="002759FF" w:rsidRPr="00337F21" w:rsidRDefault="002759FF" w:rsidP="004938F2">
      <w:pPr>
        <w:keepNext/>
        <w:jc w:val="both"/>
        <w:outlineLvl w:val="1"/>
        <w:rPr>
          <w:sz w:val="22"/>
          <w:szCs w:val="22"/>
        </w:rPr>
      </w:pPr>
    </w:p>
    <w:p w14:paraId="5C17EAE7" w14:textId="77777777" w:rsidR="008D7D6A" w:rsidRPr="00337F21" w:rsidRDefault="008D7D6A" w:rsidP="004938F2">
      <w:pPr>
        <w:keepNext/>
        <w:jc w:val="both"/>
        <w:outlineLvl w:val="1"/>
        <w:rPr>
          <w:b/>
          <w:sz w:val="22"/>
          <w:szCs w:val="22"/>
        </w:rPr>
      </w:pPr>
      <w:r w:rsidRPr="00337F21">
        <w:rPr>
          <w:b/>
          <w:sz w:val="22"/>
          <w:szCs w:val="22"/>
        </w:rPr>
        <w:t>6.4.</w:t>
      </w:r>
      <w:r w:rsidRPr="00337F21">
        <w:rPr>
          <w:b/>
          <w:sz w:val="22"/>
          <w:szCs w:val="22"/>
        </w:rPr>
        <w:tab/>
        <w:t>Īpaši uzglabāšanas nosacījumi</w:t>
      </w:r>
      <w:bookmarkEnd w:id="18"/>
    </w:p>
    <w:p w14:paraId="1C9B7E41" w14:textId="77777777" w:rsidR="008D7D6A" w:rsidRPr="00337F21" w:rsidRDefault="008D7D6A" w:rsidP="00446618">
      <w:pPr>
        <w:jc w:val="both"/>
        <w:rPr>
          <w:sz w:val="22"/>
          <w:szCs w:val="22"/>
        </w:rPr>
      </w:pPr>
    </w:p>
    <w:p w14:paraId="14475164" w14:textId="77777777" w:rsidR="008D7D6A" w:rsidRPr="00337F21" w:rsidRDefault="008D7D6A" w:rsidP="00446618">
      <w:pPr>
        <w:jc w:val="both"/>
        <w:rPr>
          <w:sz w:val="22"/>
          <w:szCs w:val="22"/>
        </w:rPr>
      </w:pPr>
      <w:r w:rsidRPr="00337F21">
        <w:rPr>
          <w:sz w:val="22"/>
          <w:szCs w:val="22"/>
        </w:rPr>
        <w:t>Šīm zālēm nav nepieciešami īpaši uzglabāšanas apstākļi.</w:t>
      </w:r>
    </w:p>
    <w:p w14:paraId="0F0A31A3" w14:textId="77777777" w:rsidR="008D7D6A" w:rsidRPr="00337F21" w:rsidRDefault="008D7D6A" w:rsidP="004938F2">
      <w:pPr>
        <w:ind w:left="720"/>
        <w:jc w:val="both"/>
        <w:rPr>
          <w:sz w:val="22"/>
          <w:szCs w:val="22"/>
          <w:highlight w:val="yellow"/>
        </w:rPr>
      </w:pPr>
    </w:p>
    <w:p w14:paraId="151EF88F" w14:textId="77777777" w:rsidR="008D7D6A" w:rsidRPr="00337F21" w:rsidRDefault="008D7D6A" w:rsidP="00BC300F">
      <w:pPr>
        <w:keepNext/>
        <w:jc w:val="both"/>
        <w:outlineLvl w:val="1"/>
        <w:rPr>
          <w:b/>
          <w:sz w:val="22"/>
          <w:szCs w:val="22"/>
        </w:rPr>
      </w:pPr>
      <w:bookmarkStart w:id="19" w:name="_Toc441573752"/>
      <w:r w:rsidRPr="00337F21">
        <w:rPr>
          <w:b/>
          <w:sz w:val="22"/>
          <w:szCs w:val="22"/>
        </w:rPr>
        <w:t>6.5.</w:t>
      </w:r>
      <w:r w:rsidRPr="00337F21">
        <w:rPr>
          <w:b/>
          <w:sz w:val="22"/>
          <w:szCs w:val="22"/>
        </w:rPr>
        <w:tab/>
        <w:t>Iepakojuma veids un saturs</w:t>
      </w:r>
      <w:bookmarkEnd w:id="19"/>
    </w:p>
    <w:p w14:paraId="60323E38" w14:textId="77777777" w:rsidR="008D7D6A" w:rsidRPr="00337F21" w:rsidRDefault="008D7D6A" w:rsidP="00BC300F">
      <w:pPr>
        <w:keepNext/>
        <w:ind w:left="720"/>
        <w:jc w:val="both"/>
        <w:rPr>
          <w:sz w:val="22"/>
          <w:szCs w:val="22"/>
        </w:rPr>
      </w:pPr>
    </w:p>
    <w:p w14:paraId="0289D3FF" w14:textId="77777777" w:rsidR="00D26E47" w:rsidRPr="00337F21" w:rsidRDefault="00BC300F" w:rsidP="00BC300F">
      <w:pPr>
        <w:keepNext/>
        <w:jc w:val="both"/>
        <w:rPr>
          <w:sz w:val="22"/>
          <w:szCs w:val="22"/>
        </w:rPr>
      </w:pPr>
      <w:r>
        <w:rPr>
          <w:sz w:val="22"/>
          <w:szCs w:val="22"/>
        </w:rPr>
        <w:t>Alumīnija-OPA/Al</w:t>
      </w:r>
      <w:r w:rsidR="00D26E47" w:rsidRPr="00337F21">
        <w:rPr>
          <w:sz w:val="22"/>
          <w:szCs w:val="22"/>
        </w:rPr>
        <w:t>/PVH vai alumīnija-PVH/PE/PVDH blisteri.</w:t>
      </w:r>
    </w:p>
    <w:p w14:paraId="7C969574" w14:textId="77777777" w:rsidR="008D2877" w:rsidRPr="00337F21" w:rsidRDefault="008D2877" w:rsidP="00BC300F">
      <w:pPr>
        <w:keepNext/>
        <w:jc w:val="both"/>
        <w:rPr>
          <w:sz w:val="22"/>
          <w:szCs w:val="22"/>
        </w:rPr>
      </w:pPr>
    </w:p>
    <w:p w14:paraId="37F08FB6" w14:textId="77777777" w:rsidR="00D26E47" w:rsidRPr="00337F21" w:rsidRDefault="006839E4" w:rsidP="00FE4246">
      <w:pPr>
        <w:rPr>
          <w:sz w:val="22"/>
          <w:szCs w:val="22"/>
        </w:rPr>
      </w:pPr>
      <w:r>
        <w:rPr>
          <w:sz w:val="22"/>
          <w:szCs w:val="22"/>
        </w:rPr>
        <w:t>Druniler</w:t>
      </w:r>
      <w:r w:rsidR="00D26E47" w:rsidRPr="00337F21">
        <w:rPr>
          <w:sz w:val="22"/>
          <w:szCs w:val="22"/>
        </w:rPr>
        <w:t xml:space="preserve"> ir pieejams iepakojumos pa 14, 28, 42, 56, 84 un 98 apvalkotajām tabletēm.</w:t>
      </w:r>
    </w:p>
    <w:p w14:paraId="4E74AB2F" w14:textId="77777777" w:rsidR="00C4528D" w:rsidRDefault="00C4528D" w:rsidP="00272683">
      <w:pPr>
        <w:shd w:val="clear" w:color="auto" w:fill="FFFFFF"/>
        <w:jc w:val="both"/>
        <w:rPr>
          <w:sz w:val="22"/>
          <w:szCs w:val="22"/>
        </w:rPr>
      </w:pPr>
    </w:p>
    <w:p w14:paraId="22C5FA62" w14:textId="3389F47A" w:rsidR="008D7D6A" w:rsidRPr="00337F21" w:rsidRDefault="008D7D6A" w:rsidP="00272683">
      <w:pPr>
        <w:shd w:val="clear" w:color="auto" w:fill="FFFFFF"/>
        <w:jc w:val="both"/>
        <w:rPr>
          <w:sz w:val="22"/>
          <w:szCs w:val="22"/>
        </w:rPr>
      </w:pPr>
      <w:r w:rsidRPr="00337F21">
        <w:rPr>
          <w:sz w:val="22"/>
          <w:szCs w:val="22"/>
        </w:rPr>
        <w:t>Visi iepakojuma lielumi tirgū var nebūt pieejami.</w:t>
      </w:r>
    </w:p>
    <w:p w14:paraId="20233D19" w14:textId="77777777" w:rsidR="008D7D6A" w:rsidRPr="00337F21" w:rsidRDefault="008D7D6A" w:rsidP="004938F2">
      <w:pPr>
        <w:ind w:left="720"/>
        <w:jc w:val="both"/>
        <w:rPr>
          <w:sz w:val="22"/>
          <w:szCs w:val="22"/>
        </w:rPr>
      </w:pPr>
    </w:p>
    <w:p w14:paraId="02EBA41B" w14:textId="77777777" w:rsidR="008D7D6A" w:rsidRPr="00337F21" w:rsidRDefault="008D7D6A" w:rsidP="004938F2">
      <w:pPr>
        <w:keepNext/>
        <w:jc w:val="both"/>
        <w:outlineLvl w:val="1"/>
        <w:rPr>
          <w:b/>
          <w:sz w:val="22"/>
          <w:szCs w:val="22"/>
        </w:rPr>
      </w:pPr>
      <w:bookmarkStart w:id="20" w:name="_Toc441573753"/>
      <w:r w:rsidRPr="00337F21">
        <w:rPr>
          <w:b/>
          <w:sz w:val="22"/>
          <w:szCs w:val="22"/>
        </w:rPr>
        <w:t>6.6.</w:t>
      </w:r>
      <w:r w:rsidRPr="00337F21">
        <w:rPr>
          <w:b/>
          <w:sz w:val="22"/>
          <w:szCs w:val="22"/>
        </w:rPr>
        <w:tab/>
        <w:t>Īpaši norādījumi atkritumu likvidēšanai</w:t>
      </w:r>
      <w:bookmarkEnd w:id="20"/>
    </w:p>
    <w:p w14:paraId="25033FE1" w14:textId="77777777" w:rsidR="008D7D6A" w:rsidRPr="00337F21" w:rsidRDefault="008D7D6A" w:rsidP="004938F2">
      <w:pPr>
        <w:jc w:val="both"/>
        <w:rPr>
          <w:rFonts w:eastAsia="TimesNewRoman,Italic"/>
          <w:iCs/>
          <w:sz w:val="22"/>
          <w:szCs w:val="22"/>
          <w:lang w:eastAsia="el-GR"/>
        </w:rPr>
      </w:pPr>
    </w:p>
    <w:p w14:paraId="5927CB83" w14:textId="01BEDDFD" w:rsidR="009E2F79" w:rsidRPr="00C4528D" w:rsidRDefault="00C4528D" w:rsidP="00446618">
      <w:pPr>
        <w:jc w:val="both"/>
        <w:rPr>
          <w:sz w:val="22"/>
          <w:szCs w:val="22"/>
        </w:rPr>
      </w:pPr>
      <w:r w:rsidRPr="00F91656">
        <w:rPr>
          <w:sz w:val="22"/>
          <w:szCs w:val="22"/>
        </w:rPr>
        <w:t>Neizlietotās zāles vai izlietotie materiāli jāiznīcina atbilstoši vietējām prasībām.</w:t>
      </w:r>
    </w:p>
    <w:p w14:paraId="66B737CE" w14:textId="22AED2D1" w:rsidR="008D7D6A" w:rsidRDefault="008D7D6A" w:rsidP="00F81D00">
      <w:pPr>
        <w:jc w:val="both"/>
        <w:rPr>
          <w:sz w:val="22"/>
          <w:szCs w:val="22"/>
        </w:rPr>
      </w:pPr>
    </w:p>
    <w:p w14:paraId="27DA6582" w14:textId="77777777" w:rsidR="00C4528D" w:rsidRPr="00337F21" w:rsidRDefault="00C4528D" w:rsidP="00F81D00">
      <w:pPr>
        <w:jc w:val="both"/>
        <w:rPr>
          <w:sz w:val="22"/>
          <w:szCs w:val="22"/>
        </w:rPr>
      </w:pPr>
    </w:p>
    <w:p w14:paraId="1DE4C429" w14:textId="77777777" w:rsidR="008D7D6A" w:rsidRPr="00337F21" w:rsidRDefault="008D7D6A" w:rsidP="004938F2">
      <w:pPr>
        <w:keepNext/>
        <w:jc w:val="both"/>
        <w:outlineLvl w:val="0"/>
        <w:rPr>
          <w:b/>
          <w:kern w:val="28"/>
          <w:sz w:val="22"/>
          <w:szCs w:val="22"/>
        </w:rPr>
      </w:pPr>
      <w:bookmarkStart w:id="21" w:name="_Toc441573754"/>
      <w:r w:rsidRPr="00337F21">
        <w:rPr>
          <w:b/>
          <w:sz w:val="22"/>
          <w:szCs w:val="22"/>
        </w:rPr>
        <w:t>7.</w:t>
      </w:r>
      <w:r w:rsidRPr="00337F21">
        <w:rPr>
          <w:b/>
          <w:sz w:val="22"/>
          <w:szCs w:val="22"/>
        </w:rPr>
        <w:tab/>
        <w:t>REĢISTRĀCIJAS APLIECĪBAS ĪPAŠNIEKS</w:t>
      </w:r>
      <w:bookmarkEnd w:id="21"/>
    </w:p>
    <w:p w14:paraId="6C462911" w14:textId="77777777" w:rsidR="008D7D6A" w:rsidRPr="00337F21" w:rsidRDefault="008D7D6A" w:rsidP="004938F2">
      <w:pPr>
        <w:ind w:left="720"/>
        <w:jc w:val="both"/>
        <w:rPr>
          <w:sz w:val="22"/>
          <w:szCs w:val="22"/>
        </w:rPr>
      </w:pPr>
    </w:p>
    <w:p w14:paraId="5AA258A7" w14:textId="77777777" w:rsidR="00FD2C48" w:rsidRPr="00EF2CDA" w:rsidRDefault="00FD2C48" w:rsidP="00FD2C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sidRPr="00EF2CDA">
        <w:rPr>
          <w:sz w:val="22"/>
        </w:rPr>
        <w:t>Sandoz d.d.</w:t>
      </w:r>
    </w:p>
    <w:p w14:paraId="212FD2AA" w14:textId="77777777" w:rsidR="00FD2C48" w:rsidRPr="00EF2CDA" w:rsidRDefault="00FD2C48" w:rsidP="00FD2C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sidRPr="00EF2CDA">
        <w:rPr>
          <w:sz w:val="22"/>
        </w:rPr>
        <w:t>Verovškova 57</w:t>
      </w:r>
    </w:p>
    <w:p w14:paraId="42B18EFC" w14:textId="77777777" w:rsidR="00FD2C48" w:rsidRPr="00EF2CDA" w:rsidRDefault="00FD2C48" w:rsidP="00FD2C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sidRPr="00EF2CDA">
        <w:rPr>
          <w:sz w:val="22"/>
        </w:rPr>
        <w:t>SI-1000 Ljubljana</w:t>
      </w:r>
    </w:p>
    <w:p w14:paraId="30C74179" w14:textId="77777777" w:rsidR="00FD2C48" w:rsidRPr="00EF2CDA" w:rsidRDefault="00FD2C48" w:rsidP="00FD2C4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rPr>
      </w:pPr>
      <w:r w:rsidRPr="00EF2CDA">
        <w:rPr>
          <w:sz w:val="22"/>
        </w:rPr>
        <w:t>Slovēnija</w:t>
      </w:r>
    </w:p>
    <w:p w14:paraId="67279652" w14:textId="77777777" w:rsidR="008D7D6A" w:rsidRPr="00337F21" w:rsidRDefault="008D7D6A" w:rsidP="004938F2">
      <w:pPr>
        <w:ind w:left="720"/>
        <w:jc w:val="both"/>
        <w:rPr>
          <w:sz w:val="22"/>
          <w:szCs w:val="22"/>
        </w:rPr>
      </w:pPr>
    </w:p>
    <w:p w14:paraId="74BEC00C" w14:textId="77777777" w:rsidR="008D7D6A" w:rsidRPr="00337F21" w:rsidRDefault="008D7D6A" w:rsidP="004938F2">
      <w:pPr>
        <w:ind w:left="720"/>
        <w:jc w:val="both"/>
        <w:rPr>
          <w:sz w:val="22"/>
          <w:szCs w:val="22"/>
        </w:rPr>
      </w:pPr>
    </w:p>
    <w:p w14:paraId="54DA7AA7" w14:textId="77777777" w:rsidR="008D7D6A" w:rsidRDefault="008D7D6A" w:rsidP="005F7231">
      <w:pPr>
        <w:keepNext/>
        <w:jc w:val="both"/>
        <w:outlineLvl w:val="0"/>
        <w:rPr>
          <w:b/>
          <w:sz w:val="22"/>
          <w:szCs w:val="22"/>
        </w:rPr>
      </w:pPr>
      <w:bookmarkStart w:id="22" w:name="_Toc441573755"/>
      <w:r w:rsidRPr="00337F21">
        <w:rPr>
          <w:b/>
          <w:sz w:val="22"/>
          <w:szCs w:val="22"/>
        </w:rPr>
        <w:lastRenderedPageBreak/>
        <w:t>8.</w:t>
      </w:r>
      <w:r w:rsidRPr="00337F21">
        <w:rPr>
          <w:b/>
          <w:sz w:val="22"/>
          <w:szCs w:val="22"/>
        </w:rPr>
        <w:tab/>
        <w:t>REĢISTRĀCIJAS APLIECĪBAS NUMURS(-I)</w:t>
      </w:r>
      <w:bookmarkEnd w:id="22"/>
    </w:p>
    <w:p w14:paraId="30D8E3AE" w14:textId="77777777" w:rsidR="005574DC" w:rsidRPr="00337F21" w:rsidRDefault="005574DC" w:rsidP="005F7231">
      <w:pPr>
        <w:keepNext/>
        <w:jc w:val="both"/>
        <w:outlineLvl w:val="0"/>
        <w:rPr>
          <w:b/>
          <w:kern w:val="28"/>
          <w:sz w:val="22"/>
          <w:szCs w:val="22"/>
        </w:rPr>
      </w:pPr>
    </w:p>
    <w:p w14:paraId="5CA040E4" w14:textId="64AA0078" w:rsidR="008D7D6A" w:rsidRDefault="005574DC" w:rsidP="005574DC">
      <w:pPr>
        <w:keepNext/>
        <w:jc w:val="both"/>
        <w:rPr>
          <w:sz w:val="22"/>
          <w:szCs w:val="22"/>
        </w:rPr>
      </w:pPr>
      <w:r w:rsidRPr="005574DC">
        <w:rPr>
          <w:sz w:val="22"/>
          <w:szCs w:val="22"/>
        </w:rPr>
        <w:t>Druniler 80 mg apvalkotās tabl</w:t>
      </w:r>
      <w:r>
        <w:rPr>
          <w:sz w:val="22"/>
          <w:szCs w:val="22"/>
        </w:rPr>
        <w:t xml:space="preserve">etes: </w:t>
      </w:r>
      <w:r w:rsidRPr="005574DC">
        <w:rPr>
          <w:sz w:val="22"/>
          <w:szCs w:val="22"/>
        </w:rPr>
        <w:t>17-0151</w:t>
      </w:r>
    </w:p>
    <w:p w14:paraId="233BF413" w14:textId="1FADAC72" w:rsidR="005574DC" w:rsidRDefault="005574DC" w:rsidP="005574DC">
      <w:pPr>
        <w:keepNext/>
        <w:jc w:val="both"/>
        <w:rPr>
          <w:sz w:val="22"/>
          <w:szCs w:val="22"/>
        </w:rPr>
      </w:pPr>
      <w:r>
        <w:rPr>
          <w:sz w:val="22"/>
          <w:szCs w:val="22"/>
        </w:rPr>
        <w:t>Druniler 12</w:t>
      </w:r>
      <w:r w:rsidRPr="005574DC">
        <w:rPr>
          <w:sz w:val="22"/>
          <w:szCs w:val="22"/>
        </w:rPr>
        <w:t>0 mg apvalkotās tabl</w:t>
      </w:r>
      <w:r>
        <w:rPr>
          <w:sz w:val="22"/>
          <w:szCs w:val="22"/>
        </w:rPr>
        <w:t>etes: 17-0152</w:t>
      </w:r>
    </w:p>
    <w:p w14:paraId="64BD5153" w14:textId="77777777" w:rsidR="00C4528D" w:rsidRDefault="00C4528D" w:rsidP="005574DC">
      <w:pPr>
        <w:keepNext/>
        <w:jc w:val="both"/>
        <w:rPr>
          <w:sz w:val="22"/>
          <w:szCs w:val="22"/>
        </w:rPr>
      </w:pPr>
    </w:p>
    <w:p w14:paraId="42B399F4" w14:textId="77777777" w:rsidR="008D7D6A" w:rsidRPr="00337F21" w:rsidRDefault="008D7D6A" w:rsidP="00EF2CDA">
      <w:pPr>
        <w:jc w:val="both"/>
        <w:rPr>
          <w:sz w:val="22"/>
          <w:szCs w:val="22"/>
        </w:rPr>
      </w:pPr>
    </w:p>
    <w:p w14:paraId="7F25EF11" w14:textId="77777777" w:rsidR="008D7D6A" w:rsidRPr="00337F21" w:rsidRDefault="008D7D6A" w:rsidP="004938F2">
      <w:pPr>
        <w:keepNext/>
        <w:ind w:left="720" w:hanging="720"/>
        <w:jc w:val="both"/>
        <w:outlineLvl w:val="0"/>
        <w:rPr>
          <w:b/>
          <w:kern w:val="28"/>
          <w:sz w:val="22"/>
          <w:szCs w:val="22"/>
        </w:rPr>
      </w:pPr>
      <w:bookmarkStart w:id="23" w:name="_Toc441573756"/>
      <w:r w:rsidRPr="00337F21">
        <w:rPr>
          <w:b/>
          <w:sz w:val="22"/>
          <w:szCs w:val="22"/>
        </w:rPr>
        <w:t>9.</w:t>
      </w:r>
      <w:r w:rsidRPr="00337F21">
        <w:rPr>
          <w:b/>
          <w:sz w:val="22"/>
          <w:szCs w:val="22"/>
        </w:rPr>
        <w:tab/>
        <w:t>PIRMĀS REĢISTRĀCIJAS/PĀRREĢISTRĀCIJAS DATUMS</w:t>
      </w:r>
      <w:bookmarkEnd w:id="23"/>
    </w:p>
    <w:p w14:paraId="43B1D369" w14:textId="77777777" w:rsidR="00C4528D" w:rsidRPr="00337F21" w:rsidRDefault="00C4528D" w:rsidP="00F91656">
      <w:pPr>
        <w:jc w:val="both"/>
        <w:rPr>
          <w:sz w:val="22"/>
          <w:szCs w:val="22"/>
        </w:rPr>
      </w:pPr>
    </w:p>
    <w:p w14:paraId="65D05D77" w14:textId="7793D7CD" w:rsidR="008D7D6A" w:rsidRDefault="002635D2" w:rsidP="00F91656">
      <w:pPr>
        <w:jc w:val="both"/>
        <w:rPr>
          <w:sz w:val="22"/>
          <w:szCs w:val="22"/>
        </w:rPr>
      </w:pPr>
      <w:r>
        <w:rPr>
          <w:sz w:val="22"/>
          <w:szCs w:val="22"/>
        </w:rPr>
        <w:t>Reģistrācijas datums:</w:t>
      </w:r>
      <w:r w:rsidR="005574DC">
        <w:rPr>
          <w:sz w:val="22"/>
          <w:szCs w:val="22"/>
        </w:rPr>
        <w:t xml:space="preserve"> 2017. gada 7. jūlijs</w:t>
      </w:r>
    </w:p>
    <w:p w14:paraId="7DCADDC9" w14:textId="7B6BAC3D" w:rsidR="00C4528D" w:rsidRPr="00C4528D" w:rsidRDefault="00C4528D" w:rsidP="00F91656">
      <w:pPr>
        <w:jc w:val="both"/>
        <w:rPr>
          <w:sz w:val="22"/>
          <w:szCs w:val="22"/>
        </w:rPr>
      </w:pPr>
      <w:r w:rsidRPr="00F91656">
        <w:rPr>
          <w:sz w:val="22"/>
          <w:szCs w:val="22"/>
        </w:rPr>
        <w:t>Pēdējās pārreģistrācijas datums:</w:t>
      </w:r>
    </w:p>
    <w:p w14:paraId="059E948C" w14:textId="3B68EFB0" w:rsidR="008D7D6A" w:rsidRDefault="008D7D6A" w:rsidP="004938F2">
      <w:pPr>
        <w:ind w:left="720"/>
        <w:jc w:val="both"/>
        <w:rPr>
          <w:sz w:val="22"/>
          <w:szCs w:val="22"/>
        </w:rPr>
      </w:pPr>
    </w:p>
    <w:p w14:paraId="43BFF7CC" w14:textId="77777777" w:rsidR="00C4528D" w:rsidRPr="00337F21" w:rsidRDefault="00C4528D" w:rsidP="004938F2">
      <w:pPr>
        <w:ind w:left="720"/>
        <w:jc w:val="both"/>
        <w:rPr>
          <w:sz w:val="22"/>
          <w:szCs w:val="22"/>
        </w:rPr>
      </w:pPr>
    </w:p>
    <w:p w14:paraId="2FB56B12" w14:textId="77777777" w:rsidR="008D7D6A" w:rsidRPr="00337F21" w:rsidRDefault="008D7D6A" w:rsidP="004938F2">
      <w:pPr>
        <w:keepNext/>
        <w:jc w:val="both"/>
        <w:outlineLvl w:val="0"/>
        <w:rPr>
          <w:b/>
          <w:kern w:val="28"/>
          <w:sz w:val="22"/>
          <w:szCs w:val="22"/>
        </w:rPr>
      </w:pPr>
      <w:bookmarkStart w:id="24" w:name="_Toc441573757"/>
      <w:r w:rsidRPr="00337F21">
        <w:rPr>
          <w:b/>
          <w:sz w:val="22"/>
          <w:szCs w:val="22"/>
        </w:rPr>
        <w:t>10.</w:t>
      </w:r>
      <w:r w:rsidRPr="00337F21">
        <w:rPr>
          <w:b/>
          <w:sz w:val="22"/>
          <w:szCs w:val="22"/>
        </w:rPr>
        <w:tab/>
        <w:t>TEKSTA PĀRSKATĪŠANAS DATUMS</w:t>
      </w:r>
      <w:bookmarkEnd w:id="24"/>
    </w:p>
    <w:p w14:paraId="5DD94B75" w14:textId="77777777" w:rsidR="003D69AD" w:rsidRPr="00337F21" w:rsidRDefault="003D69AD" w:rsidP="004938F2">
      <w:pPr>
        <w:keepNext/>
        <w:ind w:firstLine="720"/>
        <w:jc w:val="both"/>
        <w:outlineLvl w:val="0"/>
        <w:rPr>
          <w:sz w:val="22"/>
          <w:szCs w:val="22"/>
        </w:rPr>
      </w:pPr>
      <w:bookmarkStart w:id="25" w:name="_Toc441573758"/>
    </w:p>
    <w:bookmarkEnd w:id="25"/>
    <w:p w14:paraId="7430B100" w14:textId="07A1F56C" w:rsidR="006D523E" w:rsidRPr="00337F21" w:rsidRDefault="005C1E8C" w:rsidP="00B17DF4">
      <w:pPr>
        <w:keepNext/>
        <w:jc w:val="both"/>
        <w:outlineLvl w:val="0"/>
        <w:rPr>
          <w:b/>
          <w:sz w:val="22"/>
          <w:szCs w:val="22"/>
        </w:rPr>
      </w:pPr>
      <w:r>
        <w:rPr>
          <w:sz w:val="22"/>
          <w:szCs w:val="22"/>
        </w:rPr>
        <w:t>0</w:t>
      </w:r>
      <w:r w:rsidR="00444596">
        <w:rPr>
          <w:sz w:val="22"/>
          <w:szCs w:val="22"/>
        </w:rPr>
        <w:t>7</w:t>
      </w:r>
      <w:r>
        <w:rPr>
          <w:sz w:val="22"/>
          <w:szCs w:val="22"/>
        </w:rPr>
        <w:t>/2022</w:t>
      </w:r>
    </w:p>
    <w:sectPr w:rsidR="006D523E" w:rsidRPr="00337F21" w:rsidSect="00D5232C">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9818" w14:textId="77777777" w:rsidR="00504230" w:rsidRDefault="00504230">
      <w:r>
        <w:separator/>
      </w:r>
    </w:p>
  </w:endnote>
  <w:endnote w:type="continuationSeparator" w:id="0">
    <w:p w14:paraId="27351E89" w14:textId="77777777" w:rsidR="00504230" w:rsidRDefault="0050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NewRoman,Italic">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8E07" w14:textId="77777777" w:rsidR="00504230" w:rsidRDefault="00504230" w:rsidP="00961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99449" w14:textId="77777777" w:rsidR="00504230" w:rsidRDefault="00504230" w:rsidP="0053375C">
    <w:pPr>
      <w:pStyle w:val="Footer"/>
      <w:ind w:right="360"/>
    </w:pPr>
  </w:p>
  <w:p w14:paraId="34BA8405" w14:textId="77777777" w:rsidR="00504230" w:rsidRDefault="00504230"/>
  <w:p w14:paraId="726782F0" w14:textId="77777777" w:rsidR="00504230" w:rsidRDefault="00504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A77D" w14:textId="635DB0D2" w:rsidR="00504230" w:rsidRPr="007128B8" w:rsidRDefault="00504230" w:rsidP="00961683">
    <w:pPr>
      <w:pStyle w:val="Footer"/>
      <w:framePr w:wrap="around" w:vAnchor="text" w:hAnchor="margin" w:xAlign="right" w:y="1"/>
      <w:rPr>
        <w:rStyle w:val="PageNumber"/>
        <w:sz w:val="20"/>
        <w:szCs w:val="20"/>
      </w:rPr>
    </w:pPr>
    <w:r w:rsidRPr="007128B8">
      <w:rPr>
        <w:rStyle w:val="PageNumber"/>
        <w:sz w:val="20"/>
        <w:szCs w:val="20"/>
      </w:rPr>
      <w:fldChar w:fldCharType="begin"/>
    </w:r>
    <w:r w:rsidRPr="007128B8">
      <w:rPr>
        <w:rStyle w:val="PageNumber"/>
        <w:sz w:val="20"/>
        <w:szCs w:val="20"/>
      </w:rPr>
      <w:instrText xml:space="preserve">PAGE  </w:instrText>
    </w:r>
    <w:r w:rsidRPr="007128B8">
      <w:rPr>
        <w:rStyle w:val="PageNumber"/>
        <w:sz w:val="20"/>
        <w:szCs w:val="20"/>
      </w:rPr>
      <w:fldChar w:fldCharType="separate"/>
    </w:r>
    <w:r>
      <w:rPr>
        <w:rStyle w:val="PageNumber"/>
        <w:noProof/>
        <w:sz w:val="20"/>
        <w:szCs w:val="20"/>
      </w:rPr>
      <w:t>20</w:t>
    </w:r>
    <w:r w:rsidRPr="007128B8">
      <w:rPr>
        <w:rStyle w:val="PageNumber"/>
        <w:sz w:val="20"/>
        <w:szCs w:val="20"/>
      </w:rPr>
      <w:fldChar w:fldCharType="end"/>
    </w:r>
  </w:p>
  <w:p w14:paraId="42B852C2" w14:textId="77777777" w:rsidR="00504230" w:rsidRDefault="00504230" w:rsidP="0053375C">
    <w:pPr>
      <w:pStyle w:val="Footer"/>
      <w:ind w:right="360"/>
    </w:pPr>
  </w:p>
  <w:p w14:paraId="344BA921" w14:textId="77777777" w:rsidR="00504230" w:rsidRDefault="00504230"/>
  <w:p w14:paraId="55A429DC" w14:textId="77777777" w:rsidR="00504230" w:rsidRDefault="005042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F849" w14:textId="77777777" w:rsidR="006F781B" w:rsidRDefault="006F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360B" w14:textId="77777777" w:rsidR="00504230" w:rsidRDefault="00504230">
      <w:r>
        <w:separator/>
      </w:r>
    </w:p>
  </w:footnote>
  <w:footnote w:type="continuationSeparator" w:id="0">
    <w:p w14:paraId="5A3E4F85" w14:textId="77777777" w:rsidR="00504230" w:rsidRDefault="0050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3801" w14:textId="77777777" w:rsidR="006F781B" w:rsidRDefault="006F7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B44F" w14:textId="7DF51690" w:rsidR="006F781B" w:rsidRDefault="006F781B" w:rsidP="006F781B">
    <w:pPr>
      <w:pStyle w:val="Header"/>
      <w:jc w:val="right"/>
    </w:pPr>
    <w:r>
      <w:t>SASKAŅOTS ZVA 21-07-2022</w:t>
    </w:r>
  </w:p>
  <w:p w14:paraId="472BB22D" w14:textId="759AD303" w:rsidR="00504230" w:rsidRDefault="00504230" w:rsidP="00C17CA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6806" w14:textId="77777777" w:rsidR="006F781B" w:rsidRDefault="006F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903D9C"/>
    <w:multiLevelType w:val="hybridMultilevel"/>
    <w:tmpl w:val="6BEBD4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AE2B3A"/>
    <w:multiLevelType w:val="hybridMultilevel"/>
    <w:tmpl w:val="090EE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E7331D"/>
    <w:multiLevelType w:val="hybridMultilevel"/>
    <w:tmpl w:val="5D563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397C66"/>
    <w:multiLevelType w:val="hybridMultilevel"/>
    <w:tmpl w:val="7256CE00"/>
    <w:lvl w:ilvl="0" w:tplc="C7000616">
      <w:start w:val="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DA41FB"/>
    <w:multiLevelType w:val="hybridMultilevel"/>
    <w:tmpl w:val="969C7BCE"/>
    <w:lvl w:ilvl="0" w:tplc="C7000616">
      <w:start w:val="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21D637D5"/>
    <w:multiLevelType w:val="hybridMultilevel"/>
    <w:tmpl w:val="5B94C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AE2694"/>
    <w:multiLevelType w:val="hybridMultilevel"/>
    <w:tmpl w:val="71C402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F2FA2"/>
    <w:multiLevelType w:val="hybridMultilevel"/>
    <w:tmpl w:val="27A67F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965E7E8"/>
    <w:multiLevelType w:val="hybridMultilevel"/>
    <w:tmpl w:val="43C654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D9F65CF"/>
    <w:multiLevelType w:val="multilevel"/>
    <w:tmpl w:val="1D746DB4"/>
    <w:lvl w:ilvl="0">
      <w:start w:val="4"/>
      <w:numFmt w:val="decimal"/>
      <w:lvlText w:val="%1"/>
      <w:lvlJc w:val="left"/>
      <w:pPr>
        <w:tabs>
          <w:tab w:val="num" w:pos="720"/>
        </w:tabs>
        <w:ind w:left="720" w:hanging="720"/>
      </w:pPr>
      <w:rPr>
        <w:rFonts w:hint="default"/>
      </w:rPr>
    </w:lvl>
    <w:lvl w:ilvl="1">
      <w:start w:val="1"/>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EE8499D"/>
    <w:multiLevelType w:val="hybridMultilevel"/>
    <w:tmpl w:val="A09299F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A3287"/>
    <w:multiLevelType w:val="hybridMultilevel"/>
    <w:tmpl w:val="2F564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331D81"/>
    <w:multiLevelType w:val="hybridMultilevel"/>
    <w:tmpl w:val="32764C0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B5272"/>
    <w:multiLevelType w:val="hybridMultilevel"/>
    <w:tmpl w:val="5FEC5A4A"/>
    <w:lvl w:ilvl="0" w:tplc="C7000616">
      <w:start w:val="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8C52F78"/>
    <w:multiLevelType w:val="hybridMultilevel"/>
    <w:tmpl w:val="AE6C05B4"/>
    <w:lvl w:ilvl="0" w:tplc="C700061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DEE1C5B"/>
    <w:multiLevelType w:val="hybridMultilevel"/>
    <w:tmpl w:val="F384D5F0"/>
    <w:lvl w:ilvl="0" w:tplc="8F0AFC3A">
      <w:start w:val="1"/>
      <w:numFmt w:val="low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7" w15:restartNumberingAfterBreak="0">
    <w:nsid w:val="3EA7527B"/>
    <w:multiLevelType w:val="hybridMultilevel"/>
    <w:tmpl w:val="D932D7C6"/>
    <w:lvl w:ilvl="0" w:tplc="C7000616">
      <w:start w:val="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FC11B9F"/>
    <w:multiLevelType w:val="hybridMultilevel"/>
    <w:tmpl w:val="DA3CB0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199568F"/>
    <w:multiLevelType w:val="hybridMultilevel"/>
    <w:tmpl w:val="B4E40C64"/>
    <w:lvl w:ilvl="0" w:tplc="D57EC498">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2A638A"/>
    <w:multiLevelType w:val="hybridMultilevel"/>
    <w:tmpl w:val="3B269AD0"/>
    <w:lvl w:ilvl="0" w:tplc="D4EE45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59C360E"/>
    <w:multiLevelType w:val="multilevel"/>
    <w:tmpl w:val="BE566440"/>
    <w:lvl w:ilvl="0">
      <w:start w:val="1"/>
      <w:numFmt w:val="bullet"/>
      <w:pStyle w:val="BulletList"/>
      <w:lvlText w:val=""/>
      <w:lvlJc w:val="left"/>
      <w:pPr>
        <w:tabs>
          <w:tab w:val="num" w:pos="1843"/>
        </w:tabs>
        <w:ind w:left="1843" w:hanging="425"/>
      </w:pPr>
      <w:rPr>
        <w:rFonts w:ascii="Symbol" w:hAnsi="Symbol" w:hint="default"/>
        <w:sz w:val="22"/>
      </w:rPr>
    </w:lvl>
    <w:lvl w:ilvl="1">
      <w:start w:val="1"/>
      <w:numFmt w:val="bullet"/>
      <w:lvlText w:val="­"/>
      <w:lvlJc w:val="left"/>
      <w:pPr>
        <w:tabs>
          <w:tab w:val="num" w:pos="2268"/>
        </w:tabs>
        <w:ind w:left="2268" w:hanging="425"/>
      </w:pPr>
      <w:rPr>
        <w:rFonts w:ascii="Times New Roman" w:hAnsi="Times New Roman" w:hint="default"/>
        <w:sz w:val="22"/>
      </w:rPr>
    </w:lvl>
    <w:lvl w:ilvl="2">
      <w:start w:val="1"/>
      <w:numFmt w:val="bullet"/>
      <w:lvlText w:val=""/>
      <w:lvlJc w:val="left"/>
      <w:pPr>
        <w:tabs>
          <w:tab w:val="num" w:pos="2693"/>
        </w:tabs>
        <w:ind w:left="2693" w:hanging="425"/>
      </w:pPr>
      <w:rPr>
        <w:rFonts w:ascii="Wingdings" w:hAnsi="Wingdings"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8BF1392"/>
    <w:multiLevelType w:val="hybridMultilevel"/>
    <w:tmpl w:val="D66A576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A033D"/>
    <w:multiLevelType w:val="hybridMultilevel"/>
    <w:tmpl w:val="4E626ABA"/>
    <w:lvl w:ilvl="0" w:tplc="74844890">
      <w:start w:val="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9E908C2"/>
    <w:multiLevelType w:val="hybridMultilevel"/>
    <w:tmpl w:val="E752C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C457D90"/>
    <w:multiLevelType w:val="hybridMultilevel"/>
    <w:tmpl w:val="C538A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46F46AF"/>
    <w:multiLevelType w:val="hybridMultilevel"/>
    <w:tmpl w:val="F368842A"/>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6CF509D"/>
    <w:multiLevelType w:val="hybridMultilevel"/>
    <w:tmpl w:val="9EB29C6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9" w15:restartNumberingAfterBreak="0">
    <w:nsid w:val="6CD7512C"/>
    <w:multiLevelType w:val="hybridMultilevel"/>
    <w:tmpl w:val="930A5094"/>
    <w:lvl w:ilvl="0" w:tplc="C700061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D162A1C"/>
    <w:multiLevelType w:val="hybridMultilevel"/>
    <w:tmpl w:val="4B4061A0"/>
    <w:lvl w:ilvl="0" w:tplc="4B706184">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6D5365FA"/>
    <w:multiLevelType w:val="hybridMultilevel"/>
    <w:tmpl w:val="CE843724"/>
    <w:lvl w:ilvl="0" w:tplc="C7000616">
      <w:start w:val="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F3F1B9D"/>
    <w:multiLevelType w:val="hybridMultilevel"/>
    <w:tmpl w:val="67549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864DE"/>
    <w:multiLevelType w:val="hybridMultilevel"/>
    <w:tmpl w:val="D840CDA0"/>
    <w:lvl w:ilvl="0" w:tplc="FFFFFFFF">
      <w:start w:val="1"/>
      <w:numFmt w:val="bullet"/>
      <w:lvlText w:val="-"/>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1B74A03"/>
    <w:multiLevelType w:val="hybridMultilevel"/>
    <w:tmpl w:val="358ED8FE"/>
    <w:lvl w:ilvl="0" w:tplc="C7000616">
      <w:start w:val="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0A3071"/>
    <w:multiLevelType w:val="hybridMultilevel"/>
    <w:tmpl w:val="50EA8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9C66F65"/>
    <w:multiLevelType w:val="multilevel"/>
    <w:tmpl w:val="1D746DB4"/>
    <w:lvl w:ilvl="0">
      <w:start w:val="4"/>
      <w:numFmt w:val="decimal"/>
      <w:lvlText w:val="%1"/>
      <w:lvlJc w:val="left"/>
      <w:pPr>
        <w:tabs>
          <w:tab w:val="num" w:pos="720"/>
        </w:tabs>
        <w:ind w:left="720" w:hanging="720"/>
      </w:pPr>
      <w:rPr>
        <w:rFonts w:hint="default"/>
      </w:rPr>
    </w:lvl>
    <w:lvl w:ilvl="1">
      <w:start w:val="1"/>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EF84A0F"/>
    <w:multiLevelType w:val="hybridMultilevel"/>
    <w:tmpl w:val="655C0024"/>
    <w:lvl w:ilvl="0" w:tplc="9350CC0C">
      <w:start w:val="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863907201">
    <w:abstractNumId w:val="36"/>
  </w:num>
  <w:num w:numId="2" w16cid:durableId="1743795848">
    <w:abstractNumId w:val="1"/>
    <w:lvlOverride w:ilvl="0">
      <w:lvl w:ilvl="0">
        <w:start w:val="1"/>
        <w:numFmt w:val="bullet"/>
        <w:lvlText w:val="-"/>
        <w:legacy w:legacy="1" w:legacySpace="0" w:legacyIndent="360"/>
        <w:lvlJc w:val="left"/>
        <w:pPr>
          <w:ind w:left="360" w:hanging="360"/>
        </w:pPr>
      </w:lvl>
    </w:lvlOverride>
  </w:num>
  <w:num w:numId="3" w16cid:durableId="319967635">
    <w:abstractNumId w:val="32"/>
  </w:num>
  <w:num w:numId="4" w16cid:durableId="115026039">
    <w:abstractNumId w:val="13"/>
  </w:num>
  <w:num w:numId="5" w16cid:durableId="2019312325">
    <w:abstractNumId w:val="27"/>
  </w:num>
  <w:num w:numId="6" w16cid:durableId="210458247">
    <w:abstractNumId w:val="11"/>
  </w:num>
  <w:num w:numId="7" w16cid:durableId="1932424641">
    <w:abstractNumId w:val="22"/>
  </w:num>
  <w:num w:numId="8" w16cid:durableId="1424837052">
    <w:abstractNumId w:val="10"/>
  </w:num>
  <w:num w:numId="9" w16cid:durableId="970869092">
    <w:abstractNumId w:val="28"/>
  </w:num>
  <w:num w:numId="10" w16cid:durableId="1200898754">
    <w:abstractNumId w:val="7"/>
  </w:num>
  <w:num w:numId="11" w16cid:durableId="2088916083">
    <w:abstractNumId w:val="19"/>
  </w:num>
  <w:num w:numId="12" w16cid:durableId="301665106">
    <w:abstractNumId w:val="33"/>
  </w:num>
  <w:num w:numId="13" w16cid:durableId="1687487984">
    <w:abstractNumId w:val="26"/>
  </w:num>
  <w:num w:numId="14" w16cid:durableId="561065876">
    <w:abstractNumId w:val="21"/>
  </w:num>
  <w:num w:numId="15" w16cid:durableId="2005618900">
    <w:abstractNumId w:val="30"/>
  </w:num>
  <w:num w:numId="16" w16cid:durableId="415857967">
    <w:abstractNumId w:val="5"/>
  </w:num>
  <w:num w:numId="17" w16cid:durableId="393043433">
    <w:abstractNumId w:val="16"/>
  </w:num>
  <w:num w:numId="18" w16cid:durableId="1811511721">
    <w:abstractNumId w:val="18"/>
  </w:num>
  <w:num w:numId="19" w16cid:durableId="101344234">
    <w:abstractNumId w:val="35"/>
  </w:num>
  <w:num w:numId="20" w16cid:durableId="519703000">
    <w:abstractNumId w:val="2"/>
  </w:num>
  <w:num w:numId="21" w16cid:durableId="239828202">
    <w:abstractNumId w:val="25"/>
  </w:num>
  <w:num w:numId="22" w16cid:durableId="1184129779">
    <w:abstractNumId w:val="8"/>
  </w:num>
  <w:num w:numId="23" w16cid:durableId="1612325388">
    <w:abstractNumId w:val="3"/>
  </w:num>
  <w:num w:numId="24" w16cid:durableId="1910649189">
    <w:abstractNumId w:val="14"/>
  </w:num>
  <w:num w:numId="25" w16cid:durableId="889532759">
    <w:abstractNumId w:val="4"/>
  </w:num>
  <w:num w:numId="26" w16cid:durableId="958029230">
    <w:abstractNumId w:val="31"/>
  </w:num>
  <w:num w:numId="27" w16cid:durableId="1675304931">
    <w:abstractNumId w:val="34"/>
  </w:num>
  <w:num w:numId="28" w16cid:durableId="553807799">
    <w:abstractNumId w:val="17"/>
  </w:num>
  <w:num w:numId="29" w16cid:durableId="8996628">
    <w:abstractNumId w:val="29"/>
  </w:num>
  <w:num w:numId="30" w16cid:durableId="730350322">
    <w:abstractNumId w:val="15"/>
  </w:num>
  <w:num w:numId="31" w16cid:durableId="448352733">
    <w:abstractNumId w:val="37"/>
  </w:num>
  <w:num w:numId="32" w16cid:durableId="185405973">
    <w:abstractNumId w:val="23"/>
  </w:num>
  <w:num w:numId="33" w16cid:durableId="2094161772">
    <w:abstractNumId w:val="0"/>
  </w:num>
  <w:num w:numId="34" w16cid:durableId="775096674">
    <w:abstractNumId w:val="9"/>
  </w:num>
  <w:num w:numId="35" w16cid:durableId="1826629252">
    <w:abstractNumId w:val="6"/>
  </w:num>
  <w:num w:numId="36" w16cid:durableId="438380233">
    <w:abstractNumId w:val="12"/>
  </w:num>
  <w:num w:numId="37" w16cid:durableId="1715081614">
    <w:abstractNumId w:val="20"/>
  </w:num>
  <w:num w:numId="38" w16cid:durableId="15847971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2A"/>
    <w:rsid w:val="00003AFE"/>
    <w:rsid w:val="00003C31"/>
    <w:rsid w:val="000054BD"/>
    <w:rsid w:val="00005CEA"/>
    <w:rsid w:val="00006BCB"/>
    <w:rsid w:val="000079B8"/>
    <w:rsid w:val="00010CB9"/>
    <w:rsid w:val="000126C8"/>
    <w:rsid w:val="000126EF"/>
    <w:rsid w:val="00013BC9"/>
    <w:rsid w:val="00014B42"/>
    <w:rsid w:val="00017AA6"/>
    <w:rsid w:val="00020BD8"/>
    <w:rsid w:val="00020ED7"/>
    <w:rsid w:val="00022349"/>
    <w:rsid w:val="00023716"/>
    <w:rsid w:val="000258B8"/>
    <w:rsid w:val="00025F63"/>
    <w:rsid w:val="000311FE"/>
    <w:rsid w:val="00034403"/>
    <w:rsid w:val="00034D90"/>
    <w:rsid w:val="00036A41"/>
    <w:rsid w:val="000432CC"/>
    <w:rsid w:val="0004403B"/>
    <w:rsid w:val="00044304"/>
    <w:rsid w:val="00044789"/>
    <w:rsid w:val="00045BF2"/>
    <w:rsid w:val="000469D5"/>
    <w:rsid w:val="00050E9B"/>
    <w:rsid w:val="00051686"/>
    <w:rsid w:val="00051FFF"/>
    <w:rsid w:val="00053053"/>
    <w:rsid w:val="00054D8B"/>
    <w:rsid w:val="000565BB"/>
    <w:rsid w:val="00056916"/>
    <w:rsid w:val="00056B17"/>
    <w:rsid w:val="00057948"/>
    <w:rsid w:val="00060390"/>
    <w:rsid w:val="000608B3"/>
    <w:rsid w:val="00062B84"/>
    <w:rsid w:val="00062D42"/>
    <w:rsid w:val="00063265"/>
    <w:rsid w:val="000645C0"/>
    <w:rsid w:val="0007004E"/>
    <w:rsid w:val="0007043E"/>
    <w:rsid w:val="000706DC"/>
    <w:rsid w:val="00071A19"/>
    <w:rsid w:val="00071C93"/>
    <w:rsid w:val="000745C5"/>
    <w:rsid w:val="00076E56"/>
    <w:rsid w:val="000776E0"/>
    <w:rsid w:val="00077B80"/>
    <w:rsid w:val="000817FA"/>
    <w:rsid w:val="00082E83"/>
    <w:rsid w:val="00083922"/>
    <w:rsid w:val="00083E4A"/>
    <w:rsid w:val="00085241"/>
    <w:rsid w:val="000858D1"/>
    <w:rsid w:val="00086D72"/>
    <w:rsid w:val="00086E39"/>
    <w:rsid w:val="00086FEC"/>
    <w:rsid w:val="00087AAC"/>
    <w:rsid w:val="00093B46"/>
    <w:rsid w:val="0009489A"/>
    <w:rsid w:val="000955B3"/>
    <w:rsid w:val="00095A3B"/>
    <w:rsid w:val="000A167B"/>
    <w:rsid w:val="000A3992"/>
    <w:rsid w:val="000A3CA2"/>
    <w:rsid w:val="000A7348"/>
    <w:rsid w:val="000B0D00"/>
    <w:rsid w:val="000B0ED8"/>
    <w:rsid w:val="000B2AB5"/>
    <w:rsid w:val="000B516D"/>
    <w:rsid w:val="000B52D9"/>
    <w:rsid w:val="000C043B"/>
    <w:rsid w:val="000C17C3"/>
    <w:rsid w:val="000C28F7"/>
    <w:rsid w:val="000C2DE9"/>
    <w:rsid w:val="000C533F"/>
    <w:rsid w:val="000C7448"/>
    <w:rsid w:val="000D1938"/>
    <w:rsid w:val="000D1BBF"/>
    <w:rsid w:val="000D2902"/>
    <w:rsid w:val="000D2C6A"/>
    <w:rsid w:val="000D43DB"/>
    <w:rsid w:val="000D6483"/>
    <w:rsid w:val="000D6615"/>
    <w:rsid w:val="000D6F08"/>
    <w:rsid w:val="000E056E"/>
    <w:rsid w:val="000E0C6D"/>
    <w:rsid w:val="000E143A"/>
    <w:rsid w:val="000E2D1B"/>
    <w:rsid w:val="000E2E2B"/>
    <w:rsid w:val="000E372A"/>
    <w:rsid w:val="000E77F9"/>
    <w:rsid w:val="000F01C1"/>
    <w:rsid w:val="000F27BC"/>
    <w:rsid w:val="000F2FBF"/>
    <w:rsid w:val="000F3754"/>
    <w:rsid w:val="000F3B33"/>
    <w:rsid w:val="000F6089"/>
    <w:rsid w:val="000F7CEE"/>
    <w:rsid w:val="0010324E"/>
    <w:rsid w:val="00103B30"/>
    <w:rsid w:val="00103DC9"/>
    <w:rsid w:val="00104B85"/>
    <w:rsid w:val="00106958"/>
    <w:rsid w:val="001075DF"/>
    <w:rsid w:val="001078B0"/>
    <w:rsid w:val="00112EBB"/>
    <w:rsid w:val="00113440"/>
    <w:rsid w:val="00113477"/>
    <w:rsid w:val="00116A6B"/>
    <w:rsid w:val="00117D7C"/>
    <w:rsid w:val="00117E0B"/>
    <w:rsid w:val="0012397E"/>
    <w:rsid w:val="0012679C"/>
    <w:rsid w:val="001269E4"/>
    <w:rsid w:val="001279CD"/>
    <w:rsid w:val="00127B24"/>
    <w:rsid w:val="00131F8D"/>
    <w:rsid w:val="00133715"/>
    <w:rsid w:val="00134A59"/>
    <w:rsid w:val="00135F54"/>
    <w:rsid w:val="00136143"/>
    <w:rsid w:val="0013695E"/>
    <w:rsid w:val="00136A4E"/>
    <w:rsid w:val="00136C48"/>
    <w:rsid w:val="001370E9"/>
    <w:rsid w:val="00137219"/>
    <w:rsid w:val="00140F33"/>
    <w:rsid w:val="00140F41"/>
    <w:rsid w:val="00142608"/>
    <w:rsid w:val="001428FA"/>
    <w:rsid w:val="00142A2F"/>
    <w:rsid w:val="00142AAE"/>
    <w:rsid w:val="00143342"/>
    <w:rsid w:val="00145021"/>
    <w:rsid w:val="00145A38"/>
    <w:rsid w:val="00146262"/>
    <w:rsid w:val="00150443"/>
    <w:rsid w:val="0015244F"/>
    <w:rsid w:val="00153961"/>
    <w:rsid w:val="001549F0"/>
    <w:rsid w:val="00155802"/>
    <w:rsid w:val="00155C7B"/>
    <w:rsid w:val="00155F0E"/>
    <w:rsid w:val="00157F83"/>
    <w:rsid w:val="00160997"/>
    <w:rsid w:val="001620EB"/>
    <w:rsid w:val="00162339"/>
    <w:rsid w:val="00162741"/>
    <w:rsid w:val="0016277F"/>
    <w:rsid w:val="00162874"/>
    <w:rsid w:val="001639B9"/>
    <w:rsid w:val="00167260"/>
    <w:rsid w:val="001674E3"/>
    <w:rsid w:val="00167F59"/>
    <w:rsid w:val="00173FD1"/>
    <w:rsid w:val="001751C1"/>
    <w:rsid w:val="00175C2C"/>
    <w:rsid w:val="00177D54"/>
    <w:rsid w:val="0018138D"/>
    <w:rsid w:val="001814BE"/>
    <w:rsid w:val="0018408B"/>
    <w:rsid w:val="001848EA"/>
    <w:rsid w:val="001863EB"/>
    <w:rsid w:val="001900B4"/>
    <w:rsid w:val="001920CF"/>
    <w:rsid w:val="001A37E3"/>
    <w:rsid w:val="001A37E7"/>
    <w:rsid w:val="001A4957"/>
    <w:rsid w:val="001A4E36"/>
    <w:rsid w:val="001A59F2"/>
    <w:rsid w:val="001A5A37"/>
    <w:rsid w:val="001B135F"/>
    <w:rsid w:val="001B2321"/>
    <w:rsid w:val="001B3AB0"/>
    <w:rsid w:val="001B68EE"/>
    <w:rsid w:val="001B7962"/>
    <w:rsid w:val="001C04A6"/>
    <w:rsid w:val="001C1472"/>
    <w:rsid w:val="001C1E3A"/>
    <w:rsid w:val="001C2D11"/>
    <w:rsid w:val="001C3156"/>
    <w:rsid w:val="001C34CE"/>
    <w:rsid w:val="001C40D9"/>
    <w:rsid w:val="001C4848"/>
    <w:rsid w:val="001C7D39"/>
    <w:rsid w:val="001D3004"/>
    <w:rsid w:val="001D42A0"/>
    <w:rsid w:val="001D4502"/>
    <w:rsid w:val="001D4CA6"/>
    <w:rsid w:val="001D4DD8"/>
    <w:rsid w:val="001D514D"/>
    <w:rsid w:val="001D5EC4"/>
    <w:rsid w:val="001E0583"/>
    <w:rsid w:val="001E206C"/>
    <w:rsid w:val="001E2B12"/>
    <w:rsid w:val="001E6AC4"/>
    <w:rsid w:val="001E6F7F"/>
    <w:rsid w:val="001E7461"/>
    <w:rsid w:val="001E7B08"/>
    <w:rsid w:val="001F2522"/>
    <w:rsid w:val="001F27D5"/>
    <w:rsid w:val="001F4DA8"/>
    <w:rsid w:val="001F7188"/>
    <w:rsid w:val="0020382D"/>
    <w:rsid w:val="00203B76"/>
    <w:rsid w:val="0020558F"/>
    <w:rsid w:val="002063AA"/>
    <w:rsid w:val="00207E3F"/>
    <w:rsid w:val="00210208"/>
    <w:rsid w:val="0021030C"/>
    <w:rsid w:val="00210EFF"/>
    <w:rsid w:val="00211055"/>
    <w:rsid w:val="00211866"/>
    <w:rsid w:val="00211FF6"/>
    <w:rsid w:val="00214934"/>
    <w:rsid w:val="00214A7A"/>
    <w:rsid w:val="0021698C"/>
    <w:rsid w:val="00221E2A"/>
    <w:rsid w:val="00222540"/>
    <w:rsid w:val="002228B4"/>
    <w:rsid w:val="00223679"/>
    <w:rsid w:val="00223A87"/>
    <w:rsid w:val="0022795B"/>
    <w:rsid w:val="002340C1"/>
    <w:rsid w:val="0023658D"/>
    <w:rsid w:val="00236762"/>
    <w:rsid w:val="002371B5"/>
    <w:rsid w:val="00237AA3"/>
    <w:rsid w:val="00240B4C"/>
    <w:rsid w:val="00241A74"/>
    <w:rsid w:val="00245259"/>
    <w:rsid w:val="00246028"/>
    <w:rsid w:val="00250AB0"/>
    <w:rsid w:val="00251BFF"/>
    <w:rsid w:val="002521D9"/>
    <w:rsid w:val="0025598B"/>
    <w:rsid w:val="00257175"/>
    <w:rsid w:val="002612BD"/>
    <w:rsid w:val="00261796"/>
    <w:rsid w:val="002635D2"/>
    <w:rsid w:val="0026381C"/>
    <w:rsid w:val="00263A04"/>
    <w:rsid w:val="00271F86"/>
    <w:rsid w:val="00272683"/>
    <w:rsid w:val="00272F53"/>
    <w:rsid w:val="0027306A"/>
    <w:rsid w:val="002747E8"/>
    <w:rsid w:val="002759FF"/>
    <w:rsid w:val="00277227"/>
    <w:rsid w:val="00281126"/>
    <w:rsid w:val="00282323"/>
    <w:rsid w:val="0028446E"/>
    <w:rsid w:val="00284D9D"/>
    <w:rsid w:val="00285510"/>
    <w:rsid w:val="00285AA0"/>
    <w:rsid w:val="00287D04"/>
    <w:rsid w:val="00287FE6"/>
    <w:rsid w:val="0029025D"/>
    <w:rsid w:val="00290EB3"/>
    <w:rsid w:val="002927AC"/>
    <w:rsid w:val="002931C7"/>
    <w:rsid w:val="00293A51"/>
    <w:rsid w:val="00294BC9"/>
    <w:rsid w:val="00296025"/>
    <w:rsid w:val="002A01C4"/>
    <w:rsid w:val="002A0485"/>
    <w:rsid w:val="002A0810"/>
    <w:rsid w:val="002A32CD"/>
    <w:rsid w:val="002A472D"/>
    <w:rsid w:val="002A49F0"/>
    <w:rsid w:val="002A6FF9"/>
    <w:rsid w:val="002A72DF"/>
    <w:rsid w:val="002B0741"/>
    <w:rsid w:val="002B1CCE"/>
    <w:rsid w:val="002B1F5F"/>
    <w:rsid w:val="002B4211"/>
    <w:rsid w:val="002B44F2"/>
    <w:rsid w:val="002B47AE"/>
    <w:rsid w:val="002B578E"/>
    <w:rsid w:val="002B5F0C"/>
    <w:rsid w:val="002C0CCB"/>
    <w:rsid w:val="002C11C3"/>
    <w:rsid w:val="002C15E2"/>
    <w:rsid w:val="002C2441"/>
    <w:rsid w:val="002C449A"/>
    <w:rsid w:val="002C5C0E"/>
    <w:rsid w:val="002C6178"/>
    <w:rsid w:val="002C68FE"/>
    <w:rsid w:val="002D0C04"/>
    <w:rsid w:val="002D1EF6"/>
    <w:rsid w:val="002D3720"/>
    <w:rsid w:val="002D7754"/>
    <w:rsid w:val="002E02AE"/>
    <w:rsid w:val="002E1BC3"/>
    <w:rsid w:val="002E461D"/>
    <w:rsid w:val="002E4BD1"/>
    <w:rsid w:val="002E7482"/>
    <w:rsid w:val="002F1475"/>
    <w:rsid w:val="002F18A3"/>
    <w:rsid w:val="002F2474"/>
    <w:rsid w:val="002F449A"/>
    <w:rsid w:val="002F51F6"/>
    <w:rsid w:val="002F626C"/>
    <w:rsid w:val="002F674A"/>
    <w:rsid w:val="00300C9E"/>
    <w:rsid w:val="00302C6B"/>
    <w:rsid w:val="00304831"/>
    <w:rsid w:val="00307103"/>
    <w:rsid w:val="00307B22"/>
    <w:rsid w:val="00310278"/>
    <w:rsid w:val="0031244D"/>
    <w:rsid w:val="00313783"/>
    <w:rsid w:val="00313B2B"/>
    <w:rsid w:val="0031452A"/>
    <w:rsid w:val="0031569A"/>
    <w:rsid w:val="00315B82"/>
    <w:rsid w:val="00316553"/>
    <w:rsid w:val="00316E6C"/>
    <w:rsid w:val="00322A6A"/>
    <w:rsid w:val="00324C4A"/>
    <w:rsid w:val="0032535F"/>
    <w:rsid w:val="003302E6"/>
    <w:rsid w:val="00333544"/>
    <w:rsid w:val="0033578F"/>
    <w:rsid w:val="00335A60"/>
    <w:rsid w:val="00336C88"/>
    <w:rsid w:val="00337B41"/>
    <w:rsid w:val="00337C8F"/>
    <w:rsid w:val="00337F21"/>
    <w:rsid w:val="00340112"/>
    <w:rsid w:val="0034079D"/>
    <w:rsid w:val="00340B5D"/>
    <w:rsid w:val="0034364A"/>
    <w:rsid w:val="003442FD"/>
    <w:rsid w:val="00347008"/>
    <w:rsid w:val="00347B67"/>
    <w:rsid w:val="003557C8"/>
    <w:rsid w:val="00356A21"/>
    <w:rsid w:val="00360A06"/>
    <w:rsid w:val="00360E1E"/>
    <w:rsid w:val="003616D2"/>
    <w:rsid w:val="00361A9C"/>
    <w:rsid w:val="00361BEC"/>
    <w:rsid w:val="00362F2E"/>
    <w:rsid w:val="0036437C"/>
    <w:rsid w:val="00367C18"/>
    <w:rsid w:val="00367E4A"/>
    <w:rsid w:val="00371361"/>
    <w:rsid w:val="00371B95"/>
    <w:rsid w:val="00371D84"/>
    <w:rsid w:val="0037352A"/>
    <w:rsid w:val="00373B5D"/>
    <w:rsid w:val="00376B84"/>
    <w:rsid w:val="003777E2"/>
    <w:rsid w:val="00380740"/>
    <w:rsid w:val="0038212B"/>
    <w:rsid w:val="0038354C"/>
    <w:rsid w:val="00386018"/>
    <w:rsid w:val="00387651"/>
    <w:rsid w:val="003902C9"/>
    <w:rsid w:val="00390B7C"/>
    <w:rsid w:val="00392435"/>
    <w:rsid w:val="0039484F"/>
    <w:rsid w:val="00395558"/>
    <w:rsid w:val="00395A1A"/>
    <w:rsid w:val="00395B78"/>
    <w:rsid w:val="0039742F"/>
    <w:rsid w:val="003A0402"/>
    <w:rsid w:val="003A1832"/>
    <w:rsid w:val="003A22FF"/>
    <w:rsid w:val="003A2950"/>
    <w:rsid w:val="003A32AC"/>
    <w:rsid w:val="003A44C6"/>
    <w:rsid w:val="003B2790"/>
    <w:rsid w:val="003B2DDC"/>
    <w:rsid w:val="003B36C8"/>
    <w:rsid w:val="003B3A89"/>
    <w:rsid w:val="003B7FB1"/>
    <w:rsid w:val="003C1096"/>
    <w:rsid w:val="003C1DA6"/>
    <w:rsid w:val="003C3A40"/>
    <w:rsid w:val="003C7361"/>
    <w:rsid w:val="003D089A"/>
    <w:rsid w:val="003D2277"/>
    <w:rsid w:val="003D2784"/>
    <w:rsid w:val="003D483C"/>
    <w:rsid w:val="003D5ACB"/>
    <w:rsid w:val="003D6596"/>
    <w:rsid w:val="003D69AD"/>
    <w:rsid w:val="003D718D"/>
    <w:rsid w:val="003E2220"/>
    <w:rsid w:val="003E2E79"/>
    <w:rsid w:val="003E612F"/>
    <w:rsid w:val="003E6A5C"/>
    <w:rsid w:val="003F0B67"/>
    <w:rsid w:val="003F0F64"/>
    <w:rsid w:val="003F296B"/>
    <w:rsid w:val="003F45C4"/>
    <w:rsid w:val="003F47F8"/>
    <w:rsid w:val="003F6E71"/>
    <w:rsid w:val="003F7261"/>
    <w:rsid w:val="0040215C"/>
    <w:rsid w:val="00403AA7"/>
    <w:rsid w:val="00405338"/>
    <w:rsid w:val="00407EA5"/>
    <w:rsid w:val="00410DB0"/>
    <w:rsid w:val="00411D9A"/>
    <w:rsid w:val="00421403"/>
    <w:rsid w:val="004229BB"/>
    <w:rsid w:val="004256B4"/>
    <w:rsid w:val="0042598C"/>
    <w:rsid w:val="00426E6C"/>
    <w:rsid w:val="00427507"/>
    <w:rsid w:val="00431006"/>
    <w:rsid w:val="004310AB"/>
    <w:rsid w:val="00432C85"/>
    <w:rsid w:val="00434BE3"/>
    <w:rsid w:val="00436A4B"/>
    <w:rsid w:val="00436D4C"/>
    <w:rsid w:val="00437C6F"/>
    <w:rsid w:val="0044111D"/>
    <w:rsid w:val="00441CDE"/>
    <w:rsid w:val="00442A9B"/>
    <w:rsid w:val="00443AA0"/>
    <w:rsid w:val="0044435B"/>
    <w:rsid w:val="00444512"/>
    <w:rsid w:val="00444596"/>
    <w:rsid w:val="004448ED"/>
    <w:rsid w:val="00446275"/>
    <w:rsid w:val="00446618"/>
    <w:rsid w:val="004504AC"/>
    <w:rsid w:val="00450D8B"/>
    <w:rsid w:val="004510A6"/>
    <w:rsid w:val="004544E6"/>
    <w:rsid w:val="004612E5"/>
    <w:rsid w:val="00462F75"/>
    <w:rsid w:val="00463E82"/>
    <w:rsid w:val="00466440"/>
    <w:rsid w:val="004664BA"/>
    <w:rsid w:val="00466F1C"/>
    <w:rsid w:val="004709D4"/>
    <w:rsid w:val="004735D1"/>
    <w:rsid w:val="00477FBE"/>
    <w:rsid w:val="00480B02"/>
    <w:rsid w:val="00482F68"/>
    <w:rsid w:val="00483F3F"/>
    <w:rsid w:val="004846A7"/>
    <w:rsid w:val="00484C52"/>
    <w:rsid w:val="00485C92"/>
    <w:rsid w:val="00490958"/>
    <w:rsid w:val="004909AB"/>
    <w:rsid w:val="004938F2"/>
    <w:rsid w:val="00493E08"/>
    <w:rsid w:val="004978A1"/>
    <w:rsid w:val="00497927"/>
    <w:rsid w:val="00497974"/>
    <w:rsid w:val="004A236C"/>
    <w:rsid w:val="004A323E"/>
    <w:rsid w:val="004A3A74"/>
    <w:rsid w:val="004A3F3C"/>
    <w:rsid w:val="004A40D6"/>
    <w:rsid w:val="004A62F4"/>
    <w:rsid w:val="004A6724"/>
    <w:rsid w:val="004A6B3B"/>
    <w:rsid w:val="004A752A"/>
    <w:rsid w:val="004B19B3"/>
    <w:rsid w:val="004B4299"/>
    <w:rsid w:val="004B462C"/>
    <w:rsid w:val="004C1177"/>
    <w:rsid w:val="004C1946"/>
    <w:rsid w:val="004C38F2"/>
    <w:rsid w:val="004C3A6A"/>
    <w:rsid w:val="004C3AA1"/>
    <w:rsid w:val="004C4F37"/>
    <w:rsid w:val="004C5A32"/>
    <w:rsid w:val="004C7F4F"/>
    <w:rsid w:val="004D01F6"/>
    <w:rsid w:val="004D2B5E"/>
    <w:rsid w:val="004D2BFB"/>
    <w:rsid w:val="004D41BE"/>
    <w:rsid w:val="004D4B2B"/>
    <w:rsid w:val="004D7C81"/>
    <w:rsid w:val="004E0BF8"/>
    <w:rsid w:val="004E1966"/>
    <w:rsid w:val="004E2678"/>
    <w:rsid w:val="004E2C33"/>
    <w:rsid w:val="004E2CBC"/>
    <w:rsid w:val="004E343B"/>
    <w:rsid w:val="004E4F5D"/>
    <w:rsid w:val="004E5C2A"/>
    <w:rsid w:val="004E62CC"/>
    <w:rsid w:val="004F1053"/>
    <w:rsid w:val="004F406D"/>
    <w:rsid w:val="004F6CC4"/>
    <w:rsid w:val="0050031C"/>
    <w:rsid w:val="00501649"/>
    <w:rsid w:val="00502D03"/>
    <w:rsid w:val="00502FE4"/>
    <w:rsid w:val="00504230"/>
    <w:rsid w:val="00506D0C"/>
    <w:rsid w:val="005115D1"/>
    <w:rsid w:val="00511704"/>
    <w:rsid w:val="005136BF"/>
    <w:rsid w:val="0052111A"/>
    <w:rsid w:val="00521CA0"/>
    <w:rsid w:val="00522260"/>
    <w:rsid w:val="005227D4"/>
    <w:rsid w:val="0052392A"/>
    <w:rsid w:val="00525453"/>
    <w:rsid w:val="00525F0C"/>
    <w:rsid w:val="00527206"/>
    <w:rsid w:val="00527D76"/>
    <w:rsid w:val="0053146B"/>
    <w:rsid w:val="00531F7F"/>
    <w:rsid w:val="0053217C"/>
    <w:rsid w:val="005322E1"/>
    <w:rsid w:val="005327D9"/>
    <w:rsid w:val="0053375C"/>
    <w:rsid w:val="005352BE"/>
    <w:rsid w:val="00535BCA"/>
    <w:rsid w:val="00535C02"/>
    <w:rsid w:val="00537034"/>
    <w:rsid w:val="0053722A"/>
    <w:rsid w:val="005376D7"/>
    <w:rsid w:val="005378D6"/>
    <w:rsid w:val="0054203B"/>
    <w:rsid w:val="005438E5"/>
    <w:rsid w:val="005464FD"/>
    <w:rsid w:val="00553D1F"/>
    <w:rsid w:val="00554109"/>
    <w:rsid w:val="0055515F"/>
    <w:rsid w:val="005552D3"/>
    <w:rsid w:val="00556A21"/>
    <w:rsid w:val="005574DC"/>
    <w:rsid w:val="00557A69"/>
    <w:rsid w:val="00563ED0"/>
    <w:rsid w:val="005668F3"/>
    <w:rsid w:val="0057490F"/>
    <w:rsid w:val="00574F1A"/>
    <w:rsid w:val="00576BCE"/>
    <w:rsid w:val="00577C96"/>
    <w:rsid w:val="0058018F"/>
    <w:rsid w:val="0058291A"/>
    <w:rsid w:val="005849CC"/>
    <w:rsid w:val="00585272"/>
    <w:rsid w:val="005852C7"/>
    <w:rsid w:val="0058536A"/>
    <w:rsid w:val="00586612"/>
    <w:rsid w:val="00590C9C"/>
    <w:rsid w:val="00592587"/>
    <w:rsid w:val="00592961"/>
    <w:rsid w:val="00595BE7"/>
    <w:rsid w:val="00595C88"/>
    <w:rsid w:val="00595EB1"/>
    <w:rsid w:val="00596250"/>
    <w:rsid w:val="00596AD2"/>
    <w:rsid w:val="005A0085"/>
    <w:rsid w:val="005A044A"/>
    <w:rsid w:val="005A28B7"/>
    <w:rsid w:val="005A613C"/>
    <w:rsid w:val="005B02AA"/>
    <w:rsid w:val="005B5310"/>
    <w:rsid w:val="005B59A9"/>
    <w:rsid w:val="005B5BE9"/>
    <w:rsid w:val="005B5E89"/>
    <w:rsid w:val="005C1534"/>
    <w:rsid w:val="005C18BA"/>
    <w:rsid w:val="005C1E8C"/>
    <w:rsid w:val="005C2FFF"/>
    <w:rsid w:val="005C38B1"/>
    <w:rsid w:val="005C41ED"/>
    <w:rsid w:val="005D0B0B"/>
    <w:rsid w:val="005D14DF"/>
    <w:rsid w:val="005D2A6B"/>
    <w:rsid w:val="005D376B"/>
    <w:rsid w:val="005D4A2A"/>
    <w:rsid w:val="005D7DDE"/>
    <w:rsid w:val="005E044B"/>
    <w:rsid w:val="005E1D2C"/>
    <w:rsid w:val="005E2CB7"/>
    <w:rsid w:val="005E2F3B"/>
    <w:rsid w:val="005E30A1"/>
    <w:rsid w:val="005E3BC4"/>
    <w:rsid w:val="005E3C63"/>
    <w:rsid w:val="005E4A3E"/>
    <w:rsid w:val="005E60CA"/>
    <w:rsid w:val="005E6D85"/>
    <w:rsid w:val="005F05DD"/>
    <w:rsid w:val="005F0890"/>
    <w:rsid w:val="005F20DF"/>
    <w:rsid w:val="005F2742"/>
    <w:rsid w:val="005F3175"/>
    <w:rsid w:val="005F4904"/>
    <w:rsid w:val="005F5266"/>
    <w:rsid w:val="005F7231"/>
    <w:rsid w:val="005F789B"/>
    <w:rsid w:val="0060084A"/>
    <w:rsid w:val="0060199A"/>
    <w:rsid w:val="00603749"/>
    <w:rsid w:val="00603B1E"/>
    <w:rsid w:val="0060472B"/>
    <w:rsid w:val="00605BE3"/>
    <w:rsid w:val="0061174E"/>
    <w:rsid w:val="00615AF1"/>
    <w:rsid w:val="00615CEA"/>
    <w:rsid w:val="00617DEE"/>
    <w:rsid w:val="006217E1"/>
    <w:rsid w:val="0062195C"/>
    <w:rsid w:val="0062263A"/>
    <w:rsid w:val="006234A3"/>
    <w:rsid w:val="0062401D"/>
    <w:rsid w:val="00625021"/>
    <w:rsid w:val="00625542"/>
    <w:rsid w:val="006268DD"/>
    <w:rsid w:val="006313BC"/>
    <w:rsid w:val="00635B26"/>
    <w:rsid w:val="0063617D"/>
    <w:rsid w:val="00637C56"/>
    <w:rsid w:val="00640A54"/>
    <w:rsid w:val="00642273"/>
    <w:rsid w:val="006429C0"/>
    <w:rsid w:val="0064365D"/>
    <w:rsid w:val="00645115"/>
    <w:rsid w:val="00645E05"/>
    <w:rsid w:val="0064642D"/>
    <w:rsid w:val="0065304F"/>
    <w:rsid w:val="0065371F"/>
    <w:rsid w:val="00654034"/>
    <w:rsid w:val="006572CC"/>
    <w:rsid w:val="0065799E"/>
    <w:rsid w:val="00660089"/>
    <w:rsid w:val="00660748"/>
    <w:rsid w:val="00661238"/>
    <w:rsid w:val="00661A5C"/>
    <w:rsid w:val="00661BD6"/>
    <w:rsid w:val="00664F29"/>
    <w:rsid w:val="00665D90"/>
    <w:rsid w:val="0067091B"/>
    <w:rsid w:val="006748F7"/>
    <w:rsid w:val="006839E4"/>
    <w:rsid w:val="00685DCD"/>
    <w:rsid w:val="006906AF"/>
    <w:rsid w:val="006929CA"/>
    <w:rsid w:val="006948AD"/>
    <w:rsid w:val="0069549E"/>
    <w:rsid w:val="006A0E24"/>
    <w:rsid w:val="006A2518"/>
    <w:rsid w:val="006A3CE7"/>
    <w:rsid w:val="006A3DE1"/>
    <w:rsid w:val="006A46D8"/>
    <w:rsid w:val="006A4F7B"/>
    <w:rsid w:val="006A5090"/>
    <w:rsid w:val="006A5C10"/>
    <w:rsid w:val="006B1FA2"/>
    <w:rsid w:val="006B29AA"/>
    <w:rsid w:val="006B557B"/>
    <w:rsid w:val="006B74BC"/>
    <w:rsid w:val="006B78C1"/>
    <w:rsid w:val="006C08B5"/>
    <w:rsid w:val="006C1D39"/>
    <w:rsid w:val="006C2BAB"/>
    <w:rsid w:val="006C2C0E"/>
    <w:rsid w:val="006C328A"/>
    <w:rsid w:val="006C3475"/>
    <w:rsid w:val="006C356F"/>
    <w:rsid w:val="006C3826"/>
    <w:rsid w:val="006C3842"/>
    <w:rsid w:val="006C51ED"/>
    <w:rsid w:val="006C5472"/>
    <w:rsid w:val="006C56A2"/>
    <w:rsid w:val="006C6C70"/>
    <w:rsid w:val="006D093B"/>
    <w:rsid w:val="006D288E"/>
    <w:rsid w:val="006D41EF"/>
    <w:rsid w:val="006D523E"/>
    <w:rsid w:val="006E2413"/>
    <w:rsid w:val="006E2C35"/>
    <w:rsid w:val="006E3664"/>
    <w:rsid w:val="006E483F"/>
    <w:rsid w:val="006E6EB5"/>
    <w:rsid w:val="006E6F16"/>
    <w:rsid w:val="006E72D1"/>
    <w:rsid w:val="006F1593"/>
    <w:rsid w:val="006F15A1"/>
    <w:rsid w:val="006F167D"/>
    <w:rsid w:val="006F36ED"/>
    <w:rsid w:val="006F40CD"/>
    <w:rsid w:val="006F70D2"/>
    <w:rsid w:val="006F781B"/>
    <w:rsid w:val="006F7CA3"/>
    <w:rsid w:val="007016E0"/>
    <w:rsid w:val="00710FF0"/>
    <w:rsid w:val="00711927"/>
    <w:rsid w:val="007128B8"/>
    <w:rsid w:val="007160B1"/>
    <w:rsid w:val="0071695B"/>
    <w:rsid w:val="0072105C"/>
    <w:rsid w:val="00721175"/>
    <w:rsid w:val="00721B42"/>
    <w:rsid w:val="00722E06"/>
    <w:rsid w:val="00724B49"/>
    <w:rsid w:val="00726FFE"/>
    <w:rsid w:val="00730851"/>
    <w:rsid w:val="00735253"/>
    <w:rsid w:val="007436DE"/>
    <w:rsid w:val="00743C0F"/>
    <w:rsid w:val="00747821"/>
    <w:rsid w:val="0075163E"/>
    <w:rsid w:val="00751F04"/>
    <w:rsid w:val="00753120"/>
    <w:rsid w:val="0075389B"/>
    <w:rsid w:val="007556C8"/>
    <w:rsid w:val="007570BC"/>
    <w:rsid w:val="00757EB8"/>
    <w:rsid w:val="00761CE2"/>
    <w:rsid w:val="00761DC0"/>
    <w:rsid w:val="007625FD"/>
    <w:rsid w:val="00765004"/>
    <w:rsid w:val="007650F9"/>
    <w:rsid w:val="00766776"/>
    <w:rsid w:val="00766D0C"/>
    <w:rsid w:val="00767544"/>
    <w:rsid w:val="00767A43"/>
    <w:rsid w:val="00771F98"/>
    <w:rsid w:val="007722CB"/>
    <w:rsid w:val="00773DAB"/>
    <w:rsid w:val="007744A0"/>
    <w:rsid w:val="007755F2"/>
    <w:rsid w:val="007772D7"/>
    <w:rsid w:val="00777DF9"/>
    <w:rsid w:val="00781A7E"/>
    <w:rsid w:val="00783B32"/>
    <w:rsid w:val="00784BAE"/>
    <w:rsid w:val="0078518A"/>
    <w:rsid w:val="00790453"/>
    <w:rsid w:val="007909B9"/>
    <w:rsid w:val="00790A4D"/>
    <w:rsid w:val="00793BC5"/>
    <w:rsid w:val="00795030"/>
    <w:rsid w:val="00796628"/>
    <w:rsid w:val="00796F12"/>
    <w:rsid w:val="007A3036"/>
    <w:rsid w:val="007A64C0"/>
    <w:rsid w:val="007B19BE"/>
    <w:rsid w:val="007B1D6B"/>
    <w:rsid w:val="007B351A"/>
    <w:rsid w:val="007B440B"/>
    <w:rsid w:val="007B61DD"/>
    <w:rsid w:val="007C48F9"/>
    <w:rsid w:val="007C5FE0"/>
    <w:rsid w:val="007C6583"/>
    <w:rsid w:val="007D0882"/>
    <w:rsid w:val="007D5A9B"/>
    <w:rsid w:val="007D5BEB"/>
    <w:rsid w:val="007D62CB"/>
    <w:rsid w:val="007E0368"/>
    <w:rsid w:val="007E1CEA"/>
    <w:rsid w:val="007E202A"/>
    <w:rsid w:val="007E2101"/>
    <w:rsid w:val="007E236C"/>
    <w:rsid w:val="007E2A59"/>
    <w:rsid w:val="007E3947"/>
    <w:rsid w:val="007E461F"/>
    <w:rsid w:val="007E6D6B"/>
    <w:rsid w:val="007F0229"/>
    <w:rsid w:val="007F1680"/>
    <w:rsid w:val="007F1EBF"/>
    <w:rsid w:val="007F29EF"/>
    <w:rsid w:val="007F3ECC"/>
    <w:rsid w:val="007F5111"/>
    <w:rsid w:val="007F6319"/>
    <w:rsid w:val="007F68E4"/>
    <w:rsid w:val="007F7CA6"/>
    <w:rsid w:val="008026A2"/>
    <w:rsid w:val="00802761"/>
    <w:rsid w:val="00803366"/>
    <w:rsid w:val="008047F3"/>
    <w:rsid w:val="00806989"/>
    <w:rsid w:val="00806BD0"/>
    <w:rsid w:val="00807A61"/>
    <w:rsid w:val="00812582"/>
    <w:rsid w:val="00813C01"/>
    <w:rsid w:val="00815B56"/>
    <w:rsid w:val="00821BA9"/>
    <w:rsid w:val="00821FBB"/>
    <w:rsid w:val="00824524"/>
    <w:rsid w:val="008254CD"/>
    <w:rsid w:val="00830062"/>
    <w:rsid w:val="00830D14"/>
    <w:rsid w:val="00831108"/>
    <w:rsid w:val="0084049F"/>
    <w:rsid w:val="00840866"/>
    <w:rsid w:val="0084160F"/>
    <w:rsid w:val="008422BF"/>
    <w:rsid w:val="00842888"/>
    <w:rsid w:val="00842B34"/>
    <w:rsid w:val="00844F36"/>
    <w:rsid w:val="008468A7"/>
    <w:rsid w:val="00847339"/>
    <w:rsid w:val="008477B5"/>
    <w:rsid w:val="00847AD1"/>
    <w:rsid w:val="00847E33"/>
    <w:rsid w:val="00851834"/>
    <w:rsid w:val="00852555"/>
    <w:rsid w:val="00854E48"/>
    <w:rsid w:val="00855157"/>
    <w:rsid w:val="00861247"/>
    <w:rsid w:val="008640D5"/>
    <w:rsid w:val="00864181"/>
    <w:rsid w:val="008665C8"/>
    <w:rsid w:val="0086693D"/>
    <w:rsid w:val="00873926"/>
    <w:rsid w:val="00873A53"/>
    <w:rsid w:val="00874B19"/>
    <w:rsid w:val="008763DD"/>
    <w:rsid w:val="00876F4C"/>
    <w:rsid w:val="00880725"/>
    <w:rsid w:val="00880BA5"/>
    <w:rsid w:val="00882302"/>
    <w:rsid w:val="0088265E"/>
    <w:rsid w:val="00887292"/>
    <w:rsid w:val="00894D64"/>
    <w:rsid w:val="008978E4"/>
    <w:rsid w:val="008A046B"/>
    <w:rsid w:val="008A1B5F"/>
    <w:rsid w:val="008A216C"/>
    <w:rsid w:val="008A2B1F"/>
    <w:rsid w:val="008A3325"/>
    <w:rsid w:val="008A3366"/>
    <w:rsid w:val="008A5E57"/>
    <w:rsid w:val="008A6612"/>
    <w:rsid w:val="008A7A3A"/>
    <w:rsid w:val="008B15CE"/>
    <w:rsid w:val="008B29A1"/>
    <w:rsid w:val="008B2A85"/>
    <w:rsid w:val="008B66ED"/>
    <w:rsid w:val="008C1B7E"/>
    <w:rsid w:val="008D06A4"/>
    <w:rsid w:val="008D10F3"/>
    <w:rsid w:val="008D1329"/>
    <w:rsid w:val="008D14A7"/>
    <w:rsid w:val="008D2877"/>
    <w:rsid w:val="008D67D5"/>
    <w:rsid w:val="008D7D6A"/>
    <w:rsid w:val="008E181C"/>
    <w:rsid w:val="008E1F7A"/>
    <w:rsid w:val="008E20C2"/>
    <w:rsid w:val="008E4567"/>
    <w:rsid w:val="008E51B6"/>
    <w:rsid w:val="008F0232"/>
    <w:rsid w:val="008F1771"/>
    <w:rsid w:val="008F36DC"/>
    <w:rsid w:val="008F382F"/>
    <w:rsid w:val="008F4AD5"/>
    <w:rsid w:val="008F668E"/>
    <w:rsid w:val="008F6806"/>
    <w:rsid w:val="008F7D21"/>
    <w:rsid w:val="00900773"/>
    <w:rsid w:val="00900F21"/>
    <w:rsid w:val="00906DE1"/>
    <w:rsid w:val="00911DAF"/>
    <w:rsid w:val="0091211B"/>
    <w:rsid w:val="0091575E"/>
    <w:rsid w:val="00916BD0"/>
    <w:rsid w:val="009171B6"/>
    <w:rsid w:val="00920F52"/>
    <w:rsid w:val="00921298"/>
    <w:rsid w:val="0092412B"/>
    <w:rsid w:val="00926DB2"/>
    <w:rsid w:val="0092775B"/>
    <w:rsid w:val="0093019F"/>
    <w:rsid w:val="00930745"/>
    <w:rsid w:val="009313CF"/>
    <w:rsid w:val="00933854"/>
    <w:rsid w:val="009355F5"/>
    <w:rsid w:val="009357F5"/>
    <w:rsid w:val="00935B38"/>
    <w:rsid w:val="009361D3"/>
    <w:rsid w:val="009431F8"/>
    <w:rsid w:val="00945CB3"/>
    <w:rsid w:val="00946986"/>
    <w:rsid w:val="00946DBD"/>
    <w:rsid w:val="00947363"/>
    <w:rsid w:val="00947EFD"/>
    <w:rsid w:val="00950B1E"/>
    <w:rsid w:val="0095500E"/>
    <w:rsid w:val="00955647"/>
    <w:rsid w:val="009558F7"/>
    <w:rsid w:val="00955EA8"/>
    <w:rsid w:val="00956E9A"/>
    <w:rsid w:val="0096124A"/>
    <w:rsid w:val="009612AB"/>
    <w:rsid w:val="00961683"/>
    <w:rsid w:val="00965D18"/>
    <w:rsid w:val="009662C4"/>
    <w:rsid w:val="00966B23"/>
    <w:rsid w:val="00966DDB"/>
    <w:rsid w:val="009736E0"/>
    <w:rsid w:val="0097374D"/>
    <w:rsid w:val="00973D6F"/>
    <w:rsid w:val="00973E1F"/>
    <w:rsid w:val="0097416E"/>
    <w:rsid w:val="009772C8"/>
    <w:rsid w:val="009779F0"/>
    <w:rsid w:val="00981FA3"/>
    <w:rsid w:val="00985156"/>
    <w:rsid w:val="009872FA"/>
    <w:rsid w:val="00992C93"/>
    <w:rsid w:val="0099324E"/>
    <w:rsid w:val="00994370"/>
    <w:rsid w:val="00994593"/>
    <w:rsid w:val="00995A81"/>
    <w:rsid w:val="00996266"/>
    <w:rsid w:val="00997691"/>
    <w:rsid w:val="009A3016"/>
    <w:rsid w:val="009A37AD"/>
    <w:rsid w:val="009A4AA4"/>
    <w:rsid w:val="009A4CFB"/>
    <w:rsid w:val="009A5654"/>
    <w:rsid w:val="009A672D"/>
    <w:rsid w:val="009A6AE8"/>
    <w:rsid w:val="009B084D"/>
    <w:rsid w:val="009B135D"/>
    <w:rsid w:val="009B1F9D"/>
    <w:rsid w:val="009B2F8C"/>
    <w:rsid w:val="009B4D97"/>
    <w:rsid w:val="009B5448"/>
    <w:rsid w:val="009B5685"/>
    <w:rsid w:val="009B578C"/>
    <w:rsid w:val="009B7DE9"/>
    <w:rsid w:val="009C3A7A"/>
    <w:rsid w:val="009D20DF"/>
    <w:rsid w:val="009D3590"/>
    <w:rsid w:val="009D6D01"/>
    <w:rsid w:val="009E0A43"/>
    <w:rsid w:val="009E0A47"/>
    <w:rsid w:val="009E22BA"/>
    <w:rsid w:val="009E2315"/>
    <w:rsid w:val="009E2902"/>
    <w:rsid w:val="009E2C77"/>
    <w:rsid w:val="009E2F79"/>
    <w:rsid w:val="009E2FF1"/>
    <w:rsid w:val="009E3C72"/>
    <w:rsid w:val="009E5606"/>
    <w:rsid w:val="009E5A5D"/>
    <w:rsid w:val="009E7B27"/>
    <w:rsid w:val="009F0E67"/>
    <w:rsid w:val="009F2278"/>
    <w:rsid w:val="009F41B3"/>
    <w:rsid w:val="009F57FB"/>
    <w:rsid w:val="00A000EA"/>
    <w:rsid w:val="00A0094E"/>
    <w:rsid w:val="00A07E58"/>
    <w:rsid w:val="00A10BDD"/>
    <w:rsid w:val="00A113E6"/>
    <w:rsid w:val="00A12885"/>
    <w:rsid w:val="00A136C5"/>
    <w:rsid w:val="00A13826"/>
    <w:rsid w:val="00A15D20"/>
    <w:rsid w:val="00A16ABD"/>
    <w:rsid w:val="00A207E4"/>
    <w:rsid w:val="00A20E5D"/>
    <w:rsid w:val="00A24D51"/>
    <w:rsid w:val="00A25A48"/>
    <w:rsid w:val="00A26774"/>
    <w:rsid w:val="00A267F8"/>
    <w:rsid w:val="00A2690B"/>
    <w:rsid w:val="00A270B3"/>
    <w:rsid w:val="00A274F1"/>
    <w:rsid w:val="00A31734"/>
    <w:rsid w:val="00A31AC2"/>
    <w:rsid w:val="00A33F1D"/>
    <w:rsid w:val="00A3687A"/>
    <w:rsid w:val="00A40666"/>
    <w:rsid w:val="00A41400"/>
    <w:rsid w:val="00A441F8"/>
    <w:rsid w:val="00A46A55"/>
    <w:rsid w:val="00A52396"/>
    <w:rsid w:val="00A54C81"/>
    <w:rsid w:val="00A561D7"/>
    <w:rsid w:val="00A56980"/>
    <w:rsid w:val="00A56B5C"/>
    <w:rsid w:val="00A57B92"/>
    <w:rsid w:val="00A61059"/>
    <w:rsid w:val="00A6351C"/>
    <w:rsid w:val="00A651FA"/>
    <w:rsid w:val="00A65960"/>
    <w:rsid w:val="00A71121"/>
    <w:rsid w:val="00A727E8"/>
    <w:rsid w:val="00A74BA2"/>
    <w:rsid w:val="00A75706"/>
    <w:rsid w:val="00A81654"/>
    <w:rsid w:val="00A83A69"/>
    <w:rsid w:val="00A87CE5"/>
    <w:rsid w:val="00A901E0"/>
    <w:rsid w:val="00A91016"/>
    <w:rsid w:val="00A92821"/>
    <w:rsid w:val="00A92BB0"/>
    <w:rsid w:val="00A93533"/>
    <w:rsid w:val="00A93DF7"/>
    <w:rsid w:val="00A9482E"/>
    <w:rsid w:val="00A9598F"/>
    <w:rsid w:val="00AA2AAC"/>
    <w:rsid w:val="00AA3393"/>
    <w:rsid w:val="00AA42FF"/>
    <w:rsid w:val="00AA6E55"/>
    <w:rsid w:val="00AA7EB2"/>
    <w:rsid w:val="00AB1476"/>
    <w:rsid w:val="00AB2096"/>
    <w:rsid w:val="00AB2E9E"/>
    <w:rsid w:val="00AB4A02"/>
    <w:rsid w:val="00AB5018"/>
    <w:rsid w:val="00AB5F5F"/>
    <w:rsid w:val="00AB60F5"/>
    <w:rsid w:val="00AB7BCE"/>
    <w:rsid w:val="00AC1CE9"/>
    <w:rsid w:val="00AC5489"/>
    <w:rsid w:val="00AC5C08"/>
    <w:rsid w:val="00AC6200"/>
    <w:rsid w:val="00AC68E6"/>
    <w:rsid w:val="00AD1929"/>
    <w:rsid w:val="00AD55EB"/>
    <w:rsid w:val="00AD68DC"/>
    <w:rsid w:val="00AD72A7"/>
    <w:rsid w:val="00AD7B50"/>
    <w:rsid w:val="00AE0062"/>
    <w:rsid w:val="00AE012A"/>
    <w:rsid w:val="00AE26D0"/>
    <w:rsid w:val="00AE3B3B"/>
    <w:rsid w:val="00AE435F"/>
    <w:rsid w:val="00AE7045"/>
    <w:rsid w:val="00AF0666"/>
    <w:rsid w:val="00AF1061"/>
    <w:rsid w:val="00AF2843"/>
    <w:rsid w:val="00AF31F5"/>
    <w:rsid w:val="00AF34DE"/>
    <w:rsid w:val="00AF4ED8"/>
    <w:rsid w:val="00AF772B"/>
    <w:rsid w:val="00B0062A"/>
    <w:rsid w:val="00B01861"/>
    <w:rsid w:val="00B01F4A"/>
    <w:rsid w:val="00B0382B"/>
    <w:rsid w:val="00B043B5"/>
    <w:rsid w:val="00B07198"/>
    <w:rsid w:val="00B07C8E"/>
    <w:rsid w:val="00B102E7"/>
    <w:rsid w:val="00B10A78"/>
    <w:rsid w:val="00B11369"/>
    <w:rsid w:val="00B12E1F"/>
    <w:rsid w:val="00B12F3A"/>
    <w:rsid w:val="00B131BC"/>
    <w:rsid w:val="00B133A1"/>
    <w:rsid w:val="00B151F5"/>
    <w:rsid w:val="00B16259"/>
    <w:rsid w:val="00B1795B"/>
    <w:rsid w:val="00B179A5"/>
    <w:rsid w:val="00B17DF4"/>
    <w:rsid w:val="00B200DF"/>
    <w:rsid w:val="00B229C1"/>
    <w:rsid w:val="00B2394A"/>
    <w:rsid w:val="00B250B3"/>
    <w:rsid w:val="00B26DB1"/>
    <w:rsid w:val="00B3055C"/>
    <w:rsid w:val="00B31533"/>
    <w:rsid w:val="00B35E2B"/>
    <w:rsid w:val="00B406C5"/>
    <w:rsid w:val="00B423A1"/>
    <w:rsid w:val="00B43DAE"/>
    <w:rsid w:val="00B44341"/>
    <w:rsid w:val="00B451B5"/>
    <w:rsid w:val="00B52157"/>
    <w:rsid w:val="00B528F4"/>
    <w:rsid w:val="00B5716E"/>
    <w:rsid w:val="00B6084F"/>
    <w:rsid w:val="00B63EA4"/>
    <w:rsid w:val="00B64EBC"/>
    <w:rsid w:val="00B66674"/>
    <w:rsid w:val="00B67500"/>
    <w:rsid w:val="00B67D93"/>
    <w:rsid w:val="00B707A9"/>
    <w:rsid w:val="00B71940"/>
    <w:rsid w:val="00B71FBC"/>
    <w:rsid w:val="00B727BD"/>
    <w:rsid w:val="00B729DC"/>
    <w:rsid w:val="00B74C00"/>
    <w:rsid w:val="00B74C0F"/>
    <w:rsid w:val="00B800DB"/>
    <w:rsid w:val="00B82488"/>
    <w:rsid w:val="00B83682"/>
    <w:rsid w:val="00B85FE1"/>
    <w:rsid w:val="00B86EE9"/>
    <w:rsid w:val="00B87958"/>
    <w:rsid w:val="00B939E6"/>
    <w:rsid w:val="00B97A5E"/>
    <w:rsid w:val="00B97AC6"/>
    <w:rsid w:val="00B97BAE"/>
    <w:rsid w:val="00BA10B9"/>
    <w:rsid w:val="00BA1189"/>
    <w:rsid w:val="00BA12DA"/>
    <w:rsid w:val="00BA1A3C"/>
    <w:rsid w:val="00BA1E39"/>
    <w:rsid w:val="00BA2D29"/>
    <w:rsid w:val="00BA3386"/>
    <w:rsid w:val="00BA3BB8"/>
    <w:rsid w:val="00BA5D84"/>
    <w:rsid w:val="00BB02AC"/>
    <w:rsid w:val="00BB1A5D"/>
    <w:rsid w:val="00BB242C"/>
    <w:rsid w:val="00BB26BA"/>
    <w:rsid w:val="00BB2A83"/>
    <w:rsid w:val="00BB536C"/>
    <w:rsid w:val="00BC0DF5"/>
    <w:rsid w:val="00BC11C6"/>
    <w:rsid w:val="00BC300F"/>
    <w:rsid w:val="00BC336E"/>
    <w:rsid w:val="00BD0508"/>
    <w:rsid w:val="00BD53BE"/>
    <w:rsid w:val="00BD5B77"/>
    <w:rsid w:val="00BD7020"/>
    <w:rsid w:val="00BD7CC1"/>
    <w:rsid w:val="00BE3C08"/>
    <w:rsid w:val="00BE4458"/>
    <w:rsid w:val="00BE4AAE"/>
    <w:rsid w:val="00BE53AE"/>
    <w:rsid w:val="00BE588B"/>
    <w:rsid w:val="00BE6850"/>
    <w:rsid w:val="00BE7DFC"/>
    <w:rsid w:val="00BF1171"/>
    <w:rsid w:val="00BF1FAB"/>
    <w:rsid w:val="00BF27A5"/>
    <w:rsid w:val="00BF47B3"/>
    <w:rsid w:val="00BF508A"/>
    <w:rsid w:val="00BF620D"/>
    <w:rsid w:val="00BF78C5"/>
    <w:rsid w:val="00BF7B59"/>
    <w:rsid w:val="00C0067F"/>
    <w:rsid w:val="00C0166E"/>
    <w:rsid w:val="00C02953"/>
    <w:rsid w:val="00C033DC"/>
    <w:rsid w:val="00C0343E"/>
    <w:rsid w:val="00C0382D"/>
    <w:rsid w:val="00C03CEB"/>
    <w:rsid w:val="00C043CE"/>
    <w:rsid w:val="00C04FA9"/>
    <w:rsid w:val="00C07DE1"/>
    <w:rsid w:val="00C15C95"/>
    <w:rsid w:val="00C16091"/>
    <w:rsid w:val="00C175AC"/>
    <w:rsid w:val="00C17CA7"/>
    <w:rsid w:val="00C20665"/>
    <w:rsid w:val="00C2214B"/>
    <w:rsid w:val="00C249BE"/>
    <w:rsid w:val="00C26AA5"/>
    <w:rsid w:val="00C26C2A"/>
    <w:rsid w:val="00C321D2"/>
    <w:rsid w:val="00C32D7C"/>
    <w:rsid w:val="00C34397"/>
    <w:rsid w:val="00C34926"/>
    <w:rsid w:val="00C425B7"/>
    <w:rsid w:val="00C42E6B"/>
    <w:rsid w:val="00C44189"/>
    <w:rsid w:val="00C44D9A"/>
    <w:rsid w:val="00C451ED"/>
    <w:rsid w:val="00C4528D"/>
    <w:rsid w:val="00C45882"/>
    <w:rsid w:val="00C46657"/>
    <w:rsid w:val="00C479E0"/>
    <w:rsid w:val="00C50FE4"/>
    <w:rsid w:val="00C5175E"/>
    <w:rsid w:val="00C51CA1"/>
    <w:rsid w:val="00C53139"/>
    <w:rsid w:val="00C53608"/>
    <w:rsid w:val="00C551EC"/>
    <w:rsid w:val="00C56BE3"/>
    <w:rsid w:val="00C56C5B"/>
    <w:rsid w:val="00C60445"/>
    <w:rsid w:val="00C60789"/>
    <w:rsid w:val="00C654DC"/>
    <w:rsid w:val="00C655AD"/>
    <w:rsid w:val="00C67B3E"/>
    <w:rsid w:val="00C7324F"/>
    <w:rsid w:val="00C73D1B"/>
    <w:rsid w:val="00C769DC"/>
    <w:rsid w:val="00C772D9"/>
    <w:rsid w:val="00C777C9"/>
    <w:rsid w:val="00C77958"/>
    <w:rsid w:val="00C812E2"/>
    <w:rsid w:val="00C823B5"/>
    <w:rsid w:val="00C828A9"/>
    <w:rsid w:val="00C82D0C"/>
    <w:rsid w:val="00C84EAB"/>
    <w:rsid w:val="00C86A72"/>
    <w:rsid w:val="00C90D4F"/>
    <w:rsid w:val="00C90FF3"/>
    <w:rsid w:val="00C95D4B"/>
    <w:rsid w:val="00C964D9"/>
    <w:rsid w:val="00C96A15"/>
    <w:rsid w:val="00C96FFC"/>
    <w:rsid w:val="00C97ABE"/>
    <w:rsid w:val="00CA0E59"/>
    <w:rsid w:val="00CA1F6A"/>
    <w:rsid w:val="00CA385B"/>
    <w:rsid w:val="00CA5F93"/>
    <w:rsid w:val="00CA7622"/>
    <w:rsid w:val="00CB04A9"/>
    <w:rsid w:val="00CB06B7"/>
    <w:rsid w:val="00CB06F3"/>
    <w:rsid w:val="00CB1259"/>
    <w:rsid w:val="00CB2153"/>
    <w:rsid w:val="00CB277C"/>
    <w:rsid w:val="00CB3EAA"/>
    <w:rsid w:val="00CB5908"/>
    <w:rsid w:val="00CB5A1A"/>
    <w:rsid w:val="00CB6F88"/>
    <w:rsid w:val="00CB7249"/>
    <w:rsid w:val="00CC5759"/>
    <w:rsid w:val="00CC6FCF"/>
    <w:rsid w:val="00CD06BD"/>
    <w:rsid w:val="00CD1CDD"/>
    <w:rsid w:val="00CD33D3"/>
    <w:rsid w:val="00CD5669"/>
    <w:rsid w:val="00CD7628"/>
    <w:rsid w:val="00CE04C5"/>
    <w:rsid w:val="00CE055D"/>
    <w:rsid w:val="00CE06FD"/>
    <w:rsid w:val="00CE17A7"/>
    <w:rsid w:val="00CE3832"/>
    <w:rsid w:val="00CE5057"/>
    <w:rsid w:val="00CF3D32"/>
    <w:rsid w:val="00CF6998"/>
    <w:rsid w:val="00CF7CAE"/>
    <w:rsid w:val="00D01B3C"/>
    <w:rsid w:val="00D02683"/>
    <w:rsid w:val="00D04BE4"/>
    <w:rsid w:val="00D06858"/>
    <w:rsid w:val="00D14F07"/>
    <w:rsid w:val="00D17854"/>
    <w:rsid w:val="00D21A06"/>
    <w:rsid w:val="00D21A61"/>
    <w:rsid w:val="00D227C3"/>
    <w:rsid w:val="00D22A93"/>
    <w:rsid w:val="00D23509"/>
    <w:rsid w:val="00D259F8"/>
    <w:rsid w:val="00D26E47"/>
    <w:rsid w:val="00D26E9D"/>
    <w:rsid w:val="00D2758C"/>
    <w:rsid w:val="00D31272"/>
    <w:rsid w:val="00D31290"/>
    <w:rsid w:val="00D31519"/>
    <w:rsid w:val="00D34789"/>
    <w:rsid w:val="00D352BD"/>
    <w:rsid w:val="00D4029F"/>
    <w:rsid w:val="00D40C45"/>
    <w:rsid w:val="00D449EA"/>
    <w:rsid w:val="00D45B8A"/>
    <w:rsid w:val="00D47E2D"/>
    <w:rsid w:val="00D5119D"/>
    <w:rsid w:val="00D5232C"/>
    <w:rsid w:val="00D54A94"/>
    <w:rsid w:val="00D55772"/>
    <w:rsid w:val="00D6033C"/>
    <w:rsid w:val="00D608E6"/>
    <w:rsid w:val="00D61806"/>
    <w:rsid w:val="00D63B76"/>
    <w:rsid w:val="00D64CF0"/>
    <w:rsid w:val="00D64E77"/>
    <w:rsid w:val="00D650C9"/>
    <w:rsid w:val="00D70CF1"/>
    <w:rsid w:val="00D71EAC"/>
    <w:rsid w:val="00D71ED9"/>
    <w:rsid w:val="00D723BE"/>
    <w:rsid w:val="00D75728"/>
    <w:rsid w:val="00D75F2B"/>
    <w:rsid w:val="00D7673F"/>
    <w:rsid w:val="00D80938"/>
    <w:rsid w:val="00D80968"/>
    <w:rsid w:val="00D8115B"/>
    <w:rsid w:val="00D81A06"/>
    <w:rsid w:val="00D82A79"/>
    <w:rsid w:val="00D83837"/>
    <w:rsid w:val="00D83ED6"/>
    <w:rsid w:val="00D85252"/>
    <w:rsid w:val="00D85E21"/>
    <w:rsid w:val="00D86B01"/>
    <w:rsid w:val="00D91F5B"/>
    <w:rsid w:val="00D92D85"/>
    <w:rsid w:val="00D96B89"/>
    <w:rsid w:val="00DA0653"/>
    <w:rsid w:val="00DA098F"/>
    <w:rsid w:val="00DA1009"/>
    <w:rsid w:val="00DA27C3"/>
    <w:rsid w:val="00DA5166"/>
    <w:rsid w:val="00DA632D"/>
    <w:rsid w:val="00DB2DB6"/>
    <w:rsid w:val="00DB5EB4"/>
    <w:rsid w:val="00DB6793"/>
    <w:rsid w:val="00DB7B88"/>
    <w:rsid w:val="00DC1336"/>
    <w:rsid w:val="00DC1665"/>
    <w:rsid w:val="00DC2187"/>
    <w:rsid w:val="00DC3ED4"/>
    <w:rsid w:val="00DC4591"/>
    <w:rsid w:val="00DC4D04"/>
    <w:rsid w:val="00DC6C73"/>
    <w:rsid w:val="00DD3388"/>
    <w:rsid w:val="00DD33BE"/>
    <w:rsid w:val="00DD3579"/>
    <w:rsid w:val="00DD483C"/>
    <w:rsid w:val="00DD4FC6"/>
    <w:rsid w:val="00DE0F4A"/>
    <w:rsid w:val="00DE1651"/>
    <w:rsid w:val="00DE39F9"/>
    <w:rsid w:val="00DF25E5"/>
    <w:rsid w:val="00DF4898"/>
    <w:rsid w:val="00DF4AE2"/>
    <w:rsid w:val="00DF6D29"/>
    <w:rsid w:val="00DF7A80"/>
    <w:rsid w:val="00E000A3"/>
    <w:rsid w:val="00E00137"/>
    <w:rsid w:val="00E045F2"/>
    <w:rsid w:val="00E1464C"/>
    <w:rsid w:val="00E14F28"/>
    <w:rsid w:val="00E15348"/>
    <w:rsid w:val="00E16FF6"/>
    <w:rsid w:val="00E17308"/>
    <w:rsid w:val="00E17B03"/>
    <w:rsid w:val="00E208B6"/>
    <w:rsid w:val="00E20F12"/>
    <w:rsid w:val="00E252FD"/>
    <w:rsid w:val="00E25723"/>
    <w:rsid w:val="00E260BC"/>
    <w:rsid w:val="00E2774F"/>
    <w:rsid w:val="00E30E3A"/>
    <w:rsid w:val="00E3180F"/>
    <w:rsid w:val="00E3235A"/>
    <w:rsid w:val="00E33548"/>
    <w:rsid w:val="00E4171C"/>
    <w:rsid w:val="00E41D7C"/>
    <w:rsid w:val="00E423C9"/>
    <w:rsid w:val="00E43BD2"/>
    <w:rsid w:val="00E43CCA"/>
    <w:rsid w:val="00E45487"/>
    <w:rsid w:val="00E45A59"/>
    <w:rsid w:val="00E462D7"/>
    <w:rsid w:val="00E475D7"/>
    <w:rsid w:val="00E47D99"/>
    <w:rsid w:val="00E51AF8"/>
    <w:rsid w:val="00E51C01"/>
    <w:rsid w:val="00E52401"/>
    <w:rsid w:val="00E5288E"/>
    <w:rsid w:val="00E628DB"/>
    <w:rsid w:val="00E62EA3"/>
    <w:rsid w:val="00E70E8D"/>
    <w:rsid w:val="00E71A3B"/>
    <w:rsid w:val="00E724DC"/>
    <w:rsid w:val="00E745A2"/>
    <w:rsid w:val="00E76CFB"/>
    <w:rsid w:val="00E77343"/>
    <w:rsid w:val="00E77D5A"/>
    <w:rsid w:val="00E804C6"/>
    <w:rsid w:val="00E8074F"/>
    <w:rsid w:val="00E81CC4"/>
    <w:rsid w:val="00E84448"/>
    <w:rsid w:val="00E84AB7"/>
    <w:rsid w:val="00E84DD2"/>
    <w:rsid w:val="00E85292"/>
    <w:rsid w:val="00E8565D"/>
    <w:rsid w:val="00E90E2A"/>
    <w:rsid w:val="00E93F7B"/>
    <w:rsid w:val="00E943EF"/>
    <w:rsid w:val="00E94A9B"/>
    <w:rsid w:val="00E95D45"/>
    <w:rsid w:val="00E9661A"/>
    <w:rsid w:val="00E97379"/>
    <w:rsid w:val="00EA0B05"/>
    <w:rsid w:val="00EA2186"/>
    <w:rsid w:val="00EA52EA"/>
    <w:rsid w:val="00EA5886"/>
    <w:rsid w:val="00EA63FD"/>
    <w:rsid w:val="00EA6981"/>
    <w:rsid w:val="00EA7EE6"/>
    <w:rsid w:val="00EB195E"/>
    <w:rsid w:val="00EB2B2C"/>
    <w:rsid w:val="00EB3A53"/>
    <w:rsid w:val="00EB6965"/>
    <w:rsid w:val="00EB6D2C"/>
    <w:rsid w:val="00EB728F"/>
    <w:rsid w:val="00EC1D6A"/>
    <w:rsid w:val="00EC3325"/>
    <w:rsid w:val="00EC63D3"/>
    <w:rsid w:val="00ED0D6F"/>
    <w:rsid w:val="00ED1171"/>
    <w:rsid w:val="00ED3061"/>
    <w:rsid w:val="00ED535C"/>
    <w:rsid w:val="00ED73C9"/>
    <w:rsid w:val="00EE3249"/>
    <w:rsid w:val="00EE4B0B"/>
    <w:rsid w:val="00EE704D"/>
    <w:rsid w:val="00EE7A69"/>
    <w:rsid w:val="00EF2CDA"/>
    <w:rsid w:val="00EF3929"/>
    <w:rsid w:val="00EF4466"/>
    <w:rsid w:val="00EF4992"/>
    <w:rsid w:val="00EF77B5"/>
    <w:rsid w:val="00EF788A"/>
    <w:rsid w:val="00F01986"/>
    <w:rsid w:val="00F01BE9"/>
    <w:rsid w:val="00F03129"/>
    <w:rsid w:val="00F03978"/>
    <w:rsid w:val="00F05C20"/>
    <w:rsid w:val="00F073EF"/>
    <w:rsid w:val="00F12B04"/>
    <w:rsid w:val="00F138DE"/>
    <w:rsid w:val="00F13FDB"/>
    <w:rsid w:val="00F14414"/>
    <w:rsid w:val="00F14B84"/>
    <w:rsid w:val="00F15654"/>
    <w:rsid w:val="00F15A0A"/>
    <w:rsid w:val="00F169D4"/>
    <w:rsid w:val="00F17C05"/>
    <w:rsid w:val="00F20E58"/>
    <w:rsid w:val="00F23E6C"/>
    <w:rsid w:val="00F323C5"/>
    <w:rsid w:val="00F33472"/>
    <w:rsid w:val="00F33AF5"/>
    <w:rsid w:val="00F34E24"/>
    <w:rsid w:val="00F350E4"/>
    <w:rsid w:val="00F36A0C"/>
    <w:rsid w:val="00F37422"/>
    <w:rsid w:val="00F4072B"/>
    <w:rsid w:val="00F42476"/>
    <w:rsid w:val="00F42E41"/>
    <w:rsid w:val="00F43013"/>
    <w:rsid w:val="00F43C45"/>
    <w:rsid w:val="00F4444B"/>
    <w:rsid w:val="00F45729"/>
    <w:rsid w:val="00F466E9"/>
    <w:rsid w:val="00F503BB"/>
    <w:rsid w:val="00F50ED4"/>
    <w:rsid w:val="00F53323"/>
    <w:rsid w:val="00F57A1B"/>
    <w:rsid w:val="00F62EA3"/>
    <w:rsid w:val="00F67074"/>
    <w:rsid w:val="00F7038D"/>
    <w:rsid w:val="00F73498"/>
    <w:rsid w:val="00F73FB3"/>
    <w:rsid w:val="00F76D86"/>
    <w:rsid w:val="00F800DE"/>
    <w:rsid w:val="00F8029A"/>
    <w:rsid w:val="00F807ED"/>
    <w:rsid w:val="00F81B96"/>
    <w:rsid w:val="00F81D00"/>
    <w:rsid w:val="00F8207B"/>
    <w:rsid w:val="00F82FC4"/>
    <w:rsid w:val="00F83DB6"/>
    <w:rsid w:val="00F840C5"/>
    <w:rsid w:val="00F84FE1"/>
    <w:rsid w:val="00F901B1"/>
    <w:rsid w:val="00F90D92"/>
    <w:rsid w:val="00F91347"/>
    <w:rsid w:val="00F91656"/>
    <w:rsid w:val="00F92404"/>
    <w:rsid w:val="00F95638"/>
    <w:rsid w:val="00F9564D"/>
    <w:rsid w:val="00F9577C"/>
    <w:rsid w:val="00F95910"/>
    <w:rsid w:val="00F97E36"/>
    <w:rsid w:val="00FA2074"/>
    <w:rsid w:val="00FA3D2B"/>
    <w:rsid w:val="00FA4234"/>
    <w:rsid w:val="00FA44EE"/>
    <w:rsid w:val="00FA5D80"/>
    <w:rsid w:val="00FA61D3"/>
    <w:rsid w:val="00FA6BB1"/>
    <w:rsid w:val="00FA7776"/>
    <w:rsid w:val="00FB06B9"/>
    <w:rsid w:val="00FB0E8E"/>
    <w:rsid w:val="00FB2534"/>
    <w:rsid w:val="00FB2E99"/>
    <w:rsid w:val="00FB3CA5"/>
    <w:rsid w:val="00FB4BD8"/>
    <w:rsid w:val="00FB68D7"/>
    <w:rsid w:val="00FC2030"/>
    <w:rsid w:val="00FC2248"/>
    <w:rsid w:val="00FC3229"/>
    <w:rsid w:val="00FC5271"/>
    <w:rsid w:val="00FC668C"/>
    <w:rsid w:val="00FC7430"/>
    <w:rsid w:val="00FD0BA7"/>
    <w:rsid w:val="00FD2C48"/>
    <w:rsid w:val="00FD2D96"/>
    <w:rsid w:val="00FD7BE8"/>
    <w:rsid w:val="00FE4246"/>
    <w:rsid w:val="00FE4CA0"/>
    <w:rsid w:val="00FE5925"/>
    <w:rsid w:val="00FF025F"/>
    <w:rsid w:val="00FF1058"/>
    <w:rsid w:val="00FF3D32"/>
    <w:rsid w:val="00FF3E43"/>
    <w:rsid w:val="00FF3FA2"/>
    <w:rsid w:val="00FF586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7173A76"/>
  <w15:docId w15:val="{B7B20F60-626E-4E22-93DE-9C25AFB8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D2B"/>
    <w:rPr>
      <w:sz w:val="24"/>
      <w:szCs w:val="24"/>
      <w:lang w:eastAsia="en-GB"/>
    </w:rPr>
  </w:style>
  <w:style w:type="paragraph" w:styleId="Heading1">
    <w:name w:val="heading 1"/>
    <w:basedOn w:val="Normal"/>
    <w:next w:val="Normal"/>
    <w:link w:val="Heading1Char"/>
    <w:qFormat/>
    <w:rsid w:val="00F7349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0062A"/>
    <w:pPr>
      <w:keepNext/>
      <w:tabs>
        <w:tab w:val="left" w:pos="567"/>
      </w:tabs>
      <w:spacing w:before="240" w:after="60" w:line="260" w:lineRule="exact"/>
      <w:outlineLvl w:val="1"/>
    </w:pPr>
    <w:rPr>
      <w:rFonts w:ascii="Helvetica" w:hAnsi="Helvetica"/>
      <w:b/>
      <w:i/>
      <w:szCs w:val="20"/>
      <w:lang w:eastAsia="en-US"/>
    </w:rPr>
  </w:style>
  <w:style w:type="paragraph" w:styleId="Heading3">
    <w:name w:val="heading 3"/>
    <w:basedOn w:val="Normal"/>
    <w:next w:val="Normal"/>
    <w:link w:val="Heading3Char"/>
    <w:qFormat/>
    <w:rsid w:val="007C5FE0"/>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B7B88"/>
    <w:pPr>
      <w:keepNext/>
      <w:spacing w:before="240" w:after="60"/>
      <w:outlineLvl w:val="3"/>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6E9A"/>
    <w:pPr>
      <w:spacing w:after="120"/>
    </w:pPr>
  </w:style>
  <w:style w:type="paragraph" w:styleId="BalloonText">
    <w:name w:val="Balloon Text"/>
    <w:basedOn w:val="Normal"/>
    <w:link w:val="BalloonTextChar"/>
    <w:semiHidden/>
    <w:rsid w:val="00D86B01"/>
    <w:rPr>
      <w:rFonts w:ascii="Tahoma" w:hAnsi="Tahoma"/>
      <w:sz w:val="16"/>
      <w:szCs w:val="16"/>
    </w:rPr>
  </w:style>
  <w:style w:type="paragraph" w:styleId="Header">
    <w:name w:val="header"/>
    <w:basedOn w:val="Normal"/>
    <w:link w:val="HeaderChar"/>
    <w:uiPriority w:val="99"/>
    <w:rsid w:val="00F73498"/>
    <w:pPr>
      <w:tabs>
        <w:tab w:val="center" w:pos="4153"/>
        <w:tab w:val="right" w:pos="8306"/>
      </w:tabs>
    </w:pPr>
  </w:style>
  <w:style w:type="paragraph" w:styleId="Title">
    <w:name w:val="Title"/>
    <w:basedOn w:val="Normal"/>
    <w:link w:val="TitleChar"/>
    <w:qFormat/>
    <w:rsid w:val="00F73498"/>
    <w:pPr>
      <w:jc w:val="center"/>
    </w:pPr>
    <w:rPr>
      <w:b/>
      <w:bCs/>
      <w:sz w:val="32"/>
    </w:rPr>
  </w:style>
  <w:style w:type="paragraph" w:styleId="Footer">
    <w:name w:val="footer"/>
    <w:basedOn w:val="Normal"/>
    <w:link w:val="FooterChar"/>
    <w:rsid w:val="000776E0"/>
    <w:pPr>
      <w:tabs>
        <w:tab w:val="center" w:pos="4153"/>
        <w:tab w:val="right" w:pos="8306"/>
      </w:tabs>
    </w:pPr>
  </w:style>
  <w:style w:type="character" w:styleId="PageNumber">
    <w:name w:val="page number"/>
    <w:basedOn w:val="DefaultParagraphFont"/>
    <w:rsid w:val="000776E0"/>
  </w:style>
  <w:style w:type="paragraph" w:customStyle="1" w:styleId="Default">
    <w:name w:val="Default"/>
    <w:rsid w:val="00916BD0"/>
    <w:pPr>
      <w:widowControl w:val="0"/>
      <w:autoSpaceDE w:val="0"/>
      <w:autoSpaceDN w:val="0"/>
      <w:adjustRightInd w:val="0"/>
    </w:pPr>
    <w:rPr>
      <w:rFonts w:ascii="Courier" w:hAnsi="Courier" w:cs="Courier"/>
      <w:color w:val="000000"/>
      <w:sz w:val="24"/>
      <w:szCs w:val="24"/>
      <w:lang w:eastAsia="el-GR"/>
    </w:rPr>
  </w:style>
  <w:style w:type="paragraph" w:customStyle="1" w:styleId="CM14">
    <w:name w:val="CM14"/>
    <w:basedOn w:val="Default"/>
    <w:next w:val="Default"/>
    <w:rsid w:val="000E77F9"/>
    <w:pPr>
      <w:spacing w:after="268"/>
    </w:pPr>
    <w:rPr>
      <w:rFonts w:ascii="Times New Roman" w:hAnsi="Times New Roman" w:cs="Times New Roman"/>
      <w:color w:val="auto"/>
    </w:rPr>
  </w:style>
  <w:style w:type="paragraph" w:customStyle="1" w:styleId="CM4">
    <w:name w:val="CM4"/>
    <w:basedOn w:val="Default"/>
    <w:next w:val="Default"/>
    <w:rsid w:val="000E77F9"/>
    <w:pPr>
      <w:spacing w:line="276" w:lineRule="atLeast"/>
    </w:pPr>
    <w:rPr>
      <w:rFonts w:ascii="Times New Roman" w:hAnsi="Times New Roman" w:cs="Times New Roman"/>
      <w:color w:val="auto"/>
    </w:rPr>
  </w:style>
  <w:style w:type="character" w:customStyle="1" w:styleId="tw4winMark">
    <w:name w:val="tw4winMark"/>
    <w:rsid w:val="005D2A6B"/>
    <w:rPr>
      <w:rFonts w:ascii="Courier New" w:hAnsi="Courier New" w:cs="Courier New"/>
      <w:vanish/>
      <w:color w:val="800080"/>
      <w:vertAlign w:val="subscript"/>
    </w:rPr>
  </w:style>
  <w:style w:type="paragraph" w:styleId="TOC1">
    <w:name w:val="toc 1"/>
    <w:basedOn w:val="Normal"/>
    <w:next w:val="Normal"/>
    <w:autoRedefine/>
    <w:uiPriority w:val="39"/>
    <w:rsid w:val="007C5FE0"/>
  </w:style>
  <w:style w:type="character" w:styleId="Hyperlink">
    <w:name w:val="Hyperlink"/>
    <w:uiPriority w:val="99"/>
    <w:rsid w:val="007C5FE0"/>
    <w:rPr>
      <w:color w:val="0000FF"/>
      <w:u w:val="single"/>
    </w:rPr>
  </w:style>
  <w:style w:type="character" w:styleId="FollowedHyperlink">
    <w:name w:val="FollowedHyperlink"/>
    <w:rsid w:val="00057948"/>
    <w:rPr>
      <w:color w:val="800080"/>
      <w:u w:val="single"/>
    </w:rPr>
  </w:style>
  <w:style w:type="character" w:styleId="CommentReference">
    <w:name w:val="annotation reference"/>
    <w:semiHidden/>
    <w:rsid w:val="00576BCE"/>
    <w:rPr>
      <w:sz w:val="16"/>
    </w:rPr>
  </w:style>
  <w:style w:type="paragraph" w:styleId="CommentText">
    <w:name w:val="annotation text"/>
    <w:basedOn w:val="Normal"/>
    <w:link w:val="CommentTextChar"/>
    <w:uiPriority w:val="99"/>
    <w:semiHidden/>
    <w:rsid w:val="00576BCE"/>
    <w:pPr>
      <w:tabs>
        <w:tab w:val="left" w:pos="567"/>
      </w:tabs>
      <w:spacing w:line="260" w:lineRule="exact"/>
    </w:pPr>
    <w:rPr>
      <w:sz w:val="20"/>
      <w:szCs w:val="20"/>
      <w:lang w:eastAsia="en-US"/>
    </w:rPr>
  </w:style>
  <w:style w:type="paragraph" w:styleId="CommentSubject">
    <w:name w:val="annotation subject"/>
    <w:basedOn w:val="CommentText"/>
    <w:next w:val="CommentText"/>
    <w:link w:val="CommentSubjectChar"/>
    <w:semiHidden/>
    <w:rsid w:val="00C02953"/>
    <w:pPr>
      <w:tabs>
        <w:tab w:val="clear" w:pos="567"/>
      </w:tabs>
      <w:spacing w:line="240" w:lineRule="auto"/>
    </w:pPr>
    <w:rPr>
      <w:b/>
      <w:bCs/>
      <w:lang w:eastAsia="en-GB"/>
    </w:rPr>
  </w:style>
  <w:style w:type="paragraph" w:customStyle="1" w:styleId="leipa">
    <w:name w:val="leipa"/>
    <w:basedOn w:val="Normal"/>
    <w:rsid w:val="001F2522"/>
    <w:pPr>
      <w:spacing w:before="100" w:beforeAutospacing="1" w:after="100" w:afterAutospacing="1"/>
    </w:pPr>
    <w:rPr>
      <w:rFonts w:ascii="Arial Unicode MS" w:eastAsia="Arial Unicode MS" w:hAnsi="Arial Unicode MS" w:cs="Arial Unicode MS"/>
      <w:lang w:eastAsia="de-DE"/>
    </w:rPr>
  </w:style>
  <w:style w:type="paragraph" w:styleId="BodyTextIndent2">
    <w:name w:val="Body Text Indent 2"/>
    <w:basedOn w:val="Normal"/>
    <w:link w:val="BodyTextIndent2Char"/>
    <w:rsid w:val="00C249BE"/>
    <w:pPr>
      <w:spacing w:after="120" w:line="480" w:lineRule="auto"/>
      <w:ind w:left="283"/>
    </w:pPr>
  </w:style>
  <w:style w:type="paragraph" w:customStyle="1" w:styleId="CM1">
    <w:name w:val="CM1"/>
    <w:basedOn w:val="Default"/>
    <w:next w:val="Default"/>
    <w:rsid w:val="00966DDB"/>
    <w:rPr>
      <w:color w:val="auto"/>
    </w:rPr>
  </w:style>
  <w:style w:type="paragraph" w:customStyle="1" w:styleId="EMEAEnBodyText">
    <w:name w:val="EMEA En Body Text"/>
    <w:basedOn w:val="Normal"/>
    <w:rsid w:val="0062263A"/>
    <w:pPr>
      <w:spacing w:before="120" w:after="120"/>
      <w:jc w:val="both"/>
    </w:pPr>
    <w:rPr>
      <w:sz w:val="22"/>
      <w:szCs w:val="20"/>
      <w:lang w:eastAsia="en-US"/>
    </w:rPr>
  </w:style>
  <w:style w:type="paragraph" w:styleId="NormalWeb">
    <w:name w:val="Normal (Web)"/>
    <w:basedOn w:val="Normal"/>
    <w:rsid w:val="00661238"/>
    <w:pPr>
      <w:spacing w:before="100" w:beforeAutospacing="1" w:after="100" w:afterAutospacing="1"/>
    </w:pPr>
    <w:rPr>
      <w:lang w:eastAsia="pl-PL"/>
    </w:rPr>
  </w:style>
  <w:style w:type="paragraph" w:customStyle="1" w:styleId="CM50">
    <w:name w:val="CM50"/>
    <w:basedOn w:val="Default"/>
    <w:next w:val="Default"/>
    <w:rsid w:val="00BB02AC"/>
    <w:pPr>
      <w:spacing w:after="350"/>
    </w:pPr>
    <w:rPr>
      <w:rFonts w:ascii="Times New Roman" w:hAnsi="Times New Roman" w:cs="Times New Roman"/>
      <w:color w:val="auto"/>
      <w:lang w:eastAsia="en-US"/>
    </w:rPr>
  </w:style>
  <w:style w:type="paragraph" w:customStyle="1" w:styleId="CM48">
    <w:name w:val="CM48"/>
    <w:basedOn w:val="Default"/>
    <w:next w:val="Default"/>
    <w:rsid w:val="00BB02AC"/>
    <w:pPr>
      <w:spacing w:after="258"/>
    </w:pPr>
    <w:rPr>
      <w:rFonts w:ascii="Times New Roman" w:hAnsi="Times New Roman" w:cs="Times New Roman"/>
      <w:color w:val="auto"/>
      <w:lang w:eastAsia="en-US"/>
    </w:rPr>
  </w:style>
  <w:style w:type="character" w:customStyle="1" w:styleId="TitleChar">
    <w:name w:val="Title Char"/>
    <w:link w:val="Title"/>
    <w:rsid w:val="001E6AC4"/>
    <w:rPr>
      <w:b/>
      <w:bCs/>
      <w:sz w:val="32"/>
      <w:szCs w:val="24"/>
      <w:lang w:val="lv-LV"/>
    </w:rPr>
  </w:style>
  <w:style w:type="character" w:customStyle="1" w:styleId="Heading1Char">
    <w:name w:val="Heading 1 Char"/>
    <w:link w:val="Heading1"/>
    <w:rsid w:val="00360E1E"/>
    <w:rPr>
      <w:rFonts w:ascii="Arial" w:hAnsi="Arial" w:cs="Arial"/>
      <w:b/>
      <w:bCs/>
      <w:kern w:val="32"/>
      <w:sz w:val="32"/>
      <w:szCs w:val="32"/>
      <w:lang w:val="lv-LV" w:eastAsia="en-GB"/>
    </w:rPr>
  </w:style>
  <w:style w:type="paragraph" w:styleId="ListParagraph">
    <w:name w:val="List Paragraph"/>
    <w:basedOn w:val="Normal"/>
    <w:uiPriority w:val="99"/>
    <w:qFormat/>
    <w:rsid w:val="00DB7B88"/>
    <w:pPr>
      <w:spacing w:after="200" w:line="276" w:lineRule="auto"/>
      <w:ind w:left="720"/>
    </w:pPr>
    <w:rPr>
      <w:rFonts w:ascii="Calibri" w:eastAsia="Calibri" w:hAnsi="Calibri"/>
      <w:sz w:val="22"/>
      <w:szCs w:val="22"/>
      <w:lang w:eastAsia="en-US"/>
    </w:rPr>
  </w:style>
  <w:style w:type="character" w:customStyle="1" w:styleId="Heading4Char">
    <w:name w:val="Heading 4 Char"/>
    <w:link w:val="Heading4"/>
    <w:rsid w:val="00DB7B88"/>
    <w:rPr>
      <w:sz w:val="22"/>
      <w:lang w:val="lv-LV" w:eastAsia="en-GB"/>
    </w:rPr>
  </w:style>
  <w:style w:type="paragraph" w:styleId="NormalIndent">
    <w:name w:val="Normal Indent"/>
    <w:basedOn w:val="Normal"/>
    <w:rsid w:val="00DB7B88"/>
    <w:pPr>
      <w:spacing w:after="120"/>
      <w:ind w:left="720"/>
    </w:pPr>
    <w:rPr>
      <w:sz w:val="22"/>
      <w:szCs w:val="20"/>
    </w:rPr>
  </w:style>
  <w:style w:type="paragraph" w:customStyle="1" w:styleId="BulletList">
    <w:name w:val="Bullet List"/>
    <w:basedOn w:val="Normal"/>
    <w:rsid w:val="00DB7B88"/>
    <w:pPr>
      <w:numPr>
        <w:numId w:val="14"/>
      </w:numPr>
      <w:spacing w:after="120"/>
    </w:pPr>
    <w:rPr>
      <w:sz w:val="22"/>
      <w:szCs w:val="20"/>
    </w:rPr>
  </w:style>
  <w:style w:type="paragraph" w:customStyle="1" w:styleId="Table">
    <w:name w:val="Table"/>
    <w:basedOn w:val="Normal"/>
    <w:rsid w:val="00DB7B88"/>
    <w:pPr>
      <w:spacing w:before="40" w:after="40"/>
    </w:pPr>
    <w:rPr>
      <w:sz w:val="22"/>
      <w:szCs w:val="20"/>
    </w:rPr>
  </w:style>
  <w:style w:type="paragraph" w:customStyle="1" w:styleId="DocumentHeading">
    <w:name w:val="Document Heading"/>
    <w:basedOn w:val="Normal"/>
    <w:next w:val="Normal"/>
    <w:rsid w:val="00DB7B88"/>
    <w:pPr>
      <w:spacing w:after="120"/>
    </w:pPr>
    <w:rPr>
      <w:b/>
      <w:sz w:val="28"/>
      <w:szCs w:val="20"/>
    </w:rPr>
  </w:style>
  <w:style w:type="paragraph" w:customStyle="1" w:styleId="SectionHeading">
    <w:name w:val="Section Heading"/>
    <w:basedOn w:val="Normal"/>
    <w:next w:val="Normal"/>
    <w:rsid w:val="00DB7B88"/>
    <w:pPr>
      <w:spacing w:after="120"/>
    </w:pPr>
    <w:rPr>
      <w:b/>
      <w:sz w:val="28"/>
      <w:szCs w:val="20"/>
    </w:rPr>
  </w:style>
  <w:style w:type="paragraph" w:styleId="Caption">
    <w:name w:val="caption"/>
    <w:basedOn w:val="Normal"/>
    <w:next w:val="Normal"/>
    <w:qFormat/>
    <w:rsid w:val="00DB7B88"/>
    <w:pPr>
      <w:spacing w:after="120"/>
      <w:jc w:val="center"/>
    </w:pPr>
    <w:rPr>
      <w:bCs/>
      <w:i/>
      <w:sz w:val="18"/>
      <w:szCs w:val="20"/>
    </w:rPr>
  </w:style>
  <w:style w:type="paragraph" w:customStyle="1" w:styleId="CaptionStyle">
    <w:name w:val="Caption Style"/>
    <w:basedOn w:val="Caption"/>
    <w:rsid w:val="00DB7B88"/>
    <w:rPr>
      <w:bCs w:val="0"/>
      <w:iCs/>
    </w:rPr>
  </w:style>
  <w:style w:type="paragraph" w:styleId="DocumentMap">
    <w:name w:val="Document Map"/>
    <w:basedOn w:val="Normal"/>
    <w:link w:val="DocumentMapChar"/>
    <w:rsid w:val="00DB7B88"/>
    <w:pPr>
      <w:shd w:val="clear" w:color="auto" w:fill="000080"/>
      <w:spacing w:after="120"/>
    </w:pPr>
    <w:rPr>
      <w:rFonts w:ascii="Tahoma" w:hAnsi="Tahoma"/>
      <w:sz w:val="20"/>
      <w:szCs w:val="20"/>
    </w:rPr>
  </w:style>
  <w:style w:type="character" w:customStyle="1" w:styleId="DocumentMapChar">
    <w:name w:val="Document Map Char"/>
    <w:link w:val="DocumentMap"/>
    <w:rsid w:val="00DB7B88"/>
    <w:rPr>
      <w:rFonts w:ascii="Tahoma" w:hAnsi="Tahoma" w:cs="Tahoma"/>
      <w:shd w:val="clear" w:color="auto" w:fill="000080"/>
      <w:lang w:val="lv-LV" w:eastAsia="en-GB"/>
    </w:rPr>
  </w:style>
  <w:style w:type="paragraph" w:styleId="TOC2">
    <w:name w:val="toc 2"/>
    <w:basedOn w:val="Normal"/>
    <w:next w:val="Normal"/>
    <w:autoRedefine/>
    <w:uiPriority w:val="39"/>
    <w:rsid w:val="00DB7B88"/>
    <w:pPr>
      <w:ind w:left="240"/>
    </w:pPr>
  </w:style>
  <w:style w:type="paragraph" w:styleId="TOC3">
    <w:name w:val="toc 3"/>
    <w:basedOn w:val="Normal"/>
    <w:next w:val="Normal"/>
    <w:autoRedefine/>
    <w:uiPriority w:val="39"/>
    <w:unhideWhenUsed/>
    <w:rsid w:val="00DB7B88"/>
    <w:pPr>
      <w:spacing w:after="100" w:line="276" w:lineRule="auto"/>
      <w:ind w:left="440"/>
    </w:pPr>
    <w:rPr>
      <w:rFonts w:ascii="Calibri" w:hAnsi="Calibri"/>
      <w:sz w:val="22"/>
      <w:szCs w:val="22"/>
      <w:lang w:eastAsia="el-GR"/>
    </w:rPr>
  </w:style>
  <w:style w:type="paragraph" w:styleId="TOC4">
    <w:name w:val="toc 4"/>
    <w:basedOn w:val="Normal"/>
    <w:next w:val="Normal"/>
    <w:autoRedefine/>
    <w:uiPriority w:val="39"/>
    <w:unhideWhenUsed/>
    <w:rsid w:val="00DB7B88"/>
    <w:pPr>
      <w:spacing w:after="100" w:line="276" w:lineRule="auto"/>
      <w:ind w:left="660"/>
    </w:pPr>
    <w:rPr>
      <w:rFonts w:ascii="Calibri" w:hAnsi="Calibri"/>
      <w:sz w:val="22"/>
      <w:szCs w:val="22"/>
      <w:lang w:eastAsia="el-GR"/>
    </w:rPr>
  </w:style>
  <w:style w:type="paragraph" w:styleId="TOC5">
    <w:name w:val="toc 5"/>
    <w:basedOn w:val="Normal"/>
    <w:next w:val="Normal"/>
    <w:autoRedefine/>
    <w:uiPriority w:val="39"/>
    <w:unhideWhenUsed/>
    <w:rsid w:val="00DB7B88"/>
    <w:pPr>
      <w:spacing w:after="100" w:line="276" w:lineRule="auto"/>
      <w:ind w:left="880"/>
    </w:pPr>
    <w:rPr>
      <w:rFonts w:ascii="Calibri" w:hAnsi="Calibri"/>
      <w:sz w:val="22"/>
      <w:szCs w:val="22"/>
      <w:lang w:eastAsia="el-GR"/>
    </w:rPr>
  </w:style>
  <w:style w:type="paragraph" w:styleId="TOC6">
    <w:name w:val="toc 6"/>
    <w:basedOn w:val="Normal"/>
    <w:next w:val="Normal"/>
    <w:autoRedefine/>
    <w:uiPriority w:val="39"/>
    <w:unhideWhenUsed/>
    <w:rsid w:val="00DB7B88"/>
    <w:pPr>
      <w:spacing w:after="100" w:line="276" w:lineRule="auto"/>
      <w:ind w:left="1100"/>
    </w:pPr>
    <w:rPr>
      <w:rFonts w:ascii="Calibri" w:hAnsi="Calibri"/>
      <w:sz w:val="22"/>
      <w:szCs w:val="22"/>
      <w:lang w:eastAsia="el-GR"/>
    </w:rPr>
  </w:style>
  <w:style w:type="paragraph" w:styleId="TOC7">
    <w:name w:val="toc 7"/>
    <w:basedOn w:val="Normal"/>
    <w:next w:val="Normal"/>
    <w:autoRedefine/>
    <w:uiPriority w:val="39"/>
    <w:unhideWhenUsed/>
    <w:rsid w:val="00DB7B88"/>
    <w:pPr>
      <w:spacing w:after="100" w:line="276" w:lineRule="auto"/>
      <w:ind w:left="1320"/>
    </w:pPr>
    <w:rPr>
      <w:rFonts w:ascii="Calibri" w:hAnsi="Calibri"/>
      <w:sz w:val="22"/>
      <w:szCs w:val="22"/>
      <w:lang w:eastAsia="el-GR"/>
    </w:rPr>
  </w:style>
  <w:style w:type="paragraph" w:styleId="TOC8">
    <w:name w:val="toc 8"/>
    <w:basedOn w:val="Normal"/>
    <w:next w:val="Normal"/>
    <w:autoRedefine/>
    <w:uiPriority w:val="39"/>
    <w:unhideWhenUsed/>
    <w:rsid w:val="00DB7B88"/>
    <w:pPr>
      <w:spacing w:after="100" w:line="276" w:lineRule="auto"/>
      <w:ind w:left="1540"/>
    </w:pPr>
    <w:rPr>
      <w:rFonts w:ascii="Calibri" w:hAnsi="Calibri"/>
      <w:sz w:val="22"/>
      <w:szCs w:val="22"/>
      <w:lang w:eastAsia="el-GR"/>
    </w:rPr>
  </w:style>
  <w:style w:type="paragraph" w:styleId="TOC9">
    <w:name w:val="toc 9"/>
    <w:basedOn w:val="Normal"/>
    <w:next w:val="Normal"/>
    <w:autoRedefine/>
    <w:uiPriority w:val="39"/>
    <w:unhideWhenUsed/>
    <w:rsid w:val="00DB7B88"/>
    <w:pPr>
      <w:spacing w:after="100" w:line="276" w:lineRule="auto"/>
      <w:ind w:left="1760"/>
    </w:pPr>
    <w:rPr>
      <w:rFonts w:ascii="Calibri" w:hAnsi="Calibri"/>
      <w:sz w:val="22"/>
      <w:szCs w:val="22"/>
      <w:lang w:eastAsia="el-GR"/>
    </w:rPr>
  </w:style>
  <w:style w:type="paragraph" w:styleId="Revision">
    <w:name w:val="Revision"/>
    <w:hidden/>
    <w:uiPriority w:val="99"/>
    <w:semiHidden/>
    <w:rsid w:val="00DB7B88"/>
    <w:rPr>
      <w:sz w:val="24"/>
      <w:szCs w:val="24"/>
      <w:lang w:eastAsia="en-GB"/>
    </w:rPr>
  </w:style>
  <w:style w:type="paragraph" w:styleId="PlainText">
    <w:name w:val="Plain Text"/>
    <w:basedOn w:val="Normal"/>
    <w:link w:val="PlainTextChar"/>
    <w:uiPriority w:val="99"/>
    <w:unhideWhenUsed/>
    <w:rsid w:val="00DB7B88"/>
    <w:rPr>
      <w:rFonts w:ascii="Calibri" w:eastAsia="Calibri" w:hAnsi="Calibri"/>
      <w:sz w:val="22"/>
      <w:szCs w:val="21"/>
      <w:lang w:eastAsia="en-US"/>
    </w:rPr>
  </w:style>
  <w:style w:type="character" w:customStyle="1" w:styleId="PlainTextChar">
    <w:name w:val="Plain Text Char"/>
    <w:link w:val="PlainText"/>
    <w:uiPriority w:val="99"/>
    <w:rsid w:val="00DB7B88"/>
    <w:rPr>
      <w:rFonts w:ascii="Calibri" w:eastAsia="Calibri" w:hAnsi="Calibri"/>
      <w:sz w:val="22"/>
      <w:szCs w:val="21"/>
      <w:lang w:eastAsia="en-US"/>
    </w:rPr>
  </w:style>
  <w:style w:type="character" w:customStyle="1" w:styleId="HeaderChar">
    <w:name w:val="Header Char"/>
    <w:link w:val="Header"/>
    <w:uiPriority w:val="99"/>
    <w:rsid w:val="00DB7B88"/>
    <w:rPr>
      <w:sz w:val="24"/>
      <w:szCs w:val="24"/>
      <w:lang w:val="lv-LV" w:eastAsia="en-GB"/>
    </w:rPr>
  </w:style>
  <w:style w:type="character" w:customStyle="1" w:styleId="Heading2Char">
    <w:name w:val="Heading 2 Char"/>
    <w:link w:val="Heading2"/>
    <w:rsid w:val="00DB7B88"/>
    <w:rPr>
      <w:rFonts w:ascii="Helvetica" w:hAnsi="Helvetica"/>
      <w:b/>
      <w:i/>
      <w:sz w:val="24"/>
      <w:lang w:val="lv-LV" w:eastAsia="en-US"/>
    </w:rPr>
  </w:style>
  <w:style w:type="character" w:customStyle="1" w:styleId="Heading3Char">
    <w:name w:val="Heading 3 Char"/>
    <w:link w:val="Heading3"/>
    <w:rsid w:val="00DB7B88"/>
    <w:rPr>
      <w:rFonts w:ascii="Arial" w:hAnsi="Arial"/>
      <w:b/>
      <w:bCs/>
      <w:sz w:val="26"/>
      <w:szCs w:val="26"/>
      <w:lang w:val="lv-LV" w:eastAsia="en-GB"/>
    </w:rPr>
  </w:style>
  <w:style w:type="character" w:customStyle="1" w:styleId="BodyTextChar">
    <w:name w:val="Body Text Char"/>
    <w:link w:val="BodyText"/>
    <w:rsid w:val="00DB7B88"/>
    <w:rPr>
      <w:sz w:val="24"/>
      <w:szCs w:val="24"/>
      <w:lang w:val="lv-LV" w:eastAsia="en-GB"/>
    </w:rPr>
  </w:style>
  <w:style w:type="character" w:customStyle="1" w:styleId="BalloonTextChar">
    <w:name w:val="Balloon Text Char"/>
    <w:link w:val="BalloonText"/>
    <w:semiHidden/>
    <w:rsid w:val="00DB7B88"/>
    <w:rPr>
      <w:rFonts w:ascii="Tahoma" w:hAnsi="Tahoma" w:cs="Tahoma"/>
      <w:sz w:val="16"/>
      <w:szCs w:val="16"/>
      <w:lang w:val="lv-LV" w:eastAsia="en-GB"/>
    </w:rPr>
  </w:style>
  <w:style w:type="character" w:customStyle="1" w:styleId="FooterChar">
    <w:name w:val="Footer Char"/>
    <w:link w:val="Footer"/>
    <w:rsid w:val="00DB7B88"/>
    <w:rPr>
      <w:sz w:val="24"/>
      <w:szCs w:val="24"/>
      <w:lang w:val="lv-LV" w:eastAsia="en-GB"/>
    </w:rPr>
  </w:style>
  <w:style w:type="character" w:customStyle="1" w:styleId="CommentTextChar">
    <w:name w:val="Comment Text Char"/>
    <w:link w:val="CommentText"/>
    <w:uiPriority w:val="99"/>
    <w:semiHidden/>
    <w:rsid w:val="00DB7B88"/>
    <w:rPr>
      <w:lang w:val="lv-LV" w:eastAsia="en-US"/>
    </w:rPr>
  </w:style>
  <w:style w:type="character" w:customStyle="1" w:styleId="CommentSubjectChar">
    <w:name w:val="Comment Subject Char"/>
    <w:link w:val="CommentSubject"/>
    <w:semiHidden/>
    <w:rsid w:val="00DB7B88"/>
    <w:rPr>
      <w:b/>
      <w:bCs/>
      <w:lang w:val="lv-LV" w:eastAsia="en-GB"/>
    </w:rPr>
  </w:style>
  <w:style w:type="character" w:customStyle="1" w:styleId="BodyTextIndent2Char">
    <w:name w:val="Body Text Indent 2 Char"/>
    <w:link w:val="BodyTextIndent2"/>
    <w:rsid w:val="00DB7B88"/>
    <w:rPr>
      <w:sz w:val="24"/>
      <w:szCs w:val="24"/>
      <w:lang w:val="lv-LV" w:eastAsia="en-GB"/>
    </w:rPr>
  </w:style>
  <w:style w:type="paragraph" w:customStyle="1" w:styleId="TableParagraph">
    <w:name w:val="Table Paragraph"/>
    <w:basedOn w:val="Normal"/>
    <w:uiPriority w:val="1"/>
    <w:qFormat/>
    <w:rsid w:val="00887292"/>
    <w:pPr>
      <w:widowControl w:val="0"/>
    </w:pPr>
    <w:rPr>
      <w:rFonts w:ascii="Calibri" w:eastAsia="Calibri" w:hAnsi="Calibri"/>
      <w:sz w:val="22"/>
      <w:szCs w:val="22"/>
      <w:lang w:eastAsia="en-US"/>
    </w:rPr>
  </w:style>
  <w:style w:type="paragraph" w:customStyle="1" w:styleId="eCTD-narrative-Text">
    <w:name w:val="eCTD-narrative-Text"/>
    <w:rsid w:val="00F82FC4"/>
    <w:pPr>
      <w:spacing w:before="120" w:after="120"/>
      <w:jc w:val="both"/>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5610">
      <w:bodyDiv w:val="1"/>
      <w:marLeft w:val="0"/>
      <w:marRight w:val="0"/>
      <w:marTop w:val="0"/>
      <w:marBottom w:val="0"/>
      <w:divBdr>
        <w:top w:val="none" w:sz="0" w:space="0" w:color="auto"/>
        <w:left w:val="none" w:sz="0" w:space="0" w:color="auto"/>
        <w:bottom w:val="none" w:sz="0" w:space="0" w:color="auto"/>
        <w:right w:val="none" w:sz="0" w:space="0" w:color="auto"/>
      </w:divBdr>
    </w:div>
    <w:div w:id="170678362">
      <w:bodyDiv w:val="1"/>
      <w:marLeft w:val="0"/>
      <w:marRight w:val="0"/>
      <w:marTop w:val="0"/>
      <w:marBottom w:val="0"/>
      <w:divBdr>
        <w:top w:val="none" w:sz="0" w:space="0" w:color="auto"/>
        <w:left w:val="none" w:sz="0" w:space="0" w:color="auto"/>
        <w:bottom w:val="none" w:sz="0" w:space="0" w:color="auto"/>
        <w:right w:val="none" w:sz="0" w:space="0" w:color="auto"/>
      </w:divBdr>
    </w:div>
    <w:div w:id="200822549">
      <w:bodyDiv w:val="1"/>
      <w:marLeft w:val="0"/>
      <w:marRight w:val="0"/>
      <w:marTop w:val="0"/>
      <w:marBottom w:val="0"/>
      <w:divBdr>
        <w:top w:val="none" w:sz="0" w:space="0" w:color="auto"/>
        <w:left w:val="none" w:sz="0" w:space="0" w:color="auto"/>
        <w:bottom w:val="none" w:sz="0" w:space="0" w:color="auto"/>
        <w:right w:val="none" w:sz="0" w:space="0" w:color="auto"/>
      </w:divBdr>
    </w:div>
    <w:div w:id="208542349">
      <w:bodyDiv w:val="1"/>
      <w:marLeft w:val="0"/>
      <w:marRight w:val="0"/>
      <w:marTop w:val="0"/>
      <w:marBottom w:val="0"/>
      <w:divBdr>
        <w:top w:val="none" w:sz="0" w:space="0" w:color="auto"/>
        <w:left w:val="none" w:sz="0" w:space="0" w:color="auto"/>
        <w:bottom w:val="none" w:sz="0" w:space="0" w:color="auto"/>
        <w:right w:val="none" w:sz="0" w:space="0" w:color="auto"/>
      </w:divBdr>
      <w:divsChild>
        <w:div w:id="114257419">
          <w:marLeft w:val="0"/>
          <w:marRight w:val="0"/>
          <w:marTop w:val="0"/>
          <w:marBottom w:val="0"/>
          <w:divBdr>
            <w:top w:val="none" w:sz="0" w:space="0" w:color="auto"/>
            <w:left w:val="none" w:sz="0" w:space="0" w:color="auto"/>
            <w:bottom w:val="none" w:sz="0" w:space="0" w:color="auto"/>
            <w:right w:val="none" w:sz="0" w:space="0" w:color="auto"/>
          </w:divBdr>
        </w:div>
        <w:div w:id="1058087487">
          <w:marLeft w:val="0"/>
          <w:marRight w:val="0"/>
          <w:marTop w:val="0"/>
          <w:marBottom w:val="0"/>
          <w:divBdr>
            <w:top w:val="none" w:sz="0" w:space="0" w:color="auto"/>
            <w:left w:val="none" w:sz="0" w:space="0" w:color="auto"/>
            <w:bottom w:val="none" w:sz="0" w:space="0" w:color="auto"/>
            <w:right w:val="none" w:sz="0" w:space="0" w:color="auto"/>
          </w:divBdr>
        </w:div>
        <w:div w:id="1670793446">
          <w:marLeft w:val="0"/>
          <w:marRight w:val="0"/>
          <w:marTop w:val="0"/>
          <w:marBottom w:val="0"/>
          <w:divBdr>
            <w:top w:val="none" w:sz="0" w:space="0" w:color="auto"/>
            <w:left w:val="none" w:sz="0" w:space="0" w:color="auto"/>
            <w:bottom w:val="none" w:sz="0" w:space="0" w:color="auto"/>
            <w:right w:val="none" w:sz="0" w:space="0" w:color="auto"/>
          </w:divBdr>
        </w:div>
        <w:div w:id="707531200">
          <w:marLeft w:val="0"/>
          <w:marRight w:val="0"/>
          <w:marTop w:val="0"/>
          <w:marBottom w:val="0"/>
          <w:divBdr>
            <w:top w:val="none" w:sz="0" w:space="0" w:color="auto"/>
            <w:left w:val="none" w:sz="0" w:space="0" w:color="auto"/>
            <w:bottom w:val="none" w:sz="0" w:space="0" w:color="auto"/>
            <w:right w:val="none" w:sz="0" w:space="0" w:color="auto"/>
          </w:divBdr>
        </w:div>
        <w:div w:id="204679851">
          <w:marLeft w:val="0"/>
          <w:marRight w:val="0"/>
          <w:marTop w:val="0"/>
          <w:marBottom w:val="0"/>
          <w:divBdr>
            <w:top w:val="none" w:sz="0" w:space="0" w:color="auto"/>
            <w:left w:val="none" w:sz="0" w:space="0" w:color="auto"/>
            <w:bottom w:val="none" w:sz="0" w:space="0" w:color="auto"/>
            <w:right w:val="none" w:sz="0" w:space="0" w:color="auto"/>
          </w:divBdr>
        </w:div>
        <w:div w:id="1917864030">
          <w:marLeft w:val="0"/>
          <w:marRight w:val="0"/>
          <w:marTop w:val="0"/>
          <w:marBottom w:val="0"/>
          <w:divBdr>
            <w:top w:val="none" w:sz="0" w:space="0" w:color="auto"/>
            <w:left w:val="none" w:sz="0" w:space="0" w:color="auto"/>
            <w:bottom w:val="none" w:sz="0" w:space="0" w:color="auto"/>
            <w:right w:val="none" w:sz="0" w:space="0" w:color="auto"/>
          </w:divBdr>
        </w:div>
        <w:div w:id="1235241877">
          <w:marLeft w:val="0"/>
          <w:marRight w:val="0"/>
          <w:marTop w:val="0"/>
          <w:marBottom w:val="0"/>
          <w:divBdr>
            <w:top w:val="none" w:sz="0" w:space="0" w:color="auto"/>
            <w:left w:val="none" w:sz="0" w:space="0" w:color="auto"/>
            <w:bottom w:val="none" w:sz="0" w:space="0" w:color="auto"/>
            <w:right w:val="none" w:sz="0" w:space="0" w:color="auto"/>
          </w:divBdr>
        </w:div>
        <w:div w:id="1053651094">
          <w:marLeft w:val="0"/>
          <w:marRight w:val="0"/>
          <w:marTop w:val="0"/>
          <w:marBottom w:val="0"/>
          <w:divBdr>
            <w:top w:val="none" w:sz="0" w:space="0" w:color="auto"/>
            <w:left w:val="none" w:sz="0" w:space="0" w:color="auto"/>
            <w:bottom w:val="none" w:sz="0" w:space="0" w:color="auto"/>
            <w:right w:val="none" w:sz="0" w:space="0" w:color="auto"/>
          </w:divBdr>
        </w:div>
        <w:div w:id="1626960128">
          <w:marLeft w:val="0"/>
          <w:marRight w:val="0"/>
          <w:marTop w:val="0"/>
          <w:marBottom w:val="0"/>
          <w:divBdr>
            <w:top w:val="none" w:sz="0" w:space="0" w:color="auto"/>
            <w:left w:val="none" w:sz="0" w:space="0" w:color="auto"/>
            <w:bottom w:val="none" w:sz="0" w:space="0" w:color="auto"/>
            <w:right w:val="none" w:sz="0" w:space="0" w:color="auto"/>
          </w:divBdr>
        </w:div>
        <w:div w:id="663706517">
          <w:marLeft w:val="0"/>
          <w:marRight w:val="0"/>
          <w:marTop w:val="0"/>
          <w:marBottom w:val="0"/>
          <w:divBdr>
            <w:top w:val="none" w:sz="0" w:space="0" w:color="auto"/>
            <w:left w:val="none" w:sz="0" w:space="0" w:color="auto"/>
            <w:bottom w:val="none" w:sz="0" w:space="0" w:color="auto"/>
            <w:right w:val="none" w:sz="0" w:space="0" w:color="auto"/>
          </w:divBdr>
        </w:div>
        <w:div w:id="248120334">
          <w:marLeft w:val="0"/>
          <w:marRight w:val="0"/>
          <w:marTop w:val="0"/>
          <w:marBottom w:val="0"/>
          <w:divBdr>
            <w:top w:val="none" w:sz="0" w:space="0" w:color="auto"/>
            <w:left w:val="none" w:sz="0" w:space="0" w:color="auto"/>
            <w:bottom w:val="none" w:sz="0" w:space="0" w:color="auto"/>
            <w:right w:val="none" w:sz="0" w:space="0" w:color="auto"/>
          </w:divBdr>
        </w:div>
        <w:div w:id="475798986">
          <w:marLeft w:val="0"/>
          <w:marRight w:val="0"/>
          <w:marTop w:val="0"/>
          <w:marBottom w:val="0"/>
          <w:divBdr>
            <w:top w:val="none" w:sz="0" w:space="0" w:color="auto"/>
            <w:left w:val="none" w:sz="0" w:space="0" w:color="auto"/>
            <w:bottom w:val="none" w:sz="0" w:space="0" w:color="auto"/>
            <w:right w:val="none" w:sz="0" w:space="0" w:color="auto"/>
          </w:divBdr>
        </w:div>
        <w:div w:id="1295603434">
          <w:marLeft w:val="0"/>
          <w:marRight w:val="0"/>
          <w:marTop w:val="0"/>
          <w:marBottom w:val="0"/>
          <w:divBdr>
            <w:top w:val="none" w:sz="0" w:space="0" w:color="auto"/>
            <w:left w:val="none" w:sz="0" w:space="0" w:color="auto"/>
            <w:bottom w:val="none" w:sz="0" w:space="0" w:color="auto"/>
            <w:right w:val="none" w:sz="0" w:space="0" w:color="auto"/>
          </w:divBdr>
        </w:div>
        <w:div w:id="2004236479">
          <w:marLeft w:val="0"/>
          <w:marRight w:val="0"/>
          <w:marTop w:val="0"/>
          <w:marBottom w:val="0"/>
          <w:divBdr>
            <w:top w:val="none" w:sz="0" w:space="0" w:color="auto"/>
            <w:left w:val="none" w:sz="0" w:space="0" w:color="auto"/>
            <w:bottom w:val="none" w:sz="0" w:space="0" w:color="auto"/>
            <w:right w:val="none" w:sz="0" w:space="0" w:color="auto"/>
          </w:divBdr>
        </w:div>
        <w:div w:id="480582106">
          <w:marLeft w:val="0"/>
          <w:marRight w:val="0"/>
          <w:marTop w:val="0"/>
          <w:marBottom w:val="0"/>
          <w:divBdr>
            <w:top w:val="none" w:sz="0" w:space="0" w:color="auto"/>
            <w:left w:val="none" w:sz="0" w:space="0" w:color="auto"/>
            <w:bottom w:val="none" w:sz="0" w:space="0" w:color="auto"/>
            <w:right w:val="none" w:sz="0" w:space="0" w:color="auto"/>
          </w:divBdr>
        </w:div>
        <w:div w:id="1510606962">
          <w:marLeft w:val="0"/>
          <w:marRight w:val="0"/>
          <w:marTop w:val="0"/>
          <w:marBottom w:val="0"/>
          <w:divBdr>
            <w:top w:val="none" w:sz="0" w:space="0" w:color="auto"/>
            <w:left w:val="none" w:sz="0" w:space="0" w:color="auto"/>
            <w:bottom w:val="none" w:sz="0" w:space="0" w:color="auto"/>
            <w:right w:val="none" w:sz="0" w:space="0" w:color="auto"/>
          </w:divBdr>
        </w:div>
        <w:div w:id="93015416">
          <w:marLeft w:val="0"/>
          <w:marRight w:val="0"/>
          <w:marTop w:val="0"/>
          <w:marBottom w:val="0"/>
          <w:divBdr>
            <w:top w:val="none" w:sz="0" w:space="0" w:color="auto"/>
            <w:left w:val="none" w:sz="0" w:space="0" w:color="auto"/>
            <w:bottom w:val="none" w:sz="0" w:space="0" w:color="auto"/>
            <w:right w:val="none" w:sz="0" w:space="0" w:color="auto"/>
          </w:divBdr>
        </w:div>
        <w:div w:id="103421714">
          <w:marLeft w:val="0"/>
          <w:marRight w:val="0"/>
          <w:marTop w:val="0"/>
          <w:marBottom w:val="0"/>
          <w:divBdr>
            <w:top w:val="none" w:sz="0" w:space="0" w:color="auto"/>
            <w:left w:val="none" w:sz="0" w:space="0" w:color="auto"/>
            <w:bottom w:val="none" w:sz="0" w:space="0" w:color="auto"/>
            <w:right w:val="none" w:sz="0" w:space="0" w:color="auto"/>
          </w:divBdr>
        </w:div>
        <w:div w:id="184952858">
          <w:marLeft w:val="0"/>
          <w:marRight w:val="0"/>
          <w:marTop w:val="0"/>
          <w:marBottom w:val="0"/>
          <w:divBdr>
            <w:top w:val="none" w:sz="0" w:space="0" w:color="auto"/>
            <w:left w:val="none" w:sz="0" w:space="0" w:color="auto"/>
            <w:bottom w:val="none" w:sz="0" w:space="0" w:color="auto"/>
            <w:right w:val="none" w:sz="0" w:space="0" w:color="auto"/>
          </w:divBdr>
        </w:div>
        <w:div w:id="1889416442">
          <w:marLeft w:val="0"/>
          <w:marRight w:val="0"/>
          <w:marTop w:val="0"/>
          <w:marBottom w:val="0"/>
          <w:divBdr>
            <w:top w:val="none" w:sz="0" w:space="0" w:color="auto"/>
            <w:left w:val="none" w:sz="0" w:space="0" w:color="auto"/>
            <w:bottom w:val="none" w:sz="0" w:space="0" w:color="auto"/>
            <w:right w:val="none" w:sz="0" w:space="0" w:color="auto"/>
          </w:divBdr>
        </w:div>
        <w:div w:id="2073389144">
          <w:marLeft w:val="0"/>
          <w:marRight w:val="0"/>
          <w:marTop w:val="0"/>
          <w:marBottom w:val="0"/>
          <w:divBdr>
            <w:top w:val="none" w:sz="0" w:space="0" w:color="auto"/>
            <w:left w:val="none" w:sz="0" w:space="0" w:color="auto"/>
            <w:bottom w:val="none" w:sz="0" w:space="0" w:color="auto"/>
            <w:right w:val="none" w:sz="0" w:space="0" w:color="auto"/>
          </w:divBdr>
        </w:div>
        <w:div w:id="236093178">
          <w:marLeft w:val="0"/>
          <w:marRight w:val="0"/>
          <w:marTop w:val="0"/>
          <w:marBottom w:val="0"/>
          <w:divBdr>
            <w:top w:val="none" w:sz="0" w:space="0" w:color="auto"/>
            <w:left w:val="none" w:sz="0" w:space="0" w:color="auto"/>
            <w:bottom w:val="none" w:sz="0" w:space="0" w:color="auto"/>
            <w:right w:val="none" w:sz="0" w:space="0" w:color="auto"/>
          </w:divBdr>
        </w:div>
        <w:div w:id="1935435481">
          <w:marLeft w:val="0"/>
          <w:marRight w:val="0"/>
          <w:marTop w:val="0"/>
          <w:marBottom w:val="0"/>
          <w:divBdr>
            <w:top w:val="none" w:sz="0" w:space="0" w:color="auto"/>
            <w:left w:val="none" w:sz="0" w:space="0" w:color="auto"/>
            <w:bottom w:val="none" w:sz="0" w:space="0" w:color="auto"/>
            <w:right w:val="none" w:sz="0" w:space="0" w:color="auto"/>
          </w:divBdr>
        </w:div>
        <w:div w:id="1003238271">
          <w:marLeft w:val="0"/>
          <w:marRight w:val="0"/>
          <w:marTop w:val="0"/>
          <w:marBottom w:val="0"/>
          <w:divBdr>
            <w:top w:val="none" w:sz="0" w:space="0" w:color="auto"/>
            <w:left w:val="none" w:sz="0" w:space="0" w:color="auto"/>
            <w:bottom w:val="none" w:sz="0" w:space="0" w:color="auto"/>
            <w:right w:val="none" w:sz="0" w:space="0" w:color="auto"/>
          </w:divBdr>
        </w:div>
        <w:div w:id="590431477">
          <w:marLeft w:val="0"/>
          <w:marRight w:val="0"/>
          <w:marTop w:val="0"/>
          <w:marBottom w:val="0"/>
          <w:divBdr>
            <w:top w:val="none" w:sz="0" w:space="0" w:color="auto"/>
            <w:left w:val="none" w:sz="0" w:space="0" w:color="auto"/>
            <w:bottom w:val="none" w:sz="0" w:space="0" w:color="auto"/>
            <w:right w:val="none" w:sz="0" w:space="0" w:color="auto"/>
          </w:divBdr>
        </w:div>
        <w:div w:id="2024429890">
          <w:marLeft w:val="0"/>
          <w:marRight w:val="0"/>
          <w:marTop w:val="0"/>
          <w:marBottom w:val="0"/>
          <w:divBdr>
            <w:top w:val="none" w:sz="0" w:space="0" w:color="auto"/>
            <w:left w:val="none" w:sz="0" w:space="0" w:color="auto"/>
            <w:bottom w:val="none" w:sz="0" w:space="0" w:color="auto"/>
            <w:right w:val="none" w:sz="0" w:space="0" w:color="auto"/>
          </w:divBdr>
        </w:div>
        <w:div w:id="1457984522">
          <w:marLeft w:val="0"/>
          <w:marRight w:val="0"/>
          <w:marTop w:val="0"/>
          <w:marBottom w:val="0"/>
          <w:divBdr>
            <w:top w:val="none" w:sz="0" w:space="0" w:color="auto"/>
            <w:left w:val="none" w:sz="0" w:space="0" w:color="auto"/>
            <w:bottom w:val="none" w:sz="0" w:space="0" w:color="auto"/>
            <w:right w:val="none" w:sz="0" w:space="0" w:color="auto"/>
          </w:divBdr>
        </w:div>
        <w:div w:id="1248997585">
          <w:marLeft w:val="0"/>
          <w:marRight w:val="0"/>
          <w:marTop w:val="0"/>
          <w:marBottom w:val="0"/>
          <w:divBdr>
            <w:top w:val="none" w:sz="0" w:space="0" w:color="auto"/>
            <w:left w:val="none" w:sz="0" w:space="0" w:color="auto"/>
            <w:bottom w:val="none" w:sz="0" w:space="0" w:color="auto"/>
            <w:right w:val="none" w:sz="0" w:space="0" w:color="auto"/>
          </w:divBdr>
        </w:div>
        <w:div w:id="1482035621">
          <w:marLeft w:val="0"/>
          <w:marRight w:val="0"/>
          <w:marTop w:val="0"/>
          <w:marBottom w:val="0"/>
          <w:divBdr>
            <w:top w:val="none" w:sz="0" w:space="0" w:color="auto"/>
            <w:left w:val="none" w:sz="0" w:space="0" w:color="auto"/>
            <w:bottom w:val="none" w:sz="0" w:space="0" w:color="auto"/>
            <w:right w:val="none" w:sz="0" w:space="0" w:color="auto"/>
          </w:divBdr>
        </w:div>
        <w:div w:id="2093811683">
          <w:marLeft w:val="0"/>
          <w:marRight w:val="0"/>
          <w:marTop w:val="0"/>
          <w:marBottom w:val="0"/>
          <w:divBdr>
            <w:top w:val="none" w:sz="0" w:space="0" w:color="auto"/>
            <w:left w:val="none" w:sz="0" w:space="0" w:color="auto"/>
            <w:bottom w:val="none" w:sz="0" w:space="0" w:color="auto"/>
            <w:right w:val="none" w:sz="0" w:space="0" w:color="auto"/>
          </w:divBdr>
        </w:div>
        <w:div w:id="323777035">
          <w:marLeft w:val="0"/>
          <w:marRight w:val="0"/>
          <w:marTop w:val="0"/>
          <w:marBottom w:val="0"/>
          <w:divBdr>
            <w:top w:val="none" w:sz="0" w:space="0" w:color="auto"/>
            <w:left w:val="none" w:sz="0" w:space="0" w:color="auto"/>
            <w:bottom w:val="none" w:sz="0" w:space="0" w:color="auto"/>
            <w:right w:val="none" w:sz="0" w:space="0" w:color="auto"/>
          </w:divBdr>
        </w:div>
        <w:div w:id="1283265083">
          <w:marLeft w:val="0"/>
          <w:marRight w:val="0"/>
          <w:marTop w:val="0"/>
          <w:marBottom w:val="0"/>
          <w:divBdr>
            <w:top w:val="none" w:sz="0" w:space="0" w:color="auto"/>
            <w:left w:val="none" w:sz="0" w:space="0" w:color="auto"/>
            <w:bottom w:val="none" w:sz="0" w:space="0" w:color="auto"/>
            <w:right w:val="none" w:sz="0" w:space="0" w:color="auto"/>
          </w:divBdr>
        </w:div>
        <w:div w:id="1565872299">
          <w:marLeft w:val="0"/>
          <w:marRight w:val="0"/>
          <w:marTop w:val="0"/>
          <w:marBottom w:val="0"/>
          <w:divBdr>
            <w:top w:val="none" w:sz="0" w:space="0" w:color="auto"/>
            <w:left w:val="none" w:sz="0" w:space="0" w:color="auto"/>
            <w:bottom w:val="none" w:sz="0" w:space="0" w:color="auto"/>
            <w:right w:val="none" w:sz="0" w:space="0" w:color="auto"/>
          </w:divBdr>
        </w:div>
        <w:div w:id="1037663142">
          <w:marLeft w:val="0"/>
          <w:marRight w:val="0"/>
          <w:marTop w:val="0"/>
          <w:marBottom w:val="0"/>
          <w:divBdr>
            <w:top w:val="none" w:sz="0" w:space="0" w:color="auto"/>
            <w:left w:val="none" w:sz="0" w:space="0" w:color="auto"/>
            <w:bottom w:val="none" w:sz="0" w:space="0" w:color="auto"/>
            <w:right w:val="none" w:sz="0" w:space="0" w:color="auto"/>
          </w:divBdr>
        </w:div>
        <w:div w:id="1240753824">
          <w:marLeft w:val="0"/>
          <w:marRight w:val="0"/>
          <w:marTop w:val="0"/>
          <w:marBottom w:val="0"/>
          <w:divBdr>
            <w:top w:val="none" w:sz="0" w:space="0" w:color="auto"/>
            <w:left w:val="none" w:sz="0" w:space="0" w:color="auto"/>
            <w:bottom w:val="none" w:sz="0" w:space="0" w:color="auto"/>
            <w:right w:val="none" w:sz="0" w:space="0" w:color="auto"/>
          </w:divBdr>
        </w:div>
        <w:div w:id="902373332">
          <w:marLeft w:val="0"/>
          <w:marRight w:val="0"/>
          <w:marTop w:val="0"/>
          <w:marBottom w:val="0"/>
          <w:divBdr>
            <w:top w:val="none" w:sz="0" w:space="0" w:color="auto"/>
            <w:left w:val="none" w:sz="0" w:space="0" w:color="auto"/>
            <w:bottom w:val="none" w:sz="0" w:space="0" w:color="auto"/>
            <w:right w:val="none" w:sz="0" w:space="0" w:color="auto"/>
          </w:divBdr>
        </w:div>
        <w:div w:id="551234836">
          <w:marLeft w:val="0"/>
          <w:marRight w:val="0"/>
          <w:marTop w:val="0"/>
          <w:marBottom w:val="0"/>
          <w:divBdr>
            <w:top w:val="none" w:sz="0" w:space="0" w:color="auto"/>
            <w:left w:val="none" w:sz="0" w:space="0" w:color="auto"/>
            <w:bottom w:val="none" w:sz="0" w:space="0" w:color="auto"/>
            <w:right w:val="none" w:sz="0" w:space="0" w:color="auto"/>
          </w:divBdr>
        </w:div>
        <w:div w:id="1574512249">
          <w:marLeft w:val="0"/>
          <w:marRight w:val="0"/>
          <w:marTop w:val="0"/>
          <w:marBottom w:val="0"/>
          <w:divBdr>
            <w:top w:val="none" w:sz="0" w:space="0" w:color="auto"/>
            <w:left w:val="none" w:sz="0" w:space="0" w:color="auto"/>
            <w:bottom w:val="none" w:sz="0" w:space="0" w:color="auto"/>
            <w:right w:val="none" w:sz="0" w:space="0" w:color="auto"/>
          </w:divBdr>
        </w:div>
      </w:divsChild>
    </w:div>
    <w:div w:id="297733811">
      <w:bodyDiv w:val="1"/>
      <w:marLeft w:val="0"/>
      <w:marRight w:val="0"/>
      <w:marTop w:val="0"/>
      <w:marBottom w:val="0"/>
      <w:divBdr>
        <w:top w:val="none" w:sz="0" w:space="0" w:color="auto"/>
        <w:left w:val="none" w:sz="0" w:space="0" w:color="auto"/>
        <w:bottom w:val="none" w:sz="0" w:space="0" w:color="auto"/>
        <w:right w:val="none" w:sz="0" w:space="0" w:color="auto"/>
      </w:divBdr>
    </w:div>
    <w:div w:id="355274915">
      <w:bodyDiv w:val="1"/>
      <w:marLeft w:val="0"/>
      <w:marRight w:val="0"/>
      <w:marTop w:val="0"/>
      <w:marBottom w:val="0"/>
      <w:divBdr>
        <w:top w:val="none" w:sz="0" w:space="0" w:color="auto"/>
        <w:left w:val="none" w:sz="0" w:space="0" w:color="auto"/>
        <w:bottom w:val="none" w:sz="0" w:space="0" w:color="auto"/>
        <w:right w:val="none" w:sz="0" w:space="0" w:color="auto"/>
      </w:divBdr>
    </w:div>
    <w:div w:id="391661126">
      <w:bodyDiv w:val="1"/>
      <w:marLeft w:val="0"/>
      <w:marRight w:val="0"/>
      <w:marTop w:val="0"/>
      <w:marBottom w:val="0"/>
      <w:divBdr>
        <w:top w:val="none" w:sz="0" w:space="0" w:color="auto"/>
        <w:left w:val="none" w:sz="0" w:space="0" w:color="auto"/>
        <w:bottom w:val="none" w:sz="0" w:space="0" w:color="auto"/>
        <w:right w:val="none" w:sz="0" w:space="0" w:color="auto"/>
      </w:divBdr>
    </w:div>
    <w:div w:id="406542283">
      <w:bodyDiv w:val="1"/>
      <w:marLeft w:val="0"/>
      <w:marRight w:val="0"/>
      <w:marTop w:val="0"/>
      <w:marBottom w:val="0"/>
      <w:divBdr>
        <w:top w:val="none" w:sz="0" w:space="0" w:color="auto"/>
        <w:left w:val="none" w:sz="0" w:space="0" w:color="auto"/>
        <w:bottom w:val="none" w:sz="0" w:space="0" w:color="auto"/>
        <w:right w:val="none" w:sz="0" w:space="0" w:color="auto"/>
      </w:divBdr>
    </w:div>
    <w:div w:id="549419979">
      <w:bodyDiv w:val="1"/>
      <w:marLeft w:val="0"/>
      <w:marRight w:val="0"/>
      <w:marTop w:val="0"/>
      <w:marBottom w:val="0"/>
      <w:divBdr>
        <w:top w:val="none" w:sz="0" w:space="0" w:color="auto"/>
        <w:left w:val="none" w:sz="0" w:space="0" w:color="auto"/>
        <w:bottom w:val="none" w:sz="0" w:space="0" w:color="auto"/>
        <w:right w:val="none" w:sz="0" w:space="0" w:color="auto"/>
      </w:divBdr>
    </w:div>
    <w:div w:id="554436511">
      <w:bodyDiv w:val="1"/>
      <w:marLeft w:val="0"/>
      <w:marRight w:val="0"/>
      <w:marTop w:val="0"/>
      <w:marBottom w:val="0"/>
      <w:divBdr>
        <w:top w:val="none" w:sz="0" w:space="0" w:color="auto"/>
        <w:left w:val="none" w:sz="0" w:space="0" w:color="auto"/>
        <w:bottom w:val="none" w:sz="0" w:space="0" w:color="auto"/>
        <w:right w:val="none" w:sz="0" w:space="0" w:color="auto"/>
      </w:divBdr>
    </w:div>
    <w:div w:id="554511111">
      <w:bodyDiv w:val="1"/>
      <w:marLeft w:val="0"/>
      <w:marRight w:val="0"/>
      <w:marTop w:val="0"/>
      <w:marBottom w:val="0"/>
      <w:divBdr>
        <w:top w:val="none" w:sz="0" w:space="0" w:color="auto"/>
        <w:left w:val="none" w:sz="0" w:space="0" w:color="auto"/>
        <w:bottom w:val="none" w:sz="0" w:space="0" w:color="auto"/>
        <w:right w:val="none" w:sz="0" w:space="0" w:color="auto"/>
      </w:divBdr>
    </w:div>
    <w:div w:id="559632922">
      <w:bodyDiv w:val="1"/>
      <w:marLeft w:val="0"/>
      <w:marRight w:val="0"/>
      <w:marTop w:val="0"/>
      <w:marBottom w:val="0"/>
      <w:divBdr>
        <w:top w:val="none" w:sz="0" w:space="0" w:color="auto"/>
        <w:left w:val="none" w:sz="0" w:space="0" w:color="auto"/>
        <w:bottom w:val="none" w:sz="0" w:space="0" w:color="auto"/>
        <w:right w:val="none" w:sz="0" w:space="0" w:color="auto"/>
      </w:divBdr>
    </w:div>
    <w:div w:id="572082075">
      <w:bodyDiv w:val="1"/>
      <w:marLeft w:val="0"/>
      <w:marRight w:val="0"/>
      <w:marTop w:val="0"/>
      <w:marBottom w:val="0"/>
      <w:divBdr>
        <w:top w:val="none" w:sz="0" w:space="0" w:color="auto"/>
        <w:left w:val="none" w:sz="0" w:space="0" w:color="auto"/>
        <w:bottom w:val="none" w:sz="0" w:space="0" w:color="auto"/>
        <w:right w:val="none" w:sz="0" w:space="0" w:color="auto"/>
      </w:divBdr>
    </w:div>
    <w:div w:id="599526119">
      <w:bodyDiv w:val="1"/>
      <w:marLeft w:val="0"/>
      <w:marRight w:val="0"/>
      <w:marTop w:val="0"/>
      <w:marBottom w:val="0"/>
      <w:divBdr>
        <w:top w:val="none" w:sz="0" w:space="0" w:color="auto"/>
        <w:left w:val="none" w:sz="0" w:space="0" w:color="auto"/>
        <w:bottom w:val="none" w:sz="0" w:space="0" w:color="auto"/>
        <w:right w:val="none" w:sz="0" w:space="0" w:color="auto"/>
      </w:divBdr>
    </w:div>
    <w:div w:id="655914516">
      <w:bodyDiv w:val="1"/>
      <w:marLeft w:val="0"/>
      <w:marRight w:val="0"/>
      <w:marTop w:val="0"/>
      <w:marBottom w:val="0"/>
      <w:divBdr>
        <w:top w:val="none" w:sz="0" w:space="0" w:color="auto"/>
        <w:left w:val="none" w:sz="0" w:space="0" w:color="auto"/>
        <w:bottom w:val="none" w:sz="0" w:space="0" w:color="auto"/>
        <w:right w:val="none" w:sz="0" w:space="0" w:color="auto"/>
      </w:divBdr>
    </w:div>
    <w:div w:id="668288150">
      <w:bodyDiv w:val="1"/>
      <w:marLeft w:val="0"/>
      <w:marRight w:val="0"/>
      <w:marTop w:val="0"/>
      <w:marBottom w:val="0"/>
      <w:divBdr>
        <w:top w:val="none" w:sz="0" w:space="0" w:color="auto"/>
        <w:left w:val="none" w:sz="0" w:space="0" w:color="auto"/>
        <w:bottom w:val="none" w:sz="0" w:space="0" w:color="auto"/>
        <w:right w:val="none" w:sz="0" w:space="0" w:color="auto"/>
      </w:divBdr>
    </w:div>
    <w:div w:id="710494907">
      <w:bodyDiv w:val="1"/>
      <w:marLeft w:val="0"/>
      <w:marRight w:val="0"/>
      <w:marTop w:val="0"/>
      <w:marBottom w:val="0"/>
      <w:divBdr>
        <w:top w:val="none" w:sz="0" w:space="0" w:color="auto"/>
        <w:left w:val="none" w:sz="0" w:space="0" w:color="auto"/>
        <w:bottom w:val="none" w:sz="0" w:space="0" w:color="auto"/>
        <w:right w:val="none" w:sz="0" w:space="0" w:color="auto"/>
      </w:divBdr>
    </w:div>
    <w:div w:id="725833878">
      <w:bodyDiv w:val="1"/>
      <w:marLeft w:val="0"/>
      <w:marRight w:val="0"/>
      <w:marTop w:val="0"/>
      <w:marBottom w:val="0"/>
      <w:divBdr>
        <w:top w:val="none" w:sz="0" w:space="0" w:color="auto"/>
        <w:left w:val="none" w:sz="0" w:space="0" w:color="auto"/>
        <w:bottom w:val="none" w:sz="0" w:space="0" w:color="auto"/>
        <w:right w:val="none" w:sz="0" w:space="0" w:color="auto"/>
      </w:divBdr>
    </w:div>
    <w:div w:id="748573190">
      <w:bodyDiv w:val="1"/>
      <w:marLeft w:val="0"/>
      <w:marRight w:val="0"/>
      <w:marTop w:val="0"/>
      <w:marBottom w:val="0"/>
      <w:divBdr>
        <w:top w:val="none" w:sz="0" w:space="0" w:color="auto"/>
        <w:left w:val="none" w:sz="0" w:space="0" w:color="auto"/>
        <w:bottom w:val="none" w:sz="0" w:space="0" w:color="auto"/>
        <w:right w:val="none" w:sz="0" w:space="0" w:color="auto"/>
      </w:divBdr>
    </w:div>
    <w:div w:id="928540703">
      <w:bodyDiv w:val="1"/>
      <w:marLeft w:val="0"/>
      <w:marRight w:val="0"/>
      <w:marTop w:val="0"/>
      <w:marBottom w:val="0"/>
      <w:divBdr>
        <w:top w:val="none" w:sz="0" w:space="0" w:color="auto"/>
        <w:left w:val="none" w:sz="0" w:space="0" w:color="auto"/>
        <w:bottom w:val="none" w:sz="0" w:space="0" w:color="auto"/>
        <w:right w:val="none" w:sz="0" w:space="0" w:color="auto"/>
      </w:divBdr>
    </w:div>
    <w:div w:id="969480578">
      <w:bodyDiv w:val="1"/>
      <w:marLeft w:val="0"/>
      <w:marRight w:val="0"/>
      <w:marTop w:val="0"/>
      <w:marBottom w:val="0"/>
      <w:divBdr>
        <w:top w:val="none" w:sz="0" w:space="0" w:color="auto"/>
        <w:left w:val="none" w:sz="0" w:space="0" w:color="auto"/>
        <w:bottom w:val="none" w:sz="0" w:space="0" w:color="auto"/>
        <w:right w:val="none" w:sz="0" w:space="0" w:color="auto"/>
      </w:divBdr>
    </w:div>
    <w:div w:id="973219411">
      <w:bodyDiv w:val="1"/>
      <w:marLeft w:val="0"/>
      <w:marRight w:val="0"/>
      <w:marTop w:val="0"/>
      <w:marBottom w:val="0"/>
      <w:divBdr>
        <w:top w:val="none" w:sz="0" w:space="0" w:color="auto"/>
        <w:left w:val="none" w:sz="0" w:space="0" w:color="auto"/>
        <w:bottom w:val="none" w:sz="0" w:space="0" w:color="auto"/>
        <w:right w:val="none" w:sz="0" w:space="0" w:color="auto"/>
      </w:divBdr>
    </w:div>
    <w:div w:id="992877430">
      <w:bodyDiv w:val="1"/>
      <w:marLeft w:val="0"/>
      <w:marRight w:val="0"/>
      <w:marTop w:val="0"/>
      <w:marBottom w:val="0"/>
      <w:divBdr>
        <w:top w:val="none" w:sz="0" w:space="0" w:color="auto"/>
        <w:left w:val="none" w:sz="0" w:space="0" w:color="auto"/>
        <w:bottom w:val="none" w:sz="0" w:space="0" w:color="auto"/>
        <w:right w:val="none" w:sz="0" w:space="0" w:color="auto"/>
      </w:divBdr>
    </w:div>
    <w:div w:id="1054885490">
      <w:bodyDiv w:val="1"/>
      <w:marLeft w:val="0"/>
      <w:marRight w:val="0"/>
      <w:marTop w:val="0"/>
      <w:marBottom w:val="0"/>
      <w:divBdr>
        <w:top w:val="none" w:sz="0" w:space="0" w:color="auto"/>
        <w:left w:val="none" w:sz="0" w:space="0" w:color="auto"/>
        <w:bottom w:val="none" w:sz="0" w:space="0" w:color="auto"/>
        <w:right w:val="none" w:sz="0" w:space="0" w:color="auto"/>
      </w:divBdr>
    </w:div>
    <w:div w:id="1100832456">
      <w:bodyDiv w:val="1"/>
      <w:marLeft w:val="0"/>
      <w:marRight w:val="0"/>
      <w:marTop w:val="0"/>
      <w:marBottom w:val="0"/>
      <w:divBdr>
        <w:top w:val="none" w:sz="0" w:space="0" w:color="auto"/>
        <w:left w:val="none" w:sz="0" w:space="0" w:color="auto"/>
        <w:bottom w:val="none" w:sz="0" w:space="0" w:color="auto"/>
        <w:right w:val="none" w:sz="0" w:space="0" w:color="auto"/>
      </w:divBdr>
    </w:div>
    <w:div w:id="1143886095">
      <w:bodyDiv w:val="1"/>
      <w:marLeft w:val="0"/>
      <w:marRight w:val="0"/>
      <w:marTop w:val="0"/>
      <w:marBottom w:val="0"/>
      <w:divBdr>
        <w:top w:val="none" w:sz="0" w:space="0" w:color="auto"/>
        <w:left w:val="none" w:sz="0" w:space="0" w:color="auto"/>
        <w:bottom w:val="none" w:sz="0" w:space="0" w:color="auto"/>
        <w:right w:val="none" w:sz="0" w:space="0" w:color="auto"/>
      </w:divBdr>
    </w:div>
    <w:div w:id="1146705823">
      <w:bodyDiv w:val="1"/>
      <w:marLeft w:val="0"/>
      <w:marRight w:val="0"/>
      <w:marTop w:val="0"/>
      <w:marBottom w:val="0"/>
      <w:divBdr>
        <w:top w:val="none" w:sz="0" w:space="0" w:color="auto"/>
        <w:left w:val="none" w:sz="0" w:space="0" w:color="auto"/>
        <w:bottom w:val="none" w:sz="0" w:space="0" w:color="auto"/>
        <w:right w:val="none" w:sz="0" w:space="0" w:color="auto"/>
      </w:divBdr>
    </w:div>
    <w:div w:id="1194154042">
      <w:bodyDiv w:val="1"/>
      <w:marLeft w:val="0"/>
      <w:marRight w:val="0"/>
      <w:marTop w:val="0"/>
      <w:marBottom w:val="0"/>
      <w:divBdr>
        <w:top w:val="none" w:sz="0" w:space="0" w:color="auto"/>
        <w:left w:val="none" w:sz="0" w:space="0" w:color="auto"/>
        <w:bottom w:val="none" w:sz="0" w:space="0" w:color="auto"/>
        <w:right w:val="none" w:sz="0" w:space="0" w:color="auto"/>
      </w:divBdr>
    </w:div>
    <w:div w:id="1305618422">
      <w:bodyDiv w:val="1"/>
      <w:marLeft w:val="0"/>
      <w:marRight w:val="0"/>
      <w:marTop w:val="0"/>
      <w:marBottom w:val="0"/>
      <w:divBdr>
        <w:top w:val="none" w:sz="0" w:space="0" w:color="auto"/>
        <w:left w:val="none" w:sz="0" w:space="0" w:color="auto"/>
        <w:bottom w:val="none" w:sz="0" w:space="0" w:color="auto"/>
        <w:right w:val="none" w:sz="0" w:space="0" w:color="auto"/>
      </w:divBdr>
    </w:div>
    <w:div w:id="1360399475">
      <w:bodyDiv w:val="1"/>
      <w:marLeft w:val="0"/>
      <w:marRight w:val="0"/>
      <w:marTop w:val="0"/>
      <w:marBottom w:val="0"/>
      <w:divBdr>
        <w:top w:val="none" w:sz="0" w:space="0" w:color="auto"/>
        <w:left w:val="none" w:sz="0" w:space="0" w:color="auto"/>
        <w:bottom w:val="none" w:sz="0" w:space="0" w:color="auto"/>
        <w:right w:val="none" w:sz="0" w:space="0" w:color="auto"/>
      </w:divBdr>
    </w:div>
    <w:div w:id="1479569585">
      <w:bodyDiv w:val="1"/>
      <w:marLeft w:val="0"/>
      <w:marRight w:val="0"/>
      <w:marTop w:val="0"/>
      <w:marBottom w:val="0"/>
      <w:divBdr>
        <w:top w:val="none" w:sz="0" w:space="0" w:color="auto"/>
        <w:left w:val="none" w:sz="0" w:space="0" w:color="auto"/>
        <w:bottom w:val="none" w:sz="0" w:space="0" w:color="auto"/>
        <w:right w:val="none" w:sz="0" w:space="0" w:color="auto"/>
      </w:divBdr>
    </w:div>
    <w:div w:id="1501238213">
      <w:bodyDiv w:val="1"/>
      <w:marLeft w:val="0"/>
      <w:marRight w:val="0"/>
      <w:marTop w:val="0"/>
      <w:marBottom w:val="0"/>
      <w:divBdr>
        <w:top w:val="none" w:sz="0" w:space="0" w:color="auto"/>
        <w:left w:val="none" w:sz="0" w:space="0" w:color="auto"/>
        <w:bottom w:val="none" w:sz="0" w:space="0" w:color="auto"/>
        <w:right w:val="none" w:sz="0" w:space="0" w:color="auto"/>
      </w:divBdr>
    </w:div>
    <w:div w:id="1684016223">
      <w:bodyDiv w:val="1"/>
      <w:marLeft w:val="0"/>
      <w:marRight w:val="0"/>
      <w:marTop w:val="0"/>
      <w:marBottom w:val="0"/>
      <w:divBdr>
        <w:top w:val="none" w:sz="0" w:space="0" w:color="auto"/>
        <w:left w:val="none" w:sz="0" w:space="0" w:color="auto"/>
        <w:bottom w:val="none" w:sz="0" w:space="0" w:color="auto"/>
        <w:right w:val="none" w:sz="0" w:space="0" w:color="auto"/>
      </w:divBdr>
      <w:divsChild>
        <w:div w:id="1186911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70158868">
      <w:bodyDiv w:val="1"/>
      <w:marLeft w:val="0"/>
      <w:marRight w:val="0"/>
      <w:marTop w:val="0"/>
      <w:marBottom w:val="0"/>
      <w:divBdr>
        <w:top w:val="none" w:sz="0" w:space="0" w:color="auto"/>
        <w:left w:val="none" w:sz="0" w:space="0" w:color="auto"/>
        <w:bottom w:val="none" w:sz="0" w:space="0" w:color="auto"/>
        <w:right w:val="none" w:sz="0" w:space="0" w:color="auto"/>
      </w:divBdr>
    </w:div>
    <w:div w:id="1889875091">
      <w:bodyDiv w:val="1"/>
      <w:marLeft w:val="0"/>
      <w:marRight w:val="0"/>
      <w:marTop w:val="0"/>
      <w:marBottom w:val="0"/>
      <w:divBdr>
        <w:top w:val="none" w:sz="0" w:space="0" w:color="auto"/>
        <w:left w:val="none" w:sz="0" w:space="0" w:color="auto"/>
        <w:bottom w:val="none" w:sz="0" w:space="0" w:color="auto"/>
        <w:right w:val="none" w:sz="0" w:space="0" w:color="auto"/>
      </w:divBdr>
    </w:div>
    <w:div w:id="1892838476">
      <w:bodyDiv w:val="1"/>
      <w:marLeft w:val="0"/>
      <w:marRight w:val="0"/>
      <w:marTop w:val="0"/>
      <w:marBottom w:val="0"/>
      <w:divBdr>
        <w:top w:val="none" w:sz="0" w:space="0" w:color="auto"/>
        <w:left w:val="none" w:sz="0" w:space="0" w:color="auto"/>
        <w:bottom w:val="none" w:sz="0" w:space="0" w:color="auto"/>
        <w:right w:val="none" w:sz="0" w:space="0" w:color="auto"/>
      </w:divBdr>
    </w:div>
    <w:div w:id="1993677434">
      <w:bodyDiv w:val="1"/>
      <w:marLeft w:val="0"/>
      <w:marRight w:val="0"/>
      <w:marTop w:val="0"/>
      <w:marBottom w:val="0"/>
      <w:divBdr>
        <w:top w:val="none" w:sz="0" w:space="0" w:color="auto"/>
        <w:left w:val="none" w:sz="0" w:space="0" w:color="auto"/>
        <w:bottom w:val="none" w:sz="0" w:space="0" w:color="auto"/>
        <w:right w:val="none" w:sz="0" w:space="0" w:color="auto"/>
      </w:divBdr>
    </w:div>
    <w:div w:id="1995058622">
      <w:bodyDiv w:val="1"/>
      <w:marLeft w:val="0"/>
      <w:marRight w:val="0"/>
      <w:marTop w:val="0"/>
      <w:marBottom w:val="0"/>
      <w:divBdr>
        <w:top w:val="none" w:sz="0" w:space="0" w:color="auto"/>
        <w:left w:val="none" w:sz="0" w:space="0" w:color="auto"/>
        <w:bottom w:val="none" w:sz="0" w:space="0" w:color="auto"/>
        <w:right w:val="none" w:sz="0" w:space="0" w:color="auto"/>
      </w:divBdr>
    </w:div>
    <w:div w:id="2075856502">
      <w:bodyDiv w:val="1"/>
      <w:marLeft w:val="0"/>
      <w:marRight w:val="0"/>
      <w:marTop w:val="0"/>
      <w:marBottom w:val="0"/>
      <w:divBdr>
        <w:top w:val="none" w:sz="0" w:space="0" w:color="auto"/>
        <w:left w:val="none" w:sz="0" w:space="0" w:color="auto"/>
        <w:bottom w:val="none" w:sz="0" w:space="0" w:color="auto"/>
        <w:right w:val="none" w:sz="0" w:space="0" w:color="auto"/>
      </w:divBdr>
    </w:div>
    <w:div w:id="21367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v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A0E28744ABE546B66F46309906E353" ma:contentTypeVersion="8" ma:contentTypeDescription="Create a new document." ma:contentTypeScope="" ma:versionID="e6acb2e359b9ea2c440e499245612263">
  <xsd:schema xmlns:xsd="http://www.w3.org/2001/XMLSchema" xmlns:xs="http://www.w3.org/2001/XMLSchema" xmlns:p="http://schemas.microsoft.com/office/2006/metadata/properties" xmlns:ns3="20d1c51b-4768-4ade-8f38-8a4c9b374856" targetNamespace="http://schemas.microsoft.com/office/2006/metadata/properties" ma:root="true" ma:fieldsID="fc864b556e6f6317c998cfc9a763a619" ns3:_="">
    <xsd:import namespace="20d1c51b-4768-4ade-8f38-8a4c9b3748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1c51b-4768-4ade-8f38-8a4c9b374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27313-E815-46C4-9F15-740B86EC39F7}">
  <ds:schemaRefs>
    <ds:schemaRef ds:uri="http://schemas.openxmlformats.org/officeDocument/2006/bibliography"/>
  </ds:schemaRefs>
</ds:datastoreItem>
</file>

<file path=customXml/itemProps2.xml><?xml version="1.0" encoding="utf-8"?>
<ds:datastoreItem xmlns:ds="http://schemas.openxmlformats.org/officeDocument/2006/customXml" ds:itemID="{3F4EC075-756A-4F4B-A5BB-AFF36F64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1c51b-4768-4ade-8f38-8a4c9b374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E9B49-7BAA-4716-927F-C85D4E6A5557}">
  <ds:schemaRefs>
    <ds:schemaRef ds:uri="20d1c51b-4768-4ade-8f38-8a4c9b374856"/>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8F18AD9-17F4-47CF-92D1-F05DAFA6F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21</Pages>
  <Words>7179</Words>
  <Characters>48447</Characters>
  <Application>Microsoft Office Word</Application>
  <DocSecurity>0</DocSecurity>
  <Lines>403</Lines>
  <Paragraphs>111</Paragraphs>
  <ScaleCrop>false</ScaleCrop>
  <HeadingPairs>
    <vt:vector size="6" baseType="variant">
      <vt:variant>
        <vt:lpstr>Title</vt:lpstr>
      </vt:variant>
      <vt:variant>
        <vt:i4>1</vt:i4>
      </vt:variant>
      <vt:variant>
        <vt:lpstr>Nosaukums</vt:lpstr>
      </vt:variant>
      <vt:variant>
        <vt:i4>1</vt:i4>
      </vt:variant>
      <vt:variant>
        <vt:lpstr>Cím</vt:lpstr>
      </vt:variant>
      <vt:variant>
        <vt:i4>1</vt:i4>
      </vt:variant>
    </vt:vector>
  </HeadingPairs>
  <TitlesOfParts>
    <vt:vector size="3" baseType="lpstr">
      <vt:lpstr>Decentralised Procedures</vt:lpstr>
      <vt:lpstr>Decentralised Procedures</vt:lpstr>
      <vt:lpstr>Decentralised Procedures</vt:lpstr>
    </vt:vector>
  </TitlesOfParts>
  <Company>PHAROS</Company>
  <LinksUpToDate>false</LinksUpToDate>
  <CharactersWithSpaces>55515</CharactersWithSpaces>
  <SharedDoc>false</SharedDoc>
  <HLinks>
    <vt:vector size="12" baseType="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Decentralised Procedures</dc:title>
  <dc:creator>pharos</dc:creator>
  <cp:lastModifiedBy>Marita Laviceviča</cp:lastModifiedBy>
  <cp:revision>7</cp:revision>
  <cp:lastPrinted>2018-09-14T08:10:00Z</cp:lastPrinted>
  <dcterms:created xsi:type="dcterms:W3CDTF">2022-06-09T18:34:00Z</dcterms:created>
  <dcterms:modified xsi:type="dcterms:W3CDTF">2022-07-20T14:10:00Z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0x01010082A0E28744ABE546B66F46309906E353</vt:lpwstr>
  </property>
  <property fmtid="{D5CDD505-2E9C-101B-9397-08002B2CF9AE}" pid="3" name="MSIP_Label_3c9bec58-8084-492e-8360-0e1cfe36408c_Enabled">
    <vt:lpwstr>true</vt:lpwstr>
  </property>
  <property fmtid="{D5CDD505-2E9C-101B-9397-08002B2CF9AE}" pid="4" name="MSIP_Label_3c9bec58-8084-492e-8360-0e1cfe36408c_SetDate">
    <vt:lpwstr>2022-06-01T07:39:28Z</vt:lpwstr>
  </property>
  <property fmtid="{D5CDD505-2E9C-101B-9397-08002B2CF9AE}" pid="5" name="MSIP_Label_3c9bec58-8084-492e-8360-0e1cfe36408c_Method">
    <vt:lpwstr>Standard</vt:lpwstr>
  </property>
  <property fmtid="{D5CDD505-2E9C-101B-9397-08002B2CF9AE}" pid="6" name="MSIP_Label_3c9bec58-8084-492e-8360-0e1cfe36408c_Name">
    <vt:lpwstr>Not Protected -Pilot</vt:lpwstr>
  </property>
  <property fmtid="{D5CDD505-2E9C-101B-9397-08002B2CF9AE}" pid="7" name="MSIP_Label_3c9bec58-8084-492e-8360-0e1cfe36408c_SiteId">
    <vt:lpwstr>f35a6974-607f-47d4-82d7-ff31d7dc53a5</vt:lpwstr>
  </property>
  <property fmtid="{D5CDD505-2E9C-101B-9397-08002B2CF9AE}" pid="8" name="MSIP_Label_3c9bec58-8084-492e-8360-0e1cfe36408c_ActionId">
    <vt:lpwstr>86b7f91c-9ad9-4d82-b124-4733ece33608</vt:lpwstr>
  </property>
  <property fmtid="{D5CDD505-2E9C-101B-9397-08002B2CF9AE}" pid="9" name="MSIP_Label_3c9bec58-8084-492e-8360-0e1cfe36408c_ContentBits">
    <vt:lpwstr>0</vt:lpwstr>
  </property>
</Properties>
</file>