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83AA0" w14:textId="77777777" w:rsidR="00EF4347" w:rsidRPr="00D16F94" w:rsidRDefault="00EF4347" w:rsidP="00EF4347">
      <w:pPr>
        <w:widowControl w:val="0"/>
        <w:spacing w:line="240" w:lineRule="auto"/>
        <w:jc w:val="center"/>
        <w:rPr>
          <w:b/>
          <w:i/>
          <w:noProof/>
          <w:szCs w:val="24"/>
          <w:lang w:val="lv-LV"/>
        </w:rPr>
      </w:pPr>
      <w:r w:rsidRPr="00D16F94">
        <w:rPr>
          <w:b/>
          <w:szCs w:val="24"/>
          <w:lang w:val="lv-LV"/>
        </w:rPr>
        <w:t>ZĀĻU APRAKSTS</w:t>
      </w:r>
    </w:p>
    <w:p w14:paraId="2CEE0F1A" w14:textId="77777777" w:rsidR="00EF4347" w:rsidRPr="00D16F94" w:rsidRDefault="00EF4347" w:rsidP="00EF4347">
      <w:pPr>
        <w:widowControl w:val="0"/>
        <w:spacing w:line="240" w:lineRule="auto"/>
        <w:rPr>
          <w:b/>
          <w:i/>
          <w:noProof/>
          <w:szCs w:val="24"/>
          <w:lang w:val="lv-LV"/>
        </w:rPr>
      </w:pPr>
    </w:p>
    <w:p w14:paraId="43C61F67" w14:textId="77777777" w:rsidR="00EF4347" w:rsidRPr="00D16F94" w:rsidRDefault="00EF4347" w:rsidP="00EF4347">
      <w:pPr>
        <w:widowControl w:val="0"/>
        <w:spacing w:line="240" w:lineRule="auto"/>
        <w:rPr>
          <w:b/>
          <w:i/>
          <w:noProof/>
          <w:szCs w:val="24"/>
          <w:lang w:val="lv-LV"/>
        </w:rPr>
      </w:pPr>
    </w:p>
    <w:p w14:paraId="22AF8CC9" w14:textId="77777777" w:rsidR="00EF4347" w:rsidRPr="00D16F94" w:rsidRDefault="00EF4347" w:rsidP="00EF4347">
      <w:pPr>
        <w:widowControl w:val="0"/>
        <w:spacing w:line="240" w:lineRule="auto"/>
        <w:rPr>
          <w:szCs w:val="24"/>
          <w:lang w:val="lv-LV"/>
        </w:rPr>
      </w:pPr>
      <w:r w:rsidRPr="004C0771">
        <w:rPr>
          <w:b/>
          <w:noProof/>
          <w:szCs w:val="24"/>
          <w:lang w:val="lv-LV"/>
        </w:rPr>
        <w:t>1.</w:t>
      </w:r>
      <w:r w:rsidRPr="00D16F94">
        <w:rPr>
          <w:b/>
          <w:i/>
          <w:noProof/>
          <w:szCs w:val="24"/>
          <w:lang w:val="lv-LV"/>
        </w:rPr>
        <w:tab/>
      </w:r>
      <w:r w:rsidRPr="00D16F94">
        <w:rPr>
          <w:b/>
          <w:szCs w:val="24"/>
          <w:lang w:val="lv-LV"/>
        </w:rPr>
        <w:t>ZĀĻU NOSAUKUMS</w:t>
      </w:r>
    </w:p>
    <w:p w14:paraId="43B8B0BE" w14:textId="77777777" w:rsidR="00EF4347" w:rsidRPr="00D16F94" w:rsidRDefault="00EF4347" w:rsidP="00EF4347">
      <w:pPr>
        <w:spacing w:line="240" w:lineRule="auto"/>
        <w:rPr>
          <w:i/>
          <w:szCs w:val="24"/>
          <w:lang w:val="lv-LV"/>
        </w:rPr>
      </w:pPr>
    </w:p>
    <w:p w14:paraId="1F614BEE" w14:textId="77777777" w:rsidR="00EF4347" w:rsidRPr="00D16F94" w:rsidRDefault="00EF4347" w:rsidP="00EF4347">
      <w:pPr>
        <w:spacing w:line="240" w:lineRule="auto"/>
        <w:rPr>
          <w:szCs w:val="24"/>
          <w:lang w:val="lv-LV"/>
        </w:rPr>
      </w:pPr>
      <w:r w:rsidRPr="00D16F94">
        <w:rPr>
          <w:szCs w:val="24"/>
          <w:lang w:val="lv-LV"/>
        </w:rPr>
        <w:t>Linefor 75 mg cietās kapsulas</w:t>
      </w:r>
    </w:p>
    <w:p w14:paraId="72AABA4E" w14:textId="77777777" w:rsidR="00EF4347" w:rsidRPr="00D16F94" w:rsidRDefault="00EF4347" w:rsidP="00EF4347">
      <w:pPr>
        <w:spacing w:line="240" w:lineRule="auto"/>
        <w:rPr>
          <w:szCs w:val="24"/>
          <w:lang w:val="lv-LV"/>
        </w:rPr>
      </w:pPr>
      <w:r w:rsidRPr="00D16F94">
        <w:rPr>
          <w:szCs w:val="24"/>
          <w:lang w:val="lv-LV"/>
        </w:rPr>
        <w:t>Linefor 150 mg cietās kapsulas</w:t>
      </w:r>
    </w:p>
    <w:p w14:paraId="1ABA422B" w14:textId="77777777" w:rsidR="00EF4347" w:rsidRPr="00D16F94" w:rsidRDefault="00EF4347" w:rsidP="00EF4347">
      <w:pPr>
        <w:spacing w:line="240" w:lineRule="auto"/>
        <w:rPr>
          <w:noProof/>
          <w:szCs w:val="24"/>
          <w:lang w:val="lv-LV"/>
        </w:rPr>
      </w:pPr>
    </w:p>
    <w:p w14:paraId="76891A99" w14:textId="77777777" w:rsidR="00EF4347" w:rsidRPr="00D16F94" w:rsidRDefault="00EF4347" w:rsidP="00EF4347">
      <w:pPr>
        <w:spacing w:line="240" w:lineRule="auto"/>
        <w:rPr>
          <w:noProof/>
          <w:szCs w:val="24"/>
          <w:lang w:val="lv-LV"/>
        </w:rPr>
      </w:pPr>
    </w:p>
    <w:p w14:paraId="04CE5B84" w14:textId="77777777" w:rsidR="00EF4347" w:rsidRPr="00D16F94" w:rsidRDefault="00EF4347" w:rsidP="00EF4347">
      <w:pPr>
        <w:widowControl w:val="0"/>
        <w:spacing w:line="240" w:lineRule="auto"/>
        <w:rPr>
          <w:szCs w:val="24"/>
          <w:lang w:val="lv-LV"/>
        </w:rPr>
      </w:pPr>
      <w:r w:rsidRPr="00D16F94">
        <w:rPr>
          <w:b/>
          <w:szCs w:val="24"/>
          <w:lang w:val="lv-LV"/>
        </w:rPr>
        <w:t>2.</w:t>
      </w:r>
      <w:r w:rsidRPr="00D16F94">
        <w:rPr>
          <w:b/>
          <w:szCs w:val="24"/>
          <w:lang w:val="lv-LV"/>
        </w:rPr>
        <w:tab/>
        <w:t>KVALITATĪVAIS UN KVANTITATĪVAIS SASTĀVS</w:t>
      </w:r>
    </w:p>
    <w:p w14:paraId="7B999B36" w14:textId="77777777" w:rsidR="00EF4347" w:rsidRPr="00D16F94" w:rsidRDefault="00EF4347" w:rsidP="00EF4347">
      <w:pPr>
        <w:pStyle w:val="EMEAEnBodyText"/>
        <w:autoSpaceDE w:val="0"/>
        <w:autoSpaceDN w:val="0"/>
        <w:adjustRightInd w:val="0"/>
        <w:spacing w:before="0" w:after="0"/>
        <w:rPr>
          <w:szCs w:val="24"/>
          <w:lang w:val="lv-LV"/>
        </w:rPr>
      </w:pPr>
    </w:p>
    <w:p w14:paraId="4EE452AA" w14:textId="77777777" w:rsidR="00EF4347" w:rsidRPr="00D16F94" w:rsidRDefault="00EF4347" w:rsidP="00EF4347">
      <w:pPr>
        <w:spacing w:line="240" w:lineRule="auto"/>
        <w:rPr>
          <w:noProof/>
          <w:szCs w:val="24"/>
          <w:lang w:val="lv-LV"/>
        </w:rPr>
      </w:pPr>
      <w:r w:rsidRPr="00D16F94">
        <w:rPr>
          <w:szCs w:val="24"/>
          <w:lang w:val="lv-LV"/>
        </w:rPr>
        <w:t>Linefor 75 mg cietās kapsulas</w:t>
      </w:r>
    </w:p>
    <w:p w14:paraId="28441AE7" w14:textId="77777777" w:rsidR="00EF4347" w:rsidRPr="00D16F94" w:rsidRDefault="00EF4347" w:rsidP="00EF4347">
      <w:pPr>
        <w:pStyle w:val="EMEAEnBodyText"/>
        <w:autoSpaceDE w:val="0"/>
        <w:autoSpaceDN w:val="0"/>
        <w:adjustRightInd w:val="0"/>
        <w:spacing w:before="0" w:after="0"/>
        <w:rPr>
          <w:szCs w:val="24"/>
          <w:lang w:val="lv-LV"/>
        </w:rPr>
      </w:pPr>
      <w:r w:rsidRPr="00D16F94">
        <w:rPr>
          <w:szCs w:val="24"/>
          <w:lang w:val="lv-LV"/>
        </w:rPr>
        <w:t>Katra</w:t>
      </w:r>
      <w:r>
        <w:rPr>
          <w:szCs w:val="24"/>
          <w:lang w:val="lv-LV"/>
        </w:rPr>
        <w:t xml:space="preserve"> cietā</w:t>
      </w:r>
      <w:r w:rsidRPr="00D16F94">
        <w:rPr>
          <w:szCs w:val="24"/>
          <w:lang w:val="lv-LV"/>
        </w:rPr>
        <w:t xml:space="preserve"> </w:t>
      </w:r>
      <w:r>
        <w:rPr>
          <w:szCs w:val="24"/>
          <w:lang w:val="lv-LV"/>
        </w:rPr>
        <w:t>kapsula</w:t>
      </w:r>
      <w:r w:rsidRPr="00D16F94">
        <w:rPr>
          <w:szCs w:val="24"/>
          <w:lang w:val="lv-LV"/>
        </w:rPr>
        <w:t xml:space="preserve"> satur 75 mg pregabalīna (</w:t>
      </w:r>
      <w:r w:rsidRPr="00D16F94">
        <w:rPr>
          <w:i/>
          <w:szCs w:val="24"/>
          <w:lang w:val="lv-LV"/>
        </w:rPr>
        <w:t>pregabalinum</w:t>
      </w:r>
      <w:r w:rsidRPr="00D16F94">
        <w:rPr>
          <w:szCs w:val="24"/>
          <w:lang w:val="lv-LV"/>
        </w:rPr>
        <w:t>).</w:t>
      </w:r>
    </w:p>
    <w:p w14:paraId="57C8CCE9" w14:textId="77777777" w:rsidR="00EF4347" w:rsidRPr="00D16F94" w:rsidRDefault="00EF4347" w:rsidP="00EF4347">
      <w:pPr>
        <w:pStyle w:val="EMEAEnBodyText"/>
        <w:spacing w:before="0" w:after="0"/>
        <w:jc w:val="left"/>
        <w:rPr>
          <w:szCs w:val="24"/>
          <w:u w:val="single"/>
          <w:lang w:val="lv-LV"/>
        </w:rPr>
      </w:pPr>
      <w:r w:rsidRPr="00D16F94">
        <w:rPr>
          <w:szCs w:val="24"/>
          <w:u w:val="single"/>
          <w:lang w:val="lv-LV"/>
        </w:rPr>
        <w:t>Palīgviela ar zināmu iedarbību:</w:t>
      </w:r>
      <w:r w:rsidRPr="00726458">
        <w:rPr>
          <w:b/>
          <w:szCs w:val="24"/>
          <w:lang w:val="lv-LV"/>
        </w:rPr>
        <w:t xml:space="preserve"> </w:t>
      </w:r>
      <w:r w:rsidRPr="00D16F94">
        <w:rPr>
          <w:szCs w:val="24"/>
          <w:lang w:val="lv-LV"/>
        </w:rPr>
        <w:t>laktozes monohidrāts.</w:t>
      </w:r>
    </w:p>
    <w:p w14:paraId="4D69DAF0" w14:textId="77777777" w:rsidR="00EF4347" w:rsidRPr="00D16F94" w:rsidRDefault="00EF4347" w:rsidP="00EF4347">
      <w:pPr>
        <w:pStyle w:val="EMEAEnBodyText"/>
        <w:autoSpaceDE w:val="0"/>
        <w:autoSpaceDN w:val="0"/>
        <w:adjustRightInd w:val="0"/>
        <w:spacing w:before="0" w:after="0"/>
        <w:jc w:val="left"/>
        <w:rPr>
          <w:szCs w:val="24"/>
          <w:lang w:val="lv-LV"/>
        </w:rPr>
      </w:pPr>
      <w:r w:rsidRPr="00D16F94">
        <w:rPr>
          <w:szCs w:val="24"/>
          <w:lang w:val="lv-LV"/>
        </w:rPr>
        <w:t>Katra</w:t>
      </w:r>
      <w:r>
        <w:rPr>
          <w:szCs w:val="24"/>
          <w:lang w:val="lv-LV"/>
        </w:rPr>
        <w:t xml:space="preserve"> </w:t>
      </w:r>
      <w:r w:rsidRPr="00D16F94">
        <w:rPr>
          <w:szCs w:val="24"/>
          <w:lang w:val="lv-LV"/>
        </w:rPr>
        <w:t xml:space="preserve">cietā </w:t>
      </w:r>
      <w:r>
        <w:rPr>
          <w:szCs w:val="24"/>
          <w:lang w:val="lv-LV"/>
        </w:rPr>
        <w:t>kapsula</w:t>
      </w:r>
      <w:r w:rsidRPr="00D16F94">
        <w:rPr>
          <w:szCs w:val="24"/>
          <w:lang w:val="lv-LV"/>
        </w:rPr>
        <w:t xml:space="preserve"> satur 27 mg laktozes monohidrāta.</w:t>
      </w:r>
    </w:p>
    <w:p w14:paraId="71011049" w14:textId="77777777" w:rsidR="00EF4347" w:rsidRPr="00D16F94" w:rsidRDefault="00EF4347" w:rsidP="00EF4347">
      <w:pPr>
        <w:pStyle w:val="EMEAEnBodyText"/>
        <w:autoSpaceDE w:val="0"/>
        <w:autoSpaceDN w:val="0"/>
        <w:adjustRightInd w:val="0"/>
        <w:spacing w:before="0" w:after="0"/>
        <w:jc w:val="left"/>
        <w:rPr>
          <w:b/>
          <w:szCs w:val="24"/>
          <w:lang w:val="lv-LV"/>
        </w:rPr>
      </w:pPr>
    </w:p>
    <w:p w14:paraId="50DABE53" w14:textId="77777777" w:rsidR="00EF4347" w:rsidRPr="00D16F94" w:rsidRDefault="00EF4347" w:rsidP="00EF4347">
      <w:pPr>
        <w:spacing w:line="240" w:lineRule="auto"/>
        <w:rPr>
          <w:noProof/>
          <w:szCs w:val="24"/>
          <w:lang w:val="lv-LV"/>
        </w:rPr>
      </w:pPr>
      <w:r w:rsidRPr="00D16F94">
        <w:rPr>
          <w:szCs w:val="24"/>
          <w:lang w:val="lv-LV"/>
        </w:rPr>
        <w:t>Linefor 150 mg cietās kapsulas</w:t>
      </w:r>
    </w:p>
    <w:p w14:paraId="72C44F17" w14:textId="77777777" w:rsidR="00EF4347" w:rsidRPr="00D16F94" w:rsidRDefault="00EF4347" w:rsidP="00EF4347">
      <w:pPr>
        <w:pStyle w:val="EMEAEnBodyText"/>
        <w:autoSpaceDE w:val="0"/>
        <w:autoSpaceDN w:val="0"/>
        <w:adjustRightInd w:val="0"/>
        <w:spacing w:before="0" w:after="0"/>
        <w:jc w:val="left"/>
        <w:rPr>
          <w:szCs w:val="24"/>
          <w:lang w:val="lv-LV"/>
        </w:rPr>
      </w:pPr>
      <w:r w:rsidRPr="00D16F94">
        <w:rPr>
          <w:szCs w:val="24"/>
          <w:lang w:val="lv-LV"/>
        </w:rPr>
        <w:t xml:space="preserve">Katra cietā </w:t>
      </w:r>
      <w:r>
        <w:rPr>
          <w:szCs w:val="24"/>
          <w:lang w:val="lv-LV"/>
        </w:rPr>
        <w:t>kapsula</w:t>
      </w:r>
      <w:r w:rsidRPr="00D16F94">
        <w:rPr>
          <w:szCs w:val="24"/>
          <w:lang w:val="lv-LV"/>
        </w:rPr>
        <w:t xml:space="preserve"> satur 150 mg pregabalīna (</w:t>
      </w:r>
      <w:r w:rsidRPr="00D16F94">
        <w:rPr>
          <w:i/>
          <w:szCs w:val="24"/>
          <w:lang w:val="lv-LV"/>
        </w:rPr>
        <w:t>pregabalinum</w:t>
      </w:r>
      <w:r w:rsidRPr="00D16F94">
        <w:rPr>
          <w:szCs w:val="24"/>
          <w:lang w:val="lv-LV"/>
        </w:rPr>
        <w:t>).</w:t>
      </w:r>
    </w:p>
    <w:p w14:paraId="701B167F" w14:textId="77777777" w:rsidR="00EF4347" w:rsidRPr="00D16F94" w:rsidRDefault="00EF4347" w:rsidP="00EF4347">
      <w:pPr>
        <w:pStyle w:val="EMEAEnBodyText"/>
        <w:spacing w:before="0" w:after="0"/>
        <w:jc w:val="left"/>
        <w:rPr>
          <w:szCs w:val="24"/>
          <w:u w:val="single"/>
          <w:lang w:val="lv-LV"/>
        </w:rPr>
      </w:pPr>
      <w:r w:rsidRPr="00D16F94">
        <w:rPr>
          <w:szCs w:val="24"/>
          <w:u w:val="single"/>
          <w:lang w:val="lv-LV"/>
        </w:rPr>
        <w:t>Palīgviela ar zināmu iedarbību:</w:t>
      </w:r>
      <w:r w:rsidRPr="00726458">
        <w:rPr>
          <w:szCs w:val="24"/>
          <w:lang w:val="lv-LV"/>
        </w:rPr>
        <w:t xml:space="preserve"> </w:t>
      </w:r>
      <w:r w:rsidRPr="00D16F94">
        <w:rPr>
          <w:szCs w:val="24"/>
          <w:lang w:val="lv-LV"/>
        </w:rPr>
        <w:t>laktozes monohidrāts.</w:t>
      </w:r>
    </w:p>
    <w:p w14:paraId="5A3AEAC4" w14:textId="77777777" w:rsidR="00EF4347" w:rsidRDefault="00EF4347" w:rsidP="00EF4347">
      <w:pPr>
        <w:pStyle w:val="EMEAEnBodyText"/>
        <w:autoSpaceDE w:val="0"/>
        <w:autoSpaceDN w:val="0"/>
        <w:adjustRightInd w:val="0"/>
        <w:spacing w:before="0" w:after="0"/>
        <w:jc w:val="left"/>
        <w:rPr>
          <w:szCs w:val="24"/>
          <w:lang w:val="lv-LV"/>
        </w:rPr>
      </w:pPr>
      <w:r w:rsidRPr="00D16F94">
        <w:rPr>
          <w:szCs w:val="24"/>
          <w:lang w:val="lv-LV"/>
        </w:rPr>
        <w:t xml:space="preserve">Katra cietā </w:t>
      </w:r>
      <w:r>
        <w:rPr>
          <w:szCs w:val="24"/>
          <w:lang w:val="lv-LV"/>
        </w:rPr>
        <w:t>kapsula</w:t>
      </w:r>
      <w:r w:rsidRPr="00D16F94">
        <w:rPr>
          <w:szCs w:val="24"/>
          <w:lang w:val="lv-LV"/>
        </w:rPr>
        <w:t xml:space="preserve"> satur 54 mg laktozes monohidrāta.</w:t>
      </w:r>
    </w:p>
    <w:p w14:paraId="214D38F2" w14:textId="77777777" w:rsidR="000C68B1" w:rsidRPr="00D16F94" w:rsidRDefault="000C68B1" w:rsidP="00EF4347">
      <w:pPr>
        <w:pStyle w:val="EMEAEnBodyText"/>
        <w:autoSpaceDE w:val="0"/>
        <w:autoSpaceDN w:val="0"/>
        <w:adjustRightInd w:val="0"/>
        <w:spacing w:before="0" w:after="0"/>
        <w:jc w:val="left"/>
        <w:rPr>
          <w:szCs w:val="24"/>
          <w:lang w:val="lv-LV"/>
        </w:rPr>
      </w:pPr>
    </w:p>
    <w:p w14:paraId="2A8E6A4A" w14:textId="77777777" w:rsidR="00EF4347" w:rsidRPr="00D16F94" w:rsidRDefault="00EF4347" w:rsidP="00EF4347">
      <w:pPr>
        <w:spacing w:line="240" w:lineRule="auto"/>
        <w:rPr>
          <w:szCs w:val="24"/>
          <w:lang w:val="lv-LV"/>
        </w:rPr>
      </w:pPr>
      <w:r w:rsidRPr="00D16F94">
        <w:rPr>
          <w:szCs w:val="24"/>
          <w:lang w:val="lv-LV"/>
        </w:rPr>
        <w:t>Pilnu palīgvielu sarakstu skatīt 6.1. apakšpunktā.</w:t>
      </w:r>
    </w:p>
    <w:p w14:paraId="34907293" w14:textId="77777777" w:rsidR="00EF4347" w:rsidRPr="00D16F94" w:rsidRDefault="00EF4347" w:rsidP="00EF4347">
      <w:pPr>
        <w:spacing w:line="240" w:lineRule="auto"/>
        <w:rPr>
          <w:szCs w:val="24"/>
          <w:lang w:val="lv-LV"/>
        </w:rPr>
      </w:pPr>
    </w:p>
    <w:p w14:paraId="24883524" w14:textId="77777777" w:rsidR="00EF4347" w:rsidRPr="00D16F94" w:rsidRDefault="00EF4347" w:rsidP="00EF4347">
      <w:pPr>
        <w:spacing w:line="240" w:lineRule="auto"/>
        <w:rPr>
          <w:szCs w:val="24"/>
          <w:lang w:val="lv-LV"/>
        </w:rPr>
      </w:pPr>
    </w:p>
    <w:p w14:paraId="186B6159" w14:textId="77777777" w:rsidR="00EF4347" w:rsidRPr="00D16F94" w:rsidRDefault="00EF4347" w:rsidP="00EF4347">
      <w:pPr>
        <w:spacing w:line="240" w:lineRule="auto"/>
        <w:ind w:left="565" w:hanging="565"/>
        <w:rPr>
          <w:b/>
          <w:caps/>
          <w:szCs w:val="24"/>
          <w:lang w:val="lv-LV"/>
        </w:rPr>
      </w:pPr>
      <w:r w:rsidRPr="00D16F94">
        <w:rPr>
          <w:b/>
          <w:szCs w:val="24"/>
          <w:lang w:val="lv-LV"/>
        </w:rPr>
        <w:t>3.</w:t>
      </w:r>
      <w:r w:rsidRPr="00D16F94">
        <w:rPr>
          <w:b/>
          <w:szCs w:val="24"/>
          <w:lang w:val="lv-LV"/>
        </w:rPr>
        <w:tab/>
        <w:t>ZĀĻU FORMA</w:t>
      </w:r>
    </w:p>
    <w:p w14:paraId="6A8260CE" w14:textId="77777777" w:rsidR="00EF4347" w:rsidRPr="00D16F94" w:rsidRDefault="00EF4347" w:rsidP="00EF4347">
      <w:pPr>
        <w:spacing w:line="240" w:lineRule="auto"/>
        <w:rPr>
          <w:szCs w:val="24"/>
          <w:lang w:val="lv-LV"/>
        </w:rPr>
      </w:pPr>
    </w:p>
    <w:p w14:paraId="26C8B7FF" w14:textId="77777777" w:rsidR="00EF4347" w:rsidRPr="00D16F94" w:rsidRDefault="00EF4347" w:rsidP="00EF4347">
      <w:pPr>
        <w:spacing w:line="240" w:lineRule="auto"/>
        <w:rPr>
          <w:szCs w:val="24"/>
          <w:lang w:val="lv-LV"/>
        </w:rPr>
      </w:pPr>
      <w:r>
        <w:rPr>
          <w:szCs w:val="24"/>
          <w:lang w:val="lv-LV"/>
        </w:rPr>
        <w:t>Cietā kapsula</w:t>
      </w:r>
    </w:p>
    <w:p w14:paraId="7D478075" w14:textId="77777777" w:rsidR="000C68B1" w:rsidRDefault="000C68B1" w:rsidP="00EF4347">
      <w:pPr>
        <w:spacing w:line="240" w:lineRule="auto"/>
        <w:ind w:left="2835" w:hanging="2835"/>
        <w:rPr>
          <w:szCs w:val="24"/>
          <w:lang w:val="lv-LV"/>
        </w:rPr>
      </w:pPr>
    </w:p>
    <w:p w14:paraId="3B180C01" w14:textId="77777777" w:rsidR="00EF4347" w:rsidRPr="00D16F94" w:rsidRDefault="00EF4347" w:rsidP="00EF4347">
      <w:pPr>
        <w:spacing w:line="240" w:lineRule="auto"/>
        <w:ind w:left="2835" w:hanging="2835"/>
        <w:rPr>
          <w:szCs w:val="24"/>
          <w:lang w:val="lv-LV"/>
        </w:rPr>
      </w:pPr>
      <w:r w:rsidRPr="00D16F94">
        <w:rPr>
          <w:szCs w:val="24"/>
          <w:lang w:val="lv-LV"/>
        </w:rPr>
        <w:t>Linefor 75 mg:</w:t>
      </w:r>
      <w:r w:rsidRPr="00D16F94">
        <w:rPr>
          <w:szCs w:val="24"/>
          <w:lang w:val="lv-LV"/>
        </w:rPr>
        <w:tab/>
      </w:r>
      <w:r>
        <w:rPr>
          <w:szCs w:val="24"/>
          <w:lang w:val="lv-LV"/>
        </w:rPr>
        <w:t>Ž</w:t>
      </w:r>
      <w:r w:rsidRPr="00D16F94">
        <w:rPr>
          <w:szCs w:val="24"/>
          <w:lang w:val="lv-LV"/>
        </w:rPr>
        <w:t xml:space="preserve">elatīna </w:t>
      </w:r>
      <w:r>
        <w:rPr>
          <w:szCs w:val="24"/>
          <w:lang w:val="lv-LV"/>
        </w:rPr>
        <w:t>c</w:t>
      </w:r>
      <w:r w:rsidRPr="00D16F94">
        <w:rPr>
          <w:szCs w:val="24"/>
          <w:lang w:val="lv-LV"/>
        </w:rPr>
        <w:t>iet</w:t>
      </w:r>
      <w:r>
        <w:rPr>
          <w:szCs w:val="24"/>
          <w:lang w:val="lv-LV"/>
        </w:rPr>
        <w:t>ā</w:t>
      </w:r>
      <w:r w:rsidRPr="00D16F94">
        <w:rPr>
          <w:szCs w:val="24"/>
          <w:lang w:val="lv-LV"/>
        </w:rPr>
        <w:t xml:space="preserve">s kapsulas ar </w:t>
      </w:r>
      <w:r>
        <w:rPr>
          <w:szCs w:val="24"/>
          <w:lang w:val="lv-LV"/>
        </w:rPr>
        <w:t>uzdruku</w:t>
      </w:r>
      <w:r w:rsidRPr="00D16F94">
        <w:rPr>
          <w:szCs w:val="24"/>
          <w:lang w:val="lv-LV"/>
        </w:rPr>
        <w:t xml:space="preserve"> “75” </w:t>
      </w:r>
      <w:r>
        <w:rPr>
          <w:szCs w:val="24"/>
          <w:lang w:val="lv-LV"/>
        </w:rPr>
        <w:t xml:space="preserve">uz </w:t>
      </w:r>
      <w:r w:rsidRPr="00D16F94">
        <w:rPr>
          <w:szCs w:val="24"/>
          <w:lang w:val="lv-LV"/>
        </w:rPr>
        <w:t>balt</w:t>
      </w:r>
      <w:r>
        <w:rPr>
          <w:szCs w:val="24"/>
          <w:lang w:val="lv-LV"/>
        </w:rPr>
        <w:t>a</w:t>
      </w:r>
      <w:r w:rsidRPr="00D16F94">
        <w:rPr>
          <w:szCs w:val="24"/>
          <w:lang w:val="lv-LV"/>
        </w:rPr>
        <w:t xml:space="preserve"> korpus</w:t>
      </w:r>
      <w:r>
        <w:rPr>
          <w:szCs w:val="24"/>
          <w:lang w:val="lv-LV"/>
        </w:rPr>
        <w:t xml:space="preserve">a un ar </w:t>
      </w:r>
      <w:r w:rsidRPr="00D16F94">
        <w:rPr>
          <w:szCs w:val="24"/>
          <w:lang w:val="lv-LV"/>
        </w:rPr>
        <w:t>sarkanbrūn</w:t>
      </w:r>
      <w:r>
        <w:rPr>
          <w:szCs w:val="24"/>
          <w:lang w:val="lv-LV"/>
        </w:rPr>
        <w:t>u</w:t>
      </w:r>
      <w:r w:rsidRPr="00D16F94">
        <w:rPr>
          <w:szCs w:val="24"/>
          <w:lang w:val="lv-LV"/>
        </w:rPr>
        <w:t xml:space="preserve"> vāciņ</w:t>
      </w:r>
      <w:r>
        <w:rPr>
          <w:szCs w:val="24"/>
          <w:lang w:val="lv-LV"/>
        </w:rPr>
        <w:t>u,</w:t>
      </w:r>
      <w:r w:rsidRPr="00D16F94">
        <w:rPr>
          <w:szCs w:val="24"/>
          <w:lang w:val="lv-LV"/>
        </w:rPr>
        <w:t xml:space="preserve"> satur baltu vai gandrīz baltu pulveri vai nedaudz sablīvētus aglomerātus. Kapsulas izmērs ir Nr. 3.</w:t>
      </w:r>
    </w:p>
    <w:p w14:paraId="249153D0" w14:textId="77777777" w:rsidR="00EF4347" w:rsidRPr="00D16F94" w:rsidRDefault="00EF4347" w:rsidP="00EF4347">
      <w:pPr>
        <w:spacing w:line="240" w:lineRule="auto"/>
        <w:ind w:left="2835" w:hanging="2835"/>
        <w:rPr>
          <w:szCs w:val="24"/>
          <w:lang w:val="lv-LV"/>
        </w:rPr>
      </w:pPr>
      <w:r>
        <w:rPr>
          <w:szCs w:val="24"/>
          <w:lang w:val="lv-LV"/>
        </w:rPr>
        <w:t>Linefor 150 mg:</w:t>
      </w:r>
      <w:r>
        <w:rPr>
          <w:szCs w:val="24"/>
          <w:lang w:val="lv-LV"/>
        </w:rPr>
        <w:tab/>
        <w:t>Baltas</w:t>
      </w:r>
      <w:r w:rsidRPr="00D16F94">
        <w:rPr>
          <w:szCs w:val="24"/>
          <w:lang w:val="lv-LV"/>
        </w:rPr>
        <w:t xml:space="preserve"> želatīna ciet</w:t>
      </w:r>
      <w:r>
        <w:rPr>
          <w:szCs w:val="24"/>
          <w:lang w:val="lv-LV"/>
        </w:rPr>
        <w:t>ā</w:t>
      </w:r>
      <w:r w:rsidRPr="00D16F94">
        <w:rPr>
          <w:szCs w:val="24"/>
          <w:lang w:val="lv-LV"/>
        </w:rPr>
        <w:t>s kapsulas ar uzdruku “150” uz korpusa, satur baltu vai gandrīz baltu pulveri vai nedaudz sablīvētus aglomerātus. Kapsulas izmērs ir Nr. 1.</w:t>
      </w:r>
    </w:p>
    <w:p w14:paraId="7649170B" w14:textId="77777777" w:rsidR="00EF4347" w:rsidRPr="00D16F94" w:rsidRDefault="00EF4347" w:rsidP="00EF4347">
      <w:pPr>
        <w:spacing w:line="240" w:lineRule="auto"/>
        <w:ind w:left="2835" w:hanging="2835"/>
        <w:rPr>
          <w:szCs w:val="24"/>
          <w:lang w:val="lv-LV"/>
        </w:rPr>
      </w:pPr>
    </w:p>
    <w:p w14:paraId="6D0601F2" w14:textId="77777777" w:rsidR="00EF4347" w:rsidRPr="00D16F94" w:rsidRDefault="00EF4347" w:rsidP="00EF4347">
      <w:pPr>
        <w:spacing w:line="240" w:lineRule="auto"/>
        <w:rPr>
          <w:szCs w:val="24"/>
          <w:lang w:val="lv-LV"/>
        </w:rPr>
      </w:pPr>
    </w:p>
    <w:p w14:paraId="1A8591FC" w14:textId="77777777" w:rsidR="00EF4347" w:rsidRPr="00D16F94" w:rsidRDefault="00EF4347" w:rsidP="00EF4347">
      <w:pPr>
        <w:spacing w:line="240" w:lineRule="auto"/>
        <w:ind w:left="565" w:hanging="565"/>
        <w:rPr>
          <w:caps/>
          <w:szCs w:val="24"/>
          <w:lang w:val="lv-LV"/>
        </w:rPr>
      </w:pPr>
      <w:r w:rsidRPr="00D16F94">
        <w:rPr>
          <w:b/>
          <w:caps/>
          <w:szCs w:val="24"/>
          <w:lang w:val="lv-LV"/>
        </w:rPr>
        <w:t>4.</w:t>
      </w:r>
      <w:r w:rsidRPr="00D16F94">
        <w:rPr>
          <w:b/>
          <w:caps/>
          <w:szCs w:val="24"/>
          <w:lang w:val="lv-LV"/>
        </w:rPr>
        <w:tab/>
      </w:r>
      <w:r w:rsidRPr="00D16F94">
        <w:rPr>
          <w:b/>
          <w:szCs w:val="24"/>
          <w:lang w:val="lv-LV"/>
        </w:rPr>
        <w:t>KLĪNISKĀ INFORMĀCIJA</w:t>
      </w:r>
    </w:p>
    <w:p w14:paraId="113E27C6" w14:textId="77777777" w:rsidR="00EF4347" w:rsidRPr="00D16F94" w:rsidRDefault="00EF4347" w:rsidP="00EF4347">
      <w:pPr>
        <w:spacing w:line="240" w:lineRule="auto"/>
        <w:rPr>
          <w:szCs w:val="24"/>
          <w:lang w:val="lv-LV"/>
        </w:rPr>
      </w:pPr>
    </w:p>
    <w:p w14:paraId="18888563" w14:textId="77777777" w:rsidR="00EF4347" w:rsidRPr="00D16F94" w:rsidRDefault="00EF4347" w:rsidP="00EF4347">
      <w:pPr>
        <w:spacing w:line="240" w:lineRule="auto"/>
        <w:ind w:left="565" w:hanging="565"/>
        <w:rPr>
          <w:szCs w:val="24"/>
          <w:lang w:val="lv-LV"/>
        </w:rPr>
      </w:pPr>
      <w:r>
        <w:rPr>
          <w:b/>
          <w:szCs w:val="24"/>
          <w:lang w:val="lv-LV"/>
        </w:rPr>
        <w:t>4.1.</w:t>
      </w:r>
      <w:r>
        <w:rPr>
          <w:b/>
          <w:szCs w:val="24"/>
          <w:lang w:val="lv-LV"/>
        </w:rPr>
        <w:tab/>
      </w:r>
      <w:r w:rsidRPr="00D16F94">
        <w:rPr>
          <w:b/>
          <w:szCs w:val="24"/>
          <w:lang w:val="lv-LV"/>
        </w:rPr>
        <w:t>Terapeitiskās indikācijas</w:t>
      </w:r>
    </w:p>
    <w:p w14:paraId="4871F21E" w14:textId="77777777" w:rsidR="00EF4347" w:rsidRPr="00D16F94" w:rsidRDefault="00EF4347" w:rsidP="00EF4347">
      <w:pPr>
        <w:tabs>
          <w:tab w:val="clear" w:pos="565"/>
        </w:tabs>
        <w:autoSpaceDE w:val="0"/>
        <w:autoSpaceDN w:val="0"/>
        <w:adjustRightInd w:val="0"/>
        <w:spacing w:line="240" w:lineRule="auto"/>
        <w:rPr>
          <w:szCs w:val="24"/>
          <w:lang w:val="lv-LV"/>
        </w:rPr>
      </w:pPr>
    </w:p>
    <w:p w14:paraId="566249DB" w14:textId="77777777" w:rsidR="008B7FE9" w:rsidRPr="00552551" w:rsidRDefault="008B7FE9" w:rsidP="008B7FE9">
      <w:pPr>
        <w:tabs>
          <w:tab w:val="clear" w:pos="565"/>
        </w:tabs>
        <w:autoSpaceDE w:val="0"/>
        <w:autoSpaceDN w:val="0"/>
        <w:adjustRightInd w:val="0"/>
        <w:spacing w:line="240" w:lineRule="auto"/>
        <w:rPr>
          <w:szCs w:val="24"/>
          <w:u w:val="single"/>
          <w:lang w:val="lv-LV"/>
        </w:rPr>
      </w:pPr>
      <w:r w:rsidRPr="00552551">
        <w:rPr>
          <w:szCs w:val="24"/>
          <w:u w:val="single"/>
          <w:lang w:val="lv-LV"/>
        </w:rPr>
        <w:t>Neiropātiskas sāpes</w:t>
      </w:r>
    </w:p>
    <w:p w14:paraId="13B8320D" w14:textId="77777777" w:rsidR="008B7FE9" w:rsidRPr="00D16F94" w:rsidRDefault="008B7FE9" w:rsidP="008B7FE9">
      <w:pPr>
        <w:tabs>
          <w:tab w:val="clear" w:pos="565"/>
        </w:tabs>
        <w:autoSpaceDE w:val="0"/>
        <w:autoSpaceDN w:val="0"/>
        <w:adjustRightInd w:val="0"/>
        <w:spacing w:line="240" w:lineRule="auto"/>
        <w:rPr>
          <w:szCs w:val="24"/>
          <w:lang w:val="lv-LV"/>
        </w:rPr>
      </w:pPr>
      <w:r>
        <w:rPr>
          <w:szCs w:val="24"/>
          <w:lang w:val="lv-LV"/>
        </w:rPr>
        <w:t xml:space="preserve">Linefor </w:t>
      </w:r>
      <w:r w:rsidRPr="00D16F94">
        <w:rPr>
          <w:szCs w:val="24"/>
          <w:lang w:val="lv-LV"/>
        </w:rPr>
        <w:t>indicēts perifēru un centrālu neiropātisku sāpju ārstēšanai pieaugušajiem.</w:t>
      </w:r>
    </w:p>
    <w:p w14:paraId="1C64C7E2" w14:textId="77777777" w:rsidR="008B7FE9" w:rsidRPr="00D16F94" w:rsidRDefault="008B7FE9" w:rsidP="008B7FE9">
      <w:pPr>
        <w:tabs>
          <w:tab w:val="clear" w:pos="565"/>
        </w:tabs>
        <w:autoSpaceDE w:val="0"/>
        <w:autoSpaceDN w:val="0"/>
        <w:adjustRightInd w:val="0"/>
        <w:spacing w:line="240" w:lineRule="auto"/>
        <w:rPr>
          <w:szCs w:val="24"/>
          <w:lang w:val="lv-LV"/>
        </w:rPr>
      </w:pPr>
    </w:p>
    <w:p w14:paraId="6154F48D" w14:textId="77777777" w:rsidR="00EF4347" w:rsidRPr="00D16F94" w:rsidRDefault="00EF4347" w:rsidP="00EF4347">
      <w:pPr>
        <w:tabs>
          <w:tab w:val="clear" w:pos="565"/>
        </w:tabs>
        <w:autoSpaceDE w:val="0"/>
        <w:autoSpaceDN w:val="0"/>
        <w:adjustRightInd w:val="0"/>
        <w:spacing w:line="240" w:lineRule="auto"/>
        <w:rPr>
          <w:szCs w:val="24"/>
          <w:u w:val="single"/>
          <w:lang w:val="lv-LV"/>
        </w:rPr>
      </w:pPr>
      <w:r w:rsidRPr="00552551">
        <w:rPr>
          <w:szCs w:val="24"/>
          <w:u w:val="single" w:color="000000"/>
          <w:lang w:val="lv-LV"/>
        </w:rPr>
        <w:t>Epilepsija</w:t>
      </w:r>
    </w:p>
    <w:p w14:paraId="1336C20E" w14:textId="77777777" w:rsidR="00EF4347" w:rsidRPr="00D16F94" w:rsidRDefault="00EF4347" w:rsidP="00EF4347">
      <w:pPr>
        <w:tabs>
          <w:tab w:val="clear" w:pos="565"/>
        </w:tabs>
        <w:autoSpaceDE w:val="0"/>
        <w:autoSpaceDN w:val="0"/>
        <w:adjustRightInd w:val="0"/>
        <w:spacing w:line="240" w:lineRule="auto"/>
        <w:rPr>
          <w:szCs w:val="24"/>
          <w:lang w:val="lv-LV"/>
        </w:rPr>
      </w:pPr>
      <w:r w:rsidRPr="00D16F94">
        <w:rPr>
          <w:szCs w:val="24"/>
          <w:lang w:val="lv-LV"/>
        </w:rPr>
        <w:t>Linefor indicēts kā papildterapijas līdzeklis pieaugušajiem ar parciāliem krampjiem ar sekundāru ģeneralizāciju vai bez tās.</w:t>
      </w:r>
    </w:p>
    <w:p w14:paraId="36BF5E17" w14:textId="77777777" w:rsidR="00EF4347" w:rsidRPr="00D16F94" w:rsidRDefault="00EF4347" w:rsidP="00EF4347">
      <w:pPr>
        <w:tabs>
          <w:tab w:val="clear" w:pos="565"/>
        </w:tabs>
        <w:autoSpaceDE w:val="0"/>
        <w:autoSpaceDN w:val="0"/>
        <w:adjustRightInd w:val="0"/>
        <w:spacing w:line="240" w:lineRule="auto"/>
        <w:rPr>
          <w:szCs w:val="24"/>
          <w:lang w:val="lv-LV"/>
        </w:rPr>
      </w:pPr>
    </w:p>
    <w:p w14:paraId="66896B60" w14:textId="77777777" w:rsidR="00EF4347" w:rsidRPr="00552551" w:rsidRDefault="00EF4347" w:rsidP="00EF4347">
      <w:pPr>
        <w:tabs>
          <w:tab w:val="clear" w:pos="565"/>
        </w:tabs>
        <w:autoSpaceDE w:val="0"/>
        <w:autoSpaceDN w:val="0"/>
        <w:adjustRightInd w:val="0"/>
        <w:spacing w:line="240" w:lineRule="auto"/>
        <w:rPr>
          <w:szCs w:val="24"/>
          <w:u w:val="single"/>
          <w:lang w:val="lv-LV"/>
        </w:rPr>
      </w:pPr>
      <w:r w:rsidRPr="00552551">
        <w:rPr>
          <w:szCs w:val="24"/>
          <w:u w:val="single" w:color="000000"/>
          <w:lang w:val="lv-LV"/>
        </w:rPr>
        <w:t>Ģeneralizēta trauksme</w:t>
      </w:r>
    </w:p>
    <w:p w14:paraId="40E9259B" w14:textId="77777777" w:rsidR="00EF4347" w:rsidRDefault="00EF4347" w:rsidP="00EF4347">
      <w:pPr>
        <w:spacing w:line="240" w:lineRule="auto"/>
        <w:rPr>
          <w:szCs w:val="24"/>
          <w:lang w:val="lv-LV"/>
        </w:rPr>
      </w:pPr>
      <w:r>
        <w:rPr>
          <w:szCs w:val="24"/>
          <w:lang w:val="lv-LV"/>
        </w:rPr>
        <w:t xml:space="preserve">Linefor </w:t>
      </w:r>
      <w:r w:rsidRPr="00D16F94">
        <w:rPr>
          <w:szCs w:val="24"/>
          <w:lang w:val="lv-LV"/>
        </w:rPr>
        <w:t>indicēts ģeneralizētas trauksmes ārstēšanai pieaugušajiem.</w:t>
      </w:r>
    </w:p>
    <w:p w14:paraId="4B547C15" w14:textId="77777777" w:rsidR="000C68B1" w:rsidRPr="00D16F94" w:rsidRDefault="000C68B1" w:rsidP="00EF4347">
      <w:pPr>
        <w:spacing w:line="240" w:lineRule="auto"/>
        <w:rPr>
          <w:vanish/>
          <w:szCs w:val="24"/>
          <w:lang w:val="lv-LV"/>
        </w:rPr>
      </w:pPr>
    </w:p>
    <w:p w14:paraId="03290421" w14:textId="77777777" w:rsidR="00EF4347" w:rsidRPr="00D16F94" w:rsidRDefault="00EF4347" w:rsidP="00EF4347">
      <w:pPr>
        <w:spacing w:line="240" w:lineRule="auto"/>
        <w:rPr>
          <w:szCs w:val="24"/>
          <w:lang w:val="lv-LV"/>
        </w:rPr>
      </w:pPr>
    </w:p>
    <w:p w14:paraId="579018F0" w14:textId="77777777" w:rsidR="00EF4347" w:rsidRPr="00D16F94" w:rsidRDefault="00EF4347" w:rsidP="00EF4347">
      <w:pPr>
        <w:spacing w:line="240" w:lineRule="auto"/>
        <w:ind w:left="565" w:hanging="565"/>
        <w:rPr>
          <w:b/>
          <w:szCs w:val="24"/>
          <w:lang w:val="lv-LV"/>
        </w:rPr>
      </w:pPr>
      <w:r w:rsidRPr="00D16F94">
        <w:rPr>
          <w:b/>
          <w:szCs w:val="24"/>
          <w:lang w:val="lv-LV"/>
        </w:rPr>
        <w:t>4.2</w:t>
      </w:r>
      <w:r>
        <w:rPr>
          <w:b/>
          <w:szCs w:val="24"/>
          <w:lang w:val="lv-LV"/>
        </w:rPr>
        <w:t>.</w:t>
      </w:r>
      <w:r w:rsidRPr="00D16F94">
        <w:rPr>
          <w:b/>
          <w:szCs w:val="24"/>
          <w:lang w:val="lv-LV"/>
        </w:rPr>
        <w:tab/>
        <w:t>Devas un lietošanas veids</w:t>
      </w:r>
    </w:p>
    <w:p w14:paraId="4E199CCF" w14:textId="77777777" w:rsidR="00EF4347" w:rsidRPr="00D16F94" w:rsidRDefault="00EF4347" w:rsidP="00EF4347">
      <w:pPr>
        <w:spacing w:line="240" w:lineRule="auto"/>
        <w:ind w:left="565" w:hanging="565"/>
        <w:rPr>
          <w:szCs w:val="24"/>
          <w:lang w:val="lv-LV"/>
        </w:rPr>
      </w:pPr>
    </w:p>
    <w:p w14:paraId="47A19813" w14:textId="77777777" w:rsidR="00EF4347" w:rsidRPr="00D16F94" w:rsidRDefault="00EF4347" w:rsidP="00EF4347">
      <w:pPr>
        <w:tabs>
          <w:tab w:val="clear" w:pos="565"/>
        </w:tabs>
        <w:autoSpaceDE w:val="0"/>
        <w:autoSpaceDN w:val="0"/>
        <w:adjustRightInd w:val="0"/>
        <w:spacing w:line="240" w:lineRule="auto"/>
        <w:rPr>
          <w:szCs w:val="24"/>
          <w:u w:val="single"/>
          <w:lang w:val="lv-LV"/>
        </w:rPr>
      </w:pPr>
      <w:r w:rsidRPr="00D16F94">
        <w:rPr>
          <w:szCs w:val="24"/>
          <w:u w:val="single"/>
          <w:lang w:val="lv-LV"/>
        </w:rPr>
        <w:t>Devas</w:t>
      </w:r>
    </w:p>
    <w:p w14:paraId="1D53F9CE" w14:textId="77777777" w:rsidR="00EF4347" w:rsidRPr="00D16F94" w:rsidRDefault="00EF4347" w:rsidP="00EF4347">
      <w:pPr>
        <w:tabs>
          <w:tab w:val="clear" w:pos="565"/>
        </w:tabs>
        <w:autoSpaceDE w:val="0"/>
        <w:autoSpaceDN w:val="0"/>
        <w:adjustRightInd w:val="0"/>
        <w:spacing w:line="240" w:lineRule="auto"/>
        <w:rPr>
          <w:szCs w:val="24"/>
          <w:lang w:val="lv-LV"/>
        </w:rPr>
      </w:pPr>
      <w:r w:rsidRPr="00D16F94">
        <w:rPr>
          <w:szCs w:val="24"/>
          <w:lang w:val="lv-LV"/>
        </w:rPr>
        <w:t>Ieteicamā deva ir no 150 līdz 600 mg dienā, ko dala divās vai trīs lietošanas reizēs.</w:t>
      </w:r>
    </w:p>
    <w:p w14:paraId="39A312B4" w14:textId="77777777" w:rsidR="008B7FE9" w:rsidRDefault="008B7FE9" w:rsidP="008B7FE9">
      <w:pPr>
        <w:keepNext/>
        <w:tabs>
          <w:tab w:val="clear" w:pos="565"/>
        </w:tabs>
        <w:autoSpaceDE w:val="0"/>
        <w:autoSpaceDN w:val="0"/>
        <w:adjustRightInd w:val="0"/>
        <w:spacing w:line="240" w:lineRule="auto"/>
        <w:rPr>
          <w:i/>
          <w:szCs w:val="24"/>
          <w:lang w:val="lv-LV"/>
        </w:rPr>
      </w:pPr>
    </w:p>
    <w:p w14:paraId="40114614" w14:textId="77777777" w:rsidR="008B7FE9" w:rsidRPr="00D16F94" w:rsidRDefault="008B7FE9" w:rsidP="008B7FE9">
      <w:pPr>
        <w:keepNext/>
        <w:tabs>
          <w:tab w:val="clear" w:pos="565"/>
        </w:tabs>
        <w:autoSpaceDE w:val="0"/>
        <w:autoSpaceDN w:val="0"/>
        <w:adjustRightInd w:val="0"/>
        <w:spacing w:line="240" w:lineRule="auto"/>
        <w:rPr>
          <w:i/>
          <w:szCs w:val="24"/>
          <w:lang w:val="lv-LV"/>
        </w:rPr>
      </w:pPr>
      <w:r w:rsidRPr="00D16F94">
        <w:rPr>
          <w:i/>
          <w:szCs w:val="24"/>
          <w:lang w:val="lv-LV"/>
        </w:rPr>
        <w:t>Neiropātiskas sāpes</w:t>
      </w:r>
    </w:p>
    <w:p w14:paraId="71BA3A10" w14:textId="77777777" w:rsidR="008B7FE9" w:rsidRPr="00D16F94" w:rsidRDefault="008B7FE9" w:rsidP="008B7FE9">
      <w:pPr>
        <w:keepNext/>
        <w:tabs>
          <w:tab w:val="clear" w:pos="565"/>
        </w:tabs>
        <w:autoSpaceDE w:val="0"/>
        <w:autoSpaceDN w:val="0"/>
        <w:adjustRightInd w:val="0"/>
        <w:spacing w:line="240" w:lineRule="auto"/>
        <w:rPr>
          <w:szCs w:val="24"/>
          <w:lang w:val="lv-LV"/>
        </w:rPr>
      </w:pPr>
      <w:r w:rsidRPr="00D16F94">
        <w:rPr>
          <w:szCs w:val="24"/>
          <w:lang w:val="lv-LV"/>
        </w:rPr>
        <w:t>Ārstēšanu ar pregabalīnu var sākt ar 150 mg dienā, dalot divās vai trīs reizes devās.</w:t>
      </w:r>
    </w:p>
    <w:p w14:paraId="10527EFD" w14:textId="77777777" w:rsidR="008B7FE9" w:rsidRPr="00D16F94" w:rsidRDefault="008B7FE9" w:rsidP="008B7FE9">
      <w:pPr>
        <w:tabs>
          <w:tab w:val="clear" w:pos="565"/>
        </w:tabs>
        <w:autoSpaceDE w:val="0"/>
        <w:autoSpaceDN w:val="0"/>
        <w:adjustRightInd w:val="0"/>
        <w:spacing w:line="240" w:lineRule="auto"/>
        <w:rPr>
          <w:szCs w:val="24"/>
          <w:lang w:val="lv-LV"/>
        </w:rPr>
      </w:pPr>
      <w:r w:rsidRPr="00D16F94">
        <w:rPr>
          <w:szCs w:val="24"/>
          <w:lang w:val="lv-LV"/>
        </w:rPr>
        <w:t>Atkarībā no pacienta individuālās atbildes reakcijas un panesamības pēc 3 līdz 7 dienu perioda devu var palielināt līdz 300 mg dienā, un, ja nepieciešams, līdz maksimālajai devai 600 mg dienā pēc vēl 7 dienu perioda.</w:t>
      </w:r>
    </w:p>
    <w:p w14:paraId="47DE5719" w14:textId="77777777" w:rsidR="00EF4347" w:rsidRPr="00D16F94" w:rsidRDefault="00EF4347" w:rsidP="00EF4347">
      <w:pPr>
        <w:tabs>
          <w:tab w:val="clear" w:pos="565"/>
        </w:tabs>
        <w:autoSpaceDE w:val="0"/>
        <w:autoSpaceDN w:val="0"/>
        <w:adjustRightInd w:val="0"/>
        <w:spacing w:line="240" w:lineRule="auto"/>
        <w:rPr>
          <w:i/>
          <w:szCs w:val="24"/>
          <w:lang w:val="lv-LV"/>
        </w:rPr>
      </w:pPr>
    </w:p>
    <w:p w14:paraId="37C033D9" w14:textId="77777777" w:rsidR="00EF4347" w:rsidRPr="00D16F94" w:rsidRDefault="00EF4347" w:rsidP="00EF4347">
      <w:pPr>
        <w:tabs>
          <w:tab w:val="clear" w:pos="565"/>
        </w:tabs>
        <w:autoSpaceDE w:val="0"/>
        <w:autoSpaceDN w:val="0"/>
        <w:adjustRightInd w:val="0"/>
        <w:spacing w:line="240" w:lineRule="auto"/>
        <w:rPr>
          <w:i/>
          <w:szCs w:val="24"/>
          <w:lang w:val="lv-LV"/>
        </w:rPr>
      </w:pPr>
      <w:r w:rsidRPr="00D16F94">
        <w:rPr>
          <w:i/>
          <w:szCs w:val="24"/>
          <w:lang w:val="lv-LV"/>
        </w:rPr>
        <w:t>Epilepsija</w:t>
      </w:r>
    </w:p>
    <w:p w14:paraId="6391D689" w14:textId="77777777" w:rsidR="00EF4347" w:rsidRPr="00D16F94" w:rsidRDefault="00EF4347" w:rsidP="00EF4347">
      <w:pPr>
        <w:tabs>
          <w:tab w:val="clear" w:pos="565"/>
        </w:tabs>
        <w:autoSpaceDE w:val="0"/>
        <w:autoSpaceDN w:val="0"/>
        <w:adjustRightInd w:val="0"/>
        <w:spacing w:line="240" w:lineRule="auto"/>
        <w:rPr>
          <w:szCs w:val="24"/>
          <w:lang w:val="lv-LV"/>
        </w:rPr>
      </w:pPr>
      <w:r w:rsidRPr="00D16F94">
        <w:rPr>
          <w:szCs w:val="24"/>
          <w:lang w:val="lv-LV"/>
        </w:rPr>
        <w:t>Ārstēšanu ar pregabalīnu var sākt ar 150 mg dienā, dalot divās vai trīs reizes devās.</w:t>
      </w:r>
    </w:p>
    <w:p w14:paraId="6CE02347" w14:textId="77777777" w:rsidR="00EF4347" w:rsidRPr="00D16F94" w:rsidRDefault="00EF4347" w:rsidP="00EF4347">
      <w:pPr>
        <w:tabs>
          <w:tab w:val="clear" w:pos="565"/>
        </w:tabs>
        <w:autoSpaceDE w:val="0"/>
        <w:autoSpaceDN w:val="0"/>
        <w:adjustRightInd w:val="0"/>
        <w:spacing w:line="240" w:lineRule="auto"/>
        <w:rPr>
          <w:szCs w:val="24"/>
          <w:lang w:val="lv-LV"/>
        </w:rPr>
      </w:pPr>
      <w:r w:rsidRPr="00D16F94">
        <w:rPr>
          <w:szCs w:val="24"/>
          <w:lang w:val="lv-LV"/>
        </w:rPr>
        <w:t>Atkarībā no pacienta individuālās atbildes reakcijas un panesamības pēc 1 nedēļas devu var palielināt līdz 300 mg dienā. Vēl pēc nedēļas var parakstīt maksimālo devu 600 mg dienā.</w:t>
      </w:r>
    </w:p>
    <w:p w14:paraId="6DB64F01" w14:textId="77777777" w:rsidR="00EF4347" w:rsidRPr="00D16F94" w:rsidRDefault="00EF4347" w:rsidP="00EF4347">
      <w:pPr>
        <w:tabs>
          <w:tab w:val="clear" w:pos="565"/>
        </w:tabs>
        <w:autoSpaceDE w:val="0"/>
        <w:autoSpaceDN w:val="0"/>
        <w:adjustRightInd w:val="0"/>
        <w:spacing w:line="240" w:lineRule="auto"/>
        <w:rPr>
          <w:i/>
          <w:szCs w:val="24"/>
          <w:lang w:val="lv-LV"/>
        </w:rPr>
      </w:pPr>
    </w:p>
    <w:p w14:paraId="0601CF14" w14:textId="77777777" w:rsidR="00EF4347" w:rsidRPr="00D16F94" w:rsidRDefault="00EF4347" w:rsidP="00EF4347">
      <w:pPr>
        <w:tabs>
          <w:tab w:val="clear" w:pos="565"/>
        </w:tabs>
        <w:autoSpaceDE w:val="0"/>
        <w:autoSpaceDN w:val="0"/>
        <w:adjustRightInd w:val="0"/>
        <w:spacing w:line="240" w:lineRule="auto"/>
        <w:rPr>
          <w:i/>
          <w:szCs w:val="24"/>
          <w:lang w:val="lv-LV"/>
        </w:rPr>
      </w:pPr>
      <w:r w:rsidRPr="00D16F94">
        <w:rPr>
          <w:i/>
          <w:szCs w:val="24"/>
          <w:lang w:val="lv-LV"/>
        </w:rPr>
        <w:t>Ģeneralizēta trauksme</w:t>
      </w:r>
    </w:p>
    <w:p w14:paraId="0E71F388" w14:textId="77777777" w:rsidR="00EF4347" w:rsidRPr="00D16F94" w:rsidRDefault="00EF4347" w:rsidP="00EF4347">
      <w:pPr>
        <w:tabs>
          <w:tab w:val="clear" w:pos="565"/>
        </w:tabs>
        <w:autoSpaceDE w:val="0"/>
        <w:autoSpaceDN w:val="0"/>
        <w:adjustRightInd w:val="0"/>
        <w:spacing w:line="240" w:lineRule="auto"/>
        <w:rPr>
          <w:szCs w:val="24"/>
          <w:lang w:val="lv-LV"/>
        </w:rPr>
      </w:pPr>
      <w:r w:rsidRPr="00D16F94">
        <w:rPr>
          <w:szCs w:val="24"/>
          <w:lang w:val="lv-LV"/>
        </w:rPr>
        <w:t>Deva ir no 150 līdz 600 mg dienā, dalot divās vai trīs reizes devās. Regulāri atkārtoti jāvērtē ārstēšanas nepieciešamība.</w:t>
      </w:r>
    </w:p>
    <w:p w14:paraId="449863E6" w14:textId="77777777" w:rsidR="00EF4347" w:rsidRPr="00D16F94" w:rsidRDefault="00EF4347" w:rsidP="00EF4347">
      <w:pPr>
        <w:tabs>
          <w:tab w:val="clear" w:pos="565"/>
        </w:tabs>
        <w:autoSpaceDE w:val="0"/>
        <w:autoSpaceDN w:val="0"/>
        <w:adjustRightInd w:val="0"/>
        <w:spacing w:line="240" w:lineRule="auto"/>
        <w:rPr>
          <w:szCs w:val="24"/>
          <w:lang w:val="lv-LV"/>
        </w:rPr>
      </w:pPr>
    </w:p>
    <w:p w14:paraId="253D50F0" w14:textId="77777777" w:rsidR="00EF4347" w:rsidRPr="00D16F94" w:rsidRDefault="00EF4347" w:rsidP="00EF4347">
      <w:pPr>
        <w:tabs>
          <w:tab w:val="clear" w:pos="565"/>
        </w:tabs>
        <w:autoSpaceDE w:val="0"/>
        <w:autoSpaceDN w:val="0"/>
        <w:adjustRightInd w:val="0"/>
        <w:spacing w:line="240" w:lineRule="auto"/>
        <w:rPr>
          <w:szCs w:val="24"/>
          <w:lang w:val="lv-LV"/>
        </w:rPr>
      </w:pPr>
      <w:r w:rsidRPr="00D16F94">
        <w:rPr>
          <w:szCs w:val="24"/>
          <w:lang w:val="lv-LV"/>
        </w:rPr>
        <w:t>Ārstēšanu ar pregabalīnu var sākt ar 150 mg dien</w:t>
      </w:r>
      <w:r>
        <w:rPr>
          <w:szCs w:val="24"/>
          <w:lang w:val="lv-LV"/>
        </w:rPr>
        <w:t>as</w:t>
      </w:r>
      <w:r w:rsidRPr="00D16F94">
        <w:rPr>
          <w:szCs w:val="24"/>
          <w:lang w:val="lv-LV"/>
        </w:rPr>
        <w:t xml:space="preserve"> devu. Atkarībā no pacienta individuālās atbildes reakcijas un panesamības pēc 1 nedēļas devu var palielināt līdz 300 mg dienā. Vēl pēc nedēļas devu var palielināt līdz 450 mg dienā. Vēl pēc nedēļas var parakstīt maksimālo devu 600 mg dienā.</w:t>
      </w:r>
    </w:p>
    <w:p w14:paraId="3C56CD9F" w14:textId="77777777" w:rsidR="00EF4347" w:rsidRPr="00D16F94" w:rsidRDefault="00EF4347" w:rsidP="00EF4347">
      <w:pPr>
        <w:tabs>
          <w:tab w:val="clear" w:pos="565"/>
        </w:tabs>
        <w:autoSpaceDE w:val="0"/>
        <w:autoSpaceDN w:val="0"/>
        <w:adjustRightInd w:val="0"/>
        <w:spacing w:line="240" w:lineRule="auto"/>
        <w:rPr>
          <w:szCs w:val="24"/>
          <w:lang w:val="lv-LV"/>
        </w:rPr>
      </w:pPr>
    </w:p>
    <w:p w14:paraId="691B1CB5" w14:textId="77777777" w:rsidR="00EF4347" w:rsidRPr="00D16F94" w:rsidRDefault="00EF4347" w:rsidP="00EF4347">
      <w:pPr>
        <w:tabs>
          <w:tab w:val="clear" w:pos="565"/>
        </w:tabs>
        <w:autoSpaceDE w:val="0"/>
        <w:autoSpaceDN w:val="0"/>
        <w:adjustRightInd w:val="0"/>
        <w:spacing w:line="240" w:lineRule="auto"/>
        <w:rPr>
          <w:i/>
          <w:szCs w:val="24"/>
          <w:lang w:val="lv-LV"/>
        </w:rPr>
      </w:pPr>
      <w:r w:rsidRPr="00D16F94">
        <w:rPr>
          <w:i/>
          <w:szCs w:val="24"/>
          <w:u w:color="000000"/>
          <w:lang w:val="lv-LV"/>
        </w:rPr>
        <w:t>Pregabalīna lietošanas pārtraukšana</w:t>
      </w:r>
    </w:p>
    <w:p w14:paraId="502944B0" w14:textId="77777777" w:rsidR="00EF4347" w:rsidRPr="00D16F94" w:rsidRDefault="00EF4347" w:rsidP="00EF4347">
      <w:pPr>
        <w:tabs>
          <w:tab w:val="clear" w:pos="565"/>
        </w:tabs>
        <w:autoSpaceDE w:val="0"/>
        <w:autoSpaceDN w:val="0"/>
        <w:adjustRightInd w:val="0"/>
        <w:spacing w:line="240" w:lineRule="auto"/>
        <w:rPr>
          <w:szCs w:val="24"/>
          <w:lang w:val="lv-LV"/>
        </w:rPr>
      </w:pPr>
      <w:r w:rsidRPr="00D16F94">
        <w:rPr>
          <w:szCs w:val="24"/>
          <w:lang w:val="lv-LV"/>
        </w:rPr>
        <w:t>Saskaņā ar pieņemto klīnisko praksi, ja pregabalīna lietošan</w:t>
      </w:r>
      <w:r>
        <w:rPr>
          <w:szCs w:val="24"/>
          <w:lang w:val="lv-LV"/>
        </w:rPr>
        <w:t>a jāpārtrauc</w:t>
      </w:r>
      <w:r w:rsidRPr="00D16F94">
        <w:rPr>
          <w:szCs w:val="24"/>
          <w:lang w:val="lv-LV"/>
        </w:rPr>
        <w:t>, to ieteicams darīt pakāpeniski, samazinot zāļu devu vismaz 1 nedēļas laikā neatkarīgi no indikācijas (skatīt 4.4. un 4.8. apakšpunktu).</w:t>
      </w:r>
    </w:p>
    <w:p w14:paraId="5A3CF438" w14:textId="77777777" w:rsidR="00EF4347" w:rsidRPr="00D16F94" w:rsidRDefault="00EF4347" w:rsidP="00EF4347">
      <w:pPr>
        <w:tabs>
          <w:tab w:val="clear" w:pos="565"/>
        </w:tabs>
        <w:autoSpaceDE w:val="0"/>
        <w:autoSpaceDN w:val="0"/>
        <w:adjustRightInd w:val="0"/>
        <w:spacing w:line="240" w:lineRule="auto"/>
        <w:rPr>
          <w:szCs w:val="24"/>
          <w:u w:val="single"/>
          <w:lang w:val="lv-LV"/>
        </w:rPr>
      </w:pPr>
    </w:p>
    <w:p w14:paraId="6F71F1D7" w14:textId="7A4A48EC" w:rsidR="00EF4347" w:rsidRPr="00D16F94" w:rsidRDefault="00D51027" w:rsidP="00EF4347">
      <w:pPr>
        <w:tabs>
          <w:tab w:val="clear" w:pos="565"/>
        </w:tabs>
        <w:autoSpaceDE w:val="0"/>
        <w:autoSpaceDN w:val="0"/>
        <w:adjustRightInd w:val="0"/>
        <w:spacing w:line="240" w:lineRule="auto"/>
        <w:rPr>
          <w:i/>
          <w:szCs w:val="24"/>
          <w:lang w:val="lv-LV"/>
        </w:rPr>
      </w:pPr>
      <w:r>
        <w:rPr>
          <w:i/>
          <w:szCs w:val="24"/>
          <w:u w:color="000000"/>
          <w:lang w:val="lv-LV"/>
        </w:rPr>
        <w:t>N</w:t>
      </w:r>
      <w:r w:rsidR="00EF4347" w:rsidRPr="00D16F94">
        <w:rPr>
          <w:i/>
          <w:szCs w:val="24"/>
          <w:u w:color="000000"/>
          <w:lang w:val="lv-LV"/>
        </w:rPr>
        <w:t>ieru darbības traucējumi</w:t>
      </w:r>
    </w:p>
    <w:p w14:paraId="0157BBB9" w14:textId="77777777" w:rsidR="00EF4347" w:rsidRPr="00D16F94" w:rsidRDefault="00EF4347" w:rsidP="00EF4347">
      <w:pPr>
        <w:tabs>
          <w:tab w:val="clear" w:pos="565"/>
        </w:tabs>
        <w:autoSpaceDE w:val="0"/>
        <w:autoSpaceDN w:val="0"/>
        <w:adjustRightInd w:val="0"/>
        <w:spacing w:line="240" w:lineRule="auto"/>
        <w:rPr>
          <w:szCs w:val="24"/>
          <w:lang w:val="lv-LV"/>
        </w:rPr>
      </w:pPr>
      <w:r w:rsidRPr="00D16F94">
        <w:rPr>
          <w:szCs w:val="24"/>
          <w:lang w:val="lv-LV"/>
        </w:rPr>
        <w:t>Pregabalīns tiek izvadīts no sistēmiskās asinsrites galvenokārt caur nierēm nemainītā formā.</w:t>
      </w:r>
    </w:p>
    <w:p w14:paraId="1DC94A01" w14:textId="77777777" w:rsidR="00EF4347" w:rsidRPr="00D16F94" w:rsidRDefault="00EF4347" w:rsidP="00EF4347">
      <w:pPr>
        <w:tabs>
          <w:tab w:val="clear" w:pos="565"/>
        </w:tabs>
        <w:autoSpaceDE w:val="0"/>
        <w:autoSpaceDN w:val="0"/>
        <w:adjustRightInd w:val="0"/>
        <w:spacing w:line="240" w:lineRule="auto"/>
        <w:rPr>
          <w:szCs w:val="24"/>
          <w:lang w:val="lv-LV"/>
        </w:rPr>
      </w:pPr>
      <w:r w:rsidRPr="00D16F94">
        <w:rPr>
          <w:szCs w:val="24"/>
          <w:lang w:val="lv-LV"/>
        </w:rPr>
        <w:t>Pregabalīna klīrenss ir tieši proporcionāls kreatinīna klīrensam (skatīt 5.2. apakšpunktu), tādēļ pacientiem ar nieru darbības traucējumiem deva jāsamazina individuāli atkarībā no kreatinīna klīrensa (CL</w:t>
      </w:r>
      <w:r w:rsidRPr="00D16F94">
        <w:rPr>
          <w:szCs w:val="24"/>
          <w:vertAlign w:val="subscript"/>
          <w:lang w:val="lv-LV"/>
        </w:rPr>
        <w:t>cr</w:t>
      </w:r>
      <w:r w:rsidRPr="00D16F94">
        <w:rPr>
          <w:szCs w:val="24"/>
          <w:lang w:val="lv-LV"/>
        </w:rPr>
        <w:t>), kā norādīts 1. tabulā, izmantojot šādu formulu:</w:t>
      </w:r>
    </w:p>
    <w:p w14:paraId="4E28B8C5" w14:textId="77777777" w:rsidR="00965657" w:rsidRDefault="00965657">
      <w:pPr>
        <w:tabs>
          <w:tab w:val="clear" w:pos="565"/>
        </w:tabs>
        <w:autoSpaceDE w:val="0"/>
        <w:autoSpaceDN w:val="0"/>
        <w:adjustRightInd w:val="0"/>
        <w:spacing w:line="240" w:lineRule="auto"/>
        <w:rPr>
          <w:szCs w:val="24"/>
          <w:lang w:val="lv-LV"/>
        </w:rPr>
      </w:pPr>
    </w:p>
    <w:p w14:paraId="77590A59" w14:textId="2C0E04DF" w:rsidR="003003F3" w:rsidRPr="00EF1691" w:rsidRDefault="00254DC9" w:rsidP="003003F3">
      <w:pPr>
        <w:tabs>
          <w:tab w:val="clear" w:pos="565"/>
          <w:tab w:val="left" w:pos="720"/>
        </w:tabs>
        <w:autoSpaceDE w:val="0"/>
        <w:autoSpaceDN w:val="0"/>
        <w:adjustRightInd w:val="0"/>
        <w:spacing w:line="240" w:lineRule="auto"/>
        <w:rPr>
          <w:szCs w:val="22"/>
          <w:lang w:val="lv-LV" w:eastAsia="pl-PL"/>
        </w:rPr>
      </w:pPr>
      <w:r w:rsidRPr="00254DC9">
        <w:rPr>
          <w:noProof/>
          <w:lang w:val="lv-LV"/>
        </w:rPr>
        <w:drawing>
          <wp:inline distT="0" distB="0" distL="0" distR="0" wp14:anchorId="64003393" wp14:editId="175D19A9">
            <wp:extent cx="5765800" cy="2730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5800" cy="273050"/>
                    </a:xfrm>
                    <a:prstGeom prst="rect">
                      <a:avLst/>
                    </a:prstGeom>
                    <a:noFill/>
                    <a:ln>
                      <a:noFill/>
                    </a:ln>
                  </pic:spPr>
                </pic:pic>
              </a:graphicData>
            </a:graphic>
          </wp:inline>
        </w:drawing>
      </w:r>
    </w:p>
    <w:p w14:paraId="2DEEF4A4" w14:textId="77777777" w:rsidR="003003F3" w:rsidRPr="00EF1691" w:rsidRDefault="003003F3" w:rsidP="003003F3">
      <w:pPr>
        <w:spacing w:line="240" w:lineRule="auto"/>
        <w:ind w:left="565" w:hanging="565"/>
        <w:jc w:val="center"/>
        <w:rPr>
          <w:szCs w:val="22"/>
          <w:lang w:val="lv-LV" w:eastAsia="pl-PL"/>
        </w:rPr>
      </w:pPr>
    </w:p>
    <w:p w14:paraId="432BF83E" w14:textId="77777777" w:rsidR="00EF4347" w:rsidRPr="00D16F94" w:rsidRDefault="00EF4347" w:rsidP="00EF4347">
      <w:pPr>
        <w:tabs>
          <w:tab w:val="clear" w:pos="565"/>
        </w:tabs>
        <w:autoSpaceDE w:val="0"/>
        <w:autoSpaceDN w:val="0"/>
        <w:adjustRightInd w:val="0"/>
        <w:spacing w:line="240" w:lineRule="auto"/>
        <w:rPr>
          <w:szCs w:val="24"/>
          <w:lang w:val="lv-LV"/>
        </w:rPr>
      </w:pPr>
      <w:r w:rsidRPr="00D16F94">
        <w:rPr>
          <w:szCs w:val="24"/>
          <w:lang w:val="lv-LV"/>
        </w:rPr>
        <w:t>Pregabalīns tiek efektīvi izvadīts no plazmas</w:t>
      </w:r>
      <w:r>
        <w:rPr>
          <w:szCs w:val="24"/>
          <w:lang w:val="lv-LV"/>
        </w:rPr>
        <w:t xml:space="preserve"> ar hemodialīzi (50% zāļu</w:t>
      </w:r>
      <w:r w:rsidRPr="00D16F94">
        <w:rPr>
          <w:szCs w:val="24"/>
          <w:lang w:val="lv-LV"/>
        </w:rPr>
        <w:t xml:space="preserve"> 4 stund</w:t>
      </w:r>
      <w:r>
        <w:rPr>
          <w:szCs w:val="24"/>
          <w:lang w:val="lv-LV"/>
        </w:rPr>
        <w:t>ās</w:t>
      </w:r>
      <w:r w:rsidRPr="00D16F94">
        <w:rPr>
          <w:szCs w:val="24"/>
          <w:lang w:val="lv-LV"/>
        </w:rPr>
        <w:t xml:space="preserve">). Pacientiem, kuriem tiek veikta hemodialīze, pregabalīna dienas deva jāpielāgo atkarībā no nieru </w:t>
      </w:r>
      <w:r w:rsidR="0077009D">
        <w:rPr>
          <w:szCs w:val="24"/>
          <w:lang w:val="lv-LV"/>
        </w:rPr>
        <w:t>funkcionālā st</w:t>
      </w:r>
      <w:r w:rsidR="0098298E">
        <w:rPr>
          <w:szCs w:val="24"/>
          <w:lang w:val="lv-LV"/>
        </w:rPr>
        <w:t>āvo</w:t>
      </w:r>
      <w:r w:rsidR="0077009D">
        <w:rPr>
          <w:szCs w:val="24"/>
          <w:lang w:val="lv-LV"/>
        </w:rPr>
        <w:t>kļa</w:t>
      </w:r>
      <w:r w:rsidRPr="00D16F94">
        <w:rPr>
          <w:szCs w:val="24"/>
          <w:lang w:val="lv-LV"/>
        </w:rPr>
        <w:t>.</w:t>
      </w:r>
    </w:p>
    <w:p w14:paraId="08DF3300" w14:textId="77777777" w:rsidR="00EF4347" w:rsidRPr="00D16F94" w:rsidRDefault="00EF4347" w:rsidP="00EF4347">
      <w:pPr>
        <w:tabs>
          <w:tab w:val="clear" w:pos="565"/>
        </w:tabs>
        <w:autoSpaceDE w:val="0"/>
        <w:autoSpaceDN w:val="0"/>
        <w:adjustRightInd w:val="0"/>
        <w:spacing w:line="240" w:lineRule="auto"/>
        <w:rPr>
          <w:szCs w:val="24"/>
          <w:lang w:val="lv-LV"/>
        </w:rPr>
      </w:pPr>
      <w:r w:rsidRPr="00D16F94">
        <w:rPr>
          <w:szCs w:val="24"/>
          <w:lang w:val="lv-LV"/>
        </w:rPr>
        <w:t>Papildus dienas devai uzreiz pēc katras</w:t>
      </w:r>
      <w:r>
        <w:rPr>
          <w:szCs w:val="24"/>
          <w:lang w:val="lv-LV"/>
        </w:rPr>
        <w:t xml:space="preserve"> </w:t>
      </w:r>
      <w:r w:rsidRPr="00D16F94">
        <w:rPr>
          <w:szCs w:val="24"/>
          <w:lang w:val="lv-LV"/>
        </w:rPr>
        <w:t>4 stundu hemodialīzes procedūras jālieto papildu deva (skatīt 1. tabulu).</w:t>
      </w:r>
    </w:p>
    <w:p w14:paraId="75B43D9F" w14:textId="77777777" w:rsidR="00EF4347" w:rsidRPr="00D16F94" w:rsidRDefault="00EF4347" w:rsidP="00EF4347">
      <w:pPr>
        <w:spacing w:line="240" w:lineRule="auto"/>
        <w:rPr>
          <w:szCs w:val="24"/>
          <w:lang w:val="lv-LV"/>
        </w:rPr>
      </w:pPr>
    </w:p>
    <w:p w14:paraId="1EACE690" w14:textId="77777777" w:rsidR="00EF4347" w:rsidRPr="00D16F94" w:rsidRDefault="00EF4347" w:rsidP="00EF4347">
      <w:pPr>
        <w:spacing w:line="240" w:lineRule="auto"/>
        <w:ind w:left="565" w:hanging="565"/>
        <w:rPr>
          <w:b/>
          <w:szCs w:val="24"/>
          <w:lang w:val="lv-LV"/>
        </w:rPr>
      </w:pPr>
      <w:r w:rsidRPr="00D16F94">
        <w:rPr>
          <w:b/>
          <w:position w:val="-1"/>
          <w:szCs w:val="24"/>
          <w:lang w:val="lv-LV"/>
        </w:rPr>
        <w:t>1. tabula. Pregabalīna devas pielāgošana atkarībā no nieru darbības</w:t>
      </w:r>
    </w:p>
    <w:p w14:paraId="6A15E812" w14:textId="77777777" w:rsidR="00EF4347" w:rsidRPr="00D16F94" w:rsidRDefault="00EF4347" w:rsidP="00EF4347">
      <w:pPr>
        <w:spacing w:line="240" w:lineRule="auto"/>
        <w:ind w:left="565" w:hanging="565"/>
        <w:rPr>
          <w:b/>
          <w:szCs w:val="24"/>
          <w:lang w:val="lv-LV"/>
        </w:rPr>
      </w:pPr>
    </w:p>
    <w:tbl>
      <w:tblPr>
        <w:tblW w:w="92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0"/>
        <w:gridCol w:w="2320"/>
        <w:gridCol w:w="2321"/>
        <w:gridCol w:w="2324"/>
      </w:tblGrid>
      <w:tr w:rsidR="00EF4347" w:rsidRPr="00764797" w14:paraId="1F622EA9" w14:textId="77777777" w:rsidTr="005E61AE">
        <w:tc>
          <w:tcPr>
            <w:tcW w:w="2320" w:type="dxa"/>
          </w:tcPr>
          <w:p w14:paraId="6574D87F" w14:textId="77777777" w:rsidR="00EF4347" w:rsidRPr="00764797" w:rsidRDefault="00EF4347" w:rsidP="006A4945">
            <w:pPr>
              <w:tabs>
                <w:tab w:val="clear" w:pos="565"/>
              </w:tabs>
              <w:autoSpaceDE w:val="0"/>
              <w:autoSpaceDN w:val="0"/>
              <w:adjustRightInd w:val="0"/>
              <w:spacing w:line="240" w:lineRule="auto"/>
              <w:jc w:val="center"/>
              <w:rPr>
                <w:b/>
                <w:szCs w:val="24"/>
                <w:lang w:val="lv-LV"/>
              </w:rPr>
            </w:pPr>
            <w:r w:rsidRPr="00764797">
              <w:rPr>
                <w:b/>
                <w:szCs w:val="24"/>
                <w:lang w:val="lv-LV"/>
              </w:rPr>
              <w:t>Kreatinīna</w:t>
            </w:r>
          </w:p>
          <w:p w14:paraId="4EA277CC" w14:textId="77777777" w:rsidR="00EF4347" w:rsidRPr="00764797" w:rsidRDefault="00EF4347" w:rsidP="006A4945">
            <w:pPr>
              <w:tabs>
                <w:tab w:val="clear" w:pos="565"/>
              </w:tabs>
              <w:autoSpaceDE w:val="0"/>
              <w:autoSpaceDN w:val="0"/>
              <w:adjustRightInd w:val="0"/>
              <w:spacing w:line="240" w:lineRule="auto"/>
              <w:jc w:val="center"/>
              <w:rPr>
                <w:b/>
                <w:szCs w:val="24"/>
                <w:lang w:val="lv-LV"/>
              </w:rPr>
            </w:pPr>
            <w:r w:rsidRPr="00764797">
              <w:rPr>
                <w:b/>
                <w:szCs w:val="24"/>
                <w:lang w:val="lv-LV"/>
              </w:rPr>
              <w:t>klīrenss (CL</w:t>
            </w:r>
            <w:r w:rsidRPr="00764797">
              <w:rPr>
                <w:b/>
                <w:szCs w:val="24"/>
                <w:vertAlign w:val="subscript"/>
                <w:lang w:val="lv-LV"/>
              </w:rPr>
              <w:t>cr</w:t>
            </w:r>
            <w:r w:rsidRPr="00764797">
              <w:rPr>
                <w:b/>
                <w:szCs w:val="24"/>
                <w:lang w:val="lv-LV"/>
              </w:rPr>
              <w:t>)</w:t>
            </w:r>
          </w:p>
          <w:p w14:paraId="49DAAA05" w14:textId="77777777" w:rsidR="00EF4347" w:rsidRPr="00764797" w:rsidRDefault="00EF4347" w:rsidP="006A4945">
            <w:pPr>
              <w:spacing w:line="240" w:lineRule="auto"/>
              <w:jc w:val="center"/>
              <w:rPr>
                <w:szCs w:val="24"/>
                <w:lang w:val="lv-LV"/>
              </w:rPr>
            </w:pPr>
            <w:r w:rsidRPr="00764797">
              <w:rPr>
                <w:b/>
                <w:szCs w:val="24"/>
                <w:lang w:val="lv-LV"/>
              </w:rPr>
              <w:t>(ml/min)</w:t>
            </w:r>
          </w:p>
        </w:tc>
        <w:tc>
          <w:tcPr>
            <w:tcW w:w="4641" w:type="dxa"/>
            <w:gridSpan w:val="2"/>
            <w:vAlign w:val="center"/>
          </w:tcPr>
          <w:p w14:paraId="64B964A5" w14:textId="77777777" w:rsidR="00EF4347" w:rsidRPr="00764797" w:rsidRDefault="00EF4347" w:rsidP="006A4945">
            <w:pPr>
              <w:spacing w:line="240" w:lineRule="auto"/>
              <w:jc w:val="center"/>
              <w:rPr>
                <w:szCs w:val="24"/>
                <w:lang w:val="lv-LV"/>
              </w:rPr>
            </w:pPr>
            <w:r w:rsidRPr="00764797">
              <w:rPr>
                <w:b/>
                <w:szCs w:val="24"/>
                <w:lang w:val="lv-LV"/>
              </w:rPr>
              <w:t>Pregabalīna kopējā dienas deva *</w:t>
            </w:r>
          </w:p>
        </w:tc>
        <w:tc>
          <w:tcPr>
            <w:tcW w:w="2320" w:type="dxa"/>
            <w:vAlign w:val="center"/>
          </w:tcPr>
          <w:p w14:paraId="3756FE2F" w14:textId="77777777" w:rsidR="00EF4347" w:rsidRPr="00764797" w:rsidRDefault="00EF4347" w:rsidP="006A4945">
            <w:pPr>
              <w:spacing w:line="240" w:lineRule="auto"/>
              <w:jc w:val="center"/>
              <w:rPr>
                <w:szCs w:val="24"/>
                <w:lang w:val="lv-LV"/>
              </w:rPr>
            </w:pPr>
            <w:r w:rsidRPr="00764797">
              <w:rPr>
                <w:b/>
                <w:szCs w:val="24"/>
                <w:lang w:val="lv-LV"/>
              </w:rPr>
              <w:t>Lietošanas shēma</w:t>
            </w:r>
          </w:p>
        </w:tc>
      </w:tr>
      <w:tr w:rsidR="00EF4347" w:rsidRPr="00764797" w14:paraId="504BAEC1" w14:textId="77777777" w:rsidTr="005E61AE">
        <w:tc>
          <w:tcPr>
            <w:tcW w:w="2320" w:type="dxa"/>
          </w:tcPr>
          <w:p w14:paraId="14A4DE37" w14:textId="77777777" w:rsidR="00EF4347" w:rsidRPr="00764797" w:rsidRDefault="00EF4347" w:rsidP="006A4945">
            <w:pPr>
              <w:spacing w:line="240" w:lineRule="auto"/>
              <w:jc w:val="center"/>
              <w:rPr>
                <w:b/>
                <w:szCs w:val="24"/>
                <w:lang w:val="lv-LV"/>
              </w:rPr>
            </w:pPr>
          </w:p>
        </w:tc>
        <w:tc>
          <w:tcPr>
            <w:tcW w:w="2320" w:type="dxa"/>
          </w:tcPr>
          <w:p w14:paraId="13EDAF23" w14:textId="77777777" w:rsidR="00EF4347" w:rsidRPr="00764797" w:rsidRDefault="00EF4347" w:rsidP="006A4945">
            <w:pPr>
              <w:tabs>
                <w:tab w:val="clear" w:pos="565"/>
              </w:tabs>
              <w:autoSpaceDE w:val="0"/>
              <w:autoSpaceDN w:val="0"/>
              <w:adjustRightInd w:val="0"/>
              <w:spacing w:line="240" w:lineRule="auto"/>
              <w:jc w:val="center"/>
              <w:rPr>
                <w:szCs w:val="24"/>
                <w:lang w:val="lv-LV"/>
              </w:rPr>
            </w:pPr>
            <w:r w:rsidRPr="00764797">
              <w:rPr>
                <w:szCs w:val="24"/>
                <w:lang w:val="lv-LV"/>
              </w:rPr>
              <w:t>Sākumdeva</w:t>
            </w:r>
          </w:p>
          <w:p w14:paraId="20648C50" w14:textId="77777777" w:rsidR="00EF4347" w:rsidRPr="00764797" w:rsidRDefault="00EF4347" w:rsidP="006A4945">
            <w:pPr>
              <w:spacing w:line="240" w:lineRule="auto"/>
              <w:jc w:val="center"/>
              <w:rPr>
                <w:szCs w:val="24"/>
                <w:lang w:val="lv-LV"/>
              </w:rPr>
            </w:pPr>
            <w:r w:rsidRPr="00764797">
              <w:rPr>
                <w:szCs w:val="24"/>
                <w:lang w:val="lv-LV"/>
              </w:rPr>
              <w:t>(mg dienā)</w:t>
            </w:r>
          </w:p>
        </w:tc>
        <w:tc>
          <w:tcPr>
            <w:tcW w:w="2320" w:type="dxa"/>
          </w:tcPr>
          <w:p w14:paraId="4C678E30" w14:textId="77777777" w:rsidR="00EF4347" w:rsidRPr="00764797" w:rsidRDefault="00EF4347" w:rsidP="006A4945">
            <w:pPr>
              <w:tabs>
                <w:tab w:val="clear" w:pos="565"/>
              </w:tabs>
              <w:autoSpaceDE w:val="0"/>
              <w:autoSpaceDN w:val="0"/>
              <w:adjustRightInd w:val="0"/>
              <w:spacing w:line="240" w:lineRule="auto"/>
              <w:jc w:val="center"/>
              <w:rPr>
                <w:szCs w:val="24"/>
                <w:lang w:val="lv-LV"/>
              </w:rPr>
            </w:pPr>
            <w:r w:rsidRPr="00764797">
              <w:rPr>
                <w:szCs w:val="24"/>
                <w:lang w:val="lv-LV"/>
              </w:rPr>
              <w:t>Maksimālā deva</w:t>
            </w:r>
          </w:p>
          <w:p w14:paraId="3BC698F6" w14:textId="77777777" w:rsidR="00EF4347" w:rsidRPr="00764797" w:rsidRDefault="00EF4347" w:rsidP="006A4945">
            <w:pPr>
              <w:spacing w:line="240" w:lineRule="auto"/>
              <w:jc w:val="center"/>
              <w:rPr>
                <w:szCs w:val="24"/>
                <w:lang w:val="lv-LV"/>
              </w:rPr>
            </w:pPr>
            <w:r w:rsidRPr="00764797">
              <w:rPr>
                <w:szCs w:val="24"/>
                <w:lang w:val="lv-LV"/>
              </w:rPr>
              <w:t>(mg dienā)</w:t>
            </w:r>
          </w:p>
        </w:tc>
        <w:tc>
          <w:tcPr>
            <w:tcW w:w="2320" w:type="dxa"/>
          </w:tcPr>
          <w:p w14:paraId="4CE6E0D2" w14:textId="77777777" w:rsidR="00EF4347" w:rsidRPr="00764797" w:rsidRDefault="00EF4347" w:rsidP="006A4945">
            <w:pPr>
              <w:spacing w:line="240" w:lineRule="auto"/>
              <w:jc w:val="center"/>
              <w:rPr>
                <w:b/>
                <w:szCs w:val="24"/>
                <w:lang w:val="lv-LV"/>
              </w:rPr>
            </w:pPr>
          </w:p>
        </w:tc>
      </w:tr>
      <w:tr w:rsidR="00EF4347" w:rsidRPr="00764797" w14:paraId="0726CF11" w14:textId="77777777" w:rsidTr="005E61AE">
        <w:tc>
          <w:tcPr>
            <w:tcW w:w="2320" w:type="dxa"/>
          </w:tcPr>
          <w:p w14:paraId="027C137C" w14:textId="77777777" w:rsidR="00EF4347" w:rsidRPr="00764797" w:rsidRDefault="00EF4347" w:rsidP="006A4945">
            <w:pPr>
              <w:spacing w:line="240" w:lineRule="auto"/>
              <w:jc w:val="center"/>
              <w:rPr>
                <w:szCs w:val="24"/>
                <w:lang w:val="lv-LV"/>
              </w:rPr>
            </w:pPr>
            <w:r w:rsidRPr="00764797">
              <w:rPr>
                <w:szCs w:val="24"/>
                <w:lang w:val="lv-LV"/>
              </w:rPr>
              <w:t>≥ 60</w:t>
            </w:r>
          </w:p>
        </w:tc>
        <w:tc>
          <w:tcPr>
            <w:tcW w:w="2320" w:type="dxa"/>
          </w:tcPr>
          <w:p w14:paraId="6D0428B4" w14:textId="77777777" w:rsidR="00EF4347" w:rsidRPr="00764797" w:rsidRDefault="00EF4347" w:rsidP="006A4945">
            <w:pPr>
              <w:spacing w:line="240" w:lineRule="auto"/>
              <w:jc w:val="center"/>
              <w:rPr>
                <w:szCs w:val="24"/>
                <w:lang w:val="lv-LV"/>
              </w:rPr>
            </w:pPr>
            <w:r w:rsidRPr="00764797">
              <w:rPr>
                <w:szCs w:val="24"/>
                <w:lang w:val="lv-LV"/>
              </w:rPr>
              <w:t>150</w:t>
            </w:r>
          </w:p>
        </w:tc>
        <w:tc>
          <w:tcPr>
            <w:tcW w:w="2320" w:type="dxa"/>
          </w:tcPr>
          <w:p w14:paraId="539A651F" w14:textId="77777777" w:rsidR="00EF4347" w:rsidRPr="00764797" w:rsidRDefault="00EF4347" w:rsidP="006A4945">
            <w:pPr>
              <w:spacing w:line="240" w:lineRule="auto"/>
              <w:jc w:val="center"/>
              <w:rPr>
                <w:szCs w:val="24"/>
                <w:lang w:val="lv-LV"/>
              </w:rPr>
            </w:pPr>
            <w:r w:rsidRPr="00764797">
              <w:rPr>
                <w:szCs w:val="24"/>
                <w:lang w:val="lv-LV"/>
              </w:rPr>
              <w:t>600</w:t>
            </w:r>
          </w:p>
        </w:tc>
        <w:tc>
          <w:tcPr>
            <w:tcW w:w="2320" w:type="dxa"/>
          </w:tcPr>
          <w:p w14:paraId="65263E09" w14:textId="77777777" w:rsidR="00EF4347" w:rsidRPr="00764797" w:rsidRDefault="00EF4347" w:rsidP="006A4945">
            <w:pPr>
              <w:spacing w:line="240" w:lineRule="auto"/>
              <w:jc w:val="center"/>
              <w:rPr>
                <w:szCs w:val="24"/>
                <w:lang w:val="lv-LV"/>
              </w:rPr>
            </w:pPr>
            <w:r w:rsidRPr="00764797">
              <w:rPr>
                <w:szCs w:val="24"/>
                <w:lang w:val="lv-LV"/>
              </w:rPr>
              <w:t>BID vai TID</w:t>
            </w:r>
          </w:p>
        </w:tc>
      </w:tr>
      <w:tr w:rsidR="00EF4347" w:rsidRPr="00764797" w14:paraId="12C54B4C" w14:textId="77777777" w:rsidTr="005E61AE">
        <w:tc>
          <w:tcPr>
            <w:tcW w:w="2320" w:type="dxa"/>
          </w:tcPr>
          <w:p w14:paraId="76E272F3" w14:textId="77777777" w:rsidR="00EF4347" w:rsidRPr="00764797" w:rsidRDefault="00EF4347" w:rsidP="006A4945">
            <w:pPr>
              <w:spacing w:line="240" w:lineRule="auto"/>
              <w:jc w:val="center"/>
              <w:rPr>
                <w:szCs w:val="24"/>
                <w:lang w:val="lv-LV"/>
              </w:rPr>
            </w:pPr>
            <w:r w:rsidRPr="00764797">
              <w:rPr>
                <w:szCs w:val="24"/>
                <w:lang w:val="lv-LV"/>
              </w:rPr>
              <w:t>≥30 - &lt;60</w:t>
            </w:r>
          </w:p>
        </w:tc>
        <w:tc>
          <w:tcPr>
            <w:tcW w:w="2320" w:type="dxa"/>
          </w:tcPr>
          <w:p w14:paraId="6860C1D2" w14:textId="77777777" w:rsidR="00EF4347" w:rsidRPr="00764797" w:rsidRDefault="00EF4347" w:rsidP="006A4945">
            <w:pPr>
              <w:spacing w:line="240" w:lineRule="auto"/>
              <w:jc w:val="center"/>
              <w:rPr>
                <w:szCs w:val="24"/>
                <w:lang w:val="lv-LV"/>
              </w:rPr>
            </w:pPr>
            <w:r w:rsidRPr="00764797">
              <w:rPr>
                <w:szCs w:val="24"/>
                <w:lang w:val="lv-LV"/>
              </w:rPr>
              <w:t>75</w:t>
            </w:r>
          </w:p>
        </w:tc>
        <w:tc>
          <w:tcPr>
            <w:tcW w:w="2320" w:type="dxa"/>
          </w:tcPr>
          <w:p w14:paraId="62F884B5" w14:textId="77777777" w:rsidR="00EF4347" w:rsidRPr="00764797" w:rsidRDefault="00EF4347" w:rsidP="006A4945">
            <w:pPr>
              <w:spacing w:line="240" w:lineRule="auto"/>
              <w:jc w:val="center"/>
              <w:rPr>
                <w:szCs w:val="24"/>
                <w:lang w:val="lv-LV"/>
              </w:rPr>
            </w:pPr>
            <w:r w:rsidRPr="00764797">
              <w:rPr>
                <w:szCs w:val="24"/>
                <w:lang w:val="lv-LV"/>
              </w:rPr>
              <w:t>300</w:t>
            </w:r>
          </w:p>
        </w:tc>
        <w:tc>
          <w:tcPr>
            <w:tcW w:w="2320" w:type="dxa"/>
          </w:tcPr>
          <w:p w14:paraId="7307F169" w14:textId="77777777" w:rsidR="00EF4347" w:rsidRPr="00764797" w:rsidRDefault="00EF4347" w:rsidP="006A4945">
            <w:pPr>
              <w:spacing w:line="240" w:lineRule="auto"/>
              <w:jc w:val="center"/>
              <w:rPr>
                <w:szCs w:val="24"/>
                <w:lang w:val="lv-LV"/>
              </w:rPr>
            </w:pPr>
            <w:r w:rsidRPr="00764797">
              <w:rPr>
                <w:szCs w:val="24"/>
                <w:lang w:val="lv-LV"/>
              </w:rPr>
              <w:t>BID vai TID</w:t>
            </w:r>
          </w:p>
        </w:tc>
      </w:tr>
      <w:tr w:rsidR="00EF4347" w:rsidRPr="00764797" w14:paraId="745FDB55" w14:textId="77777777" w:rsidTr="005E61AE">
        <w:tc>
          <w:tcPr>
            <w:tcW w:w="2320" w:type="dxa"/>
          </w:tcPr>
          <w:p w14:paraId="35E669B8" w14:textId="77777777" w:rsidR="00EF4347" w:rsidRPr="00764797" w:rsidRDefault="00EF4347" w:rsidP="006A4945">
            <w:pPr>
              <w:spacing w:line="240" w:lineRule="auto"/>
              <w:jc w:val="center"/>
              <w:rPr>
                <w:szCs w:val="24"/>
                <w:lang w:val="lv-LV"/>
              </w:rPr>
            </w:pPr>
            <w:r w:rsidRPr="00764797">
              <w:rPr>
                <w:szCs w:val="24"/>
                <w:lang w:val="lv-LV"/>
              </w:rPr>
              <w:t>≥15 - &lt;30</w:t>
            </w:r>
          </w:p>
        </w:tc>
        <w:tc>
          <w:tcPr>
            <w:tcW w:w="2320" w:type="dxa"/>
          </w:tcPr>
          <w:p w14:paraId="637279C7" w14:textId="77777777" w:rsidR="00EF4347" w:rsidRPr="00764797" w:rsidRDefault="00EF4347" w:rsidP="006A4945">
            <w:pPr>
              <w:spacing w:line="240" w:lineRule="auto"/>
              <w:jc w:val="center"/>
              <w:rPr>
                <w:szCs w:val="24"/>
                <w:lang w:val="lv-LV"/>
              </w:rPr>
            </w:pPr>
            <w:r w:rsidRPr="00764797">
              <w:rPr>
                <w:szCs w:val="24"/>
                <w:lang w:val="lv-LV"/>
              </w:rPr>
              <w:t>25-50</w:t>
            </w:r>
          </w:p>
        </w:tc>
        <w:tc>
          <w:tcPr>
            <w:tcW w:w="2320" w:type="dxa"/>
          </w:tcPr>
          <w:p w14:paraId="39B6C180" w14:textId="77777777" w:rsidR="00EF4347" w:rsidRPr="00764797" w:rsidRDefault="00EF4347" w:rsidP="006A4945">
            <w:pPr>
              <w:spacing w:line="240" w:lineRule="auto"/>
              <w:jc w:val="center"/>
              <w:rPr>
                <w:szCs w:val="24"/>
                <w:lang w:val="lv-LV"/>
              </w:rPr>
            </w:pPr>
            <w:r w:rsidRPr="00764797">
              <w:rPr>
                <w:szCs w:val="24"/>
                <w:lang w:val="lv-LV"/>
              </w:rPr>
              <w:t>150</w:t>
            </w:r>
          </w:p>
        </w:tc>
        <w:tc>
          <w:tcPr>
            <w:tcW w:w="2320" w:type="dxa"/>
          </w:tcPr>
          <w:p w14:paraId="332A2F28" w14:textId="77777777" w:rsidR="00EF4347" w:rsidRPr="00764797" w:rsidRDefault="00EF4347" w:rsidP="006A4945">
            <w:pPr>
              <w:spacing w:line="240" w:lineRule="auto"/>
              <w:jc w:val="center"/>
              <w:rPr>
                <w:szCs w:val="24"/>
                <w:lang w:val="lv-LV"/>
              </w:rPr>
            </w:pPr>
            <w:r w:rsidRPr="00764797">
              <w:rPr>
                <w:szCs w:val="24"/>
                <w:lang w:val="lv-LV"/>
              </w:rPr>
              <w:t>Vienu reizi dienā vai BID</w:t>
            </w:r>
          </w:p>
        </w:tc>
      </w:tr>
      <w:tr w:rsidR="00EF4347" w:rsidRPr="00764797" w14:paraId="1F18B1FA" w14:textId="77777777" w:rsidTr="005E61AE">
        <w:tc>
          <w:tcPr>
            <w:tcW w:w="2320" w:type="dxa"/>
          </w:tcPr>
          <w:p w14:paraId="1C6E48DD" w14:textId="77777777" w:rsidR="00EF4347" w:rsidRPr="00764797" w:rsidRDefault="00EF4347" w:rsidP="006A4945">
            <w:pPr>
              <w:spacing w:line="240" w:lineRule="auto"/>
              <w:jc w:val="center"/>
              <w:rPr>
                <w:szCs w:val="24"/>
                <w:lang w:val="lv-LV"/>
              </w:rPr>
            </w:pPr>
            <w:r w:rsidRPr="00764797">
              <w:rPr>
                <w:szCs w:val="24"/>
                <w:lang w:val="lv-LV"/>
              </w:rPr>
              <w:t>&lt; 15</w:t>
            </w:r>
          </w:p>
        </w:tc>
        <w:tc>
          <w:tcPr>
            <w:tcW w:w="2320" w:type="dxa"/>
          </w:tcPr>
          <w:p w14:paraId="4DEDF8DC" w14:textId="77777777" w:rsidR="00EF4347" w:rsidRPr="00764797" w:rsidRDefault="00EF4347" w:rsidP="006A4945">
            <w:pPr>
              <w:spacing w:line="240" w:lineRule="auto"/>
              <w:jc w:val="center"/>
              <w:rPr>
                <w:szCs w:val="24"/>
                <w:lang w:val="lv-LV"/>
              </w:rPr>
            </w:pPr>
            <w:r w:rsidRPr="00764797">
              <w:rPr>
                <w:szCs w:val="24"/>
                <w:lang w:val="lv-LV"/>
              </w:rPr>
              <w:t>25</w:t>
            </w:r>
          </w:p>
        </w:tc>
        <w:tc>
          <w:tcPr>
            <w:tcW w:w="2320" w:type="dxa"/>
          </w:tcPr>
          <w:p w14:paraId="3D710110" w14:textId="77777777" w:rsidR="00EF4347" w:rsidRPr="00764797" w:rsidRDefault="00EF4347" w:rsidP="006A4945">
            <w:pPr>
              <w:spacing w:line="240" w:lineRule="auto"/>
              <w:jc w:val="center"/>
              <w:rPr>
                <w:szCs w:val="24"/>
                <w:lang w:val="lv-LV"/>
              </w:rPr>
            </w:pPr>
            <w:r w:rsidRPr="00764797">
              <w:rPr>
                <w:szCs w:val="24"/>
                <w:lang w:val="lv-LV"/>
              </w:rPr>
              <w:t>75</w:t>
            </w:r>
          </w:p>
        </w:tc>
        <w:tc>
          <w:tcPr>
            <w:tcW w:w="2320" w:type="dxa"/>
          </w:tcPr>
          <w:p w14:paraId="3342A74B" w14:textId="77777777" w:rsidR="00EF4347" w:rsidRPr="00764797" w:rsidRDefault="00EF4347" w:rsidP="006A4945">
            <w:pPr>
              <w:spacing w:line="240" w:lineRule="auto"/>
              <w:jc w:val="center"/>
              <w:rPr>
                <w:szCs w:val="24"/>
                <w:lang w:val="lv-LV"/>
              </w:rPr>
            </w:pPr>
            <w:r w:rsidRPr="00764797">
              <w:rPr>
                <w:szCs w:val="24"/>
                <w:lang w:val="lv-LV"/>
              </w:rPr>
              <w:t>Vienu reizi dienā</w:t>
            </w:r>
          </w:p>
        </w:tc>
      </w:tr>
      <w:tr w:rsidR="00EF4347" w:rsidRPr="00764797" w14:paraId="26D63FA8" w14:textId="77777777" w:rsidTr="005E61AE">
        <w:tc>
          <w:tcPr>
            <w:tcW w:w="9285" w:type="dxa"/>
            <w:gridSpan w:val="4"/>
          </w:tcPr>
          <w:p w14:paraId="11709379" w14:textId="77777777" w:rsidR="00EF4347" w:rsidRPr="00764797" w:rsidRDefault="00EF4347" w:rsidP="006A4945">
            <w:pPr>
              <w:spacing w:line="240" w:lineRule="auto"/>
              <w:rPr>
                <w:szCs w:val="24"/>
                <w:lang w:val="lv-LV"/>
              </w:rPr>
            </w:pPr>
            <w:r w:rsidRPr="00764797">
              <w:rPr>
                <w:szCs w:val="24"/>
                <w:lang w:val="lv-LV"/>
              </w:rPr>
              <w:t>Papildu deva pēc hemodialīzes (mg)</w:t>
            </w:r>
          </w:p>
        </w:tc>
      </w:tr>
      <w:tr w:rsidR="00EF4347" w:rsidRPr="00764797" w14:paraId="11B2A8BF" w14:textId="77777777" w:rsidTr="005E61AE">
        <w:tc>
          <w:tcPr>
            <w:tcW w:w="2320" w:type="dxa"/>
          </w:tcPr>
          <w:p w14:paraId="0454DA70" w14:textId="77777777" w:rsidR="00EF4347" w:rsidRPr="00764797" w:rsidRDefault="00EF4347" w:rsidP="006A4945">
            <w:pPr>
              <w:spacing w:line="240" w:lineRule="auto"/>
              <w:jc w:val="center"/>
              <w:rPr>
                <w:szCs w:val="24"/>
                <w:lang w:val="lv-LV"/>
              </w:rPr>
            </w:pPr>
          </w:p>
        </w:tc>
        <w:tc>
          <w:tcPr>
            <w:tcW w:w="2320" w:type="dxa"/>
          </w:tcPr>
          <w:p w14:paraId="464CBC53" w14:textId="77777777" w:rsidR="00EF4347" w:rsidRPr="00764797" w:rsidRDefault="00EF4347" w:rsidP="006A4945">
            <w:pPr>
              <w:spacing w:line="240" w:lineRule="auto"/>
              <w:jc w:val="center"/>
              <w:rPr>
                <w:szCs w:val="24"/>
                <w:lang w:val="lv-LV"/>
              </w:rPr>
            </w:pPr>
            <w:r w:rsidRPr="00764797">
              <w:rPr>
                <w:szCs w:val="24"/>
                <w:lang w:val="lv-LV"/>
              </w:rPr>
              <w:t>25</w:t>
            </w:r>
          </w:p>
        </w:tc>
        <w:tc>
          <w:tcPr>
            <w:tcW w:w="2320" w:type="dxa"/>
          </w:tcPr>
          <w:p w14:paraId="08E19A7E" w14:textId="77777777" w:rsidR="00EF4347" w:rsidRPr="00764797" w:rsidRDefault="00EF4347" w:rsidP="006A4945">
            <w:pPr>
              <w:spacing w:line="240" w:lineRule="auto"/>
              <w:jc w:val="center"/>
              <w:rPr>
                <w:szCs w:val="24"/>
                <w:lang w:val="lv-LV"/>
              </w:rPr>
            </w:pPr>
            <w:r w:rsidRPr="00764797">
              <w:rPr>
                <w:szCs w:val="24"/>
                <w:lang w:val="lv-LV"/>
              </w:rPr>
              <w:t>100</w:t>
            </w:r>
          </w:p>
        </w:tc>
        <w:tc>
          <w:tcPr>
            <w:tcW w:w="2320" w:type="dxa"/>
          </w:tcPr>
          <w:p w14:paraId="51F07B2F" w14:textId="77777777" w:rsidR="00EF4347" w:rsidRPr="00764797" w:rsidRDefault="00EF4347" w:rsidP="006A4945">
            <w:pPr>
              <w:spacing w:line="240" w:lineRule="auto"/>
              <w:jc w:val="center"/>
              <w:rPr>
                <w:szCs w:val="24"/>
                <w:lang w:val="lv-LV"/>
              </w:rPr>
            </w:pPr>
            <w:r w:rsidRPr="00764797">
              <w:rPr>
                <w:szCs w:val="24"/>
                <w:lang w:val="lv-LV"/>
              </w:rPr>
              <w:t>Viena atsevišķa deva</w:t>
            </w:r>
            <w:r w:rsidRPr="00764797">
              <w:rPr>
                <w:szCs w:val="24"/>
                <w:vertAlign w:val="superscript"/>
                <w:lang w:val="lv-LV"/>
              </w:rPr>
              <w:t>+</w:t>
            </w:r>
          </w:p>
        </w:tc>
      </w:tr>
    </w:tbl>
    <w:p w14:paraId="0E0065BB" w14:textId="77777777" w:rsidR="00EF4347" w:rsidRPr="00D16F94" w:rsidRDefault="00EF4347" w:rsidP="00EF4347">
      <w:pPr>
        <w:tabs>
          <w:tab w:val="clear" w:pos="565"/>
        </w:tabs>
        <w:autoSpaceDE w:val="0"/>
        <w:autoSpaceDN w:val="0"/>
        <w:adjustRightInd w:val="0"/>
        <w:spacing w:line="240" w:lineRule="auto"/>
        <w:rPr>
          <w:szCs w:val="24"/>
          <w:lang w:val="lv-LV"/>
        </w:rPr>
      </w:pPr>
      <w:r w:rsidRPr="00D16F94">
        <w:rPr>
          <w:szCs w:val="24"/>
          <w:lang w:val="lv-LV"/>
        </w:rPr>
        <w:t>TID = trīs reizes devās</w:t>
      </w:r>
    </w:p>
    <w:p w14:paraId="404B6F34" w14:textId="77777777" w:rsidR="00EF4347" w:rsidRPr="00D16F94" w:rsidRDefault="00EF4347" w:rsidP="00EF4347">
      <w:pPr>
        <w:tabs>
          <w:tab w:val="clear" w:pos="565"/>
        </w:tabs>
        <w:autoSpaceDE w:val="0"/>
        <w:autoSpaceDN w:val="0"/>
        <w:adjustRightInd w:val="0"/>
        <w:spacing w:line="240" w:lineRule="auto"/>
        <w:rPr>
          <w:szCs w:val="24"/>
          <w:lang w:val="lv-LV"/>
        </w:rPr>
      </w:pPr>
      <w:r w:rsidRPr="00D16F94">
        <w:rPr>
          <w:szCs w:val="24"/>
          <w:lang w:val="lv-LV"/>
        </w:rPr>
        <w:t>BID = divās reizes devās</w:t>
      </w:r>
    </w:p>
    <w:p w14:paraId="28F6078B" w14:textId="77777777" w:rsidR="00EF4347" w:rsidRPr="00D16F94" w:rsidRDefault="00EF4347" w:rsidP="00EF4347">
      <w:pPr>
        <w:tabs>
          <w:tab w:val="clear" w:pos="565"/>
        </w:tabs>
        <w:autoSpaceDE w:val="0"/>
        <w:autoSpaceDN w:val="0"/>
        <w:adjustRightInd w:val="0"/>
        <w:spacing w:line="240" w:lineRule="auto"/>
        <w:rPr>
          <w:szCs w:val="24"/>
          <w:lang w:val="lv-LV"/>
        </w:rPr>
      </w:pPr>
      <w:r w:rsidRPr="00D16F94">
        <w:rPr>
          <w:position w:val="-1"/>
          <w:szCs w:val="24"/>
          <w:lang w:val="lv-LV"/>
        </w:rPr>
        <w:t>* Lai noskaidrotu reizes devu miligramos, kopējā dienas deva (mg</w:t>
      </w:r>
      <w:r>
        <w:rPr>
          <w:position w:val="-1"/>
          <w:szCs w:val="24"/>
          <w:lang w:val="lv-LV"/>
        </w:rPr>
        <w:t xml:space="preserve"> </w:t>
      </w:r>
      <w:r w:rsidRPr="00D16F94">
        <w:rPr>
          <w:position w:val="-1"/>
          <w:szCs w:val="24"/>
          <w:lang w:val="lv-LV"/>
        </w:rPr>
        <w:t>dienā) jādala reizes devās, kā norādīts lietošanas shēmā.</w:t>
      </w:r>
    </w:p>
    <w:p w14:paraId="018C1752" w14:textId="77777777" w:rsidR="00EF4347" w:rsidRDefault="00EF4347" w:rsidP="00EF4347">
      <w:pPr>
        <w:tabs>
          <w:tab w:val="clear" w:pos="565"/>
        </w:tabs>
        <w:autoSpaceDE w:val="0"/>
        <w:autoSpaceDN w:val="0"/>
        <w:adjustRightInd w:val="0"/>
        <w:spacing w:line="240" w:lineRule="auto"/>
        <w:rPr>
          <w:szCs w:val="24"/>
          <w:lang w:val="lv-LV"/>
        </w:rPr>
      </w:pPr>
      <w:r w:rsidRPr="00D16F94">
        <w:rPr>
          <w:szCs w:val="24"/>
          <w:vertAlign w:val="superscript"/>
          <w:lang w:val="lv-LV"/>
        </w:rPr>
        <w:lastRenderedPageBreak/>
        <w:t>+</w:t>
      </w:r>
      <w:r w:rsidRPr="00D16F94">
        <w:rPr>
          <w:szCs w:val="24"/>
          <w:lang w:val="lv-LV"/>
        </w:rPr>
        <w:t xml:space="preserve"> Papildu deva ir viena atsevišķa deva, kuru lieto papildus dienas devai.</w:t>
      </w:r>
    </w:p>
    <w:p w14:paraId="766764A0" w14:textId="77777777" w:rsidR="00276B7B" w:rsidRPr="00D16F94" w:rsidRDefault="00276B7B" w:rsidP="00EF4347">
      <w:pPr>
        <w:tabs>
          <w:tab w:val="clear" w:pos="565"/>
        </w:tabs>
        <w:autoSpaceDE w:val="0"/>
        <w:autoSpaceDN w:val="0"/>
        <w:adjustRightInd w:val="0"/>
        <w:spacing w:line="240" w:lineRule="auto"/>
        <w:rPr>
          <w:szCs w:val="24"/>
          <w:lang w:val="lv-LV"/>
        </w:rPr>
      </w:pPr>
    </w:p>
    <w:p w14:paraId="778C4509" w14:textId="39AFA087" w:rsidR="00EF4347" w:rsidRPr="00D16F94" w:rsidRDefault="00D51027" w:rsidP="00EF4347">
      <w:pPr>
        <w:tabs>
          <w:tab w:val="clear" w:pos="565"/>
        </w:tabs>
        <w:autoSpaceDE w:val="0"/>
        <w:autoSpaceDN w:val="0"/>
        <w:adjustRightInd w:val="0"/>
        <w:spacing w:line="240" w:lineRule="auto"/>
        <w:rPr>
          <w:i/>
          <w:szCs w:val="24"/>
          <w:u w:val="single"/>
          <w:lang w:val="lv-LV"/>
        </w:rPr>
      </w:pPr>
      <w:r>
        <w:rPr>
          <w:i/>
          <w:szCs w:val="24"/>
          <w:u w:val="single"/>
          <w:lang w:val="lv-LV"/>
        </w:rPr>
        <w:t>A</w:t>
      </w:r>
      <w:r w:rsidR="00EF4347" w:rsidRPr="00D16F94">
        <w:rPr>
          <w:i/>
          <w:szCs w:val="24"/>
          <w:u w:val="single"/>
          <w:lang w:val="lv-LV"/>
        </w:rPr>
        <w:t>knu darbības traucējumi</w:t>
      </w:r>
    </w:p>
    <w:p w14:paraId="5B4159D6" w14:textId="77777777" w:rsidR="00EF4347" w:rsidRPr="00D16F94" w:rsidRDefault="00EF4347" w:rsidP="00EF4347">
      <w:pPr>
        <w:spacing w:line="240" w:lineRule="auto"/>
        <w:ind w:left="565" w:hanging="565"/>
        <w:rPr>
          <w:szCs w:val="24"/>
          <w:lang w:val="lv-LV"/>
        </w:rPr>
      </w:pPr>
      <w:r w:rsidRPr="00D16F94">
        <w:rPr>
          <w:szCs w:val="24"/>
          <w:lang w:val="lv-LV"/>
        </w:rPr>
        <w:t>Pacientiem ar aknu darbības traucējumiem deva nav jāpielāgo (skatīt 5.2. apakšpunktu).</w:t>
      </w:r>
    </w:p>
    <w:p w14:paraId="75205269" w14:textId="77777777" w:rsidR="00EF4347" w:rsidRPr="00D16F94" w:rsidRDefault="00EF4347" w:rsidP="00EF4347">
      <w:pPr>
        <w:spacing w:line="240" w:lineRule="auto"/>
        <w:ind w:left="565" w:hanging="565"/>
        <w:rPr>
          <w:szCs w:val="24"/>
          <w:lang w:val="lv-LV"/>
        </w:rPr>
      </w:pPr>
    </w:p>
    <w:p w14:paraId="74068705" w14:textId="77777777" w:rsidR="00EF4347" w:rsidRPr="00D16F94" w:rsidRDefault="00EF4347" w:rsidP="00EF4347">
      <w:pPr>
        <w:tabs>
          <w:tab w:val="clear" w:pos="565"/>
        </w:tabs>
        <w:autoSpaceDE w:val="0"/>
        <w:autoSpaceDN w:val="0"/>
        <w:adjustRightInd w:val="0"/>
        <w:spacing w:line="240" w:lineRule="auto"/>
        <w:rPr>
          <w:i/>
          <w:szCs w:val="24"/>
          <w:u w:val="single"/>
          <w:lang w:val="lv-LV"/>
        </w:rPr>
      </w:pPr>
      <w:r w:rsidRPr="00D16F94">
        <w:rPr>
          <w:i/>
          <w:szCs w:val="24"/>
          <w:u w:val="single"/>
          <w:lang w:val="lv-LV"/>
        </w:rPr>
        <w:t>Pediatriskā populācija</w:t>
      </w:r>
    </w:p>
    <w:p w14:paraId="3976B4D7" w14:textId="77777777" w:rsidR="00EF4347" w:rsidRPr="00D16F94" w:rsidRDefault="00EF4347" w:rsidP="00EF4347">
      <w:pPr>
        <w:tabs>
          <w:tab w:val="clear" w:pos="565"/>
        </w:tabs>
        <w:autoSpaceDE w:val="0"/>
        <w:autoSpaceDN w:val="0"/>
        <w:adjustRightInd w:val="0"/>
        <w:spacing w:line="240" w:lineRule="auto"/>
        <w:rPr>
          <w:szCs w:val="24"/>
          <w:lang w:val="lv-LV"/>
        </w:rPr>
      </w:pPr>
      <w:r w:rsidRPr="00D16F94">
        <w:rPr>
          <w:szCs w:val="24"/>
          <w:lang w:val="lv-LV"/>
        </w:rPr>
        <w:t>Pregabalīna drošums un efektivitāte, lietojot bērniem vecumā līdz 12 gadiem un pusaudžiem</w:t>
      </w:r>
      <w:r>
        <w:rPr>
          <w:szCs w:val="24"/>
          <w:lang w:val="lv-LV"/>
        </w:rPr>
        <w:t xml:space="preserve"> </w:t>
      </w:r>
      <w:r w:rsidRPr="00D16F94">
        <w:rPr>
          <w:szCs w:val="24"/>
          <w:lang w:val="lv-LV"/>
        </w:rPr>
        <w:t>(12</w:t>
      </w:r>
      <w:r>
        <w:rPr>
          <w:szCs w:val="24"/>
          <w:lang w:val="lv-LV"/>
        </w:rPr>
        <w:t>-</w:t>
      </w:r>
      <w:r w:rsidRPr="00D16F94">
        <w:rPr>
          <w:szCs w:val="24"/>
          <w:lang w:val="lv-LV"/>
        </w:rPr>
        <w:t>17 gadu vecum</w:t>
      </w:r>
      <w:r>
        <w:rPr>
          <w:szCs w:val="24"/>
          <w:lang w:val="lv-LV"/>
        </w:rPr>
        <w:t>ā</w:t>
      </w:r>
      <w:r w:rsidRPr="00D16F94">
        <w:rPr>
          <w:szCs w:val="24"/>
          <w:lang w:val="lv-LV"/>
        </w:rPr>
        <w:t>), nav pierādīta. Pašlaik pieejamie dati aprakstīti 4.8., 5.1. un 5.2. apakšpunktā, taču ieteikumus par devām nav iespējams sniegt.</w:t>
      </w:r>
    </w:p>
    <w:p w14:paraId="1A0476D9" w14:textId="77777777" w:rsidR="00EF4347" w:rsidRPr="00D16F94" w:rsidRDefault="00EF4347" w:rsidP="00EF4347">
      <w:pPr>
        <w:tabs>
          <w:tab w:val="clear" w:pos="565"/>
        </w:tabs>
        <w:autoSpaceDE w:val="0"/>
        <w:autoSpaceDN w:val="0"/>
        <w:adjustRightInd w:val="0"/>
        <w:spacing w:line="240" w:lineRule="auto"/>
        <w:rPr>
          <w:i/>
          <w:szCs w:val="24"/>
          <w:lang w:val="lv-LV"/>
        </w:rPr>
      </w:pPr>
    </w:p>
    <w:p w14:paraId="38501509" w14:textId="7465AC4E" w:rsidR="00EF4347" w:rsidRPr="00D16F94" w:rsidRDefault="00EF4347" w:rsidP="00EF4347">
      <w:pPr>
        <w:tabs>
          <w:tab w:val="clear" w:pos="565"/>
        </w:tabs>
        <w:autoSpaceDE w:val="0"/>
        <w:autoSpaceDN w:val="0"/>
        <w:adjustRightInd w:val="0"/>
        <w:spacing w:line="240" w:lineRule="auto"/>
        <w:rPr>
          <w:i/>
          <w:szCs w:val="24"/>
          <w:u w:val="single"/>
          <w:lang w:val="lv-LV"/>
        </w:rPr>
      </w:pPr>
      <w:r w:rsidRPr="00D16F94">
        <w:rPr>
          <w:i/>
          <w:szCs w:val="24"/>
          <w:u w:val="single"/>
          <w:lang w:val="lv-LV"/>
        </w:rPr>
        <w:t>Gados vecāku cilvēku populācija</w:t>
      </w:r>
    </w:p>
    <w:p w14:paraId="7343C891" w14:textId="7B900F2A" w:rsidR="00EF4347" w:rsidRPr="00D16F94" w:rsidRDefault="00EF4347" w:rsidP="00EF4347">
      <w:pPr>
        <w:tabs>
          <w:tab w:val="clear" w:pos="565"/>
        </w:tabs>
        <w:autoSpaceDE w:val="0"/>
        <w:autoSpaceDN w:val="0"/>
        <w:adjustRightInd w:val="0"/>
        <w:spacing w:line="240" w:lineRule="auto"/>
        <w:rPr>
          <w:szCs w:val="24"/>
          <w:lang w:val="lv-LV"/>
        </w:rPr>
      </w:pPr>
      <w:r w:rsidRPr="00D16F94">
        <w:rPr>
          <w:szCs w:val="24"/>
          <w:lang w:val="lv-LV"/>
        </w:rPr>
        <w:t>Gados vecākiem cilvēkiem vājākas nieru darbības dēļ var būt nepieciešama mazāka pregabalīna deva (skatīt</w:t>
      </w:r>
      <w:r w:rsidR="005728A3">
        <w:rPr>
          <w:szCs w:val="24"/>
          <w:lang w:val="lv-LV"/>
        </w:rPr>
        <w:t xml:space="preserve"> </w:t>
      </w:r>
      <w:r w:rsidR="005728A3" w:rsidRPr="00D16F94">
        <w:rPr>
          <w:szCs w:val="24"/>
          <w:lang w:val="lv-LV"/>
        </w:rPr>
        <w:t>5.2.</w:t>
      </w:r>
      <w:r w:rsidR="005728A3">
        <w:rPr>
          <w:szCs w:val="24"/>
          <w:lang w:val="lv-LV"/>
        </w:rPr>
        <w:t> </w:t>
      </w:r>
      <w:r w:rsidR="005728A3" w:rsidRPr="00D16F94">
        <w:rPr>
          <w:szCs w:val="24"/>
          <w:lang w:val="lv-LV"/>
        </w:rPr>
        <w:t>apakšpunktu</w:t>
      </w:r>
      <w:r w:rsidRPr="00D16F94">
        <w:rPr>
          <w:szCs w:val="24"/>
          <w:lang w:val="lv-LV"/>
        </w:rPr>
        <w:t>).</w:t>
      </w:r>
    </w:p>
    <w:p w14:paraId="0A725BC3" w14:textId="77777777" w:rsidR="00EF4347" w:rsidRPr="00D16F94" w:rsidRDefault="00EF4347" w:rsidP="00EF4347">
      <w:pPr>
        <w:tabs>
          <w:tab w:val="clear" w:pos="565"/>
        </w:tabs>
        <w:autoSpaceDE w:val="0"/>
        <w:autoSpaceDN w:val="0"/>
        <w:adjustRightInd w:val="0"/>
        <w:spacing w:line="240" w:lineRule="auto"/>
        <w:rPr>
          <w:szCs w:val="24"/>
          <w:lang w:val="lv-LV"/>
        </w:rPr>
      </w:pPr>
    </w:p>
    <w:p w14:paraId="60370FB2" w14:textId="77777777" w:rsidR="00EF4347" w:rsidRPr="00D16F94" w:rsidRDefault="00EF4347" w:rsidP="00EF4347">
      <w:pPr>
        <w:tabs>
          <w:tab w:val="clear" w:pos="565"/>
        </w:tabs>
        <w:autoSpaceDE w:val="0"/>
        <w:autoSpaceDN w:val="0"/>
        <w:adjustRightInd w:val="0"/>
        <w:spacing w:line="240" w:lineRule="auto"/>
        <w:rPr>
          <w:szCs w:val="24"/>
          <w:u w:val="single"/>
          <w:lang w:val="lv-LV"/>
        </w:rPr>
      </w:pPr>
      <w:r w:rsidRPr="00D16F94">
        <w:rPr>
          <w:szCs w:val="24"/>
          <w:u w:val="single" w:color="000000"/>
          <w:lang w:val="lv-LV"/>
        </w:rPr>
        <w:t>Lietošanas veids</w:t>
      </w:r>
    </w:p>
    <w:p w14:paraId="3B6200EC" w14:textId="77777777" w:rsidR="00EF4347" w:rsidRPr="00D16F94" w:rsidRDefault="00EF4347" w:rsidP="00EF4347">
      <w:pPr>
        <w:tabs>
          <w:tab w:val="clear" w:pos="565"/>
        </w:tabs>
        <w:autoSpaceDE w:val="0"/>
        <w:autoSpaceDN w:val="0"/>
        <w:adjustRightInd w:val="0"/>
        <w:spacing w:line="240" w:lineRule="auto"/>
        <w:rPr>
          <w:szCs w:val="24"/>
          <w:lang w:val="lv-LV"/>
        </w:rPr>
      </w:pPr>
      <w:r w:rsidRPr="00D16F94">
        <w:rPr>
          <w:szCs w:val="24"/>
          <w:lang w:val="lv-LV"/>
        </w:rPr>
        <w:t xml:space="preserve">Linefor var lietot gan ēšanas laikā, gan starp ēdienreizēm. </w:t>
      </w:r>
    </w:p>
    <w:p w14:paraId="39CA2EBC" w14:textId="77777777" w:rsidR="00EF4347" w:rsidRPr="00D16F94" w:rsidRDefault="00EF4347" w:rsidP="00EF4347">
      <w:pPr>
        <w:spacing w:line="240" w:lineRule="auto"/>
        <w:ind w:left="565" w:hanging="565"/>
        <w:rPr>
          <w:szCs w:val="24"/>
          <w:lang w:val="lv-LV"/>
        </w:rPr>
      </w:pPr>
      <w:r w:rsidRPr="00D16F94">
        <w:rPr>
          <w:szCs w:val="24"/>
          <w:lang w:val="lv-LV"/>
        </w:rPr>
        <w:t>Linefor paredzēts tikai iekšķīgai lietošanai.</w:t>
      </w:r>
    </w:p>
    <w:p w14:paraId="1C6FA356" w14:textId="77777777" w:rsidR="00EF4347" w:rsidRPr="00D16F94" w:rsidRDefault="00EF4347" w:rsidP="00EF4347">
      <w:pPr>
        <w:spacing w:line="240" w:lineRule="auto"/>
        <w:ind w:left="565" w:hanging="565"/>
        <w:rPr>
          <w:b/>
          <w:szCs w:val="24"/>
          <w:lang w:val="lv-LV"/>
        </w:rPr>
      </w:pPr>
    </w:p>
    <w:p w14:paraId="01D9E733" w14:textId="77777777" w:rsidR="00EF4347" w:rsidRPr="00D16F94" w:rsidRDefault="00EF4347" w:rsidP="00EF4347">
      <w:pPr>
        <w:spacing w:line="240" w:lineRule="auto"/>
        <w:ind w:left="565" w:hanging="565"/>
        <w:rPr>
          <w:szCs w:val="24"/>
          <w:lang w:val="lv-LV"/>
        </w:rPr>
      </w:pPr>
      <w:r w:rsidRPr="00D16F94">
        <w:rPr>
          <w:b/>
          <w:szCs w:val="24"/>
          <w:lang w:val="lv-LV"/>
        </w:rPr>
        <w:t>4.3</w:t>
      </w:r>
      <w:r>
        <w:rPr>
          <w:b/>
          <w:szCs w:val="24"/>
          <w:lang w:val="lv-LV"/>
        </w:rPr>
        <w:t>.</w:t>
      </w:r>
      <w:r w:rsidRPr="00D16F94">
        <w:rPr>
          <w:b/>
          <w:szCs w:val="24"/>
          <w:lang w:val="lv-LV"/>
        </w:rPr>
        <w:tab/>
        <w:t>Kontrindikācijas</w:t>
      </w:r>
    </w:p>
    <w:p w14:paraId="1F87318C" w14:textId="77777777" w:rsidR="00EF4347" w:rsidRPr="00D16F94" w:rsidRDefault="00EF4347" w:rsidP="00EF4347">
      <w:pPr>
        <w:spacing w:line="240" w:lineRule="auto"/>
        <w:rPr>
          <w:szCs w:val="24"/>
          <w:lang w:val="lv-LV"/>
        </w:rPr>
      </w:pPr>
    </w:p>
    <w:p w14:paraId="20848D2C" w14:textId="77777777" w:rsidR="00EF4347" w:rsidRPr="00D16F94" w:rsidRDefault="00EF4347" w:rsidP="00EF4347">
      <w:pPr>
        <w:spacing w:line="240" w:lineRule="auto"/>
        <w:rPr>
          <w:szCs w:val="24"/>
          <w:lang w:val="lv-LV"/>
        </w:rPr>
      </w:pPr>
      <w:r w:rsidRPr="00D16F94">
        <w:rPr>
          <w:szCs w:val="24"/>
          <w:lang w:val="lv-LV"/>
        </w:rPr>
        <w:t>Paaugstināta jutība pret aktīvo vielu vai jebkuru no 6.1. apakšpu</w:t>
      </w:r>
      <w:r>
        <w:rPr>
          <w:szCs w:val="24"/>
          <w:lang w:val="lv-LV"/>
        </w:rPr>
        <w:t>nktā uzskaitītajām palīgvielām.</w:t>
      </w:r>
    </w:p>
    <w:p w14:paraId="18289C24" w14:textId="77777777" w:rsidR="00EF4347" w:rsidRPr="00D16F94" w:rsidRDefault="00EF4347" w:rsidP="00EF4347">
      <w:pPr>
        <w:spacing w:line="240" w:lineRule="auto"/>
        <w:rPr>
          <w:szCs w:val="24"/>
          <w:lang w:val="lv-LV"/>
        </w:rPr>
      </w:pPr>
    </w:p>
    <w:p w14:paraId="68FACBAB" w14:textId="77777777" w:rsidR="00EF4347" w:rsidRPr="00D16F94" w:rsidRDefault="00EF4347" w:rsidP="00EF4347">
      <w:pPr>
        <w:spacing w:line="240" w:lineRule="auto"/>
        <w:ind w:left="565" w:hanging="565"/>
        <w:rPr>
          <w:b/>
          <w:szCs w:val="24"/>
          <w:lang w:val="lv-LV"/>
        </w:rPr>
      </w:pPr>
      <w:r w:rsidRPr="00D16F94">
        <w:rPr>
          <w:b/>
          <w:szCs w:val="24"/>
          <w:lang w:val="lv-LV"/>
        </w:rPr>
        <w:t>4.4</w:t>
      </w:r>
      <w:r>
        <w:rPr>
          <w:b/>
          <w:szCs w:val="24"/>
          <w:lang w:val="lv-LV"/>
        </w:rPr>
        <w:t>.</w:t>
      </w:r>
      <w:r w:rsidRPr="00D16F94">
        <w:rPr>
          <w:b/>
          <w:szCs w:val="24"/>
          <w:lang w:val="lv-LV"/>
        </w:rPr>
        <w:tab/>
        <w:t>Īpaši brīdinājumi un piesardzība lietošanā</w:t>
      </w:r>
    </w:p>
    <w:p w14:paraId="786460F8" w14:textId="77777777" w:rsidR="00EF4347" w:rsidRPr="00D16F94" w:rsidRDefault="00EF4347" w:rsidP="00EF4347">
      <w:pPr>
        <w:spacing w:line="240" w:lineRule="auto"/>
        <w:ind w:left="565" w:hanging="565"/>
        <w:rPr>
          <w:szCs w:val="24"/>
          <w:lang w:val="lv-LV"/>
        </w:rPr>
      </w:pPr>
    </w:p>
    <w:p w14:paraId="3DE901FB" w14:textId="77777777" w:rsidR="00EF4347" w:rsidRPr="00D16F94" w:rsidRDefault="00EF4347" w:rsidP="00EF4347">
      <w:pPr>
        <w:tabs>
          <w:tab w:val="clear" w:pos="565"/>
        </w:tabs>
        <w:autoSpaceDE w:val="0"/>
        <w:autoSpaceDN w:val="0"/>
        <w:adjustRightInd w:val="0"/>
        <w:spacing w:line="240" w:lineRule="auto"/>
        <w:rPr>
          <w:szCs w:val="24"/>
          <w:u w:val="single"/>
          <w:lang w:val="lv-LV"/>
        </w:rPr>
      </w:pPr>
      <w:r w:rsidRPr="00D16F94">
        <w:rPr>
          <w:szCs w:val="24"/>
          <w:u w:val="single" w:color="000000"/>
          <w:lang w:val="lv-LV"/>
        </w:rPr>
        <w:t>Pacienti ar cukura diabētu</w:t>
      </w:r>
    </w:p>
    <w:p w14:paraId="2EFDC5A3" w14:textId="77777777" w:rsidR="00EF4347" w:rsidRPr="00D16F94" w:rsidRDefault="00EF4347" w:rsidP="00EF4347">
      <w:pPr>
        <w:tabs>
          <w:tab w:val="clear" w:pos="565"/>
        </w:tabs>
        <w:autoSpaceDE w:val="0"/>
        <w:autoSpaceDN w:val="0"/>
        <w:adjustRightInd w:val="0"/>
        <w:spacing w:line="240" w:lineRule="auto"/>
        <w:rPr>
          <w:szCs w:val="24"/>
          <w:lang w:val="lv-LV"/>
        </w:rPr>
      </w:pPr>
      <w:r w:rsidRPr="00D16F94">
        <w:rPr>
          <w:szCs w:val="24"/>
          <w:lang w:val="lv-LV"/>
        </w:rPr>
        <w:t>Saskaņā ar pašreizējo klīnisko praksi tiem cukura diabēta slimniekiem, kuriem pregabalīna lietošanas laikā palielinās ķermeņa masa, var būt nepieciešama hipoglikemizējošo līdzekļu devas pielāgošana.</w:t>
      </w:r>
    </w:p>
    <w:p w14:paraId="5893D4AE" w14:textId="77777777" w:rsidR="00EF4347" w:rsidRPr="00D16F94" w:rsidRDefault="00EF4347" w:rsidP="00EF4347">
      <w:pPr>
        <w:tabs>
          <w:tab w:val="clear" w:pos="565"/>
        </w:tabs>
        <w:autoSpaceDE w:val="0"/>
        <w:autoSpaceDN w:val="0"/>
        <w:adjustRightInd w:val="0"/>
        <w:spacing w:line="240" w:lineRule="auto"/>
        <w:rPr>
          <w:szCs w:val="24"/>
          <w:lang w:val="lv-LV"/>
        </w:rPr>
      </w:pPr>
    </w:p>
    <w:p w14:paraId="3A530894" w14:textId="77777777" w:rsidR="00EF4347" w:rsidRPr="00D16F94" w:rsidRDefault="00EF4347" w:rsidP="00EF4347">
      <w:pPr>
        <w:tabs>
          <w:tab w:val="clear" w:pos="565"/>
        </w:tabs>
        <w:autoSpaceDE w:val="0"/>
        <w:autoSpaceDN w:val="0"/>
        <w:adjustRightInd w:val="0"/>
        <w:spacing w:line="240" w:lineRule="auto"/>
        <w:rPr>
          <w:szCs w:val="24"/>
          <w:u w:val="single"/>
          <w:lang w:val="lv-LV"/>
        </w:rPr>
      </w:pPr>
      <w:r w:rsidRPr="00D16F94">
        <w:rPr>
          <w:szCs w:val="24"/>
          <w:u w:val="single" w:color="000000"/>
          <w:lang w:val="lv-LV"/>
        </w:rPr>
        <w:t>Paaugstinātas jutības reakcijas</w:t>
      </w:r>
    </w:p>
    <w:p w14:paraId="1E7CE8CA" w14:textId="77777777" w:rsidR="00EF4347" w:rsidRPr="00D16F94" w:rsidRDefault="00EF4347" w:rsidP="00EF4347">
      <w:pPr>
        <w:tabs>
          <w:tab w:val="clear" w:pos="565"/>
        </w:tabs>
        <w:autoSpaceDE w:val="0"/>
        <w:autoSpaceDN w:val="0"/>
        <w:adjustRightInd w:val="0"/>
        <w:spacing w:line="240" w:lineRule="auto"/>
        <w:rPr>
          <w:szCs w:val="24"/>
          <w:lang w:val="lv-LV"/>
        </w:rPr>
      </w:pPr>
      <w:r w:rsidRPr="00D16F94">
        <w:rPr>
          <w:szCs w:val="24"/>
          <w:lang w:val="lv-LV"/>
        </w:rPr>
        <w:t>Pēcreģistrācijas uzraudzības laikā saņemti ziņojumi par paaugstinātas jutības reakcijām, ieskaitot angio</w:t>
      </w:r>
      <w:r>
        <w:rPr>
          <w:szCs w:val="24"/>
          <w:lang w:val="lv-LV"/>
        </w:rPr>
        <w:t>edēmas</w:t>
      </w:r>
      <w:r w:rsidRPr="00D16F94">
        <w:rPr>
          <w:szCs w:val="24"/>
          <w:lang w:val="lv-LV"/>
        </w:rPr>
        <w:t xml:space="preserve"> gadījumus. Ja rodas angio</w:t>
      </w:r>
      <w:r>
        <w:rPr>
          <w:szCs w:val="24"/>
          <w:lang w:val="lv-LV"/>
        </w:rPr>
        <w:t>edēmas</w:t>
      </w:r>
      <w:r w:rsidRPr="00D16F94">
        <w:rPr>
          <w:szCs w:val="24"/>
          <w:lang w:val="lv-LV"/>
        </w:rPr>
        <w:t xml:space="preserve"> simptomi, piemēram, sejas, mutes apvidus vai augšējo elpceļu pietūkums, pregabalīna lietošana nekavējoties jāpārtrauc.</w:t>
      </w:r>
    </w:p>
    <w:p w14:paraId="38FB4AC0" w14:textId="77777777" w:rsidR="00EF4347" w:rsidRPr="00D16F94" w:rsidRDefault="00EF4347" w:rsidP="00EF4347">
      <w:pPr>
        <w:tabs>
          <w:tab w:val="clear" w:pos="565"/>
        </w:tabs>
        <w:autoSpaceDE w:val="0"/>
        <w:autoSpaceDN w:val="0"/>
        <w:adjustRightInd w:val="0"/>
        <w:spacing w:line="240" w:lineRule="auto"/>
        <w:rPr>
          <w:szCs w:val="24"/>
          <w:lang w:val="lv-LV"/>
        </w:rPr>
      </w:pPr>
    </w:p>
    <w:p w14:paraId="1B6F7886" w14:textId="77777777" w:rsidR="00EF4347" w:rsidRPr="00D16F94" w:rsidRDefault="00EF4347" w:rsidP="00EF4347">
      <w:pPr>
        <w:tabs>
          <w:tab w:val="clear" w:pos="565"/>
        </w:tabs>
        <w:autoSpaceDE w:val="0"/>
        <w:autoSpaceDN w:val="0"/>
        <w:adjustRightInd w:val="0"/>
        <w:spacing w:line="240" w:lineRule="auto"/>
        <w:rPr>
          <w:szCs w:val="24"/>
          <w:u w:val="single"/>
          <w:lang w:val="lv-LV"/>
        </w:rPr>
      </w:pPr>
      <w:r w:rsidRPr="00D16F94">
        <w:rPr>
          <w:szCs w:val="24"/>
          <w:u w:val="single" w:color="000000"/>
          <w:lang w:val="lv-LV"/>
        </w:rPr>
        <w:t>Reibonis, miegainība, samaņas zudums, apjukums un psihiski traucējumi</w:t>
      </w:r>
    </w:p>
    <w:p w14:paraId="1E6F7F2E" w14:textId="77777777" w:rsidR="00EF4347" w:rsidRPr="00D16F94" w:rsidRDefault="00EF4347" w:rsidP="00EF4347">
      <w:pPr>
        <w:tabs>
          <w:tab w:val="clear" w:pos="565"/>
        </w:tabs>
        <w:autoSpaceDE w:val="0"/>
        <w:autoSpaceDN w:val="0"/>
        <w:adjustRightInd w:val="0"/>
        <w:spacing w:line="240" w:lineRule="auto"/>
        <w:rPr>
          <w:szCs w:val="24"/>
          <w:lang w:val="lv-LV"/>
        </w:rPr>
      </w:pPr>
      <w:r w:rsidRPr="00D16F94">
        <w:rPr>
          <w:szCs w:val="24"/>
          <w:lang w:val="lv-LV"/>
        </w:rPr>
        <w:t xml:space="preserve">Pregabalīna lietošana </w:t>
      </w:r>
      <w:r>
        <w:rPr>
          <w:szCs w:val="24"/>
          <w:lang w:val="lv-LV"/>
        </w:rPr>
        <w:t>bijusi</w:t>
      </w:r>
      <w:r w:rsidRPr="00D16F94">
        <w:rPr>
          <w:szCs w:val="24"/>
          <w:lang w:val="lv-LV"/>
        </w:rPr>
        <w:t xml:space="preserve"> saistīta ar reiboni un miegainību, kas gados vecākiem cilvēkiem var p</w:t>
      </w:r>
      <w:r>
        <w:rPr>
          <w:szCs w:val="24"/>
          <w:lang w:val="lv-LV"/>
        </w:rPr>
        <w:t>ieaugt nejaušu traumu rašanā</w:t>
      </w:r>
      <w:r w:rsidRPr="00D16F94">
        <w:rPr>
          <w:szCs w:val="24"/>
          <w:lang w:val="lv-LV"/>
        </w:rPr>
        <w:t>s (krišanas dēļ)</w:t>
      </w:r>
      <w:r>
        <w:rPr>
          <w:szCs w:val="24"/>
          <w:lang w:val="lv-LV"/>
        </w:rPr>
        <w:t xml:space="preserve"> biežums</w:t>
      </w:r>
      <w:r w:rsidRPr="00D16F94">
        <w:rPr>
          <w:szCs w:val="24"/>
          <w:lang w:val="lv-LV"/>
        </w:rPr>
        <w:t>. Pēcreģistrācijas periodā saņemti ziņojumi arī par samaņas zudumu, apjukumu un psihiskiem traucējumiem. Tāpēc pacientiem jāiesaka ievērot piesardzību, līdz viņi iepazinuši zāļu iespējamo iedarbību.</w:t>
      </w:r>
    </w:p>
    <w:p w14:paraId="366EBAAA" w14:textId="77777777" w:rsidR="00EF4347" w:rsidRPr="00D16F94" w:rsidRDefault="00EF4347" w:rsidP="00EF4347">
      <w:pPr>
        <w:tabs>
          <w:tab w:val="clear" w:pos="565"/>
        </w:tabs>
        <w:autoSpaceDE w:val="0"/>
        <w:autoSpaceDN w:val="0"/>
        <w:adjustRightInd w:val="0"/>
        <w:spacing w:line="240" w:lineRule="auto"/>
        <w:rPr>
          <w:szCs w:val="24"/>
          <w:lang w:val="lv-LV"/>
        </w:rPr>
      </w:pPr>
    </w:p>
    <w:p w14:paraId="50FBD304" w14:textId="77777777" w:rsidR="00EF4347" w:rsidRPr="00D16F94" w:rsidRDefault="00EF4347" w:rsidP="00EF4347">
      <w:pPr>
        <w:tabs>
          <w:tab w:val="clear" w:pos="565"/>
        </w:tabs>
        <w:autoSpaceDE w:val="0"/>
        <w:autoSpaceDN w:val="0"/>
        <w:adjustRightInd w:val="0"/>
        <w:spacing w:line="240" w:lineRule="auto"/>
        <w:rPr>
          <w:szCs w:val="24"/>
          <w:u w:val="single"/>
          <w:lang w:val="lv-LV"/>
        </w:rPr>
      </w:pPr>
      <w:r w:rsidRPr="00D16F94">
        <w:rPr>
          <w:szCs w:val="24"/>
          <w:u w:val="single" w:color="000000"/>
          <w:lang w:val="lv-LV"/>
        </w:rPr>
        <w:t>Ar redzi saistīt</w:t>
      </w:r>
      <w:r>
        <w:rPr>
          <w:szCs w:val="24"/>
          <w:u w:val="single" w:color="000000"/>
          <w:lang w:val="lv-LV"/>
        </w:rPr>
        <w:t>a ietekme</w:t>
      </w:r>
    </w:p>
    <w:p w14:paraId="67DB1053" w14:textId="77777777" w:rsidR="00EF4347" w:rsidRPr="00D16F94" w:rsidRDefault="00EF4347" w:rsidP="00EF4347">
      <w:pPr>
        <w:tabs>
          <w:tab w:val="clear" w:pos="565"/>
        </w:tabs>
        <w:autoSpaceDE w:val="0"/>
        <w:autoSpaceDN w:val="0"/>
        <w:adjustRightInd w:val="0"/>
        <w:spacing w:line="240" w:lineRule="auto"/>
        <w:rPr>
          <w:szCs w:val="24"/>
          <w:lang w:val="lv-LV"/>
        </w:rPr>
      </w:pPr>
      <w:r w:rsidRPr="00D16F94">
        <w:rPr>
          <w:szCs w:val="24"/>
          <w:lang w:val="lv-LV"/>
        </w:rPr>
        <w:t xml:space="preserve">Kontrolētos pētījumos par redzes miglošanos ziņoja </w:t>
      </w:r>
      <w:r>
        <w:rPr>
          <w:szCs w:val="24"/>
          <w:lang w:val="lv-LV"/>
        </w:rPr>
        <w:t>vairāk</w:t>
      </w:r>
      <w:r w:rsidRPr="00D16F94">
        <w:rPr>
          <w:szCs w:val="24"/>
          <w:lang w:val="lv-LV"/>
        </w:rPr>
        <w:t xml:space="preserve"> to pacientu, kuri saņēma pregabalīna terapiju, nekā pacienti, kuri saņēma placebo. Vairumā gadījumu, turpinot terapiju, šī parādība izzuda. Klīnisk</w:t>
      </w:r>
      <w:r w:rsidR="00737D68">
        <w:rPr>
          <w:szCs w:val="24"/>
          <w:lang w:val="lv-LV"/>
        </w:rPr>
        <w:t>aj</w:t>
      </w:r>
      <w:r w:rsidRPr="00D16F94">
        <w:rPr>
          <w:szCs w:val="24"/>
          <w:lang w:val="lv-LV"/>
        </w:rPr>
        <w:t>os pētījumos, kuros tika veikti oftalmoloģiski izmeklējumi, redzes asuma samazināšanās un redzes lauka izmaiņu sastopamība ar pregabalīnu ārstētiem pacientiem bija lielāka nekā ar placebo ārstētiem pacientiem, bet fundoskopisko izmaiņu sastopamība bija lielāka ar placebo ārstētiem pacientiem (skatīt 5.1. apakšpunktu).</w:t>
      </w:r>
    </w:p>
    <w:p w14:paraId="5A0E321E" w14:textId="77777777" w:rsidR="00EF4347" w:rsidRPr="00D16F94" w:rsidRDefault="00EF4347" w:rsidP="00EF4347">
      <w:pPr>
        <w:tabs>
          <w:tab w:val="clear" w:pos="565"/>
        </w:tabs>
        <w:autoSpaceDE w:val="0"/>
        <w:autoSpaceDN w:val="0"/>
        <w:adjustRightInd w:val="0"/>
        <w:spacing w:line="240" w:lineRule="auto"/>
        <w:rPr>
          <w:szCs w:val="24"/>
          <w:lang w:val="lv-LV"/>
        </w:rPr>
      </w:pPr>
    </w:p>
    <w:p w14:paraId="6DA58D4D" w14:textId="77777777" w:rsidR="00EF4347" w:rsidRPr="00D16F94" w:rsidRDefault="00EF4347" w:rsidP="00EF4347">
      <w:pPr>
        <w:tabs>
          <w:tab w:val="clear" w:pos="565"/>
        </w:tabs>
        <w:autoSpaceDE w:val="0"/>
        <w:autoSpaceDN w:val="0"/>
        <w:adjustRightInd w:val="0"/>
        <w:spacing w:line="240" w:lineRule="auto"/>
        <w:rPr>
          <w:szCs w:val="24"/>
          <w:lang w:val="lv-LV"/>
        </w:rPr>
      </w:pPr>
      <w:r w:rsidRPr="00D16F94">
        <w:rPr>
          <w:szCs w:val="24"/>
          <w:lang w:val="lv-LV"/>
        </w:rPr>
        <w:t>Arī pēcreģistrācijas uzraudzības laikā saņemti ziņojumi par blakusparādībām, kas saistītas ar redzi, ieskaitot redzes zudumu, redzes miglošanos vai citām redzes asuma izmaiņām, no kurām daudzas bija pārejošas.</w:t>
      </w:r>
    </w:p>
    <w:p w14:paraId="032AAC1A" w14:textId="77777777" w:rsidR="00EF4347" w:rsidRPr="00D16F94" w:rsidRDefault="00EF4347" w:rsidP="00EF4347">
      <w:pPr>
        <w:tabs>
          <w:tab w:val="clear" w:pos="565"/>
        </w:tabs>
        <w:autoSpaceDE w:val="0"/>
        <w:autoSpaceDN w:val="0"/>
        <w:adjustRightInd w:val="0"/>
        <w:spacing w:line="240" w:lineRule="auto"/>
        <w:rPr>
          <w:szCs w:val="24"/>
          <w:lang w:val="lv-LV"/>
        </w:rPr>
      </w:pPr>
      <w:r w:rsidRPr="00D16F94">
        <w:rPr>
          <w:szCs w:val="24"/>
          <w:lang w:val="lv-LV"/>
        </w:rPr>
        <w:t>Pēc pregabalīna lietošanas pārtraukšanas šie redzes simptomi var izzust vai mazināties.</w:t>
      </w:r>
    </w:p>
    <w:p w14:paraId="17190EEE" w14:textId="77777777" w:rsidR="00EF4347" w:rsidRPr="00D16F94" w:rsidRDefault="00EF4347" w:rsidP="00EF4347">
      <w:pPr>
        <w:tabs>
          <w:tab w:val="clear" w:pos="565"/>
        </w:tabs>
        <w:autoSpaceDE w:val="0"/>
        <w:autoSpaceDN w:val="0"/>
        <w:adjustRightInd w:val="0"/>
        <w:spacing w:line="240" w:lineRule="auto"/>
        <w:rPr>
          <w:szCs w:val="24"/>
          <w:lang w:val="lv-LV"/>
        </w:rPr>
      </w:pPr>
    </w:p>
    <w:p w14:paraId="375E7DC1" w14:textId="77777777" w:rsidR="00EF4347" w:rsidRPr="00D16F94" w:rsidRDefault="00EF4347" w:rsidP="00EF4347">
      <w:pPr>
        <w:tabs>
          <w:tab w:val="clear" w:pos="565"/>
        </w:tabs>
        <w:autoSpaceDE w:val="0"/>
        <w:autoSpaceDN w:val="0"/>
        <w:adjustRightInd w:val="0"/>
        <w:spacing w:line="240" w:lineRule="auto"/>
        <w:rPr>
          <w:szCs w:val="24"/>
          <w:u w:val="single"/>
          <w:lang w:val="lv-LV"/>
        </w:rPr>
      </w:pPr>
      <w:r w:rsidRPr="00D16F94">
        <w:rPr>
          <w:szCs w:val="24"/>
          <w:u w:val="single"/>
          <w:lang w:val="lv-LV"/>
        </w:rPr>
        <w:t>Nieru mazspēja</w:t>
      </w:r>
    </w:p>
    <w:p w14:paraId="3F0B35EC" w14:textId="77777777" w:rsidR="00EF4347" w:rsidRPr="00D16F94" w:rsidRDefault="00EF4347" w:rsidP="00EF4347">
      <w:pPr>
        <w:tabs>
          <w:tab w:val="clear" w:pos="565"/>
        </w:tabs>
        <w:autoSpaceDE w:val="0"/>
        <w:autoSpaceDN w:val="0"/>
        <w:adjustRightInd w:val="0"/>
        <w:spacing w:line="240" w:lineRule="auto"/>
        <w:rPr>
          <w:szCs w:val="24"/>
          <w:lang w:val="lv-LV"/>
        </w:rPr>
      </w:pPr>
      <w:r w:rsidRPr="00D16F94">
        <w:rPr>
          <w:szCs w:val="24"/>
          <w:lang w:val="lv-LV"/>
        </w:rPr>
        <w:t>Saņemti ziņojumi par nieru mazspēju, un dažos gadījumos pēc pregabalīna lietošanas pārtraukšanas šī blakusparādība izzuda.</w:t>
      </w:r>
    </w:p>
    <w:p w14:paraId="2C206C49" w14:textId="77777777" w:rsidR="00EF4347" w:rsidRPr="00D16F94" w:rsidRDefault="00EF4347" w:rsidP="00EF4347">
      <w:pPr>
        <w:tabs>
          <w:tab w:val="clear" w:pos="565"/>
        </w:tabs>
        <w:autoSpaceDE w:val="0"/>
        <w:autoSpaceDN w:val="0"/>
        <w:adjustRightInd w:val="0"/>
        <w:spacing w:line="240" w:lineRule="auto"/>
        <w:rPr>
          <w:szCs w:val="24"/>
          <w:u w:val="single"/>
          <w:lang w:val="lv-LV"/>
        </w:rPr>
      </w:pPr>
    </w:p>
    <w:p w14:paraId="72E70648" w14:textId="77777777" w:rsidR="00EF4347" w:rsidRPr="00D16F94" w:rsidRDefault="00EF4347" w:rsidP="00EF4347">
      <w:pPr>
        <w:tabs>
          <w:tab w:val="clear" w:pos="565"/>
        </w:tabs>
        <w:autoSpaceDE w:val="0"/>
        <w:autoSpaceDN w:val="0"/>
        <w:adjustRightInd w:val="0"/>
        <w:spacing w:line="240" w:lineRule="auto"/>
        <w:rPr>
          <w:szCs w:val="24"/>
          <w:u w:val="single"/>
          <w:lang w:val="lv-LV"/>
        </w:rPr>
      </w:pPr>
      <w:r w:rsidRPr="00D16F94">
        <w:rPr>
          <w:szCs w:val="24"/>
          <w:u w:val="single" w:color="000000"/>
          <w:lang w:val="lv-LV"/>
        </w:rPr>
        <w:t>Vienlaikus lietoto pretepilepsijas zāļu lietošanas pārtraukšana</w:t>
      </w:r>
    </w:p>
    <w:p w14:paraId="23E8E93A" w14:textId="77777777" w:rsidR="00EF4347" w:rsidRPr="00D16F94" w:rsidRDefault="00EF4347" w:rsidP="00EF4347">
      <w:pPr>
        <w:tabs>
          <w:tab w:val="clear" w:pos="565"/>
        </w:tabs>
        <w:autoSpaceDE w:val="0"/>
        <w:autoSpaceDN w:val="0"/>
        <w:adjustRightInd w:val="0"/>
        <w:spacing w:line="240" w:lineRule="auto"/>
        <w:rPr>
          <w:szCs w:val="24"/>
          <w:lang w:val="lv-LV"/>
        </w:rPr>
      </w:pPr>
      <w:r w:rsidRPr="00D16F94">
        <w:rPr>
          <w:szCs w:val="24"/>
          <w:lang w:val="lv-LV"/>
        </w:rPr>
        <w:lastRenderedPageBreak/>
        <w:t>Dati par vienlaikus lietoto pretepilepsijas līdzekļu lietošanas pārtraukšanu, lai pārietu uz monoterapiju ar pregabalīnu, ja pregabalīna pievienošanu terapijai panākta krampju kontrole, nav pietiekami.</w:t>
      </w:r>
    </w:p>
    <w:p w14:paraId="39480D4B" w14:textId="77777777" w:rsidR="00EF4347" w:rsidRPr="00D16F94" w:rsidRDefault="00EF4347" w:rsidP="00EF4347">
      <w:pPr>
        <w:tabs>
          <w:tab w:val="clear" w:pos="565"/>
        </w:tabs>
        <w:autoSpaceDE w:val="0"/>
        <w:autoSpaceDN w:val="0"/>
        <w:adjustRightInd w:val="0"/>
        <w:spacing w:line="240" w:lineRule="auto"/>
        <w:rPr>
          <w:szCs w:val="24"/>
          <w:lang w:val="lv-LV"/>
        </w:rPr>
      </w:pPr>
    </w:p>
    <w:p w14:paraId="1C32CB11" w14:textId="77777777" w:rsidR="00EF4347" w:rsidRPr="00D16F94" w:rsidRDefault="00EF4347" w:rsidP="00EF4347">
      <w:pPr>
        <w:tabs>
          <w:tab w:val="clear" w:pos="565"/>
        </w:tabs>
        <w:autoSpaceDE w:val="0"/>
        <w:autoSpaceDN w:val="0"/>
        <w:adjustRightInd w:val="0"/>
        <w:spacing w:line="240" w:lineRule="auto"/>
        <w:rPr>
          <w:szCs w:val="24"/>
          <w:u w:val="single"/>
          <w:lang w:val="lv-LV"/>
        </w:rPr>
      </w:pPr>
      <w:r>
        <w:rPr>
          <w:szCs w:val="24"/>
          <w:u w:val="single" w:color="000000"/>
          <w:lang w:val="lv-LV"/>
        </w:rPr>
        <w:t>Lietošanas pārtraukšanas</w:t>
      </w:r>
      <w:r w:rsidRPr="00D16F94">
        <w:rPr>
          <w:szCs w:val="24"/>
          <w:u w:val="single" w:color="000000"/>
          <w:lang w:val="lv-LV"/>
        </w:rPr>
        <w:t xml:space="preserve"> simptomi</w:t>
      </w:r>
    </w:p>
    <w:p w14:paraId="63A51654" w14:textId="77777777" w:rsidR="00EF4347" w:rsidRPr="00D16F94" w:rsidRDefault="00EF4347" w:rsidP="00EF4347">
      <w:pPr>
        <w:tabs>
          <w:tab w:val="clear" w:pos="565"/>
        </w:tabs>
        <w:autoSpaceDE w:val="0"/>
        <w:autoSpaceDN w:val="0"/>
        <w:adjustRightInd w:val="0"/>
        <w:spacing w:line="240" w:lineRule="auto"/>
        <w:rPr>
          <w:szCs w:val="24"/>
          <w:lang w:val="lv-LV"/>
        </w:rPr>
      </w:pPr>
      <w:r w:rsidRPr="00D16F94">
        <w:rPr>
          <w:szCs w:val="24"/>
          <w:lang w:val="lv-LV"/>
        </w:rPr>
        <w:t>Dažiem pacientiem, pārtraucot īstermiņa un ilgtermiņa ārstēšanu ar pregabalīnu, tika nov</w:t>
      </w:r>
      <w:r>
        <w:rPr>
          <w:szCs w:val="24"/>
          <w:lang w:val="lv-LV"/>
        </w:rPr>
        <w:t>ēroti lietošanas pārtraukšanas</w:t>
      </w:r>
      <w:r w:rsidRPr="00D16F94">
        <w:rPr>
          <w:szCs w:val="24"/>
          <w:lang w:val="lv-LV"/>
        </w:rPr>
        <w:t xml:space="preserve"> simptomi. Novēroti šādi simptomi: bezmiegs, galvassāpes, slikta dūša, nemiers, caureja, gripas sindroms, nervozitāte, depresija, sāpes,</w:t>
      </w:r>
      <w:r>
        <w:rPr>
          <w:szCs w:val="24"/>
          <w:lang w:val="lv-LV"/>
        </w:rPr>
        <w:t xml:space="preserve"> krampji, pastiprināta svīšana</w:t>
      </w:r>
      <w:r w:rsidRPr="00D16F94">
        <w:rPr>
          <w:szCs w:val="24"/>
          <w:lang w:val="lv-LV"/>
        </w:rPr>
        <w:t xml:space="preserve"> un reibonis, kas liecina par fiziskas atkarības rašanos. Pacients par to jāinformē pirms terapijas sākšanas.</w:t>
      </w:r>
    </w:p>
    <w:p w14:paraId="4F567579" w14:textId="77777777" w:rsidR="00EF4347" w:rsidRPr="00D16F94" w:rsidRDefault="00EF4347" w:rsidP="00EF4347">
      <w:pPr>
        <w:tabs>
          <w:tab w:val="clear" w:pos="565"/>
        </w:tabs>
        <w:autoSpaceDE w:val="0"/>
        <w:autoSpaceDN w:val="0"/>
        <w:adjustRightInd w:val="0"/>
        <w:spacing w:line="240" w:lineRule="auto"/>
        <w:rPr>
          <w:szCs w:val="24"/>
          <w:lang w:val="lv-LV"/>
        </w:rPr>
      </w:pPr>
    </w:p>
    <w:p w14:paraId="42E57E72" w14:textId="77777777" w:rsidR="00EF4347" w:rsidRPr="00D16F94" w:rsidRDefault="00EF4347" w:rsidP="00EF4347">
      <w:pPr>
        <w:tabs>
          <w:tab w:val="clear" w:pos="565"/>
        </w:tabs>
        <w:autoSpaceDE w:val="0"/>
        <w:autoSpaceDN w:val="0"/>
        <w:adjustRightInd w:val="0"/>
        <w:spacing w:line="240" w:lineRule="auto"/>
        <w:rPr>
          <w:szCs w:val="24"/>
          <w:lang w:val="lv-LV"/>
        </w:rPr>
      </w:pPr>
      <w:r w:rsidRPr="00D16F94">
        <w:rPr>
          <w:szCs w:val="24"/>
          <w:lang w:val="lv-LV"/>
        </w:rPr>
        <w:t xml:space="preserve">Pregabalīna lietošanas laikā vai īsi pēc tā lietošanas pārtraukšanas var rasties krampji, </w:t>
      </w:r>
      <w:r>
        <w:rPr>
          <w:szCs w:val="24"/>
          <w:lang w:val="lv-LV"/>
        </w:rPr>
        <w:t xml:space="preserve">ieskaitot epileptisku stāvokli un </w:t>
      </w:r>
      <w:r w:rsidRPr="00D907BB">
        <w:rPr>
          <w:i/>
          <w:szCs w:val="24"/>
          <w:lang w:val="lv-LV"/>
        </w:rPr>
        <w:t>grand mal</w:t>
      </w:r>
      <w:r w:rsidRPr="00D16F94">
        <w:rPr>
          <w:szCs w:val="24"/>
          <w:lang w:val="lv-LV"/>
        </w:rPr>
        <w:t>.</w:t>
      </w:r>
    </w:p>
    <w:p w14:paraId="7930ACEF" w14:textId="77777777" w:rsidR="00EF4347" w:rsidRPr="00D16F94" w:rsidRDefault="00EF4347" w:rsidP="00EF4347">
      <w:pPr>
        <w:tabs>
          <w:tab w:val="clear" w:pos="565"/>
        </w:tabs>
        <w:autoSpaceDE w:val="0"/>
        <w:autoSpaceDN w:val="0"/>
        <w:adjustRightInd w:val="0"/>
        <w:spacing w:line="240" w:lineRule="auto"/>
        <w:rPr>
          <w:szCs w:val="24"/>
          <w:lang w:val="lv-LV"/>
        </w:rPr>
      </w:pPr>
    </w:p>
    <w:p w14:paraId="5B673EA4" w14:textId="77777777" w:rsidR="00EF4347" w:rsidRPr="00D16F94" w:rsidRDefault="00EF4347" w:rsidP="00EF4347">
      <w:pPr>
        <w:tabs>
          <w:tab w:val="clear" w:pos="565"/>
        </w:tabs>
        <w:autoSpaceDE w:val="0"/>
        <w:autoSpaceDN w:val="0"/>
        <w:adjustRightInd w:val="0"/>
        <w:spacing w:line="240" w:lineRule="auto"/>
        <w:rPr>
          <w:szCs w:val="24"/>
          <w:lang w:val="lv-LV"/>
        </w:rPr>
      </w:pPr>
      <w:r w:rsidRPr="00D16F94">
        <w:rPr>
          <w:szCs w:val="24"/>
          <w:lang w:val="lv-LV"/>
        </w:rPr>
        <w:t>Dati par pregabalīna ilgstošas lietošanas pārtraukšanu liecin</w:t>
      </w:r>
      <w:r>
        <w:rPr>
          <w:szCs w:val="24"/>
          <w:lang w:val="lv-LV"/>
        </w:rPr>
        <w:t>a, ka lietošanas pārtraukšanas</w:t>
      </w:r>
      <w:r w:rsidRPr="00D16F94">
        <w:rPr>
          <w:szCs w:val="24"/>
          <w:lang w:val="lv-LV"/>
        </w:rPr>
        <w:t xml:space="preserve"> simptomu biežums un smaguma pakāpe var būt atkarīga no pregabalīna devas.</w:t>
      </w:r>
    </w:p>
    <w:p w14:paraId="22DAF01F" w14:textId="77777777" w:rsidR="00EF4347" w:rsidRPr="00D16F94" w:rsidRDefault="00EF4347" w:rsidP="00EF4347">
      <w:pPr>
        <w:tabs>
          <w:tab w:val="clear" w:pos="565"/>
        </w:tabs>
        <w:autoSpaceDE w:val="0"/>
        <w:autoSpaceDN w:val="0"/>
        <w:adjustRightInd w:val="0"/>
        <w:spacing w:line="240" w:lineRule="auto"/>
        <w:rPr>
          <w:szCs w:val="24"/>
          <w:lang w:val="lv-LV"/>
        </w:rPr>
      </w:pPr>
    </w:p>
    <w:p w14:paraId="443AA73C" w14:textId="77777777" w:rsidR="00EF4347" w:rsidRPr="00D34F3A" w:rsidRDefault="00EF4347" w:rsidP="00EF4347">
      <w:pPr>
        <w:tabs>
          <w:tab w:val="clear" w:pos="565"/>
        </w:tabs>
        <w:autoSpaceDE w:val="0"/>
        <w:autoSpaceDN w:val="0"/>
        <w:adjustRightInd w:val="0"/>
        <w:spacing w:line="240" w:lineRule="auto"/>
        <w:rPr>
          <w:szCs w:val="24"/>
          <w:u w:val="single"/>
          <w:lang w:val="lv-LV"/>
        </w:rPr>
      </w:pPr>
      <w:r w:rsidRPr="00D34F3A">
        <w:rPr>
          <w:szCs w:val="24"/>
          <w:u w:val="single"/>
          <w:lang w:val="lv-LV"/>
        </w:rPr>
        <w:t>Sastrēguma sirds mazspēja</w:t>
      </w:r>
    </w:p>
    <w:p w14:paraId="192E77B3" w14:textId="77777777" w:rsidR="00EF4347" w:rsidRPr="00D16F94" w:rsidRDefault="00EF4347" w:rsidP="00EF4347">
      <w:pPr>
        <w:tabs>
          <w:tab w:val="clear" w:pos="565"/>
        </w:tabs>
        <w:autoSpaceDE w:val="0"/>
        <w:autoSpaceDN w:val="0"/>
        <w:adjustRightInd w:val="0"/>
        <w:spacing w:line="240" w:lineRule="auto"/>
        <w:rPr>
          <w:szCs w:val="24"/>
          <w:lang w:val="lv-LV"/>
        </w:rPr>
      </w:pPr>
      <w:r w:rsidRPr="00D34F3A">
        <w:rPr>
          <w:szCs w:val="24"/>
          <w:lang w:val="lv-LV"/>
        </w:rPr>
        <w:t xml:space="preserve">Pēcreģistrācijas perioda ziņojumos dažiem pacientiem, kuri lietoja pregabalīnu, novērota sastrēguma sirds mazspēja. </w:t>
      </w:r>
      <w:r w:rsidR="008B7FE9" w:rsidRPr="00D34F3A">
        <w:rPr>
          <w:szCs w:val="24"/>
          <w:lang w:val="lv-LV"/>
        </w:rPr>
        <w:t>Šīs reakcijas tika novērotas galvenokārt gados vecākiem pacientiem ar kardiovaskulārām slimībām, kuri pregabalīnu lietoja neiropātiskas indikācijas gadījumā</w:t>
      </w:r>
      <w:r w:rsidR="008B7FE9">
        <w:rPr>
          <w:szCs w:val="24"/>
          <w:lang w:val="lv-LV"/>
        </w:rPr>
        <w:t>.</w:t>
      </w:r>
      <w:r w:rsidR="008B7FE9" w:rsidRPr="00AF03EF" w:rsidDel="008B7FE9">
        <w:rPr>
          <w:szCs w:val="24"/>
          <w:lang w:val="lv-LV"/>
        </w:rPr>
        <w:t xml:space="preserve"> </w:t>
      </w:r>
      <w:r w:rsidRPr="00D34F3A">
        <w:rPr>
          <w:szCs w:val="24"/>
          <w:lang w:val="lv-LV"/>
        </w:rPr>
        <w:t>Pregabalīns šiem pacientiem jālieto piesardzīgi. Pregabalīna lietošanas pārtraukšana var izraisīt šo reakciju izzušanu.</w:t>
      </w:r>
    </w:p>
    <w:p w14:paraId="26B2CBC5" w14:textId="77777777" w:rsidR="008B7FE9" w:rsidRPr="00D16F94" w:rsidRDefault="008B7FE9" w:rsidP="008B7FE9">
      <w:pPr>
        <w:tabs>
          <w:tab w:val="clear" w:pos="565"/>
        </w:tabs>
        <w:autoSpaceDE w:val="0"/>
        <w:autoSpaceDN w:val="0"/>
        <w:adjustRightInd w:val="0"/>
        <w:spacing w:line="240" w:lineRule="auto"/>
        <w:rPr>
          <w:szCs w:val="24"/>
          <w:lang w:val="lv-LV"/>
        </w:rPr>
      </w:pPr>
    </w:p>
    <w:p w14:paraId="344011D2" w14:textId="77777777" w:rsidR="008B7FE9" w:rsidRPr="00D16F94" w:rsidRDefault="008B7FE9" w:rsidP="008B7FE9">
      <w:pPr>
        <w:tabs>
          <w:tab w:val="clear" w:pos="565"/>
        </w:tabs>
        <w:autoSpaceDE w:val="0"/>
        <w:autoSpaceDN w:val="0"/>
        <w:adjustRightInd w:val="0"/>
        <w:spacing w:line="240" w:lineRule="auto"/>
        <w:rPr>
          <w:szCs w:val="24"/>
          <w:u w:val="single"/>
          <w:lang w:val="lv-LV"/>
        </w:rPr>
      </w:pPr>
      <w:r w:rsidRPr="00D16F94">
        <w:rPr>
          <w:szCs w:val="24"/>
          <w:u w:val="single"/>
          <w:lang w:val="lv-LV"/>
        </w:rPr>
        <w:t>Muguras smadzeņu bojājumu izraisītu centrālu neiropātisku sāpju ārstēšana</w:t>
      </w:r>
    </w:p>
    <w:p w14:paraId="18F8632F" w14:textId="77777777" w:rsidR="008B7FE9" w:rsidRDefault="008B7FE9" w:rsidP="008B7FE9">
      <w:pPr>
        <w:tabs>
          <w:tab w:val="clear" w:pos="565"/>
        </w:tabs>
        <w:autoSpaceDE w:val="0"/>
        <w:autoSpaceDN w:val="0"/>
        <w:adjustRightInd w:val="0"/>
        <w:spacing w:line="240" w:lineRule="auto"/>
        <w:rPr>
          <w:szCs w:val="24"/>
          <w:lang w:val="lv-LV"/>
        </w:rPr>
      </w:pPr>
      <w:r w:rsidRPr="00D16F94">
        <w:rPr>
          <w:szCs w:val="24"/>
          <w:lang w:val="lv-LV"/>
        </w:rPr>
        <w:t>Ārstējot muguras smadzeņu bojājuma izraisītas centrālas neiropātiskas sāpes, palielinājās visu blakusparādību, ar centrālo nervu sistēmu saistīto blakusparādību un īpaši miegainības sastopamība</w:t>
      </w:r>
      <w:r>
        <w:rPr>
          <w:szCs w:val="24"/>
          <w:lang w:val="lv-LV"/>
        </w:rPr>
        <w:t>.</w:t>
      </w:r>
      <w:r w:rsidRPr="00D16F94">
        <w:rPr>
          <w:szCs w:val="24"/>
          <w:lang w:val="lv-LV"/>
        </w:rPr>
        <w:t xml:space="preserve"> Tas var būt saistīts ar šādos gadījumos nepieciešamo vienlaikus lietoto zāļu (piemēram, pret</w:t>
      </w:r>
      <w:r>
        <w:rPr>
          <w:szCs w:val="24"/>
          <w:lang w:val="lv-LV"/>
        </w:rPr>
        <w:t xml:space="preserve"> </w:t>
      </w:r>
      <w:r w:rsidRPr="00D16F94">
        <w:rPr>
          <w:szCs w:val="24"/>
          <w:lang w:val="lv-LV"/>
        </w:rPr>
        <w:t>spa</w:t>
      </w:r>
      <w:r>
        <w:rPr>
          <w:szCs w:val="24"/>
          <w:lang w:val="lv-LV"/>
        </w:rPr>
        <w:t>sticitātes</w:t>
      </w:r>
      <w:r w:rsidRPr="00D16F94">
        <w:rPr>
          <w:szCs w:val="24"/>
          <w:lang w:val="lv-LV"/>
        </w:rPr>
        <w:t xml:space="preserve"> līdzekļu) aditīvo iedarbību. Tas jāņem vērā</w:t>
      </w:r>
      <w:r>
        <w:rPr>
          <w:szCs w:val="24"/>
          <w:lang w:val="lv-LV"/>
        </w:rPr>
        <w:t>,</w:t>
      </w:r>
      <w:r w:rsidRPr="00D16F94">
        <w:rPr>
          <w:szCs w:val="24"/>
          <w:lang w:val="lv-LV"/>
        </w:rPr>
        <w:t xml:space="preserve"> parakstot pregabalīnu š</w:t>
      </w:r>
      <w:r>
        <w:rPr>
          <w:szCs w:val="24"/>
          <w:lang w:val="lv-LV"/>
        </w:rPr>
        <w:t>ī stāvokļa gadījumā</w:t>
      </w:r>
      <w:r w:rsidRPr="00D16F94">
        <w:rPr>
          <w:szCs w:val="24"/>
          <w:lang w:val="lv-LV"/>
        </w:rPr>
        <w:t>.</w:t>
      </w:r>
    </w:p>
    <w:p w14:paraId="0C01B6E7" w14:textId="77777777" w:rsidR="005728A3" w:rsidRDefault="005728A3" w:rsidP="008B7FE9">
      <w:pPr>
        <w:tabs>
          <w:tab w:val="clear" w:pos="565"/>
        </w:tabs>
        <w:autoSpaceDE w:val="0"/>
        <w:autoSpaceDN w:val="0"/>
        <w:adjustRightInd w:val="0"/>
        <w:spacing w:line="240" w:lineRule="auto"/>
        <w:rPr>
          <w:szCs w:val="24"/>
          <w:lang w:val="lv-LV"/>
        </w:rPr>
      </w:pPr>
    </w:p>
    <w:p w14:paraId="38D27191" w14:textId="77777777" w:rsidR="00A36E66" w:rsidRPr="00870103" w:rsidRDefault="00A36E66" w:rsidP="00A36E66">
      <w:pPr>
        <w:tabs>
          <w:tab w:val="clear" w:pos="565"/>
          <w:tab w:val="left" w:pos="720"/>
        </w:tabs>
        <w:autoSpaceDE w:val="0"/>
        <w:autoSpaceDN w:val="0"/>
        <w:adjustRightInd w:val="0"/>
        <w:spacing w:line="240" w:lineRule="auto"/>
        <w:rPr>
          <w:szCs w:val="22"/>
          <w:u w:val="single"/>
          <w:lang w:val="lv-LV"/>
        </w:rPr>
      </w:pPr>
      <w:r w:rsidRPr="00870103">
        <w:rPr>
          <w:szCs w:val="22"/>
          <w:u w:val="single"/>
          <w:lang w:val="lv-LV"/>
        </w:rPr>
        <w:t>Elpošanas nomākums</w:t>
      </w:r>
    </w:p>
    <w:p w14:paraId="7C5BA39C" w14:textId="77777777" w:rsidR="005728A3" w:rsidRPr="00D16F94" w:rsidRDefault="00D51027" w:rsidP="00870103">
      <w:pPr>
        <w:tabs>
          <w:tab w:val="clear" w:pos="565"/>
        </w:tabs>
        <w:spacing w:line="240" w:lineRule="auto"/>
        <w:rPr>
          <w:szCs w:val="24"/>
          <w:lang w:val="lv-LV"/>
        </w:rPr>
      </w:pPr>
      <w:r>
        <w:rPr>
          <w:lang w:val="lv-LV"/>
        </w:rPr>
        <w:t>S</w:t>
      </w:r>
      <w:r w:rsidR="00A36E66" w:rsidRPr="00870103">
        <w:rPr>
          <w:lang w:val="lv-LV"/>
        </w:rPr>
        <w:t>aņemti ziņojumi par smagu elpošanas nomākumu saistībā ar pregabalīna lietošanu. Pacientiem ar elpošanas sistēmas traucējumiem, elpošanas vai neiroloģiskām slimībām, nieru darbības traucējumiem, vienlaicīgu CNS nomācošu līdzekļu lietošanu un gados vecākiem cilvēkiem var būt paaugstināts risks saslimt ar šo smago nevēlamo blakusparādību.. Šiem pacientiem var būt nepieciešama devas pielāgošana (skatīt 4.2. apakšpunktu).</w:t>
      </w:r>
    </w:p>
    <w:p w14:paraId="62A09301" w14:textId="77777777" w:rsidR="00EF4347" w:rsidRPr="00D16F94" w:rsidRDefault="00EF4347" w:rsidP="00EF4347">
      <w:pPr>
        <w:tabs>
          <w:tab w:val="clear" w:pos="565"/>
        </w:tabs>
        <w:autoSpaceDE w:val="0"/>
        <w:autoSpaceDN w:val="0"/>
        <w:adjustRightInd w:val="0"/>
        <w:spacing w:line="240" w:lineRule="auto"/>
        <w:rPr>
          <w:szCs w:val="24"/>
          <w:lang w:val="lv-LV"/>
        </w:rPr>
      </w:pPr>
    </w:p>
    <w:p w14:paraId="4534669A" w14:textId="77777777" w:rsidR="00EF4347" w:rsidRPr="00D16F94" w:rsidRDefault="00EF4347" w:rsidP="00EF4347">
      <w:pPr>
        <w:tabs>
          <w:tab w:val="clear" w:pos="565"/>
        </w:tabs>
        <w:autoSpaceDE w:val="0"/>
        <w:autoSpaceDN w:val="0"/>
        <w:adjustRightInd w:val="0"/>
        <w:spacing w:line="240" w:lineRule="auto"/>
        <w:rPr>
          <w:szCs w:val="24"/>
          <w:u w:val="single"/>
          <w:lang w:val="lv-LV"/>
        </w:rPr>
      </w:pPr>
      <w:r w:rsidRPr="00D16F94">
        <w:rPr>
          <w:szCs w:val="24"/>
          <w:u w:val="single" w:color="000000"/>
          <w:lang w:val="lv-LV"/>
        </w:rPr>
        <w:t>Pašnāvnieciskas domas un uzvedība</w:t>
      </w:r>
    </w:p>
    <w:p w14:paraId="0651089A" w14:textId="77777777" w:rsidR="00EF4347" w:rsidRPr="00D16F94" w:rsidRDefault="00EF4347" w:rsidP="00EF4347">
      <w:pPr>
        <w:tabs>
          <w:tab w:val="clear" w:pos="565"/>
        </w:tabs>
        <w:autoSpaceDE w:val="0"/>
        <w:autoSpaceDN w:val="0"/>
        <w:adjustRightInd w:val="0"/>
        <w:spacing w:line="240" w:lineRule="auto"/>
        <w:rPr>
          <w:szCs w:val="24"/>
          <w:lang w:val="lv-LV"/>
        </w:rPr>
      </w:pPr>
      <w:r w:rsidRPr="00D16F94">
        <w:rPr>
          <w:szCs w:val="24"/>
          <w:lang w:val="lv-LV"/>
        </w:rPr>
        <w:t xml:space="preserve">Saņemti ziņojumi par pašnāvnieciskām domām un uzvedību pacientiem, kuri tiek ārstēti ar pretepilepsijas līdzekļiem vairāku indikāciju gadījumā. Arī metaanalīze par pretepilepsijas līdzekļu </w:t>
      </w:r>
      <w:r>
        <w:rPr>
          <w:szCs w:val="24"/>
          <w:lang w:val="lv-LV"/>
        </w:rPr>
        <w:t>randomizētiem</w:t>
      </w:r>
      <w:r w:rsidRPr="00D16F94">
        <w:rPr>
          <w:szCs w:val="24"/>
          <w:lang w:val="lv-LV"/>
        </w:rPr>
        <w:t>, ar placebo kontrolētiem pētījumiem liecināja par nedaudz paaugstinātu pašnāvniecisku domu un uzvedības risku. Šī riska mehānisms nav zināms, un pieejamie da</w:t>
      </w:r>
      <w:r>
        <w:rPr>
          <w:szCs w:val="24"/>
          <w:lang w:val="lv-LV"/>
        </w:rPr>
        <w:t xml:space="preserve">ti neizslēdz paaugstinātu risku </w:t>
      </w:r>
      <w:r w:rsidRPr="00D16F94">
        <w:rPr>
          <w:szCs w:val="24"/>
          <w:lang w:val="lv-LV"/>
        </w:rPr>
        <w:t>arī pregabalīna lietošanas gadījumā.</w:t>
      </w:r>
    </w:p>
    <w:p w14:paraId="6DC3A993" w14:textId="77777777" w:rsidR="00EF4347" w:rsidRPr="00D16F94" w:rsidRDefault="00EF4347" w:rsidP="00EF4347">
      <w:pPr>
        <w:tabs>
          <w:tab w:val="clear" w:pos="565"/>
        </w:tabs>
        <w:autoSpaceDE w:val="0"/>
        <w:autoSpaceDN w:val="0"/>
        <w:adjustRightInd w:val="0"/>
        <w:spacing w:line="240" w:lineRule="auto"/>
        <w:rPr>
          <w:szCs w:val="24"/>
          <w:lang w:val="lv-LV"/>
        </w:rPr>
      </w:pPr>
    </w:p>
    <w:p w14:paraId="064D5DFF" w14:textId="77777777" w:rsidR="00EF4347" w:rsidRPr="00D16F94" w:rsidRDefault="00EF4347" w:rsidP="00EF4347">
      <w:pPr>
        <w:tabs>
          <w:tab w:val="clear" w:pos="565"/>
        </w:tabs>
        <w:autoSpaceDE w:val="0"/>
        <w:autoSpaceDN w:val="0"/>
        <w:adjustRightInd w:val="0"/>
        <w:spacing w:line="240" w:lineRule="auto"/>
        <w:rPr>
          <w:szCs w:val="24"/>
          <w:lang w:val="lv-LV"/>
        </w:rPr>
      </w:pPr>
      <w:r w:rsidRPr="00D16F94">
        <w:rPr>
          <w:szCs w:val="24"/>
          <w:lang w:val="lv-LV"/>
        </w:rPr>
        <w:t>Tāpēc jākontrolē, vai pacientam nerodas pašnāvniecisk</w:t>
      </w:r>
      <w:r>
        <w:rPr>
          <w:szCs w:val="24"/>
          <w:lang w:val="lv-LV"/>
        </w:rPr>
        <w:t>u</w:t>
      </w:r>
      <w:r w:rsidRPr="00D16F94">
        <w:rPr>
          <w:szCs w:val="24"/>
          <w:lang w:val="lv-LV"/>
        </w:rPr>
        <w:t xml:space="preserve"> dom</w:t>
      </w:r>
      <w:r>
        <w:rPr>
          <w:szCs w:val="24"/>
          <w:lang w:val="lv-LV"/>
        </w:rPr>
        <w:t>u</w:t>
      </w:r>
      <w:r w:rsidRPr="00D16F94">
        <w:rPr>
          <w:szCs w:val="24"/>
          <w:lang w:val="lv-LV"/>
        </w:rPr>
        <w:t xml:space="preserve"> un uzvedības </w:t>
      </w:r>
      <w:r>
        <w:rPr>
          <w:szCs w:val="24"/>
          <w:lang w:val="lv-LV"/>
        </w:rPr>
        <w:t>pazīmes</w:t>
      </w:r>
      <w:r w:rsidRPr="00D16F94">
        <w:rPr>
          <w:szCs w:val="24"/>
          <w:lang w:val="lv-LV"/>
        </w:rPr>
        <w:t>, un jāapsver atbilstoša ārstēšana. Pacientam (un viņa aprūpētājiem) jāiesaka vērsties pie ārsta, ja pacientam rodas pašnāvniecisku domu vai uzvedības pazīmes.</w:t>
      </w:r>
    </w:p>
    <w:p w14:paraId="611BC133" w14:textId="77777777" w:rsidR="00965657" w:rsidRPr="00D16F94" w:rsidRDefault="00965657">
      <w:pPr>
        <w:tabs>
          <w:tab w:val="clear" w:pos="565"/>
        </w:tabs>
        <w:autoSpaceDE w:val="0"/>
        <w:autoSpaceDN w:val="0"/>
        <w:adjustRightInd w:val="0"/>
        <w:spacing w:line="240" w:lineRule="auto"/>
        <w:rPr>
          <w:szCs w:val="24"/>
          <w:lang w:val="lv-LV"/>
        </w:rPr>
      </w:pPr>
    </w:p>
    <w:p w14:paraId="00CF98E6" w14:textId="77777777" w:rsidR="00965657" w:rsidRPr="00D16F94" w:rsidRDefault="00965657">
      <w:pPr>
        <w:tabs>
          <w:tab w:val="clear" w:pos="565"/>
        </w:tabs>
        <w:autoSpaceDE w:val="0"/>
        <w:autoSpaceDN w:val="0"/>
        <w:adjustRightInd w:val="0"/>
        <w:spacing w:line="240" w:lineRule="auto"/>
        <w:rPr>
          <w:szCs w:val="24"/>
          <w:u w:val="single"/>
          <w:lang w:val="lv-LV"/>
        </w:rPr>
      </w:pPr>
      <w:r w:rsidRPr="00EF4347">
        <w:rPr>
          <w:szCs w:val="24"/>
          <w:u w:val="single" w:color="000000"/>
          <w:lang w:val="lv-LV"/>
        </w:rPr>
        <w:t>Kuņģa</w:t>
      </w:r>
      <w:r w:rsidR="002F2DE5" w:rsidRPr="00EF4347">
        <w:rPr>
          <w:szCs w:val="24"/>
          <w:u w:val="single" w:color="000000"/>
          <w:lang w:val="lv-LV"/>
        </w:rPr>
        <w:t>-</w:t>
      </w:r>
      <w:r w:rsidRPr="00EF4347">
        <w:rPr>
          <w:szCs w:val="24"/>
          <w:u w:val="single" w:color="000000"/>
          <w:lang w:val="lv-LV"/>
        </w:rPr>
        <w:t>zarnu trakta apakšējās</w:t>
      </w:r>
      <w:r w:rsidRPr="00D16F94">
        <w:rPr>
          <w:szCs w:val="24"/>
          <w:u w:val="single" w:color="000000"/>
          <w:lang w:val="lv-LV"/>
        </w:rPr>
        <w:t xml:space="preserve"> daļas funkciju pavājināšanās</w:t>
      </w:r>
    </w:p>
    <w:p w14:paraId="37295B17" w14:textId="77777777" w:rsidR="00965657" w:rsidRDefault="00965657">
      <w:pPr>
        <w:tabs>
          <w:tab w:val="clear" w:pos="565"/>
        </w:tabs>
        <w:autoSpaceDE w:val="0"/>
        <w:autoSpaceDN w:val="0"/>
        <w:adjustRightInd w:val="0"/>
        <w:spacing w:line="240" w:lineRule="auto"/>
        <w:rPr>
          <w:szCs w:val="24"/>
          <w:lang w:val="lv-LV"/>
        </w:rPr>
      </w:pPr>
      <w:r w:rsidRPr="00D16F94">
        <w:rPr>
          <w:szCs w:val="24"/>
          <w:lang w:val="lv-LV"/>
        </w:rPr>
        <w:t>Ir pēcreģistrācijas ziņojumi par gadījumiem, kas saistīti ar kuņģa</w:t>
      </w:r>
      <w:r w:rsidR="002F2DE5">
        <w:rPr>
          <w:szCs w:val="24"/>
          <w:lang w:val="lv-LV"/>
        </w:rPr>
        <w:t>-</w:t>
      </w:r>
      <w:r w:rsidRPr="00D16F94">
        <w:rPr>
          <w:szCs w:val="24"/>
          <w:lang w:val="lv-LV"/>
        </w:rPr>
        <w:t>zarnu trakta apakšējās daļas funkciju pavājināšanos (piemēram, zarnas obstrukciju, paralītisku zarnas nosprostojumu, aizcietējumu), ja pregabalīns lietots vienlaikus ar zālēm, kas var izraisīt aizcietējumu, piemēram, opioīdu grupas pretsāpju līdzekļiem. Ja pregabalīns un opioīdi tiks lietoti kombinācijā, jāapsver profilaktiski pasākumi aizcietējuma novēršanai (īpaši sievietēm un gados vecākiem pacientiem).</w:t>
      </w:r>
    </w:p>
    <w:p w14:paraId="4898494A" w14:textId="77777777" w:rsidR="00CA77E7" w:rsidRDefault="00CA77E7">
      <w:pPr>
        <w:tabs>
          <w:tab w:val="clear" w:pos="565"/>
        </w:tabs>
        <w:autoSpaceDE w:val="0"/>
        <w:autoSpaceDN w:val="0"/>
        <w:adjustRightInd w:val="0"/>
        <w:spacing w:line="240" w:lineRule="auto"/>
        <w:rPr>
          <w:szCs w:val="24"/>
          <w:lang w:val="lv-LV"/>
        </w:rPr>
      </w:pPr>
    </w:p>
    <w:p w14:paraId="15406936" w14:textId="77777777" w:rsidR="00A36E66" w:rsidRPr="00870103" w:rsidRDefault="00A36E66" w:rsidP="00A36E66">
      <w:pPr>
        <w:tabs>
          <w:tab w:val="clear" w:pos="565"/>
          <w:tab w:val="left" w:pos="720"/>
        </w:tabs>
        <w:spacing w:line="240" w:lineRule="auto"/>
        <w:rPr>
          <w:rFonts w:eastAsia="Calibri"/>
          <w:szCs w:val="22"/>
          <w:u w:val="single"/>
          <w:lang w:val="lv-LV"/>
        </w:rPr>
      </w:pPr>
      <w:r w:rsidRPr="00870103">
        <w:rPr>
          <w:szCs w:val="22"/>
          <w:u w:val="single"/>
          <w:lang w:val="lv-LV"/>
        </w:rPr>
        <w:t>Lietošana vienlaikus ar opioīdiem</w:t>
      </w:r>
    </w:p>
    <w:p w14:paraId="63110179" w14:textId="30DDAF69" w:rsidR="00CA77E7" w:rsidRPr="00D16F94" w:rsidRDefault="00A36E66" w:rsidP="00A36E66">
      <w:pPr>
        <w:tabs>
          <w:tab w:val="clear" w:pos="565"/>
        </w:tabs>
        <w:autoSpaceDE w:val="0"/>
        <w:autoSpaceDN w:val="0"/>
        <w:adjustRightInd w:val="0"/>
        <w:spacing w:line="240" w:lineRule="auto"/>
        <w:rPr>
          <w:szCs w:val="24"/>
          <w:lang w:val="lv-LV"/>
        </w:rPr>
      </w:pPr>
      <w:r w:rsidRPr="00870103">
        <w:rPr>
          <w:lang w:val="lv-LV"/>
        </w:rPr>
        <w:t xml:space="preserve">Kad pregabalīns tiek </w:t>
      </w:r>
      <w:r w:rsidR="00D51027">
        <w:rPr>
          <w:lang w:val="lv-LV"/>
        </w:rPr>
        <w:t xml:space="preserve">parakstīts </w:t>
      </w:r>
      <w:r w:rsidRPr="00870103">
        <w:rPr>
          <w:lang w:val="lv-LV"/>
        </w:rPr>
        <w:t>lietošanai vienlaikus ar opioīdiem, jāievēro piesardzība, jo ir CNS nomākuma risks (skatīt 4.5. apakšpunktu). Gadījumu kontroles pētījumā par opioīdu lietotājiem</w:t>
      </w:r>
      <w:r w:rsidR="0028336A">
        <w:rPr>
          <w:lang w:val="lv-LV"/>
        </w:rPr>
        <w:t xml:space="preserve">, </w:t>
      </w:r>
      <w:r w:rsidRPr="00870103">
        <w:rPr>
          <w:lang w:val="lv-LV"/>
        </w:rPr>
        <w:t xml:space="preserve">tiem pacientiem, kuri pregabalīnu lietoja vienlaikus ar opioīdiem, salīdzinājumā ar opioīdu </w:t>
      </w:r>
      <w:r w:rsidRPr="00870103">
        <w:rPr>
          <w:lang w:val="lv-LV"/>
        </w:rPr>
        <w:lastRenderedPageBreak/>
        <w:t>monoterapij</w:t>
      </w:r>
      <w:r w:rsidR="00D51027">
        <w:rPr>
          <w:lang w:val="lv-LV"/>
        </w:rPr>
        <w:t>u</w:t>
      </w:r>
      <w:r w:rsidRPr="00870103">
        <w:rPr>
          <w:lang w:val="lv-LV"/>
        </w:rPr>
        <w:t xml:space="preserve"> bija lielāks opioīdu izraisītas nāves risks (koriģētā riska attiecība </w:t>
      </w:r>
      <w:r w:rsidR="00D51027">
        <w:rPr>
          <w:lang w:val="lv-LV"/>
        </w:rPr>
        <w:t>[</w:t>
      </w:r>
      <w:r w:rsidRPr="00870103">
        <w:rPr>
          <w:lang w:val="lv-LV"/>
        </w:rPr>
        <w:t>kRA</w:t>
      </w:r>
      <w:r w:rsidR="00D51027">
        <w:rPr>
          <w:lang w:val="lv-LV"/>
        </w:rPr>
        <w:t xml:space="preserve">] bija </w:t>
      </w:r>
      <w:r w:rsidRPr="00870103">
        <w:rPr>
          <w:lang w:val="lv-LV"/>
        </w:rPr>
        <w:t xml:space="preserve">1,68 </w:t>
      </w:r>
      <w:r w:rsidR="00D51027">
        <w:rPr>
          <w:lang w:val="lv-LV"/>
        </w:rPr>
        <w:t>[</w:t>
      </w:r>
      <w:r w:rsidRPr="00870103">
        <w:rPr>
          <w:lang w:val="lv-LV"/>
        </w:rPr>
        <w:t>95% TI 1,19–2,36</w:t>
      </w:r>
      <w:r w:rsidR="00D51027">
        <w:rPr>
          <w:lang w:val="lv-LV"/>
        </w:rPr>
        <w:t>]</w:t>
      </w:r>
      <w:r w:rsidRPr="00870103">
        <w:rPr>
          <w:lang w:val="lv-LV"/>
        </w:rPr>
        <w:t xml:space="preserve">). Šāds palielināts risks tika novērots, lietojot mazas pregabalīna devas (lietojot ≤ 300 mg, kRA bija 1,52 (95% TI 1,04–2,22), un bija nosliece uz lielāku risku, lietojot lielas pregabalīna devas (lietojot &gt; 300 mg, kRA bija 2,51 </w:t>
      </w:r>
      <w:r w:rsidR="00D51027">
        <w:rPr>
          <w:lang w:val="lv-LV"/>
        </w:rPr>
        <w:t>[</w:t>
      </w:r>
      <w:r w:rsidRPr="00870103">
        <w:rPr>
          <w:lang w:val="lv-LV"/>
        </w:rPr>
        <w:t>95% TI 1,24–5,06</w:t>
      </w:r>
      <w:r w:rsidR="00D51027">
        <w:rPr>
          <w:lang w:val="lv-LV"/>
        </w:rPr>
        <w:t>]</w:t>
      </w:r>
      <w:r w:rsidRPr="00870103">
        <w:rPr>
          <w:lang w:val="lv-LV"/>
        </w:rPr>
        <w:t>).</w:t>
      </w:r>
    </w:p>
    <w:p w14:paraId="1E727C64" w14:textId="77777777" w:rsidR="00965657" w:rsidRPr="00D16F94" w:rsidRDefault="00965657">
      <w:pPr>
        <w:tabs>
          <w:tab w:val="clear" w:pos="565"/>
        </w:tabs>
        <w:spacing w:line="240" w:lineRule="auto"/>
        <w:rPr>
          <w:szCs w:val="24"/>
          <w:lang w:val="lv-LV"/>
        </w:rPr>
      </w:pPr>
    </w:p>
    <w:p w14:paraId="291ABE5A" w14:textId="77777777" w:rsidR="00965657" w:rsidRPr="00D16F94" w:rsidRDefault="00965657">
      <w:pPr>
        <w:tabs>
          <w:tab w:val="clear" w:pos="565"/>
        </w:tabs>
        <w:spacing w:line="240" w:lineRule="auto"/>
        <w:rPr>
          <w:szCs w:val="24"/>
          <w:lang w:val="lv-LV"/>
        </w:rPr>
      </w:pPr>
      <w:r w:rsidRPr="00D16F94">
        <w:rPr>
          <w:szCs w:val="24"/>
          <w:u w:val="single" w:color="000000"/>
          <w:lang w:val="lv-LV"/>
        </w:rPr>
        <w:t>Zāļu nepareiza, ļaunprātīga lietošana vai atkarība</w:t>
      </w:r>
    </w:p>
    <w:p w14:paraId="02055B1D" w14:textId="77777777" w:rsidR="00965657" w:rsidRPr="00D16F94" w:rsidRDefault="00965657">
      <w:pPr>
        <w:tabs>
          <w:tab w:val="clear" w:pos="565"/>
        </w:tabs>
        <w:spacing w:line="240" w:lineRule="auto"/>
        <w:rPr>
          <w:szCs w:val="24"/>
          <w:lang w:val="lv-LV"/>
        </w:rPr>
      </w:pPr>
      <w:r w:rsidRPr="00D16F94">
        <w:rPr>
          <w:szCs w:val="24"/>
          <w:lang w:val="lv-LV"/>
        </w:rPr>
        <w:t xml:space="preserve">Ziņots par zāļu nepareizu, ļaunprātīgu lietošanu un atkarību. Zāles piesardzīgi jāordinē pacientiem, kuriem anamnēzē ir </w:t>
      </w:r>
      <w:r w:rsidR="008268FE">
        <w:rPr>
          <w:szCs w:val="24"/>
          <w:lang w:val="lv-LV"/>
        </w:rPr>
        <w:t>zāļu ļaunprātīga</w:t>
      </w:r>
      <w:r w:rsidR="008268FE" w:rsidRPr="00D16F94">
        <w:rPr>
          <w:szCs w:val="24"/>
          <w:lang w:val="lv-LV"/>
        </w:rPr>
        <w:t xml:space="preserve"> </w:t>
      </w:r>
      <w:r w:rsidRPr="00D16F94">
        <w:rPr>
          <w:szCs w:val="24"/>
          <w:lang w:val="lv-LV"/>
        </w:rPr>
        <w:t>lietošana, un jākontrolē, vai šiem pacientiem nerodas pregabalīna nepareizas, ļaunprātīgas lietošanas vai atkarības simptomi (ziņots par tolerances veidošanos, devas palielināšanu un nepamatotu vēlmi lietot zāles).</w:t>
      </w:r>
    </w:p>
    <w:p w14:paraId="228527E7" w14:textId="77777777" w:rsidR="00965657" w:rsidRPr="00D16F94" w:rsidRDefault="00965657">
      <w:pPr>
        <w:tabs>
          <w:tab w:val="clear" w:pos="565"/>
        </w:tabs>
        <w:autoSpaceDE w:val="0"/>
        <w:autoSpaceDN w:val="0"/>
        <w:adjustRightInd w:val="0"/>
        <w:spacing w:line="240" w:lineRule="auto"/>
        <w:rPr>
          <w:szCs w:val="24"/>
          <w:lang w:val="lv-LV"/>
        </w:rPr>
      </w:pPr>
    </w:p>
    <w:p w14:paraId="69587D85" w14:textId="77777777" w:rsidR="00965657" w:rsidRPr="00D16F94" w:rsidRDefault="00965657">
      <w:pPr>
        <w:tabs>
          <w:tab w:val="clear" w:pos="565"/>
        </w:tabs>
        <w:autoSpaceDE w:val="0"/>
        <w:autoSpaceDN w:val="0"/>
        <w:adjustRightInd w:val="0"/>
        <w:spacing w:line="240" w:lineRule="auto"/>
        <w:rPr>
          <w:szCs w:val="24"/>
          <w:u w:val="single"/>
          <w:lang w:val="lv-LV"/>
        </w:rPr>
      </w:pPr>
      <w:r w:rsidRPr="00D16F94">
        <w:rPr>
          <w:szCs w:val="24"/>
          <w:u w:val="single" w:color="000000"/>
          <w:lang w:val="lv-LV"/>
        </w:rPr>
        <w:t>Encefalopātija</w:t>
      </w:r>
    </w:p>
    <w:p w14:paraId="02D4356E" w14:textId="5DEA4C6B" w:rsidR="00965657" w:rsidRDefault="00965657">
      <w:pPr>
        <w:tabs>
          <w:tab w:val="clear" w:pos="565"/>
        </w:tabs>
        <w:autoSpaceDE w:val="0"/>
        <w:autoSpaceDN w:val="0"/>
        <w:adjustRightInd w:val="0"/>
        <w:spacing w:line="240" w:lineRule="auto"/>
        <w:rPr>
          <w:szCs w:val="24"/>
          <w:lang w:val="lv-LV"/>
        </w:rPr>
      </w:pPr>
      <w:r w:rsidRPr="00D16F94">
        <w:rPr>
          <w:szCs w:val="24"/>
          <w:lang w:val="lv-LV"/>
        </w:rPr>
        <w:t>Ziņots par encefalopātijas gadījumiem, galvenokārt pacientiem ar blakusslimībām, kas var iz</w:t>
      </w:r>
      <w:r w:rsidR="002F2DE5">
        <w:rPr>
          <w:szCs w:val="24"/>
          <w:lang w:val="lv-LV"/>
        </w:rPr>
        <w:t>raisīt encefalopātiju</w:t>
      </w:r>
      <w:r w:rsidRPr="00D16F94">
        <w:rPr>
          <w:szCs w:val="24"/>
          <w:lang w:val="lv-LV"/>
        </w:rPr>
        <w:t>.</w:t>
      </w:r>
    </w:p>
    <w:p w14:paraId="257C8F04" w14:textId="77777777" w:rsidR="00DF4FA4" w:rsidRDefault="00DF4FA4">
      <w:pPr>
        <w:tabs>
          <w:tab w:val="clear" w:pos="565"/>
        </w:tabs>
        <w:autoSpaceDE w:val="0"/>
        <w:autoSpaceDN w:val="0"/>
        <w:adjustRightInd w:val="0"/>
        <w:spacing w:line="240" w:lineRule="auto"/>
        <w:rPr>
          <w:szCs w:val="24"/>
          <w:lang w:val="lv-LV"/>
        </w:rPr>
      </w:pPr>
    </w:p>
    <w:p w14:paraId="2EF3B100" w14:textId="77777777" w:rsidR="00593390" w:rsidRPr="00593390" w:rsidRDefault="00593390" w:rsidP="00593390">
      <w:pPr>
        <w:tabs>
          <w:tab w:val="clear" w:pos="565"/>
        </w:tabs>
        <w:autoSpaceDE w:val="0"/>
        <w:autoSpaceDN w:val="0"/>
        <w:adjustRightInd w:val="0"/>
        <w:spacing w:line="240" w:lineRule="auto"/>
        <w:rPr>
          <w:szCs w:val="22"/>
          <w:u w:val="single"/>
          <w:lang w:val="lv-LV"/>
        </w:rPr>
      </w:pPr>
      <w:r w:rsidRPr="00593390">
        <w:rPr>
          <w:szCs w:val="22"/>
          <w:u w:val="single"/>
          <w:lang w:val="lv-LV"/>
        </w:rPr>
        <w:t>Sievietes ar reprodukcijas potenciālu/kontracepcija</w:t>
      </w:r>
    </w:p>
    <w:p w14:paraId="36874FAA" w14:textId="3145E4EF" w:rsidR="00DF4FA4" w:rsidRPr="00593390" w:rsidRDefault="00593390" w:rsidP="00593390">
      <w:pPr>
        <w:tabs>
          <w:tab w:val="clear" w:pos="565"/>
        </w:tabs>
        <w:autoSpaceDE w:val="0"/>
        <w:autoSpaceDN w:val="0"/>
        <w:adjustRightInd w:val="0"/>
        <w:spacing w:line="240" w:lineRule="auto"/>
        <w:rPr>
          <w:szCs w:val="24"/>
          <w:lang w:val="lv-LV"/>
        </w:rPr>
      </w:pPr>
      <w:r w:rsidRPr="00593390">
        <w:rPr>
          <w:lang w:val="lv-LV"/>
        </w:rPr>
        <w:t>Ja Linefor tiek lietots grūtniecības pirmajā trimestrī, tas vēl nedzimušajam bērnam var izraisīt būtiskus iedzimtus defektus. Grūtniecības laikā pregabalīna lietošana nav atļauta, ja vien mātes ieguvums nepārprotami neatsver iespējamo risku auglim. Sievietēm ar reprodukcijas potenciālu ārstēšanas laikā jāizmanto efektīva kontracepcijas metode (skatīt 4.6. apakšpunktu).</w:t>
      </w:r>
    </w:p>
    <w:p w14:paraId="00827AE5" w14:textId="77777777" w:rsidR="00300C84" w:rsidRPr="00593390" w:rsidRDefault="00300C84">
      <w:pPr>
        <w:tabs>
          <w:tab w:val="clear" w:pos="565"/>
        </w:tabs>
        <w:autoSpaceDE w:val="0"/>
        <w:autoSpaceDN w:val="0"/>
        <w:adjustRightInd w:val="0"/>
        <w:spacing w:line="240" w:lineRule="auto"/>
        <w:rPr>
          <w:szCs w:val="24"/>
          <w:lang w:val="lv-LV"/>
        </w:rPr>
      </w:pPr>
    </w:p>
    <w:p w14:paraId="221275D5" w14:textId="342C4758" w:rsidR="00965657" w:rsidRPr="005214F3" w:rsidRDefault="00300C84">
      <w:pPr>
        <w:tabs>
          <w:tab w:val="clear" w:pos="565"/>
        </w:tabs>
        <w:autoSpaceDE w:val="0"/>
        <w:autoSpaceDN w:val="0"/>
        <w:adjustRightInd w:val="0"/>
        <w:spacing w:line="240" w:lineRule="auto"/>
        <w:rPr>
          <w:szCs w:val="24"/>
          <w:u w:val="single"/>
          <w:lang w:val="lv-LV"/>
        </w:rPr>
      </w:pPr>
      <w:r w:rsidRPr="005214F3">
        <w:rPr>
          <w:szCs w:val="24"/>
          <w:u w:val="single"/>
          <w:lang w:val="lv-LV"/>
        </w:rPr>
        <w:t>Smagām nevēlama blakusparādībām</w:t>
      </w:r>
    </w:p>
    <w:p w14:paraId="59AAA2F6" w14:textId="159B3FC2" w:rsidR="00241DAB" w:rsidRPr="00241DAB" w:rsidRDefault="00241DAB">
      <w:pPr>
        <w:tabs>
          <w:tab w:val="clear" w:pos="565"/>
        </w:tabs>
        <w:autoSpaceDE w:val="0"/>
        <w:autoSpaceDN w:val="0"/>
        <w:adjustRightInd w:val="0"/>
        <w:spacing w:line="240" w:lineRule="auto"/>
        <w:rPr>
          <w:szCs w:val="24"/>
          <w:lang w:val="lv-LV"/>
        </w:rPr>
      </w:pPr>
      <w:r w:rsidRPr="005214F3">
        <w:rPr>
          <w:szCs w:val="24"/>
          <w:lang w:val="lv-LV"/>
        </w:rPr>
        <w:t>Retos gadījumos saistībā ar pregabalīna lietošanu ziņots par smagām nevēlamām blakusparādībām,  Stīvensa-Džonsona sindromu (</w:t>
      </w:r>
      <w:r w:rsidRPr="005214F3">
        <w:rPr>
          <w:i/>
          <w:iCs/>
          <w:szCs w:val="24"/>
          <w:lang w:val="lv-LV"/>
        </w:rPr>
        <w:t>SJS</w:t>
      </w:r>
      <w:r w:rsidRPr="005214F3">
        <w:rPr>
          <w:szCs w:val="24"/>
          <w:lang w:val="lv-LV"/>
        </w:rPr>
        <w:t xml:space="preserve">) un toksisku epidermas nekrolīzi (TEN), kas var būt bīstami dzīvībai vai letāli. Zāļu izrakstīšanas laikā pacientiem jāpastāsta par pazīmēm un simptomiem un </w:t>
      </w:r>
      <w:r w:rsidR="00005C48" w:rsidRPr="005214F3">
        <w:rPr>
          <w:szCs w:val="22"/>
          <w:lang w:val="lv-LV"/>
        </w:rPr>
        <w:t>jāvēro</w:t>
      </w:r>
      <w:r w:rsidRPr="005214F3">
        <w:rPr>
          <w:szCs w:val="24"/>
          <w:lang w:val="lv-LV"/>
        </w:rPr>
        <w:t>, vai nerodas ādas reakcijas. Ja parādās pazīmes un simptomi, kas liecina par šīm reakcijām, pregabalīna lietošana nekavējoties jāpārtrauc un jāapsver alternatīva terapija (pēc vajadzības).</w:t>
      </w:r>
    </w:p>
    <w:p w14:paraId="438E50A9" w14:textId="77777777" w:rsidR="00241DAB" w:rsidRPr="00D16F94" w:rsidRDefault="00241DAB">
      <w:pPr>
        <w:tabs>
          <w:tab w:val="clear" w:pos="565"/>
        </w:tabs>
        <w:autoSpaceDE w:val="0"/>
        <w:autoSpaceDN w:val="0"/>
        <w:adjustRightInd w:val="0"/>
        <w:spacing w:line="240" w:lineRule="auto"/>
        <w:rPr>
          <w:szCs w:val="24"/>
          <w:lang w:val="lv-LV"/>
        </w:rPr>
      </w:pPr>
    </w:p>
    <w:p w14:paraId="393F410D" w14:textId="77777777" w:rsidR="00965657" w:rsidRPr="00D16F94" w:rsidRDefault="00965657">
      <w:pPr>
        <w:tabs>
          <w:tab w:val="clear" w:pos="565"/>
        </w:tabs>
        <w:autoSpaceDE w:val="0"/>
        <w:autoSpaceDN w:val="0"/>
        <w:adjustRightInd w:val="0"/>
        <w:spacing w:line="240" w:lineRule="auto"/>
        <w:rPr>
          <w:szCs w:val="24"/>
          <w:u w:val="single"/>
          <w:lang w:val="lv-LV"/>
        </w:rPr>
      </w:pPr>
      <w:r w:rsidRPr="00D16F94">
        <w:rPr>
          <w:szCs w:val="24"/>
          <w:u w:val="single" w:color="000000"/>
          <w:lang w:val="lv-LV"/>
        </w:rPr>
        <w:t>Laktozes nepanesība</w:t>
      </w:r>
    </w:p>
    <w:p w14:paraId="4AAF63F1" w14:textId="60A2AE93" w:rsidR="00965657" w:rsidRPr="00D16F94" w:rsidRDefault="00965657">
      <w:pPr>
        <w:tabs>
          <w:tab w:val="clear" w:pos="565"/>
        </w:tabs>
        <w:autoSpaceDE w:val="0"/>
        <w:autoSpaceDN w:val="0"/>
        <w:adjustRightInd w:val="0"/>
        <w:spacing w:line="240" w:lineRule="auto"/>
        <w:rPr>
          <w:szCs w:val="24"/>
          <w:lang w:val="lv-LV"/>
        </w:rPr>
      </w:pPr>
      <w:r w:rsidRPr="00D16F94">
        <w:rPr>
          <w:szCs w:val="24"/>
          <w:lang w:val="lv-LV"/>
        </w:rPr>
        <w:t xml:space="preserve">Linefor satur laktozes monohidrātu. Šīs zāles nedrīkst lietot pacienti ar retu pārmantotu galaktozes nepanesību, </w:t>
      </w:r>
      <w:r w:rsidR="00602188">
        <w:rPr>
          <w:szCs w:val="24"/>
          <w:lang w:val="lv-LV"/>
        </w:rPr>
        <w:t xml:space="preserve">pilnīgu </w:t>
      </w:r>
      <w:r w:rsidRPr="00D16F94">
        <w:rPr>
          <w:szCs w:val="24"/>
          <w:lang w:val="lv-LV"/>
        </w:rPr>
        <w:t>laktāzes deficītu vai glikozes un galaktozes malabsorbciju.</w:t>
      </w:r>
    </w:p>
    <w:p w14:paraId="4599F4AF" w14:textId="77777777" w:rsidR="00965657" w:rsidRPr="00D16F94" w:rsidRDefault="00965657">
      <w:pPr>
        <w:spacing w:line="240" w:lineRule="auto"/>
        <w:rPr>
          <w:szCs w:val="24"/>
          <w:lang w:val="lv-LV"/>
        </w:rPr>
      </w:pPr>
    </w:p>
    <w:p w14:paraId="3E4CB923" w14:textId="77777777" w:rsidR="00965657" w:rsidRPr="00D16F94" w:rsidRDefault="00965657">
      <w:pPr>
        <w:spacing w:line="240" w:lineRule="auto"/>
        <w:ind w:left="565" w:hanging="565"/>
        <w:rPr>
          <w:szCs w:val="24"/>
          <w:lang w:val="lv-LV"/>
        </w:rPr>
      </w:pPr>
      <w:r w:rsidRPr="00D16F94">
        <w:rPr>
          <w:b/>
          <w:szCs w:val="24"/>
          <w:lang w:val="lv-LV"/>
        </w:rPr>
        <w:t>4.5</w:t>
      </w:r>
      <w:r w:rsidR="002F2DE5">
        <w:rPr>
          <w:b/>
          <w:szCs w:val="24"/>
          <w:lang w:val="lv-LV"/>
        </w:rPr>
        <w:t>.</w:t>
      </w:r>
      <w:r w:rsidRPr="00D16F94">
        <w:rPr>
          <w:b/>
          <w:szCs w:val="24"/>
          <w:lang w:val="lv-LV"/>
        </w:rPr>
        <w:tab/>
        <w:t>Mijiedarbība ar citām zālēm un citi mijiedarbības veidi</w:t>
      </w:r>
    </w:p>
    <w:p w14:paraId="20674C35" w14:textId="77777777" w:rsidR="00965657" w:rsidRPr="00D16F94" w:rsidRDefault="00965657">
      <w:pPr>
        <w:spacing w:line="240" w:lineRule="auto"/>
        <w:rPr>
          <w:szCs w:val="24"/>
          <w:lang w:val="lv-LV"/>
        </w:rPr>
      </w:pPr>
    </w:p>
    <w:p w14:paraId="35E35496" w14:textId="77777777" w:rsidR="00965657" w:rsidRPr="00D16F94" w:rsidRDefault="00965657">
      <w:pPr>
        <w:tabs>
          <w:tab w:val="clear" w:pos="565"/>
        </w:tabs>
        <w:autoSpaceDE w:val="0"/>
        <w:autoSpaceDN w:val="0"/>
        <w:adjustRightInd w:val="0"/>
        <w:spacing w:line="240" w:lineRule="auto"/>
        <w:rPr>
          <w:szCs w:val="24"/>
          <w:lang w:val="lv-LV"/>
        </w:rPr>
      </w:pPr>
      <w:r w:rsidRPr="00D16F94">
        <w:rPr>
          <w:szCs w:val="24"/>
          <w:lang w:val="lv-LV"/>
        </w:rPr>
        <w:t xml:space="preserve">Tā kā pregabalīns tiek izvadīts galvenokārt ar urīnu nepārveidotā formā, cilvēka </w:t>
      </w:r>
      <w:r w:rsidR="002F2DE5">
        <w:rPr>
          <w:szCs w:val="24"/>
          <w:lang w:val="lv-LV"/>
        </w:rPr>
        <w:t>organismā</w:t>
      </w:r>
      <w:r w:rsidRPr="00D16F94">
        <w:rPr>
          <w:szCs w:val="24"/>
          <w:lang w:val="lv-LV"/>
        </w:rPr>
        <w:t xml:space="preserve"> metabolizējas niecīgs tā daudzums (metabo</w:t>
      </w:r>
      <w:r w:rsidR="002F2DE5">
        <w:rPr>
          <w:szCs w:val="24"/>
          <w:lang w:val="lv-LV"/>
        </w:rPr>
        <w:t>lītu formā urīnā konstatē &lt;2%</w:t>
      </w:r>
      <w:r w:rsidRPr="00D16F94">
        <w:rPr>
          <w:szCs w:val="24"/>
          <w:lang w:val="lv-LV"/>
        </w:rPr>
        <w:t xml:space="preserve"> devas), </w:t>
      </w:r>
      <w:r w:rsidRPr="00D16F94">
        <w:rPr>
          <w:i/>
          <w:szCs w:val="24"/>
          <w:lang w:val="lv-LV"/>
        </w:rPr>
        <w:t xml:space="preserve">in vitro </w:t>
      </w:r>
      <w:r w:rsidRPr="00D16F94">
        <w:rPr>
          <w:szCs w:val="24"/>
          <w:lang w:val="lv-LV"/>
        </w:rPr>
        <w:t>tas nekavē zāļu metabolismu un nesaistās ar plazmas proteīniem, tad sagaidāms, ka tas neietekmēs citu zāļu farmakokinētiku un tā darbību neietekmēs citas zāles.</w:t>
      </w:r>
    </w:p>
    <w:p w14:paraId="6D30D555" w14:textId="77777777" w:rsidR="00965657" w:rsidRPr="00D16F94" w:rsidRDefault="00965657">
      <w:pPr>
        <w:spacing w:line="240" w:lineRule="auto"/>
        <w:rPr>
          <w:szCs w:val="24"/>
          <w:lang w:val="lv-LV"/>
        </w:rPr>
      </w:pPr>
    </w:p>
    <w:p w14:paraId="05750BBA" w14:textId="77777777" w:rsidR="00965657" w:rsidRPr="00D16F94" w:rsidRDefault="00965657">
      <w:pPr>
        <w:tabs>
          <w:tab w:val="clear" w:pos="565"/>
        </w:tabs>
        <w:autoSpaceDE w:val="0"/>
        <w:autoSpaceDN w:val="0"/>
        <w:adjustRightInd w:val="0"/>
        <w:spacing w:line="240" w:lineRule="auto"/>
        <w:rPr>
          <w:szCs w:val="24"/>
          <w:u w:val="single"/>
          <w:lang w:val="lv-LV"/>
        </w:rPr>
      </w:pPr>
      <w:r w:rsidRPr="00D16F94">
        <w:rPr>
          <w:i/>
          <w:szCs w:val="24"/>
          <w:u w:val="single" w:color="000000"/>
          <w:lang w:val="lv-LV"/>
        </w:rPr>
        <w:t>Pētījumi in vivo un populācijas farmakokinētiskā analīze</w:t>
      </w:r>
    </w:p>
    <w:p w14:paraId="764F9D22" w14:textId="77777777" w:rsidR="00965657" w:rsidRPr="00D16F94" w:rsidRDefault="00965657">
      <w:pPr>
        <w:tabs>
          <w:tab w:val="clear" w:pos="565"/>
        </w:tabs>
        <w:autoSpaceDE w:val="0"/>
        <w:autoSpaceDN w:val="0"/>
        <w:adjustRightInd w:val="0"/>
        <w:spacing w:line="240" w:lineRule="auto"/>
        <w:rPr>
          <w:szCs w:val="24"/>
          <w:lang w:val="lv-LV"/>
        </w:rPr>
      </w:pPr>
      <w:r w:rsidRPr="00D16F94">
        <w:rPr>
          <w:szCs w:val="24"/>
          <w:lang w:val="lv-LV"/>
        </w:rPr>
        <w:t xml:space="preserve">Atbilstoši šim pieņēmumam, pētījumos </w:t>
      </w:r>
      <w:r w:rsidRPr="00D16F94">
        <w:rPr>
          <w:i/>
          <w:szCs w:val="24"/>
          <w:lang w:val="lv-LV"/>
        </w:rPr>
        <w:t xml:space="preserve">in vivo </w:t>
      </w:r>
      <w:r w:rsidRPr="00D16F94">
        <w:rPr>
          <w:szCs w:val="24"/>
          <w:lang w:val="lv-LV"/>
        </w:rPr>
        <w:t>netika konstatēta klīniski nozīmīga farmakokinētiska pregabalīna mijiedarbība ar fenitoīnu, karbamazepīnu, valproiskābi, lamotrigīnu, gabapentīnu, lorazepāmu, oksikodonu vai et</w:t>
      </w:r>
      <w:r w:rsidR="002F2DE5">
        <w:rPr>
          <w:szCs w:val="24"/>
          <w:lang w:val="lv-LV"/>
        </w:rPr>
        <w:t>ilspirtu.</w:t>
      </w:r>
      <w:r w:rsidRPr="00D16F94">
        <w:rPr>
          <w:szCs w:val="24"/>
          <w:lang w:val="lv-LV"/>
        </w:rPr>
        <w:t xml:space="preserve"> Populācijas farmakokinētiskā analīzē iegūtie dati liecināja, ka perorāliem pretdiabēta līdzekļiem, diurētiskiem līdzekļiem, fenobarbitālam, tiagabīnam un topiramātam nav klīniski nozīmīgas ietekmes uz pregabalīna klīrensu.</w:t>
      </w:r>
    </w:p>
    <w:p w14:paraId="674C14E4" w14:textId="77777777" w:rsidR="00965657" w:rsidRPr="00D16F94" w:rsidRDefault="00965657">
      <w:pPr>
        <w:tabs>
          <w:tab w:val="clear" w:pos="565"/>
        </w:tabs>
        <w:autoSpaceDE w:val="0"/>
        <w:autoSpaceDN w:val="0"/>
        <w:adjustRightInd w:val="0"/>
        <w:spacing w:line="240" w:lineRule="auto"/>
        <w:rPr>
          <w:szCs w:val="24"/>
          <w:lang w:val="lv-LV"/>
        </w:rPr>
      </w:pPr>
    </w:p>
    <w:p w14:paraId="6CCA4C43" w14:textId="77777777" w:rsidR="00965657" w:rsidRPr="00D16F94" w:rsidRDefault="00965657">
      <w:pPr>
        <w:tabs>
          <w:tab w:val="clear" w:pos="565"/>
        </w:tabs>
        <w:autoSpaceDE w:val="0"/>
        <w:autoSpaceDN w:val="0"/>
        <w:adjustRightInd w:val="0"/>
        <w:spacing w:line="240" w:lineRule="auto"/>
        <w:rPr>
          <w:szCs w:val="24"/>
          <w:u w:val="single"/>
          <w:lang w:val="lv-LV"/>
        </w:rPr>
      </w:pPr>
      <w:r w:rsidRPr="00D16F94">
        <w:rPr>
          <w:szCs w:val="24"/>
          <w:u w:val="single" w:color="000000"/>
          <w:lang w:val="lv-LV"/>
        </w:rPr>
        <w:t>Perorālie kontraceptīvie līdzekļi, noretisterons un/vai etinilestradiols</w:t>
      </w:r>
    </w:p>
    <w:p w14:paraId="27DC9396" w14:textId="77777777" w:rsidR="00965657" w:rsidRPr="00D16F94" w:rsidRDefault="00965657">
      <w:pPr>
        <w:tabs>
          <w:tab w:val="clear" w:pos="565"/>
        </w:tabs>
        <w:autoSpaceDE w:val="0"/>
        <w:autoSpaceDN w:val="0"/>
        <w:adjustRightInd w:val="0"/>
        <w:spacing w:line="240" w:lineRule="auto"/>
        <w:rPr>
          <w:szCs w:val="24"/>
          <w:lang w:val="lv-LV"/>
        </w:rPr>
      </w:pPr>
      <w:r w:rsidRPr="00D16F94">
        <w:rPr>
          <w:szCs w:val="24"/>
          <w:lang w:val="lv-LV"/>
        </w:rPr>
        <w:t xml:space="preserve">Pregabalīna lietošana vienlaikus ar perorāliem kontraceptīviem līdzekļiem </w:t>
      </w:r>
      <w:r w:rsidR="002F2DE5">
        <w:rPr>
          <w:szCs w:val="24"/>
          <w:lang w:val="lv-LV"/>
        </w:rPr>
        <w:t xml:space="preserve">- </w:t>
      </w:r>
      <w:r w:rsidRPr="00D16F94">
        <w:rPr>
          <w:szCs w:val="24"/>
          <w:lang w:val="lv-LV"/>
        </w:rPr>
        <w:t>noretisteronu un/vai etinilestradiolu</w:t>
      </w:r>
      <w:r w:rsidR="002F2DE5">
        <w:rPr>
          <w:szCs w:val="24"/>
          <w:lang w:val="lv-LV"/>
        </w:rPr>
        <w:t xml:space="preserve"> -</w:t>
      </w:r>
      <w:r w:rsidRPr="00D16F94">
        <w:rPr>
          <w:szCs w:val="24"/>
          <w:lang w:val="lv-LV"/>
        </w:rPr>
        <w:t xml:space="preserve"> neietekmēja nevienas pētītās vielas līdzsvara </w:t>
      </w:r>
      <w:r w:rsidR="001D1044">
        <w:rPr>
          <w:szCs w:val="24"/>
          <w:lang w:val="lv-LV"/>
        </w:rPr>
        <w:t>k</w:t>
      </w:r>
      <w:r w:rsidR="006A2732">
        <w:rPr>
          <w:szCs w:val="24"/>
          <w:lang w:val="lv-LV"/>
        </w:rPr>
        <w:t>on</w:t>
      </w:r>
      <w:r w:rsidR="001D1044">
        <w:rPr>
          <w:szCs w:val="24"/>
          <w:lang w:val="lv-LV"/>
        </w:rPr>
        <w:t>centrācijas</w:t>
      </w:r>
      <w:r w:rsidR="001D1044" w:rsidRPr="00D16F94">
        <w:rPr>
          <w:szCs w:val="24"/>
          <w:lang w:val="lv-LV"/>
        </w:rPr>
        <w:t xml:space="preserve"> </w:t>
      </w:r>
      <w:r w:rsidRPr="00D16F94">
        <w:rPr>
          <w:szCs w:val="24"/>
          <w:lang w:val="lv-LV"/>
        </w:rPr>
        <w:t>farmakokinētiku.</w:t>
      </w:r>
    </w:p>
    <w:p w14:paraId="5416B509" w14:textId="77777777" w:rsidR="00965657" w:rsidRPr="00D16F94" w:rsidRDefault="00965657">
      <w:pPr>
        <w:tabs>
          <w:tab w:val="clear" w:pos="565"/>
        </w:tabs>
        <w:autoSpaceDE w:val="0"/>
        <w:autoSpaceDN w:val="0"/>
        <w:adjustRightInd w:val="0"/>
        <w:spacing w:line="240" w:lineRule="auto"/>
        <w:rPr>
          <w:szCs w:val="24"/>
          <w:lang w:val="lv-LV"/>
        </w:rPr>
      </w:pPr>
    </w:p>
    <w:p w14:paraId="062C086B" w14:textId="77777777" w:rsidR="00965657" w:rsidRPr="00D16F94" w:rsidRDefault="00965657">
      <w:pPr>
        <w:tabs>
          <w:tab w:val="clear" w:pos="565"/>
        </w:tabs>
        <w:spacing w:line="240" w:lineRule="auto"/>
        <w:rPr>
          <w:szCs w:val="24"/>
          <w:lang w:val="lv-LV"/>
        </w:rPr>
      </w:pPr>
      <w:r w:rsidRPr="00D16F94">
        <w:rPr>
          <w:szCs w:val="24"/>
          <w:u w:val="single" w:color="000000"/>
          <w:lang w:val="lv-LV"/>
        </w:rPr>
        <w:t>Centrālo nervu sistēmu ietekmējošas zāles</w:t>
      </w:r>
    </w:p>
    <w:p w14:paraId="624BA4CB" w14:textId="77777777" w:rsidR="000B1AB3" w:rsidRDefault="00965657">
      <w:pPr>
        <w:tabs>
          <w:tab w:val="clear" w:pos="565"/>
        </w:tabs>
        <w:autoSpaceDE w:val="0"/>
        <w:autoSpaceDN w:val="0"/>
        <w:adjustRightInd w:val="0"/>
        <w:spacing w:line="240" w:lineRule="auto"/>
        <w:rPr>
          <w:szCs w:val="24"/>
          <w:lang w:val="lv-LV"/>
        </w:rPr>
      </w:pPr>
      <w:r w:rsidRPr="00D16F94">
        <w:rPr>
          <w:szCs w:val="24"/>
          <w:lang w:val="lv-LV"/>
        </w:rPr>
        <w:t>Pregabalīns var pastiprināt et</w:t>
      </w:r>
      <w:r w:rsidR="002F2DE5">
        <w:rPr>
          <w:szCs w:val="24"/>
          <w:lang w:val="lv-LV"/>
        </w:rPr>
        <w:t>ilspirta</w:t>
      </w:r>
      <w:r w:rsidRPr="00D16F94">
        <w:rPr>
          <w:szCs w:val="24"/>
          <w:lang w:val="lv-LV"/>
        </w:rPr>
        <w:t xml:space="preserve"> un lorazepāma iedarbību.</w:t>
      </w:r>
    </w:p>
    <w:p w14:paraId="0AFDFB3B" w14:textId="77777777" w:rsidR="000B1AB3" w:rsidRDefault="000B1AB3">
      <w:pPr>
        <w:tabs>
          <w:tab w:val="clear" w:pos="565"/>
        </w:tabs>
        <w:autoSpaceDE w:val="0"/>
        <w:autoSpaceDN w:val="0"/>
        <w:adjustRightInd w:val="0"/>
        <w:spacing w:line="240" w:lineRule="auto"/>
        <w:rPr>
          <w:szCs w:val="24"/>
          <w:lang w:val="lv-LV"/>
        </w:rPr>
      </w:pPr>
    </w:p>
    <w:p w14:paraId="4C9BC719" w14:textId="1B430DD3" w:rsidR="00965657" w:rsidRPr="00D16F94" w:rsidRDefault="00965657">
      <w:pPr>
        <w:tabs>
          <w:tab w:val="clear" w:pos="565"/>
        </w:tabs>
        <w:autoSpaceDE w:val="0"/>
        <w:autoSpaceDN w:val="0"/>
        <w:adjustRightInd w:val="0"/>
        <w:spacing w:line="240" w:lineRule="auto"/>
        <w:rPr>
          <w:szCs w:val="24"/>
          <w:lang w:val="lv-LV"/>
        </w:rPr>
      </w:pPr>
      <w:r w:rsidRPr="00D16F94">
        <w:rPr>
          <w:szCs w:val="24"/>
          <w:lang w:val="lv-LV"/>
        </w:rPr>
        <w:t>Pēcreģistrācijas periodā tika saņemti ziņojumi par elpošanas mazspēju</w:t>
      </w:r>
      <w:r w:rsidR="000B1AB3">
        <w:rPr>
          <w:szCs w:val="24"/>
          <w:lang w:val="lv-LV"/>
        </w:rPr>
        <w:t>,</w:t>
      </w:r>
      <w:r w:rsidRPr="00D16F94">
        <w:rPr>
          <w:szCs w:val="24"/>
          <w:lang w:val="lv-LV"/>
        </w:rPr>
        <w:t xml:space="preserve"> komu </w:t>
      </w:r>
      <w:r w:rsidR="000B1AB3" w:rsidRPr="00D16F94">
        <w:rPr>
          <w:szCs w:val="24"/>
          <w:lang w:val="lv-LV"/>
        </w:rPr>
        <w:t xml:space="preserve">un </w:t>
      </w:r>
      <w:r w:rsidR="000B1AB3">
        <w:rPr>
          <w:szCs w:val="24"/>
          <w:lang w:val="lv-LV"/>
        </w:rPr>
        <w:t xml:space="preserve">nāves gadījumiem </w:t>
      </w:r>
      <w:r w:rsidRPr="00D16F94">
        <w:rPr>
          <w:szCs w:val="24"/>
          <w:lang w:val="lv-LV"/>
        </w:rPr>
        <w:t xml:space="preserve">pacientiem, kuri vienlaicīgi lietojuši pregabalīnu un </w:t>
      </w:r>
      <w:r w:rsidR="000B1AB3">
        <w:rPr>
          <w:szCs w:val="24"/>
          <w:lang w:val="lv-LV"/>
        </w:rPr>
        <w:t>opioīdus un</w:t>
      </w:r>
      <w:r w:rsidR="00D51027">
        <w:rPr>
          <w:szCs w:val="24"/>
          <w:lang w:val="lv-LV"/>
        </w:rPr>
        <w:t>/</w:t>
      </w:r>
      <w:r w:rsidR="000B1AB3">
        <w:rPr>
          <w:szCs w:val="24"/>
          <w:lang w:val="lv-LV"/>
        </w:rPr>
        <w:t xml:space="preserve">vai </w:t>
      </w:r>
      <w:r w:rsidRPr="00D16F94">
        <w:rPr>
          <w:szCs w:val="24"/>
          <w:lang w:val="lv-LV"/>
        </w:rPr>
        <w:t>citas centrālās nervu sistēmas (CNS) darbību nomācošas zāles. Pregabalīns</w:t>
      </w:r>
      <w:r w:rsidR="00D51027">
        <w:rPr>
          <w:szCs w:val="24"/>
          <w:lang w:val="lv-LV"/>
        </w:rPr>
        <w:t xml:space="preserve"> varētu</w:t>
      </w:r>
      <w:r w:rsidRPr="00D16F94">
        <w:rPr>
          <w:szCs w:val="24"/>
          <w:lang w:val="lv-LV"/>
        </w:rPr>
        <w:t xml:space="preserve"> pastiprin</w:t>
      </w:r>
      <w:r w:rsidR="00D51027">
        <w:rPr>
          <w:szCs w:val="24"/>
          <w:lang w:val="lv-LV"/>
        </w:rPr>
        <w:t>āt</w:t>
      </w:r>
      <w:r w:rsidRPr="00D16F94">
        <w:rPr>
          <w:szCs w:val="24"/>
          <w:lang w:val="lv-LV"/>
        </w:rPr>
        <w:t xml:space="preserve"> oksikodona izraisīto kognitīvo un galveno motorisko funkciju pavājināšanos.</w:t>
      </w:r>
    </w:p>
    <w:p w14:paraId="0F31DA8F" w14:textId="77777777" w:rsidR="00965657" w:rsidRPr="00D16F94" w:rsidRDefault="00965657">
      <w:pPr>
        <w:tabs>
          <w:tab w:val="clear" w:pos="565"/>
        </w:tabs>
        <w:autoSpaceDE w:val="0"/>
        <w:autoSpaceDN w:val="0"/>
        <w:adjustRightInd w:val="0"/>
        <w:spacing w:line="240" w:lineRule="auto"/>
        <w:rPr>
          <w:szCs w:val="24"/>
          <w:lang w:val="lv-LV"/>
        </w:rPr>
      </w:pPr>
    </w:p>
    <w:p w14:paraId="069A5693" w14:textId="77777777" w:rsidR="00965657" w:rsidRPr="00D16F94" w:rsidRDefault="00965657">
      <w:pPr>
        <w:tabs>
          <w:tab w:val="clear" w:pos="565"/>
        </w:tabs>
        <w:autoSpaceDE w:val="0"/>
        <w:autoSpaceDN w:val="0"/>
        <w:adjustRightInd w:val="0"/>
        <w:spacing w:line="240" w:lineRule="auto"/>
        <w:rPr>
          <w:szCs w:val="24"/>
          <w:u w:val="single"/>
          <w:lang w:val="lv-LV"/>
        </w:rPr>
      </w:pPr>
      <w:r w:rsidRPr="00D16F94">
        <w:rPr>
          <w:szCs w:val="24"/>
          <w:u w:val="single" w:color="000000"/>
          <w:lang w:val="lv-LV"/>
        </w:rPr>
        <w:t>Mijiedarbība un gados vecāki pacienti</w:t>
      </w:r>
    </w:p>
    <w:p w14:paraId="69F808D6" w14:textId="77777777" w:rsidR="00965657" w:rsidRPr="00D16F94" w:rsidRDefault="00965657">
      <w:pPr>
        <w:tabs>
          <w:tab w:val="clear" w:pos="565"/>
        </w:tabs>
        <w:autoSpaceDE w:val="0"/>
        <w:autoSpaceDN w:val="0"/>
        <w:adjustRightInd w:val="0"/>
        <w:spacing w:line="240" w:lineRule="auto"/>
        <w:rPr>
          <w:szCs w:val="24"/>
          <w:lang w:val="lv-LV"/>
        </w:rPr>
      </w:pPr>
      <w:r w:rsidRPr="00D16F94">
        <w:rPr>
          <w:szCs w:val="24"/>
          <w:lang w:val="lv-LV"/>
        </w:rPr>
        <w:t>Īpaši farmakodinamiskās mijiedarbības pētījumi gados vecākiem brīvprātīgajiem nav veikti. Mijiedarbības pētījumi veikti tikai pieaugušajiem.</w:t>
      </w:r>
    </w:p>
    <w:p w14:paraId="6B77E5DD" w14:textId="77777777" w:rsidR="00965657" w:rsidRPr="00D16F94" w:rsidRDefault="00965657">
      <w:pPr>
        <w:spacing w:line="240" w:lineRule="auto"/>
        <w:rPr>
          <w:szCs w:val="24"/>
          <w:lang w:val="lv-LV"/>
        </w:rPr>
      </w:pPr>
    </w:p>
    <w:p w14:paraId="71BA2D3E" w14:textId="77777777" w:rsidR="00965657" w:rsidRPr="00D16F94" w:rsidRDefault="00965657">
      <w:pPr>
        <w:spacing w:line="240" w:lineRule="auto"/>
        <w:ind w:left="565" w:hanging="565"/>
        <w:rPr>
          <w:szCs w:val="24"/>
          <w:lang w:val="lv-LV"/>
        </w:rPr>
      </w:pPr>
      <w:r w:rsidRPr="00D16F94">
        <w:rPr>
          <w:b/>
          <w:szCs w:val="24"/>
          <w:lang w:val="lv-LV"/>
        </w:rPr>
        <w:t>4.6</w:t>
      </w:r>
      <w:r w:rsidR="002F2DE5">
        <w:rPr>
          <w:b/>
          <w:szCs w:val="24"/>
          <w:lang w:val="lv-LV"/>
        </w:rPr>
        <w:t>.</w:t>
      </w:r>
      <w:r w:rsidRPr="00D16F94">
        <w:rPr>
          <w:b/>
          <w:szCs w:val="24"/>
          <w:lang w:val="lv-LV"/>
        </w:rPr>
        <w:tab/>
        <w:t>Fertilitāte, grūtniecība un barošana ar krūti</w:t>
      </w:r>
    </w:p>
    <w:p w14:paraId="0E669B56" w14:textId="77777777" w:rsidR="00965657" w:rsidRPr="00D16F94" w:rsidRDefault="00965657">
      <w:pPr>
        <w:spacing w:line="240" w:lineRule="auto"/>
        <w:rPr>
          <w:i/>
          <w:szCs w:val="24"/>
          <w:lang w:val="lv-LV"/>
        </w:rPr>
      </w:pPr>
    </w:p>
    <w:p w14:paraId="1161F6CE" w14:textId="77777777" w:rsidR="00965657" w:rsidRPr="00D16F94" w:rsidRDefault="00965657">
      <w:pPr>
        <w:tabs>
          <w:tab w:val="clear" w:pos="565"/>
        </w:tabs>
        <w:autoSpaceDE w:val="0"/>
        <w:autoSpaceDN w:val="0"/>
        <w:adjustRightInd w:val="0"/>
        <w:spacing w:line="240" w:lineRule="auto"/>
        <w:rPr>
          <w:i/>
          <w:szCs w:val="24"/>
          <w:u w:val="single"/>
          <w:lang w:val="lv-LV"/>
        </w:rPr>
      </w:pPr>
      <w:r w:rsidRPr="00D16F94">
        <w:rPr>
          <w:i/>
          <w:szCs w:val="24"/>
          <w:u w:val="single" w:color="000000"/>
          <w:lang w:val="lv-LV"/>
        </w:rPr>
        <w:t>Sievietes reproduktīvā vecumā/</w:t>
      </w:r>
      <w:r w:rsidR="002F2DE5">
        <w:rPr>
          <w:i/>
          <w:szCs w:val="24"/>
          <w:u w:val="single" w:color="000000"/>
          <w:lang w:val="lv-LV"/>
        </w:rPr>
        <w:t>k</w:t>
      </w:r>
      <w:r w:rsidRPr="00D16F94">
        <w:rPr>
          <w:i/>
          <w:szCs w:val="24"/>
          <w:u w:val="single" w:color="000000"/>
          <w:lang w:val="lv-LV"/>
        </w:rPr>
        <w:t>ontracepcija vīriešiem un sievietēm</w:t>
      </w:r>
    </w:p>
    <w:p w14:paraId="7645F807" w14:textId="7FE9A7C0" w:rsidR="00965657" w:rsidRPr="00D16F94" w:rsidRDefault="00593390">
      <w:pPr>
        <w:tabs>
          <w:tab w:val="clear" w:pos="565"/>
        </w:tabs>
        <w:autoSpaceDE w:val="0"/>
        <w:autoSpaceDN w:val="0"/>
        <w:adjustRightInd w:val="0"/>
        <w:spacing w:line="240" w:lineRule="auto"/>
        <w:rPr>
          <w:szCs w:val="24"/>
          <w:lang w:val="lv-LV"/>
        </w:rPr>
      </w:pPr>
      <w:r w:rsidRPr="005214F3">
        <w:rPr>
          <w:lang w:val="lv-LV"/>
        </w:rPr>
        <w:t>Sievietēm ar reprodukcijas potenciālu ārstēšanas laikā jāizmanto efektīva kontracepcijas metode (skatīt 4.4. apakšpunktu).</w:t>
      </w:r>
    </w:p>
    <w:p w14:paraId="75491169" w14:textId="77777777" w:rsidR="00965657" w:rsidRPr="00D16F94" w:rsidRDefault="00965657">
      <w:pPr>
        <w:tabs>
          <w:tab w:val="clear" w:pos="565"/>
        </w:tabs>
        <w:autoSpaceDE w:val="0"/>
        <w:autoSpaceDN w:val="0"/>
        <w:adjustRightInd w:val="0"/>
        <w:spacing w:line="240" w:lineRule="auto"/>
        <w:rPr>
          <w:szCs w:val="24"/>
          <w:lang w:val="lv-LV"/>
        </w:rPr>
      </w:pPr>
    </w:p>
    <w:p w14:paraId="0F2DE681" w14:textId="77777777" w:rsidR="00965657" w:rsidRPr="00D16F94" w:rsidRDefault="00965657">
      <w:pPr>
        <w:tabs>
          <w:tab w:val="clear" w:pos="565"/>
        </w:tabs>
        <w:autoSpaceDE w:val="0"/>
        <w:autoSpaceDN w:val="0"/>
        <w:adjustRightInd w:val="0"/>
        <w:spacing w:line="240" w:lineRule="auto"/>
        <w:rPr>
          <w:szCs w:val="24"/>
          <w:u w:val="single"/>
          <w:lang w:val="lv-LV"/>
        </w:rPr>
      </w:pPr>
      <w:r w:rsidRPr="00870103">
        <w:rPr>
          <w:i/>
          <w:iCs/>
          <w:szCs w:val="24"/>
          <w:u w:val="single" w:color="000000"/>
          <w:lang w:val="lv-LV"/>
        </w:rPr>
        <w:t>Grūtniecība</w:t>
      </w:r>
    </w:p>
    <w:p w14:paraId="71ADD485" w14:textId="33ABBA5A" w:rsidR="00965657" w:rsidRDefault="00965657">
      <w:pPr>
        <w:tabs>
          <w:tab w:val="clear" w:pos="565"/>
        </w:tabs>
        <w:autoSpaceDE w:val="0"/>
        <w:autoSpaceDN w:val="0"/>
        <w:adjustRightInd w:val="0"/>
        <w:spacing w:line="240" w:lineRule="auto"/>
        <w:rPr>
          <w:szCs w:val="24"/>
          <w:lang w:val="lv-LV"/>
        </w:rPr>
      </w:pPr>
      <w:r w:rsidRPr="00D16F94">
        <w:rPr>
          <w:szCs w:val="24"/>
          <w:lang w:val="lv-LV"/>
        </w:rPr>
        <w:t>Pētījumi ar dzīvniekiem pierāda reproduktīvo toksicitāti (skatīt 5.3. apakšpunktu).</w:t>
      </w:r>
    </w:p>
    <w:p w14:paraId="107F2DBA" w14:textId="77777777" w:rsidR="00411CFD" w:rsidRDefault="00411CFD">
      <w:pPr>
        <w:tabs>
          <w:tab w:val="clear" w:pos="565"/>
        </w:tabs>
        <w:autoSpaceDE w:val="0"/>
        <w:autoSpaceDN w:val="0"/>
        <w:adjustRightInd w:val="0"/>
        <w:spacing w:line="240" w:lineRule="auto"/>
        <w:rPr>
          <w:szCs w:val="24"/>
          <w:lang w:val="lv-LV"/>
        </w:rPr>
      </w:pPr>
    </w:p>
    <w:p w14:paraId="38A1A6C1" w14:textId="77777777" w:rsidR="00593390" w:rsidRPr="00593390" w:rsidRDefault="00593390" w:rsidP="00593390">
      <w:pPr>
        <w:tabs>
          <w:tab w:val="clear" w:pos="565"/>
        </w:tabs>
        <w:autoSpaceDE w:val="0"/>
        <w:autoSpaceDN w:val="0"/>
        <w:adjustRightInd w:val="0"/>
        <w:spacing w:line="240" w:lineRule="auto"/>
        <w:rPr>
          <w:szCs w:val="22"/>
          <w:lang w:val="lv-LV"/>
        </w:rPr>
      </w:pPr>
      <w:r w:rsidRPr="00593390">
        <w:rPr>
          <w:lang w:val="lv-LV"/>
        </w:rPr>
        <w:t>Ir atklāts, ka pregabalīns šķērso žurku placentu (skatīt 5.2. apakšpunktu). Pregabalīns var šķērsot cilvēka placentu.</w:t>
      </w:r>
    </w:p>
    <w:p w14:paraId="2C86FC94" w14:textId="77777777" w:rsidR="00593390" w:rsidRPr="00593390" w:rsidRDefault="00593390" w:rsidP="00593390">
      <w:pPr>
        <w:tabs>
          <w:tab w:val="clear" w:pos="565"/>
        </w:tabs>
        <w:autoSpaceDE w:val="0"/>
        <w:autoSpaceDN w:val="0"/>
        <w:adjustRightInd w:val="0"/>
        <w:spacing w:line="240" w:lineRule="auto"/>
        <w:rPr>
          <w:szCs w:val="22"/>
          <w:lang w:val="lv-LV" w:eastAsia="pl-PL"/>
        </w:rPr>
      </w:pPr>
    </w:p>
    <w:p w14:paraId="519471A9" w14:textId="77777777" w:rsidR="00593390" w:rsidRPr="00593390" w:rsidRDefault="00593390" w:rsidP="00593390">
      <w:pPr>
        <w:tabs>
          <w:tab w:val="clear" w:pos="565"/>
        </w:tabs>
        <w:autoSpaceDE w:val="0"/>
        <w:autoSpaceDN w:val="0"/>
        <w:adjustRightInd w:val="0"/>
        <w:spacing w:line="240" w:lineRule="auto"/>
        <w:rPr>
          <w:szCs w:val="22"/>
          <w:u w:val="single"/>
          <w:lang w:val="lv-LV"/>
        </w:rPr>
      </w:pPr>
      <w:r w:rsidRPr="00593390">
        <w:rPr>
          <w:szCs w:val="22"/>
          <w:u w:val="single"/>
          <w:lang w:val="lv-LV"/>
        </w:rPr>
        <w:t xml:space="preserve">Smagas iedzimtas anomālijas </w:t>
      </w:r>
    </w:p>
    <w:p w14:paraId="46D94D91" w14:textId="04AC3F13" w:rsidR="00593390" w:rsidRPr="00593390" w:rsidRDefault="00593390" w:rsidP="00593390">
      <w:pPr>
        <w:tabs>
          <w:tab w:val="clear" w:pos="565"/>
        </w:tabs>
        <w:autoSpaceDE w:val="0"/>
        <w:autoSpaceDN w:val="0"/>
        <w:adjustRightInd w:val="0"/>
        <w:spacing w:line="240" w:lineRule="auto"/>
        <w:rPr>
          <w:szCs w:val="22"/>
          <w:lang w:val="lv-LV"/>
        </w:rPr>
      </w:pPr>
      <w:r w:rsidRPr="00593390">
        <w:rPr>
          <w:lang w:val="lv-LV"/>
        </w:rPr>
        <w:t xml:space="preserve">Ziemeļeiropas valstīs notikušā novērojumu pētījumā par vairāk nekā 2700 pirmajā semestrī pregabalīna ietekmei pakļautām grūtniecībām ir novērots, ka salīdzinājumā ar </w:t>
      </w:r>
      <w:r w:rsidR="00A6273B" w:rsidRPr="00593390">
        <w:rPr>
          <w:lang w:val="lv-LV"/>
        </w:rPr>
        <w:t xml:space="preserve">grūtniecības laikā </w:t>
      </w:r>
      <w:r w:rsidRPr="00593390">
        <w:rPr>
          <w:lang w:val="lv-LV"/>
        </w:rPr>
        <w:t>pregabalīna iedarbībai nepakļauto populāciju dzīvi vai nedzīvi dzimušo grūtniecības laikā šo zāļu iedarbībai pakļauto bērnu populācijā ir lielāka smagu iedzimtu anomāliju (SIA) sastopamība (4,1 % pret 5,9 %).</w:t>
      </w:r>
    </w:p>
    <w:p w14:paraId="1981801B" w14:textId="77777777" w:rsidR="00593390" w:rsidRPr="00593390" w:rsidRDefault="00593390" w:rsidP="00593390">
      <w:pPr>
        <w:tabs>
          <w:tab w:val="clear" w:pos="565"/>
        </w:tabs>
        <w:autoSpaceDE w:val="0"/>
        <w:autoSpaceDN w:val="0"/>
        <w:adjustRightInd w:val="0"/>
        <w:spacing w:line="240" w:lineRule="auto"/>
        <w:rPr>
          <w:szCs w:val="22"/>
          <w:lang w:val="lv-LV" w:eastAsia="pl-PL"/>
        </w:rPr>
      </w:pPr>
    </w:p>
    <w:p w14:paraId="181C49C7" w14:textId="77777777" w:rsidR="00593390" w:rsidRPr="00593390" w:rsidRDefault="00593390" w:rsidP="00593390">
      <w:pPr>
        <w:tabs>
          <w:tab w:val="clear" w:pos="565"/>
        </w:tabs>
        <w:autoSpaceDE w:val="0"/>
        <w:autoSpaceDN w:val="0"/>
        <w:adjustRightInd w:val="0"/>
        <w:spacing w:line="240" w:lineRule="auto"/>
        <w:rPr>
          <w:szCs w:val="22"/>
          <w:lang w:val="lv-LV"/>
        </w:rPr>
      </w:pPr>
      <w:r w:rsidRPr="00593390">
        <w:rPr>
          <w:lang w:val="lv-LV"/>
        </w:rPr>
        <w:t>Grūtniecības pirmajā semestrī pregabalīna iedarbībai pakļautajā bērnu populācijā SIA risks bija nedaudz lielāks nekā tā iedarbībai nepakļautajā populācijā (koriģētā sastopamības attiecība un attiecība 95 % ticamības intervālā bija 1,14 (0,96–1,35)), lamotrigīna iedarbībai pakļautajā populācijā (1,29 (1,01–1,65)) un duloksetīna iedarbībai pakļautajā populācijā (1,39 (1,07–1,82)).</w:t>
      </w:r>
    </w:p>
    <w:p w14:paraId="10471317" w14:textId="77777777" w:rsidR="00593390" w:rsidRPr="00593390" w:rsidRDefault="00593390" w:rsidP="00593390">
      <w:pPr>
        <w:tabs>
          <w:tab w:val="clear" w:pos="565"/>
        </w:tabs>
        <w:autoSpaceDE w:val="0"/>
        <w:autoSpaceDN w:val="0"/>
        <w:adjustRightInd w:val="0"/>
        <w:spacing w:line="240" w:lineRule="auto"/>
        <w:rPr>
          <w:szCs w:val="22"/>
          <w:lang w:val="lv-LV" w:eastAsia="pl-PL"/>
        </w:rPr>
      </w:pPr>
    </w:p>
    <w:p w14:paraId="7A09F6D5" w14:textId="50A085C8" w:rsidR="00411CFD" w:rsidRPr="00593390" w:rsidRDefault="00593390" w:rsidP="00593390">
      <w:pPr>
        <w:tabs>
          <w:tab w:val="clear" w:pos="565"/>
        </w:tabs>
        <w:autoSpaceDE w:val="0"/>
        <w:autoSpaceDN w:val="0"/>
        <w:adjustRightInd w:val="0"/>
        <w:spacing w:line="240" w:lineRule="auto"/>
        <w:rPr>
          <w:szCs w:val="24"/>
          <w:lang w:val="lv-LV"/>
        </w:rPr>
      </w:pPr>
      <w:r w:rsidRPr="00593390">
        <w:rPr>
          <w:lang w:val="lv-LV"/>
        </w:rPr>
        <w:t>Analizējot konkrētu anomāliju sastopamību, ir atklāts palielināts tādu anomāliju risks, kuras saistītas ar nervu sistēmu, acīm, sejas un mutes šķelt</w:t>
      </w:r>
      <w:r w:rsidR="00A6273B">
        <w:rPr>
          <w:lang w:val="lv-LV"/>
        </w:rPr>
        <w:t>nes</w:t>
      </w:r>
      <w:r w:rsidRPr="00593390">
        <w:rPr>
          <w:lang w:val="lv-LV"/>
        </w:rPr>
        <w:t xml:space="preserve"> rašanos, kā arī ir palielināts urīnceļu un dzimumorgānu anomāliju risks, tomēr skaitļi bija mazi, un aprēķinu rezultāti neprecīzi.</w:t>
      </w:r>
    </w:p>
    <w:p w14:paraId="34BEF78A" w14:textId="77777777" w:rsidR="00965657" w:rsidRPr="00D16F94" w:rsidRDefault="00965657">
      <w:pPr>
        <w:tabs>
          <w:tab w:val="clear" w:pos="565"/>
        </w:tabs>
        <w:autoSpaceDE w:val="0"/>
        <w:autoSpaceDN w:val="0"/>
        <w:adjustRightInd w:val="0"/>
        <w:spacing w:line="240" w:lineRule="auto"/>
        <w:rPr>
          <w:szCs w:val="24"/>
          <w:lang w:val="lv-LV"/>
        </w:rPr>
      </w:pPr>
    </w:p>
    <w:p w14:paraId="1D2B417A" w14:textId="77777777" w:rsidR="00965657" w:rsidRPr="00D16F94" w:rsidRDefault="00965657">
      <w:pPr>
        <w:tabs>
          <w:tab w:val="clear" w:pos="565"/>
        </w:tabs>
        <w:autoSpaceDE w:val="0"/>
        <w:autoSpaceDN w:val="0"/>
        <w:adjustRightInd w:val="0"/>
        <w:spacing w:line="240" w:lineRule="auto"/>
        <w:rPr>
          <w:szCs w:val="24"/>
          <w:lang w:val="lv-LV"/>
        </w:rPr>
      </w:pPr>
      <w:r w:rsidRPr="00D16F94">
        <w:rPr>
          <w:szCs w:val="24"/>
          <w:lang w:val="lv-LV"/>
        </w:rPr>
        <w:t xml:space="preserve">Grūtniecības laikā Linefor nedrīkst lietot, ja vien nav absolūta nepieciešamība (ja ieguvums mātei pārliecinoši </w:t>
      </w:r>
      <w:r w:rsidR="002F2DE5">
        <w:rPr>
          <w:szCs w:val="24"/>
          <w:lang w:val="lv-LV"/>
        </w:rPr>
        <w:t>ir lielāks nekā</w:t>
      </w:r>
      <w:r w:rsidRPr="00D16F94">
        <w:rPr>
          <w:szCs w:val="24"/>
          <w:lang w:val="lv-LV"/>
        </w:rPr>
        <w:t xml:space="preserve"> potenciāl</w:t>
      </w:r>
      <w:r w:rsidR="002F2DE5">
        <w:rPr>
          <w:szCs w:val="24"/>
          <w:lang w:val="lv-LV"/>
        </w:rPr>
        <w:t>ais</w:t>
      </w:r>
      <w:r w:rsidRPr="00D16F94">
        <w:rPr>
          <w:szCs w:val="24"/>
          <w:lang w:val="lv-LV"/>
        </w:rPr>
        <w:t xml:space="preserve"> risk</w:t>
      </w:r>
      <w:r w:rsidR="002F2DE5">
        <w:rPr>
          <w:szCs w:val="24"/>
          <w:lang w:val="lv-LV"/>
        </w:rPr>
        <w:t>s</w:t>
      </w:r>
      <w:r w:rsidRPr="00D16F94">
        <w:rPr>
          <w:szCs w:val="24"/>
          <w:lang w:val="lv-LV"/>
        </w:rPr>
        <w:t xml:space="preserve"> auglim).</w:t>
      </w:r>
    </w:p>
    <w:p w14:paraId="1F7B9EB8" w14:textId="77777777" w:rsidR="00965657" w:rsidRPr="00D16F94" w:rsidRDefault="00965657">
      <w:pPr>
        <w:tabs>
          <w:tab w:val="clear" w:pos="565"/>
        </w:tabs>
        <w:autoSpaceDE w:val="0"/>
        <w:autoSpaceDN w:val="0"/>
        <w:adjustRightInd w:val="0"/>
        <w:spacing w:line="240" w:lineRule="auto"/>
        <w:rPr>
          <w:szCs w:val="24"/>
          <w:lang w:val="lv-LV"/>
        </w:rPr>
      </w:pPr>
    </w:p>
    <w:p w14:paraId="6484B190" w14:textId="77777777" w:rsidR="00965657" w:rsidRPr="00870103" w:rsidRDefault="00965657">
      <w:pPr>
        <w:tabs>
          <w:tab w:val="clear" w:pos="565"/>
        </w:tabs>
        <w:autoSpaceDE w:val="0"/>
        <w:autoSpaceDN w:val="0"/>
        <w:adjustRightInd w:val="0"/>
        <w:spacing w:line="240" w:lineRule="auto"/>
        <w:rPr>
          <w:i/>
          <w:iCs/>
          <w:szCs w:val="24"/>
          <w:u w:val="single"/>
          <w:lang w:val="lv-LV"/>
        </w:rPr>
      </w:pPr>
      <w:r w:rsidRPr="00870103">
        <w:rPr>
          <w:i/>
          <w:iCs/>
          <w:szCs w:val="24"/>
          <w:u w:val="single" w:color="000000"/>
          <w:lang w:val="lv-LV"/>
        </w:rPr>
        <w:t>Barošana ar krūti</w:t>
      </w:r>
    </w:p>
    <w:p w14:paraId="519CCE68" w14:textId="77777777" w:rsidR="00965657" w:rsidRPr="00D16F94" w:rsidRDefault="00965657">
      <w:pPr>
        <w:tabs>
          <w:tab w:val="clear" w:pos="565"/>
        </w:tabs>
        <w:spacing w:line="240" w:lineRule="auto"/>
        <w:rPr>
          <w:szCs w:val="24"/>
          <w:lang w:val="lv-LV"/>
        </w:rPr>
      </w:pPr>
      <w:r w:rsidRPr="00D16F94">
        <w:rPr>
          <w:szCs w:val="24"/>
          <w:lang w:val="lv-LV"/>
        </w:rPr>
        <w:t>Pregabalīns izdalās cilvēka pienā (</w:t>
      </w:r>
      <w:r w:rsidRPr="001D5E70">
        <w:rPr>
          <w:szCs w:val="24"/>
          <w:lang w:val="lv-LV"/>
        </w:rPr>
        <w:t>skatīt 5.2. apakšpunk</w:t>
      </w:r>
      <w:r w:rsidR="006667B1" w:rsidRPr="001D5E70">
        <w:rPr>
          <w:szCs w:val="24"/>
          <w:lang w:val="lv-LV"/>
        </w:rPr>
        <w:t>t</w:t>
      </w:r>
      <w:r w:rsidRPr="001D5E70">
        <w:rPr>
          <w:szCs w:val="24"/>
          <w:lang w:val="lv-LV"/>
        </w:rPr>
        <w:t>u). Pregabalīna</w:t>
      </w:r>
      <w:r w:rsidRPr="00D16F94">
        <w:rPr>
          <w:szCs w:val="24"/>
          <w:lang w:val="lv-LV"/>
        </w:rPr>
        <w:t xml:space="preserve"> ietekme uz jaundzimušajiem/zīdaiņiem nav zināma. Lēmums pārtraukt barošanu ar krūti vai pārtraukt pregabalīna terapiju jāpieņem, vērtējot krūts barošanas sniegto ieguvumu bērnam un terapijas sniegto ieguvumu sievietei.</w:t>
      </w:r>
    </w:p>
    <w:p w14:paraId="07A7579B" w14:textId="77777777" w:rsidR="00965657" w:rsidRPr="00D16F94" w:rsidRDefault="00965657" w:rsidP="00274811">
      <w:pPr>
        <w:keepNext/>
        <w:tabs>
          <w:tab w:val="clear" w:pos="565"/>
        </w:tabs>
        <w:autoSpaceDE w:val="0"/>
        <w:autoSpaceDN w:val="0"/>
        <w:adjustRightInd w:val="0"/>
        <w:spacing w:line="240" w:lineRule="auto"/>
        <w:rPr>
          <w:szCs w:val="24"/>
          <w:lang w:val="lv-LV"/>
        </w:rPr>
      </w:pPr>
    </w:p>
    <w:p w14:paraId="39D89765" w14:textId="77777777" w:rsidR="00965657" w:rsidRPr="00D16F94" w:rsidRDefault="00965657" w:rsidP="00274811">
      <w:pPr>
        <w:keepNext/>
        <w:tabs>
          <w:tab w:val="clear" w:pos="565"/>
        </w:tabs>
        <w:autoSpaceDE w:val="0"/>
        <w:autoSpaceDN w:val="0"/>
        <w:adjustRightInd w:val="0"/>
        <w:spacing w:line="240" w:lineRule="auto"/>
        <w:rPr>
          <w:szCs w:val="24"/>
          <w:u w:val="single"/>
          <w:lang w:val="lv-LV"/>
        </w:rPr>
      </w:pPr>
      <w:r w:rsidRPr="00870103">
        <w:rPr>
          <w:i/>
          <w:iCs/>
          <w:szCs w:val="24"/>
          <w:u w:val="single" w:color="000000"/>
          <w:lang w:val="lv-LV"/>
        </w:rPr>
        <w:t>Fertilitāte</w:t>
      </w:r>
    </w:p>
    <w:p w14:paraId="4534DF79" w14:textId="77777777" w:rsidR="00965657" w:rsidRPr="00D16F94" w:rsidRDefault="00965657" w:rsidP="00274811">
      <w:pPr>
        <w:keepNext/>
        <w:tabs>
          <w:tab w:val="clear" w:pos="565"/>
        </w:tabs>
        <w:autoSpaceDE w:val="0"/>
        <w:autoSpaceDN w:val="0"/>
        <w:adjustRightInd w:val="0"/>
        <w:spacing w:line="240" w:lineRule="auto"/>
        <w:rPr>
          <w:szCs w:val="24"/>
          <w:lang w:val="lv-LV"/>
        </w:rPr>
      </w:pPr>
      <w:r w:rsidRPr="00D16F94">
        <w:rPr>
          <w:szCs w:val="24"/>
          <w:lang w:val="lv-LV"/>
        </w:rPr>
        <w:t>Klīniskie dati par pregabalīna ietekmi uz sieviešu fertilitāti nav pieejami.</w:t>
      </w:r>
    </w:p>
    <w:p w14:paraId="186E005F" w14:textId="77777777" w:rsidR="00965657" w:rsidRPr="00D16F94" w:rsidRDefault="00965657">
      <w:pPr>
        <w:tabs>
          <w:tab w:val="clear" w:pos="565"/>
        </w:tabs>
        <w:autoSpaceDE w:val="0"/>
        <w:autoSpaceDN w:val="0"/>
        <w:adjustRightInd w:val="0"/>
        <w:spacing w:line="240" w:lineRule="auto"/>
        <w:rPr>
          <w:szCs w:val="24"/>
          <w:lang w:val="lv-LV"/>
        </w:rPr>
      </w:pPr>
    </w:p>
    <w:p w14:paraId="4F110711" w14:textId="77777777" w:rsidR="00965657" w:rsidRPr="00D16F94" w:rsidRDefault="00965657">
      <w:pPr>
        <w:tabs>
          <w:tab w:val="clear" w:pos="565"/>
        </w:tabs>
        <w:autoSpaceDE w:val="0"/>
        <w:autoSpaceDN w:val="0"/>
        <w:adjustRightInd w:val="0"/>
        <w:spacing w:line="240" w:lineRule="auto"/>
        <w:rPr>
          <w:szCs w:val="24"/>
          <w:lang w:val="lv-LV"/>
        </w:rPr>
      </w:pPr>
      <w:r w:rsidRPr="00D16F94">
        <w:rPr>
          <w:szCs w:val="24"/>
          <w:lang w:val="lv-LV"/>
        </w:rPr>
        <w:t>Klīnisk</w:t>
      </w:r>
      <w:r w:rsidR="00733058">
        <w:rPr>
          <w:szCs w:val="24"/>
          <w:lang w:val="lv-LV"/>
        </w:rPr>
        <w:t>aj</w:t>
      </w:r>
      <w:r w:rsidRPr="00D16F94">
        <w:rPr>
          <w:szCs w:val="24"/>
          <w:lang w:val="lv-LV"/>
        </w:rPr>
        <w:t>ā pētījumā, kurā tika pētīta pregabalīna ietekme uz spermatozoīdu kustīgumu, klīniski veseliem vīriešiem tika o</w:t>
      </w:r>
      <w:r w:rsidR="002F2DE5">
        <w:rPr>
          <w:szCs w:val="24"/>
          <w:lang w:val="lv-LV"/>
        </w:rPr>
        <w:t>rdinēt</w:t>
      </w:r>
      <w:r w:rsidRPr="00D16F94">
        <w:rPr>
          <w:szCs w:val="24"/>
          <w:lang w:val="lv-LV"/>
        </w:rPr>
        <w:t>s pregabalīns pa 600 mg dienā. Pēc 3 mēnešu lietošanas netika novērota ietekme uz spermatozoīdu kustīgumu.</w:t>
      </w:r>
    </w:p>
    <w:p w14:paraId="5B48E6C0" w14:textId="77777777" w:rsidR="00965657" w:rsidRPr="00D16F94" w:rsidRDefault="00965657">
      <w:pPr>
        <w:tabs>
          <w:tab w:val="clear" w:pos="565"/>
        </w:tabs>
        <w:autoSpaceDE w:val="0"/>
        <w:autoSpaceDN w:val="0"/>
        <w:adjustRightInd w:val="0"/>
        <w:spacing w:line="240" w:lineRule="auto"/>
        <w:rPr>
          <w:szCs w:val="24"/>
          <w:lang w:val="lv-LV"/>
        </w:rPr>
      </w:pPr>
    </w:p>
    <w:p w14:paraId="16C929D8" w14:textId="77777777" w:rsidR="00965657" w:rsidRPr="00D16F94" w:rsidRDefault="00965657">
      <w:pPr>
        <w:tabs>
          <w:tab w:val="clear" w:pos="565"/>
        </w:tabs>
        <w:autoSpaceDE w:val="0"/>
        <w:autoSpaceDN w:val="0"/>
        <w:adjustRightInd w:val="0"/>
        <w:spacing w:line="240" w:lineRule="auto"/>
        <w:rPr>
          <w:szCs w:val="24"/>
          <w:lang w:val="lv-LV"/>
        </w:rPr>
      </w:pPr>
      <w:r w:rsidRPr="00D16F94">
        <w:rPr>
          <w:szCs w:val="24"/>
          <w:lang w:val="lv-LV"/>
        </w:rPr>
        <w:t>Fertilitātes pētījumi ar žurku mātītēm liecināja par negatīvu ietekmi uz reprodukciju. Fertilitātes pētījumi ar žurku tēviņiem liecināja par negatīvu ietekmi uz reprodukciju un attīstību. Šīs atrades klīniskā nozīme nav zināma (skatīt 5.3. apakšpunktu).</w:t>
      </w:r>
    </w:p>
    <w:p w14:paraId="3E5711FE" w14:textId="77777777" w:rsidR="00965657" w:rsidRPr="00D16F94" w:rsidRDefault="00965657">
      <w:pPr>
        <w:spacing w:line="240" w:lineRule="auto"/>
        <w:ind w:left="565" w:hanging="565"/>
        <w:rPr>
          <w:b/>
          <w:szCs w:val="24"/>
          <w:lang w:val="lv-LV"/>
        </w:rPr>
      </w:pPr>
    </w:p>
    <w:p w14:paraId="2D5A24E7" w14:textId="77777777" w:rsidR="00965657" w:rsidRPr="00D16F94" w:rsidRDefault="00965657">
      <w:pPr>
        <w:spacing w:line="240" w:lineRule="auto"/>
        <w:ind w:left="565" w:hanging="565"/>
        <w:rPr>
          <w:szCs w:val="24"/>
          <w:lang w:val="lv-LV"/>
        </w:rPr>
      </w:pPr>
      <w:r w:rsidRPr="00D16F94">
        <w:rPr>
          <w:b/>
          <w:szCs w:val="24"/>
          <w:lang w:val="lv-LV"/>
        </w:rPr>
        <w:t>4.7</w:t>
      </w:r>
      <w:r w:rsidR="002F2DE5">
        <w:rPr>
          <w:b/>
          <w:szCs w:val="24"/>
          <w:lang w:val="lv-LV"/>
        </w:rPr>
        <w:t>.</w:t>
      </w:r>
      <w:r w:rsidRPr="00D16F94">
        <w:rPr>
          <w:b/>
          <w:szCs w:val="24"/>
          <w:lang w:val="lv-LV"/>
        </w:rPr>
        <w:tab/>
        <w:t>Ietekme uz spēju vadīt transportlīdzekļus un apkalpot mehānismus</w:t>
      </w:r>
    </w:p>
    <w:p w14:paraId="76466D68" w14:textId="77777777" w:rsidR="00965657" w:rsidRPr="00D16F94" w:rsidRDefault="00965657">
      <w:pPr>
        <w:spacing w:line="240" w:lineRule="auto"/>
        <w:rPr>
          <w:szCs w:val="24"/>
          <w:lang w:val="lv-LV"/>
        </w:rPr>
      </w:pPr>
    </w:p>
    <w:p w14:paraId="06E03787" w14:textId="77777777" w:rsidR="00965657" w:rsidRPr="00D16F94" w:rsidRDefault="00965657">
      <w:pPr>
        <w:tabs>
          <w:tab w:val="clear" w:pos="565"/>
        </w:tabs>
        <w:autoSpaceDE w:val="0"/>
        <w:autoSpaceDN w:val="0"/>
        <w:adjustRightInd w:val="0"/>
        <w:spacing w:line="240" w:lineRule="auto"/>
        <w:rPr>
          <w:szCs w:val="24"/>
          <w:lang w:val="lv-LV"/>
        </w:rPr>
      </w:pPr>
      <w:r w:rsidRPr="00D16F94">
        <w:rPr>
          <w:szCs w:val="24"/>
          <w:lang w:val="lv-LV"/>
        </w:rPr>
        <w:lastRenderedPageBreak/>
        <w:t>Linefor maz vai mēreni ietekmē spēju vadīt transportlīdzekļus un apkalpot mehānismus. Linefor var izraisīt reiboni un miegainību, tādēļ tas var ietekmēt spēju vadīt transportlīdzekli vai apkalpot mehānismus.</w:t>
      </w:r>
    </w:p>
    <w:p w14:paraId="62BEFC8C" w14:textId="77777777" w:rsidR="002F2DE5" w:rsidRDefault="00965657" w:rsidP="002F2DE5">
      <w:pPr>
        <w:tabs>
          <w:tab w:val="clear" w:pos="565"/>
        </w:tabs>
        <w:autoSpaceDE w:val="0"/>
        <w:autoSpaceDN w:val="0"/>
        <w:adjustRightInd w:val="0"/>
        <w:spacing w:line="240" w:lineRule="auto"/>
        <w:rPr>
          <w:szCs w:val="24"/>
          <w:lang w:val="lv-LV"/>
        </w:rPr>
      </w:pPr>
      <w:r w:rsidRPr="00D16F94">
        <w:rPr>
          <w:szCs w:val="24"/>
          <w:lang w:val="lv-LV"/>
        </w:rPr>
        <w:t>Pacientiem jāiesaka nevadīt transportlīdzekli, nestrādāt ar sarežģītiem mehānismiem un izvairīties no jebkādas riskantas darbības, kamēr nav zināms, kā šīs zāles ietekmē viņu spēju veikt šādas darbības.</w:t>
      </w:r>
    </w:p>
    <w:p w14:paraId="53EB8423" w14:textId="77777777" w:rsidR="002F2DE5" w:rsidRDefault="002F2DE5" w:rsidP="002F2DE5">
      <w:pPr>
        <w:tabs>
          <w:tab w:val="clear" w:pos="565"/>
        </w:tabs>
        <w:autoSpaceDE w:val="0"/>
        <w:autoSpaceDN w:val="0"/>
        <w:adjustRightInd w:val="0"/>
        <w:spacing w:line="240" w:lineRule="auto"/>
        <w:rPr>
          <w:szCs w:val="24"/>
          <w:lang w:val="lv-LV"/>
        </w:rPr>
      </w:pPr>
    </w:p>
    <w:p w14:paraId="0D392788" w14:textId="77777777" w:rsidR="00965657" w:rsidRPr="002F2DE5" w:rsidRDefault="002F2DE5" w:rsidP="002F2DE5">
      <w:pPr>
        <w:tabs>
          <w:tab w:val="clear" w:pos="565"/>
        </w:tabs>
        <w:autoSpaceDE w:val="0"/>
        <w:autoSpaceDN w:val="0"/>
        <w:adjustRightInd w:val="0"/>
        <w:spacing w:line="240" w:lineRule="auto"/>
        <w:rPr>
          <w:szCs w:val="24"/>
          <w:lang w:val="lv-LV"/>
        </w:rPr>
      </w:pPr>
      <w:r w:rsidRPr="002F2DE5">
        <w:rPr>
          <w:b/>
          <w:szCs w:val="24"/>
          <w:lang w:val="lv-LV"/>
        </w:rPr>
        <w:t>4.8.</w:t>
      </w:r>
      <w:r w:rsidRPr="002F2DE5">
        <w:rPr>
          <w:b/>
          <w:szCs w:val="24"/>
          <w:lang w:val="lv-LV"/>
        </w:rPr>
        <w:tab/>
      </w:r>
      <w:r w:rsidR="00965657" w:rsidRPr="00D16F94">
        <w:rPr>
          <w:b/>
          <w:szCs w:val="24"/>
          <w:lang w:val="lv-LV"/>
        </w:rPr>
        <w:t>Nevēlamās blakusparādības</w:t>
      </w:r>
    </w:p>
    <w:p w14:paraId="64AE46B3" w14:textId="77777777" w:rsidR="00965657" w:rsidRPr="00D16F94" w:rsidRDefault="00965657">
      <w:pPr>
        <w:spacing w:line="240" w:lineRule="auto"/>
        <w:rPr>
          <w:i/>
          <w:szCs w:val="24"/>
          <w:lang w:val="lv-LV"/>
        </w:rPr>
      </w:pPr>
    </w:p>
    <w:p w14:paraId="0CDB2702" w14:textId="77777777" w:rsidR="00965657" w:rsidRPr="00D16F94" w:rsidRDefault="00965657">
      <w:pPr>
        <w:tabs>
          <w:tab w:val="clear" w:pos="565"/>
        </w:tabs>
        <w:autoSpaceDE w:val="0"/>
        <w:autoSpaceDN w:val="0"/>
        <w:adjustRightInd w:val="0"/>
        <w:spacing w:line="240" w:lineRule="auto"/>
        <w:rPr>
          <w:szCs w:val="24"/>
          <w:lang w:val="lv-LV"/>
        </w:rPr>
      </w:pPr>
      <w:r w:rsidRPr="00D16F94">
        <w:rPr>
          <w:szCs w:val="24"/>
          <w:lang w:val="lv-LV"/>
        </w:rPr>
        <w:t>Pregabalīna klīniskās izpētes programmā piedalījās vairāk nekā 8900 ar pregabalīnu ārstēti pacienti, no kuriem vairāk par 5600 pacientu piedalījās dubultmaskētos, ar placebo kontrolētos pētījumos. Visbiežāk novērotās blakusparādības bija reibonis un miegainība. Blakusparādības parasti bija viegli vai mēreni izteiktas. Visos kontrolētos pētījumos blakusparādību dēļ no pētījuma izstājās 12% pregabalīnu lietojušo pacientu un 5% placebo saņēmušo pacientu. Biežākās blakusparādības, kuru dēļ terapija tika pārtraukta pregabalīna grupās, bija reibonis un miegainība.</w:t>
      </w:r>
    </w:p>
    <w:p w14:paraId="4E74335E" w14:textId="77777777" w:rsidR="00965657" w:rsidRPr="00D16F94" w:rsidRDefault="00965657">
      <w:pPr>
        <w:tabs>
          <w:tab w:val="clear" w:pos="565"/>
        </w:tabs>
        <w:autoSpaceDE w:val="0"/>
        <w:autoSpaceDN w:val="0"/>
        <w:adjustRightInd w:val="0"/>
        <w:spacing w:line="240" w:lineRule="auto"/>
        <w:rPr>
          <w:szCs w:val="24"/>
          <w:lang w:val="lv-LV"/>
        </w:rPr>
      </w:pPr>
    </w:p>
    <w:p w14:paraId="5AE38D77" w14:textId="77777777" w:rsidR="00965657" w:rsidRPr="00D16F94" w:rsidRDefault="00965657">
      <w:pPr>
        <w:tabs>
          <w:tab w:val="clear" w:pos="565"/>
        </w:tabs>
        <w:autoSpaceDE w:val="0"/>
        <w:autoSpaceDN w:val="0"/>
        <w:adjustRightInd w:val="0"/>
        <w:spacing w:line="240" w:lineRule="auto"/>
        <w:rPr>
          <w:szCs w:val="24"/>
          <w:lang w:val="lv-LV"/>
        </w:rPr>
      </w:pPr>
      <w:r w:rsidRPr="00D16F94">
        <w:rPr>
          <w:szCs w:val="24"/>
          <w:lang w:val="lv-LV"/>
        </w:rPr>
        <w:t>2. tabulā norādītas visas nevēlamās blakusparādības, kādas pregabalīna lietotājiem novērotas biežāk nekā placebo grupā un radušās vairāk nekā vienam pacientam; tās sakārtotas pēc grupām un sastopamības biežuma: ļoti bieži (≥1/10); bieži (no ≥1/100 līdz &lt;1/10); retāk (no ≥1/1000 līdz &lt;1/100); reti (≥1/10 000 līdz &lt;1/1000); ļoti reti (&lt;1/10 000), nav zināmi (nevar noteikt pēc pieejamiem datiem). Katrā sastopamības biežuma grupā nevēlamās blakusparādības sakārtotas to būtiskuma samazināšanās secībā.</w:t>
      </w:r>
    </w:p>
    <w:p w14:paraId="66B6F2C8" w14:textId="77777777" w:rsidR="00965657" w:rsidRPr="00D16F94" w:rsidRDefault="00965657">
      <w:pPr>
        <w:tabs>
          <w:tab w:val="clear" w:pos="565"/>
        </w:tabs>
        <w:autoSpaceDE w:val="0"/>
        <w:autoSpaceDN w:val="0"/>
        <w:adjustRightInd w:val="0"/>
        <w:spacing w:line="240" w:lineRule="auto"/>
        <w:rPr>
          <w:szCs w:val="24"/>
          <w:lang w:val="lv-LV"/>
        </w:rPr>
      </w:pPr>
    </w:p>
    <w:p w14:paraId="138CD9B8" w14:textId="77777777" w:rsidR="00965657" w:rsidRPr="00D16F94" w:rsidRDefault="00965657">
      <w:pPr>
        <w:tabs>
          <w:tab w:val="clear" w:pos="565"/>
        </w:tabs>
        <w:autoSpaceDE w:val="0"/>
        <w:autoSpaceDN w:val="0"/>
        <w:adjustRightInd w:val="0"/>
        <w:spacing w:line="240" w:lineRule="auto"/>
        <w:rPr>
          <w:szCs w:val="24"/>
          <w:lang w:val="lv-LV"/>
        </w:rPr>
      </w:pPr>
      <w:r w:rsidRPr="00D16F94">
        <w:rPr>
          <w:szCs w:val="24"/>
          <w:lang w:val="lv-LV"/>
        </w:rPr>
        <w:t>Norādītās blakusparādības var būt saistītas arī ar pamatslimību un/vai vienlaikus lietotām zālēm.</w:t>
      </w:r>
    </w:p>
    <w:p w14:paraId="1D893360" w14:textId="77777777" w:rsidR="00965657" w:rsidRPr="00D16F94" w:rsidRDefault="00965657">
      <w:pPr>
        <w:tabs>
          <w:tab w:val="clear" w:pos="565"/>
        </w:tabs>
        <w:autoSpaceDE w:val="0"/>
        <w:autoSpaceDN w:val="0"/>
        <w:adjustRightInd w:val="0"/>
        <w:spacing w:line="240" w:lineRule="auto"/>
        <w:rPr>
          <w:szCs w:val="24"/>
          <w:lang w:val="lv-LV"/>
        </w:rPr>
      </w:pPr>
    </w:p>
    <w:p w14:paraId="3384A0F3" w14:textId="77777777" w:rsidR="00C42C28" w:rsidRPr="00D16F94" w:rsidRDefault="00C42C28" w:rsidP="00C42C28">
      <w:pPr>
        <w:tabs>
          <w:tab w:val="clear" w:pos="565"/>
        </w:tabs>
        <w:autoSpaceDE w:val="0"/>
        <w:autoSpaceDN w:val="0"/>
        <w:adjustRightInd w:val="0"/>
        <w:spacing w:line="240" w:lineRule="auto"/>
        <w:rPr>
          <w:szCs w:val="24"/>
          <w:lang w:val="lv-LV"/>
        </w:rPr>
      </w:pPr>
      <w:r w:rsidRPr="00D16F94">
        <w:rPr>
          <w:szCs w:val="24"/>
          <w:lang w:val="lv-LV"/>
        </w:rPr>
        <w:t>Ārstējot muguras smadzeņu bojājuma izraisītas centrālās neiropātiskās sāpes, palielinājās visu blakusparādību, ar CNS saistīto blakusparādību un īpaši miegainības sastopamība (skatīt 4.4. apakšpunktu).</w:t>
      </w:r>
    </w:p>
    <w:p w14:paraId="021F512A" w14:textId="77777777" w:rsidR="00C42C28" w:rsidRDefault="00C42C28">
      <w:pPr>
        <w:tabs>
          <w:tab w:val="clear" w:pos="565"/>
        </w:tabs>
        <w:spacing w:line="240" w:lineRule="auto"/>
        <w:rPr>
          <w:szCs w:val="24"/>
          <w:lang w:val="lv-LV"/>
        </w:rPr>
      </w:pPr>
    </w:p>
    <w:p w14:paraId="0679654B" w14:textId="77777777" w:rsidR="00965657" w:rsidRPr="00D16F94" w:rsidRDefault="00965657">
      <w:pPr>
        <w:tabs>
          <w:tab w:val="clear" w:pos="565"/>
        </w:tabs>
        <w:spacing w:line="240" w:lineRule="auto"/>
        <w:rPr>
          <w:szCs w:val="24"/>
          <w:lang w:val="lv-LV"/>
        </w:rPr>
      </w:pPr>
      <w:r w:rsidRPr="00D16F94">
        <w:rPr>
          <w:szCs w:val="24"/>
          <w:lang w:val="lv-LV"/>
        </w:rPr>
        <w:t>Pēcreģistrācijas per</w:t>
      </w:r>
      <w:r w:rsidR="003E252A">
        <w:rPr>
          <w:szCs w:val="24"/>
          <w:lang w:val="lv-LV"/>
        </w:rPr>
        <w:t>iodā</w:t>
      </w:r>
      <w:r w:rsidRPr="00D16F94">
        <w:rPr>
          <w:szCs w:val="24"/>
          <w:lang w:val="lv-LV"/>
        </w:rPr>
        <w:t xml:space="preserve"> ziņots par papildu blakusparādībām, kuras </w:t>
      </w:r>
      <w:r w:rsidR="003E252A">
        <w:rPr>
          <w:szCs w:val="24"/>
          <w:lang w:val="lv-LV"/>
        </w:rPr>
        <w:t>turp</w:t>
      </w:r>
      <w:r w:rsidRPr="00D16F94">
        <w:rPr>
          <w:szCs w:val="24"/>
          <w:lang w:val="lv-LV"/>
        </w:rPr>
        <w:t xml:space="preserve">māk sarakstā attēlotas </w:t>
      </w:r>
      <w:r w:rsidRPr="003E252A">
        <w:rPr>
          <w:szCs w:val="24"/>
          <w:lang w:val="lv-LV"/>
        </w:rPr>
        <w:t>slīprakstā</w:t>
      </w:r>
      <w:r w:rsidRPr="00D16F94">
        <w:rPr>
          <w:szCs w:val="24"/>
          <w:lang w:val="lv-LV"/>
        </w:rPr>
        <w:t>.</w:t>
      </w:r>
    </w:p>
    <w:p w14:paraId="7A2FA817" w14:textId="77777777" w:rsidR="00965657" w:rsidRPr="00D16F94" w:rsidRDefault="00965657">
      <w:pPr>
        <w:spacing w:line="240" w:lineRule="auto"/>
        <w:ind w:left="565" w:hanging="565"/>
        <w:rPr>
          <w:szCs w:val="24"/>
          <w:lang w:val="lv-LV"/>
        </w:rPr>
      </w:pPr>
    </w:p>
    <w:p w14:paraId="115073E2" w14:textId="77777777" w:rsidR="00965657" w:rsidRPr="00D16F94" w:rsidRDefault="00965657">
      <w:pPr>
        <w:spacing w:line="240" w:lineRule="auto"/>
        <w:ind w:left="565" w:hanging="565"/>
        <w:rPr>
          <w:b/>
          <w:szCs w:val="24"/>
          <w:lang w:val="lv-LV"/>
        </w:rPr>
      </w:pPr>
      <w:r w:rsidRPr="00D16F94">
        <w:rPr>
          <w:b/>
          <w:szCs w:val="24"/>
          <w:lang w:val="lv-LV"/>
        </w:rPr>
        <w:t>2. tabula. Pregabalīna nevēlamās blakusparādības</w:t>
      </w:r>
    </w:p>
    <w:p w14:paraId="567A6145" w14:textId="77777777" w:rsidR="00965657" w:rsidRPr="00D16F94" w:rsidRDefault="00965657">
      <w:pPr>
        <w:spacing w:line="240" w:lineRule="auto"/>
        <w:ind w:left="565" w:hanging="565"/>
        <w:jc w:val="center"/>
        <w:rPr>
          <w:szCs w:val="24"/>
          <w:lang w:val="lv-LV"/>
        </w:rPr>
      </w:pPr>
    </w:p>
    <w:tbl>
      <w:tblPr>
        <w:tblW w:w="895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0"/>
        <w:gridCol w:w="6191"/>
      </w:tblGrid>
      <w:tr w:rsidR="00965657" w:rsidRPr="00764797" w14:paraId="41C23CC4" w14:textId="77777777" w:rsidTr="002D03D0">
        <w:tc>
          <w:tcPr>
            <w:tcW w:w="2760" w:type="dxa"/>
          </w:tcPr>
          <w:p w14:paraId="2FF26870" w14:textId="77777777" w:rsidR="00965657" w:rsidRPr="00764797" w:rsidRDefault="00965657">
            <w:pPr>
              <w:spacing w:line="240" w:lineRule="auto"/>
              <w:jc w:val="center"/>
              <w:rPr>
                <w:b/>
                <w:szCs w:val="24"/>
                <w:lang w:val="lv-LV"/>
              </w:rPr>
            </w:pPr>
          </w:p>
          <w:p w14:paraId="019D5866" w14:textId="77777777" w:rsidR="00965657" w:rsidRPr="00764797" w:rsidRDefault="00965657">
            <w:pPr>
              <w:spacing w:line="240" w:lineRule="auto"/>
              <w:jc w:val="center"/>
              <w:rPr>
                <w:b/>
                <w:szCs w:val="24"/>
                <w:lang w:val="lv-LV"/>
              </w:rPr>
            </w:pPr>
            <w:r w:rsidRPr="00764797">
              <w:rPr>
                <w:b/>
                <w:szCs w:val="24"/>
                <w:lang w:val="lv-LV"/>
              </w:rPr>
              <w:t>Orgānu sistēmu klasifikācija</w:t>
            </w:r>
          </w:p>
          <w:p w14:paraId="0C54EE04" w14:textId="77777777" w:rsidR="00965657" w:rsidRPr="00764797" w:rsidRDefault="00965657">
            <w:pPr>
              <w:spacing w:line="240" w:lineRule="auto"/>
              <w:jc w:val="center"/>
              <w:rPr>
                <w:b/>
                <w:szCs w:val="24"/>
                <w:lang w:val="lv-LV"/>
              </w:rPr>
            </w:pPr>
          </w:p>
        </w:tc>
        <w:tc>
          <w:tcPr>
            <w:tcW w:w="6191" w:type="dxa"/>
          </w:tcPr>
          <w:p w14:paraId="313BC255" w14:textId="77777777" w:rsidR="00965657" w:rsidRPr="00764797" w:rsidRDefault="00965657">
            <w:pPr>
              <w:tabs>
                <w:tab w:val="clear" w:pos="565"/>
              </w:tabs>
              <w:autoSpaceDE w:val="0"/>
              <w:autoSpaceDN w:val="0"/>
              <w:adjustRightInd w:val="0"/>
              <w:spacing w:line="240" w:lineRule="auto"/>
              <w:jc w:val="center"/>
              <w:rPr>
                <w:b/>
                <w:szCs w:val="24"/>
                <w:lang w:val="lv-LV"/>
              </w:rPr>
            </w:pPr>
          </w:p>
          <w:p w14:paraId="5C9B02AB" w14:textId="77777777" w:rsidR="00965657" w:rsidRPr="00764797" w:rsidRDefault="00965657">
            <w:pPr>
              <w:tabs>
                <w:tab w:val="clear" w:pos="565"/>
              </w:tabs>
              <w:autoSpaceDE w:val="0"/>
              <w:autoSpaceDN w:val="0"/>
              <w:adjustRightInd w:val="0"/>
              <w:spacing w:line="240" w:lineRule="auto"/>
              <w:jc w:val="center"/>
              <w:rPr>
                <w:szCs w:val="24"/>
                <w:lang w:val="lv-LV"/>
              </w:rPr>
            </w:pPr>
            <w:r w:rsidRPr="00764797">
              <w:rPr>
                <w:b/>
                <w:szCs w:val="24"/>
                <w:lang w:val="lv-LV"/>
              </w:rPr>
              <w:t>Nevēlamās blakusparādības</w:t>
            </w:r>
          </w:p>
        </w:tc>
      </w:tr>
      <w:tr w:rsidR="00965657" w:rsidRPr="00764797" w14:paraId="0789011D" w14:textId="77777777" w:rsidTr="002D03D0">
        <w:tc>
          <w:tcPr>
            <w:tcW w:w="8951" w:type="dxa"/>
            <w:gridSpan w:val="2"/>
          </w:tcPr>
          <w:p w14:paraId="53A1F6E1" w14:textId="77777777" w:rsidR="00965657" w:rsidRPr="00764797" w:rsidRDefault="00965657">
            <w:pPr>
              <w:tabs>
                <w:tab w:val="clear" w:pos="565"/>
              </w:tabs>
              <w:autoSpaceDE w:val="0"/>
              <w:autoSpaceDN w:val="0"/>
              <w:adjustRightInd w:val="0"/>
              <w:spacing w:line="240" w:lineRule="auto"/>
              <w:rPr>
                <w:szCs w:val="24"/>
                <w:lang w:val="lv-LV"/>
              </w:rPr>
            </w:pPr>
            <w:r w:rsidRPr="00764797">
              <w:rPr>
                <w:b/>
                <w:szCs w:val="24"/>
                <w:lang w:val="lv-LV"/>
              </w:rPr>
              <w:t>Infekcijas un infestācijas</w:t>
            </w:r>
          </w:p>
        </w:tc>
      </w:tr>
      <w:tr w:rsidR="00965657" w:rsidRPr="00764797" w14:paraId="61C2D8F0" w14:textId="77777777" w:rsidTr="002D03D0">
        <w:tc>
          <w:tcPr>
            <w:tcW w:w="2760" w:type="dxa"/>
          </w:tcPr>
          <w:p w14:paraId="2DFC742D" w14:textId="77777777" w:rsidR="00965657" w:rsidRPr="00764797" w:rsidRDefault="00965657">
            <w:pPr>
              <w:spacing w:line="240" w:lineRule="auto"/>
              <w:rPr>
                <w:szCs w:val="24"/>
                <w:lang w:val="lv-LV"/>
              </w:rPr>
            </w:pPr>
            <w:r w:rsidRPr="00764797">
              <w:rPr>
                <w:szCs w:val="24"/>
                <w:lang w:val="lv-LV"/>
              </w:rPr>
              <w:t>Bieži</w:t>
            </w:r>
          </w:p>
        </w:tc>
        <w:tc>
          <w:tcPr>
            <w:tcW w:w="6191" w:type="dxa"/>
          </w:tcPr>
          <w:p w14:paraId="4901B67E" w14:textId="77777777" w:rsidR="00965657" w:rsidRPr="00764797" w:rsidRDefault="00965657">
            <w:pPr>
              <w:tabs>
                <w:tab w:val="clear" w:pos="565"/>
              </w:tabs>
              <w:autoSpaceDE w:val="0"/>
              <w:autoSpaceDN w:val="0"/>
              <w:adjustRightInd w:val="0"/>
              <w:spacing w:line="240" w:lineRule="auto"/>
              <w:rPr>
                <w:szCs w:val="24"/>
                <w:lang w:val="lv-LV"/>
              </w:rPr>
            </w:pPr>
            <w:r w:rsidRPr="00764797">
              <w:rPr>
                <w:szCs w:val="24"/>
                <w:lang w:val="lv-LV"/>
              </w:rPr>
              <w:t>Nazofaringīts</w:t>
            </w:r>
          </w:p>
        </w:tc>
      </w:tr>
      <w:tr w:rsidR="00965657" w:rsidRPr="00764797" w14:paraId="7F239920" w14:textId="77777777" w:rsidTr="002D03D0">
        <w:tc>
          <w:tcPr>
            <w:tcW w:w="8951" w:type="dxa"/>
            <w:gridSpan w:val="2"/>
          </w:tcPr>
          <w:p w14:paraId="0B094EE0" w14:textId="77777777" w:rsidR="00965657" w:rsidRPr="00764797" w:rsidRDefault="00965657">
            <w:pPr>
              <w:spacing w:line="240" w:lineRule="auto"/>
              <w:rPr>
                <w:szCs w:val="24"/>
                <w:lang w:val="lv-LV"/>
              </w:rPr>
            </w:pPr>
            <w:r w:rsidRPr="00764797">
              <w:rPr>
                <w:b/>
                <w:szCs w:val="24"/>
                <w:lang w:val="lv-LV"/>
              </w:rPr>
              <w:t>Asins un limfātiskās sistēmas traucējumi</w:t>
            </w:r>
          </w:p>
        </w:tc>
      </w:tr>
      <w:tr w:rsidR="00965657" w:rsidRPr="00764797" w14:paraId="30AF3D11" w14:textId="77777777" w:rsidTr="002D03D0">
        <w:tc>
          <w:tcPr>
            <w:tcW w:w="2760" w:type="dxa"/>
          </w:tcPr>
          <w:p w14:paraId="13B651D8" w14:textId="77777777" w:rsidR="00965657" w:rsidRPr="00764797" w:rsidRDefault="00965657">
            <w:pPr>
              <w:spacing w:line="240" w:lineRule="auto"/>
              <w:rPr>
                <w:szCs w:val="24"/>
                <w:lang w:val="lv-LV"/>
              </w:rPr>
            </w:pPr>
            <w:r w:rsidRPr="00764797">
              <w:rPr>
                <w:szCs w:val="24"/>
                <w:lang w:val="lv-LV"/>
              </w:rPr>
              <w:t>Retāk</w:t>
            </w:r>
          </w:p>
        </w:tc>
        <w:tc>
          <w:tcPr>
            <w:tcW w:w="6191" w:type="dxa"/>
          </w:tcPr>
          <w:p w14:paraId="546E90A0" w14:textId="77777777" w:rsidR="00965657" w:rsidRPr="00764797" w:rsidRDefault="00965657">
            <w:pPr>
              <w:tabs>
                <w:tab w:val="clear" w:pos="565"/>
              </w:tabs>
              <w:autoSpaceDE w:val="0"/>
              <w:autoSpaceDN w:val="0"/>
              <w:adjustRightInd w:val="0"/>
              <w:spacing w:line="240" w:lineRule="auto"/>
              <w:rPr>
                <w:szCs w:val="24"/>
                <w:lang w:val="lv-LV"/>
              </w:rPr>
            </w:pPr>
            <w:r w:rsidRPr="00764797">
              <w:rPr>
                <w:szCs w:val="24"/>
                <w:lang w:val="lv-LV"/>
              </w:rPr>
              <w:t>Neitropēnija</w:t>
            </w:r>
          </w:p>
        </w:tc>
      </w:tr>
      <w:tr w:rsidR="00965657" w:rsidRPr="00764797" w14:paraId="5352B62E" w14:textId="77777777" w:rsidTr="002D03D0">
        <w:tc>
          <w:tcPr>
            <w:tcW w:w="8951" w:type="dxa"/>
            <w:gridSpan w:val="2"/>
          </w:tcPr>
          <w:p w14:paraId="4DC68114" w14:textId="77777777" w:rsidR="00965657" w:rsidRPr="00764797" w:rsidRDefault="00965657">
            <w:pPr>
              <w:tabs>
                <w:tab w:val="clear" w:pos="565"/>
              </w:tabs>
              <w:autoSpaceDE w:val="0"/>
              <w:autoSpaceDN w:val="0"/>
              <w:adjustRightInd w:val="0"/>
              <w:spacing w:line="240" w:lineRule="auto"/>
              <w:rPr>
                <w:szCs w:val="24"/>
                <w:lang w:val="lv-LV"/>
              </w:rPr>
            </w:pPr>
            <w:r w:rsidRPr="00764797">
              <w:rPr>
                <w:b/>
                <w:szCs w:val="24"/>
                <w:lang w:val="lv-LV"/>
              </w:rPr>
              <w:t>Imūnās sistēmas traucējumi</w:t>
            </w:r>
          </w:p>
        </w:tc>
      </w:tr>
      <w:tr w:rsidR="00965657" w:rsidRPr="00764797" w14:paraId="749D3254" w14:textId="77777777" w:rsidTr="002D03D0">
        <w:tc>
          <w:tcPr>
            <w:tcW w:w="2760" w:type="dxa"/>
          </w:tcPr>
          <w:p w14:paraId="2723DB5A" w14:textId="77777777" w:rsidR="00965657" w:rsidRPr="00764797" w:rsidRDefault="00965657">
            <w:pPr>
              <w:tabs>
                <w:tab w:val="clear" w:pos="565"/>
              </w:tabs>
              <w:autoSpaceDE w:val="0"/>
              <w:autoSpaceDN w:val="0"/>
              <w:adjustRightInd w:val="0"/>
              <w:spacing w:line="240" w:lineRule="auto"/>
              <w:rPr>
                <w:szCs w:val="24"/>
                <w:lang w:val="lv-LV"/>
              </w:rPr>
            </w:pPr>
            <w:r w:rsidRPr="00764797">
              <w:rPr>
                <w:szCs w:val="24"/>
                <w:lang w:val="lv-LV"/>
              </w:rPr>
              <w:t>Retāk</w:t>
            </w:r>
          </w:p>
        </w:tc>
        <w:tc>
          <w:tcPr>
            <w:tcW w:w="6191" w:type="dxa"/>
          </w:tcPr>
          <w:p w14:paraId="25A2E0F7" w14:textId="77777777" w:rsidR="00965657" w:rsidRPr="00764797" w:rsidRDefault="00965657">
            <w:pPr>
              <w:tabs>
                <w:tab w:val="clear" w:pos="565"/>
              </w:tabs>
              <w:autoSpaceDE w:val="0"/>
              <w:autoSpaceDN w:val="0"/>
              <w:adjustRightInd w:val="0"/>
              <w:spacing w:line="240" w:lineRule="auto"/>
              <w:rPr>
                <w:szCs w:val="24"/>
                <w:lang w:val="lv-LV"/>
              </w:rPr>
            </w:pPr>
            <w:r w:rsidRPr="00764797">
              <w:rPr>
                <w:i/>
                <w:szCs w:val="24"/>
                <w:lang w:val="lv-LV"/>
              </w:rPr>
              <w:t>Paaugstināta jutība</w:t>
            </w:r>
          </w:p>
        </w:tc>
      </w:tr>
      <w:tr w:rsidR="00965657" w:rsidRPr="00764797" w14:paraId="1DF8810A" w14:textId="77777777" w:rsidTr="002D03D0">
        <w:tc>
          <w:tcPr>
            <w:tcW w:w="2760" w:type="dxa"/>
          </w:tcPr>
          <w:p w14:paraId="4DA0AF1C" w14:textId="77777777" w:rsidR="00965657" w:rsidRPr="00764797" w:rsidRDefault="00965657">
            <w:pPr>
              <w:tabs>
                <w:tab w:val="clear" w:pos="565"/>
              </w:tabs>
              <w:autoSpaceDE w:val="0"/>
              <w:autoSpaceDN w:val="0"/>
              <w:adjustRightInd w:val="0"/>
              <w:spacing w:line="240" w:lineRule="auto"/>
              <w:rPr>
                <w:szCs w:val="24"/>
                <w:lang w:val="lv-LV"/>
              </w:rPr>
            </w:pPr>
            <w:r w:rsidRPr="00764797">
              <w:rPr>
                <w:szCs w:val="24"/>
                <w:lang w:val="lv-LV"/>
              </w:rPr>
              <w:t>Reti</w:t>
            </w:r>
          </w:p>
        </w:tc>
        <w:tc>
          <w:tcPr>
            <w:tcW w:w="6191" w:type="dxa"/>
          </w:tcPr>
          <w:p w14:paraId="286AA2E9" w14:textId="77777777" w:rsidR="00965657" w:rsidRPr="00764797" w:rsidRDefault="00965657" w:rsidP="003E252A">
            <w:pPr>
              <w:tabs>
                <w:tab w:val="clear" w:pos="565"/>
              </w:tabs>
              <w:autoSpaceDE w:val="0"/>
              <w:autoSpaceDN w:val="0"/>
              <w:adjustRightInd w:val="0"/>
              <w:spacing w:line="240" w:lineRule="auto"/>
              <w:rPr>
                <w:szCs w:val="24"/>
                <w:lang w:val="lv-LV"/>
              </w:rPr>
            </w:pPr>
            <w:r w:rsidRPr="00764797">
              <w:rPr>
                <w:i/>
                <w:szCs w:val="24"/>
                <w:lang w:val="lv-LV"/>
              </w:rPr>
              <w:t>Angioe</w:t>
            </w:r>
            <w:r w:rsidR="003E252A" w:rsidRPr="00764797">
              <w:rPr>
                <w:i/>
                <w:szCs w:val="24"/>
                <w:lang w:val="lv-LV"/>
              </w:rPr>
              <w:t>dēma</w:t>
            </w:r>
            <w:r w:rsidRPr="00764797">
              <w:rPr>
                <w:i/>
                <w:szCs w:val="24"/>
                <w:lang w:val="lv-LV"/>
              </w:rPr>
              <w:t>, alerģiska reakcija</w:t>
            </w:r>
          </w:p>
        </w:tc>
      </w:tr>
      <w:tr w:rsidR="00965657" w:rsidRPr="00764797" w14:paraId="4B75F934" w14:textId="77777777" w:rsidTr="002D03D0">
        <w:tc>
          <w:tcPr>
            <w:tcW w:w="8951" w:type="dxa"/>
            <w:gridSpan w:val="2"/>
          </w:tcPr>
          <w:p w14:paraId="617B1F8B" w14:textId="77777777" w:rsidR="00965657" w:rsidRPr="00764797" w:rsidRDefault="00965657">
            <w:pPr>
              <w:tabs>
                <w:tab w:val="clear" w:pos="565"/>
              </w:tabs>
              <w:autoSpaceDE w:val="0"/>
              <w:autoSpaceDN w:val="0"/>
              <w:adjustRightInd w:val="0"/>
              <w:spacing w:line="240" w:lineRule="auto"/>
              <w:rPr>
                <w:szCs w:val="24"/>
                <w:lang w:val="lv-LV"/>
              </w:rPr>
            </w:pPr>
            <w:r w:rsidRPr="00764797">
              <w:rPr>
                <w:b/>
                <w:szCs w:val="24"/>
                <w:lang w:val="lv-LV"/>
              </w:rPr>
              <w:t>Vielmaiņas un uztures traucējumi</w:t>
            </w:r>
          </w:p>
        </w:tc>
      </w:tr>
      <w:tr w:rsidR="00965657" w:rsidRPr="00764797" w14:paraId="40350792" w14:textId="77777777" w:rsidTr="002D03D0">
        <w:tc>
          <w:tcPr>
            <w:tcW w:w="2760" w:type="dxa"/>
          </w:tcPr>
          <w:p w14:paraId="07E61457" w14:textId="77777777" w:rsidR="00965657" w:rsidRPr="00764797" w:rsidRDefault="00965657">
            <w:pPr>
              <w:tabs>
                <w:tab w:val="clear" w:pos="565"/>
              </w:tabs>
              <w:autoSpaceDE w:val="0"/>
              <w:autoSpaceDN w:val="0"/>
              <w:adjustRightInd w:val="0"/>
              <w:spacing w:line="240" w:lineRule="auto"/>
              <w:rPr>
                <w:szCs w:val="24"/>
                <w:lang w:val="lv-LV"/>
              </w:rPr>
            </w:pPr>
            <w:r w:rsidRPr="00764797">
              <w:rPr>
                <w:szCs w:val="24"/>
                <w:lang w:val="lv-LV"/>
              </w:rPr>
              <w:t>Bieži</w:t>
            </w:r>
          </w:p>
        </w:tc>
        <w:tc>
          <w:tcPr>
            <w:tcW w:w="6191" w:type="dxa"/>
          </w:tcPr>
          <w:p w14:paraId="20A6F5EB" w14:textId="77777777" w:rsidR="00965657" w:rsidRPr="00764797" w:rsidRDefault="00965657">
            <w:pPr>
              <w:tabs>
                <w:tab w:val="clear" w:pos="565"/>
              </w:tabs>
              <w:autoSpaceDE w:val="0"/>
              <w:autoSpaceDN w:val="0"/>
              <w:adjustRightInd w:val="0"/>
              <w:spacing w:line="240" w:lineRule="auto"/>
              <w:rPr>
                <w:szCs w:val="24"/>
                <w:lang w:val="lv-LV"/>
              </w:rPr>
            </w:pPr>
            <w:r w:rsidRPr="00764797">
              <w:rPr>
                <w:szCs w:val="24"/>
                <w:lang w:val="lv-LV"/>
              </w:rPr>
              <w:t xml:space="preserve">Pastiprināta ēstgriba </w:t>
            </w:r>
          </w:p>
        </w:tc>
      </w:tr>
      <w:tr w:rsidR="00965657" w:rsidRPr="00764797" w14:paraId="439E49DD" w14:textId="77777777" w:rsidTr="002D03D0">
        <w:tc>
          <w:tcPr>
            <w:tcW w:w="2760" w:type="dxa"/>
          </w:tcPr>
          <w:p w14:paraId="4D7045A7" w14:textId="77777777" w:rsidR="00965657" w:rsidRPr="00764797" w:rsidRDefault="00965657">
            <w:pPr>
              <w:tabs>
                <w:tab w:val="clear" w:pos="565"/>
              </w:tabs>
              <w:autoSpaceDE w:val="0"/>
              <w:autoSpaceDN w:val="0"/>
              <w:adjustRightInd w:val="0"/>
              <w:spacing w:line="240" w:lineRule="auto"/>
              <w:rPr>
                <w:szCs w:val="24"/>
                <w:lang w:val="lv-LV"/>
              </w:rPr>
            </w:pPr>
            <w:r w:rsidRPr="00764797">
              <w:rPr>
                <w:szCs w:val="24"/>
                <w:lang w:val="lv-LV"/>
              </w:rPr>
              <w:t>Retāk</w:t>
            </w:r>
          </w:p>
        </w:tc>
        <w:tc>
          <w:tcPr>
            <w:tcW w:w="6191" w:type="dxa"/>
          </w:tcPr>
          <w:p w14:paraId="672CFACC" w14:textId="77777777" w:rsidR="00965657" w:rsidRPr="00764797" w:rsidRDefault="00965657">
            <w:pPr>
              <w:tabs>
                <w:tab w:val="clear" w:pos="565"/>
              </w:tabs>
              <w:autoSpaceDE w:val="0"/>
              <w:autoSpaceDN w:val="0"/>
              <w:adjustRightInd w:val="0"/>
              <w:spacing w:line="240" w:lineRule="auto"/>
              <w:rPr>
                <w:szCs w:val="24"/>
                <w:lang w:val="lv-LV"/>
              </w:rPr>
            </w:pPr>
            <w:r w:rsidRPr="00764797">
              <w:rPr>
                <w:szCs w:val="24"/>
                <w:lang w:val="lv-LV"/>
              </w:rPr>
              <w:t>Anoreksija, hipoglikēmija</w:t>
            </w:r>
          </w:p>
        </w:tc>
      </w:tr>
      <w:tr w:rsidR="00965657" w:rsidRPr="00764797" w14:paraId="35D85C48" w14:textId="77777777" w:rsidTr="002D03D0">
        <w:tc>
          <w:tcPr>
            <w:tcW w:w="8951" w:type="dxa"/>
            <w:gridSpan w:val="2"/>
          </w:tcPr>
          <w:p w14:paraId="2A847063" w14:textId="77777777" w:rsidR="00965657" w:rsidRPr="00764797" w:rsidRDefault="00965657">
            <w:pPr>
              <w:tabs>
                <w:tab w:val="clear" w:pos="565"/>
              </w:tabs>
              <w:autoSpaceDE w:val="0"/>
              <w:autoSpaceDN w:val="0"/>
              <w:adjustRightInd w:val="0"/>
              <w:spacing w:line="240" w:lineRule="auto"/>
              <w:rPr>
                <w:szCs w:val="24"/>
                <w:lang w:val="lv-LV"/>
              </w:rPr>
            </w:pPr>
            <w:r w:rsidRPr="00764797">
              <w:rPr>
                <w:b/>
                <w:szCs w:val="24"/>
                <w:lang w:val="lv-LV"/>
              </w:rPr>
              <w:t>Psihiskie traucējumi</w:t>
            </w:r>
          </w:p>
        </w:tc>
      </w:tr>
      <w:tr w:rsidR="00965657" w:rsidRPr="005053A4" w14:paraId="72075117" w14:textId="77777777" w:rsidTr="002D03D0">
        <w:tc>
          <w:tcPr>
            <w:tcW w:w="2760" w:type="dxa"/>
          </w:tcPr>
          <w:p w14:paraId="48591996" w14:textId="77777777" w:rsidR="00965657" w:rsidRPr="00764797" w:rsidRDefault="003E252A">
            <w:pPr>
              <w:tabs>
                <w:tab w:val="clear" w:pos="565"/>
              </w:tabs>
              <w:autoSpaceDE w:val="0"/>
              <w:autoSpaceDN w:val="0"/>
              <w:adjustRightInd w:val="0"/>
              <w:spacing w:line="240" w:lineRule="auto"/>
              <w:rPr>
                <w:b/>
                <w:szCs w:val="24"/>
                <w:lang w:val="lv-LV"/>
              </w:rPr>
            </w:pPr>
            <w:r w:rsidRPr="00764797">
              <w:rPr>
                <w:noProof/>
                <w:szCs w:val="24"/>
                <w:lang w:val="lv-LV"/>
              </w:rPr>
              <w:t>Bieži</w:t>
            </w:r>
          </w:p>
        </w:tc>
        <w:tc>
          <w:tcPr>
            <w:tcW w:w="6191" w:type="dxa"/>
          </w:tcPr>
          <w:p w14:paraId="1D376AC2" w14:textId="77777777" w:rsidR="00965657" w:rsidRPr="00764797" w:rsidRDefault="00965657">
            <w:pPr>
              <w:tabs>
                <w:tab w:val="clear" w:pos="565"/>
              </w:tabs>
              <w:autoSpaceDE w:val="0"/>
              <w:autoSpaceDN w:val="0"/>
              <w:adjustRightInd w:val="0"/>
              <w:spacing w:line="240" w:lineRule="auto"/>
              <w:rPr>
                <w:szCs w:val="24"/>
                <w:lang w:val="lv-LV"/>
              </w:rPr>
            </w:pPr>
            <w:r w:rsidRPr="00764797">
              <w:rPr>
                <w:szCs w:val="24"/>
                <w:lang w:val="lv-LV"/>
              </w:rPr>
              <w:t>Eiforisks garastāvoklis, apjukums, aizkaitināmība, dezorientācija, bezmiegs, samazināta dzimumtieksme</w:t>
            </w:r>
          </w:p>
        </w:tc>
      </w:tr>
      <w:tr w:rsidR="00965657" w:rsidRPr="005053A4" w14:paraId="11027C1B" w14:textId="77777777" w:rsidTr="002D03D0">
        <w:tc>
          <w:tcPr>
            <w:tcW w:w="2760" w:type="dxa"/>
          </w:tcPr>
          <w:p w14:paraId="1DBEDD8A" w14:textId="77777777" w:rsidR="00965657" w:rsidRPr="00764797" w:rsidRDefault="003E252A" w:rsidP="003E252A">
            <w:pPr>
              <w:tabs>
                <w:tab w:val="clear" w:pos="565"/>
              </w:tabs>
              <w:autoSpaceDE w:val="0"/>
              <w:autoSpaceDN w:val="0"/>
              <w:adjustRightInd w:val="0"/>
              <w:spacing w:line="240" w:lineRule="auto"/>
              <w:rPr>
                <w:b/>
                <w:szCs w:val="24"/>
                <w:lang w:val="lv-LV"/>
              </w:rPr>
            </w:pPr>
            <w:r w:rsidRPr="00764797">
              <w:rPr>
                <w:noProof/>
                <w:szCs w:val="24"/>
                <w:lang w:val="lv-LV"/>
              </w:rPr>
              <w:t>Retāk</w:t>
            </w:r>
          </w:p>
        </w:tc>
        <w:tc>
          <w:tcPr>
            <w:tcW w:w="6191" w:type="dxa"/>
          </w:tcPr>
          <w:p w14:paraId="3E45A61D" w14:textId="77777777" w:rsidR="00965657" w:rsidRPr="00764797" w:rsidRDefault="00965657">
            <w:pPr>
              <w:tabs>
                <w:tab w:val="clear" w:pos="565"/>
              </w:tabs>
              <w:autoSpaceDE w:val="0"/>
              <w:autoSpaceDN w:val="0"/>
              <w:adjustRightInd w:val="0"/>
              <w:spacing w:line="240" w:lineRule="auto"/>
              <w:rPr>
                <w:szCs w:val="24"/>
                <w:lang w:val="lv-LV"/>
              </w:rPr>
            </w:pPr>
            <w:r w:rsidRPr="00764797">
              <w:rPr>
                <w:szCs w:val="24"/>
                <w:lang w:val="lv-LV"/>
              </w:rPr>
              <w:t xml:space="preserve">Halucinācijas, panikas lēkme, nemiers, satraukums, depresija, nomākts garastāvoklis, pacilāts garastāvoklis, </w:t>
            </w:r>
            <w:r w:rsidRPr="00764797">
              <w:rPr>
                <w:i/>
                <w:szCs w:val="24"/>
                <w:lang w:val="lv-LV"/>
              </w:rPr>
              <w:t>agresija</w:t>
            </w:r>
            <w:r w:rsidRPr="00764797">
              <w:rPr>
                <w:szCs w:val="24"/>
                <w:lang w:val="lv-LV"/>
              </w:rPr>
              <w:t>, garastāvokļa svārstības, depersonalizācija, grūtības atrast vārdus, patoloģiski sapņi, pastiprināta dzimumtieksme, anorgasmija, apātija</w:t>
            </w:r>
          </w:p>
        </w:tc>
      </w:tr>
      <w:tr w:rsidR="00965657" w:rsidRPr="00764797" w14:paraId="32A6E1EB" w14:textId="77777777" w:rsidTr="002D03D0">
        <w:tc>
          <w:tcPr>
            <w:tcW w:w="2760" w:type="dxa"/>
          </w:tcPr>
          <w:p w14:paraId="275FDBEC" w14:textId="77777777" w:rsidR="00965657" w:rsidRPr="00764797" w:rsidRDefault="00965657">
            <w:pPr>
              <w:tabs>
                <w:tab w:val="clear" w:pos="565"/>
              </w:tabs>
              <w:autoSpaceDE w:val="0"/>
              <w:autoSpaceDN w:val="0"/>
              <w:adjustRightInd w:val="0"/>
              <w:spacing w:line="240" w:lineRule="auto"/>
              <w:rPr>
                <w:szCs w:val="24"/>
                <w:lang w:val="lv-LV"/>
              </w:rPr>
            </w:pPr>
            <w:r w:rsidRPr="00764797">
              <w:rPr>
                <w:szCs w:val="24"/>
                <w:lang w:val="lv-LV"/>
              </w:rPr>
              <w:t>Reti</w:t>
            </w:r>
          </w:p>
        </w:tc>
        <w:tc>
          <w:tcPr>
            <w:tcW w:w="6191" w:type="dxa"/>
          </w:tcPr>
          <w:p w14:paraId="2384A47C" w14:textId="77777777" w:rsidR="00965657" w:rsidRPr="00764797" w:rsidRDefault="00965657">
            <w:pPr>
              <w:tabs>
                <w:tab w:val="clear" w:pos="565"/>
              </w:tabs>
              <w:autoSpaceDE w:val="0"/>
              <w:autoSpaceDN w:val="0"/>
              <w:adjustRightInd w:val="0"/>
              <w:spacing w:line="240" w:lineRule="auto"/>
              <w:rPr>
                <w:szCs w:val="24"/>
                <w:lang w:val="lv-LV"/>
              </w:rPr>
            </w:pPr>
            <w:r w:rsidRPr="00764797">
              <w:rPr>
                <w:szCs w:val="24"/>
                <w:lang w:val="lv-LV"/>
              </w:rPr>
              <w:t>Uzvedības kontroles zudums</w:t>
            </w:r>
          </w:p>
        </w:tc>
      </w:tr>
      <w:tr w:rsidR="00965657" w:rsidRPr="00764797" w14:paraId="756E6836" w14:textId="77777777" w:rsidTr="002D03D0">
        <w:tc>
          <w:tcPr>
            <w:tcW w:w="8951" w:type="dxa"/>
            <w:gridSpan w:val="2"/>
          </w:tcPr>
          <w:p w14:paraId="4735C90A" w14:textId="77777777" w:rsidR="00965657" w:rsidRPr="00764797" w:rsidRDefault="00965657">
            <w:pPr>
              <w:tabs>
                <w:tab w:val="clear" w:pos="565"/>
              </w:tabs>
              <w:autoSpaceDE w:val="0"/>
              <w:autoSpaceDN w:val="0"/>
              <w:adjustRightInd w:val="0"/>
              <w:spacing w:line="240" w:lineRule="auto"/>
              <w:rPr>
                <w:szCs w:val="24"/>
                <w:lang w:val="lv-LV"/>
              </w:rPr>
            </w:pPr>
            <w:r w:rsidRPr="00764797">
              <w:rPr>
                <w:b/>
                <w:szCs w:val="24"/>
                <w:lang w:val="lv-LV"/>
              </w:rPr>
              <w:lastRenderedPageBreak/>
              <w:t>Nervu sistēmas traucējumi</w:t>
            </w:r>
          </w:p>
        </w:tc>
      </w:tr>
      <w:tr w:rsidR="00965657" w:rsidRPr="00764797" w14:paraId="119F5654" w14:textId="77777777" w:rsidTr="002D03D0">
        <w:tc>
          <w:tcPr>
            <w:tcW w:w="2760" w:type="dxa"/>
          </w:tcPr>
          <w:p w14:paraId="27A0C8D1" w14:textId="77777777" w:rsidR="00965657" w:rsidRPr="00764797" w:rsidRDefault="00965657">
            <w:pPr>
              <w:tabs>
                <w:tab w:val="clear" w:pos="565"/>
              </w:tabs>
              <w:autoSpaceDE w:val="0"/>
              <w:autoSpaceDN w:val="0"/>
              <w:adjustRightInd w:val="0"/>
              <w:spacing w:line="240" w:lineRule="auto"/>
              <w:rPr>
                <w:szCs w:val="24"/>
                <w:lang w:val="lv-LV"/>
              </w:rPr>
            </w:pPr>
            <w:r w:rsidRPr="00764797">
              <w:rPr>
                <w:szCs w:val="24"/>
                <w:lang w:val="lv-LV"/>
              </w:rPr>
              <w:t>Ļoti bieži</w:t>
            </w:r>
          </w:p>
        </w:tc>
        <w:tc>
          <w:tcPr>
            <w:tcW w:w="6191" w:type="dxa"/>
          </w:tcPr>
          <w:p w14:paraId="5E44D4AA" w14:textId="77777777" w:rsidR="00965657" w:rsidRPr="00764797" w:rsidRDefault="00965657">
            <w:pPr>
              <w:tabs>
                <w:tab w:val="clear" w:pos="565"/>
              </w:tabs>
              <w:autoSpaceDE w:val="0"/>
              <w:autoSpaceDN w:val="0"/>
              <w:adjustRightInd w:val="0"/>
              <w:spacing w:line="240" w:lineRule="auto"/>
              <w:rPr>
                <w:szCs w:val="24"/>
                <w:lang w:val="lv-LV"/>
              </w:rPr>
            </w:pPr>
            <w:r w:rsidRPr="00764797">
              <w:rPr>
                <w:szCs w:val="24"/>
                <w:lang w:val="lv-LV"/>
              </w:rPr>
              <w:t>Reibonis, miegainība, galvassāpes</w:t>
            </w:r>
          </w:p>
        </w:tc>
      </w:tr>
      <w:tr w:rsidR="00965657" w:rsidRPr="005053A4" w14:paraId="51C32624" w14:textId="77777777" w:rsidTr="002D03D0">
        <w:tc>
          <w:tcPr>
            <w:tcW w:w="2760" w:type="dxa"/>
          </w:tcPr>
          <w:p w14:paraId="28BF7C74" w14:textId="77777777" w:rsidR="00965657" w:rsidRPr="00764797" w:rsidRDefault="00965657">
            <w:pPr>
              <w:tabs>
                <w:tab w:val="clear" w:pos="565"/>
              </w:tabs>
              <w:autoSpaceDE w:val="0"/>
              <w:autoSpaceDN w:val="0"/>
              <w:adjustRightInd w:val="0"/>
              <w:spacing w:line="240" w:lineRule="auto"/>
              <w:rPr>
                <w:szCs w:val="24"/>
                <w:lang w:val="lv-LV"/>
              </w:rPr>
            </w:pPr>
            <w:r w:rsidRPr="00764797">
              <w:rPr>
                <w:szCs w:val="24"/>
                <w:lang w:val="lv-LV"/>
              </w:rPr>
              <w:t>Bieži</w:t>
            </w:r>
          </w:p>
        </w:tc>
        <w:tc>
          <w:tcPr>
            <w:tcW w:w="6191" w:type="dxa"/>
          </w:tcPr>
          <w:p w14:paraId="551640DC" w14:textId="77777777" w:rsidR="00965657" w:rsidRPr="00764797" w:rsidRDefault="00965657">
            <w:pPr>
              <w:tabs>
                <w:tab w:val="clear" w:pos="565"/>
              </w:tabs>
              <w:autoSpaceDE w:val="0"/>
              <w:autoSpaceDN w:val="0"/>
              <w:adjustRightInd w:val="0"/>
              <w:spacing w:line="240" w:lineRule="auto"/>
              <w:rPr>
                <w:szCs w:val="24"/>
                <w:lang w:val="lv-LV"/>
              </w:rPr>
            </w:pPr>
            <w:r w:rsidRPr="00764797">
              <w:rPr>
                <w:szCs w:val="24"/>
                <w:lang w:val="lv-LV"/>
              </w:rPr>
              <w:t>Ataksija, koordinācijas traucējumi, trīce, dizartrija, amnēzija, atmiņas traucējumi, uzmanības traucējumi, parestēzija, hipoestēzija, sedācija, līdzsvara traucējumi, letarģija</w:t>
            </w:r>
          </w:p>
        </w:tc>
      </w:tr>
      <w:tr w:rsidR="00965657" w:rsidRPr="005053A4" w14:paraId="1DAB2390" w14:textId="77777777" w:rsidTr="002D03D0">
        <w:tc>
          <w:tcPr>
            <w:tcW w:w="2760" w:type="dxa"/>
          </w:tcPr>
          <w:p w14:paraId="469B1456" w14:textId="77777777" w:rsidR="00965657" w:rsidRPr="00764797" w:rsidRDefault="00965657">
            <w:pPr>
              <w:tabs>
                <w:tab w:val="clear" w:pos="565"/>
              </w:tabs>
              <w:autoSpaceDE w:val="0"/>
              <w:autoSpaceDN w:val="0"/>
              <w:adjustRightInd w:val="0"/>
              <w:spacing w:line="240" w:lineRule="auto"/>
              <w:rPr>
                <w:szCs w:val="24"/>
                <w:lang w:val="lv-LV"/>
              </w:rPr>
            </w:pPr>
            <w:r w:rsidRPr="00764797">
              <w:rPr>
                <w:szCs w:val="24"/>
                <w:lang w:val="lv-LV"/>
              </w:rPr>
              <w:t>Retāk</w:t>
            </w:r>
          </w:p>
        </w:tc>
        <w:tc>
          <w:tcPr>
            <w:tcW w:w="6191" w:type="dxa"/>
          </w:tcPr>
          <w:p w14:paraId="4667F83D" w14:textId="77777777" w:rsidR="00965657" w:rsidRPr="00764797" w:rsidRDefault="00965657">
            <w:pPr>
              <w:tabs>
                <w:tab w:val="clear" w:pos="565"/>
              </w:tabs>
              <w:autoSpaceDE w:val="0"/>
              <w:autoSpaceDN w:val="0"/>
              <w:adjustRightInd w:val="0"/>
              <w:spacing w:line="240" w:lineRule="auto"/>
              <w:rPr>
                <w:szCs w:val="24"/>
                <w:lang w:val="lv-LV"/>
              </w:rPr>
            </w:pPr>
            <w:r w:rsidRPr="00764797">
              <w:rPr>
                <w:szCs w:val="24"/>
                <w:lang w:val="lv-LV"/>
              </w:rPr>
              <w:t xml:space="preserve">Ģībonis, stupors, mioklonuss, </w:t>
            </w:r>
            <w:r w:rsidRPr="00764797">
              <w:rPr>
                <w:i/>
                <w:szCs w:val="24"/>
                <w:lang w:val="lv-LV"/>
              </w:rPr>
              <w:t>samaņas zudums</w:t>
            </w:r>
            <w:r w:rsidRPr="00764797">
              <w:rPr>
                <w:szCs w:val="24"/>
                <w:lang w:val="lv-LV"/>
              </w:rPr>
              <w:t xml:space="preserve">, psihomotora hiperaktivitāte, diskinēzija, posturāls reibonis, intencijas trīce, nistagms, kognitīvi traucējumi, </w:t>
            </w:r>
            <w:r w:rsidRPr="00764797">
              <w:rPr>
                <w:i/>
                <w:szCs w:val="24"/>
                <w:lang w:val="lv-LV"/>
              </w:rPr>
              <w:t xml:space="preserve">psihiski traucējumi, </w:t>
            </w:r>
            <w:r w:rsidRPr="00764797">
              <w:rPr>
                <w:szCs w:val="24"/>
                <w:lang w:val="lv-LV"/>
              </w:rPr>
              <w:t xml:space="preserve">runas traucējumi, refleksu pavājināšanās, hiperestēzija, dedzināšanas sajūta, ageizija, </w:t>
            </w:r>
            <w:r w:rsidRPr="00764797">
              <w:rPr>
                <w:i/>
                <w:szCs w:val="24"/>
                <w:lang w:val="lv-LV"/>
              </w:rPr>
              <w:t>savārgums</w:t>
            </w:r>
          </w:p>
        </w:tc>
      </w:tr>
      <w:tr w:rsidR="00965657" w:rsidRPr="00A65B78" w14:paraId="0AA95E4E" w14:textId="77777777" w:rsidTr="002D03D0">
        <w:tc>
          <w:tcPr>
            <w:tcW w:w="2760" w:type="dxa"/>
          </w:tcPr>
          <w:p w14:paraId="49801843" w14:textId="77777777" w:rsidR="00965657" w:rsidRPr="00764797" w:rsidRDefault="00965657">
            <w:pPr>
              <w:tabs>
                <w:tab w:val="clear" w:pos="565"/>
              </w:tabs>
              <w:autoSpaceDE w:val="0"/>
              <w:autoSpaceDN w:val="0"/>
              <w:adjustRightInd w:val="0"/>
              <w:spacing w:line="240" w:lineRule="auto"/>
              <w:rPr>
                <w:szCs w:val="24"/>
                <w:lang w:val="lv-LV"/>
              </w:rPr>
            </w:pPr>
            <w:r w:rsidRPr="00764797">
              <w:rPr>
                <w:szCs w:val="24"/>
                <w:lang w:val="lv-LV"/>
              </w:rPr>
              <w:t>Reti</w:t>
            </w:r>
          </w:p>
        </w:tc>
        <w:tc>
          <w:tcPr>
            <w:tcW w:w="6191" w:type="dxa"/>
          </w:tcPr>
          <w:p w14:paraId="522FB115" w14:textId="286009EE" w:rsidR="00965657" w:rsidRPr="00764797" w:rsidRDefault="00965657" w:rsidP="003E252A">
            <w:pPr>
              <w:spacing w:line="240" w:lineRule="auto"/>
              <w:ind w:left="565" w:hanging="565"/>
              <w:rPr>
                <w:szCs w:val="24"/>
                <w:lang w:val="lv-LV"/>
              </w:rPr>
            </w:pPr>
            <w:r w:rsidRPr="00764797">
              <w:rPr>
                <w:i/>
                <w:szCs w:val="24"/>
                <w:lang w:val="lv-LV"/>
              </w:rPr>
              <w:t>Krampji</w:t>
            </w:r>
            <w:r w:rsidRPr="00764797">
              <w:rPr>
                <w:szCs w:val="24"/>
                <w:lang w:val="lv-LV"/>
              </w:rPr>
              <w:t>, parosmija, hipokinēzija, disgr</w:t>
            </w:r>
            <w:r w:rsidR="003E252A" w:rsidRPr="00764797">
              <w:rPr>
                <w:szCs w:val="24"/>
                <w:lang w:val="lv-LV"/>
              </w:rPr>
              <w:t>ā</w:t>
            </w:r>
            <w:r w:rsidRPr="00764797">
              <w:rPr>
                <w:szCs w:val="24"/>
                <w:lang w:val="lv-LV"/>
              </w:rPr>
              <w:t>fija</w:t>
            </w:r>
            <w:r w:rsidR="009A2865">
              <w:rPr>
                <w:szCs w:val="24"/>
                <w:lang w:val="lv-LV"/>
              </w:rPr>
              <w:t xml:space="preserve">, </w:t>
            </w:r>
            <w:r w:rsidR="009A2865" w:rsidRPr="009A2865">
              <w:rPr>
                <w:szCs w:val="24"/>
                <w:lang w:val="lv-LV"/>
              </w:rPr>
              <w:t>parkinsonisms</w:t>
            </w:r>
          </w:p>
        </w:tc>
      </w:tr>
      <w:tr w:rsidR="00965657" w:rsidRPr="00764797" w14:paraId="1D34A113" w14:textId="77777777" w:rsidTr="002D03D0">
        <w:tc>
          <w:tcPr>
            <w:tcW w:w="8951" w:type="dxa"/>
            <w:gridSpan w:val="2"/>
          </w:tcPr>
          <w:p w14:paraId="1E938A7D" w14:textId="77777777" w:rsidR="00965657" w:rsidRPr="00764797" w:rsidRDefault="00965657">
            <w:pPr>
              <w:spacing w:line="240" w:lineRule="auto"/>
              <w:ind w:left="565" w:hanging="565"/>
              <w:rPr>
                <w:szCs w:val="24"/>
                <w:lang w:val="lv-LV"/>
              </w:rPr>
            </w:pPr>
            <w:r w:rsidRPr="00764797">
              <w:rPr>
                <w:b/>
                <w:szCs w:val="24"/>
                <w:lang w:val="lv-LV"/>
              </w:rPr>
              <w:t>Acu bojājumi</w:t>
            </w:r>
          </w:p>
        </w:tc>
      </w:tr>
      <w:tr w:rsidR="00965657" w:rsidRPr="00764797" w14:paraId="50E213D5" w14:textId="77777777" w:rsidTr="002D03D0">
        <w:tc>
          <w:tcPr>
            <w:tcW w:w="2760" w:type="dxa"/>
          </w:tcPr>
          <w:p w14:paraId="07140A35" w14:textId="77777777" w:rsidR="00965657" w:rsidRPr="00764797" w:rsidRDefault="00965657">
            <w:pPr>
              <w:tabs>
                <w:tab w:val="clear" w:pos="565"/>
              </w:tabs>
              <w:autoSpaceDE w:val="0"/>
              <w:autoSpaceDN w:val="0"/>
              <w:adjustRightInd w:val="0"/>
              <w:spacing w:line="240" w:lineRule="auto"/>
              <w:rPr>
                <w:szCs w:val="24"/>
                <w:lang w:val="lv-LV"/>
              </w:rPr>
            </w:pPr>
            <w:r w:rsidRPr="00764797">
              <w:rPr>
                <w:szCs w:val="24"/>
                <w:lang w:val="lv-LV"/>
              </w:rPr>
              <w:t>Bieži</w:t>
            </w:r>
          </w:p>
        </w:tc>
        <w:tc>
          <w:tcPr>
            <w:tcW w:w="6191" w:type="dxa"/>
          </w:tcPr>
          <w:p w14:paraId="26D83E7D" w14:textId="77777777" w:rsidR="00965657" w:rsidRPr="00764797" w:rsidRDefault="00965657">
            <w:pPr>
              <w:tabs>
                <w:tab w:val="clear" w:pos="565"/>
              </w:tabs>
              <w:autoSpaceDE w:val="0"/>
              <w:autoSpaceDN w:val="0"/>
              <w:adjustRightInd w:val="0"/>
              <w:spacing w:line="240" w:lineRule="auto"/>
              <w:rPr>
                <w:szCs w:val="24"/>
                <w:lang w:val="lv-LV"/>
              </w:rPr>
            </w:pPr>
            <w:r w:rsidRPr="00764797">
              <w:rPr>
                <w:szCs w:val="24"/>
                <w:lang w:val="lv-LV"/>
              </w:rPr>
              <w:t>Redzes miglošanās, diplopija</w:t>
            </w:r>
          </w:p>
        </w:tc>
      </w:tr>
      <w:tr w:rsidR="00965657" w:rsidRPr="005053A4" w14:paraId="3F1EBFC7" w14:textId="77777777" w:rsidTr="002D03D0">
        <w:tc>
          <w:tcPr>
            <w:tcW w:w="2760" w:type="dxa"/>
          </w:tcPr>
          <w:p w14:paraId="0C1FA4BB" w14:textId="77777777" w:rsidR="00965657" w:rsidRPr="00764797" w:rsidRDefault="00965657">
            <w:pPr>
              <w:tabs>
                <w:tab w:val="clear" w:pos="565"/>
              </w:tabs>
              <w:autoSpaceDE w:val="0"/>
              <w:autoSpaceDN w:val="0"/>
              <w:adjustRightInd w:val="0"/>
              <w:spacing w:line="240" w:lineRule="auto"/>
              <w:rPr>
                <w:szCs w:val="24"/>
                <w:lang w:val="lv-LV"/>
              </w:rPr>
            </w:pPr>
            <w:r w:rsidRPr="00764797">
              <w:rPr>
                <w:szCs w:val="24"/>
                <w:lang w:val="lv-LV"/>
              </w:rPr>
              <w:t>Retāk</w:t>
            </w:r>
          </w:p>
        </w:tc>
        <w:tc>
          <w:tcPr>
            <w:tcW w:w="6191" w:type="dxa"/>
          </w:tcPr>
          <w:p w14:paraId="34FF3EF3" w14:textId="77777777" w:rsidR="00965657" w:rsidRPr="00764797" w:rsidRDefault="00965657">
            <w:pPr>
              <w:tabs>
                <w:tab w:val="clear" w:pos="565"/>
              </w:tabs>
              <w:autoSpaceDE w:val="0"/>
              <w:autoSpaceDN w:val="0"/>
              <w:adjustRightInd w:val="0"/>
              <w:spacing w:line="240" w:lineRule="auto"/>
              <w:rPr>
                <w:szCs w:val="24"/>
                <w:lang w:val="lv-LV"/>
              </w:rPr>
            </w:pPr>
            <w:r w:rsidRPr="00764797">
              <w:rPr>
                <w:szCs w:val="24"/>
                <w:lang w:val="lv-LV"/>
              </w:rPr>
              <w:t>Perifērās redzes zudums, redzes traucējumi, acu pietūkums, redzes lauka defekts, samazināts redzes asums, sāpes acī, astenopija, fotopsija, acs sausums, pastiprināta asarošana, acs kairinājums</w:t>
            </w:r>
          </w:p>
        </w:tc>
      </w:tr>
      <w:tr w:rsidR="00965657" w:rsidRPr="005053A4" w14:paraId="57456234" w14:textId="77777777" w:rsidTr="002D03D0">
        <w:tc>
          <w:tcPr>
            <w:tcW w:w="2760" w:type="dxa"/>
          </w:tcPr>
          <w:p w14:paraId="19B0046B" w14:textId="77777777" w:rsidR="00965657" w:rsidRPr="00764797" w:rsidRDefault="00965657">
            <w:pPr>
              <w:tabs>
                <w:tab w:val="clear" w:pos="565"/>
              </w:tabs>
              <w:autoSpaceDE w:val="0"/>
              <w:autoSpaceDN w:val="0"/>
              <w:adjustRightInd w:val="0"/>
              <w:spacing w:line="240" w:lineRule="auto"/>
              <w:rPr>
                <w:szCs w:val="24"/>
                <w:lang w:val="lv-LV"/>
              </w:rPr>
            </w:pPr>
            <w:r w:rsidRPr="00764797">
              <w:rPr>
                <w:szCs w:val="24"/>
                <w:lang w:val="lv-LV"/>
              </w:rPr>
              <w:t>Reti</w:t>
            </w:r>
          </w:p>
        </w:tc>
        <w:tc>
          <w:tcPr>
            <w:tcW w:w="6191" w:type="dxa"/>
          </w:tcPr>
          <w:p w14:paraId="10A64F85" w14:textId="77777777" w:rsidR="00965657" w:rsidRPr="00764797" w:rsidRDefault="00965657">
            <w:pPr>
              <w:tabs>
                <w:tab w:val="clear" w:pos="565"/>
              </w:tabs>
              <w:autoSpaceDE w:val="0"/>
              <w:autoSpaceDN w:val="0"/>
              <w:adjustRightInd w:val="0"/>
              <w:spacing w:line="240" w:lineRule="auto"/>
              <w:rPr>
                <w:szCs w:val="24"/>
                <w:lang w:val="lv-LV"/>
              </w:rPr>
            </w:pPr>
            <w:r w:rsidRPr="00764797">
              <w:rPr>
                <w:i/>
                <w:szCs w:val="24"/>
                <w:lang w:val="lv-LV"/>
              </w:rPr>
              <w:t xml:space="preserve">Redzes zudums, keratīts, </w:t>
            </w:r>
            <w:r w:rsidRPr="00764797">
              <w:rPr>
                <w:szCs w:val="24"/>
                <w:lang w:val="lv-LV"/>
              </w:rPr>
              <w:t>oscilopsija, attēla dziļuma uztveres maiņa, midriāze, šķielēšana, spilgtāka redze</w:t>
            </w:r>
          </w:p>
        </w:tc>
      </w:tr>
      <w:tr w:rsidR="00965657" w:rsidRPr="00764797" w14:paraId="608F09B0" w14:textId="77777777" w:rsidTr="002D03D0">
        <w:tc>
          <w:tcPr>
            <w:tcW w:w="8951" w:type="dxa"/>
            <w:gridSpan w:val="2"/>
          </w:tcPr>
          <w:p w14:paraId="1BD54A45" w14:textId="77777777" w:rsidR="00965657" w:rsidRPr="00764797" w:rsidRDefault="00965657">
            <w:pPr>
              <w:spacing w:line="240" w:lineRule="auto"/>
              <w:ind w:left="565" w:hanging="565"/>
              <w:rPr>
                <w:szCs w:val="24"/>
                <w:lang w:val="lv-LV"/>
              </w:rPr>
            </w:pPr>
            <w:r w:rsidRPr="00764797">
              <w:rPr>
                <w:b/>
                <w:szCs w:val="24"/>
                <w:lang w:val="lv-LV"/>
              </w:rPr>
              <w:t>Ausu un labirinta bojājumi</w:t>
            </w:r>
          </w:p>
        </w:tc>
      </w:tr>
      <w:tr w:rsidR="00965657" w:rsidRPr="00764797" w14:paraId="5F4B5131" w14:textId="77777777" w:rsidTr="002D03D0">
        <w:tc>
          <w:tcPr>
            <w:tcW w:w="2760" w:type="dxa"/>
          </w:tcPr>
          <w:p w14:paraId="6A738FDC" w14:textId="77777777" w:rsidR="00965657" w:rsidRPr="00764797" w:rsidRDefault="00965657">
            <w:pPr>
              <w:tabs>
                <w:tab w:val="clear" w:pos="565"/>
              </w:tabs>
              <w:autoSpaceDE w:val="0"/>
              <w:autoSpaceDN w:val="0"/>
              <w:adjustRightInd w:val="0"/>
              <w:spacing w:line="240" w:lineRule="auto"/>
              <w:rPr>
                <w:szCs w:val="24"/>
                <w:lang w:val="lv-LV"/>
              </w:rPr>
            </w:pPr>
            <w:r w:rsidRPr="00764797">
              <w:rPr>
                <w:szCs w:val="24"/>
                <w:lang w:val="lv-LV"/>
              </w:rPr>
              <w:t>Bieži</w:t>
            </w:r>
          </w:p>
        </w:tc>
        <w:tc>
          <w:tcPr>
            <w:tcW w:w="6191" w:type="dxa"/>
          </w:tcPr>
          <w:p w14:paraId="6E62CC7A" w14:textId="77777777" w:rsidR="00965657" w:rsidRPr="00764797" w:rsidRDefault="00965657">
            <w:pPr>
              <w:tabs>
                <w:tab w:val="clear" w:pos="565"/>
              </w:tabs>
              <w:autoSpaceDE w:val="0"/>
              <w:autoSpaceDN w:val="0"/>
              <w:adjustRightInd w:val="0"/>
              <w:spacing w:line="240" w:lineRule="auto"/>
              <w:rPr>
                <w:szCs w:val="24"/>
                <w:lang w:val="lv-LV"/>
              </w:rPr>
            </w:pPr>
            <w:r w:rsidRPr="00764797">
              <w:rPr>
                <w:szCs w:val="24"/>
                <w:lang w:val="lv-LV"/>
              </w:rPr>
              <w:t>Vertigo</w:t>
            </w:r>
          </w:p>
        </w:tc>
      </w:tr>
      <w:tr w:rsidR="00965657" w:rsidRPr="00764797" w14:paraId="56FE77CB" w14:textId="77777777" w:rsidTr="002D03D0">
        <w:tc>
          <w:tcPr>
            <w:tcW w:w="2760" w:type="dxa"/>
          </w:tcPr>
          <w:p w14:paraId="67769BCA" w14:textId="77777777" w:rsidR="00965657" w:rsidRPr="00764797" w:rsidRDefault="00965657">
            <w:pPr>
              <w:tabs>
                <w:tab w:val="clear" w:pos="565"/>
              </w:tabs>
              <w:autoSpaceDE w:val="0"/>
              <w:autoSpaceDN w:val="0"/>
              <w:adjustRightInd w:val="0"/>
              <w:spacing w:line="240" w:lineRule="auto"/>
              <w:rPr>
                <w:szCs w:val="24"/>
                <w:lang w:val="lv-LV"/>
              </w:rPr>
            </w:pPr>
            <w:r w:rsidRPr="00764797">
              <w:rPr>
                <w:szCs w:val="24"/>
                <w:lang w:val="lv-LV"/>
              </w:rPr>
              <w:t>Retāk</w:t>
            </w:r>
          </w:p>
        </w:tc>
        <w:tc>
          <w:tcPr>
            <w:tcW w:w="6191" w:type="dxa"/>
          </w:tcPr>
          <w:p w14:paraId="4C43902A" w14:textId="77777777" w:rsidR="00965657" w:rsidRPr="00764797" w:rsidRDefault="00965657">
            <w:pPr>
              <w:tabs>
                <w:tab w:val="clear" w:pos="565"/>
              </w:tabs>
              <w:autoSpaceDE w:val="0"/>
              <w:autoSpaceDN w:val="0"/>
              <w:adjustRightInd w:val="0"/>
              <w:spacing w:line="240" w:lineRule="auto"/>
              <w:rPr>
                <w:szCs w:val="24"/>
                <w:lang w:val="lv-LV"/>
              </w:rPr>
            </w:pPr>
            <w:r w:rsidRPr="00764797">
              <w:rPr>
                <w:szCs w:val="24"/>
                <w:lang w:val="lv-LV"/>
              </w:rPr>
              <w:t>Hiperakūzija</w:t>
            </w:r>
          </w:p>
        </w:tc>
      </w:tr>
      <w:tr w:rsidR="00965657" w:rsidRPr="00764797" w14:paraId="5C9FD691" w14:textId="77777777" w:rsidTr="002D03D0">
        <w:tc>
          <w:tcPr>
            <w:tcW w:w="8951" w:type="dxa"/>
            <w:gridSpan w:val="2"/>
          </w:tcPr>
          <w:p w14:paraId="7B468D18" w14:textId="77777777" w:rsidR="00965657" w:rsidRPr="00764797" w:rsidRDefault="00965657">
            <w:pPr>
              <w:spacing w:line="240" w:lineRule="auto"/>
              <w:ind w:left="565" w:hanging="565"/>
              <w:rPr>
                <w:szCs w:val="24"/>
                <w:lang w:val="lv-LV"/>
              </w:rPr>
            </w:pPr>
            <w:r w:rsidRPr="00764797">
              <w:rPr>
                <w:b/>
                <w:szCs w:val="24"/>
                <w:lang w:val="lv-LV"/>
              </w:rPr>
              <w:t>Sirds funkcijas traucējumi</w:t>
            </w:r>
          </w:p>
        </w:tc>
      </w:tr>
      <w:tr w:rsidR="00965657" w:rsidRPr="005053A4" w14:paraId="51928BAC" w14:textId="77777777" w:rsidTr="002D03D0">
        <w:tc>
          <w:tcPr>
            <w:tcW w:w="2760" w:type="dxa"/>
          </w:tcPr>
          <w:p w14:paraId="7AF75476" w14:textId="77777777" w:rsidR="00965657" w:rsidRPr="00764797" w:rsidRDefault="00965657">
            <w:pPr>
              <w:tabs>
                <w:tab w:val="clear" w:pos="565"/>
              </w:tabs>
              <w:autoSpaceDE w:val="0"/>
              <w:autoSpaceDN w:val="0"/>
              <w:adjustRightInd w:val="0"/>
              <w:spacing w:line="240" w:lineRule="auto"/>
              <w:rPr>
                <w:szCs w:val="24"/>
                <w:lang w:val="lv-LV"/>
              </w:rPr>
            </w:pPr>
            <w:r w:rsidRPr="00764797">
              <w:rPr>
                <w:szCs w:val="24"/>
                <w:lang w:val="lv-LV"/>
              </w:rPr>
              <w:t>Retāk</w:t>
            </w:r>
          </w:p>
        </w:tc>
        <w:tc>
          <w:tcPr>
            <w:tcW w:w="6191" w:type="dxa"/>
          </w:tcPr>
          <w:p w14:paraId="7D702042" w14:textId="77777777" w:rsidR="00965657" w:rsidRPr="00764797" w:rsidRDefault="00965657" w:rsidP="003E252A">
            <w:pPr>
              <w:tabs>
                <w:tab w:val="clear" w:pos="565"/>
              </w:tabs>
              <w:spacing w:line="240" w:lineRule="auto"/>
              <w:rPr>
                <w:szCs w:val="24"/>
                <w:lang w:val="lv-LV"/>
              </w:rPr>
            </w:pPr>
            <w:r w:rsidRPr="00764797">
              <w:rPr>
                <w:szCs w:val="24"/>
                <w:lang w:val="lv-LV"/>
              </w:rPr>
              <w:t>Tahikardija, pirmās pakāpes atrioventrikulāra blokāde, sinusa bradikardija,</w:t>
            </w:r>
            <w:r w:rsidR="003E252A" w:rsidRPr="00764797">
              <w:rPr>
                <w:szCs w:val="24"/>
                <w:lang w:val="lv-LV"/>
              </w:rPr>
              <w:t xml:space="preserve"> </w:t>
            </w:r>
            <w:r w:rsidRPr="00764797">
              <w:rPr>
                <w:i/>
                <w:szCs w:val="24"/>
                <w:lang w:val="lv-LV"/>
              </w:rPr>
              <w:t>sastrēguma sirds mazspēja</w:t>
            </w:r>
          </w:p>
        </w:tc>
      </w:tr>
      <w:tr w:rsidR="00965657" w:rsidRPr="00A65B78" w14:paraId="374D7ED1" w14:textId="77777777" w:rsidTr="002D03D0">
        <w:tc>
          <w:tcPr>
            <w:tcW w:w="2760" w:type="dxa"/>
          </w:tcPr>
          <w:p w14:paraId="7E051D86" w14:textId="77777777" w:rsidR="00965657" w:rsidRPr="00764797" w:rsidRDefault="00965657">
            <w:pPr>
              <w:tabs>
                <w:tab w:val="clear" w:pos="565"/>
              </w:tabs>
              <w:autoSpaceDE w:val="0"/>
              <w:autoSpaceDN w:val="0"/>
              <w:adjustRightInd w:val="0"/>
              <w:spacing w:line="240" w:lineRule="auto"/>
              <w:rPr>
                <w:szCs w:val="24"/>
                <w:lang w:val="lv-LV"/>
              </w:rPr>
            </w:pPr>
            <w:r w:rsidRPr="00764797">
              <w:rPr>
                <w:szCs w:val="24"/>
                <w:lang w:val="lv-LV"/>
              </w:rPr>
              <w:t>Reti</w:t>
            </w:r>
          </w:p>
        </w:tc>
        <w:tc>
          <w:tcPr>
            <w:tcW w:w="6191" w:type="dxa"/>
          </w:tcPr>
          <w:p w14:paraId="254A87EE" w14:textId="77777777" w:rsidR="00965657" w:rsidRPr="00764797" w:rsidRDefault="00965657">
            <w:pPr>
              <w:tabs>
                <w:tab w:val="clear" w:pos="565"/>
              </w:tabs>
              <w:autoSpaceDE w:val="0"/>
              <w:autoSpaceDN w:val="0"/>
              <w:adjustRightInd w:val="0"/>
              <w:spacing w:line="240" w:lineRule="auto"/>
              <w:rPr>
                <w:szCs w:val="24"/>
                <w:lang w:val="lv-LV"/>
              </w:rPr>
            </w:pPr>
            <w:r w:rsidRPr="00764797">
              <w:rPr>
                <w:i/>
                <w:szCs w:val="24"/>
                <w:lang w:val="lv-LV"/>
              </w:rPr>
              <w:t xml:space="preserve">QT intervāla pagarināšanās, </w:t>
            </w:r>
            <w:r w:rsidRPr="00764797">
              <w:rPr>
                <w:szCs w:val="24"/>
                <w:lang w:val="lv-LV"/>
              </w:rPr>
              <w:t>sinusa tahikardija, sinusa aritmija</w:t>
            </w:r>
          </w:p>
        </w:tc>
      </w:tr>
      <w:tr w:rsidR="00965657" w:rsidRPr="00764797" w14:paraId="2B75E963" w14:textId="77777777" w:rsidTr="002D03D0">
        <w:tc>
          <w:tcPr>
            <w:tcW w:w="8951" w:type="dxa"/>
            <w:gridSpan w:val="2"/>
          </w:tcPr>
          <w:p w14:paraId="3306EB19" w14:textId="77777777" w:rsidR="00965657" w:rsidRPr="00764797" w:rsidRDefault="00965657">
            <w:pPr>
              <w:spacing w:line="240" w:lineRule="auto"/>
              <w:ind w:left="565" w:hanging="565"/>
              <w:rPr>
                <w:szCs w:val="24"/>
                <w:lang w:val="lv-LV"/>
              </w:rPr>
            </w:pPr>
            <w:r w:rsidRPr="00764797">
              <w:rPr>
                <w:b/>
                <w:szCs w:val="24"/>
                <w:lang w:val="lv-LV"/>
              </w:rPr>
              <w:t>Asinsvadu sistēmas traucējumi</w:t>
            </w:r>
          </w:p>
        </w:tc>
      </w:tr>
      <w:tr w:rsidR="00965657" w:rsidRPr="005053A4" w14:paraId="40DAABE0" w14:textId="77777777" w:rsidTr="002D03D0">
        <w:tc>
          <w:tcPr>
            <w:tcW w:w="2760" w:type="dxa"/>
          </w:tcPr>
          <w:p w14:paraId="6587437E" w14:textId="77777777" w:rsidR="00965657" w:rsidRPr="00764797" w:rsidRDefault="00965657">
            <w:pPr>
              <w:tabs>
                <w:tab w:val="clear" w:pos="565"/>
              </w:tabs>
              <w:autoSpaceDE w:val="0"/>
              <w:autoSpaceDN w:val="0"/>
              <w:adjustRightInd w:val="0"/>
              <w:spacing w:line="240" w:lineRule="auto"/>
              <w:rPr>
                <w:szCs w:val="24"/>
                <w:lang w:val="lv-LV"/>
              </w:rPr>
            </w:pPr>
            <w:r w:rsidRPr="00764797">
              <w:rPr>
                <w:szCs w:val="24"/>
                <w:lang w:val="lv-LV"/>
              </w:rPr>
              <w:t>Retāk</w:t>
            </w:r>
          </w:p>
        </w:tc>
        <w:tc>
          <w:tcPr>
            <w:tcW w:w="6191" w:type="dxa"/>
          </w:tcPr>
          <w:p w14:paraId="11353263" w14:textId="77777777" w:rsidR="00965657" w:rsidRPr="00764797" w:rsidRDefault="00965657">
            <w:pPr>
              <w:tabs>
                <w:tab w:val="clear" w:pos="565"/>
              </w:tabs>
              <w:autoSpaceDE w:val="0"/>
              <w:autoSpaceDN w:val="0"/>
              <w:adjustRightInd w:val="0"/>
              <w:spacing w:line="240" w:lineRule="auto"/>
              <w:rPr>
                <w:szCs w:val="24"/>
                <w:lang w:val="lv-LV"/>
              </w:rPr>
            </w:pPr>
            <w:r w:rsidRPr="00764797">
              <w:rPr>
                <w:szCs w:val="24"/>
                <w:lang w:val="lv-LV"/>
              </w:rPr>
              <w:t>Hipotensija, hipertensija, karstuma viļņi, pietvīkums, aukstas ķermeņa perifērās daļas</w:t>
            </w:r>
          </w:p>
        </w:tc>
      </w:tr>
      <w:tr w:rsidR="00965657" w:rsidRPr="00A65B78" w14:paraId="4C8D16A4" w14:textId="77777777" w:rsidTr="002D03D0">
        <w:tc>
          <w:tcPr>
            <w:tcW w:w="8951" w:type="dxa"/>
            <w:gridSpan w:val="2"/>
          </w:tcPr>
          <w:p w14:paraId="200074C9" w14:textId="77777777" w:rsidR="00965657" w:rsidRPr="00764797" w:rsidRDefault="00965657">
            <w:pPr>
              <w:spacing w:line="240" w:lineRule="auto"/>
              <w:ind w:left="565" w:hanging="565"/>
              <w:rPr>
                <w:szCs w:val="24"/>
                <w:lang w:val="lv-LV"/>
              </w:rPr>
            </w:pPr>
            <w:r w:rsidRPr="00764797">
              <w:rPr>
                <w:b/>
                <w:szCs w:val="24"/>
                <w:lang w:val="lv-LV"/>
              </w:rPr>
              <w:t>Elpošanas sistēmas traucējumi, krūšu kurvja un videnes slimības</w:t>
            </w:r>
          </w:p>
        </w:tc>
      </w:tr>
      <w:tr w:rsidR="00965657" w:rsidRPr="005053A4" w14:paraId="1B10AB12" w14:textId="77777777" w:rsidTr="002D03D0">
        <w:tc>
          <w:tcPr>
            <w:tcW w:w="2760" w:type="dxa"/>
          </w:tcPr>
          <w:p w14:paraId="5BAA6054" w14:textId="77777777" w:rsidR="00965657" w:rsidRPr="00764797" w:rsidRDefault="00965657">
            <w:pPr>
              <w:tabs>
                <w:tab w:val="clear" w:pos="565"/>
              </w:tabs>
              <w:autoSpaceDE w:val="0"/>
              <w:autoSpaceDN w:val="0"/>
              <w:adjustRightInd w:val="0"/>
              <w:spacing w:line="240" w:lineRule="auto"/>
              <w:rPr>
                <w:szCs w:val="24"/>
                <w:lang w:val="lv-LV"/>
              </w:rPr>
            </w:pPr>
            <w:r w:rsidRPr="00764797">
              <w:rPr>
                <w:szCs w:val="24"/>
                <w:lang w:val="lv-LV"/>
              </w:rPr>
              <w:t>Retāk</w:t>
            </w:r>
          </w:p>
        </w:tc>
        <w:tc>
          <w:tcPr>
            <w:tcW w:w="6191" w:type="dxa"/>
          </w:tcPr>
          <w:p w14:paraId="323E4CAF" w14:textId="77777777" w:rsidR="00965657" w:rsidRPr="00764797" w:rsidRDefault="00965657">
            <w:pPr>
              <w:tabs>
                <w:tab w:val="clear" w:pos="565"/>
              </w:tabs>
              <w:autoSpaceDE w:val="0"/>
              <w:autoSpaceDN w:val="0"/>
              <w:adjustRightInd w:val="0"/>
              <w:spacing w:line="240" w:lineRule="auto"/>
              <w:rPr>
                <w:szCs w:val="24"/>
                <w:lang w:val="lv-LV"/>
              </w:rPr>
            </w:pPr>
            <w:r w:rsidRPr="00764797">
              <w:rPr>
                <w:szCs w:val="24"/>
                <w:lang w:val="lv-LV"/>
              </w:rPr>
              <w:t>Aizdusa, deguna asiņošana, klepus, aizlikts deguns, iesnas, krākšana, deguna gļotādas sausums</w:t>
            </w:r>
          </w:p>
        </w:tc>
      </w:tr>
      <w:tr w:rsidR="00965657" w:rsidRPr="005053A4" w14:paraId="339F4CE9" w14:textId="77777777" w:rsidTr="002D03D0">
        <w:tc>
          <w:tcPr>
            <w:tcW w:w="2760" w:type="dxa"/>
          </w:tcPr>
          <w:p w14:paraId="697F8EAE" w14:textId="77777777" w:rsidR="00965657" w:rsidRPr="00764797" w:rsidRDefault="00965657">
            <w:pPr>
              <w:tabs>
                <w:tab w:val="clear" w:pos="565"/>
              </w:tabs>
              <w:autoSpaceDE w:val="0"/>
              <w:autoSpaceDN w:val="0"/>
              <w:adjustRightInd w:val="0"/>
              <w:spacing w:line="240" w:lineRule="auto"/>
              <w:rPr>
                <w:szCs w:val="24"/>
                <w:lang w:val="lv-LV"/>
              </w:rPr>
            </w:pPr>
            <w:r w:rsidRPr="00764797">
              <w:rPr>
                <w:szCs w:val="24"/>
                <w:lang w:val="lv-LV"/>
              </w:rPr>
              <w:t>Reti</w:t>
            </w:r>
          </w:p>
        </w:tc>
        <w:tc>
          <w:tcPr>
            <w:tcW w:w="6191" w:type="dxa"/>
          </w:tcPr>
          <w:p w14:paraId="5D918B71" w14:textId="77777777" w:rsidR="00965657" w:rsidRPr="00764797" w:rsidRDefault="00965657">
            <w:pPr>
              <w:tabs>
                <w:tab w:val="clear" w:pos="565"/>
              </w:tabs>
              <w:autoSpaceDE w:val="0"/>
              <w:autoSpaceDN w:val="0"/>
              <w:adjustRightInd w:val="0"/>
              <w:spacing w:line="240" w:lineRule="auto"/>
              <w:rPr>
                <w:szCs w:val="24"/>
                <w:lang w:val="lv-LV"/>
              </w:rPr>
            </w:pPr>
            <w:r w:rsidRPr="00764797">
              <w:rPr>
                <w:i/>
                <w:szCs w:val="24"/>
                <w:lang w:val="lv-LV"/>
              </w:rPr>
              <w:t>Plaušu tūska</w:t>
            </w:r>
            <w:r w:rsidRPr="00764797">
              <w:rPr>
                <w:szCs w:val="24"/>
                <w:lang w:val="lv-LV"/>
              </w:rPr>
              <w:t>, spiedoša sajūta rīklē</w:t>
            </w:r>
          </w:p>
        </w:tc>
      </w:tr>
      <w:tr w:rsidR="000B1AB3" w:rsidRPr="00764797" w14:paraId="1658C0A5" w14:textId="77777777" w:rsidTr="002D03D0">
        <w:tc>
          <w:tcPr>
            <w:tcW w:w="2760" w:type="dxa"/>
          </w:tcPr>
          <w:p w14:paraId="01565ED7" w14:textId="439F252A" w:rsidR="000B1AB3" w:rsidRPr="00764797" w:rsidRDefault="00A36E66">
            <w:pPr>
              <w:tabs>
                <w:tab w:val="clear" w:pos="565"/>
              </w:tabs>
              <w:autoSpaceDE w:val="0"/>
              <w:autoSpaceDN w:val="0"/>
              <w:adjustRightInd w:val="0"/>
              <w:spacing w:line="240" w:lineRule="auto"/>
              <w:rPr>
                <w:szCs w:val="24"/>
                <w:lang w:val="lv-LV"/>
              </w:rPr>
            </w:pPr>
            <w:r>
              <w:t>Nav zinām</w:t>
            </w:r>
            <w:r w:rsidR="0028336A">
              <w:t>i</w:t>
            </w:r>
          </w:p>
        </w:tc>
        <w:tc>
          <w:tcPr>
            <w:tcW w:w="6191" w:type="dxa"/>
          </w:tcPr>
          <w:p w14:paraId="69810990" w14:textId="77777777" w:rsidR="000B1AB3" w:rsidRPr="00870103" w:rsidRDefault="00A36E66" w:rsidP="00870103">
            <w:pPr>
              <w:tabs>
                <w:tab w:val="clear" w:pos="565"/>
              </w:tabs>
              <w:spacing w:line="240" w:lineRule="auto"/>
              <w:rPr>
                <w:lang w:eastAsia="en-US"/>
              </w:rPr>
            </w:pPr>
            <w:r>
              <w:t>Elpošanas nomākums</w:t>
            </w:r>
          </w:p>
        </w:tc>
      </w:tr>
      <w:tr w:rsidR="00965657" w:rsidRPr="00764797" w14:paraId="56104207" w14:textId="77777777" w:rsidTr="002D03D0">
        <w:tc>
          <w:tcPr>
            <w:tcW w:w="8951" w:type="dxa"/>
            <w:gridSpan w:val="2"/>
          </w:tcPr>
          <w:p w14:paraId="65E32506" w14:textId="77777777" w:rsidR="00965657" w:rsidRPr="00764797" w:rsidRDefault="00965657">
            <w:pPr>
              <w:tabs>
                <w:tab w:val="clear" w:pos="565"/>
              </w:tabs>
              <w:autoSpaceDE w:val="0"/>
              <w:autoSpaceDN w:val="0"/>
              <w:adjustRightInd w:val="0"/>
              <w:spacing w:line="240" w:lineRule="auto"/>
              <w:rPr>
                <w:szCs w:val="24"/>
                <w:lang w:val="lv-LV"/>
              </w:rPr>
            </w:pPr>
            <w:r w:rsidRPr="00764797">
              <w:rPr>
                <w:b/>
                <w:szCs w:val="24"/>
                <w:lang w:val="lv-LV"/>
              </w:rPr>
              <w:t>Kuņģa-zarnu trakta traucējumi</w:t>
            </w:r>
          </w:p>
        </w:tc>
      </w:tr>
      <w:tr w:rsidR="00965657" w:rsidRPr="00A65B78" w14:paraId="3A9436BA" w14:textId="77777777" w:rsidTr="002D03D0">
        <w:tc>
          <w:tcPr>
            <w:tcW w:w="2760" w:type="dxa"/>
          </w:tcPr>
          <w:p w14:paraId="48C1E122" w14:textId="77777777" w:rsidR="00965657" w:rsidRPr="00764797" w:rsidRDefault="00965657">
            <w:pPr>
              <w:tabs>
                <w:tab w:val="clear" w:pos="565"/>
              </w:tabs>
              <w:autoSpaceDE w:val="0"/>
              <w:autoSpaceDN w:val="0"/>
              <w:adjustRightInd w:val="0"/>
              <w:spacing w:line="240" w:lineRule="auto"/>
              <w:rPr>
                <w:szCs w:val="24"/>
                <w:lang w:val="lv-LV"/>
              </w:rPr>
            </w:pPr>
            <w:r w:rsidRPr="00764797">
              <w:rPr>
                <w:szCs w:val="24"/>
                <w:lang w:val="lv-LV"/>
              </w:rPr>
              <w:t>Bieži</w:t>
            </w:r>
          </w:p>
        </w:tc>
        <w:tc>
          <w:tcPr>
            <w:tcW w:w="6191" w:type="dxa"/>
          </w:tcPr>
          <w:p w14:paraId="50E69FFB" w14:textId="77777777" w:rsidR="00965657" w:rsidRPr="00764797" w:rsidRDefault="00965657">
            <w:pPr>
              <w:tabs>
                <w:tab w:val="clear" w:pos="565"/>
              </w:tabs>
              <w:autoSpaceDE w:val="0"/>
              <w:autoSpaceDN w:val="0"/>
              <w:adjustRightInd w:val="0"/>
              <w:spacing w:line="240" w:lineRule="auto"/>
              <w:rPr>
                <w:szCs w:val="24"/>
                <w:lang w:val="lv-LV"/>
              </w:rPr>
            </w:pPr>
            <w:r w:rsidRPr="00764797">
              <w:rPr>
                <w:szCs w:val="24"/>
                <w:lang w:val="lv-LV"/>
              </w:rPr>
              <w:t xml:space="preserve">Vemšana, </w:t>
            </w:r>
            <w:r w:rsidRPr="00764797">
              <w:rPr>
                <w:i/>
                <w:szCs w:val="24"/>
                <w:lang w:val="lv-LV"/>
              </w:rPr>
              <w:t>slikta dūša</w:t>
            </w:r>
            <w:r w:rsidRPr="00764797">
              <w:rPr>
                <w:szCs w:val="24"/>
                <w:lang w:val="lv-LV"/>
              </w:rPr>
              <w:t xml:space="preserve">, aizcietējums, </w:t>
            </w:r>
            <w:r w:rsidRPr="00764797">
              <w:rPr>
                <w:i/>
                <w:szCs w:val="24"/>
                <w:lang w:val="lv-LV"/>
              </w:rPr>
              <w:t>caureja</w:t>
            </w:r>
            <w:r w:rsidRPr="00764797">
              <w:rPr>
                <w:szCs w:val="24"/>
                <w:lang w:val="lv-LV"/>
              </w:rPr>
              <w:t>, flatulence, vēdera uzpūšanās, mutes sausums</w:t>
            </w:r>
          </w:p>
        </w:tc>
      </w:tr>
      <w:tr w:rsidR="00965657" w:rsidRPr="005053A4" w14:paraId="523B44CB" w14:textId="77777777" w:rsidTr="002D03D0">
        <w:tc>
          <w:tcPr>
            <w:tcW w:w="2760" w:type="dxa"/>
          </w:tcPr>
          <w:p w14:paraId="63044F8A" w14:textId="77777777" w:rsidR="00965657" w:rsidRPr="00764797" w:rsidRDefault="00965657">
            <w:pPr>
              <w:tabs>
                <w:tab w:val="clear" w:pos="565"/>
              </w:tabs>
              <w:autoSpaceDE w:val="0"/>
              <w:autoSpaceDN w:val="0"/>
              <w:adjustRightInd w:val="0"/>
              <w:spacing w:line="240" w:lineRule="auto"/>
              <w:rPr>
                <w:szCs w:val="24"/>
                <w:lang w:val="lv-LV"/>
              </w:rPr>
            </w:pPr>
            <w:r w:rsidRPr="00764797">
              <w:rPr>
                <w:szCs w:val="24"/>
                <w:lang w:val="lv-LV"/>
              </w:rPr>
              <w:t>Retāk</w:t>
            </w:r>
          </w:p>
        </w:tc>
        <w:tc>
          <w:tcPr>
            <w:tcW w:w="6191" w:type="dxa"/>
          </w:tcPr>
          <w:p w14:paraId="376C5665" w14:textId="77777777" w:rsidR="00965657" w:rsidRPr="00764797" w:rsidRDefault="00965657">
            <w:pPr>
              <w:tabs>
                <w:tab w:val="clear" w:pos="565"/>
              </w:tabs>
              <w:autoSpaceDE w:val="0"/>
              <w:autoSpaceDN w:val="0"/>
              <w:adjustRightInd w:val="0"/>
              <w:spacing w:line="240" w:lineRule="auto"/>
              <w:rPr>
                <w:szCs w:val="24"/>
                <w:lang w:val="lv-LV"/>
              </w:rPr>
            </w:pPr>
            <w:r w:rsidRPr="00764797">
              <w:rPr>
                <w:szCs w:val="24"/>
                <w:lang w:val="lv-LV"/>
              </w:rPr>
              <w:t>Gastroezofageālā atviļņa slimība, siekalu hipersekrēcija, mutes hipoestēzija</w:t>
            </w:r>
          </w:p>
        </w:tc>
      </w:tr>
      <w:tr w:rsidR="00965657" w:rsidRPr="00A65B78" w14:paraId="18FE8C0A" w14:textId="77777777" w:rsidTr="002D03D0">
        <w:tc>
          <w:tcPr>
            <w:tcW w:w="2760" w:type="dxa"/>
          </w:tcPr>
          <w:p w14:paraId="46CB135C" w14:textId="77777777" w:rsidR="00965657" w:rsidRPr="00764797" w:rsidRDefault="00965657">
            <w:pPr>
              <w:tabs>
                <w:tab w:val="clear" w:pos="565"/>
              </w:tabs>
              <w:autoSpaceDE w:val="0"/>
              <w:autoSpaceDN w:val="0"/>
              <w:adjustRightInd w:val="0"/>
              <w:spacing w:line="240" w:lineRule="auto"/>
              <w:rPr>
                <w:szCs w:val="24"/>
                <w:lang w:val="lv-LV"/>
              </w:rPr>
            </w:pPr>
            <w:r w:rsidRPr="00764797">
              <w:rPr>
                <w:szCs w:val="24"/>
                <w:lang w:val="lv-LV"/>
              </w:rPr>
              <w:t>Reti</w:t>
            </w:r>
          </w:p>
        </w:tc>
        <w:tc>
          <w:tcPr>
            <w:tcW w:w="6191" w:type="dxa"/>
          </w:tcPr>
          <w:p w14:paraId="77B294AC" w14:textId="77777777" w:rsidR="00965657" w:rsidRPr="00764797" w:rsidRDefault="00965657">
            <w:pPr>
              <w:tabs>
                <w:tab w:val="clear" w:pos="565"/>
              </w:tabs>
              <w:autoSpaceDE w:val="0"/>
              <w:autoSpaceDN w:val="0"/>
              <w:adjustRightInd w:val="0"/>
              <w:spacing w:line="240" w:lineRule="auto"/>
              <w:rPr>
                <w:szCs w:val="24"/>
                <w:lang w:val="lv-LV"/>
              </w:rPr>
            </w:pPr>
            <w:r w:rsidRPr="00764797">
              <w:rPr>
                <w:szCs w:val="24"/>
                <w:lang w:val="lv-LV"/>
              </w:rPr>
              <w:t xml:space="preserve">Ascīts, pankreatīts, </w:t>
            </w:r>
            <w:r w:rsidRPr="00764797">
              <w:rPr>
                <w:i/>
                <w:szCs w:val="24"/>
                <w:lang w:val="lv-LV"/>
              </w:rPr>
              <w:t>pietūkusi mēle</w:t>
            </w:r>
            <w:r w:rsidRPr="00764797">
              <w:rPr>
                <w:szCs w:val="24"/>
                <w:lang w:val="lv-LV"/>
              </w:rPr>
              <w:t>, disfāgija</w:t>
            </w:r>
          </w:p>
        </w:tc>
      </w:tr>
      <w:tr w:rsidR="002D03D0" w:rsidRPr="00764797" w14:paraId="0C59B2F8" w14:textId="77777777" w:rsidTr="002D03D0">
        <w:tc>
          <w:tcPr>
            <w:tcW w:w="8951" w:type="dxa"/>
            <w:gridSpan w:val="2"/>
          </w:tcPr>
          <w:p w14:paraId="784F115A" w14:textId="77777777" w:rsidR="002D03D0" w:rsidRPr="00764797" w:rsidRDefault="00A36E66">
            <w:pPr>
              <w:tabs>
                <w:tab w:val="clear" w:pos="565"/>
              </w:tabs>
              <w:autoSpaceDE w:val="0"/>
              <w:autoSpaceDN w:val="0"/>
              <w:adjustRightInd w:val="0"/>
              <w:spacing w:line="240" w:lineRule="auto"/>
              <w:rPr>
                <w:szCs w:val="24"/>
                <w:lang w:val="lv-LV"/>
              </w:rPr>
            </w:pPr>
            <w:r>
              <w:rPr>
                <w:b/>
                <w:bCs/>
                <w:szCs w:val="22"/>
              </w:rPr>
              <w:t>Aknu un</w:t>
            </w:r>
            <w:r w:rsidR="00787466">
              <w:rPr>
                <w:b/>
                <w:bCs/>
                <w:szCs w:val="22"/>
              </w:rPr>
              <w:t>/</w:t>
            </w:r>
            <w:r>
              <w:rPr>
                <w:b/>
                <w:bCs/>
                <w:szCs w:val="22"/>
              </w:rPr>
              <w:t>vai žults izvades sistēmas traucējumi</w:t>
            </w:r>
          </w:p>
        </w:tc>
      </w:tr>
      <w:tr w:rsidR="00A36E66" w:rsidRPr="00764797" w14:paraId="004D25A2" w14:textId="77777777" w:rsidTr="002D03D0">
        <w:tc>
          <w:tcPr>
            <w:tcW w:w="2760" w:type="dxa"/>
          </w:tcPr>
          <w:p w14:paraId="68337E93" w14:textId="77777777" w:rsidR="00A36E66" w:rsidRPr="00764797" w:rsidRDefault="00A36E66" w:rsidP="00A36E66">
            <w:pPr>
              <w:tabs>
                <w:tab w:val="clear" w:pos="565"/>
              </w:tabs>
              <w:autoSpaceDE w:val="0"/>
              <w:autoSpaceDN w:val="0"/>
              <w:adjustRightInd w:val="0"/>
              <w:spacing w:line="240" w:lineRule="auto"/>
              <w:rPr>
                <w:szCs w:val="24"/>
                <w:lang w:val="lv-LV"/>
              </w:rPr>
            </w:pPr>
            <w:r>
              <w:rPr>
                <w:szCs w:val="24"/>
                <w:lang w:val="lv-LV"/>
              </w:rPr>
              <w:t>Retāk</w:t>
            </w:r>
          </w:p>
        </w:tc>
        <w:tc>
          <w:tcPr>
            <w:tcW w:w="6191" w:type="dxa"/>
          </w:tcPr>
          <w:p w14:paraId="1A8BCD3C" w14:textId="77777777" w:rsidR="00A36E66" w:rsidRPr="00764797" w:rsidRDefault="00A36E66" w:rsidP="00A36E66">
            <w:pPr>
              <w:tabs>
                <w:tab w:val="clear" w:pos="565"/>
              </w:tabs>
              <w:autoSpaceDE w:val="0"/>
              <w:autoSpaceDN w:val="0"/>
              <w:adjustRightInd w:val="0"/>
              <w:spacing w:line="240" w:lineRule="auto"/>
              <w:rPr>
                <w:szCs w:val="24"/>
                <w:lang w:val="lv-LV"/>
              </w:rPr>
            </w:pPr>
            <w:r>
              <w:t>Paaugstināts aknu enzīmu līmenis*</w:t>
            </w:r>
          </w:p>
        </w:tc>
      </w:tr>
      <w:tr w:rsidR="00A36E66" w:rsidRPr="00764797" w14:paraId="73EC60C7" w14:textId="77777777" w:rsidTr="002D03D0">
        <w:tc>
          <w:tcPr>
            <w:tcW w:w="2760" w:type="dxa"/>
          </w:tcPr>
          <w:p w14:paraId="2AA9591F" w14:textId="77777777" w:rsidR="00A36E66" w:rsidRPr="00764797" w:rsidRDefault="00A36E66" w:rsidP="00A36E66">
            <w:pPr>
              <w:tabs>
                <w:tab w:val="clear" w:pos="565"/>
              </w:tabs>
              <w:autoSpaceDE w:val="0"/>
              <w:autoSpaceDN w:val="0"/>
              <w:adjustRightInd w:val="0"/>
              <w:spacing w:line="240" w:lineRule="auto"/>
              <w:rPr>
                <w:szCs w:val="24"/>
                <w:lang w:val="lv-LV"/>
              </w:rPr>
            </w:pPr>
            <w:r>
              <w:rPr>
                <w:szCs w:val="24"/>
                <w:lang w:val="lv-LV"/>
              </w:rPr>
              <w:t>Reti</w:t>
            </w:r>
          </w:p>
        </w:tc>
        <w:tc>
          <w:tcPr>
            <w:tcW w:w="6191" w:type="dxa"/>
          </w:tcPr>
          <w:p w14:paraId="3DCCC69E" w14:textId="77777777" w:rsidR="00A36E66" w:rsidRPr="00764797" w:rsidRDefault="00A36E66" w:rsidP="00A36E66">
            <w:pPr>
              <w:tabs>
                <w:tab w:val="clear" w:pos="565"/>
              </w:tabs>
              <w:autoSpaceDE w:val="0"/>
              <w:autoSpaceDN w:val="0"/>
              <w:adjustRightInd w:val="0"/>
              <w:spacing w:line="240" w:lineRule="auto"/>
              <w:rPr>
                <w:szCs w:val="24"/>
                <w:lang w:val="lv-LV"/>
              </w:rPr>
            </w:pPr>
            <w:r>
              <w:t>Dzelte</w:t>
            </w:r>
          </w:p>
        </w:tc>
      </w:tr>
      <w:tr w:rsidR="00A36E66" w:rsidRPr="00764797" w14:paraId="4E4B864E" w14:textId="77777777" w:rsidTr="002D03D0">
        <w:tc>
          <w:tcPr>
            <w:tcW w:w="2760" w:type="dxa"/>
          </w:tcPr>
          <w:p w14:paraId="4E49BA23" w14:textId="77777777" w:rsidR="00A36E66" w:rsidRPr="00764797" w:rsidRDefault="00A36E66" w:rsidP="00A36E66">
            <w:pPr>
              <w:tabs>
                <w:tab w:val="clear" w:pos="565"/>
              </w:tabs>
              <w:autoSpaceDE w:val="0"/>
              <w:autoSpaceDN w:val="0"/>
              <w:adjustRightInd w:val="0"/>
              <w:spacing w:line="240" w:lineRule="auto"/>
              <w:rPr>
                <w:szCs w:val="24"/>
                <w:lang w:val="lv-LV"/>
              </w:rPr>
            </w:pPr>
            <w:r>
              <w:rPr>
                <w:szCs w:val="24"/>
                <w:lang w:val="lv-LV"/>
              </w:rPr>
              <w:t>Ļoti reti</w:t>
            </w:r>
          </w:p>
        </w:tc>
        <w:tc>
          <w:tcPr>
            <w:tcW w:w="6191" w:type="dxa"/>
          </w:tcPr>
          <w:p w14:paraId="7D76B6B0" w14:textId="77777777" w:rsidR="00A36E66" w:rsidRPr="00764797" w:rsidRDefault="00A36E66" w:rsidP="00A36E66">
            <w:pPr>
              <w:tabs>
                <w:tab w:val="clear" w:pos="565"/>
              </w:tabs>
              <w:autoSpaceDE w:val="0"/>
              <w:autoSpaceDN w:val="0"/>
              <w:adjustRightInd w:val="0"/>
              <w:spacing w:line="240" w:lineRule="auto"/>
              <w:rPr>
                <w:szCs w:val="24"/>
                <w:lang w:val="lv-LV"/>
              </w:rPr>
            </w:pPr>
            <w:r>
              <w:t>Aknu mazspēja, hepatīts</w:t>
            </w:r>
          </w:p>
        </w:tc>
      </w:tr>
      <w:tr w:rsidR="00A36E66" w:rsidRPr="00764797" w14:paraId="50124139" w14:textId="77777777" w:rsidTr="002D03D0">
        <w:tc>
          <w:tcPr>
            <w:tcW w:w="8951" w:type="dxa"/>
            <w:gridSpan w:val="2"/>
          </w:tcPr>
          <w:p w14:paraId="426C4EA7" w14:textId="77777777" w:rsidR="00A36E66" w:rsidRPr="00764797" w:rsidRDefault="00A36E66" w:rsidP="00A36E66">
            <w:pPr>
              <w:spacing w:line="240" w:lineRule="auto"/>
              <w:ind w:left="565" w:hanging="565"/>
              <w:rPr>
                <w:szCs w:val="24"/>
                <w:lang w:val="lv-LV"/>
              </w:rPr>
            </w:pPr>
            <w:r w:rsidRPr="00764797">
              <w:rPr>
                <w:b/>
                <w:szCs w:val="24"/>
                <w:lang w:val="lv-LV"/>
              </w:rPr>
              <w:t>Ādas un zemādas audu bojājumi</w:t>
            </w:r>
          </w:p>
        </w:tc>
      </w:tr>
      <w:tr w:rsidR="00A36E66" w:rsidRPr="00A65B78" w14:paraId="7DE4A922" w14:textId="77777777" w:rsidTr="002D03D0">
        <w:tc>
          <w:tcPr>
            <w:tcW w:w="2760" w:type="dxa"/>
          </w:tcPr>
          <w:p w14:paraId="675CF867" w14:textId="77777777" w:rsidR="00A36E66" w:rsidRPr="00764797" w:rsidRDefault="00A36E66" w:rsidP="00A36E66">
            <w:pPr>
              <w:tabs>
                <w:tab w:val="clear" w:pos="565"/>
              </w:tabs>
              <w:autoSpaceDE w:val="0"/>
              <w:autoSpaceDN w:val="0"/>
              <w:adjustRightInd w:val="0"/>
              <w:spacing w:line="240" w:lineRule="auto"/>
              <w:rPr>
                <w:szCs w:val="24"/>
                <w:lang w:val="lv-LV"/>
              </w:rPr>
            </w:pPr>
            <w:r w:rsidRPr="00764797">
              <w:rPr>
                <w:szCs w:val="24"/>
                <w:lang w:val="lv-LV"/>
              </w:rPr>
              <w:t>Retāk</w:t>
            </w:r>
          </w:p>
        </w:tc>
        <w:tc>
          <w:tcPr>
            <w:tcW w:w="6191" w:type="dxa"/>
          </w:tcPr>
          <w:p w14:paraId="74B2794E" w14:textId="77777777" w:rsidR="00A36E66" w:rsidRPr="00764797" w:rsidRDefault="00A36E66" w:rsidP="00A36E66">
            <w:pPr>
              <w:tabs>
                <w:tab w:val="clear" w:pos="565"/>
              </w:tabs>
              <w:autoSpaceDE w:val="0"/>
              <w:autoSpaceDN w:val="0"/>
              <w:adjustRightInd w:val="0"/>
              <w:spacing w:line="240" w:lineRule="auto"/>
              <w:rPr>
                <w:szCs w:val="24"/>
                <w:lang w:val="lv-LV"/>
              </w:rPr>
            </w:pPr>
            <w:r w:rsidRPr="00764797">
              <w:rPr>
                <w:szCs w:val="24"/>
                <w:lang w:val="lv-LV"/>
              </w:rPr>
              <w:t xml:space="preserve">Papulozi izsitumi, nātrene, hiperhidroze, </w:t>
            </w:r>
            <w:r w:rsidRPr="00764797">
              <w:rPr>
                <w:i/>
                <w:szCs w:val="24"/>
                <w:lang w:val="lv-LV"/>
              </w:rPr>
              <w:t>nieze</w:t>
            </w:r>
          </w:p>
        </w:tc>
      </w:tr>
      <w:tr w:rsidR="00A36E66" w:rsidRPr="00A65B78" w14:paraId="624E9ACA" w14:textId="77777777" w:rsidTr="002D03D0">
        <w:tc>
          <w:tcPr>
            <w:tcW w:w="2760" w:type="dxa"/>
          </w:tcPr>
          <w:p w14:paraId="48396AAC" w14:textId="77777777" w:rsidR="00A36E66" w:rsidRPr="00764797" w:rsidRDefault="00A36E66" w:rsidP="00A36E66">
            <w:pPr>
              <w:tabs>
                <w:tab w:val="clear" w:pos="565"/>
              </w:tabs>
              <w:autoSpaceDE w:val="0"/>
              <w:autoSpaceDN w:val="0"/>
              <w:adjustRightInd w:val="0"/>
              <w:spacing w:line="240" w:lineRule="auto"/>
              <w:rPr>
                <w:szCs w:val="24"/>
                <w:lang w:val="lv-LV"/>
              </w:rPr>
            </w:pPr>
            <w:r w:rsidRPr="00764797">
              <w:rPr>
                <w:szCs w:val="24"/>
                <w:lang w:val="lv-LV"/>
              </w:rPr>
              <w:t>Reti</w:t>
            </w:r>
          </w:p>
        </w:tc>
        <w:tc>
          <w:tcPr>
            <w:tcW w:w="6191" w:type="dxa"/>
          </w:tcPr>
          <w:p w14:paraId="5DBE22EC" w14:textId="42E8E612" w:rsidR="00A36E66" w:rsidRPr="00764797" w:rsidRDefault="00A36E66" w:rsidP="00A36E66">
            <w:pPr>
              <w:tabs>
                <w:tab w:val="clear" w:pos="565"/>
              </w:tabs>
              <w:autoSpaceDE w:val="0"/>
              <w:autoSpaceDN w:val="0"/>
              <w:adjustRightInd w:val="0"/>
              <w:spacing w:line="240" w:lineRule="auto"/>
              <w:rPr>
                <w:szCs w:val="24"/>
                <w:lang w:val="lv-LV"/>
              </w:rPr>
            </w:pPr>
            <w:r w:rsidRPr="00764797">
              <w:rPr>
                <w:i/>
                <w:szCs w:val="24"/>
                <w:lang w:val="lv-LV"/>
              </w:rPr>
              <w:t xml:space="preserve">Stīvensa-Džonsona sindroms, </w:t>
            </w:r>
            <w:r w:rsidRPr="00764797">
              <w:rPr>
                <w:szCs w:val="24"/>
                <w:lang w:val="lv-LV"/>
              </w:rPr>
              <w:t>auksti sviedri</w:t>
            </w:r>
            <w:r w:rsidR="00300C84">
              <w:rPr>
                <w:szCs w:val="24"/>
                <w:lang w:val="lv-LV"/>
              </w:rPr>
              <w:t xml:space="preserve">, </w:t>
            </w:r>
            <w:r w:rsidR="00300C84" w:rsidRPr="005214F3">
              <w:rPr>
                <w:szCs w:val="24"/>
                <w:lang w:val="lv-LV"/>
              </w:rPr>
              <w:t>toksiska epidermas nekrolīze</w:t>
            </w:r>
          </w:p>
        </w:tc>
      </w:tr>
      <w:tr w:rsidR="00A36E66" w:rsidRPr="00764797" w14:paraId="7E8040D7" w14:textId="77777777" w:rsidTr="002D03D0">
        <w:tc>
          <w:tcPr>
            <w:tcW w:w="8951" w:type="dxa"/>
            <w:gridSpan w:val="2"/>
          </w:tcPr>
          <w:p w14:paraId="7C95162A" w14:textId="77777777" w:rsidR="00A36E66" w:rsidRPr="00764797" w:rsidRDefault="00A36E66" w:rsidP="00A36E66">
            <w:pPr>
              <w:tabs>
                <w:tab w:val="clear" w:pos="565"/>
              </w:tabs>
              <w:autoSpaceDE w:val="0"/>
              <w:autoSpaceDN w:val="0"/>
              <w:adjustRightInd w:val="0"/>
              <w:spacing w:line="240" w:lineRule="auto"/>
              <w:rPr>
                <w:szCs w:val="24"/>
                <w:lang w:val="lv-LV"/>
              </w:rPr>
            </w:pPr>
            <w:r w:rsidRPr="00764797">
              <w:rPr>
                <w:b/>
                <w:szCs w:val="24"/>
                <w:lang w:val="lv-LV"/>
              </w:rPr>
              <w:t>Skeleta-muskuļu un saistaudu sistēmas bojājumi</w:t>
            </w:r>
          </w:p>
        </w:tc>
      </w:tr>
      <w:tr w:rsidR="00A36E66" w:rsidRPr="005053A4" w14:paraId="210FB376" w14:textId="77777777" w:rsidTr="002D03D0">
        <w:tc>
          <w:tcPr>
            <w:tcW w:w="2760" w:type="dxa"/>
          </w:tcPr>
          <w:p w14:paraId="1944746A" w14:textId="77777777" w:rsidR="00A36E66" w:rsidRPr="00764797" w:rsidRDefault="00A36E66" w:rsidP="00A36E66">
            <w:pPr>
              <w:tabs>
                <w:tab w:val="clear" w:pos="565"/>
              </w:tabs>
              <w:autoSpaceDE w:val="0"/>
              <w:autoSpaceDN w:val="0"/>
              <w:adjustRightInd w:val="0"/>
              <w:spacing w:line="240" w:lineRule="auto"/>
              <w:rPr>
                <w:szCs w:val="24"/>
                <w:lang w:val="lv-LV"/>
              </w:rPr>
            </w:pPr>
            <w:r w:rsidRPr="00764797">
              <w:rPr>
                <w:szCs w:val="24"/>
                <w:lang w:val="lv-LV"/>
              </w:rPr>
              <w:t>Bieži</w:t>
            </w:r>
          </w:p>
        </w:tc>
        <w:tc>
          <w:tcPr>
            <w:tcW w:w="6191" w:type="dxa"/>
          </w:tcPr>
          <w:p w14:paraId="7232C72B" w14:textId="77777777" w:rsidR="00A36E66" w:rsidRPr="00764797" w:rsidRDefault="00A36E66" w:rsidP="00A36E66">
            <w:pPr>
              <w:tabs>
                <w:tab w:val="clear" w:pos="565"/>
              </w:tabs>
              <w:autoSpaceDE w:val="0"/>
              <w:autoSpaceDN w:val="0"/>
              <w:adjustRightInd w:val="0"/>
              <w:spacing w:line="240" w:lineRule="auto"/>
              <w:rPr>
                <w:szCs w:val="24"/>
                <w:lang w:val="lv-LV"/>
              </w:rPr>
            </w:pPr>
            <w:r w:rsidRPr="00764797">
              <w:rPr>
                <w:szCs w:val="24"/>
                <w:lang w:val="lv-LV"/>
              </w:rPr>
              <w:t>Muskuļu krampji, artralģija, muguras sāpes, sāpes ekstremitātē, cervikālas spazmas</w:t>
            </w:r>
          </w:p>
        </w:tc>
      </w:tr>
      <w:tr w:rsidR="00A36E66" w:rsidRPr="005053A4" w14:paraId="0D336E4F" w14:textId="77777777" w:rsidTr="002D03D0">
        <w:tc>
          <w:tcPr>
            <w:tcW w:w="2760" w:type="dxa"/>
          </w:tcPr>
          <w:p w14:paraId="72646CA3" w14:textId="77777777" w:rsidR="00A36E66" w:rsidRPr="00764797" w:rsidRDefault="00A36E66" w:rsidP="00A36E66">
            <w:pPr>
              <w:tabs>
                <w:tab w:val="clear" w:pos="565"/>
              </w:tabs>
              <w:autoSpaceDE w:val="0"/>
              <w:autoSpaceDN w:val="0"/>
              <w:adjustRightInd w:val="0"/>
              <w:spacing w:line="240" w:lineRule="auto"/>
              <w:rPr>
                <w:szCs w:val="24"/>
                <w:lang w:val="lv-LV"/>
              </w:rPr>
            </w:pPr>
            <w:r w:rsidRPr="00764797">
              <w:rPr>
                <w:szCs w:val="24"/>
                <w:lang w:val="lv-LV"/>
              </w:rPr>
              <w:t>Retāk</w:t>
            </w:r>
          </w:p>
        </w:tc>
        <w:tc>
          <w:tcPr>
            <w:tcW w:w="6191" w:type="dxa"/>
          </w:tcPr>
          <w:p w14:paraId="11A8A0F4" w14:textId="77777777" w:rsidR="00A36E66" w:rsidRPr="00764797" w:rsidRDefault="00A36E66" w:rsidP="00A36E66">
            <w:pPr>
              <w:tabs>
                <w:tab w:val="clear" w:pos="565"/>
              </w:tabs>
              <w:autoSpaceDE w:val="0"/>
              <w:autoSpaceDN w:val="0"/>
              <w:adjustRightInd w:val="0"/>
              <w:spacing w:line="240" w:lineRule="auto"/>
              <w:rPr>
                <w:szCs w:val="24"/>
                <w:lang w:val="lv-LV"/>
              </w:rPr>
            </w:pPr>
            <w:r w:rsidRPr="00764797">
              <w:rPr>
                <w:szCs w:val="24"/>
                <w:lang w:val="lv-LV"/>
              </w:rPr>
              <w:t>Locītavu pietūkums, mialģija, muskuļa raustīšanās, sāpes kakla daļā, muskuļu stīvums</w:t>
            </w:r>
          </w:p>
        </w:tc>
      </w:tr>
      <w:tr w:rsidR="00A36E66" w:rsidRPr="00764797" w14:paraId="6BAA3BC3" w14:textId="77777777" w:rsidTr="002D03D0">
        <w:tc>
          <w:tcPr>
            <w:tcW w:w="2760" w:type="dxa"/>
          </w:tcPr>
          <w:p w14:paraId="091B92FC" w14:textId="77777777" w:rsidR="00A36E66" w:rsidRPr="00764797" w:rsidRDefault="00A36E66" w:rsidP="00A36E66">
            <w:pPr>
              <w:tabs>
                <w:tab w:val="clear" w:pos="565"/>
              </w:tabs>
              <w:autoSpaceDE w:val="0"/>
              <w:autoSpaceDN w:val="0"/>
              <w:adjustRightInd w:val="0"/>
              <w:spacing w:line="240" w:lineRule="auto"/>
              <w:rPr>
                <w:szCs w:val="24"/>
                <w:lang w:val="lv-LV"/>
              </w:rPr>
            </w:pPr>
            <w:r w:rsidRPr="00764797">
              <w:rPr>
                <w:szCs w:val="24"/>
                <w:lang w:val="lv-LV"/>
              </w:rPr>
              <w:t>Reti</w:t>
            </w:r>
          </w:p>
        </w:tc>
        <w:tc>
          <w:tcPr>
            <w:tcW w:w="6191" w:type="dxa"/>
          </w:tcPr>
          <w:p w14:paraId="01E28F90" w14:textId="77777777" w:rsidR="00A36E66" w:rsidRPr="00764797" w:rsidRDefault="00A36E66" w:rsidP="00A36E66">
            <w:pPr>
              <w:tabs>
                <w:tab w:val="clear" w:pos="565"/>
              </w:tabs>
              <w:autoSpaceDE w:val="0"/>
              <w:autoSpaceDN w:val="0"/>
              <w:adjustRightInd w:val="0"/>
              <w:spacing w:line="240" w:lineRule="auto"/>
              <w:rPr>
                <w:szCs w:val="24"/>
                <w:lang w:val="lv-LV"/>
              </w:rPr>
            </w:pPr>
            <w:r w:rsidRPr="00764797">
              <w:rPr>
                <w:szCs w:val="24"/>
                <w:lang w:val="lv-LV"/>
              </w:rPr>
              <w:t>Rabdomiolīze</w:t>
            </w:r>
          </w:p>
        </w:tc>
      </w:tr>
      <w:tr w:rsidR="00A36E66" w:rsidRPr="00764797" w14:paraId="742D4F0E" w14:textId="77777777" w:rsidTr="002D03D0">
        <w:tc>
          <w:tcPr>
            <w:tcW w:w="8951" w:type="dxa"/>
            <w:gridSpan w:val="2"/>
          </w:tcPr>
          <w:p w14:paraId="7CC3875F" w14:textId="77777777" w:rsidR="00A36E66" w:rsidRPr="00764797" w:rsidRDefault="00A36E66" w:rsidP="00A36E66">
            <w:pPr>
              <w:tabs>
                <w:tab w:val="clear" w:pos="565"/>
              </w:tabs>
              <w:autoSpaceDE w:val="0"/>
              <w:autoSpaceDN w:val="0"/>
              <w:adjustRightInd w:val="0"/>
              <w:spacing w:line="240" w:lineRule="auto"/>
              <w:rPr>
                <w:szCs w:val="24"/>
                <w:lang w:val="lv-LV"/>
              </w:rPr>
            </w:pPr>
            <w:r w:rsidRPr="00764797">
              <w:rPr>
                <w:b/>
                <w:szCs w:val="24"/>
                <w:lang w:val="lv-LV"/>
              </w:rPr>
              <w:t>Nieru un urīnizvades sistēmas traucējumi</w:t>
            </w:r>
          </w:p>
        </w:tc>
      </w:tr>
      <w:tr w:rsidR="00A36E66" w:rsidRPr="00764797" w14:paraId="5C6B97CE" w14:textId="77777777" w:rsidTr="002D03D0">
        <w:tc>
          <w:tcPr>
            <w:tcW w:w="2760" w:type="dxa"/>
          </w:tcPr>
          <w:p w14:paraId="093EBC8F" w14:textId="77777777" w:rsidR="00A36E66" w:rsidRPr="00764797" w:rsidRDefault="00A36E66" w:rsidP="00A36E66">
            <w:pPr>
              <w:tabs>
                <w:tab w:val="clear" w:pos="565"/>
              </w:tabs>
              <w:autoSpaceDE w:val="0"/>
              <w:autoSpaceDN w:val="0"/>
              <w:adjustRightInd w:val="0"/>
              <w:spacing w:line="240" w:lineRule="auto"/>
              <w:rPr>
                <w:szCs w:val="24"/>
                <w:lang w:val="lv-LV"/>
              </w:rPr>
            </w:pPr>
            <w:r w:rsidRPr="00764797">
              <w:rPr>
                <w:szCs w:val="24"/>
                <w:lang w:val="lv-LV"/>
              </w:rPr>
              <w:t>Retāk</w:t>
            </w:r>
          </w:p>
        </w:tc>
        <w:tc>
          <w:tcPr>
            <w:tcW w:w="6191" w:type="dxa"/>
          </w:tcPr>
          <w:p w14:paraId="46D45FCA" w14:textId="77777777" w:rsidR="00A36E66" w:rsidRPr="00764797" w:rsidRDefault="00A36E66" w:rsidP="00A36E66">
            <w:pPr>
              <w:tabs>
                <w:tab w:val="clear" w:pos="565"/>
              </w:tabs>
              <w:autoSpaceDE w:val="0"/>
              <w:autoSpaceDN w:val="0"/>
              <w:adjustRightInd w:val="0"/>
              <w:spacing w:line="240" w:lineRule="auto"/>
              <w:rPr>
                <w:szCs w:val="24"/>
                <w:lang w:val="lv-LV"/>
              </w:rPr>
            </w:pPr>
            <w:r w:rsidRPr="00764797">
              <w:rPr>
                <w:szCs w:val="24"/>
                <w:lang w:val="lv-LV"/>
              </w:rPr>
              <w:t>Urīna nesaturēšana, dizūrija</w:t>
            </w:r>
          </w:p>
        </w:tc>
      </w:tr>
      <w:tr w:rsidR="00A36E66" w:rsidRPr="00A65B78" w14:paraId="518F6287" w14:textId="77777777" w:rsidTr="002D03D0">
        <w:tc>
          <w:tcPr>
            <w:tcW w:w="2760" w:type="dxa"/>
          </w:tcPr>
          <w:p w14:paraId="26ABA85B" w14:textId="77777777" w:rsidR="00A36E66" w:rsidRPr="00764797" w:rsidRDefault="00A36E66" w:rsidP="00A36E66">
            <w:pPr>
              <w:tabs>
                <w:tab w:val="clear" w:pos="565"/>
              </w:tabs>
              <w:autoSpaceDE w:val="0"/>
              <w:autoSpaceDN w:val="0"/>
              <w:adjustRightInd w:val="0"/>
              <w:spacing w:line="240" w:lineRule="auto"/>
              <w:rPr>
                <w:szCs w:val="24"/>
                <w:lang w:val="lv-LV"/>
              </w:rPr>
            </w:pPr>
            <w:r w:rsidRPr="00764797">
              <w:rPr>
                <w:szCs w:val="24"/>
                <w:lang w:val="lv-LV"/>
              </w:rPr>
              <w:t>Reti</w:t>
            </w:r>
          </w:p>
        </w:tc>
        <w:tc>
          <w:tcPr>
            <w:tcW w:w="6191" w:type="dxa"/>
          </w:tcPr>
          <w:p w14:paraId="226681D4" w14:textId="77777777" w:rsidR="00A36E66" w:rsidRPr="00764797" w:rsidRDefault="00A36E66" w:rsidP="00A36E66">
            <w:pPr>
              <w:tabs>
                <w:tab w:val="clear" w:pos="565"/>
              </w:tabs>
              <w:autoSpaceDE w:val="0"/>
              <w:autoSpaceDN w:val="0"/>
              <w:adjustRightInd w:val="0"/>
              <w:spacing w:line="240" w:lineRule="auto"/>
              <w:rPr>
                <w:szCs w:val="24"/>
                <w:lang w:val="lv-LV"/>
              </w:rPr>
            </w:pPr>
            <w:r w:rsidRPr="00764797">
              <w:rPr>
                <w:szCs w:val="24"/>
                <w:lang w:val="lv-LV"/>
              </w:rPr>
              <w:t xml:space="preserve">Nieru mazspēja, oligūrija, </w:t>
            </w:r>
            <w:r w:rsidRPr="00764797">
              <w:rPr>
                <w:i/>
                <w:szCs w:val="24"/>
                <w:lang w:val="lv-LV"/>
              </w:rPr>
              <w:t>urīna aizture</w:t>
            </w:r>
          </w:p>
        </w:tc>
      </w:tr>
      <w:tr w:rsidR="00A36E66" w:rsidRPr="00A65B78" w14:paraId="645AABC7" w14:textId="77777777" w:rsidTr="002D03D0">
        <w:tc>
          <w:tcPr>
            <w:tcW w:w="8951" w:type="dxa"/>
            <w:gridSpan w:val="2"/>
          </w:tcPr>
          <w:p w14:paraId="04C3BDF2" w14:textId="77777777" w:rsidR="00A36E66" w:rsidRPr="00764797" w:rsidRDefault="00A36E66" w:rsidP="00A36E66">
            <w:pPr>
              <w:tabs>
                <w:tab w:val="clear" w:pos="565"/>
              </w:tabs>
              <w:autoSpaceDE w:val="0"/>
              <w:autoSpaceDN w:val="0"/>
              <w:adjustRightInd w:val="0"/>
              <w:spacing w:line="240" w:lineRule="auto"/>
              <w:rPr>
                <w:szCs w:val="24"/>
                <w:lang w:val="lv-LV"/>
              </w:rPr>
            </w:pPr>
            <w:r w:rsidRPr="00764797">
              <w:rPr>
                <w:b/>
                <w:szCs w:val="24"/>
                <w:lang w:val="lv-LV"/>
              </w:rPr>
              <w:lastRenderedPageBreak/>
              <w:t>Reproduktīvās sistēmas traucējumi un krūts slimības</w:t>
            </w:r>
          </w:p>
        </w:tc>
      </w:tr>
      <w:tr w:rsidR="00A36E66" w:rsidRPr="00764797" w14:paraId="70FC1C5F" w14:textId="77777777" w:rsidTr="002D03D0">
        <w:tc>
          <w:tcPr>
            <w:tcW w:w="2760" w:type="dxa"/>
          </w:tcPr>
          <w:p w14:paraId="057CDA59" w14:textId="77777777" w:rsidR="00A36E66" w:rsidRPr="00764797" w:rsidRDefault="00A36E66" w:rsidP="00A36E66">
            <w:pPr>
              <w:tabs>
                <w:tab w:val="clear" w:pos="565"/>
              </w:tabs>
              <w:autoSpaceDE w:val="0"/>
              <w:autoSpaceDN w:val="0"/>
              <w:adjustRightInd w:val="0"/>
              <w:spacing w:line="240" w:lineRule="auto"/>
              <w:rPr>
                <w:szCs w:val="24"/>
                <w:lang w:val="lv-LV"/>
              </w:rPr>
            </w:pPr>
            <w:r w:rsidRPr="00764797">
              <w:rPr>
                <w:szCs w:val="24"/>
                <w:lang w:val="lv-LV"/>
              </w:rPr>
              <w:t>Bieži</w:t>
            </w:r>
          </w:p>
        </w:tc>
        <w:tc>
          <w:tcPr>
            <w:tcW w:w="6191" w:type="dxa"/>
          </w:tcPr>
          <w:p w14:paraId="21D12EC6" w14:textId="77777777" w:rsidR="00A36E66" w:rsidRPr="00764797" w:rsidRDefault="00A36E66" w:rsidP="00A36E66">
            <w:pPr>
              <w:tabs>
                <w:tab w:val="clear" w:pos="565"/>
              </w:tabs>
              <w:autoSpaceDE w:val="0"/>
              <w:autoSpaceDN w:val="0"/>
              <w:adjustRightInd w:val="0"/>
              <w:spacing w:line="240" w:lineRule="auto"/>
              <w:rPr>
                <w:szCs w:val="24"/>
                <w:lang w:val="lv-LV"/>
              </w:rPr>
            </w:pPr>
            <w:r w:rsidRPr="00764797">
              <w:rPr>
                <w:szCs w:val="24"/>
                <w:lang w:val="lv-LV"/>
              </w:rPr>
              <w:t>Erektilā disfunkcija</w:t>
            </w:r>
          </w:p>
        </w:tc>
      </w:tr>
      <w:tr w:rsidR="00A36E66" w:rsidRPr="005053A4" w14:paraId="3346E95C" w14:textId="77777777" w:rsidTr="002D03D0">
        <w:tc>
          <w:tcPr>
            <w:tcW w:w="2760" w:type="dxa"/>
          </w:tcPr>
          <w:p w14:paraId="12D95C6E" w14:textId="77777777" w:rsidR="00A36E66" w:rsidRPr="00764797" w:rsidRDefault="00A36E66" w:rsidP="00A36E66">
            <w:pPr>
              <w:tabs>
                <w:tab w:val="clear" w:pos="565"/>
              </w:tabs>
              <w:autoSpaceDE w:val="0"/>
              <w:autoSpaceDN w:val="0"/>
              <w:adjustRightInd w:val="0"/>
              <w:spacing w:line="240" w:lineRule="auto"/>
              <w:rPr>
                <w:szCs w:val="24"/>
                <w:lang w:val="lv-LV"/>
              </w:rPr>
            </w:pPr>
            <w:r w:rsidRPr="00764797">
              <w:rPr>
                <w:szCs w:val="24"/>
                <w:lang w:val="lv-LV"/>
              </w:rPr>
              <w:t>Retāk</w:t>
            </w:r>
          </w:p>
        </w:tc>
        <w:tc>
          <w:tcPr>
            <w:tcW w:w="6191" w:type="dxa"/>
          </w:tcPr>
          <w:p w14:paraId="37BB9B70" w14:textId="77777777" w:rsidR="00A36E66" w:rsidRPr="00764797" w:rsidRDefault="00A36E66" w:rsidP="00A36E66">
            <w:pPr>
              <w:tabs>
                <w:tab w:val="clear" w:pos="565"/>
              </w:tabs>
              <w:autoSpaceDE w:val="0"/>
              <w:autoSpaceDN w:val="0"/>
              <w:adjustRightInd w:val="0"/>
              <w:spacing w:line="240" w:lineRule="auto"/>
              <w:rPr>
                <w:szCs w:val="24"/>
                <w:lang w:val="lv-LV"/>
              </w:rPr>
            </w:pPr>
            <w:r w:rsidRPr="00764797">
              <w:rPr>
                <w:szCs w:val="24"/>
                <w:lang w:val="lv-LV"/>
              </w:rPr>
              <w:t>Seksuāla disfunkcija, aizkavēta ejakulācija, dismenoreja, krūts dziedzeru sāpīgums</w:t>
            </w:r>
          </w:p>
        </w:tc>
      </w:tr>
      <w:tr w:rsidR="00A36E66" w:rsidRPr="005053A4" w14:paraId="42084523" w14:textId="77777777" w:rsidTr="002D03D0">
        <w:tc>
          <w:tcPr>
            <w:tcW w:w="2760" w:type="dxa"/>
          </w:tcPr>
          <w:p w14:paraId="427347D0" w14:textId="77777777" w:rsidR="00A36E66" w:rsidRPr="00764797" w:rsidRDefault="00A36E66" w:rsidP="00A36E66">
            <w:pPr>
              <w:tabs>
                <w:tab w:val="clear" w:pos="565"/>
              </w:tabs>
              <w:autoSpaceDE w:val="0"/>
              <w:autoSpaceDN w:val="0"/>
              <w:adjustRightInd w:val="0"/>
              <w:spacing w:line="240" w:lineRule="auto"/>
              <w:rPr>
                <w:szCs w:val="24"/>
                <w:lang w:val="lv-LV"/>
              </w:rPr>
            </w:pPr>
            <w:r w:rsidRPr="00764797">
              <w:rPr>
                <w:szCs w:val="24"/>
                <w:lang w:val="lv-LV"/>
              </w:rPr>
              <w:t>Reti</w:t>
            </w:r>
          </w:p>
        </w:tc>
        <w:tc>
          <w:tcPr>
            <w:tcW w:w="6191" w:type="dxa"/>
          </w:tcPr>
          <w:p w14:paraId="5B96C4C9" w14:textId="77777777" w:rsidR="00A36E66" w:rsidRPr="00764797" w:rsidRDefault="00A36E66" w:rsidP="00A36E66">
            <w:pPr>
              <w:tabs>
                <w:tab w:val="clear" w:pos="565"/>
              </w:tabs>
              <w:autoSpaceDE w:val="0"/>
              <w:autoSpaceDN w:val="0"/>
              <w:adjustRightInd w:val="0"/>
              <w:spacing w:line="240" w:lineRule="auto"/>
              <w:rPr>
                <w:szCs w:val="24"/>
                <w:lang w:val="lv-LV"/>
              </w:rPr>
            </w:pPr>
            <w:r w:rsidRPr="00764797">
              <w:rPr>
                <w:szCs w:val="24"/>
                <w:lang w:val="lv-LV"/>
              </w:rPr>
              <w:t xml:space="preserve">Amenoreja, izdalījumi no krūtīm, krūts dziedzeru palielināšanās, </w:t>
            </w:r>
            <w:r w:rsidRPr="00764797">
              <w:rPr>
                <w:i/>
                <w:szCs w:val="24"/>
                <w:lang w:val="lv-LV"/>
              </w:rPr>
              <w:t>ginekomastija</w:t>
            </w:r>
          </w:p>
        </w:tc>
      </w:tr>
      <w:tr w:rsidR="00A36E66" w:rsidRPr="00A65B78" w14:paraId="0CA03630" w14:textId="77777777" w:rsidTr="002D03D0">
        <w:tc>
          <w:tcPr>
            <w:tcW w:w="8951" w:type="dxa"/>
            <w:gridSpan w:val="2"/>
          </w:tcPr>
          <w:p w14:paraId="52511BB1" w14:textId="77777777" w:rsidR="00A36E66" w:rsidRPr="00764797" w:rsidRDefault="00A36E66" w:rsidP="00A36E66">
            <w:pPr>
              <w:tabs>
                <w:tab w:val="clear" w:pos="565"/>
              </w:tabs>
              <w:autoSpaceDE w:val="0"/>
              <w:autoSpaceDN w:val="0"/>
              <w:adjustRightInd w:val="0"/>
              <w:spacing w:line="240" w:lineRule="auto"/>
              <w:rPr>
                <w:szCs w:val="24"/>
                <w:lang w:val="lv-LV"/>
              </w:rPr>
            </w:pPr>
            <w:r w:rsidRPr="00764797">
              <w:rPr>
                <w:b/>
                <w:szCs w:val="24"/>
                <w:lang w:val="lv-LV"/>
              </w:rPr>
              <w:t>Vispārēji traucējumi un reakcijas ievadīšanas vietā</w:t>
            </w:r>
          </w:p>
        </w:tc>
      </w:tr>
      <w:tr w:rsidR="00A36E66" w:rsidRPr="005053A4" w14:paraId="7AD3BA6F" w14:textId="77777777" w:rsidTr="002D03D0">
        <w:tc>
          <w:tcPr>
            <w:tcW w:w="2760" w:type="dxa"/>
          </w:tcPr>
          <w:p w14:paraId="794B7D97" w14:textId="77777777" w:rsidR="00A36E66" w:rsidRPr="00764797" w:rsidRDefault="00A36E66" w:rsidP="00A36E66">
            <w:pPr>
              <w:tabs>
                <w:tab w:val="clear" w:pos="565"/>
              </w:tabs>
              <w:autoSpaceDE w:val="0"/>
              <w:autoSpaceDN w:val="0"/>
              <w:adjustRightInd w:val="0"/>
              <w:spacing w:line="240" w:lineRule="auto"/>
              <w:rPr>
                <w:szCs w:val="24"/>
                <w:lang w:val="lv-LV"/>
              </w:rPr>
            </w:pPr>
            <w:r w:rsidRPr="00764797">
              <w:rPr>
                <w:szCs w:val="24"/>
                <w:lang w:val="lv-LV"/>
              </w:rPr>
              <w:t>Bieži</w:t>
            </w:r>
          </w:p>
        </w:tc>
        <w:tc>
          <w:tcPr>
            <w:tcW w:w="6191" w:type="dxa"/>
          </w:tcPr>
          <w:p w14:paraId="601E05DC" w14:textId="77777777" w:rsidR="00A36E66" w:rsidRPr="00764797" w:rsidRDefault="00A36E66" w:rsidP="00A36E66">
            <w:pPr>
              <w:tabs>
                <w:tab w:val="clear" w:pos="565"/>
              </w:tabs>
              <w:autoSpaceDE w:val="0"/>
              <w:autoSpaceDN w:val="0"/>
              <w:adjustRightInd w:val="0"/>
              <w:spacing w:line="240" w:lineRule="auto"/>
              <w:rPr>
                <w:szCs w:val="24"/>
                <w:lang w:val="lv-LV"/>
              </w:rPr>
            </w:pPr>
            <w:r w:rsidRPr="00764797">
              <w:rPr>
                <w:szCs w:val="24"/>
                <w:lang w:val="lv-LV"/>
              </w:rPr>
              <w:t>Perifēra tūska, tūska, patoloģiska gaita, krišana, apreibuma sajūta, slikta pašsajūta, nespēks</w:t>
            </w:r>
          </w:p>
        </w:tc>
      </w:tr>
      <w:tr w:rsidR="00A36E66" w:rsidRPr="005053A4" w14:paraId="70698139" w14:textId="77777777" w:rsidTr="002D03D0">
        <w:tc>
          <w:tcPr>
            <w:tcW w:w="2760" w:type="dxa"/>
          </w:tcPr>
          <w:p w14:paraId="27A43BA6" w14:textId="77777777" w:rsidR="00A36E66" w:rsidRPr="00764797" w:rsidRDefault="00A36E66" w:rsidP="00A36E66">
            <w:pPr>
              <w:tabs>
                <w:tab w:val="clear" w:pos="565"/>
              </w:tabs>
              <w:autoSpaceDE w:val="0"/>
              <w:autoSpaceDN w:val="0"/>
              <w:adjustRightInd w:val="0"/>
              <w:spacing w:line="240" w:lineRule="auto"/>
              <w:rPr>
                <w:szCs w:val="24"/>
                <w:lang w:val="lv-LV"/>
              </w:rPr>
            </w:pPr>
            <w:r w:rsidRPr="00764797">
              <w:rPr>
                <w:szCs w:val="24"/>
                <w:lang w:val="lv-LV"/>
              </w:rPr>
              <w:t>Retāk</w:t>
            </w:r>
          </w:p>
        </w:tc>
        <w:tc>
          <w:tcPr>
            <w:tcW w:w="6191" w:type="dxa"/>
          </w:tcPr>
          <w:p w14:paraId="62910494" w14:textId="77777777" w:rsidR="00A36E66" w:rsidRPr="00764797" w:rsidRDefault="00A36E66" w:rsidP="00A36E66">
            <w:pPr>
              <w:tabs>
                <w:tab w:val="clear" w:pos="565"/>
              </w:tabs>
              <w:autoSpaceDE w:val="0"/>
              <w:autoSpaceDN w:val="0"/>
              <w:adjustRightInd w:val="0"/>
              <w:spacing w:line="240" w:lineRule="auto"/>
              <w:rPr>
                <w:szCs w:val="24"/>
                <w:lang w:val="lv-LV"/>
              </w:rPr>
            </w:pPr>
            <w:r w:rsidRPr="00764797">
              <w:rPr>
                <w:szCs w:val="24"/>
                <w:lang w:val="lv-LV"/>
              </w:rPr>
              <w:t xml:space="preserve">Vispārēja tūska, </w:t>
            </w:r>
            <w:r w:rsidRPr="00764797">
              <w:rPr>
                <w:i/>
                <w:szCs w:val="24"/>
                <w:lang w:val="lv-LV"/>
              </w:rPr>
              <w:t>sejas tūska</w:t>
            </w:r>
            <w:r w:rsidRPr="00764797">
              <w:rPr>
                <w:szCs w:val="24"/>
                <w:lang w:val="lv-LV"/>
              </w:rPr>
              <w:t>, spiediena sajūta krūtīs, sāpes, drudzis, slāpes, drebuļi, astēnija</w:t>
            </w:r>
          </w:p>
        </w:tc>
      </w:tr>
      <w:tr w:rsidR="00A36E66" w:rsidRPr="00764797" w14:paraId="072E0E74" w14:textId="77777777" w:rsidTr="002D03D0">
        <w:tc>
          <w:tcPr>
            <w:tcW w:w="8951" w:type="dxa"/>
            <w:gridSpan w:val="2"/>
          </w:tcPr>
          <w:p w14:paraId="1A8F5149" w14:textId="77777777" w:rsidR="00A36E66" w:rsidRPr="00764797" w:rsidRDefault="00A36E66" w:rsidP="00A36E66">
            <w:pPr>
              <w:tabs>
                <w:tab w:val="clear" w:pos="565"/>
              </w:tabs>
              <w:autoSpaceDE w:val="0"/>
              <w:autoSpaceDN w:val="0"/>
              <w:adjustRightInd w:val="0"/>
              <w:spacing w:line="240" w:lineRule="auto"/>
              <w:rPr>
                <w:i/>
                <w:szCs w:val="24"/>
                <w:lang w:val="lv-LV"/>
              </w:rPr>
            </w:pPr>
            <w:r w:rsidRPr="00764797">
              <w:rPr>
                <w:b/>
                <w:szCs w:val="24"/>
                <w:lang w:val="lv-LV"/>
              </w:rPr>
              <w:t>Izmeklējumi</w:t>
            </w:r>
          </w:p>
        </w:tc>
      </w:tr>
      <w:tr w:rsidR="00A36E66" w:rsidRPr="00764797" w14:paraId="7D6521AF" w14:textId="77777777" w:rsidTr="002D03D0">
        <w:tc>
          <w:tcPr>
            <w:tcW w:w="2760" w:type="dxa"/>
          </w:tcPr>
          <w:p w14:paraId="0CED1CB6" w14:textId="77777777" w:rsidR="00A36E66" w:rsidRPr="00764797" w:rsidRDefault="00A36E66" w:rsidP="00A36E66">
            <w:pPr>
              <w:tabs>
                <w:tab w:val="clear" w:pos="565"/>
              </w:tabs>
              <w:autoSpaceDE w:val="0"/>
              <w:autoSpaceDN w:val="0"/>
              <w:adjustRightInd w:val="0"/>
              <w:spacing w:line="240" w:lineRule="auto"/>
              <w:rPr>
                <w:szCs w:val="24"/>
                <w:lang w:val="lv-LV"/>
              </w:rPr>
            </w:pPr>
            <w:r w:rsidRPr="00764797">
              <w:rPr>
                <w:szCs w:val="24"/>
                <w:lang w:val="lv-LV"/>
              </w:rPr>
              <w:t>Bieži</w:t>
            </w:r>
          </w:p>
        </w:tc>
        <w:tc>
          <w:tcPr>
            <w:tcW w:w="6191" w:type="dxa"/>
          </w:tcPr>
          <w:p w14:paraId="7F7317CD" w14:textId="77777777" w:rsidR="00A36E66" w:rsidRPr="00764797" w:rsidRDefault="00A36E66" w:rsidP="00A36E66">
            <w:pPr>
              <w:tabs>
                <w:tab w:val="clear" w:pos="565"/>
              </w:tabs>
              <w:autoSpaceDE w:val="0"/>
              <w:autoSpaceDN w:val="0"/>
              <w:adjustRightInd w:val="0"/>
              <w:spacing w:line="240" w:lineRule="auto"/>
              <w:rPr>
                <w:szCs w:val="24"/>
                <w:lang w:val="lv-LV"/>
              </w:rPr>
            </w:pPr>
            <w:r w:rsidRPr="00764797">
              <w:rPr>
                <w:szCs w:val="24"/>
                <w:lang w:val="lv-LV"/>
              </w:rPr>
              <w:t>Palielināta ķermeņa masa</w:t>
            </w:r>
          </w:p>
        </w:tc>
      </w:tr>
      <w:tr w:rsidR="00A36E66" w:rsidRPr="005053A4" w14:paraId="596B0F8C" w14:textId="77777777" w:rsidTr="002D03D0">
        <w:tc>
          <w:tcPr>
            <w:tcW w:w="2760" w:type="dxa"/>
          </w:tcPr>
          <w:p w14:paraId="2BCA2D7D" w14:textId="77777777" w:rsidR="00A36E66" w:rsidRPr="00764797" w:rsidRDefault="00A36E66" w:rsidP="00A36E66">
            <w:pPr>
              <w:tabs>
                <w:tab w:val="clear" w:pos="565"/>
              </w:tabs>
              <w:autoSpaceDE w:val="0"/>
              <w:autoSpaceDN w:val="0"/>
              <w:adjustRightInd w:val="0"/>
              <w:spacing w:line="240" w:lineRule="auto"/>
              <w:rPr>
                <w:szCs w:val="24"/>
                <w:lang w:val="lv-LV"/>
              </w:rPr>
            </w:pPr>
            <w:r w:rsidRPr="00764797">
              <w:rPr>
                <w:szCs w:val="24"/>
                <w:lang w:val="lv-LV"/>
              </w:rPr>
              <w:t>Retāk</w:t>
            </w:r>
          </w:p>
        </w:tc>
        <w:tc>
          <w:tcPr>
            <w:tcW w:w="6191" w:type="dxa"/>
          </w:tcPr>
          <w:p w14:paraId="063FD214" w14:textId="2AE053CA" w:rsidR="00A36E66" w:rsidRPr="00764797" w:rsidRDefault="00A36E66" w:rsidP="00A36E66">
            <w:pPr>
              <w:tabs>
                <w:tab w:val="clear" w:pos="565"/>
              </w:tabs>
              <w:autoSpaceDE w:val="0"/>
              <w:autoSpaceDN w:val="0"/>
              <w:adjustRightInd w:val="0"/>
              <w:spacing w:line="240" w:lineRule="auto"/>
              <w:rPr>
                <w:szCs w:val="24"/>
                <w:lang w:val="lv-LV"/>
              </w:rPr>
            </w:pPr>
            <w:r w:rsidRPr="00764797">
              <w:rPr>
                <w:szCs w:val="24"/>
                <w:lang w:val="lv-LV"/>
              </w:rPr>
              <w:t>Paaugstināts kreatīna fosfokināzes līmenis asinīs, paaugstināts glikozes līmenis asinīs, samazināts trombocītu skaits, paaugstināts kreatinīna līmenis asinīs, pazemināts kālija līmenis asinīs, samazināta ķermeņa masa</w:t>
            </w:r>
          </w:p>
        </w:tc>
      </w:tr>
      <w:tr w:rsidR="00A36E66" w:rsidRPr="00764797" w14:paraId="72D04181" w14:textId="77777777" w:rsidTr="002D03D0">
        <w:tc>
          <w:tcPr>
            <w:tcW w:w="2760" w:type="dxa"/>
          </w:tcPr>
          <w:p w14:paraId="7B40563B" w14:textId="77777777" w:rsidR="00A36E66" w:rsidRPr="00764797" w:rsidRDefault="00A36E66" w:rsidP="00A36E66">
            <w:pPr>
              <w:tabs>
                <w:tab w:val="clear" w:pos="565"/>
              </w:tabs>
              <w:autoSpaceDE w:val="0"/>
              <w:autoSpaceDN w:val="0"/>
              <w:adjustRightInd w:val="0"/>
              <w:spacing w:line="240" w:lineRule="auto"/>
              <w:rPr>
                <w:szCs w:val="24"/>
                <w:lang w:val="lv-LV"/>
              </w:rPr>
            </w:pPr>
            <w:r w:rsidRPr="00764797">
              <w:rPr>
                <w:szCs w:val="24"/>
                <w:lang w:val="lv-LV"/>
              </w:rPr>
              <w:t xml:space="preserve">Reti </w:t>
            </w:r>
          </w:p>
          <w:p w14:paraId="6E39169C" w14:textId="77777777" w:rsidR="00A36E66" w:rsidRPr="00764797" w:rsidRDefault="00A36E66" w:rsidP="00A36E66">
            <w:pPr>
              <w:tabs>
                <w:tab w:val="clear" w:pos="565"/>
              </w:tabs>
              <w:autoSpaceDE w:val="0"/>
              <w:autoSpaceDN w:val="0"/>
              <w:adjustRightInd w:val="0"/>
              <w:spacing w:line="240" w:lineRule="auto"/>
              <w:rPr>
                <w:szCs w:val="24"/>
                <w:lang w:val="lv-LV"/>
              </w:rPr>
            </w:pPr>
          </w:p>
        </w:tc>
        <w:tc>
          <w:tcPr>
            <w:tcW w:w="6191" w:type="dxa"/>
          </w:tcPr>
          <w:p w14:paraId="1F253E35" w14:textId="77777777" w:rsidR="00A36E66" w:rsidRPr="00764797" w:rsidRDefault="00A36E66" w:rsidP="00A36E66">
            <w:pPr>
              <w:tabs>
                <w:tab w:val="clear" w:pos="565"/>
              </w:tabs>
              <w:autoSpaceDE w:val="0"/>
              <w:autoSpaceDN w:val="0"/>
              <w:adjustRightInd w:val="0"/>
              <w:spacing w:line="240" w:lineRule="auto"/>
              <w:rPr>
                <w:szCs w:val="24"/>
                <w:lang w:val="lv-LV"/>
              </w:rPr>
            </w:pPr>
            <w:r w:rsidRPr="00764797">
              <w:rPr>
                <w:szCs w:val="24"/>
                <w:lang w:val="lv-LV"/>
              </w:rPr>
              <w:t>Samazināts leikocītu skaits</w:t>
            </w:r>
          </w:p>
        </w:tc>
      </w:tr>
    </w:tbl>
    <w:p w14:paraId="3A6DF24B" w14:textId="77777777" w:rsidR="00965657" w:rsidRDefault="00A36E66">
      <w:pPr>
        <w:spacing w:line="240" w:lineRule="auto"/>
        <w:ind w:left="565" w:hanging="565"/>
        <w:rPr>
          <w:b/>
          <w:szCs w:val="24"/>
          <w:lang w:val="lv-LV"/>
        </w:rPr>
      </w:pPr>
      <w:r>
        <w:rPr>
          <w:sz w:val="20"/>
        </w:rPr>
        <w:t>* Paaugstināts alanīna aminotransferāzes (AlAT) un aspartāta aminotransferāzes (AsAT) līmenis</w:t>
      </w:r>
    </w:p>
    <w:p w14:paraId="26F4E79D" w14:textId="77777777" w:rsidR="002D03D0" w:rsidRPr="00D16F94" w:rsidRDefault="002D03D0">
      <w:pPr>
        <w:spacing w:line="240" w:lineRule="auto"/>
        <w:ind w:left="565" w:hanging="565"/>
        <w:rPr>
          <w:b/>
          <w:szCs w:val="24"/>
          <w:lang w:val="lv-LV"/>
        </w:rPr>
      </w:pPr>
    </w:p>
    <w:p w14:paraId="1C6626A3" w14:textId="77777777" w:rsidR="00965657" w:rsidRPr="00D16F94" w:rsidRDefault="00965657">
      <w:pPr>
        <w:tabs>
          <w:tab w:val="clear" w:pos="565"/>
        </w:tabs>
        <w:autoSpaceDE w:val="0"/>
        <w:autoSpaceDN w:val="0"/>
        <w:adjustRightInd w:val="0"/>
        <w:spacing w:line="240" w:lineRule="auto"/>
        <w:rPr>
          <w:szCs w:val="24"/>
          <w:lang w:val="lv-LV"/>
        </w:rPr>
      </w:pPr>
      <w:r w:rsidRPr="00D16F94">
        <w:rPr>
          <w:szCs w:val="24"/>
          <w:lang w:val="lv-LV"/>
        </w:rPr>
        <w:t>Dažiem pacientiem, pārtraucot īstermiņa un ilgtermiņa ārstēšanu ar pregabalīnu, tika nov</w:t>
      </w:r>
      <w:r w:rsidR="003E252A">
        <w:rPr>
          <w:szCs w:val="24"/>
          <w:lang w:val="lv-LV"/>
        </w:rPr>
        <w:t>ēroti lietošanas pārtraukšanas</w:t>
      </w:r>
      <w:r w:rsidRPr="00D16F94">
        <w:rPr>
          <w:szCs w:val="24"/>
          <w:lang w:val="lv-LV"/>
        </w:rPr>
        <w:t xml:space="preserve"> simptomi. Novēroti šādi simptomi: bezmiegs, galvassāpes, slikta dūša, nemiers, caureja, gripas sindroms, krampji, nervozitāte, depresija, sāpes, pastiprināta svīšana un reibonis, kas liecina par fiziskas atkarības rašanos. Pacients par to jāinformē pirms terapijas sākšanas.</w:t>
      </w:r>
    </w:p>
    <w:p w14:paraId="15E50253" w14:textId="77777777" w:rsidR="00965657" w:rsidRPr="00D16F94" w:rsidRDefault="00965657">
      <w:pPr>
        <w:tabs>
          <w:tab w:val="clear" w:pos="565"/>
        </w:tabs>
        <w:autoSpaceDE w:val="0"/>
        <w:autoSpaceDN w:val="0"/>
        <w:adjustRightInd w:val="0"/>
        <w:spacing w:line="240" w:lineRule="auto"/>
        <w:rPr>
          <w:szCs w:val="24"/>
          <w:lang w:val="lv-LV"/>
        </w:rPr>
      </w:pPr>
    </w:p>
    <w:p w14:paraId="0D96EC18" w14:textId="77777777" w:rsidR="00965657" w:rsidRPr="00D16F94" w:rsidRDefault="00965657">
      <w:pPr>
        <w:tabs>
          <w:tab w:val="clear" w:pos="565"/>
        </w:tabs>
        <w:spacing w:line="240" w:lineRule="auto"/>
        <w:rPr>
          <w:szCs w:val="24"/>
          <w:lang w:val="lv-LV"/>
        </w:rPr>
      </w:pPr>
      <w:r w:rsidRPr="00D16F94">
        <w:rPr>
          <w:szCs w:val="24"/>
          <w:lang w:val="lv-LV"/>
        </w:rPr>
        <w:t>Dati par pregabalīna ilgstošas lietošanas pārtraukšanu liecina, ka lietošanas pārtraukšanas simptomu biežums un smaguma pakāpe var būt atkarīga no pregabalīna devas.</w:t>
      </w:r>
    </w:p>
    <w:p w14:paraId="71EC0233" w14:textId="77777777" w:rsidR="00965657" w:rsidRPr="00D16F94" w:rsidRDefault="00965657">
      <w:pPr>
        <w:spacing w:line="240" w:lineRule="auto"/>
        <w:ind w:left="565" w:hanging="565"/>
        <w:rPr>
          <w:b/>
          <w:szCs w:val="24"/>
          <w:lang w:val="lv-LV"/>
        </w:rPr>
      </w:pPr>
    </w:p>
    <w:p w14:paraId="061D4230" w14:textId="77777777" w:rsidR="00965657" w:rsidRPr="00870103" w:rsidRDefault="00965657">
      <w:pPr>
        <w:spacing w:line="240" w:lineRule="auto"/>
        <w:rPr>
          <w:szCs w:val="24"/>
          <w:u w:val="single"/>
          <w:lang w:val="lv-LV"/>
        </w:rPr>
      </w:pPr>
      <w:r w:rsidRPr="00870103">
        <w:rPr>
          <w:szCs w:val="24"/>
          <w:u w:val="single"/>
          <w:lang w:val="lv-LV"/>
        </w:rPr>
        <w:t>Pediatriskā populācija</w:t>
      </w:r>
    </w:p>
    <w:p w14:paraId="2B80CF08" w14:textId="770AAE4E" w:rsidR="00A36E66" w:rsidRPr="00870103" w:rsidRDefault="00A36E66" w:rsidP="00A36E66">
      <w:pPr>
        <w:spacing w:line="240" w:lineRule="auto"/>
        <w:rPr>
          <w:szCs w:val="22"/>
          <w:lang w:val="lv-LV"/>
        </w:rPr>
      </w:pPr>
      <w:r w:rsidRPr="00870103">
        <w:rPr>
          <w:lang w:val="lv-LV"/>
        </w:rPr>
        <w:t xml:space="preserve">Pregabalīna drošuma īpašības, kas novērotas pētījumos </w:t>
      </w:r>
      <w:r w:rsidR="0028336A" w:rsidRPr="00870103">
        <w:rPr>
          <w:lang w:val="lv-LV"/>
        </w:rPr>
        <w:t>ar bērniem, kuriem bija parciāli krampji ar sekundāru ģeneralizāciju vai bez tās</w:t>
      </w:r>
      <w:r w:rsidR="0041337A">
        <w:rPr>
          <w:lang w:val="lv-LV"/>
        </w:rPr>
        <w:t xml:space="preserve"> </w:t>
      </w:r>
      <w:r w:rsidRPr="00870103">
        <w:rPr>
          <w:lang w:val="lv-LV"/>
        </w:rPr>
        <w:t>(12 nedēļas ilgā efektivitātes un drošuma pētījumā ar 4–16 gadus veciem pacientiem, n = 295; 14 dienas ilgā efektivitātes un drošuma pētījumā ar vienu mēnesi līdz ne vairāk kā četrus gadus veciem pacientiem, n = 17</w:t>
      </w:r>
      <w:r w:rsidR="00787466">
        <w:rPr>
          <w:lang w:val="lv-LV"/>
        </w:rPr>
        <w:t>5</w:t>
      </w:r>
      <w:r w:rsidRPr="00870103">
        <w:rPr>
          <w:lang w:val="lv-LV"/>
        </w:rPr>
        <w:t xml:space="preserve">; farmakokinētikas un panesamības pētījumā, n = 65, un divos vienu gadu ilgos nemaskētos novērošanas drošuma pētījumos, n = 54 un n =431), bija līdzīgas tām, kas ir novērotas pētījumos ar pieaugušiem epilepsijas slimniekiem. </w:t>
      </w:r>
    </w:p>
    <w:p w14:paraId="0793241A" w14:textId="4A54D4F7" w:rsidR="00965657" w:rsidRPr="00D16F94" w:rsidRDefault="00A36E66" w:rsidP="00A36E66">
      <w:pPr>
        <w:spacing w:line="240" w:lineRule="auto"/>
        <w:rPr>
          <w:szCs w:val="24"/>
          <w:lang w:val="lv-LV"/>
        </w:rPr>
      </w:pPr>
      <w:r w:rsidRPr="00870103">
        <w:rPr>
          <w:lang w:val="lv-LV"/>
        </w:rPr>
        <w:t>12 nedēļas ilgajā pregabalīna terapijas pētījumā visbiežākās nevēlamās blakusparādības bija miegainība, drudzis, augšējo elpceļu infekcijas, pastiprināta ēstgriba, ķermeņa masas palielināšanās un nazofaringīts. 14 dienas ilgajā pregabalīna terapijas pētījumā visbiežākās nevēlamās blakusparādības bija miegainība, augšējo elpceļu infekcijas un drudzis</w:t>
      </w:r>
      <w:r w:rsidR="00965657" w:rsidRPr="00D16F94">
        <w:rPr>
          <w:szCs w:val="24"/>
          <w:lang w:val="lv-LV"/>
        </w:rPr>
        <w:t xml:space="preserve"> (skatīt 4.2., 5.1. un 5.2. apakšpunktu).</w:t>
      </w:r>
    </w:p>
    <w:p w14:paraId="32DCA3C8" w14:textId="77777777" w:rsidR="00965657" w:rsidRPr="00D16F94" w:rsidRDefault="00965657">
      <w:pPr>
        <w:spacing w:line="240" w:lineRule="auto"/>
        <w:rPr>
          <w:szCs w:val="24"/>
          <w:lang w:val="lv-LV"/>
        </w:rPr>
      </w:pPr>
    </w:p>
    <w:p w14:paraId="5583FB2F" w14:textId="77777777" w:rsidR="00965657" w:rsidRPr="00D16F94" w:rsidRDefault="00965657">
      <w:pPr>
        <w:spacing w:line="240" w:lineRule="auto"/>
        <w:rPr>
          <w:szCs w:val="24"/>
          <w:lang w:val="lv-LV"/>
        </w:rPr>
      </w:pPr>
      <w:r w:rsidRPr="00D16F94">
        <w:rPr>
          <w:szCs w:val="24"/>
          <w:u w:val="single"/>
          <w:lang w:val="lv-LV"/>
        </w:rPr>
        <w:t>Ziņošana par iespējamām nevēlamām blakusparādībām</w:t>
      </w:r>
    </w:p>
    <w:p w14:paraId="60CF1E0E" w14:textId="77777777" w:rsidR="004C66C4" w:rsidRDefault="00965657" w:rsidP="00BE6562">
      <w:pPr>
        <w:tabs>
          <w:tab w:val="clear" w:pos="565"/>
          <w:tab w:val="left" w:pos="21"/>
          <w:tab w:val="left" w:pos="30"/>
        </w:tabs>
        <w:spacing w:line="240" w:lineRule="auto"/>
        <w:ind w:firstLine="5"/>
        <w:rPr>
          <w:szCs w:val="22"/>
          <w:lang w:val="lv-LV" w:eastAsia="ar-SA"/>
        </w:rPr>
      </w:pPr>
      <w:r w:rsidRPr="00D16F94">
        <w:rPr>
          <w:szCs w:val="24"/>
          <w:lang w:val="lv-LV"/>
        </w:rPr>
        <w:t>Ir svarīgi ziņot par iespējamām nevēlamām blakusparādībām pēc zāļu reģistrācijas. Tādējādi zāļu ieguvum</w:t>
      </w:r>
      <w:r w:rsidR="003E252A">
        <w:rPr>
          <w:szCs w:val="24"/>
          <w:lang w:val="lv-LV"/>
        </w:rPr>
        <w:t>a</w:t>
      </w:r>
      <w:r w:rsidRPr="00D16F94">
        <w:rPr>
          <w:szCs w:val="24"/>
          <w:lang w:val="lv-LV"/>
        </w:rPr>
        <w:t xml:space="preserve">/riska attiecība tiek nepārtraukti uzraudzīta. </w:t>
      </w:r>
      <w:r w:rsidR="000C68B1" w:rsidRPr="000C68B1">
        <w:rPr>
          <w:szCs w:val="22"/>
          <w:lang w:val="lv-LV" w:eastAsia="ar-SA"/>
        </w:rPr>
        <w:t xml:space="preserve">Veselības aprūpes speciālisti tiek lūgti ziņot par jebkādām iespējamām nevēlamām blakusparādībām </w:t>
      </w:r>
    </w:p>
    <w:p w14:paraId="43481783" w14:textId="2D5995A8" w:rsidR="00CB7E4C" w:rsidRDefault="000C68B1" w:rsidP="00BE6562">
      <w:pPr>
        <w:tabs>
          <w:tab w:val="clear" w:pos="565"/>
          <w:tab w:val="left" w:pos="21"/>
          <w:tab w:val="left" w:pos="30"/>
        </w:tabs>
        <w:spacing w:line="240" w:lineRule="auto"/>
        <w:ind w:firstLine="5"/>
        <w:rPr>
          <w:szCs w:val="22"/>
          <w:lang w:val="pt-PT" w:eastAsia="ar-SA"/>
        </w:rPr>
      </w:pPr>
      <w:r w:rsidRPr="000C68B1">
        <w:rPr>
          <w:szCs w:val="22"/>
          <w:lang w:val="lv-LV" w:eastAsia="ar-SA"/>
        </w:rPr>
        <w:t xml:space="preserve">Zāļu valsts aģentūrai, Jersikas ielā 15, Rīgā, LV 1003. </w:t>
      </w:r>
    </w:p>
    <w:p w14:paraId="3FBAC379" w14:textId="77777777" w:rsidR="000C68B1" w:rsidRPr="000C68B1" w:rsidRDefault="000C68B1" w:rsidP="00BE6562">
      <w:pPr>
        <w:tabs>
          <w:tab w:val="clear" w:pos="565"/>
          <w:tab w:val="left" w:pos="21"/>
          <w:tab w:val="left" w:pos="30"/>
        </w:tabs>
        <w:spacing w:line="240" w:lineRule="auto"/>
        <w:ind w:firstLine="5"/>
        <w:rPr>
          <w:szCs w:val="22"/>
          <w:lang w:val="lv-LV" w:eastAsia="ar-SA"/>
        </w:rPr>
      </w:pPr>
      <w:r w:rsidRPr="000C68B1">
        <w:rPr>
          <w:szCs w:val="22"/>
          <w:lang w:val="lv-LV" w:eastAsia="ar-SA"/>
        </w:rPr>
        <w:t xml:space="preserve">Tīmekļa vietne: </w:t>
      </w:r>
      <w:hyperlink r:id="rId11" w:history="1">
        <w:r w:rsidRPr="000C68B1">
          <w:rPr>
            <w:szCs w:val="22"/>
            <w:lang w:val="lv-LV" w:eastAsia="ar-SA"/>
          </w:rPr>
          <w:t>www.zva.gov.lv</w:t>
        </w:r>
      </w:hyperlink>
    </w:p>
    <w:p w14:paraId="7AE9CC59" w14:textId="77777777" w:rsidR="003E252A" w:rsidRDefault="003E252A" w:rsidP="003E252A">
      <w:pPr>
        <w:spacing w:line="240" w:lineRule="auto"/>
        <w:rPr>
          <w:szCs w:val="24"/>
          <w:lang w:val="lv-LV"/>
        </w:rPr>
      </w:pPr>
    </w:p>
    <w:p w14:paraId="765178E6" w14:textId="77777777" w:rsidR="00965657" w:rsidRPr="00D16F94" w:rsidRDefault="003E252A" w:rsidP="003E252A">
      <w:pPr>
        <w:spacing w:line="240" w:lineRule="auto"/>
        <w:rPr>
          <w:szCs w:val="24"/>
          <w:lang w:val="lv-LV"/>
        </w:rPr>
      </w:pPr>
      <w:r w:rsidRPr="003E252A">
        <w:rPr>
          <w:b/>
          <w:szCs w:val="24"/>
          <w:lang w:val="lv-LV"/>
        </w:rPr>
        <w:t>4.9.</w:t>
      </w:r>
      <w:r w:rsidRPr="003E252A">
        <w:rPr>
          <w:b/>
          <w:szCs w:val="24"/>
          <w:lang w:val="lv-LV"/>
        </w:rPr>
        <w:tab/>
      </w:r>
      <w:r w:rsidR="00965657" w:rsidRPr="00D16F94">
        <w:rPr>
          <w:b/>
          <w:szCs w:val="24"/>
          <w:lang w:val="lv-LV"/>
        </w:rPr>
        <w:t>Pārdozēšana</w:t>
      </w:r>
    </w:p>
    <w:p w14:paraId="2E981873" w14:textId="77777777" w:rsidR="00965657" w:rsidRPr="00D16F94" w:rsidRDefault="00965657">
      <w:pPr>
        <w:spacing w:line="240" w:lineRule="auto"/>
        <w:rPr>
          <w:szCs w:val="24"/>
          <w:lang w:val="lv-LV"/>
        </w:rPr>
      </w:pPr>
    </w:p>
    <w:p w14:paraId="1BEEC839" w14:textId="77777777" w:rsidR="00965657" w:rsidRPr="00D16F94" w:rsidRDefault="00965657">
      <w:pPr>
        <w:tabs>
          <w:tab w:val="clear" w:pos="565"/>
        </w:tabs>
        <w:autoSpaceDE w:val="0"/>
        <w:autoSpaceDN w:val="0"/>
        <w:adjustRightInd w:val="0"/>
        <w:spacing w:line="240" w:lineRule="auto"/>
        <w:rPr>
          <w:szCs w:val="24"/>
          <w:lang w:val="lv-LV"/>
        </w:rPr>
      </w:pPr>
      <w:r w:rsidRPr="00D16F94">
        <w:rPr>
          <w:szCs w:val="24"/>
          <w:lang w:val="lv-LV"/>
        </w:rPr>
        <w:t>Pēcreģistrācijas per</w:t>
      </w:r>
      <w:r w:rsidR="003E252A">
        <w:rPr>
          <w:szCs w:val="24"/>
          <w:lang w:val="lv-LV"/>
        </w:rPr>
        <w:t>iod</w:t>
      </w:r>
      <w:r w:rsidRPr="00D16F94">
        <w:rPr>
          <w:szCs w:val="24"/>
          <w:lang w:val="lv-LV"/>
        </w:rPr>
        <w:t>ā biežāk novērotās blakusparādības pregabalīna pārdozēšanas gadījumā bija miegainība, apjukums, uzbudinājums un nemiers.</w:t>
      </w:r>
      <w:r w:rsidR="00E60DD4">
        <w:rPr>
          <w:szCs w:val="24"/>
          <w:lang w:val="lv-LV"/>
        </w:rPr>
        <w:t xml:space="preserve"> </w:t>
      </w:r>
      <w:r w:rsidR="00E60DD4" w:rsidRPr="00E05370">
        <w:rPr>
          <w:szCs w:val="24"/>
          <w:lang w:val="lv-LV"/>
        </w:rPr>
        <w:t>Tika ziņots arī par krampju lēkmēm.</w:t>
      </w:r>
    </w:p>
    <w:p w14:paraId="32840162" w14:textId="77777777" w:rsidR="00965657" w:rsidRPr="00D16F94" w:rsidRDefault="00965657">
      <w:pPr>
        <w:tabs>
          <w:tab w:val="clear" w:pos="565"/>
        </w:tabs>
        <w:autoSpaceDE w:val="0"/>
        <w:autoSpaceDN w:val="0"/>
        <w:adjustRightInd w:val="0"/>
        <w:spacing w:line="240" w:lineRule="auto"/>
        <w:rPr>
          <w:szCs w:val="24"/>
          <w:lang w:val="lv-LV"/>
        </w:rPr>
      </w:pPr>
    </w:p>
    <w:p w14:paraId="0D35DBCE" w14:textId="77777777" w:rsidR="00965657" w:rsidRPr="00D16F94" w:rsidRDefault="00965657">
      <w:pPr>
        <w:spacing w:line="240" w:lineRule="auto"/>
        <w:rPr>
          <w:szCs w:val="24"/>
          <w:lang w:val="lv-LV"/>
        </w:rPr>
      </w:pPr>
      <w:r w:rsidRPr="00D16F94">
        <w:rPr>
          <w:szCs w:val="24"/>
          <w:lang w:val="lv-LV"/>
        </w:rPr>
        <w:t>Retos gadījumos ziņots par komas iestāšanos.</w:t>
      </w:r>
    </w:p>
    <w:p w14:paraId="663E2116" w14:textId="77777777" w:rsidR="00965657" w:rsidRPr="00D16F94" w:rsidRDefault="00965657">
      <w:pPr>
        <w:tabs>
          <w:tab w:val="clear" w:pos="565"/>
        </w:tabs>
        <w:autoSpaceDE w:val="0"/>
        <w:autoSpaceDN w:val="0"/>
        <w:adjustRightInd w:val="0"/>
        <w:spacing w:line="240" w:lineRule="auto"/>
        <w:rPr>
          <w:szCs w:val="24"/>
          <w:lang w:val="lv-LV"/>
        </w:rPr>
      </w:pPr>
    </w:p>
    <w:p w14:paraId="78882C1F" w14:textId="77777777" w:rsidR="00965657" w:rsidRPr="00D16F94" w:rsidRDefault="00965657">
      <w:pPr>
        <w:tabs>
          <w:tab w:val="clear" w:pos="565"/>
        </w:tabs>
        <w:autoSpaceDE w:val="0"/>
        <w:autoSpaceDN w:val="0"/>
        <w:adjustRightInd w:val="0"/>
        <w:spacing w:line="240" w:lineRule="auto"/>
        <w:rPr>
          <w:szCs w:val="24"/>
          <w:lang w:val="lv-LV"/>
        </w:rPr>
      </w:pPr>
      <w:r w:rsidRPr="00D16F94">
        <w:rPr>
          <w:szCs w:val="24"/>
          <w:lang w:val="lv-LV"/>
        </w:rPr>
        <w:t>Pregabalīna pārdozēšanu ārstē ar dzīvībai svarīgo funkciju uzturēšanu un, ja nepieciešams, hemodialīzi (skatīt 4.2. apakšpunktu, 1. tabulu).</w:t>
      </w:r>
    </w:p>
    <w:p w14:paraId="1B118704" w14:textId="77777777" w:rsidR="00965657" w:rsidRPr="00D16F94" w:rsidRDefault="00965657" w:rsidP="000C68B1">
      <w:pPr>
        <w:keepNext/>
        <w:tabs>
          <w:tab w:val="clear" w:pos="565"/>
        </w:tabs>
        <w:spacing w:line="240" w:lineRule="auto"/>
        <w:rPr>
          <w:i/>
          <w:noProof/>
          <w:szCs w:val="24"/>
          <w:lang w:val="lv-LV"/>
        </w:rPr>
      </w:pPr>
    </w:p>
    <w:p w14:paraId="0A7571B5" w14:textId="77777777" w:rsidR="00965657" w:rsidRPr="00D16F94" w:rsidRDefault="00965657" w:rsidP="000C68B1">
      <w:pPr>
        <w:keepNext/>
        <w:spacing w:line="240" w:lineRule="auto"/>
        <w:rPr>
          <w:szCs w:val="24"/>
          <w:lang w:val="lv-LV"/>
        </w:rPr>
      </w:pPr>
    </w:p>
    <w:p w14:paraId="5697EAA5" w14:textId="77777777" w:rsidR="00965657" w:rsidRPr="00D16F94" w:rsidRDefault="00965657" w:rsidP="000C68B1">
      <w:pPr>
        <w:keepNext/>
        <w:spacing w:line="240" w:lineRule="auto"/>
        <w:ind w:left="565" w:hanging="565"/>
        <w:rPr>
          <w:szCs w:val="24"/>
          <w:lang w:val="lv-LV"/>
        </w:rPr>
      </w:pPr>
      <w:r w:rsidRPr="00D16F94">
        <w:rPr>
          <w:b/>
          <w:szCs w:val="24"/>
          <w:lang w:val="lv-LV"/>
        </w:rPr>
        <w:t>5.</w:t>
      </w:r>
      <w:r w:rsidRPr="00D16F94">
        <w:rPr>
          <w:b/>
          <w:szCs w:val="24"/>
          <w:lang w:val="lv-LV"/>
        </w:rPr>
        <w:tab/>
        <w:t>FARMAKOLOĢISKĀS ĪPAŠĪBAS</w:t>
      </w:r>
    </w:p>
    <w:p w14:paraId="1D119722" w14:textId="77777777" w:rsidR="00965657" w:rsidRPr="00D16F94" w:rsidRDefault="00965657" w:rsidP="000C68B1">
      <w:pPr>
        <w:keepNext/>
        <w:spacing w:line="240" w:lineRule="auto"/>
        <w:rPr>
          <w:b/>
          <w:szCs w:val="24"/>
          <w:lang w:val="lv-LV"/>
        </w:rPr>
      </w:pPr>
    </w:p>
    <w:p w14:paraId="46DFA900" w14:textId="77777777" w:rsidR="00965657" w:rsidRPr="00D16F94" w:rsidRDefault="00965657" w:rsidP="000C68B1">
      <w:pPr>
        <w:keepNext/>
        <w:spacing w:line="240" w:lineRule="auto"/>
        <w:ind w:left="565" w:hanging="565"/>
        <w:rPr>
          <w:szCs w:val="24"/>
          <w:lang w:val="lv-LV"/>
        </w:rPr>
      </w:pPr>
      <w:r w:rsidRPr="00D16F94">
        <w:rPr>
          <w:b/>
          <w:szCs w:val="24"/>
          <w:lang w:val="lv-LV"/>
        </w:rPr>
        <w:t>5.1</w:t>
      </w:r>
      <w:r w:rsidR="003E252A">
        <w:rPr>
          <w:b/>
          <w:szCs w:val="24"/>
          <w:lang w:val="lv-LV"/>
        </w:rPr>
        <w:t>.</w:t>
      </w:r>
      <w:r w:rsidRPr="00D16F94">
        <w:rPr>
          <w:b/>
          <w:szCs w:val="24"/>
          <w:lang w:val="lv-LV"/>
        </w:rPr>
        <w:tab/>
        <w:t>Farmakodinamiskās īpašības</w:t>
      </w:r>
    </w:p>
    <w:p w14:paraId="0D6340F1" w14:textId="77777777" w:rsidR="00965657" w:rsidRPr="00D16F94" w:rsidRDefault="00965657" w:rsidP="000C68B1">
      <w:pPr>
        <w:keepNext/>
        <w:spacing w:line="240" w:lineRule="auto"/>
        <w:rPr>
          <w:szCs w:val="24"/>
          <w:lang w:val="lv-LV"/>
        </w:rPr>
      </w:pPr>
    </w:p>
    <w:p w14:paraId="33BF0C28" w14:textId="77777777" w:rsidR="00965657" w:rsidRPr="00D16F94" w:rsidRDefault="00965657">
      <w:pPr>
        <w:spacing w:line="240" w:lineRule="auto"/>
        <w:rPr>
          <w:noProof/>
          <w:szCs w:val="24"/>
          <w:lang w:val="lv-LV"/>
        </w:rPr>
      </w:pPr>
      <w:r w:rsidRPr="00D16F94">
        <w:rPr>
          <w:szCs w:val="24"/>
          <w:lang w:val="lv-LV"/>
        </w:rPr>
        <w:t>Farmakoterapeitiskā grupa: pretepilepsijas līdzekļi, citi pretepilepsijas līdzekļi; ATĶ kods: N03AX16</w:t>
      </w:r>
    </w:p>
    <w:p w14:paraId="4342339F" w14:textId="77777777" w:rsidR="00965657" w:rsidRPr="00D16F94" w:rsidRDefault="00965657">
      <w:pPr>
        <w:spacing w:line="240" w:lineRule="auto"/>
        <w:rPr>
          <w:szCs w:val="24"/>
          <w:lang w:val="lv-LV"/>
        </w:rPr>
      </w:pPr>
    </w:p>
    <w:p w14:paraId="5DC3337A" w14:textId="77777777" w:rsidR="00965657" w:rsidRPr="00D16F94" w:rsidRDefault="00965657">
      <w:pPr>
        <w:tabs>
          <w:tab w:val="clear" w:pos="565"/>
        </w:tabs>
        <w:autoSpaceDE w:val="0"/>
        <w:autoSpaceDN w:val="0"/>
        <w:adjustRightInd w:val="0"/>
        <w:spacing w:line="240" w:lineRule="auto"/>
        <w:rPr>
          <w:szCs w:val="24"/>
          <w:lang w:val="lv-LV"/>
        </w:rPr>
      </w:pPr>
      <w:r w:rsidRPr="00D16F94">
        <w:rPr>
          <w:szCs w:val="24"/>
          <w:lang w:val="lv-LV"/>
        </w:rPr>
        <w:t xml:space="preserve">Aktīvā viela pregabalīns ir gamma aminosviestskābes analogs </w:t>
      </w:r>
    </w:p>
    <w:p w14:paraId="249AAB8F" w14:textId="77777777" w:rsidR="00965657" w:rsidRPr="00D16F94" w:rsidRDefault="00965657">
      <w:pPr>
        <w:tabs>
          <w:tab w:val="clear" w:pos="565"/>
        </w:tabs>
        <w:autoSpaceDE w:val="0"/>
        <w:autoSpaceDN w:val="0"/>
        <w:adjustRightInd w:val="0"/>
        <w:spacing w:line="240" w:lineRule="auto"/>
        <w:rPr>
          <w:szCs w:val="24"/>
          <w:lang w:val="lv-LV"/>
        </w:rPr>
      </w:pPr>
      <w:r w:rsidRPr="00D16F94">
        <w:rPr>
          <w:szCs w:val="24"/>
          <w:lang w:val="lv-LV"/>
        </w:rPr>
        <w:t>[(S)-3-(aminometil)-5-metilheksānskābe].</w:t>
      </w:r>
    </w:p>
    <w:p w14:paraId="5CB4576D" w14:textId="77777777" w:rsidR="00965657" w:rsidRPr="00D16F94" w:rsidRDefault="00965657">
      <w:pPr>
        <w:tabs>
          <w:tab w:val="clear" w:pos="565"/>
        </w:tabs>
        <w:autoSpaceDE w:val="0"/>
        <w:autoSpaceDN w:val="0"/>
        <w:adjustRightInd w:val="0"/>
        <w:spacing w:line="240" w:lineRule="auto"/>
        <w:rPr>
          <w:szCs w:val="24"/>
          <w:lang w:val="lv-LV"/>
        </w:rPr>
      </w:pPr>
    </w:p>
    <w:p w14:paraId="0D8ADF92" w14:textId="77777777" w:rsidR="00965657" w:rsidRPr="00D16F94" w:rsidRDefault="00965657">
      <w:pPr>
        <w:tabs>
          <w:tab w:val="clear" w:pos="565"/>
        </w:tabs>
        <w:autoSpaceDE w:val="0"/>
        <w:autoSpaceDN w:val="0"/>
        <w:adjustRightInd w:val="0"/>
        <w:spacing w:line="240" w:lineRule="auto"/>
        <w:rPr>
          <w:szCs w:val="24"/>
          <w:u w:val="single"/>
          <w:lang w:val="lv-LV"/>
        </w:rPr>
      </w:pPr>
      <w:r w:rsidRPr="00D16F94">
        <w:rPr>
          <w:szCs w:val="24"/>
          <w:u w:val="single"/>
          <w:lang w:val="lv-LV"/>
        </w:rPr>
        <w:t>Darbības mehānisms</w:t>
      </w:r>
    </w:p>
    <w:p w14:paraId="23AF97E4" w14:textId="77777777" w:rsidR="00965657" w:rsidRPr="00D16F94" w:rsidRDefault="00965657">
      <w:pPr>
        <w:tabs>
          <w:tab w:val="clear" w:pos="565"/>
        </w:tabs>
        <w:autoSpaceDE w:val="0"/>
        <w:autoSpaceDN w:val="0"/>
        <w:adjustRightInd w:val="0"/>
        <w:spacing w:line="240" w:lineRule="auto"/>
        <w:rPr>
          <w:szCs w:val="24"/>
          <w:lang w:val="lv-LV"/>
        </w:rPr>
      </w:pPr>
      <w:r w:rsidRPr="00D16F94">
        <w:rPr>
          <w:szCs w:val="24"/>
          <w:lang w:val="lv-LV"/>
        </w:rPr>
        <w:t xml:space="preserve">Pregabalīns centrālajā nervu sistēmā saistās pie </w:t>
      </w:r>
      <w:r w:rsidR="00B550F2">
        <w:rPr>
          <w:szCs w:val="24"/>
          <w:lang w:val="lv-LV"/>
        </w:rPr>
        <w:t>potenciāl</w:t>
      </w:r>
      <w:r w:rsidR="00B550F2" w:rsidRPr="00D16F94">
        <w:rPr>
          <w:szCs w:val="24"/>
          <w:lang w:val="lv-LV"/>
        </w:rPr>
        <w:t xml:space="preserve">atkarīgo </w:t>
      </w:r>
      <w:r w:rsidRPr="00D16F94">
        <w:rPr>
          <w:szCs w:val="24"/>
          <w:lang w:val="lv-LV"/>
        </w:rPr>
        <w:t>kalcija kanālu papildstruktūras (α</w:t>
      </w:r>
      <w:r w:rsidRPr="00D16F94">
        <w:rPr>
          <w:szCs w:val="24"/>
          <w:vertAlign w:val="subscript"/>
          <w:lang w:val="lv-LV"/>
        </w:rPr>
        <w:t>2</w:t>
      </w:r>
      <w:r w:rsidRPr="00D16F94">
        <w:rPr>
          <w:rFonts w:ascii="TimesNewRoman" w:eastAsia="TimesNewRoman"/>
          <w:szCs w:val="24"/>
          <w:lang w:val="lv-LV"/>
        </w:rPr>
        <w:noBreakHyphen/>
      </w:r>
      <w:r w:rsidRPr="00D16F94">
        <w:rPr>
          <w:szCs w:val="24"/>
          <w:lang w:val="lv-LV"/>
        </w:rPr>
        <w:t>δ proteīna).</w:t>
      </w:r>
    </w:p>
    <w:p w14:paraId="2262D3FB" w14:textId="77777777" w:rsidR="00965657" w:rsidRPr="00D16F94" w:rsidRDefault="00965657">
      <w:pPr>
        <w:tabs>
          <w:tab w:val="clear" w:pos="565"/>
        </w:tabs>
        <w:autoSpaceDE w:val="0"/>
        <w:autoSpaceDN w:val="0"/>
        <w:adjustRightInd w:val="0"/>
        <w:spacing w:line="240" w:lineRule="auto"/>
        <w:rPr>
          <w:szCs w:val="24"/>
          <w:lang w:val="lv-LV"/>
        </w:rPr>
      </w:pPr>
    </w:p>
    <w:p w14:paraId="446B08F8" w14:textId="77777777" w:rsidR="00965657" w:rsidRPr="00D16F94" w:rsidRDefault="00965657">
      <w:pPr>
        <w:tabs>
          <w:tab w:val="clear" w:pos="565"/>
        </w:tabs>
        <w:spacing w:line="240" w:lineRule="auto"/>
        <w:rPr>
          <w:szCs w:val="24"/>
          <w:u w:val="single"/>
          <w:lang w:val="lv-LV"/>
        </w:rPr>
      </w:pPr>
      <w:r w:rsidRPr="00D16F94">
        <w:rPr>
          <w:szCs w:val="24"/>
          <w:u w:val="single" w:color="000000"/>
          <w:lang w:val="lv-LV"/>
        </w:rPr>
        <w:t>Klīniskā efektivitāte un drošums</w:t>
      </w:r>
    </w:p>
    <w:p w14:paraId="5943E231" w14:textId="77777777" w:rsidR="00965657" w:rsidRDefault="00965657">
      <w:pPr>
        <w:tabs>
          <w:tab w:val="clear" w:pos="565"/>
        </w:tabs>
        <w:autoSpaceDE w:val="0"/>
        <w:autoSpaceDN w:val="0"/>
        <w:adjustRightInd w:val="0"/>
        <w:spacing w:line="240" w:lineRule="auto"/>
        <w:rPr>
          <w:szCs w:val="24"/>
          <w:lang w:val="lv-LV"/>
        </w:rPr>
      </w:pPr>
    </w:p>
    <w:p w14:paraId="1C495250" w14:textId="77777777" w:rsidR="00C42C28" w:rsidRPr="00D16F94" w:rsidRDefault="00C42C28" w:rsidP="00C42C28">
      <w:pPr>
        <w:tabs>
          <w:tab w:val="clear" w:pos="565"/>
        </w:tabs>
        <w:autoSpaceDE w:val="0"/>
        <w:autoSpaceDN w:val="0"/>
        <w:adjustRightInd w:val="0"/>
        <w:spacing w:line="240" w:lineRule="auto"/>
        <w:rPr>
          <w:i/>
          <w:szCs w:val="24"/>
          <w:u w:val="single"/>
          <w:lang w:val="lv-LV"/>
        </w:rPr>
      </w:pPr>
      <w:r w:rsidRPr="00D16F94">
        <w:rPr>
          <w:i/>
          <w:szCs w:val="24"/>
          <w:u w:val="single"/>
          <w:lang w:val="lv-LV"/>
        </w:rPr>
        <w:t>Neiropātiskas sāpes</w:t>
      </w:r>
    </w:p>
    <w:p w14:paraId="43E778BD" w14:textId="77777777" w:rsidR="00C42C28" w:rsidRPr="00D16F94" w:rsidRDefault="00C42C28" w:rsidP="00C42C28">
      <w:pPr>
        <w:tabs>
          <w:tab w:val="clear" w:pos="565"/>
        </w:tabs>
        <w:autoSpaceDE w:val="0"/>
        <w:autoSpaceDN w:val="0"/>
        <w:adjustRightInd w:val="0"/>
        <w:spacing w:line="240" w:lineRule="auto"/>
        <w:rPr>
          <w:szCs w:val="24"/>
          <w:lang w:val="lv-LV"/>
        </w:rPr>
      </w:pPr>
      <w:r w:rsidRPr="00D16F94">
        <w:rPr>
          <w:szCs w:val="24"/>
          <w:lang w:val="lv-LV"/>
        </w:rPr>
        <w:t>Efektivitāte ir pierādīta pētījumos par diabētisko neiropātiju, postherpētisko neiralģiju un muguras smadzeņu traumu. Efektivitāte nav pētīta citiem neiropātisku sāpju modeļiem.</w:t>
      </w:r>
    </w:p>
    <w:p w14:paraId="220FD4E9" w14:textId="77777777" w:rsidR="00C42C28" w:rsidRPr="00D16F94" w:rsidRDefault="00C42C28" w:rsidP="00C42C28">
      <w:pPr>
        <w:tabs>
          <w:tab w:val="clear" w:pos="565"/>
        </w:tabs>
        <w:autoSpaceDE w:val="0"/>
        <w:autoSpaceDN w:val="0"/>
        <w:adjustRightInd w:val="0"/>
        <w:spacing w:line="240" w:lineRule="auto"/>
        <w:rPr>
          <w:szCs w:val="24"/>
          <w:lang w:val="lv-LV"/>
        </w:rPr>
      </w:pPr>
    </w:p>
    <w:p w14:paraId="5467B7D9" w14:textId="77777777" w:rsidR="00C42C28" w:rsidRPr="00D16F94" w:rsidRDefault="00C42C28" w:rsidP="00C42C28">
      <w:pPr>
        <w:tabs>
          <w:tab w:val="clear" w:pos="565"/>
        </w:tabs>
        <w:autoSpaceDE w:val="0"/>
        <w:autoSpaceDN w:val="0"/>
        <w:adjustRightInd w:val="0"/>
        <w:spacing w:line="240" w:lineRule="auto"/>
        <w:rPr>
          <w:szCs w:val="24"/>
          <w:lang w:val="lv-LV"/>
        </w:rPr>
      </w:pPr>
      <w:r w:rsidRPr="00D16F94">
        <w:rPr>
          <w:szCs w:val="24"/>
          <w:lang w:val="lv-LV"/>
        </w:rPr>
        <w:t>Pregabalīns ir pētīts 10 kontrolēt</w:t>
      </w:r>
      <w:r>
        <w:rPr>
          <w:szCs w:val="24"/>
          <w:lang w:val="lv-LV"/>
        </w:rPr>
        <w:t>aj</w:t>
      </w:r>
      <w:r w:rsidRPr="00D16F94">
        <w:rPr>
          <w:szCs w:val="24"/>
          <w:lang w:val="lv-LV"/>
        </w:rPr>
        <w:t>os klīnisk</w:t>
      </w:r>
      <w:r>
        <w:rPr>
          <w:szCs w:val="24"/>
          <w:lang w:val="lv-LV"/>
        </w:rPr>
        <w:t>aj</w:t>
      </w:r>
      <w:r w:rsidRPr="00D16F94">
        <w:rPr>
          <w:szCs w:val="24"/>
          <w:lang w:val="lv-LV"/>
        </w:rPr>
        <w:t>os pētījumos, kas ilga līdz pat 13 nedēļām, zāles lietojot divas reizes dienā (BID), un līdz pat 8 nedēļām, zāles lietojot trīs reizes dienā (TID). Kopumā BID un TID dozēšanas režīmu drošuma un efektivitātes profili bija vienādi.</w:t>
      </w:r>
    </w:p>
    <w:p w14:paraId="2A04EB6E" w14:textId="77777777" w:rsidR="00C42C28" w:rsidRPr="00D16F94" w:rsidRDefault="00C42C28" w:rsidP="00C42C28">
      <w:pPr>
        <w:tabs>
          <w:tab w:val="clear" w:pos="565"/>
        </w:tabs>
        <w:autoSpaceDE w:val="0"/>
        <w:autoSpaceDN w:val="0"/>
        <w:adjustRightInd w:val="0"/>
        <w:spacing w:line="240" w:lineRule="auto"/>
        <w:rPr>
          <w:szCs w:val="24"/>
          <w:lang w:val="lv-LV"/>
        </w:rPr>
      </w:pPr>
    </w:p>
    <w:p w14:paraId="19C8AE82" w14:textId="77777777" w:rsidR="00C42C28" w:rsidRPr="00D16F94" w:rsidRDefault="00C42C28" w:rsidP="00C42C28">
      <w:pPr>
        <w:tabs>
          <w:tab w:val="clear" w:pos="565"/>
        </w:tabs>
        <w:autoSpaceDE w:val="0"/>
        <w:autoSpaceDN w:val="0"/>
        <w:adjustRightInd w:val="0"/>
        <w:spacing w:line="240" w:lineRule="auto"/>
        <w:rPr>
          <w:szCs w:val="24"/>
          <w:lang w:val="lv-LV"/>
        </w:rPr>
      </w:pPr>
      <w:r w:rsidRPr="00D16F94">
        <w:rPr>
          <w:szCs w:val="24"/>
          <w:lang w:val="lv-LV"/>
        </w:rPr>
        <w:t>Līdz 12 nedēļu klīnisk</w:t>
      </w:r>
      <w:r>
        <w:rPr>
          <w:szCs w:val="24"/>
          <w:lang w:val="lv-LV"/>
        </w:rPr>
        <w:t>aj</w:t>
      </w:r>
      <w:r w:rsidRPr="00D16F94">
        <w:rPr>
          <w:szCs w:val="24"/>
          <w:lang w:val="lv-LV"/>
        </w:rPr>
        <w:t>os pētījumos gan par perifērām, gan centrālām neiropātiskām sāpēm, no 1. nedēļas tika sasniegts sāpju samazinājums, un rezultāts saglabājās visu terapijas periodu.</w:t>
      </w:r>
    </w:p>
    <w:p w14:paraId="42DB7902" w14:textId="77777777" w:rsidR="00C42C28" w:rsidRPr="00D16F94" w:rsidRDefault="00C42C28" w:rsidP="00C42C28">
      <w:pPr>
        <w:tabs>
          <w:tab w:val="clear" w:pos="565"/>
        </w:tabs>
        <w:autoSpaceDE w:val="0"/>
        <w:autoSpaceDN w:val="0"/>
        <w:adjustRightInd w:val="0"/>
        <w:spacing w:line="240" w:lineRule="auto"/>
        <w:rPr>
          <w:szCs w:val="24"/>
          <w:lang w:val="lv-LV"/>
        </w:rPr>
      </w:pPr>
    </w:p>
    <w:p w14:paraId="78BE1C03" w14:textId="77777777" w:rsidR="00C42C28" w:rsidRPr="00D16F94" w:rsidRDefault="00C42C28" w:rsidP="00C42C28">
      <w:pPr>
        <w:tabs>
          <w:tab w:val="clear" w:pos="565"/>
        </w:tabs>
        <w:autoSpaceDE w:val="0"/>
        <w:autoSpaceDN w:val="0"/>
        <w:adjustRightInd w:val="0"/>
        <w:spacing w:line="240" w:lineRule="auto"/>
        <w:rPr>
          <w:szCs w:val="24"/>
          <w:lang w:val="lv-LV"/>
        </w:rPr>
      </w:pPr>
      <w:r w:rsidRPr="00D16F94">
        <w:rPr>
          <w:szCs w:val="24"/>
          <w:lang w:val="lv-LV"/>
        </w:rPr>
        <w:t>Kontrolēt</w:t>
      </w:r>
      <w:r>
        <w:rPr>
          <w:szCs w:val="24"/>
          <w:lang w:val="lv-LV"/>
        </w:rPr>
        <w:t>aj</w:t>
      </w:r>
      <w:r w:rsidRPr="00D16F94">
        <w:rPr>
          <w:szCs w:val="24"/>
          <w:lang w:val="lv-LV"/>
        </w:rPr>
        <w:t>os klīnisk</w:t>
      </w:r>
      <w:r>
        <w:rPr>
          <w:szCs w:val="24"/>
          <w:lang w:val="lv-LV"/>
        </w:rPr>
        <w:t>aj</w:t>
      </w:r>
      <w:r w:rsidRPr="00D16F94">
        <w:rPr>
          <w:szCs w:val="24"/>
          <w:lang w:val="lv-LV"/>
        </w:rPr>
        <w:t xml:space="preserve">os pētījumos par perifērām neiropātiskām sāpēm 35% ar pregabalīnu ārstēto pacientu un 18% ar placebo ārstēto pacientu sāpju vērtējums uzlabojās par 50%. </w:t>
      </w:r>
      <w:r>
        <w:rPr>
          <w:szCs w:val="24"/>
          <w:lang w:val="lv-LV"/>
        </w:rPr>
        <w:t>Ja</w:t>
      </w:r>
      <w:r w:rsidRPr="00D16F94">
        <w:rPr>
          <w:szCs w:val="24"/>
          <w:lang w:val="lv-LV"/>
        </w:rPr>
        <w:t xml:space="preserve"> </w:t>
      </w:r>
      <w:r>
        <w:rPr>
          <w:szCs w:val="24"/>
          <w:lang w:val="lv-LV"/>
        </w:rPr>
        <w:t xml:space="preserve">pacientiem </w:t>
      </w:r>
      <w:r w:rsidRPr="00D16F94">
        <w:rPr>
          <w:szCs w:val="24"/>
          <w:lang w:val="lv-LV"/>
        </w:rPr>
        <w:t>neattīstījās miegainība, šāds uzlabojums tika novērots 33% pacientu, kas tika ārstēti ar pregabalīnu, un 18% pacientu, kas tika ārstēti ar placebo. Pacientiem, kam attīstījās miegainība, uz zālēm reaģējušo īpatsvars bija 48% pregabalīna un 16% placebo grupā.</w:t>
      </w:r>
    </w:p>
    <w:p w14:paraId="30459A93" w14:textId="77777777" w:rsidR="00C42C28" w:rsidRPr="00D16F94" w:rsidRDefault="00C42C28" w:rsidP="00C42C28">
      <w:pPr>
        <w:tabs>
          <w:tab w:val="clear" w:pos="565"/>
        </w:tabs>
        <w:autoSpaceDE w:val="0"/>
        <w:autoSpaceDN w:val="0"/>
        <w:adjustRightInd w:val="0"/>
        <w:spacing w:line="240" w:lineRule="auto"/>
        <w:rPr>
          <w:szCs w:val="24"/>
          <w:lang w:val="lv-LV"/>
        </w:rPr>
      </w:pPr>
    </w:p>
    <w:p w14:paraId="7947BA10" w14:textId="77777777" w:rsidR="00C42C28" w:rsidRPr="00D16F94" w:rsidRDefault="00C42C28" w:rsidP="00C42C28">
      <w:pPr>
        <w:tabs>
          <w:tab w:val="clear" w:pos="565"/>
        </w:tabs>
        <w:autoSpaceDE w:val="0"/>
        <w:autoSpaceDN w:val="0"/>
        <w:adjustRightInd w:val="0"/>
        <w:spacing w:line="240" w:lineRule="auto"/>
        <w:rPr>
          <w:szCs w:val="24"/>
          <w:lang w:val="lv-LV"/>
        </w:rPr>
      </w:pPr>
      <w:r w:rsidRPr="00D16F94">
        <w:rPr>
          <w:szCs w:val="24"/>
          <w:lang w:val="lv-LV"/>
        </w:rPr>
        <w:t>Kontrolētā klīniskajā pētījumā par perifērām neiropātiskām sāpēm 22% ar pregabalīnu ārstēto pacientu un 7% ar placebo ārstēto pacientu sāpju vērtējums uzlabojās par 50%.</w:t>
      </w:r>
    </w:p>
    <w:p w14:paraId="4FB9EEA6" w14:textId="77777777" w:rsidR="00C42C28" w:rsidRPr="00D16F94" w:rsidRDefault="00C42C28">
      <w:pPr>
        <w:tabs>
          <w:tab w:val="clear" w:pos="565"/>
        </w:tabs>
        <w:autoSpaceDE w:val="0"/>
        <w:autoSpaceDN w:val="0"/>
        <w:adjustRightInd w:val="0"/>
        <w:spacing w:line="240" w:lineRule="auto"/>
        <w:rPr>
          <w:szCs w:val="24"/>
          <w:lang w:val="lv-LV"/>
        </w:rPr>
      </w:pPr>
    </w:p>
    <w:p w14:paraId="2B053371" w14:textId="77777777" w:rsidR="00965657" w:rsidRPr="00D16F94" w:rsidRDefault="00965657">
      <w:pPr>
        <w:tabs>
          <w:tab w:val="clear" w:pos="565"/>
        </w:tabs>
        <w:autoSpaceDE w:val="0"/>
        <w:autoSpaceDN w:val="0"/>
        <w:adjustRightInd w:val="0"/>
        <w:spacing w:line="240" w:lineRule="auto"/>
        <w:rPr>
          <w:i/>
          <w:szCs w:val="24"/>
          <w:u w:val="single"/>
          <w:lang w:val="lv-LV"/>
        </w:rPr>
      </w:pPr>
      <w:r w:rsidRPr="00D16F94">
        <w:rPr>
          <w:i/>
          <w:szCs w:val="24"/>
          <w:u w:val="single"/>
          <w:lang w:val="lv-LV"/>
        </w:rPr>
        <w:t>Epilepsija</w:t>
      </w:r>
    </w:p>
    <w:p w14:paraId="0193476D" w14:textId="77777777" w:rsidR="00965657" w:rsidRPr="00D16F94" w:rsidRDefault="00965657">
      <w:pPr>
        <w:tabs>
          <w:tab w:val="clear" w:pos="565"/>
        </w:tabs>
        <w:autoSpaceDE w:val="0"/>
        <w:autoSpaceDN w:val="0"/>
        <w:adjustRightInd w:val="0"/>
        <w:spacing w:line="240" w:lineRule="auto"/>
        <w:rPr>
          <w:szCs w:val="24"/>
          <w:lang w:val="lv-LV"/>
        </w:rPr>
      </w:pPr>
      <w:r w:rsidRPr="00D16F94">
        <w:rPr>
          <w:szCs w:val="24"/>
          <w:lang w:val="lv-LV"/>
        </w:rPr>
        <w:t>Papildterapija</w:t>
      </w:r>
    </w:p>
    <w:p w14:paraId="0A27DE1E" w14:textId="77777777" w:rsidR="00965657" w:rsidRPr="00D16F94" w:rsidRDefault="00965657">
      <w:pPr>
        <w:tabs>
          <w:tab w:val="clear" w:pos="565"/>
        </w:tabs>
        <w:autoSpaceDE w:val="0"/>
        <w:autoSpaceDN w:val="0"/>
        <w:adjustRightInd w:val="0"/>
        <w:spacing w:line="240" w:lineRule="auto"/>
        <w:rPr>
          <w:szCs w:val="24"/>
          <w:lang w:val="lv-LV"/>
        </w:rPr>
      </w:pPr>
      <w:r w:rsidRPr="00D16F94">
        <w:rPr>
          <w:szCs w:val="24"/>
          <w:lang w:val="lv-LV"/>
        </w:rPr>
        <w:t>Pregabalīns ir pētīts 3 kontrolētos klīnisk</w:t>
      </w:r>
      <w:r w:rsidR="00705EC5">
        <w:rPr>
          <w:szCs w:val="24"/>
          <w:lang w:val="lv-LV"/>
        </w:rPr>
        <w:t>aj</w:t>
      </w:r>
      <w:r w:rsidRPr="00D16F94">
        <w:rPr>
          <w:szCs w:val="24"/>
          <w:lang w:val="lv-LV"/>
        </w:rPr>
        <w:t>os pētījumos, kas ilga līdz pat 12 nedēļām, zāles lietojot vai nu divas reizes dienā (BID), vai trīs reizes dienā (TID). Kopumā BID un TID dozēšanas režīmu drošuma un efektivitātes profili bija vienādi.</w:t>
      </w:r>
    </w:p>
    <w:p w14:paraId="3680DD3F" w14:textId="77777777" w:rsidR="00965657" w:rsidRPr="00D16F94" w:rsidRDefault="00965657">
      <w:pPr>
        <w:tabs>
          <w:tab w:val="clear" w:pos="565"/>
        </w:tabs>
        <w:autoSpaceDE w:val="0"/>
        <w:autoSpaceDN w:val="0"/>
        <w:adjustRightInd w:val="0"/>
        <w:spacing w:line="240" w:lineRule="auto"/>
        <w:rPr>
          <w:szCs w:val="24"/>
          <w:lang w:val="lv-LV"/>
        </w:rPr>
      </w:pPr>
    </w:p>
    <w:p w14:paraId="08B48FA5" w14:textId="77777777" w:rsidR="00965657" w:rsidRPr="00D16F94" w:rsidRDefault="00965657">
      <w:pPr>
        <w:tabs>
          <w:tab w:val="clear" w:pos="565"/>
        </w:tabs>
        <w:autoSpaceDE w:val="0"/>
        <w:autoSpaceDN w:val="0"/>
        <w:adjustRightInd w:val="0"/>
        <w:spacing w:line="240" w:lineRule="auto"/>
        <w:rPr>
          <w:szCs w:val="24"/>
          <w:lang w:val="lv-LV"/>
        </w:rPr>
      </w:pPr>
      <w:r w:rsidRPr="00D16F94">
        <w:rPr>
          <w:szCs w:val="24"/>
          <w:lang w:val="lv-LV"/>
        </w:rPr>
        <w:t xml:space="preserve">No ārstēšanas 1. nedēļas samazinājās lēkmju biežums. </w:t>
      </w:r>
    </w:p>
    <w:p w14:paraId="11F76F55" w14:textId="77777777" w:rsidR="00965657" w:rsidRPr="00D16F94" w:rsidRDefault="00965657">
      <w:pPr>
        <w:tabs>
          <w:tab w:val="clear" w:pos="565"/>
        </w:tabs>
        <w:autoSpaceDE w:val="0"/>
        <w:autoSpaceDN w:val="0"/>
        <w:adjustRightInd w:val="0"/>
        <w:spacing w:line="240" w:lineRule="auto"/>
        <w:rPr>
          <w:szCs w:val="24"/>
          <w:lang w:val="lv-LV"/>
        </w:rPr>
      </w:pPr>
    </w:p>
    <w:p w14:paraId="5C76C0CE" w14:textId="77777777" w:rsidR="00965657" w:rsidRPr="00D16F94" w:rsidRDefault="00965657">
      <w:pPr>
        <w:spacing w:line="240" w:lineRule="auto"/>
        <w:rPr>
          <w:i/>
          <w:szCs w:val="24"/>
          <w:u w:val="single"/>
          <w:lang w:val="lv-LV"/>
        </w:rPr>
      </w:pPr>
      <w:r w:rsidRPr="00D16F94">
        <w:rPr>
          <w:i/>
          <w:szCs w:val="24"/>
          <w:u w:val="single"/>
          <w:lang w:val="lv-LV"/>
        </w:rPr>
        <w:t>Pediatriskā populācija</w:t>
      </w:r>
    </w:p>
    <w:p w14:paraId="52CF9020" w14:textId="77777777" w:rsidR="00BE7B73" w:rsidRPr="002903D3" w:rsidRDefault="00965657" w:rsidP="00BE7B73">
      <w:pPr>
        <w:keepNext/>
        <w:spacing w:line="240" w:lineRule="auto"/>
        <w:rPr>
          <w:szCs w:val="22"/>
          <w:lang w:val="lv-LV" w:bidi="en-US"/>
        </w:rPr>
      </w:pPr>
      <w:r w:rsidRPr="002903D3">
        <w:rPr>
          <w:szCs w:val="24"/>
          <w:lang w:val="lv-LV"/>
        </w:rPr>
        <w:t>Pregabalīna efektivitāte un drošums epilepsijas papildterapijā pediatriskiem pacientiem līdz 12 gadu vecumam un pusaudžiem nav zināms. Farmakokinētikas un panesamības pētījumā, kurā tika iesaistīti pacienti no 3 mēnešu līdz 16 gadu vecumam (n=65)</w:t>
      </w:r>
      <w:r w:rsidR="002903D3" w:rsidRPr="002903D3">
        <w:rPr>
          <w:lang w:val="lv-LV"/>
        </w:rPr>
        <w:t>, kuriem bija parciāli krampji</w:t>
      </w:r>
      <w:r w:rsidRPr="002903D3">
        <w:rPr>
          <w:szCs w:val="24"/>
          <w:lang w:val="lv-LV"/>
        </w:rPr>
        <w:t xml:space="preserve">, novērotās nevēlamās blakusparādības bija līdzīgas nevēlamām blakusparādībām, kādas novērotas pieaugušajiem. </w:t>
      </w:r>
    </w:p>
    <w:p w14:paraId="7FD90E09" w14:textId="6FCDEE2E" w:rsidR="002903D3" w:rsidRPr="002903D3" w:rsidRDefault="002903D3" w:rsidP="002903D3">
      <w:pPr>
        <w:keepNext/>
        <w:spacing w:line="240" w:lineRule="auto"/>
        <w:rPr>
          <w:szCs w:val="22"/>
          <w:lang w:val="lv-LV"/>
        </w:rPr>
      </w:pPr>
      <w:r w:rsidRPr="002903D3">
        <w:rPr>
          <w:lang w:val="lv-LV"/>
        </w:rPr>
        <w:t xml:space="preserve">Rezultāti, kas iegūti 12 nedēļas ilgā ar placebo kontrolētā pētījumā, iesaistot 295 pediatriskus 4–16 gadus vecus pacientus, 14 dienas ilgā ar placebo kontrolētā pētījumā, iesaistot 175 pediatriskus vienu mēnesi līdz ne vairāk kā četrus gadus vecus pacientus, lai novērtētu papildterapijas veidā lietota pregabalīna efektivitāti un drošumu, ārstējot pacientus ar parciāliem krampjiem, un divos vienu gadu ilgos nemaskētos drošuma pētījumos, iesaistot attiecīgi 54 un 431 pacientu vecumā no trim mēnešiem līdz 16 gadiem, kuriem bija epilepsija, </w:t>
      </w:r>
      <w:r w:rsidR="00787466">
        <w:rPr>
          <w:lang w:val="lv-LV"/>
        </w:rPr>
        <w:t>liecina</w:t>
      </w:r>
      <w:r w:rsidRPr="002903D3">
        <w:rPr>
          <w:lang w:val="lv-LV"/>
        </w:rPr>
        <w:t xml:space="preserve">, ka tādas blakusparādības kā drudzis un augšējo elpceļu </w:t>
      </w:r>
      <w:r w:rsidRPr="002903D3">
        <w:rPr>
          <w:lang w:val="lv-LV"/>
        </w:rPr>
        <w:lastRenderedPageBreak/>
        <w:t xml:space="preserve">infekcijas </w:t>
      </w:r>
      <w:r w:rsidR="00787466">
        <w:rPr>
          <w:lang w:val="lv-LV"/>
        </w:rPr>
        <w:t xml:space="preserve">tika </w:t>
      </w:r>
      <w:r w:rsidRPr="002903D3">
        <w:rPr>
          <w:lang w:val="lv-LV"/>
        </w:rPr>
        <w:t>novērotas biežāk nekā pētījumos ar pieaugušiem epilepsijas slimniekiem (skatīt 4.2., 4.8. un 5.2. apakšpunktu).</w:t>
      </w:r>
    </w:p>
    <w:p w14:paraId="44FC7D7C" w14:textId="77777777" w:rsidR="002903D3" w:rsidRPr="002903D3" w:rsidRDefault="002903D3" w:rsidP="002903D3">
      <w:pPr>
        <w:keepNext/>
        <w:spacing w:line="240" w:lineRule="auto"/>
        <w:rPr>
          <w:szCs w:val="22"/>
          <w:lang w:val="lv-LV" w:bidi="en-US"/>
        </w:rPr>
      </w:pPr>
    </w:p>
    <w:p w14:paraId="2566CE99" w14:textId="2ACE329C" w:rsidR="002903D3" w:rsidRPr="002903D3" w:rsidRDefault="002903D3" w:rsidP="002903D3">
      <w:pPr>
        <w:keepNext/>
        <w:spacing w:line="240" w:lineRule="auto"/>
        <w:rPr>
          <w:szCs w:val="22"/>
          <w:lang w:val="lv-LV"/>
        </w:rPr>
      </w:pPr>
      <w:r w:rsidRPr="002903D3">
        <w:rPr>
          <w:lang w:val="lv-LV"/>
        </w:rPr>
        <w:t>12 nedēļas ilgā</w:t>
      </w:r>
      <w:r w:rsidR="0020614C">
        <w:rPr>
          <w:lang w:val="lv-LV"/>
        </w:rPr>
        <w:t xml:space="preserve"> placebo kontrolētā</w:t>
      </w:r>
      <w:r w:rsidRPr="002903D3">
        <w:rPr>
          <w:lang w:val="lv-LV"/>
        </w:rPr>
        <w:t xml:space="preserve"> pētījuma laikā 4–16 gadus veciem pediatriskiem pacientiem tika nozīmētas 2,5 mg/kg pregabalīna dienas devas (maksimālā dienas deva bija 150 mg), 10 mg/kg pregabalīna dienas devas (maksimālā dienas deva bija 600 mg) vai placebo. To pacientu procentuālā daļa, kuriem parciālo krampju sākotnējā sastopamība bija samazinājusies par vismaz 50%, bija 40,6% pētāmo personu, kuras tika ārstētas ar 10 mg/kg pregabalīna dienas devām (p = 0,0068, salīdzinot ar placebo), 29,1% pētāmo personu, kuras tika ārstētas ar 2,5 mg/kg pregabalīna dienas devām (p = 0,2600, salīdzinot ar placebo), un 22,6% placebo saņēmušo pētāmo personu. </w:t>
      </w:r>
    </w:p>
    <w:p w14:paraId="7410812C" w14:textId="77777777" w:rsidR="002903D3" w:rsidRPr="002903D3" w:rsidRDefault="002903D3" w:rsidP="002903D3">
      <w:pPr>
        <w:keepNext/>
        <w:spacing w:line="240" w:lineRule="auto"/>
        <w:rPr>
          <w:szCs w:val="22"/>
          <w:lang w:val="lv-LV" w:bidi="en-US"/>
        </w:rPr>
      </w:pPr>
    </w:p>
    <w:p w14:paraId="38385AAA" w14:textId="44C0D586" w:rsidR="00965657" w:rsidRDefault="002903D3" w:rsidP="002903D3">
      <w:pPr>
        <w:spacing w:line="240" w:lineRule="auto"/>
        <w:rPr>
          <w:lang w:val="lv-LV"/>
        </w:rPr>
      </w:pPr>
      <w:r w:rsidRPr="002903D3">
        <w:rPr>
          <w:lang w:val="lv-LV"/>
        </w:rPr>
        <w:t>14 dienas ilgā</w:t>
      </w:r>
      <w:r w:rsidR="0020614C">
        <w:rPr>
          <w:lang w:val="lv-LV"/>
        </w:rPr>
        <w:t xml:space="preserve"> placebo kontrolētā</w:t>
      </w:r>
      <w:r w:rsidRPr="002903D3">
        <w:rPr>
          <w:lang w:val="lv-LV"/>
        </w:rPr>
        <w:t xml:space="preserve"> pētījuma laikā vienu mēnesi līdz ne vairāk kā četrus gadus veciem pediatriskiem pacientiem tika nozīmētas 7 vai 14 mg/kg pregabalīna dienas devas</w:t>
      </w:r>
      <w:r w:rsidR="00552C18">
        <w:rPr>
          <w:lang w:val="lv-LV"/>
        </w:rPr>
        <w:t>,</w:t>
      </w:r>
      <w:r w:rsidRPr="002903D3">
        <w:rPr>
          <w:lang w:val="lv-LV"/>
        </w:rPr>
        <w:t xml:space="preserve"> vai placebo. 24 stundās krampju sastopamības mediāna pētījuma sākumā un pēdējās vizītes laikā bija attiecīgi 4,7 un 3,8 pēc 7 mg/kg pregabalīna dienas devu lietošanas, 5,4 un 1,4 pēc 14 mg/kg pregabalīna dienas devu lietošanas un 2,9 un 2,3 pēc placebo lietošanas. 14 mg/kg pregabalīna dienas devu lietošana salīdzinājumā ar placebo lietošanu būtiski samazināja pēc log transformēto parciālo krampju sastopamību (p = 0,0223), bet pēc 7 mg/kg pregabalīna dienas devu lietošanas salīdzinājumā ar placebo lietošanu stāvokļa uzlabošanās netika novērota.</w:t>
      </w:r>
    </w:p>
    <w:p w14:paraId="32A66D76" w14:textId="77777777" w:rsidR="00411CFD" w:rsidRDefault="00411CFD" w:rsidP="002903D3">
      <w:pPr>
        <w:spacing w:line="240" w:lineRule="auto"/>
        <w:rPr>
          <w:lang w:val="lv-LV"/>
        </w:rPr>
      </w:pPr>
    </w:p>
    <w:p w14:paraId="35C221DB" w14:textId="28723C22" w:rsidR="00411CFD" w:rsidRPr="00593390" w:rsidRDefault="00593390" w:rsidP="002903D3">
      <w:pPr>
        <w:spacing w:line="240" w:lineRule="auto"/>
        <w:rPr>
          <w:szCs w:val="24"/>
          <w:lang w:val="lv-LV"/>
        </w:rPr>
      </w:pPr>
      <w:r w:rsidRPr="00593390">
        <w:rPr>
          <w:lang w:val="lv-LV"/>
        </w:rPr>
        <w:t>12 nedēļas ilgā ar placebo kontrolētā pētījumā par pētāmajām personām, kam bija primāri ģeneralizēti toniski-kloniski (PĢTK) krampji, 219 pētāmajām personām, kas bija 5–65 gadu vecumā (66 no šīm personām bija 5–16 gadu vecumā), palīgterapijai tika o</w:t>
      </w:r>
      <w:r w:rsidR="00A6273B">
        <w:rPr>
          <w:lang w:val="lv-LV"/>
        </w:rPr>
        <w:t>rdinēts</w:t>
      </w:r>
      <w:r w:rsidRPr="00593390">
        <w:rPr>
          <w:lang w:val="lv-LV"/>
        </w:rPr>
        <w:t xml:space="preserve"> pregabalīn</w:t>
      </w:r>
      <w:r w:rsidR="00A6273B">
        <w:rPr>
          <w:lang w:val="lv-LV"/>
        </w:rPr>
        <w:t>s</w:t>
      </w:r>
      <w:r w:rsidRPr="00593390">
        <w:rPr>
          <w:lang w:val="lv-LV"/>
        </w:rPr>
        <w:t xml:space="preserve"> pa 5 mg/kg dienā (ne vairāk kā 300 mg dienā) vai 10  mg/kg dienā (ne vairāk kā 600 mg dienā) vai placebo. To pētāmo personu procentuālā daļa, kurām PĢTK krampju sastopamība samazinājās par vismaz 50 %, pregabalīna 5 mg/kg, pregabalīna 10 mg/kg un placebo grupā bija attiecīgi 41,3 %, 38,9 % un 41,7 %.</w:t>
      </w:r>
    </w:p>
    <w:p w14:paraId="64FAF1F7" w14:textId="77777777" w:rsidR="00965657" w:rsidRPr="00D16F94" w:rsidRDefault="00965657" w:rsidP="00274811">
      <w:pPr>
        <w:keepNext/>
        <w:tabs>
          <w:tab w:val="clear" w:pos="565"/>
        </w:tabs>
        <w:autoSpaceDE w:val="0"/>
        <w:autoSpaceDN w:val="0"/>
        <w:adjustRightInd w:val="0"/>
        <w:spacing w:line="240" w:lineRule="auto"/>
        <w:rPr>
          <w:szCs w:val="24"/>
          <w:lang w:val="lv-LV"/>
        </w:rPr>
      </w:pPr>
    </w:p>
    <w:p w14:paraId="0A217224" w14:textId="77777777" w:rsidR="00965657" w:rsidRPr="00870103" w:rsidRDefault="00965657" w:rsidP="00274811">
      <w:pPr>
        <w:keepNext/>
        <w:tabs>
          <w:tab w:val="clear" w:pos="565"/>
        </w:tabs>
        <w:autoSpaceDE w:val="0"/>
        <w:autoSpaceDN w:val="0"/>
        <w:adjustRightInd w:val="0"/>
        <w:spacing w:line="240" w:lineRule="auto"/>
        <w:rPr>
          <w:szCs w:val="24"/>
          <w:u w:val="single"/>
          <w:lang w:val="lv-LV"/>
        </w:rPr>
      </w:pPr>
      <w:r w:rsidRPr="00870103">
        <w:rPr>
          <w:szCs w:val="24"/>
          <w:u w:val="single"/>
          <w:lang w:val="lv-LV"/>
        </w:rPr>
        <w:t>Monoterapija (pacientiem ar pirmreizēju diagnozi)</w:t>
      </w:r>
    </w:p>
    <w:p w14:paraId="402487A6" w14:textId="77777777" w:rsidR="00965657" w:rsidRPr="00D16F94" w:rsidRDefault="00965657" w:rsidP="00274811">
      <w:pPr>
        <w:keepNext/>
        <w:tabs>
          <w:tab w:val="clear" w:pos="565"/>
        </w:tabs>
        <w:autoSpaceDE w:val="0"/>
        <w:autoSpaceDN w:val="0"/>
        <w:adjustRightInd w:val="0"/>
        <w:spacing w:line="240" w:lineRule="auto"/>
        <w:rPr>
          <w:szCs w:val="24"/>
          <w:lang w:val="lv-LV"/>
        </w:rPr>
      </w:pPr>
      <w:r w:rsidRPr="00D16F94">
        <w:rPr>
          <w:szCs w:val="24"/>
          <w:lang w:val="lv-LV"/>
        </w:rPr>
        <w:t>Pregabalīns pētīts vienā 56 nedēļas ilgā kontrolēt</w:t>
      </w:r>
      <w:r w:rsidR="00F61494">
        <w:rPr>
          <w:szCs w:val="24"/>
          <w:lang w:val="lv-LV"/>
        </w:rPr>
        <w:t>aj</w:t>
      </w:r>
      <w:r w:rsidRPr="00D16F94">
        <w:rPr>
          <w:szCs w:val="24"/>
          <w:lang w:val="lv-LV"/>
        </w:rPr>
        <w:t>ā klīnisk</w:t>
      </w:r>
      <w:r w:rsidR="00F61494">
        <w:rPr>
          <w:szCs w:val="24"/>
          <w:lang w:val="lv-LV"/>
        </w:rPr>
        <w:t>aj</w:t>
      </w:r>
      <w:r w:rsidRPr="00D16F94">
        <w:rPr>
          <w:szCs w:val="24"/>
          <w:lang w:val="lv-LV"/>
        </w:rPr>
        <w:t>ā pētījumā, lietojot divreiz dienā (BID). Balstoties uz pētījuma mērķa rezultātu (6 mēneši</w:t>
      </w:r>
      <w:r w:rsidR="00800FED">
        <w:rPr>
          <w:szCs w:val="24"/>
          <w:lang w:val="lv-LV"/>
        </w:rPr>
        <w:t xml:space="preserve"> bez</w:t>
      </w:r>
      <w:r w:rsidRPr="00D16F94">
        <w:rPr>
          <w:szCs w:val="24"/>
          <w:lang w:val="lv-LV"/>
        </w:rPr>
        <w:t xml:space="preserve"> </w:t>
      </w:r>
      <w:r w:rsidR="00800FED">
        <w:rPr>
          <w:szCs w:val="24"/>
          <w:lang w:val="lv-LV"/>
        </w:rPr>
        <w:t xml:space="preserve">krampju </w:t>
      </w:r>
      <w:r w:rsidRPr="00D16F94">
        <w:rPr>
          <w:szCs w:val="24"/>
          <w:lang w:val="lv-LV"/>
        </w:rPr>
        <w:t>lēkmēm), pregabalīns nesasniedza lamotrigīnam līdzvērtīgu rezultātu. Pregabalīns un lamotrigīns bija vienādi droši un labi panesami.</w:t>
      </w:r>
    </w:p>
    <w:p w14:paraId="5474CA76" w14:textId="77777777" w:rsidR="00965657" w:rsidRPr="00D16F94" w:rsidRDefault="00965657">
      <w:pPr>
        <w:tabs>
          <w:tab w:val="clear" w:pos="565"/>
        </w:tabs>
        <w:autoSpaceDE w:val="0"/>
        <w:autoSpaceDN w:val="0"/>
        <w:adjustRightInd w:val="0"/>
        <w:spacing w:line="240" w:lineRule="auto"/>
        <w:rPr>
          <w:szCs w:val="24"/>
          <w:lang w:val="lv-LV"/>
        </w:rPr>
      </w:pPr>
    </w:p>
    <w:p w14:paraId="1F8804EF" w14:textId="77777777" w:rsidR="00965657" w:rsidRPr="005214F3" w:rsidRDefault="00965657">
      <w:pPr>
        <w:tabs>
          <w:tab w:val="clear" w:pos="565"/>
        </w:tabs>
        <w:autoSpaceDE w:val="0"/>
        <w:autoSpaceDN w:val="0"/>
        <w:adjustRightInd w:val="0"/>
        <w:spacing w:line="240" w:lineRule="auto"/>
        <w:rPr>
          <w:szCs w:val="24"/>
          <w:u w:val="single"/>
          <w:lang w:val="lv-LV"/>
        </w:rPr>
      </w:pPr>
      <w:r w:rsidRPr="005214F3">
        <w:rPr>
          <w:szCs w:val="24"/>
          <w:u w:val="single"/>
          <w:lang w:val="lv-LV"/>
        </w:rPr>
        <w:t>Ģeneralizēta trauksme</w:t>
      </w:r>
    </w:p>
    <w:p w14:paraId="40320629" w14:textId="77777777" w:rsidR="00965657" w:rsidRPr="00D16F94" w:rsidRDefault="00965657">
      <w:pPr>
        <w:tabs>
          <w:tab w:val="clear" w:pos="565"/>
        </w:tabs>
        <w:autoSpaceDE w:val="0"/>
        <w:autoSpaceDN w:val="0"/>
        <w:adjustRightInd w:val="0"/>
        <w:spacing w:line="240" w:lineRule="auto"/>
        <w:rPr>
          <w:szCs w:val="24"/>
          <w:lang w:val="lv-LV"/>
        </w:rPr>
      </w:pPr>
      <w:r w:rsidRPr="00D16F94">
        <w:rPr>
          <w:szCs w:val="24"/>
          <w:lang w:val="lv-LV"/>
        </w:rPr>
        <w:t>Pregabalīnu pētīja 6 kontrolēt</w:t>
      </w:r>
      <w:r w:rsidR="002B7F7A">
        <w:rPr>
          <w:szCs w:val="24"/>
          <w:lang w:val="lv-LV"/>
        </w:rPr>
        <w:t>aj</w:t>
      </w:r>
      <w:r w:rsidRPr="00D16F94">
        <w:rPr>
          <w:szCs w:val="24"/>
          <w:lang w:val="lv-LV"/>
        </w:rPr>
        <w:t>os, 4-6 nedēļ</w:t>
      </w:r>
      <w:r w:rsidR="00930DD3">
        <w:rPr>
          <w:szCs w:val="24"/>
          <w:lang w:val="lv-LV"/>
        </w:rPr>
        <w:t>u</w:t>
      </w:r>
      <w:r w:rsidRPr="00D16F94">
        <w:rPr>
          <w:szCs w:val="24"/>
          <w:lang w:val="lv-LV"/>
        </w:rPr>
        <w:t xml:space="preserve"> ilgos pētījumos, 8 nedēļu pētījumā, kurā piedalījās gados vecāki cilvēki, un ilgtermiņa recidīva novēršanas pētījumā ar 6 mēnešu dubultmaskētu recidīva profilakses fāzi.</w:t>
      </w:r>
    </w:p>
    <w:p w14:paraId="5A233BB8" w14:textId="77777777" w:rsidR="00965657" w:rsidRPr="00D16F94" w:rsidRDefault="00965657">
      <w:pPr>
        <w:tabs>
          <w:tab w:val="clear" w:pos="565"/>
        </w:tabs>
        <w:autoSpaceDE w:val="0"/>
        <w:autoSpaceDN w:val="0"/>
        <w:adjustRightInd w:val="0"/>
        <w:spacing w:line="240" w:lineRule="auto"/>
        <w:rPr>
          <w:szCs w:val="24"/>
          <w:lang w:val="lv-LV"/>
        </w:rPr>
      </w:pPr>
    </w:p>
    <w:p w14:paraId="14B6E01B" w14:textId="77777777" w:rsidR="00965657" w:rsidRPr="00D16F94" w:rsidRDefault="00965657">
      <w:pPr>
        <w:tabs>
          <w:tab w:val="clear" w:pos="565"/>
        </w:tabs>
        <w:autoSpaceDE w:val="0"/>
        <w:autoSpaceDN w:val="0"/>
        <w:adjustRightInd w:val="0"/>
        <w:spacing w:line="240" w:lineRule="auto"/>
        <w:rPr>
          <w:szCs w:val="24"/>
          <w:lang w:val="lv-LV"/>
        </w:rPr>
      </w:pPr>
      <w:r w:rsidRPr="00D16F94">
        <w:rPr>
          <w:szCs w:val="24"/>
          <w:lang w:val="lv-LV"/>
        </w:rPr>
        <w:t>No 1. nedēļas novēroja ģeneralizētas trauksmes simptomu mazināšanos, kas noteikta ar Hamiltona trauksmes novērtējuma skalu (</w:t>
      </w:r>
      <w:r w:rsidRPr="00D16F94">
        <w:rPr>
          <w:i/>
          <w:szCs w:val="24"/>
          <w:lang w:val="lv-LV"/>
        </w:rPr>
        <w:t>Hamilton Anxiety Rating Scale</w:t>
      </w:r>
      <w:r w:rsidRPr="00D16F94">
        <w:rPr>
          <w:szCs w:val="24"/>
          <w:lang w:val="lv-LV"/>
        </w:rPr>
        <w:t xml:space="preserve"> – HAM-A).</w:t>
      </w:r>
    </w:p>
    <w:p w14:paraId="46C0329E" w14:textId="77777777" w:rsidR="00965657" w:rsidRPr="00D16F94" w:rsidRDefault="00965657">
      <w:pPr>
        <w:tabs>
          <w:tab w:val="clear" w:pos="565"/>
        </w:tabs>
        <w:autoSpaceDE w:val="0"/>
        <w:autoSpaceDN w:val="0"/>
        <w:adjustRightInd w:val="0"/>
        <w:spacing w:line="240" w:lineRule="auto"/>
        <w:rPr>
          <w:szCs w:val="24"/>
          <w:lang w:val="lv-LV"/>
        </w:rPr>
      </w:pPr>
    </w:p>
    <w:p w14:paraId="5662A3D3" w14:textId="77777777" w:rsidR="00965657" w:rsidRPr="00D16F94" w:rsidRDefault="00965657">
      <w:pPr>
        <w:tabs>
          <w:tab w:val="clear" w:pos="565"/>
        </w:tabs>
        <w:autoSpaceDE w:val="0"/>
        <w:autoSpaceDN w:val="0"/>
        <w:adjustRightInd w:val="0"/>
        <w:spacing w:line="240" w:lineRule="auto"/>
        <w:rPr>
          <w:szCs w:val="24"/>
          <w:lang w:val="lv-LV"/>
        </w:rPr>
      </w:pPr>
      <w:r w:rsidRPr="00D16F94">
        <w:rPr>
          <w:szCs w:val="24"/>
          <w:lang w:val="lv-LV"/>
        </w:rPr>
        <w:t>Kontrolēt</w:t>
      </w:r>
      <w:r w:rsidR="00F61494">
        <w:rPr>
          <w:szCs w:val="24"/>
          <w:lang w:val="lv-LV"/>
        </w:rPr>
        <w:t>aj</w:t>
      </w:r>
      <w:r w:rsidRPr="00D16F94">
        <w:rPr>
          <w:szCs w:val="24"/>
          <w:lang w:val="lv-LV"/>
        </w:rPr>
        <w:t>os klīnisk</w:t>
      </w:r>
      <w:r w:rsidR="00F0653C">
        <w:rPr>
          <w:szCs w:val="24"/>
          <w:lang w:val="lv-LV"/>
        </w:rPr>
        <w:t>aj</w:t>
      </w:r>
      <w:r w:rsidRPr="00D16F94">
        <w:rPr>
          <w:szCs w:val="24"/>
          <w:lang w:val="lv-LV"/>
        </w:rPr>
        <w:t>os p</w:t>
      </w:r>
      <w:r w:rsidR="00800FED">
        <w:rPr>
          <w:szCs w:val="24"/>
          <w:lang w:val="lv-LV"/>
        </w:rPr>
        <w:t>ētījumos (4-8 nedēļas</w:t>
      </w:r>
      <w:r w:rsidRPr="00D16F94">
        <w:rPr>
          <w:szCs w:val="24"/>
          <w:lang w:val="lv-LV"/>
        </w:rPr>
        <w:t>) 52% ar pregabalīnu ārstēto pacientu un 38% pacientu, kuri saņēma placebo, no pētījuma sākuma līdz beigām novēroja uzlabošanos par vismaz 50% no HAM-A skalas kopējiem rādītājiem.</w:t>
      </w:r>
    </w:p>
    <w:p w14:paraId="2133B9FC" w14:textId="77777777" w:rsidR="00965657" w:rsidRPr="00D16F94" w:rsidRDefault="00965657">
      <w:pPr>
        <w:tabs>
          <w:tab w:val="clear" w:pos="565"/>
        </w:tabs>
        <w:autoSpaceDE w:val="0"/>
        <w:autoSpaceDN w:val="0"/>
        <w:adjustRightInd w:val="0"/>
        <w:spacing w:line="240" w:lineRule="auto"/>
        <w:rPr>
          <w:szCs w:val="24"/>
          <w:lang w:val="lv-LV"/>
        </w:rPr>
      </w:pPr>
    </w:p>
    <w:p w14:paraId="5872B457" w14:textId="77777777" w:rsidR="00965657" w:rsidRPr="00D16F94" w:rsidRDefault="00965657">
      <w:pPr>
        <w:tabs>
          <w:tab w:val="clear" w:pos="565"/>
        </w:tabs>
        <w:autoSpaceDE w:val="0"/>
        <w:autoSpaceDN w:val="0"/>
        <w:adjustRightInd w:val="0"/>
        <w:spacing w:line="240" w:lineRule="auto"/>
        <w:rPr>
          <w:szCs w:val="24"/>
          <w:lang w:val="lv-LV"/>
        </w:rPr>
      </w:pPr>
      <w:r w:rsidRPr="00D16F94">
        <w:rPr>
          <w:szCs w:val="24"/>
          <w:lang w:val="lv-LV"/>
        </w:rPr>
        <w:t>Kontrolēt</w:t>
      </w:r>
      <w:r w:rsidR="00F61494">
        <w:rPr>
          <w:szCs w:val="24"/>
          <w:lang w:val="lv-LV"/>
        </w:rPr>
        <w:t>aj</w:t>
      </w:r>
      <w:r w:rsidRPr="00D16F94">
        <w:rPr>
          <w:szCs w:val="24"/>
          <w:lang w:val="lv-LV"/>
        </w:rPr>
        <w:t xml:space="preserve">os pētījumos par redzes miglošanos </w:t>
      </w:r>
      <w:r w:rsidR="00800FED">
        <w:rPr>
          <w:szCs w:val="24"/>
          <w:lang w:val="lv-LV"/>
        </w:rPr>
        <w:t xml:space="preserve">vairāk </w:t>
      </w:r>
      <w:r w:rsidRPr="00D16F94">
        <w:rPr>
          <w:szCs w:val="24"/>
          <w:lang w:val="lv-LV"/>
        </w:rPr>
        <w:t>ziņoja pacient</w:t>
      </w:r>
      <w:r w:rsidR="00800FED">
        <w:rPr>
          <w:szCs w:val="24"/>
          <w:lang w:val="lv-LV"/>
        </w:rPr>
        <w:t>i</w:t>
      </w:r>
      <w:r w:rsidRPr="00D16F94">
        <w:rPr>
          <w:szCs w:val="24"/>
          <w:lang w:val="lv-LV"/>
        </w:rPr>
        <w:t>, kuri saņēma pregabalīna terapiju, nekā pacienti, kuri saņēma placebo. Vairumā gadījumu, turpinot terapiju, šī parādība izzuda.</w:t>
      </w:r>
    </w:p>
    <w:p w14:paraId="437D457F" w14:textId="77777777" w:rsidR="00965657" w:rsidRPr="00D16F94" w:rsidRDefault="00965657">
      <w:pPr>
        <w:tabs>
          <w:tab w:val="clear" w:pos="565"/>
        </w:tabs>
        <w:autoSpaceDE w:val="0"/>
        <w:autoSpaceDN w:val="0"/>
        <w:adjustRightInd w:val="0"/>
        <w:spacing w:line="240" w:lineRule="auto"/>
        <w:rPr>
          <w:szCs w:val="24"/>
          <w:lang w:val="lv-LV"/>
        </w:rPr>
      </w:pPr>
      <w:r w:rsidRPr="00D16F94">
        <w:rPr>
          <w:szCs w:val="24"/>
          <w:lang w:val="lv-LV"/>
        </w:rPr>
        <w:t>Kontrolēt</w:t>
      </w:r>
      <w:r w:rsidR="00F0653C">
        <w:rPr>
          <w:szCs w:val="24"/>
          <w:lang w:val="lv-LV"/>
        </w:rPr>
        <w:t>aj</w:t>
      </w:r>
      <w:r w:rsidRPr="00D16F94">
        <w:rPr>
          <w:szCs w:val="24"/>
          <w:lang w:val="lv-LV"/>
        </w:rPr>
        <w:t>os klīnisk</w:t>
      </w:r>
      <w:r w:rsidR="00F0653C">
        <w:rPr>
          <w:szCs w:val="24"/>
          <w:lang w:val="lv-LV"/>
        </w:rPr>
        <w:t>aj</w:t>
      </w:r>
      <w:r w:rsidRPr="00D16F94">
        <w:rPr>
          <w:szCs w:val="24"/>
          <w:lang w:val="lv-LV"/>
        </w:rPr>
        <w:t>os pētījumos oftalmoloģiskie izmeklējumi (ieskaitot redzes asuma noteikšanu, formālu redzes lauka noteikšanu un dilatētu fundoskopisko izmeklēšanu) tika veikti vairāk nekā 3600 pacientiem. No šiem pacientiem redzes asums bija samazināts 6,5% pacientu, kuri tika ārstēti ar pregabalīnu, un 4,8% ar placebo ārstēto pacientu. Redzes lauka izmaiņas tika atklātas 12,4% ar pregabalīnu ārstēto pacientu un 11,7% ar placebo ārstēto pacientu. Fundoskopiskas izmaiņas tika novērotas 1,7% ar pregabalīnu ārstēto pacientu un 2,1% ar placebo ārstēto pacientu.</w:t>
      </w:r>
    </w:p>
    <w:p w14:paraId="37DFF573" w14:textId="77777777" w:rsidR="00965657" w:rsidRPr="00D16F94" w:rsidRDefault="00965657">
      <w:pPr>
        <w:spacing w:line="240" w:lineRule="auto"/>
        <w:rPr>
          <w:szCs w:val="24"/>
          <w:lang w:val="lv-LV"/>
        </w:rPr>
      </w:pPr>
    </w:p>
    <w:p w14:paraId="25D80E3A" w14:textId="77777777" w:rsidR="00965657" w:rsidRPr="00D16F94" w:rsidRDefault="00965657">
      <w:pPr>
        <w:spacing w:line="240" w:lineRule="auto"/>
        <w:ind w:left="565" w:hanging="565"/>
        <w:rPr>
          <w:b/>
          <w:szCs w:val="24"/>
          <w:lang w:val="lv-LV"/>
        </w:rPr>
      </w:pPr>
      <w:r w:rsidRPr="00D16F94">
        <w:rPr>
          <w:b/>
          <w:szCs w:val="24"/>
          <w:lang w:val="lv-LV"/>
        </w:rPr>
        <w:t>5.2</w:t>
      </w:r>
      <w:r w:rsidR="00800FED">
        <w:rPr>
          <w:b/>
          <w:szCs w:val="24"/>
          <w:lang w:val="lv-LV"/>
        </w:rPr>
        <w:t>.</w:t>
      </w:r>
      <w:r w:rsidRPr="00D16F94">
        <w:rPr>
          <w:b/>
          <w:szCs w:val="24"/>
          <w:lang w:val="lv-LV"/>
        </w:rPr>
        <w:tab/>
        <w:t>Farmakokinētiskās īpašības</w:t>
      </w:r>
    </w:p>
    <w:p w14:paraId="6CA68B8D" w14:textId="77777777" w:rsidR="00965657" w:rsidRPr="00D16F94" w:rsidRDefault="00965657">
      <w:pPr>
        <w:spacing w:line="240" w:lineRule="auto"/>
        <w:ind w:left="565" w:hanging="565"/>
        <w:rPr>
          <w:szCs w:val="24"/>
          <w:lang w:val="lv-LV"/>
        </w:rPr>
      </w:pPr>
    </w:p>
    <w:p w14:paraId="4C44A12C" w14:textId="77777777" w:rsidR="00965657" w:rsidRPr="00D16F94" w:rsidRDefault="00965657">
      <w:pPr>
        <w:tabs>
          <w:tab w:val="clear" w:pos="565"/>
        </w:tabs>
        <w:autoSpaceDE w:val="0"/>
        <w:autoSpaceDN w:val="0"/>
        <w:adjustRightInd w:val="0"/>
        <w:spacing w:line="240" w:lineRule="auto"/>
        <w:rPr>
          <w:szCs w:val="24"/>
          <w:lang w:val="lv-LV"/>
        </w:rPr>
      </w:pPr>
      <w:r w:rsidRPr="00D16F94">
        <w:rPr>
          <w:szCs w:val="24"/>
          <w:lang w:val="lv-LV"/>
        </w:rPr>
        <w:t xml:space="preserve">Pregabalīna līdzsvara </w:t>
      </w:r>
      <w:r w:rsidR="00F03263">
        <w:rPr>
          <w:szCs w:val="24"/>
          <w:lang w:val="lv-LV"/>
        </w:rPr>
        <w:t>koncentrācijas</w:t>
      </w:r>
      <w:r w:rsidR="00F03263" w:rsidRPr="00D16F94">
        <w:rPr>
          <w:szCs w:val="24"/>
          <w:lang w:val="lv-LV"/>
        </w:rPr>
        <w:t xml:space="preserve"> </w:t>
      </w:r>
      <w:r w:rsidRPr="00D16F94">
        <w:rPr>
          <w:szCs w:val="24"/>
          <w:lang w:val="lv-LV"/>
        </w:rPr>
        <w:t>farmakokinētika klīniski veseliem brīvprātīgajiem, epilepsijas slimniekiem, kuri lieto pretepilepsijas līdzekļus, un pacientiem ar hroniskām sāpēm ir līdzīga.</w:t>
      </w:r>
    </w:p>
    <w:p w14:paraId="7FE8060C" w14:textId="77777777" w:rsidR="00965657" w:rsidRPr="00D16F94" w:rsidRDefault="00965657">
      <w:pPr>
        <w:tabs>
          <w:tab w:val="clear" w:pos="565"/>
        </w:tabs>
        <w:autoSpaceDE w:val="0"/>
        <w:autoSpaceDN w:val="0"/>
        <w:adjustRightInd w:val="0"/>
        <w:spacing w:line="240" w:lineRule="auto"/>
        <w:rPr>
          <w:szCs w:val="24"/>
          <w:lang w:val="lv-LV"/>
        </w:rPr>
      </w:pPr>
    </w:p>
    <w:p w14:paraId="033CFE3D" w14:textId="77777777" w:rsidR="00965657" w:rsidRPr="00D16F94" w:rsidRDefault="00965657">
      <w:pPr>
        <w:tabs>
          <w:tab w:val="clear" w:pos="565"/>
        </w:tabs>
        <w:autoSpaceDE w:val="0"/>
        <w:autoSpaceDN w:val="0"/>
        <w:adjustRightInd w:val="0"/>
        <w:spacing w:line="240" w:lineRule="auto"/>
        <w:rPr>
          <w:szCs w:val="24"/>
          <w:u w:val="single"/>
          <w:lang w:val="lv-LV"/>
        </w:rPr>
      </w:pPr>
      <w:r w:rsidRPr="00D16F94">
        <w:rPr>
          <w:szCs w:val="24"/>
          <w:u w:val="single"/>
          <w:lang w:val="lv-LV"/>
        </w:rPr>
        <w:t>Uzsūkšanās</w:t>
      </w:r>
    </w:p>
    <w:p w14:paraId="55F211A5" w14:textId="77777777" w:rsidR="00965657" w:rsidRPr="00D16F94" w:rsidRDefault="00965657">
      <w:pPr>
        <w:tabs>
          <w:tab w:val="clear" w:pos="565"/>
        </w:tabs>
        <w:autoSpaceDE w:val="0"/>
        <w:autoSpaceDN w:val="0"/>
        <w:adjustRightInd w:val="0"/>
        <w:spacing w:line="240" w:lineRule="auto"/>
        <w:rPr>
          <w:szCs w:val="24"/>
          <w:lang w:val="lv-LV"/>
        </w:rPr>
      </w:pPr>
      <w:r w:rsidRPr="00D16F94">
        <w:rPr>
          <w:szCs w:val="24"/>
          <w:lang w:val="lv-LV"/>
        </w:rPr>
        <w:t xml:space="preserve">Pēc lietošanas tukšā dūšā pregabalīns ātri uzsūcas un pēc 1 stundas sasniedz maksimālo koncentrāciju plazmā gan pēc vienas, gan pēc vairāku devu lietošanas. Pregabalīna perorālā biopieejamība ir ≥90% un nav atkarīga no devas. Pēc atkārtotas lietošanas līdzsvara </w:t>
      </w:r>
      <w:r w:rsidR="00F03263">
        <w:rPr>
          <w:szCs w:val="24"/>
          <w:lang w:val="lv-LV"/>
        </w:rPr>
        <w:t>koncentrācija</w:t>
      </w:r>
      <w:r w:rsidR="00F03263" w:rsidRPr="00D16F94">
        <w:rPr>
          <w:szCs w:val="24"/>
          <w:lang w:val="lv-LV"/>
        </w:rPr>
        <w:t xml:space="preserve"> </w:t>
      </w:r>
      <w:r w:rsidRPr="00D16F94">
        <w:rPr>
          <w:szCs w:val="24"/>
          <w:lang w:val="lv-LV"/>
        </w:rPr>
        <w:t>tiek sasniegt</w:t>
      </w:r>
      <w:r w:rsidR="00F03263">
        <w:rPr>
          <w:szCs w:val="24"/>
          <w:lang w:val="lv-LV"/>
        </w:rPr>
        <w:t>a</w:t>
      </w:r>
      <w:r w:rsidRPr="00D16F94">
        <w:rPr>
          <w:szCs w:val="24"/>
          <w:lang w:val="lv-LV"/>
        </w:rPr>
        <w:t xml:space="preserve"> 24</w:t>
      </w:r>
      <w:r w:rsidRPr="00D16F94">
        <w:rPr>
          <w:rFonts w:ascii="Symbol" w:hAnsi="Symbol"/>
          <w:szCs w:val="24"/>
          <w:lang w:val="lv-LV"/>
        </w:rPr>
        <w:t></w:t>
      </w:r>
      <w:r w:rsidRPr="00D16F94">
        <w:rPr>
          <w:szCs w:val="24"/>
          <w:lang w:val="lv-LV"/>
        </w:rPr>
        <w:t>48 stundu laikā. Ja pregabalīnu lieto ēšanas laikā, samazinās tā uzsūkšanās: C</w:t>
      </w:r>
      <w:r w:rsidRPr="00D16F94">
        <w:rPr>
          <w:szCs w:val="24"/>
          <w:vertAlign w:val="subscript"/>
          <w:lang w:val="lv-LV"/>
        </w:rPr>
        <w:t>max</w:t>
      </w:r>
      <w:r w:rsidRPr="00D16F94">
        <w:rPr>
          <w:position w:val="-3"/>
          <w:szCs w:val="24"/>
          <w:lang w:val="lv-LV"/>
        </w:rPr>
        <w:t xml:space="preserve"> </w:t>
      </w:r>
      <w:r w:rsidRPr="00D16F94">
        <w:rPr>
          <w:szCs w:val="24"/>
          <w:lang w:val="lv-LV"/>
        </w:rPr>
        <w:t>samazinās par apmēram 25</w:t>
      </w:r>
      <w:r w:rsidRPr="00D16F94">
        <w:rPr>
          <w:rFonts w:ascii="Symbol" w:hAnsi="Symbol"/>
          <w:szCs w:val="24"/>
          <w:lang w:val="lv-LV"/>
        </w:rPr>
        <w:t></w:t>
      </w:r>
      <w:r w:rsidRPr="00D16F94">
        <w:rPr>
          <w:szCs w:val="24"/>
          <w:lang w:val="lv-LV"/>
        </w:rPr>
        <w:t>30%, bet t</w:t>
      </w:r>
      <w:r w:rsidRPr="00D16F94">
        <w:rPr>
          <w:szCs w:val="24"/>
          <w:vertAlign w:val="subscript"/>
          <w:lang w:val="lv-LV"/>
        </w:rPr>
        <w:t>max</w:t>
      </w:r>
      <w:r w:rsidRPr="00D16F94">
        <w:rPr>
          <w:szCs w:val="24"/>
          <w:lang w:val="lv-LV"/>
        </w:rPr>
        <w:t xml:space="preserve"> palielinās par apmēram 2,5 stundām. Taču pregabalīna lietošanai kopā ar pārtiku nav klīniski nozīmīgas ietekmes </w:t>
      </w:r>
      <w:r w:rsidR="00800FED">
        <w:rPr>
          <w:szCs w:val="24"/>
          <w:lang w:val="lv-LV"/>
        </w:rPr>
        <w:t>pregabalīna uzsūkšanās apjomu</w:t>
      </w:r>
      <w:r w:rsidRPr="00D16F94">
        <w:rPr>
          <w:szCs w:val="24"/>
          <w:lang w:val="lv-LV"/>
        </w:rPr>
        <w:t>.</w:t>
      </w:r>
    </w:p>
    <w:p w14:paraId="429BDC95" w14:textId="77777777" w:rsidR="00965657" w:rsidRPr="00D16F94" w:rsidRDefault="00965657">
      <w:pPr>
        <w:spacing w:line="240" w:lineRule="auto"/>
        <w:rPr>
          <w:szCs w:val="24"/>
          <w:lang w:val="lv-LV"/>
        </w:rPr>
      </w:pPr>
    </w:p>
    <w:p w14:paraId="706A1159" w14:textId="77777777" w:rsidR="00965657" w:rsidRPr="00D16F94" w:rsidRDefault="00965657">
      <w:pPr>
        <w:spacing w:line="240" w:lineRule="auto"/>
        <w:rPr>
          <w:szCs w:val="24"/>
          <w:u w:val="single"/>
          <w:lang w:val="lv-LV"/>
        </w:rPr>
      </w:pPr>
      <w:r w:rsidRPr="00D16F94">
        <w:rPr>
          <w:szCs w:val="24"/>
          <w:u w:val="single"/>
          <w:lang w:val="lv-LV"/>
        </w:rPr>
        <w:t>Izkliede</w:t>
      </w:r>
    </w:p>
    <w:p w14:paraId="30287FA4" w14:textId="77777777" w:rsidR="00965657" w:rsidRPr="00D16F94" w:rsidRDefault="00965657">
      <w:pPr>
        <w:tabs>
          <w:tab w:val="clear" w:pos="565"/>
        </w:tabs>
        <w:autoSpaceDE w:val="0"/>
        <w:autoSpaceDN w:val="0"/>
        <w:adjustRightInd w:val="0"/>
        <w:spacing w:line="240" w:lineRule="auto"/>
        <w:rPr>
          <w:szCs w:val="24"/>
          <w:lang w:val="lv-LV"/>
        </w:rPr>
      </w:pPr>
      <w:r w:rsidRPr="00D16F94">
        <w:rPr>
          <w:szCs w:val="24"/>
          <w:lang w:val="lv-LV"/>
        </w:rPr>
        <w:t>Preklīnisk</w:t>
      </w:r>
      <w:r w:rsidR="006C0B04">
        <w:rPr>
          <w:szCs w:val="24"/>
          <w:lang w:val="lv-LV"/>
        </w:rPr>
        <w:t>aj</w:t>
      </w:r>
      <w:r w:rsidRPr="00D16F94">
        <w:rPr>
          <w:szCs w:val="24"/>
          <w:lang w:val="lv-LV"/>
        </w:rPr>
        <w:t>os pētījumos pierādīts, ka pelēm, žurkām un pērtiķiem pregabalīns šķērso hematoencefālisko barjeru. Eksperimentos ar žurkām novērots, ka pregabalīns šķērso placentu un i</w:t>
      </w:r>
      <w:r w:rsidR="000C68B1">
        <w:rPr>
          <w:szCs w:val="24"/>
          <w:lang w:val="lv-LV"/>
        </w:rPr>
        <w:t xml:space="preserve">r nosakāms žurku mātīšu pienā. </w:t>
      </w:r>
      <w:r w:rsidRPr="00D16F94">
        <w:rPr>
          <w:szCs w:val="24"/>
          <w:lang w:val="lv-LV"/>
        </w:rPr>
        <w:t>Cilvēkam pēc pregabalīna iekšķīgas lietošanas tā šķiet</w:t>
      </w:r>
      <w:r w:rsidR="00800FED">
        <w:rPr>
          <w:szCs w:val="24"/>
          <w:lang w:val="lv-LV"/>
        </w:rPr>
        <w:t>amais izkliedes tilpums ir 0,56 </w:t>
      </w:r>
      <w:r w:rsidRPr="00D16F94">
        <w:rPr>
          <w:szCs w:val="24"/>
          <w:lang w:val="lv-LV"/>
        </w:rPr>
        <w:t>l/kg. Pregabalīns nesaistās ar plazmas proteīniem.</w:t>
      </w:r>
    </w:p>
    <w:p w14:paraId="1CB5773E" w14:textId="77777777" w:rsidR="00965657" w:rsidRPr="00D16F94" w:rsidRDefault="00965657">
      <w:pPr>
        <w:tabs>
          <w:tab w:val="clear" w:pos="565"/>
        </w:tabs>
        <w:autoSpaceDE w:val="0"/>
        <w:autoSpaceDN w:val="0"/>
        <w:adjustRightInd w:val="0"/>
        <w:spacing w:line="240" w:lineRule="auto"/>
        <w:rPr>
          <w:szCs w:val="24"/>
          <w:lang w:val="lv-LV"/>
        </w:rPr>
      </w:pPr>
    </w:p>
    <w:p w14:paraId="78AC55FE" w14:textId="77777777" w:rsidR="00965657" w:rsidRPr="00D16F94" w:rsidRDefault="00965657">
      <w:pPr>
        <w:tabs>
          <w:tab w:val="clear" w:pos="565"/>
        </w:tabs>
        <w:autoSpaceDE w:val="0"/>
        <w:autoSpaceDN w:val="0"/>
        <w:adjustRightInd w:val="0"/>
        <w:spacing w:line="240" w:lineRule="auto"/>
        <w:rPr>
          <w:szCs w:val="24"/>
          <w:u w:val="single"/>
          <w:lang w:val="lv-LV"/>
        </w:rPr>
      </w:pPr>
      <w:r w:rsidRPr="00D16F94">
        <w:rPr>
          <w:szCs w:val="24"/>
          <w:u w:val="single"/>
          <w:lang w:val="lv-LV"/>
        </w:rPr>
        <w:t>Biotransformācija</w:t>
      </w:r>
    </w:p>
    <w:p w14:paraId="066BF4A0" w14:textId="77777777" w:rsidR="00965657" w:rsidRPr="00D16F94" w:rsidRDefault="00965657">
      <w:pPr>
        <w:tabs>
          <w:tab w:val="clear" w:pos="565"/>
        </w:tabs>
        <w:autoSpaceDE w:val="0"/>
        <w:autoSpaceDN w:val="0"/>
        <w:adjustRightInd w:val="0"/>
        <w:spacing w:line="240" w:lineRule="auto"/>
        <w:rPr>
          <w:szCs w:val="24"/>
          <w:lang w:val="lv-LV"/>
        </w:rPr>
      </w:pPr>
      <w:r w:rsidRPr="00D16F94">
        <w:rPr>
          <w:szCs w:val="24"/>
          <w:lang w:val="lv-LV"/>
        </w:rPr>
        <w:t>Cilvēka organismā metabolizējas niecīgs</w:t>
      </w:r>
      <w:r w:rsidR="00800FED">
        <w:rPr>
          <w:szCs w:val="24"/>
          <w:lang w:val="lv-LV"/>
        </w:rPr>
        <w:t xml:space="preserve"> daudzums pregabalīna. Izsekojot radioloģiski</w:t>
      </w:r>
      <w:r w:rsidRPr="00D16F94">
        <w:rPr>
          <w:szCs w:val="24"/>
          <w:lang w:val="lv-LV"/>
        </w:rPr>
        <w:t xml:space="preserve"> iezīmētu pregabalīnu, aptuveni 98% </w:t>
      </w:r>
      <w:r w:rsidR="00800FED">
        <w:rPr>
          <w:szCs w:val="24"/>
          <w:lang w:val="lv-LV"/>
        </w:rPr>
        <w:t xml:space="preserve">urīnā atklātās radioaktivitātes </w:t>
      </w:r>
      <w:r w:rsidRPr="00D16F94">
        <w:rPr>
          <w:szCs w:val="24"/>
          <w:lang w:val="lv-LV"/>
        </w:rPr>
        <w:t>bija nepārveidota pregabalīna formā. N-metilētā pregabalīna atvasinājuma, kas ir galvenais pregabalīna metabolīts urīnā, daudzums atbilst 0,9% lietotās devas. Preklīniskajos pētījumos nav norādījumu, ka pregabalīna S enantiomērs racemizējas par R enantiomēru.</w:t>
      </w:r>
    </w:p>
    <w:p w14:paraId="769461A2" w14:textId="77777777" w:rsidR="00965657" w:rsidRPr="00D16F94" w:rsidRDefault="00965657">
      <w:pPr>
        <w:tabs>
          <w:tab w:val="clear" w:pos="565"/>
        </w:tabs>
        <w:autoSpaceDE w:val="0"/>
        <w:autoSpaceDN w:val="0"/>
        <w:adjustRightInd w:val="0"/>
        <w:spacing w:line="240" w:lineRule="auto"/>
        <w:rPr>
          <w:szCs w:val="24"/>
          <w:lang w:val="lv-LV"/>
        </w:rPr>
      </w:pPr>
    </w:p>
    <w:p w14:paraId="357276F1" w14:textId="77777777" w:rsidR="00965657" w:rsidRPr="00D16F94" w:rsidRDefault="00965657">
      <w:pPr>
        <w:tabs>
          <w:tab w:val="clear" w:pos="565"/>
        </w:tabs>
        <w:autoSpaceDE w:val="0"/>
        <w:autoSpaceDN w:val="0"/>
        <w:adjustRightInd w:val="0"/>
        <w:spacing w:line="240" w:lineRule="auto"/>
        <w:rPr>
          <w:szCs w:val="24"/>
          <w:u w:val="single"/>
          <w:lang w:val="lv-LV"/>
        </w:rPr>
      </w:pPr>
      <w:r w:rsidRPr="00D16F94">
        <w:rPr>
          <w:szCs w:val="24"/>
          <w:u w:val="single"/>
          <w:lang w:val="lv-LV"/>
        </w:rPr>
        <w:t>Eliminācija</w:t>
      </w:r>
    </w:p>
    <w:p w14:paraId="0349D565" w14:textId="77777777" w:rsidR="00965657" w:rsidRPr="00D16F94" w:rsidRDefault="00965657">
      <w:pPr>
        <w:tabs>
          <w:tab w:val="clear" w:pos="565"/>
        </w:tabs>
        <w:autoSpaceDE w:val="0"/>
        <w:autoSpaceDN w:val="0"/>
        <w:adjustRightInd w:val="0"/>
        <w:spacing w:line="240" w:lineRule="auto"/>
        <w:rPr>
          <w:szCs w:val="24"/>
          <w:lang w:val="lv-LV"/>
        </w:rPr>
      </w:pPr>
      <w:r w:rsidRPr="00D16F94">
        <w:rPr>
          <w:szCs w:val="24"/>
          <w:lang w:val="lv-LV"/>
        </w:rPr>
        <w:t>Pregabalīns tiek izvadīts no sistēmiskās asinsrites galvenokārt caur nierēm nemainītā formā.</w:t>
      </w:r>
    </w:p>
    <w:p w14:paraId="428C2F00" w14:textId="77777777" w:rsidR="00965657" w:rsidRPr="00D16F94" w:rsidRDefault="00965657">
      <w:pPr>
        <w:tabs>
          <w:tab w:val="clear" w:pos="565"/>
        </w:tabs>
        <w:autoSpaceDE w:val="0"/>
        <w:autoSpaceDN w:val="0"/>
        <w:adjustRightInd w:val="0"/>
        <w:spacing w:line="240" w:lineRule="auto"/>
        <w:rPr>
          <w:szCs w:val="24"/>
          <w:lang w:val="lv-LV"/>
        </w:rPr>
      </w:pPr>
      <w:r w:rsidRPr="00D16F94">
        <w:rPr>
          <w:szCs w:val="24"/>
          <w:lang w:val="lv-LV"/>
        </w:rPr>
        <w:t xml:space="preserve">Pregabalīna vidējais eliminācijas </w:t>
      </w:r>
      <w:r w:rsidR="006C0B04" w:rsidRPr="00D16F94">
        <w:rPr>
          <w:szCs w:val="24"/>
          <w:lang w:val="lv-LV"/>
        </w:rPr>
        <w:t>pus</w:t>
      </w:r>
      <w:r w:rsidRPr="00D16F94">
        <w:rPr>
          <w:szCs w:val="24"/>
          <w:lang w:val="lv-LV"/>
        </w:rPr>
        <w:t>periods ir 6,3 stundas. Pregabalīna klīrenss no plazmas un renālais klīrenss ir tieši proporcionāls kreatinīna klīrensam (skatīt 5.2. apakšpunktu “Nieru darbības traucējumi”).</w:t>
      </w:r>
    </w:p>
    <w:p w14:paraId="16F3EC65" w14:textId="77777777" w:rsidR="00965657" w:rsidRPr="00D16F94" w:rsidRDefault="00965657">
      <w:pPr>
        <w:tabs>
          <w:tab w:val="clear" w:pos="565"/>
        </w:tabs>
        <w:autoSpaceDE w:val="0"/>
        <w:autoSpaceDN w:val="0"/>
        <w:adjustRightInd w:val="0"/>
        <w:spacing w:line="240" w:lineRule="auto"/>
        <w:rPr>
          <w:szCs w:val="24"/>
          <w:lang w:val="lv-LV"/>
        </w:rPr>
      </w:pPr>
    </w:p>
    <w:p w14:paraId="26C09D8F" w14:textId="77777777" w:rsidR="00965657" w:rsidRPr="00D16F94" w:rsidRDefault="00965657">
      <w:pPr>
        <w:tabs>
          <w:tab w:val="clear" w:pos="565"/>
        </w:tabs>
        <w:autoSpaceDE w:val="0"/>
        <w:autoSpaceDN w:val="0"/>
        <w:adjustRightInd w:val="0"/>
        <w:spacing w:line="240" w:lineRule="auto"/>
        <w:rPr>
          <w:szCs w:val="24"/>
          <w:lang w:val="lv-LV"/>
        </w:rPr>
      </w:pPr>
      <w:r w:rsidRPr="00D16F94">
        <w:rPr>
          <w:szCs w:val="24"/>
          <w:lang w:val="lv-LV"/>
        </w:rPr>
        <w:t>Pacientiem, kuriem ir pavājinātas nieru funkcijas vai kuriem tiek veikta hemodialīze, nepieciešama devas pielāgošana (skatīt 4.2. apakšpunktu, 1. tabulu).</w:t>
      </w:r>
    </w:p>
    <w:p w14:paraId="466939A3" w14:textId="77777777" w:rsidR="00965657" w:rsidRPr="00D16F94" w:rsidRDefault="00965657">
      <w:pPr>
        <w:tabs>
          <w:tab w:val="clear" w:pos="565"/>
        </w:tabs>
        <w:autoSpaceDE w:val="0"/>
        <w:autoSpaceDN w:val="0"/>
        <w:adjustRightInd w:val="0"/>
        <w:spacing w:line="240" w:lineRule="auto"/>
        <w:rPr>
          <w:szCs w:val="24"/>
          <w:lang w:val="lv-LV"/>
        </w:rPr>
      </w:pPr>
    </w:p>
    <w:p w14:paraId="4DD4EF04" w14:textId="77777777" w:rsidR="00965657" w:rsidRPr="00D16F94" w:rsidRDefault="00800FED">
      <w:pPr>
        <w:tabs>
          <w:tab w:val="clear" w:pos="565"/>
        </w:tabs>
        <w:autoSpaceDE w:val="0"/>
        <w:autoSpaceDN w:val="0"/>
        <w:adjustRightInd w:val="0"/>
        <w:spacing w:line="240" w:lineRule="auto"/>
        <w:rPr>
          <w:szCs w:val="24"/>
          <w:u w:val="single"/>
          <w:lang w:val="lv-LV"/>
        </w:rPr>
      </w:pPr>
      <w:r>
        <w:rPr>
          <w:szCs w:val="24"/>
          <w:u w:val="single" w:color="000000"/>
          <w:lang w:val="lv-LV"/>
        </w:rPr>
        <w:t>Linearitāte/</w:t>
      </w:r>
      <w:r w:rsidR="00965657" w:rsidRPr="00D16F94">
        <w:rPr>
          <w:szCs w:val="24"/>
          <w:u w:val="single" w:color="000000"/>
          <w:lang w:val="lv-LV"/>
        </w:rPr>
        <w:t>nelinearitāte</w:t>
      </w:r>
    </w:p>
    <w:p w14:paraId="7CE24D42" w14:textId="77777777" w:rsidR="00965657" w:rsidRPr="00D16F94" w:rsidRDefault="00965657">
      <w:pPr>
        <w:tabs>
          <w:tab w:val="clear" w:pos="565"/>
        </w:tabs>
        <w:autoSpaceDE w:val="0"/>
        <w:autoSpaceDN w:val="0"/>
        <w:adjustRightInd w:val="0"/>
        <w:spacing w:line="240" w:lineRule="auto"/>
        <w:rPr>
          <w:szCs w:val="24"/>
          <w:lang w:val="lv-LV"/>
        </w:rPr>
      </w:pPr>
      <w:r w:rsidRPr="00D16F94">
        <w:rPr>
          <w:szCs w:val="24"/>
          <w:lang w:val="lv-LV"/>
        </w:rPr>
        <w:t>Ieteicamo dienas devu diapazonā pregabalīna farmakokinētika ir lineāra. Pregabalīna farmakokinētikas individuālās atšķirības starp pacientiem ir mazas (&lt;20%). Vienas, atsevišķas devas farmakokinētika ļauj paredzēt vairāku devu farmakokinētiku. Tādēļ pregabalīna koncentrācijas kontrole plazmā parastā praksē nav nepieciešama.</w:t>
      </w:r>
    </w:p>
    <w:p w14:paraId="10BAD0E5" w14:textId="77777777" w:rsidR="00965657" w:rsidRPr="00D16F94" w:rsidRDefault="00965657">
      <w:pPr>
        <w:tabs>
          <w:tab w:val="clear" w:pos="565"/>
        </w:tabs>
        <w:autoSpaceDE w:val="0"/>
        <w:autoSpaceDN w:val="0"/>
        <w:adjustRightInd w:val="0"/>
        <w:spacing w:line="240" w:lineRule="auto"/>
        <w:rPr>
          <w:szCs w:val="24"/>
          <w:lang w:val="lv-LV"/>
        </w:rPr>
      </w:pPr>
    </w:p>
    <w:p w14:paraId="69EC94AA" w14:textId="77777777" w:rsidR="00965657" w:rsidRPr="00D16F94" w:rsidRDefault="00965657">
      <w:pPr>
        <w:tabs>
          <w:tab w:val="clear" w:pos="565"/>
        </w:tabs>
        <w:autoSpaceDE w:val="0"/>
        <w:autoSpaceDN w:val="0"/>
        <w:adjustRightInd w:val="0"/>
        <w:spacing w:line="240" w:lineRule="auto"/>
        <w:rPr>
          <w:szCs w:val="24"/>
          <w:u w:val="single"/>
          <w:lang w:val="lv-LV"/>
        </w:rPr>
      </w:pPr>
      <w:r w:rsidRPr="00D16F94">
        <w:rPr>
          <w:szCs w:val="24"/>
          <w:u w:val="single"/>
          <w:lang w:val="lv-LV"/>
        </w:rPr>
        <w:t>Dzimums</w:t>
      </w:r>
    </w:p>
    <w:p w14:paraId="341035CB" w14:textId="77777777" w:rsidR="00965657" w:rsidRPr="00D16F94" w:rsidRDefault="00965657">
      <w:pPr>
        <w:tabs>
          <w:tab w:val="clear" w:pos="565"/>
        </w:tabs>
        <w:autoSpaceDE w:val="0"/>
        <w:autoSpaceDN w:val="0"/>
        <w:adjustRightInd w:val="0"/>
        <w:spacing w:line="240" w:lineRule="auto"/>
        <w:rPr>
          <w:szCs w:val="24"/>
          <w:lang w:val="lv-LV"/>
        </w:rPr>
      </w:pPr>
      <w:r w:rsidRPr="00D16F94">
        <w:rPr>
          <w:szCs w:val="24"/>
          <w:lang w:val="lv-LV"/>
        </w:rPr>
        <w:t>Klīnisk</w:t>
      </w:r>
      <w:r w:rsidR="00B5310E">
        <w:rPr>
          <w:szCs w:val="24"/>
          <w:lang w:val="lv-LV"/>
        </w:rPr>
        <w:t>aj</w:t>
      </w:r>
      <w:r w:rsidRPr="00D16F94">
        <w:rPr>
          <w:szCs w:val="24"/>
          <w:lang w:val="lv-LV"/>
        </w:rPr>
        <w:t>os pētījumos iegūtie dati liecina, ka dzimumam nav klīniski nozīmīgas ietekmes uz pregabalīna koncentrāciju plazmā.</w:t>
      </w:r>
    </w:p>
    <w:p w14:paraId="6CEC8622" w14:textId="77777777" w:rsidR="00965657" w:rsidRPr="00D16F94" w:rsidRDefault="00965657">
      <w:pPr>
        <w:tabs>
          <w:tab w:val="clear" w:pos="565"/>
        </w:tabs>
        <w:autoSpaceDE w:val="0"/>
        <w:autoSpaceDN w:val="0"/>
        <w:adjustRightInd w:val="0"/>
        <w:spacing w:line="240" w:lineRule="auto"/>
        <w:rPr>
          <w:szCs w:val="24"/>
          <w:lang w:val="lv-LV"/>
        </w:rPr>
      </w:pPr>
    </w:p>
    <w:p w14:paraId="48E2BAF1" w14:textId="77777777" w:rsidR="00965657" w:rsidRPr="00D16F94" w:rsidRDefault="00965657">
      <w:pPr>
        <w:tabs>
          <w:tab w:val="clear" w:pos="565"/>
        </w:tabs>
        <w:autoSpaceDE w:val="0"/>
        <w:autoSpaceDN w:val="0"/>
        <w:adjustRightInd w:val="0"/>
        <w:spacing w:line="240" w:lineRule="auto"/>
        <w:rPr>
          <w:szCs w:val="24"/>
          <w:u w:val="single"/>
          <w:lang w:val="lv-LV"/>
        </w:rPr>
      </w:pPr>
      <w:r w:rsidRPr="00D16F94">
        <w:rPr>
          <w:szCs w:val="24"/>
          <w:u w:val="single"/>
          <w:lang w:val="lv-LV"/>
        </w:rPr>
        <w:t>Nieru darbības traucējumi</w:t>
      </w:r>
    </w:p>
    <w:p w14:paraId="3D2A7B4E" w14:textId="77777777" w:rsidR="00965657" w:rsidRPr="00D16F94" w:rsidRDefault="00965657">
      <w:pPr>
        <w:tabs>
          <w:tab w:val="clear" w:pos="565"/>
        </w:tabs>
        <w:autoSpaceDE w:val="0"/>
        <w:autoSpaceDN w:val="0"/>
        <w:adjustRightInd w:val="0"/>
        <w:spacing w:line="240" w:lineRule="auto"/>
        <w:rPr>
          <w:szCs w:val="24"/>
          <w:lang w:val="lv-LV"/>
        </w:rPr>
      </w:pPr>
      <w:r w:rsidRPr="00D16F94">
        <w:rPr>
          <w:szCs w:val="24"/>
          <w:lang w:val="lv-LV"/>
        </w:rPr>
        <w:t>Pregabalīna klīrenss ir tieši proporcionāls kreatinīna klīrensam, turklāt pregabalīnu var labi izvadīt no plazmas ar hemodialīzes palīdzību (pēc 4 stundu hemodialīzes pregabalīna koncentrācija plazmā samazinās par aptuveni 50%). Tā kā izvadīšana caur nierēm ir galvenais zāļu izvadīšanas ceļš, pacientiem ar nieru darbības traucējumiem jāsamazina deva, un pēc hemodialīzes procedūras jālieto papilddeva (skatīt 4.2. apakšpunktu, 1. tabulu).</w:t>
      </w:r>
    </w:p>
    <w:p w14:paraId="21C92B51" w14:textId="77777777" w:rsidR="00965657" w:rsidRPr="00D16F94" w:rsidRDefault="00965657">
      <w:pPr>
        <w:tabs>
          <w:tab w:val="clear" w:pos="565"/>
        </w:tabs>
        <w:autoSpaceDE w:val="0"/>
        <w:autoSpaceDN w:val="0"/>
        <w:adjustRightInd w:val="0"/>
        <w:spacing w:line="240" w:lineRule="auto"/>
        <w:rPr>
          <w:szCs w:val="24"/>
          <w:lang w:val="lv-LV"/>
        </w:rPr>
      </w:pPr>
    </w:p>
    <w:p w14:paraId="3D8F7CF2" w14:textId="77777777" w:rsidR="00965657" w:rsidRPr="00D16F94" w:rsidRDefault="00965657">
      <w:pPr>
        <w:tabs>
          <w:tab w:val="clear" w:pos="565"/>
        </w:tabs>
        <w:autoSpaceDE w:val="0"/>
        <w:autoSpaceDN w:val="0"/>
        <w:adjustRightInd w:val="0"/>
        <w:spacing w:line="240" w:lineRule="auto"/>
        <w:rPr>
          <w:szCs w:val="24"/>
          <w:u w:val="single"/>
          <w:lang w:val="lv-LV"/>
        </w:rPr>
      </w:pPr>
      <w:r w:rsidRPr="00D16F94">
        <w:rPr>
          <w:szCs w:val="24"/>
          <w:u w:val="single"/>
          <w:lang w:val="lv-LV"/>
        </w:rPr>
        <w:t>Aknu darbības traucējumi</w:t>
      </w:r>
    </w:p>
    <w:p w14:paraId="44B9246F" w14:textId="77777777" w:rsidR="00965657" w:rsidRPr="00D16F94" w:rsidRDefault="00965657">
      <w:pPr>
        <w:tabs>
          <w:tab w:val="clear" w:pos="565"/>
        </w:tabs>
        <w:autoSpaceDE w:val="0"/>
        <w:autoSpaceDN w:val="0"/>
        <w:adjustRightInd w:val="0"/>
        <w:spacing w:line="240" w:lineRule="auto"/>
        <w:rPr>
          <w:szCs w:val="24"/>
          <w:lang w:val="lv-LV"/>
        </w:rPr>
      </w:pPr>
      <w:r w:rsidRPr="00D16F94">
        <w:rPr>
          <w:szCs w:val="24"/>
          <w:lang w:val="lv-LV"/>
        </w:rPr>
        <w:t xml:space="preserve">Īpaši farmakokinētikas pētījumi pacientiem ar aknu darbības traucējumiem nav veikti. Tā kā metabolizējas niecīgs daudzums pregabalīna, un lielākā daļa zāļu tiek izvadīta nepārveidotā </w:t>
      </w:r>
      <w:r w:rsidR="00B5310E">
        <w:rPr>
          <w:szCs w:val="24"/>
          <w:lang w:val="lv-LV"/>
        </w:rPr>
        <w:t>veidā</w:t>
      </w:r>
      <w:r w:rsidR="00B5310E" w:rsidRPr="00D16F94">
        <w:rPr>
          <w:szCs w:val="24"/>
          <w:lang w:val="lv-LV"/>
        </w:rPr>
        <w:t xml:space="preserve"> </w:t>
      </w:r>
      <w:r w:rsidRPr="00D16F94">
        <w:rPr>
          <w:szCs w:val="24"/>
          <w:lang w:val="lv-LV"/>
        </w:rPr>
        <w:t>ar urīnu, nav sagaidāms, ka aknu funkciju traucējumi varētu nozīmīgi ietekmēt pregabalīna līmeni plazmā.</w:t>
      </w:r>
    </w:p>
    <w:p w14:paraId="0DB78BF8" w14:textId="77777777" w:rsidR="00965657" w:rsidRPr="00D16F94" w:rsidRDefault="00965657">
      <w:pPr>
        <w:tabs>
          <w:tab w:val="clear" w:pos="565"/>
        </w:tabs>
        <w:autoSpaceDE w:val="0"/>
        <w:autoSpaceDN w:val="0"/>
        <w:adjustRightInd w:val="0"/>
        <w:spacing w:line="240" w:lineRule="auto"/>
        <w:rPr>
          <w:szCs w:val="24"/>
          <w:lang w:val="lv-LV"/>
        </w:rPr>
      </w:pPr>
    </w:p>
    <w:p w14:paraId="5581742C" w14:textId="77777777" w:rsidR="00965657" w:rsidRPr="00D16F94" w:rsidRDefault="00965657">
      <w:pPr>
        <w:spacing w:line="240" w:lineRule="auto"/>
        <w:rPr>
          <w:szCs w:val="24"/>
          <w:lang w:val="lv-LV"/>
        </w:rPr>
      </w:pPr>
      <w:r w:rsidRPr="00D16F94">
        <w:rPr>
          <w:szCs w:val="24"/>
          <w:u w:val="single"/>
          <w:lang w:val="lv-LV"/>
        </w:rPr>
        <w:t>Pediatriskā populācija</w:t>
      </w:r>
    </w:p>
    <w:p w14:paraId="625295F9" w14:textId="77777777" w:rsidR="00965657" w:rsidRPr="00D16F94" w:rsidRDefault="00965657">
      <w:pPr>
        <w:spacing w:line="240" w:lineRule="auto"/>
        <w:rPr>
          <w:szCs w:val="24"/>
          <w:lang w:val="lv-LV"/>
        </w:rPr>
      </w:pPr>
      <w:r w:rsidRPr="00D16F94">
        <w:rPr>
          <w:szCs w:val="24"/>
          <w:lang w:val="lv-LV"/>
        </w:rPr>
        <w:lastRenderedPageBreak/>
        <w:t>Farmakokinētikas un panesamības pētījumā pregabalīna farmakokinētika tika vērtēta pediatriskiem pacientiem ar epilepsiju (vecuma grupas: no 1 līdz 23 mēnešiem, no 2 līdz 6 gadiem, no 7 līdz 11 gadiem un no 12 līdz 16 gadiem), lietojot šād</w:t>
      </w:r>
      <w:r w:rsidR="00800FED">
        <w:rPr>
          <w:szCs w:val="24"/>
          <w:lang w:val="lv-LV"/>
        </w:rPr>
        <w:t>a</w:t>
      </w:r>
      <w:r w:rsidRPr="00D16F94">
        <w:rPr>
          <w:szCs w:val="24"/>
          <w:lang w:val="lv-LV"/>
        </w:rPr>
        <w:t>s dev</w:t>
      </w:r>
      <w:r w:rsidR="00800FED">
        <w:rPr>
          <w:szCs w:val="24"/>
          <w:lang w:val="lv-LV"/>
        </w:rPr>
        <w:t>a</w:t>
      </w:r>
      <w:r w:rsidRPr="00D16F94">
        <w:rPr>
          <w:szCs w:val="24"/>
          <w:lang w:val="lv-LV"/>
        </w:rPr>
        <w:t>s: 2,5, 5, 10 un 15 mg/kg dienā.</w:t>
      </w:r>
    </w:p>
    <w:p w14:paraId="15505112" w14:textId="77777777" w:rsidR="00965657" w:rsidRPr="00D16F94" w:rsidRDefault="00965657">
      <w:pPr>
        <w:spacing w:line="240" w:lineRule="auto"/>
        <w:rPr>
          <w:szCs w:val="24"/>
          <w:lang w:val="lv-LV"/>
        </w:rPr>
      </w:pPr>
    </w:p>
    <w:p w14:paraId="4542CA53" w14:textId="77777777" w:rsidR="00965657" w:rsidRPr="00D16F94" w:rsidRDefault="00965657">
      <w:pPr>
        <w:spacing w:line="240" w:lineRule="auto"/>
        <w:rPr>
          <w:szCs w:val="24"/>
          <w:lang w:val="lv-LV"/>
        </w:rPr>
      </w:pPr>
      <w:r w:rsidRPr="00D16F94">
        <w:rPr>
          <w:szCs w:val="24"/>
          <w:lang w:val="lv-LV"/>
        </w:rPr>
        <w:t>Pediatriskiem pacientiem pēc pregabalīna iekšķīgas lietošanas tukšā dūšā kopumā laiks līdz maksimālai koncentrācijai plazmā visās vecuma grupās bija līdzīgs un bija 0,5</w:t>
      </w:r>
      <w:r w:rsidR="00800FED">
        <w:rPr>
          <w:szCs w:val="24"/>
          <w:lang w:val="lv-LV"/>
        </w:rPr>
        <w:t>-</w:t>
      </w:r>
      <w:r w:rsidRPr="00D16F94">
        <w:rPr>
          <w:szCs w:val="24"/>
          <w:lang w:val="lv-LV"/>
        </w:rPr>
        <w:t>2 stundas pēc devas lietošanas.</w:t>
      </w:r>
    </w:p>
    <w:p w14:paraId="2E58A121" w14:textId="77777777" w:rsidR="00965657" w:rsidRPr="00D16F94" w:rsidRDefault="00965657">
      <w:pPr>
        <w:spacing w:line="240" w:lineRule="auto"/>
        <w:rPr>
          <w:szCs w:val="24"/>
          <w:lang w:val="lv-LV"/>
        </w:rPr>
      </w:pPr>
    </w:p>
    <w:p w14:paraId="192A33B3" w14:textId="2F54E363" w:rsidR="00965657" w:rsidRPr="00D16F94" w:rsidRDefault="00965657">
      <w:pPr>
        <w:spacing w:line="240" w:lineRule="auto"/>
        <w:rPr>
          <w:szCs w:val="24"/>
          <w:lang w:val="lv-LV"/>
        </w:rPr>
      </w:pPr>
      <w:r w:rsidRPr="00D16F94">
        <w:rPr>
          <w:szCs w:val="24"/>
          <w:lang w:val="lv-LV"/>
        </w:rPr>
        <w:t>Palielinot devu, katrā vecuma grupā pregabalīna C</w:t>
      </w:r>
      <w:r w:rsidRPr="00D16F94">
        <w:rPr>
          <w:szCs w:val="24"/>
          <w:vertAlign w:val="subscript"/>
          <w:lang w:val="lv-LV"/>
        </w:rPr>
        <w:t>max</w:t>
      </w:r>
      <w:r w:rsidRPr="00D16F94">
        <w:rPr>
          <w:szCs w:val="24"/>
          <w:lang w:val="lv-LV"/>
        </w:rPr>
        <w:t xml:space="preserve"> un AUC raksturlielumi palielinājās lineāri</w:t>
      </w:r>
      <w:r w:rsidR="00800FED">
        <w:rPr>
          <w:szCs w:val="24"/>
          <w:lang w:val="lv-LV"/>
        </w:rPr>
        <w:t>.</w:t>
      </w:r>
      <w:r w:rsidRPr="00D16F94">
        <w:rPr>
          <w:szCs w:val="24"/>
          <w:lang w:val="lv-LV"/>
        </w:rPr>
        <w:t xml:space="preserve"> Pediatriskiem pacientiem, kuru ķermeņa masa bija mazāka par 30 kg, AUC bija par 30% mazāks, jo šiem pacientiem pēc ķermeņa masas standartizētais klīrenss bija par 43% lielāks nekā pacientiem, kuru ķermeņa masa bija </w:t>
      </w:r>
      <w:r w:rsidR="00BE7B73">
        <w:rPr>
          <w:szCs w:val="24"/>
          <w:lang w:val="lv-LV"/>
        </w:rPr>
        <w:t>≥</w:t>
      </w:r>
      <w:r w:rsidRPr="00D16F94">
        <w:rPr>
          <w:szCs w:val="24"/>
          <w:lang w:val="lv-LV"/>
        </w:rPr>
        <w:t>30 kg.</w:t>
      </w:r>
    </w:p>
    <w:p w14:paraId="030E2329" w14:textId="77777777" w:rsidR="00965657" w:rsidRPr="00D16F94" w:rsidRDefault="00965657">
      <w:pPr>
        <w:spacing w:line="240" w:lineRule="auto"/>
        <w:rPr>
          <w:szCs w:val="24"/>
          <w:lang w:val="lv-LV"/>
        </w:rPr>
      </w:pPr>
    </w:p>
    <w:p w14:paraId="50679A29" w14:textId="77777777" w:rsidR="00965657" w:rsidRPr="00D16F94" w:rsidRDefault="00965657">
      <w:pPr>
        <w:spacing w:line="240" w:lineRule="auto"/>
        <w:rPr>
          <w:szCs w:val="24"/>
          <w:lang w:val="lv-LV"/>
        </w:rPr>
      </w:pPr>
      <w:r w:rsidRPr="00D16F94">
        <w:rPr>
          <w:szCs w:val="24"/>
          <w:lang w:val="lv-LV"/>
        </w:rPr>
        <w:t>Preg</w:t>
      </w:r>
      <w:r w:rsidR="00800FED">
        <w:rPr>
          <w:szCs w:val="24"/>
          <w:lang w:val="lv-LV"/>
        </w:rPr>
        <w:t xml:space="preserve">abalīna vidējais terminālais </w:t>
      </w:r>
      <w:r w:rsidRPr="00D16F94">
        <w:rPr>
          <w:szCs w:val="24"/>
          <w:lang w:val="lv-LV"/>
        </w:rPr>
        <w:t xml:space="preserve">eliminācijas </w:t>
      </w:r>
      <w:r w:rsidR="00800FED">
        <w:rPr>
          <w:szCs w:val="24"/>
          <w:lang w:val="lv-LV"/>
        </w:rPr>
        <w:t>pus</w:t>
      </w:r>
      <w:r w:rsidRPr="00D16F94">
        <w:rPr>
          <w:szCs w:val="24"/>
          <w:lang w:val="lv-LV"/>
        </w:rPr>
        <w:t xml:space="preserve">periods pediatriskiem pacientiem līdz </w:t>
      </w:r>
      <w:r w:rsidR="00800FED">
        <w:rPr>
          <w:szCs w:val="24"/>
          <w:lang w:val="lv-LV"/>
        </w:rPr>
        <w:t xml:space="preserve">6 gadu vecumam bija aptuveni </w:t>
      </w:r>
      <w:r w:rsidRPr="00D16F94">
        <w:rPr>
          <w:szCs w:val="24"/>
          <w:lang w:val="lv-LV"/>
        </w:rPr>
        <w:t>3</w:t>
      </w:r>
      <w:r w:rsidR="00800FED">
        <w:rPr>
          <w:szCs w:val="24"/>
          <w:lang w:val="lv-LV"/>
        </w:rPr>
        <w:t>-</w:t>
      </w:r>
      <w:r w:rsidRPr="00D16F94">
        <w:rPr>
          <w:szCs w:val="24"/>
          <w:lang w:val="lv-LV"/>
        </w:rPr>
        <w:t>4 stund</w:t>
      </w:r>
      <w:r w:rsidR="00800FED">
        <w:rPr>
          <w:szCs w:val="24"/>
          <w:lang w:val="lv-LV"/>
        </w:rPr>
        <w:t>as</w:t>
      </w:r>
      <w:r w:rsidRPr="00D16F94">
        <w:rPr>
          <w:szCs w:val="24"/>
          <w:lang w:val="lv-LV"/>
        </w:rPr>
        <w:t>, bet pacientiem no 7 gadu vecuma – 4</w:t>
      </w:r>
      <w:r w:rsidR="00800FED">
        <w:rPr>
          <w:szCs w:val="24"/>
          <w:lang w:val="lv-LV"/>
        </w:rPr>
        <w:t>-6 stundas</w:t>
      </w:r>
      <w:r w:rsidRPr="00D16F94">
        <w:rPr>
          <w:szCs w:val="24"/>
          <w:lang w:val="lv-LV"/>
        </w:rPr>
        <w:t>.</w:t>
      </w:r>
    </w:p>
    <w:p w14:paraId="3191EE90" w14:textId="77777777" w:rsidR="00965657" w:rsidRPr="00D16F94" w:rsidRDefault="00965657">
      <w:pPr>
        <w:spacing w:line="240" w:lineRule="auto"/>
        <w:rPr>
          <w:szCs w:val="24"/>
          <w:lang w:val="lv-LV"/>
        </w:rPr>
      </w:pPr>
    </w:p>
    <w:p w14:paraId="4679E8B9" w14:textId="77777777" w:rsidR="00965657" w:rsidRPr="00D16F94" w:rsidRDefault="00965657">
      <w:pPr>
        <w:spacing w:line="240" w:lineRule="auto"/>
        <w:rPr>
          <w:szCs w:val="24"/>
          <w:lang w:val="lv-LV"/>
        </w:rPr>
      </w:pPr>
      <w:r w:rsidRPr="00D16F94">
        <w:rPr>
          <w:szCs w:val="24"/>
          <w:lang w:val="lv-LV"/>
        </w:rPr>
        <w:t>Populāciju farmakokinētikas analīze liecināja, ka kreatinīna klīrenss bija nozīmīgs pregabalīna perorālā klīrensa kovariāts, ka ķermeņa masa bija nozīmīgs pregabalīna šķietamā perorālā izkliedes tilpuma kovariāts un ka šī saistība pediatriskiem un pieaugušiem pacientiem bija līdzīga.</w:t>
      </w:r>
    </w:p>
    <w:p w14:paraId="4DE1D5F3" w14:textId="77777777" w:rsidR="00965657" w:rsidRPr="00D16F94" w:rsidRDefault="00965657">
      <w:pPr>
        <w:spacing w:line="240" w:lineRule="auto"/>
        <w:rPr>
          <w:szCs w:val="24"/>
          <w:lang w:val="lv-LV"/>
        </w:rPr>
      </w:pPr>
    </w:p>
    <w:p w14:paraId="6BD9B5D3" w14:textId="77777777" w:rsidR="00965657" w:rsidRPr="00D16F94" w:rsidRDefault="00965657">
      <w:pPr>
        <w:spacing w:line="240" w:lineRule="auto"/>
        <w:rPr>
          <w:szCs w:val="24"/>
          <w:lang w:val="lv-LV"/>
        </w:rPr>
      </w:pPr>
      <w:r w:rsidRPr="00D16F94">
        <w:rPr>
          <w:szCs w:val="24"/>
          <w:lang w:val="lv-LV"/>
        </w:rPr>
        <w:t xml:space="preserve">Pregabalīna farmakokinētika pacientiem līdz 3 mēnešu vecumam nav pētīta (skatīt 4.2., 4.8. un 5.1. apakšpunktu). </w:t>
      </w:r>
    </w:p>
    <w:p w14:paraId="1A2144BC" w14:textId="77777777" w:rsidR="00965657" w:rsidRPr="00D16F94" w:rsidRDefault="00965657">
      <w:pPr>
        <w:tabs>
          <w:tab w:val="clear" w:pos="565"/>
        </w:tabs>
        <w:autoSpaceDE w:val="0"/>
        <w:autoSpaceDN w:val="0"/>
        <w:adjustRightInd w:val="0"/>
        <w:spacing w:line="240" w:lineRule="auto"/>
        <w:rPr>
          <w:szCs w:val="24"/>
          <w:lang w:val="lv-LV"/>
        </w:rPr>
      </w:pPr>
    </w:p>
    <w:p w14:paraId="09569520" w14:textId="66A40FE0" w:rsidR="00965657" w:rsidRPr="00D16F94" w:rsidRDefault="00965657">
      <w:pPr>
        <w:tabs>
          <w:tab w:val="clear" w:pos="565"/>
        </w:tabs>
        <w:autoSpaceDE w:val="0"/>
        <w:autoSpaceDN w:val="0"/>
        <w:adjustRightInd w:val="0"/>
        <w:spacing w:line="240" w:lineRule="auto"/>
        <w:rPr>
          <w:szCs w:val="24"/>
          <w:u w:val="single"/>
          <w:lang w:val="lv-LV"/>
        </w:rPr>
      </w:pPr>
      <w:r w:rsidRPr="00D16F94">
        <w:rPr>
          <w:szCs w:val="24"/>
          <w:u w:val="single"/>
          <w:lang w:val="lv-LV"/>
        </w:rPr>
        <w:t>Gados vecāki cilvēki</w:t>
      </w:r>
    </w:p>
    <w:p w14:paraId="59A3A246" w14:textId="77777777" w:rsidR="00965657" w:rsidRPr="00D16F94" w:rsidRDefault="00965657">
      <w:pPr>
        <w:tabs>
          <w:tab w:val="clear" w:pos="565"/>
        </w:tabs>
        <w:autoSpaceDE w:val="0"/>
        <w:autoSpaceDN w:val="0"/>
        <w:adjustRightInd w:val="0"/>
        <w:spacing w:line="240" w:lineRule="auto"/>
        <w:rPr>
          <w:szCs w:val="24"/>
          <w:lang w:val="lv-LV"/>
        </w:rPr>
      </w:pPr>
      <w:r w:rsidRPr="00D16F94">
        <w:rPr>
          <w:szCs w:val="24"/>
          <w:lang w:val="lv-LV"/>
        </w:rPr>
        <w:t xml:space="preserve">Pregabalīna klīrensam ir tendence </w:t>
      </w:r>
      <w:r w:rsidR="00800FED" w:rsidRPr="00D16F94">
        <w:rPr>
          <w:szCs w:val="24"/>
          <w:lang w:val="lv-LV"/>
        </w:rPr>
        <w:t>samazināties</w:t>
      </w:r>
      <w:r w:rsidR="00800FED">
        <w:rPr>
          <w:szCs w:val="24"/>
          <w:lang w:val="lv-LV"/>
        </w:rPr>
        <w:t xml:space="preserve"> līdz </w:t>
      </w:r>
      <w:r w:rsidRPr="00D16F94">
        <w:rPr>
          <w:szCs w:val="24"/>
          <w:lang w:val="lv-LV"/>
        </w:rPr>
        <w:t xml:space="preserve">ar </w:t>
      </w:r>
      <w:r w:rsidR="00800FED">
        <w:rPr>
          <w:szCs w:val="24"/>
          <w:lang w:val="lv-LV"/>
        </w:rPr>
        <w:t xml:space="preserve">pacienta </w:t>
      </w:r>
      <w:r w:rsidRPr="00D16F94">
        <w:rPr>
          <w:szCs w:val="24"/>
          <w:lang w:val="lv-LV"/>
        </w:rPr>
        <w:t>vecumu. Perorāli lietot</w:t>
      </w:r>
      <w:r w:rsidR="00800FED">
        <w:rPr>
          <w:szCs w:val="24"/>
          <w:lang w:val="lv-LV"/>
        </w:rPr>
        <w:t>a</w:t>
      </w:r>
      <w:r w:rsidRPr="00D16F94">
        <w:rPr>
          <w:szCs w:val="24"/>
          <w:lang w:val="lv-LV"/>
        </w:rPr>
        <w:t xml:space="preserve"> pregabalīna klīrensa samazināšanās notiek atbilstoši kreatinīna klīrensa samazinājumam, pieaugot gadu skaitam. Pregabalīna deva var būt jāpielāgo pacientiem, kuriem ir ar vecumu saistīti nieru darbības traucējumi (skatīt 4.2. apakšpunktu, 1. tabulu).</w:t>
      </w:r>
    </w:p>
    <w:p w14:paraId="7595335D" w14:textId="77777777" w:rsidR="00965657" w:rsidRPr="00D16F94" w:rsidRDefault="00965657">
      <w:pPr>
        <w:tabs>
          <w:tab w:val="clear" w:pos="565"/>
        </w:tabs>
        <w:autoSpaceDE w:val="0"/>
        <w:autoSpaceDN w:val="0"/>
        <w:adjustRightInd w:val="0"/>
        <w:spacing w:line="240" w:lineRule="auto"/>
        <w:rPr>
          <w:szCs w:val="24"/>
          <w:lang w:val="lv-LV"/>
        </w:rPr>
      </w:pPr>
    </w:p>
    <w:p w14:paraId="77E0721D" w14:textId="77777777" w:rsidR="00965657" w:rsidRPr="00D16F94" w:rsidRDefault="00965657">
      <w:pPr>
        <w:spacing w:line="240" w:lineRule="auto"/>
        <w:rPr>
          <w:szCs w:val="24"/>
          <w:lang w:val="lv-LV"/>
        </w:rPr>
      </w:pPr>
      <w:r w:rsidRPr="00D16F94">
        <w:rPr>
          <w:szCs w:val="24"/>
          <w:u w:val="single"/>
          <w:lang w:val="lv-LV"/>
        </w:rPr>
        <w:t>Sievietes, kas baro bērnu ar krūti</w:t>
      </w:r>
    </w:p>
    <w:p w14:paraId="7886C223" w14:textId="77777777" w:rsidR="00965657" w:rsidRPr="00D16F94" w:rsidRDefault="00965657">
      <w:pPr>
        <w:spacing w:line="240" w:lineRule="auto"/>
        <w:rPr>
          <w:szCs w:val="24"/>
          <w:lang w:val="lv-LV"/>
        </w:rPr>
      </w:pPr>
      <w:r w:rsidRPr="00D16F94">
        <w:rPr>
          <w:szCs w:val="24"/>
          <w:lang w:val="lv-LV"/>
        </w:rPr>
        <w:t xml:space="preserve">Pregabalīna farmakokinētika, lietojot to pa 150 mg ar 12 stundu starplaiku (300 mg dienas deva), tika vērtēta 10 sievietēm </w:t>
      </w:r>
      <w:r w:rsidR="00686CD0">
        <w:rPr>
          <w:szCs w:val="24"/>
          <w:lang w:val="lv-LV"/>
        </w:rPr>
        <w:t>krūt</w:t>
      </w:r>
      <w:r w:rsidR="00686CD0" w:rsidRPr="00D16F94">
        <w:rPr>
          <w:szCs w:val="24"/>
          <w:lang w:val="lv-LV"/>
        </w:rPr>
        <w:t xml:space="preserve">s </w:t>
      </w:r>
      <w:r w:rsidR="00686CD0">
        <w:rPr>
          <w:szCs w:val="24"/>
          <w:lang w:val="lv-LV"/>
        </w:rPr>
        <w:t xml:space="preserve">barošanas </w:t>
      </w:r>
      <w:r w:rsidRPr="00D16F94">
        <w:rPr>
          <w:szCs w:val="24"/>
          <w:lang w:val="lv-LV"/>
        </w:rPr>
        <w:t>periodā vismaz 12 nedēļas pēc dzemdībām. Laktācijai bija neliela</w:t>
      </w:r>
      <w:r w:rsidR="00800FED">
        <w:rPr>
          <w:szCs w:val="24"/>
          <w:lang w:val="lv-LV"/>
        </w:rPr>
        <w:t xml:space="preserve"> ietekme</w:t>
      </w:r>
      <w:r w:rsidRPr="00D16F94">
        <w:rPr>
          <w:szCs w:val="24"/>
          <w:lang w:val="lv-LV"/>
        </w:rPr>
        <w:t xml:space="preserve"> </w:t>
      </w:r>
      <w:r w:rsidR="00800FED" w:rsidRPr="00D16F94">
        <w:rPr>
          <w:szCs w:val="24"/>
          <w:lang w:val="lv-LV"/>
        </w:rPr>
        <w:t xml:space="preserve">uz pregabalīna farmakokinētiku </w:t>
      </w:r>
      <w:r w:rsidRPr="00D16F94">
        <w:rPr>
          <w:szCs w:val="24"/>
          <w:lang w:val="lv-LV"/>
        </w:rPr>
        <w:t xml:space="preserve">vai </w:t>
      </w:r>
      <w:r w:rsidR="00800FED">
        <w:rPr>
          <w:szCs w:val="24"/>
          <w:lang w:val="lv-LV"/>
        </w:rPr>
        <w:t xml:space="preserve">tās nebija </w:t>
      </w:r>
      <w:r w:rsidRPr="00D16F94">
        <w:rPr>
          <w:szCs w:val="24"/>
          <w:lang w:val="lv-LV"/>
        </w:rPr>
        <w:t xml:space="preserve">vispār. Pregabalīns tika izvadīts mātes pienā, un līdzsvara </w:t>
      </w:r>
      <w:r w:rsidR="00DD716C">
        <w:rPr>
          <w:szCs w:val="24"/>
          <w:lang w:val="lv-LV"/>
        </w:rPr>
        <w:t xml:space="preserve">koncentrācijas </w:t>
      </w:r>
      <w:r w:rsidRPr="00D16F94">
        <w:rPr>
          <w:szCs w:val="24"/>
          <w:lang w:val="lv-LV"/>
        </w:rPr>
        <w:t>fāzē vidējā koncentrācija pienā bija aptuveni 76% no zāļ</w:t>
      </w:r>
      <w:r w:rsidR="00681C9D">
        <w:rPr>
          <w:szCs w:val="24"/>
          <w:lang w:val="lv-LV"/>
        </w:rPr>
        <w:t>u</w:t>
      </w:r>
      <w:r w:rsidRPr="00D16F94">
        <w:rPr>
          <w:szCs w:val="24"/>
          <w:lang w:val="lv-LV"/>
        </w:rPr>
        <w:t xml:space="preserve"> koncentrācijas mātes plazmā. Aprēķinātā deva, ko zīdainis ar pienu (pieņemot, ka vidējais piena patēriņš ir 150 ml/kg/dienā) saņemtu no mātes, kas lieto 300 mg pregabalīna dienā vai maksimālo devu 600 mg pregabalīna dienā, būtu attiecīgi 0,31 vai 0,62 mg/kg dienā. Šīs aprēķinātās devas mg/kg izteiksmē ir aptuveni 7% no kopējās devas mātei.</w:t>
      </w:r>
    </w:p>
    <w:p w14:paraId="64D29F71" w14:textId="77777777" w:rsidR="00965657" w:rsidRPr="00D16F94" w:rsidRDefault="00965657">
      <w:pPr>
        <w:spacing w:line="240" w:lineRule="auto"/>
        <w:rPr>
          <w:b/>
          <w:szCs w:val="24"/>
          <w:lang w:val="lv-LV"/>
        </w:rPr>
      </w:pPr>
    </w:p>
    <w:p w14:paraId="7F3B8D16" w14:textId="77777777" w:rsidR="00965657" w:rsidRPr="00D16F94" w:rsidRDefault="00965657">
      <w:pPr>
        <w:spacing w:line="240" w:lineRule="auto"/>
        <w:ind w:left="565" w:hanging="565"/>
        <w:rPr>
          <w:szCs w:val="24"/>
          <w:lang w:val="lv-LV"/>
        </w:rPr>
      </w:pPr>
      <w:r w:rsidRPr="00D16F94">
        <w:rPr>
          <w:b/>
          <w:szCs w:val="24"/>
          <w:lang w:val="lv-LV"/>
        </w:rPr>
        <w:t>5.3</w:t>
      </w:r>
      <w:r w:rsidR="007E61D1">
        <w:rPr>
          <w:b/>
          <w:szCs w:val="24"/>
          <w:lang w:val="lv-LV"/>
        </w:rPr>
        <w:t>.</w:t>
      </w:r>
      <w:r w:rsidRPr="00D16F94">
        <w:rPr>
          <w:b/>
          <w:szCs w:val="24"/>
          <w:lang w:val="lv-LV"/>
        </w:rPr>
        <w:tab/>
        <w:t>Preklīniskie dati par drošumu</w:t>
      </w:r>
    </w:p>
    <w:p w14:paraId="2AA0796F" w14:textId="77777777" w:rsidR="00965657" w:rsidRPr="00D16F94" w:rsidRDefault="00965657">
      <w:pPr>
        <w:spacing w:line="240" w:lineRule="auto"/>
        <w:rPr>
          <w:szCs w:val="24"/>
          <w:lang w:val="lv-LV"/>
        </w:rPr>
      </w:pPr>
    </w:p>
    <w:p w14:paraId="695F554A" w14:textId="77777777" w:rsidR="00965657" w:rsidRPr="00D16F94" w:rsidRDefault="00965657">
      <w:pPr>
        <w:tabs>
          <w:tab w:val="clear" w:pos="565"/>
        </w:tabs>
        <w:autoSpaceDE w:val="0"/>
        <w:autoSpaceDN w:val="0"/>
        <w:adjustRightInd w:val="0"/>
        <w:spacing w:line="240" w:lineRule="auto"/>
        <w:rPr>
          <w:szCs w:val="24"/>
          <w:lang w:val="lv-LV"/>
        </w:rPr>
      </w:pPr>
      <w:r w:rsidRPr="00D16F94">
        <w:rPr>
          <w:szCs w:val="24"/>
          <w:lang w:val="lv-LV"/>
        </w:rPr>
        <w:t>Drošuma farmakoloģijas standartpētījumos ar dzīvniekiem klīniski nozīmīgās devās pregabalīns tika panests labi. Atkārtotu devu toksicitātes pētījumos žurkām un pērtiķiem novērota ietekme uz CNS, arī hipoaktivitāte, hiperaktivitāte un ataksija. Lielāka tīklenes atrofijas sastopamība, galvenokārt vecām albīnām žurkām, tika novērota pēc ilgstošas pregabalīna iedarbības, kas ≥5 reizes pārsniedza vidējo kopējo iedarbību cilvēk</w:t>
      </w:r>
      <w:r w:rsidR="007E61D1">
        <w:rPr>
          <w:szCs w:val="24"/>
          <w:lang w:val="lv-LV"/>
        </w:rPr>
        <w:t>am</w:t>
      </w:r>
      <w:r w:rsidRPr="00D16F94">
        <w:rPr>
          <w:szCs w:val="24"/>
          <w:lang w:val="lv-LV"/>
        </w:rPr>
        <w:t>, lietojot maksimālo ieteikto devu.</w:t>
      </w:r>
    </w:p>
    <w:p w14:paraId="0957DA0B" w14:textId="77777777" w:rsidR="00965657" w:rsidRPr="00D16F94" w:rsidRDefault="00965657">
      <w:pPr>
        <w:tabs>
          <w:tab w:val="clear" w:pos="565"/>
        </w:tabs>
        <w:autoSpaceDE w:val="0"/>
        <w:autoSpaceDN w:val="0"/>
        <w:adjustRightInd w:val="0"/>
        <w:spacing w:line="240" w:lineRule="auto"/>
        <w:rPr>
          <w:szCs w:val="24"/>
          <w:lang w:val="lv-LV"/>
        </w:rPr>
      </w:pPr>
    </w:p>
    <w:p w14:paraId="0A548987" w14:textId="77777777" w:rsidR="00965657" w:rsidRPr="00D16F94" w:rsidRDefault="00965657">
      <w:pPr>
        <w:tabs>
          <w:tab w:val="clear" w:pos="565"/>
        </w:tabs>
        <w:autoSpaceDE w:val="0"/>
        <w:autoSpaceDN w:val="0"/>
        <w:adjustRightInd w:val="0"/>
        <w:spacing w:line="240" w:lineRule="auto"/>
        <w:rPr>
          <w:szCs w:val="24"/>
          <w:lang w:val="lv-LV"/>
        </w:rPr>
      </w:pPr>
      <w:r w:rsidRPr="00D16F94">
        <w:rPr>
          <w:szCs w:val="24"/>
          <w:lang w:val="lv-LV"/>
        </w:rPr>
        <w:t xml:space="preserve">Pregabalīns pelēm, žurkām un trušiem nebija teratogēns. </w:t>
      </w:r>
      <w:r w:rsidR="002962E4">
        <w:rPr>
          <w:szCs w:val="24"/>
          <w:lang w:val="lv-LV"/>
        </w:rPr>
        <w:t>Fetot</w:t>
      </w:r>
      <w:r w:rsidRPr="00D16F94">
        <w:rPr>
          <w:szCs w:val="24"/>
          <w:lang w:val="lv-LV"/>
        </w:rPr>
        <w:t>oksisku ietekmi žurk</w:t>
      </w:r>
      <w:r w:rsidR="002962E4">
        <w:rPr>
          <w:szCs w:val="24"/>
          <w:lang w:val="lv-LV"/>
        </w:rPr>
        <w:t>ām</w:t>
      </w:r>
      <w:r w:rsidRPr="00D16F94">
        <w:rPr>
          <w:szCs w:val="24"/>
          <w:lang w:val="lv-LV"/>
        </w:rPr>
        <w:t xml:space="preserve"> un truš</w:t>
      </w:r>
      <w:r w:rsidR="002962E4">
        <w:rPr>
          <w:szCs w:val="24"/>
          <w:lang w:val="lv-LV"/>
        </w:rPr>
        <w:t>iem</w:t>
      </w:r>
      <w:r w:rsidRPr="00D16F94">
        <w:rPr>
          <w:szCs w:val="24"/>
          <w:lang w:val="lv-LV"/>
        </w:rPr>
        <w:t xml:space="preserve"> konstatēja tikai tad, ja zāļu kopējā iedarbība dzīvniekiem būtiski pārsniedza kopējo iedarbību cilvēkam. Prenatālās un postnatālās toksicitātes pētījumos ar žurkām pregabalīns izraisīja attīstības traucējumus tad, ja kopējā iedarbība &gt;2 reizes pārsniedza</w:t>
      </w:r>
      <w:r w:rsidR="007E61D1">
        <w:rPr>
          <w:szCs w:val="24"/>
          <w:lang w:val="lv-LV"/>
        </w:rPr>
        <w:t xml:space="preserve"> maksimālo ieteicamo iedarbību cilvēkam</w:t>
      </w:r>
      <w:r w:rsidRPr="00D16F94">
        <w:rPr>
          <w:szCs w:val="24"/>
          <w:lang w:val="lv-LV"/>
        </w:rPr>
        <w:t>.</w:t>
      </w:r>
    </w:p>
    <w:p w14:paraId="682CB5FD" w14:textId="77777777" w:rsidR="00965657" w:rsidRPr="00D16F94" w:rsidRDefault="00965657">
      <w:pPr>
        <w:tabs>
          <w:tab w:val="clear" w:pos="565"/>
        </w:tabs>
        <w:autoSpaceDE w:val="0"/>
        <w:autoSpaceDN w:val="0"/>
        <w:adjustRightInd w:val="0"/>
        <w:spacing w:line="240" w:lineRule="auto"/>
        <w:rPr>
          <w:szCs w:val="24"/>
          <w:lang w:val="lv-LV"/>
        </w:rPr>
      </w:pPr>
    </w:p>
    <w:p w14:paraId="164EA2B9" w14:textId="77777777" w:rsidR="00965657" w:rsidRPr="00D16F94" w:rsidRDefault="00965657">
      <w:pPr>
        <w:tabs>
          <w:tab w:val="clear" w:pos="565"/>
        </w:tabs>
        <w:autoSpaceDE w:val="0"/>
        <w:autoSpaceDN w:val="0"/>
        <w:adjustRightInd w:val="0"/>
        <w:spacing w:line="240" w:lineRule="auto"/>
        <w:rPr>
          <w:szCs w:val="24"/>
          <w:lang w:val="lv-LV"/>
        </w:rPr>
      </w:pPr>
      <w:r w:rsidRPr="00D16F94">
        <w:rPr>
          <w:szCs w:val="24"/>
          <w:lang w:val="lv-LV"/>
        </w:rPr>
        <w:t>Nevēlama iedarbība uz žurku tēviņu un mātīšu fertilitāti tika novērota, ja kopējā iedarbība pietiekami pārsniedza terapeitisko iedarbību. Negatīva iedarbība uz vīrišķajiem dzimumorgāniem un spermas rādītājiem bija atgriezeniska un radās tikai tad, ja kopējā iedarbība pietiekami pārsniedza terapeitisko iedarbību, vai bija saistīta ar spontāniem deģeneratīviem procesiem žurku tēviņu dzimumorgānos</w:t>
      </w:r>
      <w:r w:rsidR="00274811">
        <w:rPr>
          <w:szCs w:val="24"/>
          <w:lang w:val="lv-LV"/>
        </w:rPr>
        <w:t>.</w:t>
      </w:r>
      <w:r w:rsidRPr="00D16F94">
        <w:rPr>
          <w:szCs w:val="24"/>
          <w:lang w:val="lv-LV"/>
        </w:rPr>
        <w:t xml:space="preserve"> Tādēļ šī iedarbība tika atzīta par klīniski maznozīmīgu vai nenozīmīgu.</w:t>
      </w:r>
    </w:p>
    <w:p w14:paraId="61C557B1" w14:textId="77777777" w:rsidR="00965657" w:rsidRPr="00D16F94" w:rsidRDefault="00965657">
      <w:pPr>
        <w:tabs>
          <w:tab w:val="clear" w:pos="565"/>
        </w:tabs>
        <w:autoSpaceDE w:val="0"/>
        <w:autoSpaceDN w:val="0"/>
        <w:adjustRightInd w:val="0"/>
        <w:spacing w:line="240" w:lineRule="auto"/>
        <w:rPr>
          <w:szCs w:val="24"/>
          <w:lang w:val="lv-LV"/>
        </w:rPr>
      </w:pPr>
    </w:p>
    <w:p w14:paraId="6AC1FBE3" w14:textId="77777777" w:rsidR="00965657" w:rsidRPr="00D16F94" w:rsidRDefault="00965657">
      <w:pPr>
        <w:tabs>
          <w:tab w:val="clear" w:pos="565"/>
        </w:tabs>
        <w:autoSpaceDE w:val="0"/>
        <w:autoSpaceDN w:val="0"/>
        <w:adjustRightInd w:val="0"/>
        <w:spacing w:line="240" w:lineRule="auto"/>
        <w:rPr>
          <w:szCs w:val="24"/>
          <w:lang w:val="lv-LV"/>
        </w:rPr>
      </w:pPr>
      <w:r w:rsidRPr="00D16F94">
        <w:rPr>
          <w:szCs w:val="24"/>
          <w:lang w:val="lv-LV"/>
        </w:rPr>
        <w:t xml:space="preserve">Pēc </w:t>
      </w:r>
      <w:r w:rsidRPr="00D16F94">
        <w:rPr>
          <w:i/>
          <w:szCs w:val="24"/>
          <w:lang w:val="lv-LV"/>
        </w:rPr>
        <w:t xml:space="preserve">in vitro </w:t>
      </w:r>
      <w:r w:rsidRPr="00D16F94">
        <w:rPr>
          <w:szCs w:val="24"/>
          <w:lang w:val="lv-LV"/>
        </w:rPr>
        <w:t xml:space="preserve">un </w:t>
      </w:r>
      <w:r w:rsidRPr="00D16F94">
        <w:rPr>
          <w:i/>
          <w:szCs w:val="24"/>
          <w:lang w:val="lv-LV"/>
        </w:rPr>
        <w:t xml:space="preserve">in vivo </w:t>
      </w:r>
      <w:r w:rsidRPr="00D16F94">
        <w:rPr>
          <w:szCs w:val="24"/>
          <w:lang w:val="lv-LV"/>
        </w:rPr>
        <w:t>veiktu testu sērijas datiem, pregabalīns nav genotoksisks.</w:t>
      </w:r>
    </w:p>
    <w:p w14:paraId="2EE92475" w14:textId="77777777" w:rsidR="00965657" w:rsidRPr="00D16F94" w:rsidRDefault="00965657">
      <w:pPr>
        <w:tabs>
          <w:tab w:val="clear" w:pos="565"/>
        </w:tabs>
        <w:autoSpaceDE w:val="0"/>
        <w:autoSpaceDN w:val="0"/>
        <w:adjustRightInd w:val="0"/>
        <w:spacing w:line="240" w:lineRule="auto"/>
        <w:rPr>
          <w:szCs w:val="24"/>
          <w:lang w:val="lv-LV"/>
        </w:rPr>
      </w:pPr>
    </w:p>
    <w:p w14:paraId="4128730C" w14:textId="77777777" w:rsidR="00965657" w:rsidRPr="00D16F94" w:rsidRDefault="00965657">
      <w:pPr>
        <w:tabs>
          <w:tab w:val="clear" w:pos="565"/>
        </w:tabs>
        <w:autoSpaceDE w:val="0"/>
        <w:autoSpaceDN w:val="0"/>
        <w:adjustRightInd w:val="0"/>
        <w:spacing w:line="240" w:lineRule="auto"/>
        <w:rPr>
          <w:szCs w:val="24"/>
          <w:lang w:val="lv-LV"/>
        </w:rPr>
      </w:pPr>
      <w:r w:rsidRPr="00D16F94">
        <w:rPr>
          <w:szCs w:val="24"/>
          <w:lang w:val="lv-LV"/>
        </w:rPr>
        <w:t>Pregabalīna iespējamā kancerogenitāte pārbaudīta divus gadus ilgos pētījumos ar žurkām un pelēm. Žurkām, sasniedzot kopējo iedarbību, kas līdz 24 reizēm pārsniedza vidējo kopējo iedarbību cilvēkam pēc maksimālās klīniskās devas 600 mg/dienā lietošanas, audzēju veidošanās netika novērota. Pelēm sasniedzot kopējo iedarbību, kas atbilda vidējai kopīgai iedarbībai cilvēkam, audzēju sastopamība nepalielinājās, taču pie lielākas kopējās iedarbības palielinājās hemangiosarkomas sastopamība. Pregabalīna inducētās audzēju veidošanās mehānisms pelēm nav saistīts ar zāļu genotoksisku ietekmi, bet tā pamatā ir pārmaiņas trombocītos un ar tām saistītā endoteliālo šūnu proliferācija. Šādas trombocītu pārmaiņas nav novērotas ne žurkām, ne cilvēkiem pēc īslaicīgiem un ierobežota apjoma ilgstošiem klīniskiem datiem. Pierādījumu, kas liecinātu par attiecīgu risku cilvēkam, nav.</w:t>
      </w:r>
    </w:p>
    <w:p w14:paraId="47D26555" w14:textId="77777777" w:rsidR="00965657" w:rsidRPr="00D16F94" w:rsidRDefault="00965657">
      <w:pPr>
        <w:tabs>
          <w:tab w:val="clear" w:pos="565"/>
        </w:tabs>
        <w:autoSpaceDE w:val="0"/>
        <w:autoSpaceDN w:val="0"/>
        <w:adjustRightInd w:val="0"/>
        <w:spacing w:line="240" w:lineRule="auto"/>
        <w:rPr>
          <w:szCs w:val="24"/>
          <w:lang w:val="lv-LV"/>
        </w:rPr>
      </w:pPr>
    </w:p>
    <w:p w14:paraId="6D863CC7" w14:textId="77777777" w:rsidR="00965657" w:rsidRPr="00D16F94" w:rsidRDefault="00965657">
      <w:pPr>
        <w:tabs>
          <w:tab w:val="clear" w:pos="565"/>
        </w:tabs>
        <w:autoSpaceDE w:val="0"/>
        <w:autoSpaceDN w:val="0"/>
        <w:adjustRightInd w:val="0"/>
        <w:spacing w:line="240" w:lineRule="auto"/>
        <w:rPr>
          <w:szCs w:val="24"/>
          <w:lang w:val="lv-LV"/>
        </w:rPr>
      </w:pPr>
      <w:r w:rsidRPr="00D16F94">
        <w:rPr>
          <w:szCs w:val="24"/>
          <w:lang w:val="lv-LV"/>
        </w:rPr>
        <w:t>Toksicitātes veidi jaunām žurkām kvalitatīvi neatšķīrās no toksicitātes, kāda novērota pieaugušām žurkām,</w:t>
      </w:r>
      <w:r w:rsidR="00D77CCF" w:rsidRPr="00D16F94">
        <w:rPr>
          <w:szCs w:val="24"/>
          <w:lang w:val="lv-LV"/>
        </w:rPr>
        <w:t xml:space="preserve"> </w:t>
      </w:r>
      <w:r w:rsidRPr="00D16F94">
        <w:rPr>
          <w:szCs w:val="24"/>
          <w:lang w:val="lv-LV"/>
        </w:rPr>
        <w:t>taču jaunās žurkas bija jutīgākas. Terapeitiskas iedarbības gadījumā novērotas tādas CNS klīniskās reakcijas, kā hiperaktivitāte un zobu griešana, kā arī ietekme uz augšanu (pārejoša ķermeņa masas palielināšanās kavēšana). Ietekme uz riesta ciklu novērota pie kopējās iedarbības, kas 5 reizes pārsniedza kopējo terapeitisko iedarbību cilvēkam.</w:t>
      </w:r>
    </w:p>
    <w:p w14:paraId="51D68265" w14:textId="77777777" w:rsidR="00965657" w:rsidRPr="00D16F94" w:rsidRDefault="00965657">
      <w:pPr>
        <w:tabs>
          <w:tab w:val="clear" w:pos="565"/>
        </w:tabs>
        <w:autoSpaceDE w:val="0"/>
        <w:autoSpaceDN w:val="0"/>
        <w:adjustRightInd w:val="0"/>
        <w:spacing w:line="240" w:lineRule="auto"/>
        <w:rPr>
          <w:b/>
          <w:szCs w:val="24"/>
          <w:lang w:val="lv-LV"/>
        </w:rPr>
      </w:pPr>
      <w:r w:rsidRPr="00D16F94">
        <w:rPr>
          <w:szCs w:val="24"/>
          <w:lang w:val="lv-LV"/>
        </w:rPr>
        <w:t>Samazināta akustiskā izbīļa reakcija no</w:t>
      </w:r>
      <w:r w:rsidR="00D77CCF" w:rsidRPr="00D16F94">
        <w:rPr>
          <w:szCs w:val="24"/>
          <w:lang w:val="lv-LV"/>
        </w:rPr>
        <w:t>vērota jaunām, augošām žurkām 1-</w:t>
      </w:r>
      <w:r w:rsidRPr="00D16F94">
        <w:rPr>
          <w:szCs w:val="24"/>
          <w:lang w:val="lv-LV"/>
        </w:rPr>
        <w:t>2 nedēļas pēc pakļaušanas zāļu ietekmei, kas pārsniedza terapeitisku iedarbību cilvēkam &gt;2 reizes. Deviņas nedēļas pēc iedarbības šis efekts vairs netika novērots.</w:t>
      </w:r>
    </w:p>
    <w:p w14:paraId="2D55504F" w14:textId="77777777" w:rsidR="00965657" w:rsidRPr="00D16F94" w:rsidRDefault="00965657" w:rsidP="00274811">
      <w:pPr>
        <w:keepNext/>
        <w:spacing w:line="240" w:lineRule="auto"/>
        <w:rPr>
          <w:b/>
          <w:szCs w:val="24"/>
          <w:lang w:val="lv-LV"/>
        </w:rPr>
      </w:pPr>
    </w:p>
    <w:p w14:paraId="3CF6A497" w14:textId="77777777" w:rsidR="00965657" w:rsidRPr="00D16F94" w:rsidRDefault="00965657" w:rsidP="00274811">
      <w:pPr>
        <w:keepNext/>
        <w:spacing w:line="240" w:lineRule="auto"/>
        <w:rPr>
          <w:b/>
          <w:szCs w:val="24"/>
          <w:lang w:val="lv-LV"/>
        </w:rPr>
      </w:pPr>
    </w:p>
    <w:p w14:paraId="5D15100B" w14:textId="77777777" w:rsidR="00965657" w:rsidRPr="00D16F94" w:rsidRDefault="00965657" w:rsidP="00274811">
      <w:pPr>
        <w:keepNext/>
        <w:spacing w:line="240" w:lineRule="auto"/>
        <w:ind w:left="565" w:hanging="565"/>
        <w:rPr>
          <w:b/>
          <w:szCs w:val="24"/>
          <w:lang w:val="lv-LV"/>
        </w:rPr>
      </w:pPr>
      <w:r w:rsidRPr="00D16F94">
        <w:rPr>
          <w:b/>
          <w:szCs w:val="24"/>
          <w:lang w:val="lv-LV"/>
        </w:rPr>
        <w:t>6.</w:t>
      </w:r>
      <w:r w:rsidRPr="00D16F94">
        <w:rPr>
          <w:b/>
          <w:szCs w:val="24"/>
          <w:lang w:val="lv-LV"/>
        </w:rPr>
        <w:tab/>
        <w:t>FARMACEITISKĀ INFORMĀCIJA</w:t>
      </w:r>
    </w:p>
    <w:p w14:paraId="0C155203" w14:textId="77777777" w:rsidR="00965657" w:rsidRPr="00D16F94" w:rsidRDefault="00965657" w:rsidP="00274811">
      <w:pPr>
        <w:keepNext/>
        <w:spacing w:line="240" w:lineRule="auto"/>
        <w:rPr>
          <w:b/>
          <w:szCs w:val="24"/>
          <w:lang w:val="lv-LV"/>
        </w:rPr>
      </w:pPr>
    </w:p>
    <w:p w14:paraId="28F7F2AA" w14:textId="77777777" w:rsidR="00965657" w:rsidRPr="00D16F94" w:rsidRDefault="00965657" w:rsidP="00274811">
      <w:pPr>
        <w:keepNext/>
        <w:spacing w:line="240" w:lineRule="auto"/>
        <w:ind w:left="565" w:hanging="565"/>
        <w:rPr>
          <w:b/>
          <w:szCs w:val="24"/>
          <w:lang w:val="lv-LV"/>
        </w:rPr>
      </w:pPr>
      <w:r w:rsidRPr="00D16F94">
        <w:rPr>
          <w:b/>
          <w:szCs w:val="24"/>
          <w:lang w:val="lv-LV"/>
        </w:rPr>
        <w:t>6.1</w:t>
      </w:r>
      <w:r w:rsidR="007E61D1">
        <w:rPr>
          <w:b/>
          <w:szCs w:val="24"/>
          <w:lang w:val="lv-LV"/>
        </w:rPr>
        <w:t>.</w:t>
      </w:r>
      <w:r w:rsidRPr="00D16F94">
        <w:rPr>
          <w:b/>
          <w:szCs w:val="24"/>
          <w:lang w:val="lv-LV"/>
        </w:rPr>
        <w:tab/>
        <w:t>Palīgvielu saraksts</w:t>
      </w:r>
    </w:p>
    <w:p w14:paraId="4B2538BA" w14:textId="77777777" w:rsidR="00965657" w:rsidRPr="00D16F94" w:rsidRDefault="00965657" w:rsidP="00274811">
      <w:pPr>
        <w:keepNext/>
        <w:spacing w:line="240" w:lineRule="auto"/>
        <w:rPr>
          <w:szCs w:val="24"/>
          <w:lang w:val="lv-LV"/>
        </w:rPr>
      </w:pPr>
    </w:p>
    <w:p w14:paraId="6DFE10A8" w14:textId="77777777" w:rsidR="00965657" w:rsidRPr="00D16F94" w:rsidRDefault="00965657" w:rsidP="00274811">
      <w:pPr>
        <w:keepNext/>
        <w:widowControl w:val="0"/>
        <w:spacing w:line="240" w:lineRule="auto"/>
        <w:rPr>
          <w:noProof/>
          <w:szCs w:val="24"/>
          <w:u w:val="single"/>
          <w:lang w:val="lv-LV"/>
        </w:rPr>
      </w:pPr>
      <w:r w:rsidRPr="00D16F94">
        <w:rPr>
          <w:szCs w:val="24"/>
          <w:u w:val="single" w:color="000000"/>
          <w:lang w:val="lv-LV"/>
        </w:rPr>
        <w:t>Kapsulas saturs:</w:t>
      </w:r>
    </w:p>
    <w:p w14:paraId="46D1FC1C" w14:textId="77777777" w:rsidR="00965657" w:rsidRPr="00D16F94" w:rsidRDefault="007E61D1">
      <w:pPr>
        <w:widowControl w:val="0"/>
        <w:spacing w:line="240" w:lineRule="auto"/>
        <w:rPr>
          <w:noProof/>
          <w:szCs w:val="24"/>
          <w:lang w:val="lv-LV"/>
        </w:rPr>
      </w:pPr>
      <w:r>
        <w:rPr>
          <w:szCs w:val="24"/>
          <w:lang w:val="lv-LV"/>
        </w:rPr>
        <w:t>Laktozes monohidrāts</w:t>
      </w:r>
    </w:p>
    <w:p w14:paraId="00C19A6A" w14:textId="77777777" w:rsidR="00965657" w:rsidRPr="00D16F94" w:rsidRDefault="007E61D1">
      <w:pPr>
        <w:widowControl w:val="0"/>
        <w:spacing w:line="240" w:lineRule="auto"/>
        <w:rPr>
          <w:noProof/>
          <w:szCs w:val="24"/>
          <w:lang w:val="lv-LV"/>
        </w:rPr>
      </w:pPr>
      <w:r>
        <w:rPr>
          <w:szCs w:val="24"/>
          <w:lang w:val="lv-LV"/>
        </w:rPr>
        <w:t>K</w:t>
      </w:r>
      <w:r w:rsidR="00965657" w:rsidRPr="00D16F94">
        <w:rPr>
          <w:szCs w:val="24"/>
          <w:lang w:val="lv-LV"/>
        </w:rPr>
        <w:t>ukurū</w:t>
      </w:r>
      <w:r>
        <w:rPr>
          <w:szCs w:val="24"/>
          <w:lang w:val="lv-LV"/>
        </w:rPr>
        <w:t>zas ciete</w:t>
      </w:r>
    </w:p>
    <w:p w14:paraId="1E4D78A0" w14:textId="77777777" w:rsidR="00965657" w:rsidRPr="00D16F94" w:rsidRDefault="007E61D1">
      <w:pPr>
        <w:widowControl w:val="0"/>
        <w:spacing w:line="240" w:lineRule="auto"/>
        <w:rPr>
          <w:noProof/>
          <w:szCs w:val="24"/>
          <w:lang w:val="lv-LV"/>
        </w:rPr>
      </w:pPr>
      <w:r>
        <w:rPr>
          <w:szCs w:val="24"/>
          <w:lang w:val="lv-LV"/>
        </w:rPr>
        <w:t>Talks</w:t>
      </w:r>
    </w:p>
    <w:p w14:paraId="1D195ABC" w14:textId="77777777" w:rsidR="00965657" w:rsidRPr="00D16F94" w:rsidRDefault="00965657">
      <w:pPr>
        <w:widowControl w:val="0"/>
        <w:spacing w:line="240" w:lineRule="auto"/>
        <w:rPr>
          <w:noProof/>
          <w:szCs w:val="24"/>
          <w:lang w:val="lv-LV"/>
        </w:rPr>
      </w:pPr>
    </w:p>
    <w:p w14:paraId="70BA9DA5" w14:textId="77777777" w:rsidR="00965657" w:rsidRPr="00274811" w:rsidRDefault="00965657">
      <w:pPr>
        <w:spacing w:line="240" w:lineRule="auto"/>
        <w:rPr>
          <w:szCs w:val="24"/>
          <w:u w:val="single"/>
          <w:lang w:val="lv-LV"/>
        </w:rPr>
      </w:pPr>
      <w:r w:rsidRPr="00D16F94">
        <w:rPr>
          <w:szCs w:val="24"/>
          <w:u w:val="single"/>
          <w:lang w:val="lv-LV"/>
        </w:rPr>
        <w:t>Kapsula</w:t>
      </w:r>
      <w:r w:rsidR="00E02865">
        <w:rPr>
          <w:szCs w:val="24"/>
          <w:u w:val="single"/>
          <w:lang w:val="lv-LV"/>
        </w:rPr>
        <w:t>s apvalks</w:t>
      </w:r>
      <w:r w:rsidRPr="00D16F94">
        <w:rPr>
          <w:szCs w:val="24"/>
          <w:u w:val="single"/>
          <w:lang w:val="lv-LV"/>
        </w:rPr>
        <w:t>:</w:t>
      </w:r>
    </w:p>
    <w:p w14:paraId="423EC61B" w14:textId="77777777" w:rsidR="00965657" w:rsidRPr="00D16F94" w:rsidRDefault="00965657">
      <w:pPr>
        <w:spacing w:line="240" w:lineRule="auto"/>
        <w:rPr>
          <w:i/>
          <w:szCs w:val="24"/>
          <w:lang w:val="lv-LV"/>
        </w:rPr>
      </w:pPr>
      <w:r w:rsidRPr="00D16F94">
        <w:rPr>
          <w:i/>
          <w:szCs w:val="24"/>
          <w:lang w:val="lv-LV"/>
        </w:rPr>
        <w:t>Linefor 75 mg:</w:t>
      </w:r>
    </w:p>
    <w:p w14:paraId="7D42BF1D" w14:textId="77777777" w:rsidR="00965657" w:rsidRPr="00D16F94" w:rsidRDefault="00965657">
      <w:pPr>
        <w:spacing w:line="240" w:lineRule="auto"/>
        <w:ind w:right="10"/>
        <w:rPr>
          <w:szCs w:val="24"/>
          <w:lang w:val="lv-LV"/>
        </w:rPr>
      </w:pPr>
      <w:r w:rsidRPr="00D16F94">
        <w:rPr>
          <w:szCs w:val="24"/>
          <w:lang w:val="lv-LV"/>
        </w:rPr>
        <w:t>Titāna dioksīds (E171)</w:t>
      </w:r>
    </w:p>
    <w:p w14:paraId="04AABC6A" w14:textId="77777777" w:rsidR="00965657" w:rsidRPr="00D16F94" w:rsidRDefault="00965657">
      <w:pPr>
        <w:spacing w:line="240" w:lineRule="auto"/>
        <w:rPr>
          <w:szCs w:val="24"/>
          <w:lang w:val="lv-LV"/>
        </w:rPr>
      </w:pPr>
      <w:r w:rsidRPr="00D16F94">
        <w:rPr>
          <w:szCs w:val="24"/>
          <w:lang w:val="lv-LV"/>
        </w:rPr>
        <w:t>Sarkanais dzelzs oksīds (E172)</w:t>
      </w:r>
    </w:p>
    <w:p w14:paraId="250AF22C" w14:textId="77777777" w:rsidR="00965657" w:rsidRPr="00D16F94" w:rsidRDefault="00965657">
      <w:pPr>
        <w:spacing w:line="240" w:lineRule="auto"/>
        <w:rPr>
          <w:szCs w:val="24"/>
          <w:lang w:val="lv-LV"/>
        </w:rPr>
      </w:pPr>
      <w:r w:rsidRPr="00D16F94">
        <w:rPr>
          <w:szCs w:val="24"/>
          <w:lang w:val="lv-LV"/>
        </w:rPr>
        <w:t>Dzeltenais dzelzs oksīds (E172)</w:t>
      </w:r>
    </w:p>
    <w:p w14:paraId="2FF93649" w14:textId="77777777" w:rsidR="00965657" w:rsidRDefault="00965657">
      <w:pPr>
        <w:spacing w:line="240" w:lineRule="auto"/>
        <w:rPr>
          <w:szCs w:val="24"/>
          <w:lang w:val="lv-LV"/>
        </w:rPr>
      </w:pPr>
      <w:r w:rsidRPr="00D16F94">
        <w:rPr>
          <w:szCs w:val="24"/>
          <w:lang w:val="lv-LV"/>
        </w:rPr>
        <w:t>Želatīns</w:t>
      </w:r>
    </w:p>
    <w:p w14:paraId="06A4601F" w14:textId="77777777" w:rsidR="00274811" w:rsidRDefault="00274811">
      <w:pPr>
        <w:spacing w:line="240" w:lineRule="auto"/>
        <w:rPr>
          <w:szCs w:val="24"/>
          <w:lang w:val="lv-LV"/>
        </w:rPr>
      </w:pPr>
    </w:p>
    <w:p w14:paraId="6B083151" w14:textId="77777777" w:rsidR="00274811" w:rsidRPr="00274811" w:rsidRDefault="00274811" w:rsidP="00274811">
      <w:pPr>
        <w:spacing w:line="240" w:lineRule="auto"/>
        <w:rPr>
          <w:i/>
          <w:szCs w:val="24"/>
          <w:lang w:val="lv-LV"/>
        </w:rPr>
      </w:pPr>
      <w:r w:rsidRPr="00274811">
        <w:rPr>
          <w:i/>
          <w:szCs w:val="24"/>
          <w:lang w:val="lv-LV"/>
        </w:rPr>
        <w:t>Linefor 150 mg:</w:t>
      </w:r>
    </w:p>
    <w:p w14:paraId="3458E923" w14:textId="77777777" w:rsidR="00274811" w:rsidRPr="00274811" w:rsidRDefault="00274811" w:rsidP="00274811">
      <w:pPr>
        <w:spacing w:line="240" w:lineRule="auto"/>
        <w:rPr>
          <w:szCs w:val="24"/>
          <w:lang w:val="lv-LV"/>
        </w:rPr>
      </w:pPr>
      <w:r w:rsidRPr="00274811">
        <w:rPr>
          <w:szCs w:val="24"/>
          <w:lang w:val="lv-LV"/>
        </w:rPr>
        <w:t>Titāna dioksīds (E171)</w:t>
      </w:r>
    </w:p>
    <w:p w14:paraId="51F4AF2B" w14:textId="77777777" w:rsidR="00274811" w:rsidRPr="00274811" w:rsidRDefault="00274811" w:rsidP="00274811">
      <w:pPr>
        <w:spacing w:line="240" w:lineRule="auto"/>
        <w:rPr>
          <w:szCs w:val="24"/>
          <w:lang w:val="lv-LV"/>
        </w:rPr>
      </w:pPr>
      <w:r w:rsidRPr="00274811">
        <w:rPr>
          <w:szCs w:val="24"/>
          <w:lang w:val="lv-LV"/>
        </w:rPr>
        <w:t>Želatīns</w:t>
      </w:r>
    </w:p>
    <w:p w14:paraId="32F0DB17" w14:textId="77777777" w:rsidR="00965657" w:rsidRPr="00D16F94" w:rsidRDefault="00965657">
      <w:pPr>
        <w:spacing w:line="240" w:lineRule="auto"/>
        <w:rPr>
          <w:szCs w:val="24"/>
          <w:lang w:val="lv-LV"/>
        </w:rPr>
      </w:pPr>
    </w:p>
    <w:p w14:paraId="5D11CC5B" w14:textId="77777777" w:rsidR="00965657" w:rsidRPr="00D16F94" w:rsidRDefault="00965657">
      <w:pPr>
        <w:spacing w:line="240" w:lineRule="auto"/>
        <w:rPr>
          <w:szCs w:val="24"/>
          <w:u w:val="single"/>
          <w:lang w:val="lv-LV"/>
        </w:rPr>
      </w:pPr>
      <w:r w:rsidRPr="00D16F94">
        <w:rPr>
          <w:szCs w:val="24"/>
          <w:u w:val="single"/>
          <w:lang w:val="lv-LV"/>
        </w:rPr>
        <w:t>Apdrukas tinte:</w:t>
      </w:r>
    </w:p>
    <w:p w14:paraId="0ED9B872" w14:textId="77777777" w:rsidR="00965657" w:rsidRPr="00D16F94" w:rsidRDefault="007E61D1">
      <w:pPr>
        <w:spacing w:line="240" w:lineRule="auto"/>
        <w:rPr>
          <w:szCs w:val="24"/>
          <w:lang w:val="lv-LV"/>
        </w:rPr>
      </w:pPr>
      <w:r>
        <w:rPr>
          <w:szCs w:val="24"/>
          <w:lang w:val="lv-LV"/>
        </w:rPr>
        <w:t>Šellakas glazūra 45% etilspirtā</w:t>
      </w:r>
    </w:p>
    <w:p w14:paraId="5185AAC8" w14:textId="77777777" w:rsidR="00965657" w:rsidRPr="00D16F94" w:rsidRDefault="00965657">
      <w:pPr>
        <w:spacing w:line="240" w:lineRule="auto"/>
        <w:rPr>
          <w:szCs w:val="24"/>
          <w:lang w:val="lv-LV"/>
        </w:rPr>
      </w:pPr>
      <w:r w:rsidRPr="00D16F94">
        <w:rPr>
          <w:szCs w:val="24"/>
          <w:lang w:val="lv-LV"/>
        </w:rPr>
        <w:t>Melnais dzelzs oksīds (E172)</w:t>
      </w:r>
    </w:p>
    <w:p w14:paraId="0FF58B6F" w14:textId="77777777" w:rsidR="00965657" w:rsidRPr="00D16F94" w:rsidRDefault="00965657">
      <w:pPr>
        <w:spacing w:line="240" w:lineRule="auto"/>
        <w:rPr>
          <w:szCs w:val="24"/>
          <w:lang w:val="lv-LV"/>
        </w:rPr>
      </w:pPr>
      <w:r w:rsidRPr="00D16F94">
        <w:rPr>
          <w:szCs w:val="24"/>
          <w:lang w:val="lv-LV"/>
        </w:rPr>
        <w:t>Propilēnglikols</w:t>
      </w:r>
    </w:p>
    <w:p w14:paraId="59F2CD75" w14:textId="77777777" w:rsidR="00965657" w:rsidRPr="00D16F94" w:rsidRDefault="00965657">
      <w:pPr>
        <w:spacing w:line="240" w:lineRule="auto"/>
        <w:rPr>
          <w:szCs w:val="24"/>
          <w:lang w:val="lv-LV"/>
        </w:rPr>
      </w:pPr>
      <w:r w:rsidRPr="00D16F94">
        <w:rPr>
          <w:szCs w:val="24"/>
          <w:lang w:val="lv-LV"/>
        </w:rPr>
        <w:t>Amonija hidroksīds</w:t>
      </w:r>
    </w:p>
    <w:p w14:paraId="52C0DAD1" w14:textId="77777777" w:rsidR="00965657" w:rsidRPr="00D16F94" w:rsidRDefault="00965657">
      <w:pPr>
        <w:spacing w:line="240" w:lineRule="auto"/>
        <w:rPr>
          <w:szCs w:val="24"/>
          <w:lang w:val="lv-LV"/>
        </w:rPr>
      </w:pPr>
    </w:p>
    <w:p w14:paraId="4B97718C" w14:textId="77777777" w:rsidR="00965657" w:rsidRPr="00D16F94" w:rsidRDefault="00965657">
      <w:pPr>
        <w:spacing w:line="240" w:lineRule="auto"/>
        <w:ind w:left="565" w:hanging="565"/>
        <w:rPr>
          <w:szCs w:val="24"/>
          <w:lang w:val="lv-LV"/>
        </w:rPr>
      </w:pPr>
      <w:r w:rsidRPr="00D16F94">
        <w:rPr>
          <w:b/>
          <w:szCs w:val="24"/>
          <w:lang w:val="lv-LV"/>
        </w:rPr>
        <w:t>6.2</w:t>
      </w:r>
      <w:r w:rsidR="007E61D1">
        <w:rPr>
          <w:b/>
          <w:szCs w:val="24"/>
          <w:lang w:val="lv-LV"/>
        </w:rPr>
        <w:t>.</w:t>
      </w:r>
      <w:r w:rsidRPr="00D16F94">
        <w:rPr>
          <w:b/>
          <w:szCs w:val="24"/>
          <w:lang w:val="lv-LV"/>
        </w:rPr>
        <w:tab/>
        <w:t>Nesaderība</w:t>
      </w:r>
    </w:p>
    <w:p w14:paraId="0BEBD7BD" w14:textId="77777777" w:rsidR="00965657" w:rsidRPr="00D16F94" w:rsidRDefault="00965657">
      <w:pPr>
        <w:spacing w:line="240" w:lineRule="auto"/>
        <w:rPr>
          <w:szCs w:val="24"/>
          <w:lang w:val="lv-LV"/>
        </w:rPr>
      </w:pPr>
    </w:p>
    <w:p w14:paraId="71C012E6" w14:textId="77777777" w:rsidR="00965657" w:rsidRPr="00D16F94" w:rsidRDefault="00965657">
      <w:pPr>
        <w:spacing w:line="240" w:lineRule="auto"/>
        <w:rPr>
          <w:szCs w:val="24"/>
          <w:lang w:val="lv-LV"/>
        </w:rPr>
      </w:pPr>
      <w:r w:rsidRPr="00D16F94">
        <w:rPr>
          <w:szCs w:val="24"/>
          <w:lang w:val="lv-LV"/>
        </w:rPr>
        <w:t>Nav piemērojama.</w:t>
      </w:r>
    </w:p>
    <w:p w14:paraId="70A1E5F5" w14:textId="77777777" w:rsidR="00965657" w:rsidRPr="00D16F94" w:rsidRDefault="00965657">
      <w:pPr>
        <w:spacing w:line="240" w:lineRule="auto"/>
        <w:rPr>
          <w:szCs w:val="24"/>
          <w:lang w:val="lv-LV"/>
        </w:rPr>
      </w:pPr>
    </w:p>
    <w:p w14:paraId="0DFFD122" w14:textId="77777777" w:rsidR="00965657" w:rsidRPr="00D16F94" w:rsidRDefault="00965657">
      <w:pPr>
        <w:spacing w:line="240" w:lineRule="auto"/>
        <w:ind w:left="565" w:hanging="565"/>
        <w:rPr>
          <w:szCs w:val="24"/>
          <w:lang w:val="lv-LV"/>
        </w:rPr>
      </w:pPr>
      <w:r w:rsidRPr="00D16F94">
        <w:rPr>
          <w:b/>
          <w:szCs w:val="24"/>
          <w:lang w:val="lv-LV"/>
        </w:rPr>
        <w:t>6.3</w:t>
      </w:r>
      <w:r w:rsidR="007E61D1">
        <w:rPr>
          <w:b/>
          <w:szCs w:val="24"/>
          <w:lang w:val="lv-LV"/>
        </w:rPr>
        <w:t>.</w:t>
      </w:r>
      <w:r w:rsidRPr="00D16F94">
        <w:rPr>
          <w:b/>
          <w:szCs w:val="24"/>
          <w:lang w:val="lv-LV"/>
        </w:rPr>
        <w:tab/>
        <w:t>Uzglabāšanas laiks</w:t>
      </w:r>
    </w:p>
    <w:p w14:paraId="2A06B2D6" w14:textId="77777777" w:rsidR="00965657" w:rsidRPr="00D16F94" w:rsidRDefault="00965657">
      <w:pPr>
        <w:spacing w:line="240" w:lineRule="auto"/>
        <w:rPr>
          <w:szCs w:val="24"/>
          <w:lang w:val="lv-LV"/>
        </w:rPr>
      </w:pPr>
    </w:p>
    <w:p w14:paraId="5E077908" w14:textId="77777777" w:rsidR="00965657" w:rsidRPr="00D16F94" w:rsidRDefault="00965657">
      <w:pPr>
        <w:spacing w:line="240" w:lineRule="auto"/>
        <w:rPr>
          <w:szCs w:val="24"/>
          <w:lang w:val="lv-LV"/>
        </w:rPr>
      </w:pPr>
      <w:r w:rsidRPr="00D16F94">
        <w:rPr>
          <w:szCs w:val="24"/>
          <w:lang w:val="lv-LV"/>
        </w:rPr>
        <w:t>3 gadi.</w:t>
      </w:r>
    </w:p>
    <w:p w14:paraId="5FBB1813" w14:textId="77777777" w:rsidR="00965657" w:rsidRPr="00D16F94" w:rsidRDefault="00965657">
      <w:pPr>
        <w:spacing w:line="240" w:lineRule="auto"/>
        <w:rPr>
          <w:b/>
          <w:szCs w:val="24"/>
          <w:lang w:val="lv-LV"/>
        </w:rPr>
      </w:pPr>
    </w:p>
    <w:p w14:paraId="27976785" w14:textId="77777777" w:rsidR="00965657" w:rsidRPr="00D16F94" w:rsidRDefault="00965657">
      <w:pPr>
        <w:spacing w:line="240" w:lineRule="auto"/>
        <w:ind w:left="565" w:hanging="565"/>
        <w:rPr>
          <w:b/>
          <w:szCs w:val="24"/>
          <w:lang w:val="lv-LV"/>
        </w:rPr>
      </w:pPr>
      <w:r w:rsidRPr="00D16F94">
        <w:rPr>
          <w:b/>
          <w:szCs w:val="24"/>
          <w:lang w:val="lv-LV"/>
        </w:rPr>
        <w:lastRenderedPageBreak/>
        <w:t>6.4</w:t>
      </w:r>
      <w:r w:rsidR="007E61D1">
        <w:rPr>
          <w:b/>
          <w:szCs w:val="24"/>
          <w:lang w:val="lv-LV"/>
        </w:rPr>
        <w:t>.</w:t>
      </w:r>
      <w:r w:rsidRPr="00D16F94">
        <w:rPr>
          <w:b/>
          <w:szCs w:val="24"/>
          <w:lang w:val="lv-LV"/>
        </w:rPr>
        <w:tab/>
        <w:t>Īpaši uzglabāšanas nosacījumi</w:t>
      </w:r>
    </w:p>
    <w:p w14:paraId="766B3241" w14:textId="77777777" w:rsidR="00965657" w:rsidRPr="00D16F94" w:rsidRDefault="00965657">
      <w:pPr>
        <w:spacing w:line="240" w:lineRule="auto"/>
        <w:rPr>
          <w:noProof/>
          <w:szCs w:val="24"/>
          <w:lang w:val="lv-LV"/>
        </w:rPr>
      </w:pPr>
    </w:p>
    <w:p w14:paraId="0973D8C2" w14:textId="77777777" w:rsidR="007E61D1" w:rsidRDefault="00965657" w:rsidP="007E61D1">
      <w:pPr>
        <w:tabs>
          <w:tab w:val="clear" w:pos="565"/>
        </w:tabs>
        <w:autoSpaceDE w:val="0"/>
        <w:autoSpaceDN w:val="0"/>
        <w:adjustRightInd w:val="0"/>
        <w:spacing w:line="240" w:lineRule="auto"/>
        <w:rPr>
          <w:szCs w:val="24"/>
          <w:lang w:val="lv-LV"/>
        </w:rPr>
      </w:pPr>
      <w:r w:rsidRPr="00D16F94">
        <w:rPr>
          <w:szCs w:val="24"/>
          <w:lang w:val="lv-LV"/>
        </w:rPr>
        <w:t>Šīm zālēm nav nepieciešami īpaši uzglabāšanas apstākļi.</w:t>
      </w:r>
    </w:p>
    <w:p w14:paraId="3C4F48BE" w14:textId="77777777" w:rsidR="007E61D1" w:rsidRDefault="007E61D1" w:rsidP="007E61D1">
      <w:pPr>
        <w:tabs>
          <w:tab w:val="clear" w:pos="565"/>
        </w:tabs>
        <w:autoSpaceDE w:val="0"/>
        <w:autoSpaceDN w:val="0"/>
        <w:adjustRightInd w:val="0"/>
        <w:spacing w:line="240" w:lineRule="auto"/>
        <w:rPr>
          <w:szCs w:val="24"/>
          <w:lang w:val="lv-LV"/>
        </w:rPr>
      </w:pPr>
    </w:p>
    <w:p w14:paraId="48A678B0" w14:textId="77777777" w:rsidR="00965657" w:rsidRPr="007E61D1" w:rsidRDefault="007E61D1" w:rsidP="007E61D1">
      <w:pPr>
        <w:tabs>
          <w:tab w:val="clear" w:pos="565"/>
        </w:tabs>
        <w:autoSpaceDE w:val="0"/>
        <w:autoSpaceDN w:val="0"/>
        <w:adjustRightInd w:val="0"/>
        <w:spacing w:line="240" w:lineRule="auto"/>
        <w:rPr>
          <w:szCs w:val="24"/>
          <w:lang w:val="lv-LV"/>
        </w:rPr>
      </w:pPr>
      <w:r w:rsidRPr="007E61D1">
        <w:rPr>
          <w:b/>
          <w:szCs w:val="24"/>
          <w:lang w:val="lv-LV"/>
        </w:rPr>
        <w:t>6.5.</w:t>
      </w:r>
      <w:r w:rsidRPr="007E61D1">
        <w:rPr>
          <w:b/>
          <w:szCs w:val="24"/>
          <w:lang w:val="lv-LV"/>
        </w:rPr>
        <w:tab/>
      </w:r>
      <w:r w:rsidR="00965657" w:rsidRPr="00D16F94">
        <w:rPr>
          <w:b/>
          <w:szCs w:val="24"/>
          <w:lang w:val="lv-LV"/>
        </w:rPr>
        <w:t>Iepakojuma veids un saturs</w:t>
      </w:r>
    </w:p>
    <w:p w14:paraId="3570E5B5" w14:textId="77777777" w:rsidR="00965657" w:rsidRPr="00D16F94" w:rsidRDefault="00965657">
      <w:pPr>
        <w:spacing w:line="240" w:lineRule="auto"/>
        <w:rPr>
          <w:szCs w:val="24"/>
          <w:lang w:val="lv-LV"/>
        </w:rPr>
      </w:pPr>
    </w:p>
    <w:p w14:paraId="47292E90" w14:textId="77777777" w:rsidR="00965657" w:rsidRPr="00D16F94" w:rsidRDefault="00965657">
      <w:pPr>
        <w:spacing w:line="240" w:lineRule="auto"/>
        <w:rPr>
          <w:szCs w:val="24"/>
          <w:lang w:val="lv-LV"/>
        </w:rPr>
      </w:pPr>
      <w:r w:rsidRPr="00D16F94">
        <w:rPr>
          <w:szCs w:val="24"/>
          <w:lang w:val="lv-LV"/>
        </w:rPr>
        <w:t>Linefor 75 mg</w:t>
      </w:r>
      <w:r w:rsidR="004D0DF9">
        <w:rPr>
          <w:szCs w:val="24"/>
          <w:lang w:val="lv-LV"/>
        </w:rPr>
        <w:t xml:space="preserve"> un</w:t>
      </w:r>
      <w:r w:rsidRPr="00D16F94">
        <w:rPr>
          <w:szCs w:val="24"/>
          <w:lang w:val="lv-LV"/>
        </w:rPr>
        <w:t xml:space="preserve"> 150 mg </w:t>
      </w:r>
      <w:r w:rsidR="007E61D1">
        <w:rPr>
          <w:szCs w:val="24"/>
          <w:lang w:val="lv-LV"/>
        </w:rPr>
        <w:t xml:space="preserve">cieto kapsulu </w:t>
      </w:r>
      <w:r w:rsidRPr="00D16F94">
        <w:rPr>
          <w:szCs w:val="24"/>
          <w:lang w:val="lv-LV"/>
        </w:rPr>
        <w:t>iepakojums ir alu</w:t>
      </w:r>
      <w:r w:rsidR="0033303B" w:rsidRPr="00D16F94">
        <w:rPr>
          <w:szCs w:val="24"/>
          <w:lang w:val="lv-LV"/>
        </w:rPr>
        <w:t>mīnija</w:t>
      </w:r>
      <w:r w:rsidR="007E61D1">
        <w:rPr>
          <w:szCs w:val="24"/>
          <w:lang w:val="lv-LV"/>
        </w:rPr>
        <w:t>//</w:t>
      </w:r>
      <w:r w:rsidR="00D662A7">
        <w:rPr>
          <w:szCs w:val="24"/>
          <w:lang w:val="lv-LV"/>
        </w:rPr>
        <w:t>caurspīdīga PVH/</w:t>
      </w:r>
      <w:r w:rsidRPr="00D16F94">
        <w:rPr>
          <w:szCs w:val="24"/>
          <w:lang w:val="lv-LV"/>
        </w:rPr>
        <w:t>PVDH blisteri.</w:t>
      </w:r>
    </w:p>
    <w:p w14:paraId="11EC340A" w14:textId="77777777" w:rsidR="00965657" w:rsidRPr="00D16F94" w:rsidRDefault="00965657">
      <w:pPr>
        <w:spacing w:line="240" w:lineRule="auto"/>
        <w:rPr>
          <w:szCs w:val="24"/>
          <w:lang w:val="lv-LV"/>
        </w:rPr>
      </w:pPr>
    </w:p>
    <w:p w14:paraId="2D95226D" w14:textId="77777777" w:rsidR="00965657" w:rsidRPr="00D16F94" w:rsidRDefault="00965657">
      <w:pPr>
        <w:spacing w:line="240" w:lineRule="auto"/>
        <w:rPr>
          <w:szCs w:val="24"/>
          <w:lang w:val="lv-LV"/>
        </w:rPr>
      </w:pPr>
      <w:r w:rsidRPr="00D16F94">
        <w:rPr>
          <w:szCs w:val="24"/>
          <w:lang w:val="lv-LV"/>
        </w:rPr>
        <w:t xml:space="preserve">Linefor ir pieejams iepakojumos pa 14, 21, </w:t>
      </w:r>
      <w:r w:rsidR="00AC644D">
        <w:rPr>
          <w:szCs w:val="24"/>
          <w:lang w:val="lv-LV"/>
        </w:rPr>
        <w:t xml:space="preserve">28, </w:t>
      </w:r>
      <w:r w:rsidRPr="00D16F94">
        <w:rPr>
          <w:szCs w:val="24"/>
          <w:lang w:val="lv-LV"/>
        </w:rPr>
        <w:t xml:space="preserve">56, 60 vai 84 </w:t>
      </w:r>
      <w:r w:rsidR="007E61D1">
        <w:rPr>
          <w:color w:val="000000"/>
          <w:szCs w:val="24"/>
          <w:lang w:val="lv-LV"/>
        </w:rPr>
        <w:t>ciet</w:t>
      </w:r>
      <w:r w:rsidR="007E61D1" w:rsidRPr="00D16F94">
        <w:rPr>
          <w:color w:val="000000"/>
          <w:szCs w:val="24"/>
          <w:lang w:val="lv-LV"/>
        </w:rPr>
        <w:t xml:space="preserve">ām </w:t>
      </w:r>
      <w:r w:rsidRPr="00D16F94">
        <w:rPr>
          <w:color w:val="000000"/>
          <w:szCs w:val="24"/>
          <w:lang w:val="lv-LV"/>
        </w:rPr>
        <w:t>kapsulām.</w:t>
      </w:r>
      <w:r w:rsidRPr="00D16F94">
        <w:rPr>
          <w:szCs w:val="24"/>
          <w:u w:val="single"/>
          <w:lang w:val="lv-LV"/>
        </w:rPr>
        <w:t xml:space="preserve"> </w:t>
      </w:r>
    </w:p>
    <w:p w14:paraId="4D566B51" w14:textId="77777777" w:rsidR="00965657" w:rsidRPr="00D16F94" w:rsidRDefault="00965657">
      <w:pPr>
        <w:spacing w:line="240" w:lineRule="auto"/>
        <w:rPr>
          <w:szCs w:val="24"/>
          <w:lang w:val="lv-LV"/>
        </w:rPr>
      </w:pPr>
      <w:r w:rsidRPr="00D16F94">
        <w:rPr>
          <w:szCs w:val="24"/>
          <w:lang w:val="lv-LV"/>
        </w:rPr>
        <w:t>Visi iepakojuma lielumi tirgū var nebūt pieejami.</w:t>
      </w:r>
    </w:p>
    <w:p w14:paraId="075FD35A" w14:textId="77777777" w:rsidR="00965657" w:rsidRPr="00D16F94" w:rsidRDefault="00965657">
      <w:pPr>
        <w:spacing w:line="240" w:lineRule="auto"/>
        <w:rPr>
          <w:szCs w:val="24"/>
          <w:lang w:val="lv-LV"/>
        </w:rPr>
      </w:pPr>
    </w:p>
    <w:p w14:paraId="023BDDC5" w14:textId="77777777" w:rsidR="00965657" w:rsidRPr="00D16F94" w:rsidRDefault="00965657">
      <w:pPr>
        <w:spacing w:line="240" w:lineRule="auto"/>
        <w:ind w:left="565" w:hanging="565"/>
        <w:outlineLvl w:val="0"/>
        <w:rPr>
          <w:szCs w:val="24"/>
          <w:lang w:val="lv-LV"/>
        </w:rPr>
      </w:pPr>
      <w:r w:rsidRPr="00D16F94">
        <w:rPr>
          <w:b/>
          <w:szCs w:val="24"/>
          <w:lang w:val="lv-LV"/>
        </w:rPr>
        <w:t>6.6</w:t>
      </w:r>
      <w:r w:rsidR="007E61D1">
        <w:rPr>
          <w:b/>
          <w:szCs w:val="24"/>
          <w:lang w:val="lv-LV"/>
        </w:rPr>
        <w:t>.</w:t>
      </w:r>
      <w:r w:rsidRPr="00D16F94">
        <w:rPr>
          <w:b/>
          <w:szCs w:val="24"/>
          <w:lang w:val="lv-LV"/>
        </w:rPr>
        <w:tab/>
        <w:t>Īpaši norādījumi atkritumu likvidēšanai un norādījumi par rīkošanos</w:t>
      </w:r>
    </w:p>
    <w:p w14:paraId="4DB77946" w14:textId="77777777" w:rsidR="00965657" w:rsidRPr="00D16F94" w:rsidRDefault="00965657">
      <w:pPr>
        <w:spacing w:line="240" w:lineRule="auto"/>
        <w:rPr>
          <w:szCs w:val="24"/>
          <w:lang w:val="lv-LV"/>
        </w:rPr>
      </w:pPr>
    </w:p>
    <w:p w14:paraId="12B460CE" w14:textId="77777777" w:rsidR="00965657" w:rsidRPr="00D16F94" w:rsidRDefault="00965657">
      <w:pPr>
        <w:spacing w:line="240" w:lineRule="auto"/>
        <w:rPr>
          <w:szCs w:val="24"/>
          <w:lang w:val="lv-LV"/>
        </w:rPr>
      </w:pPr>
      <w:r w:rsidRPr="00D16F94">
        <w:rPr>
          <w:szCs w:val="24"/>
          <w:lang w:val="lv-LV"/>
        </w:rPr>
        <w:t>Neizlietotās zāles vai izlietotie materiāli jāiznīcina atbilstoši vietējām prasībām.</w:t>
      </w:r>
    </w:p>
    <w:p w14:paraId="2CF2784F" w14:textId="77777777" w:rsidR="00965657" w:rsidRPr="00D16F94" w:rsidRDefault="00965657">
      <w:pPr>
        <w:spacing w:line="240" w:lineRule="auto"/>
        <w:rPr>
          <w:szCs w:val="24"/>
          <w:lang w:val="lv-LV"/>
        </w:rPr>
      </w:pPr>
    </w:p>
    <w:p w14:paraId="6CFE2E63" w14:textId="77777777" w:rsidR="00965657" w:rsidRPr="00D16F94" w:rsidRDefault="00965657">
      <w:pPr>
        <w:spacing w:line="240" w:lineRule="auto"/>
        <w:rPr>
          <w:szCs w:val="24"/>
          <w:lang w:val="lv-LV"/>
        </w:rPr>
      </w:pPr>
    </w:p>
    <w:p w14:paraId="6E4674F0" w14:textId="77777777" w:rsidR="00965657" w:rsidRPr="00D16F94" w:rsidRDefault="00965657">
      <w:pPr>
        <w:spacing w:line="240" w:lineRule="auto"/>
        <w:ind w:left="565" w:hanging="565"/>
        <w:rPr>
          <w:szCs w:val="24"/>
          <w:lang w:val="lv-LV"/>
        </w:rPr>
      </w:pPr>
      <w:r w:rsidRPr="00D16F94">
        <w:rPr>
          <w:b/>
          <w:szCs w:val="24"/>
          <w:lang w:val="lv-LV"/>
        </w:rPr>
        <w:t>7.</w:t>
      </w:r>
      <w:r w:rsidRPr="00D16F94">
        <w:rPr>
          <w:b/>
          <w:szCs w:val="24"/>
          <w:lang w:val="lv-LV"/>
        </w:rPr>
        <w:tab/>
        <w:t>REĢISTRĀCIJAS APLIECĪBAS ĪPAŠNIEKS</w:t>
      </w:r>
    </w:p>
    <w:p w14:paraId="20010776" w14:textId="77777777" w:rsidR="00965657" w:rsidRPr="00D16F94" w:rsidRDefault="00965657">
      <w:pPr>
        <w:spacing w:line="240" w:lineRule="auto"/>
        <w:rPr>
          <w:szCs w:val="24"/>
          <w:lang w:val="lv-LV"/>
        </w:rPr>
      </w:pPr>
    </w:p>
    <w:p w14:paraId="6287FF79" w14:textId="77777777" w:rsidR="000C4465" w:rsidRDefault="000C4465" w:rsidP="00EB6932">
      <w:pPr>
        <w:spacing w:line="240" w:lineRule="auto"/>
        <w:rPr>
          <w:szCs w:val="24"/>
          <w:lang w:val="lv-LV"/>
        </w:rPr>
      </w:pPr>
      <w:r>
        <w:rPr>
          <w:szCs w:val="24"/>
          <w:lang w:val="lv-LV"/>
        </w:rPr>
        <w:t>Zakłady Farmaceutyczne POLPHARMA S.A.</w:t>
      </w:r>
    </w:p>
    <w:p w14:paraId="1660BB59" w14:textId="77777777" w:rsidR="000C4465" w:rsidRPr="00EB6932" w:rsidRDefault="000C4465" w:rsidP="00EB6932">
      <w:pPr>
        <w:spacing w:line="240" w:lineRule="auto"/>
        <w:rPr>
          <w:szCs w:val="24"/>
          <w:lang w:val="lv-LV"/>
        </w:rPr>
      </w:pPr>
      <w:r w:rsidRPr="00D4025F">
        <w:rPr>
          <w:szCs w:val="24"/>
        </w:rPr>
        <w:t>ul. Pelplińska 19, 83-200 Starogard Gdański</w:t>
      </w:r>
    </w:p>
    <w:p w14:paraId="17FFF883" w14:textId="77777777" w:rsidR="00EB6932" w:rsidRPr="00EB6932" w:rsidRDefault="00EB6932" w:rsidP="00EB6932">
      <w:pPr>
        <w:spacing w:line="240" w:lineRule="auto"/>
        <w:rPr>
          <w:szCs w:val="24"/>
          <w:lang w:val="lv-LV"/>
        </w:rPr>
      </w:pPr>
      <w:r w:rsidRPr="00EB6932">
        <w:rPr>
          <w:szCs w:val="24"/>
          <w:lang w:val="lv-LV"/>
        </w:rPr>
        <w:t>Polija</w:t>
      </w:r>
    </w:p>
    <w:p w14:paraId="51ED6F63" w14:textId="77777777" w:rsidR="00965657" w:rsidRPr="00D16F94" w:rsidRDefault="00965657">
      <w:pPr>
        <w:spacing w:line="240" w:lineRule="auto"/>
        <w:rPr>
          <w:szCs w:val="24"/>
          <w:lang w:val="lv-LV"/>
        </w:rPr>
      </w:pPr>
    </w:p>
    <w:p w14:paraId="1CD712D7" w14:textId="77777777" w:rsidR="000C68B1" w:rsidRPr="00D16F94" w:rsidRDefault="000C68B1">
      <w:pPr>
        <w:spacing w:line="240" w:lineRule="auto"/>
        <w:rPr>
          <w:szCs w:val="24"/>
          <w:lang w:val="lv-LV"/>
        </w:rPr>
      </w:pPr>
    </w:p>
    <w:p w14:paraId="01FA8ED6" w14:textId="77777777" w:rsidR="00965657" w:rsidRPr="00D16F94" w:rsidRDefault="00965657">
      <w:pPr>
        <w:spacing w:line="240" w:lineRule="auto"/>
        <w:ind w:left="565" w:hanging="565"/>
        <w:rPr>
          <w:b/>
          <w:szCs w:val="24"/>
          <w:lang w:val="lv-LV"/>
        </w:rPr>
      </w:pPr>
      <w:r w:rsidRPr="00D16F94">
        <w:rPr>
          <w:b/>
          <w:szCs w:val="24"/>
          <w:lang w:val="lv-LV"/>
        </w:rPr>
        <w:t>8.</w:t>
      </w:r>
      <w:r w:rsidRPr="00D16F94">
        <w:rPr>
          <w:b/>
          <w:szCs w:val="24"/>
          <w:lang w:val="lv-LV"/>
        </w:rPr>
        <w:tab/>
        <w:t xml:space="preserve">REĢISTRĀCIJAS APLIECĪBAS NUMURS(-I) </w:t>
      </w:r>
    </w:p>
    <w:p w14:paraId="04465B39" w14:textId="77777777" w:rsidR="00965657" w:rsidRPr="00D16F94" w:rsidRDefault="00965657">
      <w:pPr>
        <w:spacing w:line="240" w:lineRule="auto"/>
        <w:rPr>
          <w:i/>
          <w:szCs w:val="24"/>
          <w:lang w:val="lv-LV"/>
        </w:rPr>
      </w:pPr>
    </w:p>
    <w:p w14:paraId="1A264505" w14:textId="77777777" w:rsidR="00965657" w:rsidRDefault="00AC6A04" w:rsidP="00FB7F4D">
      <w:pPr>
        <w:keepNext/>
        <w:spacing w:line="240" w:lineRule="auto"/>
        <w:rPr>
          <w:szCs w:val="22"/>
          <w:lang w:val="lv-LV" w:eastAsia="en-US"/>
        </w:rPr>
      </w:pPr>
      <w:r>
        <w:rPr>
          <w:szCs w:val="24"/>
          <w:lang w:val="lv-LV"/>
        </w:rPr>
        <w:t>Linefor 75 mg:</w:t>
      </w:r>
      <w:r>
        <w:rPr>
          <w:szCs w:val="24"/>
          <w:lang w:val="lv-LV"/>
        </w:rPr>
        <w:tab/>
      </w:r>
      <w:r>
        <w:rPr>
          <w:szCs w:val="24"/>
          <w:lang w:val="lv-LV"/>
        </w:rPr>
        <w:tab/>
      </w:r>
      <w:r w:rsidRPr="00CB1E24">
        <w:rPr>
          <w:szCs w:val="22"/>
          <w:lang w:val="lv-LV" w:eastAsia="en-US"/>
        </w:rPr>
        <w:t>Reģ. Nr.</w:t>
      </w:r>
      <w:r>
        <w:rPr>
          <w:szCs w:val="22"/>
          <w:lang w:val="lv-LV" w:eastAsia="en-US"/>
        </w:rPr>
        <w:t xml:space="preserve"> 17-0124</w:t>
      </w:r>
    </w:p>
    <w:p w14:paraId="49329AD6" w14:textId="77777777" w:rsidR="00AC6A04" w:rsidRDefault="00AC6A04" w:rsidP="00FB7F4D">
      <w:pPr>
        <w:keepNext/>
        <w:spacing w:line="240" w:lineRule="auto"/>
        <w:rPr>
          <w:szCs w:val="22"/>
          <w:lang w:val="lv-LV" w:eastAsia="en-US"/>
        </w:rPr>
      </w:pPr>
      <w:r>
        <w:rPr>
          <w:szCs w:val="22"/>
          <w:lang w:val="lv-LV" w:eastAsia="en-US"/>
        </w:rPr>
        <w:t>Linefor 150 mg:</w:t>
      </w:r>
      <w:r>
        <w:rPr>
          <w:szCs w:val="22"/>
          <w:lang w:val="lv-LV" w:eastAsia="en-US"/>
        </w:rPr>
        <w:tab/>
      </w:r>
      <w:r w:rsidRPr="00CB1E24">
        <w:rPr>
          <w:szCs w:val="22"/>
          <w:lang w:val="lv-LV" w:eastAsia="en-US"/>
        </w:rPr>
        <w:t>Reģ. Nr.</w:t>
      </w:r>
      <w:r>
        <w:rPr>
          <w:szCs w:val="22"/>
          <w:lang w:val="lv-LV" w:eastAsia="en-US"/>
        </w:rPr>
        <w:t xml:space="preserve"> 17-0125</w:t>
      </w:r>
    </w:p>
    <w:p w14:paraId="356AE004" w14:textId="77777777" w:rsidR="00AC6A04" w:rsidRPr="00D16F94" w:rsidRDefault="00AC6A04" w:rsidP="00FB7F4D">
      <w:pPr>
        <w:keepNext/>
        <w:spacing w:line="240" w:lineRule="auto"/>
        <w:rPr>
          <w:szCs w:val="24"/>
          <w:lang w:val="lv-LV"/>
        </w:rPr>
      </w:pPr>
    </w:p>
    <w:p w14:paraId="6020DA8F" w14:textId="77777777" w:rsidR="00965657" w:rsidRPr="00D16F94" w:rsidRDefault="00965657" w:rsidP="00FB7F4D">
      <w:pPr>
        <w:keepNext/>
        <w:spacing w:line="240" w:lineRule="auto"/>
        <w:rPr>
          <w:szCs w:val="24"/>
          <w:lang w:val="lv-LV"/>
        </w:rPr>
      </w:pPr>
    </w:p>
    <w:p w14:paraId="676D895F" w14:textId="77777777" w:rsidR="00965657" w:rsidRPr="00D16F94" w:rsidRDefault="00965657" w:rsidP="00FB7F4D">
      <w:pPr>
        <w:keepNext/>
        <w:spacing w:line="240" w:lineRule="auto"/>
        <w:ind w:left="565" w:hanging="565"/>
        <w:rPr>
          <w:szCs w:val="24"/>
          <w:lang w:val="lv-LV"/>
        </w:rPr>
      </w:pPr>
      <w:r w:rsidRPr="00D16F94">
        <w:rPr>
          <w:b/>
          <w:szCs w:val="24"/>
          <w:lang w:val="lv-LV"/>
        </w:rPr>
        <w:t>9.</w:t>
      </w:r>
      <w:r w:rsidRPr="00D16F94">
        <w:rPr>
          <w:b/>
          <w:szCs w:val="24"/>
          <w:lang w:val="lv-LV"/>
        </w:rPr>
        <w:tab/>
        <w:t>PIRMĀS REĢISTRĀCIJAS/PĀRREĢISTRĀCIJAS DATUMS</w:t>
      </w:r>
    </w:p>
    <w:p w14:paraId="703BF127" w14:textId="77777777" w:rsidR="00965657" w:rsidRPr="00D16F94" w:rsidRDefault="00965657" w:rsidP="00FB7F4D">
      <w:pPr>
        <w:keepNext/>
        <w:spacing w:line="240" w:lineRule="auto"/>
        <w:rPr>
          <w:i/>
          <w:szCs w:val="24"/>
          <w:lang w:val="lv-LV"/>
        </w:rPr>
      </w:pPr>
    </w:p>
    <w:p w14:paraId="469F57BC" w14:textId="77777777" w:rsidR="00965657" w:rsidRPr="00D16F94" w:rsidRDefault="00965657" w:rsidP="00FB7F4D">
      <w:pPr>
        <w:keepNext/>
        <w:widowControl w:val="0"/>
        <w:spacing w:line="240" w:lineRule="auto"/>
        <w:rPr>
          <w:i/>
          <w:noProof/>
          <w:szCs w:val="24"/>
          <w:lang w:val="lv-LV"/>
        </w:rPr>
      </w:pPr>
      <w:r w:rsidRPr="00D16F94">
        <w:rPr>
          <w:szCs w:val="24"/>
          <w:lang w:val="lv-LV"/>
        </w:rPr>
        <w:t>Reģistrācijas datums:</w:t>
      </w:r>
      <w:r w:rsidRPr="00D16F94">
        <w:rPr>
          <w:noProof/>
          <w:szCs w:val="24"/>
          <w:lang w:val="lv-LV"/>
        </w:rPr>
        <w:t xml:space="preserve"> </w:t>
      </w:r>
      <w:r w:rsidR="006E4056">
        <w:rPr>
          <w:szCs w:val="24"/>
          <w:lang w:val="lv-LV"/>
        </w:rPr>
        <w:t>08.06.2017</w:t>
      </w:r>
    </w:p>
    <w:p w14:paraId="69F596CB" w14:textId="04D931D1" w:rsidR="00965657" w:rsidRPr="005214F3" w:rsidRDefault="009A2865" w:rsidP="00FB7F4D">
      <w:pPr>
        <w:keepNext/>
        <w:spacing w:line="240" w:lineRule="auto"/>
        <w:rPr>
          <w:lang w:val="lv-LV"/>
        </w:rPr>
      </w:pPr>
      <w:r w:rsidRPr="00997735">
        <w:rPr>
          <w:lang w:val="lv-LV"/>
        </w:rPr>
        <w:t>Pēdējās pārreģistrācijas</w:t>
      </w:r>
      <w:r w:rsidRPr="005214F3">
        <w:rPr>
          <w:lang w:val="lv-LV"/>
        </w:rPr>
        <w:t xml:space="preserve"> datums: 09.03.2021</w:t>
      </w:r>
    </w:p>
    <w:p w14:paraId="1B58BEEC" w14:textId="77777777" w:rsidR="009A2865" w:rsidRPr="00997735" w:rsidRDefault="009A2865" w:rsidP="00FB7F4D">
      <w:pPr>
        <w:keepNext/>
        <w:spacing w:line="240" w:lineRule="auto"/>
        <w:rPr>
          <w:iCs/>
          <w:szCs w:val="24"/>
          <w:lang w:val="lv-LV"/>
        </w:rPr>
      </w:pPr>
    </w:p>
    <w:p w14:paraId="0DA6DF3D" w14:textId="77777777" w:rsidR="00965657" w:rsidRPr="00D16F94" w:rsidRDefault="00965657">
      <w:pPr>
        <w:spacing w:line="240" w:lineRule="auto"/>
        <w:rPr>
          <w:szCs w:val="24"/>
          <w:lang w:val="lv-LV"/>
        </w:rPr>
      </w:pPr>
    </w:p>
    <w:p w14:paraId="55CED371" w14:textId="53EE67CA" w:rsidR="00965657" w:rsidRDefault="00965657">
      <w:pPr>
        <w:spacing w:line="240" w:lineRule="auto"/>
        <w:ind w:left="565" w:hanging="565"/>
        <w:rPr>
          <w:b/>
          <w:szCs w:val="24"/>
          <w:lang w:val="lv-LV"/>
        </w:rPr>
      </w:pPr>
      <w:r w:rsidRPr="00D16F94">
        <w:rPr>
          <w:b/>
          <w:szCs w:val="24"/>
          <w:lang w:val="lv-LV"/>
        </w:rPr>
        <w:t>10.</w:t>
      </w:r>
      <w:r w:rsidRPr="00D16F94">
        <w:rPr>
          <w:b/>
          <w:szCs w:val="24"/>
          <w:lang w:val="lv-LV"/>
        </w:rPr>
        <w:tab/>
        <w:t>TEKSTA PĀRSKATĪŠANAS DATUMS</w:t>
      </w:r>
    </w:p>
    <w:p w14:paraId="7C10887F" w14:textId="77777777" w:rsidR="005053A4" w:rsidRDefault="005053A4">
      <w:pPr>
        <w:spacing w:line="240" w:lineRule="auto"/>
        <w:ind w:left="565" w:hanging="565"/>
        <w:rPr>
          <w:b/>
          <w:szCs w:val="24"/>
          <w:lang w:val="lv-LV"/>
        </w:rPr>
      </w:pPr>
    </w:p>
    <w:p w14:paraId="42B8D205" w14:textId="67B7C365" w:rsidR="005053A4" w:rsidRPr="00FA7CD5" w:rsidRDefault="005053A4">
      <w:pPr>
        <w:spacing w:line="240" w:lineRule="auto"/>
        <w:ind w:left="565" w:hanging="565"/>
        <w:rPr>
          <w:bCs/>
          <w:szCs w:val="22"/>
          <w:lang w:val="lv-LV"/>
        </w:rPr>
      </w:pPr>
      <w:r w:rsidRPr="00FA7CD5">
        <w:rPr>
          <w:bCs/>
          <w:szCs w:val="22"/>
          <w:lang w:val="lv-LV"/>
        </w:rPr>
        <w:t>07/2022</w:t>
      </w:r>
    </w:p>
    <w:p w14:paraId="7A927D4C" w14:textId="77777777" w:rsidR="00965657" w:rsidRPr="00D16F94" w:rsidRDefault="00965657">
      <w:pPr>
        <w:rPr>
          <w:szCs w:val="24"/>
          <w:lang w:val="lv-LV"/>
        </w:rPr>
      </w:pPr>
    </w:p>
    <w:p w14:paraId="60DDD859" w14:textId="15A47458" w:rsidR="00D16F94" w:rsidRPr="00D16F94" w:rsidRDefault="00D16F94">
      <w:pPr>
        <w:rPr>
          <w:szCs w:val="24"/>
          <w:lang w:val="lv-LV"/>
        </w:rPr>
      </w:pPr>
    </w:p>
    <w:sectPr w:rsidR="00D16F94" w:rsidRPr="00D16F94" w:rsidSect="000C68B1">
      <w:headerReference w:type="even" r:id="rId12"/>
      <w:headerReference w:type="default" r:id="rId13"/>
      <w:footerReference w:type="even" r:id="rId14"/>
      <w:footerReference w:type="default" r:id="rId15"/>
      <w:headerReference w:type="first" r:id="rId16"/>
      <w:footerReference w:type="first" r:id="rId17"/>
      <w:pgSz w:w="11905" w:h="16835" w:code="9"/>
      <w:pgMar w:top="1131" w:right="1415" w:bottom="1131" w:left="1415" w:header="735" w:footer="735" w:gutter="0"/>
      <w:cols w:space="70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636AE" w14:textId="77777777" w:rsidR="00DF20FF" w:rsidRDefault="00DF20FF">
      <w:pPr>
        <w:spacing w:line="240" w:lineRule="auto"/>
        <w:rPr>
          <w:szCs w:val="24"/>
        </w:rPr>
      </w:pPr>
      <w:r>
        <w:rPr>
          <w:szCs w:val="24"/>
        </w:rPr>
        <w:separator/>
      </w:r>
    </w:p>
  </w:endnote>
  <w:endnote w:type="continuationSeparator" w:id="0">
    <w:p w14:paraId="5DEA4058" w14:textId="77777777" w:rsidR="00DF20FF" w:rsidRDefault="00DF20FF">
      <w:pPr>
        <w:spacing w:line="240" w:lineRule="auto"/>
        <w:rPr>
          <w:szCs w:val="24"/>
        </w:rPr>
      </w:pPr>
      <w:r>
        <w:rPr>
          <w:szCs w:val="24"/>
        </w:rPr>
        <w:continuationSeparator/>
      </w:r>
    </w:p>
  </w:endnote>
  <w:endnote w:type="continuationNotice" w:id="1">
    <w:p w14:paraId="442E01CE" w14:textId="77777777" w:rsidR="00DF20FF" w:rsidRDefault="00DF20FF">
      <w:pPr>
        <w:spacing w:line="240" w:lineRule="auto"/>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08EB" w14:textId="77777777" w:rsidR="00FA7CD5" w:rsidRDefault="00FA7C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3FCC" w14:textId="33F927AB" w:rsidR="00A65B78" w:rsidRDefault="00A65B78">
    <w:pPr>
      <w:pStyle w:val="Footer"/>
      <w:jc w:val="right"/>
      <w:rPr>
        <w:szCs w:val="24"/>
      </w:rPr>
    </w:pPr>
    <w:r>
      <w:rPr>
        <w:szCs w:val="24"/>
      </w:rPr>
      <w:fldChar w:fldCharType="begin"/>
    </w:r>
    <w:r>
      <w:rPr>
        <w:szCs w:val="24"/>
      </w:rPr>
      <w:instrText>PAGE   \* MERGEFORMAT</w:instrText>
    </w:r>
    <w:r>
      <w:rPr>
        <w:szCs w:val="24"/>
      </w:rPr>
      <w:fldChar w:fldCharType="separate"/>
    </w:r>
    <w:r>
      <w:rPr>
        <w:noProof/>
        <w:szCs w:val="24"/>
      </w:rPr>
      <w:t>15</w:t>
    </w:r>
    <w:r>
      <w:rPr>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AF2D" w14:textId="77777777" w:rsidR="00FA7CD5" w:rsidRDefault="00FA7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76B87" w14:textId="77777777" w:rsidR="00DF20FF" w:rsidRDefault="00DF20FF">
      <w:pPr>
        <w:spacing w:line="240" w:lineRule="auto"/>
        <w:rPr>
          <w:szCs w:val="24"/>
        </w:rPr>
      </w:pPr>
      <w:r>
        <w:rPr>
          <w:szCs w:val="24"/>
        </w:rPr>
        <w:separator/>
      </w:r>
    </w:p>
  </w:footnote>
  <w:footnote w:type="continuationSeparator" w:id="0">
    <w:p w14:paraId="580BC65A" w14:textId="77777777" w:rsidR="00DF20FF" w:rsidRDefault="00DF20FF">
      <w:pPr>
        <w:spacing w:line="240" w:lineRule="auto"/>
        <w:rPr>
          <w:szCs w:val="24"/>
        </w:rPr>
      </w:pPr>
      <w:r>
        <w:rPr>
          <w:szCs w:val="24"/>
        </w:rPr>
        <w:continuationSeparator/>
      </w:r>
    </w:p>
  </w:footnote>
  <w:footnote w:type="continuationNotice" w:id="1">
    <w:p w14:paraId="6B58911E" w14:textId="77777777" w:rsidR="00DF20FF" w:rsidRDefault="00DF20FF">
      <w:pPr>
        <w:spacing w:line="240" w:lineRule="auto"/>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7F86" w14:textId="77777777" w:rsidR="00FA7CD5" w:rsidRDefault="00FA7C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1F9E" w14:textId="0433B039" w:rsidR="00A65B78" w:rsidRPr="00134A96" w:rsidRDefault="00FA7CD5" w:rsidP="00134A96">
    <w:pPr>
      <w:pStyle w:val="Header"/>
      <w:jc w:val="right"/>
      <w:rPr>
        <w:sz w:val="24"/>
        <w:szCs w:val="24"/>
        <w:lang w:val="en-US"/>
      </w:rPr>
    </w:pPr>
    <w:r>
      <w:rPr>
        <w:sz w:val="24"/>
        <w:szCs w:val="24"/>
        <w:lang w:val="en-US"/>
      </w:rPr>
      <w:t>SASKAŅOTS ZVA 11-08-2022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CF79" w14:textId="77777777" w:rsidR="00FA7CD5" w:rsidRDefault="00FA7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E30D3"/>
    <w:multiLevelType w:val="multilevel"/>
    <w:tmpl w:val="88209D68"/>
    <w:lvl w:ilvl="0">
      <w:start w:val="6"/>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6B014835"/>
    <w:multiLevelType w:val="multilevel"/>
    <w:tmpl w:val="894CA2A2"/>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570"/>
        </w:tabs>
        <w:ind w:left="570" w:hanging="57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5"/>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F82"/>
    <w:rsid w:val="00001E93"/>
    <w:rsid w:val="00005C48"/>
    <w:rsid w:val="000133C2"/>
    <w:rsid w:val="00013FF1"/>
    <w:rsid w:val="00015AF4"/>
    <w:rsid w:val="00025B91"/>
    <w:rsid w:val="00033614"/>
    <w:rsid w:val="00041711"/>
    <w:rsid w:val="00044092"/>
    <w:rsid w:val="000455A9"/>
    <w:rsid w:val="00050BEE"/>
    <w:rsid w:val="000512ED"/>
    <w:rsid w:val="000513BE"/>
    <w:rsid w:val="0005355C"/>
    <w:rsid w:val="00054D40"/>
    <w:rsid w:val="00065312"/>
    <w:rsid w:val="00071DDE"/>
    <w:rsid w:val="00072DC6"/>
    <w:rsid w:val="00080C83"/>
    <w:rsid w:val="00081D0C"/>
    <w:rsid w:val="0008750C"/>
    <w:rsid w:val="00092309"/>
    <w:rsid w:val="000B1AB3"/>
    <w:rsid w:val="000C04F3"/>
    <w:rsid w:val="000C4465"/>
    <w:rsid w:val="000C68B1"/>
    <w:rsid w:val="000C7ABD"/>
    <w:rsid w:val="000E008E"/>
    <w:rsid w:val="000E5BAD"/>
    <w:rsid w:val="000E68D5"/>
    <w:rsid w:val="000E7F77"/>
    <w:rsid w:val="00101D8C"/>
    <w:rsid w:val="00115417"/>
    <w:rsid w:val="00121B23"/>
    <w:rsid w:val="00134661"/>
    <w:rsid w:val="00134A96"/>
    <w:rsid w:val="0014067A"/>
    <w:rsid w:val="00144731"/>
    <w:rsid w:val="00187B5E"/>
    <w:rsid w:val="001962BC"/>
    <w:rsid w:val="001C4BE3"/>
    <w:rsid w:val="001D1044"/>
    <w:rsid w:val="001D552C"/>
    <w:rsid w:val="001D5E70"/>
    <w:rsid w:val="001E5C8F"/>
    <w:rsid w:val="001E6919"/>
    <w:rsid w:val="001F4116"/>
    <w:rsid w:val="00201430"/>
    <w:rsid w:val="0020614C"/>
    <w:rsid w:val="00211241"/>
    <w:rsid w:val="002245BC"/>
    <w:rsid w:val="00225665"/>
    <w:rsid w:val="00235B92"/>
    <w:rsid w:val="00236F54"/>
    <w:rsid w:val="00241DAB"/>
    <w:rsid w:val="00243019"/>
    <w:rsid w:val="00245E53"/>
    <w:rsid w:val="00250138"/>
    <w:rsid w:val="00254DC9"/>
    <w:rsid w:val="00266D05"/>
    <w:rsid w:val="00274811"/>
    <w:rsid w:val="002758DC"/>
    <w:rsid w:val="00276B7B"/>
    <w:rsid w:val="0028336A"/>
    <w:rsid w:val="00285A85"/>
    <w:rsid w:val="00286D8A"/>
    <w:rsid w:val="002903D3"/>
    <w:rsid w:val="00292E70"/>
    <w:rsid w:val="0029415A"/>
    <w:rsid w:val="002962E4"/>
    <w:rsid w:val="002A31DC"/>
    <w:rsid w:val="002A520D"/>
    <w:rsid w:val="002A5D1D"/>
    <w:rsid w:val="002A73F3"/>
    <w:rsid w:val="002B7F7A"/>
    <w:rsid w:val="002C12F5"/>
    <w:rsid w:val="002D03D0"/>
    <w:rsid w:val="002D33AC"/>
    <w:rsid w:val="002E208D"/>
    <w:rsid w:val="002E4D6A"/>
    <w:rsid w:val="002F155B"/>
    <w:rsid w:val="002F2DE5"/>
    <w:rsid w:val="003003F3"/>
    <w:rsid w:val="00300C84"/>
    <w:rsid w:val="00304789"/>
    <w:rsid w:val="00304871"/>
    <w:rsid w:val="003169AB"/>
    <w:rsid w:val="0033303B"/>
    <w:rsid w:val="003331C6"/>
    <w:rsid w:val="003353E2"/>
    <w:rsid w:val="00353872"/>
    <w:rsid w:val="00355BDB"/>
    <w:rsid w:val="003564B8"/>
    <w:rsid w:val="003638CF"/>
    <w:rsid w:val="00370FB4"/>
    <w:rsid w:val="003711CB"/>
    <w:rsid w:val="00394E27"/>
    <w:rsid w:val="00397810"/>
    <w:rsid w:val="003A4EC9"/>
    <w:rsid w:val="003B7BCE"/>
    <w:rsid w:val="003C0540"/>
    <w:rsid w:val="003C6DB4"/>
    <w:rsid w:val="003D32D3"/>
    <w:rsid w:val="003E252A"/>
    <w:rsid w:val="003F29FC"/>
    <w:rsid w:val="00411CFD"/>
    <w:rsid w:val="00412B02"/>
    <w:rsid w:val="0041337A"/>
    <w:rsid w:val="004278FF"/>
    <w:rsid w:val="00433619"/>
    <w:rsid w:val="004336B2"/>
    <w:rsid w:val="00436CB9"/>
    <w:rsid w:val="0044096A"/>
    <w:rsid w:val="004422F8"/>
    <w:rsid w:val="004733B3"/>
    <w:rsid w:val="00474A8A"/>
    <w:rsid w:val="00477DEC"/>
    <w:rsid w:val="00480254"/>
    <w:rsid w:val="004A0D7C"/>
    <w:rsid w:val="004A24EF"/>
    <w:rsid w:val="004A5F68"/>
    <w:rsid w:val="004C0771"/>
    <w:rsid w:val="004C66C4"/>
    <w:rsid w:val="004D0DF9"/>
    <w:rsid w:val="004F11B6"/>
    <w:rsid w:val="004F15E2"/>
    <w:rsid w:val="00504941"/>
    <w:rsid w:val="005051D8"/>
    <w:rsid w:val="005053A4"/>
    <w:rsid w:val="00513895"/>
    <w:rsid w:val="00514AAB"/>
    <w:rsid w:val="00514F88"/>
    <w:rsid w:val="00516355"/>
    <w:rsid w:val="005214F3"/>
    <w:rsid w:val="00523ECC"/>
    <w:rsid w:val="0052455B"/>
    <w:rsid w:val="00525884"/>
    <w:rsid w:val="00536CAC"/>
    <w:rsid w:val="00542E4F"/>
    <w:rsid w:val="00546003"/>
    <w:rsid w:val="00552551"/>
    <w:rsid w:val="00552C18"/>
    <w:rsid w:val="005559D7"/>
    <w:rsid w:val="00560678"/>
    <w:rsid w:val="005608B0"/>
    <w:rsid w:val="00561F82"/>
    <w:rsid w:val="00570967"/>
    <w:rsid w:val="005728A3"/>
    <w:rsid w:val="005807BA"/>
    <w:rsid w:val="00585E19"/>
    <w:rsid w:val="0058649A"/>
    <w:rsid w:val="00593390"/>
    <w:rsid w:val="005979CB"/>
    <w:rsid w:val="00597BAD"/>
    <w:rsid w:val="005A0623"/>
    <w:rsid w:val="005A547A"/>
    <w:rsid w:val="005B4DE8"/>
    <w:rsid w:val="005B6FE8"/>
    <w:rsid w:val="005C0C8F"/>
    <w:rsid w:val="005C3BF8"/>
    <w:rsid w:val="005E61AE"/>
    <w:rsid w:val="005E6F9F"/>
    <w:rsid w:val="005F49F0"/>
    <w:rsid w:val="005F6337"/>
    <w:rsid w:val="00602188"/>
    <w:rsid w:val="00647EE9"/>
    <w:rsid w:val="00653139"/>
    <w:rsid w:val="00654D1F"/>
    <w:rsid w:val="006667B1"/>
    <w:rsid w:val="00673AB3"/>
    <w:rsid w:val="006762EF"/>
    <w:rsid w:val="00681C9D"/>
    <w:rsid w:val="00686CD0"/>
    <w:rsid w:val="006A2732"/>
    <w:rsid w:val="006A29A6"/>
    <w:rsid w:val="006A4945"/>
    <w:rsid w:val="006A5200"/>
    <w:rsid w:val="006B3528"/>
    <w:rsid w:val="006B5901"/>
    <w:rsid w:val="006B7B1A"/>
    <w:rsid w:val="006C0B04"/>
    <w:rsid w:val="006C0F0C"/>
    <w:rsid w:val="006C5734"/>
    <w:rsid w:val="006D310D"/>
    <w:rsid w:val="006D7A59"/>
    <w:rsid w:val="006E4056"/>
    <w:rsid w:val="00700C36"/>
    <w:rsid w:val="00705EC5"/>
    <w:rsid w:val="007068F3"/>
    <w:rsid w:val="00712FBE"/>
    <w:rsid w:val="00724321"/>
    <w:rsid w:val="007250B3"/>
    <w:rsid w:val="00726458"/>
    <w:rsid w:val="00726F26"/>
    <w:rsid w:val="00733058"/>
    <w:rsid w:val="00737D68"/>
    <w:rsid w:val="00747D2D"/>
    <w:rsid w:val="00764797"/>
    <w:rsid w:val="00767686"/>
    <w:rsid w:val="0077009D"/>
    <w:rsid w:val="00776193"/>
    <w:rsid w:val="0077786D"/>
    <w:rsid w:val="00784A99"/>
    <w:rsid w:val="00787466"/>
    <w:rsid w:val="007955BC"/>
    <w:rsid w:val="007A13F1"/>
    <w:rsid w:val="007A3251"/>
    <w:rsid w:val="007C76EC"/>
    <w:rsid w:val="007D3438"/>
    <w:rsid w:val="007E61D1"/>
    <w:rsid w:val="007F41D1"/>
    <w:rsid w:val="007F4CAF"/>
    <w:rsid w:val="007F780E"/>
    <w:rsid w:val="00800FED"/>
    <w:rsid w:val="00810909"/>
    <w:rsid w:val="00815A18"/>
    <w:rsid w:val="008268FE"/>
    <w:rsid w:val="008427A0"/>
    <w:rsid w:val="00844694"/>
    <w:rsid w:val="008474F2"/>
    <w:rsid w:val="00870103"/>
    <w:rsid w:val="0087040E"/>
    <w:rsid w:val="00877D56"/>
    <w:rsid w:val="008B7826"/>
    <w:rsid w:val="008B7FE9"/>
    <w:rsid w:val="008C66AE"/>
    <w:rsid w:val="008E2A8A"/>
    <w:rsid w:val="008F499A"/>
    <w:rsid w:val="00921E1B"/>
    <w:rsid w:val="00922D02"/>
    <w:rsid w:val="00930DD3"/>
    <w:rsid w:val="00945111"/>
    <w:rsid w:val="00957529"/>
    <w:rsid w:val="00965657"/>
    <w:rsid w:val="0097178D"/>
    <w:rsid w:val="0098298E"/>
    <w:rsid w:val="00995D1F"/>
    <w:rsid w:val="00997735"/>
    <w:rsid w:val="009A2865"/>
    <w:rsid w:val="009A574C"/>
    <w:rsid w:val="009A5943"/>
    <w:rsid w:val="009C068E"/>
    <w:rsid w:val="009C1B4D"/>
    <w:rsid w:val="009D1E2E"/>
    <w:rsid w:val="009D2EC5"/>
    <w:rsid w:val="009F4360"/>
    <w:rsid w:val="00A00D5B"/>
    <w:rsid w:val="00A16993"/>
    <w:rsid w:val="00A36E66"/>
    <w:rsid w:val="00A4276D"/>
    <w:rsid w:val="00A42ACA"/>
    <w:rsid w:val="00A43EF9"/>
    <w:rsid w:val="00A46372"/>
    <w:rsid w:val="00A6273B"/>
    <w:rsid w:val="00A63E88"/>
    <w:rsid w:val="00A65B78"/>
    <w:rsid w:val="00A676A2"/>
    <w:rsid w:val="00A722EC"/>
    <w:rsid w:val="00A755BC"/>
    <w:rsid w:val="00A76E43"/>
    <w:rsid w:val="00A854A2"/>
    <w:rsid w:val="00A87461"/>
    <w:rsid w:val="00A90486"/>
    <w:rsid w:val="00A928DA"/>
    <w:rsid w:val="00A93CBE"/>
    <w:rsid w:val="00A94CF3"/>
    <w:rsid w:val="00AA2D7A"/>
    <w:rsid w:val="00AB06E0"/>
    <w:rsid w:val="00AB4848"/>
    <w:rsid w:val="00AC0659"/>
    <w:rsid w:val="00AC644D"/>
    <w:rsid w:val="00AC6A04"/>
    <w:rsid w:val="00AF03EF"/>
    <w:rsid w:val="00AF0D6A"/>
    <w:rsid w:val="00AF2CEB"/>
    <w:rsid w:val="00B159A0"/>
    <w:rsid w:val="00B17BD5"/>
    <w:rsid w:val="00B21DF1"/>
    <w:rsid w:val="00B227EA"/>
    <w:rsid w:val="00B3186A"/>
    <w:rsid w:val="00B342C7"/>
    <w:rsid w:val="00B368FC"/>
    <w:rsid w:val="00B5310E"/>
    <w:rsid w:val="00B550F2"/>
    <w:rsid w:val="00B87E34"/>
    <w:rsid w:val="00BA4C24"/>
    <w:rsid w:val="00BB6788"/>
    <w:rsid w:val="00BC4042"/>
    <w:rsid w:val="00BE1568"/>
    <w:rsid w:val="00BE3240"/>
    <w:rsid w:val="00BE522A"/>
    <w:rsid w:val="00BE6562"/>
    <w:rsid w:val="00BE7B73"/>
    <w:rsid w:val="00BF081E"/>
    <w:rsid w:val="00BF68F7"/>
    <w:rsid w:val="00C0113E"/>
    <w:rsid w:val="00C0138F"/>
    <w:rsid w:val="00C20D71"/>
    <w:rsid w:val="00C35A8A"/>
    <w:rsid w:val="00C36A5D"/>
    <w:rsid w:val="00C37148"/>
    <w:rsid w:val="00C40D53"/>
    <w:rsid w:val="00C4201B"/>
    <w:rsid w:val="00C42C28"/>
    <w:rsid w:val="00C44A01"/>
    <w:rsid w:val="00C56AAE"/>
    <w:rsid w:val="00C57341"/>
    <w:rsid w:val="00C771FD"/>
    <w:rsid w:val="00C91C0C"/>
    <w:rsid w:val="00C92EDB"/>
    <w:rsid w:val="00C967AC"/>
    <w:rsid w:val="00CA77E7"/>
    <w:rsid w:val="00CB3304"/>
    <w:rsid w:val="00CB7E4C"/>
    <w:rsid w:val="00CC2232"/>
    <w:rsid w:val="00CC4C3B"/>
    <w:rsid w:val="00CF14E1"/>
    <w:rsid w:val="00D16F94"/>
    <w:rsid w:val="00D17BD4"/>
    <w:rsid w:val="00D25970"/>
    <w:rsid w:val="00D34F3A"/>
    <w:rsid w:val="00D3504E"/>
    <w:rsid w:val="00D4025F"/>
    <w:rsid w:val="00D43388"/>
    <w:rsid w:val="00D44770"/>
    <w:rsid w:val="00D51027"/>
    <w:rsid w:val="00D523CB"/>
    <w:rsid w:val="00D5322B"/>
    <w:rsid w:val="00D6041E"/>
    <w:rsid w:val="00D60B08"/>
    <w:rsid w:val="00D662A7"/>
    <w:rsid w:val="00D77CCF"/>
    <w:rsid w:val="00D859B5"/>
    <w:rsid w:val="00D907BB"/>
    <w:rsid w:val="00DA3DB2"/>
    <w:rsid w:val="00DA50E0"/>
    <w:rsid w:val="00DB3655"/>
    <w:rsid w:val="00DB7658"/>
    <w:rsid w:val="00DC5C43"/>
    <w:rsid w:val="00DD716C"/>
    <w:rsid w:val="00DE0F20"/>
    <w:rsid w:val="00DE5956"/>
    <w:rsid w:val="00DF20FF"/>
    <w:rsid w:val="00DF3FA7"/>
    <w:rsid w:val="00DF4FA4"/>
    <w:rsid w:val="00DF7FF2"/>
    <w:rsid w:val="00E02865"/>
    <w:rsid w:val="00E03660"/>
    <w:rsid w:val="00E05370"/>
    <w:rsid w:val="00E138B7"/>
    <w:rsid w:val="00E20BDE"/>
    <w:rsid w:val="00E21B97"/>
    <w:rsid w:val="00E2232B"/>
    <w:rsid w:val="00E22C49"/>
    <w:rsid w:val="00E40C7D"/>
    <w:rsid w:val="00E60DD4"/>
    <w:rsid w:val="00E6761F"/>
    <w:rsid w:val="00E803E9"/>
    <w:rsid w:val="00E82CC9"/>
    <w:rsid w:val="00E83EBD"/>
    <w:rsid w:val="00E874FE"/>
    <w:rsid w:val="00EB6932"/>
    <w:rsid w:val="00EB729B"/>
    <w:rsid w:val="00EE3C96"/>
    <w:rsid w:val="00EF1691"/>
    <w:rsid w:val="00EF4347"/>
    <w:rsid w:val="00F03263"/>
    <w:rsid w:val="00F0653C"/>
    <w:rsid w:val="00F24671"/>
    <w:rsid w:val="00F31C91"/>
    <w:rsid w:val="00F40DDB"/>
    <w:rsid w:val="00F442A9"/>
    <w:rsid w:val="00F61494"/>
    <w:rsid w:val="00F6307E"/>
    <w:rsid w:val="00F74FD6"/>
    <w:rsid w:val="00F914AE"/>
    <w:rsid w:val="00FA7CD5"/>
    <w:rsid w:val="00FB0064"/>
    <w:rsid w:val="00FB7F4D"/>
    <w:rsid w:val="00FC2228"/>
    <w:rsid w:val="00FE0790"/>
    <w:rsid w:val="00FE36D2"/>
    <w:rsid w:val="00FF62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C4693AB"/>
  <w14:defaultImageDpi w14:val="96"/>
  <w15:docId w15:val="{38543DE8-094A-4C77-95F9-E27D94E0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565"/>
      </w:tabs>
      <w:spacing w:line="260" w:lineRule="exact"/>
    </w:pPr>
    <w:rPr>
      <w:rFonts w:ascii="Times New Roman" w:hAnsi="Times New Roman" w:cs="Times New Roman"/>
      <w:sz w:val="22"/>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EAEnBodyText">
    <w:name w:val="EMEA En Body Text"/>
    <w:basedOn w:val="Normal"/>
    <w:pPr>
      <w:tabs>
        <w:tab w:val="clear" w:pos="565"/>
      </w:tabs>
      <w:spacing w:before="120" w:after="120" w:line="240" w:lineRule="auto"/>
      <w:jc w:val="both"/>
    </w:pPr>
    <w:rPr>
      <w:lang w:val="en-US"/>
    </w:rPr>
  </w:style>
  <w:style w:type="paragraph" w:styleId="BalloonText">
    <w:name w:val="Balloon Text"/>
    <w:basedOn w:val="Normal"/>
    <w:link w:val="BalloonTextChar"/>
    <w:uiPriority w:val="99"/>
    <w:semiHidden/>
    <w:pPr>
      <w:spacing w:line="240" w:lineRule="auto"/>
    </w:pPr>
    <w:rPr>
      <w:sz w:val="16"/>
      <w:szCs w:val="16"/>
    </w:rPr>
  </w:style>
  <w:style w:type="character" w:customStyle="1" w:styleId="BalloonTextChar">
    <w:name w:val="Balloon Text Char"/>
    <w:link w:val="BalloonText"/>
    <w:uiPriority w:val="99"/>
    <w:semiHidden/>
    <w:locked/>
    <w:rPr>
      <w:rFonts w:ascii="Times New Roman" w:hAnsi="Times New Roman" w:cs="Times New Roman"/>
      <w:sz w:val="16"/>
      <w:szCs w:val="16"/>
      <w:lang w:val="en-GB" w:eastAsia="x-none"/>
    </w:rPr>
  </w:style>
  <w:style w:type="paragraph" w:customStyle="1" w:styleId="Default">
    <w:name w:val="Default"/>
    <w:pPr>
      <w:autoSpaceDE w:val="0"/>
      <w:autoSpaceDN w:val="0"/>
      <w:adjustRightInd w:val="0"/>
    </w:pPr>
    <w:rPr>
      <w:rFonts w:ascii="Times New Roman" w:hAnsi="Times New Roman" w:cs="Times New Roman"/>
      <w:color w:val="000000"/>
      <w:sz w:val="24"/>
      <w:szCs w:val="24"/>
      <w:lang w:eastAsia="lv-LV"/>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lear" w:pos="565"/>
        <w:tab w:val="center" w:pos="4535"/>
        <w:tab w:val="right" w:pos="9070"/>
      </w:tabs>
      <w:spacing w:line="240" w:lineRule="auto"/>
    </w:pPr>
  </w:style>
  <w:style w:type="character" w:customStyle="1" w:styleId="HeaderChar">
    <w:name w:val="Header Char"/>
    <w:link w:val="Header"/>
    <w:uiPriority w:val="99"/>
    <w:locked/>
    <w:rPr>
      <w:rFonts w:ascii="Times New Roman" w:hAnsi="Times New Roman" w:cs="Times New Roman"/>
      <w:sz w:val="20"/>
      <w:szCs w:val="20"/>
      <w:lang w:val="en-GB" w:eastAsia="x-none"/>
    </w:rPr>
  </w:style>
  <w:style w:type="paragraph" w:styleId="Footer">
    <w:name w:val="footer"/>
    <w:basedOn w:val="Normal"/>
    <w:link w:val="FooterChar"/>
    <w:uiPriority w:val="99"/>
    <w:pPr>
      <w:tabs>
        <w:tab w:val="clear" w:pos="565"/>
        <w:tab w:val="center" w:pos="4535"/>
        <w:tab w:val="right" w:pos="9070"/>
      </w:tabs>
      <w:spacing w:line="240" w:lineRule="auto"/>
    </w:pPr>
  </w:style>
  <w:style w:type="character" w:customStyle="1" w:styleId="FooterChar">
    <w:name w:val="Footer Char"/>
    <w:link w:val="Footer"/>
    <w:uiPriority w:val="99"/>
    <w:locked/>
    <w:rPr>
      <w:rFonts w:ascii="Times New Roman" w:hAnsi="Times New Roman" w:cs="Times New Roman"/>
      <w:sz w:val="20"/>
      <w:szCs w:val="20"/>
      <w:lang w:val="en-GB" w:eastAsia="x-none"/>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sz w:val="20"/>
    </w:rPr>
  </w:style>
  <w:style w:type="character" w:customStyle="1" w:styleId="CommentTextChar">
    <w:name w:val="Comment Text Char"/>
    <w:link w:val="CommentText"/>
    <w:uiPriority w:val="99"/>
    <w:semiHidden/>
    <w:locked/>
    <w:rPr>
      <w:rFonts w:ascii="Times New Roman" w:hAnsi="Times New Roman" w:cs="Times New Roman"/>
      <w:sz w:val="20"/>
      <w:szCs w:val="20"/>
      <w:lang w:val="en-GB" w:eastAsia="x-none"/>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Times New Roman" w:hAnsi="Times New Roman" w:cs="Times New Roman"/>
      <w:b/>
      <w:bCs/>
      <w:sz w:val="20"/>
      <w:szCs w:val="20"/>
      <w:lang w:val="en-GB" w:eastAsia="x-none"/>
    </w:rPr>
  </w:style>
  <w:style w:type="paragraph" w:styleId="Revision">
    <w:name w:val="Revision"/>
    <w:hidden/>
    <w:uiPriority w:val="99"/>
    <w:semiHidden/>
    <w:rPr>
      <w:rFonts w:ascii="Times New Roman" w:hAnsi="Times New Roman" w:cs="Times New Roman"/>
      <w:sz w:val="22"/>
      <w:lang w:val="en-GB" w:eastAsia="lv-LV"/>
    </w:rPr>
  </w:style>
  <w:style w:type="character" w:customStyle="1" w:styleId="tw4winMark">
    <w:name w:val="tw4winMark"/>
    <w:uiPriority w:val="99"/>
    <w:rPr>
      <w:rFonts w:ascii="Courier New" w:hAnsi="Courier New"/>
      <w:vanish/>
      <w:color w:val="800080"/>
      <w:sz w:val="24"/>
      <w:vertAlign w:val="subscript"/>
    </w:rPr>
  </w:style>
  <w:style w:type="character" w:styleId="Hyperlink">
    <w:name w:val="Hyperlink"/>
    <w:uiPriority w:val="99"/>
    <w:semiHidden/>
    <w:rPr>
      <w:rFonts w:cs="Times New Roman"/>
      <w:color w:val="0000FF"/>
      <w:u w:val="single"/>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43201">
      <w:bodyDiv w:val="1"/>
      <w:marLeft w:val="0"/>
      <w:marRight w:val="0"/>
      <w:marTop w:val="0"/>
      <w:marBottom w:val="0"/>
      <w:divBdr>
        <w:top w:val="none" w:sz="0" w:space="0" w:color="auto"/>
        <w:left w:val="none" w:sz="0" w:space="0" w:color="auto"/>
        <w:bottom w:val="none" w:sz="0" w:space="0" w:color="auto"/>
        <w:right w:val="none" w:sz="0" w:space="0" w:color="auto"/>
      </w:divBdr>
    </w:div>
    <w:div w:id="399520929">
      <w:bodyDiv w:val="1"/>
      <w:marLeft w:val="0"/>
      <w:marRight w:val="0"/>
      <w:marTop w:val="0"/>
      <w:marBottom w:val="0"/>
      <w:divBdr>
        <w:top w:val="none" w:sz="0" w:space="0" w:color="auto"/>
        <w:left w:val="none" w:sz="0" w:space="0" w:color="auto"/>
        <w:bottom w:val="none" w:sz="0" w:space="0" w:color="auto"/>
        <w:right w:val="none" w:sz="0" w:space="0" w:color="auto"/>
      </w:divBdr>
      <w:divsChild>
        <w:div w:id="1903978691">
          <w:marLeft w:val="0"/>
          <w:marRight w:val="0"/>
          <w:marTop w:val="0"/>
          <w:marBottom w:val="0"/>
          <w:divBdr>
            <w:top w:val="none" w:sz="0" w:space="0" w:color="auto"/>
            <w:left w:val="none" w:sz="0" w:space="0" w:color="auto"/>
            <w:bottom w:val="none" w:sz="0" w:space="0" w:color="auto"/>
            <w:right w:val="none" w:sz="0" w:space="0" w:color="auto"/>
          </w:divBdr>
          <w:divsChild>
            <w:div w:id="3575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16961">
      <w:bodyDiv w:val="1"/>
      <w:marLeft w:val="0"/>
      <w:marRight w:val="0"/>
      <w:marTop w:val="0"/>
      <w:marBottom w:val="0"/>
      <w:divBdr>
        <w:top w:val="none" w:sz="0" w:space="0" w:color="auto"/>
        <w:left w:val="none" w:sz="0" w:space="0" w:color="auto"/>
        <w:bottom w:val="none" w:sz="0" w:space="0" w:color="auto"/>
        <w:right w:val="none" w:sz="0" w:space="0" w:color="auto"/>
      </w:divBdr>
    </w:div>
    <w:div w:id="816605716">
      <w:bodyDiv w:val="1"/>
      <w:marLeft w:val="0"/>
      <w:marRight w:val="0"/>
      <w:marTop w:val="0"/>
      <w:marBottom w:val="0"/>
      <w:divBdr>
        <w:top w:val="none" w:sz="0" w:space="0" w:color="auto"/>
        <w:left w:val="none" w:sz="0" w:space="0" w:color="auto"/>
        <w:bottom w:val="none" w:sz="0" w:space="0" w:color="auto"/>
        <w:right w:val="none" w:sz="0" w:space="0" w:color="auto"/>
      </w:divBdr>
    </w:div>
    <w:div w:id="918758400">
      <w:bodyDiv w:val="1"/>
      <w:marLeft w:val="0"/>
      <w:marRight w:val="0"/>
      <w:marTop w:val="0"/>
      <w:marBottom w:val="0"/>
      <w:divBdr>
        <w:top w:val="none" w:sz="0" w:space="0" w:color="auto"/>
        <w:left w:val="none" w:sz="0" w:space="0" w:color="auto"/>
        <w:bottom w:val="none" w:sz="0" w:space="0" w:color="auto"/>
        <w:right w:val="none" w:sz="0" w:space="0" w:color="auto"/>
      </w:divBdr>
    </w:div>
    <w:div w:id="1284338461">
      <w:bodyDiv w:val="1"/>
      <w:marLeft w:val="0"/>
      <w:marRight w:val="0"/>
      <w:marTop w:val="0"/>
      <w:marBottom w:val="0"/>
      <w:divBdr>
        <w:top w:val="none" w:sz="0" w:space="0" w:color="auto"/>
        <w:left w:val="none" w:sz="0" w:space="0" w:color="auto"/>
        <w:bottom w:val="none" w:sz="0" w:space="0" w:color="auto"/>
        <w:right w:val="none" w:sz="0" w:space="0" w:color="auto"/>
      </w:divBdr>
    </w:div>
    <w:div w:id="1793286398">
      <w:bodyDiv w:val="1"/>
      <w:marLeft w:val="0"/>
      <w:marRight w:val="0"/>
      <w:marTop w:val="0"/>
      <w:marBottom w:val="0"/>
      <w:divBdr>
        <w:top w:val="none" w:sz="0" w:space="0" w:color="auto"/>
        <w:left w:val="none" w:sz="0" w:space="0" w:color="auto"/>
        <w:bottom w:val="none" w:sz="0" w:space="0" w:color="auto"/>
        <w:right w:val="none" w:sz="0" w:space="0" w:color="auto"/>
      </w:divBdr>
    </w:div>
    <w:div w:id="189191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va.gov.l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6161AA78E4354FBC4919F68D2AA10E" ma:contentTypeVersion="28" ma:contentTypeDescription="Create a new document." ma:contentTypeScope="" ma:versionID="f07d9413f6c2f1fd6f62c9c779925026">
  <xsd:schema xmlns:xsd="http://www.w3.org/2001/XMLSchema" xmlns:xs="http://www.w3.org/2001/XMLSchema" xmlns:p="http://schemas.microsoft.com/office/2006/metadata/properties" xmlns:ns2="http://schemas.microsoft.com/sharepoint/v4" xmlns:ns3="82db5bd2-3f09-4eff-b4f8-de6a53cd5a02" targetNamespace="http://schemas.microsoft.com/office/2006/metadata/properties" ma:root="true" ma:fieldsID="21c383961ba268f75156adb0319cd7aa" ns2:_="" ns3:_="">
    <xsd:import namespace="http://schemas.microsoft.com/sharepoint/v4"/>
    <xsd:import namespace="82db5bd2-3f09-4eff-b4f8-de6a53cd5a02"/>
    <xsd:element name="properties">
      <xsd:complexType>
        <xsd:sequence>
          <xsd:element name="documentManagement">
            <xsd:complexType>
              <xsd:all>
                <xsd:element ref="ns2:IconOverlay" minOccurs="0"/>
                <xsd:element ref="ns3:Procedure_number" minOccurs="0"/>
                <xsd:element ref="ns3:Trade_x0020_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b5bd2-3f09-4eff-b4f8-de6a53cd5a02" elementFormDefault="qualified">
    <xsd:import namespace="http://schemas.microsoft.com/office/2006/documentManagement/types"/>
    <xsd:import namespace="http://schemas.microsoft.com/office/infopath/2007/PartnerControls"/>
    <xsd:element name="Procedure_number" ma:index="9" nillable="true" ma:displayName="Procedure number" ma:internalName="Procedure_number">
      <xsd:simpleType>
        <xsd:restriction base="dms:Text">
          <xsd:maxLength value="255"/>
        </xsd:restriction>
      </xsd:simpleType>
    </xsd:element>
    <xsd:element name="Trade_x0020_name" ma:index="10" nillable="true" ma:displayName="Trade name" ma:internalName="Trade_x0020_name" ma:readOnly="false">
      <xsd:simpleType>
        <xsd:restriction base="dms:Text">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dure_number xmlns="82db5bd2-3f09-4eff-b4f8-de6a53cd5a02" xsi:nil="true"/>
    <IconOverlay xmlns="http://schemas.microsoft.com/sharepoint/v4" xsi:nil="true"/>
    <Trade_x0020_name xmlns="82db5bd2-3f09-4eff-b4f8-de6a53cd5a02" xsi:nil="true"/>
  </documentManagement>
</p:properties>
</file>

<file path=customXml/itemProps1.xml><?xml version="1.0" encoding="utf-8"?>
<ds:datastoreItem xmlns:ds="http://schemas.openxmlformats.org/officeDocument/2006/customXml" ds:itemID="{1CE45E1E-4417-4C57-BCAC-4576C3F071F7}">
  <ds:schemaRefs>
    <ds:schemaRef ds:uri="http://schemas.microsoft.com/sharepoint/v3/contenttype/forms"/>
  </ds:schemaRefs>
</ds:datastoreItem>
</file>

<file path=customXml/itemProps2.xml><?xml version="1.0" encoding="utf-8"?>
<ds:datastoreItem xmlns:ds="http://schemas.openxmlformats.org/officeDocument/2006/customXml" ds:itemID="{8AF87AFD-687E-4EDA-96D5-061159252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82db5bd2-3f09-4eff-b4f8-de6a53cd5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86F0B5-4D80-4A10-A122-F36BFF9E06C9}">
  <ds:schemaRefs>
    <ds:schemaRef ds:uri="http://schemas.microsoft.com/office/2006/metadata/properties"/>
    <ds:schemaRef ds:uri="http://schemas.microsoft.com/office/infopath/2007/PartnerControls"/>
    <ds:schemaRef ds:uri="82db5bd2-3f09-4eff-b4f8-de6a53cd5a02"/>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5384</Words>
  <Characters>37722</Characters>
  <Application>Microsoft Office Word</Application>
  <DocSecurity>0</DocSecurity>
  <Lines>314</Lines>
  <Paragraphs>86</Paragraphs>
  <ScaleCrop>false</ScaleCrop>
  <HeadingPairs>
    <vt:vector size="6" baseType="variant">
      <vt:variant>
        <vt:lpstr>Title</vt:lpstr>
      </vt:variant>
      <vt:variant>
        <vt:i4>1</vt:i4>
      </vt:variant>
      <vt:variant>
        <vt:lpstr>Tytuł</vt:lpstr>
      </vt:variant>
      <vt:variant>
        <vt:i4>1</vt:i4>
      </vt:variant>
      <vt:variant>
        <vt:lpstr>Nosaukums</vt:lpstr>
      </vt:variant>
      <vt:variant>
        <vt:i4>1</vt:i4>
      </vt:variant>
    </vt:vector>
  </HeadingPairs>
  <TitlesOfParts>
    <vt:vector size="3" baseType="lpstr">
      <vt:lpstr/>
      <vt:lpstr/>
      <vt:lpstr/>
    </vt:vector>
  </TitlesOfParts>
  <Company/>
  <LinksUpToDate>false</LinksUpToDate>
  <CharactersWithSpaces>43020</CharactersWithSpaces>
  <SharedDoc>false</SharedDoc>
  <HLinks>
    <vt:vector size="6" baseType="variant">
      <vt:variant>
        <vt:i4>6422591</vt:i4>
      </vt:variant>
      <vt:variant>
        <vt:i4>3</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Ania_w</dc:creator>
  <cp:keywords/>
  <dc:description/>
  <cp:lastModifiedBy>Skaidrīte Lapsenīte</cp:lastModifiedBy>
  <cp:revision>4</cp:revision>
  <cp:lastPrinted>2019-05-02T11:42:00Z</cp:lastPrinted>
  <dcterms:created xsi:type="dcterms:W3CDTF">2022-04-05T10:11:00Z</dcterms:created>
  <dcterms:modified xsi:type="dcterms:W3CDTF">2022-08-10T05:27:00Z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0x010100A46161AA78E4354FBC4919F68D2AA10E</vt:lpwstr>
  </property>
  <property fmtid="{D5CDD505-2E9C-101B-9397-08002B2CF9AE}" pid="3" name="MSIP_Label_52c6716a-2832-4ee8-8ee5-b4471006f0c1_Enabled">
    <vt:lpwstr>true</vt:lpwstr>
  </property>
  <property fmtid="{D5CDD505-2E9C-101B-9397-08002B2CF9AE}" pid="4" name="MSIP_Label_52c6716a-2832-4ee8-8ee5-b4471006f0c1_SetDate">
    <vt:lpwstr>2021-04-20T08:49:34Z</vt:lpwstr>
  </property>
  <property fmtid="{D5CDD505-2E9C-101B-9397-08002B2CF9AE}" pid="5" name="MSIP_Label_52c6716a-2832-4ee8-8ee5-b4471006f0c1_Method">
    <vt:lpwstr>Privileged</vt:lpwstr>
  </property>
  <property fmtid="{D5CDD505-2E9C-101B-9397-08002B2CF9AE}" pid="6" name="MSIP_Label_52c6716a-2832-4ee8-8ee5-b4471006f0c1_Name">
    <vt:lpwstr>Poufne – Bez Oznaczeń</vt:lpwstr>
  </property>
  <property fmtid="{D5CDD505-2E9C-101B-9397-08002B2CF9AE}" pid="7" name="MSIP_Label_52c6716a-2832-4ee8-8ee5-b4471006f0c1_SiteId">
    <vt:lpwstr>edf3cfc4-ee60-4b92-a2cb-da2c123fc895</vt:lpwstr>
  </property>
  <property fmtid="{D5CDD505-2E9C-101B-9397-08002B2CF9AE}" pid="8" name="MSIP_Label_52c6716a-2832-4ee8-8ee5-b4471006f0c1_ActionId">
    <vt:lpwstr>a30d535f-794d-476c-8607-90152661101b</vt:lpwstr>
  </property>
  <property fmtid="{D5CDD505-2E9C-101B-9397-08002B2CF9AE}" pid="9" name="MSIP_Label_52c6716a-2832-4ee8-8ee5-b4471006f0c1_ContentBits">
    <vt:lpwstr>0</vt:lpwstr>
  </property>
</Properties>
</file>