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5292" w14:textId="77777777" w:rsidR="005F157B" w:rsidRPr="00243FEE" w:rsidRDefault="005F157B" w:rsidP="0019572E">
      <w:pPr>
        <w:spacing w:line="240" w:lineRule="auto"/>
        <w:jc w:val="center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ZĀĻU APRAKSTS</w:t>
      </w:r>
    </w:p>
    <w:p w14:paraId="37937A3D" w14:textId="77777777" w:rsidR="005F157B" w:rsidRPr="00243FEE" w:rsidRDefault="005F157B" w:rsidP="0019572E">
      <w:pPr>
        <w:spacing w:line="240" w:lineRule="auto"/>
        <w:jc w:val="left"/>
        <w:rPr>
          <w:rFonts w:cs="Times New Roman"/>
          <w:b/>
          <w:sz w:val="22"/>
        </w:rPr>
      </w:pPr>
    </w:p>
    <w:p w14:paraId="2FC54FC7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1.</w:t>
      </w:r>
      <w:r w:rsidRPr="00243FEE">
        <w:rPr>
          <w:rFonts w:cs="Times New Roman"/>
          <w:b/>
          <w:sz w:val="22"/>
        </w:rPr>
        <w:tab/>
        <w:t>ZĀĻU NOSAUKUMS</w:t>
      </w:r>
    </w:p>
    <w:p w14:paraId="3F92420F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sz w:val="22"/>
        </w:rPr>
      </w:pPr>
    </w:p>
    <w:p w14:paraId="68FD1F33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Minoxidil </w:t>
      </w:r>
      <w:r w:rsidR="0059262B" w:rsidRPr="00243FEE">
        <w:rPr>
          <w:rFonts w:cs="Times New Roman"/>
          <w:sz w:val="22"/>
        </w:rPr>
        <w:t>Inteli</w:t>
      </w:r>
      <w:r w:rsidR="00810E2F" w:rsidRPr="00243FEE">
        <w:rPr>
          <w:rFonts w:cs="Times New Roman"/>
          <w:sz w:val="22"/>
        </w:rPr>
        <w:t> </w:t>
      </w:r>
      <w:r w:rsidR="00382A2D" w:rsidRPr="00243FEE">
        <w:rPr>
          <w:rFonts w:cs="Times New Roman"/>
          <w:sz w:val="22"/>
        </w:rPr>
        <w:t>5</w:t>
      </w:r>
      <w:r w:rsidR="00F57D6B" w:rsidRPr="00243FEE">
        <w:rPr>
          <w:rFonts w:cs="Times New Roman"/>
          <w:sz w:val="22"/>
        </w:rPr>
        <w:t xml:space="preserve">0 mg/ml </w:t>
      </w:r>
      <w:r w:rsidRPr="00243FEE">
        <w:rPr>
          <w:rFonts w:cs="Times New Roman"/>
          <w:sz w:val="22"/>
        </w:rPr>
        <w:t>uz ādas lietojams šķīdums</w:t>
      </w:r>
    </w:p>
    <w:p w14:paraId="51A2DAFE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6FB81897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04943C4A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2.</w:t>
      </w:r>
      <w:r w:rsidRPr="00243FEE">
        <w:rPr>
          <w:rFonts w:cs="Times New Roman"/>
          <w:b/>
          <w:sz w:val="22"/>
        </w:rPr>
        <w:tab/>
        <w:t>KVALITATĪVAIS UN KVANTITATĪVAIS SASTĀVS</w:t>
      </w:r>
    </w:p>
    <w:p w14:paraId="45D997DB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47A39682" w14:textId="77777777" w:rsidR="005F157B" w:rsidRPr="00243FEE" w:rsidRDefault="00382A2D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Viens ml šķīduma satur 5</w:t>
      </w:r>
      <w:r w:rsidR="005F157B" w:rsidRPr="00243FEE">
        <w:rPr>
          <w:rFonts w:cs="Times New Roman"/>
          <w:sz w:val="22"/>
        </w:rPr>
        <w:t>0 mg minoksidila</w:t>
      </w:r>
      <w:r w:rsidR="00501F70" w:rsidRPr="00243FEE">
        <w:rPr>
          <w:rFonts w:cs="Times New Roman"/>
          <w:sz w:val="22"/>
        </w:rPr>
        <w:t xml:space="preserve"> (</w:t>
      </w:r>
      <w:r w:rsidR="002A7B04" w:rsidRPr="00243FEE">
        <w:rPr>
          <w:rFonts w:cs="Times New Roman"/>
          <w:i/>
          <w:sz w:val="22"/>
        </w:rPr>
        <w:t>M</w:t>
      </w:r>
      <w:r w:rsidR="00501F70" w:rsidRPr="00243FEE">
        <w:rPr>
          <w:rFonts w:cs="Times New Roman"/>
          <w:i/>
          <w:sz w:val="22"/>
        </w:rPr>
        <w:t>inoxidilum</w:t>
      </w:r>
      <w:r w:rsidR="00501F70" w:rsidRPr="00243FEE">
        <w:rPr>
          <w:rFonts w:cs="Times New Roman"/>
          <w:sz w:val="22"/>
        </w:rPr>
        <w:t>)</w:t>
      </w:r>
      <w:r w:rsidR="005F157B" w:rsidRPr="00243FEE">
        <w:rPr>
          <w:rFonts w:cs="Times New Roman"/>
          <w:sz w:val="22"/>
        </w:rPr>
        <w:t>.</w:t>
      </w:r>
    </w:p>
    <w:p w14:paraId="69D1CCEB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30AF4F74" w14:textId="77777777" w:rsidR="00F90FE9" w:rsidRPr="00243FEE" w:rsidRDefault="00F90FE9" w:rsidP="00F90FE9">
      <w:pPr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Palīgviela ar zināmu iedarbību</w:t>
      </w:r>
    </w:p>
    <w:p w14:paraId="5087E730" w14:textId="0A9A36BD" w:rsidR="00810E2F" w:rsidRPr="00243FEE" w:rsidRDefault="00810E2F" w:rsidP="00810E2F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Viens ml šķīduma satur 520 m</w:t>
      </w:r>
      <w:r w:rsidR="006A7FDD" w:rsidRPr="00243FEE">
        <w:rPr>
          <w:rFonts w:cs="Times New Roman"/>
          <w:sz w:val="22"/>
        </w:rPr>
        <w:t>g</w:t>
      </w:r>
      <w:r w:rsidRPr="00243FEE">
        <w:rPr>
          <w:rFonts w:cs="Times New Roman"/>
          <w:sz w:val="22"/>
        </w:rPr>
        <w:t xml:space="preserve"> propilēnglikola un </w:t>
      </w:r>
      <w:bookmarkStart w:id="0" w:name="_Hlk55291926"/>
      <w:r w:rsidRPr="00243FEE">
        <w:rPr>
          <w:rFonts w:cs="Times New Roman"/>
          <w:sz w:val="22"/>
        </w:rPr>
        <w:t>243 m</w:t>
      </w:r>
      <w:r w:rsidR="006A7FDD" w:rsidRPr="00243FEE">
        <w:rPr>
          <w:rFonts w:cs="Times New Roman"/>
          <w:sz w:val="22"/>
        </w:rPr>
        <w:t>g</w:t>
      </w:r>
      <w:r w:rsidRPr="00243FEE">
        <w:rPr>
          <w:rFonts w:cs="Times New Roman"/>
          <w:sz w:val="22"/>
        </w:rPr>
        <w:t xml:space="preserve"> etilspirta (96 %)</w:t>
      </w:r>
      <w:bookmarkEnd w:id="0"/>
      <w:r w:rsidRPr="00243FEE">
        <w:rPr>
          <w:rFonts w:cs="Times New Roman"/>
          <w:sz w:val="22"/>
        </w:rPr>
        <w:t>.</w:t>
      </w:r>
    </w:p>
    <w:p w14:paraId="08BCF24F" w14:textId="77777777" w:rsidR="00810E2F" w:rsidRPr="00243FEE" w:rsidRDefault="00810E2F" w:rsidP="0019572E">
      <w:pPr>
        <w:spacing w:line="240" w:lineRule="auto"/>
        <w:jc w:val="left"/>
        <w:rPr>
          <w:rFonts w:cs="Times New Roman"/>
          <w:sz w:val="22"/>
        </w:rPr>
      </w:pPr>
    </w:p>
    <w:p w14:paraId="53A87A51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Pilnu palīgvielu sarakstu skatīt 6.1. apakšpunktā.</w:t>
      </w:r>
    </w:p>
    <w:p w14:paraId="0169696B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43FDE83E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7EC3591B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3.</w:t>
      </w:r>
      <w:r w:rsidRPr="00243FEE">
        <w:rPr>
          <w:rFonts w:cs="Times New Roman"/>
          <w:b/>
          <w:sz w:val="22"/>
        </w:rPr>
        <w:tab/>
        <w:t>ZĀĻU FORMA</w:t>
      </w:r>
    </w:p>
    <w:p w14:paraId="273E4A29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1BAFC95C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Uz ādas lietojams šķīdums.</w:t>
      </w:r>
    </w:p>
    <w:p w14:paraId="41CC8652" w14:textId="13C44CD5" w:rsidR="005F157B" w:rsidRPr="00243FEE" w:rsidRDefault="00511861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C</w:t>
      </w:r>
      <w:r w:rsidR="003866C4" w:rsidRPr="00243FEE">
        <w:rPr>
          <w:rFonts w:cs="Times New Roman"/>
          <w:sz w:val="22"/>
        </w:rPr>
        <w:t xml:space="preserve">aurspīdīgs, </w:t>
      </w:r>
      <w:r w:rsidR="005F157B" w:rsidRPr="00243FEE">
        <w:rPr>
          <w:rFonts w:cs="Times New Roman"/>
          <w:sz w:val="22"/>
        </w:rPr>
        <w:t>bezkrāsains</w:t>
      </w:r>
      <w:r w:rsidR="00382A2D" w:rsidRPr="00243FEE">
        <w:rPr>
          <w:rFonts w:cs="Times New Roman"/>
          <w:sz w:val="22"/>
        </w:rPr>
        <w:t xml:space="preserve"> līdz nedaudz dzelten</w:t>
      </w:r>
      <w:r w:rsidR="002F0C3D" w:rsidRPr="00243FEE">
        <w:rPr>
          <w:rFonts w:cs="Times New Roman"/>
          <w:sz w:val="22"/>
        </w:rPr>
        <w:t>īgi</w:t>
      </w:r>
      <w:r w:rsidR="00382A2D" w:rsidRPr="00243FEE">
        <w:rPr>
          <w:rFonts w:cs="Times New Roman"/>
          <w:sz w:val="22"/>
        </w:rPr>
        <w:t>-brūns šķīdums</w:t>
      </w:r>
      <w:r w:rsidR="00501F70" w:rsidRPr="00243FEE">
        <w:rPr>
          <w:rFonts w:cs="Times New Roman"/>
          <w:sz w:val="22"/>
        </w:rPr>
        <w:t xml:space="preserve"> ar </w:t>
      </w:r>
      <w:r w:rsidR="00372F3B" w:rsidRPr="00243FEE">
        <w:rPr>
          <w:rFonts w:cs="Times New Roman"/>
          <w:sz w:val="22"/>
        </w:rPr>
        <w:t>etilspirta</w:t>
      </w:r>
      <w:r w:rsidR="00021C96" w:rsidRPr="00243FEE">
        <w:rPr>
          <w:rFonts w:cs="Times New Roman"/>
          <w:sz w:val="22"/>
        </w:rPr>
        <w:t xml:space="preserve"> </w:t>
      </w:r>
      <w:r w:rsidR="00501F70" w:rsidRPr="00243FEE">
        <w:rPr>
          <w:rFonts w:cs="Times New Roman"/>
          <w:sz w:val="22"/>
        </w:rPr>
        <w:t>smaržu</w:t>
      </w:r>
      <w:r w:rsidR="005F157B" w:rsidRPr="00243FEE">
        <w:rPr>
          <w:rFonts w:cs="Times New Roman"/>
          <w:sz w:val="22"/>
        </w:rPr>
        <w:t>.</w:t>
      </w:r>
    </w:p>
    <w:p w14:paraId="5E49BE98" w14:textId="77777777" w:rsidR="00501F70" w:rsidRPr="00243FEE" w:rsidRDefault="00501F70" w:rsidP="0019572E">
      <w:pPr>
        <w:spacing w:line="240" w:lineRule="auto"/>
        <w:jc w:val="left"/>
        <w:rPr>
          <w:rFonts w:cs="Times New Roman"/>
          <w:sz w:val="22"/>
        </w:rPr>
      </w:pPr>
    </w:p>
    <w:p w14:paraId="4E21C002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7FCFF10D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</w:t>
      </w:r>
      <w:r w:rsidRPr="00243FEE">
        <w:rPr>
          <w:rFonts w:cs="Times New Roman"/>
          <w:b/>
          <w:sz w:val="22"/>
        </w:rPr>
        <w:tab/>
        <w:t>KLĪNISKĀ INFORMĀCIJA</w:t>
      </w:r>
    </w:p>
    <w:p w14:paraId="675F883D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56FA8A90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4.1.</w:t>
      </w:r>
      <w:r w:rsidRPr="00243FEE">
        <w:rPr>
          <w:rFonts w:cs="Times New Roman"/>
          <w:b/>
          <w:sz w:val="22"/>
        </w:rPr>
        <w:tab/>
        <w:t>Terapeitiskās indikācijas</w:t>
      </w:r>
    </w:p>
    <w:p w14:paraId="64A2A08F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4DF67D84" w14:textId="6CC4469E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Lokāli lietojams šķīdums androgēn</w:t>
      </w:r>
      <w:r w:rsidR="00BE2F1E" w:rsidRPr="00243FEE">
        <w:rPr>
          <w:rFonts w:cs="Times New Roman"/>
          <w:sz w:val="22"/>
        </w:rPr>
        <w:t>ā</w:t>
      </w:r>
      <w:r w:rsidRPr="00243FEE">
        <w:rPr>
          <w:rFonts w:cs="Times New Roman"/>
          <w:sz w:val="22"/>
        </w:rPr>
        <w:t xml:space="preserve">s </w:t>
      </w:r>
      <w:r w:rsidR="00BE2F1E" w:rsidRPr="00243FEE">
        <w:rPr>
          <w:rFonts w:cs="Times New Roman"/>
          <w:sz w:val="22"/>
        </w:rPr>
        <w:t>alopēcijas</w:t>
      </w:r>
      <w:r w:rsidR="0084325B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ārstēšanai vīriešiem.</w:t>
      </w:r>
    </w:p>
    <w:p w14:paraId="043A1C8E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446620C5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4.2.</w:t>
      </w:r>
      <w:r w:rsidRPr="00243FEE">
        <w:rPr>
          <w:rFonts w:cs="Times New Roman"/>
          <w:b/>
          <w:sz w:val="22"/>
        </w:rPr>
        <w:tab/>
        <w:t>Devas un lietošanas veids</w:t>
      </w:r>
    </w:p>
    <w:p w14:paraId="1D03ED5A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3AB5499F" w14:textId="77777777" w:rsidR="005A762F" w:rsidRPr="00243FEE" w:rsidRDefault="005A762F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Devas</w:t>
      </w:r>
    </w:p>
    <w:p w14:paraId="57D62DE1" w14:textId="77777777" w:rsidR="005A762F" w:rsidRPr="00243FEE" w:rsidRDefault="005A762F" w:rsidP="00F503EB">
      <w:pPr>
        <w:keepNext/>
        <w:spacing w:line="240" w:lineRule="auto"/>
        <w:jc w:val="left"/>
        <w:rPr>
          <w:rFonts w:cs="Times New Roman"/>
          <w:sz w:val="22"/>
        </w:rPr>
      </w:pPr>
    </w:p>
    <w:p w14:paraId="4EAAF7C4" w14:textId="77777777" w:rsidR="005A762F" w:rsidRPr="00243FEE" w:rsidRDefault="005A762F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Ieteicamā diennakts deva ir 1 ml/12 stundās (atbilst 10 izsmidzinājumiem), kas uzklāts uz galvas ādas</w:t>
      </w:r>
      <w:r w:rsidR="008E3FFF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sākot no apstrādājamā laukuma centra.</w:t>
      </w:r>
    </w:p>
    <w:p w14:paraId="0FEFEAAE" w14:textId="77777777" w:rsidR="00426CF2" w:rsidRPr="00243FEE" w:rsidRDefault="00426CF2" w:rsidP="0019572E">
      <w:pPr>
        <w:spacing w:line="240" w:lineRule="auto"/>
        <w:jc w:val="left"/>
        <w:rPr>
          <w:rFonts w:cs="Times New Roman"/>
          <w:sz w:val="22"/>
        </w:rPr>
      </w:pPr>
    </w:p>
    <w:p w14:paraId="020ACBD6" w14:textId="77777777" w:rsidR="005A762F" w:rsidRPr="00243FEE" w:rsidRDefault="005A762F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Ieteicamā deva ir jāievēro</w:t>
      </w:r>
      <w:r w:rsidR="001D1706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neskatoties uz alopēcijas apmēru.</w:t>
      </w:r>
    </w:p>
    <w:p w14:paraId="733A942D" w14:textId="77777777" w:rsidR="00426CF2" w:rsidRPr="00243FEE" w:rsidRDefault="00426CF2" w:rsidP="0019572E">
      <w:pPr>
        <w:spacing w:line="240" w:lineRule="auto"/>
        <w:jc w:val="left"/>
        <w:rPr>
          <w:rFonts w:cs="Times New Roman"/>
          <w:sz w:val="22"/>
        </w:rPr>
      </w:pPr>
    </w:p>
    <w:p w14:paraId="29536E79" w14:textId="77777777" w:rsidR="005A762F" w:rsidRPr="00243FEE" w:rsidRDefault="005A762F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Maksimālā ieteicamā </w:t>
      </w:r>
      <w:r w:rsidR="002F1D2F" w:rsidRPr="00243FEE">
        <w:rPr>
          <w:rFonts w:cs="Times New Roman"/>
          <w:sz w:val="22"/>
        </w:rPr>
        <w:t>dien</w:t>
      </w:r>
      <w:r w:rsidR="00535BA4" w:rsidRPr="00243FEE">
        <w:rPr>
          <w:rFonts w:cs="Times New Roman"/>
          <w:sz w:val="22"/>
        </w:rPr>
        <w:t>nakts</w:t>
      </w:r>
      <w:r w:rsidR="00530C60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deva ir 2 ml</w:t>
      </w:r>
      <w:r w:rsidR="0019572E" w:rsidRPr="00243FEE">
        <w:rPr>
          <w:rFonts w:cs="Times New Roman"/>
          <w:sz w:val="22"/>
        </w:rPr>
        <w:t>.</w:t>
      </w:r>
    </w:p>
    <w:p w14:paraId="00C1E690" w14:textId="77777777" w:rsidR="005A762F" w:rsidRPr="00243FEE" w:rsidRDefault="005A762F" w:rsidP="0019572E">
      <w:pPr>
        <w:spacing w:line="240" w:lineRule="auto"/>
        <w:jc w:val="left"/>
        <w:rPr>
          <w:rFonts w:cs="Times New Roman"/>
          <w:sz w:val="22"/>
        </w:rPr>
      </w:pPr>
    </w:p>
    <w:p w14:paraId="29B6C42F" w14:textId="77777777" w:rsidR="005A762F" w:rsidRPr="00243FEE" w:rsidRDefault="005A762F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Lietošanas veids</w:t>
      </w:r>
    </w:p>
    <w:p w14:paraId="6390F672" w14:textId="77777777" w:rsidR="005A762F" w:rsidRPr="00243FEE" w:rsidRDefault="005A762F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4B4B61AC" w14:textId="77777777" w:rsidR="005A762F" w:rsidRPr="00243FEE" w:rsidRDefault="005A762F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Uzklāt uz pilnīgi sausas galvas ādas, sākot no apstrādājam</w:t>
      </w:r>
      <w:r w:rsidR="00EB4232" w:rsidRPr="00243FEE">
        <w:rPr>
          <w:rFonts w:cs="Times New Roman"/>
          <w:sz w:val="22"/>
        </w:rPr>
        <w:t>ā laukuma vidus</w:t>
      </w:r>
      <w:r w:rsidR="00426CF2" w:rsidRPr="00243FEE">
        <w:rPr>
          <w:rFonts w:cs="Times New Roman"/>
          <w:sz w:val="22"/>
        </w:rPr>
        <w:t xml:space="preserve">. Neuzklāt Minoxidil </w:t>
      </w:r>
      <w:r w:rsidR="0059262B" w:rsidRPr="00243FEE">
        <w:rPr>
          <w:rFonts w:cs="Times New Roman"/>
          <w:sz w:val="22"/>
        </w:rPr>
        <w:t>Inteli</w:t>
      </w:r>
      <w:r w:rsidR="00426CF2" w:rsidRPr="00243FEE">
        <w:rPr>
          <w:rFonts w:cs="Times New Roman"/>
          <w:sz w:val="22"/>
        </w:rPr>
        <w:t xml:space="preserve"> 5</w:t>
      </w:r>
      <w:r w:rsidR="00F57D6B" w:rsidRPr="00243FEE">
        <w:rPr>
          <w:rFonts w:cs="Times New Roman"/>
          <w:sz w:val="22"/>
        </w:rPr>
        <w:t>0 mg/ml</w:t>
      </w:r>
      <w:r w:rsidR="00EB4232" w:rsidRPr="00243FEE">
        <w:rPr>
          <w:rFonts w:cs="Times New Roman"/>
          <w:sz w:val="22"/>
        </w:rPr>
        <w:t xml:space="preserve"> uz citām ķermeņa daļām.</w:t>
      </w:r>
    </w:p>
    <w:p w14:paraId="25EED502" w14:textId="77777777" w:rsidR="00EB4232" w:rsidRPr="00243FEE" w:rsidRDefault="00EB4232" w:rsidP="0019572E">
      <w:pPr>
        <w:spacing w:line="240" w:lineRule="auto"/>
        <w:jc w:val="left"/>
        <w:rPr>
          <w:rFonts w:cs="Times New Roman"/>
          <w:sz w:val="22"/>
        </w:rPr>
      </w:pPr>
    </w:p>
    <w:p w14:paraId="566E792E" w14:textId="77777777" w:rsidR="00426CF2" w:rsidRPr="00243FEE" w:rsidRDefault="00426CF2" w:rsidP="00426CF2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Gan ārstēšanas ar Minoxidil </w:t>
      </w:r>
      <w:r w:rsidR="0059262B" w:rsidRPr="00243FEE">
        <w:rPr>
          <w:rFonts w:cs="Times New Roman"/>
          <w:sz w:val="22"/>
        </w:rPr>
        <w:t>Inteli</w:t>
      </w:r>
      <w:r w:rsidRPr="00243FEE">
        <w:rPr>
          <w:rFonts w:cs="Times New Roman"/>
          <w:sz w:val="22"/>
        </w:rPr>
        <w:t xml:space="preserve"> 5</w:t>
      </w:r>
      <w:r w:rsidR="00F57D6B" w:rsidRPr="00243FEE">
        <w:rPr>
          <w:rFonts w:cs="Times New Roman"/>
          <w:sz w:val="22"/>
        </w:rPr>
        <w:t>0 mg/ml</w:t>
      </w:r>
      <w:r w:rsidRPr="00243FEE">
        <w:rPr>
          <w:rFonts w:cs="Times New Roman"/>
          <w:sz w:val="22"/>
        </w:rPr>
        <w:t xml:space="preserve"> uzsākšana, gan atbildes reakcijas pakāpe ir individuāla katra</w:t>
      </w:r>
      <w:r w:rsidR="00DB52D6" w:rsidRPr="00243FEE">
        <w:rPr>
          <w:rFonts w:cs="Times New Roman"/>
          <w:sz w:val="22"/>
        </w:rPr>
        <w:t>m</w:t>
      </w:r>
      <w:r w:rsidRPr="00243FEE">
        <w:rPr>
          <w:rFonts w:cs="Times New Roman"/>
          <w:sz w:val="22"/>
        </w:rPr>
        <w:t xml:space="preserve"> pacientam; var būt nepieciešama 4 mēnešus ilga ārstēšana </w:t>
      </w:r>
      <w:r w:rsidR="008E3FFF" w:rsidRPr="00243FEE">
        <w:rPr>
          <w:rFonts w:cs="Times New Roman"/>
          <w:sz w:val="22"/>
        </w:rPr>
        <w:t>līdz efekta sasniegšanai (matu augšanas pazīmju parādīšanās)</w:t>
      </w:r>
      <w:r w:rsidRPr="00243FEE">
        <w:rPr>
          <w:rFonts w:cs="Times New Roman"/>
          <w:sz w:val="22"/>
        </w:rPr>
        <w:t>.</w:t>
      </w:r>
    </w:p>
    <w:p w14:paraId="672BB02D" w14:textId="77777777" w:rsidR="00426CF2" w:rsidRPr="00243FEE" w:rsidRDefault="00426CF2" w:rsidP="00426CF2">
      <w:pPr>
        <w:spacing w:line="240" w:lineRule="auto"/>
        <w:jc w:val="left"/>
        <w:rPr>
          <w:rFonts w:cs="Times New Roman"/>
          <w:sz w:val="22"/>
        </w:rPr>
      </w:pPr>
    </w:p>
    <w:p w14:paraId="12129FB8" w14:textId="77777777" w:rsidR="00426CF2" w:rsidRPr="00243FEE" w:rsidRDefault="00426CF2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Ja ārstēšana ar Minoxidil </w:t>
      </w:r>
      <w:r w:rsidR="0059262B" w:rsidRPr="00243FEE">
        <w:rPr>
          <w:rFonts w:cs="Times New Roman"/>
          <w:sz w:val="22"/>
        </w:rPr>
        <w:t>Inteli</w:t>
      </w:r>
      <w:r w:rsidRPr="00243FEE">
        <w:rPr>
          <w:rFonts w:cs="Times New Roman"/>
          <w:sz w:val="22"/>
        </w:rPr>
        <w:t xml:space="preserve"> 5</w:t>
      </w:r>
      <w:r w:rsidR="00F57D6B" w:rsidRPr="00243FEE">
        <w:rPr>
          <w:rFonts w:cs="Times New Roman"/>
          <w:sz w:val="22"/>
        </w:rPr>
        <w:t>0 mg/ml</w:t>
      </w:r>
      <w:r w:rsidRPr="00243FEE">
        <w:rPr>
          <w:rFonts w:cs="Times New Roman"/>
          <w:sz w:val="22"/>
        </w:rPr>
        <w:t xml:space="preserve"> tiek pārtraukta,</w:t>
      </w:r>
      <w:r w:rsidR="00577D21" w:rsidRPr="00243FEE">
        <w:rPr>
          <w:rFonts w:cs="Times New Roman"/>
          <w:sz w:val="22"/>
        </w:rPr>
        <w:t xml:space="preserve"> matu</w:t>
      </w:r>
      <w:r w:rsidRPr="00243FEE">
        <w:rPr>
          <w:rFonts w:cs="Times New Roman"/>
          <w:sz w:val="22"/>
        </w:rPr>
        <w:t xml:space="preserve"> augšana var apstāties un 3-4 mēnešu laikā alopēcija var atgriezties sākotnējā stāvoklī.</w:t>
      </w:r>
    </w:p>
    <w:p w14:paraId="6F860280" w14:textId="77777777" w:rsidR="00426CF2" w:rsidRPr="00243FEE" w:rsidRDefault="00426CF2" w:rsidP="0019572E">
      <w:pPr>
        <w:spacing w:line="240" w:lineRule="auto"/>
        <w:jc w:val="left"/>
        <w:rPr>
          <w:rFonts w:cs="Times New Roman"/>
          <w:sz w:val="22"/>
        </w:rPr>
      </w:pPr>
    </w:p>
    <w:p w14:paraId="031ACC3C" w14:textId="77777777" w:rsidR="00EB4232" w:rsidRPr="00243FEE" w:rsidRDefault="00426CF2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Pēc Minoxidil </w:t>
      </w:r>
      <w:r w:rsidR="0059262B" w:rsidRPr="00243FEE">
        <w:rPr>
          <w:rFonts w:cs="Times New Roman"/>
          <w:sz w:val="22"/>
        </w:rPr>
        <w:t>Inteli</w:t>
      </w:r>
      <w:r w:rsidRPr="00243FEE">
        <w:rPr>
          <w:rFonts w:cs="Times New Roman"/>
          <w:sz w:val="22"/>
        </w:rPr>
        <w:t xml:space="preserve"> 5</w:t>
      </w:r>
      <w:r w:rsidR="00F57D6B" w:rsidRPr="00243FEE">
        <w:rPr>
          <w:rFonts w:cs="Times New Roman"/>
          <w:sz w:val="22"/>
        </w:rPr>
        <w:t>0 mg/ml</w:t>
      </w:r>
      <w:r w:rsidR="00EB4232" w:rsidRPr="00243FEE">
        <w:rPr>
          <w:rFonts w:cs="Times New Roman"/>
          <w:sz w:val="22"/>
        </w:rPr>
        <w:t xml:space="preserve"> uzklāšanas ieteicams nomazgāt rokas ar lielu ūdens daudzumu.</w:t>
      </w:r>
    </w:p>
    <w:p w14:paraId="3619C448" w14:textId="77777777" w:rsidR="005A762F" w:rsidRPr="00243FEE" w:rsidRDefault="005A762F" w:rsidP="0019572E">
      <w:pPr>
        <w:spacing w:line="240" w:lineRule="auto"/>
        <w:jc w:val="left"/>
        <w:rPr>
          <w:rFonts w:cs="Times New Roman"/>
          <w:sz w:val="22"/>
        </w:rPr>
      </w:pPr>
    </w:p>
    <w:p w14:paraId="158BD7A0" w14:textId="77777777" w:rsidR="005A762F" w:rsidRPr="00243FEE" w:rsidRDefault="00483EEA" w:rsidP="0019572E">
      <w:pPr>
        <w:keepNext/>
        <w:spacing w:line="240" w:lineRule="auto"/>
        <w:jc w:val="left"/>
        <w:rPr>
          <w:rFonts w:cs="Times New Roman"/>
          <w:i/>
          <w:sz w:val="22"/>
        </w:rPr>
      </w:pPr>
      <w:r w:rsidRPr="00243FEE">
        <w:rPr>
          <w:rFonts w:cs="Times New Roman"/>
          <w:i/>
          <w:sz w:val="22"/>
        </w:rPr>
        <w:t>Pediatriskā populācija</w:t>
      </w:r>
    </w:p>
    <w:p w14:paraId="30DBDAF6" w14:textId="77777777" w:rsidR="00EB4232" w:rsidRPr="00243FEE" w:rsidRDefault="00EB4232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Nav ieteicams </w:t>
      </w:r>
      <w:r w:rsidR="00946484" w:rsidRPr="00243FEE">
        <w:rPr>
          <w:rFonts w:cs="Times New Roman"/>
          <w:sz w:val="22"/>
        </w:rPr>
        <w:t>pacientiem līdz 18</w:t>
      </w:r>
      <w:r w:rsidR="00F503EB" w:rsidRPr="00243FEE">
        <w:rPr>
          <w:rFonts w:cs="Times New Roman"/>
          <w:sz w:val="22"/>
        </w:rPr>
        <w:t> </w:t>
      </w:r>
      <w:r w:rsidR="00946484" w:rsidRPr="00243FEE">
        <w:rPr>
          <w:rFonts w:cs="Times New Roman"/>
          <w:sz w:val="22"/>
        </w:rPr>
        <w:t>gadu vecumam</w:t>
      </w:r>
      <w:r w:rsidRPr="00243FEE">
        <w:rPr>
          <w:rFonts w:cs="Times New Roman"/>
          <w:sz w:val="22"/>
        </w:rPr>
        <w:t>, jo šajā populācijas grupā pētījumi</w:t>
      </w:r>
      <w:r w:rsidR="00E111BE" w:rsidRPr="00243FEE">
        <w:rPr>
          <w:rFonts w:cs="Times New Roman"/>
          <w:sz w:val="22"/>
        </w:rPr>
        <w:t xml:space="preserve"> nav veikti</w:t>
      </w:r>
      <w:r w:rsidRPr="00243FEE">
        <w:rPr>
          <w:rFonts w:cs="Times New Roman"/>
          <w:sz w:val="22"/>
        </w:rPr>
        <w:t>.</w:t>
      </w:r>
    </w:p>
    <w:p w14:paraId="7D6BCDEE" w14:textId="77777777" w:rsidR="00EB4232" w:rsidRPr="00243FEE" w:rsidRDefault="00EB4232" w:rsidP="0019572E">
      <w:pPr>
        <w:spacing w:line="240" w:lineRule="auto"/>
        <w:jc w:val="left"/>
        <w:rPr>
          <w:rFonts w:cs="Times New Roman"/>
          <w:sz w:val="22"/>
        </w:rPr>
      </w:pPr>
    </w:p>
    <w:p w14:paraId="2BC81700" w14:textId="77777777" w:rsidR="00EB4232" w:rsidRPr="00243FEE" w:rsidRDefault="00483EEA" w:rsidP="0019572E">
      <w:pPr>
        <w:keepNext/>
        <w:spacing w:line="240" w:lineRule="auto"/>
        <w:jc w:val="left"/>
        <w:rPr>
          <w:rFonts w:cs="Times New Roman"/>
          <w:i/>
          <w:sz w:val="22"/>
        </w:rPr>
      </w:pPr>
      <w:r w:rsidRPr="00243FEE">
        <w:rPr>
          <w:rFonts w:cs="Times New Roman"/>
          <w:i/>
          <w:sz w:val="22"/>
        </w:rPr>
        <w:lastRenderedPageBreak/>
        <w:t>Gados vecāki pacienti</w:t>
      </w:r>
    </w:p>
    <w:p w14:paraId="36273870" w14:textId="77777777" w:rsidR="00EB4232" w:rsidRPr="00243FEE" w:rsidRDefault="00426CF2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Nav ieteicams </w:t>
      </w:r>
      <w:r w:rsidR="0010487B" w:rsidRPr="00243FEE">
        <w:rPr>
          <w:rFonts w:cs="Times New Roman"/>
          <w:sz w:val="22"/>
        </w:rPr>
        <w:t>pacientiem, kuri vecāki par 65</w:t>
      </w:r>
      <w:r w:rsidR="00F503EB" w:rsidRPr="00243FEE">
        <w:rPr>
          <w:rFonts w:cs="Times New Roman"/>
          <w:sz w:val="22"/>
        </w:rPr>
        <w:t> </w:t>
      </w:r>
      <w:r w:rsidR="0010487B" w:rsidRPr="00243FEE">
        <w:rPr>
          <w:rFonts w:cs="Times New Roman"/>
          <w:sz w:val="22"/>
        </w:rPr>
        <w:t>gadiem</w:t>
      </w:r>
      <w:r w:rsidR="00EB4232" w:rsidRPr="00243FEE">
        <w:rPr>
          <w:rFonts w:cs="Times New Roman"/>
          <w:sz w:val="22"/>
        </w:rPr>
        <w:t>, jo šajā populācijas grupā pētījumi</w:t>
      </w:r>
      <w:r w:rsidR="00E111BE" w:rsidRPr="00243FEE">
        <w:rPr>
          <w:rFonts w:cs="Times New Roman"/>
          <w:sz w:val="22"/>
        </w:rPr>
        <w:t xml:space="preserve"> nav veikti</w:t>
      </w:r>
      <w:r w:rsidR="00EB4232" w:rsidRPr="00243FEE">
        <w:rPr>
          <w:rFonts w:cs="Times New Roman"/>
          <w:sz w:val="22"/>
        </w:rPr>
        <w:t>.</w:t>
      </w:r>
    </w:p>
    <w:p w14:paraId="19ACE793" w14:textId="77777777" w:rsidR="00EB4232" w:rsidRPr="00243FEE" w:rsidRDefault="00EB4232" w:rsidP="0019572E">
      <w:pPr>
        <w:spacing w:line="240" w:lineRule="auto"/>
        <w:jc w:val="left"/>
        <w:rPr>
          <w:rFonts w:cs="Times New Roman"/>
          <w:sz w:val="22"/>
        </w:rPr>
      </w:pPr>
    </w:p>
    <w:p w14:paraId="193C9F70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4.3.</w:t>
      </w:r>
      <w:r w:rsidRPr="00243FEE">
        <w:rPr>
          <w:rFonts w:cs="Times New Roman"/>
          <w:b/>
          <w:sz w:val="22"/>
        </w:rPr>
        <w:tab/>
        <w:t>Kontrindikācijas</w:t>
      </w:r>
    </w:p>
    <w:p w14:paraId="45BD4588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092154F1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Paaugstināta jutība pret aktīvo vielu </w:t>
      </w:r>
      <w:r w:rsidR="0002647F" w:rsidRPr="00243FEE">
        <w:rPr>
          <w:rFonts w:cs="Times New Roman"/>
          <w:sz w:val="22"/>
        </w:rPr>
        <w:t>vai jebkuru no 6.1.</w:t>
      </w:r>
      <w:r w:rsidR="0019572E" w:rsidRPr="00243FEE">
        <w:rPr>
          <w:rFonts w:cs="Times New Roman"/>
          <w:sz w:val="22"/>
        </w:rPr>
        <w:t> </w:t>
      </w:r>
      <w:r w:rsidR="0002647F" w:rsidRPr="00243FEE">
        <w:rPr>
          <w:rFonts w:cs="Times New Roman"/>
          <w:sz w:val="22"/>
        </w:rPr>
        <w:t>apakšpunktā uzskaitītajām palīgvielām</w:t>
      </w:r>
      <w:r w:rsidRPr="00243FEE">
        <w:rPr>
          <w:rFonts w:cs="Times New Roman"/>
          <w:sz w:val="22"/>
        </w:rPr>
        <w:t>.</w:t>
      </w:r>
    </w:p>
    <w:p w14:paraId="5EC44F8E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2C2CE8A8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4.4.</w:t>
      </w:r>
      <w:r w:rsidRPr="00243FEE">
        <w:rPr>
          <w:rFonts w:cs="Times New Roman"/>
          <w:b/>
          <w:sz w:val="22"/>
        </w:rPr>
        <w:tab/>
        <w:t>Īpaši brīdinājumi un piesardzība lietošanā</w:t>
      </w:r>
    </w:p>
    <w:p w14:paraId="51E6485A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0A727DF0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Pacientiem ar zināmām sirds</w:t>
      </w:r>
      <w:r w:rsidR="008E3FFF" w:rsidRPr="00243FEE">
        <w:rPr>
          <w:rFonts w:cs="Times New Roman"/>
          <w:sz w:val="22"/>
        </w:rPr>
        <w:t xml:space="preserve"> un</w:t>
      </w:r>
      <w:r w:rsidRPr="00243FEE">
        <w:rPr>
          <w:rFonts w:cs="Times New Roman"/>
          <w:sz w:val="22"/>
        </w:rPr>
        <w:t xml:space="preserve"> asinsvadu slimībām </w:t>
      </w:r>
      <w:r w:rsidR="008E3FFF" w:rsidRPr="00243FEE">
        <w:rPr>
          <w:rFonts w:cs="Times New Roman"/>
          <w:sz w:val="22"/>
        </w:rPr>
        <w:t xml:space="preserve">(t. sk. aritmiju) </w:t>
      </w:r>
      <w:r w:rsidRPr="00243FEE">
        <w:rPr>
          <w:rFonts w:cs="Times New Roman"/>
          <w:sz w:val="22"/>
        </w:rPr>
        <w:t>pirms zāļu lietošanas jākonsultējas ar ārstu.</w:t>
      </w:r>
    </w:p>
    <w:p w14:paraId="65562079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3428BC51" w14:textId="2EF136ED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Minoksidils nav indicēts, ja </w:t>
      </w:r>
      <w:r w:rsidR="00032484" w:rsidRPr="00243FEE">
        <w:rPr>
          <w:rFonts w:cs="Times New Roman"/>
          <w:sz w:val="22"/>
        </w:rPr>
        <w:t>matu izkrišanas</w:t>
      </w:r>
      <w:r w:rsidR="00530C60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nav ģimenes anamnēzē, ja matu izkrišana ir pēkšņa un/vai ar laukumiem vai matu izkrišanas cēlonis nav zināms.</w:t>
      </w:r>
    </w:p>
    <w:p w14:paraId="19CD3AA8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25339E96" w14:textId="76D4E84D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Minoksidils jāuzklāj tikai uz veselas galvas ādas. Nelietot, ja galvas āda ir apsārtusi, iekaisusi, inficēta vai sāpīga, vai</w:t>
      </w:r>
      <w:r w:rsidR="00C5211E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</w:t>
      </w:r>
      <w:r w:rsidR="00813624" w:rsidRPr="00243FEE">
        <w:rPr>
          <w:rFonts w:cs="Times New Roman"/>
          <w:sz w:val="22"/>
        </w:rPr>
        <w:t xml:space="preserve">ja </w:t>
      </w:r>
      <w:r w:rsidRPr="00243FEE">
        <w:rPr>
          <w:rFonts w:cs="Times New Roman"/>
          <w:sz w:val="22"/>
        </w:rPr>
        <w:t>uz galvas matainās daļas ādas tiek lietotas citas zāles.</w:t>
      </w:r>
    </w:p>
    <w:p w14:paraId="67692E00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491695FC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Jāizvairās no izsmidzinātā šķīduma pilienu ieelpošanas.</w:t>
      </w:r>
    </w:p>
    <w:p w14:paraId="0284B22D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37B422B8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Ja pacientiem ir bijušas asinsspiediena izmaiņas, sāpes krūšu kurvī, strauja sirdsdarbība, vājums, reibonis, pēkšņs svara pieaugums, roku un pēdu tūska, pastāvīga galvas ādas eritēma vai iekaisums, zāļu lietošana jāpārtrauc.</w:t>
      </w:r>
    </w:p>
    <w:p w14:paraId="14A4B36E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0D84517D" w14:textId="60E0D9BE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Netīšām norīts šķīdums var izraisīt smagas sirds</w:t>
      </w:r>
      <w:r w:rsidR="00E41A31" w:rsidRPr="00243FEE">
        <w:rPr>
          <w:rFonts w:cs="Times New Roman"/>
          <w:sz w:val="22"/>
        </w:rPr>
        <w:t xml:space="preserve"> un </w:t>
      </w:r>
      <w:r w:rsidRPr="00243FEE">
        <w:rPr>
          <w:rFonts w:cs="Times New Roman"/>
          <w:sz w:val="22"/>
        </w:rPr>
        <w:t xml:space="preserve">asinsvadu sistēmas </w:t>
      </w:r>
      <w:r w:rsidR="00B857C9" w:rsidRPr="00243FEE">
        <w:rPr>
          <w:rFonts w:cs="Times New Roman"/>
          <w:sz w:val="22"/>
        </w:rPr>
        <w:t>blakusparādības</w:t>
      </w:r>
      <w:r w:rsidRPr="00243FEE">
        <w:rPr>
          <w:rFonts w:cs="Times New Roman"/>
          <w:sz w:val="22"/>
        </w:rPr>
        <w:t xml:space="preserve">. Tāpēc zāles ir jāuzglabā bērniem neredzamā </w:t>
      </w:r>
      <w:r w:rsidR="0069684C" w:rsidRPr="00243FEE">
        <w:rPr>
          <w:rFonts w:cs="Times New Roman"/>
          <w:sz w:val="22"/>
        </w:rPr>
        <w:t xml:space="preserve">un nepieejamā </w:t>
      </w:r>
      <w:r w:rsidRPr="00243FEE">
        <w:rPr>
          <w:rFonts w:cs="Times New Roman"/>
          <w:sz w:val="22"/>
        </w:rPr>
        <w:t>vietā.</w:t>
      </w:r>
    </w:p>
    <w:p w14:paraId="2836E9AD" w14:textId="77777777" w:rsidR="00476D6E" w:rsidRPr="00243FEE" w:rsidRDefault="00476D6E" w:rsidP="0019572E">
      <w:pPr>
        <w:spacing w:line="240" w:lineRule="auto"/>
        <w:jc w:val="left"/>
        <w:rPr>
          <w:rFonts w:cs="Times New Roman"/>
          <w:sz w:val="22"/>
        </w:rPr>
      </w:pPr>
    </w:p>
    <w:p w14:paraId="5DAF4D57" w14:textId="77777777" w:rsidR="00476D6E" w:rsidRPr="00243FEE" w:rsidRDefault="00476D6E" w:rsidP="00476D6E">
      <w:pPr>
        <w:spacing w:line="240" w:lineRule="auto"/>
        <w:jc w:val="left"/>
        <w:rPr>
          <w:rFonts w:cs="Times New Roman"/>
          <w:i/>
          <w:sz w:val="22"/>
        </w:rPr>
      </w:pPr>
      <w:r w:rsidRPr="00243FEE">
        <w:rPr>
          <w:rFonts w:cs="Times New Roman"/>
          <w:i/>
          <w:sz w:val="22"/>
        </w:rPr>
        <w:t>Brīdinājumi par palīgvielām</w:t>
      </w:r>
    </w:p>
    <w:p w14:paraId="2936E4FD" w14:textId="29B07FFA" w:rsidR="00001A76" w:rsidRPr="00243FEE" w:rsidRDefault="002544C5" w:rsidP="00476D6E">
      <w:pPr>
        <w:spacing w:line="240" w:lineRule="auto"/>
        <w:jc w:val="left"/>
        <w:rPr>
          <w:rFonts w:cs="Times New Roman"/>
          <w:iCs/>
          <w:sz w:val="22"/>
        </w:rPr>
      </w:pPr>
      <w:r w:rsidRPr="00243FEE">
        <w:rPr>
          <w:rFonts w:cs="Times New Roman"/>
          <w:iCs/>
          <w:sz w:val="22"/>
        </w:rPr>
        <w:t>Šīs z</w:t>
      </w:r>
      <w:r w:rsidR="0047369D" w:rsidRPr="00243FEE">
        <w:rPr>
          <w:rFonts w:cs="Times New Roman"/>
          <w:iCs/>
          <w:sz w:val="22"/>
        </w:rPr>
        <w:t xml:space="preserve">āles satur </w:t>
      </w:r>
      <w:r w:rsidR="00BB4BD5" w:rsidRPr="00243FEE">
        <w:rPr>
          <w:rFonts w:cs="Times New Roman"/>
          <w:sz w:val="22"/>
        </w:rPr>
        <w:t>243 m</w:t>
      </w:r>
      <w:r w:rsidR="006F48DA" w:rsidRPr="00243FEE">
        <w:rPr>
          <w:rFonts w:cs="Times New Roman"/>
          <w:sz w:val="22"/>
        </w:rPr>
        <w:t>g</w:t>
      </w:r>
      <w:r w:rsidR="00BB4BD5" w:rsidRPr="00243FEE">
        <w:rPr>
          <w:rFonts w:cs="Times New Roman"/>
          <w:sz w:val="22"/>
        </w:rPr>
        <w:t xml:space="preserve"> etilspirta (96 %)</w:t>
      </w:r>
      <w:r w:rsidR="00BB4BD5" w:rsidRPr="00243FEE">
        <w:rPr>
          <w:rFonts w:cs="Times New Roman"/>
          <w:iCs/>
          <w:sz w:val="22"/>
        </w:rPr>
        <w:t xml:space="preserve"> katrā mililitrā</w:t>
      </w:r>
      <w:r w:rsidR="0084325B" w:rsidRPr="00243FEE">
        <w:rPr>
          <w:rFonts w:cs="Times New Roman"/>
          <w:iCs/>
          <w:sz w:val="22"/>
        </w:rPr>
        <w:t xml:space="preserve"> </w:t>
      </w:r>
      <w:r w:rsidR="0084325B" w:rsidRPr="00243FEE">
        <w:rPr>
          <w:rFonts w:cs="Times New Roman"/>
          <w:sz w:val="22"/>
        </w:rPr>
        <w:t>(24,3 % w/v)</w:t>
      </w:r>
      <w:r w:rsidR="0047369D" w:rsidRPr="00243FEE">
        <w:rPr>
          <w:rFonts w:cs="Times New Roman"/>
          <w:iCs/>
          <w:sz w:val="22"/>
        </w:rPr>
        <w:t>.</w:t>
      </w:r>
      <w:r w:rsidR="007170A9" w:rsidRPr="00243FEE">
        <w:rPr>
          <w:rFonts w:cs="Times New Roman"/>
          <w:iCs/>
          <w:sz w:val="22"/>
        </w:rPr>
        <w:t xml:space="preserve"> </w:t>
      </w:r>
      <w:bookmarkStart w:id="1" w:name="_Hlk55293378"/>
      <w:r w:rsidR="007170A9" w:rsidRPr="00243FEE">
        <w:rPr>
          <w:rFonts w:cs="Times New Roman"/>
          <w:iCs/>
          <w:sz w:val="22"/>
        </w:rPr>
        <w:t>Tas var izraisīt dedzinošu sajūtu uz bojātas ādas.</w:t>
      </w:r>
      <w:bookmarkEnd w:id="1"/>
    </w:p>
    <w:p w14:paraId="39FB8458" w14:textId="2D0E2CF6" w:rsidR="0047369D" w:rsidRPr="00243FEE" w:rsidRDefault="002544C5" w:rsidP="00476D6E">
      <w:pPr>
        <w:spacing w:line="240" w:lineRule="auto"/>
        <w:jc w:val="left"/>
        <w:rPr>
          <w:rFonts w:cs="Times New Roman"/>
          <w:iCs/>
          <w:sz w:val="22"/>
        </w:rPr>
      </w:pPr>
      <w:bookmarkStart w:id="2" w:name="_Hlk55293428"/>
      <w:r w:rsidRPr="00243FEE">
        <w:rPr>
          <w:rFonts w:cs="Times New Roman"/>
          <w:iCs/>
          <w:sz w:val="22"/>
        </w:rPr>
        <w:t>Šīs z</w:t>
      </w:r>
      <w:r w:rsidR="0047369D" w:rsidRPr="00243FEE">
        <w:rPr>
          <w:rFonts w:cs="Times New Roman"/>
          <w:iCs/>
          <w:sz w:val="22"/>
        </w:rPr>
        <w:t xml:space="preserve">āles satur </w:t>
      </w:r>
      <w:r w:rsidR="00BB4BD5" w:rsidRPr="00243FEE">
        <w:rPr>
          <w:rFonts w:cs="Times New Roman"/>
          <w:iCs/>
          <w:sz w:val="22"/>
        </w:rPr>
        <w:t>520</w:t>
      </w:r>
      <w:r w:rsidR="00511861" w:rsidRPr="00243FEE">
        <w:rPr>
          <w:rFonts w:cs="Times New Roman"/>
          <w:iCs/>
          <w:sz w:val="22"/>
        </w:rPr>
        <w:t> </w:t>
      </w:r>
      <w:r w:rsidR="00BB4BD5" w:rsidRPr="00243FEE">
        <w:rPr>
          <w:rFonts w:cs="Times New Roman"/>
          <w:iCs/>
          <w:sz w:val="22"/>
        </w:rPr>
        <w:t>m</w:t>
      </w:r>
      <w:r w:rsidR="006F48DA" w:rsidRPr="00243FEE">
        <w:rPr>
          <w:rFonts w:cs="Times New Roman"/>
          <w:iCs/>
          <w:sz w:val="22"/>
        </w:rPr>
        <w:t>g</w:t>
      </w:r>
      <w:r w:rsidR="00BB4BD5" w:rsidRPr="00243FEE">
        <w:rPr>
          <w:rFonts w:cs="Times New Roman"/>
          <w:iCs/>
          <w:sz w:val="22"/>
        </w:rPr>
        <w:t xml:space="preserve"> </w:t>
      </w:r>
      <w:r w:rsidR="0047369D" w:rsidRPr="00243FEE">
        <w:rPr>
          <w:rFonts w:cs="Times New Roman"/>
          <w:iCs/>
          <w:sz w:val="22"/>
        </w:rPr>
        <w:t>propilēnglikol</w:t>
      </w:r>
      <w:r w:rsidR="00BB4BD5" w:rsidRPr="00243FEE">
        <w:rPr>
          <w:rFonts w:cs="Times New Roman"/>
          <w:iCs/>
          <w:sz w:val="22"/>
        </w:rPr>
        <w:t>a katrā mililitrā</w:t>
      </w:r>
      <w:r w:rsidR="0047369D" w:rsidRPr="00243FEE">
        <w:rPr>
          <w:rFonts w:cs="Times New Roman"/>
          <w:iCs/>
          <w:sz w:val="22"/>
        </w:rPr>
        <w:t xml:space="preserve">. </w:t>
      </w:r>
      <w:r w:rsidR="007170A9" w:rsidRPr="00243FEE">
        <w:rPr>
          <w:rFonts w:cs="Times New Roman"/>
          <w:iCs/>
          <w:sz w:val="22"/>
        </w:rPr>
        <w:t>Propilēnglikols var izraisīt ādas kairinājumu.</w:t>
      </w:r>
    </w:p>
    <w:bookmarkEnd w:id="2"/>
    <w:p w14:paraId="7590E36B" w14:textId="77777777" w:rsidR="00511861" w:rsidRPr="00243FEE" w:rsidRDefault="00511861" w:rsidP="0019572E">
      <w:pPr>
        <w:spacing w:line="240" w:lineRule="auto"/>
        <w:jc w:val="left"/>
        <w:rPr>
          <w:rFonts w:cs="Times New Roman"/>
          <w:sz w:val="22"/>
        </w:rPr>
      </w:pPr>
    </w:p>
    <w:p w14:paraId="0110F3EC" w14:textId="7FC5FA37" w:rsidR="00476D6E" w:rsidRPr="00243FEE" w:rsidRDefault="00476D6E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Netīša kontakta gadījumā ar jutīgiem rajoniem (acis, nobrāzta āda, gļotādas), tie rūpīgi jāskalo ar lielu daudzumu vēsa ūdens.</w:t>
      </w:r>
    </w:p>
    <w:p w14:paraId="680BC20F" w14:textId="77777777" w:rsidR="00511861" w:rsidRPr="00243FEE" w:rsidRDefault="00511861" w:rsidP="007170A9">
      <w:pPr>
        <w:spacing w:line="240" w:lineRule="auto"/>
        <w:jc w:val="left"/>
        <w:rPr>
          <w:rFonts w:cs="Times New Roman"/>
          <w:sz w:val="22"/>
        </w:rPr>
      </w:pPr>
      <w:bookmarkStart w:id="3" w:name="_Hlk55293486"/>
    </w:p>
    <w:p w14:paraId="43B00DD6" w14:textId="2FE0F0CE" w:rsidR="007170A9" w:rsidRPr="00243FEE" w:rsidRDefault="007170A9" w:rsidP="007170A9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Sakarā ar to, ka šķīdums satur uzliesmojošu sastāvdaļu – </w:t>
      </w:r>
      <w:r w:rsidR="009867A4" w:rsidRPr="007415EE">
        <w:rPr>
          <w:sz w:val="22"/>
        </w:rPr>
        <w:t>etilspirtu</w:t>
      </w:r>
      <w:r w:rsidRPr="00243FEE">
        <w:rPr>
          <w:rFonts w:cs="Times New Roman"/>
          <w:sz w:val="22"/>
        </w:rPr>
        <w:t>, zāles nedrīkst lietot atklātas liesmas, aizdegtas cigaretes vai dažu ierīču (piemēram, matu žāvētāju) tuvumā.</w:t>
      </w:r>
      <w:bookmarkEnd w:id="3"/>
    </w:p>
    <w:p w14:paraId="540F9960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757BE62B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4.5.</w:t>
      </w:r>
      <w:r w:rsidRPr="00243FEE">
        <w:rPr>
          <w:rFonts w:cs="Times New Roman"/>
          <w:b/>
          <w:sz w:val="22"/>
        </w:rPr>
        <w:tab/>
        <w:t>Mijiedarbība ar citām zālēm un citi mijiedarbības veidi</w:t>
      </w:r>
    </w:p>
    <w:p w14:paraId="2D39E7D9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21803CC9" w14:textId="6382EA79" w:rsidR="00D7255E" w:rsidRPr="00243FEE" w:rsidRDefault="00D7255E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Lai gan tas nav pierādīts klīniski, pastāv iespēja, ka minoksidils pacientiem, kuri vienlaikus lieto perifēros vazodilat</w:t>
      </w:r>
      <w:r w:rsidR="00917D49" w:rsidRPr="00243FEE">
        <w:rPr>
          <w:rFonts w:cs="Times New Roman"/>
          <w:sz w:val="22"/>
        </w:rPr>
        <w:t>a</w:t>
      </w:r>
      <w:r w:rsidRPr="00243FEE">
        <w:rPr>
          <w:rFonts w:cs="Times New Roman"/>
          <w:sz w:val="22"/>
        </w:rPr>
        <w:t>torus un antihipertensīvas zāles, tādas kā guanetidīns un atvasinājumi, palielina ortostatisk</w:t>
      </w:r>
      <w:r w:rsidR="00E363F8" w:rsidRPr="00243FEE">
        <w:rPr>
          <w:rFonts w:cs="Times New Roman"/>
          <w:sz w:val="22"/>
        </w:rPr>
        <w:t>ā</w:t>
      </w:r>
      <w:r w:rsidR="00340521" w:rsidRPr="00243FEE">
        <w:rPr>
          <w:rFonts w:cs="Times New Roman"/>
          <w:sz w:val="22"/>
        </w:rPr>
        <w:t>s</w:t>
      </w:r>
      <w:r w:rsidR="00E363F8" w:rsidRPr="00243FEE">
        <w:rPr>
          <w:rFonts w:cs="Times New Roman"/>
          <w:sz w:val="22"/>
        </w:rPr>
        <w:t xml:space="preserve"> </w:t>
      </w:r>
      <w:r w:rsidR="00766258" w:rsidRPr="00243FEE">
        <w:rPr>
          <w:rFonts w:cs="Times New Roman"/>
          <w:sz w:val="22"/>
        </w:rPr>
        <w:t>hipotensijas</w:t>
      </w:r>
      <w:r w:rsidRPr="00243FEE">
        <w:rPr>
          <w:rFonts w:cs="Times New Roman"/>
          <w:sz w:val="22"/>
        </w:rPr>
        <w:t xml:space="preserve"> risku (skatīt </w:t>
      </w:r>
      <w:r w:rsidR="00913132" w:rsidRPr="00243FEE">
        <w:rPr>
          <w:rFonts w:cs="Times New Roman"/>
          <w:sz w:val="22"/>
        </w:rPr>
        <w:t>4.4.</w:t>
      </w:r>
      <w:r w:rsidR="0019572E" w:rsidRPr="00243FEE">
        <w:rPr>
          <w:rFonts w:cs="Times New Roman"/>
          <w:sz w:val="22"/>
        </w:rPr>
        <w:t> </w:t>
      </w:r>
      <w:r w:rsidRPr="00243FEE">
        <w:rPr>
          <w:rFonts w:cs="Times New Roman"/>
          <w:sz w:val="22"/>
        </w:rPr>
        <w:t xml:space="preserve">apakšpunktu </w:t>
      </w:r>
      <w:r w:rsidR="00913132" w:rsidRPr="00243FEE">
        <w:rPr>
          <w:rFonts w:cs="Times New Roman"/>
          <w:sz w:val="22"/>
        </w:rPr>
        <w:t>„</w:t>
      </w:r>
      <w:r w:rsidRPr="00243FEE">
        <w:rPr>
          <w:rFonts w:cs="Times New Roman"/>
          <w:sz w:val="22"/>
        </w:rPr>
        <w:t>Īpaši brīdinājumi un piesardzība lietošanā</w:t>
      </w:r>
      <w:r w:rsidR="00913132" w:rsidRPr="00243FEE">
        <w:rPr>
          <w:rFonts w:cs="Times New Roman"/>
          <w:sz w:val="22"/>
        </w:rPr>
        <w:t>”</w:t>
      </w:r>
      <w:r w:rsidRPr="00243FEE">
        <w:rPr>
          <w:rFonts w:cs="Times New Roman"/>
          <w:sz w:val="22"/>
        </w:rPr>
        <w:t>).</w:t>
      </w:r>
    </w:p>
    <w:p w14:paraId="4FA8B366" w14:textId="77777777" w:rsidR="00913132" w:rsidRPr="00243FEE" w:rsidRDefault="00913132" w:rsidP="0019572E">
      <w:pPr>
        <w:spacing w:line="240" w:lineRule="auto"/>
        <w:jc w:val="left"/>
        <w:rPr>
          <w:rFonts w:cs="Times New Roman"/>
          <w:sz w:val="22"/>
        </w:rPr>
      </w:pPr>
    </w:p>
    <w:p w14:paraId="15F73BBB" w14:textId="77777777" w:rsidR="00D7255E" w:rsidRPr="00243FEE" w:rsidRDefault="00913132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Jāizvairās no vienlaicīgas lietošanas ar citām lokāli lietojamām zālēm, tādām kā </w:t>
      </w:r>
      <w:r w:rsidR="00D7255E" w:rsidRPr="00243FEE">
        <w:rPr>
          <w:rFonts w:cs="Times New Roman"/>
          <w:sz w:val="22"/>
        </w:rPr>
        <w:t>kortikosteroīd</w:t>
      </w:r>
      <w:r w:rsidRPr="00243FEE">
        <w:rPr>
          <w:rFonts w:cs="Times New Roman"/>
          <w:sz w:val="22"/>
        </w:rPr>
        <w:t>i, retinoīds</w:t>
      </w:r>
      <w:r w:rsidR="00D7255E" w:rsidRPr="00243FEE">
        <w:rPr>
          <w:rFonts w:cs="Times New Roman"/>
          <w:sz w:val="22"/>
        </w:rPr>
        <w:t xml:space="preserve"> vai </w:t>
      </w:r>
      <w:r w:rsidRPr="00243FEE">
        <w:rPr>
          <w:rFonts w:cs="Times New Roman"/>
          <w:sz w:val="22"/>
        </w:rPr>
        <w:t xml:space="preserve">okluzīvas </w:t>
      </w:r>
      <w:r w:rsidR="00D7255E" w:rsidRPr="00243FEE">
        <w:rPr>
          <w:rFonts w:cs="Times New Roman"/>
          <w:sz w:val="22"/>
        </w:rPr>
        <w:t xml:space="preserve">ziedes, jo </w:t>
      </w:r>
      <w:r w:rsidR="00472145" w:rsidRPr="00243FEE">
        <w:rPr>
          <w:rFonts w:cs="Times New Roman"/>
          <w:sz w:val="22"/>
        </w:rPr>
        <w:t xml:space="preserve">tās </w:t>
      </w:r>
      <w:r w:rsidR="00D7255E" w:rsidRPr="00243FEE">
        <w:rPr>
          <w:rFonts w:cs="Times New Roman"/>
          <w:sz w:val="22"/>
        </w:rPr>
        <w:t>var pa</w:t>
      </w:r>
      <w:r w:rsidRPr="00243FEE">
        <w:rPr>
          <w:rFonts w:cs="Times New Roman"/>
          <w:sz w:val="22"/>
        </w:rPr>
        <w:t xml:space="preserve">stiprināt </w:t>
      </w:r>
      <w:r w:rsidR="00472145" w:rsidRPr="00243FEE">
        <w:rPr>
          <w:rFonts w:cs="Times New Roman"/>
          <w:sz w:val="22"/>
        </w:rPr>
        <w:t xml:space="preserve">Minoxidil </w:t>
      </w:r>
      <w:r w:rsidR="0059262B" w:rsidRPr="00243FEE">
        <w:rPr>
          <w:rFonts w:cs="Times New Roman"/>
          <w:sz w:val="22"/>
        </w:rPr>
        <w:t>Inteli</w:t>
      </w:r>
      <w:r w:rsidR="00472145" w:rsidRPr="00243FEE">
        <w:rPr>
          <w:rFonts w:cs="Times New Roman"/>
          <w:sz w:val="22"/>
        </w:rPr>
        <w:t xml:space="preserve"> uzsūkšano</w:t>
      </w:r>
      <w:r w:rsidR="00D7255E" w:rsidRPr="00243FEE">
        <w:rPr>
          <w:rFonts w:cs="Times New Roman"/>
          <w:sz w:val="22"/>
        </w:rPr>
        <w:t>s.</w:t>
      </w:r>
    </w:p>
    <w:p w14:paraId="48BB2915" w14:textId="77777777" w:rsidR="00D7255E" w:rsidRPr="00243FEE" w:rsidRDefault="00D7255E" w:rsidP="0019572E">
      <w:pPr>
        <w:spacing w:line="240" w:lineRule="auto"/>
        <w:jc w:val="left"/>
        <w:rPr>
          <w:rFonts w:cs="Times New Roman"/>
          <w:sz w:val="22"/>
        </w:rPr>
      </w:pPr>
    </w:p>
    <w:p w14:paraId="4F23F4A7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4.6.</w:t>
      </w:r>
      <w:r w:rsidRPr="00243FEE">
        <w:rPr>
          <w:rFonts w:cs="Times New Roman"/>
          <w:b/>
          <w:sz w:val="22"/>
        </w:rPr>
        <w:tab/>
        <w:t xml:space="preserve">Fertilitāte, grūtniecība un </w:t>
      </w:r>
      <w:r w:rsidR="00483EEA" w:rsidRPr="00243FEE">
        <w:rPr>
          <w:rFonts w:cs="Times New Roman"/>
          <w:b/>
          <w:sz w:val="22"/>
        </w:rPr>
        <w:t>barošana ar krūti</w:t>
      </w:r>
    </w:p>
    <w:p w14:paraId="316D8555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51A0DF7A" w14:textId="77777777" w:rsidR="00EE7F11" w:rsidRPr="00243FEE" w:rsidRDefault="00EE7F11" w:rsidP="00EE7F11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Minoxidil </w:t>
      </w:r>
      <w:r w:rsidR="0059262B" w:rsidRPr="00243FEE">
        <w:rPr>
          <w:rFonts w:cs="Times New Roman"/>
          <w:sz w:val="22"/>
        </w:rPr>
        <w:t>Inteli</w:t>
      </w:r>
      <w:r w:rsidRPr="00243FEE">
        <w:rPr>
          <w:rFonts w:cs="Times New Roman"/>
          <w:sz w:val="22"/>
        </w:rPr>
        <w:t xml:space="preserve"> 5</w:t>
      </w:r>
      <w:r w:rsidR="00F57D6B" w:rsidRPr="00243FEE">
        <w:rPr>
          <w:rFonts w:cs="Times New Roman"/>
          <w:sz w:val="22"/>
        </w:rPr>
        <w:t>0 mg/ml</w:t>
      </w:r>
      <w:r w:rsidRPr="00243FEE">
        <w:rPr>
          <w:rFonts w:cs="Times New Roman"/>
          <w:sz w:val="22"/>
        </w:rPr>
        <w:t xml:space="preserve"> uz ādas lietojams šķīdums paredzēts lietošanai tikai vīriešiem</w:t>
      </w:r>
      <w:r w:rsidR="00D11F89" w:rsidRPr="00243FEE">
        <w:rPr>
          <w:rFonts w:cs="Times New Roman"/>
          <w:sz w:val="22"/>
        </w:rPr>
        <w:t>.</w:t>
      </w:r>
    </w:p>
    <w:p w14:paraId="23AA1DBE" w14:textId="77777777" w:rsidR="00EE7F11" w:rsidRPr="00243FEE" w:rsidRDefault="00EE7F11" w:rsidP="0019572E">
      <w:pPr>
        <w:spacing w:line="240" w:lineRule="auto"/>
        <w:jc w:val="left"/>
        <w:rPr>
          <w:rFonts w:cs="Times New Roman"/>
          <w:sz w:val="22"/>
        </w:rPr>
      </w:pPr>
    </w:p>
    <w:p w14:paraId="5043D45E" w14:textId="4D060FCB" w:rsidR="005F157B" w:rsidRPr="00243FEE" w:rsidRDefault="00917D49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Sistēmiski uzsūcies minoksidils izdalās mātes pienā</w:t>
      </w:r>
      <w:r w:rsidR="005F157B" w:rsidRPr="00243FEE">
        <w:rPr>
          <w:rFonts w:cs="Times New Roman"/>
          <w:sz w:val="22"/>
        </w:rPr>
        <w:t>.</w:t>
      </w:r>
    </w:p>
    <w:p w14:paraId="55370BE3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3BCFF954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Nav adekvātu un labi kontrolētu pētījumu grūtniecēm.</w:t>
      </w:r>
    </w:p>
    <w:p w14:paraId="349CDAA4" w14:textId="509104F4" w:rsidR="005F157B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Ietekme uz augli pētījumos ar dzīvniekiem tika pierādīta</w:t>
      </w:r>
      <w:r w:rsidR="00353FF9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lietojot tikai </w:t>
      </w:r>
      <w:r w:rsidR="008B1F0E" w:rsidRPr="00243FEE">
        <w:rPr>
          <w:rFonts w:cs="Times New Roman"/>
          <w:sz w:val="22"/>
        </w:rPr>
        <w:t xml:space="preserve">tādas </w:t>
      </w:r>
      <w:r w:rsidRPr="00243FEE">
        <w:rPr>
          <w:rFonts w:cs="Times New Roman"/>
          <w:sz w:val="22"/>
        </w:rPr>
        <w:t xml:space="preserve">devas, kas ir ievērojami augstākas par šeit aprakstītajām. </w:t>
      </w:r>
      <w:r w:rsidR="001D39C8" w:rsidRPr="008700C1">
        <w:rPr>
          <w:rFonts w:cs="Times New Roman"/>
          <w:sz w:val="22"/>
        </w:rPr>
        <w:t>Tomēr ļoti mazs</w:t>
      </w:r>
      <w:r w:rsidR="001D39C8">
        <w:rPr>
          <w:rFonts w:cs="Times New Roman"/>
          <w:sz w:val="22"/>
        </w:rPr>
        <w:t xml:space="preserve"> kaitējuma </w:t>
      </w:r>
      <w:r w:rsidR="001D39C8" w:rsidRPr="00514EB6">
        <w:rPr>
          <w:rFonts w:cs="Times New Roman"/>
          <w:sz w:val="22"/>
        </w:rPr>
        <w:t xml:space="preserve">risks auglim ir iespējams arī cilvēkiem, </w:t>
      </w:r>
      <w:r w:rsidR="001D39C8" w:rsidRPr="00514EB6">
        <w:rPr>
          <w:rFonts w:cs="Times New Roman"/>
          <w:sz w:val="22"/>
        </w:rPr>
        <w:lastRenderedPageBreak/>
        <w:t>tāpēc minoksidila lietošana grūtniecības laikā nav ieteicama</w:t>
      </w:r>
      <w:r w:rsidRPr="00243FEE">
        <w:rPr>
          <w:rFonts w:cs="Times New Roman"/>
          <w:sz w:val="22"/>
        </w:rPr>
        <w:t xml:space="preserve"> (skatīt 5.3. apakšpunktu </w:t>
      </w:r>
      <w:r w:rsidR="006363CE" w:rsidRPr="00243FEE">
        <w:rPr>
          <w:rFonts w:cs="Times New Roman"/>
          <w:sz w:val="22"/>
        </w:rPr>
        <w:t>„</w:t>
      </w:r>
      <w:r w:rsidRPr="00243FEE">
        <w:rPr>
          <w:rFonts w:cs="Times New Roman"/>
          <w:sz w:val="22"/>
        </w:rPr>
        <w:t>Preklīniskie dati par drošumu</w:t>
      </w:r>
      <w:r w:rsidR="006363CE" w:rsidRPr="00243FEE">
        <w:rPr>
          <w:rFonts w:cs="Times New Roman"/>
          <w:sz w:val="22"/>
        </w:rPr>
        <w:t>”</w:t>
      </w:r>
      <w:r w:rsidRPr="00243FEE">
        <w:rPr>
          <w:rFonts w:cs="Times New Roman"/>
          <w:sz w:val="22"/>
        </w:rPr>
        <w:t>).</w:t>
      </w:r>
    </w:p>
    <w:p w14:paraId="5C17F567" w14:textId="750847ED" w:rsidR="00F0747A" w:rsidRDefault="00F0747A" w:rsidP="0019572E">
      <w:pPr>
        <w:spacing w:line="240" w:lineRule="auto"/>
        <w:jc w:val="left"/>
        <w:rPr>
          <w:rFonts w:cs="Times New Roman"/>
          <w:sz w:val="22"/>
        </w:rPr>
      </w:pPr>
    </w:p>
    <w:p w14:paraId="59BC3659" w14:textId="03A72C0C" w:rsidR="00F0747A" w:rsidRPr="00243FEE" w:rsidRDefault="00F0747A" w:rsidP="0019572E">
      <w:pPr>
        <w:spacing w:line="240" w:lineRule="auto"/>
        <w:jc w:val="left"/>
        <w:rPr>
          <w:rFonts w:cs="Times New Roman"/>
          <w:sz w:val="22"/>
        </w:rPr>
      </w:pPr>
      <w:r w:rsidRPr="00460E15">
        <w:rPr>
          <w:rFonts w:cs="Times New Roman"/>
          <w:sz w:val="22"/>
        </w:rPr>
        <w:t>Grūtnieces, sievietes, kuras plāno grūtniecību, un sievietes, kuras baro bērnu ar krūti, Minoxidil Inteli drīkst lietot tikai tādos gadījumos, kad iegūstamais labums atsver potenciālo risku auglim vai zīdainim, kuru</w:t>
      </w:r>
      <w:r>
        <w:rPr>
          <w:rFonts w:cs="Times New Roman"/>
          <w:sz w:val="22"/>
        </w:rPr>
        <w:t xml:space="preserve"> </w:t>
      </w:r>
      <w:r w:rsidRPr="00460E15">
        <w:rPr>
          <w:rFonts w:cs="Times New Roman"/>
          <w:sz w:val="22"/>
        </w:rPr>
        <w:t>baro ar krūti.</w:t>
      </w:r>
    </w:p>
    <w:p w14:paraId="007C983A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46E8A9F5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4.7.</w:t>
      </w:r>
      <w:r w:rsidRPr="00243FEE">
        <w:rPr>
          <w:rFonts w:cs="Times New Roman"/>
          <w:b/>
          <w:sz w:val="22"/>
        </w:rPr>
        <w:tab/>
        <w:t>Ietekme uz spēju vadīt transportlīdzekļus un apkalpot mehānismus</w:t>
      </w:r>
    </w:p>
    <w:p w14:paraId="66CD0162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61BAE8B0" w14:textId="05853596" w:rsidR="005F157B" w:rsidRPr="00243FEE" w:rsidRDefault="00524406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</w:t>
      </w:r>
      <w:r w:rsidR="005F157B" w:rsidRPr="00243FEE">
        <w:rPr>
          <w:rFonts w:cs="Times New Roman"/>
          <w:sz w:val="22"/>
        </w:rPr>
        <w:t xml:space="preserve">av paredzams, ka Minoxidil </w:t>
      </w:r>
      <w:r w:rsidR="0059262B" w:rsidRPr="00243FEE">
        <w:rPr>
          <w:rFonts w:cs="Times New Roman"/>
          <w:sz w:val="22"/>
        </w:rPr>
        <w:t>Inteli</w:t>
      </w:r>
      <w:r w:rsidR="004C224F">
        <w:rPr>
          <w:rFonts w:cs="Times New Roman"/>
          <w:sz w:val="22"/>
        </w:rPr>
        <w:t xml:space="preserve"> </w:t>
      </w:r>
      <w:r w:rsidR="00DB52D6" w:rsidRPr="00243FEE">
        <w:rPr>
          <w:rFonts w:cs="Times New Roman"/>
          <w:sz w:val="22"/>
        </w:rPr>
        <w:t>5</w:t>
      </w:r>
      <w:r w:rsidR="00F57D6B" w:rsidRPr="00243FEE">
        <w:rPr>
          <w:rFonts w:cs="Times New Roman"/>
          <w:sz w:val="22"/>
        </w:rPr>
        <w:t>0 mg/ml</w:t>
      </w:r>
      <w:r w:rsidR="005F157B" w:rsidRPr="00243FEE">
        <w:rPr>
          <w:rFonts w:cs="Times New Roman"/>
          <w:sz w:val="22"/>
        </w:rPr>
        <w:t xml:space="preserve"> varētu ietekmēt spēju vadīt transportlīdzekļus un apkalpot mehānismus.</w:t>
      </w:r>
    </w:p>
    <w:p w14:paraId="5A7D8AD7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1D445152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4.8.</w:t>
      </w:r>
      <w:r w:rsidRPr="00243FEE">
        <w:rPr>
          <w:rFonts w:cs="Times New Roman"/>
          <w:b/>
          <w:sz w:val="22"/>
        </w:rPr>
        <w:tab/>
        <w:t>Nevēlamās blakusparādības</w:t>
      </w:r>
    </w:p>
    <w:p w14:paraId="60F069E3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021B2507" w14:textId="087B54DA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Nevēlamās blakusparādības ir iekļautas 1. un 2. tabulā</w:t>
      </w:r>
      <w:r w:rsidR="00362A1A" w:rsidRPr="00243FEE">
        <w:rPr>
          <w:rFonts w:cs="Times New Roman"/>
          <w:sz w:val="22"/>
        </w:rPr>
        <w:t>;</w:t>
      </w:r>
      <w:r w:rsidRPr="00243FEE">
        <w:rPr>
          <w:rFonts w:cs="Times New Roman"/>
          <w:sz w:val="22"/>
        </w:rPr>
        <w:t xml:space="preserve"> biežums norādīts sekojoši:</w:t>
      </w:r>
    </w:p>
    <w:p w14:paraId="66681ECF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Ļoti bieži </w:t>
      </w:r>
      <w:r w:rsidR="00D1087D" w:rsidRPr="00243FEE">
        <w:rPr>
          <w:rFonts w:cs="Times New Roman"/>
          <w:sz w:val="22"/>
        </w:rPr>
        <w:t>(</w:t>
      </w:r>
      <w:r w:rsidRPr="00243FEE">
        <w:rPr>
          <w:rFonts w:cs="Times New Roman"/>
          <w:sz w:val="22"/>
        </w:rPr>
        <w:t>≥ 1/10</w:t>
      </w:r>
      <w:r w:rsidR="00D1087D" w:rsidRPr="00243FEE">
        <w:rPr>
          <w:rFonts w:cs="Times New Roman"/>
          <w:sz w:val="22"/>
        </w:rPr>
        <w:t>);</w:t>
      </w:r>
    </w:p>
    <w:p w14:paraId="4372DDEB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Bieži </w:t>
      </w:r>
      <w:r w:rsidR="00D1087D" w:rsidRPr="00243FEE">
        <w:rPr>
          <w:rFonts w:cs="Times New Roman"/>
          <w:sz w:val="22"/>
        </w:rPr>
        <w:t>(</w:t>
      </w:r>
      <w:r w:rsidRPr="00243FEE">
        <w:rPr>
          <w:rFonts w:cs="Times New Roman"/>
          <w:sz w:val="22"/>
        </w:rPr>
        <w:t>≥ 1/100 līdz &lt; 1/10</w:t>
      </w:r>
      <w:r w:rsidR="00D1087D" w:rsidRPr="00243FEE">
        <w:rPr>
          <w:rFonts w:cs="Times New Roman"/>
          <w:sz w:val="22"/>
        </w:rPr>
        <w:t>);</w:t>
      </w:r>
    </w:p>
    <w:p w14:paraId="28B84E60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Retāk </w:t>
      </w:r>
      <w:r w:rsidR="00D1087D" w:rsidRPr="00243FEE">
        <w:rPr>
          <w:rFonts w:cs="Times New Roman"/>
          <w:sz w:val="22"/>
        </w:rPr>
        <w:t>(</w:t>
      </w:r>
      <w:r w:rsidRPr="00243FEE">
        <w:rPr>
          <w:rFonts w:cs="Times New Roman"/>
          <w:sz w:val="22"/>
        </w:rPr>
        <w:t>≥ 1/1000 līdz &lt; 1/100</w:t>
      </w:r>
      <w:r w:rsidR="00D1087D" w:rsidRPr="00243FEE">
        <w:rPr>
          <w:rFonts w:cs="Times New Roman"/>
          <w:sz w:val="22"/>
        </w:rPr>
        <w:t>);</w:t>
      </w:r>
    </w:p>
    <w:p w14:paraId="41A36FB9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Reti </w:t>
      </w:r>
      <w:r w:rsidR="00D1087D" w:rsidRPr="00243FEE">
        <w:rPr>
          <w:rFonts w:cs="Times New Roman"/>
          <w:sz w:val="22"/>
        </w:rPr>
        <w:t>(</w:t>
      </w:r>
      <w:r w:rsidRPr="00243FEE">
        <w:rPr>
          <w:rFonts w:cs="Times New Roman"/>
          <w:sz w:val="22"/>
        </w:rPr>
        <w:t>≥ </w:t>
      </w:r>
      <w:r w:rsidR="00DE462E" w:rsidRPr="00243FEE">
        <w:rPr>
          <w:rFonts w:cs="Times New Roman"/>
          <w:sz w:val="22"/>
        </w:rPr>
        <w:t>1/10 </w:t>
      </w:r>
      <w:r w:rsidRPr="00243FEE">
        <w:rPr>
          <w:rFonts w:cs="Times New Roman"/>
          <w:sz w:val="22"/>
        </w:rPr>
        <w:t>000 līdz &lt; 1/1000</w:t>
      </w:r>
      <w:r w:rsidR="00D1087D" w:rsidRPr="00243FEE">
        <w:rPr>
          <w:rFonts w:cs="Times New Roman"/>
          <w:sz w:val="22"/>
        </w:rPr>
        <w:t>);</w:t>
      </w:r>
    </w:p>
    <w:p w14:paraId="3601E48C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Ļoti reti </w:t>
      </w:r>
      <w:r w:rsidR="00D1087D" w:rsidRPr="00243FEE">
        <w:rPr>
          <w:rFonts w:cs="Times New Roman"/>
          <w:sz w:val="22"/>
        </w:rPr>
        <w:t>(</w:t>
      </w:r>
      <w:r w:rsidRPr="00243FEE">
        <w:rPr>
          <w:rFonts w:cs="Times New Roman"/>
          <w:sz w:val="22"/>
        </w:rPr>
        <w:t>&lt; 1/10 000</w:t>
      </w:r>
      <w:r w:rsidR="00D1087D" w:rsidRPr="00243FEE">
        <w:rPr>
          <w:rFonts w:cs="Times New Roman"/>
          <w:sz w:val="22"/>
        </w:rPr>
        <w:t>);</w:t>
      </w:r>
    </w:p>
    <w:p w14:paraId="01A9AE9F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Nav zināmi (nevar noteikt pēc pieejamiem datiem).</w:t>
      </w:r>
    </w:p>
    <w:p w14:paraId="659CC27B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49DDD5C8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1. tabula – Klīniskie pētījumi</w:t>
      </w:r>
    </w:p>
    <w:p w14:paraId="5E5F2A94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03F15034" w14:textId="2A2F4351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Septiņos placebo kontrolētos klīniskos pētījumos novēroja biežāk nekā 1% un biežāk nekā placebo grupā š</w:t>
      </w:r>
      <w:r w:rsidR="008B1F0E" w:rsidRPr="00243FEE">
        <w:rPr>
          <w:rFonts w:cs="Times New Roman"/>
          <w:sz w:val="22"/>
        </w:rPr>
        <w:t>ā</w:t>
      </w:r>
      <w:r w:rsidR="002F50D3" w:rsidRPr="00243FEE">
        <w:rPr>
          <w:rFonts w:cs="Times New Roman"/>
          <w:sz w:val="22"/>
        </w:rPr>
        <w:t>da</w:t>
      </w:r>
      <w:r w:rsidRPr="00243FEE">
        <w:rPr>
          <w:rFonts w:cs="Times New Roman"/>
          <w:sz w:val="22"/>
        </w:rPr>
        <w:t xml:space="preserve">s blakusparādības, kas </w:t>
      </w:r>
      <w:r w:rsidR="00C505FF" w:rsidRPr="00243FEE">
        <w:rPr>
          <w:rFonts w:cs="Times New Roman"/>
          <w:sz w:val="22"/>
        </w:rPr>
        <w:t>saistītas</w:t>
      </w:r>
      <w:r w:rsidR="00E363F8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ar minoksidila šķīduma (2</w:t>
      </w:r>
      <w:r w:rsidR="00F57D6B" w:rsidRPr="00243FEE">
        <w:rPr>
          <w:rFonts w:cs="Times New Roman"/>
          <w:sz w:val="22"/>
        </w:rPr>
        <w:t>0 mg/ml</w:t>
      </w:r>
      <w:r w:rsidRPr="00243FEE">
        <w:rPr>
          <w:rFonts w:cs="Times New Roman"/>
          <w:sz w:val="22"/>
        </w:rPr>
        <w:t xml:space="preserve"> un 5</w:t>
      </w:r>
      <w:r w:rsidR="00F57D6B" w:rsidRPr="00243FEE">
        <w:rPr>
          <w:rFonts w:cs="Times New Roman"/>
          <w:sz w:val="22"/>
        </w:rPr>
        <w:t>0 mg/ml</w:t>
      </w:r>
      <w:r w:rsidRPr="00243FEE">
        <w:rPr>
          <w:rFonts w:cs="Times New Roman"/>
          <w:sz w:val="22"/>
        </w:rPr>
        <w:t>)</w:t>
      </w:r>
      <w:r w:rsidR="0084325B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lietošanu</w:t>
      </w:r>
      <w:r w:rsidR="001C7127" w:rsidRPr="00243FEE">
        <w:rPr>
          <w:rFonts w:cs="Times New Roman"/>
          <w:sz w:val="22"/>
        </w:rPr>
        <w:t>:</w:t>
      </w:r>
    </w:p>
    <w:p w14:paraId="5B9E8599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33"/>
      </w:tblGrid>
      <w:tr w:rsidR="00243FEE" w:rsidRPr="00243FEE" w14:paraId="7B4BED57" w14:textId="77777777" w:rsidTr="009D1008">
        <w:tc>
          <w:tcPr>
            <w:tcW w:w="3095" w:type="dxa"/>
          </w:tcPr>
          <w:p w14:paraId="6B782CF3" w14:textId="77777777" w:rsidR="009D1008" w:rsidRPr="00243FEE" w:rsidRDefault="009D1008" w:rsidP="00A82A5E">
            <w:pPr>
              <w:jc w:val="left"/>
              <w:rPr>
                <w:rFonts w:cs="Times New Roman"/>
                <w:i/>
                <w:sz w:val="22"/>
              </w:rPr>
            </w:pPr>
            <w:r w:rsidRPr="00243FEE">
              <w:rPr>
                <w:rFonts w:cs="Times New Roman"/>
                <w:i/>
                <w:sz w:val="22"/>
              </w:rPr>
              <w:t xml:space="preserve">Orgānu </w:t>
            </w:r>
            <w:r w:rsidR="00A82A5E" w:rsidRPr="00243FEE">
              <w:rPr>
                <w:rFonts w:cs="Times New Roman"/>
                <w:i/>
                <w:sz w:val="22"/>
              </w:rPr>
              <w:t>sistēma</w:t>
            </w:r>
          </w:p>
        </w:tc>
        <w:tc>
          <w:tcPr>
            <w:tcW w:w="3096" w:type="dxa"/>
          </w:tcPr>
          <w:p w14:paraId="7C615578" w14:textId="77777777" w:rsidR="009D1008" w:rsidRPr="00243FEE" w:rsidRDefault="009D1008" w:rsidP="0019572E">
            <w:pPr>
              <w:jc w:val="left"/>
              <w:rPr>
                <w:rFonts w:cs="Times New Roman"/>
                <w:i/>
                <w:sz w:val="22"/>
              </w:rPr>
            </w:pPr>
            <w:r w:rsidRPr="00243FEE">
              <w:rPr>
                <w:rFonts w:cs="Times New Roman"/>
                <w:i/>
                <w:sz w:val="22"/>
              </w:rPr>
              <w:t>Biežuma kategorija</w:t>
            </w:r>
          </w:p>
        </w:tc>
        <w:tc>
          <w:tcPr>
            <w:tcW w:w="3096" w:type="dxa"/>
          </w:tcPr>
          <w:p w14:paraId="3D18CBB7" w14:textId="77777777" w:rsidR="009D1008" w:rsidRPr="00243FEE" w:rsidRDefault="009D1008" w:rsidP="0019572E">
            <w:pPr>
              <w:jc w:val="left"/>
              <w:rPr>
                <w:rFonts w:cs="Times New Roman"/>
                <w:i/>
                <w:sz w:val="22"/>
              </w:rPr>
            </w:pPr>
            <w:r w:rsidRPr="00243FEE">
              <w:rPr>
                <w:rFonts w:cs="Times New Roman"/>
                <w:i/>
                <w:sz w:val="22"/>
              </w:rPr>
              <w:t>Nevēlamā blakusparādība</w:t>
            </w:r>
          </w:p>
        </w:tc>
      </w:tr>
      <w:tr w:rsidR="00243FEE" w:rsidRPr="00243FEE" w14:paraId="7648427E" w14:textId="77777777" w:rsidTr="009D1008">
        <w:tc>
          <w:tcPr>
            <w:tcW w:w="3095" w:type="dxa"/>
          </w:tcPr>
          <w:p w14:paraId="2ADD15D9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Nervu sistēmas traucējumi</w:t>
            </w:r>
          </w:p>
        </w:tc>
        <w:tc>
          <w:tcPr>
            <w:tcW w:w="3096" w:type="dxa"/>
          </w:tcPr>
          <w:p w14:paraId="7E9BE764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Bieži</w:t>
            </w:r>
          </w:p>
        </w:tc>
        <w:tc>
          <w:tcPr>
            <w:tcW w:w="3096" w:type="dxa"/>
          </w:tcPr>
          <w:p w14:paraId="3E08E50F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Galvassāpes</w:t>
            </w:r>
          </w:p>
        </w:tc>
      </w:tr>
      <w:tr w:rsidR="00243FEE" w:rsidRPr="00243FEE" w14:paraId="50B21084" w14:textId="77777777" w:rsidTr="009D1008">
        <w:tc>
          <w:tcPr>
            <w:tcW w:w="3095" w:type="dxa"/>
          </w:tcPr>
          <w:p w14:paraId="4D2BD801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Ādas un zemādas audu bojājumi</w:t>
            </w:r>
          </w:p>
        </w:tc>
        <w:tc>
          <w:tcPr>
            <w:tcW w:w="3096" w:type="dxa"/>
          </w:tcPr>
          <w:p w14:paraId="260A7E80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Bieži</w:t>
            </w:r>
          </w:p>
        </w:tc>
        <w:tc>
          <w:tcPr>
            <w:tcW w:w="3096" w:type="dxa"/>
          </w:tcPr>
          <w:p w14:paraId="7BA3A9B2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Nieze, hipertrihoze</w:t>
            </w:r>
          </w:p>
        </w:tc>
      </w:tr>
    </w:tbl>
    <w:p w14:paraId="5A3085B9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1286E805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2. tabula – Nevēlamās blakusparādības, </w:t>
      </w:r>
      <w:r w:rsidR="00D2029C" w:rsidRPr="00243FEE">
        <w:rPr>
          <w:rFonts w:cs="Times New Roman"/>
          <w:sz w:val="22"/>
        </w:rPr>
        <w:t>kuras</w:t>
      </w:r>
      <w:r w:rsidR="008B1F0E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novērotas zāļu lietošanas laikā</w:t>
      </w:r>
      <w:r w:rsidR="008B1F0E" w:rsidRPr="00243FEE">
        <w:rPr>
          <w:rFonts w:cs="Times New Roman"/>
          <w:sz w:val="22"/>
        </w:rPr>
        <w:t xml:space="preserve"> </w:t>
      </w:r>
      <w:r w:rsidR="00D2029C" w:rsidRPr="00243FEE">
        <w:rPr>
          <w:rFonts w:cs="Times New Roman"/>
          <w:sz w:val="22"/>
        </w:rPr>
        <w:t>un kuras</w:t>
      </w:r>
      <w:r w:rsidR="008B1F0E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tika saistītas ar minoksidila lietošanu</w:t>
      </w:r>
      <w:r w:rsidR="001C7127" w:rsidRPr="00243FEE">
        <w:rPr>
          <w:rFonts w:cs="Times New Roman"/>
          <w:sz w:val="22"/>
        </w:rPr>
        <w:t>:</w:t>
      </w:r>
    </w:p>
    <w:p w14:paraId="5C7FCB2D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09"/>
        <w:gridCol w:w="3039"/>
      </w:tblGrid>
      <w:tr w:rsidR="00243FEE" w:rsidRPr="00243FEE" w14:paraId="1D09BE28" w14:textId="77777777" w:rsidTr="00280289">
        <w:tc>
          <w:tcPr>
            <w:tcW w:w="3013" w:type="dxa"/>
          </w:tcPr>
          <w:p w14:paraId="2DA26281" w14:textId="77777777" w:rsidR="009D1008" w:rsidRPr="00243FEE" w:rsidRDefault="009D1008" w:rsidP="00A82A5E">
            <w:pPr>
              <w:jc w:val="left"/>
              <w:rPr>
                <w:rFonts w:cs="Times New Roman"/>
                <w:i/>
                <w:sz w:val="22"/>
              </w:rPr>
            </w:pPr>
            <w:r w:rsidRPr="00243FEE">
              <w:rPr>
                <w:rFonts w:cs="Times New Roman"/>
                <w:i/>
                <w:sz w:val="22"/>
              </w:rPr>
              <w:t xml:space="preserve">Orgānu </w:t>
            </w:r>
            <w:r w:rsidR="00A82A5E" w:rsidRPr="00243FEE">
              <w:rPr>
                <w:rFonts w:cs="Times New Roman"/>
                <w:i/>
                <w:sz w:val="22"/>
              </w:rPr>
              <w:t>sistēma</w:t>
            </w:r>
          </w:p>
        </w:tc>
        <w:tc>
          <w:tcPr>
            <w:tcW w:w="3009" w:type="dxa"/>
          </w:tcPr>
          <w:p w14:paraId="49A9AA95" w14:textId="77777777" w:rsidR="009D1008" w:rsidRPr="00243FEE" w:rsidRDefault="009D1008" w:rsidP="0019572E">
            <w:pPr>
              <w:jc w:val="left"/>
              <w:rPr>
                <w:rFonts w:cs="Times New Roman"/>
                <w:i/>
                <w:sz w:val="22"/>
              </w:rPr>
            </w:pPr>
            <w:r w:rsidRPr="00243FEE">
              <w:rPr>
                <w:rFonts w:cs="Times New Roman"/>
                <w:i/>
                <w:sz w:val="22"/>
              </w:rPr>
              <w:t>Biežuma kategorija</w:t>
            </w:r>
          </w:p>
        </w:tc>
        <w:tc>
          <w:tcPr>
            <w:tcW w:w="3039" w:type="dxa"/>
          </w:tcPr>
          <w:p w14:paraId="0D01E70E" w14:textId="77777777" w:rsidR="009D1008" w:rsidRPr="00243FEE" w:rsidRDefault="009D1008" w:rsidP="0019572E">
            <w:pPr>
              <w:jc w:val="left"/>
              <w:rPr>
                <w:rFonts w:cs="Times New Roman"/>
                <w:i/>
                <w:sz w:val="22"/>
              </w:rPr>
            </w:pPr>
            <w:r w:rsidRPr="00243FEE">
              <w:rPr>
                <w:rFonts w:cs="Times New Roman"/>
                <w:i/>
                <w:sz w:val="22"/>
              </w:rPr>
              <w:t>Nevēlamā blakusparādība</w:t>
            </w:r>
          </w:p>
        </w:tc>
      </w:tr>
      <w:tr w:rsidR="00243FEE" w:rsidRPr="00243FEE" w14:paraId="3F6823BB" w14:textId="77777777" w:rsidTr="00280289">
        <w:tc>
          <w:tcPr>
            <w:tcW w:w="3013" w:type="dxa"/>
            <w:vMerge w:val="restart"/>
          </w:tcPr>
          <w:p w14:paraId="19D0D59B" w14:textId="77777777" w:rsidR="00280289" w:rsidRPr="00243FEE" w:rsidRDefault="00280289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Imūnās sistēmas traucējumi</w:t>
            </w:r>
          </w:p>
        </w:tc>
        <w:tc>
          <w:tcPr>
            <w:tcW w:w="3009" w:type="dxa"/>
          </w:tcPr>
          <w:p w14:paraId="7B9F6350" w14:textId="77777777" w:rsidR="00280289" w:rsidRPr="00243FEE" w:rsidRDefault="00280289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2CB1E342" w14:textId="77777777" w:rsidR="00280289" w:rsidRPr="00243FEE" w:rsidRDefault="00280289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Angioedēma, hipersensitivitāte, alerģisks kontaktdermatīts</w:t>
            </w:r>
          </w:p>
        </w:tc>
      </w:tr>
      <w:tr w:rsidR="00243FEE" w:rsidRPr="00243FEE" w14:paraId="0A1CB52A" w14:textId="77777777" w:rsidTr="00280289">
        <w:tc>
          <w:tcPr>
            <w:tcW w:w="3013" w:type="dxa"/>
            <w:vMerge/>
          </w:tcPr>
          <w:p w14:paraId="7100AEF5" w14:textId="77777777" w:rsidR="00280289" w:rsidRPr="00243FEE" w:rsidRDefault="00280289" w:rsidP="0019572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009" w:type="dxa"/>
          </w:tcPr>
          <w:p w14:paraId="4244D6BA" w14:textId="402BC0AC" w:rsidR="00280289" w:rsidRPr="00243FEE" w:rsidRDefault="00280289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Nav zināmi</w:t>
            </w:r>
          </w:p>
        </w:tc>
        <w:tc>
          <w:tcPr>
            <w:tcW w:w="3039" w:type="dxa"/>
          </w:tcPr>
          <w:p w14:paraId="65EE82CC" w14:textId="698B6F4F" w:rsidR="00280289" w:rsidRPr="00243FEE" w:rsidRDefault="00280289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Alerģiskas reakcijas, tai skaitā angioneirotiskā tūska</w:t>
            </w:r>
          </w:p>
        </w:tc>
      </w:tr>
      <w:tr w:rsidR="00243FEE" w:rsidRPr="00243FEE" w14:paraId="0507B433" w14:textId="77777777" w:rsidTr="00280289">
        <w:tc>
          <w:tcPr>
            <w:tcW w:w="3013" w:type="dxa"/>
          </w:tcPr>
          <w:p w14:paraId="192FA516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Nervu sistēmas traucējumi</w:t>
            </w:r>
          </w:p>
        </w:tc>
        <w:tc>
          <w:tcPr>
            <w:tcW w:w="3009" w:type="dxa"/>
          </w:tcPr>
          <w:p w14:paraId="53DD02E6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60C51D73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Reiboņi, galvassāpes</w:t>
            </w:r>
          </w:p>
        </w:tc>
      </w:tr>
      <w:tr w:rsidR="00243FEE" w:rsidRPr="00243FEE" w14:paraId="3410A9F6" w14:textId="77777777" w:rsidTr="00280289">
        <w:tc>
          <w:tcPr>
            <w:tcW w:w="3013" w:type="dxa"/>
          </w:tcPr>
          <w:p w14:paraId="1398BFD4" w14:textId="77777777" w:rsidR="009D1008" w:rsidRPr="00243FEE" w:rsidRDefault="00F121ED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Acu bojājumi</w:t>
            </w:r>
          </w:p>
        </w:tc>
        <w:tc>
          <w:tcPr>
            <w:tcW w:w="3009" w:type="dxa"/>
          </w:tcPr>
          <w:p w14:paraId="6603DD70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3D52FF15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Acu kairinājums</w:t>
            </w:r>
          </w:p>
        </w:tc>
      </w:tr>
      <w:tr w:rsidR="00243FEE" w:rsidRPr="00243FEE" w14:paraId="351E3B70" w14:textId="77777777" w:rsidTr="00280289">
        <w:tc>
          <w:tcPr>
            <w:tcW w:w="3013" w:type="dxa"/>
          </w:tcPr>
          <w:p w14:paraId="7E551A54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Sirds funkcijas traucējumi</w:t>
            </w:r>
          </w:p>
        </w:tc>
        <w:tc>
          <w:tcPr>
            <w:tcW w:w="3009" w:type="dxa"/>
          </w:tcPr>
          <w:p w14:paraId="21E01229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2C257C4C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Tahikardija, sirdsklauves</w:t>
            </w:r>
          </w:p>
        </w:tc>
      </w:tr>
      <w:tr w:rsidR="00243FEE" w:rsidRPr="00243FEE" w14:paraId="05FE3896" w14:textId="77777777" w:rsidTr="00280289">
        <w:tc>
          <w:tcPr>
            <w:tcW w:w="3013" w:type="dxa"/>
          </w:tcPr>
          <w:p w14:paraId="63DB0AA2" w14:textId="77777777" w:rsidR="009D1008" w:rsidRPr="00243FEE" w:rsidRDefault="009D1008" w:rsidP="001D04C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Elpošanas sistēmas traucējumi</w:t>
            </w:r>
            <w:r w:rsidR="001D04CE" w:rsidRPr="00243FEE">
              <w:rPr>
                <w:rFonts w:cs="Times New Roman"/>
                <w:sz w:val="22"/>
              </w:rPr>
              <w:t>,</w:t>
            </w:r>
            <w:r w:rsidRPr="00243FEE">
              <w:rPr>
                <w:rFonts w:cs="Times New Roman"/>
                <w:sz w:val="22"/>
              </w:rPr>
              <w:t xml:space="preserve"> krūšu kurvja un videnes slimības</w:t>
            </w:r>
          </w:p>
        </w:tc>
        <w:tc>
          <w:tcPr>
            <w:tcW w:w="3009" w:type="dxa"/>
          </w:tcPr>
          <w:p w14:paraId="6533C59C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0E30ECEF" w14:textId="77777777" w:rsidR="009D1008" w:rsidRPr="00243FEE" w:rsidRDefault="006375CD" w:rsidP="006375CD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Aizdusa</w:t>
            </w:r>
          </w:p>
        </w:tc>
      </w:tr>
      <w:tr w:rsidR="00243FEE" w:rsidRPr="00243FEE" w14:paraId="0E2F218F" w14:textId="77777777" w:rsidTr="00280289">
        <w:tc>
          <w:tcPr>
            <w:tcW w:w="3013" w:type="dxa"/>
          </w:tcPr>
          <w:p w14:paraId="04CD88F8" w14:textId="77777777" w:rsidR="009D1008" w:rsidRPr="00243FEE" w:rsidRDefault="006375CD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Kuņģa-zarnu trakta</w:t>
            </w:r>
            <w:r w:rsidR="009D1008" w:rsidRPr="00243FEE">
              <w:rPr>
                <w:rFonts w:cs="Times New Roman"/>
                <w:sz w:val="22"/>
              </w:rPr>
              <w:t xml:space="preserve"> traucējumi</w:t>
            </w:r>
          </w:p>
        </w:tc>
        <w:tc>
          <w:tcPr>
            <w:tcW w:w="3009" w:type="dxa"/>
          </w:tcPr>
          <w:p w14:paraId="5C0C4797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5E236038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Vemšana, slikta dūša</w:t>
            </w:r>
          </w:p>
        </w:tc>
      </w:tr>
      <w:tr w:rsidR="00243FEE" w:rsidRPr="00243FEE" w14:paraId="1996B7AD" w14:textId="77777777" w:rsidTr="00280289">
        <w:tc>
          <w:tcPr>
            <w:tcW w:w="3013" w:type="dxa"/>
          </w:tcPr>
          <w:p w14:paraId="41271CED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Vispārēji traucējumi un reakcijas ievadīšanas vietā</w:t>
            </w:r>
          </w:p>
        </w:tc>
        <w:tc>
          <w:tcPr>
            <w:tcW w:w="3009" w:type="dxa"/>
          </w:tcPr>
          <w:p w14:paraId="148D8FDC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15D4A3A5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Perifēra tūska un sāpes krūšu kurvī</w:t>
            </w:r>
          </w:p>
        </w:tc>
      </w:tr>
      <w:tr w:rsidR="00243FEE" w:rsidRPr="00243FEE" w14:paraId="12CFCCE3" w14:textId="77777777" w:rsidTr="00280289">
        <w:tc>
          <w:tcPr>
            <w:tcW w:w="3013" w:type="dxa"/>
          </w:tcPr>
          <w:p w14:paraId="46112D4E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Ādas un zemādas audu bojājumi</w:t>
            </w:r>
          </w:p>
        </w:tc>
        <w:tc>
          <w:tcPr>
            <w:tcW w:w="3009" w:type="dxa"/>
          </w:tcPr>
          <w:p w14:paraId="1C03F1CA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5E5F8DCD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Kontaktdermatīts, pārejoša matu izkrišana, matu struktūras un matu krāsas izmaiņas, hipertrihoze</w:t>
            </w:r>
          </w:p>
        </w:tc>
      </w:tr>
      <w:tr w:rsidR="00243FEE" w:rsidRPr="00243FEE" w14:paraId="33F825C3" w14:textId="77777777" w:rsidTr="00280289">
        <w:tc>
          <w:tcPr>
            <w:tcW w:w="3013" w:type="dxa"/>
          </w:tcPr>
          <w:p w14:paraId="48F3EB05" w14:textId="77777777" w:rsidR="009D1008" w:rsidRPr="00243FEE" w:rsidRDefault="009D1008" w:rsidP="006375CD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 xml:space="preserve">Asinsvadu </w:t>
            </w:r>
            <w:r w:rsidR="006375CD" w:rsidRPr="00243FEE">
              <w:rPr>
                <w:rFonts w:cs="Times New Roman"/>
                <w:sz w:val="22"/>
              </w:rPr>
              <w:t>sistēmas traucējumi</w:t>
            </w:r>
          </w:p>
        </w:tc>
        <w:tc>
          <w:tcPr>
            <w:tcW w:w="3009" w:type="dxa"/>
          </w:tcPr>
          <w:p w14:paraId="508BEE64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2345486C" w14:textId="77777777" w:rsidR="009D1008" w:rsidRPr="00243FEE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243FEE">
              <w:rPr>
                <w:rFonts w:cs="Times New Roman"/>
                <w:sz w:val="22"/>
              </w:rPr>
              <w:t>Hipotensija</w:t>
            </w:r>
          </w:p>
        </w:tc>
      </w:tr>
    </w:tbl>
    <w:p w14:paraId="51CD6B1A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5092A64D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lastRenderedPageBreak/>
        <w:t>Ziņošana par iespējamām nevēlamām blakusparādībām</w:t>
      </w:r>
    </w:p>
    <w:p w14:paraId="2502BA5B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Ir svarīgi ziņot par iespējamām nevēlamām blakusparādībām pēc zāļu reģistrācijas. Tādējādi</w:t>
      </w:r>
      <w:r w:rsidR="00334C45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zāļu ieguvuma/riska attiecība tiek nepārtraukti uzraudzīta. Veselības aprūpes speciālisti tiek lūgti ziņot par jebkādām iespējamām nevēlamām blakusparādībām Zāļu valsts aģentūrai, Jersikas ielā 15, Rīgā, LV</w:t>
      </w:r>
      <w:r w:rsidR="009D1008" w:rsidRPr="00243FEE">
        <w:rPr>
          <w:rFonts w:cs="Times New Roman"/>
          <w:sz w:val="22"/>
        </w:rPr>
        <w:t xml:space="preserve"> 1003. </w:t>
      </w:r>
      <w:r w:rsidRPr="00243FEE">
        <w:rPr>
          <w:rFonts w:cs="Times New Roman"/>
          <w:sz w:val="22"/>
        </w:rPr>
        <w:t xml:space="preserve">Tīmekļa vietne: </w:t>
      </w:r>
      <w:hyperlink r:id="rId7" w:history="1">
        <w:r w:rsidR="00DE462E" w:rsidRPr="00243FEE">
          <w:rPr>
            <w:rStyle w:val="Hyperlink"/>
            <w:rFonts w:cs="Times New Roman"/>
            <w:color w:val="auto"/>
            <w:sz w:val="22"/>
          </w:rPr>
          <w:t>www.zva.gov.lv</w:t>
        </w:r>
      </w:hyperlink>
      <w:r w:rsidRPr="00243FEE">
        <w:rPr>
          <w:rFonts w:cs="Times New Roman"/>
          <w:sz w:val="22"/>
        </w:rPr>
        <w:t>.</w:t>
      </w:r>
    </w:p>
    <w:p w14:paraId="74B3FB7D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37C3E0B9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4.9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Pārdozēšana</w:t>
      </w:r>
    </w:p>
    <w:p w14:paraId="7090EBDA" w14:textId="77777777" w:rsidR="009D1008" w:rsidRPr="00243FEE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02B4F173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Pazīmes un simptomi</w:t>
      </w:r>
    </w:p>
    <w:p w14:paraId="729F87F0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6D2F071C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Nav pierādījumu, ka lokāli lietots minoksidils absorbējas pietiekošā daudzumā, lai izraisītu sistēmiskus efektus. Ja zāles lietotas kā norādīts, pārdozēšana ir maz ticama.</w:t>
      </w:r>
    </w:p>
    <w:p w14:paraId="4030B6EE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27E6A8BF" w14:textId="7E72DCD3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Ja šīs zāles tiek lietotas rajonos, kur traumas, iekaisuma vai ādas slimības dēļ ir </w:t>
      </w:r>
      <w:r w:rsidR="00C53722" w:rsidRPr="00243FEE">
        <w:rPr>
          <w:rFonts w:cs="Times New Roman"/>
          <w:sz w:val="22"/>
        </w:rPr>
        <w:t>bojāta</w:t>
      </w:r>
      <w:r w:rsidR="0084325B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epidermas barjera, ir iespējami sistēmiski pārdozēšanas efekti. Ļoti reti var novērot blakusparādības, kas rodas minoksidila sistēmiskās iedarbības rezultātā.</w:t>
      </w:r>
    </w:p>
    <w:p w14:paraId="56E46A85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13D766EE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Ārstēšana</w:t>
      </w:r>
    </w:p>
    <w:p w14:paraId="4994808B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6114244B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Minoksidila pārdozēšanas ārstēšanai jābūt simptomātiskai un atbalstošai.</w:t>
      </w:r>
    </w:p>
    <w:p w14:paraId="5CC13C3E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7C30FF0C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7EB5581B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5.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FARMAKOLOĢISKĀS ĪPAŠĪBAS</w:t>
      </w:r>
    </w:p>
    <w:p w14:paraId="0E02019E" w14:textId="77777777" w:rsidR="009D1008" w:rsidRPr="00243FEE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7E04BCF9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5.1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Farmakodinamiskās īpašības</w:t>
      </w:r>
    </w:p>
    <w:p w14:paraId="16D28D9A" w14:textId="77777777" w:rsidR="009D1008" w:rsidRPr="00243FEE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268F0B36" w14:textId="321EE166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Farmakoterapeitiskā grupa: citi dermatoloģiskie līdzekļi, ATĶ kods: D11AX01</w:t>
      </w:r>
      <w:r w:rsidR="00362A1A" w:rsidRPr="00243FEE">
        <w:rPr>
          <w:rFonts w:cs="Times New Roman"/>
          <w:sz w:val="22"/>
        </w:rPr>
        <w:t>.</w:t>
      </w:r>
    </w:p>
    <w:p w14:paraId="58ADEE48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239B2DEE" w14:textId="50413E73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Minoxidil </w:t>
      </w:r>
      <w:r w:rsidR="0059262B" w:rsidRPr="00243FEE">
        <w:rPr>
          <w:rFonts w:cs="Times New Roman"/>
          <w:sz w:val="22"/>
        </w:rPr>
        <w:t>Inteli</w:t>
      </w:r>
      <w:r w:rsidRPr="00243FEE">
        <w:rPr>
          <w:rFonts w:cs="Times New Roman"/>
          <w:sz w:val="22"/>
        </w:rPr>
        <w:t xml:space="preserve"> aktīvā viela ir minoksidils, kas</w:t>
      </w:r>
      <w:r w:rsidR="00856A12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lokāli lietojot</w:t>
      </w:r>
      <w:r w:rsidR="00856A12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samazina androgēn</w:t>
      </w:r>
      <w:r w:rsidR="00FA5358" w:rsidRPr="00243FEE">
        <w:rPr>
          <w:rFonts w:cs="Times New Roman"/>
          <w:sz w:val="22"/>
        </w:rPr>
        <w:t>ā</w:t>
      </w:r>
      <w:r w:rsidRPr="00243FEE">
        <w:rPr>
          <w:rFonts w:cs="Times New Roman"/>
          <w:sz w:val="22"/>
        </w:rPr>
        <w:t xml:space="preserve">s </w:t>
      </w:r>
      <w:r w:rsidR="00FA5358" w:rsidRPr="00243FEE">
        <w:rPr>
          <w:rFonts w:cs="Times New Roman"/>
          <w:sz w:val="22"/>
        </w:rPr>
        <w:t>alopēcijas</w:t>
      </w:r>
      <w:r w:rsidR="00534E18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izraisītu</w:t>
      </w:r>
      <w:r w:rsidR="00243FEE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 xml:space="preserve">pastiprinātu matu izkrišanu vīriešiem un stimulē matu folikulu hipertrofiju. </w:t>
      </w:r>
      <w:r w:rsidR="00362A1A" w:rsidRPr="00243FEE">
        <w:rPr>
          <w:rFonts w:cs="Times New Roman"/>
          <w:sz w:val="22"/>
        </w:rPr>
        <w:t xml:space="preserve">Precīzs </w:t>
      </w:r>
      <w:r w:rsidRPr="00243FEE">
        <w:rPr>
          <w:rFonts w:cs="Times New Roman"/>
          <w:sz w:val="22"/>
        </w:rPr>
        <w:t>darbības mehānisms nav zināms.</w:t>
      </w:r>
    </w:p>
    <w:p w14:paraId="133DBAE9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2384001" w14:textId="5BD0F256" w:rsidR="009D1008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Regulāri lietojot ieteicamās devas</w:t>
      </w:r>
      <w:r w:rsidR="00FA5358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vairumam pacientu pastiprināta matu izkrišana apstājas pēc dažām nedēļām. Pēc četriem līdz astoņiem mēnešiem novērojama jaunu matu augšana. Pēc gada ārstēšanās līdz 40% pacientu, </w:t>
      </w:r>
      <w:r w:rsidR="00856A12" w:rsidRPr="00243FEE">
        <w:rPr>
          <w:rFonts w:cs="Times New Roman"/>
          <w:sz w:val="22"/>
        </w:rPr>
        <w:t>kuri</w:t>
      </w:r>
      <w:r w:rsidR="0084325B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 xml:space="preserve">ārstēti ar Minoxidil </w:t>
      </w:r>
      <w:r w:rsidR="0059262B" w:rsidRPr="00243FEE">
        <w:rPr>
          <w:rFonts w:cs="Times New Roman"/>
          <w:sz w:val="22"/>
        </w:rPr>
        <w:t>Inteli</w:t>
      </w:r>
      <w:r w:rsidR="009D1008" w:rsidRPr="00243FEE">
        <w:rPr>
          <w:rFonts w:cs="Times New Roman"/>
          <w:sz w:val="22"/>
        </w:rPr>
        <w:t xml:space="preserve"> 2%</w:t>
      </w:r>
      <w:r w:rsidR="00856A12" w:rsidRPr="00243FEE">
        <w:rPr>
          <w:rFonts w:cs="Times New Roman"/>
          <w:sz w:val="22"/>
        </w:rPr>
        <w:t xml:space="preserve">, </w:t>
      </w:r>
      <w:r w:rsidR="00925816" w:rsidRPr="00243FEE">
        <w:rPr>
          <w:rFonts w:cs="Times New Roman"/>
          <w:sz w:val="22"/>
        </w:rPr>
        <w:t>novērojama</w:t>
      </w:r>
      <w:r w:rsidR="0084325B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 xml:space="preserve">kosmētiski apmierinoša jaunu matu augšana. Ar Minoxidil </w:t>
      </w:r>
      <w:r w:rsidR="0059262B" w:rsidRPr="00243FEE">
        <w:rPr>
          <w:rFonts w:cs="Times New Roman"/>
          <w:sz w:val="22"/>
        </w:rPr>
        <w:t>Inteli</w:t>
      </w:r>
      <w:r w:rsidR="00362A1A" w:rsidRPr="00243FEE">
        <w:rPr>
          <w:rFonts w:cs="Times New Roman"/>
          <w:sz w:val="22"/>
        </w:rPr>
        <w:t xml:space="preserve"> </w:t>
      </w:r>
      <w:r w:rsidR="009D1008" w:rsidRPr="00243FEE">
        <w:rPr>
          <w:rFonts w:cs="Times New Roman"/>
          <w:sz w:val="22"/>
        </w:rPr>
        <w:t>5</w:t>
      </w:r>
      <w:r w:rsidR="00F57D6B" w:rsidRPr="00243FEE">
        <w:rPr>
          <w:rFonts w:cs="Times New Roman"/>
          <w:sz w:val="22"/>
        </w:rPr>
        <w:t>0 mg/ml</w:t>
      </w:r>
      <w:r w:rsidRPr="00243FEE">
        <w:rPr>
          <w:rFonts w:cs="Times New Roman"/>
          <w:sz w:val="22"/>
        </w:rPr>
        <w:t xml:space="preserve"> efekts ir intensīvāks. Darbības sākums un matu biezuma pakāpe atšķiras atkarībā no cilvēka. Lai uzturētu un stiprinātu matu augšanu, Minoxidil </w:t>
      </w:r>
      <w:r w:rsidR="0059262B" w:rsidRPr="00243FEE">
        <w:rPr>
          <w:rFonts w:cs="Times New Roman"/>
          <w:sz w:val="22"/>
        </w:rPr>
        <w:t>Inteli</w:t>
      </w:r>
      <w:r w:rsidRPr="00243FEE">
        <w:rPr>
          <w:rFonts w:cs="Times New Roman"/>
          <w:sz w:val="22"/>
        </w:rPr>
        <w:t xml:space="preserve"> jālieto regulāri divreiz dienā. Pārtraucot ārstēšanu, trīs līdz četru mēnešu laikā atgriežas iepriekšējais matu stāvoklis.</w:t>
      </w:r>
    </w:p>
    <w:p w14:paraId="02FC4B85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23E9E909" w14:textId="67C1EE46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Pastiprināta androgēnā </w:t>
      </w:r>
      <w:r w:rsidR="00082810" w:rsidRPr="00243FEE">
        <w:rPr>
          <w:rFonts w:cs="Times New Roman"/>
          <w:sz w:val="22"/>
        </w:rPr>
        <w:t>alopēcija</w:t>
      </w:r>
      <w:r w:rsidR="007C1500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 xml:space="preserve">un vairāk kā desmit gadus ilgusi </w:t>
      </w:r>
      <w:r w:rsidR="00082810" w:rsidRPr="00243FEE">
        <w:rPr>
          <w:rFonts w:cs="Times New Roman"/>
          <w:sz w:val="22"/>
        </w:rPr>
        <w:t>alopēcija</w:t>
      </w:r>
      <w:r w:rsidR="007C1500" w:rsidRPr="00243FEE">
        <w:rPr>
          <w:rFonts w:cs="Times New Roman"/>
          <w:sz w:val="22"/>
        </w:rPr>
        <w:t xml:space="preserve"> uz </w:t>
      </w:r>
      <w:r w:rsidRPr="00243FEE">
        <w:rPr>
          <w:rFonts w:cs="Times New Roman"/>
          <w:sz w:val="22"/>
        </w:rPr>
        <w:t>ārstēšan</w:t>
      </w:r>
      <w:r w:rsidR="007C1500" w:rsidRPr="00243FEE">
        <w:rPr>
          <w:rFonts w:cs="Times New Roman"/>
          <w:sz w:val="22"/>
        </w:rPr>
        <w:t>u</w:t>
      </w:r>
      <w:r w:rsidRPr="00243FEE">
        <w:rPr>
          <w:rFonts w:cs="Times New Roman"/>
          <w:sz w:val="22"/>
        </w:rPr>
        <w:t xml:space="preserve"> ar Minoxidil </w:t>
      </w:r>
      <w:r w:rsidR="0059262B" w:rsidRPr="00243FEE">
        <w:rPr>
          <w:rFonts w:cs="Times New Roman"/>
          <w:sz w:val="22"/>
        </w:rPr>
        <w:t>Inteli</w:t>
      </w:r>
      <w:r w:rsidRPr="00243FEE">
        <w:rPr>
          <w:rFonts w:cs="Times New Roman"/>
          <w:sz w:val="22"/>
        </w:rPr>
        <w:t xml:space="preserve"> reaģē ļoti reti vai nereaģē nemaz.</w:t>
      </w:r>
    </w:p>
    <w:p w14:paraId="5F9DCF31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422823D" w14:textId="15DED716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Ja minoksidils </w:t>
      </w:r>
      <w:r w:rsidR="003E59F0" w:rsidRPr="00243FEE">
        <w:rPr>
          <w:rFonts w:cs="Times New Roman"/>
          <w:sz w:val="22"/>
        </w:rPr>
        <w:t xml:space="preserve">tiek </w:t>
      </w:r>
      <w:r w:rsidRPr="00243FEE">
        <w:rPr>
          <w:rFonts w:cs="Times New Roman"/>
          <w:sz w:val="22"/>
        </w:rPr>
        <w:t xml:space="preserve">lietots </w:t>
      </w:r>
      <w:r w:rsidR="00C9454A" w:rsidRPr="00243FEE">
        <w:rPr>
          <w:rFonts w:cs="Times New Roman"/>
          <w:sz w:val="22"/>
        </w:rPr>
        <w:t>perorāli</w:t>
      </w:r>
      <w:r w:rsidRPr="00243FEE">
        <w:rPr>
          <w:rFonts w:cs="Times New Roman"/>
          <w:sz w:val="22"/>
        </w:rPr>
        <w:t>, tas ir ar vazodilatējošu efektu</w:t>
      </w:r>
      <w:r w:rsidR="00C9454A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un to lieto smagu hipertensijas formu ārstēšanai.</w:t>
      </w:r>
    </w:p>
    <w:p w14:paraId="7AEB262A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2A240874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5.2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Farmakokinētiskās īpašības</w:t>
      </w:r>
    </w:p>
    <w:p w14:paraId="436512E5" w14:textId="77777777" w:rsidR="009D1008" w:rsidRPr="00243FEE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1792C358" w14:textId="77777777" w:rsidR="005F157B" w:rsidRPr="00243FEE" w:rsidRDefault="002A7B04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Uzsūkšanās</w:t>
      </w:r>
    </w:p>
    <w:p w14:paraId="745CCCE0" w14:textId="77777777" w:rsidR="00DE462E" w:rsidRPr="00243FEE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272C9946" w14:textId="79EDBB9C" w:rsidR="000A3F0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Lokāli lietots minoksidils absorbējas caur veselu galvas ādu tikai ierob</w:t>
      </w:r>
      <w:r w:rsidR="009D1008" w:rsidRPr="00243FEE">
        <w:rPr>
          <w:rFonts w:cs="Times New Roman"/>
          <w:sz w:val="22"/>
        </w:rPr>
        <w:t>ežotā apjomā. Apmēram 1</w:t>
      </w:r>
      <w:r w:rsidRPr="00243FEE">
        <w:rPr>
          <w:rFonts w:cs="Times New Roman"/>
          <w:sz w:val="22"/>
        </w:rPr>
        <w:t>,7%</w:t>
      </w:r>
      <w:r w:rsidR="0084325B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(starp 0,3 un 4,5%) lokāli uzklāta minoksidila nonāk sistēmiskā cirkulācijā.</w:t>
      </w:r>
    </w:p>
    <w:p w14:paraId="7500DB7B" w14:textId="1C56BE92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Pēc Minoxidil </w:t>
      </w:r>
      <w:r w:rsidR="0059262B" w:rsidRPr="00243FEE">
        <w:rPr>
          <w:rFonts w:cs="Times New Roman"/>
          <w:sz w:val="22"/>
        </w:rPr>
        <w:t>Inteli</w:t>
      </w:r>
      <w:r w:rsidRPr="00243FEE">
        <w:rPr>
          <w:rFonts w:cs="Times New Roman"/>
          <w:sz w:val="22"/>
        </w:rPr>
        <w:t xml:space="preserve"> uzklāšanas uz ādas</w:t>
      </w:r>
      <w:r w:rsidR="00C9454A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minoksidila koncentrācija serumā ir atkarīga no zemādas absorbcijas</w:t>
      </w:r>
      <w:r w:rsidR="004314DC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 xml:space="preserve">ātruma. Pēc Minoxidil </w:t>
      </w:r>
      <w:r w:rsidR="0059262B" w:rsidRPr="00243FEE">
        <w:rPr>
          <w:rFonts w:cs="Times New Roman"/>
          <w:sz w:val="22"/>
        </w:rPr>
        <w:t>Inteli</w:t>
      </w:r>
      <w:r w:rsidR="004314DC" w:rsidRPr="00243FEE">
        <w:rPr>
          <w:rFonts w:cs="Times New Roman"/>
          <w:sz w:val="22"/>
        </w:rPr>
        <w:t xml:space="preserve"> </w:t>
      </w:r>
      <w:r w:rsidR="009D1008" w:rsidRPr="00243FEE">
        <w:rPr>
          <w:rFonts w:cs="Times New Roman"/>
          <w:sz w:val="22"/>
        </w:rPr>
        <w:t>5</w:t>
      </w:r>
      <w:r w:rsidR="00F57D6B" w:rsidRPr="00243FEE">
        <w:rPr>
          <w:rFonts w:cs="Times New Roman"/>
          <w:sz w:val="22"/>
        </w:rPr>
        <w:t>0 mg/ml</w:t>
      </w:r>
      <w:r w:rsidR="004314DC" w:rsidRPr="00243FEE">
        <w:rPr>
          <w:rFonts w:cs="Times New Roman"/>
          <w:sz w:val="22"/>
        </w:rPr>
        <w:t xml:space="preserve"> </w:t>
      </w:r>
      <w:r w:rsidR="000A3F0B" w:rsidRPr="00243FEE">
        <w:rPr>
          <w:rFonts w:cs="Times New Roman"/>
          <w:sz w:val="22"/>
        </w:rPr>
        <w:t xml:space="preserve">šķīduma </w:t>
      </w:r>
      <w:r w:rsidRPr="00243FEE">
        <w:rPr>
          <w:rFonts w:cs="Times New Roman"/>
          <w:sz w:val="22"/>
        </w:rPr>
        <w:t>uzklāšanas plazmas rādītāji bija aptuveni divreiz lielāki</w:t>
      </w:r>
      <w:r w:rsidR="00856A12" w:rsidRPr="00243FEE">
        <w:rPr>
          <w:rFonts w:cs="Times New Roman"/>
          <w:sz w:val="22"/>
        </w:rPr>
        <w:t xml:space="preserve">, salīdzinot ar </w:t>
      </w:r>
      <w:r w:rsidRPr="00243FEE">
        <w:rPr>
          <w:rFonts w:cs="Times New Roman"/>
          <w:sz w:val="22"/>
        </w:rPr>
        <w:t xml:space="preserve">Minoxidil </w:t>
      </w:r>
      <w:r w:rsidR="0059262B" w:rsidRPr="00243FEE">
        <w:rPr>
          <w:rFonts w:cs="Times New Roman"/>
          <w:sz w:val="22"/>
        </w:rPr>
        <w:t>Inteli</w:t>
      </w:r>
      <w:r w:rsidR="00C9454A" w:rsidRPr="00243FEE">
        <w:rPr>
          <w:rFonts w:cs="Times New Roman"/>
          <w:sz w:val="22"/>
        </w:rPr>
        <w:t xml:space="preserve"> </w:t>
      </w:r>
      <w:r w:rsidR="009D1008" w:rsidRPr="00243FEE">
        <w:rPr>
          <w:rFonts w:cs="Times New Roman"/>
          <w:sz w:val="22"/>
        </w:rPr>
        <w:t>2%</w:t>
      </w:r>
      <w:r w:rsidR="000A3F0B" w:rsidRPr="00243FEE">
        <w:rPr>
          <w:rFonts w:cs="Times New Roman"/>
          <w:sz w:val="22"/>
        </w:rPr>
        <w:t xml:space="preserve"> šķīduma</w:t>
      </w:r>
      <w:r w:rsidR="004314DC" w:rsidRPr="00243FEE">
        <w:rPr>
          <w:rFonts w:cs="Times New Roman"/>
          <w:sz w:val="22"/>
        </w:rPr>
        <w:t xml:space="preserve"> </w:t>
      </w:r>
      <w:r w:rsidR="00770689" w:rsidRPr="00243FEE">
        <w:rPr>
          <w:rFonts w:cs="Times New Roman"/>
          <w:sz w:val="22"/>
        </w:rPr>
        <w:t>lietošanu</w:t>
      </w:r>
      <w:r w:rsidRPr="00243FEE">
        <w:rPr>
          <w:rFonts w:cs="Times New Roman"/>
          <w:sz w:val="22"/>
        </w:rPr>
        <w:t>. Nav zināms vienlaicīg</w:t>
      </w:r>
      <w:r w:rsidR="00B342C9" w:rsidRPr="00243FEE">
        <w:rPr>
          <w:rFonts w:cs="Times New Roman"/>
          <w:sz w:val="22"/>
        </w:rPr>
        <w:t>i</w:t>
      </w:r>
      <w:r w:rsidRPr="00243FEE">
        <w:rPr>
          <w:rFonts w:cs="Times New Roman"/>
          <w:sz w:val="22"/>
        </w:rPr>
        <w:t xml:space="preserve"> </w:t>
      </w:r>
      <w:r w:rsidR="00B342C9" w:rsidRPr="00243FEE">
        <w:rPr>
          <w:rFonts w:cs="Times New Roman"/>
          <w:sz w:val="22"/>
        </w:rPr>
        <w:t xml:space="preserve">esošu </w:t>
      </w:r>
      <w:r w:rsidRPr="00243FEE">
        <w:rPr>
          <w:rFonts w:cs="Times New Roman"/>
          <w:sz w:val="22"/>
        </w:rPr>
        <w:t>āda</w:t>
      </w:r>
      <w:r w:rsidR="009D1008" w:rsidRPr="00243FEE">
        <w:rPr>
          <w:rFonts w:cs="Times New Roman"/>
          <w:sz w:val="22"/>
        </w:rPr>
        <w:t>s slimību efekts uz absorbciju.</w:t>
      </w:r>
    </w:p>
    <w:p w14:paraId="3CF101B5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04DB58B2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lastRenderedPageBreak/>
        <w:t>Izkliede</w:t>
      </w:r>
    </w:p>
    <w:p w14:paraId="6DE65344" w14:textId="77777777" w:rsidR="00DE462E" w:rsidRPr="00243FEE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38155728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Minoksidils nesaistās ar plazmas proteīniem un nešķērso hematoencefālisko barjeru.</w:t>
      </w:r>
    </w:p>
    <w:p w14:paraId="25BD7253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6FD796FE" w14:textId="77777777" w:rsidR="005F157B" w:rsidRPr="00243FEE" w:rsidRDefault="002A7B04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Biotransformācija</w:t>
      </w:r>
    </w:p>
    <w:p w14:paraId="3CC87AFF" w14:textId="77777777" w:rsidR="00DE462E" w:rsidRPr="00243FEE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722351B0" w14:textId="46D9ACF2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Biotransformācija pēc lokāli aplicēta minoksidila vēl pilnībā nav izskaidrota. Iekšķīgi lietots minoksidils galvenokārt metabolizējas</w:t>
      </w:r>
      <w:r w:rsidR="004314DC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savienojoties ar glikuronskābi, </w:t>
      </w:r>
      <w:r w:rsidR="00856A12" w:rsidRPr="00243FEE">
        <w:rPr>
          <w:rFonts w:cs="Times New Roman"/>
          <w:sz w:val="22"/>
        </w:rPr>
        <w:t xml:space="preserve">kā </w:t>
      </w:r>
      <w:r w:rsidRPr="00243FEE">
        <w:rPr>
          <w:rFonts w:cs="Times New Roman"/>
          <w:sz w:val="22"/>
        </w:rPr>
        <w:t xml:space="preserve">arī pārvēršoties polāros </w:t>
      </w:r>
      <w:r w:rsidR="004314DC" w:rsidRPr="00243FEE">
        <w:rPr>
          <w:rFonts w:cs="Times New Roman"/>
          <w:sz w:val="22"/>
        </w:rPr>
        <w:t>savienojumos</w:t>
      </w:r>
      <w:r w:rsidRPr="00243FEE">
        <w:rPr>
          <w:rFonts w:cs="Times New Roman"/>
          <w:sz w:val="22"/>
        </w:rPr>
        <w:t xml:space="preserve">. Zināmajiem metabolītiem ir ievērojami zemāka farmakoloģiskā aktivitāte </w:t>
      </w:r>
      <w:r w:rsidR="00BA13B2" w:rsidRPr="00243FEE">
        <w:rPr>
          <w:rFonts w:cs="Times New Roman"/>
          <w:sz w:val="22"/>
        </w:rPr>
        <w:t>ne</w:t>
      </w:r>
      <w:r w:rsidRPr="00243FEE">
        <w:rPr>
          <w:rFonts w:cs="Times New Roman"/>
          <w:sz w:val="22"/>
        </w:rPr>
        <w:t>kā pašam minoksidilam.</w:t>
      </w:r>
    </w:p>
    <w:p w14:paraId="5001D0F6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70BA494D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Eliminācija</w:t>
      </w:r>
    </w:p>
    <w:p w14:paraId="359B0A4E" w14:textId="77777777" w:rsidR="00DE462E" w:rsidRPr="00243FEE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17E72B94" w14:textId="729B26B8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Nieru klīrenss ir atkarīgs no glomerulārā</w:t>
      </w:r>
      <w:r w:rsidR="004314DC" w:rsidRPr="00243FEE">
        <w:rPr>
          <w:rFonts w:cs="Times New Roman"/>
          <w:sz w:val="22"/>
        </w:rPr>
        <w:t>s</w:t>
      </w:r>
      <w:r w:rsidRPr="00243FEE">
        <w:rPr>
          <w:rFonts w:cs="Times New Roman"/>
          <w:sz w:val="22"/>
        </w:rPr>
        <w:t xml:space="preserve"> filtrācijas ātruma. Pārtraucot ārstēšanu ar Minoxidil </w:t>
      </w:r>
      <w:r w:rsidR="0059262B" w:rsidRPr="00243FEE">
        <w:rPr>
          <w:rFonts w:cs="Times New Roman"/>
          <w:sz w:val="22"/>
        </w:rPr>
        <w:t>Inteli</w:t>
      </w:r>
      <w:r w:rsidRPr="00243FEE">
        <w:rPr>
          <w:rFonts w:cs="Times New Roman"/>
          <w:sz w:val="22"/>
        </w:rPr>
        <w:t xml:space="preserve"> šķīdumu, apmēram 95% sistēmiski absorbētā minok</w:t>
      </w:r>
      <w:r w:rsidR="009D1008" w:rsidRPr="00243FEE">
        <w:rPr>
          <w:rFonts w:cs="Times New Roman"/>
          <w:sz w:val="22"/>
        </w:rPr>
        <w:t>sidila tiek izvadīt</w:t>
      </w:r>
      <w:r w:rsidR="00BA13B2" w:rsidRPr="00243FEE">
        <w:rPr>
          <w:rFonts w:cs="Times New Roman"/>
          <w:sz w:val="22"/>
        </w:rPr>
        <w:t>s</w:t>
      </w:r>
      <w:r w:rsidR="009D1008" w:rsidRPr="00243FEE">
        <w:rPr>
          <w:rFonts w:cs="Times New Roman"/>
          <w:sz w:val="22"/>
        </w:rPr>
        <w:t xml:space="preserve"> ar urīnu 4 </w:t>
      </w:r>
      <w:r w:rsidRPr="00243FEE">
        <w:rPr>
          <w:rFonts w:cs="Times New Roman"/>
          <w:sz w:val="22"/>
        </w:rPr>
        <w:t>dienu laikā.</w:t>
      </w:r>
    </w:p>
    <w:p w14:paraId="1A7F8D0F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2A532615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Farmakokinētika un īpašas klīniskās situācijas</w:t>
      </w:r>
    </w:p>
    <w:p w14:paraId="52E8BEDB" w14:textId="77777777" w:rsidR="00DE462E" w:rsidRPr="00243FEE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45EEBF7C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Gadījumā, ja iepriekš ir traumēts galvas matainās daļas raga slānis, piemēram, saules apdeguma, skūšanas vai citu faktoru ietekmē, var palielināties zemādas absorbcija, kā rezultātā </w:t>
      </w:r>
      <w:r w:rsidR="00856A12" w:rsidRPr="00243FEE">
        <w:rPr>
          <w:rFonts w:cs="Times New Roman"/>
          <w:sz w:val="22"/>
        </w:rPr>
        <w:t xml:space="preserve">pieaug nevēlamo blakusparādību </w:t>
      </w:r>
      <w:r w:rsidR="009E1BAC" w:rsidRPr="00243FEE">
        <w:rPr>
          <w:rFonts w:cs="Times New Roman"/>
          <w:sz w:val="22"/>
        </w:rPr>
        <w:t xml:space="preserve">rašanās </w:t>
      </w:r>
      <w:r w:rsidR="00856A12" w:rsidRPr="00243FEE">
        <w:rPr>
          <w:rFonts w:cs="Times New Roman"/>
          <w:sz w:val="22"/>
        </w:rPr>
        <w:t>risks</w:t>
      </w:r>
      <w:r w:rsidRPr="00243FEE">
        <w:rPr>
          <w:rFonts w:cs="Times New Roman"/>
          <w:sz w:val="22"/>
        </w:rPr>
        <w:t>.</w:t>
      </w:r>
    </w:p>
    <w:p w14:paraId="7334CF69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C05E767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5.3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Preklīniskie dati par drošumu</w:t>
      </w:r>
    </w:p>
    <w:p w14:paraId="198B48CA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0F743637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Mutagenitāte</w:t>
      </w:r>
    </w:p>
    <w:p w14:paraId="7850A4BC" w14:textId="77777777" w:rsidR="00DE462E" w:rsidRPr="00243FEE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48CCA872" w14:textId="27CCABD0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Minoksidils </w:t>
      </w:r>
      <w:r w:rsidR="00856A12" w:rsidRPr="00243FEE">
        <w:rPr>
          <w:rFonts w:cs="Times New Roman"/>
          <w:sz w:val="22"/>
        </w:rPr>
        <w:t>neuzrādīja</w:t>
      </w:r>
      <w:r w:rsidR="00243FEE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 xml:space="preserve">mutagēno/genotoksisko potenciālu vairākās </w:t>
      </w:r>
      <w:r w:rsidRPr="00243FEE">
        <w:rPr>
          <w:rFonts w:cs="Times New Roman"/>
          <w:i/>
          <w:sz w:val="22"/>
        </w:rPr>
        <w:t>in vitro</w:t>
      </w:r>
      <w:r w:rsidRPr="00243FEE">
        <w:rPr>
          <w:rFonts w:cs="Times New Roman"/>
          <w:sz w:val="22"/>
        </w:rPr>
        <w:t xml:space="preserve"> un </w:t>
      </w:r>
      <w:r w:rsidRPr="00243FEE">
        <w:rPr>
          <w:rFonts w:cs="Times New Roman"/>
          <w:i/>
          <w:sz w:val="22"/>
        </w:rPr>
        <w:t>in vivo</w:t>
      </w:r>
      <w:r w:rsidRPr="00243FEE">
        <w:rPr>
          <w:rFonts w:cs="Times New Roman"/>
          <w:sz w:val="22"/>
        </w:rPr>
        <w:t xml:space="preserve"> pārbaudēs.</w:t>
      </w:r>
    </w:p>
    <w:p w14:paraId="6E6709D5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01F12A37" w14:textId="71E8139D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Kancerogenitāte</w:t>
      </w:r>
    </w:p>
    <w:p w14:paraId="1BED40F2" w14:textId="77777777" w:rsidR="00DE462E" w:rsidRPr="00243FEE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77E149E5" w14:textId="7DB2B8C8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Pelēm un žurkām novēroja biežu hormonatkarīgo audzēju sastopamību. Šie audzēji ir kā sekundārie hormonālie efekti (hiperprolaktinēmijai), ko novēroja tikai grauzējiem</w:t>
      </w:r>
      <w:r w:rsidR="00856A12" w:rsidRPr="00243FEE">
        <w:rPr>
          <w:rFonts w:cs="Times New Roman"/>
          <w:sz w:val="22"/>
        </w:rPr>
        <w:t>, lietojot</w:t>
      </w:r>
      <w:r w:rsidRPr="00243FEE">
        <w:rPr>
          <w:rFonts w:cs="Times New Roman"/>
          <w:sz w:val="22"/>
        </w:rPr>
        <w:t xml:space="preserve"> ļoti </w:t>
      </w:r>
      <w:r w:rsidR="00856A12" w:rsidRPr="00243FEE">
        <w:rPr>
          <w:rFonts w:cs="Times New Roman"/>
          <w:sz w:val="22"/>
        </w:rPr>
        <w:t>augstas devas,</w:t>
      </w:r>
      <w:r w:rsidR="00BA13B2" w:rsidRPr="00243FEE">
        <w:rPr>
          <w:rFonts w:cs="Times New Roman"/>
          <w:sz w:val="22"/>
        </w:rPr>
        <w:t xml:space="preserve"> </w:t>
      </w:r>
      <w:r w:rsidRPr="00243FEE">
        <w:rPr>
          <w:rFonts w:cs="Times New Roman"/>
          <w:sz w:val="22"/>
        </w:rPr>
        <w:t>un mehānism</w:t>
      </w:r>
      <w:r w:rsidR="004314DC" w:rsidRPr="00243FEE">
        <w:rPr>
          <w:rFonts w:cs="Times New Roman"/>
          <w:sz w:val="22"/>
        </w:rPr>
        <w:t>s ir</w:t>
      </w:r>
      <w:r w:rsidRPr="00243FEE">
        <w:rPr>
          <w:rFonts w:cs="Times New Roman"/>
          <w:sz w:val="22"/>
        </w:rPr>
        <w:t xml:space="preserve"> tād</w:t>
      </w:r>
      <w:r w:rsidR="004314DC" w:rsidRPr="00243FEE">
        <w:rPr>
          <w:rFonts w:cs="Times New Roman"/>
          <w:sz w:val="22"/>
        </w:rPr>
        <w:t>s</w:t>
      </w:r>
      <w:r w:rsidRPr="00243FEE">
        <w:rPr>
          <w:rFonts w:cs="Times New Roman"/>
          <w:sz w:val="22"/>
        </w:rPr>
        <w:t xml:space="preserve"> pa</w:t>
      </w:r>
      <w:r w:rsidR="004314DC" w:rsidRPr="00243FEE">
        <w:rPr>
          <w:rFonts w:cs="Times New Roman"/>
          <w:sz w:val="22"/>
        </w:rPr>
        <w:t>ts</w:t>
      </w:r>
      <w:r w:rsidRPr="00243FEE">
        <w:rPr>
          <w:rFonts w:cs="Times New Roman"/>
          <w:sz w:val="22"/>
        </w:rPr>
        <w:t xml:space="preserve"> kā rezerpīnam. Lokāli lieto</w:t>
      </w:r>
      <w:r w:rsidR="00B342C9" w:rsidRPr="00243FEE">
        <w:rPr>
          <w:rFonts w:cs="Times New Roman"/>
          <w:sz w:val="22"/>
        </w:rPr>
        <w:t>jot,</w:t>
      </w:r>
      <w:r w:rsidRPr="00243FEE">
        <w:rPr>
          <w:rFonts w:cs="Times New Roman"/>
          <w:sz w:val="22"/>
        </w:rPr>
        <w:t xml:space="preserve"> minoksidils neuzrādīja nekādu efektu uz hormonālo statusu sievietēm. </w:t>
      </w:r>
      <w:r w:rsidR="00B342C9" w:rsidRPr="00243FEE">
        <w:rPr>
          <w:rFonts w:cs="Times New Roman"/>
          <w:sz w:val="22"/>
        </w:rPr>
        <w:t>Tāpēc</w:t>
      </w:r>
      <w:r w:rsidR="003674B0" w:rsidRPr="00243FEE">
        <w:rPr>
          <w:rFonts w:cs="Times New Roman"/>
          <w:sz w:val="22"/>
        </w:rPr>
        <w:t xml:space="preserve"> </w:t>
      </w:r>
      <w:r w:rsidR="00B342C9" w:rsidRPr="00243FEE">
        <w:rPr>
          <w:rFonts w:cs="Times New Roman"/>
          <w:sz w:val="22"/>
        </w:rPr>
        <w:t xml:space="preserve">nepastāv </w:t>
      </w:r>
      <w:r w:rsidR="003674B0" w:rsidRPr="00243FEE">
        <w:rPr>
          <w:rFonts w:cs="Times New Roman"/>
          <w:sz w:val="22"/>
        </w:rPr>
        <w:t>hor</w:t>
      </w:r>
      <w:r w:rsidR="00822BAF" w:rsidRPr="00243FEE">
        <w:rPr>
          <w:rFonts w:cs="Times New Roman"/>
          <w:sz w:val="22"/>
        </w:rPr>
        <w:t>m</w:t>
      </w:r>
      <w:r w:rsidR="003674B0" w:rsidRPr="00243FEE">
        <w:rPr>
          <w:rFonts w:cs="Times New Roman"/>
          <w:sz w:val="22"/>
        </w:rPr>
        <w:t>onatkarīgo audzēju risks cilvēkam.</w:t>
      </w:r>
    </w:p>
    <w:p w14:paraId="18DCE010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6C8C81AE" w14:textId="77777777" w:rsidR="005F157B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Teratogenitāte</w:t>
      </w:r>
    </w:p>
    <w:p w14:paraId="6557CF11" w14:textId="77777777" w:rsidR="00DE462E" w:rsidRPr="00243FEE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74AFBDE0" w14:textId="50A08D48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 xml:space="preserve">Reprodukcijas toksicitātes pētījumi žurkām un trušiem </w:t>
      </w:r>
      <w:r w:rsidR="00F129D8" w:rsidRPr="00243FEE">
        <w:rPr>
          <w:rFonts w:cs="Times New Roman"/>
          <w:sz w:val="22"/>
        </w:rPr>
        <w:t>uz</w:t>
      </w:r>
      <w:r w:rsidRPr="00243FEE">
        <w:rPr>
          <w:rFonts w:cs="Times New Roman"/>
          <w:sz w:val="22"/>
        </w:rPr>
        <w:t xml:space="preserve">rādīja toksicitātes pazīmes mātei un risku auglim, </w:t>
      </w:r>
      <w:r w:rsidR="004314DC" w:rsidRPr="00243FEE">
        <w:rPr>
          <w:rFonts w:cs="Times New Roman"/>
          <w:sz w:val="22"/>
        </w:rPr>
        <w:t>taču</w:t>
      </w:r>
      <w:r w:rsidR="00B342C9" w:rsidRPr="00243FEE">
        <w:rPr>
          <w:rFonts w:cs="Times New Roman"/>
          <w:sz w:val="22"/>
        </w:rPr>
        <w:t xml:space="preserve"> </w:t>
      </w:r>
      <w:r w:rsidR="00E7481D" w:rsidRPr="00243FEE">
        <w:rPr>
          <w:rFonts w:cs="Times New Roman"/>
          <w:sz w:val="22"/>
        </w:rPr>
        <w:t>iedarbības</w:t>
      </w:r>
      <w:r w:rsidRPr="00243FEE">
        <w:rPr>
          <w:rFonts w:cs="Times New Roman"/>
          <w:sz w:val="22"/>
        </w:rPr>
        <w:t xml:space="preserve"> līmeņ</w:t>
      </w:r>
      <w:r w:rsidR="00021C96" w:rsidRPr="00243FEE">
        <w:rPr>
          <w:rFonts w:cs="Times New Roman"/>
          <w:sz w:val="22"/>
        </w:rPr>
        <w:t>i</w:t>
      </w:r>
      <w:r w:rsidRPr="00243FEE">
        <w:rPr>
          <w:rFonts w:cs="Times New Roman"/>
          <w:sz w:val="22"/>
        </w:rPr>
        <w:t xml:space="preserve"> bija ļoti augst</w:t>
      </w:r>
      <w:r w:rsidR="00021C96" w:rsidRPr="00243FEE">
        <w:rPr>
          <w:rFonts w:cs="Times New Roman"/>
          <w:sz w:val="22"/>
        </w:rPr>
        <w:t>i</w:t>
      </w:r>
      <w:r w:rsidR="00856A12" w:rsidRPr="00243FEE">
        <w:rPr>
          <w:rFonts w:cs="Times New Roman"/>
          <w:sz w:val="22"/>
        </w:rPr>
        <w:t>,</w:t>
      </w:r>
      <w:r w:rsidRPr="00243FEE">
        <w:rPr>
          <w:rFonts w:cs="Times New Roman"/>
          <w:sz w:val="22"/>
        </w:rPr>
        <w:t xml:space="preserve"> salīdzinot ar cilvēkam paredzamo </w:t>
      </w:r>
      <w:r w:rsidR="00021C96" w:rsidRPr="00243FEE">
        <w:rPr>
          <w:rFonts w:cs="Times New Roman"/>
          <w:sz w:val="22"/>
        </w:rPr>
        <w:t>iedarbību</w:t>
      </w:r>
      <w:r w:rsidRPr="00243FEE">
        <w:rPr>
          <w:rFonts w:cs="Times New Roman"/>
          <w:sz w:val="22"/>
        </w:rPr>
        <w:t xml:space="preserve">. </w:t>
      </w:r>
      <w:r w:rsidR="001D39C8" w:rsidRPr="008700C1">
        <w:rPr>
          <w:rFonts w:cs="Times New Roman"/>
          <w:sz w:val="22"/>
        </w:rPr>
        <w:t>Tomēr ļoti mazs</w:t>
      </w:r>
      <w:r w:rsidR="001D39C8">
        <w:rPr>
          <w:rFonts w:cs="Times New Roman"/>
          <w:sz w:val="22"/>
        </w:rPr>
        <w:t xml:space="preserve"> kaitējuma </w:t>
      </w:r>
      <w:r w:rsidR="001D39C8" w:rsidRPr="00514EB6">
        <w:rPr>
          <w:rFonts w:cs="Times New Roman"/>
          <w:sz w:val="22"/>
        </w:rPr>
        <w:t>risks auglim ir iespējams arī cilvēkiem, tāpēc minoksidila lietošana grūtniecības laikā nav ieteicama</w:t>
      </w:r>
      <w:r w:rsidR="001D39C8" w:rsidRPr="00BB7889">
        <w:rPr>
          <w:rFonts w:cs="Times New Roman"/>
          <w:sz w:val="22"/>
        </w:rPr>
        <w:t>.</w:t>
      </w:r>
    </w:p>
    <w:p w14:paraId="15144080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4FB275F" w14:textId="77777777" w:rsidR="005F157B" w:rsidRPr="00243FEE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243FEE">
        <w:rPr>
          <w:rFonts w:cs="Times New Roman"/>
          <w:sz w:val="22"/>
          <w:u w:val="single"/>
        </w:rPr>
        <w:t>Fertilitāte</w:t>
      </w:r>
    </w:p>
    <w:p w14:paraId="72223C2E" w14:textId="77777777" w:rsidR="00DE462E" w:rsidRPr="00243FEE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266B944B" w14:textId="5CF82F96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Minoks</w:t>
      </w:r>
      <w:r w:rsidR="009D1008" w:rsidRPr="00243FEE">
        <w:rPr>
          <w:rFonts w:cs="Times New Roman"/>
          <w:sz w:val="22"/>
        </w:rPr>
        <w:t>idila devas, kas lielākas par 9 mg/kg (vismaz 25 </w:t>
      </w:r>
      <w:r w:rsidR="00021C96" w:rsidRPr="00243FEE">
        <w:rPr>
          <w:rFonts w:cs="Times New Roman"/>
          <w:sz w:val="22"/>
        </w:rPr>
        <w:t xml:space="preserve">reizes pārsniedz iedarbību </w:t>
      </w:r>
      <w:r w:rsidRPr="00243FEE">
        <w:rPr>
          <w:rFonts w:cs="Times New Roman"/>
          <w:sz w:val="22"/>
        </w:rPr>
        <w:t xml:space="preserve">cilvēkiem), kas lietotas žurkām zem ādas, </w:t>
      </w:r>
      <w:r w:rsidR="00021C96" w:rsidRPr="00243FEE">
        <w:rPr>
          <w:rFonts w:cs="Times New Roman"/>
          <w:sz w:val="22"/>
        </w:rPr>
        <w:t xml:space="preserve">bija saistītas </w:t>
      </w:r>
      <w:r w:rsidRPr="00243FEE">
        <w:rPr>
          <w:rFonts w:cs="Times New Roman"/>
          <w:sz w:val="22"/>
        </w:rPr>
        <w:t>ar samazinātu apaugļošanos un implantācijas koeficientu, kā arī samazinātu dzīv</w:t>
      </w:r>
      <w:r w:rsidR="00021C96" w:rsidRPr="00243FEE">
        <w:rPr>
          <w:rFonts w:cs="Times New Roman"/>
          <w:sz w:val="22"/>
        </w:rPr>
        <w:t>o pēcnācēju</w:t>
      </w:r>
      <w:r w:rsidRPr="00243FEE">
        <w:rPr>
          <w:rFonts w:cs="Times New Roman"/>
          <w:sz w:val="22"/>
        </w:rPr>
        <w:t xml:space="preserve"> skaitu.</w:t>
      </w:r>
    </w:p>
    <w:p w14:paraId="0824C429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0586143E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03C33C9C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6.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FARMACEITISKĀ INFORMĀCIJA</w:t>
      </w:r>
    </w:p>
    <w:p w14:paraId="73F8D4FB" w14:textId="77777777" w:rsidR="009D1008" w:rsidRPr="00243FEE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2C0F96BF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6.1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Palīgvielu saraksts</w:t>
      </w:r>
    </w:p>
    <w:p w14:paraId="6D16F713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25117E01" w14:textId="77777777" w:rsidR="00BC2372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Etilspirts</w:t>
      </w:r>
      <w:r w:rsidR="00200E9E" w:rsidRPr="00243FEE">
        <w:rPr>
          <w:rFonts w:cs="Times New Roman"/>
          <w:sz w:val="22"/>
        </w:rPr>
        <w:t xml:space="preserve"> (96%)</w:t>
      </w:r>
    </w:p>
    <w:p w14:paraId="2B1BA7A2" w14:textId="38466516" w:rsidR="00BC2372" w:rsidRPr="00243FEE" w:rsidRDefault="00064FBA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P</w:t>
      </w:r>
      <w:r w:rsidR="005F157B" w:rsidRPr="00243FEE">
        <w:rPr>
          <w:rFonts w:cs="Times New Roman"/>
          <w:sz w:val="22"/>
        </w:rPr>
        <w:t>ropilēnglikols</w:t>
      </w:r>
    </w:p>
    <w:p w14:paraId="5EFABF53" w14:textId="7FA0BD6D" w:rsidR="005F157B" w:rsidRPr="00243FEE" w:rsidRDefault="00064FBA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A</w:t>
      </w:r>
      <w:r w:rsidR="00BC2372" w:rsidRPr="00243FEE">
        <w:rPr>
          <w:rFonts w:cs="Times New Roman"/>
          <w:sz w:val="22"/>
        </w:rPr>
        <w:t>ttīrīts</w:t>
      </w:r>
      <w:r w:rsidR="00021C96" w:rsidRPr="00243FEE">
        <w:rPr>
          <w:rFonts w:cs="Times New Roman"/>
          <w:sz w:val="22"/>
        </w:rPr>
        <w:t xml:space="preserve"> </w:t>
      </w:r>
      <w:r w:rsidR="005F157B" w:rsidRPr="00243FEE">
        <w:rPr>
          <w:rFonts w:cs="Times New Roman"/>
          <w:sz w:val="22"/>
        </w:rPr>
        <w:t>ūdens</w:t>
      </w:r>
    </w:p>
    <w:p w14:paraId="548ACC4F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6BCCE7E2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lastRenderedPageBreak/>
        <w:t>6.2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Nesaderība</w:t>
      </w:r>
    </w:p>
    <w:p w14:paraId="2EE8CC9A" w14:textId="77777777" w:rsidR="009D1008" w:rsidRPr="00243FEE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33FE0165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Nav piemērojama.</w:t>
      </w:r>
    </w:p>
    <w:p w14:paraId="3288442D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30AC4CF0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6.3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Uzglabāšanas laiks</w:t>
      </w:r>
    </w:p>
    <w:p w14:paraId="5D105DD1" w14:textId="77777777" w:rsidR="009D1008" w:rsidRPr="00243FEE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57EBF178" w14:textId="77777777" w:rsidR="005F157B" w:rsidRPr="00243FEE" w:rsidRDefault="00200E9E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3</w:t>
      </w:r>
      <w:r w:rsidR="009D1008" w:rsidRPr="00243FEE">
        <w:rPr>
          <w:rFonts w:cs="Times New Roman"/>
          <w:sz w:val="22"/>
        </w:rPr>
        <w:t> </w:t>
      </w:r>
      <w:r w:rsidR="005F157B" w:rsidRPr="00243FEE">
        <w:rPr>
          <w:rFonts w:cs="Times New Roman"/>
          <w:sz w:val="22"/>
        </w:rPr>
        <w:t>gadi</w:t>
      </w:r>
      <w:r w:rsidR="001D76EA" w:rsidRPr="00243FEE">
        <w:rPr>
          <w:rFonts w:cs="Times New Roman"/>
          <w:sz w:val="22"/>
        </w:rPr>
        <w:t>.</w:t>
      </w:r>
    </w:p>
    <w:p w14:paraId="119B5A92" w14:textId="1AE92524" w:rsidR="008B3321" w:rsidRPr="00243FEE" w:rsidRDefault="008B3321" w:rsidP="008B3321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Uzglabāšanas laiks pēc pirmās lietošanas: 30 dienas</w:t>
      </w:r>
      <w:r w:rsidR="006A7FDD" w:rsidRPr="00243FEE">
        <w:rPr>
          <w:rFonts w:cs="Times New Roman"/>
          <w:sz w:val="22"/>
        </w:rPr>
        <w:t>.</w:t>
      </w:r>
    </w:p>
    <w:p w14:paraId="0FEE3B94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1705A82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6.4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="001D76EA" w:rsidRPr="00243FEE">
        <w:rPr>
          <w:rFonts w:cs="Times New Roman"/>
          <w:b/>
          <w:sz w:val="22"/>
        </w:rPr>
        <w:t>Īpaši</w:t>
      </w:r>
      <w:r w:rsidRPr="00243FEE">
        <w:rPr>
          <w:rFonts w:cs="Times New Roman"/>
          <w:b/>
          <w:sz w:val="22"/>
        </w:rPr>
        <w:t xml:space="preserve"> uzglabāšanas nosacījumi</w:t>
      </w:r>
    </w:p>
    <w:p w14:paraId="0E4CFA7B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3A31FE93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Zālēm nav nepieciešami īpaši uzglabāšanas apstākļi.</w:t>
      </w:r>
    </w:p>
    <w:p w14:paraId="2B002897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02204DE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6.5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Iepakojuma veids un saturs</w:t>
      </w:r>
    </w:p>
    <w:p w14:paraId="74219495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474E1376" w14:textId="77777777" w:rsidR="005F157B" w:rsidRPr="00243FEE" w:rsidRDefault="00640411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60 ml šķīduma augsta blīvuma p</w:t>
      </w:r>
      <w:r w:rsidR="00200E9E" w:rsidRPr="00243FEE">
        <w:rPr>
          <w:rFonts w:cs="Times New Roman"/>
          <w:sz w:val="22"/>
        </w:rPr>
        <w:t xml:space="preserve">olietilēna </w:t>
      </w:r>
      <w:r w:rsidR="00800CBC" w:rsidRPr="00243FEE">
        <w:rPr>
          <w:rFonts w:cs="Times New Roman"/>
          <w:sz w:val="22"/>
        </w:rPr>
        <w:t>pudel</w:t>
      </w:r>
      <w:r w:rsidRPr="00243FEE">
        <w:rPr>
          <w:rFonts w:cs="Times New Roman"/>
          <w:sz w:val="22"/>
        </w:rPr>
        <w:t>ē</w:t>
      </w:r>
      <w:r w:rsidR="00246427" w:rsidRPr="00243FEE">
        <w:rPr>
          <w:rFonts w:cs="Times New Roman"/>
          <w:sz w:val="22"/>
        </w:rPr>
        <w:t xml:space="preserve"> ar polipropilēna vāciņu</w:t>
      </w:r>
      <w:r w:rsidR="00200E9E" w:rsidRPr="00243FEE">
        <w:rPr>
          <w:rFonts w:cs="Times New Roman"/>
          <w:sz w:val="22"/>
        </w:rPr>
        <w:t>. Iepakojumam pievienots dozējošs sūknis</w:t>
      </w:r>
      <w:r w:rsidR="00A94F04" w:rsidRPr="00243FEE">
        <w:rPr>
          <w:rFonts w:cs="Times New Roman"/>
          <w:sz w:val="22"/>
        </w:rPr>
        <w:t xml:space="preserve"> (polipropilēns, stirola akrilnitrils, polietilēns, acetāls, nerūsējošs tērauds, polioksimetilēns)</w:t>
      </w:r>
      <w:r w:rsidR="008C389A" w:rsidRPr="00243FEE">
        <w:rPr>
          <w:rFonts w:cs="Times New Roman"/>
          <w:sz w:val="22"/>
        </w:rPr>
        <w:t xml:space="preserve"> šķīduma uzklāšanai uz ādas.</w:t>
      </w:r>
    </w:p>
    <w:p w14:paraId="194D6F1C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AAC4576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6.6</w:t>
      </w:r>
      <w:r w:rsidR="009D1008" w:rsidRPr="00243FEE">
        <w:rPr>
          <w:rFonts w:cs="Times New Roman"/>
          <w:b/>
          <w:sz w:val="22"/>
        </w:rPr>
        <w:t>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Īpaši norādījumi atkritumu likvidēšanai</w:t>
      </w:r>
    </w:p>
    <w:p w14:paraId="4DF193DC" w14:textId="77777777" w:rsidR="009D1008" w:rsidRPr="00243FEE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47C25083" w14:textId="77777777" w:rsidR="005F157B" w:rsidRPr="00243FEE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Nav īpašu prasību.</w:t>
      </w:r>
    </w:p>
    <w:p w14:paraId="04979985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6E93452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7B88FFAF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7.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REĢISTRĀCIJAS APLIECĪBAS ĪPAŠNIEKS</w:t>
      </w:r>
    </w:p>
    <w:p w14:paraId="51C5CADE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2C048EE0" w14:textId="77777777" w:rsidR="006A7149" w:rsidRPr="00243FEE" w:rsidRDefault="006A7149" w:rsidP="006A7149">
      <w:pPr>
        <w:shd w:val="clear" w:color="auto" w:fill="FFFFFF"/>
        <w:spacing w:line="240" w:lineRule="auto"/>
        <w:rPr>
          <w:rFonts w:cs="Times New Roman"/>
          <w:sz w:val="22"/>
          <w:lang w:bidi="ar-SY"/>
        </w:rPr>
      </w:pPr>
      <w:r w:rsidRPr="00243FEE">
        <w:rPr>
          <w:rFonts w:cs="Times New Roman"/>
          <w:sz w:val="22"/>
          <w:lang w:bidi="ar-SY"/>
        </w:rPr>
        <w:t>UAB “INTELI GENERICS NORD”</w:t>
      </w:r>
    </w:p>
    <w:p w14:paraId="45E9F440" w14:textId="77777777" w:rsidR="006A7149" w:rsidRPr="00243FEE" w:rsidRDefault="006A7149" w:rsidP="006A7149">
      <w:pPr>
        <w:shd w:val="clear" w:color="auto" w:fill="FFFFFF"/>
        <w:spacing w:line="240" w:lineRule="auto"/>
        <w:rPr>
          <w:rFonts w:cs="Times New Roman"/>
          <w:sz w:val="22"/>
          <w:lang w:bidi="ar-SY"/>
        </w:rPr>
      </w:pPr>
      <w:r w:rsidRPr="00243FEE">
        <w:rPr>
          <w:rFonts w:cs="Times New Roman"/>
          <w:sz w:val="22"/>
          <w:lang w:bidi="ar-SY"/>
        </w:rPr>
        <w:t>Šeimyniškių g. 3</w:t>
      </w:r>
    </w:p>
    <w:p w14:paraId="3B4C2307" w14:textId="77777777" w:rsidR="006A7149" w:rsidRPr="00243FEE" w:rsidRDefault="006A7149" w:rsidP="006A7149">
      <w:pPr>
        <w:spacing w:line="240" w:lineRule="auto"/>
        <w:rPr>
          <w:rFonts w:cs="Times New Roman"/>
          <w:sz w:val="22"/>
          <w:lang w:bidi="ar-SY"/>
        </w:rPr>
      </w:pPr>
      <w:r w:rsidRPr="00243FEE">
        <w:rPr>
          <w:rFonts w:cs="Times New Roman"/>
          <w:sz w:val="22"/>
          <w:lang w:bidi="ar-SY"/>
        </w:rPr>
        <w:t>LT-09312, Vilnius</w:t>
      </w:r>
    </w:p>
    <w:p w14:paraId="72E88CF8" w14:textId="77777777" w:rsidR="009D1008" w:rsidRPr="00243FEE" w:rsidRDefault="009D1008" w:rsidP="0019572E">
      <w:pPr>
        <w:tabs>
          <w:tab w:val="left" w:pos="567"/>
        </w:tabs>
        <w:spacing w:line="240" w:lineRule="auto"/>
        <w:jc w:val="left"/>
        <w:rPr>
          <w:rFonts w:eastAsia="Times New Roman" w:cs="Times New Roman"/>
          <w:sz w:val="22"/>
        </w:rPr>
      </w:pPr>
      <w:r w:rsidRPr="00243FEE">
        <w:rPr>
          <w:rFonts w:eastAsia="Times New Roman" w:cs="Times New Roman"/>
          <w:sz w:val="22"/>
        </w:rPr>
        <w:t>Lietuva</w:t>
      </w:r>
    </w:p>
    <w:p w14:paraId="5E750698" w14:textId="77777777" w:rsidR="009D1008" w:rsidRPr="00243FEE" w:rsidRDefault="009D1008" w:rsidP="0019572E">
      <w:pPr>
        <w:tabs>
          <w:tab w:val="left" w:pos="567"/>
        </w:tabs>
        <w:spacing w:line="240" w:lineRule="auto"/>
        <w:jc w:val="left"/>
        <w:rPr>
          <w:rFonts w:cs="Times New Roman"/>
          <w:sz w:val="22"/>
        </w:rPr>
      </w:pPr>
    </w:p>
    <w:p w14:paraId="4A8AE2D7" w14:textId="77777777" w:rsidR="009D1008" w:rsidRPr="00243FEE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D2D21FB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8.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 xml:space="preserve">REĢISTRĀCIJAS </w:t>
      </w:r>
      <w:r w:rsidR="002A7B04" w:rsidRPr="00243FEE">
        <w:rPr>
          <w:rFonts w:cs="Times New Roman"/>
          <w:b/>
          <w:sz w:val="22"/>
        </w:rPr>
        <w:t xml:space="preserve">APLIECĪBAS </w:t>
      </w:r>
      <w:r w:rsidRPr="00243FEE">
        <w:rPr>
          <w:rFonts w:cs="Times New Roman"/>
          <w:b/>
          <w:sz w:val="22"/>
        </w:rPr>
        <w:t>NUMURS</w:t>
      </w:r>
      <w:r w:rsidR="0059262B" w:rsidRPr="00243FEE">
        <w:rPr>
          <w:rFonts w:cs="Times New Roman"/>
          <w:b/>
          <w:sz w:val="22"/>
        </w:rPr>
        <w:t>(-I)</w:t>
      </w:r>
    </w:p>
    <w:p w14:paraId="577D65C9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00B6B46D" w14:textId="77777777" w:rsidR="009D1008" w:rsidRPr="00243FEE" w:rsidRDefault="0059262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16-0136</w:t>
      </w:r>
    </w:p>
    <w:p w14:paraId="7C347C5B" w14:textId="77777777" w:rsidR="0059262B" w:rsidRPr="00243FEE" w:rsidRDefault="0059262B" w:rsidP="0019572E">
      <w:pPr>
        <w:spacing w:line="240" w:lineRule="auto"/>
        <w:jc w:val="left"/>
        <w:rPr>
          <w:rFonts w:cs="Times New Roman"/>
          <w:sz w:val="22"/>
        </w:rPr>
      </w:pPr>
    </w:p>
    <w:p w14:paraId="0493A932" w14:textId="77777777" w:rsidR="0059262B" w:rsidRPr="00243FEE" w:rsidRDefault="0059262B" w:rsidP="0019572E">
      <w:pPr>
        <w:spacing w:line="240" w:lineRule="auto"/>
        <w:jc w:val="left"/>
        <w:rPr>
          <w:rFonts w:cs="Times New Roman"/>
          <w:sz w:val="22"/>
        </w:rPr>
      </w:pPr>
    </w:p>
    <w:p w14:paraId="2FCEA507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9.</w:t>
      </w:r>
      <w:r w:rsidR="009D1008" w:rsidRPr="00243FEE">
        <w:rPr>
          <w:rFonts w:cs="Times New Roman"/>
          <w:b/>
          <w:sz w:val="22"/>
        </w:rPr>
        <w:tab/>
      </w:r>
      <w:r w:rsidR="002A7B04" w:rsidRPr="00243FEE">
        <w:rPr>
          <w:rFonts w:cs="Times New Roman"/>
          <w:b/>
          <w:sz w:val="22"/>
        </w:rPr>
        <w:t xml:space="preserve">PIRMĀS </w:t>
      </w:r>
      <w:r w:rsidR="009D1008" w:rsidRPr="00243FEE">
        <w:rPr>
          <w:rFonts w:cs="Times New Roman"/>
          <w:b/>
          <w:sz w:val="22"/>
        </w:rPr>
        <w:t>REĢISTRĀCIJAS/</w:t>
      </w:r>
      <w:r w:rsidRPr="00243FEE">
        <w:rPr>
          <w:rFonts w:cs="Times New Roman"/>
          <w:b/>
          <w:sz w:val="22"/>
        </w:rPr>
        <w:t>PĀRREĢISTRĀCIJAS DATUMS</w:t>
      </w:r>
    </w:p>
    <w:p w14:paraId="259DCA6C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316B52A6" w14:textId="77777777" w:rsidR="009D1008" w:rsidRPr="00243FEE" w:rsidRDefault="0059262B" w:rsidP="0019572E">
      <w:pPr>
        <w:spacing w:line="240" w:lineRule="auto"/>
        <w:jc w:val="left"/>
        <w:rPr>
          <w:rFonts w:cs="Times New Roman"/>
          <w:sz w:val="22"/>
        </w:rPr>
      </w:pPr>
      <w:r w:rsidRPr="00243FEE">
        <w:rPr>
          <w:rFonts w:cs="Times New Roman"/>
          <w:sz w:val="22"/>
        </w:rPr>
        <w:t>2016. gada 14. jūlijs</w:t>
      </w:r>
    </w:p>
    <w:p w14:paraId="7D4E73BB" w14:textId="77777777" w:rsidR="0059262B" w:rsidRPr="00243FEE" w:rsidRDefault="0059262B" w:rsidP="0019572E">
      <w:pPr>
        <w:spacing w:line="240" w:lineRule="auto"/>
        <w:jc w:val="left"/>
        <w:rPr>
          <w:rFonts w:cs="Times New Roman"/>
          <w:sz w:val="22"/>
        </w:rPr>
      </w:pPr>
    </w:p>
    <w:p w14:paraId="45BACD70" w14:textId="77777777" w:rsidR="0059262B" w:rsidRPr="00243FEE" w:rsidRDefault="0059262B" w:rsidP="0019572E">
      <w:pPr>
        <w:spacing w:line="240" w:lineRule="auto"/>
        <w:jc w:val="left"/>
        <w:rPr>
          <w:rFonts w:cs="Times New Roman"/>
          <w:sz w:val="22"/>
        </w:rPr>
      </w:pPr>
    </w:p>
    <w:p w14:paraId="2A6808F2" w14:textId="77777777" w:rsidR="005F157B" w:rsidRPr="00243FEE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243FEE">
        <w:rPr>
          <w:rFonts w:cs="Times New Roman"/>
          <w:b/>
          <w:sz w:val="22"/>
        </w:rPr>
        <w:t>10.</w:t>
      </w:r>
      <w:r w:rsidR="009D1008" w:rsidRPr="00243FEE">
        <w:rPr>
          <w:rFonts w:cs="Times New Roman"/>
          <w:b/>
          <w:sz w:val="22"/>
        </w:rPr>
        <w:tab/>
      </w:r>
      <w:r w:rsidRPr="00243FEE">
        <w:rPr>
          <w:rFonts w:cs="Times New Roman"/>
          <w:b/>
          <w:sz w:val="22"/>
        </w:rPr>
        <w:t>TEKSTA PĀRSKATĪŠANAS DATUMS</w:t>
      </w:r>
    </w:p>
    <w:p w14:paraId="742BFBC9" w14:textId="77777777" w:rsidR="009D1008" w:rsidRPr="00243FEE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56673FFC" w14:textId="6D7C9D64" w:rsidR="003F6E48" w:rsidRPr="00243FEE" w:rsidRDefault="009867A4" w:rsidP="0019572E">
      <w:pPr>
        <w:spacing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05/2021</w:t>
      </w:r>
    </w:p>
    <w:sectPr w:rsidR="003F6E48" w:rsidRPr="00243FEE" w:rsidSect="00FE7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9F0D" w14:textId="77777777" w:rsidR="00EC49F8" w:rsidRDefault="00EC49F8" w:rsidP="003F21A8">
      <w:pPr>
        <w:spacing w:line="240" w:lineRule="auto"/>
      </w:pPr>
      <w:r>
        <w:separator/>
      </w:r>
    </w:p>
  </w:endnote>
  <w:endnote w:type="continuationSeparator" w:id="0">
    <w:p w14:paraId="4BCAEF3A" w14:textId="77777777" w:rsidR="00EC49F8" w:rsidRDefault="00EC49F8" w:rsidP="003F2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FF95" w14:textId="77777777" w:rsidR="002E63C7" w:rsidRDefault="002E6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8265" w14:textId="77777777" w:rsidR="002E63C7" w:rsidRDefault="002E6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CDF9" w14:textId="77777777" w:rsidR="002E63C7" w:rsidRDefault="002E6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F263" w14:textId="77777777" w:rsidR="00EC49F8" w:rsidRDefault="00EC49F8" w:rsidP="003F21A8">
      <w:pPr>
        <w:spacing w:line="240" w:lineRule="auto"/>
      </w:pPr>
      <w:r>
        <w:separator/>
      </w:r>
    </w:p>
  </w:footnote>
  <w:footnote w:type="continuationSeparator" w:id="0">
    <w:p w14:paraId="0B6AAE6C" w14:textId="77777777" w:rsidR="00EC49F8" w:rsidRDefault="00EC49F8" w:rsidP="003F2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1560" w14:textId="77777777" w:rsidR="002E63C7" w:rsidRDefault="002E6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81FA" w14:textId="153F7DD6" w:rsidR="003F21A8" w:rsidRDefault="003F21A8" w:rsidP="003F21A8">
    <w:pPr>
      <w:pStyle w:val="Header"/>
      <w:jc w:val="right"/>
    </w:pPr>
    <w:r>
      <w:t>SASKAŅOTS ZVA</w:t>
    </w:r>
    <w:r w:rsidR="002E63C7">
      <w:t xml:space="preserve"> 07-10-2021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3CF5" w14:textId="77777777" w:rsidR="002E63C7" w:rsidRDefault="002E6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C4941"/>
    <w:multiLevelType w:val="hybridMultilevel"/>
    <w:tmpl w:val="217A9E1A"/>
    <w:lvl w:ilvl="0" w:tplc="5824B7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B"/>
    <w:rsid w:val="00001A76"/>
    <w:rsid w:val="00021C96"/>
    <w:rsid w:val="0002647F"/>
    <w:rsid w:val="00030AC1"/>
    <w:rsid w:val="00032484"/>
    <w:rsid w:val="00050D70"/>
    <w:rsid w:val="00064FBA"/>
    <w:rsid w:val="00082810"/>
    <w:rsid w:val="000A3F0B"/>
    <w:rsid w:val="00100495"/>
    <w:rsid w:val="0010487B"/>
    <w:rsid w:val="00126063"/>
    <w:rsid w:val="00133690"/>
    <w:rsid w:val="00150A41"/>
    <w:rsid w:val="00172F03"/>
    <w:rsid w:val="00175CE8"/>
    <w:rsid w:val="0019572E"/>
    <w:rsid w:val="001A13D5"/>
    <w:rsid w:val="001B3D8B"/>
    <w:rsid w:val="001C000C"/>
    <w:rsid w:val="001C7127"/>
    <w:rsid w:val="001D048F"/>
    <w:rsid w:val="001D04CE"/>
    <w:rsid w:val="001D1706"/>
    <w:rsid w:val="001D39C8"/>
    <w:rsid w:val="001D76EA"/>
    <w:rsid w:val="001E334B"/>
    <w:rsid w:val="001E4994"/>
    <w:rsid w:val="00200E9E"/>
    <w:rsid w:val="00206D1B"/>
    <w:rsid w:val="00221FB8"/>
    <w:rsid w:val="0023574C"/>
    <w:rsid w:val="00243FEE"/>
    <w:rsid w:val="00246427"/>
    <w:rsid w:val="002544C5"/>
    <w:rsid w:val="00280289"/>
    <w:rsid w:val="002A7B04"/>
    <w:rsid w:val="002D7423"/>
    <w:rsid w:val="002E63C7"/>
    <w:rsid w:val="002F0C3D"/>
    <w:rsid w:val="002F1D2F"/>
    <w:rsid w:val="002F4B0E"/>
    <w:rsid w:val="002F50D3"/>
    <w:rsid w:val="00313E05"/>
    <w:rsid w:val="00334C45"/>
    <w:rsid w:val="00340521"/>
    <w:rsid w:val="00353FF9"/>
    <w:rsid w:val="00362A1A"/>
    <w:rsid w:val="00363832"/>
    <w:rsid w:val="00363B08"/>
    <w:rsid w:val="003674B0"/>
    <w:rsid w:val="00372F3B"/>
    <w:rsid w:val="00382A2D"/>
    <w:rsid w:val="003866C4"/>
    <w:rsid w:val="003B28BC"/>
    <w:rsid w:val="003D29D9"/>
    <w:rsid w:val="003E2AFB"/>
    <w:rsid w:val="003E59F0"/>
    <w:rsid w:val="003F21A8"/>
    <w:rsid w:val="003F6E48"/>
    <w:rsid w:val="00401F56"/>
    <w:rsid w:val="004242B8"/>
    <w:rsid w:val="00426CF2"/>
    <w:rsid w:val="004314DC"/>
    <w:rsid w:val="004318F7"/>
    <w:rsid w:val="00463586"/>
    <w:rsid w:val="004713B5"/>
    <w:rsid w:val="00472145"/>
    <w:rsid w:val="0047369D"/>
    <w:rsid w:val="00476D6E"/>
    <w:rsid w:val="00483EEA"/>
    <w:rsid w:val="004A2BBE"/>
    <w:rsid w:val="004C224F"/>
    <w:rsid w:val="004E7FA7"/>
    <w:rsid w:val="004F7856"/>
    <w:rsid w:val="00501F70"/>
    <w:rsid w:val="00511861"/>
    <w:rsid w:val="005126C0"/>
    <w:rsid w:val="00524406"/>
    <w:rsid w:val="00530C60"/>
    <w:rsid w:val="00534E18"/>
    <w:rsid w:val="00535BA4"/>
    <w:rsid w:val="00545E27"/>
    <w:rsid w:val="00577D21"/>
    <w:rsid w:val="0059262B"/>
    <w:rsid w:val="005A762F"/>
    <w:rsid w:val="005B1FF7"/>
    <w:rsid w:val="005D5A62"/>
    <w:rsid w:val="005E33D2"/>
    <w:rsid w:val="005F0510"/>
    <w:rsid w:val="005F157B"/>
    <w:rsid w:val="006363CE"/>
    <w:rsid w:val="006375CD"/>
    <w:rsid w:val="00640411"/>
    <w:rsid w:val="00652CC8"/>
    <w:rsid w:val="00675C26"/>
    <w:rsid w:val="0069684C"/>
    <w:rsid w:val="006A41DD"/>
    <w:rsid w:val="006A7149"/>
    <w:rsid w:val="006A7FDD"/>
    <w:rsid w:val="006B0818"/>
    <w:rsid w:val="006B0D44"/>
    <w:rsid w:val="006C4E2A"/>
    <w:rsid w:val="006C5350"/>
    <w:rsid w:val="006D3190"/>
    <w:rsid w:val="006D5A28"/>
    <w:rsid w:val="006E0D92"/>
    <w:rsid w:val="006F2375"/>
    <w:rsid w:val="006F48DA"/>
    <w:rsid w:val="00707D3F"/>
    <w:rsid w:val="00715D2F"/>
    <w:rsid w:val="007170A9"/>
    <w:rsid w:val="00766258"/>
    <w:rsid w:val="00770689"/>
    <w:rsid w:val="00772FC1"/>
    <w:rsid w:val="00785584"/>
    <w:rsid w:val="007A4C76"/>
    <w:rsid w:val="007C1500"/>
    <w:rsid w:val="00800CBC"/>
    <w:rsid w:val="008056FF"/>
    <w:rsid w:val="00810E2F"/>
    <w:rsid w:val="00813624"/>
    <w:rsid w:val="00822BAF"/>
    <w:rsid w:val="00823F0C"/>
    <w:rsid w:val="0084325B"/>
    <w:rsid w:val="00852ECD"/>
    <w:rsid w:val="00853C5D"/>
    <w:rsid w:val="00856A12"/>
    <w:rsid w:val="008B1F0E"/>
    <w:rsid w:val="008B3321"/>
    <w:rsid w:val="008C389A"/>
    <w:rsid w:val="008E3FFF"/>
    <w:rsid w:val="00913132"/>
    <w:rsid w:val="009178E4"/>
    <w:rsid w:val="00917D49"/>
    <w:rsid w:val="00925816"/>
    <w:rsid w:val="00946484"/>
    <w:rsid w:val="00947F58"/>
    <w:rsid w:val="00965A25"/>
    <w:rsid w:val="009867A4"/>
    <w:rsid w:val="009B52A9"/>
    <w:rsid w:val="009D1008"/>
    <w:rsid w:val="009E1BAC"/>
    <w:rsid w:val="009F4FAA"/>
    <w:rsid w:val="00A212A8"/>
    <w:rsid w:val="00A5566A"/>
    <w:rsid w:val="00A62BFB"/>
    <w:rsid w:val="00A82A5E"/>
    <w:rsid w:val="00A94F04"/>
    <w:rsid w:val="00A97C04"/>
    <w:rsid w:val="00AE3879"/>
    <w:rsid w:val="00AF09EE"/>
    <w:rsid w:val="00AF6003"/>
    <w:rsid w:val="00B342C9"/>
    <w:rsid w:val="00B3543C"/>
    <w:rsid w:val="00B61D5B"/>
    <w:rsid w:val="00B857C9"/>
    <w:rsid w:val="00B9649C"/>
    <w:rsid w:val="00BA13B2"/>
    <w:rsid w:val="00BA226C"/>
    <w:rsid w:val="00BB3CAB"/>
    <w:rsid w:val="00BB3F0A"/>
    <w:rsid w:val="00BB4BD5"/>
    <w:rsid w:val="00BC2372"/>
    <w:rsid w:val="00BE2F1E"/>
    <w:rsid w:val="00C158D4"/>
    <w:rsid w:val="00C21D92"/>
    <w:rsid w:val="00C37E0F"/>
    <w:rsid w:val="00C505FF"/>
    <w:rsid w:val="00C507B1"/>
    <w:rsid w:val="00C5211E"/>
    <w:rsid w:val="00C53722"/>
    <w:rsid w:val="00C7050E"/>
    <w:rsid w:val="00C87E02"/>
    <w:rsid w:val="00C9454A"/>
    <w:rsid w:val="00CC5DCF"/>
    <w:rsid w:val="00CC7C59"/>
    <w:rsid w:val="00CE1BE0"/>
    <w:rsid w:val="00CF7C27"/>
    <w:rsid w:val="00D1087D"/>
    <w:rsid w:val="00D11F89"/>
    <w:rsid w:val="00D2029C"/>
    <w:rsid w:val="00D45AB1"/>
    <w:rsid w:val="00D7255E"/>
    <w:rsid w:val="00D94064"/>
    <w:rsid w:val="00DA17B2"/>
    <w:rsid w:val="00DB52D6"/>
    <w:rsid w:val="00DB79BB"/>
    <w:rsid w:val="00DE0CD1"/>
    <w:rsid w:val="00DE462E"/>
    <w:rsid w:val="00E107F3"/>
    <w:rsid w:val="00E111BE"/>
    <w:rsid w:val="00E363F8"/>
    <w:rsid w:val="00E41A31"/>
    <w:rsid w:val="00E5528F"/>
    <w:rsid w:val="00E610C9"/>
    <w:rsid w:val="00E7481D"/>
    <w:rsid w:val="00E920D1"/>
    <w:rsid w:val="00EA4B76"/>
    <w:rsid w:val="00EB4232"/>
    <w:rsid w:val="00EC49F8"/>
    <w:rsid w:val="00EE7F11"/>
    <w:rsid w:val="00EF1740"/>
    <w:rsid w:val="00F0593B"/>
    <w:rsid w:val="00F0747A"/>
    <w:rsid w:val="00F121ED"/>
    <w:rsid w:val="00F129D8"/>
    <w:rsid w:val="00F503EB"/>
    <w:rsid w:val="00F57D6B"/>
    <w:rsid w:val="00F90FE9"/>
    <w:rsid w:val="00F926E8"/>
    <w:rsid w:val="00FA5358"/>
    <w:rsid w:val="00FB33A2"/>
    <w:rsid w:val="00FD4EF7"/>
    <w:rsid w:val="00FE7DFB"/>
    <w:rsid w:val="00FF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954E"/>
  <w15:docId w15:val="{FBE5D488-9D2D-4328-9D01-E43AAF9C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7B"/>
    <w:pPr>
      <w:ind w:left="720"/>
      <w:contextualSpacing/>
    </w:pPr>
  </w:style>
  <w:style w:type="table" w:styleId="TableGrid">
    <w:name w:val="Table Grid"/>
    <w:basedOn w:val="TableNormal"/>
    <w:uiPriority w:val="59"/>
    <w:rsid w:val="009D1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00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E3FFF"/>
    <w:pPr>
      <w:spacing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F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21A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A8"/>
  </w:style>
  <w:style w:type="paragraph" w:styleId="Footer">
    <w:name w:val="footer"/>
    <w:basedOn w:val="Normal"/>
    <w:link w:val="FooterChar"/>
    <w:uiPriority w:val="99"/>
    <w:unhideWhenUsed/>
    <w:rsid w:val="003F21A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A8"/>
  </w:style>
  <w:style w:type="character" w:customStyle="1" w:styleId="jlqj4b">
    <w:name w:val="jlqj4b"/>
    <w:basedOn w:val="DefaultParagraphFont"/>
    <w:rsid w:val="0051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7847</Words>
  <Characters>4473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Skaidrīte Lapsenīte</cp:lastModifiedBy>
  <cp:revision>4</cp:revision>
  <dcterms:created xsi:type="dcterms:W3CDTF">2021-05-03T12:56:00Z</dcterms:created>
  <dcterms:modified xsi:type="dcterms:W3CDTF">2021-10-06T11:43:00Z</dcterms:modified>
</cp:coreProperties>
</file>