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0503" w14:textId="77777777" w:rsidR="00E167A4" w:rsidRPr="003A6529" w:rsidRDefault="00E167A4">
      <w:pPr>
        <w:pStyle w:val="Title"/>
        <w:spacing w:line="240" w:lineRule="auto"/>
        <w:rPr>
          <w:rFonts w:ascii="Times New Roman" w:hAnsi="Times New Roman"/>
          <w:b/>
          <w:bCs/>
          <w:color w:val="auto"/>
          <w:spacing w:val="0"/>
          <w:kern w:val="0"/>
          <w:sz w:val="22"/>
          <w:szCs w:val="24"/>
          <w:lang w:val="en-US"/>
        </w:rPr>
      </w:pPr>
      <w:r w:rsidRPr="003A6529">
        <w:rPr>
          <w:rFonts w:ascii="Times New Roman" w:hAnsi="Times New Roman"/>
          <w:b/>
          <w:color w:val="auto"/>
          <w:spacing w:val="0"/>
          <w:kern w:val="0"/>
          <w:sz w:val="22"/>
          <w:szCs w:val="24"/>
          <w:lang w:bidi="lv-LV"/>
        </w:rPr>
        <w:t>ZĀĻU APRAKSTS</w:t>
      </w:r>
    </w:p>
    <w:p w14:paraId="07170582" w14:textId="77777777" w:rsidR="00E167A4" w:rsidRPr="003A6529" w:rsidRDefault="00E167A4">
      <w:pPr>
        <w:rPr>
          <w:b/>
          <w:sz w:val="22"/>
          <w:lang w:val="en-US"/>
        </w:rPr>
      </w:pPr>
    </w:p>
    <w:p w14:paraId="193AEF4C" w14:textId="77777777" w:rsidR="00E167A4" w:rsidRPr="003A6529" w:rsidRDefault="00E167A4">
      <w:pPr>
        <w:rPr>
          <w:b/>
          <w:sz w:val="22"/>
          <w:lang w:val="en-US"/>
        </w:rPr>
      </w:pPr>
    </w:p>
    <w:p w14:paraId="04FAEA64" w14:textId="77777777" w:rsidR="00E167A4" w:rsidRPr="003A6529" w:rsidRDefault="00E167A4" w:rsidP="00DC3F58">
      <w:pPr>
        <w:tabs>
          <w:tab w:val="left" w:pos="540"/>
        </w:tabs>
        <w:rPr>
          <w:b/>
          <w:sz w:val="22"/>
          <w:lang w:val="en-US"/>
        </w:rPr>
      </w:pPr>
      <w:r w:rsidRPr="003A6529">
        <w:rPr>
          <w:b/>
          <w:sz w:val="22"/>
          <w:lang w:bidi="lv-LV"/>
        </w:rPr>
        <w:t>1.</w:t>
      </w:r>
      <w:r w:rsidRPr="003A6529">
        <w:rPr>
          <w:b/>
          <w:sz w:val="22"/>
          <w:lang w:bidi="lv-LV"/>
        </w:rPr>
        <w:tab/>
        <w:t>ZĀĻU NOSAUKUMS</w:t>
      </w:r>
    </w:p>
    <w:p w14:paraId="28FE9F26" w14:textId="77777777" w:rsidR="00E167A4" w:rsidRPr="003A6529" w:rsidRDefault="00E167A4" w:rsidP="00DC3F58">
      <w:pPr>
        <w:pStyle w:val="Heading1"/>
        <w:spacing w:line="240" w:lineRule="auto"/>
        <w:rPr>
          <w:noProof/>
          <w:sz w:val="22"/>
          <w:lang w:val="en-US"/>
        </w:rPr>
      </w:pPr>
    </w:p>
    <w:p w14:paraId="4B2C3DB6" w14:textId="77777777" w:rsidR="00E167A4" w:rsidRPr="003A6529" w:rsidRDefault="007A1721" w:rsidP="00DC3F58">
      <w:pPr>
        <w:pStyle w:val="Heading1"/>
        <w:spacing w:line="240" w:lineRule="auto"/>
        <w:rPr>
          <w:rFonts w:ascii="Times New Roman" w:hAnsi="Times New Roman"/>
          <w:b w:val="0"/>
          <w:bCs w:val="0"/>
          <w:color w:val="auto"/>
          <w:sz w:val="22"/>
          <w:szCs w:val="24"/>
          <w:lang w:val="en-US"/>
        </w:rPr>
      </w:pPr>
      <w:proofErr w:type="spellStart"/>
      <w:r w:rsidRPr="003A6529">
        <w:rPr>
          <w:rFonts w:ascii="Times New Roman" w:hAnsi="Times New Roman"/>
          <w:b w:val="0"/>
          <w:color w:val="auto"/>
          <w:sz w:val="22"/>
          <w:szCs w:val="24"/>
          <w:lang w:bidi="lv-LV"/>
        </w:rPr>
        <w:t>Alyr</w:t>
      </w:r>
      <w:proofErr w:type="spellEnd"/>
      <w:r w:rsidR="00E167A4" w:rsidRPr="003A6529">
        <w:rPr>
          <w:rFonts w:ascii="Times New Roman" w:hAnsi="Times New Roman"/>
          <w:b w:val="0"/>
          <w:color w:val="auto"/>
          <w:sz w:val="22"/>
          <w:szCs w:val="24"/>
          <w:lang w:bidi="lv-LV"/>
        </w:rPr>
        <w:t xml:space="preserve"> 10 mg </w:t>
      </w:r>
      <w:proofErr w:type="spellStart"/>
      <w:r w:rsidR="00E167A4" w:rsidRPr="003A6529">
        <w:rPr>
          <w:rFonts w:ascii="Times New Roman" w:hAnsi="Times New Roman"/>
          <w:b w:val="0"/>
          <w:color w:val="auto"/>
          <w:sz w:val="22"/>
          <w:szCs w:val="24"/>
          <w:lang w:bidi="lv-LV"/>
        </w:rPr>
        <w:t>apvalkotās</w:t>
      </w:r>
      <w:proofErr w:type="spellEnd"/>
      <w:r w:rsidR="00E167A4" w:rsidRPr="003A6529">
        <w:rPr>
          <w:rFonts w:ascii="Times New Roman" w:hAnsi="Times New Roman"/>
          <w:b w:val="0"/>
          <w:color w:val="auto"/>
          <w:sz w:val="22"/>
          <w:szCs w:val="24"/>
          <w:lang w:bidi="lv-LV"/>
        </w:rPr>
        <w:t xml:space="preserve"> tabletes</w:t>
      </w:r>
    </w:p>
    <w:p w14:paraId="7B483ED6" w14:textId="77777777" w:rsidR="00E167A4" w:rsidRPr="003A6529" w:rsidRDefault="00E167A4" w:rsidP="00DC3F58">
      <w:pPr>
        <w:rPr>
          <w:sz w:val="22"/>
          <w:lang w:val="en-US"/>
        </w:rPr>
      </w:pPr>
    </w:p>
    <w:p w14:paraId="1D9FA223" w14:textId="77777777" w:rsidR="00E167A4" w:rsidRPr="003A6529" w:rsidRDefault="00E167A4" w:rsidP="00DC3F58">
      <w:pPr>
        <w:rPr>
          <w:sz w:val="22"/>
          <w:lang w:val="en-US"/>
        </w:rPr>
      </w:pPr>
    </w:p>
    <w:p w14:paraId="101BDF13" w14:textId="77777777" w:rsidR="00E167A4" w:rsidRPr="003A6529" w:rsidRDefault="00E167A4" w:rsidP="00DC3F58">
      <w:pPr>
        <w:tabs>
          <w:tab w:val="left" w:pos="540"/>
        </w:tabs>
        <w:rPr>
          <w:b/>
          <w:sz w:val="22"/>
          <w:lang w:val="en-US"/>
        </w:rPr>
      </w:pPr>
      <w:r w:rsidRPr="003A6529">
        <w:rPr>
          <w:b/>
          <w:sz w:val="22"/>
          <w:lang w:bidi="lv-LV"/>
        </w:rPr>
        <w:t xml:space="preserve">2. </w:t>
      </w:r>
      <w:r w:rsidRPr="003A6529">
        <w:rPr>
          <w:b/>
          <w:sz w:val="22"/>
          <w:lang w:bidi="lv-LV"/>
        </w:rPr>
        <w:tab/>
        <w:t xml:space="preserve">KVALITATĪVAIS UN KVANTITATĪVAIS SASTĀVS </w:t>
      </w:r>
    </w:p>
    <w:p w14:paraId="1849A4E3" w14:textId="77777777" w:rsidR="00E167A4" w:rsidRPr="003A6529" w:rsidRDefault="00E167A4" w:rsidP="00DC3F58">
      <w:pPr>
        <w:pStyle w:val="FR2"/>
        <w:ind w:right="-51"/>
        <w:rPr>
          <w:rFonts w:ascii="Times New Roman" w:hAnsi="Times New Roman"/>
          <w:i w:val="0"/>
          <w:sz w:val="22"/>
          <w:lang w:val="en-US"/>
        </w:rPr>
      </w:pPr>
    </w:p>
    <w:p w14:paraId="5C4748CB" w14:textId="77777777" w:rsidR="00E167A4" w:rsidRPr="003A6529" w:rsidRDefault="00E167A4" w:rsidP="00DC3F58">
      <w:pPr>
        <w:pStyle w:val="FR2"/>
        <w:ind w:right="-51"/>
        <w:rPr>
          <w:rFonts w:ascii="Times New Roman" w:hAnsi="Times New Roman"/>
          <w:i w:val="0"/>
          <w:sz w:val="22"/>
          <w:lang w:val="en-US"/>
        </w:rPr>
      </w:pPr>
      <w:r w:rsidRPr="003A6529">
        <w:rPr>
          <w:rFonts w:ascii="Times New Roman" w:hAnsi="Times New Roman"/>
          <w:i w:val="0"/>
          <w:sz w:val="22"/>
          <w:lang w:bidi="lv-LV"/>
        </w:rPr>
        <w:t xml:space="preserve">Katra </w:t>
      </w:r>
      <w:proofErr w:type="spellStart"/>
      <w:r w:rsidRPr="003A6529">
        <w:rPr>
          <w:rFonts w:ascii="Times New Roman" w:hAnsi="Times New Roman"/>
          <w:i w:val="0"/>
          <w:sz w:val="22"/>
          <w:lang w:bidi="lv-LV"/>
        </w:rPr>
        <w:t>apvalkotā</w:t>
      </w:r>
      <w:proofErr w:type="spellEnd"/>
      <w:r w:rsidRPr="003A6529">
        <w:rPr>
          <w:rFonts w:ascii="Times New Roman" w:hAnsi="Times New Roman"/>
          <w:i w:val="0"/>
          <w:sz w:val="22"/>
          <w:lang w:bidi="lv-LV"/>
        </w:rPr>
        <w:t xml:space="preserve"> tablete satur 10 mg </w:t>
      </w:r>
      <w:proofErr w:type="spellStart"/>
      <w:r w:rsidRPr="003A6529">
        <w:rPr>
          <w:rFonts w:ascii="Times New Roman" w:hAnsi="Times New Roman"/>
          <w:i w:val="0"/>
          <w:sz w:val="22"/>
          <w:lang w:bidi="lv-LV"/>
        </w:rPr>
        <w:t>cetirizīna</w:t>
      </w:r>
      <w:proofErr w:type="spellEnd"/>
      <w:r w:rsidRPr="003A6529">
        <w:rPr>
          <w:rFonts w:ascii="Times New Roman" w:hAnsi="Times New Roman"/>
          <w:i w:val="0"/>
          <w:sz w:val="22"/>
          <w:lang w:bidi="lv-LV"/>
        </w:rPr>
        <w:t xml:space="preserve"> </w:t>
      </w:r>
      <w:proofErr w:type="spellStart"/>
      <w:r w:rsidRPr="003A6529">
        <w:rPr>
          <w:rFonts w:ascii="Times New Roman" w:hAnsi="Times New Roman"/>
          <w:i w:val="0"/>
          <w:sz w:val="22"/>
          <w:lang w:bidi="lv-LV"/>
        </w:rPr>
        <w:t>dihidrohlorīda</w:t>
      </w:r>
      <w:proofErr w:type="spellEnd"/>
      <w:r w:rsidRPr="003A6529">
        <w:rPr>
          <w:rFonts w:ascii="Times New Roman" w:hAnsi="Times New Roman"/>
          <w:i w:val="0"/>
          <w:sz w:val="22"/>
          <w:lang w:bidi="lv-LV"/>
        </w:rPr>
        <w:t xml:space="preserve"> (</w:t>
      </w:r>
      <w:proofErr w:type="spellStart"/>
      <w:r w:rsidRPr="003A6529">
        <w:rPr>
          <w:rFonts w:ascii="Times New Roman" w:hAnsi="Times New Roman"/>
          <w:noProof/>
          <w:sz w:val="22"/>
          <w:lang w:bidi="lv-LV"/>
        </w:rPr>
        <w:t>Cetirizini</w:t>
      </w:r>
      <w:proofErr w:type="spellEnd"/>
      <w:r w:rsidRPr="003A6529">
        <w:rPr>
          <w:rFonts w:ascii="Times New Roman" w:hAnsi="Times New Roman"/>
          <w:noProof/>
          <w:sz w:val="22"/>
          <w:lang w:bidi="lv-LV"/>
        </w:rPr>
        <w:t xml:space="preserve"> dihydrochloridum</w:t>
      </w:r>
      <w:r w:rsidRPr="003A6529">
        <w:rPr>
          <w:rFonts w:ascii="Times New Roman" w:hAnsi="Times New Roman"/>
          <w:i w:val="0"/>
          <w:noProof/>
          <w:sz w:val="22"/>
          <w:lang w:bidi="lv-LV"/>
        </w:rPr>
        <w:t xml:space="preserve">). </w:t>
      </w:r>
    </w:p>
    <w:p w14:paraId="35C073A8" w14:textId="77777777" w:rsidR="00E167A4" w:rsidRPr="003A6529" w:rsidRDefault="00E167A4" w:rsidP="00DC3F58">
      <w:pPr>
        <w:pStyle w:val="FR2"/>
        <w:ind w:right="-51"/>
        <w:rPr>
          <w:rFonts w:ascii="Times New Roman" w:hAnsi="Times New Roman"/>
          <w:i w:val="0"/>
          <w:sz w:val="22"/>
          <w:lang w:val="en-US"/>
        </w:rPr>
      </w:pPr>
    </w:p>
    <w:p w14:paraId="3321BAB1" w14:textId="77777777" w:rsidR="00E167A4" w:rsidRPr="003A6529" w:rsidRDefault="00E167A4" w:rsidP="00DC3F58">
      <w:pPr>
        <w:pStyle w:val="FR2"/>
        <w:ind w:right="-51"/>
        <w:rPr>
          <w:rFonts w:ascii="Times New Roman" w:hAnsi="Times New Roman"/>
          <w:i w:val="0"/>
          <w:sz w:val="22"/>
          <w:lang w:val="en-US"/>
        </w:rPr>
      </w:pPr>
      <w:proofErr w:type="spellStart"/>
      <w:r w:rsidRPr="003A6529">
        <w:rPr>
          <w:rFonts w:ascii="Times New Roman" w:hAnsi="Times New Roman"/>
          <w:i w:val="0"/>
          <w:sz w:val="22"/>
          <w:lang w:bidi="lv-LV"/>
        </w:rPr>
        <w:t>Palīgvielas</w:t>
      </w:r>
      <w:proofErr w:type="spellEnd"/>
      <w:r w:rsidR="00EC5FD7">
        <w:rPr>
          <w:rFonts w:ascii="Times New Roman" w:hAnsi="Times New Roman"/>
          <w:i w:val="0"/>
          <w:sz w:val="22"/>
          <w:lang w:bidi="lv-LV"/>
        </w:rPr>
        <w:t xml:space="preserve"> ar zināmu iedarbību</w:t>
      </w:r>
      <w:r w:rsidRPr="003A6529">
        <w:rPr>
          <w:rFonts w:ascii="Times New Roman" w:hAnsi="Times New Roman"/>
          <w:i w:val="0"/>
          <w:sz w:val="22"/>
          <w:lang w:bidi="lv-LV"/>
        </w:rPr>
        <w:t xml:space="preserve">: katra </w:t>
      </w:r>
      <w:proofErr w:type="spellStart"/>
      <w:r w:rsidRPr="003A6529">
        <w:rPr>
          <w:rFonts w:ascii="Times New Roman" w:hAnsi="Times New Roman"/>
          <w:i w:val="0"/>
          <w:sz w:val="22"/>
          <w:lang w:bidi="lv-LV"/>
        </w:rPr>
        <w:t>apvalkotā</w:t>
      </w:r>
      <w:proofErr w:type="spellEnd"/>
      <w:r w:rsidRPr="003A6529">
        <w:rPr>
          <w:rFonts w:ascii="Times New Roman" w:hAnsi="Times New Roman"/>
          <w:i w:val="0"/>
          <w:sz w:val="22"/>
          <w:lang w:bidi="lv-LV"/>
        </w:rPr>
        <w:t xml:space="preserve"> tablete satur 66,4 mg laktozes </w:t>
      </w:r>
      <w:proofErr w:type="spellStart"/>
      <w:r w:rsidRPr="003A6529">
        <w:rPr>
          <w:rFonts w:ascii="Times New Roman" w:hAnsi="Times New Roman"/>
          <w:i w:val="0"/>
          <w:sz w:val="22"/>
          <w:lang w:bidi="lv-LV"/>
        </w:rPr>
        <w:t>monohidrāta</w:t>
      </w:r>
      <w:proofErr w:type="spellEnd"/>
      <w:r w:rsidRPr="003A6529">
        <w:rPr>
          <w:rFonts w:ascii="Times New Roman" w:hAnsi="Times New Roman"/>
          <w:i w:val="0"/>
          <w:lang w:bidi="lv-LV"/>
        </w:rPr>
        <w:t>.</w:t>
      </w:r>
    </w:p>
    <w:p w14:paraId="3003D6CB" w14:textId="77777777" w:rsidR="00E167A4" w:rsidRPr="003A6529" w:rsidRDefault="00E167A4" w:rsidP="00DC3F58">
      <w:pPr>
        <w:rPr>
          <w:sz w:val="22"/>
          <w:lang w:val="en-US"/>
        </w:rPr>
      </w:pPr>
      <w:r w:rsidRPr="003A6529">
        <w:rPr>
          <w:noProof/>
          <w:sz w:val="22"/>
          <w:lang w:bidi="lv-LV"/>
        </w:rPr>
        <w:t>Pilnu palīgvielu sarakstu skatīt 6.1. apakšpunktā.</w:t>
      </w:r>
    </w:p>
    <w:p w14:paraId="1E53EFF5" w14:textId="77777777" w:rsidR="00E167A4" w:rsidRPr="003A6529" w:rsidRDefault="00E167A4" w:rsidP="00DC3F58">
      <w:pPr>
        <w:rPr>
          <w:sz w:val="22"/>
          <w:lang w:val="en-US"/>
        </w:rPr>
      </w:pPr>
    </w:p>
    <w:p w14:paraId="1529450D" w14:textId="77777777" w:rsidR="00E167A4" w:rsidRPr="003A6529" w:rsidRDefault="00E167A4" w:rsidP="00DC3F58">
      <w:pPr>
        <w:rPr>
          <w:sz w:val="22"/>
          <w:lang w:val="en-US"/>
        </w:rPr>
      </w:pPr>
    </w:p>
    <w:p w14:paraId="6B4ABC4B" w14:textId="77777777" w:rsidR="00E167A4" w:rsidRPr="003A6529" w:rsidRDefault="00E167A4" w:rsidP="00DC3F58">
      <w:pPr>
        <w:tabs>
          <w:tab w:val="left" w:pos="540"/>
        </w:tabs>
        <w:rPr>
          <w:sz w:val="22"/>
          <w:lang w:val="en-US"/>
        </w:rPr>
      </w:pPr>
      <w:r w:rsidRPr="003A6529">
        <w:rPr>
          <w:b/>
          <w:sz w:val="22"/>
          <w:lang w:bidi="lv-LV"/>
        </w:rPr>
        <w:t xml:space="preserve">3. </w:t>
      </w:r>
      <w:r w:rsidRPr="003A6529">
        <w:rPr>
          <w:b/>
          <w:sz w:val="22"/>
          <w:lang w:bidi="lv-LV"/>
        </w:rPr>
        <w:tab/>
        <w:t>ZĀĻU FORMA</w:t>
      </w:r>
    </w:p>
    <w:p w14:paraId="2D266868" w14:textId="77777777" w:rsidR="00E167A4" w:rsidRPr="003A6529" w:rsidRDefault="00E167A4" w:rsidP="00DC3F58">
      <w:pPr>
        <w:pStyle w:val="BodyText3"/>
        <w:spacing w:before="0" w:line="240" w:lineRule="auto"/>
        <w:rPr>
          <w:sz w:val="22"/>
          <w:lang w:val="en-US"/>
        </w:rPr>
      </w:pPr>
    </w:p>
    <w:p w14:paraId="35802BA2" w14:textId="77777777" w:rsidR="00E167A4" w:rsidRPr="003A6529" w:rsidRDefault="00E167A4" w:rsidP="00DC3F58">
      <w:pPr>
        <w:pStyle w:val="BodyText3"/>
        <w:spacing w:before="0" w:line="240" w:lineRule="auto"/>
        <w:rPr>
          <w:sz w:val="22"/>
          <w:lang w:val="en-US"/>
        </w:rPr>
      </w:pPr>
      <w:proofErr w:type="spellStart"/>
      <w:r w:rsidRPr="003A6529">
        <w:rPr>
          <w:sz w:val="22"/>
          <w:lang w:bidi="lv-LV"/>
        </w:rPr>
        <w:t>Apvalkotās</w:t>
      </w:r>
      <w:proofErr w:type="spellEnd"/>
      <w:r w:rsidRPr="003A6529">
        <w:rPr>
          <w:sz w:val="22"/>
          <w:lang w:bidi="lv-LV"/>
        </w:rPr>
        <w:t xml:space="preserve"> tabletes.</w:t>
      </w:r>
    </w:p>
    <w:p w14:paraId="1116B521" w14:textId="77777777" w:rsidR="00E167A4" w:rsidRPr="003A6529" w:rsidRDefault="00E167A4" w:rsidP="00DC3F58">
      <w:pPr>
        <w:pStyle w:val="BodyText3"/>
        <w:spacing w:before="0" w:line="240" w:lineRule="auto"/>
        <w:rPr>
          <w:sz w:val="22"/>
          <w:lang w:val="en-US"/>
        </w:rPr>
      </w:pPr>
      <w:r w:rsidRPr="003A6529">
        <w:rPr>
          <w:sz w:val="22"/>
          <w:lang w:bidi="lv-LV"/>
        </w:rPr>
        <w:t>Baltas vai gandrīz baltas, apaļas, abā</w:t>
      </w:r>
      <w:r w:rsidR="007926D5" w:rsidRPr="003A6529">
        <w:rPr>
          <w:sz w:val="22"/>
          <w:lang w:bidi="lv-LV"/>
        </w:rPr>
        <w:t>s</w:t>
      </w:r>
      <w:r w:rsidRPr="003A6529">
        <w:rPr>
          <w:sz w:val="22"/>
          <w:lang w:bidi="lv-LV"/>
        </w:rPr>
        <w:t xml:space="preserve"> pusē</w:t>
      </w:r>
      <w:r w:rsidR="007926D5" w:rsidRPr="003A6529">
        <w:rPr>
          <w:sz w:val="22"/>
          <w:lang w:bidi="lv-LV"/>
        </w:rPr>
        <w:t>s</w:t>
      </w:r>
      <w:r w:rsidRPr="003A6529">
        <w:rPr>
          <w:sz w:val="22"/>
          <w:lang w:bidi="lv-LV"/>
        </w:rPr>
        <w:t xml:space="preserve"> izliektas, </w:t>
      </w:r>
      <w:proofErr w:type="spellStart"/>
      <w:r w:rsidRPr="003A6529">
        <w:rPr>
          <w:sz w:val="22"/>
          <w:lang w:bidi="lv-LV"/>
        </w:rPr>
        <w:t>apvalkotas</w:t>
      </w:r>
      <w:proofErr w:type="spellEnd"/>
      <w:r w:rsidRPr="003A6529">
        <w:rPr>
          <w:sz w:val="22"/>
          <w:lang w:bidi="lv-LV"/>
        </w:rPr>
        <w:t xml:space="preserve"> tabletes ar izmēru 7,0-7,2 mm un dalījuma līniju vienā pusē.</w:t>
      </w:r>
    </w:p>
    <w:p w14:paraId="2F2F6D35" w14:textId="77777777" w:rsidR="00E167A4" w:rsidRPr="003A6529" w:rsidRDefault="00E167A4" w:rsidP="00DC3F58">
      <w:pPr>
        <w:rPr>
          <w:sz w:val="22"/>
          <w:lang w:val="en-US"/>
        </w:rPr>
      </w:pPr>
      <w:r w:rsidRPr="003A6529">
        <w:rPr>
          <w:sz w:val="22"/>
          <w:szCs w:val="22"/>
          <w:lang w:bidi="lv-LV"/>
        </w:rPr>
        <w:t>Tableti var sadalīt vienādās devās.</w:t>
      </w:r>
    </w:p>
    <w:p w14:paraId="497D6943" w14:textId="77777777" w:rsidR="00E167A4" w:rsidRPr="003A6529" w:rsidRDefault="00E167A4" w:rsidP="00DC3F58">
      <w:pPr>
        <w:rPr>
          <w:sz w:val="22"/>
          <w:lang w:val="en-US"/>
        </w:rPr>
      </w:pPr>
    </w:p>
    <w:p w14:paraId="6B3C1577" w14:textId="77777777" w:rsidR="00CA39B3" w:rsidRPr="003A6529" w:rsidRDefault="00CA39B3" w:rsidP="00DC3F58">
      <w:pPr>
        <w:rPr>
          <w:sz w:val="22"/>
          <w:lang w:val="en-US"/>
        </w:rPr>
      </w:pPr>
    </w:p>
    <w:p w14:paraId="7B10662C" w14:textId="77777777" w:rsidR="00E167A4" w:rsidRPr="003A6529" w:rsidRDefault="00E167A4" w:rsidP="00DC3F58">
      <w:pPr>
        <w:tabs>
          <w:tab w:val="left" w:pos="540"/>
        </w:tabs>
        <w:rPr>
          <w:b/>
          <w:sz w:val="22"/>
          <w:lang w:val="en-US"/>
        </w:rPr>
      </w:pPr>
      <w:r w:rsidRPr="003A6529">
        <w:rPr>
          <w:b/>
          <w:sz w:val="22"/>
          <w:lang w:bidi="lv-LV"/>
        </w:rPr>
        <w:t xml:space="preserve">4. </w:t>
      </w:r>
      <w:r w:rsidRPr="003A6529">
        <w:rPr>
          <w:b/>
          <w:sz w:val="22"/>
          <w:lang w:bidi="lv-LV"/>
        </w:rPr>
        <w:tab/>
        <w:t xml:space="preserve">KLĪNISKĀ INFORMĀCIJA </w:t>
      </w:r>
    </w:p>
    <w:p w14:paraId="3F2C8E36" w14:textId="77777777" w:rsidR="00E167A4" w:rsidRPr="003A6529" w:rsidRDefault="00E167A4" w:rsidP="00DC3F58">
      <w:pPr>
        <w:tabs>
          <w:tab w:val="left" w:pos="540"/>
        </w:tabs>
        <w:rPr>
          <w:b/>
          <w:sz w:val="22"/>
          <w:lang w:val="en-US"/>
        </w:rPr>
      </w:pPr>
    </w:p>
    <w:p w14:paraId="2B587A92" w14:textId="77777777" w:rsidR="00E167A4" w:rsidRPr="003A6529" w:rsidRDefault="006272C5" w:rsidP="0017206C">
      <w:pPr>
        <w:rPr>
          <w:sz w:val="22"/>
          <w:lang w:val="en-US"/>
        </w:rPr>
      </w:pPr>
      <w:r>
        <w:rPr>
          <w:b/>
          <w:sz w:val="22"/>
          <w:lang w:bidi="lv-LV"/>
        </w:rPr>
        <w:t xml:space="preserve">4.1.    </w:t>
      </w:r>
      <w:r w:rsidR="00E167A4" w:rsidRPr="003A6529">
        <w:rPr>
          <w:b/>
          <w:sz w:val="22"/>
          <w:lang w:bidi="lv-LV"/>
        </w:rPr>
        <w:t>Terapeitiskās indikācijas</w:t>
      </w:r>
      <w:r w:rsidR="00E167A4" w:rsidRPr="003A6529">
        <w:rPr>
          <w:b/>
          <w:sz w:val="22"/>
          <w:lang w:bidi="lv-LV"/>
        </w:rPr>
        <w:tab/>
      </w:r>
    </w:p>
    <w:p w14:paraId="7C62FB6B" w14:textId="77777777" w:rsidR="00E167A4" w:rsidRPr="003A6529" w:rsidRDefault="00E167A4" w:rsidP="00DC3F58">
      <w:pPr>
        <w:tabs>
          <w:tab w:val="left" w:pos="540"/>
        </w:tabs>
        <w:rPr>
          <w:sz w:val="22"/>
          <w:lang w:val="en-US"/>
        </w:rPr>
      </w:pPr>
    </w:p>
    <w:p w14:paraId="7C54238A" w14:textId="77777777" w:rsidR="00E167A4" w:rsidRPr="003A6529" w:rsidRDefault="007A1721" w:rsidP="00DC3F58">
      <w:pPr>
        <w:rPr>
          <w:sz w:val="22"/>
          <w:lang w:val="en-US"/>
        </w:rPr>
      </w:pPr>
      <w:proofErr w:type="spellStart"/>
      <w:r w:rsidRPr="003A6529">
        <w:rPr>
          <w:sz w:val="22"/>
          <w:lang w:bidi="lv-LV"/>
        </w:rPr>
        <w:t>Alyr</w:t>
      </w:r>
      <w:proofErr w:type="spellEnd"/>
      <w:r w:rsidRPr="003A6529">
        <w:rPr>
          <w:sz w:val="22"/>
          <w:lang w:bidi="lv-LV"/>
        </w:rPr>
        <w:t xml:space="preserve"> </w:t>
      </w:r>
      <w:r w:rsidR="00E167A4" w:rsidRPr="003A6529">
        <w:rPr>
          <w:sz w:val="22"/>
          <w:lang w:bidi="lv-LV"/>
        </w:rPr>
        <w:t>ir paredzēts lietošanai pieaugušajiem un bērniem no 6 gadu vecuma:</w:t>
      </w:r>
    </w:p>
    <w:p w14:paraId="42E46616" w14:textId="77777777" w:rsidR="00E167A4" w:rsidRPr="003A6529" w:rsidRDefault="00E167A4" w:rsidP="00D86831">
      <w:pPr>
        <w:tabs>
          <w:tab w:val="left" w:pos="180"/>
        </w:tabs>
        <w:ind w:left="180" w:hanging="180"/>
        <w:rPr>
          <w:sz w:val="22"/>
          <w:lang w:val="en-US"/>
        </w:rPr>
      </w:pPr>
      <w:r w:rsidRPr="003A6529">
        <w:rPr>
          <w:sz w:val="22"/>
          <w:lang w:bidi="lv-LV"/>
        </w:rPr>
        <w:t>– lai atvieglotu deguna un acu simptomus sezonāla un pastāvīga alerģiska rinīta gadījumā;</w:t>
      </w:r>
    </w:p>
    <w:p w14:paraId="4F2D24B2" w14:textId="77777777" w:rsidR="00E167A4" w:rsidRPr="003A6529" w:rsidRDefault="00E167A4" w:rsidP="00DC3F58">
      <w:pPr>
        <w:rPr>
          <w:sz w:val="22"/>
          <w:lang w:val="en-US"/>
        </w:rPr>
      </w:pPr>
      <w:r w:rsidRPr="003A6529">
        <w:rPr>
          <w:sz w:val="22"/>
          <w:lang w:bidi="lv-LV"/>
        </w:rPr>
        <w:t xml:space="preserve">– hroniskas </w:t>
      </w:r>
      <w:proofErr w:type="spellStart"/>
      <w:r w:rsidRPr="003A6529">
        <w:rPr>
          <w:sz w:val="22"/>
          <w:lang w:bidi="lv-LV"/>
        </w:rPr>
        <w:t>idiopātiskas</w:t>
      </w:r>
      <w:proofErr w:type="spellEnd"/>
      <w:r w:rsidRPr="003A6529">
        <w:rPr>
          <w:sz w:val="22"/>
          <w:lang w:bidi="lv-LV"/>
        </w:rPr>
        <w:t xml:space="preserve"> nātrenes simptomu mazināšanai.</w:t>
      </w:r>
    </w:p>
    <w:p w14:paraId="11E59E2D" w14:textId="77777777" w:rsidR="00E167A4" w:rsidRPr="003A6529" w:rsidRDefault="00E167A4" w:rsidP="00DC3F58">
      <w:pPr>
        <w:rPr>
          <w:sz w:val="22"/>
          <w:lang w:val="en-US"/>
        </w:rPr>
      </w:pPr>
    </w:p>
    <w:p w14:paraId="30F1F233" w14:textId="77777777" w:rsidR="00E167A4" w:rsidRPr="003A6529" w:rsidRDefault="00E167A4" w:rsidP="00DC3F58">
      <w:pPr>
        <w:tabs>
          <w:tab w:val="left" w:pos="540"/>
        </w:tabs>
        <w:rPr>
          <w:b/>
          <w:sz w:val="22"/>
          <w:lang w:val="en-US"/>
        </w:rPr>
      </w:pPr>
      <w:r w:rsidRPr="003A6529">
        <w:rPr>
          <w:b/>
          <w:sz w:val="22"/>
          <w:lang w:bidi="lv-LV"/>
        </w:rPr>
        <w:t>4.2.</w:t>
      </w:r>
      <w:r w:rsidRPr="003A6529">
        <w:rPr>
          <w:b/>
          <w:sz w:val="22"/>
          <w:lang w:bidi="lv-LV"/>
        </w:rPr>
        <w:tab/>
        <w:t>Devas un lietošanas veids</w:t>
      </w:r>
    </w:p>
    <w:p w14:paraId="4CE55DCD" w14:textId="77777777" w:rsidR="00E167A4" w:rsidRPr="003A6529" w:rsidRDefault="00E167A4" w:rsidP="00DC3F58">
      <w:pPr>
        <w:tabs>
          <w:tab w:val="left" w:pos="540"/>
        </w:tabs>
        <w:rPr>
          <w:b/>
          <w:sz w:val="22"/>
          <w:lang w:val="en-US"/>
        </w:rPr>
      </w:pPr>
    </w:p>
    <w:p w14:paraId="164C620F" w14:textId="77777777" w:rsidR="00E167A4" w:rsidRPr="003A6529" w:rsidRDefault="00E167A4" w:rsidP="00DC3F58">
      <w:pPr>
        <w:pStyle w:val="BodyText"/>
        <w:spacing w:before="0" w:line="240" w:lineRule="auto"/>
        <w:jc w:val="left"/>
        <w:rPr>
          <w:sz w:val="22"/>
          <w:u w:val="single"/>
          <w:lang w:val="en-US"/>
        </w:rPr>
      </w:pPr>
      <w:r w:rsidRPr="003A6529">
        <w:rPr>
          <w:sz w:val="22"/>
          <w:u w:val="single"/>
          <w:lang w:bidi="lv-LV"/>
        </w:rPr>
        <w:t xml:space="preserve">Devas </w:t>
      </w:r>
    </w:p>
    <w:p w14:paraId="0B5A9219" w14:textId="77777777" w:rsidR="00E167A4" w:rsidRPr="003A6529" w:rsidRDefault="00E167A4" w:rsidP="00DC3F58">
      <w:pPr>
        <w:pStyle w:val="BodyText"/>
        <w:spacing w:before="0" w:line="240" w:lineRule="auto"/>
        <w:jc w:val="left"/>
        <w:rPr>
          <w:sz w:val="22"/>
          <w:u w:val="single"/>
          <w:lang w:val="en-US"/>
        </w:rPr>
      </w:pPr>
    </w:p>
    <w:p w14:paraId="2CA388D9" w14:textId="5FE38932" w:rsidR="00E167A4" w:rsidRPr="003A6529" w:rsidRDefault="008C47B0" w:rsidP="00DC3F58">
      <w:pPr>
        <w:pStyle w:val="BodyText"/>
        <w:spacing w:before="0" w:line="240" w:lineRule="auto"/>
        <w:jc w:val="left"/>
        <w:rPr>
          <w:i/>
          <w:sz w:val="22"/>
          <w:lang w:val="en-US"/>
        </w:rPr>
      </w:pPr>
      <w:proofErr w:type="spellStart"/>
      <w:r>
        <w:rPr>
          <w:i/>
          <w:sz w:val="22"/>
          <w:lang w:val="en-US"/>
        </w:rPr>
        <w:t>Pieaugušie</w:t>
      </w:r>
      <w:proofErr w:type="spellEnd"/>
    </w:p>
    <w:p w14:paraId="18C5B66A" w14:textId="46B649C7" w:rsidR="00E167A4" w:rsidRPr="003A6529" w:rsidRDefault="00E167A4" w:rsidP="00DC3F58">
      <w:pPr>
        <w:pStyle w:val="BodyText"/>
        <w:spacing w:before="0" w:line="240" w:lineRule="auto"/>
        <w:jc w:val="left"/>
        <w:rPr>
          <w:sz w:val="22"/>
          <w:lang w:val="en-US"/>
        </w:rPr>
      </w:pPr>
      <w:r w:rsidRPr="003A6529">
        <w:rPr>
          <w:sz w:val="22"/>
          <w:lang w:bidi="lv-LV"/>
        </w:rPr>
        <w:t xml:space="preserve">10 mg (1 tablete) </w:t>
      </w:r>
      <w:r w:rsidR="009C5E15">
        <w:rPr>
          <w:sz w:val="22"/>
          <w:lang w:bidi="lv-LV"/>
        </w:rPr>
        <w:t>vienu reizi</w:t>
      </w:r>
      <w:r w:rsidRPr="003A6529">
        <w:rPr>
          <w:sz w:val="22"/>
          <w:lang w:bidi="lv-LV"/>
        </w:rPr>
        <w:t xml:space="preserve"> dienā. </w:t>
      </w:r>
    </w:p>
    <w:p w14:paraId="73F3C238" w14:textId="77777777" w:rsidR="00E167A4" w:rsidRDefault="00E167A4" w:rsidP="00DC3F58">
      <w:pPr>
        <w:pStyle w:val="BodyText"/>
        <w:spacing w:before="0" w:line="240" w:lineRule="auto"/>
        <w:jc w:val="left"/>
        <w:rPr>
          <w:sz w:val="22"/>
          <w:u w:val="single"/>
          <w:lang w:val="en-US"/>
        </w:rPr>
      </w:pPr>
    </w:p>
    <w:p w14:paraId="696EC3A5" w14:textId="3A9DD8D1" w:rsidR="00EC5FD7" w:rsidRPr="003A6529" w:rsidRDefault="00EC5FD7" w:rsidP="00DC3F58">
      <w:pPr>
        <w:pStyle w:val="BodyText"/>
        <w:spacing w:before="0" w:line="240" w:lineRule="auto"/>
        <w:jc w:val="left"/>
        <w:rPr>
          <w:sz w:val="22"/>
          <w:u w:val="single"/>
          <w:lang w:val="en-US"/>
        </w:rPr>
      </w:pPr>
      <w:proofErr w:type="spellStart"/>
      <w:r w:rsidRPr="00EC5FD7">
        <w:rPr>
          <w:sz w:val="22"/>
          <w:u w:val="single"/>
          <w:lang w:val="en-US"/>
        </w:rPr>
        <w:t>Īpaša</w:t>
      </w:r>
      <w:r w:rsidR="008C47B0">
        <w:rPr>
          <w:sz w:val="22"/>
          <w:u w:val="single"/>
          <w:lang w:val="en-US"/>
        </w:rPr>
        <w:t>s</w:t>
      </w:r>
      <w:proofErr w:type="spellEnd"/>
      <w:r w:rsidRPr="00EC5FD7">
        <w:rPr>
          <w:sz w:val="22"/>
          <w:u w:val="single"/>
          <w:lang w:val="en-US"/>
        </w:rPr>
        <w:t xml:space="preserve"> </w:t>
      </w:r>
      <w:proofErr w:type="spellStart"/>
      <w:r w:rsidRPr="00EC5FD7">
        <w:rPr>
          <w:sz w:val="22"/>
          <w:u w:val="single"/>
          <w:lang w:val="en-US"/>
        </w:rPr>
        <w:t>populācija</w:t>
      </w:r>
      <w:r w:rsidR="008C47B0">
        <w:rPr>
          <w:sz w:val="22"/>
          <w:u w:val="single"/>
          <w:lang w:val="en-US"/>
        </w:rPr>
        <w:t>s</w:t>
      </w:r>
      <w:proofErr w:type="spellEnd"/>
    </w:p>
    <w:p w14:paraId="595480F5" w14:textId="77777777" w:rsidR="00E167A4" w:rsidRPr="003A6529" w:rsidRDefault="00E167A4" w:rsidP="00DC3F58">
      <w:pPr>
        <w:widowControl w:val="0"/>
        <w:autoSpaceDE w:val="0"/>
        <w:autoSpaceDN w:val="0"/>
        <w:adjustRightInd w:val="0"/>
        <w:rPr>
          <w:i/>
          <w:sz w:val="22"/>
          <w:lang w:val="en-US"/>
        </w:rPr>
      </w:pPr>
      <w:r w:rsidRPr="003A6529">
        <w:rPr>
          <w:i/>
          <w:sz w:val="22"/>
          <w:lang w:bidi="lv-LV"/>
        </w:rPr>
        <w:t>Gados vecāki cilvēki</w:t>
      </w:r>
    </w:p>
    <w:p w14:paraId="19E4260D" w14:textId="77777777" w:rsidR="00E167A4" w:rsidRPr="003A6529" w:rsidRDefault="00E167A4" w:rsidP="00DC3F58">
      <w:pPr>
        <w:widowControl w:val="0"/>
        <w:autoSpaceDE w:val="0"/>
        <w:autoSpaceDN w:val="0"/>
        <w:adjustRightInd w:val="0"/>
        <w:rPr>
          <w:sz w:val="22"/>
          <w:szCs w:val="22"/>
          <w:lang w:val="en-US"/>
        </w:rPr>
      </w:pPr>
      <w:r w:rsidRPr="003A6529">
        <w:rPr>
          <w:sz w:val="22"/>
          <w:szCs w:val="22"/>
          <w:lang w:bidi="lv-LV"/>
        </w:rPr>
        <w:t xml:space="preserve">Pieejamie dati neliecina, ka gados vecākiem cilvēkiem nepieciešama devas samazināšana ar nosacījumu, ka nieru </w:t>
      </w:r>
      <w:r w:rsidR="00D11F2E" w:rsidRPr="003A6529">
        <w:rPr>
          <w:sz w:val="22"/>
          <w:szCs w:val="22"/>
          <w:lang w:bidi="lv-LV"/>
        </w:rPr>
        <w:t xml:space="preserve">darbība </w:t>
      </w:r>
      <w:r w:rsidRPr="003A6529">
        <w:rPr>
          <w:sz w:val="22"/>
          <w:szCs w:val="22"/>
          <w:lang w:bidi="lv-LV"/>
        </w:rPr>
        <w:t>ir normāla.</w:t>
      </w:r>
    </w:p>
    <w:p w14:paraId="60947B8A" w14:textId="77777777" w:rsidR="00E167A4" w:rsidRPr="003A6529" w:rsidRDefault="00E167A4" w:rsidP="00DC3F58">
      <w:pPr>
        <w:widowControl w:val="0"/>
        <w:autoSpaceDE w:val="0"/>
        <w:autoSpaceDN w:val="0"/>
        <w:adjustRightInd w:val="0"/>
        <w:rPr>
          <w:i/>
          <w:sz w:val="22"/>
          <w:lang w:val="en-US"/>
        </w:rPr>
      </w:pPr>
    </w:p>
    <w:p w14:paraId="002FA8C7" w14:textId="77777777" w:rsidR="008C47B0" w:rsidRDefault="00EC5FD7" w:rsidP="00777381">
      <w:pPr>
        <w:widowControl w:val="0"/>
        <w:autoSpaceDE w:val="0"/>
        <w:autoSpaceDN w:val="0"/>
        <w:adjustRightInd w:val="0"/>
        <w:rPr>
          <w:i/>
          <w:sz w:val="22"/>
          <w:szCs w:val="22"/>
          <w:lang w:bidi="lv-LV"/>
        </w:rPr>
      </w:pPr>
      <w:r w:rsidRPr="00EC5FD7">
        <w:rPr>
          <w:i/>
          <w:sz w:val="22"/>
          <w:szCs w:val="22"/>
          <w:lang w:bidi="lv-LV"/>
        </w:rPr>
        <w:t xml:space="preserve">Nieru darbības traucējumi </w:t>
      </w:r>
    </w:p>
    <w:p w14:paraId="3B544D87" w14:textId="5A3922F8" w:rsidR="00E167A4" w:rsidRPr="003A6529" w:rsidRDefault="00E167A4" w:rsidP="00777381">
      <w:pPr>
        <w:widowControl w:val="0"/>
        <w:autoSpaceDE w:val="0"/>
        <w:autoSpaceDN w:val="0"/>
        <w:adjustRightInd w:val="0"/>
        <w:rPr>
          <w:color w:val="000000"/>
          <w:sz w:val="22"/>
          <w:szCs w:val="22"/>
        </w:rPr>
      </w:pPr>
      <w:r w:rsidRPr="003A6529">
        <w:rPr>
          <w:sz w:val="22"/>
          <w:szCs w:val="22"/>
          <w:lang w:bidi="lv-LV"/>
        </w:rPr>
        <w:t>Dati par efektivitātes/</w:t>
      </w:r>
      <w:r w:rsidR="00D11F2E" w:rsidRPr="003A6529">
        <w:rPr>
          <w:sz w:val="22"/>
          <w:szCs w:val="22"/>
          <w:lang w:bidi="lv-LV"/>
        </w:rPr>
        <w:t xml:space="preserve">drošuma </w:t>
      </w:r>
      <w:r w:rsidRPr="003A6529">
        <w:rPr>
          <w:sz w:val="22"/>
          <w:szCs w:val="22"/>
          <w:lang w:bidi="lv-LV"/>
        </w:rPr>
        <w:t xml:space="preserve">attiecību pacientiem ar nieru darbības traucējumiem nav pieejami. Tā kā </w:t>
      </w:r>
      <w:proofErr w:type="spellStart"/>
      <w:r w:rsidRPr="003A6529">
        <w:rPr>
          <w:sz w:val="22"/>
          <w:szCs w:val="22"/>
          <w:lang w:bidi="lv-LV"/>
        </w:rPr>
        <w:t>cetirizīns</w:t>
      </w:r>
      <w:proofErr w:type="spellEnd"/>
      <w:r w:rsidRPr="003A6529">
        <w:rPr>
          <w:sz w:val="22"/>
          <w:szCs w:val="22"/>
          <w:lang w:bidi="lv-LV"/>
        </w:rPr>
        <w:t xml:space="preserve"> tiek izdalīts galvenokārt caur nierēm (skatīt 5.2. apakšpunktu), gadījumos, kad nav iespējams izvēlēties citu ārstēšanās līdzekli, </w:t>
      </w:r>
      <w:r w:rsidR="00DA770B">
        <w:rPr>
          <w:sz w:val="22"/>
          <w:szCs w:val="22"/>
          <w:lang w:bidi="lv-LV"/>
        </w:rPr>
        <w:t>dozēšanas</w:t>
      </w:r>
      <w:r w:rsidRPr="003A6529">
        <w:rPr>
          <w:sz w:val="22"/>
          <w:szCs w:val="22"/>
          <w:lang w:bidi="lv-LV"/>
        </w:rPr>
        <w:t xml:space="preserve"> intervāli jāpielāgo individuāli, atbilstoši nieru funkcijai. Vadieties pēc informācijas, kas pieejama turpmāk esošajā tabulā, un pielāgojiet devu, kā norādīts. Lai izmantotu šo dozēšanas tabulu, </w:t>
      </w:r>
      <w:r w:rsidR="00065581" w:rsidRPr="003A6529">
        <w:rPr>
          <w:sz w:val="22"/>
          <w:szCs w:val="22"/>
          <w:lang w:bidi="lv-LV"/>
        </w:rPr>
        <w:t>jāaprēķina</w:t>
      </w:r>
      <w:r w:rsidRPr="003A6529">
        <w:rPr>
          <w:sz w:val="22"/>
          <w:szCs w:val="22"/>
          <w:lang w:bidi="lv-LV"/>
        </w:rPr>
        <w:t xml:space="preserve"> pacienta </w:t>
      </w:r>
      <w:proofErr w:type="spellStart"/>
      <w:r w:rsidRPr="003A6529">
        <w:rPr>
          <w:sz w:val="22"/>
          <w:szCs w:val="22"/>
          <w:lang w:bidi="lv-LV"/>
        </w:rPr>
        <w:t>kreatinīna</w:t>
      </w:r>
      <w:proofErr w:type="spellEnd"/>
      <w:r w:rsidRPr="003A6529">
        <w:rPr>
          <w:sz w:val="22"/>
          <w:szCs w:val="22"/>
          <w:lang w:bidi="lv-LV"/>
        </w:rPr>
        <w:t xml:space="preserve"> </w:t>
      </w:r>
      <w:proofErr w:type="spellStart"/>
      <w:r w:rsidRPr="003A6529">
        <w:rPr>
          <w:sz w:val="22"/>
          <w:szCs w:val="22"/>
          <w:lang w:bidi="lv-LV"/>
        </w:rPr>
        <w:t>klīrens</w:t>
      </w:r>
      <w:r w:rsidR="00065581" w:rsidRPr="003A6529">
        <w:rPr>
          <w:sz w:val="22"/>
          <w:szCs w:val="22"/>
          <w:lang w:bidi="lv-LV"/>
        </w:rPr>
        <w:t>s</w:t>
      </w:r>
      <w:proofErr w:type="spellEnd"/>
      <w:r w:rsidRPr="003A6529">
        <w:rPr>
          <w:sz w:val="22"/>
          <w:szCs w:val="22"/>
          <w:lang w:bidi="lv-LV"/>
        </w:rPr>
        <w:t xml:space="preserve"> (</w:t>
      </w:r>
      <w:proofErr w:type="spellStart"/>
      <w:r w:rsidRPr="003A6529">
        <w:rPr>
          <w:sz w:val="22"/>
          <w:szCs w:val="22"/>
          <w:lang w:bidi="lv-LV"/>
        </w:rPr>
        <w:t>KL</w:t>
      </w:r>
      <w:r w:rsidRPr="003A6529">
        <w:rPr>
          <w:sz w:val="15"/>
          <w:szCs w:val="15"/>
          <w:lang w:bidi="lv-LV"/>
        </w:rPr>
        <w:t>kr</w:t>
      </w:r>
      <w:proofErr w:type="spellEnd"/>
      <w:r w:rsidRPr="003A6529">
        <w:rPr>
          <w:sz w:val="22"/>
          <w:szCs w:val="22"/>
          <w:lang w:bidi="lv-LV"/>
        </w:rPr>
        <w:t xml:space="preserve">) (ml/min). </w:t>
      </w:r>
      <w:proofErr w:type="spellStart"/>
      <w:r w:rsidRPr="003A6529">
        <w:rPr>
          <w:sz w:val="22"/>
          <w:szCs w:val="22"/>
          <w:lang w:bidi="lv-LV"/>
        </w:rPr>
        <w:t>KL</w:t>
      </w:r>
      <w:r w:rsidRPr="003A6529">
        <w:rPr>
          <w:sz w:val="15"/>
          <w:szCs w:val="15"/>
          <w:lang w:bidi="lv-LV"/>
        </w:rPr>
        <w:t>kr</w:t>
      </w:r>
      <w:proofErr w:type="spellEnd"/>
      <w:r w:rsidRPr="003A6529">
        <w:rPr>
          <w:sz w:val="15"/>
          <w:szCs w:val="15"/>
          <w:lang w:bidi="lv-LV"/>
        </w:rPr>
        <w:t xml:space="preserve"> </w:t>
      </w:r>
      <w:r w:rsidRPr="003A6529">
        <w:rPr>
          <w:sz w:val="22"/>
          <w:szCs w:val="22"/>
          <w:lang w:bidi="lv-LV"/>
        </w:rPr>
        <w:t xml:space="preserve">(ml/min) var aprēķināt, nosakot seruma </w:t>
      </w:r>
      <w:proofErr w:type="spellStart"/>
      <w:r w:rsidRPr="003A6529">
        <w:rPr>
          <w:sz w:val="22"/>
          <w:szCs w:val="22"/>
          <w:lang w:bidi="lv-LV"/>
        </w:rPr>
        <w:t>kreatinīna</w:t>
      </w:r>
      <w:proofErr w:type="spellEnd"/>
      <w:r w:rsidRPr="003A6529">
        <w:rPr>
          <w:sz w:val="22"/>
          <w:szCs w:val="22"/>
          <w:lang w:bidi="lv-LV"/>
        </w:rPr>
        <w:t xml:space="preserve"> līmeni (mg/dl) un izmantojot šādu formulu:</w:t>
      </w:r>
    </w:p>
    <w:p w14:paraId="2C2EF934" w14:textId="77777777" w:rsidR="00E167A4" w:rsidRPr="003A6529" w:rsidRDefault="00E167A4" w:rsidP="00DC3F58">
      <w:pPr>
        <w:widowControl w:val="0"/>
        <w:autoSpaceDE w:val="0"/>
        <w:autoSpaceDN w:val="0"/>
        <w:adjustRightInd w:val="0"/>
        <w:rPr>
          <w:color w:val="000000"/>
          <w:sz w:val="22"/>
          <w:szCs w:val="22"/>
        </w:rPr>
      </w:pPr>
    </w:p>
    <w:p w14:paraId="211B0C78" w14:textId="77777777" w:rsidR="00E167A4" w:rsidRPr="003A6529" w:rsidRDefault="00E167A4" w:rsidP="00DC3F58">
      <w:pPr>
        <w:numPr>
          <w:ilvl w:val="12"/>
          <w:numId w:val="0"/>
        </w:numPr>
        <w:rPr>
          <w:sz w:val="22"/>
          <w:szCs w:val="22"/>
          <w:lang w:val="sv-SE"/>
        </w:rPr>
      </w:pPr>
      <w:r w:rsidRPr="003A6529">
        <w:rPr>
          <w:sz w:val="22"/>
          <w:szCs w:val="22"/>
          <w:lang w:bidi="lv-LV"/>
        </w:rPr>
        <w:t xml:space="preserve">                         [140 - vecums (gados)] x </w:t>
      </w:r>
      <w:r w:rsidR="001A10EA" w:rsidRPr="003A6529">
        <w:rPr>
          <w:sz w:val="22"/>
          <w:szCs w:val="22"/>
          <w:lang w:bidi="lv-LV"/>
        </w:rPr>
        <w:t xml:space="preserve">ķermeņa masa </w:t>
      </w:r>
      <w:r w:rsidRPr="003A6529">
        <w:rPr>
          <w:sz w:val="22"/>
          <w:szCs w:val="22"/>
          <w:lang w:bidi="lv-LV"/>
        </w:rPr>
        <w:t>(kg)</w:t>
      </w:r>
    </w:p>
    <w:p w14:paraId="25BA237F" w14:textId="77777777" w:rsidR="00E167A4" w:rsidRPr="003A6529" w:rsidRDefault="00E167A4" w:rsidP="00DC3F58">
      <w:pPr>
        <w:numPr>
          <w:ilvl w:val="12"/>
          <w:numId w:val="0"/>
        </w:numPr>
        <w:rPr>
          <w:sz w:val="22"/>
          <w:szCs w:val="22"/>
        </w:rPr>
      </w:pPr>
      <w:r w:rsidRPr="003A6529">
        <w:rPr>
          <w:sz w:val="22"/>
          <w:szCs w:val="22"/>
          <w:lang w:bidi="lv-LV"/>
        </w:rPr>
        <w:t xml:space="preserve">         </w:t>
      </w:r>
      <w:proofErr w:type="spellStart"/>
      <w:r w:rsidRPr="003A6529">
        <w:rPr>
          <w:sz w:val="22"/>
          <w:szCs w:val="22"/>
          <w:lang w:bidi="lv-LV"/>
        </w:rPr>
        <w:t>KL</w:t>
      </w:r>
      <w:r w:rsidRPr="003A6529">
        <w:rPr>
          <w:sz w:val="22"/>
          <w:szCs w:val="22"/>
          <w:vertAlign w:val="subscript"/>
          <w:lang w:bidi="lv-LV"/>
        </w:rPr>
        <w:t>kr</w:t>
      </w:r>
      <w:proofErr w:type="spellEnd"/>
      <w:r w:rsidRPr="003A6529">
        <w:rPr>
          <w:sz w:val="22"/>
          <w:szCs w:val="22"/>
          <w:lang w:bidi="lv-LV"/>
        </w:rPr>
        <w:t xml:space="preserve"> =________________________________________ (x 0,85 sievietēm)</w:t>
      </w:r>
    </w:p>
    <w:p w14:paraId="70F0990C" w14:textId="77777777" w:rsidR="00E167A4" w:rsidRPr="003A6529" w:rsidRDefault="00E167A4" w:rsidP="00DD571C">
      <w:pPr>
        <w:numPr>
          <w:ilvl w:val="12"/>
          <w:numId w:val="0"/>
        </w:numPr>
        <w:rPr>
          <w:color w:val="000000"/>
          <w:sz w:val="22"/>
          <w:szCs w:val="22"/>
        </w:rPr>
      </w:pPr>
      <w:r w:rsidRPr="003A6529">
        <w:rPr>
          <w:sz w:val="22"/>
          <w:szCs w:val="22"/>
          <w:lang w:bidi="lv-LV"/>
        </w:rPr>
        <w:t xml:space="preserve">                        72 x seruma </w:t>
      </w:r>
      <w:proofErr w:type="spellStart"/>
      <w:r w:rsidRPr="003A6529">
        <w:rPr>
          <w:sz w:val="22"/>
          <w:szCs w:val="22"/>
          <w:lang w:bidi="lv-LV"/>
        </w:rPr>
        <w:t>kreatinīna</w:t>
      </w:r>
      <w:proofErr w:type="spellEnd"/>
      <w:r w:rsidRPr="003A6529">
        <w:rPr>
          <w:sz w:val="22"/>
          <w:szCs w:val="22"/>
          <w:lang w:bidi="lv-LV"/>
        </w:rPr>
        <w:t xml:space="preserve"> līmenis (mg/dl)</w:t>
      </w:r>
    </w:p>
    <w:p w14:paraId="592C605D" w14:textId="77777777" w:rsidR="00E167A4" w:rsidRPr="003A6529" w:rsidRDefault="00E167A4" w:rsidP="00DD571C">
      <w:pPr>
        <w:widowControl w:val="0"/>
        <w:autoSpaceDE w:val="0"/>
        <w:autoSpaceDN w:val="0"/>
        <w:adjustRightInd w:val="0"/>
        <w:rPr>
          <w:sz w:val="22"/>
          <w:szCs w:val="22"/>
        </w:rPr>
      </w:pPr>
    </w:p>
    <w:p w14:paraId="1679A522" w14:textId="77777777" w:rsidR="00E167A4" w:rsidRPr="003A6529" w:rsidRDefault="00E167A4">
      <w:pPr>
        <w:keepNext/>
        <w:widowControl w:val="0"/>
        <w:tabs>
          <w:tab w:val="left" w:pos="567"/>
        </w:tabs>
        <w:autoSpaceDE w:val="0"/>
        <w:autoSpaceDN w:val="0"/>
        <w:adjustRightInd w:val="0"/>
        <w:ind w:left="357" w:hanging="357"/>
        <w:rPr>
          <w:bCs/>
          <w:color w:val="000000"/>
          <w:sz w:val="22"/>
          <w:szCs w:val="22"/>
        </w:rPr>
      </w:pPr>
      <w:r w:rsidRPr="003A6529">
        <w:rPr>
          <w:color w:val="000000"/>
          <w:sz w:val="22"/>
          <w:szCs w:val="22"/>
          <w:lang w:bidi="lv-LV"/>
        </w:rPr>
        <w:lastRenderedPageBreak/>
        <w:t>Devas pielāgošana pieaugušiem pacientiem ar nieru darbības traucējumiem.</w:t>
      </w:r>
    </w:p>
    <w:p w14:paraId="53C0B88E" w14:textId="77777777" w:rsidR="00E167A4" w:rsidRPr="003A6529" w:rsidRDefault="00E167A4">
      <w:pPr>
        <w:keepNext/>
        <w:widowControl w:val="0"/>
        <w:tabs>
          <w:tab w:val="left" w:pos="567"/>
        </w:tabs>
        <w:autoSpaceDE w:val="0"/>
        <w:autoSpaceDN w:val="0"/>
        <w:adjustRightInd w:val="0"/>
        <w:ind w:left="357" w:hanging="357"/>
        <w:rPr>
          <w:bCs/>
          <w:caps/>
          <w:color w:val="000000"/>
          <w:sz w:val="22"/>
          <w:szCs w:val="22"/>
        </w:rPr>
      </w:pPr>
    </w:p>
    <w:tbl>
      <w:tblPr>
        <w:tblW w:w="0" w:type="auto"/>
        <w:tblInd w:w="-38" w:type="dxa"/>
        <w:tblLayout w:type="fixed"/>
        <w:tblCellMar>
          <w:left w:w="70" w:type="dxa"/>
          <w:right w:w="70" w:type="dxa"/>
        </w:tblCellMar>
        <w:tblLook w:val="0000" w:firstRow="0" w:lastRow="0" w:firstColumn="0" w:lastColumn="0" w:noHBand="0" w:noVBand="0"/>
      </w:tblPr>
      <w:tblGrid>
        <w:gridCol w:w="3070"/>
        <w:gridCol w:w="3070"/>
        <w:gridCol w:w="3070"/>
      </w:tblGrid>
      <w:tr w:rsidR="00E167A4" w:rsidRPr="003A6529" w14:paraId="7757CFBD" w14:textId="77777777">
        <w:tc>
          <w:tcPr>
            <w:tcW w:w="3070" w:type="dxa"/>
            <w:tcBorders>
              <w:top w:val="single" w:sz="6" w:space="0" w:color="auto"/>
              <w:left w:val="single" w:sz="6" w:space="0" w:color="auto"/>
              <w:bottom w:val="single" w:sz="6" w:space="0" w:color="auto"/>
              <w:right w:val="single" w:sz="6" w:space="0" w:color="auto"/>
            </w:tcBorders>
            <w:shd w:val="clear" w:color="auto" w:fill="C0C0C0"/>
            <w:vAlign w:val="center"/>
          </w:tcPr>
          <w:p w14:paraId="23750A10" w14:textId="77777777" w:rsidR="00E167A4" w:rsidRPr="003A6529" w:rsidRDefault="00E167A4">
            <w:pPr>
              <w:keepNext/>
              <w:widowControl w:val="0"/>
              <w:autoSpaceDE w:val="0"/>
              <w:autoSpaceDN w:val="0"/>
              <w:adjustRightInd w:val="0"/>
              <w:rPr>
                <w:b/>
                <w:bCs/>
                <w:lang w:val="en-US"/>
              </w:rPr>
            </w:pPr>
            <w:r w:rsidRPr="003A6529">
              <w:rPr>
                <w:b/>
                <w:sz w:val="22"/>
                <w:szCs w:val="22"/>
                <w:lang w:bidi="lv-LV"/>
              </w:rPr>
              <w:t>Nieru funkcijas traucējumu līmenis</w:t>
            </w:r>
          </w:p>
        </w:tc>
        <w:tc>
          <w:tcPr>
            <w:tcW w:w="3070" w:type="dxa"/>
            <w:tcBorders>
              <w:top w:val="single" w:sz="6" w:space="0" w:color="auto"/>
              <w:left w:val="single" w:sz="6" w:space="0" w:color="auto"/>
              <w:bottom w:val="single" w:sz="6" w:space="0" w:color="auto"/>
              <w:right w:val="single" w:sz="6" w:space="0" w:color="auto"/>
            </w:tcBorders>
            <w:shd w:val="clear" w:color="auto" w:fill="C0C0C0"/>
            <w:vAlign w:val="center"/>
          </w:tcPr>
          <w:p w14:paraId="5C0FBF8F" w14:textId="77777777" w:rsidR="00E167A4" w:rsidRPr="003A6529" w:rsidRDefault="00E167A4">
            <w:pPr>
              <w:keepNext/>
              <w:widowControl w:val="0"/>
              <w:autoSpaceDE w:val="0"/>
              <w:autoSpaceDN w:val="0"/>
              <w:adjustRightInd w:val="0"/>
              <w:rPr>
                <w:b/>
                <w:bCs/>
                <w:lang w:val="en-US"/>
              </w:rPr>
            </w:pPr>
            <w:proofErr w:type="spellStart"/>
            <w:r w:rsidRPr="003A6529">
              <w:rPr>
                <w:b/>
                <w:sz w:val="22"/>
                <w:szCs w:val="22"/>
                <w:lang w:bidi="lv-LV"/>
              </w:rPr>
              <w:t>Kreatinīna</w:t>
            </w:r>
            <w:proofErr w:type="spellEnd"/>
            <w:r w:rsidRPr="003A6529">
              <w:rPr>
                <w:b/>
                <w:sz w:val="22"/>
                <w:szCs w:val="22"/>
                <w:lang w:bidi="lv-LV"/>
              </w:rPr>
              <w:t xml:space="preserve"> </w:t>
            </w:r>
            <w:proofErr w:type="spellStart"/>
            <w:r w:rsidRPr="003A6529">
              <w:rPr>
                <w:b/>
                <w:sz w:val="22"/>
                <w:szCs w:val="22"/>
                <w:lang w:bidi="lv-LV"/>
              </w:rPr>
              <w:t>klīrenss</w:t>
            </w:r>
            <w:proofErr w:type="spellEnd"/>
            <w:r w:rsidRPr="003A6529">
              <w:rPr>
                <w:b/>
                <w:sz w:val="22"/>
                <w:szCs w:val="22"/>
                <w:lang w:bidi="lv-LV"/>
              </w:rPr>
              <w:t xml:space="preserve"> (ml/min)</w:t>
            </w:r>
          </w:p>
        </w:tc>
        <w:tc>
          <w:tcPr>
            <w:tcW w:w="3070" w:type="dxa"/>
            <w:tcBorders>
              <w:top w:val="single" w:sz="6" w:space="0" w:color="auto"/>
              <w:left w:val="single" w:sz="6" w:space="0" w:color="auto"/>
              <w:bottom w:val="single" w:sz="6" w:space="0" w:color="auto"/>
              <w:right w:val="single" w:sz="6" w:space="0" w:color="auto"/>
            </w:tcBorders>
            <w:shd w:val="clear" w:color="auto" w:fill="C0C0C0"/>
            <w:vAlign w:val="center"/>
          </w:tcPr>
          <w:p w14:paraId="6334B02E" w14:textId="77777777" w:rsidR="00E167A4" w:rsidRPr="003A6529" w:rsidRDefault="00E167A4">
            <w:pPr>
              <w:keepNext/>
              <w:widowControl w:val="0"/>
              <w:autoSpaceDE w:val="0"/>
              <w:autoSpaceDN w:val="0"/>
              <w:adjustRightInd w:val="0"/>
              <w:rPr>
                <w:b/>
                <w:bCs/>
                <w:lang w:val="en-US"/>
              </w:rPr>
            </w:pPr>
            <w:r w:rsidRPr="003A6529">
              <w:rPr>
                <w:b/>
                <w:sz w:val="22"/>
                <w:szCs w:val="22"/>
                <w:lang w:bidi="lv-LV"/>
              </w:rPr>
              <w:t>Deva</w:t>
            </w:r>
          </w:p>
        </w:tc>
      </w:tr>
      <w:tr w:rsidR="00E167A4" w:rsidRPr="003A6529" w14:paraId="0CE2850A" w14:textId="77777777">
        <w:tc>
          <w:tcPr>
            <w:tcW w:w="3070" w:type="dxa"/>
            <w:tcBorders>
              <w:top w:val="single" w:sz="6" w:space="0" w:color="auto"/>
              <w:left w:val="single" w:sz="6" w:space="0" w:color="auto"/>
              <w:bottom w:val="single" w:sz="6" w:space="0" w:color="auto"/>
              <w:right w:val="single" w:sz="6" w:space="0" w:color="auto"/>
            </w:tcBorders>
            <w:vAlign w:val="center"/>
          </w:tcPr>
          <w:p w14:paraId="7EC98F9A" w14:textId="77777777" w:rsidR="00E167A4" w:rsidRPr="003A6529" w:rsidRDefault="00E167A4">
            <w:pPr>
              <w:keepNext/>
              <w:widowControl w:val="0"/>
              <w:autoSpaceDE w:val="0"/>
              <w:autoSpaceDN w:val="0"/>
              <w:adjustRightInd w:val="0"/>
              <w:rPr>
                <w:noProof/>
                <w:lang w:val="en-US"/>
              </w:rPr>
            </w:pPr>
            <w:r w:rsidRPr="003A6529">
              <w:rPr>
                <w:noProof/>
                <w:sz w:val="22"/>
                <w:szCs w:val="22"/>
                <w:lang w:bidi="lv-LV"/>
              </w:rPr>
              <w:t xml:space="preserve">Normāla nieru funkcija </w:t>
            </w:r>
          </w:p>
        </w:tc>
        <w:tc>
          <w:tcPr>
            <w:tcW w:w="3070" w:type="dxa"/>
            <w:tcBorders>
              <w:top w:val="single" w:sz="6" w:space="0" w:color="auto"/>
              <w:left w:val="single" w:sz="6" w:space="0" w:color="auto"/>
              <w:bottom w:val="single" w:sz="6" w:space="0" w:color="auto"/>
              <w:right w:val="single" w:sz="6" w:space="0" w:color="auto"/>
            </w:tcBorders>
            <w:vAlign w:val="center"/>
          </w:tcPr>
          <w:p w14:paraId="1596F039" w14:textId="77777777" w:rsidR="00E167A4" w:rsidRPr="003A6529" w:rsidRDefault="00E167A4">
            <w:pPr>
              <w:keepNext/>
              <w:widowControl w:val="0"/>
              <w:autoSpaceDE w:val="0"/>
              <w:autoSpaceDN w:val="0"/>
              <w:adjustRightInd w:val="0"/>
              <w:rPr>
                <w:noProof/>
                <w:lang w:val="en-US"/>
              </w:rPr>
            </w:pPr>
            <w:r w:rsidRPr="003A6529">
              <w:rPr>
                <w:noProof/>
                <w:sz w:val="22"/>
                <w:szCs w:val="22"/>
                <w:lang w:bidi="lv-LV"/>
              </w:rPr>
              <w:t>≥ 80</w:t>
            </w:r>
          </w:p>
        </w:tc>
        <w:tc>
          <w:tcPr>
            <w:tcW w:w="3070" w:type="dxa"/>
            <w:tcBorders>
              <w:top w:val="single" w:sz="6" w:space="0" w:color="auto"/>
              <w:left w:val="single" w:sz="6" w:space="0" w:color="auto"/>
              <w:bottom w:val="single" w:sz="6" w:space="0" w:color="auto"/>
              <w:right w:val="single" w:sz="6" w:space="0" w:color="auto"/>
            </w:tcBorders>
            <w:vAlign w:val="center"/>
          </w:tcPr>
          <w:p w14:paraId="5A8A7620" w14:textId="5CFF6F77" w:rsidR="00E167A4" w:rsidRPr="003A6529" w:rsidRDefault="00E167A4">
            <w:pPr>
              <w:keepNext/>
              <w:widowControl w:val="0"/>
              <w:autoSpaceDE w:val="0"/>
              <w:autoSpaceDN w:val="0"/>
              <w:adjustRightInd w:val="0"/>
              <w:rPr>
                <w:noProof/>
                <w:lang w:val="en-US"/>
              </w:rPr>
            </w:pPr>
            <w:r w:rsidRPr="003A6529">
              <w:rPr>
                <w:noProof/>
                <w:sz w:val="22"/>
                <w:szCs w:val="22"/>
                <w:lang w:bidi="lv-LV"/>
              </w:rPr>
              <w:t xml:space="preserve">10 mg </w:t>
            </w:r>
            <w:r w:rsidR="009C5E15">
              <w:rPr>
                <w:noProof/>
                <w:sz w:val="22"/>
                <w:szCs w:val="22"/>
                <w:lang w:bidi="lv-LV"/>
              </w:rPr>
              <w:t>vienu reizi</w:t>
            </w:r>
            <w:r w:rsidRPr="003A6529">
              <w:rPr>
                <w:noProof/>
                <w:sz w:val="22"/>
                <w:szCs w:val="22"/>
                <w:lang w:bidi="lv-LV"/>
              </w:rPr>
              <w:t xml:space="preserve"> dienā</w:t>
            </w:r>
          </w:p>
        </w:tc>
      </w:tr>
      <w:tr w:rsidR="00E167A4" w:rsidRPr="003A6529" w14:paraId="25B82E9A" w14:textId="77777777">
        <w:tc>
          <w:tcPr>
            <w:tcW w:w="3070" w:type="dxa"/>
            <w:tcBorders>
              <w:top w:val="single" w:sz="6" w:space="0" w:color="auto"/>
              <w:left w:val="single" w:sz="6" w:space="0" w:color="auto"/>
              <w:bottom w:val="single" w:sz="6" w:space="0" w:color="auto"/>
              <w:right w:val="single" w:sz="6" w:space="0" w:color="auto"/>
            </w:tcBorders>
            <w:vAlign w:val="center"/>
          </w:tcPr>
          <w:p w14:paraId="69169B2F" w14:textId="77777777" w:rsidR="00E167A4" w:rsidRPr="003A6529" w:rsidRDefault="00E167A4">
            <w:pPr>
              <w:keepNext/>
              <w:widowControl w:val="0"/>
              <w:autoSpaceDE w:val="0"/>
              <w:autoSpaceDN w:val="0"/>
              <w:adjustRightInd w:val="0"/>
              <w:rPr>
                <w:noProof/>
                <w:lang w:val="en-US"/>
              </w:rPr>
            </w:pPr>
            <w:r w:rsidRPr="003A6529">
              <w:rPr>
                <w:noProof/>
                <w:sz w:val="22"/>
                <w:szCs w:val="22"/>
                <w:lang w:bidi="lv-LV"/>
              </w:rPr>
              <w:t xml:space="preserve">Viegli nieru darbības traucējumi </w:t>
            </w:r>
          </w:p>
        </w:tc>
        <w:tc>
          <w:tcPr>
            <w:tcW w:w="3070" w:type="dxa"/>
            <w:tcBorders>
              <w:top w:val="single" w:sz="6" w:space="0" w:color="auto"/>
              <w:left w:val="single" w:sz="6" w:space="0" w:color="auto"/>
              <w:bottom w:val="single" w:sz="6" w:space="0" w:color="auto"/>
              <w:right w:val="single" w:sz="6" w:space="0" w:color="auto"/>
            </w:tcBorders>
            <w:vAlign w:val="center"/>
          </w:tcPr>
          <w:p w14:paraId="234C5003" w14:textId="77777777" w:rsidR="00E167A4" w:rsidRPr="003A6529" w:rsidRDefault="00E167A4">
            <w:pPr>
              <w:keepNext/>
              <w:widowControl w:val="0"/>
              <w:autoSpaceDE w:val="0"/>
              <w:autoSpaceDN w:val="0"/>
              <w:adjustRightInd w:val="0"/>
              <w:rPr>
                <w:noProof/>
                <w:lang w:val="en-US"/>
              </w:rPr>
            </w:pPr>
            <w:r w:rsidRPr="003A6529">
              <w:rPr>
                <w:noProof/>
                <w:sz w:val="22"/>
                <w:szCs w:val="22"/>
                <w:lang w:bidi="lv-LV"/>
              </w:rPr>
              <w:t>50–79</w:t>
            </w:r>
          </w:p>
        </w:tc>
        <w:tc>
          <w:tcPr>
            <w:tcW w:w="3070" w:type="dxa"/>
            <w:tcBorders>
              <w:top w:val="single" w:sz="6" w:space="0" w:color="auto"/>
              <w:left w:val="single" w:sz="6" w:space="0" w:color="auto"/>
              <w:bottom w:val="single" w:sz="6" w:space="0" w:color="auto"/>
              <w:right w:val="single" w:sz="6" w:space="0" w:color="auto"/>
            </w:tcBorders>
            <w:vAlign w:val="center"/>
          </w:tcPr>
          <w:p w14:paraId="41A6592F" w14:textId="4E640D3C" w:rsidR="00E167A4" w:rsidRPr="003A6529" w:rsidRDefault="00E167A4">
            <w:pPr>
              <w:keepNext/>
              <w:widowControl w:val="0"/>
              <w:autoSpaceDE w:val="0"/>
              <w:autoSpaceDN w:val="0"/>
              <w:adjustRightInd w:val="0"/>
              <w:rPr>
                <w:noProof/>
                <w:lang w:val="en-US"/>
              </w:rPr>
            </w:pPr>
            <w:r w:rsidRPr="003A6529">
              <w:rPr>
                <w:noProof/>
                <w:sz w:val="22"/>
                <w:szCs w:val="22"/>
                <w:lang w:bidi="lv-LV"/>
              </w:rPr>
              <w:t xml:space="preserve">10 mg </w:t>
            </w:r>
            <w:r w:rsidR="009C5E15">
              <w:rPr>
                <w:noProof/>
                <w:sz w:val="22"/>
                <w:szCs w:val="22"/>
                <w:lang w:bidi="lv-LV"/>
              </w:rPr>
              <w:t>vienu reizi</w:t>
            </w:r>
            <w:r w:rsidRPr="003A6529">
              <w:rPr>
                <w:noProof/>
                <w:sz w:val="22"/>
                <w:szCs w:val="22"/>
                <w:lang w:bidi="lv-LV"/>
              </w:rPr>
              <w:t xml:space="preserve"> dienā</w:t>
            </w:r>
          </w:p>
        </w:tc>
      </w:tr>
      <w:tr w:rsidR="00E167A4" w:rsidRPr="003A6529" w14:paraId="4469B405" w14:textId="77777777">
        <w:tc>
          <w:tcPr>
            <w:tcW w:w="3070" w:type="dxa"/>
            <w:tcBorders>
              <w:top w:val="single" w:sz="6" w:space="0" w:color="auto"/>
              <w:left w:val="single" w:sz="6" w:space="0" w:color="auto"/>
              <w:bottom w:val="single" w:sz="6" w:space="0" w:color="auto"/>
              <w:right w:val="single" w:sz="6" w:space="0" w:color="auto"/>
            </w:tcBorders>
            <w:vAlign w:val="center"/>
          </w:tcPr>
          <w:p w14:paraId="25E08B36" w14:textId="77777777" w:rsidR="00E167A4" w:rsidRPr="003A6529" w:rsidRDefault="00E167A4">
            <w:pPr>
              <w:keepNext/>
              <w:widowControl w:val="0"/>
              <w:autoSpaceDE w:val="0"/>
              <w:autoSpaceDN w:val="0"/>
              <w:adjustRightInd w:val="0"/>
              <w:rPr>
                <w:noProof/>
              </w:rPr>
            </w:pPr>
            <w:r w:rsidRPr="003A6529">
              <w:rPr>
                <w:noProof/>
                <w:sz w:val="22"/>
                <w:szCs w:val="22"/>
                <w:lang w:bidi="lv-LV"/>
              </w:rPr>
              <w:t xml:space="preserve">Vidēji smagi nieru darbības traucējumi </w:t>
            </w:r>
          </w:p>
        </w:tc>
        <w:tc>
          <w:tcPr>
            <w:tcW w:w="3070" w:type="dxa"/>
            <w:tcBorders>
              <w:top w:val="single" w:sz="6" w:space="0" w:color="auto"/>
              <w:left w:val="single" w:sz="6" w:space="0" w:color="auto"/>
              <w:bottom w:val="single" w:sz="6" w:space="0" w:color="auto"/>
              <w:right w:val="single" w:sz="6" w:space="0" w:color="auto"/>
            </w:tcBorders>
            <w:vAlign w:val="center"/>
          </w:tcPr>
          <w:p w14:paraId="3249521D" w14:textId="77777777" w:rsidR="00E167A4" w:rsidRPr="003A6529" w:rsidRDefault="00E167A4">
            <w:pPr>
              <w:keepNext/>
              <w:widowControl w:val="0"/>
              <w:autoSpaceDE w:val="0"/>
              <w:autoSpaceDN w:val="0"/>
              <w:adjustRightInd w:val="0"/>
              <w:rPr>
                <w:noProof/>
                <w:lang w:val="en-US"/>
              </w:rPr>
            </w:pPr>
            <w:r w:rsidRPr="003A6529">
              <w:rPr>
                <w:noProof/>
                <w:sz w:val="22"/>
                <w:szCs w:val="22"/>
                <w:lang w:bidi="lv-LV"/>
              </w:rPr>
              <w:t>30–49</w:t>
            </w:r>
          </w:p>
        </w:tc>
        <w:tc>
          <w:tcPr>
            <w:tcW w:w="3070" w:type="dxa"/>
            <w:tcBorders>
              <w:top w:val="single" w:sz="6" w:space="0" w:color="auto"/>
              <w:left w:val="single" w:sz="6" w:space="0" w:color="auto"/>
              <w:bottom w:val="single" w:sz="6" w:space="0" w:color="auto"/>
              <w:right w:val="single" w:sz="6" w:space="0" w:color="auto"/>
            </w:tcBorders>
            <w:vAlign w:val="center"/>
          </w:tcPr>
          <w:p w14:paraId="41DFDE8E" w14:textId="6F5C8AF0" w:rsidR="00E167A4" w:rsidRPr="003A6529" w:rsidRDefault="00E167A4">
            <w:pPr>
              <w:keepNext/>
              <w:widowControl w:val="0"/>
              <w:autoSpaceDE w:val="0"/>
              <w:autoSpaceDN w:val="0"/>
              <w:adjustRightInd w:val="0"/>
              <w:rPr>
                <w:noProof/>
                <w:lang w:val="en-US"/>
              </w:rPr>
            </w:pPr>
            <w:r w:rsidRPr="003A6529">
              <w:rPr>
                <w:noProof/>
                <w:sz w:val="22"/>
                <w:szCs w:val="22"/>
                <w:lang w:bidi="lv-LV"/>
              </w:rPr>
              <w:t xml:space="preserve">5 mg </w:t>
            </w:r>
            <w:r w:rsidR="009C5E15">
              <w:rPr>
                <w:noProof/>
                <w:sz w:val="22"/>
                <w:szCs w:val="22"/>
                <w:lang w:bidi="lv-LV"/>
              </w:rPr>
              <w:t>vienu reizi</w:t>
            </w:r>
            <w:r w:rsidRPr="003A6529">
              <w:rPr>
                <w:noProof/>
                <w:sz w:val="22"/>
                <w:szCs w:val="22"/>
                <w:lang w:bidi="lv-LV"/>
              </w:rPr>
              <w:t xml:space="preserve"> dienā</w:t>
            </w:r>
          </w:p>
        </w:tc>
      </w:tr>
      <w:tr w:rsidR="00E167A4" w:rsidRPr="003A6529" w14:paraId="31531531" w14:textId="77777777" w:rsidTr="00CA39B3">
        <w:tc>
          <w:tcPr>
            <w:tcW w:w="3070" w:type="dxa"/>
            <w:tcBorders>
              <w:top w:val="single" w:sz="6" w:space="0" w:color="auto"/>
              <w:left w:val="single" w:sz="6" w:space="0" w:color="auto"/>
              <w:bottom w:val="single" w:sz="6" w:space="0" w:color="auto"/>
              <w:right w:val="single" w:sz="6" w:space="0" w:color="auto"/>
            </w:tcBorders>
            <w:vAlign w:val="center"/>
          </w:tcPr>
          <w:p w14:paraId="262BF3C4" w14:textId="77777777" w:rsidR="00E167A4" w:rsidRPr="003A6529" w:rsidRDefault="00E167A4">
            <w:pPr>
              <w:widowControl w:val="0"/>
              <w:autoSpaceDE w:val="0"/>
              <w:autoSpaceDN w:val="0"/>
              <w:adjustRightInd w:val="0"/>
              <w:rPr>
                <w:noProof/>
                <w:lang w:val="en-US"/>
              </w:rPr>
            </w:pPr>
            <w:r w:rsidRPr="003A6529">
              <w:rPr>
                <w:noProof/>
                <w:sz w:val="22"/>
                <w:szCs w:val="22"/>
                <w:lang w:bidi="lv-LV"/>
              </w:rPr>
              <w:t xml:space="preserve">Smagi nieru darbības traucējumi </w:t>
            </w:r>
          </w:p>
        </w:tc>
        <w:tc>
          <w:tcPr>
            <w:tcW w:w="3070" w:type="dxa"/>
            <w:tcBorders>
              <w:top w:val="single" w:sz="6" w:space="0" w:color="auto"/>
              <w:left w:val="single" w:sz="6" w:space="0" w:color="auto"/>
              <w:bottom w:val="single" w:sz="6" w:space="0" w:color="auto"/>
              <w:right w:val="single" w:sz="6" w:space="0" w:color="auto"/>
            </w:tcBorders>
            <w:vAlign w:val="center"/>
          </w:tcPr>
          <w:p w14:paraId="7F3378C5" w14:textId="77777777" w:rsidR="00E167A4" w:rsidRPr="003A6529" w:rsidRDefault="00E167A4" w:rsidP="00DC3F58">
            <w:pPr>
              <w:widowControl w:val="0"/>
              <w:autoSpaceDE w:val="0"/>
              <w:autoSpaceDN w:val="0"/>
              <w:adjustRightInd w:val="0"/>
              <w:rPr>
                <w:noProof/>
                <w:lang w:val="en-US"/>
              </w:rPr>
            </w:pPr>
            <w:r w:rsidRPr="003A6529">
              <w:rPr>
                <w:noProof/>
                <w:sz w:val="22"/>
                <w:szCs w:val="22"/>
                <w:lang w:bidi="lv-LV"/>
              </w:rPr>
              <w:t>&lt; 30</w:t>
            </w:r>
          </w:p>
        </w:tc>
        <w:tc>
          <w:tcPr>
            <w:tcW w:w="3070" w:type="dxa"/>
            <w:tcBorders>
              <w:top w:val="single" w:sz="6" w:space="0" w:color="auto"/>
              <w:left w:val="single" w:sz="6" w:space="0" w:color="auto"/>
              <w:bottom w:val="single" w:sz="4" w:space="0" w:color="auto"/>
              <w:right w:val="single" w:sz="6" w:space="0" w:color="auto"/>
            </w:tcBorders>
            <w:vAlign w:val="center"/>
          </w:tcPr>
          <w:p w14:paraId="74AD2436" w14:textId="4C4B18B7" w:rsidR="00E167A4" w:rsidRPr="003A6529" w:rsidRDefault="00E167A4">
            <w:pPr>
              <w:widowControl w:val="0"/>
              <w:autoSpaceDE w:val="0"/>
              <w:autoSpaceDN w:val="0"/>
              <w:adjustRightInd w:val="0"/>
              <w:rPr>
                <w:noProof/>
                <w:lang w:val="en-US"/>
              </w:rPr>
            </w:pPr>
            <w:r w:rsidRPr="003A6529">
              <w:rPr>
                <w:noProof/>
                <w:sz w:val="22"/>
                <w:szCs w:val="22"/>
                <w:lang w:bidi="lv-LV"/>
              </w:rPr>
              <w:t xml:space="preserve">5 mg </w:t>
            </w:r>
            <w:r w:rsidR="009C5E15">
              <w:rPr>
                <w:noProof/>
                <w:sz w:val="22"/>
                <w:szCs w:val="22"/>
                <w:lang w:bidi="lv-LV"/>
              </w:rPr>
              <w:t>vienu reizi</w:t>
            </w:r>
            <w:r w:rsidRPr="003A6529">
              <w:rPr>
                <w:noProof/>
                <w:sz w:val="22"/>
                <w:szCs w:val="22"/>
                <w:lang w:bidi="lv-LV"/>
              </w:rPr>
              <w:t xml:space="preserve"> dienā, katru otro dienu</w:t>
            </w:r>
          </w:p>
        </w:tc>
      </w:tr>
      <w:tr w:rsidR="00E167A4" w:rsidRPr="003A6529" w14:paraId="20AAD1E9" w14:textId="77777777" w:rsidTr="00CA39B3">
        <w:tblPrEx>
          <w:tblCellMar>
            <w:left w:w="108" w:type="dxa"/>
            <w:right w:w="108" w:type="dxa"/>
          </w:tblCellMar>
        </w:tblPrEx>
        <w:trPr>
          <w:cantSplit/>
        </w:trPr>
        <w:tc>
          <w:tcPr>
            <w:tcW w:w="3070" w:type="dxa"/>
            <w:tcBorders>
              <w:left w:val="single" w:sz="4" w:space="0" w:color="auto"/>
              <w:bottom w:val="single" w:sz="4" w:space="0" w:color="auto"/>
              <w:right w:val="single" w:sz="4" w:space="0" w:color="auto"/>
            </w:tcBorders>
          </w:tcPr>
          <w:p w14:paraId="5B60D017" w14:textId="77777777" w:rsidR="00E167A4" w:rsidRPr="003A6529" w:rsidRDefault="00E167A4">
            <w:pPr>
              <w:widowControl w:val="0"/>
              <w:autoSpaceDE w:val="0"/>
              <w:autoSpaceDN w:val="0"/>
              <w:adjustRightInd w:val="0"/>
              <w:rPr>
                <w:noProof/>
                <w:lang w:val="en-US"/>
              </w:rPr>
            </w:pPr>
            <w:r w:rsidRPr="003A6529">
              <w:rPr>
                <w:noProof/>
                <w:sz w:val="22"/>
                <w:szCs w:val="22"/>
                <w:lang w:bidi="lv-LV"/>
              </w:rPr>
              <w:t>Termināla nieru mazspēja, dializējami pacienti</w:t>
            </w:r>
          </w:p>
        </w:tc>
        <w:tc>
          <w:tcPr>
            <w:tcW w:w="3070" w:type="dxa"/>
            <w:tcBorders>
              <w:left w:val="single" w:sz="4" w:space="0" w:color="auto"/>
              <w:bottom w:val="single" w:sz="4" w:space="0" w:color="auto"/>
              <w:right w:val="single" w:sz="4" w:space="0" w:color="auto"/>
            </w:tcBorders>
          </w:tcPr>
          <w:p w14:paraId="2C1BF3A6" w14:textId="77777777" w:rsidR="00E167A4" w:rsidRPr="003A6529" w:rsidRDefault="00E167A4" w:rsidP="00DC3F58">
            <w:pPr>
              <w:widowControl w:val="0"/>
              <w:autoSpaceDE w:val="0"/>
              <w:autoSpaceDN w:val="0"/>
              <w:adjustRightInd w:val="0"/>
              <w:rPr>
                <w:noProof/>
                <w:lang w:val="en-US"/>
              </w:rPr>
            </w:pPr>
            <w:r w:rsidRPr="003A6529">
              <w:rPr>
                <w:noProof/>
                <w:sz w:val="22"/>
                <w:szCs w:val="22"/>
                <w:lang w:bidi="lv-LV"/>
              </w:rPr>
              <w:t>&lt; 10</w:t>
            </w:r>
          </w:p>
        </w:tc>
        <w:tc>
          <w:tcPr>
            <w:tcW w:w="3070" w:type="dxa"/>
            <w:tcBorders>
              <w:top w:val="single" w:sz="4" w:space="0" w:color="auto"/>
              <w:left w:val="single" w:sz="4" w:space="0" w:color="auto"/>
              <w:bottom w:val="single" w:sz="4" w:space="0" w:color="auto"/>
              <w:right w:val="single" w:sz="4" w:space="0" w:color="auto"/>
            </w:tcBorders>
          </w:tcPr>
          <w:p w14:paraId="475EF35B" w14:textId="77777777" w:rsidR="00E167A4" w:rsidRPr="003A6529" w:rsidRDefault="00E167A4" w:rsidP="00DC3F58">
            <w:pPr>
              <w:widowControl w:val="0"/>
              <w:autoSpaceDE w:val="0"/>
              <w:autoSpaceDN w:val="0"/>
              <w:adjustRightInd w:val="0"/>
              <w:rPr>
                <w:noProof/>
                <w:lang w:val="en-US"/>
              </w:rPr>
            </w:pPr>
            <w:r w:rsidRPr="003A6529">
              <w:rPr>
                <w:noProof/>
                <w:sz w:val="22"/>
                <w:szCs w:val="22"/>
                <w:lang w:bidi="lv-LV"/>
              </w:rPr>
              <w:t>kontrindicēts</w:t>
            </w:r>
          </w:p>
        </w:tc>
      </w:tr>
    </w:tbl>
    <w:p w14:paraId="5443A80B" w14:textId="77777777" w:rsidR="00E167A4" w:rsidRPr="003A6529" w:rsidRDefault="00E167A4" w:rsidP="00DC3F58">
      <w:pPr>
        <w:widowControl w:val="0"/>
        <w:autoSpaceDE w:val="0"/>
        <w:autoSpaceDN w:val="0"/>
        <w:adjustRightInd w:val="0"/>
        <w:ind w:left="567" w:hanging="567"/>
        <w:rPr>
          <w:noProof/>
          <w:sz w:val="22"/>
          <w:szCs w:val="22"/>
          <w:lang w:val="en-US"/>
        </w:rPr>
      </w:pPr>
    </w:p>
    <w:p w14:paraId="09690FB1" w14:textId="77777777" w:rsidR="00DA770B" w:rsidRDefault="00EC5FD7" w:rsidP="00317E23">
      <w:pPr>
        <w:tabs>
          <w:tab w:val="left" w:pos="540"/>
        </w:tabs>
        <w:rPr>
          <w:i/>
          <w:sz w:val="22"/>
          <w:szCs w:val="22"/>
          <w:lang w:bidi="lv-LV"/>
        </w:rPr>
      </w:pPr>
      <w:r w:rsidRPr="00EC5FD7">
        <w:rPr>
          <w:i/>
          <w:sz w:val="22"/>
          <w:szCs w:val="22"/>
          <w:lang w:bidi="lv-LV"/>
        </w:rPr>
        <w:t>Aknu darbības traucējumi</w:t>
      </w:r>
    </w:p>
    <w:p w14:paraId="42928404" w14:textId="17008132" w:rsidR="00E167A4" w:rsidRPr="003A6529" w:rsidRDefault="00E167A4" w:rsidP="00317E23">
      <w:pPr>
        <w:tabs>
          <w:tab w:val="left" w:pos="540"/>
        </w:tabs>
        <w:rPr>
          <w:color w:val="000000"/>
          <w:sz w:val="22"/>
          <w:szCs w:val="22"/>
        </w:rPr>
      </w:pPr>
      <w:r w:rsidRPr="003A6529">
        <w:rPr>
          <w:color w:val="000000"/>
          <w:sz w:val="22"/>
          <w:szCs w:val="22"/>
          <w:lang w:bidi="lv-LV"/>
        </w:rPr>
        <w:t>Devas pielāgošana pacientiem, kuriem ir tikai aknu darbības traucējumi, nav nepieciešama. Pacientiem ar aknu un nieru darbības traucējumiem ieteicama devas pielāgošana (skatīt sadaļu “Pacienti ar vidēji smagiem vai smagiem nieru darbības traucējumiem” iepriekš).</w:t>
      </w:r>
    </w:p>
    <w:p w14:paraId="09DF5503" w14:textId="77777777" w:rsidR="00E167A4" w:rsidRPr="003A6529" w:rsidRDefault="00E167A4" w:rsidP="00DC3F58">
      <w:pPr>
        <w:widowControl w:val="0"/>
        <w:autoSpaceDE w:val="0"/>
        <w:autoSpaceDN w:val="0"/>
        <w:adjustRightInd w:val="0"/>
        <w:ind w:left="567" w:hanging="567"/>
        <w:rPr>
          <w:color w:val="000000"/>
          <w:sz w:val="22"/>
          <w:szCs w:val="22"/>
        </w:rPr>
      </w:pPr>
    </w:p>
    <w:p w14:paraId="57CD1979" w14:textId="77777777" w:rsidR="00E167A4" w:rsidRPr="003A6529" w:rsidRDefault="00E167A4" w:rsidP="00317E23">
      <w:pPr>
        <w:pStyle w:val="Default"/>
        <w:rPr>
          <w:sz w:val="22"/>
          <w:szCs w:val="22"/>
        </w:rPr>
      </w:pPr>
      <w:r w:rsidRPr="003A6529">
        <w:rPr>
          <w:i/>
          <w:sz w:val="22"/>
          <w:szCs w:val="22"/>
          <w:lang w:bidi="lv-LV"/>
        </w:rPr>
        <w:t xml:space="preserve">Pediatriskā populācija </w:t>
      </w:r>
    </w:p>
    <w:p w14:paraId="72571870" w14:textId="78000450" w:rsidR="00E167A4" w:rsidRPr="003A6529" w:rsidRDefault="00E167A4" w:rsidP="00317E23">
      <w:pPr>
        <w:pStyle w:val="Default"/>
        <w:rPr>
          <w:sz w:val="22"/>
          <w:szCs w:val="22"/>
        </w:rPr>
      </w:pPr>
      <w:r w:rsidRPr="003A6529">
        <w:rPr>
          <w:sz w:val="22"/>
          <w:szCs w:val="22"/>
          <w:lang w:bidi="lv-LV"/>
        </w:rPr>
        <w:t xml:space="preserve">Šīs zāles tablešu formā nevajadzētu lietot bērniem, kas jaunāki par 6 gadiem, jo nav iespējams pielāgot nepieciešamo devu. </w:t>
      </w:r>
    </w:p>
    <w:p w14:paraId="12516698" w14:textId="77777777" w:rsidR="00E167A4" w:rsidRPr="003A6529" w:rsidRDefault="00E167A4" w:rsidP="00317E23">
      <w:pPr>
        <w:pStyle w:val="Default"/>
        <w:rPr>
          <w:sz w:val="22"/>
          <w:szCs w:val="22"/>
        </w:rPr>
      </w:pPr>
    </w:p>
    <w:p w14:paraId="57D989E4" w14:textId="251EDDB0" w:rsidR="00E167A4" w:rsidRPr="003A6529" w:rsidRDefault="00E167A4" w:rsidP="00317E23">
      <w:pPr>
        <w:pStyle w:val="Default"/>
        <w:rPr>
          <w:sz w:val="22"/>
          <w:szCs w:val="22"/>
        </w:rPr>
      </w:pPr>
      <w:r w:rsidRPr="003A6529">
        <w:rPr>
          <w:sz w:val="22"/>
          <w:szCs w:val="22"/>
          <w:lang w:bidi="lv-LV"/>
        </w:rPr>
        <w:t>6–12 gadus veci bērni: 5 mg (puse tabletes) div</w:t>
      </w:r>
      <w:r w:rsidR="009C5E15">
        <w:rPr>
          <w:sz w:val="22"/>
          <w:szCs w:val="22"/>
          <w:lang w:bidi="lv-LV"/>
        </w:rPr>
        <w:t xml:space="preserve">as </w:t>
      </w:r>
      <w:r w:rsidRPr="003A6529">
        <w:rPr>
          <w:sz w:val="22"/>
          <w:szCs w:val="22"/>
          <w:lang w:bidi="lv-LV"/>
        </w:rPr>
        <w:t>reiz</w:t>
      </w:r>
      <w:r w:rsidR="009C5E15">
        <w:rPr>
          <w:sz w:val="22"/>
          <w:szCs w:val="22"/>
          <w:lang w:bidi="lv-LV"/>
        </w:rPr>
        <w:t>es</w:t>
      </w:r>
      <w:r w:rsidRPr="003A6529">
        <w:rPr>
          <w:sz w:val="22"/>
          <w:szCs w:val="22"/>
          <w:lang w:bidi="lv-LV"/>
        </w:rPr>
        <w:t xml:space="preserve"> dienā</w:t>
      </w:r>
      <w:r w:rsidR="008373F6" w:rsidRPr="003A6529">
        <w:rPr>
          <w:sz w:val="22"/>
          <w:szCs w:val="22"/>
          <w:lang w:bidi="lv-LV"/>
        </w:rPr>
        <w:t>.</w:t>
      </w:r>
      <w:r w:rsidRPr="003A6529">
        <w:rPr>
          <w:sz w:val="22"/>
          <w:szCs w:val="22"/>
          <w:lang w:bidi="lv-LV"/>
        </w:rPr>
        <w:t xml:space="preserve"> </w:t>
      </w:r>
    </w:p>
    <w:p w14:paraId="4F8BE444" w14:textId="77777777" w:rsidR="00E167A4" w:rsidRPr="003A6529" w:rsidRDefault="00E167A4" w:rsidP="00317E23">
      <w:pPr>
        <w:pStyle w:val="Default"/>
        <w:rPr>
          <w:sz w:val="22"/>
          <w:szCs w:val="22"/>
        </w:rPr>
      </w:pPr>
    </w:p>
    <w:p w14:paraId="44C0E8E2" w14:textId="33B2571E" w:rsidR="00E167A4" w:rsidRPr="003A6529" w:rsidRDefault="00E167A4" w:rsidP="00317E23">
      <w:pPr>
        <w:pStyle w:val="Default"/>
        <w:rPr>
          <w:sz w:val="22"/>
          <w:szCs w:val="22"/>
        </w:rPr>
      </w:pPr>
      <w:r w:rsidRPr="003A6529">
        <w:rPr>
          <w:sz w:val="22"/>
          <w:szCs w:val="22"/>
          <w:lang w:bidi="lv-LV"/>
        </w:rPr>
        <w:t xml:space="preserve">Pusaudži no 12 gadu vecuma: 10 mg (1 tablete) </w:t>
      </w:r>
      <w:r w:rsidR="009C5E15">
        <w:rPr>
          <w:sz w:val="22"/>
          <w:szCs w:val="22"/>
          <w:lang w:bidi="lv-LV"/>
        </w:rPr>
        <w:t>vienu reizi</w:t>
      </w:r>
      <w:r w:rsidRPr="003A6529">
        <w:rPr>
          <w:sz w:val="22"/>
          <w:szCs w:val="22"/>
          <w:lang w:bidi="lv-LV"/>
        </w:rPr>
        <w:t xml:space="preserve"> dienā. </w:t>
      </w:r>
    </w:p>
    <w:p w14:paraId="37B2FA52" w14:textId="77777777" w:rsidR="00E167A4" w:rsidRPr="003A6529" w:rsidRDefault="00E167A4" w:rsidP="00DC3F58">
      <w:pPr>
        <w:tabs>
          <w:tab w:val="left" w:pos="540"/>
        </w:tabs>
        <w:rPr>
          <w:sz w:val="22"/>
          <w:szCs w:val="22"/>
        </w:rPr>
      </w:pPr>
    </w:p>
    <w:p w14:paraId="6839FBEC" w14:textId="77777777" w:rsidR="00E167A4" w:rsidRPr="003A6529" w:rsidRDefault="00E167A4" w:rsidP="00DC3F58">
      <w:pPr>
        <w:tabs>
          <w:tab w:val="left" w:pos="540"/>
        </w:tabs>
        <w:rPr>
          <w:sz w:val="22"/>
          <w:szCs w:val="22"/>
        </w:rPr>
      </w:pPr>
      <w:r w:rsidRPr="003A6529">
        <w:rPr>
          <w:sz w:val="22"/>
          <w:szCs w:val="22"/>
          <w:lang w:bidi="lv-LV"/>
        </w:rPr>
        <w:t xml:space="preserve">Pediatriskajiem pacientiem ar nieru darbības traucējumiem deva jāpielāgo individuāli, ņemot vērā pacienta </w:t>
      </w:r>
      <w:proofErr w:type="spellStart"/>
      <w:r w:rsidRPr="003A6529">
        <w:rPr>
          <w:sz w:val="22"/>
          <w:szCs w:val="22"/>
          <w:lang w:bidi="lv-LV"/>
        </w:rPr>
        <w:t>renālo</w:t>
      </w:r>
      <w:proofErr w:type="spellEnd"/>
      <w:r w:rsidRPr="003A6529">
        <w:rPr>
          <w:sz w:val="22"/>
          <w:szCs w:val="22"/>
          <w:lang w:bidi="lv-LV"/>
        </w:rPr>
        <w:t xml:space="preserve"> </w:t>
      </w:r>
      <w:proofErr w:type="spellStart"/>
      <w:r w:rsidRPr="003A6529">
        <w:rPr>
          <w:sz w:val="22"/>
          <w:szCs w:val="22"/>
          <w:lang w:bidi="lv-LV"/>
        </w:rPr>
        <w:t>klīrensu</w:t>
      </w:r>
      <w:proofErr w:type="spellEnd"/>
      <w:r w:rsidRPr="003A6529">
        <w:rPr>
          <w:sz w:val="22"/>
          <w:szCs w:val="22"/>
          <w:lang w:bidi="lv-LV"/>
        </w:rPr>
        <w:t>, vecumu un ķermeņa masu.</w:t>
      </w:r>
    </w:p>
    <w:p w14:paraId="1382684D" w14:textId="77777777" w:rsidR="00E167A4" w:rsidRPr="003A6529" w:rsidRDefault="00E167A4" w:rsidP="00DC3F58">
      <w:pPr>
        <w:tabs>
          <w:tab w:val="left" w:pos="540"/>
        </w:tabs>
        <w:rPr>
          <w:sz w:val="22"/>
          <w:szCs w:val="22"/>
        </w:rPr>
      </w:pPr>
    </w:p>
    <w:p w14:paraId="0CE8041A" w14:textId="77777777" w:rsidR="00E167A4" w:rsidRPr="003A6529" w:rsidRDefault="00E167A4" w:rsidP="00695161">
      <w:pPr>
        <w:pStyle w:val="Default"/>
        <w:rPr>
          <w:sz w:val="22"/>
          <w:szCs w:val="22"/>
          <w:u w:val="single"/>
        </w:rPr>
      </w:pPr>
      <w:r w:rsidRPr="003A6529">
        <w:rPr>
          <w:sz w:val="22"/>
          <w:szCs w:val="22"/>
          <w:u w:val="single"/>
          <w:lang w:bidi="lv-LV"/>
        </w:rPr>
        <w:t xml:space="preserve">Lietošanas veids </w:t>
      </w:r>
    </w:p>
    <w:p w14:paraId="3BF220C7" w14:textId="77777777" w:rsidR="00E167A4" w:rsidRPr="003A6529" w:rsidRDefault="00E167A4" w:rsidP="00695161">
      <w:pPr>
        <w:tabs>
          <w:tab w:val="left" w:pos="540"/>
        </w:tabs>
        <w:rPr>
          <w:sz w:val="22"/>
          <w:szCs w:val="22"/>
        </w:rPr>
      </w:pPr>
      <w:r w:rsidRPr="003A6529">
        <w:rPr>
          <w:sz w:val="22"/>
          <w:szCs w:val="22"/>
          <w:lang w:bidi="lv-LV"/>
        </w:rPr>
        <w:t>Tabletes jānorij, uzdzerot glāzi šķidruma.</w:t>
      </w:r>
    </w:p>
    <w:p w14:paraId="52E04922" w14:textId="77777777" w:rsidR="00E167A4" w:rsidRPr="003A6529" w:rsidRDefault="00E167A4" w:rsidP="00DC3F58">
      <w:pPr>
        <w:tabs>
          <w:tab w:val="left" w:pos="540"/>
        </w:tabs>
        <w:rPr>
          <w:sz w:val="22"/>
          <w:szCs w:val="22"/>
        </w:rPr>
      </w:pPr>
    </w:p>
    <w:p w14:paraId="01628B33" w14:textId="77777777" w:rsidR="00E167A4" w:rsidRPr="003A6529" w:rsidRDefault="00E167A4" w:rsidP="00DC3F58">
      <w:pPr>
        <w:tabs>
          <w:tab w:val="left" w:pos="540"/>
        </w:tabs>
        <w:rPr>
          <w:b/>
          <w:sz w:val="22"/>
        </w:rPr>
      </w:pPr>
      <w:r w:rsidRPr="003A6529">
        <w:rPr>
          <w:b/>
          <w:sz w:val="22"/>
          <w:lang w:bidi="lv-LV"/>
        </w:rPr>
        <w:t>4.3.</w:t>
      </w:r>
      <w:r w:rsidRPr="003A6529">
        <w:rPr>
          <w:b/>
          <w:sz w:val="22"/>
          <w:lang w:bidi="lv-LV"/>
        </w:rPr>
        <w:tab/>
        <w:t xml:space="preserve">Kontrindikācijas </w:t>
      </w:r>
    </w:p>
    <w:p w14:paraId="3C82E1F1" w14:textId="77777777" w:rsidR="00E167A4" w:rsidRPr="003A6529" w:rsidRDefault="00E167A4" w:rsidP="00DC3F58">
      <w:pPr>
        <w:pStyle w:val="BodyText"/>
        <w:spacing w:before="0" w:line="240" w:lineRule="auto"/>
        <w:jc w:val="left"/>
        <w:rPr>
          <w:sz w:val="22"/>
        </w:rPr>
      </w:pPr>
    </w:p>
    <w:p w14:paraId="0422C029" w14:textId="77777777" w:rsidR="00E167A4" w:rsidRPr="003A6529" w:rsidRDefault="00E167A4" w:rsidP="00DC3F58">
      <w:pPr>
        <w:pStyle w:val="BodyText"/>
        <w:spacing w:before="0" w:line="240" w:lineRule="auto"/>
        <w:jc w:val="left"/>
        <w:rPr>
          <w:noProof/>
          <w:sz w:val="22"/>
        </w:rPr>
      </w:pPr>
      <w:proofErr w:type="spellStart"/>
      <w:r w:rsidRPr="003A6529">
        <w:rPr>
          <w:sz w:val="22"/>
          <w:lang w:bidi="lv-LV"/>
        </w:rPr>
        <w:t>Hipersensitivitāte</w:t>
      </w:r>
      <w:proofErr w:type="spellEnd"/>
      <w:r w:rsidRPr="003A6529">
        <w:rPr>
          <w:sz w:val="22"/>
          <w:lang w:bidi="lv-LV"/>
        </w:rPr>
        <w:t xml:space="preserve"> pret aktīvo vielu vai jebkuru no </w:t>
      </w:r>
      <w:proofErr w:type="spellStart"/>
      <w:r w:rsidRPr="003A6529">
        <w:rPr>
          <w:sz w:val="22"/>
          <w:lang w:bidi="lv-LV"/>
        </w:rPr>
        <w:t>palīgvielām</w:t>
      </w:r>
      <w:proofErr w:type="spellEnd"/>
      <w:r w:rsidRPr="003A6529">
        <w:rPr>
          <w:sz w:val="22"/>
          <w:lang w:bidi="lv-LV"/>
        </w:rPr>
        <w:t xml:space="preserve">, kas uzskaitītas 6.1. apakšpunktā, vai pret </w:t>
      </w:r>
      <w:proofErr w:type="spellStart"/>
      <w:r w:rsidRPr="003A6529">
        <w:rPr>
          <w:sz w:val="22"/>
          <w:lang w:bidi="lv-LV"/>
        </w:rPr>
        <w:t>hidroksizīnu</w:t>
      </w:r>
      <w:proofErr w:type="spellEnd"/>
      <w:r w:rsidRPr="003A6529">
        <w:rPr>
          <w:sz w:val="22"/>
          <w:lang w:bidi="lv-LV"/>
        </w:rPr>
        <w:t xml:space="preserve"> vai jebkuru </w:t>
      </w:r>
      <w:proofErr w:type="spellStart"/>
      <w:r w:rsidRPr="003A6529">
        <w:rPr>
          <w:sz w:val="22"/>
          <w:lang w:bidi="lv-LV"/>
        </w:rPr>
        <w:t>piperazīna</w:t>
      </w:r>
      <w:proofErr w:type="spellEnd"/>
      <w:r w:rsidRPr="003A6529">
        <w:rPr>
          <w:sz w:val="22"/>
          <w:lang w:bidi="lv-LV"/>
        </w:rPr>
        <w:t xml:space="preserve"> atvasinājumu. </w:t>
      </w:r>
    </w:p>
    <w:p w14:paraId="44328929" w14:textId="77777777" w:rsidR="00E167A4" w:rsidRPr="003A6529" w:rsidRDefault="00E167A4" w:rsidP="00DC3F58">
      <w:pPr>
        <w:pStyle w:val="BodyText"/>
        <w:spacing w:before="0" w:line="240" w:lineRule="auto"/>
        <w:jc w:val="left"/>
        <w:rPr>
          <w:noProof/>
          <w:sz w:val="22"/>
        </w:rPr>
      </w:pPr>
    </w:p>
    <w:p w14:paraId="61C4C06F" w14:textId="77777777" w:rsidR="00E167A4" w:rsidRPr="003A6529" w:rsidRDefault="00E167A4" w:rsidP="00DC3F58">
      <w:pPr>
        <w:pStyle w:val="BodyText"/>
        <w:spacing w:before="0" w:line="240" w:lineRule="auto"/>
        <w:jc w:val="left"/>
        <w:rPr>
          <w:sz w:val="22"/>
        </w:rPr>
      </w:pPr>
      <w:r w:rsidRPr="003A6529">
        <w:rPr>
          <w:noProof/>
          <w:sz w:val="22"/>
          <w:lang w:bidi="lv-LV"/>
        </w:rPr>
        <w:t>Pacienti ar smagiem nieru darbības traucējumiem, kuriem kreatinīna klīrenss ir zem 10 ml/min.</w:t>
      </w:r>
    </w:p>
    <w:p w14:paraId="54175AA8" w14:textId="77777777" w:rsidR="00E167A4" w:rsidRPr="003A6529" w:rsidRDefault="00E167A4" w:rsidP="00DC3F58">
      <w:pPr>
        <w:rPr>
          <w:sz w:val="22"/>
        </w:rPr>
      </w:pPr>
    </w:p>
    <w:p w14:paraId="1EFDD44C" w14:textId="77777777" w:rsidR="00E167A4" w:rsidRPr="003A6529" w:rsidRDefault="00E167A4" w:rsidP="00DC3F58">
      <w:pPr>
        <w:tabs>
          <w:tab w:val="left" w:pos="540"/>
        </w:tabs>
        <w:rPr>
          <w:sz w:val="22"/>
        </w:rPr>
      </w:pPr>
      <w:r w:rsidRPr="003A6529">
        <w:rPr>
          <w:b/>
          <w:sz w:val="22"/>
          <w:lang w:bidi="lv-LV"/>
        </w:rPr>
        <w:t>4.4.</w:t>
      </w:r>
      <w:r w:rsidRPr="003A6529">
        <w:rPr>
          <w:b/>
          <w:sz w:val="22"/>
          <w:lang w:bidi="lv-LV"/>
        </w:rPr>
        <w:tab/>
        <w:t xml:space="preserve">Īpaši brīdinājumi un piesardzība lietošanā </w:t>
      </w:r>
    </w:p>
    <w:p w14:paraId="0AC6255B" w14:textId="77777777" w:rsidR="00E167A4" w:rsidRPr="003A6529" w:rsidRDefault="00E167A4" w:rsidP="00DC3F58">
      <w:pPr>
        <w:pStyle w:val="BodyText"/>
        <w:spacing w:before="0" w:line="240" w:lineRule="auto"/>
        <w:jc w:val="left"/>
        <w:rPr>
          <w:noProof/>
          <w:sz w:val="22"/>
        </w:rPr>
      </w:pPr>
    </w:p>
    <w:p w14:paraId="6E93BAF2" w14:textId="77777777" w:rsidR="00E167A4" w:rsidRPr="003A6529" w:rsidRDefault="00E167A4" w:rsidP="00DC3F58">
      <w:pPr>
        <w:pStyle w:val="BodyText"/>
        <w:spacing w:before="0" w:line="240" w:lineRule="auto"/>
        <w:jc w:val="left"/>
        <w:rPr>
          <w:noProof/>
          <w:sz w:val="22"/>
        </w:rPr>
      </w:pPr>
      <w:r w:rsidRPr="003A6529">
        <w:rPr>
          <w:sz w:val="22"/>
          <w:szCs w:val="22"/>
          <w:lang w:bidi="lv-LV"/>
        </w:rPr>
        <w:t>Lietojot šīs zāles terapeitiskajā devā, nav novērota klīniski nozīmīga mijiedarbība ar alkoholu (pie alkohola līmeņa asinīs 0,5 g/l). Tomēr, lietojot vienlaicīgi ar alkoholu, jāievēro piesardzība.</w:t>
      </w:r>
    </w:p>
    <w:p w14:paraId="3477BA2B" w14:textId="77777777" w:rsidR="00E167A4" w:rsidRPr="003A6529" w:rsidRDefault="00E167A4" w:rsidP="00DC3F58">
      <w:pPr>
        <w:rPr>
          <w:sz w:val="22"/>
        </w:rPr>
      </w:pPr>
    </w:p>
    <w:p w14:paraId="702DDEF5" w14:textId="5BC4DCA8" w:rsidR="00E167A4" w:rsidRPr="003A6529" w:rsidRDefault="00E167A4" w:rsidP="00CF6F53">
      <w:pPr>
        <w:rPr>
          <w:sz w:val="22"/>
        </w:rPr>
      </w:pPr>
      <w:r w:rsidRPr="003A6529">
        <w:rPr>
          <w:sz w:val="22"/>
          <w:lang w:bidi="lv-LV"/>
        </w:rPr>
        <w:t xml:space="preserve">Piesardzība jāievēro pacientiem ar predispozīciju uz urīna </w:t>
      </w:r>
      <w:proofErr w:type="spellStart"/>
      <w:r w:rsidRPr="003A6529">
        <w:rPr>
          <w:sz w:val="22"/>
          <w:lang w:bidi="lv-LV"/>
        </w:rPr>
        <w:t>retenci</w:t>
      </w:r>
      <w:proofErr w:type="spellEnd"/>
      <w:r w:rsidRPr="003A6529">
        <w:rPr>
          <w:sz w:val="22"/>
          <w:lang w:bidi="lv-LV"/>
        </w:rPr>
        <w:t xml:space="preserve"> (piem</w:t>
      </w:r>
      <w:r w:rsidR="00DA770B">
        <w:rPr>
          <w:sz w:val="22"/>
          <w:lang w:bidi="lv-LV"/>
        </w:rPr>
        <w:t>ēram</w:t>
      </w:r>
      <w:r w:rsidRPr="003A6529">
        <w:rPr>
          <w:sz w:val="22"/>
          <w:lang w:bidi="lv-LV"/>
        </w:rPr>
        <w:t xml:space="preserve">, pacienti ar muguras smadzeņu bojājumu, </w:t>
      </w:r>
      <w:proofErr w:type="spellStart"/>
      <w:r w:rsidRPr="003A6529">
        <w:rPr>
          <w:sz w:val="22"/>
          <w:lang w:bidi="lv-LV"/>
        </w:rPr>
        <w:t>prostatas</w:t>
      </w:r>
      <w:proofErr w:type="spellEnd"/>
      <w:r w:rsidRPr="003A6529">
        <w:rPr>
          <w:sz w:val="22"/>
          <w:lang w:bidi="lv-LV"/>
        </w:rPr>
        <w:t xml:space="preserve"> </w:t>
      </w:r>
      <w:proofErr w:type="spellStart"/>
      <w:r w:rsidRPr="003A6529">
        <w:rPr>
          <w:sz w:val="22"/>
          <w:lang w:bidi="lv-LV"/>
        </w:rPr>
        <w:t>hiperplāziju</w:t>
      </w:r>
      <w:proofErr w:type="spellEnd"/>
      <w:r w:rsidRPr="003A6529">
        <w:rPr>
          <w:sz w:val="22"/>
          <w:lang w:bidi="lv-LV"/>
        </w:rPr>
        <w:t xml:space="preserve">), jo </w:t>
      </w:r>
      <w:proofErr w:type="spellStart"/>
      <w:r w:rsidRPr="003A6529">
        <w:rPr>
          <w:sz w:val="22"/>
          <w:lang w:bidi="lv-LV"/>
        </w:rPr>
        <w:t>cetirizīns</w:t>
      </w:r>
      <w:proofErr w:type="spellEnd"/>
      <w:r w:rsidRPr="003A6529">
        <w:rPr>
          <w:sz w:val="22"/>
          <w:lang w:bidi="lv-LV"/>
        </w:rPr>
        <w:t xml:space="preserve"> var palielināt urīna </w:t>
      </w:r>
      <w:proofErr w:type="spellStart"/>
      <w:r w:rsidRPr="003A6529">
        <w:rPr>
          <w:sz w:val="22"/>
          <w:lang w:bidi="lv-LV"/>
        </w:rPr>
        <w:t>retences</w:t>
      </w:r>
      <w:proofErr w:type="spellEnd"/>
      <w:r w:rsidRPr="003A6529">
        <w:rPr>
          <w:sz w:val="22"/>
          <w:lang w:bidi="lv-LV"/>
        </w:rPr>
        <w:t xml:space="preserve"> risku.</w:t>
      </w:r>
    </w:p>
    <w:p w14:paraId="2ACF46F4" w14:textId="77777777" w:rsidR="00E167A4" w:rsidRPr="003A6529" w:rsidRDefault="00E167A4" w:rsidP="00CF6F53">
      <w:pPr>
        <w:rPr>
          <w:sz w:val="22"/>
        </w:rPr>
      </w:pPr>
    </w:p>
    <w:p w14:paraId="6CE1D27C" w14:textId="2A52132A" w:rsidR="00E167A4" w:rsidRPr="003A6529" w:rsidRDefault="00EC5FD7" w:rsidP="00DC3F58">
      <w:pPr>
        <w:rPr>
          <w:sz w:val="22"/>
        </w:rPr>
      </w:pPr>
      <w:r w:rsidRPr="00EC5FD7">
        <w:rPr>
          <w:noProof/>
          <w:sz w:val="22"/>
          <w:lang w:bidi="lv-LV"/>
        </w:rPr>
        <w:t>Iesaka ievērot piesardzību pacientiem ar epilepsiju un pacientiem, kuriem ir krampju risks</w:t>
      </w:r>
      <w:r w:rsidR="00E167A4" w:rsidRPr="003A6529">
        <w:rPr>
          <w:noProof/>
          <w:sz w:val="22"/>
          <w:lang w:bidi="lv-LV"/>
        </w:rPr>
        <w:t xml:space="preserve">. </w:t>
      </w:r>
    </w:p>
    <w:p w14:paraId="2E54C2B4" w14:textId="77777777" w:rsidR="00E167A4" w:rsidRPr="003A6529" w:rsidRDefault="00E167A4" w:rsidP="00DC3F58">
      <w:pPr>
        <w:rPr>
          <w:sz w:val="22"/>
        </w:rPr>
      </w:pPr>
    </w:p>
    <w:p w14:paraId="04BE3D59" w14:textId="5ECD3959" w:rsidR="00E167A4" w:rsidRPr="003A6529" w:rsidRDefault="00E167A4" w:rsidP="00DC3F58">
      <w:pPr>
        <w:rPr>
          <w:sz w:val="22"/>
        </w:rPr>
      </w:pPr>
      <w:proofErr w:type="spellStart"/>
      <w:r w:rsidRPr="003A6529">
        <w:rPr>
          <w:sz w:val="22"/>
          <w:szCs w:val="22"/>
          <w:lang w:bidi="lv-LV"/>
        </w:rPr>
        <w:t>Antihistamīni</w:t>
      </w:r>
      <w:proofErr w:type="spellEnd"/>
      <w:r w:rsidRPr="003A6529">
        <w:rPr>
          <w:sz w:val="22"/>
          <w:szCs w:val="22"/>
          <w:lang w:bidi="lv-LV"/>
        </w:rPr>
        <w:t xml:space="preserve"> </w:t>
      </w:r>
      <w:proofErr w:type="spellStart"/>
      <w:r w:rsidRPr="003A6529">
        <w:rPr>
          <w:sz w:val="22"/>
          <w:szCs w:val="22"/>
          <w:lang w:bidi="lv-LV"/>
        </w:rPr>
        <w:t>inhibē</w:t>
      </w:r>
      <w:proofErr w:type="spellEnd"/>
      <w:r w:rsidRPr="003A6529">
        <w:rPr>
          <w:sz w:val="22"/>
          <w:szCs w:val="22"/>
          <w:lang w:bidi="lv-LV"/>
        </w:rPr>
        <w:t xml:space="preserve"> </w:t>
      </w:r>
      <w:r w:rsidR="0092271A" w:rsidRPr="003A6529">
        <w:rPr>
          <w:sz w:val="22"/>
          <w:szCs w:val="22"/>
          <w:lang w:bidi="lv-LV"/>
        </w:rPr>
        <w:t xml:space="preserve">ādas </w:t>
      </w:r>
      <w:r w:rsidRPr="003A6529">
        <w:rPr>
          <w:sz w:val="22"/>
          <w:szCs w:val="22"/>
          <w:lang w:bidi="lv-LV"/>
        </w:rPr>
        <w:t>alerģi</w:t>
      </w:r>
      <w:r w:rsidR="0092271A">
        <w:rPr>
          <w:sz w:val="22"/>
          <w:szCs w:val="22"/>
          <w:lang w:bidi="lv-LV"/>
        </w:rPr>
        <w:t>jas</w:t>
      </w:r>
      <w:r w:rsidRPr="003A6529">
        <w:rPr>
          <w:sz w:val="22"/>
          <w:szCs w:val="22"/>
          <w:lang w:bidi="lv-LV"/>
        </w:rPr>
        <w:t xml:space="preserve"> testus, tādēļ pirms to veikšanas nepieciešams šīs zāles atcelt (</w:t>
      </w:r>
      <w:r w:rsidR="00F11EAC">
        <w:rPr>
          <w:sz w:val="22"/>
          <w:szCs w:val="22"/>
          <w:lang w:bidi="lv-LV"/>
        </w:rPr>
        <w:t xml:space="preserve">uz </w:t>
      </w:r>
      <w:r w:rsidRPr="003A6529">
        <w:rPr>
          <w:sz w:val="22"/>
          <w:szCs w:val="22"/>
          <w:lang w:bidi="lv-LV"/>
        </w:rPr>
        <w:t>3 dienām pirms testa veikšanas).</w:t>
      </w:r>
    </w:p>
    <w:p w14:paraId="11443D87" w14:textId="77777777" w:rsidR="00E167A4" w:rsidRPr="003A6529" w:rsidRDefault="00E167A4" w:rsidP="00DC3F58">
      <w:pPr>
        <w:rPr>
          <w:sz w:val="22"/>
        </w:rPr>
      </w:pPr>
    </w:p>
    <w:p w14:paraId="01F90E62" w14:textId="021DE7CC" w:rsidR="00E167A4" w:rsidRDefault="00EC5FD7" w:rsidP="008C72C3">
      <w:pPr>
        <w:pStyle w:val="BodyText"/>
        <w:spacing w:before="0" w:line="240" w:lineRule="auto"/>
        <w:jc w:val="left"/>
        <w:rPr>
          <w:sz w:val="22"/>
          <w:lang w:bidi="lv-LV"/>
        </w:rPr>
      </w:pPr>
      <w:r w:rsidRPr="00EC5FD7">
        <w:rPr>
          <w:sz w:val="22"/>
          <w:lang w:bidi="lv-LV"/>
        </w:rPr>
        <w:t xml:space="preserve">Pacienti ar retu iedzimtu </w:t>
      </w:r>
      <w:proofErr w:type="spellStart"/>
      <w:r w:rsidRPr="00EC5FD7">
        <w:rPr>
          <w:sz w:val="22"/>
          <w:lang w:bidi="lv-LV"/>
        </w:rPr>
        <w:t>galaktozes</w:t>
      </w:r>
      <w:proofErr w:type="spellEnd"/>
      <w:r w:rsidRPr="00EC5FD7">
        <w:rPr>
          <w:sz w:val="22"/>
          <w:lang w:bidi="lv-LV"/>
        </w:rPr>
        <w:t xml:space="preserve"> nepanesību, </w:t>
      </w:r>
      <w:r>
        <w:rPr>
          <w:sz w:val="22"/>
          <w:lang w:bidi="lv-LV"/>
        </w:rPr>
        <w:t>pilnīgu</w:t>
      </w:r>
      <w:r w:rsidRPr="00EC5FD7">
        <w:rPr>
          <w:sz w:val="22"/>
          <w:lang w:bidi="lv-LV"/>
        </w:rPr>
        <w:t xml:space="preserve"> </w:t>
      </w:r>
      <w:proofErr w:type="spellStart"/>
      <w:r w:rsidRPr="00EC5FD7">
        <w:rPr>
          <w:sz w:val="22"/>
          <w:lang w:bidi="lv-LV"/>
        </w:rPr>
        <w:t>laktāzes</w:t>
      </w:r>
      <w:proofErr w:type="spellEnd"/>
      <w:r w:rsidRPr="00EC5FD7">
        <w:rPr>
          <w:sz w:val="22"/>
          <w:lang w:bidi="lv-LV"/>
        </w:rPr>
        <w:t xml:space="preserve"> deficītu vai glikozes-</w:t>
      </w:r>
      <w:proofErr w:type="spellStart"/>
      <w:r w:rsidRPr="00EC5FD7">
        <w:rPr>
          <w:sz w:val="22"/>
          <w:lang w:bidi="lv-LV"/>
        </w:rPr>
        <w:t>galaktozes</w:t>
      </w:r>
      <w:proofErr w:type="spellEnd"/>
      <w:r w:rsidRPr="00EC5FD7">
        <w:rPr>
          <w:sz w:val="22"/>
          <w:lang w:bidi="lv-LV"/>
        </w:rPr>
        <w:t xml:space="preserve"> </w:t>
      </w:r>
      <w:proofErr w:type="spellStart"/>
      <w:r w:rsidRPr="00EC5FD7">
        <w:rPr>
          <w:sz w:val="22"/>
          <w:lang w:bidi="lv-LV"/>
        </w:rPr>
        <w:t>malabsorbciju</w:t>
      </w:r>
      <w:proofErr w:type="spellEnd"/>
      <w:r w:rsidRPr="00EC5FD7">
        <w:rPr>
          <w:sz w:val="22"/>
          <w:lang w:bidi="lv-LV"/>
        </w:rPr>
        <w:t xml:space="preserve"> nedrīkst lietot </w:t>
      </w:r>
      <w:r>
        <w:rPr>
          <w:sz w:val="22"/>
          <w:lang w:bidi="lv-LV"/>
        </w:rPr>
        <w:t>šīs zāles</w:t>
      </w:r>
      <w:r w:rsidRPr="00EC5FD7">
        <w:rPr>
          <w:sz w:val="22"/>
          <w:lang w:bidi="lv-LV"/>
        </w:rPr>
        <w:t>.</w:t>
      </w:r>
    </w:p>
    <w:p w14:paraId="4AA96AC4" w14:textId="77777777" w:rsidR="00EC5FD7" w:rsidRDefault="00EC5FD7" w:rsidP="008C72C3">
      <w:pPr>
        <w:pStyle w:val="BodyText"/>
        <w:spacing w:before="0" w:line="240" w:lineRule="auto"/>
        <w:jc w:val="left"/>
        <w:rPr>
          <w:sz w:val="22"/>
          <w:lang w:bidi="lv-LV"/>
        </w:rPr>
      </w:pPr>
    </w:p>
    <w:p w14:paraId="6071BEA4" w14:textId="22802390" w:rsidR="00EC5FD7" w:rsidRPr="003A6529" w:rsidRDefault="00EC5FD7" w:rsidP="008C72C3">
      <w:pPr>
        <w:pStyle w:val="BodyText"/>
        <w:spacing w:before="0" w:line="240" w:lineRule="auto"/>
        <w:jc w:val="left"/>
        <w:rPr>
          <w:sz w:val="22"/>
        </w:rPr>
      </w:pPr>
      <w:r w:rsidRPr="00EC5FD7">
        <w:rPr>
          <w:sz w:val="22"/>
        </w:rPr>
        <w:lastRenderedPageBreak/>
        <w:t xml:space="preserve">Pārtraucot </w:t>
      </w:r>
      <w:proofErr w:type="spellStart"/>
      <w:r w:rsidRPr="00EC5FD7">
        <w:rPr>
          <w:sz w:val="22"/>
        </w:rPr>
        <w:t>cetirizīna</w:t>
      </w:r>
      <w:proofErr w:type="spellEnd"/>
      <w:r w:rsidRPr="00EC5FD7">
        <w:rPr>
          <w:sz w:val="22"/>
        </w:rPr>
        <w:t xml:space="preserve"> lietošanu, var rasties nieze un/vai nātrene, pat tad, ja šie simptomi netika novēroti pirms ārstēšanas sākuma. Dažos gadījumos šie simptomi var būt izteikti un var būt nepieciešam</w:t>
      </w:r>
      <w:r>
        <w:rPr>
          <w:sz w:val="22"/>
        </w:rPr>
        <w:t>s</w:t>
      </w:r>
      <w:r w:rsidRPr="00EC5FD7">
        <w:rPr>
          <w:sz w:val="22"/>
        </w:rPr>
        <w:t xml:space="preserve"> atsākt ārstēšanu. </w:t>
      </w:r>
      <w:r w:rsidR="00EE173A">
        <w:rPr>
          <w:sz w:val="22"/>
        </w:rPr>
        <w:t>A</w:t>
      </w:r>
      <w:r w:rsidR="00EE173A" w:rsidRPr="00EC5FD7">
        <w:rPr>
          <w:sz w:val="22"/>
        </w:rPr>
        <w:t>tsākot ārstēšanu</w:t>
      </w:r>
      <w:r w:rsidR="00EE173A">
        <w:rPr>
          <w:sz w:val="22"/>
        </w:rPr>
        <w:t>,</w:t>
      </w:r>
      <w:r w:rsidR="00EE173A" w:rsidRPr="00EC5FD7">
        <w:rPr>
          <w:sz w:val="22"/>
        </w:rPr>
        <w:t xml:space="preserve"> </w:t>
      </w:r>
      <w:r w:rsidR="00EE173A">
        <w:rPr>
          <w:sz w:val="22"/>
        </w:rPr>
        <w:t>s</w:t>
      </w:r>
      <w:r w:rsidRPr="00EC5FD7">
        <w:rPr>
          <w:sz w:val="22"/>
        </w:rPr>
        <w:t>imptomiem vajadzētu pazust.</w:t>
      </w:r>
    </w:p>
    <w:p w14:paraId="06AB7778" w14:textId="77777777" w:rsidR="00E167A4" w:rsidRPr="003A6529" w:rsidRDefault="00E167A4" w:rsidP="00DC3F58">
      <w:pPr>
        <w:rPr>
          <w:sz w:val="22"/>
        </w:rPr>
      </w:pPr>
    </w:p>
    <w:p w14:paraId="7B12DA8E" w14:textId="77777777" w:rsidR="00E167A4" w:rsidRPr="003A6529" w:rsidRDefault="00E167A4" w:rsidP="00DC3F58">
      <w:pPr>
        <w:rPr>
          <w:sz w:val="22"/>
          <w:u w:val="single"/>
        </w:rPr>
      </w:pPr>
      <w:r w:rsidRPr="003A6529">
        <w:rPr>
          <w:sz w:val="22"/>
          <w:u w:val="single"/>
          <w:lang w:bidi="lv-LV"/>
        </w:rPr>
        <w:t>Pediatriskā populācija</w:t>
      </w:r>
    </w:p>
    <w:p w14:paraId="1D5780FC" w14:textId="28E105FC" w:rsidR="00E167A4" w:rsidRPr="003A6529" w:rsidRDefault="00E167A4" w:rsidP="00DC3F58">
      <w:pPr>
        <w:rPr>
          <w:sz w:val="22"/>
          <w:szCs w:val="22"/>
        </w:rPr>
      </w:pPr>
      <w:r w:rsidRPr="003A6529">
        <w:rPr>
          <w:sz w:val="22"/>
          <w:szCs w:val="22"/>
          <w:lang w:bidi="lv-LV"/>
        </w:rPr>
        <w:t xml:space="preserve">Zāles </w:t>
      </w:r>
      <w:proofErr w:type="spellStart"/>
      <w:r w:rsidRPr="003A6529">
        <w:rPr>
          <w:sz w:val="22"/>
          <w:szCs w:val="22"/>
          <w:lang w:bidi="lv-LV"/>
        </w:rPr>
        <w:t>apvalkotu</w:t>
      </w:r>
      <w:proofErr w:type="spellEnd"/>
      <w:r w:rsidRPr="003A6529">
        <w:rPr>
          <w:sz w:val="22"/>
          <w:szCs w:val="22"/>
          <w:lang w:bidi="lv-LV"/>
        </w:rPr>
        <w:t xml:space="preserve"> tablešu </w:t>
      </w:r>
      <w:r w:rsidR="00F11EAC">
        <w:rPr>
          <w:sz w:val="22"/>
          <w:szCs w:val="22"/>
          <w:lang w:bidi="lv-LV"/>
        </w:rPr>
        <w:t>veidā</w:t>
      </w:r>
      <w:r w:rsidRPr="003A6529">
        <w:rPr>
          <w:sz w:val="22"/>
          <w:szCs w:val="22"/>
          <w:lang w:bidi="lv-LV"/>
        </w:rPr>
        <w:t xml:space="preserve"> nav ieteicams lietot bērniem, kas jaunāki par 6 gadiem, jo šādā formā nav iespējama atbilstoša devas pielāgošana. Ieteicams lietot tādas </w:t>
      </w:r>
      <w:proofErr w:type="spellStart"/>
      <w:r w:rsidRPr="003A6529">
        <w:rPr>
          <w:sz w:val="22"/>
          <w:szCs w:val="22"/>
          <w:lang w:bidi="lv-LV"/>
        </w:rPr>
        <w:t>cetirizīna</w:t>
      </w:r>
      <w:proofErr w:type="spellEnd"/>
      <w:r w:rsidRPr="003A6529">
        <w:rPr>
          <w:sz w:val="22"/>
          <w:szCs w:val="22"/>
          <w:lang w:bidi="lv-LV"/>
        </w:rPr>
        <w:t xml:space="preserve"> zāļu formas, kas paredzētas pediatriskajai populācijai. </w:t>
      </w:r>
    </w:p>
    <w:p w14:paraId="40FBFFB7" w14:textId="77777777" w:rsidR="00E167A4" w:rsidRPr="003A6529" w:rsidRDefault="00E167A4" w:rsidP="00DC3F58">
      <w:pPr>
        <w:rPr>
          <w:sz w:val="22"/>
        </w:rPr>
      </w:pPr>
    </w:p>
    <w:p w14:paraId="1E8DE3DA" w14:textId="77777777" w:rsidR="00E167A4" w:rsidRPr="003A6529" w:rsidRDefault="00E167A4" w:rsidP="00DC3F58">
      <w:pPr>
        <w:tabs>
          <w:tab w:val="left" w:pos="540"/>
        </w:tabs>
        <w:rPr>
          <w:b/>
          <w:sz w:val="22"/>
        </w:rPr>
      </w:pPr>
      <w:r w:rsidRPr="003A6529">
        <w:rPr>
          <w:b/>
          <w:sz w:val="22"/>
          <w:lang w:bidi="lv-LV"/>
        </w:rPr>
        <w:t>4.5.</w:t>
      </w:r>
      <w:r w:rsidRPr="003A6529">
        <w:rPr>
          <w:b/>
          <w:sz w:val="22"/>
          <w:lang w:bidi="lv-LV"/>
        </w:rPr>
        <w:tab/>
        <w:t>Mijiedarbība ar citām zālēm un citi mijiedarbības veidi</w:t>
      </w:r>
    </w:p>
    <w:p w14:paraId="446AE9E7" w14:textId="77777777" w:rsidR="00E167A4" w:rsidRPr="003A6529" w:rsidRDefault="00E167A4" w:rsidP="00DC3F58">
      <w:pPr>
        <w:tabs>
          <w:tab w:val="left" w:pos="540"/>
        </w:tabs>
        <w:rPr>
          <w:sz w:val="22"/>
        </w:rPr>
      </w:pPr>
    </w:p>
    <w:p w14:paraId="549C163D" w14:textId="77777777" w:rsidR="00E167A4" w:rsidRPr="003A6529" w:rsidRDefault="00E167A4" w:rsidP="00DC3F58">
      <w:pPr>
        <w:pStyle w:val="BodyText"/>
        <w:spacing w:before="0" w:line="240" w:lineRule="auto"/>
        <w:jc w:val="left"/>
        <w:rPr>
          <w:noProof/>
          <w:sz w:val="22"/>
        </w:rPr>
      </w:pPr>
      <w:r w:rsidRPr="003A6529">
        <w:rPr>
          <w:noProof/>
          <w:sz w:val="22"/>
          <w:lang w:bidi="lv-LV"/>
        </w:rPr>
        <w:t xml:space="preserve">Cetirizīna farmakokinētiskā, farmakodinamiskā un tolerances profila dēļ mijiedarbība ar citām zālēm nav sagaidāma. Veiktajos zāļu savstarpējās mijiedarbības pētījumos, īpaši ar pseidoefedrīnu vai teofilīnu (400 mg/dienā), netika ziņots ne par farmakodinamisko, ne nozīmīgu farmakokinētisko mijiedarbību. </w:t>
      </w:r>
    </w:p>
    <w:p w14:paraId="030DFB67" w14:textId="77777777" w:rsidR="00E167A4" w:rsidRPr="003A6529" w:rsidRDefault="00E167A4" w:rsidP="00DC3F58">
      <w:pPr>
        <w:rPr>
          <w:noProof/>
          <w:sz w:val="22"/>
        </w:rPr>
      </w:pPr>
    </w:p>
    <w:p w14:paraId="4A725EB5" w14:textId="77777777" w:rsidR="00E167A4" w:rsidRPr="003A6529" w:rsidRDefault="00E167A4" w:rsidP="00DC3F58">
      <w:pPr>
        <w:rPr>
          <w:noProof/>
          <w:sz w:val="22"/>
        </w:rPr>
      </w:pPr>
      <w:r w:rsidRPr="003A6529">
        <w:rPr>
          <w:noProof/>
          <w:sz w:val="22"/>
          <w:lang w:bidi="lv-LV"/>
        </w:rPr>
        <w:t>Uzturs nesamazina cetirizīna uzsūkšanās pakāpi, kaut arī samazinās uzsūkšanās ātrums.</w:t>
      </w:r>
    </w:p>
    <w:p w14:paraId="20A819C1" w14:textId="77777777" w:rsidR="00E167A4" w:rsidRPr="003A6529" w:rsidRDefault="00E167A4" w:rsidP="00DC3F58">
      <w:pPr>
        <w:rPr>
          <w:noProof/>
          <w:sz w:val="22"/>
        </w:rPr>
      </w:pPr>
    </w:p>
    <w:p w14:paraId="6BF0BCFB" w14:textId="77777777" w:rsidR="00E167A4" w:rsidRPr="003A6529" w:rsidRDefault="00E167A4" w:rsidP="00DC3F58">
      <w:pPr>
        <w:rPr>
          <w:noProof/>
          <w:sz w:val="22"/>
        </w:rPr>
      </w:pPr>
      <w:r w:rsidRPr="003A6529">
        <w:rPr>
          <w:sz w:val="22"/>
          <w:szCs w:val="22"/>
          <w:lang w:bidi="lv-LV"/>
        </w:rPr>
        <w:t xml:space="preserve">Jutīgiem pacientiem šo zāļu vienlaicīga lietošana ar alkoholu vai citiem CNS </w:t>
      </w:r>
      <w:proofErr w:type="spellStart"/>
      <w:r w:rsidRPr="003A6529">
        <w:rPr>
          <w:sz w:val="22"/>
          <w:szCs w:val="22"/>
          <w:lang w:bidi="lv-LV"/>
        </w:rPr>
        <w:t>depresantiem</w:t>
      </w:r>
      <w:proofErr w:type="spellEnd"/>
      <w:r w:rsidRPr="003A6529">
        <w:rPr>
          <w:sz w:val="22"/>
          <w:szCs w:val="22"/>
          <w:lang w:bidi="lv-LV"/>
        </w:rPr>
        <w:t xml:space="preserve"> var radīt papildu </w:t>
      </w:r>
      <w:r w:rsidR="0099514F" w:rsidRPr="003A6529">
        <w:rPr>
          <w:sz w:val="22"/>
          <w:szCs w:val="22"/>
          <w:lang w:bidi="lv-LV"/>
        </w:rPr>
        <w:t xml:space="preserve">uzmanības samazināšanos </w:t>
      </w:r>
      <w:r w:rsidRPr="003A6529">
        <w:rPr>
          <w:sz w:val="22"/>
          <w:szCs w:val="22"/>
          <w:lang w:bidi="lv-LV"/>
        </w:rPr>
        <w:t xml:space="preserve">un samazināt veiktspēju, kaut arī </w:t>
      </w:r>
      <w:proofErr w:type="spellStart"/>
      <w:r w:rsidRPr="003A6529">
        <w:rPr>
          <w:sz w:val="22"/>
          <w:szCs w:val="22"/>
          <w:lang w:bidi="lv-LV"/>
        </w:rPr>
        <w:t>cetirizīns</w:t>
      </w:r>
      <w:proofErr w:type="spellEnd"/>
      <w:r w:rsidRPr="003A6529">
        <w:rPr>
          <w:sz w:val="22"/>
          <w:szCs w:val="22"/>
          <w:lang w:bidi="lv-LV"/>
        </w:rPr>
        <w:t xml:space="preserve"> nepastiprina alkohola radītos efektus (pie 0,5 g/l līmeņa asinīs).</w:t>
      </w:r>
    </w:p>
    <w:p w14:paraId="0D8EC80C" w14:textId="77777777" w:rsidR="00E167A4" w:rsidRPr="003A6529" w:rsidRDefault="00E167A4" w:rsidP="00DC3F58">
      <w:pPr>
        <w:rPr>
          <w:sz w:val="22"/>
        </w:rPr>
      </w:pPr>
    </w:p>
    <w:p w14:paraId="399D2656" w14:textId="77777777" w:rsidR="00E167A4" w:rsidRPr="003A6529" w:rsidRDefault="00E167A4" w:rsidP="00CE6AD0">
      <w:pPr>
        <w:keepNext/>
        <w:tabs>
          <w:tab w:val="left" w:pos="540"/>
        </w:tabs>
        <w:rPr>
          <w:sz w:val="22"/>
        </w:rPr>
      </w:pPr>
      <w:r w:rsidRPr="003A6529">
        <w:rPr>
          <w:b/>
          <w:sz w:val="22"/>
          <w:lang w:bidi="lv-LV"/>
        </w:rPr>
        <w:t>4.6.</w:t>
      </w:r>
      <w:r w:rsidRPr="003A6529">
        <w:rPr>
          <w:b/>
          <w:sz w:val="22"/>
          <w:lang w:bidi="lv-LV"/>
        </w:rPr>
        <w:tab/>
      </w:r>
      <w:proofErr w:type="spellStart"/>
      <w:r w:rsidRPr="003A6529">
        <w:rPr>
          <w:b/>
          <w:sz w:val="22"/>
          <w:lang w:bidi="lv-LV"/>
        </w:rPr>
        <w:t>Fertilitāte</w:t>
      </w:r>
      <w:proofErr w:type="spellEnd"/>
      <w:r w:rsidRPr="003A6529">
        <w:rPr>
          <w:b/>
          <w:sz w:val="22"/>
          <w:lang w:bidi="lv-LV"/>
        </w:rPr>
        <w:t>, grūtniecība un barošana ar krūti</w:t>
      </w:r>
    </w:p>
    <w:p w14:paraId="5CD49100" w14:textId="77777777" w:rsidR="00CA39B3" w:rsidRPr="003A6529" w:rsidRDefault="00CA39B3" w:rsidP="00CE6AD0">
      <w:pPr>
        <w:keepNext/>
        <w:rPr>
          <w:noProof/>
          <w:sz w:val="22"/>
          <w:u w:val="single"/>
        </w:rPr>
      </w:pPr>
    </w:p>
    <w:p w14:paraId="61CB8C15" w14:textId="77777777" w:rsidR="00E167A4" w:rsidRPr="003A6529" w:rsidRDefault="00E167A4" w:rsidP="00CE6AD0">
      <w:pPr>
        <w:keepNext/>
        <w:rPr>
          <w:noProof/>
          <w:sz w:val="22"/>
          <w:u w:val="single"/>
        </w:rPr>
      </w:pPr>
      <w:r w:rsidRPr="003A6529">
        <w:rPr>
          <w:noProof/>
          <w:sz w:val="22"/>
          <w:u w:val="single"/>
          <w:lang w:bidi="lv-LV"/>
        </w:rPr>
        <w:t>Grūtniecība</w:t>
      </w:r>
    </w:p>
    <w:p w14:paraId="58C9EEB9" w14:textId="77777777" w:rsidR="00E167A4" w:rsidRPr="003A6529" w:rsidRDefault="00E167A4" w:rsidP="00CE1966">
      <w:pPr>
        <w:rPr>
          <w:noProof/>
          <w:sz w:val="22"/>
          <w:szCs w:val="22"/>
        </w:rPr>
      </w:pPr>
      <w:proofErr w:type="spellStart"/>
      <w:r w:rsidRPr="003A6529">
        <w:rPr>
          <w:sz w:val="22"/>
          <w:szCs w:val="22"/>
          <w:lang w:bidi="lv-LV"/>
        </w:rPr>
        <w:t>Prospektīvi</w:t>
      </w:r>
      <w:proofErr w:type="spellEnd"/>
      <w:r w:rsidRPr="003A6529">
        <w:rPr>
          <w:sz w:val="22"/>
          <w:szCs w:val="22"/>
          <w:lang w:bidi="lv-LV"/>
        </w:rPr>
        <w:t xml:space="preserve"> iegūtie dati par </w:t>
      </w:r>
      <w:proofErr w:type="spellStart"/>
      <w:r w:rsidRPr="003A6529">
        <w:rPr>
          <w:sz w:val="22"/>
          <w:szCs w:val="22"/>
          <w:lang w:bidi="lv-LV"/>
        </w:rPr>
        <w:t>cetirīzīna</w:t>
      </w:r>
      <w:proofErr w:type="spellEnd"/>
      <w:r w:rsidRPr="003A6529">
        <w:rPr>
          <w:sz w:val="22"/>
          <w:szCs w:val="22"/>
          <w:lang w:bidi="lv-LV"/>
        </w:rPr>
        <w:t xml:space="preserve"> ietekmi uz grūtniecības iznākumu neliecina par iespējamu mātes vai augļa/embrija </w:t>
      </w:r>
      <w:proofErr w:type="spellStart"/>
      <w:r w:rsidRPr="003A6529">
        <w:rPr>
          <w:sz w:val="22"/>
          <w:szCs w:val="22"/>
          <w:lang w:bidi="lv-LV"/>
        </w:rPr>
        <w:t>toksicitāti</w:t>
      </w:r>
      <w:proofErr w:type="spellEnd"/>
      <w:r w:rsidRPr="003A6529">
        <w:rPr>
          <w:sz w:val="22"/>
          <w:szCs w:val="22"/>
          <w:lang w:bidi="lv-LV"/>
        </w:rPr>
        <w:t xml:space="preserve"> virs populācijas </w:t>
      </w:r>
      <w:proofErr w:type="spellStart"/>
      <w:r w:rsidRPr="003A6529">
        <w:rPr>
          <w:sz w:val="22"/>
          <w:szCs w:val="22"/>
          <w:lang w:bidi="lv-LV"/>
        </w:rPr>
        <w:t>pamatlīmeņa</w:t>
      </w:r>
      <w:proofErr w:type="spellEnd"/>
      <w:r w:rsidRPr="003A6529">
        <w:rPr>
          <w:sz w:val="22"/>
          <w:szCs w:val="22"/>
          <w:lang w:bidi="lv-LV"/>
        </w:rPr>
        <w:t xml:space="preserve">. </w:t>
      </w:r>
    </w:p>
    <w:p w14:paraId="55D81B07" w14:textId="77777777" w:rsidR="00E167A4" w:rsidRPr="003A6529" w:rsidRDefault="00E167A4" w:rsidP="00DC3F58">
      <w:pPr>
        <w:rPr>
          <w:noProof/>
          <w:sz w:val="22"/>
          <w:szCs w:val="22"/>
        </w:rPr>
      </w:pPr>
      <w:r w:rsidRPr="003A6529">
        <w:rPr>
          <w:noProof/>
          <w:sz w:val="22"/>
          <w:szCs w:val="22"/>
          <w:lang w:bidi="lv-LV"/>
        </w:rPr>
        <w:t>Pētījumi ar dzīvniekiem neliecina par tiešu vai netiešu kaitīgu ietekmi uz grūtniecību, embrionālo/augļa attīstību, dzemdībām vai postnatālu attīstību. Lietojot grūtniecēm, jāievēro piesardzība.</w:t>
      </w:r>
    </w:p>
    <w:p w14:paraId="5E91C3FE" w14:textId="77777777" w:rsidR="00E167A4" w:rsidRPr="003A6529" w:rsidRDefault="00E167A4" w:rsidP="00DC3F58">
      <w:pPr>
        <w:rPr>
          <w:noProof/>
          <w:sz w:val="22"/>
        </w:rPr>
      </w:pPr>
    </w:p>
    <w:p w14:paraId="1918C90F" w14:textId="77777777" w:rsidR="00E167A4" w:rsidRPr="003A6529" w:rsidRDefault="00E167A4" w:rsidP="00DC3F58">
      <w:pPr>
        <w:rPr>
          <w:noProof/>
          <w:sz w:val="22"/>
          <w:u w:val="single"/>
        </w:rPr>
      </w:pPr>
      <w:r w:rsidRPr="003A6529">
        <w:rPr>
          <w:noProof/>
          <w:sz w:val="22"/>
          <w:u w:val="single"/>
          <w:lang w:bidi="lv-LV"/>
        </w:rPr>
        <w:t xml:space="preserve">Barošana ar krūti </w:t>
      </w:r>
    </w:p>
    <w:p w14:paraId="66E5F97F" w14:textId="77777777" w:rsidR="00E167A4" w:rsidRPr="003A6529" w:rsidRDefault="00EC5FD7" w:rsidP="00DC3F58">
      <w:pPr>
        <w:rPr>
          <w:noProof/>
          <w:sz w:val="22"/>
        </w:rPr>
      </w:pPr>
      <w:r w:rsidRPr="00EC5FD7">
        <w:rPr>
          <w:noProof/>
          <w:sz w:val="22"/>
          <w:lang w:bidi="lv-LV"/>
        </w:rPr>
        <w:t xml:space="preserve">Cetirizīns izdalās mātes pienā. Nevar izslēgt blakusparādību rašanās risku zīdainim, kuru baro ar krūti. </w:t>
      </w:r>
      <w:r w:rsidR="00E167A4" w:rsidRPr="003A6529">
        <w:rPr>
          <w:noProof/>
          <w:sz w:val="22"/>
          <w:lang w:bidi="lv-LV"/>
        </w:rPr>
        <w:t xml:space="preserve">Cetirizīns tiek izdalīts cilvēka pienā koncentrācijā, kas atbilst 25–90% no cetirizīna līmeņa plazmā atkarībā no parauga ņemšanas laika pēc </w:t>
      </w:r>
      <w:r w:rsidR="008E1A76" w:rsidRPr="003A6529">
        <w:rPr>
          <w:noProof/>
          <w:sz w:val="22"/>
          <w:lang w:bidi="lv-LV"/>
        </w:rPr>
        <w:t xml:space="preserve">zāļu </w:t>
      </w:r>
      <w:r w:rsidR="00E167A4" w:rsidRPr="003A6529">
        <w:rPr>
          <w:noProof/>
          <w:sz w:val="22"/>
          <w:lang w:bidi="lv-LV"/>
        </w:rPr>
        <w:t>lietošanas. Tādēļ, nozīmējot cetirizīnu sievietēm, kas baro ar krūti, jāievēro piesardzība.</w:t>
      </w:r>
    </w:p>
    <w:p w14:paraId="1FA16E0E" w14:textId="77777777" w:rsidR="00E167A4" w:rsidRPr="003A6529" w:rsidRDefault="00E167A4" w:rsidP="00DC3F58">
      <w:pPr>
        <w:rPr>
          <w:noProof/>
          <w:sz w:val="22"/>
        </w:rPr>
      </w:pPr>
    </w:p>
    <w:p w14:paraId="0F07DEAA" w14:textId="77777777" w:rsidR="00E167A4" w:rsidRPr="003A6529" w:rsidRDefault="00E167A4" w:rsidP="0054540F">
      <w:pPr>
        <w:rPr>
          <w:noProof/>
          <w:sz w:val="22"/>
          <w:u w:val="single"/>
        </w:rPr>
      </w:pPr>
      <w:r w:rsidRPr="003A6529">
        <w:rPr>
          <w:noProof/>
          <w:sz w:val="22"/>
          <w:u w:val="single"/>
          <w:lang w:bidi="lv-LV"/>
        </w:rPr>
        <w:t>Fertilitāte</w:t>
      </w:r>
    </w:p>
    <w:p w14:paraId="3BF5CF7D" w14:textId="77777777" w:rsidR="00E167A4" w:rsidRPr="003A6529" w:rsidRDefault="00E167A4" w:rsidP="0054540F">
      <w:pPr>
        <w:pStyle w:val="Default"/>
        <w:rPr>
          <w:sz w:val="22"/>
          <w:szCs w:val="22"/>
        </w:rPr>
      </w:pPr>
      <w:r w:rsidRPr="003A6529">
        <w:rPr>
          <w:sz w:val="22"/>
          <w:szCs w:val="22"/>
          <w:lang w:bidi="lv-LV"/>
        </w:rPr>
        <w:t xml:space="preserve">Dati par ietekmi uz cilvēka </w:t>
      </w:r>
      <w:proofErr w:type="spellStart"/>
      <w:r w:rsidRPr="003A6529">
        <w:rPr>
          <w:sz w:val="22"/>
          <w:szCs w:val="22"/>
          <w:lang w:bidi="lv-LV"/>
        </w:rPr>
        <w:t>fertilitāti</w:t>
      </w:r>
      <w:proofErr w:type="spellEnd"/>
      <w:r w:rsidRPr="003A6529">
        <w:rPr>
          <w:sz w:val="22"/>
          <w:szCs w:val="22"/>
          <w:lang w:bidi="lv-LV"/>
        </w:rPr>
        <w:t xml:space="preserve"> ir ierobežoti, taču bažas par </w:t>
      </w:r>
      <w:r w:rsidR="006E4FAF" w:rsidRPr="003A6529">
        <w:rPr>
          <w:sz w:val="22"/>
          <w:szCs w:val="22"/>
          <w:lang w:bidi="lv-LV"/>
        </w:rPr>
        <w:t xml:space="preserve">drošumu </w:t>
      </w:r>
      <w:r w:rsidRPr="003A6529">
        <w:rPr>
          <w:sz w:val="22"/>
          <w:szCs w:val="22"/>
          <w:lang w:bidi="lv-LV"/>
        </w:rPr>
        <w:t xml:space="preserve">nav radušās. </w:t>
      </w:r>
    </w:p>
    <w:p w14:paraId="6025BCEF" w14:textId="77777777" w:rsidR="00E167A4" w:rsidRPr="003A6529" w:rsidRDefault="00E167A4" w:rsidP="0054540F">
      <w:pPr>
        <w:rPr>
          <w:sz w:val="22"/>
          <w:szCs w:val="22"/>
        </w:rPr>
      </w:pPr>
      <w:r w:rsidRPr="003A6529">
        <w:rPr>
          <w:sz w:val="22"/>
          <w:szCs w:val="22"/>
          <w:lang w:bidi="lv-LV"/>
        </w:rPr>
        <w:t xml:space="preserve">Dati par dzīvniekiem neuzrāda iemeslu bažām par </w:t>
      </w:r>
      <w:r w:rsidR="006E4FAF" w:rsidRPr="003A6529">
        <w:rPr>
          <w:sz w:val="22"/>
          <w:szCs w:val="22"/>
          <w:lang w:bidi="lv-LV"/>
        </w:rPr>
        <w:t xml:space="preserve">drošumu </w:t>
      </w:r>
      <w:r w:rsidRPr="003A6529">
        <w:rPr>
          <w:sz w:val="22"/>
          <w:szCs w:val="22"/>
          <w:lang w:bidi="lv-LV"/>
        </w:rPr>
        <w:t>attiecībā uz cilvēka reprodukciju.</w:t>
      </w:r>
    </w:p>
    <w:p w14:paraId="22CE0474" w14:textId="77777777" w:rsidR="00E167A4" w:rsidRPr="003A6529" w:rsidRDefault="00E167A4" w:rsidP="00DC3F58">
      <w:pPr>
        <w:rPr>
          <w:noProof/>
          <w:sz w:val="22"/>
        </w:rPr>
      </w:pPr>
    </w:p>
    <w:p w14:paraId="548D91A2" w14:textId="77777777" w:rsidR="00E167A4" w:rsidRPr="003A6529" w:rsidRDefault="00E167A4" w:rsidP="00DC3F58">
      <w:pPr>
        <w:tabs>
          <w:tab w:val="left" w:pos="540"/>
        </w:tabs>
        <w:rPr>
          <w:noProof/>
          <w:sz w:val="22"/>
        </w:rPr>
      </w:pPr>
      <w:r w:rsidRPr="003A6529">
        <w:rPr>
          <w:b/>
          <w:noProof/>
          <w:sz w:val="22"/>
          <w:lang w:bidi="lv-LV"/>
        </w:rPr>
        <w:t>4.7.</w:t>
      </w:r>
      <w:r w:rsidRPr="003A6529">
        <w:rPr>
          <w:b/>
          <w:noProof/>
          <w:sz w:val="22"/>
          <w:lang w:bidi="lv-LV"/>
        </w:rPr>
        <w:tab/>
        <w:t xml:space="preserve">Ietekme uz spēju vadīt transportlīdzekļus un apkalpot mehānismus </w:t>
      </w:r>
    </w:p>
    <w:p w14:paraId="5618D63B" w14:textId="77777777" w:rsidR="00E167A4" w:rsidRPr="003A6529" w:rsidRDefault="00E167A4" w:rsidP="00DC3F58">
      <w:pPr>
        <w:pStyle w:val="BodyText2"/>
        <w:spacing w:line="240" w:lineRule="auto"/>
        <w:rPr>
          <w:b/>
          <w:noProof/>
          <w:sz w:val="22"/>
        </w:rPr>
      </w:pPr>
    </w:p>
    <w:p w14:paraId="11DF823C" w14:textId="77777777" w:rsidR="00E167A4" w:rsidRPr="003A6529" w:rsidRDefault="00C74E5F" w:rsidP="00DC3F58">
      <w:pPr>
        <w:tabs>
          <w:tab w:val="left" w:pos="540"/>
        </w:tabs>
        <w:rPr>
          <w:sz w:val="22"/>
          <w:szCs w:val="22"/>
        </w:rPr>
      </w:pPr>
      <w:r w:rsidRPr="003A6529">
        <w:rPr>
          <w:sz w:val="22"/>
          <w:szCs w:val="22"/>
          <w:lang w:bidi="lv-LV"/>
        </w:rPr>
        <w:t>Objektīva t</w:t>
      </w:r>
      <w:r w:rsidR="00E167A4" w:rsidRPr="003A6529">
        <w:rPr>
          <w:sz w:val="22"/>
          <w:szCs w:val="22"/>
          <w:lang w:bidi="lv-LV"/>
        </w:rPr>
        <w:t>ransportlīdzekļ</w:t>
      </w:r>
      <w:r w:rsidRPr="003A6529">
        <w:rPr>
          <w:sz w:val="22"/>
          <w:szCs w:val="22"/>
          <w:lang w:bidi="lv-LV"/>
        </w:rPr>
        <w:t>u</w:t>
      </w:r>
      <w:r w:rsidR="00E167A4" w:rsidRPr="003A6529">
        <w:rPr>
          <w:sz w:val="22"/>
          <w:szCs w:val="22"/>
          <w:lang w:bidi="lv-LV"/>
        </w:rPr>
        <w:t xml:space="preserve"> vadīšanas spēju, </w:t>
      </w:r>
      <w:r w:rsidR="00222EC2" w:rsidRPr="003A6529">
        <w:rPr>
          <w:sz w:val="22"/>
          <w:szCs w:val="22"/>
          <w:lang w:bidi="lv-LV"/>
        </w:rPr>
        <w:t>iemigšanas</w:t>
      </w:r>
      <w:r w:rsidR="00E167A4" w:rsidRPr="003A6529">
        <w:rPr>
          <w:sz w:val="22"/>
          <w:szCs w:val="22"/>
          <w:lang w:bidi="lv-LV"/>
        </w:rPr>
        <w:t xml:space="preserve"> un </w:t>
      </w:r>
      <w:r w:rsidR="00704607" w:rsidRPr="003A6529">
        <w:rPr>
          <w:sz w:val="22"/>
          <w:szCs w:val="22"/>
          <w:lang w:bidi="lv-LV"/>
        </w:rPr>
        <w:t>mehānismu</w:t>
      </w:r>
      <w:r w:rsidR="005C67F0" w:rsidRPr="003A6529">
        <w:rPr>
          <w:sz w:val="22"/>
          <w:szCs w:val="22"/>
          <w:lang w:bidi="lv-LV"/>
        </w:rPr>
        <w:t xml:space="preserve"> </w:t>
      </w:r>
      <w:r w:rsidR="00382236" w:rsidRPr="003A6529">
        <w:rPr>
          <w:sz w:val="22"/>
          <w:szCs w:val="22"/>
          <w:lang w:bidi="lv-LV"/>
        </w:rPr>
        <w:t xml:space="preserve">apkalpošanas spēju </w:t>
      </w:r>
      <w:r w:rsidRPr="003A6529">
        <w:rPr>
          <w:sz w:val="22"/>
          <w:szCs w:val="22"/>
          <w:lang w:bidi="lv-LV"/>
        </w:rPr>
        <w:t>noteikšana</w:t>
      </w:r>
      <w:r w:rsidR="00E167A4" w:rsidRPr="003A6529">
        <w:rPr>
          <w:sz w:val="22"/>
          <w:szCs w:val="22"/>
          <w:lang w:bidi="lv-LV"/>
        </w:rPr>
        <w:t xml:space="preserve"> neuzrādīja nekādu klīniski nozīmīgu </w:t>
      </w:r>
      <w:r w:rsidR="005C67F0" w:rsidRPr="003A6529">
        <w:rPr>
          <w:sz w:val="22"/>
          <w:szCs w:val="22"/>
          <w:lang w:bidi="lv-LV"/>
        </w:rPr>
        <w:t>ietekmi</w:t>
      </w:r>
      <w:r w:rsidR="00E167A4" w:rsidRPr="003A6529">
        <w:rPr>
          <w:sz w:val="22"/>
          <w:szCs w:val="22"/>
          <w:lang w:bidi="lv-LV"/>
        </w:rPr>
        <w:t xml:space="preserve">, lietojot zāles ieteicamajā devā, kas atbilst 10 mg. Tomēr pacientiem, kuriem </w:t>
      </w:r>
      <w:r w:rsidR="006B55F4" w:rsidRPr="003A6529">
        <w:rPr>
          <w:sz w:val="22"/>
          <w:szCs w:val="22"/>
          <w:lang w:bidi="lv-LV"/>
        </w:rPr>
        <w:t>novēro miegainību</w:t>
      </w:r>
      <w:r w:rsidR="00E167A4" w:rsidRPr="003A6529">
        <w:rPr>
          <w:sz w:val="22"/>
          <w:szCs w:val="22"/>
          <w:lang w:bidi="lv-LV"/>
        </w:rPr>
        <w:t xml:space="preserve">, jāatturas no transportlīdzekļu vadīšanas, iesaistīšanās iespējami bīstamās aktivitātēs vai mehānismu apkalpošanā. Šie pacienti nedrīkst pārsniegt ieteicamo devu un viņiem jāņem vērā novērotā atbildes reakcija uz </w:t>
      </w:r>
      <w:r w:rsidR="00CB3CCC" w:rsidRPr="003A6529">
        <w:rPr>
          <w:sz w:val="22"/>
          <w:szCs w:val="22"/>
          <w:lang w:bidi="lv-LV"/>
        </w:rPr>
        <w:t>šo zāļu lietošanu</w:t>
      </w:r>
      <w:r w:rsidR="00E167A4" w:rsidRPr="003A6529">
        <w:rPr>
          <w:sz w:val="22"/>
          <w:szCs w:val="22"/>
          <w:lang w:bidi="lv-LV"/>
        </w:rPr>
        <w:t xml:space="preserve">. </w:t>
      </w:r>
    </w:p>
    <w:p w14:paraId="4693E162" w14:textId="77777777" w:rsidR="00E167A4" w:rsidRPr="003A6529" w:rsidRDefault="00E167A4" w:rsidP="00DC3F58">
      <w:pPr>
        <w:tabs>
          <w:tab w:val="left" w:pos="540"/>
        </w:tabs>
        <w:rPr>
          <w:b/>
          <w:noProof/>
          <w:sz w:val="22"/>
          <w:szCs w:val="22"/>
        </w:rPr>
      </w:pPr>
    </w:p>
    <w:p w14:paraId="323A3F2C" w14:textId="77777777" w:rsidR="00E167A4" w:rsidRPr="003A6529" w:rsidRDefault="00E167A4" w:rsidP="00DC3F58">
      <w:pPr>
        <w:tabs>
          <w:tab w:val="left" w:pos="540"/>
        </w:tabs>
        <w:rPr>
          <w:noProof/>
          <w:sz w:val="22"/>
          <w:szCs w:val="22"/>
          <w:lang w:val="en-US"/>
        </w:rPr>
      </w:pPr>
      <w:r w:rsidRPr="003A6529">
        <w:rPr>
          <w:b/>
          <w:noProof/>
          <w:sz w:val="22"/>
          <w:szCs w:val="22"/>
          <w:lang w:bidi="lv-LV"/>
        </w:rPr>
        <w:t>4.8.</w:t>
      </w:r>
      <w:r w:rsidRPr="003A6529">
        <w:rPr>
          <w:b/>
          <w:noProof/>
          <w:sz w:val="22"/>
          <w:szCs w:val="22"/>
          <w:lang w:bidi="lv-LV"/>
        </w:rPr>
        <w:tab/>
        <w:t>Nevēlamās blakusparādības</w:t>
      </w:r>
    </w:p>
    <w:p w14:paraId="7F965B44" w14:textId="77777777" w:rsidR="00E167A4" w:rsidRPr="003A6529" w:rsidRDefault="00E167A4" w:rsidP="00DC3F58">
      <w:pPr>
        <w:widowControl w:val="0"/>
        <w:autoSpaceDE w:val="0"/>
        <w:autoSpaceDN w:val="0"/>
        <w:adjustRightInd w:val="0"/>
        <w:rPr>
          <w:noProof/>
          <w:color w:val="000000"/>
          <w:sz w:val="22"/>
          <w:szCs w:val="22"/>
          <w:lang w:val="en-US"/>
        </w:rPr>
      </w:pPr>
    </w:p>
    <w:p w14:paraId="46382934" w14:textId="77777777" w:rsidR="00E167A4" w:rsidRPr="003A6529" w:rsidRDefault="00E167A4" w:rsidP="009548A1">
      <w:pPr>
        <w:widowControl w:val="0"/>
        <w:autoSpaceDE w:val="0"/>
        <w:autoSpaceDN w:val="0"/>
        <w:adjustRightInd w:val="0"/>
        <w:rPr>
          <w:noProof/>
          <w:color w:val="000000"/>
          <w:sz w:val="22"/>
          <w:szCs w:val="22"/>
          <w:u w:val="single"/>
          <w:lang w:bidi="lv-LV"/>
        </w:rPr>
      </w:pPr>
      <w:r w:rsidRPr="003A6529">
        <w:rPr>
          <w:noProof/>
          <w:color w:val="000000"/>
          <w:sz w:val="22"/>
          <w:szCs w:val="22"/>
          <w:u w:val="single"/>
          <w:lang w:bidi="lv-LV"/>
        </w:rPr>
        <w:t>Klīniskie pētījumi</w:t>
      </w:r>
    </w:p>
    <w:p w14:paraId="73918023" w14:textId="77777777" w:rsidR="00AF292A" w:rsidRPr="003A6529" w:rsidRDefault="00AF292A" w:rsidP="009548A1">
      <w:pPr>
        <w:widowControl w:val="0"/>
        <w:autoSpaceDE w:val="0"/>
        <w:autoSpaceDN w:val="0"/>
        <w:adjustRightInd w:val="0"/>
        <w:rPr>
          <w:noProof/>
          <w:color w:val="000000"/>
          <w:sz w:val="22"/>
          <w:szCs w:val="22"/>
          <w:u w:val="single"/>
          <w:lang w:val="en-US"/>
        </w:rPr>
      </w:pPr>
    </w:p>
    <w:p w14:paraId="2FEDAD29" w14:textId="77777777" w:rsidR="00E167A4" w:rsidRPr="003A6529" w:rsidRDefault="00E167A4" w:rsidP="009548A1">
      <w:pPr>
        <w:pStyle w:val="ListParagraph"/>
        <w:widowControl w:val="0"/>
        <w:numPr>
          <w:ilvl w:val="0"/>
          <w:numId w:val="5"/>
        </w:numPr>
        <w:autoSpaceDE w:val="0"/>
        <w:autoSpaceDN w:val="0"/>
        <w:adjustRightInd w:val="0"/>
        <w:rPr>
          <w:i/>
          <w:noProof/>
          <w:color w:val="000000"/>
          <w:sz w:val="22"/>
          <w:szCs w:val="22"/>
          <w:lang w:val="en-US"/>
        </w:rPr>
      </w:pPr>
      <w:r w:rsidRPr="003A6529">
        <w:rPr>
          <w:i/>
          <w:noProof/>
          <w:color w:val="000000"/>
          <w:sz w:val="22"/>
          <w:szCs w:val="22"/>
          <w:lang w:bidi="lv-LV"/>
        </w:rPr>
        <w:t>Pārskats</w:t>
      </w:r>
    </w:p>
    <w:p w14:paraId="4C18CDD8" w14:textId="77777777" w:rsidR="00E167A4" w:rsidRPr="003A6529" w:rsidRDefault="00E167A4" w:rsidP="00DC3F58">
      <w:pPr>
        <w:widowControl w:val="0"/>
        <w:autoSpaceDE w:val="0"/>
        <w:autoSpaceDN w:val="0"/>
        <w:adjustRightInd w:val="0"/>
        <w:rPr>
          <w:noProof/>
          <w:color w:val="000000"/>
          <w:sz w:val="22"/>
          <w:szCs w:val="22"/>
          <w:lang w:val="en-US"/>
        </w:rPr>
      </w:pPr>
    </w:p>
    <w:p w14:paraId="6E9DAA0A" w14:textId="77777777" w:rsidR="00E167A4" w:rsidRPr="003A6529" w:rsidRDefault="00E167A4" w:rsidP="00DC3F58">
      <w:pPr>
        <w:widowControl w:val="0"/>
        <w:autoSpaceDE w:val="0"/>
        <w:autoSpaceDN w:val="0"/>
        <w:adjustRightInd w:val="0"/>
        <w:rPr>
          <w:noProof/>
          <w:color w:val="000000"/>
          <w:sz w:val="22"/>
          <w:szCs w:val="22"/>
        </w:rPr>
      </w:pPr>
      <w:r w:rsidRPr="003A6529">
        <w:rPr>
          <w:noProof/>
          <w:color w:val="000000"/>
          <w:sz w:val="22"/>
          <w:szCs w:val="22"/>
          <w:lang w:bidi="lv-LV"/>
        </w:rPr>
        <w:t xml:space="preserve">Klīniskajos pētījumos konstatēts, ka cetirizīna lietošanai ieteicamajās devās ir minimāla nevēlama ietekme uz CNS, kas ietver miegainību, nogurumu, reiboni un galvassāpes. Dažos gadījumos ziņots </w:t>
      </w:r>
      <w:r w:rsidRPr="003A6529">
        <w:rPr>
          <w:noProof/>
          <w:color w:val="000000"/>
          <w:sz w:val="22"/>
          <w:szCs w:val="22"/>
          <w:lang w:bidi="lv-LV"/>
        </w:rPr>
        <w:lastRenderedPageBreak/>
        <w:t>par paradoksālu CNS stimulāciju.</w:t>
      </w:r>
    </w:p>
    <w:p w14:paraId="319121EB" w14:textId="77777777" w:rsidR="00E167A4" w:rsidRPr="003A6529" w:rsidRDefault="00E167A4" w:rsidP="00DC3F58">
      <w:pPr>
        <w:widowControl w:val="0"/>
        <w:autoSpaceDE w:val="0"/>
        <w:autoSpaceDN w:val="0"/>
        <w:adjustRightInd w:val="0"/>
        <w:rPr>
          <w:noProof/>
          <w:color w:val="000000"/>
          <w:sz w:val="22"/>
          <w:szCs w:val="22"/>
        </w:rPr>
      </w:pPr>
    </w:p>
    <w:p w14:paraId="27CEF795" w14:textId="77777777" w:rsidR="00E167A4" w:rsidRPr="003A6529" w:rsidRDefault="00E167A4" w:rsidP="00DC3F58">
      <w:pPr>
        <w:widowControl w:val="0"/>
        <w:autoSpaceDE w:val="0"/>
        <w:autoSpaceDN w:val="0"/>
        <w:adjustRightInd w:val="0"/>
        <w:rPr>
          <w:noProof/>
          <w:color w:val="000000"/>
          <w:sz w:val="22"/>
          <w:szCs w:val="22"/>
        </w:rPr>
      </w:pPr>
      <w:r w:rsidRPr="003A6529">
        <w:rPr>
          <w:noProof/>
          <w:color w:val="000000"/>
          <w:sz w:val="22"/>
          <w:szCs w:val="22"/>
          <w:lang w:bidi="lv-LV"/>
        </w:rPr>
        <w:t>Kaut arī cetirizīns ir selektīvs perifēro H</w:t>
      </w:r>
      <w:r w:rsidRPr="003A6529">
        <w:rPr>
          <w:noProof/>
          <w:color w:val="000000"/>
          <w:sz w:val="22"/>
          <w:szCs w:val="22"/>
          <w:vertAlign w:val="subscript"/>
          <w:lang w:bidi="lv-LV"/>
        </w:rPr>
        <w:t>1</w:t>
      </w:r>
      <w:r w:rsidRPr="003A6529">
        <w:rPr>
          <w:noProof/>
          <w:color w:val="000000"/>
          <w:sz w:val="22"/>
          <w:szCs w:val="22"/>
          <w:lang w:bidi="lv-LV"/>
        </w:rPr>
        <w:t xml:space="preserve"> receptoru antagonists un tam principā nav antiholīnerģiskas aktivitātes, atsevišķos gadījumos ziņots par urinēšanas grūtībām, acu akomodācijas traucējumiem un sausu muti.</w:t>
      </w:r>
    </w:p>
    <w:p w14:paraId="49FCE658" w14:textId="77777777" w:rsidR="00E167A4" w:rsidRPr="003A6529" w:rsidRDefault="00E167A4" w:rsidP="00DC3F58">
      <w:pPr>
        <w:widowControl w:val="0"/>
        <w:autoSpaceDE w:val="0"/>
        <w:autoSpaceDN w:val="0"/>
        <w:adjustRightInd w:val="0"/>
        <w:rPr>
          <w:noProof/>
          <w:color w:val="000000"/>
          <w:sz w:val="22"/>
          <w:szCs w:val="22"/>
        </w:rPr>
      </w:pPr>
    </w:p>
    <w:p w14:paraId="061DA84C" w14:textId="6FB570FA" w:rsidR="00E167A4" w:rsidRPr="003A6529" w:rsidRDefault="00E167A4" w:rsidP="00DC3F58">
      <w:pPr>
        <w:widowControl w:val="0"/>
        <w:autoSpaceDE w:val="0"/>
        <w:autoSpaceDN w:val="0"/>
        <w:adjustRightInd w:val="0"/>
        <w:rPr>
          <w:noProof/>
          <w:color w:val="000000"/>
          <w:sz w:val="22"/>
          <w:szCs w:val="22"/>
        </w:rPr>
      </w:pPr>
      <w:r w:rsidRPr="003A6529">
        <w:rPr>
          <w:sz w:val="22"/>
          <w:szCs w:val="22"/>
          <w:lang w:bidi="lv-LV"/>
        </w:rPr>
        <w:t xml:space="preserve">Ziņots par gadījumiem, kuros konstatēta traucēta aknu </w:t>
      </w:r>
      <w:r w:rsidR="00D65A67" w:rsidRPr="003A6529">
        <w:rPr>
          <w:sz w:val="22"/>
          <w:szCs w:val="22"/>
          <w:lang w:bidi="lv-LV"/>
        </w:rPr>
        <w:t xml:space="preserve">darbība </w:t>
      </w:r>
      <w:r w:rsidRPr="003A6529">
        <w:rPr>
          <w:sz w:val="22"/>
          <w:szCs w:val="22"/>
          <w:lang w:bidi="lv-LV"/>
        </w:rPr>
        <w:t xml:space="preserve">ar </w:t>
      </w:r>
      <w:r w:rsidR="00D65A67" w:rsidRPr="003A6529">
        <w:rPr>
          <w:sz w:val="22"/>
          <w:szCs w:val="22"/>
          <w:lang w:bidi="lv-LV"/>
        </w:rPr>
        <w:t xml:space="preserve">paaugstinātiem </w:t>
      </w:r>
      <w:r w:rsidRPr="003A6529">
        <w:rPr>
          <w:sz w:val="22"/>
          <w:szCs w:val="22"/>
          <w:lang w:bidi="lv-LV"/>
        </w:rPr>
        <w:t xml:space="preserve">aknu enzīmu </w:t>
      </w:r>
      <w:r w:rsidR="00D65A67" w:rsidRPr="003A6529">
        <w:rPr>
          <w:sz w:val="22"/>
          <w:szCs w:val="22"/>
          <w:lang w:bidi="lv-LV"/>
        </w:rPr>
        <w:t xml:space="preserve">līmeņiem </w:t>
      </w:r>
      <w:r w:rsidRPr="003A6529">
        <w:rPr>
          <w:sz w:val="22"/>
          <w:szCs w:val="22"/>
          <w:lang w:bidi="lv-LV"/>
        </w:rPr>
        <w:t xml:space="preserve">kombinācijā ar </w:t>
      </w:r>
      <w:r w:rsidR="008634CB" w:rsidRPr="003A6529">
        <w:rPr>
          <w:sz w:val="22"/>
          <w:szCs w:val="22"/>
          <w:lang w:bidi="lv-LV"/>
        </w:rPr>
        <w:t xml:space="preserve">paaugstinātu </w:t>
      </w:r>
      <w:proofErr w:type="spellStart"/>
      <w:r w:rsidRPr="003A6529">
        <w:rPr>
          <w:sz w:val="22"/>
          <w:szCs w:val="22"/>
          <w:lang w:bidi="lv-LV"/>
        </w:rPr>
        <w:t>bilirubīna</w:t>
      </w:r>
      <w:proofErr w:type="spellEnd"/>
      <w:r w:rsidRPr="003A6529">
        <w:rPr>
          <w:sz w:val="22"/>
          <w:szCs w:val="22"/>
          <w:lang w:bidi="lv-LV"/>
        </w:rPr>
        <w:t xml:space="preserve"> līmeni asinīs. Vairumā gadījumu, pārtraucot terapij</w:t>
      </w:r>
      <w:r w:rsidR="001E4DB6">
        <w:rPr>
          <w:sz w:val="22"/>
          <w:szCs w:val="22"/>
          <w:lang w:bidi="lv-LV"/>
        </w:rPr>
        <w:t>u</w:t>
      </w:r>
      <w:r w:rsidRPr="003A6529">
        <w:rPr>
          <w:sz w:val="22"/>
          <w:szCs w:val="22"/>
          <w:lang w:bidi="lv-LV"/>
        </w:rPr>
        <w:t xml:space="preserve"> </w:t>
      </w:r>
      <w:r w:rsidR="001E4DB6">
        <w:rPr>
          <w:sz w:val="22"/>
          <w:szCs w:val="22"/>
          <w:lang w:bidi="lv-LV"/>
        </w:rPr>
        <w:t>ar</w:t>
      </w:r>
      <w:r w:rsidRPr="003A6529">
        <w:rPr>
          <w:sz w:val="22"/>
          <w:szCs w:val="22"/>
          <w:lang w:bidi="lv-LV"/>
        </w:rPr>
        <w:t xml:space="preserve"> </w:t>
      </w:r>
      <w:proofErr w:type="spellStart"/>
      <w:r w:rsidRPr="003A6529">
        <w:rPr>
          <w:sz w:val="22"/>
          <w:szCs w:val="22"/>
          <w:lang w:bidi="lv-LV"/>
        </w:rPr>
        <w:t>cetirizīna</w:t>
      </w:r>
      <w:proofErr w:type="spellEnd"/>
      <w:r w:rsidRPr="003A6529">
        <w:rPr>
          <w:sz w:val="22"/>
          <w:szCs w:val="22"/>
          <w:lang w:bidi="lv-LV"/>
        </w:rPr>
        <w:t xml:space="preserve"> </w:t>
      </w:r>
      <w:proofErr w:type="spellStart"/>
      <w:r w:rsidRPr="003A6529">
        <w:rPr>
          <w:sz w:val="22"/>
          <w:szCs w:val="22"/>
          <w:lang w:bidi="lv-LV"/>
        </w:rPr>
        <w:t>dihidrohlorīdu</w:t>
      </w:r>
      <w:proofErr w:type="spellEnd"/>
      <w:r w:rsidRPr="003A6529">
        <w:rPr>
          <w:sz w:val="22"/>
          <w:szCs w:val="22"/>
          <w:lang w:bidi="lv-LV"/>
        </w:rPr>
        <w:t xml:space="preserve">, šie traucējumi izzūd. </w:t>
      </w:r>
    </w:p>
    <w:p w14:paraId="3ACE156C" w14:textId="77777777" w:rsidR="00E167A4" w:rsidRPr="003A6529" w:rsidRDefault="00E167A4" w:rsidP="00DC3F58">
      <w:pPr>
        <w:widowControl w:val="0"/>
        <w:autoSpaceDE w:val="0"/>
        <w:autoSpaceDN w:val="0"/>
        <w:adjustRightInd w:val="0"/>
        <w:rPr>
          <w:noProof/>
          <w:color w:val="000000"/>
          <w:sz w:val="22"/>
          <w:szCs w:val="22"/>
        </w:rPr>
      </w:pPr>
    </w:p>
    <w:p w14:paraId="0F18915A" w14:textId="77777777" w:rsidR="00E167A4" w:rsidRPr="003A6529" w:rsidRDefault="00E167A4" w:rsidP="0082633A">
      <w:pPr>
        <w:pStyle w:val="ListParagraph"/>
        <w:widowControl w:val="0"/>
        <w:numPr>
          <w:ilvl w:val="0"/>
          <w:numId w:val="5"/>
        </w:numPr>
        <w:autoSpaceDE w:val="0"/>
        <w:autoSpaceDN w:val="0"/>
        <w:adjustRightInd w:val="0"/>
        <w:rPr>
          <w:i/>
          <w:noProof/>
          <w:color w:val="000000"/>
          <w:sz w:val="22"/>
          <w:szCs w:val="22"/>
          <w:lang w:val="en-US"/>
        </w:rPr>
      </w:pPr>
      <w:r w:rsidRPr="003A6529">
        <w:rPr>
          <w:i/>
          <w:noProof/>
          <w:color w:val="000000"/>
          <w:sz w:val="22"/>
          <w:szCs w:val="22"/>
          <w:lang w:bidi="lv-LV"/>
        </w:rPr>
        <w:t>Nevēlamo blakusparādību saraksts</w:t>
      </w:r>
    </w:p>
    <w:p w14:paraId="3C8CD741" w14:textId="77777777" w:rsidR="00E167A4" w:rsidRPr="003A6529" w:rsidRDefault="00E167A4" w:rsidP="00DC3F58">
      <w:pPr>
        <w:widowControl w:val="0"/>
        <w:autoSpaceDE w:val="0"/>
        <w:autoSpaceDN w:val="0"/>
        <w:adjustRightInd w:val="0"/>
        <w:ind w:left="360"/>
        <w:rPr>
          <w:noProof/>
          <w:color w:val="000000"/>
          <w:sz w:val="22"/>
          <w:szCs w:val="22"/>
          <w:lang w:val="en-US"/>
        </w:rPr>
      </w:pPr>
    </w:p>
    <w:p w14:paraId="022A9CE1" w14:textId="77777777" w:rsidR="00E167A4" w:rsidRPr="003A6529" w:rsidRDefault="00E167A4" w:rsidP="0082633A">
      <w:pPr>
        <w:widowControl w:val="0"/>
        <w:autoSpaceDE w:val="0"/>
        <w:autoSpaceDN w:val="0"/>
        <w:adjustRightInd w:val="0"/>
        <w:rPr>
          <w:noProof/>
          <w:color w:val="000000"/>
          <w:sz w:val="22"/>
          <w:szCs w:val="22"/>
          <w:lang w:val="en-US"/>
        </w:rPr>
      </w:pPr>
      <w:r w:rsidRPr="003A6529">
        <w:rPr>
          <w:noProof/>
          <w:color w:val="000000"/>
          <w:sz w:val="22"/>
          <w:szCs w:val="22"/>
          <w:lang w:bidi="lv-LV"/>
        </w:rPr>
        <w:t xml:space="preserve">Dubultaklos kontrolētos klīniskajos pētījumos, kuros cetirizīns tika salīdzināts ar placebo un citiem antihistamīniem ieteicamajās devās (10 mg cetirizīnam) un kuriem pieejami kvantitatīvi dati par </w:t>
      </w:r>
      <w:r w:rsidR="00437E00" w:rsidRPr="003A6529">
        <w:rPr>
          <w:noProof/>
          <w:color w:val="000000"/>
          <w:sz w:val="22"/>
          <w:szCs w:val="22"/>
          <w:lang w:bidi="lv-LV"/>
        </w:rPr>
        <w:t>drošumu</w:t>
      </w:r>
      <w:r w:rsidRPr="003A6529">
        <w:rPr>
          <w:noProof/>
          <w:color w:val="000000"/>
          <w:sz w:val="22"/>
          <w:szCs w:val="22"/>
          <w:lang w:bidi="lv-LV"/>
        </w:rPr>
        <w:t xml:space="preserve">, tika iekļauti vairāk nekā 3200 pacienti, kuri lietoja cetirizīnu. </w:t>
      </w:r>
    </w:p>
    <w:p w14:paraId="37D1030F" w14:textId="77777777" w:rsidR="00E167A4" w:rsidRPr="003A6529" w:rsidRDefault="00E167A4" w:rsidP="00DC3F58">
      <w:pPr>
        <w:widowControl w:val="0"/>
        <w:autoSpaceDE w:val="0"/>
        <w:autoSpaceDN w:val="0"/>
        <w:adjustRightInd w:val="0"/>
        <w:rPr>
          <w:noProof/>
          <w:color w:val="000000"/>
          <w:sz w:val="22"/>
          <w:szCs w:val="22"/>
          <w:lang w:val="en-US"/>
        </w:rPr>
      </w:pPr>
      <w:r w:rsidRPr="003A6529">
        <w:rPr>
          <w:noProof/>
          <w:color w:val="000000"/>
          <w:sz w:val="22"/>
          <w:szCs w:val="22"/>
          <w:lang w:bidi="lv-LV"/>
        </w:rPr>
        <w:t>Izmantojot šo datu kopu, placebo kontrolētos pētījumos, kuros cetirizīns tika lietots 10 mg devā, ar biežumu 1,0% vai biežāk tika ziņots par turpmāk uzskaitītajām cetirizīna nevēlamajām blakusparādībām:</w:t>
      </w:r>
    </w:p>
    <w:p w14:paraId="686F2D71" w14:textId="77777777" w:rsidR="00E167A4" w:rsidRPr="003A6529" w:rsidRDefault="00E167A4" w:rsidP="009B77C8">
      <w:pPr>
        <w:widowControl w:val="0"/>
        <w:autoSpaceDE w:val="0"/>
        <w:autoSpaceDN w:val="0"/>
        <w:adjustRightInd w:val="0"/>
        <w:rPr>
          <w:noProof/>
          <w:color w:val="000000"/>
          <w:sz w:val="22"/>
          <w:szCs w:val="22"/>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2209"/>
        <w:gridCol w:w="2160"/>
      </w:tblGrid>
      <w:tr w:rsidR="00E167A4" w:rsidRPr="003A6529" w14:paraId="2F84BDD1" w14:textId="77777777" w:rsidTr="00CE6AD0">
        <w:trPr>
          <w:cantSplit/>
          <w:trHeight w:val="570"/>
          <w:tblHeader/>
        </w:trPr>
        <w:tc>
          <w:tcPr>
            <w:tcW w:w="4559" w:type="dxa"/>
          </w:tcPr>
          <w:p w14:paraId="0C2F347A" w14:textId="77777777" w:rsidR="00E167A4" w:rsidRPr="003A6529" w:rsidRDefault="00E167A4" w:rsidP="0082633A">
            <w:pPr>
              <w:widowControl w:val="0"/>
              <w:jc w:val="center"/>
              <w:rPr>
                <w:b/>
                <w:bCs/>
                <w:noProof/>
                <w:lang w:val="en-US"/>
              </w:rPr>
            </w:pPr>
            <w:r w:rsidRPr="003A6529">
              <w:rPr>
                <w:b/>
                <w:noProof/>
                <w:sz w:val="22"/>
                <w:szCs w:val="22"/>
                <w:lang w:bidi="lv-LV"/>
              </w:rPr>
              <w:t>Nevēlamās blakusparādības</w:t>
            </w:r>
          </w:p>
          <w:p w14:paraId="09FCD96E" w14:textId="77777777" w:rsidR="00E167A4" w:rsidRPr="003A6529" w:rsidRDefault="00E167A4" w:rsidP="00C14BD8">
            <w:pPr>
              <w:widowControl w:val="0"/>
              <w:jc w:val="center"/>
              <w:rPr>
                <w:i/>
                <w:iCs/>
                <w:noProof/>
                <w:lang w:val="en-US"/>
              </w:rPr>
            </w:pPr>
            <w:r w:rsidRPr="003A6529">
              <w:rPr>
                <w:b/>
                <w:noProof/>
                <w:sz w:val="22"/>
                <w:szCs w:val="22"/>
                <w:lang w:bidi="lv-LV"/>
              </w:rPr>
              <w:t>(WHO-ART)</w:t>
            </w:r>
          </w:p>
        </w:tc>
        <w:tc>
          <w:tcPr>
            <w:tcW w:w="2209" w:type="dxa"/>
          </w:tcPr>
          <w:p w14:paraId="442E11C6" w14:textId="77777777" w:rsidR="00E167A4" w:rsidRPr="003A6529" w:rsidRDefault="00E167A4" w:rsidP="00081878">
            <w:pPr>
              <w:widowControl w:val="0"/>
              <w:jc w:val="center"/>
              <w:rPr>
                <w:b/>
                <w:iCs/>
                <w:noProof/>
                <w:lang w:val="en-US"/>
              </w:rPr>
            </w:pPr>
            <w:r w:rsidRPr="003A6529">
              <w:rPr>
                <w:b/>
                <w:noProof/>
                <w:sz w:val="22"/>
                <w:szCs w:val="22"/>
                <w:lang w:bidi="lv-LV"/>
              </w:rPr>
              <w:t>Cetirizīns 10 mg</w:t>
            </w:r>
          </w:p>
          <w:p w14:paraId="366CB757" w14:textId="77777777" w:rsidR="00E167A4" w:rsidRPr="003A6529" w:rsidRDefault="00E167A4" w:rsidP="00B82406">
            <w:pPr>
              <w:widowControl w:val="0"/>
              <w:jc w:val="center"/>
              <w:rPr>
                <w:i/>
                <w:iCs/>
                <w:noProof/>
                <w:lang w:val="en-US"/>
              </w:rPr>
            </w:pPr>
            <w:r w:rsidRPr="003A6529">
              <w:rPr>
                <w:b/>
                <w:noProof/>
                <w:sz w:val="22"/>
                <w:szCs w:val="22"/>
                <w:lang w:bidi="lv-LV"/>
              </w:rPr>
              <w:t>(n = 3260)</w:t>
            </w:r>
          </w:p>
        </w:tc>
        <w:tc>
          <w:tcPr>
            <w:tcW w:w="2160" w:type="dxa"/>
          </w:tcPr>
          <w:p w14:paraId="03C2595A" w14:textId="77777777" w:rsidR="00E167A4" w:rsidRPr="003A6529" w:rsidRDefault="00E167A4">
            <w:pPr>
              <w:widowControl w:val="0"/>
              <w:jc w:val="center"/>
              <w:rPr>
                <w:b/>
                <w:iCs/>
                <w:noProof/>
                <w:lang w:val="en-US"/>
              </w:rPr>
            </w:pPr>
            <w:r w:rsidRPr="003A6529">
              <w:rPr>
                <w:b/>
                <w:noProof/>
                <w:sz w:val="22"/>
                <w:szCs w:val="22"/>
                <w:lang w:bidi="lv-LV"/>
              </w:rPr>
              <w:t>Placebo</w:t>
            </w:r>
          </w:p>
          <w:p w14:paraId="51EA95E1" w14:textId="77777777" w:rsidR="00E167A4" w:rsidRPr="003A6529" w:rsidRDefault="00E167A4">
            <w:pPr>
              <w:widowControl w:val="0"/>
              <w:jc w:val="center"/>
              <w:rPr>
                <w:i/>
                <w:iCs/>
                <w:noProof/>
                <w:lang w:val="en-US"/>
              </w:rPr>
            </w:pPr>
            <w:r w:rsidRPr="003A6529">
              <w:rPr>
                <w:b/>
                <w:noProof/>
                <w:sz w:val="22"/>
                <w:szCs w:val="22"/>
                <w:lang w:bidi="lv-LV"/>
              </w:rPr>
              <w:t>(n = 3061)</w:t>
            </w:r>
          </w:p>
        </w:tc>
      </w:tr>
      <w:tr w:rsidR="00E167A4" w:rsidRPr="003A6529" w14:paraId="44BAED7E" w14:textId="77777777" w:rsidTr="00CE6AD0">
        <w:trPr>
          <w:cantSplit/>
          <w:trHeight w:val="570"/>
          <w:tblHeader/>
        </w:trPr>
        <w:tc>
          <w:tcPr>
            <w:tcW w:w="4559" w:type="dxa"/>
          </w:tcPr>
          <w:p w14:paraId="1272D60B" w14:textId="77777777" w:rsidR="00E167A4" w:rsidRPr="003A6529" w:rsidRDefault="00E167A4" w:rsidP="00B77392">
            <w:pPr>
              <w:widowControl w:val="0"/>
              <w:rPr>
                <w:i/>
                <w:iCs/>
              </w:rPr>
            </w:pPr>
            <w:r w:rsidRPr="003A6529">
              <w:rPr>
                <w:i/>
                <w:sz w:val="22"/>
                <w:szCs w:val="22"/>
                <w:lang w:bidi="lv-LV"/>
              </w:rPr>
              <w:t>Vispārēji traucējumi un reakcijas ievadīšanas vietā</w:t>
            </w:r>
          </w:p>
          <w:p w14:paraId="5A8A12AD" w14:textId="77777777" w:rsidR="00E167A4" w:rsidRPr="003A6529" w:rsidRDefault="00E167A4" w:rsidP="003D7332">
            <w:pPr>
              <w:widowControl w:val="0"/>
              <w:rPr>
                <w:b/>
                <w:bCs/>
                <w:noProof/>
                <w:lang w:val="en-US"/>
              </w:rPr>
            </w:pPr>
            <w:r w:rsidRPr="003A6529">
              <w:rPr>
                <w:sz w:val="22"/>
                <w:szCs w:val="22"/>
                <w:lang w:bidi="lv-LV"/>
              </w:rPr>
              <w:t>Nogurums</w:t>
            </w:r>
          </w:p>
        </w:tc>
        <w:tc>
          <w:tcPr>
            <w:tcW w:w="2209" w:type="dxa"/>
          </w:tcPr>
          <w:p w14:paraId="7DFB56E7" w14:textId="77777777" w:rsidR="00E167A4" w:rsidRPr="003A6529" w:rsidRDefault="00E167A4" w:rsidP="00B77392">
            <w:pPr>
              <w:widowControl w:val="0"/>
              <w:jc w:val="center"/>
              <w:rPr>
                <w:iCs/>
                <w:lang w:val="en-US"/>
              </w:rPr>
            </w:pPr>
          </w:p>
          <w:p w14:paraId="2E41D6E0" w14:textId="77777777" w:rsidR="00E167A4" w:rsidRPr="003A6529" w:rsidRDefault="00E167A4" w:rsidP="00B77392">
            <w:pPr>
              <w:widowControl w:val="0"/>
              <w:jc w:val="center"/>
              <w:rPr>
                <w:iCs/>
                <w:lang w:val="en-US"/>
              </w:rPr>
            </w:pPr>
          </w:p>
          <w:p w14:paraId="2EDD2C10" w14:textId="77777777" w:rsidR="00E167A4" w:rsidRPr="003A6529" w:rsidRDefault="00E167A4" w:rsidP="00081878">
            <w:pPr>
              <w:widowControl w:val="0"/>
              <w:jc w:val="center"/>
              <w:rPr>
                <w:b/>
                <w:bCs/>
                <w:noProof/>
                <w:lang w:val="en-US"/>
              </w:rPr>
            </w:pPr>
            <w:r w:rsidRPr="003A6529">
              <w:rPr>
                <w:sz w:val="22"/>
                <w:szCs w:val="22"/>
                <w:lang w:bidi="lv-LV"/>
              </w:rPr>
              <w:t>1,63%</w:t>
            </w:r>
          </w:p>
        </w:tc>
        <w:tc>
          <w:tcPr>
            <w:tcW w:w="2160" w:type="dxa"/>
          </w:tcPr>
          <w:p w14:paraId="75F02FBC" w14:textId="77777777" w:rsidR="00E167A4" w:rsidRPr="003A6529" w:rsidRDefault="00E167A4" w:rsidP="00B77392">
            <w:pPr>
              <w:widowControl w:val="0"/>
              <w:jc w:val="center"/>
              <w:rPr>
                <w:iCs/>
                <w:lang w:val="en-US"/>
              </w:rPr>
            </w:pPr>
          </w:p>
          <w:p w14:paraId="1A643BE8" w14:textId="77777777" w:rsidR="00E167A4" w:rsidRPr="003A6529" w:rsidRDefault="00E167A4" w:rsidP="00B77392">
            <w:pPr>
              <w:widowControl w:val="0"/>
              <w:jc w:val="center"/>
              <w:rPr>
                <w:iCs/>
                <w:lang w:val="en-US"/>
              </w:rPr>
            </w:pPr>
          </w:p>
          <w:p w14:paraId="125AE975" w14:textId="77777777" w:rsidR="00E167A4" w:rsidRPr="003A6529" w:rsidRDefault="00E167A4">
            <w:pPr>
              <w:widowControl w:val="0"/>
              <w:jc w:val="center"/>
              <w:rPr>
                <w:b/>
                <w:bCs/>
                <w:noProof/>
                <w:lang w:val="en-US"/>
              </w:rPr>
            </w:pPr>
            <w:r w:rsidRPr="003A6529">
              <w:rPr>
                <w:sz w:val="22"/>
                <w:szCs w:val="22"/>
                <w:lang w:bidi="lv-LV"/>
              </w:rPr>
              <w:t>0,95%</w:t>
            </w:r>
          </w:p>
        </w:tc>
      </w:tr>
      <w:tr w:rsidR="00E167A4" w:rsidRPr="003A6529" w14:paraId="0073A2F8" w14:textId="77777777" w:rsidTr="00CE6AD0">
        <w:trPr>
          <w:cantSplit/>
          <w:trHeight w:val="570"/>
          <w:tblHeader/>
        </w:trPr>
        <w:tc>
          <w:tcPr>
            <w:tcW w:w="4559" w:type="dxa"/>
          </w:tcPr>
          <w:p w14:paraId="5235D942" w14:textId="77777777" w:rsidR="00E167A4" w:rsidRPr="003A6529" w:rsidRDefault="00E167A4" w:rsidP="00B77392">
            <w:pPr>
              <w:widowControl w:val="0"/>
            </w:pPr>
            <w:r w:rsidRPr="003A6529">
              <w:rPr>
                <w:i/>
                <w:sz w:val="22"/>
                <w:szCs w:val="22"/>
                <w:lang w:bidi="lv-LV"/>
              </w:rPr>
              <w:t>Nervu sistēmas traucējumi</w:t>
            </w:r>
          </w:p>
          <w:p w14:paraId="76DC94B0" w14:textId="77777777" w:rsidR="00E167A4" w:rsidRPr="003A6529" w:rsidRDefault="00E167A4" w:rsidP="00B77392">
            <w:pPr>
              <w:widowControl w:val="0"/>
            </w:pPr>
            <w:r w:rsidRPr="003A6529">
              <w:rPr>
                <w:sz w:val="22"/>
                <w:szCs w:val="22"/>
                <w:lang w:bidi="lv-LV"/>
              </w:rPr>
              <w:t>Reibonis</w:t>
            </w:r>
          </w:p>
          <w:p w14:paraId="07410A5E" w14:textId="77777777" w:rsidR="00E167A4" w:rsidRPr="003A6529" w:rsidRDefault="00E167A4" w:rsidP="00B77392">
            <w:pPr>
              <w:widowControl w:val="0"/>
              <w:rPr>
                <w:i/>
                <w:iCs/>
              </w:rPr>
            </w:pPr>
            <w:r w:rsidRPr="003A6529">
              <w:rPr>
                <w:sz w:val="22"/>
                <w:szCs w:val="22"/>
                <w:lang w:bidi="lv-LV"/>
              </w:rPr>
              <w:t>Galvassāpes</w:t>
            </w:r>
          </w:p>
        </w:tc>
        <w:tc>
          <w:tcPr>
            <w:tcW w:w="2209" w:type="dxa"/>
          </w:tcPr>
          <w:p w14:paraId="65377750" w14:textId="77777777" w:rsidR="00E167A4" w:rsidRPr="003A6529" w:rsidRDefault="00E167A4" w:rsidP="00B77392">
            <w:pPr>
              <w:widowControl w:val="0"/>
              <w:jc w:val="center"/>
              <w:rPr>
                <w:iCs/>
              </w:rPr>
            </w:pPr>
          </w:p>
          <w:p w14:paraId="1BE916A0" w14:textId="77777777" w:rsidR="00E167A4" w:rsidRPr="003A6529" w:rsidRDefault="00E167A4" w:rsidP="00B77392">
            <w:pPr>
              <w:widowControl w:val="0"/>
              <w:jc w:val="center"/>
              <w:rPr>
                <w:iCs/>
                <w:lang w:val="en-US"/>
              </w:rPr>
            </w:pPr>
            <w:r w:rsidRPr="003A6529">
              <w:rPr>
                <w:sz w:val="22"/>
                <w:szCs w:val="22"/>
                <w:lang w:bidi="lv-LV"/>
              </w:rPr>
              <w:t>1,10%</w:t>
            </w:r>
          </w:p>
          <w:p w14:paraId="5815B471" w14:textId="77777777" w:rsidR="00E167A4" w:rsidRPr="003A6529" w:rsidRDefault="00E167A4" w:rsidP="00B77392">
            <w:pPr>
              <w:widowControl w:val="0"/>
              <w:jc w:val="center"/>
              <w:rPr>
                <w:iCs/>
                <w:lang w:val="en-US"/>
              </w:rPr>
            </w:pPr>
            <w:r w:rsidRPr="003A6529">
              <w:rPr>
                <w:sz w:val="22"/>
                <w:szCs w:val="22"/>
                <w:lang w:bidi="lv-LV"/>
              </w:rPr>
              <w:t>7,42%</w:t>
            </w:r>
          </w:p>
        </w:tc>
        <w:tc>
          <w:tcPr>
            <w:tcW w:w="2160" w:type="dxa"/>
          </w:tcPr>
          <w:p w14:paraId="53B8355B" w14:textId="77777777" w:rsidR="00E167A4" w:rsidRPr="003A6529" w:rsidRDefault="00E167A4" w:rsidP="00B77392">
            <w:pPr>
              <w:widowControl w:val="0"/>
              <w:jc w:val="center"/>
              <w:rPr>
                <w:iCs/>
                <w:lang w:val="en-US"/>
              </w:rPr>
            </w:pPr>
          </w:p>
          <w:p w14:paraId="5CE3C9E2" w14:textId="77777777" w:rsidR="00E167A4" w:rsidRPr="003A6529" w:rsidRDefault="00E167A4" w:rsidP="00B77392">
            <w:pPr>
              <w:widowControl w:val="0"/>
              <w:jc w:val="center"/>
              <w:rPr>
                <w:iCs/>
                <w:lang w:val="en-US"/>
              </w:rPr>
            </w:pPr>
            <w:r w:rsidRPr="003A6529">
              <w:rPr>
                <w:sz w:val="22"/>
                <w:szCs w:val="22"/>
                <w:lang w:bidi="lv-LV"/>
              </w:rPr>
              <w:t>0,98%</w:t>
            </w:r>
          </w:p>
          <w:p w14:paraId="29C4DD89" w14:textId="77777777" w:rsidR="00E167A4" w:rsidRPr="003A6529" w:rsidRDefault="00E167A4" w:rsidP="00B77392">
            <w:pPr>
              <w:widowControl w:val="0"/>
              <w:jc w:val="center"/>
              <w:rPr>
                <w:iCs/>
                <w:lang w:val="en-US"/>
              </w:rPr>
            </w:pPr>
            <w:r w:rsidRPr="003A6529">
              <w:rPr>
                <w:sz w:val="22"/>
                <w:szCs w:val="22"/>
                <w:lang w:bidi="lv-LV"/>
              </w:rPr>
              <w:t>8,07%</w:t>
            </w:r>
          </w:p>
        </w:tc>
      </w:tr>
      <w:tr w:rsidR="00E167A4" w:rsidRPr="003A6529" w14:paraId="298B76AF" w14:textId="77777777" w:rsidTr="00CE6AD0">
        <w:trPr>
          <w:cantSplit/>
          <w:trHeight w:val="570"/>
          <w:tblHeader/>
        </w:trPr>
        <w:tc>
          <w:tcPr>
            <w:tcW w:w="4559" w:type="dxa"/>
          </w:tcPr>
          <w:p w14:paraId="6F3FC188" w14:textId="77777777" w:rsidR="00E167A4" w:rsidRPr="003A6529" w:rsidRDefault="00E167A4" w:rsidP="00B77392">
            <w:pPr>
              <w:widowControl w:val="0"/>
              <w:rPr>
                <w:i/>
                <w:iCs/>
              </w:rPr>
            </w:pPr>
            <w:r w:rsidRPr="003A6529">
              <w:rPr>
                <w:i/>
                <w:sz w:val="22"/>
                <w:szCs w:val="22"/>
                <w:lang w:bidi="lv-LV"/>
              </w:rPr>
              <w:t>Kuņģa-zarnu trakta traucējumi</w:t>
            </w:r>
          </w:p>
          <w:p w14:paraId="7BF07C82" w14:textId="77777777" w:rsidR="00E167A4" w:rsidRPr="003A6529" w:rsidRDefault="00E167A4" w:rsidP="00B77392">
            <w:pPr>
              <w:widowControl w:val="0"/>
            </w:pPr>
            <w:r w:rsidRPr="003A6529">
              <w:rPr>
                <w:sz w:val="22"/>
                <w:szCs w:val="22"/>
                <w:lang w:bidi="lv-LV"/>
              </w:rPr>
              <w:t>Sāpes vēderā</w:t>
            </w:r>
          </w:p>
          <w:p w14:paraId="53E58794" w14:textId="77777777" w:rsidR="00E167A4" w:rsidRPr="003A6529" w:rsidRDefault="00E167A4" w:rsidP="00B77392">
            <w:pPr>
              <w:widowControl w:val="0"/>
              <w:rPr>
                <w:lang w:val="en-US"/>
              </w:rPr>
            </w:pPr>
            <w:r w:rsidRPr="003A6529">
              <w:rPr>
                <w:sz w:val="22"/>
                <w:szCs w:val="22"/>
                <w:lang w:bidi="lv-LV"/>
              </w:rPr>
              <w:t>Sausa mute</w:t>
            </w:r>
          </w:p>
          <w:p w14:paraId="278F1873" w14:textId="77777777" w:rsidR="00E167A4" w:rsidRPr="003A6529" w:rsidRDefault="00E167A4" w:rsidP="00B77392">
            <w:pPr>
              <w:widowControl w:val="0"/>
              <w:rPr>
                <w:i/>
                <w:iCs/>
                <w:lang w:val="en-US"/>
              </w:rPr>
            </w:pPr>
            <w:r w:rsidRPr="003A6529">
              <w:rPr>
                <w:sz w:val="22"/>
                <w:szCs w:val="22"/>
                <w:lang w:bidi="lv-LV"/>
              </w:rPr>
              <w:t>Slikta dūša</w:t>
            </w:r>
          </w:p>
        </w:tc>
        <w:tc>
          <w:tcPr>
            <w:tcW w:w="2209" w:type="dxa"/>
          </w:tcPr>
          <w:p w14:paraId="37A9CBE5" w14:textId="77777777" w:rsidR="00E167A4" w:rsidRPr="003A6529" w:rsidRDefault="00E167A4" w:rsidP="00B77392">
            <w:pPr>
              <w:widowControl w:val="0"/>
              <w:jc w:val="center"/>
              <w:rPr>
                <w:iCs/>
                <w:lang w:val="en-US"/>
              </w:rPr>
            </w:pPr>
          </w:p>
          <w:p w14:paraId="07FFDB0C" w14:textId="77777777" w:rsidR="00E167A4" w:rsidRPr="003A6529" w:rsidRDefault="00E167A4" w:rsidP="00B77392">
            <w:pPr>
              <w:widowControl w:val="0"/>
              <w:jc w:val="center"/>
              <w:rPr>
                <w:iCs/>
                <w:lang w:val="en-US"/>
              </w:rPr>
            </w:pPr>
            <w:r w:rsidRPr="003A6529">
              <w:rPr>
                <w:sz w:val="22"/>
                <w:szCs w:val="22"/>
                <w:lang w:bidi="lv-LV"/>
              </w:rPr>
              <w:t>0,98%</w:t>
            </w:r>
          </w:p>
          <w:p w14:paraId="7D832071" w14:textId="77777777" w:rsidR="00E167A4" w:rsidRPr="003A6529" w:rsidRDefault="00E167A4" w:rsidP="00B77392">
            <w:pPr>
              <w:widowControl w:val="0"/>
              <w:jc w:val="center"/>
              <w:rPr>
                <w:iCs/>
                <w:lang w:val="en-US"/>
              </w:rPr>
            </w:pPr>
            <w:r w:rsidRPr="003A6529">
              <w:rPr>
                <w:sz w:val="22"/>
                <w:szCs w:val="22"/>
                <w:lang w:bidi="lv-LV"/>
              </w:rPr>
              <w:t>2,09%</w:t>
            </w:r>
          </w:p>
          <w:p w14:paraId="2A807B06" w14:textId="77777777" w:rsidR="00E167A4" w:rsidRPr="003A6529" w:rsidRDefault="00E167A4" w:rsidP="00B77392">
            <w:pPr>
              <w:widowControl w:val="0"/>
              <w:jc w:val="center"/>
              <w:rPr>
                <w:iCs/>
                <w:lang w:val="en-US"/>
              </w:rPr>
            </w:pPr>
            <w:r w:rsidRPr="003A6529">
              <w:rPr>
                <w:sz w:val="22"/>
                <w:szCs w:val="22"/>
                <w:lang w:bidi="lv-LV"/>
              </w:rPr>
              <w:t>1,07%</w:t>
            </w:r>
          </w:p>
        </w:tc>
        <w:tc>
          <w:tcPr>
            <w:tcW w:w="2160" w:type="dxa"/>
          </w:tcPr>
          <w:p w14:paraId="1DFC6548" w14:textId="77777777" w:rsidR="00E167A4" w:rsidRPr="003A6529" w:rsidRDefault="00E167A4" w:rsidP="00B77392">
            <w:pPr>
              <w:widowControl w:val="0"/>
              <w:jc w:val="center"/>
              <w:rPr>
                <w:iCs/>
                <w:lang w:val="en-US"/>
              </w:rPr>
            </w:pPr>
          </w:p>
          <w:p w14:paraId="76C6354C" w14:textId="77777777" w:rsidR="00E167A4" w:rsidRPr="003A6529" w:rsidRDefault="00E167A4" w:rsidP="00B77392">
            <w:pPr>
              <w:widowControl w:val="0"/>
              <w:jc w:val="center"/>
              <w:rPr>
                <w:iCs/>
                <w:lang w:val="en-US"/>
              </w:rPr>
            </w:pPr>
            <w:r w:rsidRPr="003A6529">
              <w:rPr>
                <w:sz w:val="22"/>
                <w:szCs w:val="22"/>
                <w:lang w:bidi="lv-LV"/>
              </w:rPr>
              <w:t>1,08%</w:t>
            </w:r>
          </w:p>
          <w:p w14:paraId="2CF7A304" w14:textId="77777777" w:rsidR="00E167A4" w:rsidRPr="003A6529" w:rsidRDefault="00E167A4" w:rsidP="00B77392">
            <w:pPr>
              <w:widowControl w:val="0"/>
              <w:jc w:val="center"/>
              <w:rPr>
                <w:iCs/>
                <w:lang w:val="en-US"/>
              </w:rPr>
            </w:pPr>
            <w:r w:rsidRPr="003A6529">
              <w:rPr>
                <w:sz w:val="22"/>
                <w:szCs w:val="22"/>
                <w:lang w:bidi="lv-LV"/>
              </w:rPr>
              <w:t>0,82%</w:t>
            </w:r>
          </w:p>
          <w:p w14:paraId="3335946A" w14:textId="77777777" w:rsidR="00E167A4" w:rsidRPr="003A6529" w:rsidRDefault="00E167A4" w:rsidP="00B77392">
            <w:pPr>
              <w:widowControl w:val="0"/>
              <w:jc w:val="center"/>
              <w:rPr>
                <w:iCs/>
                <w:lang w:val="en-US"/>
              </w:rPr>
            </w:pPr>
            <w:r w:rsidRPr="003A6529">
              <w:rPr>
                <w:sz w:val="22"/>
                <w:szCs w:val="22"/>
                <w:lang w:bidi="lv-LV"/>
              </w:rPr>
              <w:t>1,14%</w:t>
            </w:r>
          </w:p>
        </w:tc>
      </w:tr>
      <w:tr w:rsidR="00E167A4" w:rsidRPr="003A6529" w14:paraId="4623DC68" w14:textId="77777777" w:rsidTr="00CE6AD0">
        <w:trPr>
          <w:cantSplit/>
          <w:trHeight w:val="570"/>
        </w:trPr>
        <w:tc>
          <w:tcPr>
            <w:tcW w:w="4559" w:type="dxa"/>
          </w:tcPr>
          <w:p w14:paraId="6654D8AF" w14:textId="77777777" w:rsidR="00E167A4" w:rsidRPr="003A6529" w:rsidRDefault="00E167A4" w:rsidP="00855D5A">
            <w:pPr>
              <w:widowControl w:val="0"/>
              <w:rPr>
                <w:i/>
                <w:iCs/>
                <w:lang w:val="en-US"/>
              </w:rPr>
            </w:pPr>
            <w:r w:rsidRPr="003A6529">
              <w:rPr>
                <w:i/>
                <w:sz w:val="22"/>
                <w:szCs w:val="22"/>
                <w:lang w:bidi="lv-LV"/>
              </w:rPr>
              <w:t>Psihiski</w:t>
            </w:r>
            <w:r w:rsidR="00851777" w:rsidRPr="003A6529">
              <w:rPr>
                <w:i/>
                <w:sz w:val="22"/>
                <w:szCs w:val="22"/>
                <w:lang w:bidi="lv-LV"/>
              </w:rPr>
              <w:t>e</w:t>
            </w:r>
            <w:r w:rsidRPr="003A6529">
              <w:rPr>
                <w:i/>
                <w:sz w:val="22"/>
                <w:szCs w:val="22"/>
                <w:lang w:bidi="lv-LV"/>
              </w:rPr>
              <w:t xml:space="preserve"> traucējumi</w:t>
            </w:r>
          </w:p>
          <w:p w14:paraId="6009ABDB" w14:textId="77777777" w:rsidR="00E167A4" w:rsidRPr="003A6529" w:rsidRDefault="00E72952" w:rsidP="00E72952">
            <w:pPr>
              <w:widowControl w:val="0"/>
              <w:rPr>
                <w:b/>
                <w:bCs/>
                <w:noProof/>
                <w:lang w:val="en-US"/>
              </w:rPr>
            </w:pPr>
            <w:r w:rsidRPr="003A6529">
              <w:rPr>
                <w:sz w:val="22"/>
                <w:szCs w:val="22"/>
                <w:lang w:bidi="lv-LV"/>
              </w:rPr>
              <w:t>Miegainība</w:t>
            </w:r>
          </w:p>
        </w:tc>
        <w:tc>
          <w:tcPr>
            <w:tcW w:w="2209" w:type="dxa"/>
          </w:tcPr>
          <w:p w14:paraId="6E12DB2E" w14:textId="77777777" w:rsidR="00E167A4" w:rsidRPr="003A6529" w:rsidRDefault="00E167A4" w:rsidP="00855D5A">
            <w:pPr>
              <w:widowControl w:val="0"/>
              <w:jc w:val="center"/>
              <w:rPr>
                <w:iCs/>
                <w:lang w:val="en-US"/>
              </w:rPr>
            </w:pPr>
          </w:p>
          <w:p w14:paraId="646F5FC1" w14:textId="77777777" w:rsidR="00E167A4" w:rsidRPr="003A6529" w:rsidRDefault="00E167A4" w:rsidP="00CF6F53">
            <w:pPr>
              <w:widowControl w:val="0"/>
              <w:jc w:val="center"/>
              <w:rPr>
                <w:b/>
                <w:bCs/>
                <w:noProof/>
                <w:lang w:val="en-US"/>
              </w:rPr>
            </w:pPr>
            <w:r w:rsidRPr="003A6529">
              <w:rPr>
                <w:sz w:val="22"/>
                <w:szCs w:val="22"/>
                <w:lang w:bidi="lv-LV"/>
              </w:rPr>
              <w:t>9,63%</w:t>
            </w:r>
          </w:p>
        </w:tc>
        <w:tc>
          <w:tcPr>
            <w:tcW w:w="2160" w:type="dxa"/>
          </w:tcPr>
          <w:p w14:paraId="1FB96C9F" w14:textId="77777777" w:rsidR="00E167A4" w:rsidRPr="003A6529" w:rsidRDefault="00E167A4" w:rsidP="00855D5A">
            <w:pPr>
              <w:widowControl w:val="0"/>
              <w:jc w:val="center"/>
              <w:rPr>
                <w:iCs/>
                <w:lang w:val="en-US"/>
              </w:rPr>
            </w:pPr>
          </w:p>
          <w:p w14:paraId="2788CCC1" w14:textId="77777777" w:rsidR="00E167A4" w:rsidRPr="003A6529" w:rsidRDefault="00E167A4" w:rsidP="00CF6F53">
            <w:pPr>
              <w:widowControl w:val="0"/>
              <w:jc w:val="center"/>
              <w:rPr>
                <w:b/>
                <w:bCs/>
                <w:noProof/>
                <w:lang w:val="en-US"/>
              </w:rPr>
            </w:pPr>
            <w:r w:rsidRPr="003A6529">
              <w:rPr>
                <w:sz w:val="22"/>
                <w:szCs w:val="22"/>
                <w:lang w:bidi="lv-LV"/>
              </w:rPr>
              <w:t>5,00%</w:t>
            </w:r>
          </w:p>
        </w:tc>
      </w:tr>
      <w:tr w:rsidR="00E167A4" w:rsidRPr="003A6529" w14:paraId="775A7B77" w14:textId="77777777" w:rsidTr="00CE6AD0">
        <w:trPr>
          <w:cantSplit/>
          <w:trHeight w:val="570"/>
        </w:trPr>
        <w:tc>
          <w:tcPr>
            <w:tcW w:w="4559" w:type="dxa"/>
          </w:tcPr>
          <w:p w14:paraId="68CB68E1" w14:textId="77777777" w:rsidR="00E167A4" w:rsidRPr="003A6529" w:rsidRDefault="00E167A4" w:rsidP="00855D5A">
            <w:pPr>
              <w:widowControl w:val="0"/>
              <w:rPr>
                <w:i/>
                <w:iCs/>
                <w:lang w:val="en-US"/>
              </w:rPr>
            </w:pPr>
            <w:r w:rsidRPr="003A6529">
              <w:rPr>
                <w:i/>
                <w:sz w:val="22"/>
                <w:szCs w:val="22"/>
                <w:lang w:bidi="lv-LV"/>
              </w:rPr>
              <w:t>Elpošanas</w:t>
            </w:r>
            <w:r w:rsidR="00016F3D" w:rsidRPr="003A6529">
              <w:rPr>
                <w:i/>
                <w:sz w:val="22"/>
                <w:szCs w:val="22"/>
                <w:lang w:bidi="lv-LV"/>
              </w:rPr>
              <w:t xml:space="preserve"> sistēmas </w:t>
            </w:r>
            <w:r w:rsidRPr="003A6529">
              <w:rPr>
                <w:i/>
                <w:sz w:val="22"/>
                <w:szCs w:val="22"/>
                <w:lang w:bidi="lv-LV"/>
              </w:rPr>
              <w:t>traucējumi</w:t>
            </w:r>
            <w:r w:rsidR="00016F3D" w:rsidRPr="003A6529">
              <w:rPr>
                <w:i/>
                <w:sz w:val="22"/>
                <w:szCs w:val="22"/>
                <w:lang w:bidi="lv-LV"/>
              </w:rPr>
              <w:t>, krūšu kurvja un videnes slimības</w:t>
            </w:r>
          </w:p>
          <w:p w14:paraId="5E837D8B" w14:textId="77777777" w:rsidR="00E167A4" w:rsidRPr="003A6529" w:rsidRDefault="00E167A4" w:rsidP="00C14BD8">
            <w:pPr>
              <w:widowControl w:val="0"/>
              <w:rPr>
                <w:lang w:val="en-US"/>
              </w:rPr>
            </w:pPr>
            <w:proofErr w:type="spellStart"/>
            <w:r w:rsidRPr="003A6529">
              <w:rPr>
                <w:sz w:val="22"/>
                <w:szCs w:val="22"/>
                <w:lang w:bidi="lv-LV"/>
              </w:rPr>
              <w:t>Faringīts</w:t>
            </w:r>
            <w:proofErr w:type="spellEnd"/>
          </w:p>
        </w:tc>
        <w:tc>
          <w:tcPr>
            <w:tcW w:w="2209" w:type="dxa"/>
          </w:tcPr>
          <w:p w14:paraId="7574165C" w14:textId="77777777" w:rsidR="00E167A4" w:rsidRPr="003A6529" w:rsidRDefault="00E167A4" w:rsidP="00855D5A">
            <w:pPr>
              <w:widowControl w:val="0"/>
              <w:jc w:val="center"/>
              <w:rPr>
                <w:iCs/>
                <w:lang w:val="en-US"/>
              </w:rPr>
            </w:pPr>
          </w:p>
          <w:p w14:paraId="018AB199" w14:textId="77777777" w:rsidR="00E167A4" w:rsidRPr="003A6529" w:rsidRDefault="00E167A4" w:rsidP="00081878">
            <w:pPr>
              <w:widowControl w:val="0"/>
              <w:jc w:val="center"/>
              <w:rPr>
                <w:i/>
                <w:iCs/>
                <w:lang w:val="en-US"/>
              </w:rPr>
            </w:pPr>
            <w:r w:rsidRPr="003A6529">
              <w:rPr>
                <w:sz w:val="22"/>
                <w:szCs w:val="22"/>
                <w:lang w:bidi="lv-LV"/>
              </w:rPr>
              <w:t>1,29%</w:t>
            </w:r>
          </w:p>
        </w:tc>
        <w:tc>
          <w:tcPr>
            <w:tcW w:w="2160" w:type="dxa"/>
          </w:tcPr>
          <w:p w14:paraId="40CBFCE5" w14:textId="77777777" w:rsidR="00E167A4" w:rsidRPr="003A6529" w:rsidRDefault="00E167A4" w:rsidP="00855D5A">
            <w:pPr>
              <w:widowControl w:val="0"/>
              <w:jc w:val="center"/>
              <w:rPr>
                <w:iCs/>
                <w:lang w:val="en-US"/>
              </w:rPr>
            </w:pPr>
          </w:p>
          <w:p w14:paraId="6CB1AD83" w14:textId="77777777" w:rsidR="00E167A4" w:rsidRPr="003A6529" w:rsidRDefault="00E167A4" w:rsidP="00081878">
            <w:pPr>
              <w:widowControl w:val="0"/>
              <w:jc w:val="center"/>
              <w:rPr>
                <w:i/>
                <w:iCs/>
                <w:lang w:val="en-US"/>
              </w:rPr>
            </w:pPr>
            <w:r w:rsidRPr="003A6529">
              <w:rPr>
                <w:sz w:val="22"/>
                <w:szCs w:val="22"/>
                <w:lang w:bidi="lv-LV"/>
              </w:rPr>
              <w:t>1,34%</w:t>
            </w:r>
          </w:p>
        </w:tc>
      </w:tr>
    </w:tbl>
    <w:p w14:paraId="653F6E41" w14:textId="77777777" w:rsidR="00E167A4" w:rsidRPr="003A6529" w:rsidRDefault="00E167A4" w:rsidP="009B77C8">
      <w:pPr>
        <w:widowControl w:val="0"/>
        <w:autoSpaceDE w:val="0"/>
        <w:autoSpaceDN w:val="0"/>
        <w:adjustRightInd w:val="0"/>
        <w:rPr>
          <w:color w:val="000000"/>
          <w:sz w:val="22"/>
          <w:szCs w:val="22"/>
          <w:lang w:val="en-US"/>
        </w:rPr>
      </w:pPr>
    </w:p>
    <w:p w14:paraId="4D758E5A" w14:textId="77777777" w:rsidR="00E167A4" w:rsidRPr="003A6529" w:rsidRDefault="00EC5FD7" w:rsidP="00DC3F58">
      <w:pPr>
        <w:widowControl w:val="0"/>
        <w:autoSpaceDE w:val="0"/>
        <w:autoSpaceDN w:val="0"/>
        <w:adjustRightInd w:val="0"/>
        <w:rPr>
          <w:noProof/>
          <w:color w:val="000000"/>
          <w:sz w:val="22"/>
          <w:szCs w:val="22"/>
        </w:rPr>
      </w:pPr>
      <w:r w:rsidRPr="00EC5FD7">
        <w:rPr>
          <w:color w:val="000000"/>
          <w:sz w:val="22"/>
          <w:szCs w:val="22"/>
          <w:lang w:bidi="lv-LV"/>
        </w:rPr>
        <w:t>Lai gan, salīdzinot ar placebo, miegainību novēroja statistiski biežāk, lielākajā daļā gadījumu tā bija viegla līdz vidēji izteikta. Citos pētījumos veiktie objektīvie izmeklējumi parādīja, ka parastās dienas aktivitātes jauniem, veseliem brīvprātīgajiem, lietojot ieteicamās dienas devas, netika ietekmētas.</w:t>
      </w:r>
      <w:r w:rsidR="00E167A4" w:rsidRPr="003A6529">
        <w:rPr>
          <w:color w:val="000000"/>
          <w:sz w:val="22"/>
          <w:szCs w:val="22"/>
          <w:lang w:bidi="lv-LV"/>
        </w:rPr>
        <w:t xml:space="preserve"> </w:t>
      </w:r>
    </w:p>
    <w:p w14:paraId="31E2EB43" w14:textId="77777777" w:rsidR="00E167A4" w:rsidRPr="003A6529" w:rsidRDefault="00E167A4" w:rsidP="00DC3F58">
      <w:pPr>
        <w:widowControl w:val="0"/>
        <w:autoSpaceDE w:val="0"/>
        <w:autoSpaceDN w:val="0"/>
        <w:adjustRightInd w:val="0"/>
        <w:rPr>
          <w:noProof/>
          <w:color w:val="000000"/>
          <w:sz w:val="22"/>
          <w:szCs w:val="22"/>
        </w:rPr>
      </w:pPr>
    </w:p>
    <w:p w14:paraId="696837A3" w14:textId="77777777" w:rsidR="00E167A4" w:rsidRPr="003A6529" w:rsidRDefault="00E167A4" w:rsidP="009548A1">
      <w:pPr>
        <w:widowControl w:val="0"/>
        <w:autoSpaceDE w:val="0"/>
        <w:autoSpaceDN w:val="0"/>
        <w:adjustRightInd w:val="0"/>
        <w:rPr>
          <w:noProof/>
          <w:color w:val="000000"/>
          <w:sz w:val="22"/>
          <w:szCs w:val="22"/>
          <w:u w:val="single"/>
        </w:rPr>
      </w:pPr>
      <w:r w:rsidRPr="003A6529">
        <w:rPr>
          <w:noProof/>
          <w:color w:val="000000"/>
          <w:sz w:val="22"/>
          <w:szCs w:val="22"/>
          <w:u w:val="single"/>
          <w:lang w:bidi="lv-LV"/>
        </w:rPr>
        <w:t>Pediatriskā populācija</w:t>
      </w:r>
    </w:p>
    <w:p w14:paraId="5E2B614C" w14:textId="77777777" w:rsidR="00E167A4" w:rsidRPr="003A6529" w:rsidRDefault="00E167A4" w:rsidP="009548A1">
      <w:pPr>
        <w:widowControl w:val="0"/>
        <w:autoSpaceDE w:val="0"/>
        <w:autoSpaceDN w:val="0"/>
        <w:adjustRightInd w:val="0"/>
        <w:rPr>
          <w:noProof/>
          <w:color w:val="000000"/>
          <w:sz w:val="22"/>
          <w:szCs w:val="22"/>
          <w:u w:val="single"/>
        </w:rPr>
      </w:pPr>
    </w:p>
    <w:p w14:paraId="41408ED4" w14:textId="77777777" w:rsidR="00E167A4" w:rsidRPr="003A6529" w:rsidRDefault="00E167A4" w:rsidP="009548A1">
      <w:pPr>
        <w:widowControl w:val="0"/>
        <w:autoSpaceDE w:val="0"/>
        <w:autoSpaceDN w:val="0"/>
        <w:adjustRightInd w:val="0"/>
        <w:rPr>
          <w:noProof/>
          <w:color w:val="000000"/>
          <w:sz w:val="22"/>
          <w:szCs w:val="22"/>
        </w:rPr>
      </w:pPr>
      <w:r w:rsidRPr="003A6529">
        <w:rPr>
          <w:noProof/>
          <w:color w:val="000000"/>
          <w:sz w:val="22"/>
          <w:szCs w:val="22"/>
          <w:lang w:bidi="lv-LV"/>
        </w:rPr>
        <w:t>Nevēlamās blakusparādības, kas placebo kontrolētos klīniskos pētījumos iekļauto bērnu grupā no 6 līdz 12 gadiem tika novērotas ar biežumu 1% vai biežāk, bija šādas:</w:t>
      </w:r>
    </w:p>
    <w:p w14:paraId="64B43C45" w14:textId="77777777" w:rsidR="00E167A4" w:rsidRPr="003A6529" w:rsidRDefault="00E167A4" w:rsidP="009B77C8">
      <w:pPr>
        <w:widowControl w:val="0"/>
        <w:autoSpaceDE w:val="0"/>
        <w:autoSpaceDN w:val="0"/>
        <w:adjustRightInd w:val="0"/>
        <w:rPr>
          <w:noProof/>
          <w:color w:val="000000"/>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2324"/>
        <w:gridCol w:w="2126"/>
      </w:tblGrid>
      <w:tr w:rsidR="00E167A4" w:rsidRPr="003A6529" w14:paraId="409AD7B4" w14:textId="77777777" w:rsidTr="00CE6AD0">
        <w:trPr>
          <w:trHeight w:val="485"/>
        </w:trPr>
        <w:tc>
          <w:tcPr>
            <w:tcW w:w="4447" w:type="dxa"/>
          </w:tcPr>
          <w:p w14:paraId="71791A6D" w14:textId="77777777" w:rsidR="00E167A4" w:rsidRPr="003A6529" w:rsidRDefault="00E167A4" w:rsidP="00821ACA">
            <w:pPr>
              <w:pStyle w:val="Default"/>
              <w:jc w:val="center"/>
              <w:rPr>
                <w:sz w:val="22"/>
                <w:szCs w:val="22"/>
                <w:lang w:val="en-US"/>
              </w:rPr>
            </w:pPr>
            <w:r w:rsidRPr="003A6529">
              <w:rPr>
                <w:b/>
                <w:sz w:val="22"/>
                <w:szCs w:val="22"/>
                <w:lang w:bidi="lv-LV"/>
              </w:rPr>
              <w:t xml:space="preserve">Nevēlamās blakusparādības </w:t>
            </w:r>
          </w:p>
          <w:p w14:paraId="4DF7AF00" w14:textId="77777777" w:rsidR="00E167A4" w:rsidRPr="003A6529" w:rsidRDefault="00E167A4" w:rsidP="00DB6EDD">
            <w:pPr>
              <w:widowControl w:val="0"/>
              <w:jc w:val="center"/>
              <w:rPr>
                <w:i/>
                <w:iCs/>
                <w:noProof/>
                <w:lang w:val="en-US"/>
              </w:rPr>
            </w:pPr>
            <w:r w:rsidRPr="003A6529">
              <w:rPr>
                <w:b/>
                <w:sz w:val="22"/>
                <w:szCs w:val="22"/>
                <w:lang w:bidi="lv-LV"/>
              </w:rPr>
              <w:t xml:space="preserve">(WHO-ART) </w:t>
            </w:r>
          </w:p>
        </w:tc>
        <w:tc>
          <w:tcPr>
            <w:tcW w:w="2324" w:type="dxa"/>
          </w:tcPr>
          <w:p w14:paraId="32015FF4" w14:textId="77777777" w:rsidR="00E167A4" w:rsidRPr="003A6529" w:rsidRDefault="00E167A4" w:rsidP="009B77C8">
            <w:pPr>
              <w:widowControl w:val="0"/>
              <w:jc w:val="center"/>
              <w:rPr>
                <w:b/>
                <w:iCs/>
                <w:noProof/>
                <w:lang w:val="en-US"/>
              </w:rPr>
            </w:pPr>
            <w:r w:rsidRPr="003A6529">
              <w:rPr>
                <w:b/>
                <w:noProof/>
                <w:sz w:val="22"/>
                <w:szCs w:val="22"/>
                <w:lang w:bidi="lv-LV"/>
              </w:rPr>
              <w:t xml:space="preserve">Cetirizīns </w:t>
            </w:r>
          </w:p>
          <w:p w14:paraId="79CADC05" w14:textId="77777777" w:rsidR="00E167A4" w:rsidRPr="003A6529" w:rsidRDefault="00E167A4" w:rsidP="009B77C8">
            <w:pPr>
              <w:widowControl w:val="0"/>
              <w:jc w:val="center"/>
              <w:rPr>
                <w:i/>
                <w:iCs/>
                <w:noProof/>
                <w:lang w:val="en-US"/>
              </w:rPr>
            </w:pPr>
            <w:r w:rsidRPr="003A6529">
              <w:rPr>
                <w:b/>
                <w:noProof/>
                <w:sz w:val="22"/>
                <w:szCs w:val="22"/>
                <w:lang w:bidi="lv-LV"/>
              </w:rPr>
              <w:t>(n = 1656)</w:t>
            </w:r>
          </w:p>
        </w:tc>
        <w:tc>
          <w:tcPr>
            <w:tcW w:w="2126" w:type="dxa"/>
          </w:tcPr>
          <w:p w14:paraId="7667977C" w14:textId="77777777" w:rsidR="00E167A4" w:rsidRPr="003A6529" w:rsidRDefault="00E167A4" w:rsidP="009B77C8">
            <w:pPr>
              <w:widowControl w:val="0"/>
              <w:jc w:val="center"/>
              <w:rPr>
                <w:b/>
                <w:iCs/>
                <w:noProof/>
                <w:lang w:val="en-US"/>
              </w:rPr>
            </w:pPr>
            <w:r w:rsidRPr="003A6529">
              <w:rPr>
                <w:b/>
                <w:noProof/>
                <w:sz w:val="22"/>
                <w:szCs w:val="22"/>
                <w:lang w:bidi="lv-LV"/>
              </w:rPr>
              <w:t>Placebo</w:t>
            </w:r>
          </w:p>
          <w:p w14:paraId="7F2B70FF" w14:textId="77777777" w:rsidR="00E167A4" w:rsidRPr="003A6529" w:rsidRDefault="00E167A4" w:rsidP="009B77C8">
            <w:pPr>
              <w:widowControl w:val="0"/>
              <w:jc w:val="center"/>
              <w:rPr>
                <w:i/>
                <w:iCs/>
                <w:noProof/>
                <w:lang w:val="en-US"/>
              </w:rPr>
            </w:pPr>
            <w:r w:rsidRPr="003A6529">
              <w:rPr>
                <w:b/>
                <w:noProof/>
                <w:sz w:val="22"/>
                <w:szCs w:val="22"/>
                <w:lang w:bidi="lv-LV"/>
              </w:rPr>
              <w:t>(n = 1294)</w:t>
            </w:r>
          </w:p>
        </w:tc>
      </w:tr>
      <w:tr w:rsidR="00E167A4" w:rsidRPr="003A6529" w14:paraId="0F17C3BC" w14:textId="77777777" w:rsidTr="00CE6AD0">
        <w:trPr>
          <w:trHeight w:val="485"/>
        </w:trPr>
        <w:tc>
          <w:tcPr>
            <w:tcW w:w="4447" w:type="dxa"/>
          </w:tcPr>
          <w:p w14:paraId="0F51F1FB" w14:textId="77777777" w:rsidR="00E167A4" w:rsidRPr="003A6529" w:rsidRDefault="00E167A4" w:rsidP="00B77392">
            <w:pPr>
              <w:widowControl w:val="0"/>
              <w:rPr>
                <w:i/>
                <w:iCs/>
                <w:noProof/>
              </w:rPr>
            </w:pPr>
            <w:r w:rsidRPr="003A6529">
              <w:rPr>
                <w:i/>
                <w:noProof/>
                <w:sz w:val="22"/>
                <w:szCs w:val="22"/>
                <w:lang w:bidi="lv-LV"/>
              </w:rPr>
              <w:t>Kuņģa-zarnu trakta traucējumi</w:t>
            </w:r>
          </w:p>
          <w:p w14:paraId="55BCD8A3" w14:textId="77777777" w:rsidR="00E167A4" w:rsidRPr="003A6529" w:rsidRDefault="00E167A4" w:rsidP="003D7332">
            <w:pPr>
              <w:widowControl w:val="0"/>
              <w:rPr>
                <w:b/>
                <w:bCs/>
                <w:noProof/>
              </w:rPr>
            </w:pPr>
            <w:r w:rsidRPr="003A6529">
              <w:rPr>
                <w:noProof/>
                <w:sz w:val="22"/>
                <w:szCs w:val="22"/>
                <w:lang w:bidi="lv-LV"/>
              </w:rPr>
              <w:t>Caureja</w:t>
            </w:r>
          </w:p>
        </w:tc>
        <w:tc>
          <w:tcPr>
            <w:tcW w:w="2324" w:type="dxa"/>
          </w:tcPr>
          <w:p w14:paraId="48CFD6BB" w14:textId="77777777" w:rsidR="00E167A4" w:rsidRPr="003A6529" w:rsidRDefault="00E167A4" w:rsidP="00B77392">
            <w:pPr>
              <w:widowControl w:val="0"/>
              <w:jc w:val="center"/>
              <w:rPr>
                <w:iCs/>
                <w:noProof/>
              </w:rPr>
            </w:pPr>
          </w:p>
          <w:p w14:paraId="686DA4E3" w14:textId="77777777" w:rsidR="00E167A4" w:rsidRPr="003A6529" w:rsidRDefault="00E167A4" w:rsidP="009B77C8">
            <w:pPr>
              <w:widowControl w:val="0"/>
              <w:jc w:val="center"/>
              <w:rPr>
                <w:b/>
                <w:bCs/>
                <w:noProof/>
                <w:lang w:val="en-US"/>
              </w:rPr>
            </w:pPr>
            <w:r w:rsidRPr="003A6529">
              <w:rPr>
                <w:noProof/>
                <w:sz w:val="22"/>
                <w:szCs w:val="22"/>
                <w:lang w:bidi="lv-LV"/>
              </w:rPr>
              <w:t>1,0%</w:t>
            </w:r>
          </w:p>
        </w:tc>
        <w:tc>
          <w:tcPr>
            <w:tcW w:w="2126" w:type="dxa"/>
          </w:tcPr>
          <w:p w14:paraId="515B9A51" w14:textId="77777777" w:rsidR="00E167A4" w:rsidRPr="003A6529" w:rsidRDefault="00E167A4" w:rsidP="00B77392">
            <w:pPr>
              <w:widowControl w:val="0"/>
              <w:jc w:val="center"/>
              <w:rPr>
                <w:iCs/>
                <w:noProof/>
                <w:lang w:val="en-US"/>
              </w:rPr>
            </w:pPr>
          </w:p>
          <w:p w14:paraId="423BE6F3" w14:textId="77777777" w:rsidR="00E167A4" w:rsidRPr="003A6529" w:rsidRDefault="00E167A4" w:rsidP="009B77C8">
            <w:pPr>
              <w:widowControl w:val="0"/>
              <w:jc w:val="center"/>
              <w:rPr>
                <w:b/>
                <w:bCs/>
                <w:noProof/>
                <w:lang w:val="en-US"/>
              </w:rPr>
            </w:pPr>
            <w:r w:rsidRPr="003A6529">
              <w:rPr>
                <w:noProof/>
                <w:sz w:val="22"/>
                <w:szCs w:val="22"/>
                <w:lang w:bidi="lv-LV"/>
              </w:rPr>
              <w:t>0,6%</w:t>
            </w:r>
          </w:p>
        </w:tc>
      </w:tr>
      <w:tr w:rsidR="00E167A4" w:rsidRPr="003A6529" w14:paraId="01F9FAB6" w14:textId="77777777" w:rsidTr="00CE6AD0">
        <w:trPr>
          <w:trHeight w:val="485"/>
        </w:trPr>
        <w:tc>
          <w:tcPr>
            <w:tcW w:w="4447" w:type="dxa"/>
          </w:tcPr>
          <w:p w14:paraId="1DBCB367" w14:textId="77777777" w:rsidR="00E167A4" w:rsidRPr="003A6529" w:rsidRDefault="00607327" w:rsidP="00855D5A">
            <w:pPr>
              <w:widowControl w:val="0"/>
              <w:rPr>
                <w:i/>
                <w:iCs/>
                <w:noProof/>
                <w:lang w:val="en-US"/>
              </w:rPr>
            </w:pPr>
            <w:r w:rsidRPr="003A6529">
              <w:rPr>
                <w:i/>
                <w:noProof/>
                <w:sz w:val="22"/>
                <w:szCs w:val="22"/>
                <w:lang w:bidi="lv-LV"/>
              </w:rPr>
              <w:t xml:space="preserve">Psihiskie </w:t>
            </w:r>
            <w:r w:rsidR="00E167A4" w:rsidRPr="003A6529">
              <w:rPr>
                <w:i/>
                <w:noProof/>
                <w:sz w:val="22"/>
                <w:szCs w:val="22"/>
                <w:lang w:bidi="lv-LV"/>
              </w:rPr>
              <w:t>traucējumi</w:t>
            </w:r>
          </w:p>
          <w:p w14:paraId="6B3B416B" w14:textId="77777777" w:rsidR="00E167A4" w:rsidRPr="003A6529" w:rsidRDefault="00E167A4" w:rsidP="00E72952">
            <w:pPr>
              <w:widowControl w:val="0"/>
              <w:rPr>
                <w:noProof/>
                <w:lang w:val="en-US"/>
              </w:rPr>
            </w:pPr>
            <w:r w:rsidRPr="003A6529">
              <w:rPr>
                <w:sz w:val="22"/>
                <w:szCs w:val="22"/>
                <w:lang w:bidi="lv-LV"/>
              </w:rPr>
              <w:t>Miegainība</w:t>
            </w:r>
          </w:p>
        </w:tc>
        <w:tc>
          <w:tcPr>
            <w:tcW w:w="2324" w:type="dxa"/>
          </w:tcPr>
          <w:p w14:paraId="5B499F41" w14:textId="77777777" w:rsidR="00E167A4" w:rsidRPr="003A6529" w:rsidRDefault="00E167A4" w:rsidP="00855D5A">
            <w:pPr>
              <w:widowControl w:val="0"/>
              <w:jc w:val="center"/>
              <w:rPr>
                <w:iCs/>
                <w:noProof/>
                <w:lang w:val="en-US"/>
              </w:rPr>
            </w:pPr>
          </w:p>
          <w:p w14:paraId="326F6458" w14:textId="77777777" w:rsidR="00E167A4" w:rsidRPr="003A6529" w:rsidRDefault="00E167A4" w:rsidP="009B77C8">
            <w:pPr>
              <w:widowControl w:val="0"/>
              <w:jc w:val="center"/>
              <w:rPr>
                <w:i/>
                <w:iCs/>
                <w:noProof/>
                <w:lang w:val="en-US"/>
              </w:rPr>
            </w:pPr>
            <w:r w:rsidRPr="003A6529">
              <w:rPr>
                <w:noProof/>
                <w:sz w:val="22"/>
                <w:szCs w:val="22"/>
                <w:lang w:bidi="lv-LV"/>
              </w:rPr>
              <w:t>1,8%</w:t>
            </w:r>
          </w:p>
        </w:tc>
        <w:tc>
          <w:tcPr>
            <w:tcW w:w="2126" w:type="dxa"/>
          </w:tcPr>
          <w:p w14:paraId="766954BD" w14:textId="77777777" w:rsidR="00E167A4" w:rsidRPr="003A6529" w:rsidRDefault="00E167A4" w:rsidP="00855D5A">
            <w:pPr>
              <w:widowControl w:val="0"/>
              <w:jc w:val="center"/>
              <w:rPr>
                <w:iCs/>
                <w:noProof/>
                <w:lang w:val="en-US"/>
              </w:rPr>
            </w:pPr>
          </w:p>
          <w:p w14:paraId="41E4CF85" w14:textId="77777777" w:rsidR="00E167A4" w:rsidRPr="003A6529" w:rsidRDefault="00E167A4" w:rsidP="009B77C8">
            <w:pPr>
              <w:widowControl w:val="0"/>
              <w:jc w:val="center"/>
              <w:rPr>
                <w:i/>
                <w:iCs/>
                <w:noProof/>
                <w:lang w:val="en-US"/>
              </w:rPr>
            </w:pPr>
            <w:r w:rsidRPr="003A6529">
              <w:rPr>
                <w:noProof/>
                <w:sz w:val="22"/>
                <w:szCs w:val="22"/>
                <w:lang w:bidi="lv-LV"/>
              </w:rPr>
              <w:t>1,4%</w:t>
            </w:r>
          </w:p>
        </w:tc>
      </w:tr>
      <w:tr w:rsidR="00E167A4" w:rsidRPr="003A6529" w14:paraId="65C15BC5" w14:textId="77777777" w:rsidTr="006360C3">
        <w:trPr>
          <w:trHeight w:val="485"/>
        </w:trPr>
        <w:tc>
          <w:tcPr>
            <w:tcW w:w="4447" w:type="dxa"/>
          </w:tcPr>
          <w:p w14:paraId="6E13BFFA" w14:textId="77777777" w:rsidR="00E167A4" w:rsidRPr="003A6529" w:rsidRDefault="00E167A4" w:rsidP="00855D5A">
            <w:pPr>
              <w:widowControl w:val="0"/>
              <w:rPr>
                <w:i/>
                <w:iCs/>
                <w:noProof/>
                <w:lang w:val="en-US"/>
              </w:rPr>
            </w:pPr>
            <w:r w:rsidRPr="003A6529">
              <w:rPr>
                <w:i/>
                <w:noProof/>
                <w:sz w:val="22"/>
                <w:szCs w:val="22"/>
                <w:lang w:bidi="lv-LV"/>
              </w:rPr>
              <w:t>Elpošanas</w:t>
            </w:r>
            <w:r w:rsidR="00607327" w:rsidRPr="003A6529">
              <w:rPr>
                <w:i/>
                <w:noProof/>
                <w:sz w:val="22"/>
                <w:szCs w:val="22"/>
                <w:lang w:bidi="lv-LV"/>
              </w:rPr>
              <w:t xml:space="preserve"> </w:t>
            </w:r>
            <w:r w:rsidR="00607327" w:rsidRPr="003A6529">
              <w:rPr>
                <w:i/>
                <w:sz w:val="22"/>
                <w:szCs w:val="22"/>
                <w:lang w:bidi="lv-LV"/>
              </w:rPr>
              <w:t>sistēmas traucējumi, krūšu kurvja un videnes slimības</w:t>
            </w:r>
          </w:p>
          <w:p w14:paraId="06B8CBF1" w14:textId="77777777" w:rsidR="00E167A4" w:rsidRPr="003A6529" w:rsidRDefault="00E167A4" w:rsidP="009B77C8">
            <w:pPr>
              <w:widowControl w:val="0"/>
              <w:rPr>
                <w:i/>
                <w:iCs/>
                <w:noProof/>
                <w:lang w:val="en-US"/>
              </w:rPr>
            </w:pPr>
            <w:r w:rsidRPr="003A6529">
              <w:rPr>
                <w:noProof/>
                <w:sz w:val="22"/>
                <w:szCs w:val="22"/>
                <w:lang w:bidi="lv-LV"/>
              </w:rPr>
              <w:t>Rinīts</w:t>
            </w:r>
          </w:p>
        </w:tc>
        <w:tc>
          <w:tcPr>
            <w:tcW w:w="2324" w:type="dxa"/>
          </w:tcPr>
          <w:p w14:paraId="7A74992A" w14:textId="77777777" w:rsidR="00E167A4" w:rsidRPr="003A6529" w:rsidRDefault="00E167A4" w:rsidP="00855D5A">
            <w:pPr>
              <w:widowControl w:val="0"/>
              <w:jc w:val="center"/>
              <w:rPr>
                <w:iCs/>
                <w:noProof/>
                <w:lang w:val="en-US"/>
              </w:rPr>
            </w:pPr>
          </w:p>
          <w:p w14:paraId="6624DE6F" w14:textId="77777777" w:rsidR="00E167A4" w:rsidRPr="003A6529" w:rsidRDefault="00E167A4" w:rsidP="00855D5A">
            <w:pPr>
              <w:widowControl w:val="0"/>
              <w:jc w:val="center"/>
              <w:rPr>
                <w:iCs/>
                <w:noProof/>
                <w:lang w:val="en-US"/>
              </w:rPr>
            </w:pPr>
          </w:p>
          <w:p w14:paraId="2F764408" w14:textId="77777777" w:rsidR="00E167A4" w:rsidRPr="003A6529" w:rsidRDefault="00E167A4" w:rsidP="009B77C8">
            <w:pPr>
              <w:widowControl w:val="0"/>
              <w:jc w:val="center"/>
              <w:rPr>
                <w:iCs/>
                <w:noProof/>
                <w:lang w:val="en-US"/>
              </w:rPr>
            </w:pPr>
            <w:r w:rsidRPr="003A6529">
              <w:rPr>
                <w:noProof/>
                <w:sz w:val="22"/>
                <w:szCs w:val="22"/>
                <w:lang w:bidi="lv-LV"/>
              </w:rPr>
              <w:t>1,4%</w:t>
            </w:r>
          </w:p>
        </w:tc>
        <w:tc>
          <w:tcPr>
            <w:tcW w:w="2126" w:type="dxa"/>
          </w:tcPr>
          <w:p w14:paraId="671CBC79" w14:textId="77777777" w:rsidR="00E167A4" w:rsidRPr="003A6529" w:rsidRDefault="00E167A4" w:rsidP="00855D5A">
            <w:pPr>
              <w:widowControl w:val="0"/>
              <w:jc w:val="center"/>
              <w:rPr>
                <w:iCs/>
                <w:noProof/>
                <w:lang w:val="en-US"/>
              </w:rPr>
            </w:pPr>
          </w:p>
          <w:p w14:paraId="5477586E" w14:textId="77777777" w:rsidR="00E167A4" w:rsidRPr="003A6529" w:rsidRDefault="00E167A4" w:rsidP="00855D5A">
            <w:pPr>
              <w:widowControl w:val="0"/>
              <w:jc w:val="center"/>
              <w:rPr>
                <w:iCs/>
                <w:noProof/>
                <w:lang w:val="en-US"/>
              </w:rPr>
            </w:pPr>
          </w:p>
          <w:p w14:paraId="01885213" w14:textId="77777777" w:rsidR="00E167A4" w:rsidRPr="003A6529" w:rsidRDefault="00E167A4" w:rsidP="009B77C8">
            <w:pPr>
              <w:widowControl w:val="0"/>
              <w:jc w:val="center"/>
              <w:rPr>
                <w:iCs/>
                <w:noProof/>
                <w:lang w:val="en-US"/>
              </w:rPr>
            </w:pPr>
            <w:r w:rsidRPr="003A6529">
              <w:rPr>
                <w:noProof/>
                <w:sz w:val="22"/>
                <w:szCs w:val="22"/>
                <w:lang w:bidi="lv-LV"/>
              </w:rPr>
              <w:t>1,1%</w:t>
            </w:r>
          </w:p>
        </w:tc>
      </w:tr>
      <w:tr w:rsidR="00E167A4" w:rsidRPr="003A6529" w14:paraId="32ECD573" w14:textId="77777777" w:rsidTr="00CE6AD0">
        <w:trPr>
          <w:trHeight w:val="585"/>
        </w:trPr>
        <w:tc>
          <w:tcPr>
            <w:tcW w:w="4447" w:type="dxa"/>
          </w:tcPr>
          <w:p w14:paraId="45EA8F9A" w14:textId="77777777" w:rsidR="00E167A4" w:rsidRPr="003A6529" w:rsidRDefault="00E167A4" w:rsidP="009B77C8">
            <w:pPr>
              <w:widowControl w:val="0"/>
              <w:rPr>
                <w:i/>
                <w:iCs/>
                <w:noProof/>
              </w:rPr>
            </w:pPr>
            <w:r w:rsidRPr="003A6529">
              <w:rPr>
                <w:i/>
                <w:noProof/>
                <w:sz w:val="22"/>
                <w:szCs w:val="22"/>
                <w:lang w:bidi="lv-LV"/>
              </w:rPr>
              <w:lastRenderedPageBreak/>
              <w:t>Vispārēji traucējumi un reakcijas ievadīšanas vietā</w:t>
            </w:r>
          </w:p>
          <w:p w14:paraId="5293CFA0" w14:textId="77777777" w:rsidR="00E167A4" w:rsidRPr="003A6529" w:rsidRDefault="00E167A4" w:rsidP="00B82406">
            <w:pPr>
              <w:widowControl w:val="0"/>
              <w:rPr>
                <w:i/>
                <w:iCs/>
                <w:noProof/>
                <w:lang w:val="en-US"/>
              </w:rPr>
            </w:pPr>
            <w:r w:rsidRPr="003A6529">
              <w:rPr>
                <w:noProof/>
                <w:sz w:val="22"/>
                <w:szCs w:val="22"/>
                <w:lang w:bidi="lv-LV"/>
              </w:rPr>
              <w:t>Nogurums</w:t>
            </w:r>
          </w:p>
        </w:tc>
        <w:tc>
          <w:tcPr>
            <w:tcW w:w="2324" w:type="dxa"/>
          </w:tcPr>
          <w:p w14:paraId="0B910E4F" w14:textId="77777777" w:rsidR="00E167A4" w:rsidRPr="003A6529" w:rsidRDefault="00E167A4" w:rsidP="009B77C8">
            <w:pPr>
              <w:widowControl w:val="0"/>
              <w:jc w:val="center"/>
              <w:rPr>
                <w:iCs/>
                <w:noProof/>
                <w:lang w:val="en-US"/>
              </w:rPr>
            </w:pPr>
          </w:p>
          <w:p w14:paraId="56DEB6BA" w14:textId="77777777" w:rsidR="00E167A4" w:rsidRPr="003A6529" w:rsidRDefault="00E167A4" w:rsidP="009B77C8">
            <w:pPr>
              <w:widowControl w:val="0"/>
              <w:jc w:val="center"/>
              <w:rPr>
                <w:iCs/>
                <w:noProof/>
                <w:lang w:val="en-US"/>
              </w:rPr>
            </w:pPr>
          </w:p>
          <w:p w14:paraId="3914E918" w14:textId="77777777" w:rsidR="00E167A4" w:rsidRPr="003A6529" w:rsidRDefault="00E167A4" w:rsidP="009B77C8">
            <w:pPr>
              <w:widowControl w:val="0"/>
              <w:jc w:val="center"/>
              <w:rPr>
                <w:i/>
                <w:iCs/>
                <w:noProof/>
                <w:lang w:val="en-US"/>
              </w:rPr>
            </w:pPr>
            <w:r w:rsidRPr="003A6529">
              <w:rPr>
                <w:noProof/>
                <w:sz w:val="22"/>
                <w:szCs w:val="22"/>
                <w:lang w:bidi="lv-LV"/>
              </w:rPr>
              <w:t>1,0%</w:t>
            </w:r>
          </w:p>
        </w:tc>
        <w:tc>
          <w:tcPr>
            <w:tcW w:w="2126" w:type="dxa"/>
          </w:tcPr>
          <w:p w14:paraId="723F0A4B" w14:textId="77777777" w:rsidR="00E167A4" w:rsidRPr="003A6529" w:rsidRDefault="00E167A4" w:rsidP="009B77C8">
            <w:pPr>
              <w:widowControl w:val="0"/>
              <w:jc w:val="center"/>
              <w:rPr>
                <w:iCs/>
                <w:noProof/>
                <w:lang w:val="en-US"/>
              </w:rPr>
            </w:pPr>
          </w:p>
          <w:p w14:paraId="777AD182" w14:textId="77777777" w:rsidR="00E167A4" w:rsidRPr="003A6529" w:rsidRDefault="00E167A4" w:rsidP="009B77C8">
            <w:pPr>
              <w:widowControl w:val="0"/>
              <w:jc w:val="center"/>
              <w:rPr>
                <w:iCs/>
                <w:noProof/>
                <w:lang w:val="en-US"/>
              </w:rPr>
            </w:pPr>
          </w:p>
          <w:p w14:paraId="3DC46894" w14:textId="77777777" w:rsidR="00E167A4" w:rsidRPr="003A6529" w:rsidRDefault="00E167A4" w:rsidP="009B77C8">
            <w:pPr>
              <w:widowControl w:val="0"/>
              <w:jc w:val="center"/>
              <w:rPr>
                <w:i/>
                <w:iCs/>
                <w:noProof/>
                <w:lang w:val="en-US"/>
              </w:rPr>
            </w:pPr>
            <w:r w:rsidRPr="003A6529">
              <w:rPr>
                <w:noProof/>
                <w:sz w:val="22"/>
                <w:szCs w:val="22"/>
                <w:lang w:bidi="lv-LV"/>
              </w:rPr>
              <w:t>0,3%</w:t>
            </w:r>
          </w:p>
        </w:tc>
      </w:tr>
    </w:tbl>
    <w:p w14:paraId="42C574E5" w14:textId="77777777" w:rsidR="00E167A4" w:rsidRPr="003A6529" w:rsidRDefault="00E167A4" w:rsidP="009B77C8">
      <w:pPr>
        <w:widowControl w:val="0"/>
        <w:autoSpaceDE w:val="0"/>
        <w:autoSpaceDN w:val="0"/>
        <w:adjustRightInd w:val="0"/>
        <w:rPr>
          <w:noProof/>
          <w:color w:val="000000"/>
          <w:sz w:val="22"/>
          <w:szCs w:val="22"/>
          <w:lang w:val="en-US"/>
        </w:rPr>
      </w:pPr>
    </w:p>
    <w:p w14:paraId="2C22400C" w14:textId="77777777" w:rsidR="00E167A4" w:rsidRPr="003A6529" w:rsidRDefault="00E167A4" w:rsidP="009B77C8">
      <w:pPr>
        <w:widowControl w:val="0"/>
        <w:autoSpaceDE w:val="0"/>
        <w:autoSpaceDN w:val="0"/>
        <w:adjustRightInd w:val="0"/>
        <w:rPr>
          <w:noProof/>
          <w:color w:val="000000"/>
          <w:sz w:val="22"/>
          <w:szCs w:val="22"/>
          <w:lang w:val="en-US"/>
        </w:rPr>
      </w:pPr>
    </w:p>
    <w:p w14:paraId="38FFD172" w14:textId="77777777" w:rsidR="00E167A4" w:rsidRPr="003A6529" w:rsidRDefault="00E167A4" w:rsidP="009548A1">
      <w:pPr>
        <w:widowControl w:val="0"/>
        <w:autoSpaceDE w:val="0"/>
        <w:autoSpaceDN w:val="0"/>
        <w:adjustRightInd w:val="0"/>
        <w:rPr>
          <w:noProof/>
          <w:color w:val="000000"/>
          <w:sz w:val="22"/>
          <w:szCs w:val="22"/>
          <w:u w:val="single"/>
          <w:lang w:val="en-US"/>
        </w:rPr>
      </w:pPr>
      <w:r w:rsidRPr="003A6529">
        <w:rPr>
          <w:noProof/>
          <w:sz w:val="22"/>
          <w:szCs w:val="22"/>
          <w:u w:val="single"/>
          <w:lang w:bidi="lv-LV"/>
        </w:rPr>
        <w:t>Pieredze pēcreģistrācijas periodā</w:t>
      </w:r>
    </w:p>
    <w:p w14:paraId="4912C806" w14:textId="77777777" w:rsidR="00E167A4" w:rsidRPr="003A6529" w:rsidRDefault="00E167A4" w:rsidP="009548A1">
      <w:pPr>
        <w:widowControl w:val="0"/>
        <w:autoSpaceDE w:val="0"/>
        <w:autoSpaceDN w:val="0"/>
        <w:adjustRightInd w:val="0"/>
        <w:rPr>
          <w:color w:val="000000"/>
          <w:sz w:val="22"/>
          <w:szCs w:val="22"/>
          <w:lang w:val="en-US"/>
        </w:rPr>
      </w:pPr>
    </w:p>
    <w:p w14:paraId="70905E33" w14:textId="77777777" w:rsidR="00E167A4" w:rsidRPr="003A6529" w:rsidRDefault="00E167A4" w:rsidP="009548A1">
      <w:pPr>
        <w:pStyle w:val="Default"/>
        <w:rPr>
          <w:sz w:val="22"/>
          <w:szCs w:val="22"/>
          <w:lang w:val="en-US"/>
        </w:rPr>
      </w:pPr>
      <w:r w:rsidRPr="003A6529">
        <w:rPr>
          <w:sz w:val="22"/>
          <w:szCs w:val="22"/>
          <w:lang w:bidi="lv-LV"/>
        </w:rPr>
        <w:t xml:space="preserve">Papildus tām nevēlamajām blakusparādībām, par kurām tika ziņots klīnisko pētījumu laikā un kuras uzskaitītas iepriekš, </w:t>
      </w:r>
      <w:proofErr w:type="spellStart"/>
      <w:r w:rsidRPr="003A6529">
        <w:rPr>
          <w:sz w:val="22"/>
          <w:szCs w:val="22"/>
          <w:lang w:bidi="lv-LV"/>
        </w:rPr>
        <w:t>pēcreģistrācijas</w:t>
      </w:r>
      <w:proofErr w:type="spellEnd"/>
      <w:r w:rsidRPr="003A6529">
        <w:rPr>
          <w:sz w:val="22"/>
          <w:szCs w:val="22"/>
          <w:lang w:bidi="lv-LV"/>
        </w:rPr>
        <w:t xml:space="preserve"> periodā ziņots arī par turpmāk uzskaitītajām nevēlamajām blakusparādībām. </w:t>
      </w:r>
    </w:p>
    <w:p w14:paraId="6D7ACA6D" w14:textId="77777777" w:rsidR="00E167A4" w:rsidRPr="003A6529" w:rsidRDefault="00E167A4" w:rsidP="009548A1">
      <w:pPr>
        <w:pStyle w:val="Default"/>
        <w:rPr>
          <w:sz w:val="22"/>
          <w:szCs w:val="22"/>
          <w:lang w:val="en-US"/>
        </w:rPr>
      </w:pPr>
      <w:r w:rsidRPr="003A6529">
        <w:rPr>
          <w:sz w:val="22"/>
          <w:szCs w:val="22"/>
          <w:lang w:bidi="lv-LV"/>
        </w:rPr>
        <w:t xml:space="preserve">Nevēlamās blakusparādības ir uzskaitītas saskaņā ar </w:t>
      </w:r>
      <w:proofErr w:type="spellStart"/>
      <w:r w:rsidRPr="003A6529">
        <w:rPr>
          <w:sz w:val="22"/>
          <w:szCs w:val="22"/>
          <w:lang w:bidi="lv-LV"/>
        </w:rPr>
        <w:t>MedDRA</w:t>
      </w:r>
      <w:proofErr w:type="spellEnd"/>
      <w:r w:rsidRPr="003A6529">
        <w:rPr>
          <w:sz w:val="22"/>
          <w:szCs w:val="22"/>
          <w:lang w:bidi="lv-LV"/>
        </w:rPr>
        <w:t xml:space="preserve"> orgānu sistēmu klasifikāciju un atkarībā no noteiktā blakusparādību sastopamības biežuma </w:t>
      </w:r>
      <w:proofErr w:type="spellStart"/>
      <w:r w:rsidRPr="003A6529">
        <w:rPr>
          <w:sz w:val="22"/>
          <w:szCs w:val="22"/>
          <w:lang w:bidi="lv-LV"/>
        </w:rPr>
        <w:t>pēcreģistrācijas</w:t>
      </w:r>
      <w:proofErr w:type="spellEnd"/>
      <w:r w:rsidRPr="003A6529">
        <w:rPr>
          <w:sz w:val="22"/>
          <w:szCs w:val="22"/>
          <w:lang w:bidi="lv-LV"/>
        </w:rPr>
        <w:t xml:space="preserve"> periodā. </w:t>
      </w:r>
    </w:p>
    <w:p w14:paraId="1AB4BA33" w14:textId="77777777" w:rsidR="00E167A4" w:rsidRPr="003A6529" w:rsidRDefault="00E167A4" w:rsidP="003D7332">
      <w:pPr>
        <w:pStyle w:val="Default"/>
        <w:rPr>
          <w:sz w:val="22"/>
          <w:szCs w:val="22"/>
          <w:lang w:val="en-US"/>
        </w:rPr>
      </w:pPr>
      <w:r w:rsidRPr="003A6529">
        <w:rPr>
          <w:sz w:val="22"/>
          <w:szCs w:val="22"/>
          <w:lang w:bidi="lv-LV"/>
        </w:rPr>
        <w:t xml:space="preserve">Sastopamības biežums tiek definēts šādi: </w:t>
      </w:r>
    </w:p>
    <w:p w14:paraId="22580115" w14:textId="77777777" w:rsidR="00E167A4" w:rsidRPr="003A6529" w:rsidRDefault="00E20E61" w:rsidP="003D7332">
      <w:pPr>
        <w:pStyle w:val="Default"/>
        <w:rPr>
          <w:sz w:val="22"/>
          <w:szCs w:val="22"/>
          <w:lang w:val="en-US"/>
        </w:rPr>
      </w:pPr>
      <w:r w:rsidRPr="003A6529">
        <w:rPr>
          <w:sz w:val="22"/>
          <w:szCs w:val="22"/>
          <w:lang w:bidi="lv-LV"/>
        </w:rPr>
        <w:t xml:space="preserve">ļoti </w:t>
      </w:r>
      <w:r w:rsidR="00E167A4" w:rsidRPr="003A6529">
        <w:rPr>
          <w:sz w:val="22"/>
          <w:szCs w:val="22"/>
          <w:lang w:bidi="lv-LV"/>
        </w:rPr>
        <w:t>bieži (≥1/10)</w:t>
      </w:r>
      <w:r w:rsidRPr="003A6529">
        <w:rPr>
          <w:sz w:val="22"/>
          <w:szCs w:val="22"/>
          <w:lang w:bidi="lv-LV"/>
        </w:rPr>
        <w:t>;</w:t>
      </w:r>
    </w:p>
    <w:p w14:paraId="252E5234" w14:textId="77777777" w:rsidR="00E167A4" w:rsidRPr="003A6529" w:rsidRDefault="00E20E61" w:rsidP="003D7332">
      <w:pPr>
        <w:pStyle w:val="Default"/>
        <w:rPr>
          <w:sz w:val="22"/>
          <w:szCs w:val="22"/>
          <w:lang w:val="en-US"/>
        </w:rPr>
      </w:pPr>
      <w:r w:rsidRPr="003A6529">
        <w:rPr>
          <w:sz w:val="22"/>
          <w:szCs w:val="22"/>
          <w:lang w:bidi="lv-LV"/>
        </w:rPr>
        <w:t xml:space="preserve">bieži </w:t>
      </w:r>
      <w:r w:rsidR="00E167A4" w:rsidRPr="003A6529">
        <w:rPr>
          <w:sz w:val="22"/>
          <w:szCs w:val="22"/>
          <w:lang w:bidi="lv-LV"/>
        </w:rPr>
        <w:t>(no ≥1/100 līdz &lt;1/10)</w:t>
      </w:r>
      <w:r w:rsidRPr="003A6529">
        <w:rPr>
          <w:sz w:val="22"/>
          <w:szCs w:val="22"/>
          <w:lang w:bidi="lv-LV"/>
        </w:rPr>
        <w:t>;</w:t>
      </w:r>
    </w:p>
    <w:p w14:paraId="7D146AFB" w14:textId="77777777" w:rsidR="00E167A4" w:rsidRPr="003A6529" w:rsidRDefault="00E20E61" w:rsidP="003D7332">
      <w:pPr>
        <w:pStyle w:val="Default"/>
        <w:rPr>
          <w:sz w:val="22"/>
          <w:szCs w:val="22"/>
          <w:lang w:val="it-IT"/>
        </w:rPr>
      </w:pPr>
      <w:r w:rsidRPr="003A6529">
        <w:rPr>
          <w:sz w:val="22"/>
          <w:szCs w:val="22"/>
          <w:lang w:bidi="lv-LV"/>
        </w:rPr>
        <w:t xml:space="preserve">retāk </w:t>
      </w:r>
      <w:r w:rsidR="00E167A4" w:rsidRPr="003A6529">
        <w:rPr>
          <w:sz w:val="22"/>
          <w:szCs w:val="22"/>
          <w:lang w:bidi="lv-LV"/>
        </w:rPr>
        <w:t>(no ≥1/1000 līdz &lt;1/100)</w:t>
      </w:r>
      <w:r w:rsidRPr="003A6529">
        <w:rPr>
          <w:sz w:val="22"/>
          <w:szCs w:val="22"/>
          <w:lang w:bidi="lv-LV"/>
        </w:rPr>
        <w:t>;</w:t>
      </w:r>
    </w:p>
    <w:p w14:paraId="13591413" w14:textId="77777777" w:rsidR="00E167A4" w:rsidRPr="003A6529" w:rsidRDefault="00E20E61" w:rsidP="003D7332">
      <w:pPr>
        <w:pStyle w:val="Default"/>
        <w:rPr>
          <w:sz w:val="22"/>
          <w:szCs w:val="22"/>
          <w:lang w:val="it-IT"/>
        </w:rPr>
      </w:pPr>
      <w:r w:rsidRPr="003A6529">
        <w:rPr>
          <w:sz w:val="22"/>
          <w:szCs w:val="22"/>
          <w:lang w:bidi="lv-LV"/>
        </w:rPr>
        <w:t xml:space="preserve">reti </w:t>
      </w:r>
      <w:r w:rsidR="00E167A4" w:rsidRPr="003A6529">
        <w:rPr>
          <w:sz w:val="22"/>
          <w:szCs w:val="22"/>
          <w:lang w:bidi="lv-LV"/>
        </w:rPr>
        <w:t>(no ≥1/10 000 līdz &lt;1/1000)</w:t>
      </w:r>
      <w:r w:rsidRPr="003A6529">
        <w:rPr>
          <w:sz w:val="22"/>
          <w:szCs w:val="22"/>
          <w:lang w:bidi="lv-LV"/>
        </w:rPr>
        <w:t>;</w:t>
      </w:r>
    </w:p>
    <w:p w14:paraId="5B63DE2A" w14:textId="77777777" w:rsidR="00E167A4" w:rsidRPr="003A6529" w:rsidRDefault="00E20E61" w:rsidP="003D7332">
      <w:pPr>
        <w:pStyle w:val="Default"/>
        <w:rPr>
          <w:sz w:val="22"/>
          <w:szCs w:val="22"/>
          <w:lang w:val="it-IT"/>
        </w:rPr>
      </w:pPr>
      <w:r w:rsidRPr="003A6529">
        <w:rPr>
          <w:sz w:val="22"/>
          <w:szCs w:val="22"/>
          <w:lang w:bidi="lv-LV"/>
        </w:rPr>
        <w:t xml:space="preserve">ļoti </w:t>
      </w:r>
      <w:r w:rsidR="00E167A4" w:rsidRPr="003A6529">
        <w:rPr>
          <w:sz w:val="22"/>
          <w:szCs w:val="22"/>
          <w:lang w:bidi="lv-LV"/>
        </w:rPr>
        <w:t>reti (no &lt;1/10 000)</w:t>
      </w:r>
      <w:r w:rsidRPr="003A6529">
        <w:rPr>
          <w:sz w:val="22"/>
          <w:szCs w:val="22"/>
          <w:lang w:bidi="lv-LV"/>
        </w:rPr>
        <w:t>;</w:t>
      </w:r>
    </w:p>
    <w:p w14:paraId="214ED31E" w14:textId="1EBC1903" w:rsidR="00E167A4" w:rsidRPr="003A6529" w:rsidRDefault="00E20E61" w:rsidP="003D7332">
      <w:pPr>
        <w:pStyle w:val="Default"/>
        <w:rPr>
          <w:noProof/>
          <w:sz w:val="22"/>
          <w:szCs w:val="22"/>
          <w:lang w:val="it-IT"/>
        </w:rPr>
      </w:pPr>
      <w:r w:rsidRPr="003A6529">
        <w:rPr>
          <w:sz w:val="22"/>
          <w:szCs w:val="22"/>
          <w:lang w:bidi="lv-LV"/>
        </w:rPr>
        <w:t xml:space="preserve">nav </w:t>
      </w:r>
      <w:r w:rsidR="00E167A4" w:rsidRPr="003A6529">
        <w:rPr>
          <w:sz w:val="22"/>
          <w:szCs w:val="22"/>
          <w:lang w:bidi="lv-LV"/>
        </w:rPr>
        <w:t>zinām</w:t>
      </w:r>
      <w:r w:rsidR="00DA28C2">
        <w:rPr>
          <w:sz w:val="22"/>
          <w:szCs w:val="22"/>
          <w:lang w:bidi="lv-LV"/>
        </w:rPr>
        <w:t>i</w:t>
      </w:r>
      <w:r w:rsidR="00E167A4" w:rsidRPr="003A6529">
        <w:rPr>
          <w:sz w:val="22"/>
          <w:szCs w:val="22"/>
          <w:lang w:bidi="lv-LV"/>
        </w:rPr>
        <w:t xml:space="preserve"> (pēc pieejamajiem datiem nav iespējams novērtēt)</w:t>
      </w:r>
      <w:r w:rsidRPr="003A6529">
        <w:rPr>
          <w:sz w:val="22"/>
          <w:szCs w:val="22"/>
          <w:lang w:bidi="lv-LV"/>
        </w:rPr>
        <w:t>.</w:t>
      </w:r>
      <w:r w:rsidR="00E167A4" w:rsidRPr="003A6529">
        <w:rPr>
          <w:sz w:val="22"/>
          <w:szCs w:val="22"/>
          <w:lang w:bidi="lv-LV"/>
        </w:rPr>
        <w:t xml:space="preserve"> </w:t>
      </w:r>
    </w:p>
    <w:p w14:paraId="6805E1EA" w14:textId="77777777" w:rsidR="00E167A4" w:rsidRPr="003A6529" w:rsidRDefault="00E167A4" w:rsidP="00DC3F58">
      <w:pPr>
        <w:widowControl w:val="0"/>
        <w:autoSpaceDE w:val="0"/>
        <w:autoSpaceDN w:val="0"/>
        <w:adjustRightInd w:val="0"/>
        <w:rPr>
          <w:i/>
          <w:noProof/>
          <w:color w:val="000000"/>
          <w:sz w:val="22"/>
          <w:szCs w:val="22"/>
          <w:lang w:val="it-IT"/>
        </w:rPr>
      </w:pPr>
    </w:p>
    <w:p w14:paraId="44B8BACE" w14:textId="77777777" w:rsidR="00E167A4" w:rsidRPr="003A6529" w:rsidRDefault="00E167A4" w:rsidP="00DC3F58">
      <w:pPr>
        <w:widowControl w:val="0"/>
        <w:numPr>
          <w:ilvl w:val="0"/>
          <w:numId w:val="3"/>
        </w:numPr>
        <w:autoSpaceDE w:val="0"/>
        <w:autoSpaceDN w:val="0"/>
        <w:adjustRightInd w:val="0"/>
        <w:rPr>
          <w:i/>
          <w:color w:val="000000"/>
          <w:sz w:val="22"/>
          <w:szCs w:val="22"/>
          <w:lang w:val="it-IT"/>
        </w:rPr>
      </w:pPr>
      <w:r w:rsidRPr="003A6529">
        <w:rPr>
          <w:i/>
          <w:color w:val="000000"/>
          <w:sz w:val="22"/>
          <w:szCs w:val="22"/>
          <w:lang w:bidi="lv-LV"/>
        </w:rPr>
        <w:t xml:space="preserve">Asins un limfātiskās sistēmas traucējumi </w:t>
      </w:r>
    </w:p>
    <w:p w14:paraId="7DE340C8" w14:textId="77777777" w:rsidR="00E167A4" w:rsidRPr="003A6529" w:rsidRDefault="00E167A4" w:rsidP="00DC3F58">
      <w:pPr>
        <w:widowControl w:val="0"/>
        <w:tabs>
          <w:tab w:val="left" w:pos="720"/>
        </w:tabs>
        <w:autoSpaceDE w:val="0"/>
        <w:autoSpaceDN w:val="0"/>
        <w:adjustRightInd w:val="0"/>
        <w:ind w:left="720"/>
        <w:rPr>
          <w:color w:val="000000"/>
          <w:sz w:val="22"/>
          <w:szCs w:val="22"/>
          <w:lang w:val="it-IT"/>
        </w:rPr>
      </w:pPr>
      <w:r w:rsidRPr="003A6529">
        <w:rPr>
          <w:color w:val="000000"/>
          <w:sz w:val="22"/>
          <w:szCs w:val="22"/>
          <w:lang w:bidi="lv-LV"/>
        </w:rPr>
        <w:t xml:space="preserve">Ļoti reti: </w:t>
      </w:r>
      <w:proofErr w:type="spellStart"/>
      <w:r w:rsidRPr="003A6529">
        <w:rPr>
          <w:color w:val="000000"/>
          <w:sz w:val="22"/>
          <w:szCs w:val="22"/>
          <w:lang w:bidi="lv-LV"/>
        </w:rPr>
        <w:t>trombocitopēnija</w:t>
      </w:r>
      <w:proofErr w:type="spellEnd"/>
    </w:p>
    <w:p w14:paraId="12393198" w14:textId="77777777" w:rsidR="00E167A4" w:rsidRPr="003A6529" w:rsidRDefault="00E167A4" w:rsidP="00DC3F58">
      <w:pPr>
        <w:widowControl w:val="0"/>
        <w:tabs>
          <w:tab w:val="left" w:pos="720"/>
        </w:tabs>
        <w:autoSpaceDE w:val="0"/>
        <w:autoSpaceDN w:val="0"/>
        <w:adjustRightInd w:val="0"/>
        <w:ind w:left="720"/>
        <w:rPr>
          <w:color w:val="000000"/>
          <w:sz w:val="22"/>
          <w:szCs w:val="22"/>
          <w:lang w:val="it-IT"/>
        </w:rPr>
      </w:pPr>
    </w:p>
    <w:p w14:paraId="37304E4A" w14:textId="77777777" w:rsidR="00E167A4" w:rsidRPr="003A6529" w:rsidRDefault="00E167A4" w:rsidP="00DC3F58">
      <w:pPr>
        <w:widowControl w:val="0"/>
        <w:numPr>
          <w:ilvl w:val="0"/>
          <w:numId w:val="3"/>
        </w:numPr>
        <w:autoSpaceDE w:val="0"/>
        <w:autoSpaceDN w:val="0"/>
        <w:adjustRightInd w:val="0"/>
        <w:rPr>
          <w:i/>
          <w:color w:val="000000"/>
          <w:sz w:val="22"/>
          <w:szCs w:val="22"/>
          <w:lang w:val="it-IT"/>
        </w:rPr>
      </w:pPr>
      <w:r w:rsidRPr="003A6529">
        <w:rPr>
          <w:i/>
          <w:color w:val="000000"/>
          <w:sz w:val="22"/>
          <w:szCs w:val="22"/>
          <w:lang w:bidi="lv-LV"/>
        </w:rPr>
        <w:t xml:space="preserve">Imūnās sistēmas traucējumi </w:t>
      </w:r>
    </w:p>
    <w:p w14:paraId="53383DF4" w14:textId="77777777" w:rsidR="00E167A4" w:rsidRPr="003A6529" w:rsidRDefault="00E167A4" w:rsidP="00DC3F58">
      <w:pPr>
        <w:widowControl w:val="0"/>
        <w:autoSpaceDE w:val="0"/>
        <w:autoSpaceDN w:val="0"/>
        <w:adjustRightInd w:val="0"/>
        <w:ind w:left="720"/>
        <w:rPr>
          <w:color w:val="000000"/>
          <w:sz w:val="22"/>
          <w:szCs w:val="22"/>
          <w:lang w:val="it-IT"/>
        </w:rPr>
      </w:pPr>
      <w:r w:rsidRPr="003A6529">
        <w:rPr>
          <w:color w:val="000000"/>
          <w:sz w:val="22"/>
          <w:szCs w:val="22"/>
          <w:lang w:bidi="lv-LV"/>
        </w:rPr>
        <w:t xml:space="preserve">Reti: </w:t>
      </w:r>
      <w:proofErr w:type="spellStart"/>
      <w:r w:rsidRPr="003A6529">
        <w:rPr>
          <w:color w:val="000000"/>
          <w:sz w:val="22"/>
          <w:szCs w:val="22"/>
          <w:lang w:bidi="lv-LV"/>
        </w:rPr>
        <w:t>hipersensitivitāte</w:t>
      </w:r>
      <w:proofErr w:type="spellEnd"/>
    </w:p>
    <w:p w14:paraId="2FADA803" w14:textId="77777777" w:rsidR="00E167A4" w:rsidRPr="003A6529" w:rsidRDefault="00E167A4" w:rsidP="00CE6AD0">
      <w:pPr>
        <w:widowControl w:val="0"/>
        <w:autoSpaceDE w:val="0"/>
        <w:autoSpaceDN w:val="0"/>
        <w:adjustRightInd w:val="0"/>
        <w:ind w:left="720"/>
        <w:rPr>
          <w:color w:val="000000"/>
          <w:sz w:val="22"/>
          <w:szCs w:val="22"/>
          <w:lang w:val="en-US"/>
        </w:rPr>
      </w:pPr>
      <w:r w:rsidRPr="003A6529">
        <w:rPr>
          <w:color w:val="000000"/>
          <w:sz w:val="22"/>
          <w:szCs w:val="22"/>
          <w:lang w:bidi="lv-LV"/>
        </w:rPr>
        <w:t xml:space="preserve">Ļoti reti: </w:t>
      </w:r>
      <w:proofErr w:type="spellStart"/>
      <w:r w:rsidRPr="003A6529">
        <w:rPr>
          <w:color w:val="000000"/>
          <w:sz w:val="22"/>
          <w:szCs w:val="22"/>
          <w:lang w:bidi="lv-LV"/>
        </w:rPr>
        <w:t>anafilaktiskais</w:t>
      </w:r>
      <w:proofErr w:type="spellEnd"/>
      <w:r w:rsidRPr="003A6529">
        <w:rPr>
          <w:color w:val="000000"/>
          <w:sz w:val="22"/>
          <w:szCs w:val="22"/>
          <w:lang w:bidi="lv-LV"/>
        </w:rPr>
        <w:t xml:space="preserve"> šoks</w:t>
      </w:r>
    </w:p>
    <w:p w14:paraId="341343EC" w14:textId="77777777" w:rsidR="00E167A4" w:rsidRPr="003A6529" w:rsidRDefault="00E167A4" w:rsidP="00CE6AD0">
      <w:pPr>
        <w:widowControl w:val="0"/>
        <w:autoSpaceDE w:val="0"/>
        <w:autoSpaceDN w:val="0"/>
        <w:adjustRightInd w:val="0"/>
        <w:ind w:left="720"/>
        <w:rPr>
          <w:color w:val="000000"/>
          <w:sz w:val="22"/>
          <w:szCs w:val="22"/>
          <w:lang w:val="en-US"/>
        </w:rPr>
      </w:pPr>
    </w:p>
    <w:p w14:paraId="62217D7D" w14:textId="77777777" w:rsidR="00E167A4" w:rsidRPr="003A6529" w:rsidRDefault="00C173E1"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Vielmaiņas </w:t>
      </w:r>
      <w:r w:rsidR="00E167A4" w:rsidRPr="003A6529">
        <w:rPr>
          <w:i/>
          <w:color w:val="000000"/>
          <w:sz w:val="22"/>
          <w:szCs w:val="22"/>
          <w:lang w:bidi="lv-LV"/>
        </w:rPr>
        <w:t xml:space="preserve">un </w:t>
      </w:r>
      <w:proofErr w:type="spellStart"/>
      <w:r w:rsidRPr="003A6529">
        <w:rPr>
          <w:i/>
          <w:color w:val="000000"/>
          <w:sz w:val="22"/>
          <w:szCs w:val="22"/>
          <w:lang w:bidi="lv-LV"/>
        </w:rPr>
        <w:t>uztures</w:t>
      </w:r>
      <w:proofErr w:type="spellEnd"/>
      <w:r w:rsidRPr="003A6529">
        <w:rPr>
          <w:i/>
          <w:color w:val="000000"/>
          <w:sz w:val="22"/>
          <w:szCs w:val="22"/>
          <w:lang w:bidi="lv-LV"/>
        </w:rPr>
        <w:t xml:space="preserve"> </w:t>
      </w:r>
      <w:r w:rsidR="00E167A4" w:rsidRPr="003A6529">
        <w:rPr>
          <w:i/>
          <w:color w:val="000000"/>
          <w:sz w:val="22"/>
          <w:szCs w:val="22"/>
          <w:lang w:bidi="lv-LV"/>
        </w:rPr>
        <w:t>traucējumi</w:t>
      </w:r>
    </w:p>
    <w:p w14:paraId="39D80C90" w14:textId="0E694509" w:rsidR="00E167A4" w:rsidRPr="003A6529" w:rsidRDefault="00E167A4" w:rsidP="00E60EA8">
      <w:pPr>
        <w:widowControl w:val="0"/>
        <w:tabs>
          <w:tab w:val="left" w:pos="720"/>
        </w:tabs>
        <w:autoSpaceDE w:val="0"/>
        <w:autoSpaceDN w:val="0"/>
        <w:adjustRightInd w:val="0"/>
        <w:ind w:left="720"/>
        <w:rPr>
          <w:color w:val="000000"/>
          <w:sz w:val="22"/>
          <w:szCs w:val="22"/>
          <w:lang w:val="en-US"/>
        </w:rPr>
      </w:pPr>
      <w:r w:rsidRPr="003A6529">
        <w:rPr>
          <w:color w:val="000000"/>
          <w:sz w:val="22"/>
          <w:szCs w:val="22"/>
          <w:lang w:bidi="lv-LV"/>
        </w:rPr>
        <w:t>Nav zinām</w:t>
      </w:r>
      <w:r w:rsidR="00DA28C2">
        <w:rPr>
          <w:color w:val="000000"/>
          <w:sz w:val="22"/>
          <w:szCs w:val="22"/>
          <w:lang w:bidi="lv-LV"/>
        </w:rPr>
        <w:t>i</w:t>
      </w:r>
      <w:r w:rsidRPr="003A6529">
        <w:rPr>
          <w:color w:val="000000"/>
          <w:sz w:val="22"/>
          <w:szCs w:val="22"/>
          <w:lang w:bidi="lv-LV"/>
        </w:rPr>
        <w:t xml:space="preserve">: </w:t>
      </w:r>
      <w:r w:rsidR="00457144">
        <w:rPr>
          <w:color w:val="000000"/>
          <w:sz w:val="22"/>
          <w:szCs w:val="22"/>
          <w:lang w:bidi="lv-LV"/>
        </w:rPr>
        <w:t>pastiprināta ēstgriba</w:t>
      </w:r>
    </w:p>
    <w:p w14:paraId="3066B639" w14:textId="77777777" w:rsidR="00E167A4" w:rsidRPr="003A6529" w:rsidRDefault="00E167A4" w:rsidP="00E60EA8">
      <w:pPr>
        <w:widowControl w:val="0"/>
        <w:tabs>
          <w:tab w:val="left" w:pos="720"/>
        </w:tabs>
        <w:autoSpaceDE w:val="0"/>
        <w:autoSpaceDN w:val="0"/>
        <w:adjustRightInd w:val="0"/>
        <w:ind w:left="720"/>
        <w:rPr>
          <w:color w:val="000000"/>
          <w:sz w:val="22"/>
          <w:szCs w:val="22"/>
          <w:lang w:val="en-US"/>
        </w:rPr>
      </w:pPr>
    </w:p>
    <w:p w14:paraId="6F696E3D" w14:textId="77777777" w:rsidR="00E167A4" w:rsidRPr="003A6529" w:rsidRDefault="00421470"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Psihiskie </w:t>
      </w:r>
      <w:r w:rsidR="00E167A4" w:rsidRPr="003A6529">
        <w:rPr>
          <w:i/>
          <w:color w:val="000000"/>
          <w:sz w:val="22"/>
          <w:szCs w:val="22"/>
          <w:lang w:bidi="lv-LV"/>
        </w:rPr>
        <w:t xml:space="preserve">traucējumi </w:t>
      </w:r>
    </w:p>
    <w:p w14:paraId="3AB70994" w14:textId="77777777" w:rsidR="00E167A4" w:rsidRPr="003A6529" w:rsidRDefault="00E167A4" w:rsidP="00DC3F58">
      <w:pPr>
        <w:widowControl w:val="0"/>
        <w:tabs>
          <w:tab w:val="left" w:pos="720"/>
        </w:tabs>
        <w:autoSpaceDE w:val="0"/>
        <w:autoSpaceDN w:val="0"/>
        <w:adjustRightInd w:val="0"/>
        <w:ind w:left="720"/>
        <w:rPr>
          <w:color w:val="000000"/>
          <w:sz w:val="22"/>
          <w:szCs w:val="22"/>
          <w:lang w:val="en-US"/>
        </w:rPr>
      </w:pPr>
      <w:r w:rsidRPr="003A6529">
        <w:rPr>
          <w:color w:val="000000"/>
          <w:sz w:val="22"/>
          <w:szCs w:val="22"/>
          <w:lang w:bidi="lv-LV"/>
        </w:rPr>
        <w:t>Retāk: uzbudinājums</w:t>
      </w:r>
    </w:p>
    <w:p w14:paraId="1AF75081" w14:textId="77777777" w:rsidR="00E167A4" w:rsidRPr="003A6529" w:rsidRDefault="00E167A4" w:rsidP="00CE6AD0">
      <w:pPr>
        <w:widowControl w:val="0"/>
        <w:tabs>
          <w:tab w:val="left" w:pos="720"/>
        </w:tabs>
        <w:autoSpaceDE w:val="0"/>
        <w:autoSpaceDN w:val="0"/>
        <w:adjustRightInd w:val="0"/>
        <w:ind w:left="720"/>
        <w:rPr>
          <w:color w:val="000000"/>
          <w:sz w:val="22"/>
          <w:szCs w:val="22"/>
          <w:lang w:val="en-US"/>
        </w:rPr>
      </w:pPr>
      <w:r w:rsidRPr="003A6529">
        <w:rPr>
          <w:color w:val="000000"/>
          <w:sz w:val="22"/>
          <w:szCs w:val="22"/>
          <w:lang w:bidi="lv-LV"/>
        </w:rPr>
        <w:t>Reti: agresija, apjukums, depresija, halucinācijas, bezmiegs</w:t>
      </w:r>
    </w:p>
    <w:p w14:paraId="1CD82142" w14:textId="77777777" w:rsidR="00E167A4" w:rsidRPr="003A6529" w:rsidRDefault="00E167A4" w:rsidP="00CE6AD0">
      <w:pPr>
        <w:widowControl w:val="0"/>
        <w:tabs>
          <w:tab w:val="left" w:pos="720"/>
        </w:tabs>
        <w:autoSpaceDE w:val="0"/>
        <w:autoSpaceDN w:val="0"/>
        <w:adjustRightInd w:val="0"/>
        <w:ind w:left="720"/>
        <w:rPr>
          <w:color w:val="000000"/>
          <w:sz w:val="22"/>
          <w:szCs w:val="22"/>
          <w:lang w:val="en-US"/>
        </w:rPr>
      </w:pPr>
      <w:r w:rsidRPr="003A6529">
        <w:rPr>
          <w:color w:val="000000"/>
          <w:sz w:val="22"/>
          <w:szCs w:val="22"/>
          <w:lang w:bidi="lv-LV"/>
        </w:rPr>
        <w:t>Ļoti reti: tiki</w:t>
      </w:r>
    </w:p>
    <w:p w14:paraId="2A80A3E4" w14:textId="778A18CC" w:rsidR="00E167A4" w:rsidRPr="003A6529" w:rsidRDefault="00E167A4" w:rsidP="00CE6AD0">
      <w:pPr>
        <w:widowControl w:val="0"/>
        <w:tabs>
          <w:tab w:val="left" w:pos="720"/>
        </w:tabs>
        <w:autoSpaceDE w:val="0"/>
        <w:autoSpaceDN w:val="0"/>
        <w:adjustRightInd w:val="0"/>
        <w:ind w:left="720"/>
        <w:rPr>
          <w:color w:val="000000"/>
          <w:sz w:val="22"/>
          <w:szCs w:val="22"/>
          <w:lang w:val="en-US"/>
        </w:rPr>
      </w:pPr>
      <w:r w:rsidRPr="003A6529">
        <w:rPr>
          <w:color w:val="000000"/>
          <w:sz w:val="22"/>
          <w:szCs w:val="22"/>
          <w:lang w:bidi="lv-LV"/>
        </w:rPr>
        <w:t>Nav zinām</w:t>
      </w:r>
      <w:r w:rsidR="00DA28C2">
        <w:rPr>
          <w:color w:val="000000"/>
          <w:sz w:val="22"/>
          <w:szCs w:val="22"/>
          <w:lang w:bidi="lv-LV"/>
        </w:rPr>
        <w:t>i</w:t>
      </w:r>
      <w:r w:rsidRPr="003A6529">
        <w:rPr>
          <w:color w:val="000000"/>
          <w:sz w:val="22"/>
          <w:szCs w:val="22"/>
          <w:lang w:bidi="lv-LV"/>
        </w:rPr>
        <w:t>: domas</w:t>
      </w:r>
      <w:r w:rsidR="000A7A0A" w:rsidRPr="003A6529">
        <w:rPr>
          <w:color w:val="000000"/>
          <w:sz w:val="22"/>
          <w:szCs w:val="22"/>
          <w:lang w:bidi="lv-LV"/>
        </w:rPr>
        <w:t xml:space="preserve"> par pašnāvību</w:t>
      </w:r>
      <w:r w:rsidR="00EC5FD7">
        <w:rPr>
          <w:color w:val="000000"/>
          <w:sz w:val="22"/>
          <w:szCs w:val="22"/>
          <w:lang w:bidi="lv-LV"/>
        </w:rPr>
        <w:t>, nakts murgi</w:t>
      </w:r>
    </w:p>
    <w:p w14:paraId="241C1D2C" w14:textId="77777777" w:rsidR="00E167A4" w:rsidRPr="003A6529" w:rsidRDefault="00E167A4" w:rsidP="00CE6AD0">
      <w:pPr>
        <w:widowControl w:val="0"/>
        <w:tabs>
          <w:tab w:val="left" w:pos="720"/>
        </w:tabs>
        <w:autoSpaceDE w:val="0"/>
        <w:autoSpaceDN w:val="0"/>
        <w:adjustRightInd w:val="0"/>
        <w:ind w:left="720"/>
        <w:rPr>
          <w:color w:val="000000"/>
          <w:sz w:val="22"/>
          <w:szCs w:val="22"/>
          <w:lang w:val="en-US"/>
        </w:rPr>
      </w:pPr>
    </w:p>
    <w:p w14:paraId="6597F56D" w14:textId="77777777" w:rsidR="00E167A4" w:rsidRPr="003A6529" w:rsidRDefault="00E167A4"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Nervu sistēmas traucējumi </w:t>
      </w:r>
    </w:p>
    <w:p w14:paraId="11AF4BA4" w14:textId="77777777" w:rsidR="00E167A4" w:rsidRPr="003A6529" w:rsidRDefault="00E167A4" w:rsidP="00DC3F58">
      <w:pPr>
        <w:widowControl w:val="0"/>
        <w:tabs>
          <w:tab w:val="left" w:pos="720"/>
        </w:tabs>
        <w:autoSpaceDE w:val="0"/>
        <w:autoSpaceDN w:val="0"/>
        <w:adjustRightInd w:val="0"/>
        <w:ind w:left="720"/>
        <w:rPr>
          <w:color w:val="000000"/>
          <w:sz w:val="22"/>
          <w:szCs w:val="22"/>
          <w:lang w:val="en-US"/>
        </w:rPr>
      </w:pPr>
      <w:r w:rsidRPr="003A6529">
        <w:rPr>
          <w:color w:val="000000"/>
          <w:sz w:val="22"/>
          <w:szCs w:val="22"/>
          <w:lang w:bidi="lv-LV"/>
        </w:rPr>
        <w:t xml:space="preserve">Retāk: </w:t>
      </w:r>
      <w:proofErr w:type="spellStart"/>
      <w:r w:rsidRPr="003A6529">
        <w:rPr>
          <w:color w:val="000000"/>
          <w:sz w:val="22"/>
          <w:szCs w:val="22"/>
          <w:lang w:bidi="lv-LV"/>
        </w:rPr>
        <w:t>parestēzija</w:t>
      </w:r>
      <w:proofErr w:type="spellEnd"/>
    </w:p>
    <w:p w14:paraId="0CF57B6B" w14:textId="77777777" w:rsidR="00E167A4" w:rsidRPr="003A6529" w:rsidRDefault="00E167A4" w:rsidP="00DC3F58">
      <w:pPr>
        <w:widowControl w:val="0"/>
        <w:tabs>
          <w:tab w:val="left" w:pos="720"/>
        </w:tabs>
        <w:autoSpaceDE w:val="0"/>
        <w:autoSpaceDN w:val="0"/>
        <w:adjustRightInd w:val="0"/>
        <w:ind w:left="720"/>
        <w:rPr>
          <w:color w:val="000000"/>
          <w:sz w:val="22"/>
          <w:szCs w:val="22"/>
          <w:lang w:val="en-US"/>
        </w:rPr>
      </w:pPr>
      <w:r w:rsidRPr="003A6529">
        <w:rPr>
          <w:color w:val="000000"/>
          <w:sz w:val="22"/>
          <w:szCs w:val="22"/>
          <w:lang w:bidi="lv-LV"/>
        </w:rPr>
        <w:t>Reti: krampji</w:t>
      </w:r>
    </w:p>
    <w:p w14:paraId="408C6B1F" w14:textId="77777777" w:rsidR="00E167A4" w:rsidRPr="003A6529" w:rsidRDefault="00E167A4" w:rsidP="00DC3F58">
      <w:pPr>
        <w:widowControl w:val="0"/>
        <w:tabs>
          <w:tab w:val="left" w:pos="720"/>
        </w:tabs>
        <w:autoSpaceDE w:val="0"/>
        <w:autoSpaceDN w:val="0"/>
        <w:adjustRightInd w:val="0"/>
        <w:ind w:left="720"/>
        <w:rPr>
          <w:color w:val="000000"/>
          <w:sz w:val="22"/>
          <w:szCs w:val="22"/>
          <w:lang w:val="en-US"/>
        </w:rPr>
      </w:pPr>
      <w:r w:rsidRPr="003A6529">
        <w:rPr>
          <w:color w:val="000000"/>
          <w:sz w:val="22"/>
          <w:szCs w:val="22"/>
          <w:lang w:bidi="lv-LV"/>
        </w:rPr>
        <w:t xml:space="preserve">Ļoti reti: </w:t>
      </w:r>
      <w:proofErr w:type="spellStart"/>
      <w:r w:rsidRPr="003A6529">
        <w:rPr>
          <w:color w:val="000000"/>
          <w:sz w:val="22"/>
          <w:szCs w:val="22"/>
          <w:lang w:bidi="lv-LV"/>
        </w:rPr>
        <w:t>disgeizija</w:t>
      </w:r>
      <w:proofErr w:type="spellEnd"/>
      <w:r w:rsidRPr="003A6529">
        <w:rPr>
          <w:color w:val="000000"/>
          <w:sz w:val="22"/>
          <w:szCs w:val="22"/>
          <w:lang w:bidi="lv-LV"/>
        </w:rPr>
        <w:t xml:space="preserve"> (garšas sajūtas izmaiņas), sinkope, trīce, </w:t>
      </w:r>
      <w:proofErr w:type="spellStart"/>
      <w:r w:rsidRPr="003A6529">
        <w:rPr>
          <w:color w:val="000000"/>
          <w:sz w:val="22"/>
          <w:szCs w:val="22"/>
          <w:lang w:bidi="lv-LV"/>
        </w:rPr>
        <w:t>distonija</w:t>
      </w:r>
      <w:proofErr w:type="spellEnd"/>
      <w:r w:rsidRPr="003A6529">
        <w:rPr>
          <w:color w:val="000000"/>
          <w:sz w:val="22"/>
          <w:szCs w:val="22"/>
          <w:lang w:bidi="lv-LV"/>
        </w:rPr>
        <w:t xml:space="preserve">, </w:t>
      </w:r>
      <w:proofErr w:type="spellStart"/>
      <w:r w:rsidRPr="003A6529">
        <w:rPr>
          <w:color w:val="000000"/>
          <w:sz w:val="22"/>
          <w:szCs w:val="22"/>
          <w:lang w:bidi="lv-LV"/>
        </w:rPr>
        <w:t>diskinēzija</w:t>
      </w:r>
      <w:proofErr w:type="spellEnd"/>
    </w:p>
    <w:p w14:paraId="65F66764" w14:textId="07E64299" w:rsidR="00E167A4" w:rsidRPr="003A6529" w:rsidRDefault="00E167A4" w:rsidP="00DC3F58">
      <w:pPr>
        <w:widowControl w:val="0"/>
        <w:tabs>
          <w:tab w:val="left" w:pos="720"/>
        </w:tabs>
        <w:autoSpaceDE w:val="0"/>
        <w:autoSpaceDN w:val="0"/>
        <w:adjustRightInd w:val="0"/>
        <w:ind w:left="720"/>
        <w:rPr>
          <w:color w:val="000000"/>
          <w:sz w:val="22"/>
          <w:szCs w:val="22"/>
          <w:lang w:val="en-US"/>
        </w:rPr>
      </w:pPr>
      <w:r w:rsidRPr="003A6529">
        <w:rPr>
          <w:color w:val="000000"/>
          <w:sz w:val="22"/>
          <w:szCs w:val="22"/>
          <w:lang w:bidi="lv-LV"/>
        </w:rPr>
        <w:t>Nav zinām</w:t>
      </w:r>
      <w:r w:rsidR="00DA28C2">
        <w:rPr>
          <w:color w:val="000000"/>
          <w:sz w:val="22"/>
          <w:szCs w:val="22"/>
          <w:lang w:bidi="lv-LV"/>
        </w:rPr>
        <w:t>i</w:t>
      </w:r>
      <w:r w:rsidRPr="003A6529">
        <w:rPr>
          <w:color w:val="000000"/>
          <w:sz w:val="22"/>
          <w:szCs w:val="22"/>
          <w:lang w:bidi="lv-LV"/>
        </w:rPr>
        <w:t>: amnēzija, atmiņas traucējumi</w:t>
      </w:r>
    </w:p>
    <w:p w14:paraId="38E94D15" w14:textId="77777777" w:rsidR="00E167A4" w:rsidRPr="003A6529" w:rsidRDefault="00E167A4" w:rsidP="00DC3F58">
      <w:pPr>
        <w:widowControl w:val="0"/>
        <w:tabs>
          <w:tab w:val="left" w:pos="720"/>
        </w:tabs>
        <w:autoSpaceDE w:val="0"/>
        <w:autoSpaceDN w:val="0"/>
        <w:adjustRightInd w:val="0"/>
        <w:ind w:left="720"/>
        <w:rPr>
          <w:color w:val="000000"/>
          <w:sz w:val="22"/>
          <w:szCs w:val="22"/>
          <w:lang w:val="en-US"/>
        </w:rPr>
      </w:pPr>
    </w:p>
    <w:p w14:paraId="693EEBBA" w14:textId="77777777" w:rsidR="00E167A4" w:rsidRPr="003A6529" w:rsidRDefault="00E167A4"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Acu </w:t>
      </w:r>
      <w:r w:rsidR="00801DD5" w:rsidRPr="003A6529">
        <w:rPr>
          <w:i/>
          <w:color w:val="000000"/>
          <w:sz w:val="22"/>
          <w:szCs w:val="22"/>
          <w:lang w:bidi="lv-LV"/>
        </w:rPr>
        <w:t>bojājumi</w:t>
      </w:r>
      <w:r w:rsidRPr="003A6529">
        <w:rPr>
          <w:i/>
          <w:color w:val="000000"/>
          <w:sz w:val="22"/>
          <w:szCs w:val="22"/>
          <w:lang w:bidi="lv-LV"/>
        </w:rPr>
        <w:t xml:space="preserve"> </w:t>
      </w:r>
    </w:p>
    <w:p w14:paraId="2DE63B41" w14:textId="1D579AFD" w:rsidR="00E167A4" w:rsidRPr="003A6529" w:rsidRDefault="00E167A4" w:rsidP="00DC3F58">
      <w:pPr>
        <w:widowControl w:val="0"/>
        <w:autoSpaceDE w:val="0"/>
        <w:autoSpaceDN w:val="0"/>
        <w:adjustRightInd w:val="0"/>
        <w:ind w:left="720"/>
        <w:rPr>
          <w:color w:val="000000"/>
          <w:sz w:val="22"/>
          <w:szCs w:val="22"/>
          <w:lang w:val="en-US"/>
        </w:rPr>
      </w:pPr>
      <w:r w:rsidRPr="003A6529">
        <w:rPr>
          <w:color w:val="000000"/>
          <w:sz w:val="22"/>
          <w:szCs w:val="22"/>
          <w:lang w:bidi="lv-LV"/>
        </w:rPr>
        <w:t xml:space="preserve">Ļoti reti: akomodācijas traucējumi, neskaidra redze, </w:t>
      </w:r>
      <w:r w:rsidR="007D786E" w:rsidRPr="003A6529">
        <w:rPr>
          <w:sz w:val="22"/>
          <w:szCs w:val="22"/>
        </w:rPr>
        <w:t>patoloģiskas acs ābolu kustības</w:t>
      </w:r>
      <w:r w:rsidR="00457144">
        <w:rPr>
          <w:sz w:val="22"/>
          <w:szCs w:val="22"/>
        </w:rPr>
        <w:t xml:space="preserve"> (</w:t>
      </w:r>
      <w:proofErr w:type="spellStart"/>
      <w:r w:rsidR="00457144">
        <w:rPr>
          <w:sz w:val="22"/>
          <w:szCs w:val="22"/>
        </w:rPr>
        <w:t>okulogīrija</w:t>
      </w:r>
      <w:proofErr w:type="spellEnd"/>
      <w:r w:rsidR="00457144">
        <w:rPr>
          <w:sz w:val="22"/>
          <w:szCs w:val="22"/>
        </w:rPr>
        <w:t>)</w:t>
      </w:r>
    </w:p>
    <w:p w14:paraId="747BE9AD" w14:textId="77777777" w:rsidR="00E167A4" w:rsidRPr="003A6529" w:rsidRDefault="00E167A4" w:rsidP="00DC3F58">
      <w:pPr>
        <w:widowControl w:val="0"/>
        <w:autoSpaceDE w:val="0"/>
        <w:autoSpaceDN w:val="0"/>
        <w:adjustRightInd w:val="0"/>
        <w:ind w:left="720"/>
        <w:rPr>
          <w:color w:val="000000"/>
          <w:sz w:val="22"/>
          <w:szCs w:val="22"/>
          <w:lang w:val="en-US"/>
        </w:rPr>
      </w:pPr>
    </w:p>
    <w:p w14:paraId="50C09379" w14:textId="77777777" w:rsidR="00E167A4" w:rsidRPr="003A6529" w:rsidRDefault="00E167A4"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Ausu un labirinta bojājumi</w:t>
      </w:r>
    </w:p>
    <w:p w14:paraId="06E66C17" w14:textId="27959E0F" w:rsidR="00E167A4" w:rsidRPr="003A6529" w:rsidRDefault="00E167A4" w:rsidP="00C75BC6">
      <w:pPr>
        <w:widowControl w:val="0"/>
        <w:autoSpaceDE w:val="0"/>
        <w:autoSpaceDN w:val="0"/>
        <w:adjustRightInd w:val="0"/>
        <w:ind w:left="708"/>
        <w:rPr>
          <w:color w:val="000000"/>
          <w:sz w:val="22"/>
          <w:szCs w:val="22"/>
          <w:lang w:val="en-US"/>
        </w:rPr>
      </w:pPr>
      <w:r w:rsidRPr="003A6529">
        <w:rPr>
          <w:color w:val="000000"/>
          <w:sz w:val="22"/>
          <w:szCs w:val="22"/>
          <w:lang w:bidi="lv-LV"/>
        </w:rPr>
        <w:t>Nav zinām</w:t>
      </w:r>
      <w:r w:rsidR="00DA28C2">
        <w:rPr>
          <w:color w:val="000000"/>
          <w:sz w:val="22"/>
          <w:szCs w:val="22"/>
          <w:lang w:bidi="lv-LV"/>
        </w:rPr>
        <w:t>i</w:t>
      </w:r>
      <w:r w:rsidRPr="003A6529">
        <w:rPr>
          <w:color w:val="000000"/>
          <w:sz w:val="22"/>
          <w:szCs w:val="22"/>
          <w:lang w:bidi="lv-LV"/>
        </w:rPr>
        <w:t>: reibonis</w:t>
      </w:r>
    </w:p>
    <w:p w14:paraId="50CD6DBE" w14:textId="77777777" w:rsidR="00E167A4" w:rsidRPr="003A6529" w:rsidRDefault="00E167A4" w:rsidP="00C75BC6">
      <w:pPr>
        <w:widowControl w:val="0"/>
        <w:autoSpaceDE w:val="0"/>
        <w:autoSpaceDN w:val="0"/>
        <w:adjustRightInd w:val="0"/>
        <w:ind w:left="708"/>
        <w:rPr>
          <w:color w:val="000000"/>
          <w:sz w:val="22"/>
          <w:szCs w:val="22"/>
          <w:lang w:val="en-US"/>
        </w:rPr>
      </w:pPr>
    </w:p>
    <w:p w14:paraId="73F8057C" w14:textId="77777777" w:rsidR="00E167A4" w:rsidRPr="003A6529" w:rsidRDefault="00E167A4"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Sirds </w:t>
      </w:r>
      <w:r w:rsidR="0012728A" w:rsidRPr="003A6529">
        <w:rPr>
          <w:i/>
          <w:color w:val="000000"/>
          <w:sz w:val="22"/>
          <w:szCs w:val="22"/>
          <w:lang w:bidi="lv-LV"/>
        </w:rPr>
        <w:t>funkcijas</w:t>
      </w:r>
      <w:r w:rsidRPr="003A6529">
        <w:rPr>
          <w:i/>
          <w:color w:val="000000"/>
          <w:sz w:val="22"/>
          <w:szCs w:val="22"/>
          <w:lang w:bidi="lv-LV"/>
        </w:rPr>
        <w:t xml:space="preserve"> traucējumi </w:t>
      </w:r>
    </w:p>
    <w:p w14:paraId="0CF762BB" w14:textId="77777777" w:rsidR="00E167A4" w:rsidRPr="003A6529" w:rsidRDefault="00E167A4" w:rsidP="00DC3F58">
      <w:pPr>
        <w:widowControl w:val="0"/>
        <w:autoSpaceDE w:val="0"/>
        <w:autoSpaceDN w:val="0"/>
        <w:adjustRightInd w:val="0"/>
        <w:ind w:left="720"/>
        <w:rPr>
          <w:color w:val="000000"/>
          <w:sz w:val="22"/>
          <w:szCs w:val="22"/>
          <w:lang w:val="en-US"/>
        </w:rPr>
      </w:pPr>
      <w:r w:rsidRPr="003A6529">
        <w:rPr>
          <w:color w:val="000000"/>
          <w:sz w:val="22"/>
          <w:szCs w:val="22"/>
          <w:lang w:bidi="lv-LV"/>
        </w:rPr>
        <w:t>Reti: tahikardija</w:t>
      </w:r>
    </w:p>
    <w:p w14:paraId="09935D01" w14:textId="77777777" w:rsidR="00E167A4" w:rsidRPr="003A6529" w:rsidRDefault="00E167A4" w:rsidP="00DC3F58">
      <w:pPr>
        <w:widowControl w:val="0"/>
        <w:autoSpaceDE w:val="0"/>
        <w:autoSpaceDN w:val="0"/>
        <w:adjustRightInd w:val="0"/>
        <w:ind w:left="720"/>
        <w:rPr>
          <w:color w:val="000000"/>
          <w:sz w:val="22"/>
          <w:szCs w:val="22"/>
          <w:lang w:val="en-US"/>
        </w:rPr>
      </w:pPr>
    </w:p>
    <w:p w14:paraId="7563A442" w14:textId="77777777" w:rsidR="00E167A4" w:rsidRPr="003A6529" w:rsidRDefault="00E167A4"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Kuņģa-zarnu trakta traucējumi </w:t>
      </w:r>
    </w:p>
    <w:p w14:paraId="0AA18153" w14:textId="77777777" w:rsidR="00E167A4" w:rsidRPr="003A6529" w:rsidRDefault="00E167A4" w:rsidP="00DC3F58">
      <w:pPr>
        <w:widowControl w:val="0"/>
        <w:autoSpaceDE w:val="0"/>
        <w:autoSpaceDN w:val="0"/>
        <w:adjustRightInd w:val="0"/>
        <w:ind w:left="720"/>
        <w:rPr>
          <w:color w:val="000000"/>
          <w:sz w:val="22"/>
          <w:szCs w:val="22"/>
          <w:lang w:val="en-US"/>
        </w:rPr>
      </w:pPr>
      <w:r w:rsidRPr="003A6529">
        <w:rPr>
          <w:color w:val="000000"/>
          <w:sz w:val="22"/>
          <w:szCs w:val="22"/>
          <w:lang w:bidi="lv-LV"/>
        </w:rPr>
        <w:t>Retāk: caureja</w:t>
      </w:r>
    </w:p>
    <w:p w14:paraId="70EAFEAD" w14:textId="77777777" w:rsidR="00E167A4" w:rsidRPr="003A6529" w:rsidRDefault="00E167A4" w:rsidP="00DC3F58">
      <w:pPr>
        <w:widowControl w:val="0"/>
        <w:autoSpaceDE w:val="0"/>
        <w:autoSpaceDN w:val="0"/>
        <w:adjustRightInd w:val="0"/>
        <w:ind w:left="720"/>
        <w:rPr>
          <w:color w:val="000000"/>
          <w:sz w:val="22"/>
          <w:szCs w:val="22"/>
          <w:lang w:val="en-US"/>
        </w:rPr>
      </w:pPr>
    </w:p>
    <w:p w14:paraId="02393587" w14:textId="77777777" w:rsidR="00E167A4" w:rsidRPr="003A6529" w:rsidRDefault="001F5AAF" w:rsidP="00DC3F58">
      <w:pPr>
        <w:widowControl w:val="0"/>
        <w:numPr>
          <w:ilvl w:val="0"/>
          <w:numId w:val="3"/>
        </w:numPr>
        <w:autoSpaceDE w:val="0"/>
        <w:autoSpaceDN w:val="0"/>
        <w:adjustRightInd w:val="0"/>
        <w:rPr>
          <w:i/>
          <w:color w:val="000000"/>
          <w:sz w:val="22"/>
          <w:szCs w:val="22"/>
          <w:lang w:val="en-US"/>
        </w:rPr>
      </w:pPr>
      <w:r w:rsidRPr="003A6529">
        <w:rPr>
          <w:i/>
          <w:iCs/>
          <w:sz w:val="22"/>
          <w:szCs w:val="22"/>
        </w:rPr>
        <w:t xml:space="preserve">Aknu un/vai žults izvades </w:t>
      </w:r>
      <w:r w:rsidR="00E167A4" w:rsidRPr="003A6529">
        <w:rPr>
          <w:i/>
          <w:color w:val="000000"/>
          <w:sz w:val="22"/>
          <w:szCs w:val="22"/>
          <w:lang w:bidi="lv-LV"/>
        </w:rPr>
        <w:t xml:space="preserve">sistēmas traucējumi </w:t>
      </w:r>
    </w:p>
    <w:p w14:paraId="67C72720" w14:textId="77777777" w:rsidR="00E167A4" w:rsidRDefault="00E167A4" w:rsidP="00DC3F58">
      <w:pPr>
        <w:widowControl w:val="0"/>
        <w:autoSpaceDE w:val="0"/>
        <w:autoSpaceDN w:val="0"/>
        <w:adjustRightInd w:val="0"/>
        <w:ind w:left="720"/>
        <w:rPr>
          <w:noProof/>
          <w:color w:val="000000"/>
          <w:sz w:val="22"/>
          <w:szCs w:val="22"/>
          <w:lang w:bidi="lv-LV"/>
        </w:rPr>
      </w:pPr>
      <w:r w:rsidRPr="003A6529">
        <w:rPr>
          <w:noProof/>
          <w:color w:val="000000"/>
          <w:sz w:val="22"/>
          <w:szCs w:val="22"/>
          <w:lang w:bidi="lv-LV"/>
        </w:rPr>
        <w:lastRenderedPageBreak/>
        <w:t xml:space="preserve">Reti: aknu </w:t>
      </w:r>
      <w:r w:rsidR="00192DF3" w:rsidRPr="003A6529">
        <w:rPr>
          <w:noProof/>
          <w:color w:val="000000"/>
          <w:sz w:val="22"/>
          <w:szCs w:val="22"/>
          <w:lang w:bidi="lv-LV"/>
        </w:rPr>
        <w:t xml:space="preserve">darbības </w:t>
      </w:r>
      <w:r w:rsidRPr="003A6529">
        <w:rPr>
          <w:noProof/>
          <w:color w:val="000000"/>
          <w:sz w:val="22"/>
          <w:szCs w:val="22"/>
          <w:lang w:bidi="lv-LV"/>
        </w:rPr>
        <w:t>traucējumi (</w:t>
      </w:r>
      <w:r w:rsidR="00192DF3" w:rsidRPr="003A6529">
        <w:rPr>
          <w:noProof/>
          <w:color w:val="000000"/>
          <w:sz w:val="22"/>
          <w:szCs w:val="22"/>
          <w:lang w:bidi="lv-LV"/>
        </w:rPr>
        <w:t xml:space="preserve">paaugstināts </w:t>
      </w:r>
      <w:r w:rsidRPr="003A6529">
        <w:rPr>
          <w:noProof/>
          <w:color w:val="000000"/>
          <w:sz w:val="22"/>
          <w:szCs w:val="22"/>
          <w:lang w:bidi="lv-LV"/>
        </w:rPr>
        <w:t>transamināžu, sārmainās fosfatāzes, γ-GT un bilirubīna līmenis)</w:t>
      </w:r>
    </w:p>
    <w:p w14:paraId="5E34E179" w14:textId="77777777" w:rsidR="005A28B3" w:rsidRPr="003A6529" w:rsidRDefault="005A28B3" w:rsidP="00DC3F58">
      <w:pPr>
        <w:widowControl w:val="0"/>
        <w:autoSpaceDE w:val="0"/>
        <w:autoSpaceDN w:val="0"/>
        <w:adjustRightInd w:val="0"/>
        <w:ind w:left="720"/>
        <w:rPr>
          <w:noProof/>
          <w:color w:val="000000"/>
          <w:sz w:val="22"/>
          <w:szCs w:val="22"/>
          <w:lang w:val="en-US"/>
        </w:rPr>
      </w:pPr>
      <w:r w:rsidRPr="005A28B3">
        <w:rPr>
          <w:noProof/>
          <w:color w:val="000000"/>
          <w:sz w:val="22"/>
          <w:szCs w:val="22"/>
          <w:lang w:val="en-US"/>
        </w:rPr>
        <w:t>Nav zināmi: hepatīts</w:t>
      </w:r>
    </w:p>
    <w:p w14:paraId="2DBAD08D" w14:textId="77777777" w:rsidR="00E167A4" w:rsidRPr="003A6529" w:rsidRDefault="00E167A4" w:rsidP="00DC3F58">
      <w:pPr>
        <w:widowControl w:val="0"/>
        <w:autoSpaceDE w:val="0"/>
        <w:autoSpaceDN w:val="0"/>
        <w:adjustRightInd w:val="0"/>
        <w:ind w:left="720"/>
        <w:rPr>
          <w:noProof/>
          <w:color w:val="000000"/>
          <w:sz w:val="22"/>
          <w:szCs w:val="22"/>
          <w:lang w:val="en-US"/>
        </w:rPr>
      </w:pPr>
    </w:p>
    <w:p w14:paraId="72DF72C8" w14:textId="77777777" w:rsidR="00E167A4" w:rsidRPr="003A7E39" w:rsidRDefault="00E167A4"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Ādas un zemādas audu bojājumi </w:t>
      </w:r>
    </w:p>
    <w:p w14:paraId="01436064" w14:textId="77777777" w:rsidR="00E167A4" w:rsidRPr="003A6529" w:rsidRDefault="00E167A4" w:rsidP="00DC3F58">
      <w:pPr>
        <w:widowControl w:val="0"/>
        <w:autoSpaceDE w:val="0"/>
        <w:autoSpaceDN w:val="0"/>
        <w:adjustRightInd w:val="0"/>
        <w:ind w:left="720"/>
        <w:rPr>
          <w:color w:val="000000"/>
          <w:sz w:val="22"/>
          <w:szCs w:val="22"/>
          <w:lang w:val="en-US"/>
        </w:rPr>
      </w:pPr>
      <w:r w:rsidRPr="003A6529">
        <w:rPr>
          <w:color w:val="000000"/>
          <w:sz w:val="22"/>
          <w:szCs w:val="22"/>
          <w:lang w:bidi="lv-LV"/>
        </w:rPr>
        <w:t>Retāk: nieze, izsitumi</w:t>
      </w:r>
    </w:p>
    <w:p w14:paraId="10D58804" w14:textId="77777777" w:rsidR="00E167A4" w:rsidRPr="003A6529" w:rsidRDefault="00E167A4" w:rsidP="00CE6AD0">
      <w:pPr>
        <w:widowControl w:val="0"/>
        <w:autoSpaceDE w:val="0"/>
        <w:autoSpaceDN w:val="0"/>
        <w:adjustRightInd w:val="0"/>
        <w:ind w:left="720"/>
        <w:rPr>
          <w:color w:val="000000"/>
          <w:sz w:val="22"/>
          <w:szCs w:val="22"/>
          <w:lang w:val="en-US"/>
        </w:rPr>
      </w:pPr>
      <w:r w:rsidRPr="003A6529">
        <w:rPr>
          <w:color w:val="000000"/>
          <w:sz w:val="22"/>
          <w:szCs w:val="22"/>
          <w:lang w:bidi="lv-LV"/>
        </w:rPr>
        <w:t>Reti: nātrene</w:t>
      </w:r>
    </w:p>
    <w:p w14:paraId="6ACFB0F5" w14:textId="77777777" w:rsidR="00E167A4" w:rsidRDefault="00E167A4" w:rsidP="00CE6AD0">
      <w:pPr>
        <w:widowControl w:val="0"/>
        <w:autoSpaceDE w:val="0"/>
        <w:autoSpaceDN w:val="0"/>
        <w:adjustRightInd w:val="0"/>
        <w:ind w:left="720"/>
        <w:rPr>
          <w:color w:val="000000"/>
          <w:sz w:val="22"/>
          <w:szCs w:val="22"/>
          <w:lang w:bidi="lv-LV"/>
        </w:rPr>
      </w:pPr>
      <w:r w:rsidRPr="003A6529">
        <w:rPr>
          <w:color w:val="000000"/>
          <w:sz w:val="22"/>
          <w:szCs w:val="22"/>
          <w:lang w:bidi="lv-LV"/>
        </w:rPr>
        <w:t xml:space="preserve">Ļoti reti: </w:t>
      </w:r>
      <w:proofErr w:type="spellStart"/>
      <w:r w:rsidRPr="003A6529">
        <w:rPr>
          <w:color w:val="000000"/>
          <w:sz w:val="22"/>
          <w:szCs w:val="22"/>
          <w:lang w:bidi="lv-LV"/>
        </w:rPr>
        <w:t>angio</w:t>
      </w:r>
      <w:r w:rsidR="00C173E1" w:rsidRPr="003A6529">
        <w:rPr>
          <w:color w:val="000000"/>
          <w:sz w:val="22"/>
          <w:szCs w:val="22"/>
          <w:lang w:bidi="lv-LV"/>
        </w:rPr>
        <w:t>edēma</w:t>
      </w:r>
      <w:proofErr w:type="spellEnd"/>
      <w:r w:rsidRPr="003A6529">
        <w:rPr>
          <w:color w:val="000000"/>
          <w:sz w:val="22"/>
          <w:szCs w:val="22"/>
          <w:lang w:bidi="lv-LV"/>
        </w:rPr>
        <w:t>, fiksēti, ar zāļu lietošanu saistīti izsitumi</w:t>
      </w:r>
    </w:p>
    <w:p w14:paraId="3CC4927D" w14:textId="77777777" w:rsidR="005A28B3" w:rsidRDefault="005A28B3" w:rsidP="00CE6AD0">
      <w:pPr>
        <w:widowControl w:val="0"/>
        <w:autoSpaceDE w:val="0"/>
        <w:autoSpaceDN w:val="0"/>
        <w:adjustRightInd w:val="0"/>
        <w:ind w:left="720"/>
        <w:rPr>
          <w:color w:val="000000"/>
          <w:sz w:val="22"/>
          <w:szCs w:val="22"/>
          <w:lang w:val="en-US"/>
        </w:rPr>
      </w:pPr>
      <w:r w:rsidRPr="005A28B3">
        <w:rPr>
          <w:color w:val="000000"/>
          <w:sz w:val="22"/>
          <w:szCs w:val="22"/>
          <w:lang w:val="en-US"/>
        </w:rPr>
        <w:t xml:space="preserve">Nav </w:t>
      </w:r>
      <w:proofErr w:type="spellStart"/>
      <w:r w:rsidRPr="005A28B3">
        <w:rPr>
          <w:color w:val="000000"/>
          <w:sz w:val="22"/>
          <w:szCs w:val="22"/>
          <w:lang w:val="en-US"/>
        </w:rPr>
        <w:t>zināmi</w:t>
      </w:r>
      <w:proofErr w:type="spellEnd"/>
      <w:r w:rsidRPr="005A28B3">
        <w:rPr>
          <w:color w:val="000000"/>
          <w:sz w:val="22"/>
          <w:szCs w:val="22"/>
          <w:lang w:val="en-US"/>
        </w:rPr>
        <w:t xml:space="preserve">: </w:t>
      </w:r>
      <w:proofErr w:type="spellStart"/>
      <w:r w:rsidRPr="005A28B3">
        <w:rPr>
          <w:color w:val="000000"/>
          <w:sz w:val="22"/>
          <w:szCs w:val="22"/>
          <w:lang w:val="en-US"/>
        </w:rPr>
        <w:t>akūta</w:t>
      </w:r>
      <w:proofErr w:type="spellEnd"/>
      <w:r w:rsidRPr="005A28B3">
        <w:rPr>
          <w:color w:val="000000"/>
          <w:sz w:val="22"/>
          <w:szCs w:val="22"/>
          <w:lang w:val="en-US"/>
        </w:rPr>
        <w:t xml:space="preserve"> </w:t>
      </w:r>
      <w:proofErr w:type="spellStart"/>
      <w:r w:rsidRPr="005A28B3">
        <w:rPr>
          <w:color w:val="000000"/>
          <w:sz w:val="22"/>
          <w:szCs w:val="22"/>
          <w:lang w:val="en-US"/>
        </w:rPr>
        <w:t>ģeneralizēta</w:t>
      </w:r>
      <w:proofErr w:type="spellEnd"/>
      <w:r w:rsidRPr="005A28B3">
        <w:rPr>
          <w:color w:val="000000"/>
          <w:sz w:val="22"/>
          <w:szCs w:val="22"/>
          <w:lang w:val="en-US"/>
        </w:rPr>
        <w:t xml:space="preserve"> </w:t>
      </w:r>
      <w:proofErr w:type="spellStart"/>
      <w:r w:rsidRPr="005A28B3">
        <w:rPr>
          <w:color w:val="000000"/>
          <w:sz w:val="22"/>
          <w:szCs w:val="22"/>
          <w:lang w:val="en-US"/>
        </w:rPr>
        <w:t>eksantematoza</w:t>
      </w:r>
      <w:proofErr w:type="spellEnd"/>
      <w:r w:rsidRPr="005A28B3">
        <w:rPr>
          <w:color w:val="000000"/>
          <w:sz w:val="22"/>
          <w:szCs w:val="22"/>
          <w:lang w:val="en-US"/>
        </w:rPr>
        <w:t xml:space="preserve"> </w:t>
      </w:r>
      <w:proofErr w:type="spellStart"/>
      <w:r w:rsidRPr="005A28B3">
        <w:rPr>
          <w:color w:val="000000"/>
          <w:sz w:val="22"/>
          <w:szCs w:val="22"/>
          <w:lang w:val="en-US"/>
        </w:rPr>
        <w:t>pustuloze</w:t>
      </w:r>
      <w:proofErr w:type="spellEnd"/>
    </w:p>
    <w:p w14:paraId="5C34A1CC" w14:textId="77777777" w:rsidR="005A28B3" w:rsidRPr="003A6529" w:rsidRDefault="005A28B3" w:rsidP="00CE6AD0">
      <w:pPr>
        <w:widowControl w:val="0"/>
        <w:autoSpaceDE w:val="0"/>
        <w:autoSpaceDN w:val="0"/>
        <w:adjustRightInd w:val="0"/>
        <w:ind w:left="720"/>
        <w:rPr>
          <w:color w:val="000000"/>
          <w:sz w:val="22"/>
          <w:szCs w:val="22"/>
          <w:lang w:val="en-US"/>
        </w:rPr>
      </w:pPr>
    </w:p>
    <w:p w14:paraId="6A2FE786" w14:textId="77777777" w:rsidR="005A28B3" w:rsidRPr="003A6529" w:rsidRDefault="005A28B3" w:rsidP="005A28B3">
      <w:pPr>
        <w:widowControl w:val="0"/>
        <w:numPr>
          <w:ilvl w:val="0"/>
          <w:numId w:val="3"/>
        </w:numPr>
        <w:autoSpaceDE w:val="0"/>
        <w:autoSpaceDN w:val="0"/>
        <w:adjustRightInd w:val="0"/>
        <w:rPr>
          <w:i/>
          <w:color w:val="000000"/>
          <w:sz w:val="22"/>
          <w:szCs w:val="22"/>
          <w:lang w:val="en-US"/>
        </w:rPr>
      </w:pPr>
      <w:r>
        <w:rPr>
          <w:i/>
          <w:iCs/>
          <w:sz w:val="22"/>
          <w:szCs w:val="22"/>
        </w:rPr>
        <w:t>Skeleta-muskuļu un saistaudu sistēmas bojājumi</w:t>
      </w:r>
    </w:p>
    <w:p w14:paraId="4AD1E668" w14:textId="77777777" w:rsidR="00E167A4" w:rsidRDefault="005A28B3" w:rsidP="00CE6AD0">
      <w:pPr>
        <w:widowControl w:val="0"/>
        <w:autoSpaceDE w:val="0"/>
        <w:autoSpaceDN w:val="0"/>
        <w:adjustRightInd w:val="0"/>
        <w:ind w:left="720"/>
        <w:rPr>
          <w:color w:val="000000"/>
          <w:sz w:val="22"/>
          <w:szCs w:val="22"/>
          <w:lang w:val="en-US"/>
        </w:rPr>
      </w:pPr>
      <w:r w:rsidRPr="005A28B3">
        <w:rPr>
          <w:color w:val="000000"/>
          <w:sz w:val="22"/>
          <w:szCs w:val="22"/>
          <w:lang w:val="en-US"/>
        </w:rPr>
        <w:t xml:space="preserve">Nav </w:t>
      </w:r>
      <w:proofErr w:type="spellStart"/>
      <w:r w:rsidRPr="005A28B3">
        <w:rPr>
          <w:color w:val="000000"/>
          <w:sz w:val="22"/>
          <w:szCs w:val="22"/>
          <w:lang w:val="en-US"/>
        </w:rPr>
        <w:t>zināmi</w:t>
      </w:r>
      <w:proofErr w:type="spellEnd"/>
      <w:r w:rsidRPr="005A28B3">
        <w:rPr>
          <w:color w:val="000000"/>
          <w:sz w:val="22"/>
          <w:szCs w:val="22"/>
          <w:lang w:val="en-US"/>
        </w:rPr>
        <w:t xml:space="preserve">: </w:t>
      </w:r>
      <w:proofErr w:type="spellStart"/>
      <w:r w:rsidRPr="005A28B3">
        <w:rPr>
          <w:color w:val="000000"/>
          <w:sz w:val="22"/>
          <w:szCs w:val="22"/>
          <w:lang w:val="en-US"/>
        </w:rPr>
        <w:t>artralģija</w:t>
      </w:r>
      <w:proofErr w:type="spellEnd"/>
    </w:p>
    <w:p w14:paraId="7180FEBE" w14:textId="77777777" w:rsidR="005A28B3" w:rsidRPr="003A6529" w:rsidRDefault="005A28B3" w:rsidP="00CE6AD0">
      <w:pPr>
        <w:widowControl w:val="0"/>
        <w:autoSpaceDE w:val="0"/>
        <w:autoSpaceDN w:val="0"/>
        <w:adjustRightInd w:val="0"/>
        <w:ind w:left="720"/>
        <w:rPr>
          <w:color w:val="000000"/>
          <w:sz w:val="22"/>
          <w:szCs w:val="22"/>
          <w:lang w:val="en-US"/>
        </w:rPr>
      </w:pPr>
    </w:p>
    <w:p w14:paraId="7CB9AC7E" w14:textId="77777777" w:rsidR="00E167A4" w:rsidRPr="003A6529" w:rsidRDefault="00E167A4"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Nieru un </w:t>
      </w:r>
      <w:proofErr w:type="spellStart"/>
      <w:r w:rsidRPr="003A6529">
        <w:rPr>
          <w:i/>
          <w:color w:val="000000"/>
          <w:sz w:val="22"/>
          <w:szCs w:val="22"/>
          <w:lang w:bidi="lv-LV"/>
        </w:rPr>
        <w:t>urīnizvad</w:t>
      </w:r>
      <w:r w:rsidR="00836FF3" w:rsidRPr="003A6529">
        <w:rPr>
          <w:i/>
          <w:color w:val="000000"/>
          <w:sz w:val="22"/>
          <w:szCs w:val="22"/>
          <w:lang w:bidi="lv-LV"/>
        </w:rPr>
        <w:t>es</w:t>
      </w:r>
      <w:proofErr w:type="spellEnd"/>
      <w:r w:rsidR="00836FF3" w:rsidRPr="003A6529">
        <w:rPr>
          <w:i/>
          <w:color w:val="000000"/>
          <w:sz w:val="22"/>
          <w:szCs w:val="22"/>
          <w:lang w:bidi="lv-LV"/>
        </w:rPr>
        <w:t xml:space="preserve"> </w:t>
      </w:r>
      <w:r w:rsidRPr="003A6529">
        <w:rPr>
          <w:i/>
          <w:color w:val="000000"/>
          <w:sz w:val="22"/>
          <w:szCs w:val="22"/>
          <w:lang w:bidi="lv-LV"/>
        </w:rPr>
        <w:t xml:space="preserve">sistēmas traucējumi </w:t>
      </w:r>
    </w:p>
    <w:p w14:paraId="7A1B4625" w14:textId="77777777" w:rsidR="00E167A4" w:rsidRPr="003A6529" w:rsidRDefault="00E167A4" w:rsidP="00DC3F58">
      <w:pPr>
        <w:widowControl w:val="0"/>
        <w:autoSpaceDE w:val="0"/>
        <w:autoSpaceDN w:val="0"/>
        <w:adjustRightInd w:val="0"/>
        <w:ind w:left="720"/>
        <w:rPr>
          <w:color w:val="000000"/>
          <w:sz w:val="22"/>
          <w:szCs w:val="22"/>
          <w:lang w:val="en-US"/>
        </w:rPr>
      </w:pPr>
      <w:r w:rsidRPr="003A6529">
        <w:rPr>
          <w:color w:val="000000"/>
          <w:sz w:val="22"/>
          <w:szCs w:val="22"/>
          <w:lang w:bidi="lv-LV"/>
        </w:rPr>
        <w:t xml:space="preserve">Ļoti reti: </w:t>
      </w:r>
      <w:proofErr w:type="spellStart"/>
      <w:r w:rsidRPr="003A6529">
        <w:rPr>
          <w:color w:val="000000"/>
          <w:sz w:val="22"/>
          <w:szCs w:val="22"/>
          <w:lang w:bidi="lv-LV"/>
        </w:rPr>
        <w:t>dizūrija</w:t>
      </w:r>
      <w:proofErr w:type="spellEnd"/>
      <w:r w:rsidRPr="003A6529">
        <w:rPr>
          <w:color w:val="000000"/>
          <w:sz w:val="22"/>
          <w:szCs w:val="22"/>
          <w:lang w:bidi="lv-LV"/>
        </w:rPr>
        <w:t xml:space="preserve">, </w:t>
      </w:r>
      <w:proofErr w:type="spellStart"/>
      <w:r w:rsidRPr="003A6529">
        <w:rPr>
          <w:color w:val="000000"/>
          <w:sz w:val="22"/>
          <w:szCs w:val="22"/>
          <w:lang w:bidi="lv-LV"/>
        </w:rPr>
        <w:t>enurēze</w:t>
      </w:r>
      <w:proofErr w:type="spellEnd"/>
    </w:p>
    <w:p w14:paraId="035EFAB2" w14:textId="31DD5AF3" w:rsidR="00E167A4" w:rsidRPr="003A6529" w:rsidRDefault="00E167A4" w:rsidP="003A7E39">
      <w:pPr>
        <w:widowControl w:val="0"/>
        <w:autoSpaceDE w:val="0"/>
        <w:autoSpaceDN w:val="0"/>
        <w:adjustRightInd w:val="0"/>
        <w:ind w:left="720"/>
        <w:rPr>
          <w:color w:val="000000"/>
          <w:sz w:val="22"/>
          <w:szCs w:val="22"/>
          <w:lang w:val="en-US"/>
        </w:rPr>
      </w:pPr>
      <w:r w:rsidRPr="003A6529">
        <w:rPr>
          <w:color w:val="000000"/>
          <w:sz w:val="22"/>
          <w:szCs w:val="22"/>
          <w:lang w:bidi="lv-LV"/>
        </w:rPr>
        <w:t>Nav zinām</w:t>
      </w:r>
      <w:r w:rsidR="00DA28C2">
        <w:rPr>
          <w:color w:val="000000"/>
          <w:sz w:val="22"/>
          <w:szCs w:val="22"/>
          <w:lang w:bidi="lv-LV"/>
        </w:rPr>
        <w:t>i</w:t>
      </w:r>
      <w:r w:rsidRPr="003A6529">
        <w:rPr>
          <w:color w:val="000000"/>
          <w:sz w:val="22"/>
          <w:szCs w:val="22"/>
          <w:lang w:bidi="lv-LV"/>
        </w:rPr>
        <w:t xml:space="preserve">: urīna </w:t>
      </w:r>
      <w:proofErr w:type="spellStart"/>
      <w:r w:rsidRPr="003A6529">
        <w:rPr>
          <w:color w:val="000000"/>
          <w:sz w:val="22"/>
          <w:szCs w:val="22"/>
          <w:lang w:bidi="lv-LV"/>
        </w:rPr>
        <w:t>retence</w:t>
      </w:r>
      <w:proofErr w:type="spellEnd"/>
    </w:p>
    <w:p w14:paraId="6DC43EE0" w14:textId="77777777" w:rsidR="00CA39B3" w:rsidRPr="003A6529" w:rsidRDefault="00CA39B3" w:rsidP="00DC3F58">
      <w:pPr>
        <w:widowControl w:val="0"/>
        <w:autoSpaceDE w:val="0"/>
        <w:autoSpaceDN w:val="0"/>
        <w:adjustRightInd w:val="0"/>
        <w:ind w:left="720"/>
        <w:rPr>
          <w:color w:val="000000"/>
          <w:sz w:val="22"/>
          <w:szCs w:val="22"/>
          <w:lang w:val="en-US"/>
        </w:rPr>
      </w:pPr>
    </w:p>
    <w:p w14:paraId="1CAD0AC4" w14:textId="77777777" w:rsidR="00E167A4" w:rsidRPr="003A6529" w:rsidRDefault="00E167A4"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Vispārēji traucējumi un reakcijas ievadīšanas vietā </w:t>
      </w:r>
    </w:p>
    <w:p w14:paraId="3582D08E" w14:textId="77777777" w:rsidR="00E167A4" w:rsidRPr="003A6529" w:rsidRDefault="00E167A4" w:rsidP="00DC3F58">
      <w:pPr>
        <w:widowControl w:val="0"/>
        <w:autoSpaceDE w:val="0"/>
        <w:autoSpaceDN w:val="0"/>
        <w:adjustRightInd w:val="0"/>
        <w:ind w:left="720"/>
        <w:rPr>
          <w:color w:val="000000"/>
          <w:sz w:val="22"/>
          <w:szCs w:val="22"/>
          <w:lang w:val="en-US"/>
        </w:rPr>
      </w:pPr>
      <w:r w:rsidRPr="003A6529">
        <w:rPr>
          <w:color w:val="000000"/>
          <w:sz w:val="22"/>
          <w:szCs w:val="22"/>
          <w:lang w:bidi="lv-LV"/>
        </w:rPr>
        <w:t>Retāk: astēnija, vājums</w:t>
      </w:r>
    </w:p>
    <w:p w14:paraId="768798C5" w14:textId="77777777" w:rsidR="00E167A4" w:rsidRPr="003A6529" w:rsidRDefault="00E167A4" w:rsidP="00DC3F58">
      <w:pPr>
        <w:widowControl w:val="0"/>
        <w:autoSpaceDE w:val="0"/>
        <w:autoSpaceDN w:val="0"/>
        <w:adjustRightInd w:val="0"/>
        <w:ind w:left="720"/>
        <w:rPr>
          <w:color w:val="000000"/>
          <w:sz w:val="22"/>
          <w:szCs w:val="22"/>
          <w:lang w:val="en-US"/>
        </w:rPr>
      </w:pPr>
      <w:r w:rsidRPr="003A6529">
        <w:rPr>
          <w:color w:val="000000"/>
          <w:sz w:val="22"/>
          <w:szCs w:val="22"/>
          <w:lang w:bidi="lv-LV"/>
        </w:rPr>
        <w:t>Reti: tūska</w:t>
      </w:r>
    </w:p>
    <w:p w14:paraId="4AFCBED1" w14:textId="77777777" w:rsidR="00E167A4" w:rsidRPr="003A6529" w:rsidRDefault="00E167A4" w:rsidP="00DC3F58">
      <w:pPr>
        <w:widowControl w:val="0"/>
        <w:autoSpaceDE w:val="0"/>
        <w:autoSpaceDN w:val="0"/>
        <w:adjustRightInd w:val="0"/>
        <w:ind w:left="720"/>
        <w:rPr>
          <w:color w:val="000000"/>
          <w:sz w:val="22"/>
          <w:szCs w:val="22"/>
          <w:lang w:val="en-US"/>
        </w:rPr>
      </w:pPr>
    </w:p>
    <w:p w14:paraId="5D313E80" w14:textId="77777777" w:rsidR="00E167A4" w:rsidRPr="003A6529" w:rsidRDefault="00E167A4" w:rsidP="00DC3F58">
      <w:pPr>
        <w:widowControl w:val="0"/>
        <w:numPr>
          <w:ilvl w:val="0"/>
          <w:numId w:val="3"/>
        </w:numPr>
        <w:autoSpaceDE w:val="0"/>
        <w:autoSpaceDN w:val="0"/>
        <w:adjustRightInd w:val="0"/>
        <w:rPr>
          <w:i/>
          <w:color w:val="000000"/>
          <w:sz w:val="22"/>
          <w:szCs w:val="22"/>
          <w:lang w:val="en-US"/>
        </w:rPr>
      </w:pPr>
      <w:r w:rsidRPr="003A6529">
        <w:rPr>
          <w:i/>
          <w:color w:val="000000"/>
          <w:sz w:val="22"/>
          <w:szCs w:val="22"/>
          <w:lang w:bidi="lv-LV"/>
        </w:rPr>
        <w:t xml:space="preserve">Izmeklējumi </w:t>
      </w:r>
    </w:p>
    <w:p w14:paraId="4537A7E4" w14:textId="77777777" w:rsidR="00E167A4" w:rsidRPr="003A6529" w:rsidRDefault="00E167A4" w:rsidP="00DC3F58">
      <w:pPr>
        <w:widowControl w:val="0"/>
        <w:autoSpaceDE w:val="0"/>
        <w:autoSpaceDN w:val="0"/>
        <w:adjustRightInd w:val="0"/>
        <w:ind w:left="720"/>
        <w:rPr>
          <w:color w:val="000000"/>
          <w:sz w:val="22"/>
          <w:szCs w:val="22"/>
          <w:lang w:val="en-US"/>
        </w:rPr>
      </w:pPr>
      <w:r w:rsidRPr="003A6529">
        <w:rPr>
          <w:color w:val="000000"/>
          <w:sz w:val="22"/>
          <w:szCs w:val="22"/>
          <w:lang w:bidi="lv-LV"/>
        </w:rPr>
        <w:t>Reti: ķermeņa masas pieaugums</w:t>
      </w:r>
    </w:p>
    <w:p w14:paraId="0330A52E" w14:textId="77777777" w:rsidR="00E167A4" w:rsidRDefault="00E167A4" w:rsidP="006400BC">
      <w:pPr>
        <w:rPr>
          <w:u w:val="single"/>
          <w:lang w:val="en-US"/>
        </w:rPr>
      </w:pPr>
    </w:p>
    <w:p w14:paraId="7C3D96E5" w14:textId="77777777" w:rsidR="005A28B3" w:rsidRPr="006C5419" w:rsidRDefault="005A28B3" w:rsidP="005A28B3">
      <w:pPr>
        <w:rPr>
          <w:sz w:val="22"/>
          <w:szCs w:val="22"/>
          <w:u w:val="single"/>
        </w:rPr>
      </w:pPr>
      <w:r w:rsidRPr="006C5419">
        <w:rPr>
          <w:sz w:val="22"/>
          <w:szCs w:val="22"/>
          <w:u w:val="single"/>
        </w:rPr>
        <w:t>Atsevišķu nevēlamo blakusparādību apraksts</w:t>
      </w:r>
    </w:p>
    <w:p w14:paraId="61D2D071" w14:textId="7D5C95B3" w:rsidR="005A28B3" w:rsidRPr="006C5419" w:rsidRDefault="005A28B3" w:rsidP="005A28B3">
      <w:pPr>
        <w:rPr>
          <w:sz w:val="22"/>
          <w:szCs w:val="22"/>
        </w:rPr>
      </w:pPr>
      <w:r w:rsidRPr="006C5419">
        <w:rPr>
          <w:sz w:val="22"/>
          <w:szCs w:val="22"/>
        </w:rPr>
        <w:t xml:space="preserve">Pēc </w:t>
      </w:r>
      <w:proofErr w:type="spellStart"/>
      <w:r w:rsidRPr="006C5419">
        <w:rPr>
          <w:sz w:val="22"/>
          <w:szCs w:val="22"/>
        </w:rPr>
        <w:t>cetirizīna</w:t>
      </w:r>
      <w:proofErr w:type="spellEnd"/>
      <w:r w:rsidRPr="006C5419">
        <w:rPr>
          <w:sz w:val="22"/>
          <w:szCs w:val="22"/>
        </w:rPr>
        <w:t xml:space="preserve"> lietošanas pārtraukšanas, tika ziņots par </w:t>
      </w:r>
      <w:proofErr w:type="spellStart"/>
      <w:r w:rsidR="00875792" w:rsidRPr="006C5419">
        <w:rPr>
          <w:sz w:val="22"/>
          <w:szCs w:val="22"/>
        </w:rPr>
        <w:t>prurīta</w:t>
      </w:r>
      <w:proofErr w:type="spellEnd"/>
      <w:r w:rsidRPr="006C5419">
        <w:rPr>
          <w:sz w:val="22"/>
          <w:szCs w:val="22"/>
        </w:rPr>
        <w:t xml:space="preserve"> (izteikta niez</w:t>
      </w:r>
      <w:r w:rsidR="00875792" w:rsidRPr="006C5419">
        <w:rPr>
          <w:sz w:val="22"/>
          <w:szCs w:val="22"/>
        </w:rPr>
        <w:t>e</w:t>
      </w:r>
      <w:r w:rsidRPr="006C5419">
        <w:rPr>
          <w:sz w:val="22"/>
          <w:szCs w:val="22"/>
        </w:rPr>
        <w:t>) un/vai nātrenes rašanos.</w:t>
      </w:r>
    </w:p>
    <w:p w14:paraId="6F937C8E" w14:textId="77777777" w:rsidR="005A28B3" w:rsidRPr="003A6529" w:rsidRDefault="005A28B3" w:rsidP="005A28B3">
      <w:pPr>
        <w:rPr>
          <w:u w:val="single"/>
          <w:lang w:val="en-US"/>
        </w:rPr>
      </w:pPr>
    </w:p>
    <w:p w14:paraId="081E36F2" w14:textId="77777777" w:rsidR="007A1721" w:rsidRPr="003A6529" w:rsidRDefault="007A1721" w:rsidP="007A1721">
      <w:pPr>
        <w:widowControl w:val="0"/>
        <w:jc w:val="both"/>
        <w:rPr>
          <w:snapToGrid w:val="0"/>
          <w:sz w:val="22"/>
          <w:szCs w:val="22"/>
          <w:u w:val="single"/>
        </w:rPr>
      </w:pPr>
      <w:r w:rsidRPr="003A6529">
        <w:rPr>
          <w:snapToGrid w:val="0"/>
          <w:sz w:val="22"/>
          <w:szCs w:val="22"/>
          <w:u w:val="single"/>
        </w:rPr>
        <w:t>Ziņošana par iespējamām nevēlamām blakusparādībām</w:t>
      </w:r>
    </w:p>
    <w:p w14:paraId="0A2E9000" w14:textId="77777777" w:rsidR="007A1721" w:rsidRPr="003A6529" w:rsidRDefault="007A1721" w:rsidP="007A1721">
      <w:pPr>
        <w:rPr>
          <w:noProof/>
          <w:sz w:val="22"/>
          <w:szCs w:val="22"/>
        </w:rPr>
      </w:pPr>
      <w:r w:rsidRPr="003A6529">
        <w:rPr>
          <w:snapToGrid w:val="0"/>
          <w:sz w:val="22"/>
          <w:szCs w:val="22"/>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 1003. Tīmekļa vietne: </w:t>
      </w:r>
      <w:hyperlink r:id="rId7" w:history="1">
        <w:r w:rsidRPr="003A6529">
          <w:rPr>
            <w:snapToGrid w:val="0"/>
            <w:sz w:val="22"/>
            <w:szCs w:val="22"/>
            <w:u w:val="single"/>
          </w:rPr>
          <w:t>www.zva.gov.lv</w:t>
        </w:r>
      </w:hyperlink>
      <w:r w:rsidRPr="003A6529">
        <w:rPr>
          <w:snapToGrid w:val="0"/>
          <w:sz w:val="22"/>
          <w:szCs w:val="22"/>
        </w:rPr>
        <w:t>.</w:t>
      </w:r>
    </w:p>
    <w:p w14:paraId="3756F850" w14:textId="77777777" w:rsidR="00E167A4" w:rsidRPr="003A6529" w:rsidRDefault="00E167A4" w:rsidP="00DC3F58">
      <w:pPr>
        <w:rPr>
          <w:u w:val="single"/>
        </w:rPr>
      </w:pPr>
    </w:p>
    <w:p w14:paraId="1E80E444" w14:textId="77777777" w:rsidR="00E167A4" w:rsidRPr="003A6529" w:rsidRDefault="00E167A4" w:rsidP="00DC3F58">
      <w:pPr>
        <w:tabs>
          <w:tab w:val="left" w:pos="540"/>
        </w:tabs>
        <w:rPr>
          <w:b/>
          <w:i/>
          <w:sz w:val="22"/>
        </w:rPr>
      </w:pPr>
      <w:r w:rsidRPr="003A6529">
        <w:rPr>
          <w:b/>
          <w:sz w:val="22"/>
          <w:lang w:bidi="lv-LV"/>
        </w:rPr>
        <w:t>4.9.</w:t>
      </w:r>
      <w:r w:rsidRPr="003A6529">
        <w:rPr>
          <w:b/>
          <w:sz w:val="22"/>
          <w:lang w:bidi="lv-LV"/>
        </w:rPr>
        <w:tab/>
        <w:t>Pārdozēšana</w:t>
      </w:r>
    </w:p>
    <w:p w14:paraId="51C1B7F4" w14:textId="77777777" w:rsidR="00E167A4" w:rsidRPr="003A6529" w:rsidRDefault="00E167A4" w:rsidP="00DC3F58">
      <w:pPr>
        <w:pStyle w:val="BodyText"/>
        <w:spacing w:before="0" w:line="240" w:lineRule="auto"/>
        <w:jc w:val="left"/>
        <w:rPr>
          <w:noProof/>
          <w:sz w:val="22"/>
        </w:rPr>
      </w:pPr>
    </w:p>
    <w:p w14:paraId="0FBAEEC6" w14:textId="77777777" w:rsidR="00E167A4" w:rsidRPr="003A6529" w:rsidRDefault="00E167A4" w:rsidP="00BD13D4">
      <w:pPr>
        <w:pStyle w:val="BodyText"/>
        <w:spacing w:before="0" w:line="240" w:lineRule="auto"/>
        <w:jc w:val="left"/>
        <w:rPr>
          <w:noProof/>
          <w:sz w:val="22"/>
          <w:u w:val="single"/>
        </w:rPr>
      </w:pPr>
      <w:r w:rsidRPr="003A6529">
        <w:rPr>
          <w:noProof/>
          <w:sz w:val="22"/>
          <w:u w:val="single"/>
          <w:lang w:bidi="lv-LV"/>
        </w:rPr>
        <w:t>Simptomi.</w:t>
      </w:r>
    </w:p>
    <w:p w14:paraId="1166E152" w14:textId="63E7FA26" w:rsidR="00E167A4" w:rsidRPr="003A6529" w:rsidRDefault="00E167A4" w:rsidP="00DC3F58">
      <w:pPr>
        <w:pStyle w:val="BodyText"/>
        <w:spacing w:before="0" w:line="240" w:lineRule="auto"/>
        <w:jc w:val="left"/>
        <w:rPr>
          <w:noProof/>
          <w:sz w:val="22"/>
        </w:rPr>
      </w:pPr>
      <w:r w:rsidRPr="003A6529">
        <w:rPr>
          <w:noProof/>
          <w:sz w:val="22"/>
          <w:lang w:bidi="lv-LV"/>
        </w:rPr>
        <w:t xml:space="preserve">Simptomi, kas novēroti pēc cetirizīna pārdozēšanas, galvenokārt saistīti ar </w:t>
      </w:r>
      <w:r w:rsidR="00CA25E9" w:rsidRPr="003A6529">
        <w:rPr>
          <w:noProof/>
          <w:sz w:val="22"/>
          <w:lang w:bidi="lv-LV"/>
        </w:rPr>
        <w:t xml:space="preserve">ietekmi uz </w:t>
      </w:r>
      <w:r w:rsidRPr="003A6529">
        <w:rPr>
          <w:noProof/>
          <w:sz w:val="22"/>
          <w:lang w:bidi="lv-LV"/>
        </w:rPr>
        <w:t xml:space="preserve">CNS  vai ar </w:t>
      </w:r>
      <w:r w:rsidR="00C01F2F" w:rsidRPr="003A6529">
        <w:rPr>
          <w:noProof/>
          <w:sz w:val="22"/>
          <w:lang w:bidi="lv-LV"/>
        </w:rPr>
        <w:t>tādu ietekmi</w:t>
      </w:r>
      <w:r w:rsidRPr="003A6529">
        <w:rPr>
          <w:noProof/>
          <w:sz w:val="22"/>
          <w:lang w:bidi="lv-LV"/>
        </w:rPr>
        <w:t xml:space="preserve">, kas var liecināt par antiholīnerģisku </w:t>
      </w:r>
      <w:r w:rsidR="00041660">
        <w:rPr>
          <w:noProof/>
          <w:sz w:val="22"/>
          <w:lang w:bidi="lv-LV"/>
        </w:rPr>
        <w:t>ietekmi</w:t>
      </w:r>
      <w:r w:rsidRPr="003A6529">
        <w:rPr>
          <w:noProof/>
          <w:sz w:val="22"/>
          <w:lang w:bidi="lv-LV"/>
        </w:rPr>
        <w:t>.</w:t>
      </w:r>
    </w:p>
    <w:p w14:paraId="32DED3E4" w14:textId="77777777" w:rsidR="00E167A4" w:rsidRPr="003A6529" w:rsidRDefault="00E167A4" w:rsidP="00DC3F58">
      <w:pPr>
        <w:rPr>
          <w:sz w:val="22"/>
        </w:rPr>
      </w:pPr>
      <w:r w:rsidRPr="003A6529">
        <w:rPr>
          <w:noProof/>
          <w:sz w:val="22"/>
          <w:lang w:bidi="lv-LV"/>
        </w:rPr>
        <w:t>Nevēlamās blakusparādības, kas novērotas pēc vismaz 5 reizes lielākas devas lietošanas nekā ieteicamā dienas deva, ir šādas: apjukums, caureja, reibonis, nogurums, galvassāpes, vājums, midriāze, nieze, nemiers, sedācija, miegainība, stupors, tahikardija, trīce un urīna retence.</w:t>
      </w:r>
    </w:p>
    <w:p w14:paraId="2973A826" w14:textId="77777777" w:rsidR="00E167A4" w:rsidRPr="003A6529" w:rsidRDefault="00E167A4" w:rsidP="00DC3F58">
      <w:pPr>
        <w:rPr>
          <w:sz w:val="22"/>
        </w:rPr>
      </w:pPr>
    </w:p>
    <w:p w14:paraId="550676DF" w14:textId="77777777" w:rsidR="00E167A4" w:rsidRPr="003A6529" w:rsidRDefault="00E167A4" w:rsidP="00DC3F58">
      <w:pPr>
        <w:rPr>
          <w:sz w:val="22"/>
          <w:u w:val="single"/>
        </w:rPr>
      </w:pPr>
      <w:r w:rsidRPr="003A6529">
        <w:rPr>
          <w:sz w:val="22"/>
          <w:u w:val="single"/>
          <w:lang w:bidi="lv-LV"/>
        </w:rPr>
        <w:t>Ārstēšana</w:t>
      </w:r>
    </w:p>
    <w:p w14:paraId="740B2446" w14:textId="77777777" w:rsidR="00E167A4" w:rsidRPr="003A6529" w:rsidRDefault="00E167A4" w:rsidP="00DC3F58">
      <w:pPr>
        <w:rPr>
          <w:sz w:val="22"/>
        </w:rPr>
      </w:pPr>
      <w:proofErr w:type="spellStart"/>
      <w:r w:rsidRPr="003A6529">
        <w:rPr>
          <w:sz w:val="22"/>
          <w:lang w:bidi="lv-LV"/>
        </w:rPr>
        <w:t>Cetirizīnam</w:t>
      </w:r>
      <w:proofErr w:type="spellEnd"/>
      <w:r w:rsidRPr="003A6529">
        <w:rPr>
          <w:sz w:val="22"/>
          <w:lang w:bidi="lv-LV"/>
        </w:rPr>
        <w:t xml:space="preserve"> nav zināmu specifisku </w:t>
      </w:r>
      <w:proofErr w:type="spellStart"/>
      <w:r w:rsidRPr="003A6529">
        <w:rPr>
          <w:sz w:val="22"/>
          <w:lang w:bidi="lv-LV"/>
        </w:rPr>
        <w:t>antidotu</w:t>
      </w:r>
      <w:proofErr w:type="spellEnd"/>
      <w:r w:rsidRPr="003A6529">
        <w:rPr>
          <w:sz w:val="22"/>
          <w:lang w:bidi="lv-LV"/>
        </w:rPr>
        <w:t>.</w:t>
      </w:r>
    </w:p>
    <w:p w14:paraId="6A7B7468" w14:textId="7077E3BA" w:rsidR="00E167A4" w:rsidRPr="003A6529" w:rsidRDefault="00E167A4" w:rsidP="00DC3F58">
      <w:pPr>
        <w:rPr>
          <w:sz w:val="22"/>
        </w:rPr>
      </w:pPr>
      <w:r w:rsidRPr="003A6529">
        <w:rPr>
          <w:sz w:val="22"/>
          <w:lang w:bidi="lv-LV"/>
        </w:rPr>
        <w:t xml:space="preserve">Pārdozēšanas gadījumā ieteicama simptomātiska un atbalsta terapija. Kuņģa skalošanu var apsvērt neilgi pēc zāļu </w:t>
      </w:r>
      <w:r w:rsidR="00DA28C2">
        <w:rPr>
          <w:sz w:val="22"/>
          <w:lang w:bidi="lv-LV"/>
        </w:rPr>
        <w:t>lietošanas</w:t>
      </w:r>
      <w:r w:rsidRPr="003A6529">
        <w:rPr>
          <w:sz w:val="22"/>
          <w:lang w:bidi="lv-LV"/>
        </w:rPr>
        <w:t xml:space="preserve">. </w:t>
      </w:r>
    </w:p>
    <w:p w14:paraId="1D2DB80A" w14:textId="77777777" w:rsidR="00E167A4" w:rsidRPr="003A6529" w:rsidRDefault="00E167A4" w:rsidP="00DC3F58">
      <w:pPr>
        <w:widowControl w:val="0"/>
        <w:autoSpaceDE w:val="0"/>
        <w:autoSpaceDN w:val="0"/>
        <w:adjustRightInd w:val="0"/>
        <w:rPr>
          <w:sz w:val="22"/>
          <w:szCs w:val="22"/>
        </w:rPr>
      </w:pPr>
      <w:proofErr w:type="spellStart"/>
      <w:r w:rsidRPr="003A6529">
        <w:rPr>
          <w:sz w:val="22"/>
          <w:szCs w:val="22"/>
          <w:lang w:bidi="lv-LV"/>
        </w:rPr>
        <w:t>Cetirizīnu</w:t>
      </w:r>
      <w:proofErr w:type="spellEnd"/>
      <w:r w:rsidRPr="003A6529">
        <w:rPr>
          <w:sz w:val="22"/>
          <w:szCs w:val="22"/>
          <w:lang w:bidi="lv-LV"/>
        </w:rPr>
        <w:t xml:space="preserve"> nevar efektīvi </w:t>
      </w:r>
      <w:r w:rsidR="008C1AF8" w:rsidRPr="003A6529">
        <w:rPr>
          <w:sz w:val="22"/>
          <w:szCs w:val="22"/>
          <w:lang w:bidi="lv-LV"/>
        </w:rPr>
        <w:t>i</w:t>
      </w:r>
      <w:r w:rsidR="00D8583D" w:rsidRPr="003A6529">
        <w:rPr>
          <w:sz w:val="22"/>
          <w:szCs w:val="22"/>
          <w:lang w:bidi="lv-LV"/>
        </w:rPr>
        <w:t>z</w:t>
      </w:r>
      <w:r w:rsidR="008C1AF8" w:rsidRPr="003A6529">
        <w:rPr>
          <w:sz w:val="22"/>
          <w:szCs w:val="22"/>
          <w:lang w:bidi="lv-LV"/>
        </w:rPr>
        <w:t xml:space="preserve">vadīt </w:t>
      </w:r>
      <w:r w:rsidRPr="003A6529">
        <w:rPr>
          <w:sz w:val="22"/>
          <w:szCs w:val="22"/>
          <w:lang w:bidi="lv-LV"/>
        </w:rPr>
        <w:t>hemodialīzes laikā.</w:t>
      </w:r>
    </w:p>
    <w:p w14:paraId="7DFA0D94" w14:textId="77777777" w:rsidR="00E167A4" w:rsidRPr="003A6529" w:rsidRDefault="00E167A4" w:rsidP="00DC3F58">
      <w:pPr>
        <w:rPr>
          <w:b/>
          <w:sz w:val="22"/>
        </w:rPr>
      </w:pPr>
    </w:p>
    <w:p w14:paraId="7CE7DE93" w14:textId="77777777" w:rsidR="00E167A4" w:rsidRPr="003A6529" w:rsidRDefault="00E167A4" w:rsidP="00DC3F58">
      <w:pPr>
        <w:tabs>
          <w:tab w:val="left" w:pos="540"/>
        </w:tabs>
        <w:rPr>
          <w:b/>
          <w:sz w:val="22"/>
        </w:rPr>
      </w:pPr>
    </w:p>
    <w:p w14:paraId="66529853" w14:textId="77777777" w:rsidR="00E167A4" w:rsidRPr="003A6529" w:rsidRDefault="00E167A4" w:rsidP="00DC3F58">
      <w:pPr>
        <w:tabs>
          <w:tab w:val="left" w:pos="540"/>
        </w:tabs>
        <w:rPr>
          <w:b/>
          <w:sz w:val="22"/>
        </w:rPr>
      </w:pPr>
      <w:r w:rsidRPr="003A6529">
        <w:rPr>
          <w:b/>
          <w:sz w:val="22"/>
          <w:lang w:bidi="lv-LV"/>
        </w:rPr>
        <w:t>5.</w:t>
      </w:r>
      <w:r w:rsidRPr="003A6529">
        <w:rPr>
          <w:b/>
          <w:sz w:val="22"/>
          <w:lang w:bidi="lv-LV"/>
        </w:rPr>
        <w:tab/>
        <w:t>FARMAKOLOĢISKĀS ĪPAŠĪBAS</w:t>
      </w:r>
    </w:p>
    <w:p w14:paraId="09AA89CA" w14:textId="77777777" w:rsidR="00E167A4" w:rsidRPr="003A6529" w:rsidRDefault="00E167A4" w:rsidP="00DC3F58">
      <w:pPr>
        <w:tabs>
          <w:tab w:val="left" w:pos="540"/>
        </w:tabs>
        <w:rPr>
          <w:b/>
          <w:sz w:val="22"/>
        </w:rPr>
      </w:pPr>
    </w:p>
    <w:p w14:paraId="6E74B17E" w14:textId="77777777" w:rsidR="00E167A4" w:rsidRPr="003A6529" w:rsidRDefault="00E167A4" w:rsidP="00DC3F58">
      <w:pPr>
        <w:tabs>
          <w:tab w:val="left" w:pos="540"/>
        </w:tabs>
        <w:rPr>
          <w:sz w:val="22"/>
        </w:rPr>
      </w:pPr>
      <w:r w:rsidRPr="003A6529">
        <w:rPr>
          <w:b/>
          <w:sz w:val="22"/>
          <w:lang w:bidi="lv-LV"/>
        </w:rPr>
        <w:t>5.1.</w:t>
      </w:r>
      <w:r w:rsidRPr="003A6529">
        <w:rPr>
          <w:b/>
          <w:sz w:val="22"/>
          <w:lang w:bidi="lv-LV"/>
        </w:rPr>
        <w:tab/>
      </w:r>
      <w:proofErr w:type="spellStart"/>
      <w:r w:rsidRPr="003A6529">
        <w:rPr>
          <w:b/>
          <w:sz w:val="22"/>
          <w:lang w:bidi="lv-LV"/>
        </w:rPr>
        <w:t>Farmakodinamiskās</w:t>
      </w:r>
      <w:proofErr w:type="spellEnd"/>
      <w:r w:rsidRPr="003A6529">
        <w:rPr>
          <w:b/>
          <w:sz w:val="22"/>
          <w:lang w:bidi="lv-LV"/>
        </w:rPr>
        <w:t xml:space="preserve"> īpašības </w:t>
      </w:r>
    </w:p>
    <w:p w14:paraId="0DCA27F0" w14:textId="77777777" w:rsidR="00E167A4" w:rsidRPr="003A6529" w:rsidRDefault="00E167A4" w:rsidP="00DC3F58">
      <w:pPr>
        <w:rPr>
          <w:sz w:val="22"/>
        </w:rPr>
      </w:pPr>
    </w:p>
    <w:p w14:paraId="1F6ACABA" w14:textId="77777777" w:rsidR="00E167A4" w:rsidRPr="003A6529" w:rsidRDefault="00E167A4" w:rsidP="00DC3F58">
      <w:pPr>
        <w:rPr>
          <w:sz w:val="22"/>
        </w:rPr>
      </w:pPr>
      <w:proofErr w:type="spellStart"/>
      <w:r w:rsidRPr="003A6529">
        <w:rPr>
          <w:sz w:val="22"/>
          <w:lang w:bidi="lv-LV"/>
        </w:rPr>
        <w:t>Farmakoterapeitiskā</w:t>
      </w:r>
      <w:proofErr w:type="spellEnd"/>
      <w:r w:rsidRPr="003A6529">
        <w:rPr>
          <w:sz w:val="22"/>
          <w:lang w:bidi="lv-LV"/>
        </w:rPr>
        <w:t xml:space="preserve"> grupa: </w:t>
      </w:r>
      <w:r w:rsidR="000B58D8" w:rsidRPr="003A6529">
        <w:rPr>
          <w:sz w:val="22"/>
          <w:lang w:bidi="lv-LV"/>
        </w:rPr>
        <w:t xml:space="preserve">sistēmiski lietojamie </w:t>
      </w:r>
      <w:proofErr w:type="spellStart"/>
      <w:r w:rsidRPr="003A6529">
        <w:rPr>
          <w:sz w:val="22"/>
          <w:lang w:bidi="lv-LV"/>
        </w:rPr>
        <w:t>antihistamīna</w:t>
      </w:r>
      <w:proofErr w:type="spellEnd"/>
      <w:r w:rsidRPr="003A6529">
        <w:rPr>
          <w:sz w:val="22"/>
          <w:lang w:bidi="lv-LV"/>
        </w:rPr>
        <w:t xml:space="preserve"> līdzekļi, </w:t>
      </w:r>
      <w:proofErr w:type="spellStart"/>
      <w:r w:rsidRPr="003A6529">
        <w:rPr>
          <w:sz w:val="22"/>
          <w:lang w:bidi="lv-LV"/>
        </w:rPr>
        <w:t>piperazīna</w:t>
      </w:r>
      <w:proofErr w:type="spellEnd"/>
      <w:r w:rsidRPr="003A6529">
        <w:rPr>
          <w:sz w:val="22"/>
          <w:lang w:bidi="lv-LV"/>
        </w:rPr>
        <w:t xml:space="preserve"> atvasinājumi, ATĶ kods: R06A E07.</w:t>
      </w:r>
    </w:p>
    <w:p w14:paraId="5EEFFF4F" w14:textId="77777777" w:rsidR="00E167A4" w:rsidRPr="003A6529" w:rsidRDefault="00E167A4" w:rsidP="00DC3F58">
      <w:pPr>
        <w:rPr>
          <w:sz w:val="22"/>
        </w:rPr>
      </w:pPr>
    </w:p>
    <w:p w14:paraId="38226D50" w14:textId="77777777" w:rsidR="00E167A4" w:rsidRPr="003A6529" w:rsidRDefault="00E167A4" w:rsidP="0094421E">
      <w:pPr>
        <w:autoSpaceDE w:val="0"/>
        <w:autoSpaceDN w:val="0"/>
        <w:adjustRightInd w:val="0"/>
        <w:rPr>
          <w:sz w:val="22"/>
          <w:szCs w:val="22"/>
          <w:u w:val="single"/>
        </w:rPr>
      </w:pPr>
      <w:r w:rsidRPr="003A6529">
        <w:rPr>
          <w:sz w:val="22"/>
          <w:szCs w:val="22"/>
          <w:u w:val="single"/>
          <w:lang w:bidi="lv-LV"/>
        </w:rPr>
        <w:t>Darbības mehānisms</w:t>
      </w:r>
    </w:p>
    <w:p w14:paraId="1BC87A52" w14:textId="77777777" w:rsidR="00E167A4" w:rsidRPr="003A6529" w:rsidRDefault="00E167A4" w:rsidP="00DC3F58">
      <w:pPr>
        <w:autoSpaceDE w:val="0"/>
        <w:autoSpaceDN w:val="0"/>
        <w:adjustRightInd w:val="0"/>
        <w:rPr>
          <w:sz w:val="22"/>
          <w:szCs w:val="22"/>
        </w:rPr>
      </w:pPr>
      <w:proofErr w:type="spellStart"/>
      <w:r w:rsidRPr="003A6529">
        <w:rPr>
          <w:sz w:val="22"/>
          <w:szCs w:val="22"/>
          <w:lang w:bidi="lv-LV"/>
        </w:rPr>
        <w:lastRenderedPageBreak/>
        <w:t>Cetirizīns</w:t>
      </w:r>
      <w:proofErr w:type="spellEnd"/>
      <w:r w:rsidRPr="003A6529">
        <w:rPr>
          <w:sz w:val="22"/>
          <w:szCs w:val="22"/>
          <w:lang w:bidi="lv-LV"/>
        </w:rPr>
        <w:t xml:space="preserve">, </w:t>
      </w:r>
      <w:proofErr w:type="spellStart"/>
      <w:r w:rsidRPr="003A6529">
        <w:rPr>
          <w:sz w:val="22"/>
          <w:szCs w:val="22"/>
          <w:lang w:bidi="lv-LV"/>
        </w:rPr>
        <w:t>hidroksizīna</w:t>
      </w:r>
      <w:proofErr w:type="spellEnd"/>
      <w:r w:rsidRPr="003A6529">
        <w:rPr>
          <w:sz w:val="22"/>
          <w:szCs w:val="22"/>
          <w:lang w:bidi="lv-LV"/>
        </w:rPr>
        <w:t xml:space="preserve"> metabolīts cilvēka organismā, ir spēcīgs un selektīvs </w:t>
      </w:r>
      <w:proofErr w:type="spellStart"/>
      <w:r w:rsidRPr="003A6529">
        <w:rPr>
          <w:sz w:val="22"/>
          <w:szCs w:val="22"/>
          <w:lang w:bidi="lv-LV"/>
        </w:rPr>
        <w:t>perifēro</w:t>
      </w:r>
      <w:proofErr w:type="spellEnd"/>
      <w:r w:rsidRPr="003A6529">
        <w:rPr>
          <w:sz w:val="22"/>
          <w:szCs w:val="22"/>
          <w:lang w:bidi="lv-LV"/>
        </w:rPr>
        <w:t xml:space="preserve"> H</w:t>
      </w:r>
      <w:r w:rsidRPr="003A6529">
        <w:rPr>
          <w:sz w:val="22"/>
          <w:szCs w:val="22"/>
          <w:vertAlign w:val="subscript"/>
          <w:lang w:bidi="lv-LV"/>
        </w:rPr>
        <w:t>1</w:t>
      </w:r>
      <w:r w:rsidRPr="003A6529">
        <w:rPr>
          <w:sz w:val="22"/>
          <w:szCs w:val="22"/>
          <w:lang w:bidi="lv-LV"/>
        </w:rPr>
        <w:t xml:space="preserve"> histamīna receptoru antagonists. </w:t>
      </w:r>
      <w:proofErr w:type="spellStart"/>
      <w:r w:rsidRPr="003A6529">
        <w:rPr>
          <w:i/>
          <w:sz w:val="22"/>
          <w:szCs w:val="22"/>
          <w:lang w:bidi="lv-LV"/>
        </w:rPr>
        <w:t>In</w:t>
      </w:r>
      <w:proofErr w:type="spellEnd"/>
      <w:r w:rsidRPr="003A6529">
        <w:rPr>
          <w:i/>
          <w:sz w:val="22"/>
          <w:szCs w:val="22"/>
          <w:lang w:bidi="lv-LV"/>
        </w:rPr>
        <w:t xml:space="preserve"> </w:t>
      </w:r>
      <w:proofErr w:type="spellStart"/>
      <w:r w:rsidRPr="003A6529">
        <w:rPr>
          <w:i/>
          <w:sz w:val="22"/>
          <w:szCs w:val="22"/>
          <w:lang w:bidi="lv-LV"/>
        </w:rPr>
        <w:t>vitro</w:t>
      </w:r>
      <w:proofErr w:type="spellEnd"/>
      <w:r w:rsidRPr="003A6529">
        <w:rPr>
          <w:sz w:val="22"/>
          <w:szCs w:val="22"/>
          <w:lang w:bidi="lv-LV"/>
        </w:rPr>
        <w:t xml:space="preserve"> receptoru saistīšanas pētījumos ir noskaidrots, ka tam ir nosakāma afinitāte tikai pret H</w:t>
      </w:r>
      <w:r w:rsidRPr="003A6529">
        <w:rPr>
          <w:sz w:val="22"/>
          <w:szCs w:val="22"/>
          <w:vertAlign w:val="subscript"/>
          <w:lang w:bidi="lv-LV"/>
        </w:rPr>
        <w:t>1</w:t>
      </w:r>
      <w:r w:rsidRPr="003A6529">
        <w:rPr>
          <w:sz w:val="22"/>
          <w:szCs w:val="22"/>
          <w:lang w:bidi="lv-LV"/>
        </w:rPr>
        <w:t xml:space="preserve"> receptoriem.</w:t>
      </w:r>
    </w:p>
    <w:p w14:paraId="7509509C" w14:textId="77777777" w:rsidR="00E167A4" w:rsidRPr="003A6529" w:rsidRDefault="00E167A4" w:rsidP="00DC3F58">
      <w:pPr>
        <w:autoSpaceDE w:val="0"/>
        <w:autoSpaceDN w:val="0"/>
        <w:adjustRightInd w:val="0"/>
        <w:rPr>
          <w:sz w:val="22"/>
          <w:szCs w:val="22"/>
        </w:rPr>
      </w:pPr>
    </w:p>
    <w:p w14:paraId="0166730D" w14:textId="77777777" w:rsidR="00E167A4" w:rsidRPr="003A6529" w:rsidRDefault="00E167A4" w:rsidP="00A1788B">
      <w:pPr>
        <w:autoSpaceDE w:val="0"/>
        <w:autoSpaceDN w:val="0"/>
        <w:adjustRightInd w:val="0"/>
        <w:rPr>
          <w:sz w:val="22"/>
          <w:szCs w:val="22"/>
          <w:u w:val="single"/>
        </w:rPr>
      </w:pPr>
      <w:proofErr w:type="spellStart"/>
      <w:r w:rsidRPr="003A6529">
        <w:rPr>
          <w:sz w:val="22"/>
          <w:szCs w:val="22"/>
          <w:u w:val="single"/>
          <w:lang w:bidi="lv-LV"/>
        </w:rPr>
        <w:t>Farmakodinamiskās</w:t>
      </w:r>
      <w:proofErr w:type="spellEnd"/>
      <w:r w:rsidRPr="003A6529">
        <w:rPr>
          <w:sz w:val="22"/>
          <w:szCs w:val="22"/>
          <w:u w:val="single"/>
          <w:lang w:bidi="lv-LV"/>
        </w:rPr>
        <w:t xml:space="preserve"> īpašības</w:t>
      </w:r>
    </w:p>
    <w:p w14:paraId="52586F4C" w14:textId="77777777" w:rsidR="00E167A4" w:rsidRPr="003A6529" w:rsidRDefault="00E167A4" w:rsidP="00DC3F58">
      <w:pPr>
        <w:autoSpaceDE w:val="0"/>
        <w:autoSpaceDN w:val="0"/>
        <w:adjustRightInd w:val="0"/>
        <w:rPr>
          <w:sz w:val="22"/>
          <w:szCs w:val="22"/>
        </w:rPr>
      </w:pPr>
      <w:r w:rsidRPr="003A6529">
        <w:rPr>
          <w:sz w:val="22"/>
          <w:szCs w:val="22"/>
          <w:lang w:bidi="lv-LV"/>
        </w:rPr>
        <w:t>Papildus anti-H</w:t>
      </w:r>
      <w:r w:rsidRPr="003A6529">
        <w:rPr>
          <w:sz w:val="22"/>
          <w:szCs w:val="22"/>
          <w:vertAlign w:val="subscript"/>
          <w:lang w:bidi="lv-LV"/>
        </w:rPr>
        <w:t>1</w:t>
      </w:r>
      <w:r w:rsidRPr="003A6529">
        <w:rPr>
          <w:sz w:val="22"/>
          <w:szCs w:val="22"/>
          <w:lang w:bidi="lv-LV"/>
        </w:rPr>
        <w:t xml:space="preserve"> ietekmei </w:t>
      </w:r>
      <w:proofErr w:type="spellStart"/>
      <w:r w:rsidRPr="003A6529">
        <w:rPr>
          <w:sz w:val="22"/>
          <w:szCs w:val="22"/>
          <w:lang w:bidi="lv-LV"/>
        </w:rPr>
        <w:t>cetirizīnam</w:t>
      </w:r>
      <w:proofErr w:type="spellEnd"/>
      <w:r w:rsidRPr="003A6529">
        <w:rPr>
          <w:sz w:val="22"/>
          <w:szCs w:val="22"/>
          <w:lang w:bidi="lv-LV"/>
        </w:rPr>
        <w:t xml:space="preserve"> ir arī pretalerģiska iedarbība: 10 mg devā vienu vai divas reizes dienā tas </w:t>
      </w:r>
      <w:proofErr w:type="spellStart"/>
      <w:r w:rsidRPr="003A6529">
        <w:rPr>
          <w:sz w:val="22"/>
          <w:szCs w:val="22"/>
          <w:lang w:bidi="lv-LV"/>
        </w:rPr>
        <w:t>inhibē</w:t>
      </w:r>
      <w:proofErr w:type="spellEnd"/>
      <w:r w:rsidRPr="003A6529">
        <w:rPr>
          <w:sz w:val="22"/>
          <w:szCs w:val="22"/>
          <w:lang w:bidi="lv-LV"/>
        </w:rPr>
        <w:t xml:space="preserve"> </w:t>
      </w:r>
      <w:proofErr w:type="spellStart"/>
      <w:r w:rsidRPr="003A6529">
        <w:rPr>
          <w:sz w:val="22"/>
          <w:szCs w:val="22"/>
          <w:lang w:bidi="lv-LV"/>
        </w:rPr>
        <w:t>eozinofilo</w:t>
      </w:r>
      <w:proofErr w:type="spellEnd"/>
      <w:r w:rsidRPr="003A6529">
        <w:rPr>
          <w:sz w:val="22"/>
          <w:szCs w:val="22"/>
          <w:lang w:bidi="lv-LV"/>
        </w:rPr>
        <w:t xml:space="preserve"> leikocītu piesaistīšanas vēlīno fāzi ādā un konjunktīvā atopiskiem pacientiem, kuri ir pakļauti alergēna ietekmei.</w:t>
      </w:r>
    </w:p>
    <w:p w14:paraId="25B28B95" w14:textId="77777777" w:rsidR="00E167A4" w:rsidRPr="003A6529" w:rsidRDefault="00E167A4" w:rsidP="00DC3F58">
      <w:pPr>
        <w:autoSpaceDE w:val="0"/>
        <w:autoSpaceDN w:val="0"/>
        <w:adjustRightInd w:val="0"/>
        <w:rPr>
          <w:sz w:val="22"/>
          <w:szCs w:val="22"/>
        </w:rPr>
      </w:pPr>
    </w:p>
    <w:p w14:paraId="4DA19152" w14:textId="77777777" w:rsidR="00E167A4" w:rsidRPr="003A6529" w:rsidRDefault="00E167A4" w:rsidP="00A1788B">
      <w:pPr>
        <w:autoSpaceDE w:val="0"/>
        <w:autoSpaceDN w:val="0"/>
        <w:adjustRightInd w:val="0"/>
        <w:rPr>
          <w:sz w:val="22"/>
          <w:szCs w:val="22"/>
          <w:u w:val="single"/>
        </w:rPr>
      </w:pPr>
      <w:r w:rsidRPr="003A6529">
        <w:rPr>
          <w:sz w:val="22"/>
          <w:szCs w:val="22"/>
          <w:u w:val="single"/>
          <w:lang w:bidi="lv-LV"/>
        </w:rPr>
        <w:t xml:space="preserve">Klīniskā efektivitāte un </w:t>
      </w:r>
      <w:r w:rsidR="00437E00" w:rsidRPr="003A6529">
        <w:rPr>
          <w:sz w:val="22"/>
          <w:szCs w:val="22"/>
          <w:u w:val="single"/>
          <w:lang w:bidi="lv-LV"/>
        </w:rPr>
        <w:t>drošums</w:t>
      </w:r>
    </w:p>
    <w:p w14:paraId="4A50C77D" w14:textId="77777777" w:rsidR="00E167A4" w:rsidRPr="003A6529" w:rsidRDefault="00E167A4" w:rsidP="00A1788B">
      <w:pPr>
        <w:autoSpaceDE w:val="0"/>
        <w:autoSpaceDN w:val="0"/>
        <w:adjustRightInd w:val="0"/>
        <w:rPr>
          <w:sz w:val="22"/>
          <w:szCs w:val="22"/>
        </w:rPr>
      </w:pPr>
      <w:r w:rsidRPr="003A6529">
        <w:rPr>
          <w:sz w:val="22"/>
          <w:szCs w:val="22"/>
          <w:lang w:bidi="lv-LV"/>
        </w:rPr>
        <w:t xml:space="preserve">Pētījumos ar veseliem brīvprātīgajiem ir novērots, ka </w:t>
      </w:r>
      <w:proofErr w:type="spellStart"/>
      <w:r w:rsidRPr="003A6529">
        <w:rPr>
          <w:sz w:val="22"/>
          <w:szCs w:val="22"/>
          <w:lang w:bidi="lv-LV"/>
        </w:rPr>
        <w:t>cetirizīns</w:t>
      </w:r>
      <w:proofErr w:type="spellEnd"/>
      <w:r w:rsidRPr="003A6529">
        <w:rPr>
          <w:sz w:val="22"/>
          <w:szCs w:val="22"/>
          <w:lang w:bidi="lv-LV"/>
        </w:rPr>
        <w:t xml:space="preserve"> 5 un 10 mg devā spēcīgi </w:t>
      </w:r>
      <w:proofErr w:type="spellStart"/>
      <w:r w:rsidRPr="003A6529">
        <w:rPr>
          <w:sz w:val="22"/>
          <w:szCs w:val="22"/>
          <w:lang w:bidi="lv-LV"/>
        </w:rPr>
        <w:t>inhibē</w:t>
      </w:r>
      <w:proofErr w:type="spellEnd"/>
      <w:r w:rsidRPr="003A6529">
        <w:rPr>
          <w:sz w:val="22"/>
          <w:szCs w:val="22"/>
          <w:lang w:bidi="lv-LV"/>
        </w:rPr>
        <w:t xml:space="preserve"> nātrenes un apsārtuma reakcijas, kuras inducē ļoti augsta histamīna koncentrācija ādā, bet korelācija ar efektivitāti nav konstatēta. </w:t>
      </w:r>
    </w:p>
    <w:p w14:paraId="1801D1F1" w14:textId="77777777" w:rsidR="00E167A4" w:rsidRPr="003A6529" w:rsidRDefault="00E167A4" w:rsidP="00DC3F58">
      <w:pPr>
        <w:autoSpaceDE w:val="0"/>
        <w:autoSpaceDN w:val="0"/>
        <w:adjustRightInd w:val="0"/>
        <w:rPr>
          <w:sz w:val="22"/>
          <w:szCs w:val="22"/>
        </w:rPr>
      </w:pPr>
    </w:p>
    <w:p w14:paraId="18DFC1A0" w14:textId="69B414C0" w:rsidR="00E167A4" w:rsidRPr="003A6529" w:rsidRDefault="00E167A4" w:rsidP="00DC3F58">
      <w:pPr>
        <w:autoSpaceDE w:val="0"/>
        <w:autoSpaceDN w:val="0"/>
        <w:adjustRightInd w:val="0"/>
        <w:rPr>
          <w:sz w:val="22"/>
          <w:szCs w:val="22"/>
        </w:rPr>
      </w:pPr>
      <w:r w:rsidRPr="003A6529">
        <w:rPr>
          <w:sz w:val="22"/>
          <w:szCs w:val="22"/>
          <w:lang w:bidi="lv-LV"/>
        </w:rPr>
        <w:t xml:space="preserve">Sešas nedēļas ilgā placebo kontrolētā pētījumā, kurā piedalījās 186 pacienti ar alerģisku rinītu un vienlaicīgi vieglu līdz vidēji smagu astmu, 10 mg </w:t>
      </w:r>
      <w:proofErr w:type="spellStart"/>
      <w:r w:rsidRPr="003A6529">
        <w:rPr>
          <w:sz w:val="22"/>
          <w:szCs w:val="22"/>
          <w:lang w:bidi="lv-LV"/>
        </w:rPr>
        <w:t>cetirizīna</w:t>
      </w:r>
      <w:proofErr w:type="spellEnd"/>
      <w:r w:rsidR="00E0351C">
        <w:rPr>
          <w:sz w:val="22"/>
          <w:szCs w:val="22"/>
          <w:lang w:bidi="lv-LV"/>
        </w:rPr>
        <w:t xml:space="preserve"> vienu</w:t>
      </w:r>
      <w:r w:rsidRPr="003A6529">
        <w:rPr>
          <w:sz w:val="22"/>
          <w:szCs w:val="22"/>
          <w:lang w:bidi="lv-LV"/>
        </w:rPr>
        <w:t xml:space="preserve"> reizi dienā uzlaboja rinīta simptomus un nepasliktināja plaušu funkciju. Šis pētījums apstiprina, </w:t>
      </w:r>
      <w:r w:rsidR="00813BB6" w:rsidRPr="003A6529">
        <w:rPr>
          <w:sz w:val="22"/>
          <w:szCs w:val="22"/>
          <w:lang w:bidi="lv-LV"/>
        </w:rPr>
        <w:t xml:space="preserve">ka </w:t>
      </w:r>
      <w:proofErr w:type="spellStart"/>
      <w:r w:rsidR="00813BB6" w:rsidRPr="003A6529">
        <w:rPr>
          <w:sz w:val="22"/>
          <w:szCs w:val="22"/>
          <w:lang w:bidi="lv-LV"/>
        </w:rPr>
        <w:t>cetirizīnu</w:t>
      </w:r>
      <w:proofErr w:type="spellEnd"/>
      <w:r w:rsidR="00813BB6" w:rsidRPr="003A6529">
        <w:rPr>
          <w:sz w:val="22"/>
          <w:szCs w:val="22"/>
          <w:lang w:bidi="lv-LV"/>
        </w:rPr>
        <w:t xml:space="preserve"> var droši nozīmēt</w:t>
      </w:r>
      <w:r w:rsidRPr="003A6529">
        <w:rPr>
          <w:sz w:val="22"/>
          <w:szCs w:val="22"/>
          <w:lang w:bidi="lv-LV"/>
        </w:rPr>
        <w:t xml:space="preserve"> alerģiskiem pacientiem ar vieglu līdz vidēji smagu astmu. </w:t>
      </w:r>
    </w:p>
    <w:p w14:paraId="5B13DE01" w14:textId="77777777" w:rsidR="00E167A4" w:rsidRPr="003A6529" w:rsidRDefault="00E167A4" w:rsidP="00DC3F58">
      <w:pPr>
        <w:autoSpaceDE w:val="0"/>
        <w:autoSpaceDN w:val="0"/>
        <w:adjustRightInd w:val="0"/>
        <w:rPr>
          <w:sz w:val="22"/>
          <w:szCs w:val="22"/>
        </w:rPr>
      </w:pPr>
    </w:p>
    <w:p w14:paraId="2438C620" w14:textId="4F470748" w:rsidR="00E167A4" w:rsidRPr="003A6529" w:rsidRDefault="00E167A4" w:rsidP="00DC3F58">
      <w:pPr>
        <w:autoSpaceDE w:val="0"/>
        <w:autoSpaceDN w:val="0"/>
        <w:adjustRightInd w:val="0"/>
        <w:rPr>
          <w:sz w:val="22"/>
          <w:szCs w:val="22"/>
        </w:rPr>
      </w:pPr>
      <w:r w:rsidRPr="003A6529">
        <w:rPr>
          <w:sz w:val="22"/>
          <w:szCs w:val="22"/>
          <w:lang w:bidi="lv-LV"/>
        </w:rPr>
        <w:t xml:space="preserve">Placebo kontrolētā pētījumā, lietojot </w:t>
      </w:r>
      <w:proofErr w:type="spellStart"/>
      <w:r w:rsidRPr="003A6529">
        <w:rPr>
          <w:sz w:val="22"/>
          <w:szCs w:val="22"/>
          <w:lang w:bidi="lv-LV"/>
        </w:rPr>
        <w:t>cetirizīnu</w:t>
      </w:r>
      <w:proofErr w:type="spellEnd"/>
      <w:r w:rsidRPr="003A6529">
        <w:rPr>
          <w:sz w:val="22"/>
          <w:szCs w:val="22"/>
          <w:lang w:bidi="lv-LV"/>
        </w:rPr>
        <w:t xml:space="preserve"> lielā devā (60 mg dienā) septiņas dienas, </w:t>
      </w:r>
      <w:r w:rsidR="00E0351C">
        <w:rPr>
          <w:sz w:val="22"/>
          <w:szCs w:val="22"/>
          <w:lang w:bidi="lv-LV"/>
        </w:rPr>
        <w:t>ne</w:t>
      </w:r>
      <w:r w:rsidRPr="003A6529">
        <w:rPr>
          <w:sz w:val="22"/>
          <w:szCs w:val="22"/>
          <w:lang w:bidi="lv-LV"/>
        </w:rPr>
        <w:t>izraisī</w:t>
      </w:r>
      <w:r w:rsidR="00E0351C">
        <w:rPr>
          <w:sz w:val="22"/>
          <w:szCs w:val="22"/>
          <w:lang w:bidi="lv-LV"/>
        </w:rPr>
        <w:t>j</w:t>
      </w:r>
      <w:r w:rsidRPr="003A6529">
        <w:rPr>
          <w:sz w:val="22"/>
          <w:szCs w:val="22"/>
          <w:lang w:bidi="lv-LV"/>
        </w:rPr>
        <w:t>a statistiski nozīmīg</w:t>
      </w:r>
      <w:r w:rsidR="00E0351C">
        <w:rPr>
          <w:sz w:val="22"/>
          <w:szCs w:val="22"/>
          <w:lang w:bidi="lv-LV"/>
        </w:rPr>
        <w:t>u</w:t>
      </w:r>
      <w:r w:rsidRPr="003A6529">
        <w:rPr>
          <w:sz w:val="22"/>
          <w:szCs w:val="22"/>
          <w:lang w:bidi="lv-LV"/>
        </w:rPr>
        <w:t xml:space="preserve"> QT intervāla pagarināšanās.</w:t>
      </w:r>
    </w:p>
    <w:p w14:paraId="31157379" w14:textId="77777777" w:rsidR="00E167A4" w:rsidRPr="003A6529" w:rsidRDefault="00E167A4" w:rsidP="00DC3F58">
      <w:pPr>
        <w:autoSpaceDE w:val="0"/>
        <w:autoSpaceDN w:val="0"/>
        <w:adjustRightInd w:val="0"/>
        <w:rPr>
          <w:sz w:val="22"/>
          <w:szCs w:val="22"/>
        </w:rPr>
      </w:pPr>
    </w:p>
    <w:p w14:paraId="1EFBA520" w14:textId="77777777" w:rsidR="00E167A4" w:rsidRPr="003A6529" w:rsidRDefault="00E167A4" w:rsidP="00DC3F58">
      <w:pPr>
        <w:autoSpaceDE w:val="0"/>
        <w:autoSpaceDN w:val="0"/>
        <w:adjustRightInd w:val="0"/>
        <w:rPr>
          <w:sz w:val="22"/>
          <w:szCs w:val="22"/>
        </w:rPr>
      </w:pPr>
      <w:r w:rsidRPr="003A6529">
        <w:rPr>
          <w:sz w:val="22"/>
          <w:szCs w:val="22"/>
          <w:lang w:bidi="lv-LV"/>
        </w:rPr>
        <w:t xml:space="preserve">Lietojot to ieteicamajā devā, </w:t>
      </w:r>
      <w:proofErr w:type="spellStart"/>
      <w:r w:rsidRPr="003A6529">
        <w:rPr>
          <w:sz w:val="22"/>
          <w:szCs w:val="22"/>
          <w:lang w:bidi="lv-LV"/>
        </w:rPr>
        <w:t>cetirizīns</w:t>
      </w:r>
      <w:proofErr w:type="spellEnd"/>
      <w:r w:rsidRPr="003A6529">
        <w:rPr>
          <w:sz w:val="22"/>
          <w:szCs w:val="22"/>
          <w:lang w:bidi="lv-LV"/>
        </w:rPr>
        <w:t xml:space="preserve"> uzlabo dzīves kvalitāti pacientiem ar pastāvīgu un sezonālu alerģisku rinītu.</w:t>
      </w:r>
    </w:p>
    <w:p w14:paraId="36FA90FF" w14:textId="77777777" w:rsidR="00E167A4" w:rsidRPr="003A6529" w:rsidRDefault="00E167A4" w:rsidP="00DC3F58">
      <w:pPr>
        <w:autoSpaceDE w:val="0"/>
        <w:autoSpaceDN w:val="0"/>
        <w:adjustRightInd w:val="0"/>
        <w:rPr>
          <w:sz w:val="22"/>
          <w:szCs w:val="22"/>
        </w:rPr>
      </w:pPr>
    </w:p>
    <w:p w14:paraId="45994E58" w14:textId="77777777" w:rsidR="00E167A4" w:rsidRPr="003A6529" w:rsidRDefault="00E167A4" w:rsidP="00CC0774">
      <w:pPr>
        <w:autoSpaceDE w:val="0"/>
        <w:autoSpaceDN w:val="0"/>
        <w:adjustRightInd w:val="0"/>
        <w:rPr>
          <w:sz w:val="22"/>
          <w:szCs w:val="22"/>
          <w:u w:val="single"/>
        </w:rPr>
      </w:pPr>
      <w:r w:rsidRPr="003A6529">
        <w:rPr>
          <w:sz w:val="22"/>
          <w:szCs w:val="22"/>
          <w:u w:val="single"/>
          <w:lang w:bidi="lv-LV"/>
        </w:rPr>
        <w:t>Pediatriskā populācija</w:t>
      </w:r>
    </w:p>
    <w:p w14:paraId="255F594A" w14:textId="77777777" w:rsidR="00E167A4" w:rsidRPr="003A6529" w:rsidRDefault="00E167A4" w:rsidP="00CC0774">
      <w:pPr>
        <w:autoSpaceDE w:val="0"/>
        <w:autoSpaceDN w:val="0"/>
        <w:adjustRightInd w:val="0"/>
        <w:rPr>
          <w:sz w:val="22"/>
          <w:szCs w:val="22"/>
        </w:rPr>
      </w:pPr>
      <w:r w:rsidRPr="003A6529">
        <w:rPr>
          <w:sz w:val="22"/>
          <w:szCs w:val="22"/>
          <w:lang w:bidi="lv-LV"/>
        </w:rPr>
        <w:t xml:space="preserve">Trīsdesmit piecas dienas ilgā pētījumā, kurā piedalījās 5 – 12 gadus veci bērni, netika atklāta tolerance pret </w:t>
      </w:r>
      <w:proofErr w:type="spellStart"/>
      <w:r w:rsidRPr="003A6529">
        <w:rPr>
          <w:sz w:val="22"/>
          <w:szCs w:val="22"/>
          <w:lang w:bidi="lv-LV"/>
        </w:rPr>
        <w:t>cetirizīna</w:t>
      </w:r>
      <w:proofErr w:type="spellEnd"/>
      <w:r w:rsidRPr="003A6529">
        <w:rPr>
          <w:sz w:val="22"/>
          <w:szCs w:val="22"/>
          <w:lang w:bidi="lv-LV"/>
        </w:rPr>
        <w:t xml:space="preserve"> </w:t>
      </w:r>
      <w:proofErr w:type="spellStart"/>
      <w:r w:rsidRPr="003A6529">
        <w:rPr>
          <w:sz w:val="22"/>
          <w:szCs w:val="22"/>
          <w:lang w:bidi="lv-LV"/>
        </w:rPr>
        <w:t>prethistamīno</w:t>
      </w:r>
      <w:proofErr w:type="spellEnd"/>
      <w:r w:rsidRPr="003A6529">
        <w:rPr>
          <w:sz w:val="22"/>
          <w:szCs w:val="22"/>
          <w:lang w:bidi="lv-LV"/>
        </w:rPr>
        <w:t xml:space="preserve"> ietekmi (nātrenes un apsārtuma </w:t>
      </w:r>
      <w:proofErr w:type="spellStart"/>
      <w:r w:rsidRPr="003A6529">
        <w:rPr>
          <w:sz w:val="22"/>
          <w:szCs w:val="22"/>
          <w:lang w:bidi="lv-LV"/>
        </w:rPr>
        <w:t>supresiju</w:t>
      </w:r>
      <w:proofErr w:type="spellEnd"/>
      <w:r w:rsidRPr="003A6529">
        <w:rPr>
          <w:sz w:val="22"/>
          <w:szCs w:val="22"/>
          <w:lang w:bidi="lv-LV"/>
        </w:rPr>
        <w:t xml:space="preserve">). Pārtraucot ārstēšanu ar </w:t>
      </w:r>
      <w:proofErr w:type="spellStart"/>
      <w:r w:rsidRPr="003A6529">
        <w:rPr>
          <w:sz w:val="22"/>
          <w:szCs w:val="22"/>
          <w:lang w:bidi="lv-LV"/>
        </w:rPr>
        <w:t>cetirizīnu</w:t>
      </w:r>
      <w:proofErr w:type="spellEnd"/>
      <w:r w:rsidRPr="003A6529">
        <w:rPr>
          <w:sz w:val="22"/>
          <w:szCs w:val="22"/>
          <w:lang w:bidi="lv-LV"/>
        </w:rPr>
        <w:t xml:space="preserve"> pēc atkārtotas lietošanas, āda atguva savu normālo jutību pret histamīnu 3 dienu laikā.</w:t>
      </w:r>
    </w:p>
    <w:p w14:paraId="55F1451F" w14:textId="77777777" w:rsidR="00E167A4" w:rsidRPr="003A6529" w:rsidRDefault="00E167A4" w:rsidP="00DC3F58">
      <w:pPr>
        <w:autoSpaceDE w:val="0"/>
        <w:autoSpaceDN w:val="0"/>
        <w:adjustRightInd w:val="0"/>
        <w:rPr>
          <w:sz w:val="22"/>
          <w:szCs w:val="22"/>
        </w:rPr>
      </w:pPr>
    </w:p>
    <w:p w14:paraId="23F59CEA" w14:textId="77777777" w:rsidR="00E167A4" w:rsidRPr="003A6529" w:rsidRDefault="00E167A4" w:rsidP="00DC3F58">
      <w:pPr>
        <w:tabs>
          <w:tab w:val="left" w:pos="540"/>
        </w:tabs>
        <w:rPr>
          <w:i/>
          <w:sz w:val="22"/>
        </w:rPr>
      </w:pPr>
      <w:r w:rsidRPr="003A6529">
        <w:rPr>
          <w:b/>
          <w:sz w:val="22"/>
          <w:lang w:bidi="lv-LV"/>
        </w:rPr>
        <w:t>5.2.</w:t>
      </w:r>
      <w:r w:rsidRPr="003A6529">
        <w:rPr>
          <w:b/>
          <w:sz w:val="22"/>
          <w:lang w:bidi="lv-LV"/>
        </w:rPr>
        <w:tab/>
      </w:r>
      <w:proofErr w:type="spellStart"/>
      <w:r w:rsidRPr="003A6529">
        <w:rPr>
          <w:b/>
          <w:sz w:val="22"/>
          <w:lang w:bidi="lv-LV"/>
        </w:rPr>
        <w:t>Farmakokinētiskās</w:t>
      </w:r>
      <w:proofErr w:type="spellEnd"/>
      <w:r w:rsidRPr="003A6529">
        <w:rPr>
          <w:b/>
          <w:sz w:val="22"/>
          <w:lang w:bidi="lv-LV"/>
        </w:rPr>
        <w:t xml:space="preserve"> īpašības </w:t>
      </w:r>
    </w:p>
    <w:p w14:paraId="20919101" w14:textId="77777777" w:rsidR="00E167A4" w:rsidRPr="003A6529" w:rsidRDefault="00E167A4" w:rsidP="00DC3F58">
      <w:pPr>
        <w:pStyle w:val="Heading2"/>
        <w:spacing w:line="240" w:lineRule="auto"/>
        <w:jc w:val="left"/>
        <w:rPr>
          <w:sz w:val="22"/>
        </w:rPr>
      </w:pPr>
    </w:p>
    <w:p w14:paraId="0B749E98" w14:textId="77777777" w:rsidR="00E167A4" w:rsidRPr="003A6529" w:rsidRDefault="00E167A4" w:rsidP="00CC0774">
      <w:pPr>
        <w:autoSpaceDE w:val="0"/>
        <w:autoSpaceDN w:val="0"/>
        <w:adjustRightInd w:val="0"/>
        <w:rPr>
          <w:sz w:val="22"/>
          <w:szCs w:val="22"/>
          <w:u w:val="single"/>
        </w:rPr>
      </w:pPr>
      <w:r w:rsidRPr="003A6529">
        <w:rPr>
          <w:sz w:val="22"/>
          <w:szCs w:val="22"/>
          <w:u w:val="single"/>
          <w:lang w:bidi="lv-LV"/>
        </w:rPr>
        <w:t xml:space="preserve">Uzsūkšanās </w:t>
      </w:r>
    </w:p>
    <w:p w14:paraId="13F4EEC9" w14:textId="77777777" w:rsidR="00E167A4" w:rsidRPr="003A6529" w:rsidRDefault="00E60813" w:rsidP="00CC0774">
      <w:pPr>
        <w:autoSpaceDE w:val="0"/>
        <w:autoSpaceDN w:val="0"/>
        <w:adjustRightInd w:val="0"/>
        <w:rPr>
          <w:sz w:val="22"/>
          <w:szCs w:val="22"/>
        </w:rPr>
      </w:pPr>
      <w:r w:rsidRPr="003A6529">
        <w:rPr>
          <w:sz w:val="22"/>
          <w:szCs w:val="22"/>
          <w:lang w:bidi="lv-LV"/>
        </w:rPr>
        <w:t xml:space="preserve">Maksimālā līdzsvara </w:t>
      </w:r>
      <w:r w:rsidR="00E167A4" w:rsidRPr="003A6529">
        <w:rPr>
          <w:sz w:val="22"/>
          <w:szCs w:val="22"/>
          <w:lang w:bidi="lv-LV"/>
        </w:rPr>
        <w:t>koncentrācija plazmā ir aptuveni 300 </w:t>
      </w:r>
      <w:proofErr w:type="spellStart"/>
      <w:r w:rsidR="00E167A4" w:rsidRPr="003A6529">
        <w:rPr>
          <w:sz w:val="22"/>
          <w:szCs w:val="22"/>
          <w:lang w:bidi="lv-LV"/>
        </w:rPr>
        <w:t>ng</w:t>
      </w:r>
      <w:proofErr w:type="spellEnd"/>
      <w:r w:rsidR="00E167A4" w:rsidRPr="003A6529">
        <w:rPr>
          <w:sz w:val="22"/>
          <w:szCs w:val="22"/>
          <w:lang w:bidi="lv-LV"/>
        </w:rPr>
        <w:t xml:space="preserve">/ml, un tā tiek sasniegta </w:t>
      </w:r>
      <w:r w:rsidR="00761AD3" w:rsidRPr="003A6529">
        <w:rPr>
          <w:sz w:val="22"/>
          <w:szCs w:val="22"/>
          <w:lang w:bidi="lv-LV"/>
        </w:rPr>
        <w:t xml:space="preserve">pēc </w:t>
      </w:r>
      <w:r w:rsidR="00E167A4" w:rsidRPr="003A6529">
        <w:rPr>
          <w:sz w:val="22"/>
          <w:szCs w:val="22"/>
          <w:lang w:bidi="lv-LV"/>
        </w:rPr>
        <w:t xml:space="preserve">1,0 ± 0,5 </w:t>
      </w:r>
      <w:r w:rsidR="00761AD3" w:rsidRPr="003A6529">
        <w:rPr>
          <w:sz w:val="22"/>
          <w:szCs w:val="22"/>
          <w:lang w:bidi="lv-LV"/>
        </w:rPr>
        <w:t>stundas</w:t>
      </w:r>
      <w:r w:rsidR="00E167A4" w:rsidRPr="003A6529">
        <w:rPr>
          <w:sz w:val="22"/>
          <w:szCs w:val="22"/>
          <w:lang w:bidi="lv-LV"/>
        </w:rPr>
        <w:t xml:space="preserve">. </w:t>
      </w:r>
      <w:r w:rsidR="00761AD3" w:rsidRPr="003A6529">
        <w:rPr>
          <w:sz w:val="22"/>
          <w:szCs w:val="22"/>
          <w:lang w:bidi="lv-LV"/>
        </w:rPr>
        <w:t xml:space="preserve">Izkliedes </w:t>
      </w:r>
      <w:proofErr w:type="spellStart"/>
      <w:r w:rsidR="00761AD3" w:rsidRPr="003A6529">
        <w:rPr>
          <w:sz w:val="22"/>
          <w:szCs w:val="22"/>
          <w:lang w:bidi="lv-LV"/>
        </w:rPr>
        <w:t>farmakokinētiskie</w:t>
      </w:r>
      <w:proofErr w:type="spellEnd"/>
      <w:r w:rsidR="00761AD3" w:rsidRPr="003A6529">
        <w:rPr>
          <w:sz w:val="22"/>
          <w:szCs w:val="22"/>
          <w:lang w:bidi="lv-LV"/>
        </w:rPr>
        <w:t xml:space="preserve"> </w:t>
      </w:r>
      <w:r w:rsidR="00E71B3A" w:rsidRPr="003A6529">
        <w:rPr>
          <w:sz w:val="22"/>
          <w:szCs w:val="22"/>
          <w:lang w:bidi="lv-LV"/>
        </w:rPr>
        <w:t>raksturlielum</w:t>
      </w:r>
      <w:r w:rsidR="00761AD3" w:rsidRPr="003A6529">
        <w:rPr>
          <w:sz w:val="22"/>
          <w:szCs w:val="22"/>
          <w:lang w:bidi="lv-LV"/>
        </w:rPr>
        <w:t>i, tādi</w:t>
      </w:r>
      <w:r w:rsidR="00E71B3A" w:rsidRPr="003A6529">
        <w:rPr>
          <w:sz w:val="22"/>
          <w:szCs w:val="22"/>
          <w:lang w:bidi="lv-LV"/>
        </w:rPr>
        <w:t xml:space="preserve"> </w:t>
      </w:r>
      <w:r w:rsidR="00E167A4" w:rsidRPr="003A6529">
        <w:rPr>
          <w:sz w:val="22"/>
          <w:szCs w:val="22"/>
          <w:lang w:bidi="lv-LV"/>
        </w:rPr>
        <w:t>kā maksimālā koncentrācija plazmā (</w:t>
      </w:r>
      <w:proofErr w:type="spellStart"/>
      <w:r w:rsidR="00E167A4" w:rsidRPr="003A6529">
        <w:rPr>
          <w:sz w:val="22"/>
          <w:szCs w:val="22"/>
          <w:lang w:bidi="lv-LV"/>
        </w:rPr>
        <w:t>C</w:t>
      </w:r>
      <w:r w:rsidR="00E167A4" w:rsidRPr="003A6529">
        <w:rPr>
          <w:sz w:val="22"/>
          <w:szCs w:val="22"/>
          <w:vertAlign w:val="subscript"/>
          <w:lang w:bidi="lv-LV"/>
        </w:rPr>
        <w:t>max</w:t>
      </w:r>
      <w:proofErr w:type="spellEnd"/>
      <w:r w:rsidR="00E167A4" w:rsidRPr="003A6529">
        <w:rPr>
          <w:sz w:val="22"/>
          <w:szCs w:val="22"/>
          <w:lang w:bidi="lv-LV"/>
        </w:rPr>
        <w:t xml:space="preserve"> ) un laukums zem līknes (AUC) ir </w:t>
      </w:r>
      <w:r w:rsidR="006626A1" w:rsidRPr="003A6529">
        <w:rPr>
          <w:sz w:val="22"/>
          <w:szCs w:val="22"/>
          <w:lang w:bidi="lv-LV"/>
        </w:rPr>
        <w:t>līdzīgs</w:t>
      </w:r>
      <w:r w:rsidR="00E167A4" w:rsidRPr="003A6529">
        <w:rPr>
          <w:sz w:val="22"/>
          <w:szCs w:val="22"/>
          <w:lang w:bidi="lv-LV"/>
        </w:rPr>
        <w:t>.</w:t>
      </w:r>
    </w:p>
    <w:p w14:paraId="36794606" w14:textId="77777777" w:rsidR="00E167A4" w:rsidRPr="003A6529" w:rsidRDefault="00E167A4" w:rsidP="00DC3F58">
      <w:pPr>
        <w:autoSpaceDE w:val="0"/>
        <w:autoSpaceDN w:val="0"/>
        <w:adjustRightInd w:val="0"/>
        <w:rPr>
          <w:sz w:val="22"/>
          <w:szCs w:val="22"/>
        </w:rPr>
      </w:pPr>
      <w:r w:rsidRPr="003A6529">
        <w:rPr>
          <w:sz w:val="22"/>
          <w:szCs w:val="22"/>
          <w:lang w:bidi="lv-LV"/>
        </w:rPr>
        <w:t xml:space="preserve">Uzturs nesamazina </w:t>
      </w:r>
      <w:proofErr w:type="spellStart"/>
      <w:r w:rsidRPr="003A6529">
        <w:rPr>
          <w:sz w:val="22"/>
          <w:szCs w:val="22"/>
          <w:lang w:bidi="lv-LV"/>
        </w:rPr>
        <w:t>cetirizīna</w:t>
      </w:r>
      <w:proofErr w:type="spellEnd"/>
      <w:r w:rsidRPr="003A6529">
        <w:rPr>
          <w:sz w:val="22"/>
          <w:szCs w:val="22"/>
          <w:lang w:bidi="lv-LV"/>
        </w:rPr>
        <w:t xml:space="preserve"> uzsūkšanās pakāpi, kaut arī samazinās uzsūkšanās ātrums. Lietojot </w:t>
      </w:r>
      <w:proofErr w:type="spellStart"/>
      <w:r w:rsidRPr="003A6529">
        <w:rPr>
          <w:sz w:val="22"/>
          <w:szCs w:val="22"/>
          <w:lang w:bidi="lv-LV"/>
        </w:rPr>
        <w:t>cetirizīnu</w:t>
      </w:r>
      <w:proofErr w:type="spellEnd"/>
      <w:r w:rsidRPr="003A6529">
        <w:rPr>
          <w:sz w:val="22"/>
          <w:szCs w:val="22"/>
          <w:lang w:bidi="lv-LV"/>
        </w:rPr>
        <w:t xml:space="preserve"> šķīduma, kapsulu vai tablešu formā, tā </w:t>
      </w:r>
      <w:proofErr w:type="spellStart"/>
      <w:r w:rsidRPr="003A6529">
        <w:rPr>
          <w:sz w:val="22"/>
          <w:szCs w:val="22"/>
          <w:lang w:bidi="lv-LV"/>
        </w:rPr>
        <w:t>biopieejamība</w:t>
      </w:r>
      <w:proofErr w:type="spellEnd"/>
      <w:r w:rsidRPr="003A6529">
        <w:rPr>
          <w:sz w:val="22"/>
          <w:szCs w:val="22"/>
          <w:lang w:bidi="lv-LV"/>
        </w:rPr>
        <w:t xml:space="preserve"> ir līdzīga.</w:t>
      </w:r>
    </w:p>
    <w:p w14:paraId="65802613" w14:textId="77777777" w:rsidR="00E167A4" w:rsidRPr="003A6529" w:rsidRDefault="00E167A4" w:rsidP="00DC3F58">
      <w:pPr>
        <w:autoSpaceDE w:val="0"/>
        <w:autoSpaceDN w:val="0"/>
        <w:adjustRightInd w:val="0"/>
        <w:rPr>
          <w:sz w:val="22"/>
          <w:szCs w:val="22"/>
        </w:rPr>
      </w:pPr>
    </w:p>
    <w:p w14:paraId="00419533" w14:textId="77777777" w:rsidR="00E167A4" w:rsidRPr="003A6529" w:rsidRDefault="0019348E" w:rsidP="00CC0774">
      <w:pPr>
        <w:autoSpaceDE w:val="0"/>
        <w:autoSpaceDN w:val="0"/>
        <w:adjustRightInd w:val="0"/>
        <w:rPr>
          <w:sz w:val="22"/>
          <w:szCs w:val="22"/>
          <w:u w:val="single"/>
        </w:rPr>
      </w:pPr>
      <w:r w:rsidRPr="003A6529">
        <w:rPr>
          <w:sz w:val="22"/>
          <w:szCs w:val="22"/>
          <w:u w:val="single"/>
          <w:lang w:bidi="lv-LV"/>
        </w:rPr>
        <w:t>Izkliede</w:t>
      </w:r>
    </w:p>
    <w:p w14:paraId="6F058763" w14:textId="77777777" w:rsidR="00E167A4" w:rsidRPr="003A6529" w:rsidRDefault="00E167A4" w:rsidP="00DC3F58">
      <w:pPr>
        <w:autoSpaceDE w:val="0"/>
        <w:autoSpaceDN w:val="0"/>
        <w:adjustRightInd w:val="0"/>
        <w:rPr>
          <w:sz w:val="22"/>
          <w:szCs w:val="22"/>
        </w:rPr>
      </w:pPr>
      <w:r w:rsidRPr="003A6529">
        <w:rPr>
          <w:sz w:val="22"/>
          <w:szCs w:val="22"/>
          <w:lang w:bidi="lv-LV"/>
        </w:rPr>
        <w:t xml:space="preserve">Šķietamais </w:t>
      </w:r>
      <w:r w:rsidR="0019348E" w:rsidRPr="003A6529">
        <w:rPr>
          <w:sz w:val="22"/>
          <w:szCs w:val="22"/>
          <w:lang w:bidi="lv-LV"/>
        </w:rPr>
        <w:t xml:space="preserve">izkliedes </w:t>
      </w:r>
      <w:r w:rsidRPr="003A6529">
        <w:rPr>
          <w:sz w:val="22"/>
          <w:szCs w:val="22"/>
          <w:lang w:bidi="lv-LV"/>
        </w:rPr>
        <w:t xml:space="preserve">tilpums ir 0,50 l/kg. Plazmā 93 ± 0,3% </w:t>
      </w:r>
      <w:proofErr w:type="spellStart"/>
      <w:r w:rsidRPr="003A6529">
        <w:rPr>
          <w:sz w:val="22"/>
          <w:szCs w:val="22"/>
          <w:lang w:bidi="lv-LV"/>
        </w:rPr>
        <w:t>cetirizīna</w:t>
      </w:r>
      <w:proofErr w:type="spellEnd"/>
      <w:r w:rsidRPr="003A6529">
        <w:rPr>
          <w:sz w:val="22"/>
          <w:szCs w:val="22"/>
          <w:lang w:bidi="lv-LV"/>
        </w:rPr>
        <w:t xml:space="preserve"> saistās ar plazmas proteīniem.</w:t>
      </w:r>
    </w:p>
    <w:p w14:paraId="4227D435" w14:textId="77777777" w:rsidR="00E167A4" w:rsidRPr="003A6529" w:rsidRDefault="00E167A4" w:rsidP="00DC3F58">
      <w:pPr>
        <w:autoSpaceDE w:val="0"/>
        <w:autoSpaceDN w:val="0"/>
        <w:adjustRightInd w:val="0"/>
        <w:rPr>
          <w:sz w:val="22"/>
          <w:szCs w:val="22"/>
        </w:rPr>
      </w:pPr>
      <w:proofErr w:type="spellStart"/>
      <w:r w:rsidRPr="003A6529">
        <w:rPr>
          <w:sz w:val="22"/>
          <w:szCs w:val="22"/>
          <w:lang w:bidi="lv-LV"/>
        </w:rPr>
        <w:t>Cetirizīns</w:t>
      </w:r>
      <w:proofErr w:type="spellEnd"/>
      <w:r w:rsidRPr="003A6529">
        <w:rPr>
          <w:sz w:val="22"/>
          <w:szCs w:val="22"/>
          <w:lang w:bidi="lv-LV"/>
        </w:rPr>
        <w:t xml:space="preserve"> neietekmē </w:t>
      </w:r>
      <w:proofErr w:type="spellStart"/>
      <w:r w:rsidRPr="003A6529">
        <w:rPr>
          <w:sz w:val="22"/>
          <w:szCs w:val="22"/>
          <w:lang w:bidi="lv-LV"/>
        </w:rPr>
        <w:t>varfarīna</w:t>
      </w:r>
      <w:proofErr w:type="spellEnd"/>
      <w:r w:rsidRPr="003A6529">
        <w:rPr>
          <w:sz w:val="22"/>
          <w:szCs w:val="22"/>
          <w:lang w:bidi="lv-LV"/>
        </w:rPr>
        <w:t xml:space="preserve"> saistīšanos ar proteīniem.</w:t>
      </w:r>
    </w:p>
    <w:p w14:paraId="0D04C50E" w14:textId="77777777" w:rsidR="00E167A4" w:rsidRPr="003A6529" w:rsidRDefault="00E167A4" w:rsidP="00DC3F58">
      <w:pPr>
        <w:autoSpaceDE w:val="0"/>
        <w:autoSpaceDN w:val="0"/>
        <w:adjustRightInd w:val="0"/>
        <w:rPr>
          <w:sz w:val="22"/>
          <w:szCs w:val="22"/>
        </w:rPr>
      </w:pPr>
    </w:p>
    <w:p w14:paraId="0B086EB9" w14:textId="77777777" w:rsidR="00E167A4" w:rsidRPr="003A6529" w:rsidRDefault="00E167A4" w:rsidP="009D29E2">
      <w:pPr>
        <w:autoSpaceDE w:val="0"/>
        <w:autoSpaceDN w:val="0"/>
        <w:adjustRightInd w:val="0"/>
        <w:rPr>
          <w:sz w:val="22"/>
          <w:szCs w:val="22"/>
          <w:u w:val="single"/>
        </w:rPr>
      </w:pPr>
      <w:proofErr w:type="spellStart"/>
      <w:r w:rsidRPr="003A6529">
        <w:rPr>
          <w:sz w:val="22"/>
          <w:szCs w:val="22"/>
          <w:u w:val="single"/>
          <w:lang w:bidi="lv-LV"/>
        </w:rPr>
        <w:t>Biotransformācija</w:t>
      </w:r>
      <w:proofErr w:type="spellEnd"/>
    </w:p>
    <w:p w14:paraId="5D8C715E" w14:textId="77777777" w:rsidR="00E167A4" w:rsidRPr="003A6529" w:rsidRDefault="00E167A4" w:rsidP="009D29E2">
      <w:pPr>
        <w:autoSpaceDE w:val="0"/>
        <w:autoSpaceDN w:val="0"/>
        <w:adjustRightInd w:val="0"/>
        <w:rPr>
          <w:sz w:val="22"/>
          <w:szCs w:val="22"/>
        </w:rPr>
      </w:pPr>
      <w:proofErr w:type="spellStart"/>
      <w:r w:rsidRPr="003A6529">
        <w:rPr>
          <w:sz w:val="22"/>
          <w:szCs w:val="22"/>
          <w:lang w:bidi="lv-LV"/>
        </w:rPr>
        <w:t>Cetirizīns</w:t>
      </w:r>
      <w:proofErr w:type="spellEnd"/>
      <w:r w:rsidRPr="003A6529">
        <w:rPr>
          <w:sz w:val="22"/>
          <w:szCs w:val="22"/>
          <w:lang w:bidi="lv-LV"/>
        </w:rPr>
        <w:t xml:space="preserve"> netiek pakļauts plašām pirms fāzes metabolisma reakcijām. </w:t>
      </w:r>
    </w:p>
    <w:p w14:paraId="6FE60BE5" w14:textId="77777777" w:rsidR="00E167A4" w:rsidRPr="003A6529" w:rsidRDefault="00E167A4" w:rsidP="009D29E2">
      <w:pPr>
        <w:autoSpaceDE w:val="0"/>
        <w:autoSpaceDN w:val="0"/>
        <w:adjustRightInd w:val="0"/>
        <w:rPr>
          <w:sz w:val="22"/>
          <w:szCs w:val="22"/>
        </w:rPr>
      </w:pPr>
    </w:p>
    <w:p w14:paraId="67634DD8" w14:textId="77777777" w:rsidR="00E167A4" w:rsidRPr="003A6529" w:rsidRDefault="00E167A4" w:rsidP="009D29E2">
      <w:pPr>
        <w:autoSpaceDE w:val="0"/>
        <w:autoSpaceDN w:val="0"/>
        <w:adjustRightInd w:val="0"/>
        <w:rPr>
          <w:sz w:val="22"/>
          <w:szCs w:val="22"/>
          <w:u w:val="single"/>
        </w:rPr>
      </w:pPr>
      <w:r w:rsidRPr="003A6529">
        <w:rPr>
          <w:sz w:val="22"/>
          <w:szCs w:val="22"/>
          <w:u w:val="single"/>
          <w:lang w:bidi="lv-LV"/>
        </w:rPr>
        <w:t>Eliminācija</w:t>
      </w:r>
    </w:p>
    <w:p w14:paraId="67AE48D5" w14:textId="77777777" w:rsidR="00E167A4" w:rsidRPr="003A6529" w:rsidRDefault="00E167A4" w:rsidP="009D29E2">
      <w:pPr>
        <w:autoSpaceDE w:val="0"/>
        <w:autoSpaceDN w:val="0"/>
        <w:adjustRightInd w:val="0"/>
        <w:rPr>
          <w:sz w:val="22"/>
          <w:szCs w:val="22"/>
        </w:rPr>
      </w:pPr>
      <w:r w:rsidRPr="003A6529">
        <w:rPr>
          <w:sz w:val="22"/>
          <w:szCs w:val="22"/>
          <w:lang w:bidi="lv-LV"/>
        </w:rPr>
        <w:t xml:space="preserve">Terminālais eliminācijas pusperiods ir aptuveni 10 stundas un, lietojot </w:t>
      </w:r>
      <w:proofErr w:type="spellStart"/>
      <w:r w:rsidRPr="003A6529">
        <w:rPr>
          <w:sz w:val="22"/>
          <w:szCs w:val="22"/>
          <w:lang w:bidi="lv-LV"/>
        </w:rPr>
        <w:t>cetirizīnu</w:t>
      </w:r>
      <w:proofErr w:type="spellEnd"/>
      <w:r w:rsidRPr="003A6529">
        <w:rPr>
          <w:sz w:val="22"/>
          <w:szCs w:val="22"/>
          <w:lang w:bidi="lv-LV"/>
        </w:rPr>
        <w:t xml:space="preserve"> 10 mg devā 10 dienas, uzkrāšanās organismā netiek novērota. Aptuveni divas trešdaļas </w:t>
      </w:r>
      <w:proofErr w:type="spellStart"/>
      <w:r w:rsidRPr="003A6529">
        <w:rPr>
          <w:sz w:val="22"/>
          <w:szCs w:val="22"/>
          <w:lang w:bidi="lv-LV"/>
        </w:rPr>
        <w:t>cetirizīna</w:t>
      </w:r>
      <w:proofErr w:type="spellEnd"/>
      <w:r w:rsidRPr="003A6529">
        <w:rPr>
          <w:sz w:val="22"/>
          <w:szCs w:val="22"/>
          <w:lang w:bidi="lv-LV"/>
        </w:rPr>
        <w:t xml:space="preserve"> devas </w:t>
      </w:r>
      <w:r w:rsidR="00EF117D" w:rsidRPr="003A6529">
        <w:rPr>
          <w:sz w:val="22"/>
          <w:szCs w:val="22"/>
          <w:lang w:bidi="lv-LV"/>
        </w:rPr>
        <w:t xml:space="preserve">izdalās </w:t>
      </w:r>
      <w:r w:rsidRPr="003A6529">
        <w:rPr>
          <w:sz w:val="22"/>
          <w:szCs w:val="22"/>
          <w:lang w:bidi="lv-LV"/>
        </w:rPr>
        <w:t>neizmainītā veidā</w:t>
      </w:r>
      <w:r w:rsidR="00EF117D" w:rsidRPr="003A6529">
        <w:rPr>
          <w:sz w:val="22"/>
          <w:szCs w:val="22"/>
          <w:lang w:bidi="lv-LV"/>
        </w:rPr>
        <w:t xml:space="preserve"> ar urīnu</w:t>
      </w:r>
      <w:r w:rsidRPr="003A6529">
        <w:rPr>
          <w:sz w:val="22"/>
          <w:szCs w:val="22"/>
          <w:lang w:bidi="lv-LV"/>
        </w:rPr>
        <w:t>.</w:t>
      </w:r>
    </w:p>
    <w:p w14:paraId="242D0CC4" w14:textId="77777777" w:rsidR="00E167A4" w:rsidRPr="003A6529" w:rsidRDefault="00E167A4" w:rsidP="009D29E2">
      <w:pPr>
        <w:pStyle w:val="Default"/>
        <w:rPr>
          <w:sz w:val="22"/>
          <w:szCs w:val="22"/>
          <w:u w:val="single"/>
        </w:rPr>
      </w:pPr>
    </w:p>
    <w:p w14:paraId="6F4F7891" w14:textId="77777777" w:rsidR="00E167A4" w:rsidRPr="003A6529" w:rsidRDefault="00E167A4" w:rsidP="009D29E2">
      <w:pPr>
        <w:pStyle w:val="Default"/>
        <w:rPr>
          <w:sz w:val="22"/>
          <w:szCs w:val="22"/>
          <w:u w:val="single"/>
        </w:rPr>
      </w:pPr>
      <w:proofErr w:type="spellStart"/>
      <w:r w:rsidRPr="003A6529">
        <w:rPr>
          <w:sz w:val="22"/>
          <w:szCs w:val="22"/>
          <w:u w:val="single"/>
          <w:lang w:bidi="lv-LV"/>
        </w:rPr>
        <w:t>Linearitāte</w:t>
      </w:r>
      <w:proofErr w:type="spellEnd"/>
      <w:r w:rsidRPr="003A6529">
        <w:rPr>
          <w:sz w:val="22"/>
          <w:szCs w:val="22"/>
          <w:u w:val="single"/>
          <w:lang w:bidi="lv-LV"/>
        </w:rPr>
        <w:t xml:space="preserve"> / </w:t>
      </w:r>
      <w:proofErr w:type="spellStart"/>
      <w:r w:rsidRPr="003A6529">
        <w:rPr>
          <w:sz w:val="22"/>
          <w:szCs w:val="22"/>
          <w:u w:val="single"/>
          <w:lang w:bidi="lv-LV"/>
        </w:rPr>
        <w:t>nelinearitāte</w:t>
      </w:r>
      <w:proofErr w:type="spellEnd"/>
      <w:r w:rsidRPr="003A6529">
        <w:rPr>
          <w:sz w:val="22"/>
          <w:szCs w:val="22"/>
          <w:u w:val="single"/>
          <w:lang w:bidi="lv-LV"/>
        </w:rPr>
        <w:t xml:space="preserve"> </w:t>
      </w:r>
    </w:p>
    <w:p w14:paraId="56D149D0" w14:textId="72EF4805" w:rsidR="00E167A4" w:rsidRPr="003A6529" w:rsidRDefault="00E167A4" w:rsidP="009D29E2">
      <w:pPr>
        <w:autoSpaceDE w:val="0"/>
        <w:autoSpaceDN w:val="0"/>
        <w:adjustRightInd w:val="0"/>
        <w:rPr>
          <w:sz w:val="22"/>
          <w:szCs w:val="22"/>
          <w:u w:val="single"/>
        </w:rPr>
      </w:pPr>
      <w:r w:rsidRPr="003A6529">
        <w:rPr>
          <w:sz w:val="22"/>
          <w:szCs w:val="22"/>
          <w:lang w:bidi="lv-LV"/>
        </w:rPr>
        <w:t>Dev</w:t>
      </w:r>
      <w:r w:rsidR="006758A6">
        <w:rPr>
          <w:sz w:val="22"/>
          <w:szCs w:val="22"/>
          <w:lang w:bidi="lv-LV"/>
        </w:rPr>
        <w:t>u</w:t>
      </w:r>
      <w:r w:rsidRPr="003A6529">
        <w:rPr>
          <w:sz w:val="22"/>
          <w:szCs w:val="22"/>
          <w:lang w:bidi="lv-LV"/>
        </w:rPr>
        <w:t xml:space="preserve"> diapazonā no 5 līdz 60 mg </w:t>
      </w:r>
      <w:proofErr w:type="spellStart"/>
      <w:r w:rsidRPr="003A6529">
        <w:rPr>
          <w:sz w:val="22"/>
          <w:szCs w:val="22"/>
          <w:lang w:bidi="lv-LV"/>
        </w:rPr>
        <w:t>cetirizīns</w:t>
      </w:r>
      <w:proofErr w:type="spellEnd"/>
      <w:r w:rsidRPr="003A6529">
        <w:rPr>
          <w:sz w:val="22"/>
          <w:szCs w:val="22"/>
          <w:lang w:bidi="lv-LV"/>
        </w:rPr>
        <w:t xml:space="preserve"> uzrāda lineāru kinētiku.</w:t>
      </w:r>
    </w:p>
    <w:p w14:paraId="36098336" w14:textId="77777777" w:rsidR="00E167A4" w:rsidRPr="003A6529" w:rsidRDefault="00E167A4" w:rsidP="00DC3F58">
      <w:pPr>
        <w:autoSpaceDE w:val="0"/>
        <w:autoSpaceDN w:val="0"/>
        <w:adjustRightInd w:val="0"/>
        <w:rPr>
          <w:sz w:val="22"/>
          <w:szCs w:val="22"/>
          <w:u w:val="single"/>
        </w:rPr>
      </w:pPr>
    </w:p>
    <w:p w14:paraId="25FB6F82" w14:textId="77777777" w:rsidR="00E167A4" w:rsidRPr="003A6529" w:rsidRDefault="00E167A4" w:rsidP="009D29E2">
      <w:pPr>
        <w:pStyle w:val="Default"/>
        <w:rPr>
          <w:sz w:val="22"/>
          <w:szCs w:val="22"/>
        </w:rPr>
      </w:pPr>
      <w:r w:rsidRPr="003A6529">
        <w:rPr>
          <w:i/>
          <w:sz w:val="22"/>
          <w:szCs w:val="22"/>
          <w:lang w:bidi="lv-LV"/>
        </w:rPr>
        <w:t>Nieru darbības traucējumi:</w:t>
      </w:r>
      <w:r w:rsidRPr="003A6529">
        <w:rPr>
          <w:sz w:val="22"/>
          <w:szCs w:val="22"/>
          <w:lang w:bidi="lv-LV"/>
        </w:rPr>
        <w:t xml:space="preserve"> zāļu farmakokinētika pacientiem ar viegliem nieru darbības traucējumiem (</w:t>
      </w:r>
      <w:proofErr w:type="spellStart"/>
      <w:r w:rsidRPr="003A6529">
        <w:rPr>
          <w:sz w:val="22"/>
          <w:szCs w:val="22"/>
          <w:lang w:bidi="lv-LV"/>
        </w:rPr>
        <w:t>kreatinīna</w:t>
      </w:r>
      <w:proofErr w:type="spellEnd"/>
      <w:r w:rsidRPr="003A6529">
        <w:rPr>
          <w:sz w:val="22"/>
          <w:szCs w:val="22"/>
          <w:lang w:bidi="lv-LV"/>
        </w:rPr>
        <w:t xml:space="preserve"> </w:t>
      </w:r>
      <w:proofErr w:type="spellStart"/>
      <w:r w:rsidRPr="003A6529">
        <w:rPr>
          <w:sz w:val="22"/>
          <w:szCs w:val="22"/>
          <w:lang w:bidi="lv-LV"/>
        </w:rPr>
        <w:t>klīrenss</w:t>
      </w:r>
      <w:proofErr w:type="spellEnd"/>
      <w:r w:rsidRPr="003A6529">
        <w:rPr>
          <w:sz w:val="22"/>
          <w:szCs w:val="22"/>
          <w:lang w:bidi="lv-LV"/>
        </w:rPr>
        <w:t xml:space="preserve"> vairāk nekā 40 ml/min) un veseliem brīvprātīgajiem bija līdzīga. Pacientiem ar </w:t>
      </w:r>
      <w:r w:rsidRPr="003A6529">
        <w:rPr>
          <w:sz w:val="22"/>
          <w:szCs w:val="22"/>
          <w:lang w:bidi="lv-LV"/>
        </w:rPr>
        <w:lastRenderedPageBreak/>
        <w:t xml:space="preserve">vidēji smagiem nieru darbības traucējumiem, salīdzinot ar veseliem brīvprātīgajiem, 3 reizes pagarinājās eliminācijas pusperiods un par 70% samazinājās </w:t>
      </w:r>
      <w:proofErr w:type="spellStart"/>
      <w:r w:rsidRPr="003A6529">
        <w:rPr>
          <w:sz w:val="22"/>
          <w:szCs w:val="22"/>
          <w:lang w:bidi="lv-LV"/>
        </w:rPr>
        <w:t>klīrenss</w:t>
      </w:r>
      <w:proofErr w:type="spellEnd"/>
      <w:r w:rsidRPr="003A6529">
        <w:rPr>
          <w:sz w:val="22"/>
          <w:szCs w:val="22"/>
          <w:lang w:bidi="lv-LV"/>
        </w:rPr>
        <w:t xml:space="preserve">. </w:t>
      </w:r>
    </w:p>
    <w:p w14:paraId="39F18D3E" w14:textId="20D3E18E" w:rsidR="00E167A4" w:rsidRPr="003A6529" w:rsidRDefault="00E167A4" w:rsidP="009D29E2">
      <w:pPr>
        <w:pStyle w:val="Default"/>
        <w:rPr>
          <w:sz w:val="22"/>
          <w:szCs w:val="22"/>
        </w:rPr>
      </w:pPr>
      <w:r w:rsidRPr="003A6529">
        <w:rPr>
          <w:sz w:val="22"/>
          <w:szCs w:val="22"/>
          <w:lang w:bidi="lv-LV"/>
        </w:rPr>
        <w:t>Pacientiem, kuriem tiek veikta hemodialīze (</w:t>
      </w:r>
      <w:proofErr w:type="spellStart"/>
      <w:r w:rsidRPr="003A6529">
        <w:rPr>
          <w:sz w:val="22"/>
          <w:szCs w:val="22"/>
          <w:lang w:bidi="lv-LV"/>
        </w:rPr>
        <w:t>kreatinīna</w:t>
      </w:r>
      <w:proofErr w:type="spellEnd"/>
      <w:r w:rsidRPr="003A6529">
        <w:rPr>
          <w:sz w:val="22"/>
          <w:szCs w:val="22"/>
          <w:lang w:bidi="lv-LV"/>
        </w:rPr>
        <w:t xml:space="preserve"> </w:t>
      </w:r>
      <w:proofErr w:type="spellStart"/>
      <w:r w:rsidRPr="003A6529">
        <w:rPr>
          <w:sz w:val="22"/>
          <w:szCs w:val="22"/>
          <w:lang w:bidi="lv-LV"/>
        </w:rPr>
        <w:t>klīrenss</w:t>
      </w:r>
      <w:proofErr w:type="spellEnd"/>
      <w:r w:rsidRPr="003A6529">
        <w:rPr>
          <w:sz w:val="22"/>
          <w:szCs w:val="22"/>
          <w:lang w:bidi="lv-LV"/>
        </w:rPr>
        <w:t xml:space="preserve"> mazāks par 7 ml/min), vienreizējai </w:t>
      </w:r>
      <w:proofErr w:type="spellStart"/>
      <w:r w:rsidRPr="003A6529">
        <w:rPr>
          <w:sz w:val="22"/>
          <w:szCs w:val="22"/>
          <w:lang w:bidi="lv-LV"/>
        </w:rPr>
        <w:t>cetirizīna</w:t>
      </w:r>
      <w:proofErr w:type="spellEnd"/>
      <w:r w:rsidRPr="003A6529">
        <w:rPr>
          <w:sz w:val="22"/>
          <w:szCs w:val="22"/>
          <w:lang w:bidi="lv-LV"/>
        </w:rPr>
        <w:t xml:space="preserve"> 10 mg iekšķīgi lietotai devai bija 3 reizes ilgāks eliminācijas pusperiods un par 70% mazāks </w:t>
      </w:r>
      <w:proofErr w:type="spellStart"/>
      <w:r w:rsidRPr="003A6529">
        <w:rPr>
          <w:sz w:val="22"/>
          <w:szCs w:val="22"/>
          <w:lang w:bidi="lv-LV"/>
        </w:rPr>
        <w:t>klīrenss</w:t>
      </w:r>
      <w:proofErr w:type="spellEnd"/>
      <w:r w:rsidRPr="003A6529">
        <w:rPr>
          <w:sz w:val="22"/>
          <w:szCs w:val="22"/>
          <w:lang w:bidi="lv-LV"/>
        </w:rPr>
        <w:t xml:space="preserve"> nekā veseliem cilvēkiem. Hemodialīzes laikā </w:t>
      </w:r>
      <w:proofErr w:type="spellStart"/>
      <w:r w:rsidRPr="003A6529">
        <w:rPr>
          <w:sz w:val="22"/>
          <w:szCs w:val="22"/>
          <w:lang w:bidi="lv-LV"/>
        </w:rPr>
        <w:t>cetirizīns</w:t>
      </w:r>
      <w:proofErr w:type="spellEnd"/>
      <w:r w:rsidRPr="003A6529">
        <w:rPr>
          <w:sz w:val="22"/>
          <w:szCs w:val="22"/>
          <w:lang w:bidi="lv-LV"/>
        </w:rPr>
        <w:t xml:space="preserve"> tika izdalīts vāji. Pacientiem ar vidēji smagiem līdz smagiem nieru darbības traucējumiem ir nepieciešama devas pielāgošana (skatīt 4.2. apakšpunktu). </w:t>
      </w:r>
    </w:p>
    <w:p w14:paraId="02C45426" w14:textId="77777777" w:rsidR="00E167A4" w:rsidRPr="003A6529" w:rsidRDefault="00E167A4" w:rsidP="009D29E2">
      <w:pPr>
        <w:pStyle w:val="Default"/>
        <w:rPr>
          <w:i/>
          <w:iCs/>
          <w:sz w:val="22"/>
          <w:szCs w:val="22"/>
        </w:rPr>
      </w:pPr>
    </w:p>
    <w:p w14:paraId="40DCFA5D" w14:textId="7B80C505" w:rsidR="00E167A4" w:rsidRPr="003A6529" w:rsidRDefault="00E167A4" w:rsidP="009D29E2">
      <w:pPr>
        <w:pStyle w:val="Default"/>
        <w:rPr>
          <w:sz w:val="22"/>
          <w:szCs w:val="22"/>
        </w:rPr>
      </w:pPr>
      <w:r w:rsidRPr="003A6529">
        <w:rPr>
          <w:i/>
          <w:sz w:val="22"/>
          <w:szCs w:val="22"/>
          <w:lang w:bidi="lv-LV"/>
        </w:rPr>
        <w:t>Aknu darbības traucējumi:</w:t>
      </w:r>
      <w:r w:rsidRPr="003A6529">
        <w:rPr>
          <w:sz w:val="22"/>
          <w:szCs w:val="22"/>
          <w:lang w:bidi="lv-LV"/>
        </w:rPr>
        <w:t xml:space="preserve"> pacientiem ar hroniskām aknu slimībām (</w:t>
      </w:r>
      <w:proofErr w:type="spellStart"/>
      <w:r w:rsidRPr="003A6529">
        <w:rPr>
          <w:sz w:val="22"/>
          <w:szCs w:val="22"/>
          <w:lang w:bidi="lv-LV"/>
        </w:rPr>
        <w:t>hepatocelulāru</w:t>
      </w:r>
      <w:proofErr w:type="spellEnd"/>
      <w:r w:rsidRPr="003A6529">
        <w:rPr>
          <w:sz w:val="22"/>
          <w:szCs w:val="22"/>
          <w:lang w:bidi="lv-LV"/>
        </w:rPr>
        <w:t xml:space="preserve">, </w:t>
      </w:r>
      <w:proofErr w:type="spellStart"/>
      <w:r w:rsidRPr="003A6529">
        <w:rPr>
          <w:sz w:val="22"/>
          <w:szCs w:val="22"/>
          <w:lang w:bidi="lv-LV"/>
        </w:rPr>
        <w:t>holestātisku</w:t>
      </w:r>
      <w:proofErr w:type="spellEnd"/>
      <w:r w:rsidRPr="003A6529">
        <w:rPr>
          <w:sz w:val="22"/>
          <w:szCs w:val="22"/>
          <w:lang w:bidi="lv-LV"/>
        </w:rPr>
        <w:t xml:space="preserve"> un </w:t>
      </w:r>
      <w:proofErr w:type="spellStart"/>
      <w:r w:rsidRPr="003A6529">
        <w:rPr>
          <w:sz w:val="22"/>
          <w:szCs w:val="22"/>
          <w:lang w:bidi="lv-LV"/>
        </w:rPr>
        <w:t>biliāru</w:t>
      </w:r>
      <w:proofErr w:type="spellEnd"/>
      <w:r w:rsidRPr="003A6529">
        <w:rPr>
          <w:sz w:val="22"/>
          <w:szCs w:val="22"/>
          <w:lang w:bidi="lv-LV"/>
        </w:rPr>
        <w:t xml:space="preserve"> cirozi), lietojot 10 vai 20 mg </w:t>
      </w:r>
      <w:proofErr w:type="spellStart"/>
      <w:r w:rsidRPr="003A6529">
        <w:rPr>
          <w:sz w:val="22"/>
          <w:szCs w:val="22"/>
          <w:lang w:bidi="lv-LV"/>
        </w:rPr>
        <w:t>cetirizīna</w:t>
      </w:r>
      <w:proofErr w:type="spellEnd"/>
      <w:r w:rsidRPr="003A6529">
        <w:rPr>
          <w:sz w:val="22"/>
          <w:szCs w:val="22"/>
          <w:lang w:bidi="lv-LV"/>
        </w:rPr>
        <w:t xml:space="preserve"> vienreizējā devā, par 50% pagarinājās eliminācijas pusperiods un par 40% samazinājās </w:t>
      </w:r>
      <w:proofErr w:type="spellStart"/>
      <w:r w:rsidRPr="003A6529">
        <w:rPr>
          <w:sz w:val="22"/>
          <w:szCs w:val="22"/>
          <w:lang w:bidi="lv-LV"/>
        </w:rPr>
        <w:t>klīrenss</w:t>
      </w:r>
      <w:proofErr w:type="spellEnd"/>
      <w:r w:rsidRPr="003A6529">
        <w:rPr>
          <w:sz w:val="22"/>
          <w:szCs w:val="22"/>
          <w:lang w:bidi="lv-LV"/>
        </w:rPr>
        <w:t xml:space="preserve">, salīdzinot ar veseliem cilvēkiem. </w:t>
      </w:r>
    </w:p>
    <w:p w14:paraId="787DA357" w14:textId="77777777" w:rsidR="00E167A4" w:rsidRPr="003A6529" w:rsidRDefault="00E167A4" w:rsidP="009D29E2">
      <w:pPr>
        <w:pStyle w:val="Default"/>
        <w:rPr>
          <w:sz w:val="22"/>
          <w:szCs w:val="22"/>
        </w:rPr>
      </w:pPr>
      <w:r w:rsidRPr="003A6529">
        <w:rPr>
          <w:sz w:val="22"/>
          <w:szCs w:val="22"/>
          <w:lang w:bidi="lv-LV"/>
        </w:rPr>
        <w:t xml:space="preserve">Devas pielāgošana ir nepieciešama tikai tajos gadījumos, kad pacientam ir gan aknu, </w:t>
      </w:r>
      <w:r w:rsidR="00813BB6" w:rsidRPr="003A6529">
        <w:rPr>
          <w:sz w:val="22"/>
          <w:szCs w:val="22"/>
          <w:lang w:bidi="lv-LV"/>
        </w:rPr>
        <w:t>gan nieru darbības traucējumi.</w:t>
      </w:r>
    </w:p>
    <w:p w14:paraId="06F0447C" w14:textId="77777777" w:rsidR="00E167A4" w:rsidRPr="003A6529" w:rsidRDefault="00E167A4" w:rsidP="009D29E2">
      <w:pPr>
        <w:pStyle w:val="Default"/>
        <w:rPr>
          <w:i/>
          <w:iCs/>
          <w:sz w:val="22"/>
          <w:szCs w:val="22"/>
        </w:rPr>
      </w:pPr>
    </w:p>
    <w:p w14:paraId="4A7FF089" w14:textId="1613591D" w:rsidR="00E167A4" w:rsidRPr="003A6529" w:rsidRDefault="00E167A4" w:rsidP="009D29E2">
      <w:pPr>
        <w:pStyle w:val="Default"/>
        <w:rPr>
          <w:sz w:val="22"/>
          <w:szCs w:val="22"/>
        </w:rPr>
      </w:pPr>
      <w:r w:rsidRPr="003A6529">
        <w:rPr>
          <w:i/>
          <w:sz w:val="22"/>
          <w:szCs w:val="22"/>
          <w:lang w:bidi="lv-LV"/>
        </w:rPr>
        <w:t>Gados vecāki cilvēki:</w:t>
      </w:r>
      <w:r w:rsidRPr="003A6529">
        <w:rPr>
          <w:sz w:val="22"/>
          <w:szCs w:val="22"/>
          <w:lang w:bidi="lv-LV"/>
        </w:rPr>
        <w:t xml:space="preserve"> 16 gados vecākiem pacientiem pēc vienreizējas 10 mg devas lietošanas eliminācijas pusperiods pagarinājās par 50% un </w:t>
      </w:r>
      <w:proofErr w:type="spellStart"/>
      <w:r w:rsidRPr="003A6529">
        <w:rPr>
          <w:sz w:val="22"/>
          <w:szCs w:val="22"/>
          <w:lang w:bidi="lv-LV"/>
        </w:rPr>
        <w:t>klīrenss</w:t>
      </w:r>
      <w:proofErr w:type="spellEnd"/>
      <w:r w:rsidRPr="003A6529">
        <w:rPr>
          <w:sz w:val="22"/>
          <w:szCs w:val="22"/>
          <w:lang w:bidi="lv-LV"/>
        </w:rPr>
        <w:t xml:space="preserve"> samazinājās par 40%, salīdzinot ar jaunākiem pacientiem. </w:t>
      </w:r>
      <w:proofErr w:type="spellStart"/>
      <w:r w:rsidRPr="003A6529">
        <w:rPr>
          <w:sz w:val="22"/>
          <w:szCs w:val="22"/>
          <w:lang w:bidi="lv-LV"/>
        </w:rPr>
        <w:t>Cetirizīna</w:t>
      </w:r>
      <w:proofErr w:type="spellEnd"/>
      <w:r w:rsidRPr="003A6529">
        <w:rPr>
          <w:sz w:val="22"/>
          <w:szCs w:val="22"/>
          <w:lang w:bidi="lv-LV"/>
        </w:rPr>
        <w:t xml:space="preserve"> </w:t>
      </w:r>
      <w:proofErr w:type="spellStart"/>
      <w:r w:rsidRPr="003A6529">
        <w:rPr>
          <w:sz w:val="22"/>
          <w:szCs w:val="22"/>
          <w:lang w:bidi="lv-LV"/>
        </w:rPr>
        <w:t>klīrensa</w:t>
      </w:r>
      <w:proofErr w:type="spellEnd"/>
      <w:r w:rsidRPr="003A6529">
        <w:rPr>
          <w:sz w:val="22"/>
          <w:szCs w:val="22"/>
          <w:lang w:bidi="lv-LV"/>
        </w:rPr>
        <w:t xml:space="preserve"> samazināšanās šiem gados vecākiem brīvprātīgajiem izrādījās saistīta ar viņu pavājināto nieru darbību. </w:t>
      </w:r>
    </w:p>
    <w:p w14:paraId="293B870C" w14:textId="77777777" w:rsidR="00E167A4" w:rsidRPr="003A6529" w:rsidRDefault="00E167A4" w:rsidP="009D29E2">
      <w:pPr>
        <w:rPr>
          <w:i/>
          <w:iCs/>
          <w:sz w:val="22"/>
          <w:szCs w:val="22"/>
        </w:rPr>
      </w:pPr>
    </w:p>
    <w:p w14:paraId="6BB89194" w14:textId="77777777" w:rsidR="00E167A4" w:rsidRPr="003A6529" w:rsidRDefault="00E167A4" w:rsidP="009D29E2">
      <w:pPr>
        <w:rPr>
          <w:sz w:val="22"/>
          <w:szCs w:val="22"/>
        </w:rPr>
      </w:pPr>
      <w:r w:rsidRPr="003A6529">
        <w:rPr>
          <w:i/>
          <w:sz w:val="22"/>
          <w:szCs w:val="22"/>
          <w:lang w:bidi="lv-LV"/>
        </w:rPr>
        <w:t>Pediatriskā populācija:</w:t>
      </w:r>
      <w:r w:rsidRPr="003A6529">
        <w:rPr>
          <w:sz w:val="22"/>
          <w:szCs w:val="22"/>
          <w:lang w:bidi="lv-LV"/>
        </w:rPr>
        <w:t xml:space="preserve"> </w:t>
      </w:r>
      <w:proofErr w:type="spellStart"/>
      <w:r w:rsidRPr="003A6529">
        <w:rPr>
          <w:sz w:val="22"/>
          <w:szCs w:val="22"/>
          <w:lang w:bidi="lv-LV"/>
        </w:rPr>
        <w:t>cetirizīna</w:t>
      </w:r>
      <w:proofErr w:type="spellEnd"/>
      <w:r w:rsidRPr="003A6529">
        <w:rPr>
          <w:sz w:val="22"/>
          <w:szCs w:val="22"/>
          <w:lang w:bidi="lv-LV"/>
        </w:rPr>
        <w:t xml:space="preserve"> eliminācijas pusperiods 6 – 12 gadus veciem bērniem bija aptuveni 6 stundas un 2 – 6 gadus veciem bērniem – 5 stundas. Zīdaiņiem un maziem bērniem vecumā no 6 – 24 mēnešiem tas ir samazināts līdz 3,1 stundām.</w:t>
      </w:r>
    </w:p>
    <w:p w14:paraId="22B5B9C7" w14:textId="77777777" w:rsidR="00E167A4" w:rsidRPr="003A6529" w:rsidRDefault="00E167A4" w:rsidP="009D29E2">
      <w:pPr>
        <w:rPr>
          <w:sz w:val="22"/>
          <w:szCs w:val="22"/>
          <w:u w:val="single"/>
        </w:rPr>
      </w:pPr>
    </w:p>
    <w:p w14:paraId="30A4C70F" w14:textId="77777777" w:rsidR="00E167A4" w:rsidRPr="003A6529" w:rsidRDefault="00E167A4" w:rsidP="009D29E2">
      <w:pPr>
        <w:keepNext/>
        <w:tabs>
          <w:tab w:val="left" w:pos="540"/>
        </w:tabs>
        <w:rPr>
          <w:sz w:val="22"/>
        </w:rPr>
      </w:pPr>
      <w:r w:rsidRPr="003A6529">
        <w:rPr>
          <w:b/>
          <w:sz w:val="22"/>
          <w:lang w:bidi="lv-LV"/>
        </w:rPr>
        <w:t>5.3.</w:t>
      </w:r>
      <w:r w:rsidRPr="003A6529">
        <w:rPr>
          <w:b/>
          <w:sz w:val="22"/>
          <w:lang w:bidi="lv-LV"/>
        </w:rPr>
        <w:tab/>
      </w:r>
      <w:proofErr w:type="spellStart"/>
      <w:r w:rsidRPr="003A6529">
        <w:rPr>
          <w:b/>
          <w:sz w:val="22"/>
          <w:lang w:bidi="lv-LV"/>
        </w:rPr>
        <w:t>Preklīniskie</w:t>
      </w:r>
      <w:proofErr w:type="spellEnd"/>
      <w:r w:rsidRPr="003A6529">
        <w:rPr>
          <w:b/>
          <w:sz w:val="22"/>
          <w:lang w:bidi="lv-LV"/>
        </w:rPr>
        <w:t xml:space="preserve"> dati par drošumu </w:t>
      </w:r>
    </w:p>
    <w:p w14:paraId="3C755408" w14:textId="77777777" w:rsidR="00E167A4" w:rsidRPr="003A6529" w:rsidRDefault="00E167A4" w:rsidP="009D29E2">
      <w:pPr>
        <w:keepNext/>
        <w:rPr>
          <w:sz w:val="22"/>
          <w:szCs w:val="22"/>
        </w:rPr>
      </w:pPr>
    </w:p>
    <w:p w14:paraId="7C25789D" w14:textId="77777777" w:rsidR="00E167A4" w:rsidRPr="003A6529" w:rsidRDefault="00E167A4" w:rsidP="009D29E2">
      <w:pPr>
        <w:rPr>
          <w:noProof/>
          <w:sz w:val="22"/>
          <w:szCs w:val="22"/>
        </w:rPr>
      </w:pPr>
      <w:r w:rsidRPr="003A6529">
        <w:rPr>
          <w:sz w:val="22"/>
          <w:szCs w:val="22"/>
          <w:lang w:bidi="lv-LV"/>
        </w:rPr>
        <w:t xml:space="preserve">Neklīniskajos </w:t>
      </w:r>
      <w:proofErr w:type="spellStart"/>
      <w:r w:rsidRPr="003A6529">
        <w:rPr>
          <w:sz w:val="22"/>
          <w:szCs w:val="22"/>
          <w:lang w:bidi="lv-LV"/>
        </w:rPr>
        <w:t>standartpētījumos</w:t>
      </w:r>
      <w:proofErr w:type="spellEnd"/>
      <w:r w:rsidRPr="003A6529">
        <w:rPr>
          <w:sz w:val="22"/>
          <w:szCs w:val="22"/>
          <w:lang w:bidi="lv-LV"/>
        </w:rPr>
        <w:t xml:space="preserve"> iegūtie dati par farmakoloģisko drošumu, atkārtotu devu </w:t>
      </w:r>
      <w:proofErr w:type="spellStart"/>
      <w:r w:rsidRPr="003A6529">
        <w:rPr>
          <w:sz w:val="22"/>
          <w:szCs w:val="22"/>
          <w:lang w:bidi="lv-LV"/>
        </w:rPr>
        <w:t>toksicitāti</w:t>
      </w:r>
      <w:proofErr w:type="spellEnd"/>
      <w:r w:rsidRPr="003A6529">
        <w:rPr>
          <w:sz w:val="22"/>
          <w:szCs w:val="22"/>
          <w:lang w:bidi="lv-LV"/>
        </w:rPr>
        <w:t xml:space="preserve">, </w:t>
      </w:r>
      <w:proofErr w:type="spellStart"/>
      <w:r w:rsidRPr="003A6529">
        <w:rPr>
          <w:sz w:val="22"/>
          <w:szCs w:val="22"/>
          <w:lang w:bidi="lv-LV"/>
        </w:rPr>
        <w:t>genotoksicitāti</w:t>
      </w:r>
      <w:proofErr w:type="spellEnd"/>
      <w:r w:rsidRPr="003A6529">
        <w:rPr>
          <w:sz w:val="22"/>
          <w:szCs w:val="22"/>
          <w:lang w:bidi="lv-LV"/>
        </w:rPr>
        <w:t xml:space="preserve">, iespējamu </w:t>
      </w:r>
      <w:proofErr w:type="spellStart"/>
      <w:r w:rsidRPr="003A6529">
        <w:rPr>
          <w:sz w:val="22"/>
          <w:szCs w:val="22"/>
          <w:lang w:bidi="lv-LV"/>
        </w:rPr>
        <w:t>kancerogenitāti</w:t>
      </w:r>
      <w:proofErr w:type="spellEnd"/>
      <w:r w:rsidRPr="003A6529">
        <w:rPr>
          <w:sz w:val="22"/>
          <w:szCs w:val="22"/>
          <w:lang w:bidi="lv-LV"/>
        </w:rPr>
        <w:t xml:space="preserve"> un toksisku ietekmi uz </w:t>
      </w:r>
      <w:proofErr w:type="spellStart"/>
      <w:r w:rsidRPr="003A6529">
        <w:rPr>
          <w:sz w:val="22"/>
          <w:szCs w:val="22"/>
          <w:lang w:bidi="lv-LV"/>
        </w:rPr>
        <w:t>reproduktivitāti</w:t>
      </w:r>
      <w:proofErr w:type="spellEnd"/>
      <w:r w:rsidRPr="003A6529">
        <w:rPr>
          <w:sz w:val="22"/>
          <w:szCs w:val="22"/>
          <w:lang w:bidi="lv-LV"/>
        </w:rPr>
        <w:t xml:space="preserve"> neliecina par īpašu risku cilvēkam.</w:t>
      </w:r>
    </w:p>
    <w:p w14:paraId="44912AB4" w14:textId="77777777" w:rsidR="00E167A4" w:rsidRPr="003A6529" w:rsidRDefault="00E167A4" w:rsidP="00DC3F58">
      <w:pPr>
        <w:rPr>
          <w:noProof/>
          <w:sz w:val="22"/>
          <w:szCs w:val="22"/>
        </w:rPr>
      </w:pPr>
    </w:p>
    <w:p w14:paraId="1020050C" w14:textId="77777777" w:rsidR="00E167A4" w:rsidRPr="003A6529" w:rsidRDefault="00E167A4" w:rsidP="00DC3F58">
      <w:pPr>
        <w:rPr>
          <w:noProof/>
          <w:sz w:val="22"/>
          <w:szCs w:val="22"/>
        </w:rPr>
      </w:pPr>
    </w:p>
    <w:p w14:paraId="376E660A" w14:textId="77777777" w:rsidR="00E167A4" w:rsidRPr="003A6529" w:rsidRDefault="00E167A4" w:rsidP="00DC3F58">
      <w:pPr>
        <w:tabs>
          <w:tab w:val="left" w:pos="540"/>
        </w:tabs>
        <w:rPr>
          <w:b/>
          <w:noProof/>
          <w:sz w:val="22"/>
        </w:rPr>
      </w:pPr>
      <w:r w:rsidRPr="003A6529">
        <w:rPr>
          <w:b/>
          <w:noProof/>
          <w:sz w:val="22"/>
          <w:lang w:bidi="lv-LV"/>
        </w:rPr>
        <w:t>6.</w:t>
      </w:r>
      <w:r w:rsidRPr="003A6529">
        <w:rPr>
          <w:b/>
          <w:noProof/>
          <w:sz w:val="22"/>
          <w:lang w:bidi="lv-LV"/>
        </w:rPr>
        <w:tab/>
        <w:t xml:space="preserve">FARMACEITISKĀ INFORMĀCIJA </w:t>
      </w:r>
    </w:p>
    <w:p w14:paraId="214D6ED1" w14:textId="77777777" w:rsidR="00E167A4" w:rsidRPr="003A6529" w:rsidRDefault="00E167A4" w:rsidP="00DC3F58">
      <w:pPr>
        <w:tabs>
          <w:tab w:val="left" w:pos="540"/>
        </w:tabs>
        <w:rPr>
          <w:b/>
          <w:noProof/>
          <w:sz w:val="22"/>
        </w:rPr>
      </w:pPr>
    </w:p>
    <w:p w14:paraId="32A111F5" w14:textId="77777777" w:rsidR="00E167A4" w:rsidRPr="003A6529" w:rsidRDefault="00E167A4" w:rsidP="00DC3F58">
      <w:pPr>
        <w:tabs>
          <w:tab w:val="left" w:pos="540"/>
        </w:tabs>
        <w:rPr>
          <w:i/>
          <w:noProof/>
          <w:sz w:val="22"/>
        </w:rPr>
      </w:pPr>
      <w:r w:rsidRPr="003A6529">
        <w:rPr>
          <w:b/>
          <w:noProof/>
          <w:sz w:val="22"/>
          <w:lang w:bidi="lv-LV"/>
        </w:rPr>
        <w:t>6.1.</w:t>
      </w:r>
      <w:r w:rsidRPr="003A6529">
        <w:rPr>
          <w:b/>
          <w:noProof/>
          <w:sz w:val="22"/>
          <w:lang w:bidi="lv-LV"/>
        </w:rPr>
        <w:tab/>
        <w:t xml:space="preserve">Palīgvielu saraksts </w:t>
      </w:r>
    </w:p>
    <w:p w14:paraId="683AA929" w14:textId="77777777" w:rsidR="00E167A4" w:rsidRPr="003A6529" w:rsidRDefault="00E167A4" w:rsidP="00DC3F58">
      <w:pPr>
        <w:rPr>
          <w:noProof/>
          <w:sz w:val="22"/>
        </w:rPr>
      </w:pPr>
    </w:p>
    <w:p w14:paraId="2D787CD6" w14:textId="77777777" w:rsidR="00E167A4" w:rsidRPr="003A6529" w:rsidRDefault="00E167A4" w:rsidP="00DC3F58">
      <w:pPr>
        <w:rPr>
          <w:noProof/>
          <w:sz w:val="22"/>
        </w:rPr>
      </w:pPr>
      <w:r w:rsidRPr="003A6529">
        <w:rPr>
          <w:noProof/>
          <w:sz w:val="22"/>
          <w:lang w:bidi="lv-LV"/>
        </w:rPr>
        <w:t>Laktozes monohidrāts</w:t>
      </w:r>
    </w:p>
    <w:p w14:paraId="0259E9A6" w14:textId="77777777" w:rsidR="00E167A4" w:rsidRPr="003A6529" w:rsidRDefault="00E167A4" w:rsidP="00DC3F58">
      <w:pPr>
        <w:rPr>
          <w:noProof/>
          <w:sz w:val="22"/>
        </w:rPr>
      </w:pPr>
      <w:r w:rsidRPr="003A6529">
        <w:rPr>
          <w:noProof/>
          <w:sz w:val="22"/>
          <w:lang w:bidi="lv-LV"/>
        </w:rPr>
        <w:t>Mikrokristāliskā celuloze</w:t>
      </w:r>
    </w:p>
    <w:p w14:paraId="4E6538DB" w14:textId="77777777" w:rsidR="00E167A4" w:rsidRPr="003A6529" w:rsidRDefault="00E167A4" w:rsidP="00DC3F58">
      <w:pPr>
        <w:rPr>
          <w:noProof/>
          <w:sz w:val="22"/>
        </w:rPr>
      </w:pPr>
      <w:r w:rsidRPr="003A6529">
        <w:rPr>
          <w:noProof/>
          <w:sz w:val="22"/>
          <w:lang w:bidi="lv-LV"/>
        </w:rPr>
        <w:t>Koloidāls bezūdens silīcija dioksīds</w:t>
      </w:r>
    </w:p>
    <w:p w14:paraId="1C430234" w14:textId="77777777" w:rsidR="00E167A4" w:rsidRPr="003A6529" w:rsidRDefault="00E167A4" w:rsidP="00DC3F58">
      <w:pPr>
        <w:rPr>
          <w:noProof/>
          <w:sz w:val="22"/>
        </w:rPr>
      </w:pPr>
      <w:r w:rsidRPr="003A6529">
        <w:rPr>
          <w:noProof/>
          <w:sz w:val="22"/>
          <w:lang w:bidi="lv-LV"/>
        </w:rPr>
        <w:t>Magnija stearāts</w:t>
      </w:r>
    </w:p>
    <w:p w14:paraId="51B84ACC" w14:textId="77777777" w:rsidR="00E167A4" w:rsidRPr="003A6529" w:rsidRDefault="00E167A4" w:rsidP="00DC3F58">
      <w:pPr>
        <w:rPr>
          <w:noProof/>
          <w:sz w:val="22"/>
        </w:rPr>
      </w:pPr>
    </w:p>
    <w:p w14:paraId="261A6002" w14:textId="77777777" w:rsidR="00E167A4" w:rsidRPr="003A6529" w:rsidRDefault="00E167A4" w:rsidP="00DC3F58">
      <w:pPr>
        <w:rPr>
          <w:noProof/>
          <w:sz w:val="22"/>
        </w:rPr>
      </w:pPr>
      <w:r w:rsidRPr="003A6529">
        <w:rPr>
          <w:noProof/>
          <w:sz w:val="22"/>
          <w:lang w:bidi="lv-LV"/>
        </w:rPr>
        <w:t xml:space="preserve">Apvalks: </w:t>
      </w:r>
      <w:r w:rsidRPr="003A6529">
        <w:rPr>
          <w:i/>
          <w:noProof/>
          <w:sz w:val="22"/>
          <w:lang w:bidi="lv-LV"/>
        </w:rPr>
        <w:t>Opadry Y-1-7000 white</w:t>
      </w:r>
      <w:r w:rsidRPr="003A6529">
        <w:rPr>
          <w:noProof/>
          <w:sz w:val="22"/>
          <w:lang w:bidi="lv-LV"/>
        </w:rPr>
        <w:t xml:space="preserve">: </w:t>
      </w:r>
    </w:p>
    <w:p w14:paraId="5CE1F5C8" w14:textId="77777777" w:rsidR="00E167A4" w:rsidRPr="003A6529" w:rsidRDefault="00E167A4" w:rsidP="00DC3F58">
      <w:pPr>
        <w:rPr>
          <w:noProof/>
          <w:sz w:val="22"/>
        </w:rPr>
      </w:pPr>
      <w:r w:rsidRPr="003A6529">
        <w:rPr>
          <w:noProof/>
          <w:sz w:val="22"/>
          <w:lang w:bidi="lv-LV"/>
        </w:rPr>
        <w:t>Hipromeloze</w:t>
      </w:r>
    </w:p>
    <w:p w14:paraId="639ED751" w14:textId="77777777" w:rsidR="00E167A4" w:rsidRPr="003A6529" w:rsidRDefault="00E167A4" w:rsidP="00DC3F58">
      <w:pPr>
        <w:rPr>
          <w:noProof/>
          <w:sz w:val="22"/>
        </w:rPr>
      </w:pPr>
      <w:r w:rsidRPr="003A6529">
        <w:rPr>
          <w:noProof/>
          <w:sz w:val="22"/>
          <w:lang w:bidi="lv-LV"/>
        </w:rPr>
        <w:t>Titāna dioksīds (E171)</w:t>
      </w:r>
    </w:p>
    <w:p w14:paraId="5FB71A36" w14:textId="77777777" w:rsidR="00E167A4" w:rsidRPr="003A6529" w:rsidRDefault="00E167A4" w:rsidP="00DC3F58">
      <w:pPr>
        <w:rPr>
          <w:noProof/>
          <w:sz w:val="22"/>
        </w:rPr>
      </w:pPr>
      <w:r w:rsidRPr="003A6529">
        <w:rPr>
          <w:noProof/>
          <w:sz w:val="22"/>
          <w:lang w:bidi="lv-LV"/>
        </w:rPr>
        <w:t>Makrogols 400</w:t>
      </w:r>
    </w:p>
    <w:p w14:paraId="0E757704" w14:textId="77777777" w:rsidR="00E167A4" w:rsidRPr="003A6529" w:rsidRDefault="00E167A4" w:rsidP="00DC3F58">
      <w:pPr>
        <w:rPr>
          <w:b/>
          <w:noProof/>
          <w:sz w:val="22"/>
          <w:u w:val="single"/>
        </w:rPr>
      </w:pPr>
    </w:p>
    <w:p w14:paraId="4B638F6C" w14:textId="77777777" w:rsidR="00E167A4" w:rsidRPr="003A6529" w:rsidRDefault="00E167A4" w:rsidP="00DC3F58">
      <w:pPr>
        <w:tabs>
          <w:tab w:val="left" w:pos="540"/>
        </w:tabs>
        <w:rPr>
          <w:b/>
          <w:noProof/>
          <w:sz w:val="22"/>
        </w:rPr>
      </w:pPr>
      <w:r w:rsidRPr="003A6529">
        <w:rPr>
          <w:b/>
          <w:noProof/>
          <w:sz w:val="22"/>
          <w:lang w:bidi="lv-LV"/>
        </w:rPr>
        <w:t>6.2.</w:t>
      </w:r>
      <w:r w:rsidRPr="003A6529">
        <w:rPr>
          <w:b/>
          <w:noProof/>
          <w:sz w:val="22"/>
          <w:lang w:bidi="lv-LV"/>
        </w:rPr>
        <w:tab/>
        <w:t>Nesaderība</w:t>
      </w:r>
    </w:p>
    <w:p w14:paraId="4581FA33" w14:textId="77777777" w:rsidR="00E167A4" w:rsidRPr="003A6529" w:rsidRDefault="00E167A4" w:rsidP="00DC3F58">
      <w:pPr>
        <w:pStyle w:val="BodyText3"/>
        <w:spacing w:before="0" w:line="240" w:lineRule="auto"/>
        <w:rPr>
          <w:noProof/>
          <w:sz w:val="22"/>
        </w:rPr>
      </w:pPr>
    </w:p>
    <w:p w14:paraId="266859CF" w14:textId="77777777" w:rsidR="00E167A4" w:rsidRPr="003A6529" w:rsidRDefault="00E167A4" w:rsidP="00DC3F58">
      <w:pPr>
        <w:pStyle w:val="BodyText3"/>
        <w:spacing w:before="0" w:line="240" w:lineRule="auto"/>
        <w:rPr>
          <w:noProof/>
          <w:sz w:val="22"/>
        </w:rPr>
      </w:pPr>
      <w:r w:rsidRPr="003A6529">
        <w:rPr>
          <w:noProof/>
          <w:sz w:val="22"/>
          <w:lang w:bidi="lv-LV"/>
        </w:rPr>
        <w:t>Nav piemērojama.</w:t>
      </w:r>
    </w:p>
    <w:p w14:paraId="0C4A2787" w14:textId="77777777" w:rsidR="00E167A4" w:rsidRPr="003A6529" w:rsidRDefault="00E167A4" w:rsidP="00DC3F58">
      <w:pPr>
        <w:rPr>
          <w:noProof/>
          <w:sz w:val="22"/>
        </w:rPr>
      </w:pPr>
    </w:p>
    <w:p w14:paraId="13DB2AE8" w14:textId="77777777" w:rsidR="00E167A4" w:rsidRPr="003A6529" w:rsidRDefault="00E167A4" w:rsidP="00DC3F58">
      <w:pPr>
        <w:tabs>
          <w:tab w:val="left" w:pos="540"/>
        </w:tabs>
        <w:rPr>
          <w:noProof/>
          <w:sz w:val="22"/>
        </w:rPr>
      </w:pPr>
      <w:r w:rsidRPr="003A6529">
        <w:rPr>
          <w:b/>
          <w:noProof/>
          <w:sz w:val="22"/>
          <w:lang w:bidi="lv-LV"/>
        </w:rPr>
        <w:t>6.3.</w:t>
      </w:r>
      <w:r w:rsidRPr="003A6529">
        <w:rPr>
          <w:b/>
          <w:noProof/>
          <w:sz w:val="22"/>
          <w:lang w:bidi="lv-LV"/>
        </w:rPr>
        <w:tab/>
        <w:t xml:space="preserve"> Uzglabāšanas laiks </w:t>
      </w:r>
    </w:p>
    <w:p w14:paraId="5A09B6FC" w14:textId="77777777" w:rsidR="00E167A4" w:rsidRPr="003A6529" w:rsidRDefault="00E167A4" w:rsidP="00DC3F58">
      <w:pPr>
        <w:pStyle w:val="BodyText3"/>
        <w:spacing w:before="0" w:line="240" w:lineRule="auto"/>
        <w:rPr>
          <w:noProof/>
          <w:sz w:val="22"/>
        </w:rPr>
      </w:pPr>
    </w:p>
    <w:p w14:paraId="41BDBDEF" w14:textId="77777777" w:rsidR="00E167A4" w:rsidRPr="003A6529" w:rsidRDefault="00E167A4" w:rsidP="00DC3F58">
      <w:pPr>
        <w:pStyle w:val="BodyText3"/>
        <w:spacing w:before="0" w:line="240" w:lineRule="auto"/>
        <w:rPr>
          <w:noProof/>
          <w:sz w:val="22"/>
        </w:rPr>
      </w:pPr>
      <w:r w:rsidRPr="003A6529">
        <w:rPr>
          <w:noProof/>
          <w:sz w:val="22"/>
          <w:lang w:bidi="lv-LV"/>
        </w:rPr>
        <w:t>3 gadi.</w:t>
      </w:r>
    </w:p>
    <w:p w14:paraId="272C523E" w14:textId="77777777" w:rsidR="00E167A4" w:rsidRPr="003A6529" w:rsidRDefault="00E167A4" w:rsidP="00DC3F58">
      <w:pPr>
        <w:pStyle w:val="Header"/>
        <w:tabs>
          <w:tab w:val="clear" w:pos="4536"/>
          <w:tab w:val="clear" w:pos="9072"/>
        </w:tabs>
        <w:rPr>
          <w:noProof/>
          <w:sz w:val="22"/>
        </w:rPr>
      </w:pPr>
    </w:p>
    <w:p w14:paraId="6A5BD4E2" w14:textId="77777777" w:rsidR="00E167A4" w:rsidRPr="003A6529" w:rsidRDefault="00E167A4" w:rsidP="00DC3F58">
      <w:pPr>
        <w:tabs>
          <w:tab w:val="left" w:pos="540"/>
        </w:tabs>
        <w:rPr>
          <w:noProof/>
          <w:sz w:val="22"/>
        </w:rPr>
      </w:pPr>
      <w:r w:rsidRPr="003A6529">
        <w:rPr>
          <w:b/>
          <w:noProof/>
          <w:sz w:val="22"/>
          <w:lang w:bidi="lv-LV"/>
        </w:rPr>
        <w:t>6.4.</w:t>
      </w:r>
      <w:r w:rsidRPr="003A6529">
        <w:rPr>
          <w:b/>
          <w:noProof/>
          <w:sz w:val="22"/>
          <w:lang w:bidi="lv-LV"/>
        </w:rPr>
        <w:tab/>
        <w:t xml:space="preserve"> Īpaši uzglabāšanas nosacījumi </w:t>
      </w:r>
    </w:p>
    <w:p w14:paraId="6002E36D" w14:textId="77777777" w:rsidR="00E167A4" w:rsidRPr="003A6529" w:rsidRDefault="00E167A4" w:rsidP="00DC3F58">
      <w:pPr>
        <w:pStyle w:val="BodyText3"/>
        <w:spacing w:before="0" w:line="240" w:lineRule="auto"/>
        <w:rPr>
          <w:noProof/>
          <w:sz w:val="22"/>
        </w:rPr>
      </w:pPr>
    </w:p>
    <w:p w14:paraId="69DBBA11" w14:textId="77777777" w:rsidR="00E167A4" w:rsidRPr="003A6529" w:rsidRDefault="00E167A4" w:rsidP="001B5E4F">
      <w:pPr>
        <w:rPr>
          <w:noProof/>
          <w:sz w:val="22"/>
          <w:szCs w:val="22"/>
        </w:rPr>
      </w:pPr>
      <w:r w:rsidRPr="003A6529">
        <w:rPr>
          <w:noProof/>
          <w:sz w:val="22"/>
          <w:szCs w:val="22"/>
          <w:lang w:bidi="lv-LV"/>
        </w:rPr>
        <w:t>Uzglabāt temperatūrā</w:t>
      </w:r>
      <w:r w:rsidR="007A1721" w:rsidRPr="003A6529">
        <w:rPr>
          <w:noProof/>
          <w:sz w:val="22"/>
          <w:szCs w:val="22"/>
          <w:lang w:bidi="lv-LV"/>
        </w:rPr>
        <w:t xml:space="preserve"> līdz</w:t>
      </w:r>
      <w:r w:rsidRPr="003A6529">
        <w:rPr>
          <w:noProof/>
          <w:sz w:val="22"/>
          <w:szCs w:val="22"/>
          <w:lang w:bidi="lv-LV"/>
        </w:rPr>
        <w:t xml:space="preserve"> 25˚C. Uzglabāt oriģinālajā iepakojumā, lai pasargātu no gaismas.</w:t>
      </w:r>
    </w:p>
    <w:p w14:paraId="2D7E067A" w14:textId="77777777" w:rsidR="00E167A4" w:rsidRPr="003A6529" w:rsidRDefault="00E167A4" w:rsidP="00DC3F58">
      <w:pPr>
        <w:rPr>
          <w:noProof/>
          <w:sz w:val="22"/>
        </w:rPr>
      </w:pPr>
    </w:p>
    <w:p w14:paraId="56CB4A2A" w14:textId="77777777" w:rsidR="00E167A4" w:rsidRPr="003A6529" w:rsidRDefault="00E167A4" w:rsidP="00DC3F58">
      <w:pPr>
        <w:tabs>
          <w:tab w:val="left" w:pos="540"/>
        </w:tabs>
        <w:rPr>
          <w:noProof/>
          <w:sz w:val="22"/>
          <w:lang w:val="en-US"/>
        </w:rPr>
      </w:pPr>
      <w:r w:rsidRPr="003A6529">
        <w:rPr>
          <w:b/>
          <w:noProof/>
          <w:sz w:val="22"/>
          <w:lang w:bidi="lv-LV"/>
        </w:rPr>
        <w:t>6.5.</w:t>
      </w:r>
      <w:r w:rsidRPr="003A6529">
        <w:rPr>
          <w:b/>
          <w:noProof/>
          <w:sz w:val="22"/>
          <w:lang w:bidi="lv-LV"/>
        </w:rPr>
        <w:tab/>
        <w:t xml:space="preserve">Iepakojuma veids un saturs </w:t>
      </w:r>
    </w:p>
    <w:p w14:paraId="4FE910E9" w14:textId="77777777" w:rsidR="00E167A4" w:rsidRPr="003A6529" w:rsidRDefault="00E167A4" w:rsidP="00DC3F58">
      <w:pPr>
        <w:ind w:right="147"/>
        <w:rPr>
          <w:noProof/>
          <w:sz w:val="22"/>
          <w:lang w:val="en-US"/>
        </w:rPr>
      </w:pPr>
    </w:p>
    <w:p w14:paraId="3B3AAAD0" w14:textId="77777777" w:rsidR="00E167A4" w:rsidRPr="003A6529" w:rsidRDefault="00E167A4" w:rsidP="00DC3F58">
      <w:pPr>
        <w:ind w:right="147"/>
        <w:rPr>
          <w:noProof/>
          <w:sz w:val="22"/>
          <w:lang w:val="en-US"/>
        </w:rPr>
      </w:pPr>
      <w:r w:rsidRPr="003A6529">
        <w:rPr>
          <w:noProof/>
          <w:sz w:val="22"/>
          <w:lang w:bidi="lv-LV"/>
        </w:rPr>
        <w:t>Al/PV</w:t>
      </w:r>
      <w:r w:rsidR="005A28B3">
        <w:rPr>
          <w:noProof/>
          <w:sz w:val="22"/>
          <w:lang w:bidi="lv-LV"/>
        </w:rPr>
        <w:t>D</w:t>
      </w:r>
      <w:r w:rsidRPr="003A6529">
        <w:rPr>
          <w:noProof/>
          <w:sz w:val="22"/>
          <w:lang w:bidi="lv-LV"/>
        </w:rPr>
        <w:t>H/PVH folijas blisteris</w:t>
      </w:r>
      <w:r w:rsidR="00076E39" w:rsidRPr="003A6529">
        <w:rPr>
          <w:noProof/>
          <w:sz w:val="22"/>
          <w:lang w:bidi="lv-LV"/>
        </w:rPr>
        <w:t xml:space="preserve"> </w:t>
      </w:r>
      <w:r w:rsidRPr="003A6529">
        <w:rPr>
          <w:noProof/>
          <w:sz w:val="22"/>
          <w:lang w:bidi="lv-LV"/>
        </w:rPr>
        <w:t>, kas ievietots kartona kastītē.</w:t>
      </w:r>
    </w:p>
    <w:p w14:paraId="54B7C42E" w14:textId="77777777" w:rsidR="00E167A4" w:rsidRPr="003A6529" w:rsidRDefault="00E167A4" w:rsidP="00DC3F58">
      <w:pPr>
        <w:tabs>
          <w:tab w:val="left" w:pos="540"/>
        </w:tabs>
        <w:rPr>
          <w:noProof/>
          <w:sz w:val="22"/>
          <w:lang w:val="en-US"/>
        </w:rPr>
      </w:pPr>
      <w:r w:rsidRPr="003A6529">
        <w:rPr>
          <w:noProof/>
          <w:sz w:val="22"/>
          <w:lang w:bidi="lv-LV"/>
        </w:rPr>
        <w:t>Iepakojuma lielums: 7, 10 apvalkotās tabletes.</w:t>
      </w:r>
    </w:p>
    <w:p w14:paraId="28EDF1A7" w14:textId="77777777" w:rsidR="00E167A4" w:rsidRPr="003A6529" w:rsidRDefault="00E167A4" w:rsidP="00DC3F58">
      <w:pPr>
        <w:tabs>
          <w:tab w:val="left" w:pos="540"/>
        </w:tabs>
        <w:rPr>
          <w:noProof/>
          <w:sz w:val="22"/>
          <w:lang w:val="en-US"/>
        </w:rPr>
      </w:pPr>
    </w:p>
    <w:p w14:paraId="4B5C5E72" w14:textId="77777777" w:rsidR="00E167A4" w:rsidRPr="003A6529" w:rsidRDefault="00E167A4" w:rsidP="00DC3F58">
      <w:pPr>
        <w:tabs>
          <w:tab w:val="left" w:pos="540"/>
        </w:tabs>
        <w:rPr>
          <w:bCs/>
          <w:noProof/>
          <w:sz w:val="22"/>
          <w:lang w:val="en-US"/>
        </w:rPr>
      </w:pPr>
      <w:r w:rsidRPr="003A6529">
        <w:rPr>
          <w:noProof/>
          <w:sz w:val="22"/>
          <w:lang w:bidi="lv-LV"/>
        </w:rPr>
        <w:t>Visi iepakojuma lielumi tirgū var nebūt pieejami.</w:t>
      </w:r>
    </w:p>
    <w:p w14:paraId="31A01FE5" w14:textId="77777777" w:rsidR="00E167A4" w:rsidRPr="003A6529" w:rsidRDefault="00E167A4" w:rsidP="00DC3F58">
      <w:pPr>
        <w:tabs>
          <w:tab w:val="left" w:pos="540"/>
        </w:tabs>
        <w:rPr>
          <w:b/>
          <w:noProof/>
          <w:sz w:val="22"/>
          <w:lang w:val="en-US"/>
        </w:rPr>
      </w:pPr>
    </w:p>
    <w:p w14:paraId="66F45DEB" w14:textId="77777777" w:rsidR="00E167A4" w:rsidRPr="003A6529" w:rsidRDefault="00E167A4" w:rsidP="00DC3F58">
      <w:pPr>
        <w:tabs>
          <w:tab w:val="left" w:pos="540"/>
        </w:tabs>
        <w:rPr>
          <w:noProof/>
          <w:sz w:val="22"/>
          <w:lang w:val="en-US"/>
        </w:rPr>
      </w:pPr>
      <w:r w:rsidRPr="003A6529">
        <w:rPr>
          <w:b/>
          <w:noProof/>
          <w:sz w:val="22"/>
          <w:lang w:bidi="lv-LV"/>
        </w:rPr>
        <w:t>6.6.</w:t>
      </w:r>
      <w:r w:rsidRPr="003A6529">
        <w:rPr>
          <w:b/>
          <w:noProof/>
          <w:sz w:val="22"/>
          <w:lang w:bidi="lv-LV"/>
        </w:rPr>
        <w:tab/>
        <w:t xml:space="preserve">Īpaši norādījumi atkritumu likvidēšanai un citi norādījumi par rīkošanos </w:t>
      </w:r>
    </w:p>
    <w:p w14:paraId="47C3F662" w14:textId="77777777" w:rsidR="00E167A4" w:rsidRPr="003A6529" w:rsidRDefault="00E167A4" w:rsidP="00DC3F58">
      <w:pPr>
        <w:pStyle w:val="BodyText3"/>
        <w:spacing w:before="0" w:line="240" w:lineRule="auto"/>
        <w:rPr>
          <w:noProof/>
          <w:sz w:val="22"/>
          <w:lang w:val="en-US"/>
        </w:rPr>
      </w:pPr>
    </w:p>
    <w:p w14:paraId="43CFEAAA" w14:textId="77777777" w:rsidR="00E167A4" w:rsidRPr="003A6529" w:rsidRDefault="00E167A4" w:rsidP="00DC3F58">
      <w:pPr>
        <w:pStyle w:val="BodyText3"/>
        <w:spacing w:before="0" w:line="240" w:lineRule="auto"/>
        <w:rPr>
          <w:noProof/>
          <w:sz w:val="22"/>
          <w:lang w:val="en-US"/>
        </w:rPr>
      </w:pPr>
      <w:r w:rsidRPr="003A6529">
        <w:rPr>
          <w:noProof/>
          <w:sz w:val="22"/>
          <w:lang w:bidi="lv-LV"/>
        </w:rPr>
        <w:t xml:space="preserve">Nav īpašu prasību. </w:t>
      </w:r>
    </w:p>
    <w:p w14:paraId="1A6A462A" w14:textId="77777777" w:rsidR="00E167A4" w:rsidRPr="003A6529" w:rsidRDefault="00E167A4" w:rsidP="00DC3F58">
      <w:pPr>
        <w:pStyle w:val="BodyText3"/>
        <w:spacing w:before="0" w:line="240" w:lineRule="auto"/>
        <w:rPr>
          <w:sz w:val="22"/>
          <w:lang w:val="en-US"/>
        </w:rPr>
      </w:pPr>
      <w:r w:rsidRPr="003A6529">
        <w:rPr>
          <w:sz w:val="22"/>
          <w:lang w:bidi="lv-LV"/>
        </w:rPr>
        <w:t xml:space="preserve">Neizlietotās zāles vai izlietotie materiāli jāiznīcina atbilstoši vietējām prasībām. </w:t>
      </w:r>
    </w:p>
    <w:p w14:paraId="7A127AE4" w14:textId="77777777" w:rsidR="00E167A4" w:rsidRPr="003A6529" w:rsidRDefault="00E167A4" w:rsidP="00DC3F58">
      <w:pPr>
        <w:rPr>
          <w:b/>
          <w:noProof/>
          <w:sz w:val="22"/>
          <w:lang w:val="en-US"/>
        </w:rPr>
      </w:pPr>
    </w:p>
    <w:p w14:paraId="32018187" w14:textId="77777777" w:rsidR="00E167A4" w:rsidRPr="003A6529" w:rsidRDefault="00E167A4" w:rsidP="00DC3F58">
      <w:pPr>
        <w:rPr>
          <w:b/>
          <w:sz w:val="22"/>
          <w:lang w:val="en-US"/>
        </w:rPr>
      </w:pPr>
    </w:p>
    <w:p w14:paraId="7ED2E5E4" w14:textId="77777777" w:rsidR="00E167A4" w:rsidRPr="003A6529" w:rsidRDefault="00E167A4" w:rsidP="00DC3F58">
      <w:pPr>
        <w:tabs>
          <w:tab w:val="left" w:pos="540"/>
        </w:tabs>
        <w:rPr>
          <w:sz w:val="22"/>
          <w:lang w:val="en-US"/>
        </w:rPr>
      </w:pPr>
      <w:r w:rsidRPr="003A6529">
        <w:rPr>
          <w:b/>
          <w:sz w:val="22"/>
          <w:lang w:bidi="lv-LV"/>
        </w:rPr>
        <w:t xml:space="preserve">7. </w:t>
      </w:r>
      <w:r w:rsidRPr="003A6529">
        <w:rPr>
          <w:b/>
          <w:sz w:val="22"/>
          <w:lang w:bidi="lv-LV"/>
        </w:rPr>
        <w:tab/>
        <w:t xml:space="preserve">REĢISTRĀCIJAS APLIECĪBAS ĪPAŠNIEKS </w:t>
      </w:r>
    </w:p>
    <w:p w14:paraId="7BCA5176" w14:textId="77777777" w:rsidR="00E167A4" w:rsidRPr="003A6529" w:rsidRDefault="00E167A4" w:rsidP="00DC3F58">
      <w:pPr>
        <w:pStyle w:val="BodyText3"/>
        <w:spacing w:before="0" w:line="240" w:lineRule="auto"/>
        <w:rPr>
          <w:sz w:val="22"/>
          <w:lang w:val="en-US"/>
        </w:rPr>
      </w:pPr>
    </w:p>
    <w:p w14:paraId="1391BE48" w14:textId="77777777" w:rsidR="006504DA" w:rsidRDefault="006504DA" w:rsidP="006504DA">
      <w:pPr>
        <w:rPr>
          <w:sz w:val="22"/>
          <w:szCs w:val="22"/>
          <w:lang w:val="en-US"/>
        </w:rPr>
      </w:pPr>
      <w:r>
        <w:rPr>
          <w:lang w:val="en-US"/>
        </w:rPr>
        <w:t>Bausch Health Ireland Limited</w:t>
      </w:r>
    </w:p>
    <w:p w14:paraId="593D8248" w14:textId="77777777" w:rsidR="006504DA" w:rsidRDefault="006504DA" w:rsidP="006504DA">
      <w:pPr>
        <w:rPr>
          <w:lang w:val="en-US"/>
        </w:rPr>
      </w:pPr>
      <w:r>
        <w:rPr>
          <w:lang w:val="en-US"/>
        </w:rPr>
        <w:t>3013 Lake Drive</w:t>
      </w:r>
    </w:p>
    <w:p w14:paraId="27BBF1DA" w14:textId="77777777" w:rsidR="006504DA" w:rsidRDefault="006504DA" w:rsidP="006504DA">
      <w:pPr>
        <w:rPr>
          <w:lang w:val="en-US"/>
        </w:rPr>
      </w:pPr>
      <w:r>
        <w:rPr>
          <w:lang w:val="en-US"/>
        </w:rPr>
        <w:t>Citywest Business Campus</w:t>
      </w:r>
    </w:p>
    <w:p w14:paraId="703A0F09" w14:textId="77777777" w:rsidR="006504DA" w:rsidRDefault="006504DA" w:rsidP="006504DA">
      <w:pPr>
        <w:rPr>
          <w:lang w:val="en-US"/>
        </w:rPr>
      </w:pPr>
      <w:r>
        <w:rPr>
          <w:lang w:val="en-US"/>
        </w:rPr>
        <w:t>Dublin 24, D24PPT3</w:t>
      </w:r>
    </w:p>
    <w:p w14:paraId="7E5FBA1C" w14:textId="149DA550" w:rsidR="006504DA" w:rsidRDefault="006504DA" w:rsidP="006504DA">
      <w:pPr>
        <w:rPr>
          <w:lang w:val="en-US"/>
        </w:rPr>
      </w:pPr>
      <w:r>
        <w:rPr>
          <w:lang w:val="en-US"/>
        </w:rPr>
        <w:t xml:space="preserve">Ireland, </w:t>
      </w:r>
      <w:proofErr w:type="spellStart"/>
      <w:r w:rsidR="000D4C95">
        <w:rPr>
          <w:lang w:val="en-US"/>
        </w:rPr>
        <w:t>Ī</w:t>
      </w:r>
      <w:r>
        <w:rPr>
          <w:lang w:val="en-US"/>
        </w:rPr>
        <w:t>rija</w:t>
      </w:r>
      <w:proofErr w:type="spellEnd"/>
    </w:p>
    <w:p w14:paraId="58F4448C" w14:textId="77777777" w:rsidR="00E167A4" w:rsidRPr="003A6529" w:rsidRDefault="00E167A4" w:rsidP="00DC3F58">
      <w:pPr>
        <w:rPr>
          <w:sz w:val="22"/>
          <w:lang w:val="en-US"/>
        </w:rPr>
      </w:pPr>
    </w:p>
    <w:p w14:paraId="2DF684BB" w14:textId="77777777" w:rsidR="00E167A4" w:rsidRPr="003A6529" w:rsidRDefault="00E167A4" w:rsidP="00DC3F58">
      <w:pPr>
        <w:rPr>
          <w:sz w:val="22"/>
          <w:lang w:val="en-US"/>
        </w:rPr>
      </w:pPr>
    </w:p>
    <w:p w14:paraId="654EB38D" w14:textId="77777777" w:rsidR="00E167A4" w:rsidRPr="003A6529" w:rsidRDefault="00E167A4" w:rsidP="00DC3F58">
      <w:pPr>
        <w:tabs>
          <w:tab w:val="left" w:pos="540"/>
        </w:tabs>
        <w:rPr>
          <w:b/>
          <w:sz w:val="22"/>
          <w:lang w:val="en-US"/>
        </w:rPr>
      </w:pPr>
      <w:r w:rsidRPr="003A6529">
        <w:rPr>
          <w:b/>
          <w:sz w:val="22"/>
          <w:lang w:bidi="lv-LV"/>
        </w:rPr>
        <w:t>8.</w:t>
      </w:r>
      <w:r w:rsidRPr="003A6529">
        <w:rPr>
          <w:b/>
          <w:sz w:val="22"/>
          <w:lang w:bidi="lv-LV"/>
        </w:rPr>
        <w:tab/>
        <w:t>REĢISTRĀCIJAS APLIECĪBAS NUMURS(-I)</w:t>
      </w:r>
    </w:p>
    <w:p w14:paraId="174B1C37" w14:textId="77777777" w:rsidR="00E167A4" w:rsidRPr="003A6529" w:rsidRDefault="00E167A4" w:rsidP="00DC3F58">
      <w:pPr>
        <w:pStyle w:val="Header"/>
        <w:tabs>
          <w:tab w:val="clear" w:pos="4536"/>
          <w:tab w:val="clear" w:pos="9072"/>
        </w:tabs>
        <w:rPr>
          <w:sz w:val="22"/>
          <w:lang w:val="en-US"/>
        </w:rPr>
      </w:pPr>
    </w:p>
    <w:p w14:paraId="3786245A" w14:textId="77777777" w:rsidR="00E167A4" w:rsidRPr="006838BA" w:rsidRDefault="006838BA" w:rsidP="00DC3F58">
      <w:pPr>
        <w:rPr>
          <w:sz w:val="22"/>
          <w:lang w:val="en-US"/>
        </w:rPr>
      </w:pPr>
      <w:r w:rsidRPr="006838BA">
        <w:rPr>
          <w:sz w:val="22"/>
          <w:lang w:val="en-US"/>
        </w:rPr>
        <w:t>16-0125</w:t>
      </w:r>
    </w:p>
    <w:p w14:paraId="302D5747" w14:textId="6C73B74E" w:rsidR="0064750B" w:rsidRDefault="0064750B" w:rsidP="00DC3F58">
      <w:pPr>
        <w:tabs>
          <w:tab w:val="left" w:pos="540"/>
        </w:tabs>
        <w:rPr>
          <w:b/>
          <w:sz w:val="22"/>
          <w:lang w:val="en-US"/>
        </w:rPr>
      </w:pPr>
    </w:p>
    <w:p w14:paraId="2E4C17D5" w14:textId="77777777" w:rsidR="000A6C5F" w:rsidRPr="003A6529" w:rsidRDefault="000A6C5F" w:rsidP="00DC3F58">
      <w:pPr>
        <w:tabs>
          <w:tab w:val="left" w:pos="540"/>
        </w:tabs>
        <w:rPr>
          <w:b/>
          <w:sz w:val="22"/>
          <w:lang w:val="en-US"/>
        </w:rPr>
      </w:pPr>
    </w:p>
    <w:p w14:paraId="567A1CAD" w14:textId="77777777" w:rsidR="00E167A4" w:rsidRPr="003A6529" w:rsidRDefault="00E167A4" w:rsidP="00DC3F58">
      <w:pPr>
        <w:tabs>
          <w:tab w:val="left" w:pos="540"/>
        </w:tabs>
        <w:rPr>
          <w:sz w:val="22"/>
          <w:lang w:val="en-US"/>
        </w:rPr>
      </w:pPr>
      <w:r w:rsidRPr="003A6529">
        <w:rPr>
          <w:b/>
          <w:sz w:val="22"/>
          <w:lang w:bidi="lv-LV"/>
        </w:rPr>
        <w:t xml:space="preserve">9. </w:t>
      </w:r>
      <w:r w:rsidRPr="003A6529">
        <w:rPr>
          <w:b/>
          <w:sz w:val="22"/>
          <w:lang w:bidi="lv-LV"/>
        </w:rPr>
        <w:tab/>
        <w:t>PIRMĀS REĢISTRĀCIJAS/PĀRREĢISTRĀCIJAS DATUMS</w:t>
      </w:r>
    </w:p>
    <w:p w14:paraId="25AB098B" w14:textId="77777777" w:rsidR="00E167A4" w:rsidRPr="003A6529" w:rsidRDefault="00E167A4" w:rsidP="00DC3F58">
      <w:pPr>
        <w:pStyle w:val="Header"/>
        <w:tabs>
          <w:tab w:val="clear" w:pos="4536"/>
          <w:tab w:val="clear" w:pos="9072"/>
        </w:tabs>
        <w:rPr>
          <w:sz w:val="22"/>
          <w:lang w:val="en-US"/>
        </w:rPr>
      </w:pPr>
    </w:p>
    <w:p w14:paraId="2D99D42B" w14:textId="60AAD31D" w:rsidR="00E167A4" w:rsidRPr="003A6529" w:rsidRDefault="00E167A4" w:rsidP="009A5CD9">
      <w:pPr>
        <w:rPr>
          <w:rFonts w:eastAsia="SimSun"/>
          <w:sz w:val="22"/>
          <w:szCs w:val="22"/>
          <w:lang w:val="en-US"/>
        </w:rPr>
      </w:pPr>
      <w:r w:rsidRPr="003A6529">
        <w:rPr>
          <w:rFonts w:eastAsia="SimSun"/>
          <w:sz w:val="22"/>
          <w:szCs w:val="22"/>
          <w:lang w:bidi="lv-LV"/>
        </w:rPr>
        <w:t>Reģistrācijas datums:</w:t>
      </w:r>
      <w:r w:rsidR="006838BA">
        <w:rPr>
          <w:rFonts w:eastAsia="SimSun"/>
          <w:sz w:val="22"/>
          <w:szCs w:val="22"/>
          <w:lang w:bidi="lv-LV"/>
        </w:rPr>
        <w:t xml:space="preserve"> 2016.gada 14.jūlij</w:t>
      </w:r>
      <w:r w:rsidR="000A6C5F">
        <w:rPr>
          <w:rFonts w:eastAsia="SimSun"/>
          <w:sz w:val="22"/>
          <w:szCs w:val="22"/>
          <w:lang w:bidi="lv-LV"/>
        </w:rPr>
        <w:t>s</w:t>
      </w:r>
      <w:r w:rsidR="006838BA">
        <w:rPr>
          <w:rFonts w:eastAsia="SimSun"/>
          <w:sz w:val="22"/>
          <w:szCs w:val="22"/>
          <w:lang w:bidi="lv-LV"/>
        </w:rPr>
        <w:t>.</w:t>
      </w:r>
    </w:p>
    <w:p w14:paraId="016D31B8" w14:textId="77777777" w:rsidR="00E167A4" w:rsidRPr="003A6529" w:rsidRDefault="005A28B3" w:rsidP="00DC3F58">
      <w:pPr>
        <w:rPr>
          <w:sz w:val="22"/>
          <w:lang w:val="en-US"/>
        </w:rPr>
      </w:pPr>
      <w:proofErr w:type="spellStart"/>
      <w:r w:rsidRPr="005A28B3">
        <w:rPr>
          <w:sz w:val="22"/>
          <w:lang w:val="en-US"/>
        </w:rPr>
        <w:t>Pēdējās</w:t>
      </w:r>
      <w:proofErr w:type="spellEnd"/>
      <w:r w:rsidRPr="005A28B3">
        <w:rPr>
          <w:sz w:val="22"/>
          <w:lang w:val="en-US"/>
        </w:rPr>
        <w:t xml:space="preserve"> </w:t>
      </w:r>
      <w:proofErr w:type="spellStart"/>
      <w:r w:rsidRPr="005A28B3">
        <w:rPr>
          <w:sz w:val="22"/>
          <w:lang w:val="en-US"/>
        </w:rPr>
        <w:t>pārreģistrācijas</w:t>
      </w:r>
      <w:proofErr w:type="spellEnd"/>
      <w:r w:rsidRPr="005A28B3">
        <w:rPr>
          <w:sz w:val="22"/>
          <w:lang w:val="en-US"/>
        </w:rPr>
        <w:t xml:space="preserve"> datums: 20</w:t>
      </w:r>
      <w:r>
        <w:rPr>
          <w:sz w:val="22"/>
          <w:lang w:val="en-US"/>
        </w:rPr>
        <w:t>21</w:t>
      </w:r>
      <w:r w:rsidRPr="005A28B3">
        <w:rPr>
          <w:sz w:val="22"/>
          <w:lang w:val="en-US"/>
        </w:rPr>
        <w:t xml:space="preserve">.gada </w:t>
      </w:r>
      <w:proofErr w:type="gramStart"/>
      <w:r>
        <w:rPr>
          <w:sz w:val="22"/>
          <w:lang w:val="en-US"/>
        </w:rPr>
        <w:t>3.jūnijs</w:t>
      </w:r>
      <w:proofErr w:type="gramEnd"/>
    </w:p>
    <w:p w14:paraId="551906E1" w14:textId="00ECAFFF" w:rsidR="00E167A4" w:rsidRDefault="00E167A4" w:rsidP="00DC3F58">
      <w:pPr>
        <w:tabs>
          <w:tab w:val="left" w:pos="540"/>
        </w:tabs>
        <w:rPr>
          <w:b/>
          <w:sz w:val="22"/>
          <w:lang w:val="en-US"/>
        </w:rPr>
      </w:pPr>
    </w:p>
    <w:p w14:paraId="13287EFD" w14:textId="77777777" w:rsidR="000A6C5F" w:rsidRPr="003A6529" w:rsidRDefault="000A6C5F" w:rsidP="00DC3F58">
      <w:pPr>
        <w:tabs>
          <w:tab w:val="left" w:pos="540"/>
        </w:tabs>
        <w:rPr>
          <w:b/>
          <w:sz w:val="22"/>
          <w:lang w:val="en-US"/>
        </w:rPr>
      </w:pPr>
    </w:p>
    <w:p w14:paraId="3C29D7EE" w14:textId="2668365C" w:rsidR="00E167A4" w:rsidRDefault="00E167A4" w:rsidP="00DC3F58">
      <w:pPr>
        <w:tabs>
          <w:tab w:val="left" w:pos="540"/>
        </w:tabs>
        <w:rPr>
          <w:b/>
          <w:sz w:val="22"/>
          <w:lang w:bidi="lv-LV"/>
        </w:rPr>
      </w:pPr>
      <w:r w:rsidRPr="003A6529">
        <w:rPr>
          <w:b/>
          <w:sz w:val="22"/>
          <w:lang w:bidi="lv-LV"/>
        </w:rPr>
        <w:t xml:space="preserve">10. </w:t>
      </w:r>
      <w:r w:rsidRPr="003A6529">
        <w:rPr>
          <w:b/>
          <w:sz w:val="22"/>
          <w:lang w:bidi="lv-LV"/>
        </w:rPr>
        <w:tab/>
        <w:t>TEKSTA PĀRSKATĪŠANAS DATUMS</w:t>
      </w:r>
    </w:p>
    <w:p w14:paraId="06FA20D2" w14:textId="7EDBA210" w:rsidR="006758A6" w:rsidRPr="006C5419" w:rsidRDefault="006504DA" w:rsidP="00DC3F58">
      <w:pPr>
        <w:tabs>
          <w:tab w:val="left" w:pos="540"/>
        </w:tabs>
        <w:rPr>
          <w:bCs/>
          <w:sz w:val="22"/>
          <w:lang w:val="en-US"/>
        </w:rPr>
      </w:pPr>
      <w:r>
        <w:rPr>
          <w:bCs/>
          <w:sz w:val="22"/>
          <w:lang w:bidi="lv-LV"/>
        </w:rPr>
        <w:t>0</w:t>
      </w:r>
      <w:r w:rsidR="00E1291B">
        <w:rPr>
          <w:bCs/>
          <w:sz w:val="22"/>
          <w:lang w:bidi="lv-LV"/>
        </w:rPr>
        <w:t>4/</w:t>
      </w:r>
      <w:r>
        <w:rPr>
          <w:bCs/>
          <w:sz w:val="22"/>
          <w:lang w:bidi="lv-LV"/>
        </w:rPr>
        <w:t>2022</w:t>
      </w:r>
    </w:p>
    <w:p w14:paraId="2C4DA3DF" w14:textId="77777777" w:rsidR="00E167A4" w:rsidRPr="004408F6" w:rsidRDefault="00E167A4" w:rsidP="009A5CD9">
      <w:pPr>
        <w:rPr>
          <w:rFonts w:eastAsia="SimSun"/>
          <w:sz w:val="22"/>
          <w:szCs w:val="22"/>
          <w:lang w:val="en-US"/>
        </w:rPr>
      </w:pPr>
    </w:p>
    <w:p w14:paraId="399476C2" w14:textId="77777777" w:rsidR="00E167A4" w:rsidRPr="004408F6" w:rsidRDefault="00E167A4" w:rsidP="009A5CD9">
      <w:pPr>
        <w:rPr>
          <w:sz w:val="22"/>
          <w:lang w:val="en-US"/>
        </w:rPr>
      </w:pPr>
    </w:p>
    <w:sectPr w:rsidR="00E167A4" w:rsidRPr="004408F6" w:rsidSect="00EE0CE8">
      <w:headerReference w:type="default" r:id="rId8"/>
      <w:footerReference w:type="even" r:id="rId9"/>
      <w:footerReference w:type="default" r:id="rId10"/>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2D73" w14:textId="77777777" w:rsidR="009A59DB" w:rsidRDefault="009A59DB">
      <w:r>
        <w:separator/>
      </w:r>
    </w:p>
  </w:endnote>
  <w:endnote w:type="continuationSeparator" w:id="0">
    <w:p w14:paraId="33C5E91E" w14:textId="77777777" w:rsidR="009A59DB" w:rsidRDefault="009A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3418" w14:textId="77777777" w:rsidR="00421470" w:rsidRDefault="00421470" w:rsidP="00865095">
    <w:pPr>
      <w:pStyle w:val="Footer"/>
      <w:framePr w:wrap="around" w:vAnchor="text" w:hAnchor="margin" w:xAlign="center" w:y="1"/>
      <w:rPr>
        <w:rStyle w:val="PageNumber"/>
      </w:rPr>
    </w:pPr>
    <w:r>
      <w:rPr>
        <w:rStyle w:val="PageNumber"/>
        <w:lang w:bidi="lv-LV"/>
      </w:rPr>
      <w:fldChar w:fldCharType="begin"/>
    </w:r>
    <w:r>
      <w:rPr>
        <w:rStyle w:val="PageNumber"/>
        <w:lang w:bidi="lv-LV"/>
      </w:rPr>
      <w:instrText xml:space="preserve">PAGE  </w:instrText>
    </w:r>
    <w:r>
      <w:rPr>
        <w:rStyle w:val="PageNumber"/>
        <w:lang w:bidi="lv-LV"/>
      </w:rPr>
      <w:fldChar w:fldCharType="separate"/>
    </w:r>
    <w:r>
      <w:rPr>
        <w:rStyle w:val="PageNumber"/>
        <w:noProof/>
        <w:lang w:bidi="lv-LV"/>
      </w:rPr>
      <w:t>0</w:t>
    </w:r>
    <w:r>
      <w:rPr>
        <w:rStyle w:val="PageNumber"/>
        <w:lang w:bidi="lv-LV"/>
      </w:rPr>
      <w:fldChar w:fldCharType="end"/>
    </w:r>
  </w:p>
  <w:p w14:paraId="29DD77D4" w14:textId="77777777" w:rsidR="00421470" w:rsidRDefault="004214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9D7A" w14:textId="77777777" w:rsidR="00421470" w:rsidRDefault="00421470" w:rsidP="00865095">
    <w:pPr>
      <w:pStyle w:val="Footer"/>
      <w:framePr w:wrap="around" w:vAnchor="text" w:hAnchor="margin" w:xAlign="center" w:y="1"/>
      <w:rPr>
        <w:rStyle w:val="PageNumber"/>
      </w:rPr>
    </w:pPr>
    <w:r>
      <w:rPr>
        <w:rStyle w:val="PageNumber"/>
        <w:lang w:bidi="lv-LV"/>
      </w:rPr>
      <w:fldChar w:fldCharType="begin"/>
    </w:r>
    <w:r>
      <w:rPr>
        <w:rStyle w:val="PageNumber"/>
        <w:lang w:bidi="lv-LV"/>
      </w:rPr>
      <w:instrText xml:space="preserve">PAGE  </w:instrText>
    </w:r>
    <w:r>
      <w:rPr>
        <w:rStyle w:val="PageNumber"/>
        <w:lang w:bidi="lv-LV"/>
      </w:rPr>
      <w:fldChar w:fldCharType="separate"/>
    </w:r>
    <w:r w:rsidR="006838BA">
      <w:rPr>
        <w:rStyle w:val="PageNumber"/>
        <w:noProof/>
        <w:lang w:bidi="lv-LV"/>
      </w:rPr>
      <w:t>9</w:t>
    </w:r>
    <w:r>
      <w:rPr>
        <w:rStyle w:val="PageNumber"/>
        <w:lang w:bidi="lv-LV"/>
      </w:rPr>
      <w:fldChar w:fldCharType="end"/>
    </w:r>
  </w:p>
  <w:p w14:paraId="459E2850" w14:textId="77777777" w:rsidR="00421470" w:rsidRDefault="004214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8CF5" w14:textId="77777777" w:rsidR="009A59DB" w:rsidRDefault="009A59DB">
      <w:r>
        <w:separator/>
      </w:r>
    </w:p>
  </w:footnote>
  <w:footnote w:type="continuationSeparator" w:id="0">
    <w:p w14:paraId="751F64C9" w14:textId="77777777" w:rsidR="009A59DB" w:rsidRDefault="009A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8E33" w14:textId="216E26EC" w:rsidR="00BB58A0" w:rsidRPr="00EE367E" w:rsidRDefault="00EE367E" w:rsidP="00EE367E">
    <w:pPr>
      <w:pStyle w:val="Header"/>
      <w:jc w:val="right"/>
    </w:pPr>
    <w:r w:rsidRPr="00EE367E">
      <w:rPr>
        <w:lang w:val="en-US"/>
      </w:rPr>
      <w:t>SASKAŅOTS ZVA 03-05-2022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6BD"/>
    <w:multiLevelType w:val="hybridMultilevel"/>
    <w:tmpl w:val="541628F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E7BBA"/>
    <w:multiLevelType w:val="hybridMultilevel"/>
    <w:tmpl w:val="D3CCD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5939E2"/>
    <w:multiLevelType w:val="hybridMultilevel"/>
    <w:tmpl w:val="CD607814"/>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63EA498D"/>
    <w:multiLevelType w:val="multilevel"/>
    <w:tmpl w:val="D46E4124"/>
    <w:lvl w:ilvl="0">
      <w:start w:val="4"/>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824"/>
        </w:tabs>
        <w:ind w:left="824"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15:restartNumberingAfterBreak="0">
    <w:nsid w:val="67963A6C"/>
    <w:multiLevelType w:val="singleLevel"/>
    <w:tmpl w:val="0415000F"/>
    <w:lvl w:ilvl="0">
      <w:start w:val="1"/>
      <w:numFmt w:val="decimal"/>
      <w:lvlText w:val="%1."/>
      <w:lvlJc w:val="left"/>
      <w:pPr>
        <w:tabs>
          <w:tab w:val="num" w:pos="720"/>
        </w:tabs>
        <w:ind w:left="720" w:hanging="36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F2"/>
    <w:rsid w:val="00016F3D"/>
    <w:rsid w:val="0002698D"/>
    <w:rsid w:val="00036CF4"/>
    <w:rsid w:val="00037414"/>
    <w:rsid w:val="00040445"/>
    <w:rsid w:val="00041660"/>
    <w:rsid w:val="000417BD"/>
    <w:rsid w:val="00044F60"/>
    <w:rsid w:val="00045550"/>
    <w:rsid w:val="00065581"/>
    <w:rsid w:val="00070E68"/>
    <w:rsid w:val="000741EF"/>
    <w:rsid w:val="00076E39"/>
    <w:rsid w:val="00081878"/>
    <w:rsid w:val="00094572"/>
    <w:rsid w:val="00095861"/>
    <w:rsid w:val="000A0AA0"/>
    <w:rsid w:val="000A5AAB"/>
    <w:rsid w:val="000A6063"/>
    <w:rsid w:val="000A6C5F"/>
    <w:rsid w:val="000A7A0A"/>
    <w:rsid w:val="000B3EDC"/>
    <w:rsid w:val="000B58D8"/>
    <w:rsid w:val="000D4AB2"/>
    <w:rsid w:val="000D4C95"/>
    <w:rsid w:val="000D65C7"/>
    <w:rsid w:val="000D70CD"/>
    <w:rsid w:val="000F237D"/>
    <w:rsid w:val="000F3DF7"/>
    <w:rsid w:val="00111E6F"/>
    <w:rsid w:val="0012173B"/>
    <w:rsid w:val="00125BEE"/>
    <w:rsid w:val="0012728A"/>
    <w:rsid w:val="00127DEF"/>
    <w:rsid w:val="00152304"/>
    <w:rsid w:val="001526FD"/>
    <w:rsid w:val="00153424"/>
    <w:rsid w:val="00156979"/>
    <w:rsid w:val="0017206C"/>
    <w:rsid w:val="001826F4"/>
    <w:rsid w:val="00192DF3"/>
    <w:rsid w:val="0019348E"/>
    <w:rsid w:val="00193C8F"/>
    <w:rsid w:val="001956B9"/>
    <w:rsid w:val="00196A18"/>
    <w:rsid w:val="001A10EA"/>
    <w:rsid w:val="001B5E4F"/>
    <w:rsid w:val="001C716B"/>
    <w:rsid w:val="001E4DB6"/>
    <w:rsid w:val="001F5AAF"/>
    <w:rsid w:val="00216138"/>
    <w:rsid w:val="00220AAC"/>
    <w:rsid w:val="00222EC2"/>
    <w:rsid w:val="00225848"/>
    <w:rsid w:val="00235BCE"/>
    <w:rsid w:val="00236791"/>
    <w:rsid w:val="002456AD"/>
    <w:rsid w:val="0024583C"/>
    <w:rsid w:val="002550B5"/>
    <w:rsid w:val="002558BE"/>
    <w:rsid w:val="0026147A"/>
    <w:rsid w:val="00265C12"/>
    <w:rsid w:val="00266AAF"/>
    <w:rsid w:val="002869B1"/>
    <w:rsid w:val="002958E2"/>
    <w:rsid w:val="002A2F66"/>
    <w:rsid w:val="002A4633"/>
    <w:rsid w:val="002B6F89"/>
    <w:rsid w:val="002B7FF6"/>
    <w:rsid w:val="002C2570"/>
    <w:rsid w:val="002D3E1F"/>
    <w:rsid w:val="002F5086"/>
    <w:rsid w:val="003078CA"/>
    <w:rsid w:val="00316A44"/>
    <w:rsid w:val="00317D2C"/>
    <w:rsid w:val="00317E23"/>
    <w:rsid w:val="00322693"/>
    <w:rsid w:val="00326F8F"/>
    <w:rsid w:val="0033269F"/>
    <w:rsid w:val="003332B7"/>
    <w:rsid w:val="00382236"/>
    <w:rsid w:val="003909D0"/>
    <w:rsid w:val="00390EC3"/>
    <w:rsid w:val="003A6529"/>
    <w:rsid w:val="003A7E39"/>
    <w:rsid w:val="003B3165"/>
    <w:rsid w:val="003B3FAE"/>
    <w:rsid w:val="003C5189"/>
    <w:rsid w:val="003D7332"/>
    <w:rsid w:val="003E23A1"/>
    <w:rsid w:val="004143E2"/>
    <w:rsid w:val="004144FB"/>
    <w:rsid w:val="00421470"/>
    <w:rsid w:val="00437E00"/>
    <w:rsid w:val="004408F6"/>
    <w:rsid w:val="00440C6E"/>
    <w:rsid w:val="004533B3"/>
    <w:rsid w:val="00456B5B"/>
    <w:rsid w:val="00457144"/>
    <w:rsid w:val="00460289"/>
    <w:rsid w:val="00470C45"/>
    <w:rsid w:val="00476249"/>
    <w:rsid w:val="00484FB5"/>
    <w:rsid w:val="00485EAD"/>
    <w:rsid w:val="004A2E9A"/>
    <w:rsid w:val="004B0DE1"/>
    <w:rsid w:val="004D0A17"/>
    <w:rsid w:val="004D143F"/>
    <w:rsid w:val="004D1C32"/>
    <w:rsid w:val="004F2598"/>
    <w:rsid w:val="005333B8"/>
    <w:rsid w:val="0054540F"/>
    <w:rsid w:val="0055662A"/>
    <w:rsid w:val="005574BA"/>
    <w:rsid w:val="00564785"/>
    <w:rsid w:val="005726B4"/>
    <w:rsid w:val="00580614"/>
    <w:rsid w:val="00581A87"/>
    <w:rsid w:val="00586006"/>
    <w:rsid w:val="00593E34"/>
    <w:rsid w:val="005951B2"/>
    <w:rsid w:val="00595736"/>
    <w:rsid w:val="005A0289"/>
    <w:rsid w:val="005A1609"/>
    <w:rsid w:val="005A1A47"/>
    <w:rsid w:val="005A28B3"/>
    <w:rsid w:val="005A5932"/>
    <w:rsid w:val="005A79C3"/>
    <w:rsid w:val="005B03AE"/>
    <w:rsid w:val="005B470D"/>
    <w:rsid w:val="005C67F0"/>
    <w:rsid w:val="005D41A6"/>
    <w:rsid w:val="005D5E20"/>
    <w:rsid w:val="005D7525"/>
    <w:rsid w:val="005F1C39"/>
    <w:rsid w:val="00606DCC"/>
    <w:rsid w:val="00607327"/>
    <w:rsid w:val="0061146F"/>
    <w:rsid w:val="00617AD3"/>
    <w:rsid w:val="00620C79"/>
    <w:rsid w:val="00623B65"/>
    <w:rsid w:val="006272C5"/>
    <w:rsid w:val="006360C3"/>
    <w:rsid w:val="006400BC"/>
    <w:rsid w:val="006411B2"/>
    <w:rsid w:val="0064750B"/>
    <w:rsid w:val="006504DA"/>
    <w:rsid w:val="00652740"/>
    <w:rsid w:val="00660668"/>
    <w:rsid w:val="00662337"/>
    <w:rsid w:val="006626A1"/>
    <w:rsid w:val="006758A6"/>
    <w:rsid w:val="00676931"/>
    <w:rsid w:val="006838BA"/>
    <w:rsid w:val="00686DEF"/>
    <w:rsid w:val="00695161"/>
    <w:rsid w:val="0069783B"/>
    <w:rsid w:val="006B389B"/>
    <w:rsid w:val="006B55F4"/>
    <w:rsid w:val="006C5419"/>
    <w:rsid w:val="006D0668"/>
    <w:rsid w:val="006D2BC0"/>
    <w:rsid w:val="006D5D10"/>
    <w:rsid w:val="006E4490"/>
    <w:rsid w:val="006E4FAF"/>
    <w:rsid w:val="006F062D"/>
    <w:rsid w:val="006F458A"/>
    <w:rsid w:val="006F584F"/>
    <w:rsid w:val="006F5F60"/>
    <w:rsid w:val="006F61D5"/>
    <w:rsid w:val="00704607"/>
    <w:rsid w:val="00727B8F"/>
    <w:rsid w:val="00734492"/>
    <w:rsid w:val="00734A7A"/>
    <w:rsid w:val="00750900"/>
    <w:rsid w:val="007550C5"/>
    <w:rsid w:val="00761AD3"/>
    <w:rsid w:val="00777286"/>
    <w:rsid w:val="00777381"/>
    <w:rsid w:val="00780942"/>
    <w:rsid w:val="007816CB"/>
    <w:rsid w:val="00787E24"/>
    <w:rsid w:val="007926D5"/>
    <w:rsid w:val="00794589"/>
    <w:rsid w:val="00796D67"/>
    <w:rsid w:val="007A03DC"/>
    <w:rsid w:val="007A1721"/>
    <w:rsid w:val="007A1DB2"/>
    <w:rsid w:val="007A2F07"/>
    <w:rsid w:val="007A4129"/>
    <w:rsid w:val="007B49B8"/>
    <w:rsid w:val="007C666D"/>
    <w:rsid w:val="007C6A11"/>
    <w:rsid w:val="007D5B2C"/>
    <w:rsid w:val="007D6347"/>
    <w:rsid w:val="007D786E"/>
    <w:rsid w:val="007E30F7"/>
    <w:rsid w:val="007E3B64"/>
    <w:rsid w:val="007E4F24"/>
    <w:rsid w:val="00801DD5"/>
    <w:rsid w:val="008075F7"/>
    <w:rsid w:val="00813BB6"/>
    <w:rsid w:val="008206F2"/>
    <w:rsid w:val="00821ACA"/>
    <w:rsid w:val="00823BF2"/>
    <w:rsid w:val="00825CF4"/>
    <w:rsid w:val="0082633A"/>
    <w:rsid w:val="00830BEF"/>
    <w:rsid w:val="00836FF3"/>
    <w:rsid w:val="008373F6"/>
    <w:rsid w:val="00842F2B"/>
    <w:rsid w:val="00847DB3"/>
    <w:rsid w:val="00851777"/>
    <w:rsid w:val="008549EC"/>
    <w:rsid w:val="00855D5A"/>
    <w:rsid w:val="008634CB"/>
    <w:rsid w:val="00865095"/>
    <w:rsid w:val="008707B1"/>
    <w:rsid w:val="00871153"/>
    <w:rsid w:val="00875792"/>
    <w:rsid w:val="008819A4"/>
    <w:rsid w:val="0088658B"/>
    <w:rsid w:val="008952BA"/>
    <w:rsid w:val="008C1AF8"/>
    <w:rsid w:val="008C47B0"/>
    <w:rsid w:val="008C6E00"/>
    <w:rsid w:val="008C72C3"/>
    <w:rsid w:val="008D2888"/>
    <w:rsid w:val="008D7218"/>
    <w:rsid w:val="008E1A76"/>
    <w:rsid w:val="008F6FB2"/>
    <w:rsid w:val="0090723C"/>
    <w:rsid w:val="009114F2"/>
    <w:rsid w:val="0091436B"/>
    <w:rsid w:val="0092271A"/>
    <w:rsid w:val="0093616B"/>
    <w:rsid w:val="0094421E"/>
    <w:rsid w:val="0095025C"/>
    <w:rsid w:val="00951443"/>
    <w:rsid w:val="009548A1"/>
    <w:rsid w:val="009568B9"/>
    <w:rsid w:val="00964A74"/>
    <w:rsid w:val="00985752"/>
    <w:rsid w:val="0099514F"/>
    <w:rsid w:val="009A4A37"/>
    <w:rsid w:val="009A59DB"/>
    <w:rsid w:val="009A5CD9"/>
    <w:rsid w:val="009B77C8"/>
    <w:rsid w:val="009C0945"/>
    <w:rsid w:val="009C5E15"/>
    <w:rsid w:val="009D29E2"/>
    <w:rsid w:val="009D47FF"/>
    <w:rsid w:val="009D596B"/>
    <w:rsid w:val="009E2955"/>
    <w:rsid w:val="009F19FC"/>
    <w:rsid w:val="009F5D53"/>
    <w:rsid w:val="00A10CF6"/>
    <w:rsid w:val="00A13099"/>
    <w:rsid w:val="00A1788B"/>
    <w:rsid w:val="00A43A5B"/>
    <w:rsid w:val="00A4767A"/>
    <w:rsid w:val="00A51222"/>
    <w:rsid w:val="00A517E5"/>
    <w:rsid w:val="00A70F82"/>
    <w:rsid w:val="00A73FAE"/>
    <w:rsid w:val="00A75881"/>
    <w:rsid w:val="00A763F0"/>
    <w:rsid w:val="00A80E3A"/>
    <w:rsid w:val="00A838F1"/>
    <w:rsid w:val="00A94338"/>
    <w:rsid w:val="00AB271A"/>
    <w:rsid w:val="00AB3962"/>
    <w:rsid w:val="00AE3E57"/>
    <w:rsid w:val="00AF292A"/>
    <w:rsid w:val="00AF3219"/>
    <w:rsid w:val="00B0752B"/>
    <w:rsid w:val="00B14915"/>
    <w:rsid w:val="00B24A89"/>
    <w:rsid w:val="00B25534"/>
    <w:rsid w:val="00B77392"/>
    <w:rsid w:val="00B82406"/>
    <w:rsid w:val="00B92E07"/>
    <w:rsid w:val="00B95746"/>
    <w:rsid w:val="00BA0C2C"/>
    <w:rsid w:val="00BA1622"/>
    <w:rsid w:val="00BB2345"/>
    <w:rsid w:val="00BB58A0"/>
    <w:rsid w:val="00BB663D"/>
    <w:rsid w:val="00BD13D4"/>
    <w:rsid w:val="00C00A5C"/>
    <w:rsid w:val="00C0139F"/>
    <w:rsid w:val="00C01F2F"/>
    <w:rsid w:val="00C14411"/>
    <w:rsid w:val="00C14BD8"/>
    <w:rsid w:val="00C173E1"/>
    <w:rsid w:val="00C17E29"/>
    <w:rsid w:val="00C37809"/>
    <w:rsid w:val="00C52CC9"/>
    <w:rsid w:val="00C57CD9"/>
    <w:rsid w:val="00C665E4"/>
    <w:rsid w:val="00C67406"/>
    <w:rsid w:val="00C74E5F"/>
    <w:rsid w:val="00C75BC6"/>
    <w:rsid w:val="00C77612"/>
    <w:rsid w:val="00C80834"/>
    <w:rsid w:val="00C86CF9"/>
    <w:rsid w:val="00C969FF"/>
    <w:rsid w:val="00CA01BA"/>
    <w:rsid w:val="00CA25E9"/>
    <w:rsid w:val="00CA39B3"/>
    <w:rsid w:val="00CB05A8"/>
    <w:rsid w:val="00CB312E"/>
    <w:rsid w:val="00CB3CCC"/>
    <w:rsid w:val="00CC0774"/>
    <w:rsid w:val="00CD104A"/>
    <w:rsid w:val="00CE1966"/>
    <w:rsid w:val="00CE5ABD"/>
    <w:rsid w:val="00CE6AD0"/>
    <w:rsid w:val="00CF61C6"/>
    <w:rsid w:val="00CF6F53"/>
    <w:rsid w:val="00D00235"/>
    <w:rsid w:val="00D036FD"/>
    <w:rsid w:val="00D11063"/>
    <w:rsid w:val="00D11F2E"/>
    <w:rsid w:val="00D54BC7"/>
    <w:rsid w:val="00D565BF"/>
    <w:rsid w:val="00D63851"/>
    <w:rsid w:val="00D65A67"/>
    <w:rsid w:val="00D66482"/>
    <w:rsid w:val="00D72744"/>
    <w:rsid w:val="00D8583D"/>
    <w:rsid w:val="00D86831"/>
    <w:rsid w:val="00D9407E"/>
    <w:rsid w:val="00DA28C2"/>
    <w:rsid w:val="00DA5782"/>
    <w:rsid w:val="00DA770B"/>
    <w:rsid w:val="00DB6C75"/>
    <w:rsid w:val="00DB6EDD"/>
    <w:rsid w:val="00DC32F2"/>
    <w:rsid w:val="00DC3E16"/>
    <w:rsid w:val="00DC3F58"/>
    <w:rsid w:val="00DC6783"/>
    <w:rsid w:val="00DD0DBA"/>
    <w:rsid w:val="00DD571C"/>
    <w:rsid w:val="00DD606D"/>
    <w:rsid w:val="00DE27CC"/>
    <w:rsid w:val="00DE6913"/>
    <w:rsid w:val="00DF066E"/>
    <w:rsid w:val="00DF4881"/>
    <w:rsid w:val="00DF4941"/>
    <w:rsid w:val="00DF7B4F"/>
    <w:rsid w:val="00DF7F9F"/>
    <w:rsid w:val="00E01042"/>
    <w:rsid w:val="00E0351C"/>
    <w:rsid w:val="00E047DB"/>
    <w:rsid w:val="00E05E0E"/>
    <w:rsid w:val="00E1291B"/>
    <w:rsid w:val="00E153DC"/>
    <w:rsid w:val="00E167A4"/>
    <w:rsid w:val="00E16AA4"/>
    <w:rsid w:val="00E20E61"/>
    <w:rsid w:val="00E21605"/>
    <w:rsid w:val="00E27432"/>
    <w:rsid w:val="00E31DC6"/>
    <w:rsid w:val="00E5687C"/>
    <w:rsid w:val="00E60813"/>
    <w:rsid w:val="00E60EA8"/>
    <w:rsid w:val="00E6167A"/>
    <w:rsid w:val="00E64800"/>
    <w:rsid w:val="00E71B3A"/>
    <w:rsid w:val="00E72952"/>
    <w:rsid w:val="00E72ABF"/>
    <w:rsid w:val="00E94C6F"/>
    <w:rsid w:val="00EC3F24"/>
    <w:rsid w:val="00EC5FD7"/>
    <w:rsid w:val="00ED155E"/>
    <w:rsid w:val="00ED2EE5"/>
    <w:rsid w:val="00ED2F69"/>
    <w:rsid w:val="00ED7116"/>
    <w:rsid w:val="00EE0CE8"/>
    <w:rsid w:val="00EE173A"/>
    <w:rsid w:val="00EE367E"/>
    <w:rsid w:val="00EE45B5"/>
    <w:rsid w:val="00EF117D"/>
    <w:rsid w:val="00F0320F"/>
    <w:rsid w:val="00F10CC2"/>
    <w:rsid w:val="00F11EAC"/>
    <w:rsid w:val="00F712DF"/>
    <w:rsid w:val="00F746E5"/>
    <w:rsid w:val="00F8510B"/>
    <w:rsid w:val="00F9215C"/>
    <w:rsid w:val="00FA5B30"/>
    <w:rsid w:val="00FB48B9"/>
    <w:rsid w:val="00FB5D7F"/>
    <w:rsid w:val="00FC1E2B"/>
    <w:rsid w:val="00FD3937"/>
    <w:rsid w:val="00FE5464"/>
    <w:rsid w:val="00FF4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931225"/>
  <w15:docId w15:val="{A5AB7292-BA71-48CB-BE76-724E003F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07"/>
    <w:rPr>
      <w:sz w:val="24"/>
      <w:szCs w:val="24"/>
    </w:rPr>
  </w:style>
  <w:style w:type="paragraph" w:styleId="Heading1">
    <w:name w:val="heading 1"/>
    <w:basedOn w:val="Normal"/>
    <w:next w:val="Normal"/>
    <w:link w:val="Heading1Char"/>
    <w:uiPriority w:val="99"/>
    <w:qFormat/>
    <w:rsid w:val="00B92E07"/>
    <w:pPr>
      <w:keepNext/>
      <w:spacing w:line="36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92E07"/>
    <w:pPr>
      <w:keepNext/>
      <w:spacing w:line="360" w:lineRule="auto"/>
      <w:jc w:val="both"/>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B92E07"/>
    <w:pPr>
      <w:keepNext/>
      <w:spacing w:before="120" w:line="360" w:lineRule="auto"/>
      <w:jc w:val="both"/>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6167A"/>
    <w:rPr>
      <w:rFonts w:ascii="Cambria" w:hAnsi="Cambria" w:cs="Times New Roman"/>
      <w:b/>
      <w:color w:val="365F91"/>
      <w:sz w:val="28"/>
    </w:rPr>
  </w:style>
  <w:style w:type="character" w:customStyle="1" w:styleId="Heading2Char">
    <w:name w:val="Heading 2 Char"/>
    <w:link w:val="Heading2"/>
    <w:uiPriority w:val="99"/>
    <w:semiHidden/>
    <w:locked/>
    <w:rsid w:val="00E6167A"/>
    <w:rPr>
      <w:rFonts w:ascii="Cambria" w:hAnsi="Cambria" w:cs="Times New Roman"/>
      <w:b/>
      <w:color w:val="4F81BD"/>
      <w:sz w:val="26"/>
    </w:rPr>
  </w:style>
  <w:style w:type="character" w:customStyle="1" w:styleId="Heading6Char">
    <w:name w:val="Heading 6 Char"/>
    <w:link w:val="Heading6"/>
    <w:uiPriority w:val="99"/>
    <w:semiHidden/>
    <w:locked/>
    <w:rsid w:val="00E6167A"/>
    <w:rPr>
      <w:rFonts w:ascii="Cambria" w:hAnsi="Cambria" w:cs="Times New Roman"/>
      <w:i/>
      <w:color w:val="243F60"/>
      <w:sz w:val="24"/>
    </w:rPr>
  </w:style>
  <w:style w:type="paragraph" w:styleId="BodyText">
    <w:name w:val="Body Text"/>
    <w:basedOn w:val="Normal"/>
    <w:link w:val="BodyTextChar"/>
    <w:uiPriority w:val="99"/>
    <w:rsid w:val="00B92E07"/>
    <w:pPr>
      <w:spacing w:before="120" w:line="360" w:lineRule="auto"/>
      <w:jc w:val="both"/>
    </w:pPr>
  </w:style>
  <w:style w:type="character" w:customStyle="1" w:styleId="BodyTextChar">
    <w:name w:val="Body Text Char"/>
    <w:link w:val="BodyText"/>
    <w:uiPriority w:val="99"/>
    <w:semiHidden/>
    <w:locked/>
    <w:rsid w:val="00E6167A"/>
    <w:rPr>
      <w:rFonts w:cs="Times New Roman"/>
      <w:sz w:val="24"/>
    </w:rPr>
  </w:style>
  <w:style w:type="paragraph" w:styleId="BodyText2">
    <w:name w:val="Body Text 2"/>
    <w:basedOn w:val="Normal"/>
    <w:link w:val="BodyText2Char"/>
    <w:uiPriority w:val="99"/>
    <w:rsid w:val="00B92E07"/>
    <w:pPr>
      <w:spacing w:line="360" w:lineRule="auto"/>
    </w:pPr>
  </w:style>
  <w:style w:type="character" w:customStyle="1" w:styleId="BodyText2Char">
    <w:name w:val="Body Text 2 Char"/>
    <w:link w:val="BodyText2"/>
    <w:uiPriority w:val="99"/>
    <w:semiHidden/>
    <w:locked/>
    <w:rsid w:val="00E6167A"/>
    <w:rPr>
      <w:rFonts w:cs="Times New Roman"/>
      <w:sz w:val="24"/>
    </w:rPr>
  </w:style>
  <w:style w:type="paragraph" w:styleId="BodyText3">
    <w:name w:val="Body Text 3"/>
    <w:basedOn w:val="Normal"/>
    <w:link w:val="BodyText3Char"/>
    <w:uiPriority w:val="99"/>
    <w:rsid w:val="00B92E07"/>
    <w:pPr>
      <w:spacing w:before="120" w:line="360" w:lineRule="auto"/>
    </w:pPr>
    <w:rPr>
      <w:sz w:val="16"/>
      <w:szCs w:val="16"/>
    </w:rPr>
  </w:style>
  <w:style w:type="character" w:customStyle="1" w:styleId="BodyText3Char">
    <w:name w:val="Body Text 3 Char"/>
    <w:link w:val="BodyText3"/>
    <w:uiPriority w:val="99"/>
    <w:semiHidden/>
    <w:locked/>
    <w:rsid w:val="00E6167A"/>
    <w:rPr>
      <w:rFonts w:cs="Times New Roman"/>
      <w:sz w:val="16"/>
    </w:rPr>
  </w:style>
  <w:style w:type="paragraph" w:styleId="Title">
    <w:name w:val="Title"/>
    <w:basedOn w:val="Normal"/>
    <w:link w:val="TitleChar"/>
    <w:uiPriority w:val="99"/>
    <w:qFormat/>
    <w:rsid w:val="00B92E07"/>
    <w:pPr>
      <w:spacing w:line="360" w:lineRule="auto"/>
      <w:jc w:val="center"/>
    </w:pPr>
    <w:rPr>
      <w:rFonts w:ascii="Cambria" w:hAnsi="Cambria"/>
      <w:color w:val="17365D"/>
      <w:spacing w:val="5"/>
      <w:kern w:val="28"/>
      <w:sz w:val="52"/>
      <w:szCs w:val="52"/>
    </w:rPr>
  </w:style>
  <w:style w:type="character" w:customStyle="1" w:styleId="TitleChar">
    <w:name w:val="Title Char"/>
    <w:link w:val="Title"/>
    <w:uiPriority w:val="99"/>
    <w:locked/>
    <w:rsid w:val="00E6167A"/>
    <w:rPr>
      <w:rFonts w:ascii="Cambria" w:hAnsi="Cambria" w:cs="Times New Roman"/>
      <w:color w:val="17365D"/>
      <w:spacing w:val="5"/>
      <w:kern w:val="28"/>
      <w:sz w:val="52"/>
    </w:rPr>
  </w:style>
  <w:style w:type="paragraph" w:styleId="Header">
    <w:name w:val="header"/>
    <w:basedOn w:val="Normal"/>
    <w:link w:val="HeaderChar"/>
    <w:uiPriority w:val="99"/>
    <w:rsid w:val="00B92E07"/>
    <w:pPr>
      <w:tabs>
        <w:tab w:val="center" w:pos="4536"/>
        <w:tab w:val="right" w:pos="9072"/>
      </w:tabs>
    </w:pPr>
  </w:style>
  <w:style w:type="character" w:customStyle="1" w:styleId="HeaderChar">
    <w:name w:val="Header Char"/>
    <w:link w:val="Header"/>
    <w:uiPriority w:val="99"/>
    <w:locked/>
    <w:rsid w:val="00E6167A"/>
    <w:rPr>
      <w:rFonts w:cs="Times New Roman"/>
      <w:sz w:val="24"/>
    </w:rPr>
  </w:style>
  <w:style w:type="paragraph" w:styleId="Footer">
    <w:name w:val="footer"/>
    <w:basedOn w:val="Normal"/>
    <w:link w:val="FooterChar"/>
    <w:uiPriority w:val="99"/>
    <w:rsid w:val="00B92E07"/>
    <w:pPr>
      <w:tabs>
        <w:tab w:val="center" w:pos="4536"/>
        <w:tab w:val="right" w:pos="9072"/>
      </w:tabs>
    </w:pPr>
  </w:style>
  <w:style w:type="character" w:customStyle="1" w:styleId="FooterChar">
    <w:name w:val="Footer Char"/>
    <w:link w:val="Footer"/>
    <w:uiPriority w:val="99"/>
    <w:semiHidden/>
    <w:locked/>
    <w:rsid w:val="00E6167A"/>
    <w:rPr>
      <w:rFonts w:cs="Times New Roman"/>
      <w:sz w:val="24"/>
    </w:rPr>
  </w:style>
  <w:style w:type="character" w:styleId="PageNumber">
    <w:name w:val="page number"/>
    <w:uiPriority w:val="99"/>
    <w:rsid w:val="00B92E07"/>
    <w:rPr>
      <w:rFonts w:cs="Times New Roman"/>
    </w:rPr>
  </w:style>
  <w:style w:type="paragraph" w:styleId="Subtitle">
    <w:name w:val="Subtitle"/>
    <w:basedOn w:val="Normal"/>
    <w:link w:val="SubtitleChar"/>
    <w:uiPriority w:val="99"/>
    <w:qFormat/>
    <w:rsid w:val="00B92E07"/>
    <w:pPr>
      <w:spacing w:line="360" w:lineRule="auto"/>
      <w:jc w:val="center"/>
    </w:pPr>
    <w:rPr>
      <w:rFonts w:ascii="Cambria" w:hAnsi="Cambria"/>
      <w:i/>
      <w:iCs/>
      <w:color w:val="4F81BD"/>
      <w:spacing w:val="15"/>
    </w:rPr>
  </w:style>
  <w:style w:type="character" w:customStyle="1" w:styleId="SubtitleChar">
    <w:name w:val="Subtitle Char"/>
    <w:link w:val="Subtitle"/>
    <w:uiPriority w:val="99"/>
    <w:locked/>
    <w:rsid w:val="00E6167A"/>
    <w:rPr>
      <w:rFonts w:ascii="Cambria" w:hAnsi="Cambria" w:cs="Times New Roman"/>
      <w:i/>
      <w:color w:val="4F81BD"/>
      <w:spacing w:val="15"/>
      <w:sz w:val="24"/>
    </w:rPr>
  </w:style>
  <w:style w:type="paragraph" w:styleId="BalloonText">
    <w:name w:val="Balloon Text"/>
    <w:basedOn w:val="Normal"/>
    <w:link w:val="BalloonTextChar"/>
    <w:uiPriority w:val="99"/>
    <w:semiHidden/>
    <w:rsid w:val="00B92E07"/>
    <w:rPr>
      <w:sz w:val="2"/>
      <w:szCs w:val="20"/>
    </w:rPr>
  </w:style>
  <w:style w:type="character" w:customStyle="1" w:styleId="BalloonTextChar">
    <w:name w:val="Balloon Text Char"/>
    <w:link w:val="BalloonText"/>
    <w:uiPriority w:val="99"/>
    <w:semiHidden/>
    <w:locked/>
    <w:rsid w:val="00E6167A"/>
    <w:rPr>
      <w:rFonts w:cs="Times New Roman"/>
      <w:sz w:val="2"/>
    </w:rPr>
  </w:style>
  <w:style w:type="paragraph" w:customStyle="1" w:styleId="FR2">
    <w:name w:val="FR2"/>
    <w:uiPriority w:val="99"/>
    <w:rsid w:val="00B92E07"/>
    <w:pPr>
      <w:widowControl w:val="0"/>
      <w:autoSpaceDE w:val="0"/>
      <w:autoSpaceDN w:val="0"/>
      <w:adjustRightInd w:val="0"/>
    </w:pPr>
    <w:rPr>
      <w:rFonts w:ascii="Arial" w:hAnsi="Arial"/>
      <w:i/>
      <w:iCs/>
      <w:sz w:val="24"/>
      <w:szCs w:val="24"/>
    </w:rPr>
  </w:style>
  <w:style w:type="character" w:styleId="CommentReference">
    <w:name w:val="annotation reference"/>
    <w:uiPriority w:val="99"/>
    <w:semiHidden/>
    <w:rsid w:val="00B92E07"/>
    <w:rPr>
      <w:rFonts w:cs="Times New Roman"/>
      <w:sz w:val="16"/>
    </w:rPr>
  </w:style>
  <w:style w:type="paragraph" w:styleId="CommentText">
    <w:name w:val="annotation text"/>
    <w:basedOn w:val="Normal"/>
    <w:link w:val="CommentTextChar"/>
    <w:uiPriority w:val="99"/>
    <w:semiHidden/>
    <w:rsid w:val="00B92E07"/>
    <w:rPr>
      <w:sz w:val="20"/>
      <w:szCs w:val="20"/>
    </w:rPr>
  </w:style>
  <w:style w:type="character" w:customStyle="1" w:styleId="CommentTextChar">
    <w:name w:val="Comment Text Char"/>
    <w:link w:val="CommentText"/>
    <w:uiPriority w:val="99"/>
    <w:semiHidden/>
    <w:locked/>
    <w:rsid w:val="00E6167A"/>
    <w:rPr>
      <w:rFonts w:cs="Times New Roman"/>
    </w:rPr>
  </w:style>
  <w:style w:type="paragraph" w:styleId="CommentSubject">
    <w:name w:val="annotation subject"/>
    <w:basedOn w:val="CommentText"/>
    <w:next w:val="CommentText"/>
    <w:link w:val="CommentSubjectChar"/>
    <w:uiPriority w:val="99"/>
    <w:semiHidden/>
    <w:rsid w:val="00B92E07"/>
    <w:rPr>
      <w:b/>
      <w:bCs/>
    </w:rPr>
  </w:style>
  <w:style w:type="character" w:customStyle="1" w:styleId="CommentSubjectChar">
    <w:name w:val="Comment Subject Char"/>
    <w:link w:val="CommentSubject"/>
    <w:uiPriority w:val="99"/>
    <w:semiHidden/>
    <w:locked/>
    <w:rsid w:val="00E6167A"/>
    <w:rPr>
      <w:rFonts w:cs="Times New Roman"/>
      <w:b/>
    </w:rPr>
  </w:style>
  <w:style w:type="paragraph" w:styleId="Revision">
    <w:name w:val="Revision"/>
    <w:hidden/>
    <w:uiPriority w:val="99"/>
    <w:semiHidden/>
    <w:rsid w:val="002B7FF6"/>
    <w:rPr>
      <w:sz w:val="24"/>
      <w:szCs w:val="24"/>
    </w:rPr>
  </w:style>
  <w:style w:type="paragraph" w:customStyle="1" w:styleId="Default">
    <w:name w:val="Default"/>
    <w:uiPriority w:val="99"/>
    <w:rsid w:val="00317E23"/>
    <w:pPr>
      <w:autoSpaceDE w:val="0"/>
      <w:autoSpaceDN w:val="0"/>
      <w:adjustRightInd w:val="0"/>
    </w:pPr>
    <w:rPr>
      <w:color w:val="000000"/>
      <w:sz w:val="24"/>
      <w:szCs w:val="24"/>
    </w:rPr>
  </w:style>
  <w:style w:type="paragraph" w:styleId="ListParagraph">
    <w:name w:val="List Paragraph"/>
    <w:basedOn w:val="Normal"/>
    <w:uiPriority w:val="99"/>
    <w:qFormat/>
    <w:rsid w:val="0082633A"/>
    <w:pPr>
      <w:ind w:left="720"/>
      <w:contextualSpacing/>
    </w:pPr>
  </w:style>
  <w:style w:type="paragraph" w:customStyle="1" w:styleId="eCTD-narrative-Text">
    <w:name w:val="eCTD-narrative-Text"/>
    <w:uiPriority w:val="99"/>
    <w:rsid w:val="00390EC3"/>
    <w:pPr>
      <w:spacing w:before="120" w:after="120"/>
      <w:jc w:val="both"/>
    </w:pPr>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9498">
      <w:marLeft w:val="0"/>
      <w:marRight w:val="0"/>
      <w:marTop w:val="0"/>
      <w:marBottom w:val="0"/>
      <w:divBdr>
        <w:top w:val="none" w:sz="0" w:space="0" w:color="auto"/>
        <w:left w:val="none" w:sz="0" w:space="0" w:color="auto"/>
        <w:bottom w:val="none" w:sz="0" w:space="0" w:color="auto"/>
        <w:right w:val="none" w:sz="0" w:space="0" w:color="auto"/>
      </w:divBdr>
    </w:div>
    <w:div w:id="1467311702">
      <w:bodyDiv w:val="1"/>
      <w:marLeft w:val="0"/>
      <w:marRight w:val="0"/>
      <w:marTop w:val="0"/>
      <w:marBottom w:val="0"/>
      <w:divBdr>
        <w:top w:val="none" w:sz="0" w:space="0" w:color="auto"/>
        <w:left w:val="none" w:sz="0" w:space="0" w:color="auto"/>
        <w:bottom w:val="none" w:sz="0" w:space="0" w:color="auto"/>
        <w:right w:val="none" w:sz="0" w:space="0" w:color="auto"/>
      </w:divBdr>
    </w:div>
    <w:div w:id="17882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2398</Words>
  <Characters>16906</Characters>
  <Application>Microsoft Office Word</Application>
  <DocSecurity>0</DocSecurity>
  <Lines>140</Lines>
  <Paragraphs>38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CHARAKTERYSTYKA</vt:lpstr>
      <vt:lpstr>CHARAKTERYSTYKA</vt:lpstr>
    </vt:vector>
  </TitlesOfParts>
  <Company>REGISTRATION</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CHARAKTERYSTYKA</dc:title>
  <dc:creator>Piotr D. Raczyński</dc:creator>
  <cp:lastModifiedBy>Gita Rasuma</cp:lastModifiedBy>
  <cp:revision>6</cp:revision>
  <cp:lastPrinted>2016-06-17T10:23:00Z</cp:lastPrinted>
  <dcterms:created xsi:type="dcterms:W3CDTF">2022-02-11T11:10:00Z</dcterms:created>
  <dcterms:modified xsi:type="dcterms:W3CDTF">2022-04-29T08:14:00Z</dcterms:modified>
</cp:coreProperties>
</file>