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FD89" w14:textId="77777777" w:rsidR="001D17E8" w:rsidRPr="00AF25A6" w:rsidRDefault="001D17E8" w:rsidP="001D17E8">
      <w:pPr>
        <w:spacing w:line="240" w:lineRule="auto"/>
        <w:ind w:left="567" w:hanging="567"/>
        <w:jc w:val="center"/>
        <w:rPr>
          <w:b/>
          <w:szCs w:val="22"/>
        </w:rPr>
      </w:pPr>
      <w:r w:rsidRPr="00AF25A6">
        <w:rPr>
          <w:b/>
          <w:szCs w:val="22"/>
        </w:rPr>
        <w:t>ZĀĻU APRAKSTS</w:t>
      </w:r>
    </w:p>
    <w:p w14:paraId="749AFD8A" w14:textId="77777777" w:rsidR="001D17E8" w:rsidRDefault="001D17E8" w:rsidP="001D17E8">
      <w:pPr>
        <w:spacing w:line="240" w:lineRule="auto"/>
        <w:ind w:left="567" w:hanging="567"/>
        <w:rPr>
          <w:b/>
          <w:szCs w:val="22"/>
        </w:rPr>
      </w:pPr>
    </w:p>
    <w:p w14:paraId="749AFD8B" w14:textId="77777777" w:rsidR="00580E46" w:rsidRPr="00AF25A6" w:rsidRDefault="00580E46" w:rsidP="001D17E8">
      <w:pPr>
        <w:spacing w:line="240" w:lineRule="auto"/>
        <w:ind w:left="567" w:hanging="567"/>
        <w:rPr>
          <w:b/>
          <w:szCs w:val="22"/>
        </w:rPr>
      </w:pPr>
    </w:p>
    <w:p w14:paraId="749AFD8C" w14:textId="77777777" w:rsidR="001D17E8" w:rsidRPr="00AF25A6" w:rsidRDefault="001D17E8" w:rsidP="001D17E8">
      <w:pPr>
        <w:keepNext/>
        <w:spacing w:line="240" w:lineRule="auto"/>
        <w:ind w:left="567" w:hanging="567"/>
        <w:rPr>
          <w:b/>
          <w:szCs w:val="22"/>
        </w:rPr>
      </w:pPr>
      <w:r w:rsidRPr="00AF25A6">
        <w:rPr>
          <w:b/>
          <w:szCs w:val="22"/>
        </w:rPr>
        <w:t>1.</w:t>
      </w:r>
      <w:r w:rsidRPr="00AF25A6">
        <w:rPr>
          <w:b/>
          <w:szCs w:val="22"/>
        </w:rPr>
        <w:tab/>
        <w:t>ZĀĻU NOSAUKUMS</w:t>
      </w:r>
    </w:p>
    <w:p w14:paraId="749AFD8D" w14:textId="77777777" w:rsidR="001D17E8" w:rsidRPr="00AF25A6" w:rsidRDefault="001D17E8" w:rsidP="001D17E8">
      <w:pPr>
        <w:keepNext/>
        <w:spacing w:line="240" w:lineRule="auto"/>
        <w:ind w:left="567" w:hanging="567"/>
        <w:rPr>
          <w:szCs w:val="22"/>
        </w:rPr>
      </w:pPr>
    </w:p>
    <w:p w14:paraId="749AFD8E" w14:textId="77777777" w:rsidR="001D17E8" w:rsidRPr="00AF25A6" w:rsidRDefault="001D17E8" w:rsidP="001D17E8">
      <w:pPr>
        <w:spacing w:line="240" w:lineRule="auto"/>
        <w:rPr>
          <w:szCs w:val="22"/>
        </w:rPr>
      </w:pPr>
      <w:r w:rsidRPr="00AF25A6">
        <w:rPr>
          <w:szCs w:val="22"/>
        </w:rPr>
        <w:t xml:space="preserve">Bufomix Easyhaler </w:t>
      </w:r>
      <w:r w:rsidR="00723D14">
        <w:rPr>
          <w:szCs w:val="22"/>
        </w:rPr>
        <w:t>80</w:t>
      </w:r>
      <w:r w:rsidRPr="00AF25A6">
        <w:rPr>
          <w:szCs w:val="22"/>
        </w:rPr>
        <w:t> mikrogrami/4,5 mikrogrami inhalācijā, inhalācijas pulveris</w:t>
      </w:r>
    </w:p>
    <w:p w14:paraId="749AFD8F" w14:textId="77777777" w:rsidR="001D17E8" w:rsidRPr="00AF25A6" w:rsidRDefault="001D17E8" w:rsidP="001D17E8">
      <w:pPr>
        <w:spacing w:line="240" w:lineRule="auto"/>
        <w:rPr>
          <w:szCs w:val="22"/>
        </w:rPr>
      </w:pPr>
    </w:p>
    <w:p w14:paraId="749AFD90" w14:textId="77777777" w:rsidR="001D17E8" w:rsidRPr="00AF25A6" w:rsidRDefault="001D17E8" w:rsidP="001D17E8">
      <w:pPr>
        <w:spacing w:line="240" w:lineRule="auto"/>
        <w:rPr>
          <w:szCs w:val="22"/>
        </w:rPr>
      </w:pPr>
    </w:p>
    <w:p w14:paraId="749AFD91" w14:textId="77777777" w:rsidR="001D17E8" w:rsidRPr="00AF25A6" w:rsidRDefault="001D17E8" w:rsidP="001D17E8">
      <w:pPr>
        <w:keepNext/>
        <w:spacing w:line="240" w:lineRule="auto"/>
        <w:ind w:left="567" w:hanging="567"/>
        <w:rPr>
          <w:b/>
          <w:szCs w:val="22"/>
        </w:rPr>
      </w:pPr>
      <w:r w:rsidRPr="00AF25A6">
        <w:rPr>
          <w:b/>
          <w:szCs w:val="22"/>
        </w:rPr>
        <w:t>2.</w:t>
      </w:r>
      <w:r w:rsidRPr="00AF25A6">
        <w:rPr>
          <w:b/>
          <w:szCs w:val="22"/>
        </w:rPr>
        <w:tab/>
        <w:t>KVALITATĪVAIS UN KVANTITATĪVAIS SASTĀVS</w:t>
      </w:r>
    </w:p>
    <w:p w14:paraId="749AFD92" w14:textId="77777777" w:rsidR="001D17E8" w:rsidRPr="00AF25A6" w:rsidRDefault="001D17E8" w:rsidP="001D17E8">
      <w:pPr>
        <w:keepNext/>
        <w:spacing w:line="240" w:lineRule="auto"/>
        <w:rPr>
          <w:szCs w:val="22"/>
        </w:rPr>
      </w:pPr>
    </w:p>
    <w:p w14:paraId="749AFD93" w14:textId="77777777" w:rsidR="001D17E8" w:rsidRPr="00AF25A6" w:rsidRDefault="001D17E8" w:rsidP="001D17E8">
      <w:pPr>
        <w:pStyle w:val="EMEAEnBodyText"/>
        <w:autoSpaceDE w:val="0"/>
        <w:autoSpaceDN w:val="0"/>
        <w:adjustRightInd w:val="0"/>
        <w:spacing w:before="0" w:after="0"/>
        <w:jc w:val="left"/>
        <w:rPr>
          <w:szCs w:val="22"/>
          <w:lang w:val="lv-LV"/>
        </w:rPr>
      </w:pPr>
      <w:r w:rsidRPr="00AF25A6">
        <w:rPr>
          <w:szCs w:val="22"/>
          <w:lang w:val="lv-LV"/>
        </w:rPr>
        <w:t>Katra inhalētā deva (kas tiek inhalēta caur iemut</w:t>
      </w:r>
      <w:r>
        <w:rPr>
          <w:szCs w:val="22"/>
          <w:lang w:val="lv-LV"/>
        </w:rPr>
        <w:t>n</w:t>
      </w:r>
      <w:r w:rsidRPr="00AF25A6">
        <w:rPr>
          <w:szCs w:val="22"/>
          <w:lang w:val="lv-LV"/>
        </w:rPr>
        <w:t>i) satur: budezonīdu</w:t>
      </w:r>
      <w:r w:rsidR="008904E5">
        <w:rPr>
          <w:szCs w:val="22"/>
          <w:lang w:val="lv-LV"/>
        </w:rPr>
        <w:t> </w:t>
      </w:r>
      <w:r w:rsidR="00256CD8" w:rsidRPr="00256CD8">
        <w:rPr>
          <w:i/>
          <w:szCs w:val="22"/>
          <w:lang w:val="lv-LV"/>
        </w:rPr>
        <w:t>(</w:t>
      </w:r>
      <w:r w:rsidR="008C662C">
        <w:rPr>
          <w:i/>
          <w:szCs w:val="22"/>
          <w:lang w:val="lv-LV"/>
        </w:rPr>
        <w:t>B</w:t>
      </w:r>
      <w:r w:rsidR="00256CD8" w:rsidRPr="00256CD8">
        <w:rPr>
          <w:i/>
          <w:szCs w:val="22"/>
          <w:lang w:val="lv-LV"/>
        </w:rPr>
        <w:t>udesonidum)</w:t>
      </w:r>
      <w:r w:rsidR="008904E5">
        <w:rPr>
          <w:i/>
          <w:szCs w:val="22"/>
          <w:lang w:val="lv-LV"/>
        </w:rPr>
        <w:t xml:space="preserve"> </w:t>
      </w:r>
      <w:r w:rsidR="00723D14">
        <w:rPr>
          <w:szCs w:val="22"/>
          <w:lang w:val="lv-LV"/>
        </w:rPr>
        <w:t>80</w:t>
      </w:r>
      <w:r w:rsidRPr="00AF25A6">
        <w:rPr>
          <w:szCs w:val="22"/>
          <w:lang w:val="lv-LV"/>
        </w:rPr>
        <w:t>mikrogrami/inhalācijā un formoterola fumarāta dihidrātu</w:t>
      </w:r>
      <w:r w:rsidR="008904E5">
        <w:rPr>
          <w:szCs w:val="22"/>
          <w:lang w:val="lv-LV"/>
        </w:rPr>
        <w:t> </w:t>
      </w:r>
      <w:r w:rsidR="00256CD8" w:rsidRPr="00256CD8">
        <w:rPr>
          <w:i/>
          <w:szCs w:val="22"/>
          <w:lang w:val="lv-LV"/>
        </w:rPr>
        <w:t>(</w:t>
      </w:r>
      <w:r w:rsidR="008C662C">
        <w:rPr>
          <w:i/>
          <w:szCs w:val="22"/>
          <w:lang w:val="lv-LV"/>
        </w:rPr>
        <w:t>F</w:t>
      </w:r>
      <w:r w:rsidR="00256CD8" w:rsidRPr="00AF25A6">
        <w:rPr>
          <w:i/>
          <w:szCs w:val="22"/>
          <w:lang w:val="lv-LV"/>
        </w:rPr>
        <w:t>ormoteroli fumaras dihydricus)</w:t>
      </w:r>
      <w:r w:rsidRPr="00AF25A6">
        <w:rPr>
          <w:szCs w:val="22"/>
          <w:lang w:val="lv-LV"/>
        </w:rPr>
        <w:t xml:space="preserve"> 4,5 mikrogrami/inhalācijā.</w:t>
      </w:r>
    </w:p>
    <w:p w14:paraId="749AFD94" w14:textId="77777777" w:rsidR="001D17E8" w:rsidRPr="00AF25A6" w:rsidRDefault="001D17E8" w:rsidP="001D17E8">
      <w:pPr>
        <w:pStyle w:val="EMEAEnBodyText"/>
        <w:autoSpaceDE w:val="0"/>
        <w:autoSpaceDN w:val="0"/>
        <w:adjustRightInd w:val="0"/>
        <w:spacing w:before="0" w:after="0"/>
        <w:jc w:val="left"/>
        <w:rPr>
          <w:szCs w:val="22"/>
          <w:lang w:val="lv-LV"/>
        </w:rPr>
      </w:pPr>
    </w:p>
    <w:p w14:paraId="749AFD95" w14:textId="77777777" w:rsidR="001D17E8" w:rsidRPr="00AF25A6" w:rsidRDefault="001D17E8" w:rsidP="001D17E8">
      <w:pPr>
        <w:tabs>
          <w:tab w:val="clear" w:pos="567"/>
        </w:tabs>
        <w:spacing w:line="240" w:lineRule="auto"/>
        <w:rPr>
          <w:szCs w:val="22"/>
        </w:rPr>
      </w:pPr>
      <w:r w:rsidRPr="00AF25A6">
        <w:rPr>
          <w:szCs w:val="22"/>
        </w:rPr>
        <w:t>Ar Easyhaler ierīci inhalētajā devā (caur pievadu) ir tikpat daudz aktīvās vielas kā nomērītajā devā (no rezervuāra).</w:t>
      </w:r>
    </w:p>
    <w:p w14:paraId="749AFD96" w14:textId="77777777" w:rsidR="001D17E8" w:rsidRPr="00AF25A6" w:rsidRDefault="001D17E8" w:rsidP="001D17E8">
      <w:pPr>
        <w:pStyle w:val="EMEAEnBodyText"/>
        <w:autoSpaceDE w:val="0"/>
        <w:autoSpaceDN w:val="0"/>
        <w:adjustRightInd w:val="0"/>
        <w:spacing w:before="0" w:after="0"/>
        <w:jc w:val="left"/>
        <w:rPr>
          <w:szCs w:val="22"/>
          <w:lang w:val="lv-LV"/>
        </w:rPr>
      </w:pPr>
    </w:p>
    <w:p w14:paraId="749AFD97" w14:textId="77777777" w:rsidR="001D17E8" w:rsidRDefault="001D17E8" w:rsidP="001D17E8">
      <w:pPr>
        <w:pStyle w:val="EMEAEnBodyText"/>
        <w:autoSpaceDE w:val="0"/>
        <w:autoSpaceDN w:val="0"/>
        <w:adjustRightInd w:val="0"/>
        <w:spacing w:before="0" w:after="0"/>
        <w:jc w:val="left"/>
        <w:rPr>
          <w:szCs w:val="22"/>
          <w:lang w:val="lv-LV"/>
        </w:rPr>
      </w:pPr>
      <w:r w:rsidRPr="00AF25A6">
        <w:rPr>
          <w:szCs w:val="22"/>
          <w:u w:val="single"/>
          <w:lang w:val="lv-LV"/>
        </w:rPr>
        <w:t>Palīgviela ar zināmu iedarbību:</w:t>
      </w:r>
      <w:r w:rsidR="00723D14">
        <w:rPr>
          <w:szCs w:val="22"/>
          <w:lang w:val="lv-LV"/>
        </w:rPr>
        <w:t xml:space="preserve"> 40</w:t>
      </w:r>
      <w:r w:rsidRPr="00AF25A6">
        <w:rPr>
          <w:szCs w:val="22"/>
          <w:lang w:val="lv-LV"/>
        </w:rPr>
        <w:t>00 mikrogrami</w:t>
      </w:r>
      <w:r>
        <w:rPr>
          <w:szCs w:val="22"/>
          <w:lang w:val="lv-LV"/>
        </w:rPr>
        <w:t xml:space="preserve"> laktozes monohidrāta katrā inhalētajā devā</w:t>
      </w:r>
      <w:r w:rsidRPr="00AF25A6">
        <w:rPr>
          <w:szCs w:val="22"/>
          <w:lang w:val="lv-LV"/>
        </w:rPr>
        <w:t>.</w:t>
      </w:r>
    </w:p>
    <w:p w14:paraId="749AFD98" w14:textId="77777777" w:rsidR="001D17E8" w:rsidRPr="00AF25A6" w:rsidRDefault="001D17E8" w:rsidP="001D17E8">
      <w:pPr>
        <w:pStyle w:val="EMEAEnBodyText"/>
        <w:autoSpaceDE w:val="0"/>
        <w:autoSpaceDN w:val="0"/>
        <w:adjustRightInd w:val="0"/>
        <w:spacing w:before="0" w:after="0"/>
        <w:jc w:val="left"/>
        <w:rPr>
          <w:szCs w:val="22"/>
          <w:lang w:val="lv-LV"/>
        </w:rPr>
      </w:pPr>
    </w:p>
    <w:p w14:paraId="749AFD99" w14:textId="77777777" w:rsidR="001D17E8" w:rsidRPr="00AF25A6" w:rsidRDefault="001D17E8" w:rsidP="001D17E8">
      <w:pPr>
        <w:spacing w:line="240" w:lineRule="auto"/>
        <w:rPr>
          <w:szCs w:val="22"/>
        </w:rPr>
      </w:pPr>
      <w:r w:rsidRPr="00AF25A6">
        <w:rPr>
          <w:szCs w:val="22"/>
        </w:rPr>
        <w:t>Pilnu palīgvielu sarakstu skatīt 6.1. apakšpunktā.</w:t>
      </w:r>
    </w:p>
    <w:p w14:paraId="749AFD9A" w14:textId="77777777" w:rsidR="001D17E8" w:rsidRPr="00AF25A6" w:rsidRDefault="001D17E8" w:rsidP="001D17E8">
      <w:pPr>
        <w:spacing w:line="240" w:lineRule="auto"/>
        <w:ind w:left="567" w:hanging="567"/>
        <w:rPr>
          <w:szCs w:val="22"/>
        </w:rPr>
      </w:pPr>
    </w:p>
    <w:p w14:paraId="749AFD9B" w14:textId="77777777" w:rsidR="001D17E8" w:rsidRPr="00AF25A6" w:rsidRDefault="001D17E8" w:rsidP="001D17E8">
      <w:pPr>
        <w:spacing w:line="240" w:lineRule="auto"/>
        <w:ind w:left="567" w:hanging="567"/>
        <w:rPr>
          <w:szCs w:val="22"/>
        </w:rPr>
      </w:pPr>
    </w:p>
    <w:p w14:paraId="749AFD9C" w14:textId="77777777" w:rsidR="001D17E8" w:rsidRPr="00AF25A6" w:rsidRDefault="001D17E8" w:rsidP="001D17E8">
      <w:pPr>
        <w:keepNext/>
        <w:spacing w:line="240" w:lineRule="auto"/>
        <w:ind w:left="567" w:hanging="567"/>
        <w:rPr>
          <w:b/>
          <w:caps/>
          <w:szCs w:val="22"/>
        </w:rPr>
      </w:pPr>
      <w:r w:rsidRPr="00AF25A6">
        <w:rPr>
          <w:b/>
          <w:szCs w:val="22"/>
        </w:rPr>
        <w:t>3.</w:t>
      </w:r>
      <w:r w:rsidRPr="00AF25A6">
        <w:rPr>
          <w:b/>
          <w:szCs w:val="22"/>
        </w:rPr>
        <w:tab/>
        <w:t>ZĀĻU FORMA</w:t>
      </w:r>
    </w:p>
    <w:p w14:paraId="749AFD9D" w14:textId="77777777" w:rsidR="001D17E8" w:rsidRPr="00AF25A6" w:rsidRDefault="001D17E8" w:rsidP="001D17E8">
      <w:pPr>
        <w:keepNext/>
        <w:spacing w:line="240" w:lineRule="auto"/>
        <w:rPr>
          <w:szCs w:val="22"/>
        </w:rPr>
      </w:pPr>
    </w:p>
    <w:p w14:paraId="749AFD9E" w14:textId="77777777" w:rsidR="001D17E8" w:rsidRPr="00AF25A6" w:rsidRDefault="001D17E8" w:rsidP="001D17E8">
      <w:pPr>
        <w:tabs>
          <w:tab w:val="clear" w:pos="567"/>
          <w:tab w:val="left" w:pos="0"/>
        </w:tabs>
        <w:spacing w:line="240" w:lineRule="auto"/>
        <w:rPr>
          <w:szCs w:val="22"/>
        </w:rPr>
      </w:pPr>
      <w:r w:rsidRPr="00AF25A6">
        <w:rPr>
          <w:szCs w:val="22"/>
        </w:rPr>
        <w:t>Pulveris inhalācijām dozētā inhalatorā (Easyhaler).</w:t>
      </w:r>
    </w:p>
    <w:p w14:paraId="749AFD9F" w14:textId="77777777" w:rsidR="001D17E8" w:rsidRDefault="001D17E8" w:rsidP="001D17E8">
      <w:pPr>
        <w:tabs>
          <w:tab w:val="clear" w:pos="567"/>
          <w:tab w:val="left" w:pos="0"/>
        </w:tabs>
        <w:spacing w:line="240" w:lineRule="auto"/>
        <w:rPr>
          <w:szCs w:val="22"/>
        </w:rPr>
      </w:pPr>
      <w:r w:rsidRPr="00AF25A6">
        <w:rPr>
          <w:szCs w:val="22"/>
        </w:rPr>
        <w:t>Balts līdz iedzeltens pulveris.</w:t>
      </w:r>
    </w:p>
    <w:p w14:paraId="749AFDA0" w14:textId="77777777" w:rsidR="001D17E8" w:rsidRPr="00AF25A6" w:rsidRDefault="001D17E8" w:rsidP="001D17E8">
      <w:pPr>
        <w:tabs>
          <w:tab w:val="clear" w:pos="567"/>
          <w:tab w:val="left" w:pos="0"/>
        </w:tabs>
        <w:spacing w:line="240" w:lineRule="auto"/>
        <w:rPr>
          <w:szCs w:val="22"/>
        </w:rPr>
      </w:pPr>
    </w:p>
    <w:p w14:paraId="749AFDA1" w14:textId="77777777" w:rsidR="001D17E8" w:rsidRPr="00AF25A6" w:rsidRDefault="001D17E8" w:rsidP="001D17E8">
      <w:pPr>
        <w:keepNext/>
        <w:tabs>
          <w:tab w:val="clear" w:pos="567"/>
        </w:tabs>
        <w:spacing w:line="240" w:lineRule="auto"/>
        <w:ind w:left="567" w:hanging="567"/>
        <w:rPr>
          <w:b/>
          <w:szCs w:val="22"/>
        </w:rPr>
      </w:pPr>
      <w:r w:rsidRPr="00AF25A6">
        <w:rPr>
          <w:b/>
          <w:caps/>
          <w:szCs w:val="22"/>
        </w:rPr>
        <w:t>4.</w:t>
      </w:r>
      <w:r w:rsidRPr="00AF25A6">
        <w:rPr>
          <w:b/>
          <w:caps/>
          <w:szCs w:val="22"/>
        </w:rPr>
        <w:tab/>
        <w:t>KLĪNISKĀ INFORMĀCIJA</w:t>
      </w:r>
    </w:p>
    <w:p w14:paraId="749AFDA2" w14:textId="77777777" w:rsidR="001D17E8" w:rsidRPr="00AF25A6" w:rsidRDefault="001D17E8" w:rsidP="001D17E8">
      <w:pPr>
        <w:keepNext/>
        <w:spacing w:line="240" w:lineRule="auto"/>
        <w:ind w:left="567" w:hanging="567"/>
        <w:rPr>
          <w:szCs w:val="22"/>
        </w:rPr>
      </w:pPr>
    </w:p>
    <w:p w14:paraId="749AFDA3" w14:textId="77777777" w:rsidR="001D17E8" w:rsidRPr="00AF25A6" w:rsidRDefault="001D17E8" w:rsidP="001D17E8">
      <w:pPr>
        <w:keepNext/>
        <w:tabs>
          <w:tab w:val="clear" w:pos="567"/>
        </w:tabs>
        <w:spacing w:line="240" w:lineRule="auto"/>
        <w:ind w:left="567" w:hanging="567"/>
        <w:rPr>
          <w:szCs w:val="22"/>
        </w:rPr>
      </w:pPr>
      <w:r w:rsidRPr="00AF25A6">
        <w:rPr>
          <w:b/>
          <w:szCs w:val="22"/>
        </w:rPr>
        <w:t>4.1.</w:t>
      </w:r>
      <w:r w:rsidRPr="00AF25A6">
        <w:rPr>
          <w:b/>
          <w:szCs w:val="22"/>
        </w:rPr>
        <w:tab/>
        <w:t>Terapeitiskās indikācijas</w:t>
      </w:r>
    </w:p>
    <w:p w14:paraId="749AFDA4" w14:textId="77777777" w:rsidR="001D17E8" w:rsidRPr="00AF25A6" w:rsidRDefault="001D17E8" w:rsidP="001D17E8">
      <w:pPr>
        <w:keepNext/>
        <w:tabs>
          <w:tab w:val="clear" w:pos="567"/>
        </w:tabs>
        <w:spacing w:line="240" w:lineRule="auto"/>
        <w:rPr>
          <w:szCs w:val="22"/>
        </w:rPr>
      </w:pPr>
    </w:p>
    <w:p w14:paraId="749AFDA5" w14:textId="77777777" w:rsidR="00723D14" w:rsidRDefault="001D17E8" w:rsidP="001D17E8">
      <w:pPr>
        <w:keepNext/>
        <w:tabs>
          <w:tab w:val="clear" w:pos="567"/>
        </w:tabs>
        <w:spacing w:line="240" w:lineRule="auto"/>
        <w:rPr>
          <w:szCs w:val="22"/>
        </w:rPr>
      </w:pPr>
      <w:r w:rsidRPr="006D3BB7">
        <w:rPr>
          <w:szCs w:val="22"/>
        </w:rPr>
        <w:t xml:space="preserve">Bufomix Easyhaler </w:t>
      </w:r>
      <w:r w:rsidR="00723D14">
        <w:rPr>
          <w:szCs w:val="22"/>
        </w:rPr>
        <w:t>80</w:t>
      </w:r>
      <w:r w:rsidR="00723D14" w:rsidRPr="00AF25A6">
        <w:rPr>
          <w:szCs w:val="22"/>
        </w:rPr>
        <w:t> mikro</w:t>
      </w:r>
      <w:r w:rsidR="00723D14">
        <w:rPr>
          <w:szCs w:val="22"/>
        </w:rPr>
        <w:t>grami/4,5 mikrogrami inhalācijā</w:t>
      </w:r>
      <w:r w:rsidR="008904E5">
        <w:rPr>
          <w:szCs w:val="22"/>
        </w:rPr>
        <w:t> </w:t>
      </w:r>
      <w:r w:rsidRPr="006D3BB7">
        <w:rPr>
          <w:szCs w:val="22"/>
        </w:rPr>
        <w:t xml:space="preserve">indicēts </w:t>
      </w:r>
      <w:r>
        <w:rPr>
          <w:szCs w:val="22"/>
        </w:rPr>
        <w:t>pieaugušajiem</w:t>
      </w:r>
      <w:r w:rsidR="00723D14">
        <w:rPr>
          <w:szCs w:val="22"/>
        </w:rPr>
        <w:t>,</w:t>
      </w:r>
      <w:r>
        <w:rPr>
          <w:szCs w:val="22"/>
        </w:rPr>
        <w:t xml:space="preserve"> pusaudžiem </w:t>
      </w:r>
      <w:r w:rsidR="00723D14">
        <w:rPr>
          <w:szCs w:val="22"/>
        </w:rPr>
        <w:t xml:space="preserve">un bērniem no 6 gadu vecuma. </w:t>
      </w:r>
    </w:p>
    <w:p w14:paraId="749AFDA6" w14:textId="77777777" w:rsidR="00723D14" w:rsidRDefault="00723D14" w:rsidP="001D17E8">
      <w:pPr>
        <w:keepNext/>
        <w:tabs>
          <w:tab w:val="clear" w:pos="567"/>
        </w:tabs>
        <w:spacing w:line="240" w:lineRule="auto"/>
        <w:rPr>
          <w:szCs w:val="22"/>
        </w:rPr>
      </w:pPr>
    </w:p>
    <w:p w14:paraId="749AFDA7" w14:textId="77777777" w:rsidR="001D17E8" w:rsidRPr="006D3BB7" w:rsidRDefault="00723D14" w:rsidP="001D17E8">
      <w:pPr>
        <w:keepNext/>
        <w:tabs>
          <w:tab w:val="clear" w:pos="567"/>
        </w:tabs>
        <w:spacing w:line="240" w:lineRule="auto"/>
        <w:rPr>
          <w:szCs w:val="22"/>
        </w:rPr>
      </w:pPr>
      <w:r w:rsidRPr="006D3BB7">
        <w:rPr>
          <w:szCs w:val="22"/>
        </w:rPr>
        <w:t xml:space="preserve">Bufomix Easyhaler </w:t>
      </w:r>
      <w:r>
        <w:rPr>
          <w:szCs w:val="22"/>
        </w:rPr>
        <w:t>80</w:t>
      </w:r>
      <w:r w:rsidRPr="00AF25A6">
        <w:rPr>
          <w:szCs w:val="22"/>
        </w:rPr>
        <w:t> mikro</w:t>
      </w:r>
      <w:r>
        <w:rPr>
          <w:szCs w:val="22"/>
        </w:rPr>
        <w:t>grami/4,5 mikrogrami inhalācijā</w:t>
      </w:r>
      <w:r w:rsidR="008904E5">
        <w:rPr>
          <w:szCs w:val="22"/>
        </w:rPr>
        <w:t> </w:t>
      </w:r>
      <w:r w:rsidRPr="006D3BB7">
        <w:rPr>
          <w:szCs w:val="22"/>
        </w:rPr>
        <w:t xml:space="preserve">indicēts </w:t>
      </w:r>
      <w:r w:rsidR="001D17E8" w:rsidRPr="006D3BB7">
        <w:rPr>
          <w:szCs w:val="22"/>
        </w:rPr>
        <w:t>regulārai astmas ārstēšanai gadījumos, kad kombinēta zāļu (inhalējamo kortikosteroīdu un ilgstošas darbības β</w:t>
      </w:r>
      <w:r w:rsidR="001D17E8" w:rsidRPr="006D3BB7">
        <w:rPr>
          <w:szCs w:val="22"/>
          <w:vertAlign w:val="subscript"/>
        </w:rPr>
        <w:t>2</w:t>
      </w:r>
      <w:r w:rsidR="001D17E8" w:rsidRPr="006D3BB7">
        <w:rPr>
          <w:szCs w:val="22"/>
        </w:rPr>
        <w:t>-adrenoreceptoru agonistu) lietošana ir piemērota:</w:t>
      </w:r>
    </w:p>
    <w:p w14:paraId="749AFDA8" w14:textId="77777777" w:rsidR="001D17E8" w:rsidRPr="006D3BB7" w:rsidRDefault="001D17E8" w:rsidP="001D17E8">
      <w:pPr>
        <w:keepNext/>
        <w:tabs>
          <w:tab w:val="clear" w:pos="567"/>
        </w:tabs>
        <w:spacing w:line="240" w:lineRule="auto"/>
        <w:rPr>
          <w:szCs w:val="22"/>
        </w:rPr>
      </w:pPr>
    </w:p>
    <w:p w14:paraId="749AFDA9" w14:textId="77777777" w:rsidR="001D17E8" w:rsidRPr="006D3BB7" w:rsidRDefault="001D17E8" w:rsidP="001D17E8">
      <w:pPr>
        <w:numPr>
          <w:ilvl w:val="0"/>
          <w:numId w:val="1"/>
        </w:numPr>
        <w:tabs>
          <w:tab w:val="clear" w:pos="567"/>
        </w:tabs>
        <w:spacing w:line="240" w:lineRule="auto"/>
        <w:ind w:left="567" w:hanging="567"/>
        <w:rPr>
          <w:szCs w:val="22"/>
        </w:rPr>
      </w:pPr>
      <w:r w:rsidRPr="006D3BB7">
        <w:rPr>
          <w:szCs w:val="22"/>
        </w:rPr>
        <w:t>pacientiem, k</w:t>
      </w:r>
      <w:r>
        <w:rPr>
          <w:szCs w:val="22"/>
        </w:rPr>
        <w:t>urie</w:t>
      </w:r>
      <w:r w:rsidRPr="006D3BB7">
        <w:rPr>
          <w:szCs w:val="22"/>
        </w:rPr>
        <w:t>m neizdodas astmas simptomus adekvāti novērst ar inhalējamiem kortikosteroīdiem un pēc vajadzības inhalējot īslaicīgas darbības β</w:t>
      </w:r>
      <w:r w:rsidRPr="006D3BB7">
        <w:rPr>
          <w:szCs w:val="22"/>
          <w:vertAlign w:val="subscript"/>
        </w:rPr>
        <w:t>2</w:t>
      </w:r>
      <w:r w:rsidRPr="006D3BB7">
        <w:rPr>
          <w:szCs w:val="22"/>
        </w:rPr>
        <w:t>-adrenoreceptoru agonistus,</w:t>
      </w:r>
    </w:p>
    <w:p w14:paraId="749AFDAA" w14:textId="77777777" w:rsidR="001D17E8" w:rsidRPr="006D3BB7" w:rsidRDefault="001D17E8" w:rsidP="001D17E8">
      <w:pPr>
        <w:tabs>
          <w:tab w:val="clear" w:pos="567"/>
        </w:tabs>
        <w:spacing w:line="240" w:lineRule="auto"/>
        <w:rPr>
          <w:szCs w:val="22"/>
        </w:rPr>
      </w:pPr>
      <w:r w:rsidRPr="006D3BB7">
        <w:rPr>
          <w:szCs w:val="22"/>
        </w:rPr>
        <w:t>vai</w:t>
      </w:r>
    </w:p>
    <w:p w14:paraId="749AFDAB" w14:textId="77777777" w:rsidR="001D17E8" w:rsidRPr="006D3BB7" w:rsidRDefault="001D17E8" w:rsidP="001D17E8">
      <w:pPr>
        <w:numPr>
          <w:ilvl w:val="0"/>
          <w:numId w:val="1"/>
        </w:numPr>
        <w:tabs>
          <w:tab w:val="clear" w:pos="567"/>
        </w:tabs>
        <w:spacing w:line="240" w:lineRule="auto"/>
        <w:ind w:left="567" w:hanging="567"/>
        <w:rPr>
          <w:szCs w:val="22"/>
        </w:rPr>
      </w:pPr>
      <w:r w:rsidRPr="006D3BB7">
        <w:rPr>
          <w:szCs w:val="22"/>
        </w:rPr>
        <w:t>pacientiem, k</w:t>
      </w:r>
      <w:r>
        <w:rPr>
          <w:szCs w:val="22"/>
        </w:rPr>
        <w:t>urie</w:t>
      </w:r>
      <w:r w:rsidRPr="006D3BB7">
        <w:rPr>
          <w:szCs w:val="22"/>
        </w:rPr>
        <w:t>m astmas simptomi jau tiek adekvāti novērsti, lietojot gan inhalējamos kortikosteroīdus, gan ilgstošas darbības β</w:t>
      </w:r>
      <w:r w:rsidRPr="006D3BB7">
        <w:rPr>
          <w:szCs w:val="22"/>
          <w:vertAlign w:val="subscript"/>
        </w:rPr>
        <w:t>2</w:t>
      </w:r>
      <w:r w:rsidRPr="006D3BB7">
        <w:rPr>
          <w:szCs w:val="22"/>
        </w:rPr>
        <w:t>-adrenoreceptoru agonistus.</w:t>
      </w:r>
    </w:p>
    <w:p w14:paraId="749AFDAC" w14:textId="77777777" w:rsidR="001D17E8" w:rsidRDefault="001D17E8" w:rsidP="001D17E8">
      <w:pPr>
        <w:tabs>
          <w:tab w:val="clear" w:pos="567"/>
        </w:tabs>
        <w:spacing w:line="240" w:lineRule="auto"/>
        <w:rPr>
          <w:szCs w:val="22"/>
        </w:rPr>
      </w:pPr>
    </w:p>
    <w:p w14:paraId="749AFDAD" w14:textId="77777777" w:rsidR="00723D14" w:rsidRDefault="00723D14" w:rsidP="001D17E8">
      <w:pPr>
        <w:tabs>
          <w:tab w:val="clear" w:pos="567"/>
        </w:tabs>
        <w:spacing w:line="240" w:lineRule="auto"/>
        <w:rPr>
          <w:szCs w:val="22"/>
        </w:rPr>
      </w:pPr>
      <w:r w:rsidRPr="00690376">
        <w:rPr>
          <w:b/>
          <w:szCs w:val="22"/>
        </w:rPr>
        <w:t>Piezīme:</w:t>
      </w:r>
      <w:r w:rsidR="008904E5">
        <w:rPr>
          <w:b/>
          <w:szCs w:val="22"/>
        </w:rPr>
        <w:t xml:space="preserve"> </w:t>
      </w:r>
      <w:r w:rsidR="00690376" w:rsidRPr="006D3BB7">
        <w:rPr>
          <w:szCs w:val="22"/>
        </w:rPr>
        <w:t xml:space="preserve">Bufomix Easyhaler </w:t>
      </w:r>
      <w:r w:rsidR="00690376">
        <w:rPr>
          <w:szCs w:val="22"/>
        </w:rPr>
        <w:t>80</w:t>
      </w:r>
      <w:r w:rsidR="00690376" w:rsidRPr="00AF25A6">
        <w:rPr>
          <w:szCs w:val="22"/>
        </w:rPr>
        <w:t> mikro</w:t>
      </w:r>
      <w:r w:rsidR="00690376">
        <w:rPr>
          <w:szCs w:val="22"/>
        </w:rPr>
        <w:t>grami/4,5 mikrogrami inhalācijā nav piemērots lietot pacientiem ar smagu astmu.</w:t>
      </w:r>
    </w:p>
    <w:p w14:paraId="749AFDAE" w14:textId="77777777" w:rsidR="00690376" w:rsidRPr="006D3BB7" w:rsidRDefault="00690376" w:rsidP="001D17E8">
      <w:pPr>
        <w:tabs>
          <w:tab w:val="clear" w:pos="567"/>
        </w:tabs>
        <w:spacing w:line="240" w:lineRule="auto"/>
        <w:rPr>
          <w:szCs w:val="22"/>
        </w:rPr>
      </w:pPr>
    </w:p>
    <w:p w14:paraId="749AFDAF" w14:textId="77777777" w:rsidR="001D17E8" w:rsidRPr="006D3BB7" w:rsidRDefault="001D17E8" w:rsidP="001D17E8">
      <w:pPr>
        <w:keepNext/>
        <w:tabs>
          <w:tab w:val="clear" w:pos="567"/>
        </w:tabs>
        <w:spacing w:line="240" w:lineRule="auto"/>
        <w:ind w:left="567" w:hanging="567"/>
        <w:rPr>
          <w:b/>
          <w:szCs w:val="22"/>
        </w:rPr>
      </w:pPr>
      <w:r w:rsidRPr="006D3BB7">
        <w:rPr>
          <w:b/>
          <w:szCs w:val="22"/>
        </w:rPr>
        <w:t>4.2.</w:t>
      </w:r>
      <w:r w:rsidRPr="006D3BB7">
        <w:rPr>
          <w:b/>
          <w:szCs w:val="22"/>
        </w:rPr>
        <w:tab/>
        <w:t>Devas un lietošanas veids</w:t>
      </w:r>
    </w:p>
    <w:p w14:paraId="749AFDB0" w14:textId="77777777" w:rsidR="001D17E8" w:rsidRPr="006D3BB7" w:rsidRDefault="001D17E8" w:rsidP="001D17E8">
      <w:pPr>
        <w:keepNext/>
        <w:tabs>
          <w:tab w:val="clear" w:pos="567"/>
        </w:tabs>
        <w:spacing w:line="240" w:lineRule="auto"/>
        <w:ind w:left="567" w:hanging="567"/>
        <w:rPr>
          <w:szCs w:val="22"/>
        </w:rPr>
      </w:pPr>
    </w:p>
    <w:p w14:paraId="749AFDB1" w14:textId="77777777" w:rsidR="001D17E8" w:rsidRPr="006D3BB7" w:rsidRDefault="001D17E8" w:rsidP="001D17E8">
      <w:pPr>
        <w:keepNext/>
        <w:tabs>
          <w:tab w:val="clear" w:pos="567"/>
        </w:tabs>
        <w:spacing w:line="240" w:lineRule="auto"/>
        <w:rPr>
          <w:szCs w:val="22"/>
          <w:u w:val="single"/>
        </w:rPr>
      </w:pPr>
      <w:r w:rsidRPr="006D3BB7">
        <w:rPr>
          <w:szCs w:val="22"/>
          <w:u w:val="single"/>
        </w:rPr>
        <w:t>Devas</w:t>
      </w:r>
    </w:p>
    <w:p w14:paraId="749AFDB2" w14:textId="77777777" w:rsidR="001D17E8" w:rsidRPr="006D3BB7" w:rsidRDefault="001D17E8" w:rsidP="001D17E8">
      <w:pPr>
        <w:keepNext/>
        <w:tabs>
          <w:tab w:val="clear" w:pos="567"/>
        </w:tabs>
        <w:spacing w:line="240" w:lineRule="auto"/>
        <w:rPr>
          <w:szCs w:val="22"/>
        </w:rPr>
      </w:pPr>
    </w:p>
    <w:p w14:paraId="749AFDB3" w14:textId="77777777" w:rsidR="001D17E8" w:rsidRPr="006D3BB7" w:rsidRDefault="001D17E8" w:rsidP="001D17E8">
      <w:pPr>
        <w:keepNext/>
        <w:tabs>
          <w:tab w:val="clear" w:pos="567"/>
        </w:tabs>
        <w:spacing w:line="240" w:lineRule="auto"/>
        <w:rPr>
          <w:b/>
          <w:szCs w:val="22"/>
        </w:rPr>
      </w:pPr>
      <w:r w:rsidRPr="006D3BB7">
        <w:rPr>
          <w:b/>
          <w:szCs w:val="22"/>
        </w:rPr>
        <w:t>Astma</w:t>
      </w:r>
    </w:p>
    <w:p w14:paraId="749AFDB4" w14:textId="77777777" w:rsidR="001D17E8" w:rsidRPr="006D3BB7" w:rsidRDefault="001D17E8" w:rsidP="001D17E8">
      <w:pPr>
        <w:tabs>
          <w:tab w:val="clear" w:pos="567"/>
        </w:tabs>
        <w:spacing w:line="240" w:lineRule="auto"/>
        <w:rPr>
          <w:szCs w:val="22"/>
        </w:rPr>
      </w:pPr>
      <w:r w:rsidRPr="006D3BB7">
        <w:rPr>
          <w:szCs w:val="22"/>
        </w:rPr>
        <w:t xml:space="preserve">Bufomix Easyhaler nav paredzēts astmas sākotnējai ārstēšanai. Bufomix Easyhaler sastāvdaļu devu nosaka individuāli, ņemot vērā slimības smagumu. Tas jāievēro, ne tikai sākot ārstēšanu </w:t>
      </w:r>
      <w:r w:rsidRPr="006D3BB7">
        <w:rPr>
          <w:szCs w:val="22"/>
        </w:rPr>
        <w:lastRenderedPageBreak/>
        <w:t>ar zāļu</w:t>
      </w:r>
      <w:r w:rsidR="008904E5">
        <w:rPr>
          <w:szCs w:val="22"/>
        </w:rPr>
        <w:t> </w:t>
      </w:r>
      <w:r w:rsidRPr="006D3BB7">
        <w:rPr>
          <w:szCs w:val="22"/>
        </w:rPr>
        <w:t>kombināciju, bet arī piemērojot pamata devu. Ja konkrētam pacientam nepieciešama cita devu kombinācija, nekā pieejama kombinācijas inhalatorā, jāordinē atbilstošas β</w:t>
      </w:r>
      <w:r w:rsidRPr="006D3BB7">
        <w:rPr>
          <w:szCs w:val="22"/>
          <w:vertAlign w:val="subscript"/>
        </w:rPr>
        <w:t>2</w:t>
      </w:r>
      <w:r w:rsidRPr="006D3BB7">
        <w:rPr>
          <w:szCs w:val="22"/>
        </w:rPr>
        <w:t>-adrenoreceptoru agonista un/vai kortikosteroīdu devas ar atsevišķiem inhalatoriem.</w:t>
      </w:r>
    </w:p>
    <w:p w14:paraId="749AFDB5" w14:textId="77777777" w:rsidR="001D17E8" w:rsidRPr="006D3BB7" w:rsidRDefault="001D17E8" w:rsidP="001D17E8">
      <w:pPr>
        <w:tabs>
          <w:tab w:val="clear" w:pos="567"/>
        </w:tabs>
        <w:spacing w:line="240" w:lineRule="auto"/>
        <w:rPr>
          <w:szCs w:val="22"/>
        </w:rPr>
      </w:pPr>
    </w:p>
    <w:p w14:paraId="749AFDB6" w14:textId="77777777" w:rsidR="001D17E8" w:rsidRDefault="001D17E8" w:rsidP="001D17E8">
      <w:pPr>
        <w:tabs>
          <w:tab w:val="clear" w:pos="567"/>
        </w:tabs>
        <w:spacing w:line="240" w:lineRule="auto"/>
        <w:rPr>
          <w:szCs w:val="22"/>
        </w:rPr>
      </w:pPr>
      <w:r w:rsidRPr="006D3BB7">
        <w:rPr>
          <w:szCs w:val="22"/>
        </w:rPr>
        <w:t>Deva jāsamazina līdz mazākai devai, kas efektīvi novērš astmas simptomus. Pacientam regulāri jākonsultējas ar ārstu vai veselības aprūpes speciālistu, lai saglabātu optimālu Bufomix Easyhaler devu. Tiklīdz sasniegta ilgstoša simptomu kontrole ar vis</w:t>
      </w:r>
      <w:r>
        <w:rPr>
          <w:szCs w:val="22"/>
        </w:rPr>
        <w:t>mazāko</w:t>
      </w:r>
      <w:r w:rsidRPr="006D3BB7">
        <w:rPr>
          <w:szCs w:val="22"/>
        </w:rPr>
        <w:t xml:space="preserve"> ieteicamo devu, nākamais solis var ietvert mēģinājumu lietot inhalējamu kortikosteroīdu vienu pašu.</w:t>
      </w:r>
    </w:p>
    <w:p w14:paraId="749AFDB7" w14:textId="77777777" w:rsidR="001D17E8" w:rsidRDefault="001D17E8" w:rsidP="001D17E8">
      <w:pPr>
        <w:tabs>
          <w:tab w:val="clear" w:pos="567"/>
        </w:tabs>
        <w:spacing w:line="240" w:lineRule="auto"/>
        <w:rPr>
          <w:szCs w:val="22"/>
        </w:rPr>
      </w:pPr>
    </w:p>
    <w:p w14:paraId="749AFDB8" w14:textId="77777777" w:rsidR="001D17E8" w:rsidRPr="00967DED" w:rsidRDefault="001D17E8" w:rsidP="001D17E8">
      <w:pPr>
        <w:keepNext/>
        <w:tabs>
          <w:tab w:val="clear" w:pos="567"/>
        </w:tabs>
        <w:spacing w:line="240" w:lineRule="auto"/>
        <w:rPr>
          <w:szCs w:val="22"/>
        </w:rPr>
      </w:pPr>
      <w:r w:rsidRPr="00967DED">
        <w:rPr>
          <w:szCs w:val="22"/>
        </w:rPr>
        <w:t>Pastāv divi ārstēšanas veidi ar Bufomix Easyhaler:</w:t>
      </w:r>
    </w:p>
    <w:p w14:paraId="749AFDB9" w14:textId="77777777" w:rsidR="001D17E8" w:rsidRPr="00967DED" w:rsidRDefault="001D17E8" w:rsidP="001D17E8">
      <w:pPr>
        <w:keepNext/>
        <w:tabs>
          <w:tab w:val="clear" w:pos="567"/>
        </w:tabs>
        <w:spacing w:line="240" w:lineRule="auto"/>
        <w:rPr>
          <w:b/>
          <w:szCs w:val="22"/>
        </w:rPr>
      </w:pPr>
    </w:p>
    <w:p w14:paraId="749AFDBA" w14:textId="77777777" w:rsidR="001D17E8" w:rsidRPr="00967DED" w:rsidRDefault="001D17E8" w:rsidP="001D17E8">
      <w:pPr>
        <w:numPr>
          <w:ilvl w:val="0"/>
          <w:numId w:val="3"/>
        </w:numPr>
        <w:tabs>
          <w:tab w:val="clear" w:pos="567"/>
        </w:tabs>
        <w:spacing w:line="240" w:lineRule="auto"/>
        <w:ind w:left="567" w:hanging="567"/>
        <w:rPr>
          <w:szCs w:val="22"/>
        </w:rPr>
      </w:pPr>
      <w:r w:rsidRPr="00967DED">
        <w:rPr>
          <w:b/>
          <w:szCs w:val="22"/>
        </w:rPr>
        <w:t>pamata terapija:</w:t>
      </w:r>
      <w:r w:rsidRPr="00967DED">
        <w:rPr>
          <w:szCs w:val="22"/>
        </w:rPr>
        <w:t xml:space="preserve"> Bufomix Easyhaler tiek lietots kā regulāra pamata tera</w:t>
      </w:r>
      <w:r>
        <w:rPr>
          <w:szCs w:val="22"/>
        </w:rPr>
        <w:t>p</w:t>
      </w:r>
      <w:r w:rsidRPr="00967DED">
        <w:rPr>
          <w:szCs w:val="22"/>
        </w:rPr>
        <w:t>ija ar atsevišķu ātras darbības bronhodilatatoru kā glābšanas terapiju.</w:t>
      </w:r>
    </w:p>
    <w:p w14:paraId="749AFDBB" w14:textId="77777777" w:rsidR="001D17E8" w:rsidRPr="00967DED" w:rsidRDefault="001D17E8" w:rsidP="001D17E8">
      <w:pPr>
        <w:tabs>
          <w:tab w:val="clear" w:pos="567"/>
        </w:tabs>
        <w:spacing w:line="240" w:lineRule="auto"/>
        <w:rPr>
          <w:szCs w:val="22"/>
        </w:rPr>
      </w:pPr>
    </w:p>
    <w:p w14:paraId="749AFDBC" w14:textId="77777777" w:rsidR="001D17E8" w:rsidRPr="00967DED" w:rsidRDefault="001D17E8" w:rsidP="001D17E8">
      <w:pPr>
        <w:numPr>
          <w:ilvl w:val="0"/>
          <w:numId w:val="3"/>
        </w:numPr>
        <w:tabs>
          <w:tab w:val="clear" w:pos="567"/>
        </w:tabs>
        <w:spacing w:line="240" w:lineRule="auto"/>
        <w:ind w:left="567" w:hanging="567"/>
        <w:rPr>
          <w:szCs w:val="22"/>
        </w:rPr>
      </w:pPr>
      <w:r w:rsidRPr="00967DED">
        <w:rPr>
          <w:b/>
          <w:szCs w:val="22"/>
        </w:rPr>
        <w:t xml:space="preserve">pamata un simptomu novēršanas terapija: </w:t>
      </w:r>
      <w:r w:rsidRPr="00967DED">
        <w:rPr>
          <w:szCs w:val="22"/>
        </w:rPr>
        <w:t>Bufomix Easyhaler tiek lietots kā regulāra pamata terapija un pēc nepieciešamības, rodoties simptomiem.</w:t>
      </w:r>
    </w:p>
    <w:p w14:paraId="749AFDBD" w14:textId="77777777" w:rsidR="001D17E8" w:rsidRPr="00967DED" w:rsidRDefault="001D17E8" w:rsidP="001D17E8">
      <w:pPr>
        <w:tabs>
          <w:tab w:val="clear" w:pos="567"/>
        </w:tabs>
        <w:spacing w:line="240" w:lineRule="auto"/>
        <w:rPr>
          <w:szCs w:val="22"/>
        </w:rPr>
      </w:pPr>
    </w:p>
    <w:p w14:paraId="749AFDBE" w14:textId="77777777" w:rsidR="001D17E8" w:rsidRPr="00967DED" w:rsidRDefault="001D17E8" w:rsidP="001D17E8">
      <w:pPr>
        <w:keepNext/>
        <w:numPr>
          <w:ilvl w:val="0"/>
          <w:numId w:val="4"/>
        </w:numPr>
        <w:tabs>
          <w:tab w:val="clear" w:pos="567"/>
        </w:tabs>
        <w:spacing w:line="240" w:lineRule="auto"/>
        <w:ind w:left="284" w:hanging="284"/>
        <w:rPr>
          <w:b/>
          <w:szCs w:val="22"/>
          <w:u w:val="single"/>
        </w:rPr>
      </w:pPr>
      <w:r w:rsidRPr="00967DED">
        <w:rPr>
          <w:b/>
          <w:szCs w:val="22"/>
          <w:u w:val="single"/>
        </w:rPr>
        <w:t>pamata terapija</w:t>
      </w:r>
    </w:p>
    <w:p w14:paraId="749AFDBF" w14:textId="77777777" w:rsidR="001D17E8" w:rsidRPr="00BF1FC9" w:rsidRDefault="001D17E8" w:rsidP="001D17E8">
      <w:pPr>
        <w:tabs>
          <w:tab w:val="clear" w:pos="567"/>
        </w:tabs>
        <w:spacing w:line="240" w:lineRule="auto"/>
        <w:rPr>
          <w:szCs w:val="22"/>
        </w:rPr>
      </w:pPr>
      <w:r w:rsidRPr="00BF1FC9">
        <w:rPr>
          <w:szCs w:val="22"/>
        </w:rPr>
        <w:t>Ieteicams, lai pacientiem vienmēr būtu pieejams atsevišķs ātras darbības bronhodilatators kā glābējzāles.</w:t>
      </w:r>
    </w:p>
    <w:p w14:paraId="749AFDC0" w14:textId="77777777" w:rsidR="001D17E8" w:rsidRPr="00BF1FC9" w:rsidRDefault="001D17E8" w:rsidP="001D17E8">
      <w:pPr>
        <w:tabs>
          <w:tab w:val="clear" w:pos="567"/>
        </w:tabs>
        <w:spacing w:line="240" w:lineRule="auto"/>
        <w:rPr>
          <w:szCs w:val="22"/>
        </w:rPr>
      </w:pPr>
    </w:p>
    <w:p w14:paraId="749AFDC1" w14:textId="77777777" w:rsidR="001D17E8" w:rsidRPr="00BF1FC9" w:rsidRDefault="001D17E8" w:rsidP="001D17E8">
      <w:pPr>
        <w:keepNext/>
        <w:tabs>
          <w:tab w:val="clear" w:pos="567"/>
        </w:tabs>
        <w:spacing w:line="240" w:lineRule="auto"/>
        <w:rPr>
          <w:i/>
          <w:szCs w:val="22"/>
        </w:rPr>
      </w:pPr>
      <w:r w:rsidRPr="00BF1FC9">
        <w:rPr>
          <w:i/>
          <w:szCs w:val="22"/>
        </w:rPr>
        <w:t>Ieteicamās devas</w:t>
      </w:r>
    </w:p>
    <w:p w14:paraId="749AFDC2" w14:textId="77777777" w:rsidR="001D17E8" w:rsidRPr="00BF1FC9" w:rsidRDefault="001D17E8" w:rsidP="001D17E8">
      <w:pPr>
        <w:tabs>
          <w:tab w:val="clear" w:pos="567"/>
        </w:tabs>
        <w:spacing w:line="240" w:lineRule="auto"/>
        <w:rPr>
          <w:szCs w:val="22"/>
        </w:rPr>
      </w:pPr>
      <w:r w:rsidRPr="00BF1FC9">
        <w:rPr>
          <w:i/>
          <w:szCs w:val="22"/>
        </w:rPr>
        <w:t>Pieaugušie (18 gadus veci un vecāki):</w:t>
      </w:r>
      <w:r w:rsidRPr="00BF1FC9">
        <w:rPr>
          <w:szCs w:val="22"/>
        </w:rPr>
        <w:t xml:space="preserve"> 1-2 inhalācijas divas reizes dienā. Dažiem pacientiem var būt nepieciešamas palielināt devu maksimāli līdz 4 inhalācijām divas reizes dienā.</w:t>
      </w:r>
    </w:p>
    <w:p w14:paraId="749AFDC3" w14:textId="77777777" w:rsidR="001D17E8" w:rsidRPr="00BF1FC9" w:rsidRDefault="001D17E8" w:rsidP="001D17E8">
      <w:pPr>
        <w:tabs>
          <w:tab w:val="clear" w:pos="567"/>
        </w:tabs>
        <w:spacing w:line="240" w:lineRule="auto"/>
        <w:rPr>
          <w:szCs w:val="22"/>
        </w:rPr>
      </w:pPr>
    </w:p>
    <w:p w14:paraId="749AFDC4" w14:textId="77777777" w:rsidR="001D17E8" w:rsidRPr="00BF1FC9" w:rsidRDefault="001D17E8" w:rsidP="001D17E8">
      <w:pPr>
        <w:tabs>
          <w:tab w:val="clear" w:pos="567"/>
        </w:tabs>
        <w:spacing w:line="240" w:lineRule="auto"/>
        <w:rPr>
          <w:szCs w:val="22"/>
        </w:rPr>
      </w:pPr>
      <w:r w:rsidRPr="00BF1FC9">
        <w:rPr>
          <w:i/>
          <w:szCs w:val="22"/>
        </w:rPr>
        <w:t>Pusaudži (12-17 gadus veci):</w:t>
      </w:r>
      <w:r w:rsidRPr="00BF1FC9">
        <w:rPr>
          <w:szCs w:val="22"/>
        </w:rPr>
        <w:t xml:space="preserve"> 1-2 inhalācijas divas reizes dienā.</w:t>
      </w:r>
    </w:p>
    <w:p w14:paraId="749AFDC5" w14:textId="77777777" w:rsidR="001D17E8" w:rsidRPr="00BF1FC9" w:rsidRDefault="001D17E8" w:rsidP="001D17E8">
      <w:pPr>
        <w:tabs>
          <w:tab w:val="clear" w:pos="567"/>
        </w:tabs>
        <w:spacing w:line="240" w:lineRule="auto"/>
        <w:rPr>
          <w:szCs w:val="22"/>
        </w:rPr>
      </w:pPr>
    </w:p>
    <w:p w14:paraId="749AFDC6" w14:textId="77777777" w:rsidR="001D17E8" w:rsidRDefault="00690376" w:rsidP="001D17E8">
      <w:pPr>
        <w:tabs>
          <w:tab w:val="clear" w:pos="567"/>
        </w:tabs>
        <w:spacing w:line="240" w:lineRule="auto"/>
        <w:rPr>
          <w:szCs w:val="22"/>
        </w:rPr>
      </w:pPr>
      <w:r>
        <w:rPr>
          <w:i/>
          <w:szCs w:val="22"/>
        </w:rPr>
        <w:t>Bērni (6 gadus un vecāki)</w:t>
      </w:r>
      <w:r w:rsidR="001D17E8" w:rsidRPr="00BF1FC9">
        <w:rPr>
          <w:i/>
          <w:szCs w:val="22"/>
        </w:rPr>
        <w:t>:</w:t>
      </w:r>
      <w:r w:rsidRPr="00BF1FC9">
        <w:rPr>
          <w:szCs w:val="22"/>
        </w:rPr>
        <w:t>2 inhalācijas divas reizes dienā</w:t>
      </w:r>
      <w:r>
        <w:rPr>
          <w:szCs w:val="22"/>
        </w:rPr>
        <w:t>.</w:t>
      </w:r>
    </w:p>
    <w:p w14:paraId="749AFDC7" w14:textId="77777777" w:rsidR="00690376" w:rsidRPr="00BF1FC9" w:rsidRDefault="00690376" w:rsidP="001D17E8">
      <w:pPr>
        <w:tabs>
          <w:tab w:val="clear" w:pos="567"/>
        </w:tabs>
        <w:spacing w:line="240" w:lineRule="auto"/>
        <w:rPr>
          <w:szCs w:val="22"/>
        </w:rPr>
      </w:pPr>
    </w:p>
    <w:p w14:paraId="749AFDC8" w14:textId="77777777" w:rsidR="001D17E8" w:rsidRPr="00BF1FC9" w:rsidRDefault="001D17E8" w:rsidP="001D17E8">
      <w:pPr>
        <w:tabs>
          <w:tab w:val="clear" w:pos="567"/>
        </w:tabs>
        <w:spacing w:line="240" w:lineRule="auto"/>
        <w:rPr>
          <w:szCs w:val="22"/>
        </w:rPr>
      </w:pPr>
      <w:r w:rsidRPr="00BF1FC9">
        <w:rPr>
          <w:szCs w:val="22"/>
        </w:rPr>
        <w:t>Parasti praksē, ja astmas simptomi tiek novērsti, lietojot zāles divas reizes dienā, pārejot uz mazāko efektīvo devu</w:t>
      </w:r>
      <w:r w:rsidR="00740BCD">
        <w:rPr>
          <w:szCs w:val="22"/>
        </w:rPr>
        <w:t>,</w:t>
      </w:r>
      <w:r w:rsidRPr="00BF1FC9">
        <w:rPr>
          <w:szCs w:val="22"/>
        </w:rPr>
        <w:t xml:space="preserve"> Bufomix Easyhaler var nozīmēt vienu reizi dienā kā mazāko efektīvo devu, ja ārsts uzskata, ka astmas kontroles saglabāšanai nepieciešama terapija ar ilgstošas darbības bronhodilatatoru</w:t>
      </w:r>
      <w:r w:rsidR="00580E46">
        <w:rPr>
          <w:szCs w:val="22"/>
        </w:rPr>
        <w:t xml:space="preserve"> kombinācijā ar inhalējamu kortikosteroīdu</w:t>
      </w:r>
      <w:r w:rsidRPr="00BF1FC9">
        <w:rPr>
          <w:szCs w:val="22"/>
        </w:rPr>
        <w:t>.</w:t>
      </w:r>
    </w:p>
    <w:p w14:paraId="749AFDC9" w14:textId="77777777" w:rsidR="001D17E8" w:rsidRPr="00BF1FC9" w:rsidRDefault="001D17E8" w:rsidP="001D17E8">
      <w:pPr>
        <w:tabs>
          <w:tab w:val="clear" w:pos="567"/>
        </w:tabs>
        <w:spacing w:line="240" w:lineRule="auto"/>
        <w:rPr>
          <w:szCs w:val="22"/>
        </w:rPr>
      </w:pPr>
    </w:p>
    <w:p w14:paraId="749AFDCA" w14:textId="77777777" w:rsidR="001D17E8" w:rsidRDefault="001D17E8" w:rsidP="001D17E8">
      <w:pPr>
        <w:tabs>
          <w:tab w:val="clear" w:pos="567"/>
        </w:tabs>
        <w:spacing w:line="240" w:lineRule="auto"/>
        <w:rPr>
          <w:szCs w:val="22"/>
        </w:rPr>
      </w:pPr>
      <w:r w:rsidRPr="00BF1FC9">
        <w:rPr>
          <w:szCs w:val="22"/>
        </w:rPr>
        <w:t>Ja pastiprināti jālieto atsevišķs ātras darbības bronhodilatators, tas norāda uz stāvokļa pasliktināšanos, kā dēļ nepieciešama astmas terapijas pārskatīšana.</w:t>
      </w:r>
    </w:p>
    <w:p w14:paraId="749AFDCB" w14:textId="77777777" w:rsidR="00690376" w:rsidRDefault="00690376" w:rsidP="001D17E8">
      <w:pPr>
        <w:tabs>
          <w:tab w:val="clear" w:pos="567"/>
        </w:tabs>
        <w:spacing w:line="240" w:lineRule="auto"/>
        <w:rPr>
          <w:szCs w:val="22"/>
        </w:rPr>
      </w:pPr>
    </w:p>
    <w:p w14:paraId="749AFDCC" w14:textId="77777777" w:rsidR="00690376" w:rsidRDefault="00690376" w:rsidP="001D17E8">
      <w:pPr>
        <w:tabs>
          <w:tab w:val="clear" w:pos="567"/>
        </w:tabs>
        <w:spacing w:line="240" w:lineRule="auto"/>
        <w:rPr>
          <w:szCs w:val="22"/>
        </w:rPr>
      </w:pPr>
      <w:r w:rsidRPr="00690376">
        <w:rPr>
          <w:i/>
          <w:szCs w:val="22"/>
        </w:rPr>
        <w:t>Bērni līdz 6 gadu vecumam</w:t>
      </w:r>
      <w:r w:rsidRPr="00690376">
        <w:rPr>
          <w:szCs w:val="22"/>
        </w:rPr>
        <w:t xml:space="preserve">: </w:t>
      </w:r>
      <w:r w:rsidR="009E199B">
        <w:rPr>
          <w:szCs w:val="22"/>
        </w:rPr>
        <w:t>t</w:t>
      </w:r>
      <w:r w:rsidR="009E199B" w:rsidRPr="00690376">
        <w:rPr>
          <w:szCs w:val="22"/>
        </w:rPr>
        <w:t xml:space="preserve">ā </w:t>
      </w:r>
      <w:r w:rsidRPr="00690376">
        <w:rPr>
          <w:szCs w:val="22"/>
        </w:rPr>
        <w:t>kā ir pieejami tikai ierobežoti</w:t>
      </w:r>
      <w:r>
        <w:rPr>
          <w:szCs w:val="22"/>
        </w:rPr>
        <w:t xml:space="preserve"> dati</w:t>
      </w:r>
      <w:r w:rsidRPr="00690376">
        <w:rPr>
          <w:szCs w:val="22"/>
        </w:rPr>
        <w:t xml:space="preserve">, Bufomix Easyhaler </w:t>
      </w:r>
      <w:r>
        <w:rPr>
          <w:szCs w:val="22"/>
        </w:rPr>
        <w:t>80</w:t>
      </w:r>
      <w:r w:rsidRPr="00AF25A6">
        <w:rPr>
          <w:szCs w:val="22"/>
        </w:rPr>
        <w:t> mikro</w:t>
      </w:r>
      <w:r>
        <w:rPr>
          <w:szCs w:val="22"/>
        </w:rPr>
        <w:t>grami/4,5 mikrogrami inhalācijā</w:t>
      </w:r>
      <w:r w:rsidRPr="00690376">
        <w:rPr>
          <w:szCs w:val="22"/>
        </w:rPr>
        <w:t xml:space="preserve"> nav ieteicam</w:t>
      </w:r>
      <w:r>
        <w:rPr>
          <w:szCs w:val="22"/>
        </w:rPr>
        <w:t>s</w:t>
      </w:r>
      <w:r w:rsidRPr="00690376">
        <w:rPr>
          <w:szCs w:val="22"/>
        </w:rPr>
        <w:t xml:space="preserve"> bērniem, kas jaunāki par 6 gadiem.</w:t>
      </w:r>
    </w:p>
    <w:p w14:paraId="749AFDCD" w14:textId="77777777" w:rsidR="001D17E8" w:rsidRDefault="001D17E8" w:rsidP="001D17E8">
      <w:pPr>
        <w:tabs>
          <w:tab w:val="clear" w:pos="567"/>
        </w:tabs>
        <w:spacing w:line="240" w:lineRule="auto"/>
        <w:rPr>
          <w:szCs w:val="22"/>
        </w:rPr>
      </w:pPr>
    </w:p>
    <w:p w14:paraId="749AFDCE" w14:textId="77777777" w:rsidR="001D17E8" w:rsidRPr="0022326A" w:rsidRDefault="001D17E8" w:rsidP="001D17E8">
      <w:pPr>
        <w:keepNext/>
        <w:numPr>
          <w:ilvl w:val="0"/>
          <w:numId w:val="4"/>
        </w:numPr>
        <w:tabs>
          <w:tab w:val="clear" w:pos="567"/>
        </w:tabs>
        <w:spacing w:line="240" w:lineRule="auto"/>
        <w:ind w:left="284" w:hanging="284"/>
        <w:rPr>
          <w:b/>
          <w:szCs w:val="22"/>
        </w:rPr>
      </w:pPr>
      <w:r w:rsidRPr="0022326A">
        <w:rPr>
          <w:b/>
          <w:szCs w:val="22"/>
          <w:u w:val="single"/>
        </w:rPr>
        <w:t>pamata un simptomu novēršanas terapija</w:t>
      </w:r>
    </w:p>
    <w:p w14:paraId="749AFDCF" w14:textId="77777777" w:rsidR="001D17E8" w:rsidRPr="0022326A" w:rsidRDefault="001D17E8" w:rsidP="001D17E8">
      <w:pPr>
        <w:tabs>
          <w:tab w:val="clear" w:pos="567"/>
        </w:tabs>
        <w:spacing w:line="240" w:lineRule="auto"/>
        <w:rPr>
          <w:szCs w:val="22"/>
        </w:rPr>
      </w:pPr>
      <w:r w:rsidRPr="0022326A">
        <w:rPr>
          <w:szCs w:val="22"/>
        </w:rPr>
        <w:t>Pacienti lieto ikdienas Bufomix Easyhaler pamata devu un papildus Bufomix Easyhaler pēc vajadzības, parādoties astmas simptomiem. Pacientiem jāiesaka, lai Bufomix Easyhaler vienmēr būtu pieejams glābšanas terapijai.</w:t>
      </w:r>
    </w:p>
    <w:p w14:paraId="749AFDD0" w14:textId="77777777" w:rsidR="001D17E8" w:rsidRPr="0022326A" w:rsidRDefault="001D17E8" w:rsidP="001D17E8">
      <w:pPr>
        <w:tabs>
          <w:tab w:val="clear" w:pos="567"/>
        </w:tabs>
        <w:spacing w:line="240" w:lineRule="auto"/>
        <w:rPr>
          <w:szCs w:val="22"/>
        </w:rPr>
      </w:pPr>
    </w:p>
    <w:p w14:paraId="749AFDD1" w14:textId="77777777" w:rsidR="001D17E8" w:rsidRPr="0022326A" w:rsidRDefault="00690376" w:rsidP="001D17E8">
      <w:pPr>
        <w:pStyle w:val="Default"/>
        <w:rPr>
          <w:sz w:val="22"/>
          <w:szCs w:val="22"/>
          <w:lang w:val="lv-LV"/>
        </w:rPr>
      </w:pPr>
      <w:r>
        <w:rPr>
          <w:sz w:val="22"/>
          <w:szCs w:val="22"/>
          <w:lang w:val="lv-LV"/>
        </w:rPr>
        <w:t>P</w:t>
      </w:r>
      <w:r w:rsidR="001D17E8" w:rsidRPr="0022326A">
        <w:rPr>
          <w:sz w:val="22"/>
          <w:szCs w:val="22"/>
          <w:lang w:val="lv-LV"/>
        </w:rPr>
        <w:t>amata terapija un simptomu novēršanas terapija ir īpaši jāapsver</w:t>
      </w:r>
      <w:r w:rsidR="001D17E8">
        <w:rPr>
          <w:sz w:val="22"/>
          <w:szCs w:val="22"/>
          <w:lang w:val="lv-LV"/>
        </w:rPr>
        <w:t xml:space="preserve"> pacientiem ar:</w:t>
      </w:r>
    </w:p>
    <w:p w14:paraId="749AFDD2" w14:textId="77777777" w:rsidR="001D17E8" w:rsidRPr="0022326A" w:rsidRDefault="001D17E8" w:rsidP="001D17E8">
      <w:pPr>
        <w:pStyle w:val="Default"/>
        <w:keepNext/>
        <w:numPr>
          <w:ilvl w:val="0"/>
          <w:numId w:val="2"/>
        </w:numPr>
        <w:rPr>
          <w:sz w:val="22"/>
          <w:szCs w:val="22"/>
          <w:lang w:val="lv-LV"/>
        </w:rPr>
      </w:pPr>
      <w:r w:rsidRPr="0022326A">
        <w:rPr>
          <w:sz w:val="22"/>
          <w:szCs w:val="22"/>
          <w:lang w:val="lv-LV"/>
        </w:rPr>
        <w:t>nepietiekamu astmas kontroli, kam regulāri jālieto papildus medikamenti;</w:t>
      </w:r>
    </w:p>
    <w:p w14:paraId="749AFDD3" w14:textId="77777777" w:rsidR="001D17E8" w:rsidRPr="0022326A" w:rsidRDefault="001D17E8" w:rsidP="001D17E8">
      <w:pPr>
        <w:pStyle w:val="Default"/>
        <w:numPr>
          <w:ilvl w:val="0"/>
          <w:numId w:val="2"/>
        </w:numPr>
        <w:rPr>
          <w:sz w:val="22"/>
          <w:szCs w:val="22"/>
          <w:lang w:val="lv-LV"/>
        </w:rPr>
      </w:pPr>
      <w:r w:rsidRPr="0022326A">
        <w:rPr>
          <w:sz w:val="22"/>
          <w:szCs w:val="22"/>
          <w:lang w:val="lv-LV"/>
        </w:rPr>
        <w:t>ar astmas paasinājumiem pagātnē, kuru novēršanai bija nepieciešama medicīniskā iejaukšanās</w:t>
      </w:r>
      <w:r>
        <w:rPr>
          <w:sz w:val="22"/>
          <w:szCs w:val="22"/>
          <w:lang w:val="lv-LV"/>
        </w:rPr>
        <w:t>.</w:t>
      </w:r>
    </w:p>
    <w:p w14:paraId="749AFDD4" w14:textId="77777777" w:rsidR="001D17E8" w:rsidRPr="0022326A" w:rsidRDefault="001D17E8" w:rsidP="001D17E8">
      <w:pPr>
        <w:pStyle w:val="Default"/>
        <w:rPr>
          <w:sz w:val="22"/>
          <w:szCs w:val="22"/>
          <w:lang w:val="lv-LV"/>
        </w:rPr>
      </w:pPr>
    </w:p>
    <w:p w14:paraId="749AFDD5" w14:textId="77777777" w:rsidR="001D17E8" w:rsidRDefault="001D17E8" w:rsidP="001D17E8">
      <w:pPr>
        <w:tabs>
          <w:tab w:val="clear" w:pos="567"/>
        </w:tabs>
        <w:spacing w:line="240" w:lineRule="auto"/>
        <w:rPr>
          <w:szCs w:val="22"/>
        </w:rPr>
      </w:pPr>
      <w:r w:rsidRPr="0022326A">
        <w:rPr>
          <w:szCs w:val="22"/>
        </w:rPr>
        <w:t>Pacientiem, kuri papildus pamata terapijai bieži lieto lielu daudzumu Bufomix Easyhaler inhalācijas pēc vajadzības, ieteicama rūpīga novērošana saistībā ar devu saistītām iespējamām blakusparādībām.</w:t>
      </w:r>
    </w:p>
    <w:p w14:paraId="749AFDD6" w14:textId="77777777" w:rsidR="001D17E8" w:rsidRDefault="001D17E8" w:rsidP="001D17E8">
      <w:pPr>
        <w:tabs>
          <w:tab w:val="clear" w:pos="567"/>
        </w:tabs>
        <w:spacing w:line="240" w:lineRule="auto"/>
        <w:rPr>
          <w:szCs w:val="22"/>
        </w:rPr>
      </w:pPr>
    </w:p>
    <w:p w14:paraId="749AFDD7" w14:textId="77777777" w:rsidR="001D17E8" w:rsidRPr="0022326A" w:rsidRDefault="001D17E8" w:rsidP="001D17E8">
      <w:pPr>
        <w:pStyle w:val="Default"/>
        <w:keepNext/>
        <w:rPr>
          <w:sz w:val="22"/>
          <w:szCs w:val="22"/>
          <w:lang w:val="lv-LV"/>
        </w:rPr>
      </w:pPr>
      <w:r w:rsidRPr="0022326A">
        <w:rPr>
          <w:i/>
          <w:iCs/>
          <w:sz w:val="22"/>
          <w:szCs w:val="22"/>
          <w:lang w:val="lv-LV"/>
        </w:rPr>
        <w:lastRenderedPageBreak/>
        <w:t>Ieteicamās devas</w:t>
      </w:r>
    </w:p>
    <w:p w14:paraId="749AFDD8" w14:textId="77777777" w:rsidR="001D17E8" w:rsidRPr="0022326A" w:rsidRDefault="001D17E8" w:rsidP="001D17E8">
      <w:pPr>
        <w:pStyle w:val="Default"/>
        <w:rPr>
          <w:sz w:val="22"/>
          <w:szCs w:val="22"/>
          <w:lang w:val="lv-LV"/>
        </w:rPr>
      </w:pPr>
      <w:r w:rsidRPr="0022326A">
        <w:rPr>
          <w:i/>
          <w:iCs/>
          <w:sz w:val="22"/>
          <w:szCs w:val="22"/>
          <w:lang w:val="lv-LV"/>
        </w:rPr>
        <w:t>Pieaugušie</w:t>
      </w:r>
      <w:r w:rsidR="007C3A65">
        <w:rPr>
          <w:i/>
          <w:iCs/>
          <w:sz w:val="22"/>
          <w:szCs w:val="22"/>
          <w:lang w:val="lv-LV"/>
        </w:rPr>
        <w:t xml:space="preserve"> un pusaudži</w:t>
      </w:r>
      <w:r w:rsidRPr="0022326A">
        <w:rPr>
          <w:i/>
          <w:iCs/>
          <w:sz w:val="22"/>
          <w:szCs w:val="22"/>
          <w:lang w:val="lv-LV"/>
        </w:rPr>
        <w:t xml:space="preserve"> (1</w:t>
      </w:r>
      <w:r w:rsidR="007C3A65">
        <w:rPr>
          <w:i/>
          <w:iCs/>
          <w:sz w:val="22"/>
          <w:szCs w:val="22"/>
          <w:lang w:val="lv-LV"/>
        </w:rPr>
        <w:t>2</w:t>
      </w:r>
      <w:r w:rsidR="0059037C">
        <w:rPr>
          <w:i/>
          <w:iCs/>
          <w:sz w:val="22"/>
          <w:szCs w:val="22"/>
          <w:lang w:val="lv-LV"/>
        </w:rPr>
        <w:t> </w:t>
      </w:r>
      <w:r w:rsidRPr="0022326A">
        <w:rPr>
          <w:i/>
          <w:iCs/>
          <w:sz w:val="22"/>
          <w:szCs w:val="22"/>
          <w:lang w:val="lv-LV"/>
        </w:rPr>
        <w:t xml:space="preserve">gadus veci un vecāki): </w:t>
      </w:r>
      <w:r w:rsidRPr="0022326A">
        <w:rPr>
          <w:sz w:val="22"/>
          <w:szCs w:val="22"/>
          <w:lang w:val="lv-LV"/>
        </w:rPr>
        <w:t xml:space="preserve">ieteicamā pamatdeva ir 2 inhalācijas dienā, veicot vienu inhalāciju no rīta un vienu vakarā vai 2 inhalācijas no rīta vai vakarā. </w:t>
      </w:r>
    </w:p>
    <w:p w14:paraId="749AFDD9" w14:textId="77777777" w:rsidR="001D17E8" w:rsidRPr="0022326A" w:rsidRDefault="001D17E8" w:rsidP="001D17E8">
      <w:pPr>
        <w:pStyle w:val="Default"/>
        <w:rPr>
          <w:sz w:val="22"/>
          <w:szCs w:val="22"/>
          <w:lang w:val="lv-LV"/>
        </w:rPr>
      </w:pPr>
      <w:r w:rsidRPr="0022326A">
        <w:rPr>
          <w:sz w:val="22"/>
          <w:szCs w:val="22"/>
          <w:lang w:val="lv-LV"/>
        </w:rPr>
        <w:t>Pacientiem jālieto 1 papildus inhalācija pēc vajadzības simptomu gadījumā. Ja simptomi turpinās pēc dažām minūtēm, jālieto vēl viena papildus inhalācija. Vienā reizē nedrīkst lietot vairāk par 6 </w:t>
      </w:r>
      <w:r>
        <w:rPr>
          <w:sz w:val="22"/>
          <w:szCs w:val="22"/>
          <w:lang w:val="lv-LV"/>
        </w:rPr>
        <w:t>inhalācijām.</w:t>
      </w:r>
    </w:p>
    <w:p w14:paraId="749AFDDA" w14:textId="77777777" w:rsidR="001D17E8" w:rsidRPr="0022326A" w:rsidRDefault="001D17E8" w:rsidP="001D17E8">
      <w:pPr>
        <w:pStyle w:val="Default"/>
        <w:rPr>
          <w:sz w:val="22"/>
          <w:szCs w:val="22"/>
          <w:lang w:val="lv-LV"/>
        </w:rPr>
      </w:pPr>
    </w:p>
    <w:p w14:paraId="749AFDDB" w14:textId="77777777" w:rsidR="001D17E8" w:rsidRPr="0022326A" w:rsidRDefault="001D17E8" w:rsidP="001D17E8">
      <w:pPr>
        <w:pStyle w:val="Default"/>
        <w:rPr>
          <w:sz w:val="22"/>
          <w:szCs w:val="22"/>
          <w:lang w:val="lv-LV"/>
        </w:rPr>
      </w:pPr>
      <w:r w:rsidRPr="0022326A">
        <w:rPr>
          <w:sz w:val="22"/>
          <w:szCs w:val="22"/>
          <w:lang w:val="lv-LV"/>
        </w:rPr>
        <w:t>Parasti kopējā dienas deva nepārsniedz 8 inhalācijas, tomēr ierobežotu laika periodu drīkst lietot kopējo dienas devu līdz 12 inhalācijām. Pacientiem, kuri lieto vairāk par 8 inhalācijām dienā, ieteicams konsultēties ar ārstu. Viņi būtu atkārtoti jāizvērtē un pamata terapija jāpārskata</w:t>
      </w:r>
      <w:r>
        <w:rPr>
          <w:sz w:val="22"/>
          <w:szCs w:val="22"/>
          <w:lang w:val="lv-LV"/>
        </w:rPr>
        <w:t>.</w:t>
      </w:r>
    </w:p>
    <w:p w14:paraId="749AFDDC" w14:textId="77777777" w:rsidR="001D17E8" w:rsidRPr="0022326A" w:rsidRDefault="001D17E8" w:rsidP="001D17E8">
      <w:pPr>
        <w:pStyle w:val="Default"/>
        <w:rPr>
          <w:sz w:val="22"/>
          <w:szCs w:val="22"/>
          <w:lang w:val="lv-LV"/>
        </w:rPr>
      </w:pPr>
    </w:p>
    <w:p w14:paraId="749AFDDD" w14:textId="77777777" w:rsidR="001D17E8" w:rsidRPr="00BF1FC9" w:rsidRDefault="001D17E8" w:rsidP="001D17E8">
      <w:pPr>
        <w:tabs>
          <w:tab w:val="clear" w:pos="567"/>
        </w:tabs>
        <w:spacing w:line="240" w:lineRule="auto"/>
        <w:rPr>
          <w:szCs w:val="22"/>
        </w:rPr>
      </w:pPr>
      <w:r w:rsidRPr="0022326A">
        <w:rPr>
          <w:i/>
          <w:iCs/>
          <w:szCs w:val="22"/>
        </w:rPr>
        <w:t>Bērni jaunāki par 1</w:t>
      </w:r>
      <w:r w:rsidR="007C3A65">
        <w:rPr>
          <w:i/>
          <w:iCs/>
          <w:szCs w:val="22"/>
        </w:rPr>
        <w:t>2</w:t>
      </w:r>
      <w:r w:rsidR="00551D30">
        <w:rPr>
          <w:i/>
          <w:iCs/>
          <w:szCs w:val="22"/>
        </w:rPr>
        <w:t> </w:t>
      </w:r>
      <w:r w:rsidRPr="0022326A">
        <w:rPr>
          <w:i/>
          <w:iCs/>
          <w:szCs w:val="22"/>
        </w:rPr>
        <w:t xml:space="preserve">gadiem: </w:t>
      </w:r>
      <w:r w:rsidRPr="0022326A">
        <w:rPr>
          <w:szCs w:val="22"/>
        </w:rPr>
        <w:t>pamata terapija un simptomu novēršanas terapija nav ieteicama bērniem.</w:t>
      </w:r>
    </w:p>
    <w:p w14:paraId="749AFDDE" w14:textId="77777777" w:rsidR="001D17E8" w:rsidRPr="00AF25A6" w:rsidRDefault="001D17E8" w:rsidP="001D17E8">
      <w:pPr>
        <w:tabs>
          <w:tab w:val="clear" w:pos="567"/>
        </w:tabs>
        <w:spacing w:line="240" w:lineRule="auto"/>
        <w:rPr>
          <w:szCs w:val="22"/>
        </w:rPr>
      </w:pPr>
    </w:p>
    <w:p w14:paraId="749AFDDF" w14:textId="77777777" w:rsidR="001D17E8" w:rsidRPr="006D3BB7" w:rsidRDefault="001D17E8" w:rsidP="001D17E8">
      <w:pPr>
        <w:keepNext/>
        <w:tabs>
          <w:tab w:val="clear" w:pos="567"/>
        </w:tabs>
        <w:spacing w:line="240" w:lineRule="auto"/>
        <w:rPr>
          <w:b/>
          <w:szCs w:val="22"/>
        </w:rPr>
      </w:pPr>
      <w:r w:rsidRPr="006D3BB7">
        <w:rPr>
          <w:b/>
          <w:szCs w:val="22"/>
        </w:rPr>
        <w:t>Vispārēja informācija</w:t>
      </w:r>
    </w:p>
    <w:p w14:paraId="749AFDE0" w14:textId="77777777" w:rsidR="001D17E8" w:rsidRPr="006D3BB7" w:rsidRDefault="001D17E8" w:rsidP="001D17E8">
      <w:pPr>
        <w:keepNext/>
        <w:tabs>
          <w:tab w:val="clear" w:pos="567"/>
        </w:tabs>
        <w:spacing w:line="240" w:lineRule="auto"/>
        <w:rPr>
          <w:i/>
          <w:szCs w:val="22"/>
        </w:rPr>
      </w:pPr>
      <w:r w:rsidRPr="006D3BB7">
        <w:rPr>
          <w:i/>
          <w:szCs w:val="22"/>
        </w:rPr>
        <w:t>Īpašas pacientu grupas</w:t>
      </w:r>
    </w:p>
    <w:p w14:paraId="749AFDE1" w14:textId="77777777" w:rsidR="001D17E8" w:rsidRPr="006D3BB7" w:rsidRDefault="001D17E8" w:rsidP="001D17E8">
      <w:pPr>
        <w:tabs>
          <w:tab w:val="clear" w:pos="567"/>
        </w:tabs>
        <w:spacing w:line="240" w:lineRule="auto"/>
        <w:rPr>
          <w:szCs w:val="22"/>
        </w:rPr>
      </w:pPr>
      <w:r w:rsidRPr="006D3BB7">
        <w:rPr>
          <w:szCs w:val="22"/>
        </w:rPr>
        <w:t>Gados vecākiem pacientiem nav atšķirīgs lietošanas režīms. Nav pieejami dati par Bufomix Easyhaler lietošanu pacientiem ar aknu vai nieru darbības traucējumiem. Tā kā budezonīds un formoterols izdalās galvenokārt metabolisma ceļā caur aknām, pacientiem ar smagu aknu cirozi var pastiprināties zāļu iedarbība.</w:t>
      </w:r>
    </w:p>
    <w:p w14:paraId="749AFDE2" w14:textId="77777777" w:rsidR="001D17E8" w:rsidRPr="006D3BB7" w:rsidRDefault="001D17E8" w:rsidP="001D17E8">
      <w:pPr>
        <w:tabs>
          <w:tab w:val="clear" w:pos="567"/>
        </w:tabs>
        <w:spacing w:line="240" w:lineRule="auto"/>
        <w:rPr>
          <w:szCs w:val="22"/>
          <w:u w:val="single"/>
        </w:rPr>
      </w:pPr>
    </w:p>
    <w:p w14:paraId="749AFDE3" w14:textId="77777777" w:rsidR="001D17E8" w:rsidRPr="006D3BB7" w:rsidRDefault="001D17E8" w:rsidP="001D17E8">
      <w:pPr>
        <w:keepNext/>
        <w:tabs>
          <w:tab w:val="clear" w:pos="567"/>
        </w:tabs>
        <w:spacing w:line="240" w:lineRule="auto"/>
        <w:rPr>
          <w:szCs w:val="22"/>
          <w:u w:val="single"/>
        </w:rPr>
      </w:pPr>
      <w:r w:rsidRPr="006D3BB7">
        <w:rPr>
          <w:szCs w:val="22"/>
          <w:u w:val="single"/>
        </w:rPr>
        <w:t>Lietošanas veids</w:t>
      </w:r>
    </w:p>
    <w:p w14:paraId="749AFDE4" w14:textId="77777777" w:rsidR="001D17E8" w:rsidRPr="006D3BB7" w:rsidRDefault="001D17E8" w:rsidP="001D17E8">
      <w:pPr>
        <w:keepNext/>
        <w:tabs>
          <w:tab w:val="clear" w:pos="567"/>
        </w:tabs>
        <w:spacing w:line="240" w:lineRule="auto"/>
        <w:rPr>
          <w:szCs w:val="22"/>
          <w:u w:val="single"/>
        </w:rPr>
      </w:pPr>
    </w:p>
    <w:p w14:paraId="749AFDE5" w14:textId="77777777" w:rsidR="001D17E8" w:rsidRPr="006D3BB7" w:rsidRDefault="001D17E8" w:rsidP="001D17E8">
      <w:pPr>
        <w:tabs>
          <w:tab w:val="clear" w:pos="567"/>
        </w:tabs>
        <w:spacing w:line="240" w:lineRule="auto"/>
        <w:rPr>
          <w:szCs w:val="22"/>
        </w:rPr>
      </w:pPr>
      <w:r w:rsidRPr="006D3BB7">
        <w:rPr>
          <w:szCs w:val="22"/>
        </w:rPr>
        <w:t>Inhalācijām.</w:t>
      </w:r>
    </w:p>
    <w:p w14:paraId="749AFDE6" w14:textId="77777777" w:rsidR="001D17E8" w:rsidRPr="006D3BB7" w:rsidRDefault="001D17E8" w:rsidP="001D17E8">
      <w:pPr>
        <w:tabs>
          <w:tab w:val="clear" w:pos="567"/>
        </w:tabs>
        <w:spacing w:line="240" w:lineRule="auto"/>
        <w:rPr>
          <w:szCs w:val="22"/>
        </w:rPr>
      </w:pPr>
    </w:p>
    <w:p w14:paraId="749AFDE7" w14:textId="77777777" w:rsidR="001D17E8" w:rsidRPr="006D3BB7" w:rsidRDefault="001D17E8" w:rsidP="001D17E8">
      <w:pPr>
        <w:keepNext/>
        <w:tabs>
          <w:tab w:val="clear" w:pos="567"/>
        </w:tabs>
        <w:spacing w:line="240" w:lineRule="auto"/>
        <w:rPr>
          <w:i/>
          <w:szCs w:val="22"/>
        </w:rPr>
      </w:pPr>
      <w:r w:rsidRPr="006D3BB7">
        <w:rPr>
          <w:i/>
          <w:szCs w:val="22"/>
        </w:rPr>
        <w:t>Norādījumi par pareizu Bufomix Easyhaler lietošanu</w:t>
      </w:r>
    </w:p>
    <w:p w14:paraId="749AFDE8" w14:textId="77777777" w:rsidR="001D17E8" w:rsidRPr="006D3BB7" w:rsidRDefault="001D17E8" w:rsidP="001D17E8">
      <w:pPr>
        <w:tabs>
          <w:tab w:val="clear" w:pos="567"/>
        </w:tabs>
        <w:spacing w:line="240" w:lineRule="auto"/>
        <w:rPr>
          <w:szCs w:val="22"/>
        </w:rPr>
      </w:pPr>
      <w:r w:rsidRPr="006D3BB7">
        <w:rPr>
          <w:szCs w:val="22"/>
        </w:rPr>
        <w:t>Inhalators ir ar ieelpu darbināms, kas nozīmē, ka, pacientam ieelpojot caur iemut</w:t>
      </w:r>
      <w:r>
        <w:rPr>
          <w:szCs w:val="22"/>
        </w:rPr>
        <w:t>n</w:t>
      </w:r>
      <w:r w:rsidRPr="006D3BB7">
        <w:rPr>
          <w:szCs w:val="22"/>
        </w:rPr>
        <w:t>i, viela ar ieelpoto gaisu nokļūst elpceļos.</w:t>
      </w:r>
    </w:p>
    <w:p w14:paraId="749AFDE9" w14:textId="77777777" w:rsidR="001D17E8" w:rsidRPr="006D3BB7" w:rsidRDefault="001D17E8" w:rsidP="001D17E8">
      <w:pPr>
        <w:tabs>
          <w:tab w:val="clear" w:pos="567"/>
        </w:tabs>
        <w:spacing w:line="240" w:lineRule="auto"/>
        <w:rPr>
          <w:szCs w:val="22"/>
        </w:rPr>
      </w:pPr>
    </w:p>
    <w:p w14:paraId="749AFDEA" w14:textId="77777777" w:rsidR="001D17E8" w:rsidRPr="006D3BB7" w:rsidRDefault="001D17E8" w:rsidP="001D17E8">
      <w:pPr>
        <w:keepNext/>
        <w:tabs>
          <w:tab w:val="clear" w:pos="567"/>
        </w:tabs>
        <w:spacing w:line="240" w:lineRule="auto"/>
        <w:rPr>
          <w:szCs w:val="22"/>
        </w:rPr>
      </w:pPr>
      <w:r w:rsidRPr="006D3BB7">
        <w:rPr>
          <w:szCs w:val="22"/>
        </w:rPr>
        <w:t xml:space="preserve">Piezīme: </w:t>
      </w:r>
      <w:r w:rsidR="003210C8">
        <w:rPr>
          <w:szCs w:val="22"/>
        </w:rPr>
        <w:t>i</w:t>
      </w:r>
      <w:r w:rsidR="003210C8" w:rsidRPr="006D3BB7">
        <w:rPr>
          <w:szCs w:val="22"/>
        </w:rPr>
        <w:t xml:space="preserve">r </w:t>
      </w:r>
      <w:r w:rsidRPr="006D3BB7">
        <w:rPr>
          <w:szCs w:val="22"/>
        </w:rPr>
        <w:t>svarīgi pacientam dot šādus norādījumus</w:t>
      </w:r>
    </w:p>
    <w:p w14:paraId="749AFDEB"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Uzmanīgi izlasīt norādījumus lietošanas instrukcijā, kas ie</w:t>
      </w:r>
      <w:r>
        <w:rPr>
          <w:szCs w:val="22"/>
        </w:rPr>
        <w:t>pakota</w:t>
      </w:r>
      <w:r w:rsidRPr="006D3BB7">
        <w:rPr>
          <w:szCs w:val="22"/>
        </w:rPr>
        <w:t xml:space="preserve"> kopā ar katru Bufomix Easyhaler inhalatoru.</w:t>
      </w:r>
    </w:p>
    <w:p w14:paraId="749AFDEC"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Sakratīt un iedarbināt inhalatoru pirms katras inhalācijas.</w:t>
      </w:r>
    </w:p>
    <w:p w14:paraId="749AFDED"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 xml:space="preserve">Caur iemutni ieelpot spēcīgi un dziļi, lai plaušās nokļūtu optimāla </w:t>
      </w:r>
      <w:r w:rsidR="00B232A5">
        <w:rPr>
          <w:szCs w:val="22"/>
        </w:rPr>
        <w:t xml:space="preserve">zāļu </w:t>
      </w:r>
      <w:r w:rsidRPr="006D3BB7">
        <w:rPr>
          <w:szCs w:val="22"/>
        </w:rPr>
        <w:t>deva.</w:t>
      </w:r>
    </w:p>
    <w:p w14:paraId="749AFDEE"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Nekad neizdarīt izelpu iemutnī, jo tas var radīt samazinātu inhalēto devu. Ja tā notiek, pacients jāinstruē pasist iemutni pret galdu vai plaukstu, lai atbrīvotu to no pulvera, tad atkārtot devas mērīšanas procedūru.</w:t>
      </w:r>
    </w:p>
    <w:p w14:paraId="749AFDEF"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Nekad neiedarbināt ierīci vairāk kā vienu reizi bez pulvera inhalēšanas. Ja tā notiek, pacients jāinstruē pasist iemuti pret galdu vai plaukstu, lai atbrīvotu to no pulvera, tad atkārtot devas mērīšanas procedūru.</w:t>
      </w:r>
    </w:p>
    <w:p w14:paraId="749AFDF0" w14:textId="77777777" w:rsidR="001D17E8" w:rsidRDefault="001D17E8" w:rsidP="001D17E8">
      <w:pPr>
        <w:numPr>
          <w:ilvl w:val="0"/>
          <w:numId w:val="5"/>
        </w:numPr>
        <w:tabs>
          <w:tab w:val="clear" w:pos="567"/>
        </w:tabs>
        <w:spacing w:line="240" w:lineRule="auto"/>
        <w:ind w:left="567" w:hanging="567"/>
        <w:rPr>
          <w:szCs w:val="22"/>
        </w:rPr>
      </w:pPr>
      <w:r w:rsidRPr="006D3BB7">
        <w:rPr>
          <w:szCs w:val="22"/>
        </w:rPr>
        <w:t>Vienmēr pēc lietošanas uzlikt pretputekļu vāciņu (un, ja tiek lietots, aizvērt futlāri), lai novērstu nejaušu ierīces iedarbināšanu (kas var radīt pārmērīgi lielu vai nepietiekamu devu, ja pacients to vēlāk lieto).</w:t>
      </w:r>
    </w:p>
    <w:p w14:paraId="749AFDF1"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Pēc pamatdevas inhalēšanas izskalot muti ar ūdeni, lai mazinātu mutes un rīkles kandidozes risku.</w:t>
      </w:r>
      <w:r w:rsidR="008904E5">
        <w:rPr>
          <w:szCs w:val="22"/>
        </w:rPr>
        <w:t xml:space="preserve"> </w:t>
      </w:r>
      <w:r w:rsidRPr="00AF25A6">
        <w:rPr>
          <w:szCs w:val="22"/>
        </w:rPr>
        <w:t>Ja rodas mutes un rīkles kandidoze, pacientam jāizskalo mute ar ūdeni arī pēc papildus inhalāciju lietošanas pēc vajadzības.</w:t>
      </w:r>
    </w:p>
    <w:p w14:paraId="749AFDF2"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Regulāri tīrīt iemutni ar sausu lupatiņu. Tīrīšanai nedrīkst lietot ūdeni, jo pulveris ir jutīgs pret mitrumu.</w:t>
      </w:r>
    </w:p>
    <w:p w14:paraId="749AFDF3" w14:textId="77777777" w:rsidR="001D17E8" w:rsidRPr="006D3BB7" w:rsidRDefault="001D17E8" w:rsidP="001D17E8">
      <w:pPr>
        <w:numPr>
          <w:ilvl w:val="0"/>
          <w:numId w:val="5"/>
        </w:numPr>
        <w:tabs>
          <w:tab w:val="clear" w:pos="567"/>
        </w:tabs>
        <w:spacing w:line="240" w:lineRule="auto"/>
        <w:ind w:left="567" w:hanging="567"/>
        <w:rPr>
          <w:szCs w:val="22"/>
        </w:rPr>
      </w:pPr>
      <w:r w:rsidRPr="006D3BB7">
        <w:rPr>
          <w:szCs w:val="22"/>
        </w:rPr>
        <w:t>Aizvietot Bufomix Easyhaler, kad devu skaitītājs sasniedz 0, pat, ja inhalatorā vēl ir redzams pulveris.</w:t>
      </w:r>
    </w:p>
    <w:p w14:paraId="749AFDF4" w14:textId="77777777" w:rsidR="001D17E8" w:rsidRPr="00AF25A6" w:rsidRDefault="001D17E8" w:rsidP="001D17E8">
      <w:pPr>
        <w:tabs>
          <w:tab w:val="clear" w:pos="567"/>
        </w:tabs>
        <w:spacing w:line="240" w:lineRule="auto"/>
        <w:rPr>
          <w:szCs w:val="22"/>
          <w:u w:val="single"/>
        </w:rPr>
      </w:pPr>
    </w:p>
    <w:p w14:paraId="749AFDF5" w14:textId="77777777" w:rsidR="001D17E8" w:rsidRPr="00AF25A6" w:rsidRDefault="001D17E8" w:rsidP="001D17E8">
      <w:pPr>
        <w:keepNext/>
        <w:tabs>
          <w:tab w:val="clear" w:pos="567"/>
        </w:tabs>
        <w:spacing w:line="240" w:lineRule="auto"/>
        <w:ind w:left="567" w:hanging="567"/>
        <w:rPr>
          <w:szCs w:val="22"/>
        </w:rPr>
      </w:pPr>
      <w:r w:rsidRPr="00AF25A6">
        <w:rPr>
          <w:b/>
          <w:szCs w:val="22"/>
        </w:rPr>
        <w:lastRenderedPageBreak/>
        <w:t>4.3.</w:t>
      </w:r>
      <w:r w:rsidRPr="00AF25A6">
        <w:rPr>
          <w:b/>
          <w:szCs w:val="22"/>
        </w:rPr>
        <w:tab/>
        <w:t>Kontrindikācijas</w:t>
      </w:r>
    </w:p>
    <w:p w14:paraId="749AFDF6" w14:textId="77777777" w:rsidR="001D17E8" w:rsidRPr="00AF25A6" w:rsidRDefault="001D17E8" w:rsidP="001D17E8">
      <w:pPr>
        <w:keepNext/>
        <w:tabs>
          <w:tab w:val="clear" w:pos="567"/>
        </w:tabs>
        <w:spacing w:line="240" w:lineRule="auto"/>
        <w:rPr>
          <w:szCs w:val="22"/>
        </w:rPr>
      </w:pPr>
    </w:p>
    <w:p w14:paraId="749AFDF7" w14:textId="77777777" w:rsidR="001D17E8" w:rsidRPr="00AF25A6" w:rsidRDefault="001D17E8" w:rsidP="001D17E8">
      <w:pPr>
        <w:tabs>
          <w:tab w:val="clear" w:pos="567"/>
        </w:tabs>
        <w:spacing w:line="240" w:lineRule="auto"/>
        <w:rPr>
          <w:szCs w:val="22"/>
        </w:rPr>
      </w:pPr>
      <w:r w:rsidRPr="00AF25A6">
        <w:rPr>
          <w:szCs w:val="22"/>
        </w:rPr>
        <w:t xml:space="preserve">Paaugstināta jutība pret </w:t>
      </w:r>
      <w:r>
        <w:rPr>
          <w:szCs w:val="22"/>
        </w:rPr>
        <w:t>aktīvajām vielām</w:t>
      </w:r>
      <w:r w:rsidRPr="00AF25A6">
        <w:rPr>
          <w:szCs w:val="22"/>
        </w:rPr>
        <w:t xml:space="preserve"> vai </w:t>
      </w:r>
      <w:r>
        <w:rPr>
          <w:szCs w:val="22"/>
        </w:rPr>
        <w:t>jebkuru no 6.1. apakšpunktā uzskaitītajām palīgvielām (</w:t>
      </w:r>
      <w:r w:rsidRPr="00AF25A6">
        <w:rPr>
          <w:szCs w:val="22"/>
        </w:rPr>
        <w:t>laktozi</w:t>
      </w:r>
      <w:r>
        <w:rPr>
          <w:szCs w:val="22"/>
        </w:rPr>
        <w:t xml:space="preserve">, </w:t>
      </w:r>
      <w:r w:rsidRPr="00AF25A6">
        <w:rPr>
          <w:szCs w:val="22"/>
        </w:rPr>
        <w:t>kas satur nelielu daudzumu piena proteīnus).</w:t>
      </w:r>
    </w:p>
    <w:p w14:paraId="749AFDF8" w14:textId="77777777" w:rsidR="001D17E8" w:rsidRPr="00AF25A6" w:rsidRDefault="001D17E8" w:rsidP="001D17E8">
      <w:pPr>
        <w:tabs>
          <w:tab w:val="clear" w:pos="567"/>
        </w:tabs>
        <w:spacing w:line="240" w:lineRule="auto"/>
        <w:rPr>
          <w:szCs w:val="22"/>
        </w:rPr>
      </w:pPr>
    </w:p>
    <w:p w14:paraId="749AFDF9" w14:textId="77777777" w:rsidR="001D17E8" w:rsidRPr="00AF25A6" w:rsidRDefault="001D17E8" w:rsidP="001D17E8">
      <w:pPr>
        <w:keepNext/>
        <w:tabs>
          <w:tab w:val="clear" w:pos="567"/>
        </w:tabs>
        <w:spacing w:line="240" w:lineRule="auto"/>
        <w:ind w:left="567" w:hanging="567"/>
        <w:rPr>
          <w:b/>
          <w:szCs w:val="22"/>
        </w:rPr>
      </w:pPr>
      <w:r w:rsidRPr="00AF25A6">
        <w:rPr>
          <w:b/>
          <w:szCs w:val="22"/>
        </w:rPr>
        <w:t>4.4.</w:t>
      </w:r>
      <w:r w:rsidRPr="00AF25A6">
        <w:rPr>
          <w:b/>
          <w:szCs w:val="22"/>
        </w:rPr>
        <w:tab/>
        <w:t>Īpaši brīdinājumi un piesardzība lietošanā</w:t>
      </w:r>
    </w:p>
    <w:p w14:paraId="749AFDFA" w14:textId="77777777" w:rsidR="001D17E8" w:rsidRPr="00AF25A6" w:rsidRDefault="001D17E8" w:rsidP="001D17E8">
      <w:pPr>
        <w:keepNext/>
        <w:tabs>
          <w:tab w:val="clear" w:pos="567"/>
        </w:tabs>
        <w:spacing w:line="240" w:lineRule="auto"/>
        <w:rPr>
          <w:szCs w:val="22"/>
        </w:rPr>
      </w:pPr>
    </w:p>
    <w:p w14:paraId="749AFDFB" w14:textId="77777777" w:rsidR="001D17E8" w:rsidRPr="00AF25A6" w:rsidRDefault="001D17E8" w:rsidP="001D17E8">
      <w:pPr>
        <w:tabs>
          <w:tab w:val="clear" w:pos="567"/>
        </w:tabs>
        <w:spacing w:line="240" w:lineRule="auto"/>
        <w:rPr>
          <w:szCs w:val="22"/>
        </w:rPr>
      </w:pPr>
      <w:r w:rsidRPr="00AF25A6">
        <w:rPr>
          <w:szCs w:val="22"/>
        </w:rPr>
        <w:t>Ārstēšanu pārtraucot, devu ieteicams samazināt pakāpeniski, lietošanu nedrīkst pārtraukt pēkšņi.</w:t>
      </w:r>
    </w:p>
    <w:p w14:paraId="749AFDFC" w14:textId="77777777" w:rsidR="001D17E8" w:rsidRPr="00AF25A6" w:rsidRDefault="001D17E8" w:rsidP="001D17E8">
      <w:pPr>
        <w:tabs>
          <w:tab w:val="clear" w:pos="567"/>
        </w:tabs>
        <w:spacing w:line="240" w:lineRule="auto"/>
        <w:rPr>
          <w:szCs w:val="22"/>
        </w:rPr>
      </w:pPr>
    </w:p>
    <w:p w14:paraId="749AFDFD" w14:textId="77777777" w:rsidR="001D17E8" w:rsidRPr="00844079" w:rsidRDefault="001D17E8" w:rsidP="001D17E8">
      <w:pPr>
        <w:tabs>
          <w:tab w:val="clear" w:pos="567"/>
        </w:tabs>
        <w:spacing w:line="240" w:lineRule="auto"/>
        <w:rPr>
          <w:szCs w:val="22"/>
        </w:rPr>
      </w:pPr>
      <w:r w:rsidRPr="00844079">
        <w:rPr>
          <w:szCs w:val="22"/>
        </w:rPr>
        <w:t>Ja pacientam ārstēšana šķiet neefektīva vai tiek pārsniegta lielākā ieteicamā Bufomix Easyhaler deva, jākonsultējas ar ārstu (skatīt 4.2. apakšpunktu). Pēkšņa un progresējoša astmas vai HOPS simptomu pasliktināšanās ir dzīvībai bīstama, tādēļ nekavējoties jāveic pacienta medicīniska izmeklēšana. Šādā situācijā jāapsver nepieciešamība pastiprināt ārstēšanu ar kortikosteroīdiem, piemēram, perorālu kortikosteroīdu kursu vai antibakteriālu ārstēšanu, ja ir infekcija.</w:t>
      </w:r>
    </w:p>
    <w:p w14:paraId="749AFDFE" w14:textId="77777777" w:rsidR="001D17E8" w:rsidRPr="00844079" w:rsidRDefault="001D17E8" w:rsidP="001D17E8">
      <w:pPr>
        <w:tabs>
          <w:tab w:val="clear" w:pos="567"/>
        </w:tabs>
        <w:spacing w:line="240" w:lineRule="auto"/>
        <w:rPr>
          <w:szCs w:val="22"/>
        </w:rPr>
      </w:pPr>
    </w:p>
    <w:p w14:paraId="749AFDFF" w14:textId="77777777" w:rsidR="001D17E8" w:rsidRPr="006D3BB7" w:rsidRDefault="001D17E8" w:rsidP="001D17E8">
      <w:pPr>
        <w:spacing w:line="240" w:lineRule="auto"/>
        <w:outlineLvl w:val="0"/>
        <w:rPr>
          <w:noProof/>
          <w:color w:val="000000"/>
          <w:szCs w:val="22"/>
        </w:rPr>
      </w:pPr>
      <w:r w:rsidRPr="00844079">
        <w:rPr>
          <w:szCs w:val="22"/>
        </w:rPr>
        <w:t>Pacients jāinformē, ka vienmēr jābūt pieejamam glābšanas inhalatoram</w:t>
      </w:r>
      <w:r w:rsidRPr="0022326A">
        <w:rPr>
          <w:szCs w:val="22"/>
        </w:rPr>
        <w:t xml:space="preserve">, </w:t>
      </w:r>
      <w:r w:rsidRPr="0022326A">
        <w:rPr>
          <w:color w:val="000000"/>
          <w:szCs w:val="22"/>
        </w:rPr>
        <w:t xml:space="preserve">vai nu </w:t>
      </w:r>
      <w:r w:rsidRPr="0022326A">
        <w:rPr>
          <w:szCs w:val="22"/>
        </w:rPr>
        <w:t xml:space="preserve">Bufomix Easyhaler </w:t>
      </w:r>
      <w:r w:rsidRPr="0022326A">
        <w:rPr>
          <w:color w:val="000000"/>
          <w:szCs w:val="22"/>
        </w:rPr>
        <w:t xml:space="preserve">(astmas pacientiem, kuri izmanto </w:t>
      </w:r>
      <w:r w:rsidRPr="0022326A">
        <w:rPr>
          <w:szCs w:val="22"/>
        </w:rPr>
        <w:t xml:space="preserve">Bufomix Easyhaler </w:t>
      </w:r>
      <w:r w:rsidRPr="0022326A">
        <w:rPr>
          <w:color w:val="000000"/>
          <w:szCs w:val="22"/>
        </w:rPr>
        <w:t xml:space="preserve">kā pamata un </w:t>
      </w:r>
      <w:r w:rsidRPr="0022326A">
        <w:rPr>
          <w:bCs/>
          <w:color w:val="000000"/>
          <w:szCs w:val="22"/>
        </w:rPr>
        <w:t>simptomu novēršanas</w:t>
      </w:r>
      <w:r w:rsidRPr="0022326A">
        <w:rPr>
          <w:color w:val="000000"/>
          <w:szCs w:val="22"/>
        </w:rPr>
        <w:t xml:space="preserve"> terapiju) vai atsevišķs ātras iedarbības bronhodilatators (</w:t>
      </w:r>
      <w:r w:rsidR="006958CF">
        <w:rPr>
          <w:color w:val="000000"/>
          <w:szCs w:val="22"/>
        </w:rPr>
        <w:t xml:space="preserve">visiem </w:t>
      </w:r>
      <w:r w:rsidRPr="0022326A">
        <w:rPr>
          <w:color w:val="000000"/>
          <w:szCs w:val="22"/>
        </w:rPr>
        <w:t xml:space="preserve">pacientiem, kuri izmanto </w:t>
      </w:r>
      <w:r w:rsidRPr="0022326A">
        <w:rPr>
          <w:szCs w:val="22"/>
        </w:rPr>
        <w:t xml:space="preserve">Bufomix Easyhaler </w:t>
      </w:r>
      <w:r w:rsidRPr="0022326A">
        <w:rPr>
          <w:color w:val="000000"/>
          <w:szCs w:val="22"/>
        </w:rPr>
        <w:t>tikai kā pamata terapiju).</w:t>
      </w:r>
    </w:p>
    <w:p w14:paraId="749AFE00" w14:textId="77777777" w:rsidR="001D17E8" w:rsidRPr="00844079" w:rsidRDefault="001D17E8" w:rsidP="001D17E8">
      <w:pPr>
        <w:tabs>
          <w:tab w:val="clear" w:pos="567"/>
        </w:tabs>
        <w:spacing w:line="240" w:lineRule="auto"/>
        <w:rPr>
          <w:szCs w:val="22"/>
        </w:rPr>
      </w:pPr>
    </w:p>
    <w:p w14:paraId="749AFE01" w14:textId="77777777" w:rsidR="001D17E8" w:rsidRPr="00844079" w:rsidRDefault="001D17E8" w:rsidP="001D17E8">
      <w:pPr>
        <w:tabs>
          <w:tab w:val="clear" w:pos="567"/>
        </w:tabs>
        <w:spacing w:line="240" w:lineRule="auto"/>
        <w:rPr>
          <w:szCs w:val="22"/>
        </w:rPr>
      </w:pPr>
      <w:r w:rsidRPr="00844079">
        <w:rPr>
          <w:szCs w:val="22"/>
        </w:rPr>
        <w:t>Pacients jāin</w:t>
      </w:r>
      <w:r w:rsidRPr="006D3BB7">
        <w:rPr>
          <w:szCs w:val="22"/>
        </w:rPr>
        <w:t>formē, ka Bufomix Easyhaler pamatdeva jālieto</w:t>
      </w:r>
      <w:r w:rsidRPr="00844079">
        <w:rPr>
          <w:szCs w:val="22"/>
        </w:rPr>
        <w:t xml:space="preserve"> regulāri kā nozīmēts, pat ja simptomu nav. Profilaktiska Bufomix Easyhaler lietošana, piemēram, pirms slodzes, nav pētīta</w:t>
      </w:r>
      <w:r w:rsidRPr="006D3BB7">
        <w:rPr>
          <w:szCs w:val="22"/>
        </w:rPr>
        <w:t>.</w:t>
      </w:r>
      <w:r w:rsidR="008904E5">
        <w:rPr>
          <w:szCs w:val="22"/>
        </w:rPr>
        <w:t xml:space="preserve"> </w:t>
      </w:r>
      <w:r>
        <w:rPr>
          <w:color w:val="000000"/>
          <w:szCs w:val="22"/>
        </w:rPr>
        <w:t>Papildu</w:t>
      </w:r>
      <w:r w:rsidR="008904E5">
        <w:rPr>
          <w:color w:val="000000"/>
          <w:szCs w:val="22"/>
        </w:rPr>
        <w:t> </w:t>
      </w:r>
      <w:r w:rsidRPr="0022326A">
        <w:rPr>
          <w:szCs w:val="22"/>
        </w:rPr>
        <w:t>Bufomix Easyhaler</w:t>
      </w:r>
      <w:r w:rsidRPr="0022326A">
        <w:rPr>
          <w:color w:val="000000"/>
          <w:szCs w:val="22"/>
        </w:rPr>
        <w:t xml:space="preserve"> inhalācijas jālieto reaģējot uz </w:t>
      </w:r>
      <w:r w:rsidR="006958CF">
        <w:rPr>
          <w:color w:val="000000"/>
          <w:szCs w:val="22"/>
        </w:rPr>
        <w:t xml:space="preserve">astmas </w:t>
      </w:r>
      <w:r w:rsidRPr="0022326A">
        <w:rPr>
          <w:color w:val="000000"/>
          <w:szCs w:val="22"/>
        </w:rPr>
        <w:t>simptomiem, bet tās nav paredzētas regulārai profilaktiskai lietošanai, piemēram, pirms fiziskas slodzes.</w:t>
      </w:r>
      <w:r w:rsidR="008904E5">
        <w:rPr>
          <w:color w:val="000000"/>
          <w:szCs w:val="22"/>
        </w:rPr>
        <w:t xml:space="preserve"> </w:t>
      </w:r>
      <w:r w:rsidRPr="00844079">
        <w:rPr>
          <w:szCs w:val="22"/>
        </w:rPr>
        <w:t>Šādā gadījumā jāapsver atsevišķa ātras darbības bronhodilatatora lietošana.</w:t>
      </w:r>
    </w:p>
    <w:p w14:paraId="749AFE02" w14:textId="77777777" w:rsidR="001D17E8" w:rsidRPr="00AF25A6" w:rsidRDefault="001D17E8" w:rsidP="001D17E8">
      <w:pPr>
        <w:tabs>
          <w:tab w:val="clear" w:pos="567"/>
        </w:tabs>
        <w:spacing w:line="240" w:lineRule="auto"/>
        <w:rPr>
          <w:szCs w:val="22"/>
        </w:rPr>
      </w:pPr>
    </w:p>
    <w:p w14:paraId="749AFE03" w14:textId="77777777" w:rsidR="001D17E8" w:rsidRPr="00AF25A6" w:rsidRDefault="001D17E8" w:rsidP="001D17E8">
      <w:pPr>
        <w:tabs>
          <w:tab w:val="clear" w:pos="567"/>
        </w:tabs>
        <w:spacing w:line="240" w:lineRule="auto"/>
        <w:rPr>
          <w:szCs w:val="22"/>
        </w:rPr>
      </w:pPr>
      <w:r w:rsidRPr="00AF25A6">
        <w:rPr>
          <w:szCs w:val="22"/>
        </w:rPr>
        <w:t>Tiklīdz ir panākta astmas simptomu kontrole, var apsvērt pakāpenisku Bufomix Easyhaler devas samazināšanu. Zāļu devas mazināšanas laikā ir svarīgi regulāri vērtēt pacienta veselību. Jāordinē mazākā Bufomix Easyhaler efektīvā deva (skatīt 4.2. apakšpunktu).</w:t>
      </w:r>
    </w:p>
    <w:p w14:paraId="749AFE04" w14:textId="77777777" w:rsidR="001D17E8" w:rsidRPr="00AF25A6" w:rsidRDefault="001D17E8" w:rsidP="001D17E8">
      <w:pPr>
        <w:tabs>
          <w:tab w:val="clear" w:pos="567"/>
        </w:tabs>
        <w:spacing w:line="240" w:lineRule="auto"/>
        <w:rPr>
          <w:szCs w:val="22"/>
        </w:rPr>
      </w:pPr>
    </w:p>
    <w:p w14:paraId="749AFE05" w14:textId="77777777" w:rsidR="001D17E8" w:rsidRPr="00AF25A6" w:rsidRDefault="001D17E8" w:rsidP="001D17E8">
      <w:pPr>
        <w:tabs>
          <w:tab w:val="clear" w:pos="567"/>
        </w:tabs>
        <w:spacing w:line="240" w:lineRule="auto"/>
        <w:rPr>
          <w:szCs w:val="22"/>
        </w:rPr>
      </w:pPr>
      <w:r w:rsidRPr="00AF25A6">
        <w:rPr>
          <w:szCs w:val="22"/>
        </w:rPr>
        <w:t>Nedrīkst sākt pacientam ordinēt Bufomix Easyhaler astmas uzliesmojuma laikā, kā arī tad, ja astmas gaita būtiski pasliktinās vai astmas lēkmes laikā.</w:t>
      </w:r>
    </w:p>
    <w:p w14:paraId="749AFE06" w14:textId="77777777" w:rsidR="001D17E8" w:rsidRPr="00AF25A6" w:rsidRDefault="001D17E8" w:rsidP="001D17E8">
      <w:pPr>
        <w:tabs>
          <w:tab w:val="clear" w:pos="567"/>
        </w:tabs>
        <w:spacing w:line="240" w:lineRule="auto"/>
        <w:rPr>
          <w:szCs w:val="22"/>
        </w:rPr>
      </w:pPr>
    </w:p>
    <w:p w14:paraId="749AFE07" w14:textId="77777777" w:rsidR="001D17E8" w:rsidRPr="006D3BB7" w:rsidRDefault="001D17E8" w:rsidP="001D17E8">
      <w:pPr>
        <w:tabs>
          <w:tab w:val="clear" w:pos="567"/>
        </w:tabs>
        <w:spacing w:line="240" w:lineRule="auto"/>
        <w:rPr>
          <w:szCs w:val="22"/>
        </w:rPr>
      </w:pPr>
      <w:r w:rsidRPr="006D3BB7">
        <w:rPr>
          <w:szCs w:val="22"/>
        </w:rPr>
        <w:t>Bufomix Easyhaler lietošanas laikā var rasties smagas ar astmu saistītas nevēlamas blakusparādības un astmas uzliesmojumi. Pacienti jāaicina turpināt ārstēšanos. Tomēr, ja pēc Bufomix Easyhaler lietošanas uzsākšanas astmas simptomi joprojām netiek kontrolēti vai pastiprinās, pacienti jāaicina meklēt medicīnisko palīdzību.</w:t>
      </w:r>
    </w:p>
    <w:p w14:paraId="749AFE08" w14:textId="77777777" w:rsidR="001D17E8" w:rsidRPr="006D3BB7" w:rsidRDefault="001D17E8" w:rsidP="001D17E8">
      <w:pPr>
        <w:tabs>
          <w:tab w:val="clear" w:pos="567"/>
        </w:tabs>
        <w:spacing w:line="240" w:lineRule="auto"/>
        <w:rPr>
          <w:szCs w:val="22"/>
        </w:rPr>
      </w:pPr>
    </w:p>
    <w:p w14:paraId="749AFE09" w14:textId="77777777" w:rsidR="001D17E8" w:rsidRPr="00AF25A6" w:rsidRDefault="00740BCD" w:rsidP="001D17E8">
      <w:pPr>
        <w:tabs>
          <w:tab w:val="clear" w:pos="567"/>
        </w:tabs>
        <w:spacing w:line="240" w:lineRule="auto"/>
        <w:rPr>
          <w:szCs w:val="22"/>
        </w:rPr>
      </w:pPr>
      <w:r>
        <w:rPr>
          <w:szCs w:val="22"/>
        </w:rPr>
        <w:t>Līdzīgi</w:t>
      </w:r>
      <w:r w:rsidR="001D17E8" w:rsidRPr="006D3BB7">
        <w:rPr>
          <w:szCs w:val="22"/>
        </w:rPr>
        <w:t xml:space="preserve"> kā veicot ārstēšanu ar citiem inhalējamiem līdzekļiem, var attīstīties paradoksālas bronhu spazmas, kad tūlīt pēc devas inhalēšanas pastiprinās sēkšana un elpas trūkums. Ja pacientam attīstās paradoksālās bronhospazmas, nekavējoties jāpārtrauc Bufomix Easyhaler lietošana, jāpārskata ārstēšana un nepieciešamības gadījumā jāveic alternatīva terapija. Paradoksālas bronhospazmas jāārstē nekavējoties ar ātras darbības inhalējamiem bronhodilatatoriem (skatīt 4.8. apakšpunktu).</w:t>
      </w:r>
    </w:p>
    <w:p w14:paraId="749AFE0A" w14:textId="77777777" w:rsidR="001D17E8" w:rsidRPr="00AF25A6" w:rsidRDefault="001D17E8" w:rsidP="001D17E8">
      <w:pPr>
        <w:tabs>
          <w:tab w:val="clear" w:pos="567"/>
        </w:tabs>
        <w:spacing w:line="240" w:lineRule="auto"/>
        <w:rPr>
          <w:szCs w:val="22"/>
        </w:rPr>
      </w:pPr>
    </w:p>
    <w:p w14:paraId="749AFE0B" w14:textId="77777777" w:rsidR="001D17E8" w:rsidRPr="006D3BB7" w:rsidRDefault="001D17E8" w:rsidP="001D17E8">
      <w:pPr>
        <w:tabs>
          <w:tab w:val="clear" w:pos="567"/>
        </w:tabs>
        <w:spacing w:line="240" w:lineRule="auto"/>
        <w:rPr>
          <w:szCs w:val="22"/>
        </w:rPr>
      </w:pPr>
      <w:r w:rsidRPr="006D3BB7">
        <w:rPr>
          <w:szCs w:val="22"/>
        </w:rPr>
        <w:t>Lietojot inhalējamus kortikosteroīdus, īpaši – lielā devā un ilglaicīgi, var rasties sistēmiskas blakusparādības. Inhalējamiem kortikosteroīdiem šo blakusparādību iespējamība ir daudz mazāka nekā iekšķīgi lietojamiem. Iespējamās sistēmiskās blakusparādības ietver: Kušinga sindromu, kušingoīdas</w:t>
      </w:r>
      <w:r w:rsidR="008904E5">
        <w:rPr>
          <w:szCs w:val="22"/>
        </w:rPr>
        <w:t> </w:t>
      </w:r>
      <w:r w:rsidRPr="006D3BB7">
        <w:rPr>
          <w:szCs w:val="22"/>
        </w:rPr>
        <w:t>pazīmes, virsnieru dziedzeru darbības nomākumu, aizkavētu augšanu bērniem un pusaudžiem, samazinātu kaulu mineralizācijas blīvumu, kataraktu, glaukomu un vēl retāk – virkni psihisku un uzvedības traucējumu, to vidū psihomotoru hiperaktivitāt</w:t>
      </w:r>
      <w:r>
        <w:rPr>
          <w:szCs w:val="22"/>
        </w:rPr>
        <w:t>i</w:t>
      </w:r>
      <w:r w:rsidRPr="006D3BB7">
        <w:rPr>
          <w:szCs w:val="22"/>
        </w:rPr>
        <w:t>, miega traucējumus, nemieru, depresiju vai agresivitāti (īpaši bērniem) (skatīt 4.8. apakšpunktu).</w:t>
      </w:r>
    </w:p>
    <w:p w14:paraId="749AFE0C" w14:textId="77777777" w:rsidR="001D17E8" w:rsidRPr="006D3BB7" w:rsidRDefault="001D17E8" w:rsidP="001D17E8">
      <w:pPr>
        <w:tabs>
          <w:tab w:val="clear" w:pos="567"/>
        </w:tabs>
        <w:spacing w:line="240" w:lineRule="auto"/>
        <w:rPr>
          <w:szCs w:val="22"/>
        </w:rPr>
      </w:pPr>
    </w:p>
    <w:p w14:paraId="749AFE0D" w14:textId="77777777" w:rsidR="001D17E8" w:rsidRPr="00AF25A6" w:rsidRDefault="001D17E8" w:rsidP="001D17E8">
      <w:pPr>
        <w:tabs>
          <w:tab w:val="clear" w:pos="567"/>
        </w:tabs>
        <w:spacing w:line="240" w:lineRule="auto"/>
        <w:rPr>
          <w:szCs w:val="22"/>
        </w:rPr>
      </w:pPr>
      <w:r w:rsidRPr="00CA7FAB">
        <w:rPr>
          <w:szCs w:val="22"/>
        </w:rPr>
        <w:t>Jāņem vērā iespējama ietekme uz kaulu blīvumu, īpaši pacientiem, kuri lieto zāles ilgstoši un lielās devās, un kuriem vienlaikus ir ci</w:t>
      </w:r>
      <w:r>
        <w:rPr>
          <w:szCs w:val="22"/>
        </w:rPr>
        <w:t xml:space="preserve">ti osteoporozes riska faktori. </w:t>
      </w:r>
      <w:r w:rsidRPr="00AF25A6">
        <w:rPr>
          <w:szCs w:val="22"/>
        </w:rPr>
        <w:t>Ilgtermiņa pētījumos ar inhalējamu budezonīdu bērniem, lietojot vidēji 400 mikrogramus dienā (nomērītā deva), vai pieaugušajiem, lietojot 800 mikrogramus dienā (nomērītā deva), nav novērota nekāda ievērojama ietekme uz kaulu minerālvielu blīvumu. Nav pieejama informācija par iedarbību, lietojot to lielākās devās.</w:t>
      </w:r>
    </w:p>
    <w:p w14:paraId="749AFE0E" w14:textId="77777777" w:rsidR="001D17E8" w:rsidRPr="00AF25A6" w:rsidRDefault="001D17E8" w:rsidP="001D17E8">
      <w:pPr>
        <w:tabs>
          <w:tab w:val="clear" w:pos="567"/>
        </w:tabs>
        <w:spacing w:line="240" w:lineRule="auto"/>
        <w:rPr>
          <w:szCs w:val="22"/>
        </w:rPr>
      </w:pPr>
    </w:p>
    <w:p w14:paraId="749AFE0F" w14:textId="77777777" w:rsidR="001D17E8" w:rsidRPr="00AF25A6" w:rsidRDefault="001D17E8" w:rsidP="001D17E8">
      <w:pPr>
        <w:tabs>
          <w:tab w:val="clear" w:pos="567"/>
        </w:tabs>
        <w:spacing w:line="240" w:lineRule="auto"/>
        <w:rPr>
          <w:szCs w:val="22"/>
        </w:rPr>
      </w:pPr>
      <w:r w:rsidRPr="00AF25A6">
        <w:rPr>
          <w:szCs w:val="22"/>
        </w:rPr>
        <w:t>Ja ir kāds iemesls uzskatīt, ka iepriekšējas sistēmiskas steroīdu terapijas dēļ ir pavājināta virsnieru darbība, pacientiem terapija ar Bufomix Easyhaler jāsāk uzmanīgi.</w:t>
      </w:r>
      <w:r w:rsidRPr="00AF25A6">
        <w:rPr>
          <w:szCs w:val="22"/>
        </w:rPr>
        <w:cr/>
      </w:r>
    </w:p>
    <w:p w14:paraId="749AFE10" w14:textId="77777777" w:rsidR="001D17E8" w:rsidRPr="00AF25A6" w:rsidRDefault="001D17E8" w:rsidP="001D17E8">
      <w:pPr>
        <w:tabs>
          <w:tab w:val="clear" w:pos="567"/>
        </w:tabs>
        <w:spacing w:line="240" w:lineRule="auto"/>
        <w:rPr>
          <w:szCs w:val="22"/>
        </w:rPr>
      </w:pPr>
      <w:r w:rsidRPr="00AF25A6">
        <w:rPr>
          <w:szCs w:val="22"/>
        </w:rPr>
        <w:t>Inhalējamā budezonīda terapijas ieguvums ir samazināta perorālo steroīdu lietošanas nepieciešamība, bet pacientiem pārejot no perorālu steroīdu lietošanas</w:t>
      </w:r>
      <w:r w:rsidR="00740BCD">
        <w:rPr>
          <w:szCs w:val="22"/>
        </w:rPr>
        <w:t>,</w:t>
      </w:r>
      <w:r w:rsidRPr="00AF25A6">
        <w:rPr>
          <w:szCs w:val="22"/>
        </w:rPr>
        <w:t xml:space="preserve"> zināmu laiku var saglabāties samazinātas virsnieru rezerves risks. Pēc perorālo steroīdu lietošanas pārtraukšanas atgūšanās var būt ilgstoša, tāpēc no perorāliem steroīdiem atkarīgiem pacientiem, zināmu laiku pēc inhalējamo budezonīdu lietošanas uzsākšanas saglabājas pavājinātas virsnieru darbības risks. Šādos gadījumos regulāri jānosaka izmaiņas hipotalāma-hipofīzes-virsnieru asī.</w:t>
      </w:r>
    </w:p>
    <w:p w14:paraId="749AFE11" w14:textId="77777777" w:rsidR="001D17E8" w:rsidRPr="00AF25A6" w:rsidRDefault="001D17E8" w:rsidP="001D17E8">
      <w:pPr>
        <w:tabs>
          <w:tab w:val="clear" w:pos="567"/>
        </w:tabs>
        <w:spacing w:line="240" w:lineRule="auto"/>
        <w:rPr>
          <w:szCs w:val="22"/>
        </w:rPr>
      </w:pPr>
    </w:p>
    <w:p w14:paraId="749AFE12" w14:textId="77777777" w:rsidR="001D17E8" w:rsidRPr="00AF25A6" w:rsidRDefault="001D17E8" w:rsidP="001D17E8">
      <w:pPr>
        <w:tabs>
          <w:tab w:val="clear" w:pos="567"/>
        </w:tabs>
        <w:spacing w:line="240" w:lineRule="auto"/>
        <w:rPr>
          <w:szCs w:val="22"/>
        </w:rPr>
      </w:pPr>
      <w:r w:rsidRPr="00AF25A6">
        <w:rPr>
          <w:szCs w:val="22"/>
        </w:rPr>
        <w:t>Ilgstoša terapija ar lielām inhalējamo kortikosteroīdu devām, īpaši lielākām par ieteicamām devām, arī var izraisīt klīniski nozīmīgu virsnieru darbības nomākumu. Tāpēc stresa periodos kā smagas infekcijas, plānotas ķirurģiskas manipulācijas jāapsver papildus sist</w:t>
      </w:r>
      <w:r w:rsidR="00740BCD">
        <w:rPr>
          <w:szCs w:val="22"/>
        </w:rPr>
        <w:t>ēmisko kortikosteroīdu lietošana</w:t>
      </w:r>
      <w:r w:rsidRPr="00AF25A6">
        <w:rPr>
          <w:szCs w:val="22"/>
        </w:rPr>
        <w:t>. Strauja steroīdu devas samazināšana var izraisīt akūtu virsnieru krīzi. Simptomi un pazīmes, kas norāda uz akūtu virsnieru krīzi, var nebūt izteiktas, bet uz to var norādīt anoreksija, vēdera sāpes, svara zudums, nogurums, galvassāpes, slikta dūša, vemšana, apziņas pavājināšanās, krampji, hipotensija un hipoglikēmija.</w:t>
      </w:r>
    </w:p>
    <w:p w14:paraId="749AFE13" w14:textId="77777777" w:rsidR="001D17E8" w:rsidRPr="00AF25A6" w:rsidRDefault="001D17E8" w:rsidP="001D17E8">
      <w:pPr>
        <w:tabs>
          <w:tab w:val="clear" w:pos="567"/>
        </w:tabs>
        <w:spacing w:line="240" w:lineRule="auto"/>
        <w:rPr>
          <w:szCs w:val="22"/>
        </w:rPr>
      </w:pPr>
    </w:p>
    <w:p w14:paraId="749AFE14" w14:textId="77777777" w:rsidR="001D17E8" w:rsidRPr="00AF25A6" w:rsidRDefault="001D17E8" w:rsidP="001D17E8">
      <w:pPr>
        <w:tabs>
          <w:tab w:val="clear" w:pos="567"/>
        </w:tabs>
        <w:spacing w:line="240" w:lineRule="auto"/>
        <w:rPr>
          <w:szCs w:val="22"/>
        </w:rPr>
      </w:pPr>
      <w:r w:rsidRPr="00AF25A6">
        <w:rPr>
          <w:szCs w:val="22"/>
        </w:rPr>
        <w:t>Terapiju ar papildus sistēmiskajiem steroīdiem vai inhalējamo budezonīdu nedrīkst pārtraukt pēkšņi.</w:t>
      </w:r>
    </w:p>
    <w:p w14:paraId="749AFE15" w14:textId="77777777" w:rsidR="001D17E8" w:rsidRPr="00AF25A6" w:rsidRDefault="001D17E8" w:rsidP="001D17E8">
      <w:pPr>
        <w:tabs>
          <w:tab w:val="clear" w:pos="567"/>
        </w:tabs>
        <w:spacing w:line="240" w:lineRule="auto"/>
        <w:rPr>
          <w:szCs w:val="22"/>
        </w:rPr>
      </w:pPr>
    </w:p>
    <w:p w14:paraId="749AFE16" w14:textId="77777777" w:rsidR="001D17E8" w:rsidRPr="00AF25A6" w:rsidRDefault="001D17E8" w:rsidP="001D17E8">
      <w:pPr>
        <w:tabs>
          <w:tab w:val="clear" w:pos="567"/>
        </w:tabs>
        <w:spacing w:line="240" w:lineRule="auto"/>
        <w:rPr>
          <w:szCs w:val="22"/>
        </w:rPr>
      </w:pPr>
      <w:r w:rsidRPr="00AF25A6">
        <w:rPr>
          <w:szCs w:val="22"/>
        </w:rPr>
        <w:t>Pārejas laikā no perorālas terapijas uz Bufomix Easyhaler, novērota vispārēji vājāka sistēmisko steroīdu darbība, kas var izraisīt alerģiskus vai artrīta simptomus kā rinīts, ekzēma, muskuļu un locītavu sāpes. Jāsāk šiem stāvokļiem atbilstoša ārstēšana. Ja retos gadījumos parādās tādi simptomi kā nogurums, galvassāpes, slikta dūša, vemšana, ir jādomā par vispārēju glikokortikosteroīdu nepietiekamības efektu. Šādos gadījumos dažkārt nepieciešams uz laiku palielināt perorālo glikokortikosteroīdu devu.</w:t>
      </w:r>
    </w:p>
    <w:p w14:paraId="749AFE17" w14:textId="77777777" w:rsidR="001D17E8" w:rsidRPr="00AF25A6" w:rsidRDefault="001D17E8" w:rsidP="001D17E8">
      <w:pPr>
        <w:tabs>
          <w:tab w:val="clear" w:pos="567"/>
        </w:tabs>
        <w:spacing w:line="240" w:lineRule="auto"/>
        <w:rPr>
          <w:szCs w:val="22"/>
        </w:rPr>
      </w:pPr>
    </w:p>
    <w:p w14:paraId="749AFE18" w14:textId="77777777" w:rsidR="001D17E8" w:rsidRPr="006D3BB7" w:rsidRDefault="001D17E8" w:rsidP="001D17E8">
      <w:pPr>
        <w:tabs>
          <w:tab w:val="clear" w:pos="567"/>
        </w:tabs>
        <w:spacing w:line="240" w:lineRule="auto"/>
        <w:rPr>
          <w:szCs w:val="22"/>
        </w:rPr>
      </w:pPr>
      <w:r w:rsidRPr="006D3BB7">
        <w:rPr>
          <w:szCs w:val="22"/>
        </w:rPr>
        <w:t xml:space="preserve">Lai mazinātu mutes un rīkles </w:t>
      </w:r>
      <w:r w:rsidRPr="001A0EF4">
        <w:rPr>
          <w:i/>
          <w:szCs w:val="22"/>
        </w:rPr>
        <w:t>Candida</w:t>
      </w:r>
      <w:r w:rsidRPr="006D3BB7">
        <w:rPr>
          <w:szCs w:val="22"/>
        </w:rPr>
        <w:t xml:space="preserve"> infekcijas risku</w:t>
      </w:r>
      <w:r>
        <w:rPr>
          <w:szCs w:val="22"/>
        </w:rPr>
        <w:t xml:space="preserve"> (skatīt 4.8. apakšpunktu)</w:t>
      </w:r>
      <w:r w:rsidRPr="006D3BB7">
        <w:rPr>
          <w:szCs w:val="22"/>
        </w:rPr>
        <w:t>, pacientam pēc pamatdevas inhalācijas jāizskalo mute ar ūdeni.</w:t>
      </w:r>
      <w:r w:rsidRPr="00AF25A6">
        <w:rPr>
          <w:szCs w:val="22"/>
        </w:rPr>
        <w:t>Ja rodas mutes un rīkles kandidoze, pacientam jāizskalo mute ar ūdeni arī pēc papildus inhalāciju lietošanas pēc vajadzības.</w:t>
      </w:r>
    </w:p>
    <w:p w14:paraId="749AFE19" w14:textId="77777777" w:rsidR="001D17E8" w:rsidRPr="006D3BB7" w:rsidRDefault="001D17E8" w:rsidP="001D17E8">
      <w:pPr>
        <w:tabs>
          <w:tab w:val="clear" w:pos="567"/>
        </w:tabs>
        <w:spacing w:line="240" w:lineRule="auto"/>
        <w:rPr>
          <w:szCs w:val="22"/>
        </w:rPr>
      </w:pPr>
    </w:p>
    <w:p w14:paraId="749AFE1A" w14:textId="77777777" w:rsidR="001D17E8" w:rsidRPr="006D3BB7" w:rsidRDefault="001D17E8" w:rsidP="001D17E8">
      <w:pPr>
        <w:tabs>
          <w:tab w:val="clear" w:pos="567"/>
        </w:tabs>
        <w:spacing w:line="240" w:lineRule="auto"/>
        <w:rPr>
          <w:szCs w:val="22"/>
        </w:rPr>
      </w:pPr>
      <w:r w:rsidRPr="006D3BB7">
        <w:rPr>
          <w:szCs w:val="22"/>
        </w:rPr>
        <w:t>Jāizvairās no vienlaicīgas itrakonazola un ritonavīra vai citu spēcīgu CYP3A inhibitoru lietošanas (skatīt 4.5. apakšpunktu). Ja tas nav iespējams, laika intervālam starp zāļu, kas savā starpā mijiedarbojas, lietošanu jābūt pēc iespējas lielākam.</w:t>
      </w:r>
      <w:r w:rsidRPr="0022326A">
        <w:rPr>
          <w:szCs w:val="22"/>
        </w:rPr>
        <w:t>Pacientiem, kuri lieto spēcīgus CYP3A inhibitorus, pamata terapija un simptomu novēršanas terapija</w:t>
      </w:r>
      <w:r>
        <w:rPr>
          <w:szCs w:val="22"/>
        </w:rPr>
        <w:t xml:space="preserve"> nav ieteicama.</w:t>
      </w:r>
    </w:p>
    <w:p w14:paraId="749AFE1B" w14:textId="77777777" w:rsidR="001D17E8" w:rsidRPr="006D3BB7" w:rsidRDefault="001D17E8" w:rsidP="001D17E8">
      <w:pPr>
        <w:tabs>
          <w:tab w:val="clear" w:pos="567"/>
        </w:tabs>
        <w:spacing w:line="240" w:lineRule="auto"/>
        <w:rPr>
          <w:szCs w:val="22"/>
        </w:rPr>
      </w:pPr>
    </w:p>
    <w:p w14:paraId="749AFE1C" w14:textId="77777777" w:rsidR="001D17E8" w:rsidRPr="006D3BB7" w:rsidRDefault="001D17E8" w:rsidP="001D17E8">
      <w:pPr>
        <w:tabs>
          <w:tab w:val="clear" w:pos="567"/>
        </w:tabs>
        <w:spacing w:line="240" w:lineRule="auto"/>
        <w:rPr>
          <w:szCs w:val="22"/>
        </w:rPr>
      </w:pPr>
      <w:r w:rsidRPr="006D3BB7">
        <w:rPr>
          <w:szCs w:val="22"/>
        </w:rPr>
        <w:t>Bufomix Easyhaler uzmanīgi jālieto pacientiem ar tireotoksikozi, feohromocitomu, cukura diabētu, neārstētu hipokaliēmiju, hipertrofisku obstruktīvu kardiomiopātiju, idiopātisku subvalvulāru aortālu stenozi, smagu hipertensiju, aneirismu vai ar citām smagām sirds un asinsvadu sistēmas slimībām, piemēram, ar sirds išēmisko slimību, tahiaritmijām vai smagu sirds mazspēju.</w:t>
      </w:r>
    </w:p>
    <w:p w14:paraId="749AFE1D" w14:textId="77777777" w:rsidR="001D17E8" w:rsidRPr="006D3BB7" w:rsidRDefault="001D17E8" w:rsidP="001D17E8">
      <w:pPr>
        <w:tabs>
          <w:tab w:val="clear" w:pos="567"/>
        </w:tabs>
        <w:spacing w:line="240" w:lineRule="auto"/>
        <w:rPr>
          <w:szCs w:val="22"/>
        </w:rPr>
      </w:pPr>
    </w:p>
    <w:p w14:paraId="749AFE1E" w14:textId="77777777" w:rsidR="001D17E8" w:rsidRPr="00AF25A6" w:rsidRDefault="001D17E8" w:rsidP="001D17E8">
      <w:pPr>
        <w:tabs>
          <w:tab w:val="clear" w:pos="567"/>
        </w:tabs>
        <w:spacing w:line="240" w:lineRule="auto"/>
        <w:rPr>
          <w:szCs w:val="22"/>
        </w:rPr>
      </w:pPr>
      <w:r w:rsidRPr="006D3BB7">
        <w:rPr>
          <w:szCs w:val="22"/>
        </w:rPr>
        <w:t>Piesardzība jāievēro</w:t>
      </w:r>
      <w:r>
        <w:rPr>
          <w:szCs w:val="22"/>
        </w:rPr>
        <w:t>,</w:t>
      </w:r>
      <w:r w:rsidRPr="006D3BB7">
        <w:rPr>
          <w:szCs w:val="22"/>
        </w:rPr>
        <w:t xml:space="preserve"> ārstējot pacientus ar pagarinātu QTc intervālu. Formoterols pats var izraisīt QTc intervāla pagarināšanos.</w:t>
      </w:r>
    </w:p>
    <w:p w14:paraId="749AFE1F" w14:textId="77777777" w:rsidR="001D17E8" w:rsidRDefault="001D17E8" w:rsidP="001D17E8">
      <w:pPr>
        <w:tabs>
          <w:tab w:val="clear" w:pos="567"/>
        </w:tabs>
        <w:spacing w:line="240" w:lineRule="auto"/>
        <w:rPr>
          <w:szCs w:val="22"/>
        </w:rPr>
      </w:pPr>
    </w:p>
    <w:p w14:paraId="749AFE20" w14:textId="77777777" w:rsidR="001D17E8" w:rsidRPr="00AF25A6" w:rsidRDefault="001D17E8" w:rsidP="001D17E8">
      <w:pPr>
        <w:tabs>
          <w:tab w:val="clear" w:pos="567"/>
        </w:tabs>
        <w:spacing w:line="240" w:lineRule="auto"/>
        <w:rPr>
          <w:szCs w:val="22"/>
        </w:rPr>
      </w:pPr>
      <w:r w:rsidRPr="00AF25A6">
        <w:rPr>
          <w:szCs w:val="22"/>
        </w:rPr>
        <w:lastRenderedPageBreak/>
        <w:t>Inhalējamo kortikosteroīdu nepieciešamība un deva atkārtoti jāizvērtē pacientiem ar aktīvu vai latentu plaušu tuberkulozi, elpceļu sēnīšu un vīrusu infekcijām.</w:t>
      </w:r>
    </w:p>
    <w:p w14:paraId="749AFE21" w14:textId="77777777" w:rsidR="001D17E8" w:rsidRPr="00AF25A6" w:rsidRDefault="001D17E8" w:rsidP="001D17E8">
      <w:pPr>
        <w:tabs>
          <w:tab w:val="clear" w:pos="567"/>
        </w:tabs>
        <w:spacing w:line="240" w:lineRule="auto"/>
        <w:rPr>
          <w:szCs w:val="22"/>
        </w:rPr>
      </w:pPr>
    </w:p>
    <w:p w14:paraId="749AFE22" w14:textId="77777777" w:rsidR="001D17E8" w:rsidRPr="006D3BB7" w:rsidRDefault="001D17E8" w:rsidP="001D17E8">
      <w:pPr>
        <w:tabs>
          <w:tab w:val="clear" w:pos="567"/>
        </w:tabs>
        <w:spacing w:line="240" w:lineRule="auto"/>
        <w:rPr>
          <w:szCs w:val="22"/>
        </w:rPr>
      </w:pPr>
      <w:r w:rsidRPr="006D3BB7">
        <w:rPr>
          <w:szCs w:val="22"/>
        </w:rPr>
        <w:t>Lielas β</w:t>
      </w:r>
      <w:r w:rsidRPr="006D3BB7">
        <w:rPr>
          <w:szCs w:val="22"/>
          <w:vertAlign w:val="subscript"/>
        </w:rPr>
        <w:t>2</w:t>
      </w:r>
      <w:r w:rsidRPr="006D3BB7">
        <w:rPr>
          <w:szCs w:val="22"/>
        </w:rPr>
        <w:t>-adrenoreceptoru agonistu devas var izraisīt potenciāli nopietnu hipokaliēmiju. Vienlaicīga ārstēšana ar β</w:t>
      </w:r>
      <w:r w:rsidRPr="006D3BB7">
        <w:rPr>
          <w:szCs w:val="22"/>
          <w:vertAlign w:val="subscript"/>
        </w:rPr>
        <w:t>2</w:t>
      </w:r>
      <w:r w:rsidRPr="006D3BB7">
        <w:rPr>
          <w:szCs w:val="22"/>
        </w:rPr>
        <w:t>-adrenoreceptoru agonistiem un zālēm, kas var izraisīt hipokaliēmiju vai pastiprināt hipokaliēmisko efektu, piemēram, ksantīna atvasinājumi, steroīdi un diurētiskie līdzekļi, var palielināt β</w:t>
      </w:r>
      <w:r w:rsidRPr="006D3BB7">
        <w:rPr>
          <w:szCs w:val="22"/>
          <w:vertAlign w:val="subscript"/>
        </w:rPr>
        <w:t>2</w:t>
      </w:r>
      <w:r w:rsidRPr="006D3BB7">
        <w:rPr>
          <w:szCs w:val="22"/>
        </w:rPr>
        <w:t>-adrenoreceptoru agonistu hipokaliēmiskā efekta iespējamību. Īpašu piesardzību ieteicams ievērot nestabilas astmas gadījumā, lietojot dažādus glābšanas bronhodilatatorus, un smagas akūtas astmas gadījumā, jo hipoksija var palielināt iespējamo risku, kā arī citos gadījumos, kad pieaug hipokaliēmijas risks. Šajos gadījumos ieteicams kontrolēt kālija līmeni serumā.</w:t>
      </w:r>
    </w:p>
    <w:p w14:paraId="749AFE23" w14:textId="77777777" w:rsidR="001D17E8" w:rsidRPr="006D3BB7" w:rsidRDefault="001D17E8" w:rsidP="001D17E8">
      <w:pPr>
        <w:tabs>
          <w:tab w:val="clear" w:pos="567"/>
        </w:tabs>
        <w:spacing w:line="240" w:lineRule="auto"/>
        <w:rPr>
          <w:szCs w:val="22"/>
        </w:rPr>
      </w:pPr>
    </w:p>
    <w:p w14:paraId="749AFE24" w14:textId="77777777" w:rsidR="001D17E8" w:rsidRPr="00AF25A6" w:rsidRDefault="001D17E8" w:rsidP="001D17E8">
      <w:pPr>
        <w:tabs>
          <w:tab w:val="clear" w:pos="567"/>
        </w:tabs>
        <w:spacing w:line="240" w:lineRule="auto"/>
        <w:rPr>
          <w:szCs w:val="22"/>
        </w:rPr>
      </w:pPr>
      <w:r w:rsidRPr="006D3BB7">
        <w:rPr>
          <w:szCs w:val="22"/>
        </w:rPr>
        <w:t>Līdzīgi kā, lietojot citus β</w:t>
      </w:r>
      <w:r w:rsidRPr="006D3BB7">
        <w:rPr>
          <w:szCs w:val="22"/>
          <w:vertAlign w:val="subscript"/>
        </w:rPr>
        <w:t>2</w:t>
      </w:r>
      <w:r w:rsidRPr="006D3BB7">
        <w:rPr>
          <w:szCs w:val="22"/>
        </w:rPr>
        <w:t>-adrenoreceptoru agonistus, pacientiem ar cukura diabētu jāapsver glikozes līmeņa papildu kontrole asinīs.</w:t>
      </w:r>
    </w:p>
    <w:p w14:paraId="749AFE25" w14:textId="77777777" w:rsidR="001D17E8" w:rsidRPr="00AF25A6" w:rsidRDefault="001D17E8" w:rsidP="001D17E8">
      <w:pPr>
        <w:tabs>
          <w:tab w:val="clear" w:pos="567"/>
        </w:tabs>
        <w:spacing w:line="240" w:lineRule="auto"/>
        <w:rPr>
          <w:szCs w:val="22"/>
        </w:rPr>
      </w:pPr>
    </w:p>
    <w:p w14:paraId="749AFE26" w14:textId="77777777" w:rsidR="00B57CCA" w:rsidRPr="00505578" w:rsidRDefault="00B57CCA" w:rsidP="00B57CCA">
      <w:pPr>
        <w:keepNext/>
        <w:tabs>
          <w:tab w:val="clear" w:pos="567"/>
        </w:tabs>
        <w:spacing w:line="240" w:lineRule="auto"/>
        <w:rPr>
          <w:u w:val="single"/>
        </w:rPr>
      </w:pPr>
      <w:r w:rsidRPr="00505578">
        <w:rPr>
          <w:u w:val="single"/>
        </w:rPr>
        <w:t>Redzes traucējumi</w:t>
      </w:r>
    </w:p>
    <w:p w14:paraId="749AFE27" w14:textId="77777777" w:rsidR="00B57CCA" w:rsidRDefault="00B57CCA" w:rsidP="00B57CCA">
      <w:pPr>
        <w:tabs>
          <w:tab w:val="clear" w:pos="567"/>
        </w:tabs>
        <w:spacing w:line="240" w:lineRule="auto"/>
      </w:pPr>
      <w:r>
        <w:t>Saistībā ar sistēmisku un lokālu kortikosteroīdu lietošanu var tikt ziņots par redzes traucējumiem. Ja pacientam ir tādi simptomi kā neskaidra redze vai citi redzes traucējumi, jāapsver pacienta norīkošana pie oftalmologa, lai novērtētu to iespējamos cēloņus, kas var būt, piemēram, katarakta, glaukoma vai tādas retas slimības kā centrāla seroza horioretinopātija (CSHR), par ko ir ziņots pēc kortikosteroīdu sistēmiskas un lokālas lietošanas.</w:t>
      </w:r>
    </w:p>
    <w:p w14:paraId="749AFE28" w14:textId="77777777" w:rsidR="00B57CCA" w:rsidRPr="006D3BB7" w:rsidRDefault="00B57CCA" w:rsidP="00B57CCA">
      <w:pPr>
        <w:tabs>
          <w:tab w:val="clear" w:pos="567"/>
        </w:tabs>
        <w:spacing w:line="240" w:lineRule="auto"/>
        <w:rPr>
          <w:szCs w:val="22"/>
        </w:rPr>
      </w:pPr>
    </w:p>
    <w:p w14:paraId="749AFE29" w14:textId="77777777" w:rsidR="001D17E8" w:rsidRDefault="001D17E8" w:rsidP="001D17E8">
      <w:pPr>
        <w:tabs>
          <w:tab w:val="clear" w:pos="567"/>
        </w:tabs>
        <w:spacing w:line="240" w:lineRule="auto"/>
        <w:rPr>
          <w:szCs w:val="22"/>
        </w:rPr>
      </w:pPr>
      <w:r w:rsidRPr="00AF25A6">
        <w:rPr>
          <w:szCs w:val="22"/>
        </w:rPr>
        <w:t>Bufomix Easyhaler satur aptuveni 4 mg laktozes monohidrāta/inhalācijā. Šis daudzums parasti nerada problēmas cilvēkiem, kuri nepanes laktozi. Palīgviela laktoze satur nelielu daudzumu piena proteīnus, kas var izraisīt alerģiskas reakcijas.</w:t>
      </w:r>
      <w:r w:rsidRPr="00AF25A6">
        <w:rPr>
          <w:szCs w:val="22"/>
        </w:rPr>
        <w:cr/>
      </w:r>
    </w:p>
    <w:p w14:paraId="749AFE2A" w14:textId="77777777" w:rsidR="001D17E8" w:rsidRPr="009C647B" w:rsidRDefault="001D17E8" w:rsidP="001D17E8">
      <w:pPr>
        <w:keepNext/>
        <w:tabs>
          <w:tab w:val="clear" w:pos="567"/>
        </w:tabs>
        <w:spacing w:line="240" w:lineRule="auto"/>
        <w:rPr>
          <w:i/>
          <w:szCs w:val="22"/>
        </w:rPr>
      </w:pPr>
      <w:r w:rsidRPr="009C647B">
        <w:rPr>
          <w:i/>
          <w:szCs w:val="22"/>
        </w:rPr>
        <w:t>Pediatriskā populācija</w:t>
      </w:r>
    </w:p>
    <w:p w14:paraId="749AFE2B" w14:textId="77777777" w:rsidR="001D17E8" w:rsidRPr="006D3BB7" w:rsidRDefault="001D17E8" w:rsidP="001D17E8">
      <w:pPr>
        <w:tabs>
          <w:tab w:val="clear" w:pos="567"/>
        </w:tabs>
        <w:spacing w:line="240" w:lineRule="auto"/>
        <w:rPr>
          <w:szCs w:val="22"/>
        </w:rPr>
      </w:pPr>
      <w:r w:rsidRPr="006D3BB7">
        <w:rPr>
          <w:szCs w:val="22"/>
        </w:rPr>
        <w:t>Bērniem, kuri saņem ilgstošu inhalējamo kortikosteroīdu terapiju, ieteicams regulāri novērot auguma garumu. Ja augšana ir palēnināta, ir svarīgi terapiju pārskatīt un, ja iespējams, samazināt inhalējamo kortikosteroīdu devu līdz mazākajai devai, ar kuru saglabājas efektīva astmas kontrole. Rūpīgi jāapsver kortikosteroīdu terapijas ieguvums un iespējams augšanas nomākuma risks. Turklāt jāapsver bērnu pulmonologa konsultācijas nepieciešamība.</w:t>
      </w:r>
    </w:p>
    <w:p w14:paraId="749AFE2C" w14:textId="77777777" w:rsidR="001D17E8" w:rsidRPr="006D3BB7" w:rsidRDefault="001D17E8" w:rsidP="001D17E8">
      <w:pPr>
        <w:tabs>
          <w:tab w:val="clear" w:pos="567"/>
        </w:tabs>
        <w:spacing w:line="240" w:lineRule="auto"/>
        <w:rPr>
          <w:szCs w:val="22"/>
        </w:rPr>
      </w:pPr>
    </w:p>
    <w:p w14:paraId="749AFE2D" w14:textId="77777777" w:rsidR="001D17E8" w:rsidRPr="00AF25A6" w:rsidRDefault="001D17E8" w:rsidP="001D17E8">
      <w:pPr>
        <w:tabs>
          <w:tab w:val="clear" w:pos="567"/>
        </w:tabs>
        <w:spacing w:line="240" w:lineRule="auto"/>
        <w:rPr>
          <w:szCs w:val="22"/>
        </w:rPr>
      </w:pPr>
      <w:r w:rsidRPr="006D3BB7">
        <w:rPr>
          <w:szCs w:val="22"/>
        </w:rPr>
        <w:t>Ierobežoti dati no ilgtermiņa pētījumiem liecina, ka lielākā daļa bērnu un pusaudžu, kuri tiek ārstēti ar inhalējamu budezonīdu, sasniedz savu paredzēto augumu pieaugušo vecumā. Tomēr tiek novērota sākotnēja neliela (apmēram 1 cm), bet pārejoša augšanas aizture. Parasti tas notiek terapijas pirmā gada laikā.</w:t>
      </w:r>
    </w:p>
    <w:p w14:paraId="749AFE2E" w14:textId="77777777" w:rsidR="001D17E8" w:rsidRPr="00AF25A6" w:rsidRDefault="001D17E8" w:rsidP="001D17E8">
      <w:pPr>
        <w:tabs>
          <w:tab w:val="clear" w:pos="567"/>
        </w:tabs>
        <w:spacing w:line="240" w:lineRule="auto"/>
        <w:rPr>
          <w:szCs w:val="22"/>
        </w:rPr>
      </w:pPr>
    </w:p>
    <w:p w14:paraId="749AFE2F" w14:textId="77777777" w:rsidR="001D17E8" w:rsidRPr="00AF25A6" w:rsidRDefault="001D17E8" w:rsidP="001D17E8">
      <w:pPr>
        <w:keepNext/>
        <w:tabs>
          <w:tab w:val="clear" w:pos="567"/>
        </w:tabs>
        <w:spacing w:line="240" w:lineRule="auto"/>
        <w:ind w:left="567" w:hanging="567"/>
        <w:rPr>
          <w:b/>
          <w:szCs w:val="22"/>
        </w:rPr>
      </w:pPr>
      <w:r w:rsidRPr="00AF25A6">
        <w:rPr>
          <w:b/>
          <w:szCs w:val="22"/>
        </w:rPr>
        <w:t>4.5.</w:t>
      </w:r>
      <w:r w:rsidRPr="00AF25A6">
        <w:rPr>
          <w:b/>
          <w:szCs w:val="22"/>
        </w:rPr>
        <w:tab/>
        <w:t>Mijiedarbība ar citām zālēm un citi mijiedarbības veidi</w:t>
      </w:r>
    </w:p>
    <w:p w14:paraId="749AFE30" w14:textId="77777777" w:rsidR="001D17E8" w:rsidRPr="00AF25A6" w:rsidRDefault="001D17E8" w:rsidP="001D17E8">
      <w:pPr>
        <w:keepNext/>
        <w:tabs>
          <w:tab w:val="clear" w:pos="567"/>
        </w:tabs>
        <w:spacing w:line="240" w:lineRule="auto"/>
        <w:rPr>
          <w:szCs w:val="22"/>
        </w:rPr>
      </w:pPr>
    </w:p>
    <w:p w14:paraId="749AFE31" w14:textId="77777777" w:rsidR="001D17E8" w:rsidRPr="00AF25A6" w:rsidRDefault="001D17E8" w:rsidP="001D17E8">
      <w:pPr>
        <w:keepNext/>
        <w:tabs>
          <w:tab w:val="clear" w:pos="567"/>
        </w:tabs>
        <w:spacing w:line="240" w:lineRule="auto"/>
        <w:rPr>
          <w:i/>
          <w:szCs w:val="22"/>
        </w:rPr>
      </w:pPr>
      <w:r w:rsidRPr="00AF25A6">
        <w:rPr>
          <w:i/>
          <w:szCs w:val="22"/>
        </w:rPr>
        <w:t>Farmakokinētiskā mijiedarbība</w:t>
      </w:r>
    </w:p>
    <w:p w14:paraId="749AFE32" w14:textId="77777777" w:rsidR="001D17E8" w:rsidRPr="006D3BB7" w:rsidRDefault="001D17E8" w:rsidP="001D17E8">
      <w:pPr>
        <w:tabs>
          <w:tab w:val="clear" w:pos="567"/>
        </w:tabs>
        <w:spacing w:line="240" w:lineRule="auto"/>
        <w:rPr>
          <w:szCs w:val="22"/>
        </w:rPr>
      </w:pPr>
      <w:r w:rsidRPr="00AF25A6">
        <w:rPr>
          <w:szCs w:val="22"/>
        </w:rPr>
        <w:t>Spēcīgi CYP3A inhibitori (piemēram, ketokonazols, itrakonazols, vorikonazols, posakonazols, klaritromicīns, telitromicīns, nefazodons</w:t>
      </w:r>
      <w:r w:rsidR="001508BB">
        <w:rPr>
          <w:szCs w:val="22"/>
        </w:rPr>
        <w:t>, kobicistats</w:t>
      </w:r>
      <w:r w:rsidRPr="00AF25A6">
        <w:rPr>
          <w:szCs w:val="22"/>
        </w:rPr>
        <w:t xml:space="preserve"> un HIV pro</w:t>
      </w:r>
      <w:r>
        <w:rPr>
          <w:szCs w:val="22"/>
        </w:rPr>
        <w:t>t</w:t>
      </w:r>
      <w:r w:rsidRPr="00AF25A6">
        <w:rPr>
          <w:szCs w:val="22"/>
        </w:rPr>
        <w:t xml:space="preserve">eāzes inhibitori) var palielināt budezonīda līmeni </w:t>
      </w:r>
      <w:r w:rsidRPr="006D3BB7">
        <w:rPr>
          <w:szCs w:val="22"/>
        </w:rPr>
        <w:t>plazmā, jāizvairās no šo zāļu vienlaicīgas lietošanas. Ja tas nav iespējams, laika intervālam starp inhibitora un budezonīda lietošanu jābūt pēc iespējas lielākam (skatīt 4.4. apakšpunktu).</w:t>
      </w:r>
      <w:r w:rsidRPr="0022326A">
        <w:rPr>
          <w:szCs w:val="22"/>
        </w:rPr>
        <w:t>Pacientiem, kuri lieto spēcīgus CYP3A inhibitorus, pamata terapija un simptomu novēršanas terapija</w:t>
      </w:r>
      <w:r>
        <w:rPr>
          <w:szCs w:val="22"/>
        </w:rPr>
        <w:t xml:space="preserve"> nav ieteicama</w:t>
      </w:r>
      <w:r w:rsidRPr="0022326A">
        <w:rPr>
          <w:szCs w:val="22"/>
        </w:rPr>
        <w:t>.</w:t>
      </w:r>
    </w:p>
    <w:p w14:paraId="749AFE33" w14:textId="77777777" w:rsidR="001D17E8" w:rsidRPr="006D3BB7" w:rsidRDefault="001D17E8" w:rsidP="001D17E8">
      <w:pPr>
        <w:tabs>
          <w:tab w:val="clear" w:pos="567"/>
        </w:tabs>
        <w:spacing w:line="240" w:lineRule="auto"/>
        <w:rPr>
          <w:szCs w:val="22"/>
        </w:rPr>
      </w:pPr>
    </w:p>
    <w:p w14:paraId="749AFE34" w14:textId="77777777" w:rsidR="001D17E8" w:rsidRDefault="001D17E8" w:rsidP="001D17E8">
      <w:pPr>
        <w:tabs>
          <w:tab w:val="clear" w:pos="567"/>
        </w:tabs>
        <w:spacing w:line="240" w:lineRule="auto"/>
        <w:rPr>
          <w:szCs w:val="22"/>
        </w:rPr>
      </w:pPr>
      <w:r w:rsidRPr="006D3BB7">
        <w:rPr>
          <w:szCs w:val="22"/>
        </w:rPr>
        <w:t xml:space="preserve">Vienlaicīga spēcīga CYP3A4 inhibitora ketokonazola, vienreiz dienā pa 200 mg, lietošana kopā ar perorālu budezonīdu (vienreizēja deva pa 3 mg) palielināja līmeni plazmā vidēji 6 reizes. Kad ketokonazols tika lietots 12 stundas pēc budezonīda, koncentrācija vidēji palielinājās tikai 3 reizes, pierādot, ka zāļu lietošanas atdalīšana var samazināt palielinātu koncentrāciju plazmā. Ierobežoti dati par augstu devu inhalējamā budezonīda mijiedarbību parāda, ka itrakonazola (200 mg vienu reizi dienā) koncentrācijas līmenis plazmā var </w:t>
      </w:r>
      <w:r w:rsidRPr="006D3BB7">
        <w:rPr>
          <w:szCs w:val="22"/>
        </w:rPr>
        <w:lastRenderedPageBreak/>
        <w:t>palielināties (vidēji četras reizes), ja to lieto vienlaicīgi ar inhalējamo budezonīdu (vienreizēja deva 1000 mikrogrami).</w:t>
      </w:r>
    </w:p>
    <w:p w14:paraId="749AFE35" w14:textId="77777777" w:rsidR="001508BB" w:rsidRDefault="001508BB" w:rsidP="001D17E8">
      <w:pPr>
        <w:tabs>
          <w:tab w:val="clear" w:pos="567"/>
        </w:tabs>
        <w:spacing w:line="240" w:lineRule="auto"/>
        <w:rPr>
          <w:szCs w:val="22"/>
        </w:rPr>
      </w:pPr>
    </w:p>
    <w:p w14:paraId="749AFE36" w14:textId="77777777" w:rsidR="001508BB" w:rsidRPr="006D3BB7" w:rsidRDefault="001508BB" w:rsidP="001D17E8">
      <w:pPr>
        <w:tabs>
          <w:tab w:val="clear" w:pos="567"/>
        </w:tabs>
        <w:spacing w:line="240" w:lineRule="auto"/>
        <w:rPr>
          <w:szCs w:val="22"/>
        </w:rPr>
      </w:pPr>
      <w:r w:rsidRPr="00B26A86">
        <w:rPr>
          <w:szCs w:val="22"/>
        </w:rPr>
        <w:t>Paredzams, ka vienlaicīga ārstēšana ar kobicistatu saturošām zālēm palielina sistēmisko blakusparādību risku. Būtu jāizvairās no šo zāļu kombinētas lietošanas, ja vien ieguvums neatsver paaugstinātu sistēmisko kortikosteroīdu blakusparādību risku, un šādā gadījumā pacientiem ir jāuzrauga sist</w:t>
      </w:r>
      <w:r w:rsidR="00C90530">
        <w:rPr>
          <w:szCs w:val="22"/>
        </w:rPr>
        <w:t>ē</w:t>
      </w:r>
      <w:r w:rsidRPr="00B26A86">
        <w:rPr>
          <w:szCs w:val="22"/>
        </w:rPr>
        <w:t>miska</w:t>
      </w:r>
      <w:r w:rsidR="00F1203A">
        <w:rPr>
          <w:szCs w:val="22"/>
        </w:rPr>
        <w:t>s</w:t>
      </w:r>
      <w:r w:rsidRPr="00B26A86">
        <w:rPr>
          <w:szCs w:val="22"/>
        </w:rPr>
        <w:t xml:space="preserve"> kortikosteroīdu </w:t>
      </w:r>
      <w:r w:rsidR="00F1203A">
        <w:rPr>
          <w:szCs w:val="22"/>
        </w:rPr>
        <w:t>blakusparādības</w:t>
      </w:r>
      <w:r w:rsidRPr="00B26A86">
        <w:rPr>
          <w:szCs w:val="22"/>
        </w:rPr>
        <w:t>.</w:t>
      </w:r>
    </w:p>
    <w:p w14:paraId="749AFE37" w14:textId="77777777" w:rsidR="001D17E8" w:rsidRPr="006D3BB7" w:rsidRDefault="001D17E8" w:rsidP="001D17E8">
      <w:pPr>
        <w:tabs>
          <w:tab w:val="clear" w:pos="567"/>
        </w:tabs>
        <w:spacing w:line="240" w:lineRule="auto"/>
        <w:rPr>
          <w:szCs w:val="22"/>
        </w:rPr>
      </w:pPr>
    </w:p>
    <w:p w14:paraId="749AFE38" w14:textId="77777777" w:rsidR="001D17E8" w:rsidRPr="006D3BB7" w:rsidRDefault="001D17E8" w:rsidP="001D17E8">
      <w:pPr>
        <w:keepNext/>
        <w:tabs>
          <w:tab w:val="clear" w:pos="567"/>
        </w:tabs>
        <w:spacing w:line="240" w:lineRule="auto"/>
        <w:rPr>
          <w:i/>
          <w:szCs w:val="22"/>
        </w:rPr>
      </w:pPr>
      <w:r w:rsidRPr="006D3BB7">
        <w:rPr>
          <w:i/>
          <w:szCs w:val="22"/>
        </w:rPr>
        <w:t>Farmakodinamiskā mijiedarbība</w:t>
      </w:r>
    </w:p>
    <w:p w14:paraId="749AFE39" w14:textId="77777777" w:rsidR="001D17E8" w:rsidRPr="006D3BB7" w:rsidRDefault="001D17E8" w:rsidP="001D17E8">
      <w:pPr>
        <w:tabs>
          <w:tab w:val="clear" w:pos="567"/>
        </w:tabs>
        <w:spacing w:line="240" w:lineRule="auto"/>
        <w:rPr>
          <w:szCs w:val="22"/>
        </w:rPr>
      </w:pPr>
      <w:r w:rsidRPr="006D3BB7">
        <w:rPr>
          <w:szCs w:val="22"/>
        </w:rPr>
        <w:t xml:space="preserve">Bēta adrenerģiskie blokatori var pavājināt vai nomākt formoterola iedarbību. Tādēļ </w:t>
      </w:r>
      <w:r w:rsidRPr="006D3BB7">
        <w:rPr>
          <w:bCs/>
          <w:iCs/>
          <w:szCs w:val="22"/>
        </w:rPr>
        <w:t>Bufomix Easyhaler</w:t>
      </w:r>
      <w:r w:rsidRPr="006D3BB7">
        <w:rPr>
          <w:szCs w:val="22"/>
        </w:rPr>
        <w:t xml:space="preserve"> nedrīkst lietot kopā ar bēta adrenerģiskiem blokatoriem (arī ar acu pilieniem), ja vien nav būtiskas indikācijas.</w:t>
      </w:r>
    </w:p>
    <w:p w14:paraId="749AFE3A" w14:textId="77777777" w:rsidR="001D17E8" w:rsidRDefault="001D17E8" w:rsidP="001D17E8">
      <w:pPr>
        <w:tabs>
          <w:tab w:val="clear" w:pos="567"/>
        </w:tabs>
        <w:spacing w:line="240" w:lineRule="auto"/>
        <w:rPr>
          <w:szCs w:val="22"/>
        </w:rPr>
      </w:pPr>
    </w:p>
    <w:p w14:paraId="749AFE3B" w14:textId="77777777" w:rsidR="001D17E8" w:rsidRPr="00AF25A6" w:rsidRDefault="001D17E8" w:rsidP="001D17E8">
      <w:pPr>
        <w:tabs>
          <w:tab w:val="clear" w:pos="567"/>
        </w:tabs>
        <w:spacing w:line="240" w:lineRule="auto"/>
        <w:rPr>
          <w:szCs w:val="22"/>
        </w:rPr>
      </w:pPr>
      <w:r w:rsidRPr="006D3BB7">
        <w:rPr>
          <w:szCs w:val="22"/>
        </w:rPr>
        <w:t>Vienlaicīga ārstēšana ar hinidīnu, dizopiramīdu, prokaīnamīdu, fenotiazīniem, prethistamīna</w:t>
      </w:r>
      <w:r w:rsidRPr="00AF25A6">
        <w:rPr>
          <w:szCs w:val="22"/>
        </w:rPr>
        <w:t xml:space="preserve"> līdzekļiem (terfenadīnu) un tricikliskiem antidepresantiem var pagarināt QTc intervālu un palielināt ventrikulāro aritmiju risku.</w:t>
      </w:r>
    </w:p>
    <w:p w14:paraId="749AFE3C" w14:textId="77777777" w:rsidR="001D17E8" w:rsidRPr="00AF25A6" w:rsidRDefault="001D17E8" w:rsidP="001D17E8">
      <w:pPr>
        <w:tabs>
          <w:tab w:val="clear" w:pos="567"/>
        </w:tabs>
        <w:spacing w:line="240" w:lineRule="auto"/>
        <w:rPr>
          <w:szCs w:val="22"/>
        </w:rPr>
      </w:pPr>
    </w:p>
    <w:p w14:paraId="749AFE3D" w14:textId="77777777" w:rsidR="001D17E8" w:rsidRPr="00FC31D5" w:rsidRDefault="001D17E8" w:rsidP="001D17E8">
      <w:pPr>
        <w:tabs>
          <w:tab w:val="clear" w:pos="567"/>
        </w:tabs>
        <w:spacing w:line="240" w:lineRule="auto"/>
        <w:rPr>
          <w:szCs w:val="22"/>
        </w:rPr>
      </w:pPr>
      <w:r w:rsidRPr="00FC31D5">
        <w:rPr>
          <w:szCs w:val="22"/>
        </w:rPr>
        <w:t>Turklāt L-dopa, L-tiroksīns, oksitocīns un alkohols var palielināt sirds jutību pret β</w:t>
      </w:r>
      <w:r w:rsidRPr="00FC31D5">
        <w:rPr>
          <w:szCs w:val="22"/>
          <w:vertAlign w:val="subscript"/>
        </w:rPr>
        <w:t>2</w:t>
      </w:r>
      <w:r w:rsidRPr="00FC31D5">
        <w:rPr>
          <w:szCs w:val="22"/>
        </w:rPr>
        <w:t>-adrenoreceptoru simpatomimētiskiem līdzekļiem.</w:t>
      </w:r>
    </w:p>
    <w:p w14:paraId="749AFE3E" w14:textId="77777777" w:rsidR="001D17E8" w:rsidRPr="00FC31D5" w:rsidRDefault="001D17E8" w:rsidP="001D17E8">
      <w:pPr>
        <w:tabs>
          <w:tab w:val="clear" w:pos="567"/>
        </w:tabs>
        <w:spacing w:line="240" w:lineRule="auto"/>
        <w:rPr>
          <w:szCs w:val="22"/>
        </w:rPr>
      </w:pPr>
    </w:p>
    <w:p w14:paraId="749AFE3F" w14:textId="77777777" w:rsidR="001D17E8" w:rsidRPr="00FC31D5" w:rsidRDefault="001D17E8" w:rsidP="001D17E8">
      <w:pPr>
        <w:tabs>
          <w:tab w:val="clear" w:pos="567"/>
        </w:tabs>
        <w:spacing w:line="240" w:lineRule="auto"/>
        <w:rPr>
          <w:szCs w:val="22"/>
        </w:rPr>
      </w:pPr>
      <w:r w:rsidRPr="00FC31D5">
        <w:rPr>
          <w:szCs w:val="22"/>
        </w:rPr>
        <w:t xml:space="preserve">Vienlaicīga ārstēšana ar monoamīnoksidāzes inhibitoriem, </w:t>
      </w:r>
      <w:r w:rsidR="00250078">
        <w:rPr>
          <w:szCs w:val="22"/>
        </w:rPr>
        <w:t>tostarp</w:t>
      </w:r>
      <w:r w:rsidRPr="00FC31D5">
        <w:rPr>
          <w:szCs w:val="22"/>
        </w:rPr>
        <w:t xml:space="preserve"> ar līdzekļiem, kam ir līdzīgas īpašības, piemēram, ar furazolidonu un prokarbazīnu, var veicināt hipertensīvas reakcijas.</w:t>
      </w:r>
    </w:p>
    <w:p w14:paraId="749AFE40" w14:textId="77777777" w:rsidR="001D17E8" w:rsidRPr="00FC31D5" w:rsidRDefault="001D17E8" w:rsidP="001D17E8">
      <w:pPr>
        <w:tabs>
          <w:tab w:val="clear" w:pos="567"/>
        </w:tabs>
        <w:spacing w:line="240" w:lineRule="auto"/>
        <w:rPr>
          <w:szCs w:val="22"/>
        </w:rPr>
      </w:pPr>
    </w:p>
    <w:p w14:paraId="749AFE41" w14:textId="77777777" w:rsidR="001D17E8" w:rsidRPr="00FC31D5" w:rsidRDefault="001D17E8" w:rsidP="001D17E8">
      <w:pPr>
        <w:tabs>
          <w:tab w:val="clear" w:pos="567"/>
        </w:tabs>
        <w:spacing w:line="240" w:lineRule="auto"/>
        <w:rPr>
          <w:szCs w:val="22"/>
        </w:rPr>
      </w:pPr>
      <w:r w:rsidRPr="00FC31D5">
        <w:rPr>
          <w:szCs w:val="22"/>
        </w:rPr>
        <w:t>Pacientiem, kuri vienlaicīgi saņem anestēziju ar halogenētiem ogļūdeņražiem, ir palielināts aritmiju risks.</w:t>
      </w:r>
    </w:p>
    <w:p w14:paraId="749AFE42" w14:textId="77777777" w:rsidR="001D17E8" w:rsidRPr="00FC31D5" w:rsidRDefault="001D17E8" w:rsidP="001D17E8">
      <w:pPr>
        <w:tabs>
          <w:tab w:val="clear" w:pos="567"/>
        </w:tabs>
        <w:spacing w:line="240" w:lineRule="auto"/>
        <w:rPr>
          <w:szCs w:val="22"/>
        </w:rPr>
      </w:pPr>
    </w:p>
    <w:p w14:paraId="749AFE43" w14:textId="77777777" w:rsidR="001D17E8" w:rsidRPr="00FC31D5" w:rsidRDefault="001D17E8" w:rsidP="001D17E8">
      <w:pPr>
        <w:tabs>
          <w:tab w:val="clear" w:pos="567"/>
        </w:tabs>
        <w:spacing w:line="240" w:lineRule="auto"/>
        <w:rPr>
          <w:szCs w:val="22"/>
        </w:rPr>
      </w:pPr>
      <w:r w:rsidRPr="00FC31D5">
        <w:rPr>
          <w:szCs w:val="22"/>
        </w:rPr>
        <w:t>Vienlaicīgi lietojot citus bēta adrenerģiskus vai antiholīnerģiskus līdzekļus, to darbība var pastiprināt bronhodilatējošo efektu.</w:t>
      </w:r>
    </w:p>
    <w:p w14:paraId="749AFE44" w14:textId="77777777" w:rsidR="001D17E8" w:rsidRPr="00FC31D5" w:rsidRDefault="001D17E8" w:rsidP="001D17E8">
      <w:pPr>
        <w:tabs>
          <w:tab w:val="clear" w:pos="567"/>
        </w:tabs>
        <w:spacing w:line="240" w:lineRule="auto"/>
        <w:rPr>
          <w:szCs w:val="22"/>
        </w:rPr>
      </w:pPr>
    </w:p>
    <w:p w14:paraId="749AFE45" w14:textId="77777777" w:rsidR="001D17E8" w:rsidRDefault="001D17E8" w:rsidP="001D17E8">
      <w:pPr>
        <w:tabs>
          <w:tab w:val="clear" w:pos="567"/>
        </w:tabs>
        <w:spacing w:line="240" w:lineRule="auto"/>
        <w:rPr>
          <w:szCs w:val="22"/>
        </w:rPr>
      </w:pPr>
      <w:r w:rsidRPr="00FC31D5">
        <w:rPr>
          <w:szCs w:val="22"/>
        </w:rPr>
        <w:t>Pacientiem, kuri tiek ārstēti ar sirds glikozīdiem, hipokaliēmija var palielināt aritmiju rašanās iespējamību.</w:t>
      </w:r>
    </w:p>
    <w:p w14:paraId="749AFE46" w14:textId="77777777" w:rsidR="007C3A65" w:rsidRDefault="007C3A65" w:rsidP="00551D30">
      <w:pPr>
        <w:tabs>
          <w:tab w:val="clear" w:pos="567"/>
        </w:tabs>
        <w:spacing w:line="240" w:lineRule="auto"/>
        <w:rPr>
          <w:szCs w:val="22"/>
        </w:rPr>
      </w:pPr>
    </w:p>
    <w:p w14:paraId="749AFE47" w14:textId="77777777" w:rsidR="007C3A65" w:rsidRPr="00FC31D5" w:rsidRDefault="007C3A65" w:rsidP="00BF612B">
      <w:pPr>
        <w:rPr>
          <w:szCs w:val="22"/>
        </w:rPr>
      </w:pPr>
      <w:r>
        <w:rPr>
          <w:szCs w:val="22"/>
        </w:rPr>
        <w:t>β</w:t>
      </w:r>
      <w:r>
        <w:rPr>
          <w:szCs w:val="22"/>
          <w:vertAlign w:val="subscript"/>
        </w:rPr>
        <w:t>2</w:t>
      </w:r>
      <w:r>
        <w:rPr>
          <w:szCs w:val="22"/>
        </w:rPr>
        <w:t>-agonistu terapija var izraistīt hipokaliēmiju un vienlaicīga ārstēšana ar ksantīna atvasinājumiem, kortikosteroīdiem un diurētiskajiem līdzekļiem var to pastiprināt (skatīt 4.4. apakšpunktu).</w:t>
      </w:r>
    </w:p>
    <w:p w14:paraId="749AFE48" w14:textId="77777777" w:rsidR="001D17E8" w:rsidRPr="00FC31D5" w:rsidRDefault="001D17E8" w:rsidP="00551D30">
      <w:pPr>
        <w:tabs>
          <w:tab w:val="clear" w:pos="567"/>
        </w:tabs>
        <w:spacing w:line="240" w:lineRule="auto"/>
        <w:rPr>
          <w:szCs w:val="22"/>
        </w:rPr>
      </w:pPr>
    </w:p>
    <w:p w14:paraId="749AFE49" w14:textId="77777777" w:rsidR="001D17E8" w:rsidRDefault="001D17E8" w:rsidP="001D17E8">
      <w:pPr>
        <w:tabs>
          <w:tab w:val="clear" w:pos="567"/>
        </w:tabs>
        <w:spacing w:line="240" w:lineRule="auto"/>
        <w:rPr>
          <w:szCs w:val="22"/>
        </w:rPr>
      </w:pPr>
      <w:r w:rsidRPr="00FC31D5">
        <w:rPr>
          <w:szCs w:val="22"/>
        </w:rPr>
        <w:t>Nav novērota budezonīda un formoterola mijiedarbība ar citām astmas ārstēšanai lietotām zālēm.</w:t>
      </w:r>
    </w:p>
    <w:p w14:paraId="749AFE4A" w14:textId="77777777" w:rsidR="001D17E8" w:rsidRDefault="001D17E8" w:rsidP="001D17E8">
      <w:pPr>
        <w:tabs>
          <w:tab w:val="clear" w:pos="567"/>
        </w:tabs>
        <w:spacing w:line="240" w:lineRule="auto"/>
        <w:rPr>
          <w:szCs w:val="22"/>
        </w:rPr>
      </w:pPr>
    </w:p>
    <w:p w14:paraId="749AFE4B" w14:textId="77777777" w:rsidR="001D17E8" w:rsidRPr="009C647B" w:rsidRDefault="001D17E8" w:rsidP="001D17E8">
      <w:pPr>
        <w:keepNext/>
        <w:tabs>
          <w:tab w:val="clear" w:pos="567"/>
        </w:tabs>
        <w:spacing w:line="240" w:lineRule="auto"/>
        <w:rPr>
          <w:i/>
          <w:szCs w:val="22"/>
        </w:rPr>
      </w:pPr>
      <w:r w:rsidRPr="009C647B">
        <w:rPr>
          <w:i/>
          <w:szCs w:val="22"/>
        </w:rPr>
        <w:t>Pediatriskā populācija</w:t>
      </w:r>
    </w:p>
    <w:p w14:paraId="749AFE4C" w14:textId="77777777" w:rsidR="001D17E8" w:rsidRPr="00AF25A6" w:rsidRDefault="001D17E8" w:rsidP="001D17E8">
      <w:pPr>
        <w:tabs>
          <w:tab w:val="clear" w:pos="567"/>
        </w:tabs>
        <w:spacing w:line="240" w:lineRule="auto"/>
        <w:rPr>
          <w:szCs w:val="22"/>
        </w:rPr>
      </w:pPr>
      <w:r>
        <w:rPr>
          <w:szCs w:val="22"/>
        </w:rPr>
        <w:t>Mijiedarbības pētījumi veikti tikai pieaugušajiem.</w:t>
      </w:r>
    </w:p>
    <w:p w14:paraId="749AFE4D" w14:textId="77777777" w:rsidR="001D17E8" w:rsidRPr="00AF25A6" w:rsidRDefault="001D17E8" w:rsidP="001D17E8">
      <w:pPr>
        <w:tabs>
          <w:tab w:val="clear" w:pos="567"/>
        </w:tabs>
        <w:spacing w:line="240" w:lineRule="auto"/>
        <w:rPr>
          <w:szCs w:val="22"/>
        </w:rPr>
      </w:pPr>
    </w:p>
    <w:p w14:paraId="749AFE4E" w14:textId="77777777" w:rsidR="001D17E8" w:rsidRPr="00AF25A6" w:rsidRDefault="001D17E8" w:rsidP="001D17E8">
      <w:pPr>
        <w:keepNext/>
        <w:tabs>
          <w:tab w:val="clear" w:pos="567"/>
        </w:tabs>
        <w:spacing w:line="240" w:lineRule="auto"/>
        <w:ind w:left="567" w:hanging="567"/>
        <w:rPr>
          <w:szCs w:val="22"/>
        </w:rPr>
      </w:pPr>
      <w:r w:rsidRPr="00AF25A6">
        <w:rPr>
          <w:b/>
          <w:szCs w:val="22"/>
        </w:rPr>
        <w:t>4.6.</w:t>
      </w:r>
      <w:r w:rsidRPr="00AF25A6">
        <w:rPr>
          <w:b/>
          <w:szCs w:val="22"/>
        </w:rPr>
        <w:tab/>
      </w:r>
      <w:r>
        <w:rPr>
          <w:b/>
          <w:szCs w:val="22"/>
        </w:rPr>
        <w:t>Fertilitāte, g</w:t>
      </w:r>
      <w:r w:rsidRPr="00AF25A6">
        <w:rPr>
          <w:b/>
          <w:szCs w:val="22"/>
        </w:rPr>
        <w:t>rūtniecība un barošana ar krūti</w:t>
      </w:r>
    </w:p>
    <w:p w14:paraId="749AFE4F" w14:textId="77777777" w:rsidR="001D17E8" w:rsidRPr="00AF25A6" w:rsidRDefault="001D17E8" w:rsidP="001D17E8">
      <w:pPr>
        <w:keepNext/>
        <w:tabs>
          <w:tab w:val="clear" w:pos="567"/>
        </w:tabs>
        <w:spacing w:line="240" w:lineRule="auto"/>
        <w:rPr>
          <w:szCs w:val="22"/>
        </w:rPr>
      </w:pPr>
    </w:p>
    <w:p w14:paraId="749AFE50" w14:textId="77777777" w:rsidR="001D17E8" w:rsidRPr="00AF25A6" w:rsidRDefault="001D17E8" w:rsidP="001D17E8">
      <w:pPr>
        <w:keepNext/>
        <w:tabs>
          <w:tab w:val="clear" w:pos="567"/>
        </w:tabs>
        <w:spacing w:line="240" w:lineRule="auto"/>
        <w:rPr>
          <w:szCs w:val="22"/>
          <w:u w:val="single"/>
        </w:rPr>
      </w:pPr>
      <w:r w:rsidRPr="00AF25A6">
        <w:rPr>
          <w:szCs w:val="22"/>
          <w:u w:val="single"/>
        </w:rPr>
        <w:t>Grūtniecība</w:t>
      </w:r>
    </w:p>
    <w:p w14:paraId="749AFE51" w14:textId="77777777" w:rsidR="001D17E8" w:rsidRPr="00AF25A6" w:rsidRDefault="001D17E8" w:rsidP="001D17E8">
      <w:pPr>
        <w:tabs>
          <w:tab w:val="clear" w:pos="567"/>
        </w:tabs>
        <w:spacing w:line="240" w:lineRule="auto"/>
        <w:rPr>
          <w:szCs w:val="22"/>
        </w:rPr>
      </w:pPr>
      <w:r w:rsidRPr="00AF25A6">
        <w:rPr>
          <w:szCs w:val="22"/>
        </w:rPr>
        <w:t xml:space="preserve">Nav pieejami klīniskie dati par </w:t>
      </w:r>
      <w:r w:rsidRPr="00AF25A6">
        <w:rPr>
          <w:bCs/>
          <w:iCs/>
          <w:szCs w:val="22"/>
        </w:rPr>
        <w:t>Bufomix Easyhaler</w:t>
      </w:r>
      <w:r w:rsidRPr="00AF25A6">
        <w:rPr>
          <w:szCs w:val="22"/>
        </w:rPr>
        <w:t xml:space="preserve"> lietošanu vai par vienlaicīgu ārstēšanu ar formoterolu un budezonīdu grūtniecības laikā. Dati no embrija-augļa attīstības pētījuma žurkām neuzrādīja pierādījumus kombinācijas papildu iedarbībai.</w:t>
      </w:r>
    </w:p>
    <w:p w14:paraId="749AFE52" w14:textId="77777777" w:rsidR="001D17E8" w:rsidRPr="00AF25A6" w:rsidRDefault="001D17E8" w:rsidP="001D17E8">
      <w:pPr>
        <w:tabs>
          <w:tab w:val="clear" w:pos="567"/>
        </w:tabs>
        <w:spacing w:line="240" w:lineRule="auto"/>
        <w:rPr>
          <w:szCs w:val="22"/>
        </w:rPr>
      </w:pPr>
    </w:p>
    <w:p w14:paraId="749AFE53" w14:textId="77777777" w:rsidR="001D17E8" w:rsidRPr="00AF25A6" w:rsidRDefault="001D17E8" w:rsidP="001D17E8">
      <w:pPr>
        <w:tabs>
          <w:tab w:val="clear" w:pos="567"/>
        </w:tabs>
        <w:spacing w:line="240" w:lineRule="auto"/>
        <w:rPr>
          <w:szCs w:val="22"/>
        </w:rPr>
      </w:pPr>
      <w:r w:rsidRPr="00AF25A6">
        <w:rPr>
          <w:szCs w:val="22"/>
        </w:rPr>
        <w:t>Nav adekvātu datu par formoterola lietošanu grūtniecēm. Pētījumos ar dzīvniekiem formoterols izraisīja nevēlamas reakcijas reproduktivitātes pētījumos, ja tā sistēmiskās iedarbības līmenis bija ļoti augsts (skatīt 5.3. apakšpunktu).</w:t>
      </w:r>
    </w:p>
    <w:p w14:paraId="749AFE54" w14:textId="77777777" w:rsidR="001D17E8" w:rsidRPr="00AF25A6" w:rsidRDefault="001D17E8" w:rsidP="001D17E8">
      <w:pPr>
        <w:tabs>
          <w:tab w:val="clear" w:pos="567"/>
        </w:tabs>
        <w:spacing w:line="240" w:lineRule="auto"/>
        <w:rPr>
          <w:szCs w:val="22"/>
        </w:rPr>
      </w:pPr>
    </w:p>
    <w:p w14:paraId="749AFE55" w14:textId="77777777" w:rsidR="001D17E8" w:rsidRPr="00AF25A6" w:rsidRDefault="001D17E8" w:rsidP="001D17E8">
      <w:pPr>
        <w:tabs>
          <w:tab w:val="clear" w:pos="567"/>
        </w:tabs>
        <w:spacing w:line="240" w:lineRule="auto"/>
        <w:rPr>
          <w:szCs w:val="22"/>
        </w:rPr>
      </w:pPr>
      <w:r w:rsidRPr="00AF25A6">
        <w:rPr>
          <w:szCs w:val="22"/>
        </w:rPr>
        <w:lastRenderedPageBreak/>
        <w:t>Analizējot datus par apmēram 2000 grūtniecēm, nekonstatēja palielinātu teratogenitātes risku, kas būtu saistīts ar inhalējamā budezonīda lietošanu. Pētījumos ar dzīvniekiem pierādīts, ka glikokortiko</w:t>
      </w:r>
      <w:r>
        <w:rPr>
          <w:szCs w:val="22"/>
        </w:rPr>
        <w:t>stero</w:t>
      </w:r>
      <w:r w:rsidRPr="00AF25A6">
        <w:rPr>
          <w:szCs w:val="22"/>
        </w:rPr>
        <w:t>īdi izraisa anomālijas (skatīt 5.3. apakšpunktu). Tas nav attiecināms uz zāļu lietošanu cilvēkiem ieteiktās devās.</w:t>
      </w:r>
    </w:p>
    <w:p w14:paraId="749AFE56" w14:textId="77777777" w:rsidR="001D17E8" w:rsidRPr="00AF25A6" w:rsidRDefault="001D17E8" w:rsidP="001D17E8">
      <w:pPr>
        <w:tabs>
          <w:tab w:val="clear" w:pos="567"/>
        </w:tabs>
        <w:spacing w:line="240" w:lineRule="auto"/>
        <w:rPr>
          <w:szCs w:val="22"/>
        </w:rPr>
      </w:pPr>
    </w:p>
    <w:p w14:paraId="749AFE57" w14:textId="77777777" w:rsidR="001D17E8" w:rsidRPr="00AF25A6" w:rsidRDefault="001D17E8" w:rsidP="001D17E8">
      <w:pPr>
        <w:tabs>
          <w:tab w:val="clear" w:pos="567"/>
        </w:tabs>
        <w:spacing w:line="240" w:lineRule="auto"/>
        <w:rPr>
          <w:szCs w:val="22"/>
        </w:rPr>
      </w:pPr>
      <w:r w:rsidRPr="00AF25A6">
        <w:rPr>
          <w:szCs w:val="22"/>
        </w:rPr>
        <w:t>Pētījumos ar dzīvniekiem konstatēts, ka pārmērīga prenatāla glikokortikoīdu ietekme, ja deva ir mazāka par teratogēno devu, saistīta ar palielinātu risku attīstīties intrauterīnai augšanas aizturei, pieaugušo sirds un asinsvadu slimībām un paliekošām glikokortikoīdu receptoru blīvuma, neiromediatoru aprites un uzvedības pārmaiņām.</w:t>
      </w:r>
    </w:p>
    <w:p w14:paraId="749AFE58" w14:textId="77777777" w:rsidR="001D17E8" w:rsidRPr="00AF25A6" w:rsidRDefault="001D17E8" w:rsidP="001D17E8">
      <w:pPr>
        <w:tabs>
          <w:tab w:val="clear" w:pos="567"/>
        </w:tabs>
        <w:spacing w:line="240" w:lineRule="auto"/>
        <w:rPr>
          <w:szCs w:val="22"/>
        </w:rPr>
      </w:pPr>
    </w:p>
    <w:p w14:paraId="749AFE59" w14:textId="77777777" w:rsidR="001D17E8" w:rsidRPr="00AF25A6" w:rsidRDefault="001D17E8" w:rsidP="001D17E8">
      <w:pPr>
        <w:tabs>
          <w:tab w:val="clear" w:pos="567"/>
        </w:tabs>
        <w:spacing w:line="240" w:lineRule="auto"/>
        <w:rPr>
          <w:szCs w:val="22"/>
        </w:rPr>
      </w:pPr>
      <w:r w:rsidRPr="00AF25A6">
        <w:rPr>
          <w:szCs w:val="22"/>
        </w:rPr>
        <w:t xml:space="preserve">Grūtniecības laikā </w:t>
      </w:r>
      <w:r w:rsidRPr="00AF25A6">
        <w:rPr>
          <w:bCs/>
          <w:iCs/>
          <w:szCs w:val="22"/>
        </w:rPr>
        <w:t>Bufomix Easyhaler</w:t>
      </w:r>
      <w:r w:rsidRPr="00AF25A6">
        <w:rPr>
          <w:szCs w:val="22"/>
        </w:rPr>
        <w:t xml:space="preserve"> drīkst lietot tikai tad, ja ieguvums attaisno iespējamo risku. Jālieto mazākā budezonīda deva, kas nepieciešama, lai nodrošinātu astmas simptomu novēršanu.</w:t>
      </w:r>
    </w:p>
    <w:p w14:paraId="749AFE5A" w14:textId="77777777" w:rsidR="001D17E8" w:rsidRPr="00AF25A6" w:rsidRDefault="001D17E8" w:rsidP="001D17E8">
      <w:pPr>
        <w:tabs>
          <w:tab w:val="clear" w:pos="567"/>
        </w:tabs>
        <w:spacing w:line="240" w:lineRule="auto"/>
        <w:rPr>
          <w:szCs w:val="22"/>
        </w:rPr>
      </w:pPr>
    </w:p>
    <w:p w14:paraId="749AFE5B" w14:textId="77777777" w:rsidR="001D17E8" w:rsidRPr="00AF25A6" w:rsidRDefault="001D17E8" w:rsidP="001D17E8">
      <w:pPr>
        <w:keepNext/>
        <w:tabs>
          <w:tab w:val="clear" w:pos="567"/>
        </w:tabs>
        <w:spacing w:line="240" w:lineRule="auto"/>
        <w:rPr>
          <w:szCs w:val="22"/>
          <w:u w:val="single"/>
        </w:rPr>
      </w:pPr>
      <w:r w:rsidRPr="00AF25A6">
        <w:rPr>
          <w:szCs w:val="22"/>
          <w:u w:val="single"/>
        </w:rPr>
        <w:t>Barošana ar krūti</w:t>
      </w:r>
    </w:p>
    <w:p w14:paraId="749AFE5C" w14:textId="77777777" w:rsidR="001D17E8" w:rsidRDefault="001D17E8" w:rsidP="001D17E8">
      <w:pPr>
        <w:tabs>
          <w:tab w:val="clear" w:pos="567"/>
        </w:tabs>
        <w:spacing w:line="240" w:lineRule="auto"/>
        <w:rPr>
          <w:szCs w:val="22"/>
        </w:rPr>
      </w:pPr>
      <w:r w:rsidRPr="00AF25A6">
        <w:rPr>
          <w:szCs w:val="22"/>
        </w:rPr>
        <w:t xml:space="preserve">Budezonīds izdalās mātes pienā. Tomēr, lietojot terapeitiskās devās, ietekme uz </w:t>
      </w:r>
      <w:r w:rsidRPr="00B62900">
        <w:rPr>
          <w:szCs w:val="22"/>
        </w:rPr>
        <w:t>zīd</w:t>
      </w:r>
      <w:r w:rsidR="00081974" w:rsidRPr="00B62900">
        <w:rPr>
          <w:szCs w:val="22"/>
        </w:rPr>
        <w:t>aini nav sagaidāma</w:t>
      </w:r>
      <w:r w:rsidRPr="00B62900">
        <w:rPr>
          <w:szCs w:val="22"/>
        </w:rPr>
        <w:t>.</w:t>
      </w:r>
      <w:r w:rsidRPr="00AF25A6">
        <w:rPr>
          <w:szCs w:val="22"/>
        </w:rPr>
        <w:t xml:space="preserve"> Nav zināms, vai formoterols cilvēkam izdalās ar mātes pienu. Žurkām formoterols nelielā daudzumā konstatēts mātīšu pienā. </w:t>
      </w:r>
      <w:r w:rsidRPr="00AF25A6">
        <w:rPr>
          <w:bCs/>
          <w:iCs/>
          <w:szCs w:val="22"/>
        </w:rPr>
        <w:t>Bufomix Easyhaler</w:t>
      </w:r>
      <w:r w:rsidRPr="00AF25A6">
        <w:rPr>
          <w:szCs w:val="22"/>
        </w:rPr>
        <w:t xml:space="preserve"> sievietēm bērna barošanas ar krūti laikā drīkst nozīmēt tikai tad, ja gaidāmais ieguvums mātei ir lielāks nekā iespējamais risks bērnam.</w:t>
      </w:r>
    </w:p>
    <w:p w14:paraId="749AFE5D" w14:textId="77777777" w:rsidR="001D17E8" w:rsidRDefault="001D17E8" w:rsidP="001D17E8">
      <w:pPr>
        <w:tabs>
          <w:tab w:val="clear" w:pos="567"/>
        </w:tabs>
        <w:spacing w:line="240" w:lineRule="auto"/>
        <w:rPr>
          <w:szCs w:val="22"/>
        </w:rPr>
      </w:pPr>
    </w:p>
    <w:p w14:paraId="749AFE5E" w14:textId="77777777" w:rsidR="00223B65" w:rsidRPr="008002CC" w:rsidRDefault="00223B65" w:rsidP="00223B65">
      <w:pPr>
        <w:keepNext/>
        <w:tabs>
          <w:tab w:val="clear" w:pos="567"/>
        </w:tabs>
        <w:spacing w:line="240" w:lineRule="auto"/>
        <w:rPr>
          <w:szCs w:val="22"/>
          <w:u w:val="single"/>
        </w:rPr>
      </w:pPr>
      <w:r w:rsidRPr="008002CC">
        <w:rPr>
          <w:szCs w:val="22"/>
          <w:u w:val="single"/>
        </w:rPr>
        <w:t>Fertilitāte</w:t>
      </w:r>
    </w:p>
    <w:p w14:paraId="749AFE5F" w14:textId="77777777" w:rsidR="00223B65" w:rsidRPr="00AF25A6" w:rsidRDefault="00223B65" w:rsidP="00223B65">
      <w:pPr>
        <w:tabs>
          <w:tab w:val="clear" w:pos="567"/>
        </w:tabs>
        <w:spacing w:line="240" w:lineRule="auto"/>
        <w:rPr>
          <w:szCs w:val="22"/>
        </w:rPr>
      </w:pPr>
      <w:r>
        <w:rPr>
          <w:szCs w:val="22"/>
        </w:rPr>
        <w:t xml:space="preserve">Dati par iespējamo budezonīda ietekmi uz fertilitāti nav pieejami. </w:t>
      </w:r>
      <w:r w:rsidRPr="008002CC">
        <w:rPr>
          <w:szCs w:val="22"/>
        </w:rPr>
        <w:t>Dzīvnieku reproduktīvie pētījumi ar formoterolu ir uzrādījuši nedaudz samazinātu fertilitāti žurku tēviņiem pie augstas sistēmiskās iedarbības (skatīt 5.3. apakšpunktu)</w:t>
      </w:r>
      <w:r>
        <w:rPr>
          <w:szCs w:val="22"/>
        </w:rPr>
        <w:t>.</w:t>
      </w:r>
    </w:p>
    <w:p w14:paraId="749AFE60" w14:textId="77777777" w:rsidR="00223B65" w:rsidRPr="00AF25A6" w:rsidRDefault="00223B65" w:rsidP="00223B65">
      <w:pPr>
        <w:tabs>
          <w:tab w:val="clear" w:pos="567"/>
        </w:tabs>
        <w:spacing w:line="240" w:lineRule="auto"/>
        <w:rPr>
          <w:szCs w:val="22"/>
        </w:rPr>
      </w:pPr>
    </w:p>
    <w:p w14:paraId="749AFE61" w14:textId="77777777" w:rsidR="00223B65" w:rsidRPr="00AF25A6" w:rsidRDefault="00223B65" w:rsidP="00223B65">
      <w:pPr>
        <w:keepNext/>
        <w:tabs>
          <w:tab w:val="clear" w:pos="567"/>
        </w:tabs>
        <w:spacing w:line="240" w:lineRule="auto"/>
        <w:ind w:left="567" w:hanging="567"/>
        <w:rPr>
          <w:szCs w:val="22"/>
        </w:rPr>
      </w:pPr>
      <w:r w:rsidRPr="00AF25A6">
        <w:rPr>
          <w:b/>
          <w:szCs w:val="22"/>
        </w:rPr>
        <w:t>4.7.</w:t>
      </w:r>
      <w:r w:rsidRPr="00AF25A6">
        <w:rPr>
          <w:b/>
          <w:szCs w:val="22"/>
        </w:rPr>
        <w:tab/>
        <w:t>Ietekme uz spēju vadīt transportlīdzekļus un apkalpot mehānismus</w:t>
      </w:r>
    </w:p>
    <w:p w14:paraId="749AFE62" w14:textId="77777777" w:rsidR="00223B65" w:rsidRPr="00AF25A6" w:rsidRDefault="00223B65" w:rsidP="00223B65">
      <w:pPr>
        <w:keepNext/>
        <w:tabs>
          <w:tab w:val="clear" w:pos="567"/>
        </w:tabs>
        <w:spacing w:line="240" w:lineRule="auto"/>
        <w:rPr>
          <w:szCs w:val="22"/>
        </w:rPr>
      </w:pPr>
    </w:p>
    <w:p w14:paraId="749AFE63" w14:textId="77777777" w:rsidR="00223B65" w:rsidRPr="00AF25A6" w:rsidRDefault="00223B65" w:rsidP="00223B65">
      <w:pPr>
        <w:tabs>
          <w:tab w:val="clear" w:pos="567"/>
        </w:tabs>
        <w:spacing w:line="240" w:lineRule="auto"/>
        <w:rPr>
          <w:szCs w:val="22"/>
        </w:rPr>
      </w:pPr>
      <w:r w:rsidRPr="00AF25A6">
        <w:rPr>
          <w:szCs w:val="22"/>
        </w:rPr>
        <w:t>Bufomix Easyhaler neietekmē vai nedaudz ietekmē spēju vadīt transportlīdzekļus un apkalpot mehānismus.</w:t>
      </w:r>
    </w:p>
    <w:p w14:paraId="749AFE64" w14:textId="77777777" w:rsidR="00223B65" w:rsidRPr="00AF25A6" w:rsidRDefault="00223B65" w:rsidP="00223B65">
      <w:pPr>
        <w:tabs>
          <w:tab w:val="clear" w:pos="567"/>
        </w:tabs>
        <w:spacing w:line="240" w:lineRule="auto"/>
        <w:rPr>
          <w:szCs w:val="22"/>
        </w:rPr>
      </w:pPr>
    </w:p>
    <w:p w14:paraId="749AFE65" w14:textId="77777777" w:rsidR="00223B65" w:rsidRPr="00AF25A6" w:rsidRDefault="00223B65" w:rsidP="00223B65">
      <w:pPr>
        <w:keepNext/>
        <w:tabs>
          <w:tab w:val="clear" w:pos="567"/>
        </w:tabs>
        <w:spacing w:line="240" w:lineRule="auto"/>
        <w:ind w:left="567" w:hanging="567"/>
        <w:rPr>
          <w:b/>
          <w:szCs w:val="22"/>
        </w:rPr>
      </w:pPr>
      <w:r w:rsidRPr="00AF25A6">
        <w:rPr>
          <w:b/>
          <w:szCs w:val="22"/>
        </w:rPr>
        <w:t>4.8.</w:t>
      </w:r>
      <w:r w:rsidRPr="00AF25A6">
        <w:rPr>
          <w:b/>
          <w:szCs w:val="22"/>
        </w:rPr>
        <w:tab/>
        <w:t>Nevēlamās blakusparādības</w:t>
      </w:r>
    </w:p>
    <w:p w14:paraId="749AFE66" w14:textId="77777777" w:rsidR="00223B65" w:rsidRPr="00AF25A6" w:rsidRDefault="00223B65" w:rsidP="00223B65">
      <w:pPr>
        <w:keepNext/>
        <w:tabs>
          <w:tab w:val="clear" w:pos="567"/>
        </w:tabs>
        <w:spacing w:line="240" w:lineRule="auto"/>
        <w:rPr>
          <w:szCs w:val="22"/>
        </w:rPr>
      </w:pPr>
    </w:p>
    <w:p w14:paraId="749AFE67" w14:textId="77777777" w:rsidR="00250078" w:rsidRPr="00FC31D5" w:rsidRDefault="00223B65" w:rsidP="00250078">
      <w:pPr>
        <w:tabs>
          <w:tab w:val="clear" w:pos="567"/>
        </w:tabs>
        <w:spacing w:line="240" w:lineRule="auto"/>
        <w:rPr>
          <w:szCs w:val="22"/>
        </w:rPr>
      </w:pPr>
      <w:r w:rsidRPr="00AF25A6">
        <w:rPr>
          <w:szCs w:val="22"/>
        </w:rPr>
        <w:t xml:space="preserve">Tā kā </w:t>
      </w:r>
      <w:r w:rsidRPr="00AF25A6">
        <w:rPr>
          <w:bCs/>
          <w:iCs/>
          <w:szCs w:val="22"/>
        </w:rPr>
        <w:t>Bufomix Easyhaler</w:t>
      </w:r>
      <w:r w:rsidRPr="00AF25A6">
        <w:rPr>
          <w:szCs w:val="22"/>
        </w:rPr>
        <w:t xml:space="preserve"> sastāvā ir gan budezonīds, gan formoterols, var rasties blakusparādības, kas raksturīgas abām šīm vielām. Lietojot abas sastāvdaļas vienlaicīgi, nav novērota blakusparādību </w:t>
      </w:r>
      <w:r w:rsidRPr="00FC31D5">
        <w:rPr>
          <w:szCs w:val="22"/>
        </w:rPr>
        <w:t>biežuma palielināšanās. Biežākās blakusparādības, kas saistītas ar zāļu lietošanu, ir farmakoloģiski paredzamās β</w:t>
      </w:r>
      <w:r w:rsidRPr="00FC31D5">
        <w:rPr>
          <w:szCs w:val="22"/>
          <w:vertAlign w:val="subscript"/>
        </w:rPr>
        <w:t>2</w:t>
      </w:r>
      <w:r w:rsidRPr="00FC31D5">
        <w:rPr>
          <w:szCs w:val="22"/>
        </w:rPr>
        <w:t>-adrenoreceptoru agonistu terapijas blakusparādības, piemēram, trīce un sirdsklauves. Tās ir vieglas un parasti izzūd dažu dienu laikā, turpinot ārstēšanu</w:t>
      </w:r>
      <w:r w:rsidR="001D100A">
        <w:rPr>
          <w:szCs w:val="22"/>
        </w:rPr>
        <w:t>.</w:t>
      </w:r>
      <w:r w:rsidR="008904E5">
        <w:rPr>
          <w:szCs w:val="22"/>
        </w:rPr>
        <w:t xml:space="preserve"> </w:t>
      </w:r>
      <w:r w:rsidR="00250078" w:rsidRPr="00FC31D5">
        <w:rPr>
          <w:szCs w:val="22"/>
        </w:rPr>
        <w:t>Ar budezonīdu vai formoterolu saistītās nevēlamās blakusparādības, kas norādītas zemāk, ir sakārtotas pēc orgānu sistēmu klases un biežuma. Sastopamības biežums definēts šādi: ļoti bieži (≥ 1/10), bieži (≥ 1/100 līdz &lt; 1/10), retāk (≥ 1/1000 līdz &lt; 1/100), reti (≥ 1/10 000 līdz &lt; 1/1000) un ļoti reti (&lt; 1/10 000).</w:t>
      </w:r>
    </w:p>
    <w:p w14:paraId="749AFE68" w14:textId="77777777" w:rsidR="00223B65" w:rsidRPr="00FC31D5" w:rsidRDefault="00223B65" w:rsidP="00223B65">
      <w:pPr>
        <w:tabs>
          <w:tab w:val="clear" w:pos="567"/>
        </w:tabs>
        <w:spacing w:line="240" w:lineRule="auto"/>
        <w:rPr>
          <w:szCs w:val="22"/>
        </w:rPr>
      </w:pPr>
    </w:p>
    <w:p w14:paraId="749AFE69" w14:textId="77777777" w:rsidR="00223B65" w:rsidRPr="00FC31D5" w:rsidRDefault="00223B65" w:rsidP="00223B65">
      <w:pPr>
        <w:keepNext/>
        <w:tabs>
          <w:tab w:val="clear" w:pos="567"/>
        </w:tabs>
        <w:spacing w:line="240" w:lineRule="auto"/>
        <w:rPr>
          <w:b/>
          <w:szCs w:val="22"/>
        </w:rPr>
      </w:pPr>
      <w:r w:rsidRPr="00FC31D5">
        <w:rPr>
          <w:b/>
          <w:szCs w:val="22"/>
        </w:rPr>
        <w:t>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80"/>
        <w:gridCol w:w="3935"/>
      </w:tblGrid>
      <w:tr w:rsidR="00223B65" w:rsidRPr="00FC31D5" w14:paraId="749AFE6D" w14:textId="77777777" w:rsidTr="00B57CCA">
        <w:tc>
          <w:tcPr>
            <w:tcW w:w="2807" w:type="dxa"/>
          </w:tcPr>
          <w:p w14:paraId="749AFE6A" w14:textId="77777777" w:rsidR="00223B65" w:rsidRPr="00FC31D5" w:rsidRDefault="00223B65" w:rsidP="0027233E">
            <w:pPr>
              <w:spacing w:line="240" w:lineRule="auto"/>
              <w:rPr>
                <w:b/>
                <w:szCs w:val="22"/>
              </w:rPr>
            </w:pPr>
            <w:r w:rsidRPr="00FC31D5">
              <w:rPr>
                <w:b/>
                <w:szCs w:val="22"/>
              </w:rPr>
              <w:t>Orgānu sistēmu klasifikācija</w:t>
            </w:r>
          </w:p>
        </w:tc>
        <w:tc>
          <w:tcPr>
            <w:tcW w:w="1780" w:type="dxa"/>
          </w:tcPr>
          <w:p w14:paraId="749AFE6B" w14:textId="77777777" w:rsidR="00223B65" w:rsidRPr="00FC31D5" w:rsidRDefault="00223B65" w:rsidP="0027233E">
            <w:pPr>
              <w:spacing w:line="240" w:lineRule="auto"/>
              <w:rPr>
                <w:b/>
                <w:szCs w:val="22"/>
              </w:rPr>
            </w:pPr>
            <w:r w:rsidRPr="00FC31D5">
              <w:rPr>
                <w:b/>
                <w:szCs w:val="22"/>
              </w:rPr>
              <w:t>Sastopamības biežums</w:t>
            </w:r>
          </w:p>
        </w:tc>
        <w:tc>
          <w:tcPr>
            <w:tcW w:w="3935" w:type="dxa"/>
          </w:tcPr>
          <w:p w14:paraId="749AFE6C" w14:textId="77777777" w:rsidR="00223B65" w:rsidRPr="00FC31D5" w:rsidRDefault="00223B65" w:rsidP="0027233E">
            <w:pPr>
              <w:spacing w:line="240" w:lineRule="auto"/>
              <w:rPr>
                <w:b/>
                <w:szCs w:val="22"/>
              </w:rPr>
            </w:pPr>
            <w:r w:rsidRPr="00FC31D5">
              <w:rPr>
                <w:b/>
                <w:szCs w:val="22"/>
              </w:rPr>
              <w:t xml:space="preserve">Nevēlamā blakusparādība </w:t>
            </w:r>
          </w:p>
        </w:tc>
      </w:tr>
      <w:tr w:rsidR="00223B65" w:rsidRPr="00FC31D5" w14:paraId="749AFE71" w14:textId="77777777" w:rsidTr="00B57CCA">
        <w:tc>
          <w:tcPr>
            <w:tcW w:w="2807" w:type="dxa"/>
          </w:tcPr>
          <w:p w14:paraId="749AFE6E" w14:textId="77777777" w:rsidR="00223B65" w:rsidRPr="00FC31D5" w:rsidRDefault="00223B65" w:rsidP="0027233E">
            <w:pPr>
              <w:spacing w:line="240" w:lineRule="auto"/>
              <w:rPr>
                <w:szCs w:val="22"/>
              </w:rPr>
            </w:pPr>
            <w:r w:rsidRPr="00FC31D5">
              <w:rPr>
                <w:szCs w:val="22"/>
              </w:rPr>
              <w:t>Infekcijas un infestācijas</w:t>
            </w:r>
          </w:p>
        </w:tc>
        <w:tc>
          <w:tcPr>
            <w:tcW w:w="1780" w:type="dxa"/>
          </w:tcPr>
          <w:p w14:paraId="749AFE6F" w14:textId="77777777" w:rsidR="00223B65" w:rsidRPr="00FC31D5" w:rsidRDefault="00223B65" w:rsidP="0027233E">
            <w:pPr>
              <w:spacing w:line="240" w:lineRule="auto"/>
              <w:rPr>
                <w:szCs w:val="22"/>
              </w:rPr>
            </w:pPr>
            <w:r w:rsidRPr="00FC31D5">
              <w:rPr>
                <w:szCs w:val="22"/>
              </w:rPr>
              <w:t>Bieži</w:t>
            </w:r>
          </w:p>
        </w:tc>
        <w:tc>
          <w:tcPr>
            <w:tcW w:w="3935" w:type="dxa"/>
          </w:tcPr>
          <w:p w14:paraId="749AFE70" w14:textId="77777777" w:rsidR="00223B65" w:rsidRPr="00FC31D5" w:rsidRDefault="00223B65" w:rsidP="0027233E">
            <w:pPr>
              <w:spacing w:line="240" w:lineRule="auto"/>
              <w:rPr>
                <w:szCs w:val="22"/>
              </w:rPr>
            </w:pPr>
            <w:r w:rsidRPr="00FC31D5">
              <w:rPr>
                <w:szCs w:val="22"/>
              </w:rPr>
              <w:t>Kandidu infekcija mutē un rīklē</w:t>
            </w:r>
          </w:p>
        </w:tc>
      </w:tr>
      <w:tr w:rsidR="00223B65" w:rsidRPr="00FC31D5" w14:paraId="749AFE75" w14:textId="77777777" w:rsidTr="00B57CCA">
        <w:tc>
          <w:tcPr>
            <w:tcW w:w="2807" w:type="dxa"/>
          </w:tcPr>
          <w:p w14:paraId="749AFE72" w14:textId="77777777" w:rsidR="00223B65" w:rsidRPr="00FC31D5" w:rsidRDefault="00223B65" w:rsidP="0027233E">
            <w:pPr>
              <w:spacing w:line="240" w:lineRule="auto"/>
              <w:rPr>
                <w:szCs w:val="22"/>
              </w:rPr>
            </w:pPr>
            <w:r w:rsidRPr="00FC31D5">
              <w:rPr>
                <w:szCs w:val="22"/>
              </w:rPr>
              <w:t>Imūnās sistēmas traucējumi</w:t>
            </w:r>
          </w:p>
        </w:tc>
        <w:tc>
          <w:tcPr>
            <w:tcW w:w="1780" w:type="dxa"/>
          </w:tcPr>
          <w:p w14:paraId="749AFE73" w14:textId="77777777" w:rsidR="00223B65" w:rsidRPr="00FC31D5" w:rsidRDefault="00223B65" w:rsidP="0027233E">
            <w:pPr>
              <w:spacing w:line="240" w:lineRule="auto"/>
              <w:rPr>
                <w:szCs w:val="22"/>
              </w:rPr>
            </w:pPr>
            <w:r w:rsidRPr="00FC31D5">
              <w:rPr>
                <w:szCs w:val="22"/>
              </w:rPr>
              <w:t>Reti</w:t>
            </w:r>
          </w:p>
        </w:tc>
        <w:tc>
          <w:tcPr>
            <w:tcW w:w="3935" w:type="dxa"/>
          </w:tcPr>
          <w:p w14:paraId="749AFE74" w14:textId="25E17C8D" w:rsidR="00223B65" w:rsidRPr="00FC31D5" w:rsidRDefault="00223B65" w:rsidP="002E2B16">
            <w:pPr>
              <w:spacing w:line="240" w:lineRule="auto"/>
              <w:rPr>
                <w:szCs w:val="22"/>
              </w:rPr>
            </w:pPr>
            <w:r w:rsidRPr="00FC31D5">
              <w:rPr>
                <w:szCs w:val="22"/>
              </w:rPr>
              <w:t xml:space="preserve">Nekavējošas un novēlotas hipersensitivitātes reakcijas, piemēram, eksantēma, nātrene, nieze, dermatīts, </w:t>
            </w:r>
            <w:r w:rsidRPr="00B62900">
              <w:rPr>
                <w:szCs w:val="22"/>
              </w:rPr>
              <w:t>angio</w:t>
            </w:r>
            <w:r w:rsidR="002E2B16" w:rsidRPr="00B62900">
              <w:rPr>
                <w:szCs w:val="22"/>
              </w:rPr>
              <w:t>edēma</w:t>
            </w:r>
            <w:r w:rsidR="007F0539">
              <w:rPr>
                <w:szCs w:val="22"/>
              </w:rPr>
              <w:t xml:space="preserve"> </w:t>
            </w:r>
            <w:r w:rsidRPr="00FC31D5">
              <w:rPr>
                <w:szCs w:val="22"/>
              </w:rPr>
              <w:t>un anafilaktiskas reakcijas</w:t>
            </w:r>
          </w:p>
        </w:tc>
      </w:tr>
      <w:tr w:rsidR="00223B65" w:rsidRPr="00FC31D5" w14:paraId="749AFE79" w14:textId="77777777" w:rsidTr="00B57CCA">
        <w:tc>
          <w:tcPr>
            <w:tcW w:w="2807" w:type="dxa"/>
          </w:tcPr>
          <w:p w14:paraId="749AFE76" w14:textId="77777777" w:rsidR="00223B65" w:rsidRPr="00FC31D5" w:rsidRDefault="00223B65" w:rsidP="0027233E">
            <w:pPr>
              <w:spacing w:line="240" w:lineRule="auto"/>
              <w:rPr>
                <w:szCs w:val="22"/>
              </w:rPr>
            </w:pPr>
            <w:r w:rsidRPr="00FC31D5">
              <w:rPr>
                <w:szCs w:val="22"/>
              </w:rPr>
              <w:t>Endokrīnās sistēmas traucējumi</w:t>
            </w:r>
          </w:p>
        </w:tc>
        <w:tc>
          <w:tcPr>
            <w:tcW w:w="1780" w:type="dxa"/>
          </w:tcPr>
          <w:p w14:paraId="749AFE77" w14:textId="77777777" w:rsidR="00223B65" w:rsidRPr="00FC31D5" w:rsidRDefault="00223B65" w:rsidP="0027233E">
            <w:pPr>
              <w:spacing w:line="240" w:lineRule="auto"/>
              <w:rPr>
                <w:szCs w:val="22"/>
              </w:rPr>
            </w:pPr>
            <w:r w:rsidRPr="00FC31D5">
              <w:rPr>
                <w:szCs w:val="22"/>
              </w:rPr>
              <w:t>Ļoti reti</w:t>
            </w:r>
          </w:p>
        </w:tc>
        <w:tc>
          <w:tcPr>
            <w:tcW w:w="3935" w:type="dxa"/>
          </w:tcPr>
          <w:p w14:paraId="749AFE78" w14:textId="77777777" w:rsidR="00223B65" w:rsidRPr="00FC31D5" w:rsidRDefault="00223B65" w:rsidP="0027233E">
            <w:pPr>
              <w:spacing w:line="240" w:lineRule="auto"/>
              <w:rPr>
                <w:szCs w:val="22"/>
              </w:rPr>
            </w:pPr>
            <w:r w:rsidRPr="00FC31D5">
              <w:rPr>
                <w:szCs w:val="22"/>
              </w:rPr>
              <w:t>Kušinga sindroms, virsnieru nomākums, augšanas aizture, kaulu minerālvielu blīvuma samazināšanās</w:t>
            </w:r>
          </w:p>
        </w:tc>
      </w:tr>
      <w:tr w:rsidR="00223B65" w:rsidRPr="00FC31D5" w14:paraId="749AFE7D" w14:textId="77777777" w:rsidTr="00B57CCA">
        <w:tc>
          <w:tcPr>
            <w:tcW w:w="2807" w:type="dxa"/>
            <w:vMerge w:val="restart"/>
          </w:tcPr>
          <w:p w14:paraId="749AFE7A" w14:textId="77777777" w:rsidR="00223B65" w:rsidRPr="00FC31D5" w:rsidRDefault="00223B65" w:rsidP="0027233E">
            <w:pPr>
              <w:spacing w:line="240" w:lineRule="auto"/>
              <w:rPr>
                <w:szCs w:val="22"/>
              </w:rPr>
            </w:pPr>
            <w:r w:rsidRPr="00FC31D5">
              <w:rPr>
                <w:szCs w:val="22"/>
              </w:rPr>
              <w:lastRenderedPageBreak/>
              <w:t>Vielmaiņas un uztures traucējumi</w:t>
            </w:r>
          </w:p>
        </w:tc>
        <w:tc>
          <w:tcPr>
            <w:tcW w:w="1780" w:type="dxa"/>
          </w:tcPr>
          <w:p w14:paraId="749AFE7B" w14:textId="77777777" w:rsidR="00223B65" w:rsidRPr="00FC31D5" w:rsidRDefault="00223B65" w:rsidP="0027233E">
            <w:pPr>
              <w:spacing w:line="240" w:lineRule="auto"/>
              <w:rPr>
                <w:szCs w:val="22"/>
              </w:rPr>
            </w:pPr>
            <w:r w:rsidRPr="00FC31D5">
              <w:rPr>
                <w:szCs w:val="22"/>
              </w:rPr>
              <w:t>Reti</w:t>
            </w:r>
          </w:p>
        </w:tc>
        <w:tc>
          <w:tcPr>
            <w:tcW w:w="3935" w:type="dxa"/>
          </w:tcPr>
          <w:p w14:paraId="749AFE7C" w14:textId="77777777" w:rsidR="00223B65" w:rsidRPr="00FC31D5" w:rsidRDefault="00223B65" w:rsidP="0027233E">
            <w:pPr>
              <w:spacing w:line="240" w:lineRule="auto"/>
              <w:rPr>
                <w:szCs w:val="22"/>
              </w:rPr>
            </w:pPr>
            <w:r w:rsidRPr="00FC31D5">
              <w:rPr>
                <w:szCs w:val="22"/>
              </w:rPr>
              <w:t>Hipokaliēmija</w:t>
            </w:r>
          </w:p>
        </w:tc>
      </w:tr>
      <w:tr w:rsidR="00223B65" w:rsidRPr="00FC31D5" w14:paraId="749AFE81" w14:textId="77777777" w:rsidTr="00B57CCA">
        <w:tc>
          <w:tcPr>
            <w:tcW w:w="2807" w:type="dxa"/>
            <w:vMerge/>
          </w:tcPr>
          <w:p w14:paraId="749AFE7E" w14:textId="77777777" w:rsidR="00223B65" w:rsidRPr="00FC31D5" w:rsidRDefault="00223B65" w:rsidP="0027233E">
            <w:pPr>
              <w:spacing w:line="240" w:lineRule="auto"/>
              <w:rPr>
                <w:szCs w:val="22"/>
              </w:rPr>
            </w:pPr>
          </w:p>
        </w:tc>
        <w:tc>
          <w:tcPr>
            <w:tcW w:w="1780" w:type="dxa"/>
          </w:tcPr>
          <w:p w14:paraId="749AFE7F" w14:textId="77777777" w:rsidR="00223B65" w:rsidRPr="00FC31D5" w:rsidRDefault="00223B65" w:rsidP="0027233E">
            <w:pPr>
              <w:spacing w:line="240" w:lineRule="auto"/>
              <w:rPr>
                <w:szCs w:val="22"/>
              </w:rPr>
            </w:pPr>
            <w:r w:rsidRPr="00FC31D5">
              <w:rPr>
                <w:szCs w:val="22"/>
              </w:rPr>
              <w:t>Ļoti reti</w:t>
            </w:r>
          </w:p>
        </w:tc>
        <w:tc>
          <w:tcPr>
            <w:tcW w:w="3935" w:type="dxa"/>
          </w:tcPr>
          <w:p w14:paraId="749AFE80" w14:textId="77777777" w:rsidR="00223B65" w:rsidRPr="00FC31D5" w:rsidRDefault="00223B65" w:rsidP="0027233E">
            <w:pPr>
              <w:spacing w:line="240" w:lineRule="auto"/>
              <w:rPr>
                <w:szCs w:val="22"/>
              </w:rPr>
            </w:pPr>
            <w:r w:rsidRPr="00FC31D5">
              <w:rPr>
                <w:szCs w:val="22"/>
              </w:rPr>
              <w:t>Hiperglikēmija</w:t>
            </w:r>
          </w:p>
        </w:tc>
      </w:tr>
      <w:tr w:rsidR="00223B65" w:rsidRPr="00FC31D5" w14:paraId="749AFE85" w14:textId="77777777" w:rsidTr="00B57CCA">
        <w:tc>
          <w:tcPr>
            <w:tcW w:w="2807" w:type="dxa"/>
            <w:vMerge w:val="restart"/>
          </w:tcPr>
          <w:p w14:paraId="749AFE82" w14:textId="77777777" w:rsidR="00223B65" w:rsidRPr="00FC31D5" w:rsidRDefault="00223B65" w:rsidP="0027233E">
            <w:pPr>
              <w:spacing w:line="240" w:lineRule="auto"/>
              <w:rPr>
                <w:szCs w:val="22"/>
              </w:rPr>
            </w:pPr>
            <w:r w:rsidRPr="00FC31D5">
              <w:rPr>
                <w:szCs w:val="22"/>
              </w:rPr>
              <w:t>Psihiskie traucējumi</w:t>
            </w:r>
          </w:p>
        </w:tc>
        <w:tc>
          <w:tcPr>
            <w:tcW w:w="1780" w:type="dxa"/>
          </w:tcPr>
          <w:p w14:paraId="749AFE83" w14:textId="77777777" w:rsidR="00223B65" w:rsidRPr="00FC31D5" w:rsidRDefault="00223B65" w:rsidP="0027233E">
            <w:pPr>
              <w:spacing w:line="240" w:lineRule="auto"/>
              <w:rPr>
                <w:szCs w:val="22"/>
              </w:rPr>
            </w:pPr>
            <w:r w:rsidRPr="00FC31D5">
              <w:rPr>
                <w:szCs w:val="22"/>
              </w:rPr>
              <w:t>Retāk</w:t>
            </w:r>
          </w:p>
        </w:tc>
        <w:tc>
          <w:tcPr>
            <w:tcW w:w="3935" w:type="dxa"/>
          </w:tcPr>
          <w:p w14:paraId="749AFE84" w14:textId="77777777" w:rsidR="00223B65" w:rsidRPr="00FC31D5" w:rsidRDefault="00223B65" w:rsidP="0027233E">
            <w:pPr>
              <w:spacing w:line="240" w:lineRule="auto"/>
              <w:rPr>
                <w:szCs w:val="22"/>
              </w:rPr>
            </w:pPr>
            <w:r w:rsidRPr="00FC31D5">
              <w:rPr>
                <w:szCs w:val="22"/>
              </w:rPr>
              <w:t>Agresivitāte, psihomotora hiperaktivitāte, nemiers, miega traucējumi</w:t>
            </w:r>
          </w:p>
        </w:tc>
      </w:tr>
      <w:tr w:rsidR="00223B65" w:rsidRPr="00FC31D5" w14:paraId="749AFE89" w14:textId="77777777" w:rsidTr="00B57CCA">
        <w:tc>
          <w:tcPr>
            <w:tcW w:w="2807" w:type="dxa"/>
            <w:vMerge/>
          </w:tcPr>
          <w:p w14:paraId="749AFE86" w14:textId="77777777" w:rsidR="00223B65" w:rsidRPr="00FC31D5" w:rsidRDefault="00223B65" w:rsidP="0027233E">
            <w:pPr>
              <w:spacing w:line="240" w:lineRule="auto"/>
              <w:rPr>
                <w:szCs w:val="22"/>
              </w:rPr>
            </w:pPr>
          </w:p>
        </w:tc>
        <w:tc>
          <w:tcPr>
            <w:tcW w:w="1780" w:type="dxa"/>
          </w:tcPr>
          <w:p w14:paraId="749AFE87" w14:textId="77777777" w:rsidR="00223B65" w:rsidRPr="00FC31D5" w:rsidRDefault="00223B65" w:rsidP="0027233E">
            <w:pPr>
              <w:spacing w:line="240" w:lineRule="auto"/>
              <w:rPr>
                <w:szCs w:val="22"/>
              </w:rPr>
            </w:pPr>
            <w:r w:rsidRPr="00FC31D5">
              <w:rPr>
                <w:szCs w:val="22"/>
              </w:rPr>
              <w:t>Ļoti reti</w:t>
            </w:r>
          </w:p>
        </w:tc>
        <w:tc>
          <w:tcPr>
            <w:tcW w:w="3935" w:type="dxa"/>
          </w:tcPr>
          <w:p w14:paraId="749AFE88" w14:textId="77777777" w:rsidR="00223B65" w:rsidRPr="00FC31D5" w:rsidRDefault="00223B65" w:rsidP="0027233E">
            <w:pPr>
              <w:spacing w:line="240" w:lineRule="auto"/>
              <w:rPr>
                <w:szCs w:val="22"/>
              </w:rPr>
            </w:pPr>
            <w:r w:rsidRPr="00FC31D5">
              <w:rPr>
                <w:szCs w:val="22"/>
              </w:rPr>
              <w:t>Depresija, uzvedības pārmaiņas (galvenokārt bērniem)</w:t>
            </w:r>
          </w:p>
        </w:tc>
      </w:tr>
      <w:tr w:rsidR="00223B65" w:rsidRPr="00FC31D5" w14:paraId="749AFE8D" w14:textId="77777777" w:rsidTr="00B57CCA">
        <w:tc>
          <w:tcPr>
            <w:tcW w:w="2807" w:type="dxa"/>
            <w:vMerge w:val="restart"/>
          </w:tcPr>
          <w:p w14:paraId="749AFE8A" w14:textId="77777777" w:rsidR="00223B65" w:rsidRPr="00FC31D5" w:rsidRDefault="00223B65" w:rsidP="0027233E">
            <w:pPr>
              <w:spacing w:line="240" w:lineRule="auto"/>
              <w:rPr>
                <w:szCs w:val="22"/>
              </w:rPr>
            </w:pPr>
            <w:r w:rsidRPr="00FC31D5">
              <w:rPr>
                <w:szCs w:val="22"/>
              </w:rPr>
              <w:t>Nervu sistēmas traucējumi</w:t>
            </w:r>
          </w:p>
        </w:tc>
        <w:tc>
          <w:tcPr>
            <w:tcW w:w="1780" w:type="dxa"/>
          </w:tcPr>
          <w:p w14:paraId="749AFE8B" w14:textId="77777777" w:rsidR="00223B65" w:rsidRPr="00FC31D5" w:rsidRDefault="00223B65" w:rsidP="0027233E">
            <w:pPr>
              <w:spacing w:line="240" w:lineRule="auto"/>
              <w:rPr>
                <w:szCs w:val="22"/>
              </w:rPr>
            </w:pPr>
            <w:r w:rsidRPr="00FC31D5">
              <w:rPr>
                <w:szCs w:val="22"/>
              </w:rPr>
              <w:t>Bieži</w:t>
            </w:r>
          </w:p>
        </w:tc>
        <w:tc>
          <w:tcPr>
            <w:tcW w:w="3935" w:type="dxa"/>
          </w:tcPr>
          <w:p w14:paraId="749AFE8C" w14:textId="77777777" w:rsidR="00223B65" w:rsidRPr="00FC31D5" w:rsidRDefault="00223B65" w:rsidP="0027233E">
            <w:pPr>
              <w:spacing w:line="240" w:lineRule="auto"/>
              <w:rPr>
                <w:szCs w:val="22"/>
              </w:rPr>
            </w:pPr>
            <w:r w:rsidRPr="00FC31D5">
              <w:rPr>
                <w:szCs w:val="22"/>
              </w:rPr>
              <w:t>Galvassāpes, trīce</w:t>
            </w:r>
          </w:p>
        </w:tc>
      </w:tr>
      <w:tr w:rsidR="00223B65" w:rsidRPr="00FC31D5" w14:paraId="749AFE91" w14:textId="77777777" w:rsidTr="00B57CCA">
        <w:tc>
          <w:tcPr>
            <w:tcW w:w="2807" w:type="dxa"/>
            <w:vMerge/>
          </w:tcPr>
          <w:p w14:paraId="749AFE8E" w14:textId="77777777" w:rsidR="00223B65" w:rsidRPr="00FC31D5" w:rsidRDefault="00223B65" w:rsidP="0027233E">
            <w:pPr>
              <w:spacing w:line="240" w:lineRule="auto"/>
              <w:rPr>
                <w:szCs w:val="22"/>
              </w:rPr>
            </w:pPr>
          </w:p>
        </w:tc>
        <w:tc>
          <w:tcPr>
            <w:tcW w:w="1780" w:type="dxa"/>
          </w:tcPr>
          <w:p w14:paraId="749AFE8F" w14:textId="77777777" w:rsidR="00223B65" w:rsidRPr="00FC31D5" w:rsidRDefault="00223B65" w:rsidP="0027233E">
            <w:pPr>
              <w:spacing w:line="240" w:lineRule="auto"/>
              <w:rPr>
                <w:szCs w:val="22"/>
              </w:rPr>
            </w:pPr>
            <w:r w:rsidRPr="00FC31D5">
              <w:rPr>
                <w:szCs w:val="22"/>
              </w:rPr>
              <w:t>Retāk</w:t>
            </w:r>
          </w:p>
        </w:tc>
        <w:tc>
          <w:tcPr>
            <w:tcW w:w="3935" w:type="dxa"/>
          </w:tcPr>
          <w:p w14:paraId="749AFE90" w14:textId="77777777" w:rsidR="00223B65" w:rsidRPr="00FC31D5" w:rsidRDefault="00223B65" w:rsidP="0027233E">
            <w:pPr>
              <w:spacing w:line="240" w:lineRule="auto"/>
              <w:rPr>
                <w:szCs w:val="22"/>
              </w:rPr>
            </w:pPr>
            <w:r w:rsidRPr="00FC31D5">
              <w:rPr>
                <w:szCs w:val="22"/>
              </w:rPr>
              <w:t>Reibonis</w:t>
            </w:r>
          </w:p>
        </w:tc>
      </w:tr>
      <w:tr w:rsidR="00223B65" w:rsidRPr="00FC31D5" w14:paraId="749AFE95" w14:textId="77777777" w:rsidTr="00B57CCA">
        <w:tc>
          <w:tcPr>
            <w:tcW w:w="2807" w:type="dxa"/>
            <w:vMerge/>
          </w:tcPr>
          <w:p w14:paraId="749AFE92" w14:textId="77777777" w:rsidR="00223B65" w:rsidRPr="00FC31D5" w:rsidRDefault="00223B65" w:rsidP="0027233E">
            <w:pPr>
              <w:spacing w:line="240" w:lineRule="auto"/>
              <w:rPr>
                <w:szCs w:val="22"/>
              </w:rPr>
            </w:pPr>
          </w:p>
        </w:tc>
        <w:tc>
          <w:tcPr>
            <w:tcW w:w="1780" w:type="dxa"/>
          </w:tcPr>
          <w:p w14:paraId="749AFE93" w14:textId="77777777" w:rsidR="00223B65" w:rsidRPr="00FC31D5" w:rsidRDefault="00223B65" w:rsidP="0027233E">
            <w:pPr>
              <w:spacing w:line="240" w:lineRule="auto"/>
              <w:rPr>
                <w:szCs w:val="22"/>
              </w:rPr>
            </w:pPr>
            <w:r w:rsidRPr="00FC31D5">
              <w:rPr>
                <w:szCs w:val="22"/>
              </w:rPr>
              <w:t>Ļoti reti</w:t>
            </w:r>
          </w:p>
        </w:tc>
        <w:tc>
          <w:tcPr>
            <w:tcW w:w="3935" w:type="dxa"/>
          </w:tcPr>
          <w:p w14:paraId="749AFE94" w14:textId="77777777" w:rsidR="00223B65" w:rsidRPr="00FC31D5" w:rsidRDefault="00223B65" w:rsidP="0027233E">
            <w:pPr>
              <w:spacing w:line="240" w:lineRule="auto"/>
              <w:rPr>
                <w:szCs w:val="22"/>
              </w:rPr>
            </w:pPr>
            <w:r w:rsidRPr="00FC31D5">
              <w:rPr>
                <w:szCs w:val="22"/>
              </w:rPr>
              <w:t>Garšas sajūtas traucējumi</w:t>
            </w:r>
          </w:p>
        </w:tc>
      </w:tr>
      <w:tr w:rsidR="00B57CCA" w:rsidRPr="00FC31D5" w14:paraId="749AFE99" w14:textId="77777777" w:rsidTr="00B57CCA">
        <w:tc>
          <w:tcPr>
            <w:tcW w:w="2807" w:type="dxa"/>
            <w:vMerge w:val="restart"/>
          </w:tcPr>
          <w:p w14:paraId="749AFE96" w14:textId="77777777" w:rsidR="00B57CCA" w:rsidRPr="00FC31D5" w:rsidRDefault="00B57CCA" w:rsidP="0027233E">
            <w:pPr>
              <w:spacing w:line="240" w:lineRule="auto"/>
              <w:rPr>
                <w:szCs w:val="22"/>
              </w:rPr>
            </w:pPr>
            <w:r w:rsidRPr="00FC31D5">
              <w:rPr>
                <w:szCs w:val="22"/>
              </w:rPr>
              <w:t>Acu bojājumi</w:t>
            </w:r>
          </w:p>
        </w:tc>
        <w:tc>
          <w:tcPr>
            <w:tcW w:w="1780" w:type="dxa"/>
          </w:tcPr>
          <w:p w14:paraId="749AFE97" w14:textId="77777777" w:rsidR="00B57CCA" w:rsidRPr="00FC31D5" w:rsidRDefault="00B57CCA" w:rsidP="0027233E">
            <w:pPr>
              <w:spacing w:line="240" w:lineRule="auto"/>
              <w:rPr>
                <w:szCs w:val="22"/>
              </w:rPr>
            </w:pPr>
            <w:r>
              <w:rPr>
                <w:szCs w:val="22"/>
              </w:rPr>
              <w:t>Retāk</w:t>
            </w:r>
          </w:p>
        </w:tc>
        <w:tc>
          <w:tcPr>
            <w:tcW w:w="3935" w:type="dxa"/>
          </w:tcPr>
          <w:p w14:paraId="749AFE98" w14:textId="77777777" w:rsidR="00B57CCA" w:rsidRPr="00FC31D5" w:rsidRDefault="00B57CCA" w:rsidP="0027233E">
            <w:pPr>
              <w:spacing w:line="240" w:lineRule="auto"/>
              <w:rPr>
                <w:szCs w:val="22"/>
              </w:rPr>
            </w:pPr>
            <w:r>
              <w:rPr>
                <w:szCs w:val="22"/>
              </w:rPr>
              <w:t>Neskaidra redze (skatīt arī 4.4. apakšpunktu)</w:t>
            </w:r>
          </w:p>
        </w:tc>
      </w:tr>
      <w:tr w:rsidR="00B57CCA" w:rsidRPr="00FC31D5" w14:paraId="749AFE9D" w14:textId="77777777" w:rsidTr="00B57CCA">
        <w:tc>
          <w:tcPr>
            <w:tcW w:w="2807" w:type="dxa"/>
            <w:vMerge/>
          </w:tcPr>
          <w:p w14:paraId="749AFE9A" w14:textId="77777777" w:rsidR="00B57CCA" w:rsidRPr="00FC31D5" w:rsidRDefault="00B57CCA" w:rsidP="0027233E">
            <w:pPr>
              <w:spacing w:line="240" w:lineRule="auto"/>
              <w:rPr>
                <w:szCs w:val="22"/>
              </w:rPr>
            </w:pPr>
          </w:p>
        </w:tc>
        <w:tc>
          <w:tcPr>
            <w:tcW w:w="1780" w:type="dxa"/>
          </w:tcPr>
          <w:p w14:paraId="749AFE9B" w14:textId="77777777" w:rsidR="00B57CCA" w:rsidRPr="00FC31D5" w:rsidRDefault="00B57CCA" w:rsidP="0027233E">
            <w:pPr>
              <w:spacing w:line="240" w:lineRule="auto"/>
              <w:rPr>
                <w:szCs w:val="22"/>
              </w:rPr>
            </w:pPr>
            <w:r w:rsidRPr="00FC31D5">
              <w:rPr>
                <w:szCs w:val="22"/>
              </w:rPr>
              <w:t>Ļoti reti</w:t>
            </w:r>
          </w:p>
        </w:tc>
        <w:tc>
          <w:tcPr>
            <w:tcW w:w="3935" w:type="dxa"/>
          </w:tcPr>
          <w:p w14:paraId="749AFE9C" w14:textId="77777777" w:rsidR="00B57CCA" w:rsidRPr="00FC31D5" w:rsidRDefault="00B57CCA" w:rsidP="0027233E">
            <w:pPr>
              <w:spacing w:line="240" w:lineRule="auto"/>
              <w:rPr>
                <w:szCs w:val="22"/>
              </w:rPr>
            </w:pPr>
            <w:r w:rsidRPr="00FC31D5">
              <w:rPr>
                <w:szCs w:val="22"/>
              </w:rPr>
              <w:t>Katarakta un glaukoma</w:t>
            </w:r>
          </w:p>
        </w:tc>
      </w:tr>
      <w:tr w:rsidR="00223B65" w:rsidRPr="00FC31D5" w14:paraId="749AFEA1" w14:textId="77777777" w:rsidTr="00B57CCA">
        <w:tc>
          <w:tcPr>
            <w:tcW w:w="2807" w:type="dxa"/>
            <w:vMerge w:val="restart"/>
          </w:tcPr>
          <w:p w14:paraId="749AFE9E" w14:textId="77777777" w:rsidR="00223B65" w:rsidRPr="00FC31D5" w:rsidRDefault="00223B65" w:rsidP="0027233E">
            <w:pPr>
              <w:spacing w:line="240" w:lineRule="auto"/>
              <w:rPr>
                <w:szCs w:val="22"/>
              </w:rPr>
            </w:pPr>
            <w:r w:rsidRPr="00FC31D5">
              <w:rPr>
                <w:szCs w:val="22"/>
              </w:rPr>
              <w:t>Sirds funkcijas traucējumi</w:t>
            </w:r>
          </w:p>
        </w:tc>
        <w:tc>
          <w:tcPr>
            <w:tcW w:w="1780" w:type="dxa"/>
          </w:tcPr>
          <w:p w14:paraId="749AFE9F" w14:textId="77777777" w:rsidR="00223B65" w:rsidRPr="00FC31D5" w:rsidRDefault="00223B65" w:rsidP="0027233E">
            <w:pPr>
              <w:spacing w:line="240" w:lineRule="auto"/>
              <w:rPr>
                <w:szCs w:val="22"/>
              </w:rPr>
            </w:pPr>
            <w:r w:rsidRPr="00FC31D5">
              <w:rPr>
                <w:szCs w:val="22"/>
              </w:rPr>
              <w:t>Bieži</w:t>
            </w:r>
          </w:p>
        </w:tc>
        <w:tc>
          <w:tcPr>
            <w:tcW w:w="3935" w:type="dxa"/>
          </w:tcPr>
          <w:p w14:paraId="749AFEA0" w14:textId="77777777" w:rsidR="00223B65" w:rsidRPr="00FC31D5" w:rsidRDefault="00223B65" w:rsidP="0027233E">
            <w:pPr>
              <w:spacing w:line="240" w:lineRule="auto"/>
              <w:rPr>
                <w:szCs w:val="22"/>
              </w:rPr>
            </w:pPr>
            <w:r w:rsidRPr="00FC31D5">
              <w:rPr>
                <w:szCs w:val="22"/>
              </w:rPr>
              <w:t>Sirdsklauves</w:t>
            </w:r>
          </w:p>
        </w:tc>
      </w:tr>
      <w:tr w:rsidR="00223B65" w:rsidRPr="00FC31D5" w14:paraId="749AFEA5" w14:textId="77777777" w:rsidTr="00B57CCA">
        <w:tc>
          <w:tcPr>
            <w:tcW w:w="2807" w:type="dxa"/>
            <w:vMerge/>
          </w:tcPr>
          <w:p w14:paraId="749AFEA2" w14:textId="77777777" w:rsidR="00223B65" w:rsidRPr="00FC31D5" w:rsidRDefault="00223B65" w:rsidP="0027233E">
            <w:pPr>
              <w:spacing w:line="240" w:lineRule="auto"/>
              <w:rPr>
                <w:szCs w:val="22"/>
              </w:rPr>
            </w:pPr>
          </w:p>
        </w:tc>
        <w:tc>
          <w:tcPr>
            <w:tcW w:w="1780" w:type="dxa"/>
          </w:tcPr>
          <w:p w14:paraId="749AFEA3" w14:textId="77777777" w:rsidR="00223B65" w:rsidRPr="00FC31D5" w:rsidRDefault="00223B65" w:rsidP="0027233E">
            <w:pPr>
              <w:spacing w:line="240" w:lineRule="auto"/>
              <w:rPr>
                <w:szCs w:val="22"/>
              </w:rPr>
            </w:pPr>
            <w:r w:rsidRPr="00FC31D5">
              <w:rPr>
                <w:szCs w:val="22"/>
              </w:rPr>
              <w:t>Retāk</w:t>
            </w:r>
          </w:p>
        </w:tc>
        <w:tc>
          <w:tcPr>
            <w:tcW w:w="3935" w:type="dxa"/>
          </w:tcPr>
          <w:p w14:paraId="749AFEA4" w14:textId="77777777" w:rsidR="00223B65" w:rsidRPr="00FC31D5" w:rsidRDefault="00223B65" w:rsidP="0027233E">
            <w:pPr>
              <w:spacing w:line="240" w:lineRule="auto"/>
              <w:rPr>
                <w:szCs w:val="22"/>
              </w:rPr>
            </w:pPr>
            <w:r w:rsidRPr="00FC31D5">
              <w:rPr>
                <w:szCs w:val="22"/>
              </w:rPr>
              <w:t>Tahikardija</w:t>
            </w:r>
          </w:p>
        </w:tc>
      </w:tr>
      <w:tr w:rsidR="00223B65" w:rsidRPr="00FC31D5" w14:paraId="749AFEA9" w14:textId="77777777" w:rsidTr="00B57CCA">
        <w:tc>
          <w:tcPr>
            <w:tcW w:w="2807" w:type="dxa"/>
            <w:vMerge/>
          </w:tcPr>
          <w:p w14:paraId="749AFEA6" w14:textId="77777777" w:rsidR="00223B65" w:rsidRPr="00FC31D5" w:rsidRDefault="00223B65" w:rsidP="0027233E">
            <w:pPr>
              <w:spacing w:line="240" w:lineRule="auto"/>
              <w:rPr>
                <w:szCs w:val="22"/>
              </w:rPr>
            </w:pPr>
          </w:p>
        </w:tc>
        <w:tc>
          <w:tcPr>
            <w:tcW w:w="1780" w:type="dxa"/>
          </w:tcPr>
          <w:p w14:paraId="749AFEA7" w14:textId="77777777" w:rsidR="00223B65" w:rsidRPr="00FC31D5" w:rsidRDefault="00223B65" w:rsidP="0027233E">
            <w:pPr>
              <w:spacing w:line="240" w:lineRule="auto"/>
              <w:rPr>
                <w:szCs w:val="22"/>
              </w:rPr>
            </w:pPr>
            <w:r w:rsidRPr="00FC31D5">
              <w:rPr>
                <w:szCs w:val="22"/>
              </w:rPr>
              <w:t>Reti</w:t>
            </w:r>
          </w:p>
        </w:tc>
        <w:tc>
          <w:tcPr>
            <w:tcW w:w="3935" w:type="dxa"/>
          </w:tcPr>
          <w:p w14:paraId="749AFEA8" w14:textId="77777777" w:rsidR="00223B65" w:rsidRPr="00FC31D5" w:rsidRDefault="00223B65" w:rsidP="0027233E">
            <w:pPr>
              <w:spacing w:line="240" w:lineRule="auto"/>
              <w:rPr>
                <w:szCs w:val="22"/>
              </w:rPr>
            </w:pPr>
            <w:r w:rsidRPr="00FC31D5">
              <w:rPr>
                <w:szCs w:val="22"/>
              </w:rPr>
              <w:t>Sirds aritmijas, piemēram, priekškambaru mirdzēšana, supraventrikulāra tahikardija, ekstrasistoles</w:t>
            </w:r>
          </w:p>
        </w:tc>
      </w:tr>
      <w:tr w:rsidR="00223B65" w:rsidRPr="00FC31D5" w14:paraId="749AFEAD" w14:textId="77777777" w:rsidTr="00B57CCA">
        <w:tc>
          <w:tcPr>
            <w:tcW w:w="2807" w:type="dxa"/>
            <w:vMerge/>
          </w:tcPr>
          <w:p w14:paraId="749AFEAA" w14:textId="77777777" w:rsidR="00223B65" w:rsidRPr="00FC31D5" w:rsidRDefault="00223B65" w:rsidP="0027233E">
            <w:pPr>
              <w:spacing w:line="240" w:lineRule="auto"/>
              <w:rPr>
                <w:szCs w:val="22"/>
              </w:rPr>
            </w:pPr>
          </w:p>
        </w:tc>
        <w:tc>
          <w:tcPr>
            <w:tcW w:w="1780" w:type="dxa"/>
          </w:tcPr>
          <w:p w14:paraId="749AFEAB" w14:textId="77777777" w:rsidR="00223B65" w:rsidRPr="00FC31D5" w:rsidRDefault="00223B65" w:rsidP="0027233E">
            <w:pPr>
              <w:spacing w:line="240" w:lineRule="auto"/>
              <w:rPr>
                <w:szCs w:val="22"/>
              </w:rPr>
            </w:pPr>
            <w:r w:rsidRPr="00FC31D5">
              <w:rPr>
                <w:szCs w:val="22"/>
              </w:rPr>
              <w:t>Ļoti reti</w:t>
            </w:r>
          </w:p>
        </w:tc>
        <w:tc>
          <w:tcPr>
            <w:tcW w:w="3935" w:type="dxa"/>
          </w:tcPr>
          <w:p w14:paraId="749AFEAC" w14:textId="77777777" w:rsidR="00223B65" w:rsidRPr="00FC31D5" w:rsidRDefault="00223B65" w:rsidP="0027233E">
            <w:pPr>
              <w:spacing w:line="240" w:lineRule="auto"/>
              <w:rPr>
                <w:szCs w:val="22"/>
              </w:rPr>
            </w:pPr>
            <w:r w:rsidRPr="00FC31D5">
              <w:rPr>
                <w:szCs w:val="22"/>
              </w:rPr>
              <w:t>Stenokardija, QTc-intervāla pagarināšanās</w:t>
            </w:r>
          </w:p>
        </w:tc>
      </w:tr>
      <w:tr w:rsidR="00223B65" w:rsidRPr="00FC31D5" w14:paraId="749AFEB1" w14:textId="77777777" w:rsidTr="00B57CCA">
        <w:tc>
          <w:tcPr>
            <w:tcW w:w="2807" w:type="dxa"/>
          </w:tcPr>
          <w:p w14:paraId="749AFEAE" w14:textId="77777777" w:rsidR="00223B65" w:rsidRPr="00FC31D5" w:rsidRDefault="00223B65" w:rsidP="0027233E">
            <w:pPr>
              <w:spacing w:line="240" w:lineRule="auto"/>
              <w:rPr>
                <w:szCs w:val="22"/>
              </w:rPr>
            </w:pPr>
            <w:r w:rsidRPr="00FC31D5">
              <w:rPr>
                <w:szCs w:val="22"/>
              </w:rPr>
              <w:t>Asinsvadu sistēmas traucējumi</w:t>
            </w:r>
          </w:p>
        </w:tc>
        <w:tc>
          <w:tcPr>
            <w:tcW w:w="1780" w:type="dxa"/>
          </w:tcPr>
          <w:p w14:paraId="749AFEAF" w14:textId="77777777" w:rsidR="00223B65" w:rsidRPr="00FC31D5" w:rsidRDefault="00223B65" w:rsidP="0027233E">
            <w:pPr>
              <w:spacing w:line="240" w:lineRule="auto"/>
              <w:rPr>
                <w:szCs w:val="22"/>
              </w:rPr>
            </w:pPr>
            <w:r w:rsidRPr="00FC31D5">
              <w:rPr>
                <w:szCs w:val="22"/>
              </w:rPr>
              <w:t>Ļoti reti</w:t>
            </w:r>
          </w:p>
        </w:tc>
        <w:tc>
          <w:tcPr>
            <w:tcW w:w="3935" w:type="dxa"/>
          </w:tcPr>
          <w:p w14:paraId="749AFEB0" w14:textId="77777777" w:rsidR="00223B65" w:rsidRPr="00FC31D5" w:rsidRDefault="00223B65" w:rsidP="0027233E">
            <w:pPr>
              <w:spacing w:line="240" w:lineRule="auto"/>
              <w:rPr>
                <w:szCs w:val="22"/>
              </w:rPr>
            </w:pPr>
            <w:r w:rsidRPr="00FC31D5">
              <w:rPr>
                <w:szCs w:val="22"/>
              </w:rPr>
              <w:t>Asinsspiediena pārmaiņas</w:t>
            </w:r>
          </w:p>
        </w:tc>
      </w:tr>
      <w:tr w:rsidR="00223B65" w:rsidRPr="00FC31D5" w14:paraId="749AFEB5" w14:textId="77777777" w:rsidTr="00B57CCA">
        <w:tc>
          <w:tcPr>
            <w:tcW w:w="2807" w:type="dxa"/>
            <w:vMerge w:val="restart"/>
          </w:tcPr>
          <w:p w14:paraId="749AFEB2" w14:textId="77777777" w:rsidR="00223B65" w:rsidRPr="00FC31D5" w:rsidRDefault="00223B65" w:rsidP="0027233E">
            <w:pPr>
              <w:spacing w:line="240" w:lineRule="auto"/>
              <w:rPr>
                <w:szCs w:val="22"/>
              </w:rPr>
            </w:pPr>
            <w:r w:rsidRPr="00FC31D5">
              <w:rPr>
                <w:szCs w:val="22"/>
              </w:rPr>
              <w:t>Elpošanas sistēmas traucējumi, krūšu kurvja un videnes slimības</w:t>
            </w:r>
          </w:p>
        </w:tc>
        <w:tc>
          <w:tcPr>
            <w:tcW w:w="1780" w:type="dxa"/>
          </w:tcPr>
          <w:p w14:paraId="749AFEB3" w14:textId="77777777" w:rsidR="00223B65" w:rsidRPr="00FC31D5" w:rsidRDefault="00223B65" w:rsidP="0027233E">
            <w:pPr>
              <w:spacing w:line="240" w:lineRule="auto"/>
              <w:rPr>
                <w:szCs w:val="22"/>
              </w:rPr>
            </w:pPr>
            <w:r w:rsidRPr="00FC31D5">
              <w:rPr>
                <w:szCs w:val="22"/>
              </w:rPr>
              <w:t>Bieži</w:t>
            </w:r>
          </w:p>
        </w:tc>
        <w:tc>
          <w:tcPr>
            <w:tcW w:w="3935" w:type="dxa"/>
          </w:tcPr>
          <w:p w14:paraId="749AFEB4" w14:textId="77777777" w:rsidR="00223B65" w:rsidRPr="00FC31D5" w:rsidRDefault="00223B65" w:rsidP="00262187">
            <w:pPr>
              <w:spacing w:line="240" w:lineRule="auto"/>
              <w:rPr>
                <w:szCs w:val="22"/>
              </w:rPr>
            </w:pPr>
            <w:r w:rsidRPr="00FC31D5">
              <w:rPr>
                <w:szCs w:val="22"/>
              </w:rPr>
              <w:t xml:space="preserve">Viegls kairinājums rīklē, klepus, </w:t>
            </w:r>
            <w:r w:rsidR="00262187">
              <w:rPr>
                <w:szCs w:val="22"/>
              </w:rPr>
              <w:t xml:space="preserve">disfonija, tai skaitā </w:t>
            </w:r>
            <w:r w:rsidRPr="00FC31D5">
              <w:rPr>
                <w:szCs w:val="22"/>
              </w:rPr>
              <w:t>aizsmakums</w:t>
            </w:r>
          </w:p>
        </w:tc>
      </w:tr>
      <w:tr w:rsidR="00223B65" w:rsidRPr="00FC31D5" w14:paraId="749AFEB9" w14:textId="77777777" w:rsidTr="00B57CCA">
        <w:tc>
          <w:tcPr>
            <w:tcW w:w="2807" w:type="dxa"/>
            <w:vMerge/>
          </w:tcPr>
          <w:p w14:paraId="749AFEB6" w14:textId="77777777" w:rsidR="00223B65" w:rsidRPr="00FC31D5" w:rsidRDefault="00223B65" w:rsidP="0027233E">
            <w:pPr>
              <w:spacing w:line="240" w:lineRule="auto"/>
              <w:rPr>
                <w:szCs w:val="22"/>
              </w:rPr>
            </w:pPr>
          </w:p>
        </w:tc>
        <w:tc>
          <w:tcPr>
            <w:tcW w:w="1780" w:type="dxa"/>
          </w:tcPr>
          <w:p w14:paraId="749AFEB7" w14:textId="77777777" w:rsidR="00223B65" w:rsidRPr="00FC31D5" w:rsidRDefault="00223B65" w:rsidP="0027233E">
            <w:pPr>
              <w:spacing w:line="240" w:lineRule="auto"/>
              <w:rPr>
                <w:szCs w:val="22"/>
              </w:rPr>
            </w:pPr>
            <w:r w:rsidRPr="00FC31D5">
              <w:rPr>
                <w:szCs w:val="22"/>
              </w:rPr>
              <w:t>Reti</w:t>
            </w:r>
          </w:p>
        </w:tc>
        <w:tc>
          <w:tcPr>
            <w:tcW w:w="3935" w:type="dxa"/>
          </w:tcPr>
          <w:p w14:paraId="749AFEB8" w14:textId="77777777" w:rsidR="00223B65" w:rsidRPr="00FC31D5" w:rsidRDefault="00223B65" w:rsidP="0027233E">
            <w:pPr>
              <w:spacing w:line="240" w:lineRule="auto"/>
              <w:rPr>
                <w:szCs w:val="22"/>
              </w:rPr>
            </w:pPr>
            <w:r w:rsidRPr="00FC31D5">
              <w:rPr>
                <w:szCs w:val="22"/>
              </w:rPr>
              <w:t>Bronhu spazmas</w:t>
            </w:r>
          </w:p>
        </w:tc>
      </w:tr>
      <w:tr w:rsidR="00223B65" w:rsidRPr="00FC31D5" w14:paraId="749AFEBD" w14:textId="77777777" w:rsidTr="00B57CCA">
        <w:tc>
          <w:tcPr>
            <w:tcW w:w="2807" w:type="dxa"/>
          </w:tcPr>
          <w:p w14:paraId="749AFEBA" w14:textId="77777777" w:rsidR="00223B65" w:rsidRPr="00FC31D5" w:rsidRDefault="00223B65" w:rsidP="0027233E">
            <w:pPr>
              <w:spacing w:line="240" w:lineRule="auto"/>
              <w:rPr>
                <w:szCs w:val="22"/>
              </w:rPr>
            </w:pPr>
            <w:r w:rsidRPr="00FC31D5">
              <w:rPr>
                <w:szCs w:val="22"/>
              </w:rPr>
              <w:t>Kuņģa-zarnu trakta traucējumi</w:t>
            </w:r>
          </w:p>
        </w:tc>
        <w:tc>
          <w:tcPr>
            <w:tcW w:w="1780" w:type="dxa"/>
          </w:tcPr>
          <w:p w14:paraId="749AFEBB" w14:textId="77777777" w:rsidR="00223B65" w:rsidRPr="00FC31D5" w:rsidRDefault="00223B65" w:rsidP="0027233E">
            <w:pPr>
              <w:spacing w:line="240" w:lineRule="auto"/>
              <w:rPr>
                <w:szCs w:val="22"/>
              </w:rPr>
            </w:pPr>
            <w:r w:rsidRPr="00FC31D5">
              <w:rPr>
                <w:szCs w:val="22"/>
              </w:rPr>
              <w:t>Retāk</w:t>
            </w:r>
          </w:p>
        </w:tc>
        <w:tc>
          <w:tcPr>
            <w:tcW w:w="3935" w:type="dxa"/>
          </w:tcPr>
          <w:p w14:paraId="749AFEBC" w14:textId="77777777" w:rsidR="00223B65" w:rsidRPr="00FC31D5" w:rsidRDefault="00223B65" w:rsidP="0027233E">
            <w:pPr>
              <w:spacing w:line="240" w:lineRule="auto"/>
              <w:rPr>
                <w:szCs w:val="22"/>
              </w:rPr>
            </w:pPr>
            <w:r w:rsidRPr="00FC31D5">
              <w:rPr>
                <w:szCs w:val="22"/>
              </w:rPr>
              <w:t>Slikta dūša</w:t>
            </w:r>
          </w:p>
        </w:tc>
      </w:tr>
      <w:tr w:rsidR="00223B65" w:rsidRPr="00FC31D5" w14:paraId="749AFEC1" w14:textId="77777777" w:rsidTr="00B57CCA">
        <w:tc>
          <w:tcPr>
            <w:tcW w:w="2807" w:type="dxa"/>
          </w:tcPr>
          <w:p w14:paraId="749AFEBE" w14:textId="77777777" w:rsidR="00223B65" w:rsidRPr="00FC31D5" w:rsidRDefault="00223B65" w:rsidP="0027233E">
            <w:pPr>
              <w:spacing w:line="240" w:lineRule="auto"/>
              <w:rPr>
                <w:szCs w:val="22"/>
              </w:rPr>
            </w:pPr>
            <w:r w:rsidRPr="00FC31D5">
              <w:rPr>
                <w:szCs w:val="22"/>
              </w:rPr>
              <w:t>Ādas un zemādas audu bojājumi</w:t>
            </w:r>
          </w:p>
        </w:tc>
        <w:tc>
          <w:tcPr>
            <w:tcW w:w="1780" w:type="dxa"/>
          </w:tcPr>
          <w:p w14:paraId="749AFEBF" w14:textId="77777777" w:rsidR="00223B65" w:rsidRPr="00FC31D5" w:rsidRDefault="00223B65" w:rsidP="0027233E">
            <w:pPr>
              <w:spacing w:line="240" w:lineRule="auto"/>
              <w:rPr>
                <w:szCs w:val="22"/>
              </w:rPr>
            </w:pPr>
            <w:r w:rsidRPr="00FC31D5">
              <w:rPr>
                <w:szCs w:val="22"/>
              </w:rPr>
              <w:t>Retāk</w:t>
            </w:r>
          </w:p>
        </w:tc>
        <w:tc>
          <w:tcPr>
            <w:tcW w:w="3935" w:type="dxa"/>
          </w:tcPr>
          <w:p w14:paraId="749AFEC0" w14:textId="77777777" w:rsidR="00223B65" w:rsidRPr="00FC31D5" w:rsidRDefault="00223B65" w:rsidP="0027233E">
            <w:pPr>
              <w:spacing w:line="240" w:lineRule="auto"/>
              <w:rPr>
                <w:szCs w:val="22"/>
              </w:rPr>
            </w:pPr>
            <w:r w:rsidRPr="00FC31D5">
              <w:rPr>
                <w:szCs w:val="22"/>
              </w:rPr>
              <w:t>Asinsizplūdumi</w:t>
            </w:r>
          </w:p>
        </w:tc>
      </w:tr>
      <w:tr w:rsidR="00223B65" w:rsidRPr="00FC31D5" w14:paraId="749AFEC5" w14:textId="77777777" w:rsidTr="00B57CCA">
        <w:tc>
          <w:tcPr>
            <w:tcW w:w="2807" w:type="dxa"/>
          </w:tcPr>
          <w:p w14:paraId="749AFEC2" w14:textId="77777777" w:rsidR="00223B65" w:rsidRPr="00FC31D5" w:rsidRDefault="00223B65" w:rsidP="0027233E">
            <w:pPr>
              <w:spacing w:line="240" w:lineRule="auto"/>
              <w:rPr>
                <w:szCs w:val="22"/>
              </w:rPr>
            </w:pPr>
            <w:r w:rsidRPr="00FC31D5">
              <w:rPr>
                <w:szCs w:val="22"/>
              </w:rPr>
              <w:t>Skeleta-muskuļu un saistaudu sistēmas bojājumi</w:t>
            </w:r>
          </w:p>
        </w:tc>
        <w:tc>
          <w:tcPr>
            <w:tcW w:w="1780" w:type="dxa"/>
          </w:tcPr>
          <w:p w14:paraId="749AFEC3" w14:textId="77777777" w:rsidR="00223B65" w:rsidRPr="00FC31D5" w:rsidRDefault="00223B65" w:rsidP="0027233E">
            <w:pPr>
              <w:spacing w:line="240" w:lineRule="auto"/>
              <w:rPr>
                <w:szCs w:val="22"/>
              </w:rPr>
            </w:pPr>
            <w:r w:rsidRPr="00FC31D5">
              <w:rPr>
                <w:szCs w:val="22"/>
              </w:rPr>
              <w:t>Retāk</w:t>
            </w:r>
          </w:p>
        </w:tc>
        <w:tc>
          <w:tcPr>
            <w:tcW w:w="3935" w:type="dxa"/>
          </w:tcPr>
          <w:p w14:paraId="749AFEC4" w14:textId="77777777" w:rsidR="00223B65" w:rsidRPr="00FC31D5" w:rsidRDefault="00223B65" w:rsidP="0027233E">
            <w:pPr>
              <w:spacing w:line="240" w:lineRule="auto"/>
              <w:rPr>
                <w:szCs w:val="22"/>
              </w:rPr>
            </w:pPr>
            <w:r w:rsidRPr="00FC31D5">
              <w:rPr>
                <w:szCs w:val="22"/>
              </w:rPr>
              <w:t>Muskuļu krampji</w:t>
            </w:r>
          </w:p>
        </w:tc>
      </w:tr>
    </w:tbl>
    <w:p w14:paraId="749AFEC6" w14:textId="77777777" w:rsidR="00223B65" w:rsidRPr="00FC31D5" w:rsidRDefault="00223B65" w:rsidP="00223B65">
      <w:pPr>
        <w:tabs>
          <w:tab w:val="clear" w:pos="567"/>
        </w:tabs>
        <w:spacing w:line="240" w:lineRule="auto"/>
        <w:rPr>
          <w:szCs w:val="22"/>
        </w:rPr>
      </w:pPr>
    </w:p>
    <w:p w14:paraId="749AFEC7" w14:textId="77777777" w:rsidR="00223B65" w:rsidRDefault="00223B65" w:rsidP="00223B65">
      <w:pPr>
        <w:tabs>
          <w:tab w:val="clear" w:pos="567"/>
        </w:tabs>
        <w:spacing w:line="240" w:lineRule="auto"/>
        <w:rPr>
          <w:szCs w:val="22"/>
        </w:rPr>
      </w:pPr>
      <w:r w:rsidRPr="00FC31D5">
        <w:rPr>
          <w:szCs w:val="22"/>
        </w:rPr>
        <w:t xml:space="preserve">Kandidu infekcija mutē un rīklē ir saistīta ar zāļu nogulsnēšanos. Iesakot pacientiem skalot muti ar ūdeni pēc katras </w:t>
      </w:r>
      <w:r>
        <w:rPr>
          <w:szCs w:val="22"/>
        </w:rPr>
        <w:t xml:space="preserve">pamata </w:t>
      </w:r>
      <w:r w:rsidRPr="00FC31D5">
        <w:rPr>
          <w:szCs w:val="22"/>
        </w:rPr>
        <w:t>inhalācijas mazinās risku. Mutes un rīkles kandidu infekciju parasti ārstē ar lokālu pretsēnīšu terapiju, nepārtraucot inhalējamo kortikosteroīdu lietošanu.</w:t>
      </w:r>
      <w:r w:rsidRPr="00AF25A6">
        <w:rPr>
          <w:szCs w:val="22"/>
        </w:rPr>
        <w:t>Ja rodas mutes un rīkles kandidoze, pacientam jāizskalo mute ar ūdeni arī pēc papildus inhalāciju lietošanas pēc vajadzības.</w:t>
      </w:r>
    </w:p>
    <w:p w14:paraId="749AFEC8" w14:textId="77777777" w:rsidR="00223B65" w:rsidRPr="00FC31D5" w:rsidRDefault="00223B65" w:rsidP="00223B65">
      <w:pPr>
        <w:tabs>
          <w:tab w:val="clear" w:pos="567"/>
        </w:tabs>
        <w:spacing w:line="240" w:lineRule="auto"/>
        <w:rPr>
          <w:szCs w:val="22"/>
        </w:rPr>
      </w:pPr>
    </w:p>
    <w:p w14:paraId="749AFEC9" w14:textId="77777777" w:rsidR="00223B65" w:rsidRPr="00FC31D5" w:rsidRDefault="00223B65" w:rsidP="00223B65">
      <w:pPr>
        <w:tabs>
          <w:tab w:val="clear" w:pos="567"/>
        </w:tabs>
        <w:spacing w:line="240" w:lineRule="auto"/>
        <w:rPr>
          <w:szCs w:val="22"/>
        </w:rPr>
      </w:pPr>
      <w:r w:rsidRPr="00FC31D5">
        <w:rPr>
          <w:szCs w:val="22"/>
        </w:rPr>
        <w:t xml:space="preserve">Tāpat kā, lietojot citus inhalējamus līdzekļus, ļoti retos gadījumos (skar mazāk kā 1 no 10 000 cilvēkiem) var attīstīties paradoksālas bronhu spazmas, kad nekavējoties pēc inhalācijas pieaug sēkšana un elpas trūkums. Paradoksālas bronhu spazmas jāārstē nekavējoties ar ātras darbības inhalējamiem bronhodilatatoriem. Nekavējoties jāpārtrauc </w:t>
      </w:r>
      <w:r w:rsidRPr="00FC31D5">
        <w:rPr>
          <w:bCs/>
          <w:iCs/>
          <w:szCs w:val="22"/>
        </w:rPr>
        <w:t xml:space="preserve">Bufomix Easyhaler </w:t>
      </w:r>
      <w:r w:rsidRPr="00FC31D5">
        <w:rPr>
          <w:szCs w:val="22"/>
        </w:rPr>
        <w:t>lietošana, jāpārskata ārstēšana un nepieciešamības gadījumā jānozīmē alternatīva terapija (skatīt 4.4. apakšpunktu).</w:t>
      </w:r>
    </w:p>
    <w:p w14:paraId="749AFECA" w14:textId="77777777" w:rsidR="00223B65" w:rsidRPr="00FC31D5" w:rsidRDefault="00223B65" w:rsidP="00223B65">
      <w:pPr>
        <w:tabs>
          <w:tab w:val="clear" w:pos="567"/>
        </w:tabs>
        <w:spacing w:line="240" w:lineRule="auto"/>
        <w:rPr>
          <w:szCs w:val="22"/>
        </w:rPr>
      </w:pPr>
    </w:p>
    <w:p w14:paraId="749AFECB" w14:textId="77777777" w:rsidR="00223B65" w:rsidRPr="00FC31D5" w:rsidRDefault="00223B65" w:rsidP="00223B65">
      <w:pPr>
        <w:tabs>
          <w:tab w:val="clear" w:pos="567"/>
        </w:tabs>
        <w:spacing w:line="240" w:lineRule="auto"/>
        <w:rPr>
          <w:szCs w:val="22"/>
        </w:rPr>
      </w:pPr>
      <w:r w:rsidRPr="00FC31D5">
        <w:rPr>
          <w:szCs w:val="22"/>
        </w:rPr>
        <w:t>Lietojot lielas devas ilgstoši, var rasties sistēmiskā inhalējamo kortikosteroīdu iedarbība. Tā ir daudz mazāk iespējama, salīdzinot ar perorāliem kortikosteroīdiem. Iespējamās sistēmiskās blakusparādības ietver: Kušinga sindromu, kušingoīdas pazīmes, virsnieru dziedzeru darbības nomākumu, aizkavētu augšanu bērniem un pusaudžiem, samazinātu kaulu mineralizācijas blīvumu, kataraktu un glaukomu. Var būt arī palielināta uzņēmība pret infekcijām un traucēta spēja pielāgoties stresam. Iespējams, izpausme ir atkarīga no devas, lietošanas ilguma, vienlaicīgas un iepriekšējas steroīdu terapijas un individuālā jutīguma.</w:t>
      </w:r>
    </w:p>
    <w:p w14:paraId="749AFECC" w14:textId="77777777" w:rsidR="00223B65" w:rsidRPr="00FC31D5" w:rsidRDefault="00223B65" w:rsidP="00223B65">
      <w:pPr>
        <w:tabs>
          <w:tab w:val="clear" w:pos="567"/>
        </w:tabs>
        <w:spacing w:line="240" w:lineRule="auto"/>
        <w:rPr>
          <w:szCs w:val="22"/>
        </w:rPr>
      </w:pPr>
    </w:p>
    <w:p w14:paraId="749AFECD" w14:textId="77777777" w:rsidR="00223B65" w:rsidRDefault="00223B65" w:rsidP="00223B65">
      <w:pPr>
        <w:tabs>
          <w:tab w:val="clear" w:pos="567"/>
        </w:tabs>
        <w:spacing w:line="240" w:lineRule="auto"/>
        <w:rPr>
          <w:szCs w:val="22"/>
        </w:rPr>
      </w:pPr>
      <w:r w:rsidRPr="00FC31D5">
        <w:rPr>
          <w:szCs w:val="22"/>
        </w:rPr>
        <w:t>Ārstēšanas ar β</w:t>
      </w:r>
      <w:r w:rsidRPr="00FC31D5">
        <w:rPr>
          <w:szCs w:val="22"/>
          <w:vertAlign w:val="subscript"/>
        </w:rPr>
        <w:t>2</w:t>
      </w:r>
      <w:r w:rsidRPr="00FC31D5">
        <w:rPr>
          <w:szCs w:val="22"/>
        </w:rPr>
        <w:t>-adrenoreceptoru agonistiem rezultātā var paaugstināties insulīna, brīvo taukskābju, glicerīna un ketonvielu līmenis asinīs.</w:t>
      </w:r>
    </w:p>
    <w:p w14:paraId="749AFECE" w14:textId="77777777" w:rsidR="00223B65" w:rsidRDefault="00223B65" w:rsidP="00223B65">
      <w:pPr>
        <w:tabs>
          <w:tab w:val="clear" w:pos="567"/>
        </w:tabs>
        <w:spacing w:line="240" w:lineRule="auto"/>
        <w:rPr>
          <w:szCs w:val="22"/>
        </w:rPr>
      </w:pPr>
    </w:p>
    <w:p w14:paraId="749AFECF" w14:textId="77777777" w:rsidR="00223B65" w:rsidRPr="009C647B" w:rsidRDefault="00223B65" w:rsidP="00223B65">
      <w:pPr>
        <w:keepNext/>
        <w:tabs>
          <w:tab w:val="clear" w:pos="567"/>
        </w:tabs>
        <w:spacing w:line="240" w:lineRule="auto"/>
        <w:rPr>
          <w:i/>
          <w:szCs w:val="22"/>
        </w:rPr>
      </w:pPr>
      <w:r w:rsidRPr="009C647B">
        <w:rPr>
          <w:i/>
          <w:szCs w:val="22"/>
        </w:rPr>
        <w:t>Pediatriskā populācija</w:t>
      </w:r>
    </w:p>
    <w:p w14:paraId="749AFED0" w14:textId="77777777" w:rsidR="00223B65" w:rsidRPr="00FC31D5" w:rsidRDefault="00223B65" w:rsidP="00223B65">
      <w:pPr>
        <w:tabs>
          <w:tab w:val="clear" w:pos="567"/>
        </w:tabs>
        <w:spacing w:line="240" w:lineRule="auto"/>
        <w:rPr>
          <w:szCs w:val="22"/>
        </w:rPr>
      </w:pPr>
      <w:r w:rsidRPr="006D3BB7">
        <w:rPr>
          <w:szCs w:val="22"/>
        </w:rPr>
        <w:t>Bērniem, kuri saņem ilgstošu inhalējamo kortikosteroīdu terapiju, ieteicams regulāri novērot auguma garumu</w:t>
      </w:r>
      <w:r>
        <w:rPr>
          <w:szCs w:val="22"/>
        </w:rPr>
        <w:t xml:space="preserve"> (skatīt 4.4. apakšpunktu)</w:t>
      </w:r>
      <w:r w:rsidRPr="006D3BB7">
        <w:rPr>
          <w:szCs w:val="22"/>
        </w:rPr>
        <w:t>.</w:t>
      </w:r>
    </w:p>
    <w:p w14:paraId="749AFED1" w14:textId="77777777" w:rsidR="00223B65" w:rsidRPr="00FC31D5" w:rsidRDefault="00223B65" w:rsidP="00223B65">
      <w:pPr>
        <w:tabs>
          <w:tab w:val="clear" w:pos="567"/>
        </w:tabs>
        <w:spacing w:line="240" w:lineRule="auto"/>
        <w:rPr>
          <w:szCs w:val="22"/>
        </w:rPr>
      </w:pPr>
    </w:p>
    <w:p w14:paraId="749AFED2" w14:textId="77777777" w:rsidR="00223B65" w:rsidRPr="00FC31D5" w:rsidRDefault="00223B65" w:rsidP="00223B65">
      <w:pPr>
        <w:keepNext/>
        <w:autoSpaceDE w:val="0"/>
        <w:autoSpaceDN w:val="0"/>
        <w:adjustRightInd w:val="0"/>
        <w:spacing w:line="240" w:lineRule="auto"/>
        <w:rPr>
          <w:szCs w:val="22"/>
          <w:u w:val="single"/>
        </w:rPr>
      </w:pPr>
      <w:r w:rsidRPr="00FC31D5">
        <w:rPr>
          <w:szCs w:val="22"/>
          <w:u w:val="single"/>
        </w:rPr>
        <w:t>Ziņošana par iespējamām nevēlamām blakusparādībām</w:t>
      </w:r>
    </w:p>
    <w:p w14:paraId="749AFED3" w14:textId="77777777" w:rsidR="00223B65" w:rsidRPr="00FC31D5" w:rsidRDefault="00223B65" w:rsidP="00223B65">
      <w:pPr>
        <w:spacing w:line="240" w:lineRule="auto"/>
        <w:rPr>
          <w:szCs w:val="22"/>
        </w:rPr>
      </w:pPr>
      <w:r w:rsidRPr="00FC31D5">
        <w:rPr>
          <w:szCs w:val="22"/>
        </w:rPr>
        <w:t>Ir svarīgi ziņot par iespējamām nevēlamām blakusparādībām pēc zāļu reģistrācijas. Tādējādi zāļu ieguvum</w:t>
      </w:r>
      <w:r w:rsidR="005C6116">
        <w:rPr>
          <w:szCs w:val="22"/>
        </w:rPr>
        <w:t>a</w:t>
      </w:r>
      <w:r w:rsidRPr="00FC31D5">
        <w:rPr>
          <w:szCs w:val="22"/>
        </w:rPr>
        <w:t>/riska attiecība tiek nepārtraukti uzraudzīta. Veselības aprūpes speciālisti tiek lūgti ziņot par jebkādām iespējamām nevēlamām blakusparādībām Zāļu valsts aģentūrai, Jersikas ielā 15, Rīgā, LV 1003. Tīmekļa vietne: </w:t>
      </w:r>
      <w:hyperlink r:id="rId8" w:history="1">
        <w:r w:rsidRPr="00FC31D5">
          <w:rPr>
            <w:rStyle w:val="Hyperlink"/>
            <w:szCs w:val="22"/>
          </w:rPr>
          <w:t>www.zva.gov.lv</w:t>
        </w:r>
      </w:hyperlink>
      <w:r w:rsidRPr="00FC31D5">
        <w:rPr>
          <w:szCs w:val="22"/>
        </w:rPr>
        <w:t>.</w:t>
      </w:r>
    </w:p>
    <w:p w14:paraId="749AFED4" w14:textId="77777777" w:rsidR="00223B65" w:rsidRPr="00FC31D5" w:rsidRDefault="00223B65" w:rsidP="00223B65">
      <w:pPr>
        <w:tabs>
          <w:tab w:val="clear" w:pos="567"/>
        </w:tabs>
        <w:spacing w:line="240" w:lineRule="auto"/>
        <w:ind w:left="567" w:hanging="567"/>
        <w:rPr>
          <w:szCs w:val="22"/>
        </w:rPr>
      </w:pPr>
    </w:p>
    <w:p w14:paraId="749AFED5" w14:textId="77777777" w:rsidR="00223B65" w:rsidRPr="00FC31D5" w:rsidRDefault="00223B65" w:rsidP="00223B65">
      <w:pPr>
        <w:keepNext/>
        <w:tabs>
          <w:tab w:val="clear" w:pos="567"/>
        </w:tabs>
        <w:spacing w:line="240" w:lineRule="auto"/>
        <w:ind w:left="567" w:hanging="567"/>
        <w:rPr>
          <w:szCs w:val="22"/>
        </w:rPr>
      </w:pPr>
      <w:r w:rsidRPr="00FC31D5">
        <w:rPr>
          <w:b/>
          <w:szCs w:val="22"/>
        </w:rPr>
        <w:t>4.9.</w:t>
      </w:r>
      <w:r w:rsidRPr="00FC31D5">
        <w:rPr>
          <w:b/>
          <w:szCs w:val="22"/>
        </w:rPr>
        <w:tab/>
        <w:t>Pārdozēšana</w:t>
      </w:r>
    </w:p>
    <w:p w14:paraId="749AFED6" w14:textId="77777777" w:rsidR="00223B65" w:rsidRPr="00FC31D5" w:rsidRDefault="00223B65" w:rsidP="00223B65">
      <w:pPr>
        <w:keepNext/>
        <w:tabs>
          <w:tab w:val="clear" w:pos="567"/>
        </w:tabs>
        <w:spacing w:line="240" w:lineRule="auto"/>
        <w:rPr>
          <w:szCs w:val="22"/>
        </w:rPr>
      </w:pPr>
    </w:p>
    <w:p w14:paraId="749AFED7" w14:textId="77777777" w:rsidR="00223B65" w:rsidRPr="00FC31D5" w:rsidRDefault="00223B65" w:rsidP="00223B65">
      <w:pPr>
        <w:tabs>
          <w:tab w:val="clear" w:pos="567"/>
        </w:tabs>
        <w:spacing w:line="240" w:lineRule="auto"/>
        <w:rPr>
          <w:szCs w:val="22"/>
        </w:rPr>
      </w:pPr>
      <w:r w:rsidRPr="00FC31D5">
        <w:rPr>
          <w:szCs w:val="22"/>
        </w:rPr>
        <w:t>Formoterola pārdozēšana var izraisīt β</w:t>
      </w:r>
      <w:r w:rsidRPr="00FC31D5">
        <w:rPr>
          <w:szCs w:val="22"/>
          <w:vertAlign w:val="subscript"/>
        </w:rPr>
        <w:t>2</w:t>
      </w:r>
      <w:r w:rsidRPr="00FC31D5">
        <w:rPr>
          <w:szCs w:val="22"/>
        </w:rPr>
        <w:t>-adrenoreceptoru agonistiem raksturīgās reakcijas: trīci, galvassāpes un sirdsklauves. Atsevišķos gadījumos ziņotie simptomi ir tahikardija, hiperglikēmija, hipokaliēmija, pagarināts QTc intervāls, aritmija, slikta dūša un vemšana. Var būt indicēta uzturoša un simptomātiska ārstēšana. 90 mikrogramu devas lietošana trīs stundu laikā pacientiem ar akūtu bronhu obstrukciju neradīja bažas par drošumu.</w:t>
      </w:r>
    </w:p>
    <w:p w14:paraId="749AFED8" w14:textId="77777777" w:rsidR="00223B65" w:rsidRPr="00FC31D5" w:rsidRDefault="00223B65" w:rsidP="00223B65">
      <w:pPr>
        <w:tabs>
          <w:tab w:val="clear" w:pos="567"/>
        </w:tabs>
        <w:spacing w:line="240" w:lineRule="auto"/>
        <w:rPr>
          <w:szCs w:val="22"/>
        </w:rPr>
      </w:pPr>
    </w:p>
    <w:p w14:paraId="749AFED9" w14:textId="77777777" w:rsidR="00223B65" w:rsidRPr="00FC31D5" w:rsidRDefault="00223B65" w:rsidP="00223B65">
      <w:pPr>
        <w:tabs>
          <w:tab w:val="clear" w:pos="567"/>
        </w:tabs>
        <w:spacing w:line="240" w:lineRule="auto"/>
        <w:rPr>
          <w:szCs w:val="22"/>
        </w:rPr>
      </w:pPr>
      <w:r w:rsidRPr="00FC31D5">
        <w:rPr>
          <w:szCs w:val="22"/>
        </w:rPr>
        <w:t>Akūta budezonīda pārdozēšana pat ļoti lielās devās neradīs klīniskus sarežģījumus. Pārāk lielas devas lietojot ilgstoši, var attīstīties sistēmiska glikokortikosteroīdu ietekme, piemēram, hiperkorticisms un virsnieru nomākums.</w:t>
      </w:r>
    </w:p>
    <w:p w14:paraId="749AFEDA" w14:textId="77777777" w:rsidR="00223B65" w:rsidRDefault="00223B65" w:rsidP="001D17E8">
      <w:pPr>
        <w:tabs>
          <w:tab w:val="clear" w:pos="567"/>
        </w:tabs>
        <w:spacing w:line="240" w:lineRule="auto"/>
        <w:rPr>
          <w:szCs w:val="22"/>
        </w:rPr>
      </w:pPr>
    </w:p>
    <w:p w14:paraId="749AFEDB" w14:textId="77777777" w:rsidR="00223B65" w:rsidRPr="00FC31D5" w:rsidRDefault="00223B65" w:rsidP="00223B65">
      <w:pPr>
        <w:tabs>
          <w:tab w:val="clear" w:pos="567"/>
        </w:tabs>
        <w:spacing w:line="240" w:lineRule="auto"/>
        <w:rPr>
          <w:szCs w:val="22"/>
        </w:rPr>
      </w:pPr>
      <w:r w:rsidRPr="00FC31D5">
        <w:rPr>
          <w:szCs w:val="22"/>
        </w:rPr>
        <w:t xml:space="preserve">Ja terapija ar </w:t>
      </w:r>
      <w:r w:rsidRPr="00FC31D5">
        <w:rPr>
          <w:bCs/>
          <w:iCs/>
          <w:szCs w:val="22"/>
        </w:rPr>
        <w:t xml:space="preserve">Bufomix Easyhaler </w:t>
      </w:r>
      <w:r w:rsidRPr="00FC31D5">
        <w:rPr>
          <w:szCs w:val="22"/>
        </w:rPr>
        <w:t>jāpārtrauc formoterola komponenta pārdozēšanas dēļ, jāapsver piemērotas inhalējamo kortikosteroīdu terapijas nodrošināšana.</w:t>
      </w:r>
      <w:r w:rsidRPr="00FC31D5">
        <w:rPr>
          <w:szCs w:val="22"/>
        </w:rPr>
        <w:cr/>
      </w:r>
    </w:p>
    <w:p w14:paraId="749AFEDC" w14:textId="77777777" w:rsidR="00223B65" w:rsidRPr="00FC31D5" w:rsidRDefault="00223B65" w:rsidP="00223B65">
      <w:pPr>
        <w:tabs>
          <w:tab w:val="clear" w:pos="567"/>
        </w:tabs>
        <w:spacing w:line="240" w:lineRule="auto"/>
        <w:rPr>
          <w:szCs w:val="22"/>
        </w:rPr>
      </w:pPr>
    </w:p>
    <w:p w14:paraId="749AFEDD" w14:textId="77777777" w:rsidR="00223B65" w:rsidRPr="00FC31D5" w:rsidRDefault="00223B65" w:rsidP="00223B65">
      <w:pPr>
        <w:keepNext/>
        <w:tabs>
          <w:tab w:val="clear" w:pos="567"/>
        </w:tabs>
        <w:spacing w:line="240" w:lineRule="auto"/>
        <w:ind w:left="567" w:hanging="567"/>
        <w:rPr>
          <w:b/>
          <w:szCs w:val="22"/>
        </w:rPr>
      </w:pPr>
      <w:r w:rsidRPr="00FC31D5">
        <w:rPr>
          <w:b/>
          <w:szCs w:val="22"/>
        </w:rPr>
        <w:t>5.</w:t>
      </w:r>
      <w:r w:rsidRPr="00FC31D5">
        <w:rPr>
          <w:b/>
          <w:szCs w:val="22"/>
        </w:rPr>
        <w:tab/>
        <w:t>FARMAKOLOĢISKĀS ĪPAŠĪBAS</w:t>
      </w:r>
    </w:p>
    <w:p w14:paraId="749AFEDE" w14:textId="77777777" w:rsidR="00223B65" w:rsidRPr="00FC31D5" w:rsidRDefault="00223B65" w:rsidP="00223B65">
      <w:pPr>
        <w:keepNext/>
        <w:tabs>
          <w:tab w:val="clear" w:pos="567"/>
        </w:tabs>
        <w:spacing w:line="240" w:lineRule="auto"/>
        <w:ind w:left="567" w:hanging="567"/>
        <w:rPr>
          <w:szCs w:val="22"/>
        </w:rPr>
      </w:pPr>
    </w:p>
    <w:p w14:paraId="749AFEDF" w14:textId="77777777" w:rsidR="00223B65" w:rsidRPr="00FC31D5" w:rsidRDefault="00223B65" w:rsidP="00223B65">
      <w:pPr>
        <w:keepNext/>
        <w:tabs>
          <w:tab w:val="clear" w:pos="567"/>
        </w:tabs>
        <w:spacing w:line="240" w:lineRule="auto"/>
        <w:ind w:left="567" w:hanging="567"/>
        <w:rPr>
          <w:szCs w:val="22"/>
        </w:rPr>
      </w:pPr>
      <w:r w:rsidRPr="00FC31D5">
        <w:rPr>
          <w:b/>
          <w:szCs w:val="22"/>
        </w:rPr>
        <w:t>5.1.</w:t>
      </w:r>
      <w:r w:rsidRPr="00FC31D5">
        <w:rPr>
          <w:b/>
          <w:szCs w:val="22"/>
        </w:rPr>
        <w:tab/>
        <w:t>Farmakodinamiskās īpašības</w:t>
      </w:r>
    </w:p>
    <w:p w14:paraId="749AFEE0" w14:textId="77777777" w:rsidR="00223B65" w:rsidRPr="00FC31D5" w:rsidRDefault="00223B65" w:rsidP="00223B65">
      <w:pPr>
        <w:keepNext/>
        <w:spacing w:line="240" w:lineRule="auto"/>
        <w:ind w:left="567" w:hanging="567"/>
        <w:rPr>
          <w:szCs w:val="22"/>
        </w:rPr>
      </w:pPr>
    </w:p>
    <w:p w14:paraId="749AFEE1" w14:textId="77777777" w:rsidR="00223B65" w:rsidRPr="00FC31D5" w:rsidRDefault="00223B65" w:rsidP="00223B65">
      <w:pPr>
        <w:tabs>
          <w:tab w:val="clear" w:pos="567"/>
        </w:tabs>
        <w:spacing w:line="240" w:lineRule="auto"/>
        <w:rPr>
          <w:szCs w:val="22"/>
        </w:rPr>
      </w:pPr>
      <w:r w:rsidRPr="00FC31D5">
        <w:rPr>
          <w:szCs w:val="22"/>
        </w:rPr>
        <w:t xml:space="preserve">Farmakoterapeitiskā grupa: </w:t>
      </w:r>
      <w:r>
        <w:rPr>
          <w:szCs w:val="22"/>
        </w:rPr>
        <w:t>zāles</w:t>
      </w:r>
      <w:r w:rsidRPr="00FC31D5">
        <w:rPr>
          <w:szCs w:val="22"/>
        </w:rPr>
        <w:t xml:space="preserve"> obstruktīvu elpceļu slimību ārstēšanai</w:t>
      </w:r>
      <w:r>
        <w:rPr>
          <w:szCs w:val="22"/>
        </w:rPr>
        <w:t>:a</w:t>
      </w:r>
      <w:r w:rsidRPr="00FC31D5">
        <w:rPr>
          <w:szCs w:val="22"/>
        </w:rPr>
        <w:t>drenerģiski līdzekļi</w:t>
      </w:r>
      <w:r>
        <w:rPr>
          <w:szCs w:val="22"/>
        </w:rPr>
        <w:t xml:space="preserve"> kombinācijā ar kortikosteroīdiem vai citas zāles, izņemot antiholīnerģiskus līdzekļus</w:t>
      </w:r>
      <w:r w:rsidRPr="00FC31D5">
        <w:rPr>
          <w:szCs w:val="22"/>
        </w:rPr>
        <w:t>.</w:t>
      </w:r>
    </w:p>
    <w:p w14:paraId="749AFEE2" w14:textId="77777777" w:rsidR="00223B65" w:rsidRPr="00AF25A6" w:rsidRDefault="00223B65" w:rsidP="00223B65">
      <w:pPr>
        <w:tabs>
          <w:tab w:val="clear" w:pos="567"/>
        </w:tabs>
        <w:spacing w:line="240" w:lineRule="auto"/>
        <w:rPr>
          <w:szCs w:val="22"/>
        </w:rPr>
      </w:pPr>
      <w:r w:rsidRPr="00FC31D5">
        <w:rPr>
          <w:szCs w:val="22"/>
        </w:rPr>
        <w:t>ATĶ kods: R03AK07</w:t>
      </w:r>
    </w:p>
    <w:p w14:paraId="749AFEE3" w14:textId="77777777" w:rsidR="00223B65" w:rsidRPr="00AF25A6" w:rsidRDefault="00223B65" w:rsidP="00223B65">
      <w:pPr>
        <w:tabs>
          <w:tab w:val="clear" w:pos="567"/>
        </w:tabs>
        <w:spacing w:line="240" w:lineRule="auto"/>
        <w:rPr>
          <w:szCs w:val="22"/>
        </w:rPr>
      </w:pPr>
    </w:p>
    <w:p w14:paraId="749AFEE4" w14:textId="77777777" w:rsidR="00223B65" w:rsidRPr="009C647B" w:rsidRDefault="00223B65" w:rsidP="00223B65">
      <w:pPr>
        <w:keepNext/>
        <w:tabs>
          <w:tab w:val="clear" w:pos="567"/>
        </w:tabs>
        <w:spacing w:line="240" w:lineRule="auto"/>
        <w:rPr>
          <w:szCs w:val="22"/>
          <w:u w:val="single"/>
        </w:rPr>
      </w:pPr>
      <w:r w:rsidRPr="009C647B">
        <w:rPr>
          <w:szCs w:val="22"/>
          <w:u w:val="single"/>
        </w:rPr>
        <w:t>Darbības mehānisms un farmakodinamiskā iedarbība</w:t>
      </w:r>
    </w:p>
    <w:p w14:paraId="749AFEE5" w14:textId="77777777" w:rsidR="00223B65" w:rsidRPr="00AF25A6" w:rsidRDefault="00223B65" w:rsidP="00223B65">
      <w:pPr>
        <w:tabs>
          <w:tab w:val="clear" w:pos="567"/>
        </w:tabs>
        <w:spacing w:line="240" w:lineRule="auto"/>
        <w:rPr>
          <w:szCs w:val="22"/>
        </w:rPr>
      </w:pPr>
      <w:r w:rsidRPr="00FC31D5">
        <w:rPr>
          <w:bCs/>
          <w:iCs/>
          <w:szCs w:val="22"/>
        </w:rPr>
        <w:t xml:space="preserve">Bufomix Easyhaler </w:t>
      </w:r>
      <w:r w:rsidRPr="00FC31D5">
        <w:rPr>
          <w:szCs w:val="22"/>
        </w:rPr>
        <w:t>sastāvā ir formoterols un budezonīds; katram no tiem ir atšķirīgs darbības mehānisms, un tie pastiprina viens otra iedarbību, lai likvidētu astmas uzliesmojumu.</w:t>
      </w:r>
      <w:r w:rsidR="008904E5">
        <w:rPr>
          <w:szCs w:val="22"/>
        </w:rPr>
        <w:t xml:space="preserve"> </w:t>
      </w:r>
      <w:r w:rsidRPr="002C1697">
        <w:rPr>
          <w:szCs w:val="22"/>
        </w:rPr>
        <w:t>Budezonīda un formoterola specifiskās īpašības ļauj lietot šo kombināciju gan kā pamata terapiju, gan kā papildus terapiju pēc vajadzības.</w:t>
      </w:r>
    </w:p>
    <w:p w14:paraId="749AFEE6" w14:textId="77777777" w:rsidR="00223B65" w:rsidRPr="00AF25A6" w:rsidRDefault="00223B65" w:rsidP="00223B65">
      <w:pPr>
        <w:tabs>
          <w:tab w:val="clear" w:pos="567"/>
        </w:tabs>
        <w:spacing w:line="240" w:lineRule="auto"/>
        <w:rPr>
          <w:szCs w:val="22"/>
        </w:rPr>
      </w:pPr>
    </w:p>
    <w:p w14:paraId="749AFEE7" w14:textId="77777777" w:rsidR="00223B65" w:rsidRPr="00AF25A6" w:rsidRDefault="00223B65" w:rsidP="00223B65">
      <w:pPr>
        <w:keepNext/>
        <w:tabs>
          <w:tab w:val="clear" w:pos="567"/>
        </w:tabs>
        <w:spacing w:line="240" w:lineRule="auto"/>
        <w:rPr>
          <w:i/>
          <w:szCs w:val="22"/>
        </w:rPr>
      </w:pPr>
      <w:r w:rsidRPr="00AF25A6">
        <w:rPr>
          <w:i/>
          <w:szCs w:val="22"/>
        </w:rPr>
        <w:t>Budezonīds</w:t>
      </w:r>
    </w:p>
    <w:p w14:paraId="749AFEE8" w14:textId="77777777" w:rsidR="00223B65" w:rsidRPr="00AF25A6" w:rsidRDefault="00223B65" w:rsidP="00223B65">
      <w:pPr>
        <w:tabs>
          <w:tab w:val="clear" w:pos="567"/>
        </w:tabs>
        <w:spacing w:line="240" w:lineRule="auto"/>
        <w:rPr>
          <w:szCs w:val="22"/>
        </w:rPr>
      </w:pPr>
      <w:r w:rsidRPr="00AF25A6">
        <w:rPr>
          <w:szCs w:val="22"/>
        </w:rPr>
        <w:t>Budezonīds ir glikokortikoste</w:t>
      </w:r>
      <w:r>
        <w:rPr>
          <w:szCs w:val="22"/>
        </w:rPr>
        <w:t>ro</w:t>
      </w:r>
      <w:r w:rsidRPr="00AF25A6">
        <w:rPr>
          <w:szCs w:val="22"/>
        </w:rPr>
        <w:t>īds, kuru inhalējot ir no devas atkarīga pretiekaisuma darbība elpceļos, tādējādi samazinot simptomus un padarot retākus astmas uzliesmojumus. Budezonīdam inhalācijās ir vieglākas blakusparādības nekā sistēmiskiem kortikosteroīdiem. Precīzs glikokortikosteroīdu pretiekaisuma darbības mehānisms nav zināms.</w:t>
      </w:r>
    </w:p>
    <w:p w14:paraId="749AFEE9" w14:textId="77777777" w:rsidR="00223B65" w:rsidRPr="00AF25A6" w:rsidRDefault="00223B65" w:rsidP="00223B65">
      <w:pPr>
        <w:tabs>
          <w:tab w:val="clear" w:pos="567"/>
        </w:tabs>
        <w:spacing w:line="240" w:lineRule="auto"/>
        <w:rPr>
          <w:szCs w:val="22"/>
        </w:rPr>
      </w:pPr>
    </w:p>
    <w:p w14:paraId="749AFEEA" w14:textId="77777777" w:rsidR="00223B65" w:rsidRPr="00FC31D5" w:rsidRDefault="00223B65" w:rsidP="00223B65">
      <w:pPr>
        <w:keepNext/>
        <w:tabs>
          <w:tab w:val="clear" w:pos="567"/>
        </w:tabs>
        <w:spacing w:line="240" w:lineRule="auto"/>
        <w:rPr>
          <w:i/>
          <w:szCs w:val="22"/>
        </w:rPr>
      </w:pPr>
      <w:r w:rsidRPr="00FC31D5">
        <w:rPr>
          <w:i/>
          <w:szCs w:val="22"/>
        </w:rPr>
        <w:t>Formoterols</w:t>
      </w:r>
    </w:p>
    <w:p w14:paraId="749AFEEB" w14:textId="77777777" w:rsidR="00223B65" w:rsidRPr="00FC31D5" w:rsidRDefault="00223B65" w:rsidP="00223B65">
      <w:pPr>
        <w:tabs>
          <w:tab w:val="clear" w:pos="567"/>
        </w:tabs>
        <w:spacing w:line="240" w:lineRule="auto"/>
        <w:rPr>
          <w:szCs w:val="22"/>
        </w:rPr>
      </w:pPr>
      <w:r w:rsidRPr="00FC31D5">
        <w:rPr>
          <w:szCs w:val="22"/>
        </w:rPr>
        <w:t>Formoterols ir selektīvs β</w:t>
      </w:r>
      <w:r w:rsidRPr="00FC31D5">
        <w:rPr>
          <w:szCs w:val="22"/>
          <w:vertAlign w:val="subscript"/>
        </w:rPr>
        <w:t>2</w:t>
      </w:r>
      <w:r w:rsidRPr="00FC31D5">
        <w:rPr>
          <w:szCs w:val="22"/>
        </w:rPr>
        <w:t>-adrenoreceptoru adrenerģisks agonists, kas inhalāciju veidā ātri un ilgstoši atslābina bronhu gludo muskulatūru pacientiem ar atgriezenisku elpceļu obstrukciju. Bronhodilatējoša darbība ir atkarīga no devas un sākas – 1-3 minūšu laikā pēc inhalācijas. Pēc vienreizējas devas inhalēšanas efekts ilgst vismaz 12 stundas.</w:t>
      </w:r>
    </w:p>
    <w:p w14:paraId="749AFEEC" w14:textId="77777777" w:rsidR="00223B65" w:rsidRPr="00FC31D5" w:rsidRDefault="00223B65" w:rsidP="00223B65">
      <w:pPr>
        <w:tabs>
          <w:tab w:val="clear" w:pos="567"/>
        </w:tabs>
        <w:spacing w:line="240" w:lineRule="auto"/>
        <w:rPr>
          <w:szCs w:val="22"/>
        </w:rPr>
      </w:pPr>
    </w:p>
    <w:p w14:paraId="749AFEED" w14:textId="77777777" w:rsidR="00223B65" w:rsidRPr="009C647B" w:rsidRDefault="00223B65" w:rsidP="00223B65">
      <w:pPr>
        <w:keepNext/>
        <w:tabs>
          <w:tab w:val="clear" w:pos="567"/>
        </w:tabs>
        <w:spacing w:line="240" w:lineRule="auto"/>
        <w:rPr>
          <w:szCs w:val="22"/>
          <w:u w:val="single"/>
        </w:rPr>
      </w:pPr>
      <w:r w:rsidRPr="009C647B">
        <w:rPr>
          <w:szCs w:val="22"/>
          <w:u w:val="single"/>
        </w:rPr>
        <w:lastRenderedPageBreak/>
        <w:t>Klīn</w:t>
      </w:r>
      <w:r w:rsidR="00551D30">
        <w:rPr>
          <w:szCs w:val="22"/>
          <w:u w:val="single"/>
        </w:rPr>
        <w:t>is</w:t>
      </w:r>
      <w:r w:rsidRPr="009C647B">
        <w:rPr>
          <w:szCs w:val="22"/>
          <w:u w:val="single"/>
        </w:rPr>
        <w:t>kā efektivitāte un drošums</w:t>
      </w:r>
    </w:p>
    <w:p w14:paraId="749AFEEE" w14:textId="77777777" w:rsidR="00223B65" w:rsidRPr="00FC31D5" w:rsidRDefault="00223B65" w:rsidP="00223B65">
      <w:pPr>
        <w:keepNext/>
        <w:tabs>
          <w:tab w:val="clear" w:pos="567"/>
        </w:tabs>
        <w:spacing w:line="240" w:lineRule="auto"/>
        <w:rPr>
          <w:i/>
          <w:szCs w:val="22"/>
        </w:rPr>
      </w:pPr>
    </w:p>
    <w:p w14:paraId="749AFEEF" w14:textId="77777777" w:rsidR="00223B65" w:rsidRPr="00FC31D5" w:rsidRDefault="00223B65" w:rsidP="00223B65">
      <w:pPr>
        <w:keepNext/>
        <w:tabs>
          <w:tab w:val="clear" w:pos="567"/>
        </w:tabs>
        <w:spacing w:line="240" w:lineRule="auto"/>
        <w:rPr>
          <w:szCs w:val="22"/>
        </w:rPr>
      </w:pPr>
      <w:r w:rsidRPr="00FC31D5">
        <w:rPr>
          <w:i/>
          <w:szCs w:val="22"/>
        </w:rPr>
        <w:t>Budezonīda/formoterola pamata terapijas klīniskā efektivitāte</w:t>
      </w:r>
    </w:p>
    <w:p w14:paraId="749AFEF0" w14:textId="77777777" w:rsidR="00223B65" w:rsidRPr="00FC31D5" w:rsidRDefault="00223B65" w:rsidP="00223B65">
      <w:pPr>
        <w:tabs>
          <w:tab w:val="clear" w:pos="567"/>
        </w:tabs>
        <w:spacing w:line="240" w:lineRule="auto"/>
        <w:rPr>
          <w:szCs w:val="22"/>
        </w:rPr>
      </w:pPr>
      <w:r w:rsidRPr="00FC31D5">
        <w:rPr>
          <w:szCs w:val="22"/>
        </w:rPr>
        <w:t>Klīniskos pētījumos pieaugušajiem formoterola pievienošana budezonīdam efektīvāk mazināja astmas simptomus, uzlaboja plaušu funkciju un samazināja uzliesmojumu skaitu. Divos 12 nedēļas ilgos pētījumos budezonīda/formoterola ietekme uz plaušu funkciju bija līdzvērtīga brīvai budezonīda un formoterola kombinācijai, un labāka nekā tikai budezonīdam. Visās ārstēšanas grupās lietoja īslaicīgas darbības β</w:t>
      </w:r>
      <w:r w:rsidRPr="00FC31D5">
        <w:rPr>
          <w:szCs w:val="22"/>
          <w:vertAlign w:val="subscript"/>
        </w:rPr>
        <w:t>2</w:t>
      </w:r>
      <w:r w:rsidRPr="00FC31D5">
        <w:rPr>
          <w:szCs w:val="22"/>
        </w:rPr>
        <w:t>-adrenoreceptoru agonistu pēc vajadzības. Netika novērota pretastmas darbības pavājināšanās laika gaitā.</w:t>
      </w:r>
    </w:p>
    <w:p w14:paraId="749AFEF1" w14:textId="77777777" w:rsidR="00223B65" w:rsidRPr="00FC31D5" w:rsidRDefault="00223B65" w:rsidP="00223B65">
      <w:pPr>
        <w:tabs>
          <w:tab w:val="clear" w:pos="567"/>
        </w:tabs>
        <w:spacing w:line="240" w:lineRule="auto"/>
        <w:rPr>
          <w:szCs w:val="22"/>
        </w:rPr>
      </w:pPr>
    </w:p>
    <w:p w14:paraId="749AFEF2" w14:textId="77777777" w:rsidR="00223B65" w:rsidRDefault="00223B65" w:rsidP="00223B65">
      <w:pPr>
        <w:tabs>
          <w:tab w:val="clear" w:pos="567"/>
        </w:tabs>
        <w:spacing w:line="240" w:lineRule="auto"/>
        <w:rPr>
          <w:szCs w:val="22"/>
        </w:rPr>
      </w:pPr>
      <w:r w:rsidRPr="00FC31D5">
        <w:rPr>
          <w:szCs w:val="22"/>
        </w:rPr>
        <w:t>Ir veikti divi 12 nedēļas ilgi pētījumi, kuros 265 bērnus vecumā no 6-11 gadiem ārstēja ar budezonīda/formoterola pamatdevu (2 inhalācijas 80/4,5 mikrogrami/inhalācijā divas reizes dienā) un īslaicīgas darbības β</w:t>
      </w:r>
      <w:r w:rsidRPr="00FC31D5">
        <w:rPr>
          <w:szCs w:val="22"/>
          <w:vertAlign w:val="subscript"/>
        </w:rPr>
        <w:t>2</w:t>
      </w:r>
      <w:r w:rsidRPr="00FC31D5">
        <w:rPr>
          <w:szCs w:val="22"/>
        </w:rPr>
        <w:t>-adrenoreceptoru agonistu pēc vajadzības. Abos pētījumos uzlabojās plaušu funkcija un terapijas panesamība bija laba</w:t>
      </w:r>
      <w:r w:rsidR="00740BCD">
        <w:rPr>
          <w:szCs w:val="22"/>
        </w:rPr>
        <w:t>,</w:t>
      </w:r>
      <w:r w:rsidRPr="00FC31D5">
        <w:rPr>
          <w:szCs w:val="22"/>
        </w:rPr>
        <w:t xml:space="preserve"> salīdzinot ar atsevišķi lietotu attiecīgo budezonīda devu.</w:t>
      </w:r>
    </w:p>
    <w:p w14:paraId="749AFEF3" w14:textId="77777777" w:rsidR="00223B65" w:rsidRDefault="00223B65" w:rsidP="00223B65">
      <w:pPr>
        <w:tabs>
          <w:tab w:val="clear" w:pos="567"/>
        </w:tabs>
        <w:spacing w:line="240" w:lineRule="auto"/>
        <w:rPr>
          <w:szCs w:val="22"/>
        </w:rPr>
      </w:pPr>
    </w:p>
    <w:p w14:paraId="749AFEF4" w14:textId="77777777" w:rsidR="00223B65" w:rsidRPr="002C1697" w:rsidRDefault="00223B65" w:rsidP="00223B65">
      <w:pPr>
        <w:keepNext/>
        <w:tabs>
          <w:tab w:val="clear" w:pos="567"/>
        </w:tabs>
        <w:spacing w:line="240" w:lineRule="auto"/>
        <w:rPr>
          <w:szCs w:val="22"/>
        </w:rPr>
      </w:pPr>
      <w:r w:rsidRPr="002C1697">
        <w:rPr>
          <w:i/>
          <w:iCs/>
          <w:szCs w:val="22"/>
        </w:rPr>
        <w:t>Budezonīda/formoterola pamata un simptomu novēršanas terapijas klīniskā efektivitāte</w:t>
      </w:r>
    </w:p>
    <w:p w14:paraId="749AFEF5" w14:textId="77777777" w:rsidR="00223B65" w:rsidRDefault="00223B65" w:rsidP="00223B65">
      <w:pPr>
        <w:tabs>
          <w:tab w:val="clear" w:pos="567"/>
        </w:tabs>
        <w:spacing w:line="240" w:lineRule="auto"/>
        <w:rPr>
          <w:szCs w:val="22"/>
        </w:rPr>
      </w:pPr>
      <w:r>
        <w:rPr>
          <w:szCs w:val="22"/>
        </w:rPr>
        <w:t>Kopā 12076 astmas pacienti tika iekļauti 5 </w:t>
      </w:r>
      <w:r w:rsidRPr="002C1697">
        <w:rPr>
          <w:szCs w:val="22"/>
        </w:rPr>
        <w:t>dubultmaskētos efektivitātes un drošuma</w:t>
      </w:r>
      <w:r>
        <w:rPr>
          <w:szCs w:val="22"/>
        </w:rPr>
        <w:t xml:space="preserve"> pētījumos (4447 </w:t>
      </w:r>
      <w:r w:rsidRPr="002C1697">
        <w:rPr>
          <w:szCs w:val="22"/>
        </w:rPr>
        <w:t xml:space="preserve">pacienti tika nejaušināti izvēlēti budezonīda/formoterola pamata terapijas un </w:t>
      </w:r>
      <w:r>
        <w:rPr>
          <w:szCs w:val="22"/>
        </w:rPr>
        <w:t>simptomu novēršanas grupā) uz 6 vai 12 </w:t>
      </w:r>
      <w:r w:rsidRPr="002C1697">
        <w:rPr>
          <w:szCs w:val="22"/>
        </w:rPr>
        <w:t>mēnešiem. Pētījumā tika iekļauti pacienti ar simptomiem, neskatoties uz saņemto inhalējamo glikokortikosteroīdu terapiju.</w:t>
      </w:r>
    </w:p>
    <w:p w14:paraId="749AFEF6" w14:textId="77777777" w:rsidR="00223B65" w:rsidRDefault="00223B65" w:rsidP="001D17E8">
      <w:pPr>
        <w:tabs>
          <w:tab w:val="clear" w:pos="567"/>
        </w:tabs>
        <w:spacing w:line="240" w:lineRule="auto"/>
        <w:rPr>
          <w:szCs w:val="22"/>
        </w:rPr>
      </w:pPr>
    </w:p>
    <w:p w14:paraId="749AFEF7" w14:textId="77777777" w:rsidR="00223B65" w:rsidRPr="002C1697" w:rsidRDefault="00223B65" w:rsidP="00223B65">
      <w:pPr>
        <w:tabs>
          <w:tab w:val="clear" w:pos="567"/>
        </w:tabs>
        <w:spacing w:line="240" w:lineRule="auto"/>
        <w:rPr>
          <w:szCs w:val="22"/>
        </w:rPr>
      </w:pPr>
      <w:r w:rsidRPr="002C1697">
        <w:rPr>
          <w:szCs w:val="22"/>
        </w:rPr>
        <w:t xml:space="preserve">Budezonīds/formoterols pamata terapijai un simptomu novēršanai statistiski un klīniski nozīmīgi samazināja smagu </w:t>
      </w:r>
      <w:r>
        <w:rPr>
          <w:szCs w:val="22"/>
        </w:rPr>
        <w:t>paasinājumu</w:t>
      </w:r>
      <w:r w:rsidRPr="002C1697">
        <w:rPr>
          <w:szCs w:val="22"/>
        </w:rPr>
        <w:t xml:space="preserve"> skaitu visos salīdzināmo</w:t>
      </w:r>
      <w:r>
        <w:rPr>
          <w:szCs w:val="22"/>
        </w:rPr>
        <w:t>s rādītājos visos 5 </w:t>
      </w:r>
      <w:r w:rsidRPr="002C1697">
        <w:rPr>
          <w:szCs w:val="22"/>
        </w:rPr>
        <w:t>pētījumos. Budezonīdu/formoterolu pamata terapijai un simptomu novēršanai salīdzināja ar budezonīdu/formoterolu lielākā pamatdevā un terbutalīnu kā glābējzāles (pētījums Nr.735), kā arī ar budezonīdu/formoterolu tādā pašā pamatdevā un formoterolu vai terbutalīnu kā glābējzāles</w:t>
      </w:r>
      <w:r>
        <w:rPr>
          <w:szCs w:val="22"/>
        </w:rPr>
        <w:t xml:space="preserve"> (pētījums Nr.734) (2. </w:t>
      </w:r>
      <w:r w:rsidRPr="002C1697">
        <w:rPr>
          <w:szCs w:val="22"/>
        </w:rPr>
        <w:t>tabula). Pētījumā Nr.735 plaušu funkcijas uzlabošanās, simptomu kontrole un glābējzāļu lietošana bija līdzvērtīga visās ārstēšanas grupās. Pētījuma Nr.734 rezultāti: samazināti simptomi un glābējzāļu lietošana, uzlabota plaušu funkcija, salīdzinot</w:t>
      </w:r>
      <w:r>
        <w:rPr>
          <w:szCs w:val="22"/>
        </w:rPr>
        <w:t xml:space="preserve"> abas terapijas grupas. Visos 5 </w:t>
      </w:r>
      <w:r w:rsidRPr="002C1697">
        <w:rPr>
          <w:szCs w:val="22"/>
        </w:rPr>
        <w:t>pētījumos kopā, pacienti, kuri lietoja budezonīdu/formoterolu pamata terapijai un simptomu novēršanai, inhalācijas pēc vajadzības vidēji nelietoja papildus 57% ārstēšanas dienu no kopējā ārstēšanas laika. Laika gaitā tolerance neveidojās.</w:t>
      </w:r>
    </w:p>
    <w:p w14:paraId="749AFEF8" w14:textId="77777777" w:rsidR="00223B65" w:rsidRPr="002C1697" w:rsidRDefault="00223B65" w:rsidP="00223B65">
      <w:pPr>
        <w:tabs>
          <w:tab w:val="clear" w:pos="567"/>
        </w:tabs>
        <w:spacing w:line="240" w:lineRule="auto"/>
        <w:rPr>
          <w:szCs w:val="22"/>
        </w:rPr>
      </w:pPr>
    </w:p>
    <w:p w14:paraId="749AFEF9" w14:textId="77777777" w:rsidR="00223B65" w:rsidRPr="002C1697" w:rsidRDefault="00223B65" w:rsidP="00223B65">
      <w:pPr>
        <w:keepNext/>
        <w:tabs>
          <w:tab w:val="clear" w:pos="567"/>
        </w:tabs>
        <w:spacing w:line="240" w:lineRule="auto"/>
        <w:rPr>
          <w:b/>
          <w:szCs w:val="22"/>
        </w:rPr>
      </w:pPr>
      <w:r w:rsidRPr="002C1697">
        <w:rPr>
          <w:b/>
          <w:szCs w:val="22"/>
        </w:rPr>
        <w:t xml:space="preserve">2. tabula. </w:t>
      </w:r>
      <w:r w:rsidRPr="002C1697">
        <w:rPr>
          <w:b/>
          <w:color w:val="000000"/>
          <w:szCs w:val="22"/>
        </w:rPr>
        <w:t>Smagu paasinājumu pārskats klīniskajos pētījumos</w:t>
      </w:r>
    </w:p>
    <w:tbl>
      <w:tblPr>
        <w:tblW w:w="9068" w:type="dxa"/>
        <w:tblInd w:w="-34" w:type="dxa"/>
        <w:tblLayout w:type="fixed"/>
        <w:tblLook w:val="0000" w:firstRow="0" w:lastRow="0" w:firstColumn="0" w:lastColumn="0" w:noHBand="0" w:noVBand="0"/>
      </w:tblPr>
      <w:tblGrid>
        <w:gridCol w:w="1402"/>
        <w:gridCol w:w="4320"/>
        <w:gridCol w:w="810"/>
        <w:gridCol w:w="981"/>
        <w:gridCol w:w="142"/>
        <w:gridCol w:w="1413"/>
      </w:tblGrid>
      <w:tr w:rsidR="00223B65" w:rsidRPr="002C1697" w14:paraId="749AFEFE" w14:textId="77777777" w:rsidTr="0027233E">
        <w:trPr>
          <w:cantSplit/>
          <w:tblHeader/>
        </w:trPr>
        <w:tc>
          <w:tcPr>
            <w:tcW w:w="1402" w:type="dxa"/>
            <w:vMerge w:val="restart"/>
            <w:tcBorders>
              <w:top w:val="single" w:sz="12" w:space="0" w:color="auto"/>
              <w:left w:val="nil"/>
              <w:bottom w:val="nil"/>
              <w:right w:val="single" w:sz="4" w:space="0" w:color="auto"/>
            </w:tcBorders>
            <w:vAlign w:val="center"/>
          </w:tcPr>
          <w:p w14:paraId="749AFEFA" w14:textId="77777777" w:rsidR="00223B65" w:rsidRPr="002C1697" w:rsidRDefault="00223B65" w:rsidP="0027233E">
            <w:pPr>
              <w:keepNext/>
              <w:spacing w:line="240" w:lineRule="auto"/>
              <w:jc w:val="center"/>
              <w:rPr>
                <w:bCs/>
                <w:color w:val="000000"/>
                <w:sz w:val="20"/>
              </w:rPr>
            </w:pPr>
            <w:r w:rsidRPr="002C1697">
              <w:rPr>
                <w:bCs/>
                <w:color w:val="000000"/>
                <w:sz w:val="20"/>
              </w:rPr>
              <w:t>Pētījuma Nr. Ilgums</w:t>
            </w:r>
          </w:p>
        </w:tc>
        <w:tc>
          <w:tcPr>
            <w:tcW w:w="4320" w:type="dxa"/>
            <w:vMerge w:val="restart"/>
            <w:tcBorders>
              <w:top w:val="single" w:sz="12" w:space="0" w:color="auto"/>
              <w:left w:val="single" w:sz="4" w:space="0" w:color="auto"/>
              <w:bottom w:val="nil"/>
              <w:right w:val="single" w:sz="4" w:space="0" w:color="auto"/>
            </w:tcBorders>
            <w:vAlign w:val="center"/>
          </w:tcPr>
          <w:p w14:paraId="749AFEFB" w14:textId="77777777" w:rsidR="00223B65" w:rsidRPr="002C1697" w:rsidRDefault="00223B65" w:rsidP="0027233E">
            <w:pPr>
              <w:keepNext/>
              <w:spacing w:line="240" w:lineRule="auto"/>
              <w:jc w:val="center"/>
              <w:rPr>
                <w:bCs/>
                <w:color w:val="000000"/>
                <w:sz w:val="20"/>
              </w:rPr>
            </w:pPr>
            <w:r w:rsidRPr="002C1697">
              <w:rPr>
                <w:bCs/>
                <w:color w:val="000000"/>
                <w:sz w:val="20"/>
              </w:rPr>
              <w:t>Ārstēšanas grupas</w:t>
            </w:r>
          </w:p>
        </w:tc>
        <w:tc>
          <w:tcPr>
            <w:tcW w:w="810" w:type="dxa"/>
            <w:vMerge w:val="restart"/>
            <w:tcBorders>
              <w:top w:val="single" w:sz="12" w:space="0" w:color="auto"/>
              <w:left w:val="single" w:sz="4" w:space="0" w:color="auto"/>
              <w:bottom w:val="nil"/>
              <w:right w:val="single" w:sz="4" w:space="0" w:color="auto"/>
            </w:tcBorders>
            <w:vAlign w:val="center"/>
          </w:tcPr>
          <w:p w14:paraId="749AFEFC" w14:textId="77777777" w:rsidR="00223B65" w:rsidRPr="002C1697" w:rsidRDefault="00223B65" w:rsidP="0027233E">
            <w:pPr>
              <w:keepNext/>
              <w:spacing w:line="240" w:lineRule="auto"/>
              <w:jc w:val="center"/>
              <w:rPr>
                <w:bCs/>
                <w:color w:val="000000"/>
                <w:sz w:val="20"/>
              </w:rPr>
            </w:pPr>
            <w:r w:rsidRPr="002C1697">
              <w:rPr>
                <w:bCs/>
                <w:color w:val="000000"/>
                <w:sz w:val="20"/>
              </w:rPr>
              <w:t>N</w:t>
            </w:r>
          </w:p>
        </w:tc>
        <w:tc>
          <w:tcPr>
            <w:tcW w:w="2536" w:type="dxa"/>
            <w:gridSpan w:val="3"/>
            <w:tcBorders>
              <w:top w:val="single" w:sz="12" w:space="0" w:color="auto"/>
              <w:left w:val="single" w:sz="4" w:space="0" w:color="auto"/>
              <w:bottom w:val="nil"/>
              <w:right w:val="nil"/>
            </w:tcBorders>
            <w:vAlign w:val="center"/>
          </w:tcPr>
          <w:p w14:paraId="749AFEFD" w14:textId="77777777" w:rsidR="00223B65" w:rsidRPr="002C1697" w:rsidRDefault="00223B65" w:rsidP="0027233E">
            <w:pPr>
              <w:keepNext/>
              <w:spacing w:line="240" w:lineRule="auto"/>
              <w:jc w:val="center"/>
              <w:rPr>
                <w:bCs/>
                <w:color w:val="000000"/>
                <w:sz w:val="20"/>
              </w:rPr>
            </w:pPr>
            <w:r w:rsidRPr="002C1697">
              <w:rPr>
                <w:bCs/>
                <w:color w:val="000000"/>
                <w:sz w:val="20"/>
              </w:rPr>
              <w:t>Smagi paasinājumi</w:t>
            </w:r>
            <w:r w:rsidRPr="002C1697">
              <w:rPr>
                <w:color w:val="000000"/>
                <w:sz w:val="20"/>
                <w:vertAlign w:val="superscript"/>
              </w:rPr>
              <w:t>a</w:t>
            </w:r>
          </w:p>
        </w:tc>
      </w:tr>
      <w:tr w:rsidR="00223B65" w:rsidRPr="00E316A6" w14:paraId="749AFF04" w14:textId="77777777" w:rsidTr="007209C7">
        <w:trPr>
          <w:cantSplit/>
          <w:tblHeader/>
        </w:trPr>
        <w:tc>
          <w:tcPr>
            <w:tcW w:w="1402" w:type="dxa"/>
            <w:vMerge/>
            <w:tcBorders>
              <w:top w:val="nil"/>
              <w:left w:val="nil"/>
              <w:bottom w:val="single" w:sz="6" w:space="0" w:color="auto"/>
              <w:right w:val="single" w:sz="4" w:space="0" w:color="auto"/>
            </w:tcBorders>
            <w:vAlign w:val="center"/>
          </w:tcPr>
          <w:p w14:paraId="749AFEFF" w14:textId="77777777" w:rsidR="00223B65" w:rsidRPr="002C1697" w:rsidRDefault="00223B65" w:rsidP="0027233E">
            <w:pPr>
              <w:keepNext/>
              <w:spacing w:line="240" w:lineRule="auto"/>
              <w:jc w:val="center"/>
              <w:rPr>
                <w:bCs/>
                <w:color w:val="000000"/>
                <w:sz w:val="20"/>
              </w:rPr>
            </w:pPr>
          </w:p>
        </w:tc>
        <w:tc>
          <w:tcPr>
            <w:tcW w:w="4320" w:type="dxa"/>
            <w:vMerge/>
            <w:tcBorders>
              <w:top w:val="nil"/>
              <w:left w:val="single" w:sz="4" w:space="0" w:color="auto"/>
              <w:bottom w:val="single" w:sz="6" w:space="0" w:color="auto"/>
              <w:right w:val="single" w:sz="4" w:space="0" w:color="auto"/>
            </w:tcBorders>
            <w:vAlign w:val="center"/>
          </w:tcPr>
          <w:p w14:paraId="749AFF00" w14:textId="77777777" w:rsidR="00223B65" w:rsidRPr="002C1697" w:rsidRDefault="00223B65" w:rsidP="0027233E">
            <w:pPr>
              <w:keepNext/>
              <w:spacing w:line="240" w:lineRule="auto"/>
              <w:jc w:val="center"/>
              <w:rPr>
                <w:bCs/>
                <w:color w:val="000000"/>
                <w:sz w:val="20"/>
              </w:rPr>
            </w:pPr>
          </w:p>
        </w:tc>
        <w:tc>
          <w:tcPr>
            <w:tcW w:w="810" w:type="dxa"/>
            <w:vMerge/>
            <w:tcBorders>
              <w:top w:val="nil"/>
              <w:left w:val="single" w:sz="4" w:space="0" w:color="auto"/>
              <w:bottom w:val="single" w:sz="6" w:space="0" w:color="auto"/>
              <w:right w:val="single" w:sz="4" w:space="0" w:color="auto"/>
            </w:tcBorders>
            <w:vAlign w:val="center"/>
          </w:tcPr>
          <w:p w14:paraId="749AFF01" w14:textId="77777777" w:rsidR="00223B65" w:rsidRPr="002C1697" w:rsidRDefault="00223B65" w:rsidP="0027233E">
            <w:pPr>
              <w:keepNext/>
              <w:spacing w:line="240" w:lineRule="auto"/>
              <w:jc w:val="center"/>
              <w:rPr>
                <w:bCs/>
                <w:color w:val="000000"/>
                <w:sz w:val="20"/>
              </w:rPr>
            </w:pPr>
          </w:p>
        </w:tc>
        <w:tc>
          <w:tcPr>
            <w:tcW w:w="1123" w:type="dxa"/>
            <w:gridSpan w:val="2"/>
            <w:tcBorders>
              <w:top w:val="nil"/>
              <w:left w:val="single" w:sz="4" w:space="0" w:color="auto"/>
              <w:bottom w:val="single" w:sz="6" w:space="0" w:color="auto"/>
              <w:right w:val="nil"/>
            </w:tcBorders>
            <w:vAlign w:val="center"/>
          </w:tcPr>
          <w:p w14:paraId="749AFF02" w14:textId="77777777" w:rsidR="00223B65" w:rsidRPr="002C1697" w:rsidRDefault="00223B65" w:rsidP="0027233E">
            <w:pPr>
              <w:keepNext/>
              <w:spacing w:line="240" w:lineRule="auto"/>
              <w:jc w:val="center"/>
              <w:rPr>
                <w:bCs/>
                <w:color w:val="000000"/>
                <w:sz w:val="20"/>
              </w:rPr>
            </w:pPr>
            <w:r w:rsidRPr="002C1697">
              <w:rPr>
                <w:bCs/>
                <w:color w:val="000000"/>
                <w:sz w:val="20"/>
              </w:rPr>
              <w:t>Notiku</w:t>
            </w:r>
            <w:r w:rsidR="00362006">
              <w:rPr>
                <w:bCs/>
                <w:color w:val="000000"/>
                <w:sz w:val="20"/>
              </w:rPr>
              <w:t>m</w:t>
            </w:r>
            <w:r w:rsidRPr="002C1697">
              <w:rPr>
                <w:bCs/>
                <w:color w:val="000000"/>
                <w:sz w:val="20"/>
              </w:rPr>
              <w:t>i</w:t>
            </w:r>
          </w:p>
        </w:tc>
        <w:tc>
          <w:tcPr>
            <w:tcW w:w="1413" w:type="dxa"/>
            <w:tcBorders>
              <w:top w:val="nil"/>
              <w:left w:val="nil"/>
              <w:bottom w:val="single" w:sz="6" w:space="0" w:color="auto"/>
              <w:right w:val="nil"/>
            </w:tcBorders>
            <w:vAlign w:val="center"/>
          </w:tcPr>
          <w:p w14:paraId="749AFF03" w14:textId="77777777" w:rsidR="00223B65" w:rsidRPr="002C1697" w:rsidRDefault="00223B65" w:rsidP="0027233E">
            <w:pPr>
              <w:keepNext/>
              <w:spacing w:line="240" w:lineRule="auto"/>
              <w:jc w:val="center"/>
              <w:rPr>
                <w:bCs/>
                <w:color w:val="000000"/>
                <w:sz w:val="20"/>
              </w:rPr>
            </w:pPr>
            <w:r w:rsidRPr="002C1697">
              <w:rPr>
                <w:bCs/>
                <w:color w:val="000000"/>
                <w:sz w:val="20"/>
              </w:rPr>
              <w:t>Notikumi/pacientgadā</w:t>
            </w:r>
          </w:p>
        </w:tc>
      </w:tr>
      <w:tr w:rsidR="00223B65" w:rsidRPr="002C1697" w14:paraId="749AFF0B" w14:textId="77777777" w:rsidTr="0027233E">
        <w:trPr>
          <w:cantSplit/>
        </w:trPr>
        <w:tc>
          <w:tcPr>
            <w:tcW w:w="1402" w:type="dxa"/>
            <w:vMerge w:val="restart"/>
            <w:tcBorders>
              <w:top w:val="single" w:sz="6" w:space="0" w:color="auto"/>
              <w:left w:val="nil"/>
              <w:bottom w:val="nil"/>
              <w:right w:val="single" w:sz="4" w:space="0" w:color="auto"/>
            </w:tcBorders>
          </w:tcPr>
          <w:p w14:paraId="749AFF05" w14:textId="77777777" w:rsidR="00223B65" w:rsidRDefault="00223B65" w:rsidP="0027233E">
            <w:pPr>
              <w:spacing w:line="240" w:lineRule="auto"/>
              <w:ind w:right="-2"/>
              <w:rPr>
                <w:b/>
                <w:bCs/>
                <w:color w:val="000000"/>
                <w:sz w:val="20"/>
              </w:rPr>
            </w:pPr>
            <w:r>
              <w:rPr>
                <w:b/>
                <w:bCs/>
                <w:color w:val="000000"/>
                <w:sz w:val="20"/>
              </w:rPr>
              <w:t>735. p</w:t>
            </w:r>
            <w:r w:rsidRPr="002C1697">
              <w:rPr>
                <w:b/>
                <w:bCs/>
                <w:color w:val="000000"/>
                <w:sz w:val="20"/>
              </w:rPr>
              <w:t>ētījums</w:t>
            </w:r>
          </w:p>
          <w:p w14:paraId="749AFF06" w14:textId="77777777" w:rsidR="00223B65" w:rsidRPr="002C1697" w:rsidRDefault="00223B65" w:rsidP="0027233E">
            <w:pPr>
              <w:spacing w:line="240" w:lineRule="auto"/>
              <w:ind w:right="-2"/>
              <w:rPr>
                <w:b/>
                <w:bCs/>
                <w:color w:val="000000"/>
                <w:sz w:val="20"/>
              </w:rPr>
            </w:pPr>
            <w:r>
              <w:rPr>
                <w:b/>
                <w:bCs/>
                <w:color w:val="000000"/>
                <w:sz w:val="20"/>
              </w:rPr>
              <w:t>6 </w:t>
            </w:r>
            <w:r w:rsidRPr="002C1697">
              <w:rPr>
                <w:b/>
                <w:bCs/>
                <w:color w:val="000000"/>
                <w:sz w:val="20"/>
              </w:rPr>
              <w:t>mēneši</w:t>
            </w:r>
          </w:p>
        </w:tc>
        <w:tc>
          <w:tcPr>
            <w:tcW w:w="4320" w:type="dxa"/>
            <w:tcBorders>
              <w:top w:val="single" w:sz="6" w:space="0" w:color="auto"/>
              <w:left w:val="single" w:sz="4" w:space="0" w:color="auto"/>
              <w:bottom w:val="nil"/>
              <w:right w:val="single" w:sz="4" w:space="0" w:color="auto"/>
            </w:tcBorders>
          </w:tcPr>
          <w:p w14:paraId="749AFF07" w14:textId="77777777" w:rsidR="00223B65" w:rsidRPr="002C1697" w:rsidRDefault="00223B65" w:rsidP="0027233E">
            <w:pPr>
              <w:spacing w:line="240" w:lineRule="auto"/>
              <w:ind w:right="-2"/>
              <w:rPr>
                <w:b/>
                <w:bCs/>
                <w:color w:val="000000"/>
                <w:sz w:val="20"/>
              </w:rPr>
            </w:pPr>
            <w:r w:rsidRPr="002C1697">
              <w:rPr>
                <w:b/>
                <w:bCs/>
                <w:color w:val="000000"/>
                <w:sz w:val="20"/>
              </w:rPr>
              <w:t>Budezonīds/formoterols 160/4,5 µg 2</w:t>
            </w:r>
            <w:r>
              <w:rPr>
                <w:b/>
                <w:bCs/>
                <w:color w:val="000000"/>
                <w:sz w:val="20"/>
              </w:rPr>
              <w:t> </w:t>
            </w:r>
            <w:r w:rsidRPr="002C1697">
              <w:rPr>
                <w:b/>
                <w:bCs/>
                <w:color w:val="000000"/>
                <w:sz w:val="20"/>
              </w:rPr>
              <w:t xml:space="preserve">reizes dienā + pēc vajadzības </w:t>
            </w:r>
          </w:p>
        </w:tc>
        <w:tc>
          <w:tcPr>
            <w:tcW w:w="810" w:type="dxa"/>
            <w:tcBorders>
              <w:top w:val="single" w:sz="6" w:space="0" w:color="auto"/>
              <w:left w:val="single" w:sz="4" w:space="0" w:color="auto"/>
              <w:bottom w:val="nil"/>
              <w:right w:val="single" w:sz="4" w:space="0" w:color="auto"/>
            </w:tcBorders>
          </w:tcPr>
          <w:p w14:paraId="749AFF08" w14:textId="77777777" w:rsidR="00223B65" w:rsidRPr="002C1697" w:rsidRDefault="00223B65" w:rsidP="0027233E">
            <w:pPr>
              <w:spacing w:line="240" w:lineRule="auto"/>
              <w:ind w:right="-2"/>
              <w:jc w:val="center"/>
              <w:rPr>
                <w:b/>
                <w:bCs/>
                <w:color w:val="000000"/>
                <w:sz w:val="20"/>
              </w:rPr>
            </w:pPr>
            <w:r w:rsidRPr="002C1697">
              <w:rPr>
                <w:b/>
                <w:bCs/>
                <w:color w:val="000000"/>
                <w:sz w:val="20"/>
              </w:rPr>
              <w:t>1103</w:t>
            </w:r>
          </w:p>
        </w:tc>
        <w:tc>
          <w:tcPr>
            <w:tcW w:w="981" w:type="dxa"/>
            <w:tcBorders>
              <w:top w:val="single" w:sz="6" w:space="0" w:color="auto"/>
              <w:left w:val="single" w:sz="4" w:space="0" w:color="auto"/>
              <w:bottom w:val="nil"/>
              <w:right w:val="nil"/>
            </w:tcBorders>
          </w:tcPr>
          <w:p w14:paraId="749AFF09" w14:textId="77777777" w:rsidR="00223B65" w:rsidRPr="002C1697" w:rsidRDefault="00223B65" w:rsidP="0027233E">
            <w:pPr>
              <w:spacing w:line="240" w:lineRule="auto"/>
              <w:ind w:right="-2"/>
              <w:jc w:val="center"/>
              <w:rPr>
                <w:b/>
                <w:bCs/>
                <w:color w:val="000000"/>
                <w:sz w:val="20"/>
              </w:rPr>
            </w:pPr>
            <w:r w:rsidRPr="002C1697">
              <w:rPr>
                <w:b/>
                <w:bCs/>
                <w:color w:val="000000"/>
                <w:sz w:val="20"/>
              </w:rPr>
              <w:t>125</w:t>
            </w:r>
          </w:p>
        </w:tc>
        <w:tc>
          <w:tcPr>
            <w:tcW w:w="1555" w:type="dxa"/>
            <w:gridSpan w:val="2"/>
            <w:tcBorders>
              <w:top w:val="single" w:sz="6" w:space="0" w:color="auto"/>
              <w:left w:val="nil"/>
              <w:bottom w:val="nil"/>
              <w:right w:val="nil"/>
            </w:tcBorders>
          </w:tcPr>
          <w:p w14:paraId="749AFF0A" w14:textId="77777777" w:rsidR="00223B65" w:rsidRPr="002C1697" w:rsidRDefault="00223B65" w:rsidP="0027233E">
            <w:pPr>
              <w:spacing w:line="240" w:lineRule="auto"/>
              <w:ind w:right="-2"/>
              <w:jc w:val="center"/>
              <w:rPr>
                <w:b/>
                <w:bCs/>
                <w:color w:val="000000"/>
                <w:sz w:val="20"/>
              </w:rPr>
            </w:pPr>
            <w:r w:rsidRPr="002C1697">
              <w:rPr>
                <w:b/>
                <w:bCs/>
                <w:color w:val="000000"/>
                <w:sz w:val="20"/>
              </w:rPr>
              <w:t>0,23</w:t>
            </w:r>
            <w:r w:rsidRPr="002C1697">
              <w:rPr>
                <w:color w:val="000000"/>
                <w:sz w:val="20"/>
                <w:vertAlign w:val="superscript"/>
              </w:rPr>
              <w:t>b</w:t>
            </w:r>
          </w:p>
        </w:tc>
      </w:tr>
      <w:tr w:rsidR="00223B65" w:rsidRPr="002C1697" w14:paraId="749AFF11" w14:textId="77777777" w:rsidTr="0027233E">
        <w:trPr>
          <w:cantSplit/>
        </w:trPr>
        <w:tc>
          <w:tcPr>
            <w:tcW w:w="1402" w:type="dxa"/>
            <w:vMerge/>
            <w:tcBorders>
              <w:top w:val="nil"/>
              <w:left w:val="nil"/>
              <w:bottom w:val="nil"/>
              <w:right w:val="single" w:sz="4" w:space="0" w:color="auto"/>
            </w:tcBorders>
          </w:tcPr>
          <w:p w14:paraId="749AFF0C" w14:textId="77777777" w:rsidR="00223B65" w:rsidRPr="002C1697" w:rsidRDefault="00223B65" w:rsidP="0027233E">
            <w:pPr>
              <w:spacing w:line="240" w:lineRule="auto"/>
              <w:ind w:right="-2"/>
              <w:rPr>
                <w:b/>
                <w:bCs/>
                <w:color w:val="000000"/>
                <w:sz w:val="20"/>
              </w:rPr>
            </w:pPr>
          </w:p>
        </w:tc>
        <w:tc>
          <w:tcPr>
            <w:tcW w:w="4320" w:type="dxa"/>
            <w:tcBorders>
              <w:top w:val="nil"/>
              <w:left w:val="single" w:sz="4" w:space="0" w:color="auto"/>
              <w:bottom w:val="nil"/>
              <w:right w:val="single" w:sz="4" w:space="0" w:color="auto"/>
            </w:tcBorders>
          </w:tcPr>
          <w:p w14:paraId="749AFF0D" w14:textId="77777777" w:rsidR="00223B65" w:rsidRPr="002C1697" w:rsidRDefault="00223B65" w:rsidP="0027233E">
            <w:pPr>
              <w:spacing w:line="240" w:lineRule="auto"/>
              <w:ind w:right="-2"/>
              <w:rPr>
                <w:color w:val="000000"/>
                <w:sz w:val="20"/>
              </w:rPr>
            </w:pPr>
            <w:r w:rsidRPr="002C1697">
              <w:rPr>
                <w:bCs/>
                <w:color w:val="000000"/>
                <w:sz w:val="20"/>
              </w:rPr>
              <w:t>Budezonīds/formoterols</w:t>
            </w:r>
            <w:r w:rsidRPr="002C1697">
              <w:rPr>
                <w:color w:val="000000"/>
                <w:sz w:val="20"/>
              </w:rPr>
              <w:t xml:space="preserve">320/9 µg </w:t>
            </w:r>
            <w:r>
              <w:rPr>
                <w:bCs/>
                <w:color w:val="000000"/>
                <w:sz w:val="20"/>
              </w:rPr>
              <w:t>2 </w:t>
            </w:r>
            <w:r w:rsidRPr="002C1697">
              <w:rPr>
                <w:bCs/>
                <w:color w:val="000000"/>
                <w:sz w:val="20"/>
              </w:rPr>
              <w:t>reizes dienā</w:t>
            </w:r>
            <w:r w:rsidRPr="002C1697">
              <w:rPr>
                <w:color w:val="000000"/>
                <w:sz w:val="20"/>
              </w:rPr>
              <w:t xml:space="preserve"> + terbutalīns 0,4 mg pēc vajadzības</w:t>
            </w:r>
          </w:p>
        </w:tc>
        <w:tc>
          <w:tcPr>
            <w:tcW w:w="810" w:type="dxa"/>
            <w:tcBorders>
              <w:top w:val="nil"/>
              <w:left w:val="single" w:sz="4" w:space="0" w:color="auto"/>
              <w:bottom w:val="nil"/>
              <w:right w:val="single" w:sz="4" w:space="0" w:color="auto"/>
            </w:tcBorders>
          </w:tcPr>
          <w:p w14:paraId="749AFF0E" w14:textId="77777777" w:rsidR="00223B65" w:rsidRPr="002C1697" w:rsidRDefault="00223B65" w:rsidP="0027233E">
            <w:pPr>
              <w:spacing w:line="240" w:lineRule="auto"/>
              <w:ind w:right="-2"/>
              <w:jc w:val="center"/>
              <w:rPr>
                <w:color w:val="000000"/>
                <w:sz w:val="20"/>
              </w:rPr>
            </w:pPr>
            <w:r w:rsidRPr="002C1697">
              <w:rPr>
                <w:color w:val="000000"/>
                <w:sz w:val="20"/>
              </w:rPr>
              <w:t>1099</w:t>
            </w:r>
          </w:p>
        </w:tc>
        <w:tc>
          <w:tcPr>
            <w:tcW w:w="981" w:type="dxa"/>
            <w:tcBorders>
              <w:top w:val="nil"/>
              <w:left w:val="single" w:sz="4" w:space="0" w:color="auto"/>
              <w:bottom w:val="nil"/>
              <w:right w:val="nil"/>
            </w:tcBorders>
          </w:tcPr>
          <w:p w14:paraId="749AFF0F" w14:textId="77777777" w:rsidR="00223B65" w:rsidRPr="002C1697" w:rsidRDefault="00223B65" w:rsidP="0027233E">
            <w:pPr>
              <w:spacing w:line="240" w:lineRule="auto"/>
              <w:ind w:right="-2"/>
              <w:jc w:val="center"/>
              <w:rPr>
                <w:color w:val="000000"/>
                <w:sz w:val="20"/>
              </w:rPr>
            </w:pPr>
            <w:r w:rsidRPr="002C1697">
              <w:rPr>
                <w:color w:val="000000"/>
                <w:sz w:val="20"/>
              </w:rPr>
              <w:t>173</w:t>
            </w:r>
          </w:p>
        </w:tc>
        <w:tc>
          <w:tcPr>
            <w:tcW w:w="1555" w:type="dxa"/>
            <w:gridSpan w:val="2"/>
            <w:tcBorders>
              <w:top w:val="nil"/>
              <w:left w:val="nil"/>
              <w:bottom w:val="nil"/>
              <w:right w:val="nil"/>
            </w:tcBorders>
          </w:tcPr>
          <w:p w14:paraId="749AFF10" w14:textId="77777777" w:rsidR="00223B65" w:rsidRPr="002C1697" w:rsidRDefault="00223B65" w:rsidP="0027233E">
            <w:pPr>
              <w:spacing w:line="240" w:lineRule="auto"/>
              <w:ind w:right="-2"/>
              <w:jc w:val="center"/>
              <w:rPr>
                <w:color w:val="000000"/>
                <w:sz w:val="20"/>
              </w:rPr>
            </w:pPr>
            <w:r w:rsidRPr="002C1697">
              <w:rPr>
                <w:color w:val="000000"/>
                <w:sz w:val="20"/>
              </w:rPr>
              <w:t>0,32</w:t>
            </w:r>
          </w:p>
        </w:tc>
      </w:tr>
      <w:tr w:rsidR="00223B65" w:rsidRPr="002C1697" w14:paraId="749AFF17" w14:textId="77777777" w:rsidTr="0027233E">
        <w:trPr>
          <w:cantSplit/>
        </w:trPr>
        <w:tc>
          <w:tcPr>
            <w:tcW w:w="1402" w:type="dxa"/>
            <w:vMerge/>
            <w:tcBorders>
              <w:top w:val="nil"/>
              <w:left w:val="nil"/>
              <w:bottom w:val="single" w:sz="4" w:space="0" w:color="auto"/>
              <w:right w:val="single" w:sz="4" w:space="0" w:color="auto"/>
            </w:tcBorders>
          </w:tcPr>
          <w:p w14:paraId="749AFF12" w14:textId="77777777" w:rsidR="00223B65" w:rsidRPr="002C1697" w:rsidRDefault="00223B65" w:rsidP="0027233E">
            <w:pPr>
              <w:spacing w:line="240" w:lineRule="auto"/>
              <w:ind w:right="-2"/>
              <w:rPr>
                <w:b/>
                <w:bCs/>
                <w:color w:val="000000"/>
                <w:sz w:val="20"/>
              </w:rPr>
            </w:pPr>
          </w:p>
        </w:tc>
        <w:tc>
          <w:tcPr>
            <w:tcW w:w="4320" w:type="dxa"/>
            <w:tcBorders>
              <w:top w:val="nil"/>
              <w:left w:val="single" w:sz="4" w:space="0" w:color="auto"/>
              <w:bottom w:val="nil"/>
              <w:right w:val="single" w:sz="4" w:space="0" w:color="auto"/>
            </w:tcBorders>
          </w:tcPr>
          <w:p w14:paraId="749AFF13" w14:textId="77777777" w:rsidR="00223B65" w:rsidRPr="002C1697" w:rsidRDefault="00223B65" w:rsidP="0027233E">
            <w:pPr>
              <w:spacing w:line="240" w:lineRule="auto"/>
              <w:ind w:right="-2"/>
              <w:rPr>
                <w:color w:val="000000"/>
                <w:sz w:val="20"/>
              </w:rPr>
            </w:pPr>
            <w:r w:rsidRPr="002C1697">
              <w:rPr>
                <w:color w:val="000000"/>
                <w:sz w:val="20"/>
              </w:rPr>
              <w:t xml:space="preserve">Salmeterols/flutikazons 2 x 25/125 µg </w:t>
            </w:r>
            <w:r>
              <w:rPr>
                <w:bCs/>
                <w:color w:val="000000"/>
                <w:sz w:val="20"/>
              </w:rPr>
              <w:t>2 </w:t>
            </w:r>
            <w:r w:rsidRPr="002C1697">
              <w:rPr>
                <w:bCs/>
                <w:color w:val="000000"/>
                <w:sz w:val="20"/>
              </w:rPr>
              <w:t>reizes dienā</w:t>
            </w:r>
            <w:r w:rsidRPr="002C1697">
              <w:rPr>
                <w:color w:val="000000"/>
                <w:sz w:val="20"/>
              </w:rPr>
              <w:t xml:space="preserve"> + terbutalīns 0,4 mg pēc vajadzības</w:t>
            </w:r>
          </w:p>
        </w:tc>
        <w:tc>
          <w:tcPr>
            <w:tcW w:w="810" w:type="dxa"/>
            <w:tcBorders>
              <w:top w:val="nil"/>
              <w:left w:val="single" w:sz="4" w:space="0" w:color="auto"/>
              <w:bottom w:val="nil"/>
              <w:right w:val="single" w:sz="4" w:space="0" w:color="auto"/>
            </w:tcBorders>
          </w:tcPr>
          <w:p w14:paraId="749AFF14" w14:textId="77777777" w:rsidR="00223B65" w:rsidRPr="002C1697" w:rsidRDefault="00223B65" w:rsidP="0027233E">
            <w:pPr>
              <w:spacing w:line="240" w:lineRule="auto"/>
              <w:ind w:right="-2"/>
              <w:jc w:val="center"/>
              <w:rPr>
                <w:color w:val="000000"/>
                <w:sz w:val="20"/>
              </w:rPr>
            </w:pPr>
            <w:r w:rsidRPr="002C1697">
              <w:rPr>
                <w:color w:val="000000"/>
                <w:sz w:val="20"/>
              </w:rPr>
              <w:t>1119</w:t>
            </w:r>
          </w:p>
        </w:tc>
        <w:tc>
          <w:tcPr>
            <w:tcW w:w="981" w:type="dxa"/>
            <w:tcBorders>
              <w:top w:val="nil"/>
              <w:left w:val="single" w:sz="4" w:space="0" w:color="auto"/>
              <w:bottom w:val="nil"/>
              <w:right w:val="nil"/>
            </w:tcBorders>
          </w:tcPr>
          <w:p w14:paraId="749AFF15" w14:textId="77777777" w:rsidR="00223B65" w:rsidRPr="002C1697" w:rsidRDefault="00223B65" w:rsidP="0027233E">
            <w:pPr>
              <w:spacing w:line="240" w:lineRule="auto"/>
              <w:ind w:right="-2"/>
              <w:jc w:val="center"/>
              <w:rPr>
                <w:color w:val="000000"/>
                <w:sz w:val="20"/>
              </w:rPr>
            </w:pPr>
            <w:r w:rsidRPr="002C1697">
              <w:rPr>
                <w:color w:val="000000"/>
                <w:sz w:val="20"/>
              </w:rPr>
              <w:t>208</w:t>
            </w:r>
          </w:p>
        </w:tc>
        <w:tc>
          <w:tcPr>
            <w:tcW w:w="1555" w:type="dxa"/>
            <w:gridSpan w:val="2"/>
            <w:tcBorders>
              <w:top w:val="nil"/>
              <w:left w:val="nil"/>
              <w:bottom w:val="nil"/>
              <w:right w:val="nil"/>
            </w:tcBorders>
          </w:tcPr>
          <w:p w14:paraId="749AFF16" w14:textId="77777777" w:rsidR="00223B65" w:rsidRPr="002C1697" w:rsidRDefault="00223B65" w:rsidP="0027233E">
            <w:pPr>
              <w:spacing w:line="240" w:lineRule="auto"/>
              <w:ind w:right="-2"/>
              <w:jc w:val="center"/>
              <w:rPr>
                <w:color w:val="000000"/>
                <w:sz w:val="20"/>
              </w:rPr>
            </w:pPr>
            <w:r w:rsidRPr="002C1697">
              <w:rPr>
                <w:color w:val="000000"/>
                <w:sz w:val="20"/>
              </w:rPr>
              <w:t>0,38</w:t>
            </w:r>
          </w:p>
        </w:tc>
      </w:tr>
      <w:tr w:rsidR="00223B65" w:rsidRPr="002C1697" w14:paraId="749AFF1E" w14:textId="77777777" w:rsidTr="0027233E">
        <w:trPr>
          <w:cantSplit/>
        </w:trPr>
        <w:tc>
          <w:tcPr>
            <w:tcW w:w="1402" w:type="dxa"/>
            <w:vMerge w:val="restart"/>
            <w:tcBorders>
              <w:top w:val="single" w:sz="6" w:space="0" w:color="auto"/>
              <w:left w:val="nil"/>
              <w:bottom w:val="nil"/>
              <w:right w:val="single" w:sz="4" w:space="0" w:color="auto"/>
            </w:tcBorders>
          </w:tcPr>
          <w:p w14:paraId="749AFF18" w14:textId="77777777" w:rsidR="00223B65" w:rsidRDefault="00223B65" w:rsidP="0027233E">
            <w:pPr>
              <w:spacing w:line="240" w:lineRule="auto"/>
              <w:ind w:right="-2"/>
              <w:rPr>
                <w:b/>
                <w:bCs/>
                <w:color w:val="000000"/>
                <w:sz w:val="20"/>
              </w:rPr>
            </w:pPr>
            <w:r>
              <w:rPr>
                <w:b/>
                <w:bCs/>
                <w:color w:val="000000"/>
                <w:sz w:val="20"/>
              </w:rPr>
              <w:t>734. pētījums</w:t>
            </w:r>
          </w:p>
          <w:p w14:paraId="749AFF19" w14:textId="77777777" w:rsidR="00223B65" w:rsidRPr="002C1697" w:rsidRDefault="00223B65" w:rsidP="0027233E">
            <w:pPr>
              <w:spacing w:line="240" w:lineRule="auto"/>
              <w:ind w:right="-2"/>
              <w:rPr>
                <w:b/>
                <w:bCs/>
                <w:color w:val="000000"/>
                <w:sz w:val="20"/>
              </w:rPr>
            </w:pPr>
            <w:r>
              <w:rPr>
                <w:b/>
                <w:bCs/>
                <w:color w:val="000000"/>
                <w:sz w:val="20"/>
              </w:rPr>
              <w:t>12 mēneši</w:t>
            </w:r>
          </w:p>
        </w:tc>
        <w:tc>
          <w:tcPr>
            <w:tcW w:w="4320" w:type="dxa"/>
            <w:tcBorders>
              <w:top w:val="single" w:sz="6" w:space="0" w:color="auto"/>
              <w:left w:val="single" w:sz="4" w:space="0" w:color="auto"/>
              <w:bottom w:val="nil"/>
              <w:right w:val="single" w:sz="4" w:space="0" w:color="auto"/>
            </w:tcBorders>
          </w:tcPr>
          <w:p w14:paraId="749AFF1A" w14:textId="77777777" w:rsidR="00223B65" w:rsidRPr="002C1697" w:rsidRDefault="00223B65" w:rsidP="0027233E">
            <w:pPr>
              <w:spacing w:line="240" w:lineRule="auto"/>
              <w:ind w:right="-2"/>
              <w:rPr>
                <w:b/>
                <w:bCs/>
                <w:color w:val="000000"/>
                <w:sz w:val="20"/>
              </w:rPr>
            </w:pPr>
            <w:r w:rsidRPr="002C1697">
              <w:rPr>
                <w:b/>
                <w:bCs/>
                <w:color w:val="000000"/>
                <w:sz w:val="20"/>
              </w:rPr>
              <w:t>Budezonīds/formoterols</w:t>
            </w:r>
            <w:r>
              <w:rPr>
                <w:b/>
                <w:bCs/>
                <w:color w:val="000000"/>
                <w:sz w:val="20"/>
              </w:rPr>
              <w:t xml:space="preserve"> 160/4,5 µg 2 </w:t>
            </w:r>
            <w:r w:rsidRPr="002C1697">
              <w:rPr>
                <w:b/>
                <w:bCs/>
                <w:color w:val="000000"/>
                <w:sz w:val="20"/>
              </w:rPr>
              <w:t xml:space="preserve">reizes dienā </w:t>
            </w:r>
            <w:r w:rsidRPr="002C1697">
              <w:rPr>
                <w:bCs/>
                <w:color w:val="000000"/>
                <w:sz w:val="20"/>
              </w:rPr>
              <w:t xml:space="preserve">+ </w:t>
            </w:r>
            <w:r w:rsidRPr="002C1697">
              <w:rPr>
                <w:b/>
                <w:color w:val="000000"/>
                <w:sz w:val="20"/>
              </w:rPr>
              <w:t>pēc vajadzības</w:t>
            </w:r>
          </w:p>
        </w:tc>
        <w:tc>
          <w:tcPr>
            <w:tcW w:w="810" w:type="dxa"/>
            <w:tcBorders>
              <w:top w:val="single" w:sz="6" w:space="0" w:color="auto"/>
              <w:left w:val="single" w:sz="4" w:space="0" w:color="auto"/>
              <w:bottom w:val="nil"/>
              <w:right w:val="single" w:sz="4" w:space="0" w:color="auto"/>
            </w:tcBorders>
          </w:tcPr>
          <w:p w14:paraId="749AFF1B" w14:textId="77777777" w:rsidR="00223B65" w:rsidRPr="002C1697" w:rsidRDefault="00223B65" w:rsidP="0027233E">
            <w:pPr>
              <w:spacing w:line="240" w:lineRule="auto"/>
              <w:ind w:right="-2"/>
              <w:jc w:val="center"/>
              <w:rPr>
                <w:b/>
                <w:bCs/>
                <w:color w:val="000000"/>
                <w:sz w:val="20"/>
              </w:rPr>
            </w:pPr>
            <w:r w:rsidRPr="002C1697">
              <w:rPr>
                <w:b/>
                <w:bCs/>
                <w:color w:val="000000"/>
                <w:sz w:val="20"/>
              </w:rPr>
              <w:t>1107</w:t>
            </w:r>
          </w:p>
        </w:tc>
        <w:tc>
          <w:tcPr>
            <w:tcW w:w="981" w:type="dxa"/>
            <w:tcBorders>
              <w:top w:val="single" w:sz="6" w:space="0" w:color="auto"/>
              <w:left w:val="single" w:sz="4" w:space="0" w:color="auto"/>
              <w:bottom w:val="nil"/>
              <w:right w:val="nil"/>
            </w:tcBorders>
          </w:tcPr>
          <w:p w14:paraId="749AFF1C" w14:textId="77777777" w:rsidR="00223B65" w:rsidRPr="002C1697" w:rsidRDefault="00223B65" w:rsidP="0027233E">
            <w:pPr>
              <w:spacing w:line="240" w:lineRule="auto"/>
              <w:ind w:right="-2"/>
              <w:jc w:val="center"/>
              <w:rPr>
                <w:b/>
                <w:bCs/>
                <w:color w:val="000000"/>
                <w:sz w:val="20"/>
              </w:rPr>
            </w:pPr>
            <w:r w:rsidRPr="002C1697">
              <w:rPr>
                <w:b/>
                <w:bCs/>
                <w:color w:val="000000"/>
                <w:sz w:val="20"/>
              </w:rPr>
              <w:t>194</w:t>
            </w:r>
          </w:p>
        </w:tc>
        <w:tc>
          <w:tcPr>
            <w:tcW w:w="1555" w:type="dxa"/>
            <w:gridSpan w:val="2"/>
            <w:tcBorders>
              <w:top w:val="single" w:sz="6" w:space="0" w:color="auto"/>
              <w:left w:val="nil"/>
              <w:bottom w:val="nil"/>
              <w:right w:val="nil"/>
            </w:tcBorders>
          </w:tcPr>
          <w:p w14:paraId="749AFF1D" w14:textId="77777777" w:rsidR="00223B65" w:rsidRPr="002C1697" w:rsidRDefault="00223B65" w:rsidP="0027233E">
            <w:pPr>
              <w:spacing w:line="240" w:lineRule="auto"/>
              <w:ind w:right="-2"/>
              <w:jc w:val="center"/>
              <w:rPr>
                <w:b/>
                <w:bCs/>
                <w:color w:val="000000"/>
                <w:sz w:val="20"/>
              </w:rPr>
            </w:pPr>
            <w:r w:rsidRPr="002C1697">
              <w:rPr>
                <w:b/>
                <w:bCs/>
                <w:color w:val="000000"/>
                <w:sz w:val="20"/>
              </w:rPr>
              <w:t>0,19</w:t>
            </w:r>
            <w:r w:rsidRPr="002C1697">
              <w:rPr>
                <w:color w:val="000000"/>
                <w:sz w:val="20"/>
                <w:vertAlign w:val="superscript"/>
              </w:rPr>
              <w:t>b</w:t>
            </w:r>
          </w:p>
        </w:tc>
      </w:tr>
      <w:tr w:rsidR="00223B65" w:rsidRPr="002C1697" w14:paraId="749AFF24" w14:textId="77777777" w:rsidTr="0027233E">
        <w:trPr>
          <w:cantSplit/>
        </w:trPr>
        <w:tc>
          <w:tcPr>
            <w:tcW w:w="1402" w:type="dxa"/>
            <w:vMerge/>
            <w:tcBorders>
              <w:top w:val="nil"/>
              <w:left w:val="nil"/>
              <w:bottom w:val="nil"/>
              <w:right w:val="single" w:sz="4" w:space="0" w:color="auto"/>
            </w:tcBorders>
          </w:tcPr>
          <w:p w14:paraId="749AFF1F" w14:textId="77777777" w:rsidR="00223B65" w:rsidRPr="002C1697" w:rsidRDefault="00223B65" w:rsidP="0027233E">
            <w:pPr>
              <w:spacing w:line="240" w:lineRule="auto"/>
              <w:ind w:right="-2"/>
              <w:rPr>
                <w:b/>
                <w:bCs/>
                <w:color w:val="000000"/>
                <w:sz w:val="20"/>
              </w:rPr>
            </w:pPr>
          </w:p>
        </w:tc>
        <w:tc>
          <w:tcPr>
            <w:tcW w:w="4320" w:type="dxa"/>
            <w:tcBorders>
              <w:top w:val="nil"/>
              <w:left w:val="single" w:sz="4" w:space="0" w:color="auto"/>
              <w:bottom w:val="nil"/>
              <w:right w:val="single" w:sz="4" w:space="0" w:color="auto"/>
            </w:tcBorders>
          </w:tcPr>
          <w:p w14:paraId="749AFF20" w14:textId="77777777" w:rsidR="00223B65" w:rsidRPr="002C1697" w:rsidRDefault="00223B65" w:rsidP="0027233E">
            <w:pPr>
              <w:spacing w:line="240" w:lineRule="auto"/>
              <w:ind w:right="-2"/>
              <w:rPr>
                <w:color w:val="000000"/>
                <w:sz w:val="20"/>
              </w:rPr>
            </w:pPr>
            <w:r w:rsidRPr="002C1697">
              <w:rPr>
                <w:b/>
                <w:bCs/>
                <w:color w:val="000000"/>
                <w:sz w:val="20"/>
              </w:rPr>
              <w:t xml:space="preserve">Budezonīds/formoterols </w:t>
            </w:r>
            <w:r w:rsidRPr="002C1697">
              <w:rPr>
                <w:color w:val="000000"/>
                <w:sz w:val="20"/>
              </w:rPr>
              <w:t xml:space="preserve">160/4,5 µg </w:t>
            </w:r>
            <w:r>
              <w:rPr>
                <w:bCs/>
                <w:color w:val="000000"/>
                <w:sz w:val="20"/>
              </w:rPr>
              <w:t>2 </w:t>
            </w:r>
            <w:r w:rsidRPr="002C1697">
              <w:rPr>
                <w:bCs/>
                <w:color w:val="000000"/>
                <w:sz w:val="20"/>
              </w:rPr>
              <w:t>reizes dienā</w:t>
            </w:r>
            <w:r w:rsidRPr="002C1697">
              <w:rPr>
                <w:color w:val="000000"/>
                <w:sz w:val="20"/>
              </w:rPr>
              <w:t xml:space="preserve"> + formoterols 4,5 µg pēc vajadzības</w:t>
            </w:r>
          </w:p>
        </w:tc>
        <w:tc>
          <w:tcPr>
            <w:tcW w:w="810" w:type="dxa"/>
            <w:tcBorders>
              <w:top w:val="nil"/>
              <w:left w:val="single" w:sz="4" w:space="0" w:color="auto"/>
              <w:bottom w:val="nil"/>
              <w:right w:val="single" w:sz="4" w:space="0" w:color="auto"/>
            </w:tcBorders>
          </w:tcPr>
          <w:p w14:paraId="749AFF21" w14:textId="77777777" w:rsidR="00223B65" w:rsidRPr="002C1697" w:rsidRDefault="00223B65" w:rsidP="0027233E">
            <w:pPr>
              <w:spacing w:line="240" w:lineRule="auto"/>
              <w:ind w:right="-2"/>
              <w:jc w:val="center"/>
              <w:rPr>
                <w:color w:val="000000"/>
                <w:sz w:val="20"/>
              </w:rPr>
            </w:pPr>
            <w:r w:rsidRPr="002C1697">
              <w:rPr>
                <w:color w:val="000000"/>
                <w:sz w:val="20"/>
              </w:rPr>
              <w:t>1137</w:t>
            </w:r>
          </w:p>
        </w:tc>
        <w:tc>
          <w:tcPr>
            <w:tcW w:w="981" w:type="dxa"/>
            <w:tcBorders>
              <w:top w:val="nil"/>
              <w:left w:val="single" w:sz="4" w:space="0" w:color="auto"/>
              <w:bottom w:val="nil"/>
              <w:right w:val="nil"/>
            </w:tcBorders>
          </w:tcPr>
          <w:p w14:paraId="749AFF22" w14:textId="77777777" w:rsidR="00223B65" w:rsidRPr="002C1697" w:rsidRDefault="00223B65" w:rsidP="0027233E">
            <w:pPr>
              <w:spacing w:line="240" w:lineRule="auto"/>
              <w:ind w:right="-2"/>
              <w:jc w:val="center"/>
              <w:rPr>
                <w:color w:val="000000"/>
                <w:sz w:val="20"/>
              </w:rPr>
            </w:pPr>
            <w:r w:rsidRPr="002C1697">
              <w:rPr>
                <w:color w:val="000000"/>
                <w:sz w:val="20"/>
              </w:rPr>
              <w:t>296</w:t>
            </w:r>
          </w:p>
        </w:tc>
        <w:tc>
          <w:tcPr>
            <w:tcW w:w="1555" w:type="dxa"/>
            <w:gridSpan w:val="2"/>
            <w:tcBorders>
              <w:top w:val="nil"/>
              <w:left w:val="nil"/>
              <w:bottom w:val="nil"/>
              <w:right w:val="nil"/>
            </w:tcBorders>
          </w:tcPr>
          <w:p w14:paraId="749AFF23" w14:textId="77777777" w:rsidR="00223B65" w:rsidRPr="002C1697" w:rsidRDefault="00223B65" w:rsidP="0027233E">
            <w:pPr>
              <w:spacing w:line="240" w:lineRule="auto"/>
              <w:ind w:right="-2"/>
              <w:jc w:val="center"/>
              <w:rPr>
                <w:color w:val="000000"/>
                <w:sz w:val="20"/>
              </w:rPr>
            </w:pPr>
            <w:r w:rsidRPr="002C1697">
              <w:rPr>
                <w:color w:val="000000"/>
                <w:sz w:val="20"/>
              </w:rPr>
              <w:t>0,29</w:t>
            </w:r>
          </w:p>
        </w:tc>
      </w:tr>
      <w:tr w:rsidR="00223B65" w:rsidRPr="002C1697" w14:paraId="749AFF2A" w14:textId="77777777" w:rsidTr="0027233E">
        <w:trPr>
          <w:cantSplit/>
        </w:trPr>
        <w:tc>
          <w:tcPr>
            <w:tcW w:w="1402" w:type="dxa"/>
            <w:vMerge/>
            <w:tcBorders>
              <w:top w:val="nil"/>
              <w:left w:val="nil"/>
              <w:bottom w:val="single" w:sz="4" w:space="0" w:color="auto"/>
              <w:right w:val="single" w:sz="4" w:space="0" w:color="auto"/>
            </w:tcBorders>
          </w:tcPr>
          <w:p w14:paraId="749AFF25" w14:textId="77777777" w:rsidR="00223B65" w:rsidRPr="002C1697" w:rsidRDefault="00223B65" w:rsidP="0027233E">
            <w:pPr>
              <w:spacing w:line="240" w:lineRule="auto"/>
              <w:ind w:right="-2"/>
              <w:rPr>
                <w:b/>
                <w:bCs/>
                <w:color w:val="000000"/>
                <w:sz w:val="20"/>
              </w:rPr>
            </w:pPr>
          </w:p>
        </w:tc>
        <w:tc>
          <w:tcPr>
            <w:tcW w:w="4320" w:type="dxa"/>
            <w:tcBorders>
              <w:top w:val="nil"/>
              <w:left w:val="single" w:sz="4" w:space="0" w:color="auto"/>
              <w:bottom w:val="single" w:sz="4" w:space="0" w:color="auto"/>
              <w:right w:val="single" w:sz="4" w:space="0" w:color="auto"/>
            </w:tcBorders>
          </w:tcPr>
          <w:p w14:paraId="749AFF26" w14:textId="77777777" w:rsidR="00223B65" w:rsidRPr="002C1697" w:rsidRDefault="00223B65" w:rsidP="0027233E">
            <w:pPr>
              <w:spacing w:line="240" w:lineRule="auto"/>
              <w:ind w:right="-2"/>
              <w:rPr>
                <w:color w:val="000000"/>
                <w:sz w:val="20"/>
              </w:rPr>
            </w:pPr>
            <w:r w:rsidRPr="002C1697">
              <w:rPr>
                <w:b/>
                <w:bCs/>
                <w:color w:val="000000"/>
                <w:sz w:val="20"/>
              </w:rPr>
              <w:t xml:space="preserve">Budezonīds/formoterols </w:t>
            </w:r>
            <w:r w:rsidRPr="002C1697">
              <w:rPr>
                <w:color w:val="000000"/>
                <w:sz w:val="20"/>
              </w:rPr>
              <w:t xml:space="preserve">160/4,5 µg </w:t>
            </w:r>
            <w:r>
              <w:rPr>
                <w:bCs/>
                <w:color w:val="000000"/>
                <w:sz w:val="20"/>
              </w:rPr>
              <w:t>2 </w:t>
            </w:r>
            <w:r w:rsidRPr="002C1697">
              <w:rPr>
                <w:bCs/>
                <w:color w:val="000000"/>
                <w:sz w:val="20"/>
              </w:rPr>
              <w:t>reizes dienā</w:t>
            </w:r>
            <w:r w:rsidRPr="002C1697">
              <w:rPr>
                <w:color w:val="000000"/>
                <w:sz w:val="20"/>
              </w:rPr>
              <w:t xml:space="preserve"> + terbutalīns 0,4 mg pēc vajadzības</w:t>
            </w:r>
          </w:p>
        </w:tc>
        <w:tc>
          <w:tcPr>
            <w:tcW w:w="810" w:type="dxa"/>
            <w:tcBorders>
              <w:top w:val="nil"/>
              <w:left w:val="single" w:sz="4" w:space="0" w:color="auto"/>
              <w:bottom w:val="single" w:sz="4" w:space="0" w:color="auto"/>
              <w:right w:val="single" w:sz="4" w:space="0" w:color="auto"/>
            </w:tcBorders>
          </w:tcPr>
          <w:p w14:paraId="749AFF27" w14:textId="77777777" w:rsidR="00223B65" w:rsidRPr="002C1697" w:rsidRDefault="00223B65" w:rsidP="0027233E">
            <w:pPr>
              <w:spacing w:line="240" w:lineRule="auto"/>
              <w:ind w:right="-2"/>
              <w:jc w:val="center"/>
              <w:rPr>
                <w:color w:val="000000"/>
                <w:sz w:val="20"/>
              </w:rPr>
            </w:pPr>
            <w:r w:rsidRPr="002C1697">
              <w:rPr>
                <w:color w:val="000000"/>
                <w:sz w:val="20"/>
              </w:rPr>
              <w:t>1138</w:t>
            </w:r>
          </w:p>
        </w:tc>
        <w:tc>
          <w:tcPr>
            <w:tcW w:w="981" w:type="dxa"/>
            <w:tcBorders>
              <w:top w:val="nil"/>
              <w:left w:val="single" w:sz="4" w:space="0" w:color="auto"/>
              <w:bottom w:val="single" w:sz="4" w:space="0" w:color="auto"/>
              <w:right w:val="nil"/>
            </w:tcBorders>
          </w:tcPr>
          <w:p w14:paraId="749AFF28" w14:textId="77777777" w:rsidR="00223B65" w:rsidRPr="002C1697" w:rsidRDefault="00223B65" w:rsidP="0027233E">
            <w:pPr>
              <w:spacing w:line="240" w:lineRule="auto"/>
              <w:ind w:right="-2"/>
              <w:jc w:val="center"/>
              <w:rPr>
                <w:color w:val="000000"/>
                <w:sz w:val="20"/>
              </w:rPr>
            </w:pPr>
            <w:r w:rsidRPr="002C1697">
              <w:rPr>
                <w:color w:val="000000"/>
                <w:sz w:val="20"/>
              </w:rPr>
              <w:t>377</w:t>
            </w:r>
          </w:p>
        </w:tc>
        <w:tc>
          <w:tcPr>
            <w:tcW w:w="1555" w:type="dxa"/>
            <w:gridSpan w:val="2"/>
            <w:tcBorders>
              <w:top w:val="nil"/>
              <w:left w:val="nil"/>
              <w:bottom w:val="single" w:sz="4" w:space="0" w:color="auto"/>
              <w:right w:val="nil"/>
            </w:tcBorders>
          </w:tcPr>
          <w:p w14:paraId="749AFF29" w14:textId="77777777" w:rsidR="00223B65" w:rsidRPr="002C1697" w:rsidRDefault="00223B65" w:rsidP="0027233E">
            <w:pPr>
              <w:spacing w:line="240" w:lineRule="auto"/>
              <w:ind w:right="-2"/>
              <w:jc w:val="center"/>
              <w:rPr>
                <w:color w:val="000000"/>
                <w:sz w:val="20"/>
              </w:rPr>
            </w:pPr>
            <w:r w:rsidRPr="002C1697">
              <w:rPr>
                <w:color w:val="000000"/>
                <w:sz w:val="20"/>
              </w:rPr>
              <w:t>0,37</w:t>
            </w:r>
          </w:p>
        </w:tc>
      </w:tr>
    </w:tbl>
    <w:p w14:paraId="749AFF2B" w14:textId="77777777" w:rsidR="00223B65" w:rsidRPr="002C1697" w:rsidRDefault="00223B65" w:rsidP="00223B65">
      <w:pPr>
        <w:spacing w:line="240" w:lineRule="auto"/>
        <w:ind w:left="567" w:right="-2" w:hanging="567"/>
        <w:rPr>
          <w:color w:val="000000"/>
          <w:szCs w:val="22"/>
        </w:rPr>
      </w:pPr>
      <w:r w:rsidRPr="002C1697">
        <w:rPr>
          <w:color w:val="000000"/>
          <w:szCs w:val="22"/>
          <w:vertAlign w:val="superscript"/>
        </w:rPr>
        <w:t>a</w:t>
      </w:r>
      <w:r w:rsidRPr="002C1697">
        <w:rPr>
          <w:color w:val="000000"/>
          <w:szCs w:val="22"/>
        </w:rPr>
        <w:tab/>
        <w:t>hospitalizācija/ārstēšana neatliekamās palīdzības nodaļā vai ārstēšana ar perorāli lietojamiem steroīdiem</w:t>
      </w:r>
    </w:p>
    <w:p w14:paraId="749AFF2C" w14:textId="77777777" w:rsidR="00223B65" w:rsidRPr="002C1697" w:rsidRDefault="00223B65" w:rsidP="00223B65">
      <w:pPr>
        <w:spacing w:line="240" w:lineRule="auto"/>
        <w:ind w:left="567" w:right="-2" w:hanging="567"/>
        <w:rPr>
          <w:color w:val="000000"/>
          <w:szCs w:val="22"/>
        </w:rPr>
      </w:pPr>
      <w:r w:rsidRPr="002C1697">
        <w:rPr>
          <w:color w:val="000000"/>
          <w:szCs w:val="22"/>
          <w:vertAlign w:val="superscript"/>
        </w:rPr>
        <w:t>b</w:t>
      </w:r>
      <w:r w:rsidRPr="002C1697">
        <w:rPr>
          <w:color w:val="000000"/>
          <w:szCs w:val="22"/>
        </w:rPr>
        <w:tab/>
        <w:t xml:space="preserve">paasinājumu biežuma samazināšanās ir statistiski nozīmīga (P </w:t>
      </w:r>
      <w:r>
        <w:rPr>
          <w:color w:val="000000"/>
          <w:szCs w:val="22"/>
        </w:rPr>
        <w:t>vērtība &lt; </w:t>
      </w:r>
      <w:r w:rsidRPr="002C1697">
        <w:rPr>
          <w:color w:val="000000"/>
          <w:szCs w:val="22"/>
        </w:rPr>
        <w:t>0,01) abiem salīdzināmiem rādītājiem</w:t>
      </w:r>
    </w:p>
    <w:p w14:paraId="749AFF2D" w14:textId="77777777" w:rsidR="00223B65" w:rsidRPr="002C1697" w:rsidRDefault="00223B65" w:rsidP="00223B65">
      <w:pPr>
        <w:spacing w:line="240" w:lineRule="auto"/>
        <w:ind w:right="-2"/>
        <w:rPr>
          <w:color w:val="000000"/>
          <w:szCs w:val="22"/>
        </w:rPr>
      </w:pPr>
    </w:p>
    <w:p w14:paraId="749AFF2E" w14:textId="77777777" w:rsidR="007C3A65" w:rsidRDefault="007C3A65" w:rsidP="00223B65">
      <w:pPr>
        <w:spacing w:line="240" w:lineRule="auto"/>
        <w:ind w:right="-2"/>
        <w:rPr>
          <w:snapToGrid w:val="0"/>
          <w:szCs w:val="22"/>
        </w:rPr>
      </w:pPr>
      <w:r>
        <w:rPr>
          <w:snapToGrid w:val="0"/>
          <w:szCs w:val="22"/>
        </w:rPr>
        <w:lastRenderedPageBreak/>
        <w:t>6 dubultmaskētos pētījumos, kur piedalījās pusaudži un pieaugušie, efektivitāte un drošums bija līdzīgi kā augstāk minētajos 5 pētījumos un papildus pētījumā, kurā saņēma augstāku pamata terapijas devu 160/4,5 mikrogrami/inhalācijā divas reizes dienā. Šie novērtējumi balstījās, izvērtējot 14 385 astmas pacientus, no kuriem 1847 bija pusaudži. Pusaudžu pacientu skaits, kuri saņēma pamata terapijas un simptomu novēršanas terapiju vairāk kā 8 inhalācijas vismaz vienu dienu, bija limitēts un šāda lietošana bija reti.</w:t>
      </w:r>
    </w:p>
    <w:p w14:paraId="749AFF2F" w14:textId="77777777" w:rsidR="007C3A65" w:rsidRDefault="007C3A65" w:rsidP="00223B65">
      <w:pPr>
        <w:spacing w:line="240" w:lineRule="auto"/>
        <w:ind w:right="-2"/>
        <w:rPr>
          <w:snapToGrid w:val="0"/>
          <w:szCs w:val="22"/>
        </w:rPr>
      </w:pPr>
    </w:p>
    <w:p w14:paraId="749AFF30" w14:textId="77777777" w:rsidR="00223B65" w:rsidRPr="00F603D3" w:rsidRDefault="00223B65" w:rsidP="00223B65">
      <w:pPr>
        <w:spacing w:line="240" w:lineRule="auto"/>
        <w:ind w:right="-2"/>
        <w:rPr>
          <w:color w:val="000000"/>
          <w:szCs w:val="22"/>
        </w:rPr>
      </w:pPr>
      <w:r w:rsidRPr="002C1697">
        <w:rPr>
          <w:color w:val="000000"/>
          <w:szCs w:val="22"/>
        </w:rPr>
        <w:t>Divos citos pētījumos ar pacientiem, kuriem bija nepieciešama medicīniskā palīdzība akūtu astmas simptomu dēļ, budezonīds/formoterols nodrošināja ātru un efektīvu palīdzību bronhokonstrikcijas gadījumā līdzīgi salbutamolam un formoterolam.</w:t>
      </w:r>
    </w:p>
    <w:p w14:paraId="749AFF31" w14:textId="77777777" w:rsidR="00223B65" w:rsidRDefault="00223B65" w:rsidP="00223B65">
      <w:pPr>
        <w:tabs>
          <w:tab w:val="clear" w:pos="567"/>
        </w:tabs>
        <w:spacing w:line="240" w:lineRule="auto"/>
        <w:rPr>
          <w:szCs w:val="22"/>
        </w:rPr>
      </w:pPr>
    </w:p>
    <w:p w14:paraId="749AFF32" w14:textId="77777777" w:rsidR="00223B65" w:rsidRPr="00AF25A6" w:rsidRDefault="00223B65" w:rsidP="00223B65">
      <w:pPr>
        <w:keepNext/>
        <w:tabs>
          <w:tab w:val="clear" w:pos="567"/>
        </w:tabs>
        <w:spacing w:line="240" w:lineRule="auto"/>
        <w:ind w:left="567" w:hanging="567"/>
        <w:rPr>
          <w:b/>
          <w:szCs w:val="22"/>
        </w:rPr>
      </w:pPr>
      <w:r w:rsidRPr="00AF25A6">
        <w:rPr>
          <w:b/>
          <w:szCs w:val="22"/>
        </w:rPr>
        <w:t>5.2.</w:t>
      </w:r>
      <w:r w:rsidRPr="00AF25A6">
        <w:rPr>
          <w:b/>
          <w:szCs w:val="22"/>
        </w:rPr>
        <w:tab/>
        <w:t>Farmakokinētiskās īpašības</w:t>
      </w:r>
    </w:p>
    <w:p w14:paraId="749AFF33" w14:textId="77777777" w:rsidR="00223B65" w:rsidRPr="00AF25A6" w:rsidRDefault="00223B65" w:rsidP="00223B65">
      <w:pPr>
        <w:keepNext/>
        <w:tabs>
          <w:tab w:val="clear" w:pos="567"/>
        </w:tabs>
        <w:spacing w:line="240" w:lineRule="auto"/>
        <w:rPr>
          <w:szCs w:val="22"/>
        </w:rPr>
      </w:pPr>
    </w:p>
    <w:p w14:paraId="749AFF34" w14:textId="77777777" w:rsidR="00223B65" w:rsidRPr="009C647B" w:rsidRDefault="00223B65" w:rsidP="00223B65">
      <w:pPr>
        <w:keepNext/>
        <w:tabs>
          <w:tab w:val="clear" w:pos="567"/>
        </w:tabs>
        <w:spacing w:line="240" w:lineRule="auto"/>
        <w:rPr>
          <w:szCs w:val="22"/>
          <w:u w:val="single"/>
        </w:rPr>
      </w:pPr>
      <w:r w:rsidRPr="009C647B">
        <w:rPr>
          <w:szCs w:val="22"/>
          <w:u w:val="single"/>
        </w:rPr>
        <w:t>Uzsūkšanās</w:t>
      </w:r>
    </w:p>
    <w:p w14:paraId="749AFF35" w14:textId="77777777" w:rsidR="00223B65" w:rsidRPr="00AF25A6" w:rsidRDefault="00223B65" w:rsidP="00223B65">
      <w:pPr>
        <w:tabs>
          <w:tab w:val="clear" w:pos="567"/>
        </w:tabs>
        <w:spacing w:line="240" w:lineRule="auto"/>
        <w:rPr>
          <w:szCs w:val="22"/>
        </w:rPr>
      </w:pPr>
      <w:r w:rsidRPr="00AF25A6">
        <w:rPr>
          <w:szCs w:val="22"/>
        </w:rPr>
        <w:t xml:space="preserve">Pierādīts, ka </w:t>
      </w:r>
      <w:r w:rsidRPr="00AF25A6">
        <w:rPr>
          <w:bCs/>
          <w:iCs/>
          <w:szCs w:val="22"/>
        </w:rPr>
        <w:t xml:space="preserve">Bufomix Easyhaler un Symbicort Turbuhaler </w:t>
      </w:r>
      <w:r w:rsidRPr="00AF25A6">
        <w:rPr>
          <w:szCs w:val="22"/>
        </w:rPr>
        <w:t xml:space="preserve">budezonīda un formoterola fiksētās devas kombinācija ir bioloģiski vienāda attiecībā uz kopējo sistēmisko iedarbību un iedarbību caur plaušām. Pierādīts, ka </w:t>
      </w:r>
      <w:r w:rsidRPr="00AF25A6">
        <w:rPr>
          <w:bCs/>
          <w:iCs/>
          <w:szCs w:val="22"/>
        </w:rPr>
        <w:t xml:space="preserve">Symbicort Turbuhaler </w:t>
      </w:r>
      <w:r w:rsidRPr="00AF25A6">
        <w:rPr>
          <w:szCs w:val="22"/>
        </w:rPr>
        <w:t>budezonīda un formoterola fiksētās devas kombinācija un atbilstošās atsevišķās vielas ir bioloģiski vienādas attiecībā uz budezonīda un formoterola sistēmiskuiedarbību. Neskatoties uz to, pēc fiksētās kombinācijas lietošanas novēroja nedaudz izteiktāku kortizola supresiju, salīdzinot ar atsevišķu vielu lietošanu. Uzskata, ka šī atšķirība neietekmē klīnisko drošumu.</w:t>
      </w:r>
    </w:p>
    <w:p w14:paraId="749AFF36" w14:textId="77777777" w:rsidR="00223B65" w:rsidRPr="00AF25A6" w:rsidRDefault="00223B65" w:rsidP="00223B65">
      <w:pPr>
        <w:tabs>
          <w:tab w:val="clear" w:pos="567"/>
        </w:tabs>
        <w:spacing w:line="240" w:lineRule="auto"/>
        <w:rPr>
          <w:szCs w:val="22"/>
        </w:rPr>
      </w:pPr>
    </w:p>
    <w:p w14:paraId="749AFF37" w14:textId="77777777" w:rsidR="00223B65" w:rsidRPr="00AF25A6" w:rsidRDefault="00223B65" w:rsidP="00223B65">
      <w:pPr>
        <w:tabs>
          <w:tab w:val="clear" w:pos="567"/>
        </w:tabs>
        <w:spacing w:line="240" w:lineRule="auto"/>
        <w:rPr>
          <w:szCs w:val="22"/>
        </w:rPr>
      </w:pPr>
      <w:r w:rsidRPr="00AF25A6">
        <w:rPr>
          <w:szCs w:val="22"/>
        </w:rPr>
        <w:t>Netika konstatēta farmakokinētiska mijiedarbība starp budezonīdu un formoterolu.</w:t>
      </w:r>
    </w:p>
    <w:p w14:paraId="749AFF38" w14:textId="77777777" w:rsidR="00223B65" w:rsidRPr="00AF25A6" w:rsidRDefault="00223B65" w:rsidP="00223B65">
      <w:pPr>
        <w:tabs>
          <w:tab w:val="clear" w:pos="567"/>
        </w:tabs>
        <w:spacing w:line="240" w:lineRule="auto"/>
        <w:rPr>
          <w:szCs w:val="22"/>
        </w:rPr>
      </w:pPr>
    </w:p>
    <w:p w14:paraId="749AFF39" w14:textId="77777777" w:rsidR="00223B65" w:rsidRPr="00AF25A6" w:rsidRDefault="00223B65" w:rsidP="00223B65">
      <w:pPr>
        <w:tabs>
          <w:tab w:val="clear" w:pos="567"/>
        </w:tabs>
        <w:spacing w:line="240" w:lineRule="auto"/>
        <w:rPr>
          <w:szCs w:val="22"/>
        </w:rPr>
      </w:pPr>
      <w:r w:rsidRPr="00AF25A6">
        <w:rPr>
          <w:szCs w:val="22"/>
        </w:rPr>
        <w:t>Attiecīgo vielu farmakokinētiskie raksturlielumi bija līdzīgi pēc budezonīda un formoterola lietošanas atsevišķu vielu veidā vai fiksētas kombinācijas veidā. Pēc fiksētās kombinācijas lietošanas budezonīda AUC (laukums zem līknes) bija nedaudz lielāks, uzsūkšanās ātrāka un maksimālā koncentrācija plazmā augstāka. Formoterola maksimālā koncentrācija plazmā bija līdzīga pēc fiksētās kombinācijas lietošanas. Inhalēts budezonīds ātri uzsūcas un maksimālā koncentrācija plazmā tiek sasniegta 30 minūšu laikā pēc inhalācijas. Pētījumos budezonīda vidējā uzkrāšanās plaušās pēc inhalēšanas caur pulverinhalatoru bija 32-44% no inhalētās devas. Sistēmiskā bioloģiskā pieejamība ir apmēram 49% no inhalētās devas. 6-16 gadus veciem bērniem plaušu depozīcija tika novērota tādā pašā intervālā kā pieaugušajiem, lietojot vienādas devas, bet koncentrācija plazmā netika noteikta.</w:t>
      </w:r>
    </w:p>
    <w:p w14:paraId="749AFF3A" w14:textId="77777777" w:rsidR="00223B65" w:rsidRPr="00AF25A6" w:rsidRDefault="00223B65" w:rsidP="00223B65">
      <w:pPr>
        <w:tabs>
          <w:tab w:val="clear" w:pos="567"/>
        </w:tabs>
        <w:spacing w:line="240" w:lineRule="auto"/>
        <w:rPr>
          <w:szCs w:val="22"/>
        </w:rPr>
      </w:pPr>
    </w:p>
    <w:p w14:paraId="749AFF3B" w14:textId="77777777" w:rsidR="00223B65" w:rsidRPr="00AF25A6" w:rsidRDefault="00223B65" w:rsidP="00223B65">
      <w:pPr>
        <w:tabs>
          <w:tab w:val="clear" w:pos="567"/>
        </w:tabs>
        <w:spacing w:line="240" w:lineRule="auto"/>
        <w:rPr>
          <w:szCs w:val="22"/>
        </w:rPr>
      </w:pPr>
      <w:r w:rsidRPr="00AF25A6">
        <w:rPr>
          <w:szCs w:val="22"/>
        </w:rPr>
        <w:t>Inhalētais formoterols ātri uzsūcas, un maksimālā koncentrācija plazmā tiek sasniegta 10 minūšu laikā pēc inhalācijas. Pētījumos formoterola vidējā uzkrāšanās plaušās pēc inhalēšanas caur pulverinhalatoru bija 28-49% no inhalētās devas. Sistēmiskā bioloģiskā pieejamība ir apmēram 61% no inhalētās devas.</w:t>
      </w:r>
      <w:r w:rsidRPr="00AF25A6">
        <w:rPr>
          <w:szCs w:val="22"/>
        </w:rPr>
        <w:cr/>
      </w:r>
    </w:p>
    <w:p w14:paraId="749AFF3C" w14:textId="77777777" w:rsidR="00223B65" w:rsidRPr="009C647B" w:rsidRDefault="00223B65" w:rsidP="00223B65">
      <w:pPr>
        <w:keepNext/>
        <w:tabs>
          <w:tab w:val="clear" w:pos="567"/>
        </w:tabs>
        <w:spacing w:line="240" w:lineRule="auto"/>
        <w:rPr>
          <w:szCs w:val="22"/>
          <w:u w:val="single"/>
        </w:rPr>
      </w:pPr>
      <w:r w:rsidRPr="009C647B">
        <w:rPr>
          <w:szCs w:val="22"/>
          <w:u w:val="single"/>
        </w:rPr>
        <w:t>Izkliede un biotransformācija</w:t>
      </w:r>
    </w:p>
    <w:p w14:paraId="749AFF3D" w14:textId="77777777" w:rsidR="00223B65" w:rsidRPr="00AF25A6" w:rsidRDefault="00223B65" w:rsidP="00223B65">
      <w:pPr>
        <w:tabs>
          <w:tab w:val="clear" w:pos="567"/>
        </w:tabs>
        <w:spacing w:line="240" w:lineRule="auto"/>
        <w:rPr>
          <w:szCs w:val="22"/>
        </w:rPr>
      </w:pPr>
      <w:r w:rsidRPr="00AF25A6">
        <w:rPr>
          <w:szCs w:val="22"/>
        </w:rPr>
        <w:t xml:space="preserve">Apmēram 50% formoterola un apmēram 90% budezonīda saistās ar plazmas olbaltumiem. Formoterola izkliedes tilpums ir apmēram 4 l/kg, budezonīda izkliedes tilpums ir apmēram 3 l/kg. Formoterols tiek inaktivēts ar konjugācijas reakcijām (veidojas aktīvi O-demetilēti un deformilēti metabolīti, bet tie atrodami galvenokārt neaktīvu savienojumu veidā). Budezonīds tiek pakļauts izteiktai (apmēram 90%) pirmā loka biotransformācijai aknās par metabolītiem, kam ir zema </w:t>
      </w:r>
      <w:r w:rsidRPr="00FC31D5">
        <w:rPr>
          <w:szCs w:val="22"/>
        </w:rPr>
        <w:t>glikokortikosteroīdu aktivitāte. Nozīmīgāko metabolītu, 6-bēta-hidroksi-budezonīda un 16-alfa-</w:t>
      </w:r>
      <w:r w:rsidRPr="00AF25A6">
        <w:rPr>
          <w:szCs w:val="22"/>
        </w:rPr>
        <w:t>hidroksi-prednizolona, glikokortikosteroīdu aktivitāte ir mazāk nekā 1% no budezonīda aktivitātes. Nav norādījumu par metabolisku mijiedarbību vai aizstāšanas reakcijām starp formoterolu un budezonīdu.</w:t>
      </w:r>
      <w:r w:rsidRPr="00AF25A6">
        <w:rPr>
          <w:szCs w:val="22"/>
        </w:rPr>
        <w:cr/>
      </w:r>
    </w:p>
    <w:p w14:paraId="749AFF3E" w14:textId="77777777" w:rsidR="00223B65" w:rsidRPr="009C647B" w:rsidRDefault="00223B65" w:rsidP="00223B65">
      <w:pPr>
        <w:keepNext/>
        <w:tabs>
          <w:tab w:val="clear" w:pos="567"/>
        </w:tabs>
        <w:spacing w:line="240" w:lineRule="auto"/>
        <w:rPr>
          <w:szCs w:val="22"/>
          <w:u w:val="single"/>
        </w:rPr>
      </w:pPr>
      <w:r w:rsidRPr="009C647B">
        <w:rPr>
          <w:szCs w:val="22"/>
          <w:u w:val="single"/>
        </w:rPr>
        <w:t>Eliminācija</w:t>
      </w:r>
    </w:p>
    <w:p w14:paraId="749AFF3F" w14:textId="77777777" w:rsidR="00223B65" w:rsidRPr="00AF25A6" w:rsidRDefault="00223B65" w:rsidP="00223B65">
      <w:pPr>
        <w:tabs>
          <w:tab w:val="clear" w:pos="567"/>
        </w:tabs>
        <w:spacing w:line="240" w:lineRule="auto"/>
        <w:rPr>
          <w:szCs w:val="22"/>
        </w:rPr>
      </w:pPr>
      <w:r w:rsidRPr="00AF25A6">
        <w:rPr>
          <w:szCs w:val="22"/>
        </w:rPr>
        <w:t xml:space="preserve">Lielākā formoterola devas daļa tiek pārveidota aknās un izvadīta caur nierēm. Pēc inhalēšanas 8-13% inhalētās formoterola devas izdalās nemainītā veidā ar urīnu. Formoterolam ir augsts </w:t>
      </w:r>
      <w:r w:rsidRPr="00AF25A6">
        <w:rPr>
          <w:szCs w:val="22"/>
        </w:rPr>
        <w:lastRenderedPageBreak/>
        <w:t>sistēmiskais klīrenss (apmēram 1,4 l/min), un terminālais eliminācijas pusperiods vidēji ir 17 stundas.</w:t>
      </w:r>
    </w:p>
    <w:p w14:paraId="749AFF40" w14:textId="77777777" w:rsidR="00223B65" w:rsidRPr="00AF25A6" w:rsidRDefault="00223B65" w:rsidP="00223B65">
      <w:pPr>
        <w:tabs>
          <w:tab w:val="clear" w:pos="567"/>
        </w:tabs>
        <w:spacing w:line="240" w:lineRule="auto"/>
        <w:rPr>
          <w:szCs w:val="22"/>
        </w:rPr>
      </w:pPr>
    </w:p>
    <w:p w14:paraId="749AFF41" w14:textId="77777777" w:rsidR="00223B65" w:rsidRPr="00AF25A6" w:rsidRDefault="00223B65" w:rsidP="00223B65">
      <w:pPr>
        <w:tabs>
          <w:tab w:val="clear" w:pos="567"/>
        </w:tabs>
        <w:spacing w:line="240" w:lineRule="auto"/>
        <w:rPr>
          <w:szCs w:val="22"/>
        </w:rPr>
      </w:pPr>
      <w:r w:rsidRPr="00AF25A6">
        <w:rPr>
          <w:szCs w:val="22"/>
        </w:rPr>
        <w:t xml:space="preserve">Budezonīda eliminācija notiek metabolizējoties, galvenokārt ar enzīma CYP3A4 palīdzību. Budezonīda metabolīti izdalās ar urīnu brīvā veidā vai savienojumu formā. Urīnā budezonīds nemainītā veidā konstatēts tikai niecīgā daudzumā. Budezonīdam ir augsts sistēmiskais klīrenss (apmēram 1,2 l/min), un plazmas eliminācijas pusperiods pēc </w:t>
      </w:r>
      <w:r w:rsidR="007065F9">
        <w:rPr>
          <w:szCs w:val="22"/>
        </w:rPr>
        <w:t>i/v</w:t>
      </w:r>
      <w:r w:rsidRPr="00AF25A6">
        <w:rPr>
          <w:szCs w:val="22"/>
        </w:rPr>
        <w:t xml:space="preserve"> ievadīšanas vidēji ir 4 stundas.</w:t>
      </w:r>
    </w:p>
    <w:p w14:paraId="749AFF42" w14:textId="77777777" w:rsidR="00223B65" w:rsidRPr="00AF25A6" w:rsidRDefault="00223B65" w:rsidP="00223B65">
      <w:pPr>
        <w:tabs>
          <w:tab w:val="clear" w:pos="567"/>
        </w:tabs>
        <w:spacing w:line="240" w:lineRule="auto"/>
        <w:rPr>
          <w:szCs w:val="22"/>
        </w:rPr>
      </w:pPr>
    </w:p>
    <w:p w14:paraId="749AFF43" w14:textId="77777777" w:rsidR="00223B65" w:rsidRDefault="007C3A65" w:rsidP="00223B65">
      <w:pPr>
        <w:tabs>
          <w:tab w:val="clear" w:pos="567"/>
        </w:tabs>
        <w:spacing w:line="240" w:lineRule="auto"/>
        <w:rPr>
          <w:szCs w:val="22"/>
        </w:rPr>
      </w:pPr>
      <w:r>
        <w:rPr>
          <w:snapToGrid w:val="0"/>
          <w:szCs w:val="22"/>
        </w:rPr>
        <w:t>Budezonīda un formoterola farmakokinētika bērniem un pacientiem ar nieru mazspēju nav zināma</w:t>
      </w:r>
      <w:r w:rsidR="00223B65" w:rsidRPr="00AF25A6">
        <w:rPr>
          <w:szCs w:val="22"/>
        </w:rPr>
        <w:t>. Budezonīda un formoterola iedarbība pacientiem ar aknu slimību var būt pastiprināta.</w:t>
      </w:r>
    </w:p>
    <w:p w14:paraId="749AFF44" w14:textId="77777777" w:rsidR="00223B65" w:rsidRDefault="00223B65" w:rsidP="00223B65">
      <w:pPr>
        <w:tabs>
          <w:tab w:val="clear" w:pos="567"/>
        </w:tabs>
        <w:spacing w:line="240" w:lineRule="auto"/>
        <w:rPr>
          <w:szCs w:val="22"/>
        </w:rPr>
      </w:pPr>
    </w:p>
    <w:p w14:paraId="749AFF45" w14:textId="77777777" w:rsidR="00223B65" w:rsidRPr="009C647B" w:rsidRDefault="00223B65" w:rsidP="00223B65">
      <w:pPr>
        <w:keepNext/>
        <w:tabs>
          <w:tab w:val="clear" w:pos="567"/>
        </w:tabs>
        <w:spacing w:line="240" w:lineRule="auto"/>
        <w:rPr>
          <w:szCs w:val="22"/>
          <w:u w:val="single"/>
        </w:rPr>
      </w:pPr>
      <w:r w:rsidRPr="009C647B">
        <w:rPr>
          <w:szCs w:val="22"/>
          <w:u w:val="single"/>
        </w:rPr>
        <w:t>Linearitāte/nelinearitāte</w:t>
      </w:r>
    </w:p>
    <w:p w14:paraId="749AFF46" w14:textId="77777777" w:rsidR="00223B65" w:rsidRPr="00AF25A6" w:rsidRDefault="00223B65" w:rsidP="00223B65">
      <w:pPr>
        <w:tabs>
          <w:tab w:val="clear" w:pos="567"/>
        </w:tabs>
        <w:spacing w:line="240" w:lineRule="auto"/>
        <w:rPr>
          <w:szCs w:val="22"/>
        </w:rPr>
      </w:pPr>
      <w:r>
        <w:rPr>
          <w:szCs w:val="22"/>
        </w:rPr>
        <w:t>Gan budezonīda, gan formoterola sistēmiskā iedarbība lineāri korelē ar lietoto devu.</w:t>
      </w:r>
    </w:p>
    <w:p w14:paraId="749AFF47" w14:textId="77777777" w:rsidR="00223B65" w:rsidRPr="00AF25A6" w:rsidRDefault="00223B65" w:rsidP="00223B65">
      <w:pPr>
        <w:tabs>
          <w:tab w:val="clear" w:pos="567"/>
        </w:tabs>
        <w:spacing w:line="240" w:lineRule="auto"/>
        <w:rPr>
          <w:szCs w:val="22"/>
        </w:rPr>
      </w:pPr>
    </w:p>
    <w:p w14:paraId="749AFF48" w14:textId="77777777" w:rsidR="00223B65" w:rsidRPr="00AF25A6" w:rsidRDefault="00223B65" w:rsidP="00223B65">
      <w:pPr>
        <w:keepNext/>
        <w:tabs>
          <w:tab w:val="clear" w:pos="567"/>
        </w:tabs>
        <w:spacing w:line="240" w:lineRule="auto"/>
        <w:rPr>
          <w:szCs w:val="22"/>
        </w:rPr>
      </w:pPr>
      <w:r w:rsidRPr="00AF25A6">
        <w:rPr>
          <w:b/>
          <w:szCs w:val="22"/>
        </w:rPr>
        <w:t>5.3.</w:t>
      </w:r>
      <w:r w:rsidRPr="00AF25A6">
        <w:rPr>
          <w:b/>
          <w:szCs w:val="22"/>
        </w:rPr>
        <w:tab/>
        <w:t>Preklīniskie dati par drošumu</w:t>
      </w:r>
    </w:p>
    <w:p w14:paraId="749AFF49" w14:textId="77777777" w:rsidR="00223B65" w:rsidRPr="00AF25A6" w:rsidRDefault="00223B65" w:rsidP="00223B65">
      <w:pPr>
        <w:keepNext/>
        <w:tabs>
          <w:tab w:val="clear" w:pos="567"/>
        </w:tabs>
        <w:spacing w:line="240" w:lineRule="auto"/>
        <w:rPr>
          <w:szCs w:val="22"/>
        </w:rPr>
      </w:pPr>
    </w:p>
    <w:p w14:paraId="749AFF4A" w14:textId="77777777" w:rsidR="00223B65" w:rsidRPr="00AF25A6" w:rsidRDefault="00223B65" w:rsidP="00223B65">
      <w:pPr>
        <w:tabs>
          <w:tab w:val="clear" w:pos="567"/>
        </w:tabs>
        <w:spacing w:line="240" w:lineRule="auto"/>
        <w:rPr>
          <w:szCs w:val="22"/>
        </w:rPr>
      </w:pPr>
      <w:r w:rsidRPr="00AF25A6">
        <w:rPr>
          <w:szCs w:val="22"/>
        </w:rPr>
        <w:t>Pētījumos ar dzīvniekiem novērotā budezonīda un formoterola toksicitāte, lietojot tos kombinācijā vai atsevišķi, bija saistīta ar pārmērīgu farmakoloģisko aktivitāti.</w:t>
      </w:r>
    </w:p>
    <w:p w14:paraId="749AFF4B" w14:textId="77777777" w:rsidR="00223B65" w:rsidRPr="00AF25A6" w:rsidRDefault="00223B65" w:rsidP="00223B65">
      <w:pPr>
        <w:tabs>
          <w:tab w:val="clear" w:pos="567"/>
        </w:tabs>
        <w:spacing w:line="240" w:lineRule="auto"/>
        <w:rPr>
          <w:szCs w:val="22"/>
        </w:rPr>
      </w:pPr>
    </w:p>
    <w:p w14:paraId="749AFF4C" w14:textId="77777777" w:rsidR="00223B65" w:rsidRPr="00AF25A6" w:rsidRDefault="00223B65" w:rsidP="00223B65">
      <w:pPr>
        <w:tabs>
          <w:tab w:val="clear" w:pos="567"/>
        </w:tabs>
        <w:spacing w:line="240" w:lineRule="auto"/>
        <w:rPr>
          <w:szCs w:val="22"/>
        </w:rPr>
      </w:pPr>
      <w:r w:rsidRPr="00AF25A6">
        <w:rPr>
          <w:szCs w:val="22"/>
        </w:rPr>
        <w:t xml:space="preserve">Dzīvnieku reproduktivitātes pētījumos pierādīts, ka kortikosteroīdi, piemēram, budezonīds, izraisa anomālijas (aukslēju šķeltni, skeleta anomālijas). Tomēr šie eksperimentāli ar dzīvniekiem iegūtie </w:t>
      </w:r>
      <w:r w:rsidRPr="00FC31D5">
        <w:rPr>
          <w:szCs w:val="22"/>
        </w:rPr>
        <w:t>rezultāti nav attiecināmi uz zāļu lietošanu cilvēkam ieteiktās devās. Dzīvnieku reproduktivitātes</w:t>
      </w:r>
      <w:r w:rsidRPr="00AF25A6">
        <w:rPr>
          <w:szCs w:val="22"/>
        </w:rPr>
        <w:t xml:space="preserve"> pētījumos ar formoterolu konstatēta neliela auglības mazināšanās žurku tēviņiem, pakļaujot tos izteiktai</w:t>
      </w:r>
      <w:r w:rsidR="008904E5">
        <w:rPr>
          <w:szCs w:val="22"/>
        </w:rPr>
        <w:t> </w:t>
      </w:r>
      <w:r w:rsidRPr="00AF25A6">
        <w:rPr>
          <w:szCs w:val="22"/>
        </w:rPr>
        <w:t>sistēmiskai iedarbībai, un implantācijas traucējumi, kā arī samazināta agrīnā izdzīvošana pēc dzimšanas un samazināta dzimšanas masa, pakļaujot žurkas ievērojami lielākai sistēmiskai iedarbībai</w:t>
      </w:r>
      <w:r w:rsidR="00740BCD">
        <w:rPr>
          <w:szCs w:val="22"/>
        </w:rPr>
        <w:t>,</w:t>
      </w:r>
      <w:r w:rsidRPr="00AF25A6">
        <w:rPr>
          <w:szCs w:val="22"/>
        </w:rPr>
        <w:t xml:space="preserve"> nekā tiek sasniegta klīniskas lietošanas laikā. Tomēr šie eksperimentāli ar dzīvniekiem iegūtie rezultāti nav attiecināmi uz cilvēku.</w:t>
      </w:r>
    </w:p>
    <w:p w14:paraId="749AFF4D" w14:textId="77777777" w:rsidR="00223B65" w:rsidRPr="00AF25A6" w:rsidRDefault="00223B65" w:rsidP="00223B65">
      <w:pPr>
        <w:tabs>
          <w:tab w:val="clear" w:pos="567"/>
        </w:tabs>
        <w:spacing w:line="240" w:lineRule="auto"/>
        <w:rPr>
          <w:szCs w:val="22"/>
        </w:rPr>
      </w:pPr>
    </w:p>
    <w:p w14:paraId="749AFF4E" w14:textId="77777777" w:rsidR="00223B65" w:rsidRPr="00AF25A6" w:rsidRDefault="00223B65" w:rsidP="00223B65">
      <w:pPr>
        <w:tabs>
          <w:tab w:val="clear" w:pos="567"/>
        </w:tabs>
        <w:spacing w:line="240" w:lineRule="auto"/>
        <w:rPr>
          <w:szCs w:val="22"/>
        </w:rPr>
      </w:pPr>
    </w:p>
    <w:p w14:paraId="749AFF4F" w14:textId="77777777" w:rsidR="00223B65" w:rsidRPr="00AF25A6" w:rsidRDefault="00223B65" w:rsidP="00223B65">
      <w:pPr>
        <w:keepNext/>
        <w:tabs>
          <w:tab w:val="clear" w:pos="567"/>
        </w:tabs>
        <w:spacing w:line="240" w:lineRule="auto"/>
        <w:ind w:left="567" w:hanging="567"/>
        <w:rPr>
          <w:b/>
          <w:szCs w:val="22"/>
        </w:rPr>
      </w:pPr>
      <w:r w:rsidRPr="00AF25A6">
        <w:rPr>
          <w:b/>
          <w:szCs w:val="22"/>
        </w:rPr>
        <w:t>6.</w:t>
      </w:r>
      <w:r w:rsidRPr="00AF25A6">
        <w:rPr>
          <w:b/>
          <w:szCs w:val="22"/>
        </w:rPr>
        <w:tab/>
        <w:t>FARMACEITISKĀ INFORMĀCIJA</w:t>
      </w:r>
    </w:p>
    <w:p w14:paraId="749AFF50" w14:textId="77777777" w:rsidR="00223B65" w:rsidRPr="00AF25A6" w:rsidRDefault="00223B65" w:rsidP="00223B65">
      <w:pPr>
        <w:keepNext/>
        <w:tabs>
          <w:tab w:val="clear" w:pos="567"/>
        </w:tabs>
        <w:spacing w:line="240" w:lineRule="auto"/>
        <w:ind w:left="567" w:hanging="567"/>
        <w:rPr>
          <w:szCs w:val="22"/>
        </w:rPr>
      </w:pPr>
    </w:p>
    <w:p w14:paraId="749AFF51" w14:textId="77777777" w:rsidR="00223B65" w:rsidRPr="00AF25A6" w:rsidRDefault="00223B65" w:rsidP="00223B65">
      <w:pPr>
        <w:keepNext/>
        <w:tabs>
          <w:tab w:val="clear" w:pos="567"/>
        </w:tabs>
        <w:spacing w:line="240" w:lineRule="auto"/>
        <w:ind w:left="567" w:hanging="567"/>
        <w:rPr>
          <w:szCs w:val="22"/>
        </w:rPr>
      </w:pPr>
      <w:r w:rsidRPr="00AF25A6">
        <w:rPr>
          <w:b/>
          <w:szCs w:val="22"/>
        </w:rPr>
        <w:t>6.1.</w:t>
      </w:r>
      <w:r w:rsidRPr="00AF25A6">
        <w:rPr>
          <w:b/>
          <w:szCs w:val="22"/>
        </w:rPr>
        <w:tab/>
        <w:t>Palīgvielu saraksts</w:t>
      </w:r>
    </w:p>
    <w:p w14:paraId="749AFF52" w14:textId="77777777" w:rsidR="00223B65" w:rsidRPr="00AF25A6" w:rsidRDefault="00223B65" w:rsidP="00223B65">
      <w:pPr>
        <w:keepNext/>
        <w:tabs>
          <w:tab w:val="clear" w:pos="567"/>
        </w:tabs>
        <w:spacing w:line="240" w:lineRule="auto"/>
        <w:rPr>
          <w:szCs w:val="22"/>
        </w:rPr>
      </w:pPr>
    </w:p>
    <w:p w14:paraId="749AFF53" w14:textId="77777777" w:rsidR="00223B65" w:rsidRPr="00AF25A6" w:rsidRDefault="00223B65" w:rsidP="00223B65">
      <w:pPr>
        <w:tabs>
          <w:tab w:val="clear" w:pos="567"/>
        </w:tabs>
        <w:spacing w:line="240" w:lineRule="auto"/>
        <w:rPr>
          <w:szCs w:val="22"/>
        </w:rPr>
      </w:pPr>
      <w:r w:rsidRPr="00AF25A6">
        <w:rPr>
          <w:szCs w:val="22"/>
        </w:rPr>
        <w:t>Laktozes monohidrāts (satur piena proteīnus).</w:t>
      </w:r>
      <w:r w:rsidRPr="00AF25A6">
        <w:rPr>
          <w:szCs w:val="22"/>
        </w:rPr>
        <w:cr/>
      </w:r>
    </w:p>
    <w:p w14:paraId="749AFF54" w14:textId="77777777" w:rsidR="00223B65" w:rsidRPr="00AF25A6" w:rsidRDefault="00223B65" w:rsidP="00223B65">
      <w:pPr>
        <w:keepNext/>
        <w:tabs>
          <w:tab w:val="clear" w:pos="567"/>
        </w:tabs>
        <w:spacing w:line="240" w:lineRule="auto"/>
        <w:ind w:left="567" w:hanging="567"/>
        <w:rPr>
          <w:szCs w:val="22"/>
        </w:rPr>
      </w:pPr>
      <w:r w:rsidRPr="00AF25A6">
        <w:rPr>
          <w:b/>
          <w:szCs w:val="22"/>
        </w:rPr>
        <w:t>6.2.</w:t>
      </w:r>
      <w:r w:rsidRPr="00AF25A6">
        <w:rPr>
          <w:b/>
          <w:szCs w:val="22"/>
        </w:rPr>
        <w:tab/>
        <w:t>Nesaderība</w:t>
      </w:r>
    </w:p>
    <w:p w14:paraId="749AFF55" w14:textId="77777777" w:rsidR="00223B65" w:rsidRPr="00AF25A6" w:rsidRDefault="00223B65" w:rsidP="00223B65">
      <w:pPr>
        <w:keepNext/>
        <w:tabs>
          <w:tab w:val="clear" w:pos="567"/>
        </w:tabs>
        <w:spacing w:line="240" w:lineRule="auto"/>
        <w:rPr>
          <w:szCs w:val="22"/>
        </w:rPr>
      </w:pPr>
    </w:p>
    <w:p w14:paraId="749AFF56" w14:textId="77777777" w:rsidR="00223B65" w:rsidRPr="00AF25A6" w:rsidRDefault="00223B65" w:rsidP="00223B65">
      <w:pPr>
        <w:tabs>
          <w:tab w:val="clear" w:pos="567"/>
        </w:tabs>
        <w:spacing w:line="240" w:lineRule="auto"/>
        <w:rPr>
          <w:szCs w:val="22"/>
        </w:rPr>
      </w:pPr>
      <w:r w:rsidRPr="00AF25A6">
        <w:rPr>
          <w:szCs w:val="22"/>
        </w:rPr>
        <w:t>Nav piemērojama.</w:t>
      </w:r>
    </w:p>
    <w:p w14:paraId="749AFF57" w14:textId="77777777" w:rsidR="00223B65" w:rsidRPr="00AF25A6" w:rsidRDefault="00223B65" w:rsidP="00223B65">
      <w:pPr>
        <w:tabs>
          <w:tab w:val="clear" w:pos="567"/>
        </w:tabs>
        <w:spacing w:line="240" w:lineRule="auto"/>
        <w:rPr>
          <w:szCs w:val="22"/>
        </w:rPr>
      </w:pPr>
    </w:p>
    <w:p w14:paraId="749AFF58" w14:textId="77777777" w:rsidR="00223B65" w:rsidRPr="00AF25A6" w:rsidRDefault="00223B65" w:rsidP="00223B65">
      <w:pPr>
        <w:keepNext/>
        <w:tabs>
          <w:tab w:val="clear" w:pos="567"/>
        </w:tabs>
        <w:spacing w:line="240" w:lineRule="auto"/>
        <w:ind w:left="567" w:hanging="567"/>
        <w:rPr>
          <w:szCs w:val="22"/>
        </w:rPr>
      </w:pPr>
      <w:r w:rsidRPr="00AF25A6">
        <w:rPr>
          <w:b/>
          <w:szCs w:val="22"/>
        </w:rPr>
        <w:t>6.3.</w:t>
      </w:r>
      <w:r w:rsidRPr="00AF25A6">
        <w:rPr>
          <w:b/>
          <w:szCs w:val="22"/>
        </w:rPr>
        <w:tab/>
        <w:t>Uzglabāšanas laiks</w:t>
      </w:r>
    </w:p>
    <w:p w14:paraId="749AFF59" w14:textId="77777777" w:rsidR="00223B65" w:rsidRPr="00AF25A6" w:rsidRDefault="00223B65" w:rsidP="00223B65">
      <w:pPr>
        <w:keepNext/>
        <w:tabs>
          <w:tab w:val="clear" w:pos="567"/>
        </w:tabs>
        <w:spacing w:line="240" w:lineRule="auto"/>
        <w:rPr>
          <w:szCs w:val="22"/>
        </w:rPr>
      </w:pPr>
    </w:p>
    <w:p w14:paraId="749AFF5A" w14:textId="77777777" w:rsidR="00223B65" w:rsidRPr="00AF25A6" w:rsidRDefault="00223B65" w:rsidP="00223B65">
      <w:pPr>
        <w:tabs>
          <w:tab w:val="clear" w:pos="567"/>
        </w:tabs>
        <w:spacing w:line="240" w:lineRule="auto"/>
        <w:rPr>
          <w:szCs w:val="22"/>
        </w:rPr>
      </w:pPr>
      <w:r w:rsidRPr="00AF25A6">
        <w:rPr>
          <w:szCs w:val="22"/>
        </w:rPr>
        <w:t>Neatvērtā iepakojumā: 2 gadi.</w:t>
      </w:r>
    </w:p>
    <w:p w14:paraId="749AFF5B" w14:textId="77777777" w:rsidR="00223B65" w:rsidRPr="00AF25A6" w:rsidRDefault="00223B65" w:rsidP="00223B65">
      <w:pPr>
        <w:tabs>
          <w:tab w:val="clear" w:pos="567"/>
        </w:tabs>
        <w:spacing w:line="240" w:lineRule="auto"/>
        <w:rPr>
          <w:szCs w:val="22"/>
        </w:rPr>
      </w:pPr>
      <w:r w:rsidRPr="00AF25A6">
        <w:rPr>
          <w:szCs w:val="22"/>
        </w:rPr>
        <w:t>Pēc pirmās laminētā maisiņa atvēršanas: 4 mēneši. Uzglabāt temperatūrā līdz 25°C un sargāt no mitruma.</w:t>
      </w:r>
    </w:p>
    <w:p w14:paraId="749AFF5C" w14:textId="77777777" w:rsidR="00223B65" w:rsidRPr="00AF25A6" w:rsidRDefault="00223B65" w:rsidP="00223B65">
      <w:pPr>
        <w:tabs>
          <w:tab w:val="clear" w:pos="567"/>
        </w:tabs>
        <w:spacing w:line="240" w:lineRule="auto"/>
        <w:rPr>
          <w:szCs w:val="22"/>
        </w:rPr>
      </w:pPr>
    </w:p>
    <w:p w14:paraId="749AFF5D" w14:textId="77777777" w:rsidR="00223B65" w:rsidRPr="00AF25A6" w:rsidRDefault="00223B65" w:rsidP="00223B65">
      <w:pPr>
        <w:keepNext/>
        <w:tabs>
          <w:tab w:val="clear" w:pos="567"/>
        </w:tabs>
        <w:spacing w:line="240" w:lineRule="auto"/>
        <w:ind w:left="567" w:hanging="567"/>
        <w:rPr>
          <w:szCs w:val="22"/>
        </w:rPr>
      </w:pPr>
      <w:r w:rsidRPr="00AF25A6">
        <w:rPr>
          <w:b/>
          <w:szCs w:val="22"/>
        </w:rPr>
        <w:t>6.4.</w:t>
      </w:r>
      <w:r w:rsidRPr="00AF25A6">
        <w:rPr>
          <w:b/>
          <w:szCs w:val="22"/>
        </w:rPr>
        <w:tab/>
        <w:t>Īpaši uzglabāšanas nosacījumi</w:t>
      </w:r>
    </w:p>
    <w:p w14:paraId="749AFF5E" w14:textId="77777777" w:rsidR="00223B65" w:rsidRPr="00AF25A6" w:rsidRDefault="00223B65" w:rsidP="00223B65">
      <w:pPr>
        <w:keepNext/>
        <w:tabs>
          <w:tab w:val="clear" w:pos="567"/>
        </w:tabs>
        <w:spacing w:line="240" w:lineRule="auto"/>
        <w:rPr>
          <w:szCs w:val="22"/>
        </w:rPr>
      </w:pPr>
    </w:p>
    <w:p w14:paraId="749AFF5F" w14:textId="77777777" w:rsidR="00223B65" w:rsidRPr="00AF25A6" w:rsidRDefault="00223B65" w:rsidP="00223B65">
      <w:pPr>
        <w:tabs>
          <w:tab w:val="clear" w:pos="567"/>
        </w:tabs>
        <w:spacing w:line="240" w:lineRule="auto"/>
        <w:rPr>
          <w:szCs w:val="22"/>
        </w:rPr>
      </w:pPr>
      <w:r w:rsidRPr="00AF25A6">
        <w:rPr>
          <w:szCs w:val="22"/>
        </w:rPr>
        <w:t>Zālēm nav nepieciešami īpaši uzglabāšanas apstākļi.</w:t>
      </w:r>
    </w:p>
    <w:p w14:paraId="749AFF60" w14:textId="77777777" w:rsidR="00223B65" w:rsidRPr="00AF25A6" w:rsidRDefault="00223B65" w:rsidP="00223B65">
      <w:pPr>
        <w:tabs>
          <w:tab w:val="clear" w:pos="567"/>
        </w:tabs>
        <w:spacing w:line="240" w:lineRule="auto"/>
        <w:rPr>
          <w:szCs w:val="22"/>
        </w:rPr>
      </w:pPr>
      <w:r w:rsidRPr="00AF25A6">
        <w:rPr>
          <w:szCs w:val="22"/>
        </w:rPr>
        <w:t>Uzglabāšanas nosacījumus pēc zāļu pirmās atvēršanas skatīt 6.3. apakšpunktā.</w:t>
      </w:r>
    </w:p>
    <w:p w14:paraId="749AFF61" w14:textId="77777777" w:rsidR="00223B65" w:rsidRPr="00AF25A6" w:rsidRDefault="00223B65" w:rsidP="00223B65">
      <w:pPr>
        <w:tabs>
          <w:tab w:val="clear" w:pos="567"/>
        </w:tabs>
        <w:spacing w:line="240" w:lineRule="auto"/>
        <w:rPr>
          <w:szCs w:val="22"/>
        </w:rPr>
      </w:pPr>
    </w:p>
    <w:p w14:paraId="749AFF62" w14:textId="77777777" w:rsidR="00223B65" w:rsidRPr="00AF25A6" w:rsidRDefault="00223B65" w:rsidP="00223B65">
      <w:pPr>
        <w:keepNext/>
        <w:tabs>
          <w:tab w:val="clear" w:pos="567"/>
        </w:tabs>
        <w:spacing w:line="240" w:lineRule="auto"/>
        <w:ind w:left="567" w:hanging="567"/>
        <w:rPr>
          <w:szCs w:val="22"/>
        </w:rPr>
      </w:pPr>
      <w:r w:rsidRPr="00AF25A6">
        <w:rPr>
          <w:b/>
          <w:szCs w:val="22"/>
        </w:rPr>
        <w:t>6.5.</w:t>
      </w:r>
      <w:r w:rsidRPr="00AF25A6">
        <w:rPr>
          <w:b/>
          <w:szCs w:val="22"/>
        </w:rPr>
        <w:tab/>
        <w:t>Iepakojuma veids un saturs</w:t>
      </w:r>
    </w:p>
    <w:p w14:paraId="749AFF63" w14:textId="77777777" w:rsidR="00223B65" w:rsidRPr="00AF25A6" w:rsidRDefault="00223B65" w:rsidP="00223B65">
      <w:pPr>
        <w:keepNext/>
        <w:tabs>
          <w:tab w:val="clear" w:pos="567"/>
        </w:tabs>
        <w:spacing w:line="240" w:lineRule="auto"/>
        <w:rPr>
          <w:szCs w:val="22"/>
        </w:rPr>
      </w:pPr>
    </w:p>
    <w:p w14:paraId="749AFF64" w14:textId="77777777" w:rsidR="00223B65" w:rsidRPr="00AF25A6" w:rsidRDefault="00223B65" w:rsidP="00223B65">
      <w:pPr>
        <w:tabs>
          <w:tab w:val="clear" w:pos="567"/>
        </w:tabs>
        <w:spacing w:line="240" w:lineRule="auto"/>
        <w:rPr>
          <w:szCs w:val="22"/>
        </w:rPr>
      </w:pPr>
      <w:r w:rsidRPr="00AF25A6">
        <w:rPr>
          <w:szCs w:val="22"/>
        </w:rPr>
        <w:t xml:space="preserve">Daudzdevu pulvera inhalators sastāv no septiņām plastmasas daļām un nerūsējoša tērauda atsperes. Plastmasas materiāli inhalatorā ir: polibutilēna tereftalāts, zema blīvuma polietilēns, </w:t>
      </w:r>
      <w:r w:rsidRPr="00AF25A6">
        <w:rPr>
          <w:szCs w:val="22"/>
        </w:rPr>
        <w:lastRenderedPageBreak/>
        <w:t>polikarbonāts, stirola butadiēns, polipropilēns. Inhalators iepakots noslēgtā, laminētā maisiņā un kartona kārbā iepakots kopā ar vai bez futlāra (polipropilēns un termoplastisks elastomērs).</w:t>
      </w:r>
    </w:p>
    <w:p w14:paraId="749AFF65" w14:textId="77777777" w:rsidR="00223B65" w:rsidRPr="00AF25A6" w:rsidRDefault="00223B65" w:rsidP="00223B65">
      <w:pPr>
        <w:tabs>
          <w:tab w:val="clear" w:pos="567"/>
        </w:tabs>
        <w:spacing w:line="240" w:lineRule="auto"/>
        <w:rPr>
          <w:szCs w:val="22"/>
        </w:rPr>
      </w:pPr>
    </w:p>
    <w:p w14:paraId="749AFF66" w14:textId="77777777" w:rsidR="00223B65" w:rsidRPr="00AF25A6" w:rsidRDefault="00223B65" w:rsidP="00223B65">
      <w:pPr>
        <w:keepNext/>
        <w:tabs>
          <w:tab w:val="clear" w:pos="567"/>
        </w:tabs>
        <w:spacing w:line="240" w:lineRule="auto"/>
        <w:rPr>
          <w:szCs w:val="22"/>
          <w:u w:val="single"/>
        </w:rPr>
      </w:pPr>
      <w:r w:rsidRPr="00AF25A6">
        <w:rPr>
          <w:szCs w:val="22"/>
          <w:u w:val="single"/>
        </w:rPr>
        <w:t>Iepakojumi:</w:t>
      </w:r>
    </w:p>
    <w:p w14:paraId="749AFF67" w14:textId="77777777" w:rsidR="00223B65" w:rsidRPr="00AF25A6" w:rsidRDefault="00223B65" w:rsidP="00223B65">
      <w:pPr>
        <w:tabs>
          <w:tab w:val="clear" w:pos="567"/>
        </w:tabs>
        <w:spacing w:line="240" w:lineRule="auto"/>
        <w:rPr>
          <w:szCs w:val="22"/>
        </w:rPr>
      </w:pPr>
      <w:r w:rsidRPr="00AF25A6">
        <w:rPr>
          <w:szCs w:val="22"/>
        </w:rPr>
        <w:t>Bufomix Easyhale</w:t>
      </w:r>
      <w:r>
        <w:rPr>
          <w:szCs w:val="22"/>
        </w:rPr>
        <w:t xml:space="preserve">r </w:t>
      </w:r>
      <w:r w:rsidR="00A76A67">
        <w:rPr>
          <w:szCs w:val="22"/>
        </w:rPr>
        <w:t>80</w:t>
      </w:r>
      <w:r w:rsidRPr="00AF25A6">
        <w:rPr>
          <w:szCs w:val="22"/>
        </w:rPr>
        <w:t> mikrogrami/4,5 mikrogrami inhalācijā, inhalācijas pulveris</w:t>
      </w:r>
    </w:p>
    <w:p w14:paraId="749AFF68" w14:textId="77777777" w:rsidR="00223B65" w:rsidRPr="00AF25A6" w:rsidRDefault="00223B65" w:rsidP="00223B65">
      <w:pPr>
        <w:tabs>
          <w:tab w:val="clear" w:pos="567"/>
        </w:tabs>
        <w:spacing w:line="240" w:lineRule="auto"/>
        <w:rPr>
          <w:szCs w:val="22"/>
        </w:rPr>
      </w:pPr>
      <w:r w:rsidRPr="00AF25A6">
        <w:rPr>
          <w:szCs w:val="22"/>
        </w:rPr>
        <w:t>60 devas</w:t>
      </w:r>
    </w:p>
    <w:p w14:paraId="749AFF69" w14:textId="77777777" w:rsidR="00223B65" w:rsidRPr="00AF25A6" w:rsidRDefault="00223B65" w:rsidP="00223B65">
      <w:pPr>
        <w:tabs>
          <w:tab w:val="clear" w:pos="567"/>
        </w:tabs>
        <w:spacing w:line="240" w:lineRule="auto"/>
        <w:rPr>
          <w:szCs w:val="22"/>
        </w:rPr>
      </w:pPr>
      <w:r w:rsidRPr="00AF25A6">
        <w:rPr>
          <w:szCs w:val="22"/>
        </w:rPr>
        <w:t>60 devas + futlāris</w:t>
      </w:r>
    </w:p>
    <w:p w14:paraId="749AFF6A" w14:textId="77777777" w:rsidR="00223B65" w:rsidRPr="00AF25A6" w:rsidRDefault="00223B65" w:rsidP="00223B65">
      <w:pPr>
        <w:tabs>
          <w:tab w:val="clear" w:pos="567"/>
        </w:tabs>
        <w:spacing w:line="240" w:lineRule="auto"/>
        <w:rPr>
          <w:szCs w:val="22"/>
        </w:rPr>
      </w:pPr>
      <w:r w:rsidRPr="00AF25A6">
        <w:rPr>
          <w:szCs w:val="22"/>
        </w:rPr>
        <w:t>120 devas</w:t>
      </w:r>
    </w:p>
    <w:p w14:paraId="749AFF6B" w14:textId="77777777" w:rsidR="00223B65" w:rsidRPr="00AF25A6" w:rsidRDefault="00223B65" w:rsidP="00223B65">
      <w:pPr>
        <w:tabs>
          <w:tab w:val="clear" w:pos="567"/>
        </w:tabs>
        <w:spacing w:line="240" w:lineRule="auto"/>
        <w:rPr>
          <w:szCs w:val="22"/>
        </w:rPr>
      </w:pPr>
      <w:r w:rsidRPr="00AF25A6">
        <w:rPr>
          <w:szCs w:val="22"/>
        </w:rPr>
        <w:t>120 devas + futlāris</w:t>
      </w:r>
    </w:p>
    <w:p w14:paraId="749AFF6C" w14:textId="77777777" w:rsidR="00223B65" w:rsidRPr="00AF25A6" w:rsidRDefault="00223B65" w:rsidP="00223B65">
      <w:pPr>
        <w:tabs>
          <w:tab w:val="clear" w:pos="567"/>
        </w:tabs>
        <w:spacing w:line="240" w:lineRule="auto"/>
        <w:rPr>
          <w:szCs w:val="22"/>
        </w:rPr>
      </w:pPr>
      <w:r w:rsidRPr="00AF25A6">
        <w:rPr>
          <w:szCs w:val="22"/>
        </w:rPr>
        <w:t>180 devas (3 x 60 devas)</w:t>
      </w:r>
    </w:p>
    <w:p w14:paraId="749AFF6D" w14:textId="77777777" w:rsidR="00223B65" w:rsidRPr="00AF25A6" w:rsidRDefault="00223B65" w:rsidP="00223B65">
      <w:pPr>
        <w:tabs>
          <w:tab w:val="clear" w:pos="567"/>
        </w:tabs>
        <w:spacing w:line="240" w:lineRule="auto"/>
        <w:rPr>
          <w:szCs w:val="22"/>
        </w:rPr>
      </w:pPr>
      <w:r w:rsidRPr="00AF25A6">
        <w:rPr>
          <w:szCs w:val="22"/>
        </w:rPr>
        <w:t>360 devas (3 x 120 devas)</w:t>
      </w:r>
    </w:p>
    <w:p w14:paraId="749AFF6E" w14:textId="77777777" w:rsidR="00223B65" w:rsidRPr="00AF25A6" w:rsidRDefault="00223B65" w:rsidP="00223B65">
      <w:pPr>
        <w:tabs>
          <w:tab w:val="clear" w:pos="567"/>
        </w:tabs>
        <w:spacing w:line="240" w:lineRule="auto"/>
        <w:rPr>
          <w:szCs w:val="22"/>
        </w:rPr>
      </w:pPr>
    </w:p>
    <w:p w14:paraId="749AFF6F" w14:textId="77777777" w:rsidR="00223B65" w:rsidRPr="00AF25A6" w:rsidRDefault="00223B65" w:rsidP="00223B65">
      <w:pPr>
        <w:tabs>
          <w:tab w:val="clear" w:pos="567"/>
        </w:tabs>
        <w:spacing w:line="240" w:lineRule="auto"/>
        <w:rPr>
          <w:szCs w:val="22"/>
        </w:rPr>
      </w:pPr>
      <w:r w:rsidRPr="00AF25A6">
        <w:rPr>
          <w:szCs w:val="22"/>
        </w:rPr>
        <w:t>Visi iepakojuma lielumi tirgū var nebūt pieejami.</w:t>
      </w:r>
    </w:p>
    <w:p w14:paraId="749AFF70" w14:textId="77777777" w:rsidR="00223B65" w:rsidRPr="00AF25A6" w:rsidRDefault="00223B65" w:rsidP="00223B65">
      <w:pPr>
        <w:tabs>
          <w:tab w:val="clear" w:pos="567"/>
        </w:tabs>
        <w:spacing w:line="240" w:lineRule="auto"/>
        <w:rPr>
          <w:szCs w:val="22"/>
        </w:rPr>
      </w:pPr>
    </w:p>
    <w:p w14:paraId="749AFF71" w14:textId="77777777" w:rsidR="00223B65" w:rsidRPr="00AF25A6" w:rsidRDefault="00223B65" w:rsidP="00223B65">
      <w:pPr>
        <w:keepNext/>
        <w:tabs>
          <w:tab w:val="clear" w:pos="567"/>
        </w:tabs>
        <w:spacing w:line="240" w:lineRule="auto"/>
        <w:ind w:left="567" w:hanging="567"/>
        <w:rPr>
          <w:b/>
          <w:szCs w:val="22"/>
        </w:rPr>
      </w:pPr>
      <w:r w:rsidRPr="00AF25A6">
        <w:rPr>
          <w:b/>
          <w:szCs w:val="22"/>
        </w:rPr>
        <w:t>6.6.</w:t>
      </w:r>
      <w:r w:rsidRPr="00AF25A6">
        <w:rPr>
          <w:b/>
          <w:szCs w:val="22"/>
        </w:rPr>
        <w:tab/>
        <w:t>Īpaši norādījumi atkritumu likvidēšanai</w:t>
      </w:r>
    </w:p>
    <w:p w14:paraId="749AFF72" w14:textId="77777777" w:rsidR="00223B65" w:rsidRPr="00AF25A6" w:rsidRDefault="00223B65" w:rsidP="00223B65">
      <w:pPr>
        <w:keepNext/>
        <w:tabs>
          <w:tab w:val="clear" w:pos="567"/>
        </w:tabs>
        <w:spacing w:line="240" w:lineRule="auto"/>
        <w:rPr>
          <w:szCs w:val="22"/>
        </w:rPr>
      </w:pPr>
    </w:p>
    <w:p w14:paraId="749AFF73" w14:textId="77777777" w:rsidR="00223B65" w:rsidRPr="00AF25A6" w:rsidRDefault="00223B65" w:rsidP="00223B65">
      <w:pPr>
        <w:tabs>
          <w:tab w:val="clear" w:pos="567"/>
        </w:tabs>
        <w:spacing w:line="240" w:lineRule="auto"/>
        <w:rPr>
          <w:szCs w:val="22"/>
        </w:rPr>
      </w:pPr>
      <w:r w:rsidRPr="00AF25A6">
        <w:rPr>
          <w:szCs w:val="22"/>
        </w:rPr>
        <w:t>Nav īpašu prasību.</w:t>
      </w:r>
    </w:p>
    <w:p w14:paraId="749AFF74" w14:textId="77777777" w:rsidR="00223B65" w:rsidRPr="00AF25A6" w:rsidRDefault="00223B65" w:rsidP="00223B65">
      <w:pPr>
        <w:tabs>
          <w:tab w:val="clear" w:pos="567"/>
        </w:tabs>
        <w:spacing w:line="240" w:lineRule="auto"/>
        <w:rPr>
          <w:szCs w:val="22"/>
        </w:rPr>
      </w:pPr>
    </w:p>
    <w:p w14:paraId="749AFF75" w14:textId="77777777" w:rsidR="00223B65" w:rsidRPr="00AF25A6" w:rsidRDefault="00223B65" w:rsidP="00223B65">
      <w:pPr>
        <w:tabs>
          <w:tab w:val="clear" w:pos="567"/>
        </w:tabs>
        <w:spacing w:line="240" w:lineRule="auto"/>
        <w:rPr>
          <w:szCs w:val="22"/>
        </w:rPr>
      </w:pPr>
    </w:p>
    <w:p w14:paraId="749AFF76" w14:textId="77777777" w:rsidR="00223B65" w:rsidRPr="00AF25A6" w:rsidRDefault="00223B65" w:rsidP="00223B65">
      <w:pPr>
        <w:keepNext/>
        <w:tabs>
          <w:tab w:val="clear" w:pos="567"/>
        </w:tabs>
        <w:spacing w:line="240" w:lineRule="auto"/>
        <w:ind w:left="567" w:hanging="567"/>
        <w:rPr>
          <w:szCs w:val="22"/>
        </w:rPr>
      </w:pPr>
      <w:r w:rsidRPr="00AF25A6">
        <w:rPr>
          <w:b/>
          <w:szCs w:val="22"/>
        </w:rPr>
        <w:t>7.</w:t>
      </w:r>
      <w:r w:rsidRPr="00AF25A6">
        <w:rPr>
          <w:b/>
          <w:szCs w:val="22"/>
        </w:rPr>
        <w:tab/>
        <w:t>REĢISTRĀCIJAS APLIECĪBAS ĪPAŠNIEKS</w:t>
      </w:r>
    </w:p>
    <w:p w14:paraId="749AFF77" w14:textId="77777777" w:rsidR="00223B65" w:rsidRPr="00AF25A6" w:rsidRDefault="00223B65" w:rsidP="00223B65">
      <w:pPr>
        <w:keepNext/>
        <w:spacing w:line="240" w:lineRule="auto"/>
        <w:rPr>
          <w:szCs w:val="22"/>
        </w:rPr>
      </w:pPr>
    </w:p>
    <w:p w14:paraId="749AFF78" w14:textId="77777777" w:rsidR="00223B65" w:rsidRPr="00AF25A6" w:rsidRDefault="00223B65" w:rsidP="00223B65">
      <w:pPr>
        <w:widowControl w:val="0"/>
        <w:spacing w:line="240" w:lineRule="auto"/>
        <w:rPr>
          <w:bCs/>
          <w:iCs/>
          <w:szCs w:val="22"/>
        </w:rPr>
      </w:pPr>
      <w:r w:rsidRPr="00AF25A6">
        <w:rPr>
          <w:bCs/>
          <w:iCs/>
          <w:szCs w:val="22"/>
        </w:rPr>
        <w:t>Orion Corporation</w:t>
      </w:r>
    </w:p>
    <w:p w14:paraId="749AFF79" w14:textId="77777777" w:rsidR="00223B65" w:rsidRPr="00AF25A6" w:rsidRDefault="00223B65" w:rsidP="00223B65">
      <w:pPr>
        <w:widowControl w:val="0"/>
        <w:spacing w:line="240" w:lineRule="auto"/>
        <w:rPr>
          <w:bCs/>
          <w:iCs/>
          <w:szCs w:val="22"/>
        </w:rPr>
      </w:pPr>
      <w:r w:rsidRPr="00AF25A6">
        <w:rPr>
          <w:bCs/>
          <w:iCs/>
          <w:szCs w:val="22"/>
        </w:rPr>
        <w:t>Orionintie 1</w:t>
      </w:r>
    </w:p>
    <w:p w14:paraId="749AFF7A" w14:textId="77777777" w:rsidR="00223B65" w:rsidRPr="00AF25A6" w:rsidRDefault="00223B65" w:rsidP="00223B65">
      <w:pPr>
        <w:widowControl w:val="0"/>
        <w:spacing w:line="240" w:lineRule="auto"/>
        <w:rPr>
          <w:bCs/>
          <w:iCs/>
          <w:szCs w:val="22"/>
        </w:rPr>
      </w:pPr>
      <w:r w:rsidRPr="00AF25A6">
        <w:rPr>
          <w:bCs/>
          <w:iCs/>
          <w:szCs w:val="22"/>
        </w:rPr>
        <w:t>FI-02200 Espoo</w:t>
      </w:r>
    </w:p>
    <w:p w14:paraId="749AFF7B" w14:textId="77777777" w:rsidR="00223B65" w:rsidRPr="00AF25A6" w:rsidRDefault="00223B65" w:rsidP="00223B65">
      <w:pPr>
        <w:tabs>
          <w:tab w:val="clear" w:pos="567"/>
        </w:tabs>
        <w:spacing w:line="240" w:lineRule="auto"/>
        <w:ind w:left="567" w:hanging="567"/>
        <w:rPr>
          <w:szCs w:val="22"/>
        </w:rPr>
      </w:pPr>
      <w:r w:rsidRPr="00AF25A6">
        <w:rPr>
          <w:szCs w:val="22"/>
        </w:rPr>
        <w:t>Somija</w:t>
      </w:r>
    </w:p>
    <w:p w14:paraId="749AFF7C" w14:textId="77777777" w:rsidR="00223B65" w:rsidRPr="00AF25A6" w:rsidRDefault="00223B65" w:rsidP="00223B65">
      <w:pPr>
        <w:tabs>
          <w:tab w:val="clear" w:pos="567"/>
        </w:tabs>
        <w:spacing w:line="240" w:lineRule="auto"/>
        <w:ind w:left="567" w:hanging="567"/>
        <w:rPr>
          <w:szCs w:val="22"/>
        </w:rPr>
      </w:pPr>
    </w:p>
    <w:p w14:paraId="749AFF7D" w14:textId="77777777" w:rsidR="00223B65" w:rsidRPr="00AF25A6" w:rsidRDefault="00223B65" w:rsidP="00223B65">
      <w:pPr>
        <w:tabs>
          <w:tab w:val="clear" w:pos="567"/>
        </w:tabs>
        <w:spacing w:line="240" w:lineRule="auto"/>
        <w:ind w:left="567" w:hanging="567"/>
        <w:rPr>
          <w:szCs w:val="22"/>
        </w:rPr>
      </w:pPr>
    </w:p>
    <w:p w14:paraId="749AFF7E" w14:textId="77777777" w:rsidR="00223B65" w:rsidRDefault="00223B65" w:rsidP="00223B65">
      <w:pPr>
        <w:keepNext/>
        <w:tabs>
          <w:tab w:val="clear" w:pos="567"/>
        </w:tabs>
        <w:spacing w:line="240" w:lineRule="auto"/>
        <w:rPr>
          <w:b/>
          <w:szCs w:val="22"/>
        </w:rPr>
      </w:pPr>
      <w:r w:rsidRPr="00AF25A6">
        <w:rPr>
          <w:b/>
          <w:szCs w:val="22"/>
        </w:rPr>
        <w:t>8.</w:t>
      </w:r>
      <w:r w:rsidRPr="00AF25A6">
        <w:rPr>
          <w:b/>
          <w:szCs w:val="22"/>
        </w:rPr>
        <w:tab/>
        <w:t>REĢISTRĀCIJAS APLIECĪBAS NUMURS(-I)</w:t>
      </w:r>
    </w:p>
    <w:p w14:paraId="749AFF7F" w14:textId="77777777" w:rsidR="00223B65" w:rsidRPr="009661E9" w:rsidRDefault="00223B65" w:rsidP="00223B65">
      <w:pPr>
        <w:keepNext/>
        <w:tabs>
          <w:tab w:val="clear" w:pos="567"/>
        </w:tabs>
        <w:spacing w:line="240" w:lineRule="auto"/>
        <w:ind w:left="567" w:hanging="567"/>
        <w:rPr>
          <w:szCs w:val="22"/>
        </w:rPr>
      </w:pPr>
    </w:p>
    <w:p w14:paraId="749AFF80" w14:textId="77777777" w:rsidR="001D100A" w:rsidRDefault="001508BB" w:rsidP="001D100A">
      <w:r>
        <w:t>16-0058</w:t>
      </w:r>
    </w:p>
    <w:p w14:paraId="749AFF81" w14:textId="77777777" w:rsidR="001508BB" w:rsidRDefault="001508BB" w:rsidP="001D100A">
      <w:pPr>
        <w:rPr>
          <w:i/>
          <w:iCs/>
        </w:rPr>
      </w:pPr>
    </w:p>
    <w:p w14:paraId="749AFF82" w14:textId="77777777" w:rsidR="00223B65" w:rsidRPr="00AF25A6" w:rsidRDefault="00223B65" w:rsidP="001D100A">
      <w:pPr>
        <w:rPr>
          <w:szCs w:val="22"/>
        </w:rPr>
      </w:pPr>
    </w:p>
    <w:p w14:paraId="749AFF83" w14:textId="77777777" w:rsidR="00223B65" w:rsidRPr="00AF25A6" w:rsidRDefault="00223B65" w:rsidP="00223B65">
      <w:pPr>
        <w:keepNext/>
        <w:tabs>
          <w:tab w:val="clear" w:pos="567"/>
        </w:tabs>
        <w:spacing w:line="240" w:lineRule="auto"/>
        <w:ind w:left="567" w:hanging="567"/>
        <w:rPr>
          <w:b/>
          <w:szCs w:val="22"/>
        </w:rPr>
      </w:pPr>
      <w:r w:rsidRPr="00AF25A6">
        <w:rPr>
          <w:b/>
          <w:szCs w:val="22"/>
        </w:rPr>
        <w:t>9.</w:t>
      </w:r>
      <w:r w:rsidRPr="00AF25A6">
        <w:rPr>
          <w:b/>
          <w:szCs w:val="22"/>
        </w:rPr>
        <w:tab/>
        <w:t>PIRMĀS REĢISTRĀCIJAS/PĀRREĢISTRĀCIJAS DATUMS</w:t>
      </w:r>
    </w:p>
    <w:p w14:paraId="749AFF84" w14:textId="77777777" w:rsidR="00223B65" w:rsidRPr="00AF25A6" w:rsidRDefault="00223B65" w:rsidP="00223B65">
      <w:pPr>
        <w:keepNext/>
        <w:tabs>
          <w:tab w:val="clear" w:pos="567"/>
        </w:tabs>
        <w:spacing w:line="240" w:lineRule="auto"/>
        <w:ind w:left="567" w:hanging="567"/>
        <w:rPr>
          <w:szCs w:val="22"/>
        </w:rPr>
      </w:pPr>
    </w:p>
    <w:p w14:paraId="749AFF85" w14:textId="77777777" w:rsidR="001D100A" w:rsidRDefault="001508BB" w:rsidP="001D100A">
      <w:r>
        <w:t>Reģistrācijas datums: 2016. gada 17. marts</w:t>
      </w:r>
    </w:p>
    <w:p w14:paraId="749AFF86" w14:textId="77777777" w:rsidR="002F3035" w:rsidRPr="00E872AF" w:rsidRDefault="002F3035" w:rsidP="002F3035">
      <w:r w:rsidRPr="00D27362">
        <w:t xml:space="preserve">Pēdējās pārreģistrācijas datums: </w:t>
      </w:r>
      <w:r>
        <w:t>201</w:t>
      </w:r>
      <w:r>
        <w:rPr>
          <w:lang w:val="ru-RU"/>
        </w:rPr>
        <w:t>9</w:t>
      </w:r>
      <w:r>
        <w:t xml:space="preserve">. gada </w:t>
      </w:r>
      <w:r>
        <w:rPr>
          <w:lang w:val="ru-RU"/>
        </w:rPr>
        <w:t>29</w:t>
      </w:r>
      <w:r>
        <w:t>. novembris</w:t>
      </w:r>
    </w:p>
    <w:p w14:paraId="749AFF88" w14:textId="77777777" w:rsidR="001508BB" w:rsidRPr="007B4BA9" w:rsidRDefault="001508BB" w:rsidP="001D100A">
      <w:pPr>
        <w:rPr>
          <w:iCs/>
        </w:rPr>
      </w:pPr>
    </w:p>
    <w:p w14:paraId="749AFF89" w14:textId="77777777" w:rsidR="00223B65" w:rsidRPr="00AF25A6" w:rsidRDefault="00223B65" w:rsidP="001D100A">
      <w:pPr>
        <w:tabs>
          <w:tab w:val="clear" w:pos="567"/>
        </w:tabs>
        <w:spacing w:line="240" w:lineRule="auto"/>
        <w:rPr>
          <w:szCs w:val="22"/>
        </w:rPr>
      </w:pPr>
    </w:p>
    <w:p w14:paraId="749AFF8A" w14:textId="77777777" w:rsidR="00223B65" w:rsidRPr="00AF25A6" w:rsidRDefault="00223B65" w:rsidP="00223B65">
      <w:pPr>
        <w:keepNext/>
        <w:tabs>
          <w:tab w:val="clear" w:pos="567"/>
        </w:tabs>
        <w:spacing w:line="240" w:lineRule="auto"/>
        <w:ind w:left="567" w:hanging="567"/>
        <w:rPr>
          <w:b/>
          <w:szCs w:val="22"/>
        </w:rPr>
      </w:pPr>
      <w:r w:rsidRPr="00AF25A6">
        <w:rPr>
          <w:b/>
          <w:szCs w:val="22"/>
        </w:rPr>
        <w:t>10.</w:t>
      </w:r>
      <w:r w:rsidRPr="00AF25A6">
        <w:rPr>
          <w:b/>
          <w:szCs w:val="22"/>
        </w:rPr>
        <w:tab/>
        <w:t>TEKSTA PĀRSKATĪŠANAS DATUMS</w:t>
      </w:r>
    </w:p>
    <w:p w14:paraId="749AFF8B" w14:textId="77777777" w:rsidR="00223B65" w:rsidRPr="00AF25A6" w:rsidRDefault="00223B65" w:rsidP="00223B65">
      <w:pPr>
        <w:keepNext/>
        <w:tabs>
          <w:tab w:val="clear" w:pos="567"/>
        </w:tabs>
        <w:spacing w:line="240" w:lineRule="auto"/>
        <w:ind w:left="567" w:hanging="567"/>
        <w:rPr>
          <w:b/>
          <w:szCs w:val="22"/>
        </w:rPr>
      </w:pPr>
    </w:p>
    <w:p w14:paraId="749AFF8C" w14:textId="5D74BCD4" w:rsidR="00E52738" w:rsidRDefault="000A046D" w:rsidP="00EA3600">
      <w:pPr>
        <w:tabs>
          <w:tab w:val="clear" w:pos="567"/>
        </w:tabs>
        <w:spacing w:line="240" w:lineRule="auto"/>
      </w:pPr>
      <w:r>
        <w:rPr>
          <w:szCs w:val="22"/>
        </w:rPr>
        <w:t>0</w:t>
      </w:r>
      <w:r w:rsidR="00A107B4">
        <w:rPr>
          <w:szCs w:val="22"/>
        </w:rPr>
        <w:t>9</w:t>
      </w:r>
      <w:r w:rsidR="00B62900">
        <w:rPr>
          <w:szCs w:val="22"/>
        </w:rPr>
        <w:t>/20</w:t>
      </w:r>
      <w:r w:rsidR="00E70E57">
        <w:rPr>
          <w:szCs w:val="22"/>
        </w:rPr>
        <w:t>20</w:t>
      </w:r>
    </w:p>
    <w:sectPr w:rsidR="00E52738" w:rsidSect="0082721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2FDB" w14:textId="77777777" w:rsidR="004E5B9F" w:rsidRDefault="004E5B9F" w:rsidP="00C564B4">
      <w:pPr>
        <w:spacing w:line="240" w:lineRule="auto"/>
      </w:pPr>
      <w:r>
        <w:separator/>
      </w:r>
    </w:p>
  </w:endnote>
  <w:endnote w:type="continuationSeparator" w:id="0">
    <w:p w14:paraId="319101A2" w14:textId="77777777" w:rsidR="004E5B9F" w:rsidRDefault="004E5B9F" w:rsidP="00C5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08FA" w14:textId="77777777" w:rsidR="00D41814" w:rsidRDefault="00D4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42E7" w14:textId="77777777" w:rsidR="00D41814" w:rsidRDefault="00D41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3FC" w14:textId="77777777" w:rsidR="00D41814" w:rsidRDefault="00D4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E7E2" w14:textId="77777777" w:rsidR="004E5B9F" w:rsidRDefault="004E5B9F" w:rsidP="00C564B4">
      <w:pPr>
        <w:spacing w:line="240" w:lineRule="auto"/>
      </w:pPr>
      <w:r>
        <w:separator/>
      </w:r>
    </w:p>
  </w:footnote>
  <w:footnote w:type="continuationSeparator" w:id="0">
    <w:p w14:paraId="132334FF" w14:textId="77777777" w:rsidR="004E5B9F" w:rsidRDefault="004E5B9F" w:rsidP="00C56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C68D" w14:textId="77777777" w:rsidR="00D41814" w:rsidRDefault="00D4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FF91" w14:textId="2FF776C8" w:rsidR="003927A9" w:rsidRPr="00262187" w:rsidRDefault="003927A9" w:rsidP="003927A9">
    <w:pPr>
      <w:pStyle w:val="Header"/>
      <w:jc w:val="right"/>
      <w:rPr>
        <w:sz w:val="24"/>
        <w:lang w:val="ru-RU"/>
      </w:rPr>
    </w:pPr>
    <w:r>
      <w:rPr>
        <w:sz w:val="24"/>
      </w:rPr>
      <w:t>SASKAŅOTS ZVA</w:t>
    </w:r>
    <w:r w:rsidR="00D41814">
      <w:rPr>
        <w:sz w:val="24"/>
      </w:rPr>
      <w:t xml:space="preserve"> 15-09-2020</w:t>
    </w:r>
    <w:bookmarkStart w:id="0" w:name="_GoBack"/>
    <w:bookmarkEnd w:id="0"/>
    <w:r>
      <w:rPr>
        <w:sz w:val="24"/>
      </w:rPr>
      <w:t xml:space="preserve"> </w:t>
    </w:r>
  </w:p>
  <w:p w14:paraId="749AFF92" w14:textId="77777777" w:rsidR="00C564B4" w:rsidRPr="00C564B4" w:rsidRDefault="00C564B4" w:rsidP="009E27FD">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3168" w14:textId="77777777" w:rsidR="00D41814" w:rsidRDefault="00D4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5C9"/>
    <w:multiLevelType w:val="hybridMultilevel"/>
    <w:tmpl w:val="A38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5F9E"/>
    <w:multiLevelType w:val="hybridMultilevel"/>
    <w:tmpl w:val="332A4E5E"/>
    <w:lvl w:ilvl="0" w:tplc="33407258">
      <w:start w:val="1"/>
      <w:numFmt w:val="upp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49609CA"/>
    <w:multiLevelType w:val="hybridMultilevel"/>
    <w:tmpl w:val="595EBDCA"/>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54285B"/>
    <w:multiLevelType w:val="hybridMultilevel"/>
    <w:tmpl w:val="DFAA0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2A6864"/>
    <w:multiLevelType w:val="hybridMultilevel"/>
    <w:tmpl w:val="B5DC325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D94"/>
    <w:rsid w:val="00081974"/>
    <w:rsid w:val="000A046D"/>
    <w:rsid w:val="000B300A"/>
    <w:rsid w:val="000C7943"/>
    <w:rsid w:val="000E0861"/>
    <w:rsid w:val="00147119"/>
    <w:rsid w:val="001508BB"/>
    <w:rsid w:val="00165D11"/>
    <w:rsid w:val="001810C6"/>
    <w:rsid w:val="001D100A"/>
    <w:rsid w:val="001D17E8"/>
    <w:rsid w:val="001D5373"/>
    <w:rsid w:val="001E4CEF"/>
    <w:rsid w:val="002016A4"/>
    <w:rsid w:val="00223B65"/>
    <w:rsid w:val="00250078"/>
    <w:rsid w:val="00256CD8"/>
    <w:rsid w:val="00262187"/>
    <w:rsid w:val="002704A2"/>
    <w:rsid w:val="002E2B16"/>
    <w:rsid w:val="002F3035"/>
    <w:rsid w:val="003210C8"/>
    <w:rsid w:val="003336BA"/>
    <w:rsid w:val="00351D94"/>
    <w:rsid w:val="00362006"/>
    <w:rsid w:val="003927A9"/>
    <w:rsid w:val="003A565B"/>
    <w:rsid w:val="00417186"/>
    <w:rsid w:val="00481EB7"/>
    <w:rsid w:val="004B08CF"/>
    <w:rsid w:val="004C60B5"/>
    <w:rsid w:val="004E5B9F"/>
    <w:rsid w:val="005425FD"/>
    <w:rsid w:val="00551D30"/>
    <w:rsid w:val="00580E46"/>
    <w:rsid w:val="0059037C"/>
    <w:rsid w:val="005C6116"/>
    <w:rsid w:val="005D3488"/>
    <w:rsid w:val="00690376"/>
    <w:rsid w:val="006958CF"/>
    <w:rsid w:val="00702D66"/>
    <w:rsid w:val="007065F9"/>
    <w:rsid w:val="007209C7"/>
    <w:rsid w:val="00723C7C"/>
    <w:rsid w:val="00723D14"/>
    <w:rsid w:val="00740BCD"/>
    <w:rsid w:val="00745885"/>
    <w:rsid w:val="00765237"/>
    <w:rsid w:val="007B4BA9"/>
    <w:rsid w:val="007C3A65"/>
    <w:rsid w:val="007F0539"/>
    <w:rsid w:val="00827214"/>
    <w:rsid w:val="008536A3"/>
    <w:rsid w:val="00855861"/>
    <w:rsid w:val="008904E5"/>
    <w:rsid w:val="008C662C"/>
    <w:rsid w:val="00990E6B"/>
    <w:rsid w:val="009C37D2"/>
    <w:rsid w:val="009E199B"/>
    <w:rsid w:val="009E27FD"/>
    <w:rsid w:val="00A107B4"/>
    <w:rsid w:val="00A46A02"/>
    <w:rsid w:val="00A76A67"/>
    <w:rsid w:val="00AD534A"/>
    <w:rsid w:val="00B232A5"/>
    <w:rsid w:val="00B57CCA"/>
    <w:rsid w:val="00B62900"/>
    <w:rsid w:val="00B97AAB"/>
    <w:rsid w:val="00BD331C"/>
    <w:rsid w:val="00BF612B"/>
    <w:rsid w:val="00C26DD3"/>
    <w:rsid w:val="00C564B4"/>
    <w:rsid w:val="00C90530"/>
    <w:rsid w:val="00CC7A9C"/>
    <w:rsid w:val="00D04EAE"/>
    <w:rsid w:val="00D22FFD"/>
    <w:rsid w:val="00D41814"/>
    <w:rsid w:val="00D50FBE"/>
    <w:rsid w:val="00E52738"/>
    <w:rsid w:val="00E6389A"/>
    <w:rsid w:val="00E7023F"/>
    <w:rsid w:val="00E70E57"/>
    <w:rsid w:val="00EA3600"/>
    <w:rsid w:val="00F1203A"/>
    <w:rsid w:val="00F82753"/>
    <w:rsid w:val="00FD37E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AFD89"/>
  <w15:docId w15:val="{998E979C-1B71-4646-8B45-3D176F0B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E8"/>
    <w:pPr>
      <w:tabs>
        <w:tab w:val="left" w:pos="567"/>
      </w:tabs>
      <w:spacing w:after="0" w:line="260" w:lineRule="exac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EAEnBodyText">
    <w:name w:val="EMEA En Body Text"/>
    <w:basedOn w:val="Normal"/>
    <w:rsid w:val="001D17E8"/>
    <w:pPr>
      <w:tabs>
        <w:tab w:val="clear" w:pos="567"/>
      </w:tabs>
      <w:spacing w:before="120" w:after="120" w:line="240" w:lineRule="auto"/>
      <w:jc w:val="both"/>
    </w:pPr>
    <w:rPr>
      <w:lang w:val="en-US"/>
    </w:rPr>
  </w:style>
  <w:style w:type="paragraph" w:customStyle="1" w:styleId="Default">
    <w:name w:val="Default"/>
    <w:rsid w:val="001D17E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223B65"/>
    <w:rPr>
      <w:color w:val="0000FF"/>
      <w:u w:val="single"/>
    </w:rPr>
  </w:style>
  <w:style w:type="paragraph" w:styleId="BalloonText">
    <w:name w:val="Balloon Text"/>
    <w:basedOn w:val="Normal"/>
    <w:link w:val="BalloonTextChar"/>
    <w:uiPriority w:val="99"/>
    <w:semiHidden/>
    <w:unhideWhenUsed/>
    <w:rsid w:val="002E2B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C60B5"/>
    <w:rPr>
      <w:sz w:val="16"/>
      <w:szCs w:val="16"/>
    </w:rPr>
  </w:style>
  <w:style w:type="paragraph" w:styleId="CommentText">
    <w:name w:val="annotation text"/>
    <w:basedOn w:val="Normal"/>
    <w:link w:val="CommentTextChar"/>
    <w:uiPriority w:val="99"/>
    <w:semiHidden/>
    <w:unhideWhenUsed/>
    <w:rsid w:val="004C60B5"/>
    <w:pPr>
      <w:spacing w:line="240" w:lineRule="auto"/>
    </w:pPr>
    <w:rPr>
      <w:sz w:val="20"/>
    </w:rPr>
  </w:style>
  <w:style w:type="character" w:customStyle="1" w:styleId="CommentTextChar">
    <w:name w:val="Comment Text Char"/>
    <w:basedOn w:val="DefaultParagraphFont"/>
    <w:link w:val="CommentText"/>
    <w:uiPriority w:val="99"/>
    <w:semiHidden/>
    <w:rsid w:val="004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0B5"/>
    <w:rPr>
      <w:b/>
      <w:bCs/>
    </w:rPr>
  </w:style>
  <w:style w:type="character" w:customStyle="1" w:styleId="CommentSubjectChar">
    <w:name w:val="Comment Subject Char"/>
    <w:basedOn w:val="CommentTextChar"/>
    <w:link w:val="CommentSubject"/>
    <w:uiPriority w:val="99"/>
    <w:semiHidden/>
    <w:rsid w:val="004C60B5"/>
    <w:rPr>
      <w:rFonts w:ascii="Times New Roman" w:eastAsia="Times New Roman" w:hAnsi="Times New Roman" w:cs="Times New Roman"/>
      <w:b/>
      <w:bCs/>
      <w:sz w:val="20"/>
      <w:szCs w:val="20"/>
    </w:rPr>
  </w:style>
  <w:style w:type="character" w:customStyle="1" w:styleId="hps">
    <w:name w:val="hps"/>
    <w:basedOn w:val="DefaultParagraphFont"/>
    <w:rsid w:val="000E0861"/>
  </w:style>
  <w:style w:type="paragraph" w:styleId="Header">
    <w:name w:val="header"/>
    <w:basedOn w:val="Normal"/>
    <w:link w:val="HeaderChar"/>
    <w:uiPriority w:val="99"/>
    <w:unhideWhenUsed/>
    <w:rsid w:val="00C564B4"/>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C564B4"/>
    <w:rPr>
      <w:rFonts w:ascii="Times New Roman" w:eastAsia="Times New Roman" w:hAnsi="Times New Roman" w:cs="Times New Roman"/>
      <w:szCs w:val="20"/>
    </w:rPr>
  </w:style>
  <w:style w:type="paragraph" w:styleId="Footer">
    <w:name w:val="footer"/>
    <w:basedOn w:val="Normal"/>
    <w:link w:val="FooterChar"/>
    <w:uiPriority w:val="99"/>
    <w:unhideWhenUsed/>
    <w:rsid w:val="00C564B4"/>
    <w:pPr>
      <w:tabs>
        <w:tab w:val="clear" w:pos="567"/>
        <w:tab w:val="center" w:pos="4153"/>
        <w:tab w:val="right" w:pos="8306"/>
      </w:tabs>
      <w:spacing w:line="240" w:lineRule="auto"/>
    </w:pPr>
  </w:style>
  <w:style w:type="character" w:customStyle="1" w:styleId="FooterChar">
    <w:name w:val="Footer Char"/>
    <w:basedOn w:val="DefaultParagraphFont"/>
    <w:link w:val="Footer"/>
    <w:uiPriority w:val="99"/>
    <w:rsid w:val="00C564B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9388">
      <w:bodyDiv w:val="1"/>
      <w:marLeft w:val="0"/>
      <w:marRight w:val="0"/>
      <w:marTop w:val="0"/>
      <w:marBottom w:val="0"/>
      <w:divBdr>
        <w:top w:val="none" w:sz="0" w:space="0" w:color="auto"/>
        <w:left w:val="none" w:sz="0" w:space="0" w:color="auto"/>
        <w:bottom w:val="none" w:sz="0" w:space="0" w:color="auto"/>
        <w:right w:val="none" w:sz="0" w:space="0" w:color="auto"/>
      </w:divBdr>
    </w:div>
    <w:div w:id="21052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69B3-9A00-4D13-B7AE-5EA7BF7B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24943</Words>
  <Characters>14219</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Algol</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Zarina</dc:creator>
  <cp:lastModifiedBy>Skaidrīte Lapsenīte</cp:lastModifiedBy>
  <cp:revision>8</cp:revision>
  <dcterms:created xsi:type="dcterms:W3CDTF">2020-06-11T07:33:00Z</dcterms:created>
  <dcterms:modified xsi:type="dcterms:W3CDTF">2020-09-14T05:32:00Z</dcterms:modified>
</cp:coreProperties>
</file>