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0ADD6" w14:textId="77777777" w:rsidR="00F75EAB" w:rsidRPr="00231E54" w:rsidRDefault="00F75EAB" w:rsidP="00964FCB">
      <w:pPr>
        <w:spacing w:line="240" w:lineRule="auto"/>
        <w:jc w:val="center"/>
        <w:rPr>
          <w:color w:val="000000"/>
        </w:rPr>
      </w:pPr>
      <w:r w:rsidRPr="00231E54">
        <w:rPr>
          <w:b/>
          <w:color w:val="000000"/>
        </w:rPr>
        <w:t>ZĀĻU APRAKSTS</w:t>
      </w:r>
    </w:p>
    <w:p w14:paraId="59E9CD92" w14:textId="77777777" w:rsidR="00F75EAB" w:rsidRPr="00231E54" w:rsidRDefault="00F75EAB" w:rsidP="00964FCB">
      <w:pPr>
        <w:spacing w:line="240" w:lineRule="auto"/>
        <w:jc w:val="both"/>
        <w:rPr>
          <w:color w:val="000000"/>
        </w:rPr>
      </w:pPr>
    </w:p>
    <w:p w14:paraId="79804A47" w14:textId="77777777" w:rsidR="00964FCB" w:rsidRPr="00231E54" w:rsidRDefault="00964FCB" w:rsidP="00172761">
      <w:pPr>
        <w:spacing w:line="240" w:lineRule="auto"/>
        <w:jc w:val="both"/>
        <w:rPr>
          <w:color w:val="000000"/>
        </w:rPr>
      </w:pPr>
    </w:p>
    <w:p w14:paraId="49AE89BE" w14:textId="77777777" w:rsidR="00F75EAB" w:rsidRPr="00231E54" w:rsidRDefault="00F75EAB" w:rsidP="00172761">
      <w:pPr>
        <w:spacing w:line="240" w:lineRule="auto"/>
        <w:jc w:val="both"/>
        <w:rPr>
          <w:b/>
          <w:color w:val="000000"/>
        </w:rPr>
      </w:pPr>
      <w:r w:rsidRPr="00231E54">
        <w:rPr>
          <w:b/>
          <w:color w:val="000000"/>
        </w:rPr>
        <w:t>1.</w:t>
      </w:r>
      <w:r w:rsidRPr="00231E54">
        <w:rPr>
          <w:b/>
          <w:color w:val="000000"/>
        </w:rPr>
        <w:tab/>
        <w:t>ZĀĻU NOSAUKUMS</w:t>
      </w:r>
    </w:p>
    <w:p w14:paraId="47E712EB" w14:textId="77777777" w:rsidR="00964FCB" w:rsidRPr="00231E54" w:rsidRDefault="00964FCB" w:rsidP="00172761">
      <w:pPr>
        <w:tabs>
          <w:tab w:val="clear" w:pos="567"/>
        </w:tabs>
        <w:spacing w:line="240" w:lineRule="auto"/>
        <w:jc w:val="both"/>
        <w:rPr>
          <w:b/>
          <w:color w:val="000000"/>
        </w:rPr>
      </w:pPr>
    </w:p>
    <w:p w14:paraId="06CD937F" w14:textId="77777777" w:rsidR="00511160" w:rsidRPr="00231E54" w:rsidRDefault="00511160" w:rsidP="00172761">
      <w:pPr>
        <w:tabs>
          <w:tab w:val="clear" w:pos="567"/>
        </w:tabs>
        <w:spacing w:line="240" w:lineRule="auto"/>
        <w:jc w:val="both"/>
        <w:rPr>
          <w:b/>
          <w:color w:val="000000"/>
        </w:rPr>
      </w:pPr>
      <w:r w:rsidRPr="00231E54">
        <w:rPr>
          <w:b/>
          <w:color w:val="000000"/>
        </w:rPr>
        <w:t>Aktiprol 50 mg tabletes</w:t>
      </w:r>
    </w:p>
    <w:p w14:paraId="17A0259D" w14:textId="77777777" w:rsidR="00511160" w:rsidRPr="00231E54" w:rsidRDefault="00511160" w:rsidP="00172761">
      <w:pPr>
        <w:tabs>
          <w:tab w:val="clear" w:pos="567"/>
        </w:tabs>
        <w:spacing w:line="240" w:lineRule="auto"/>
        <w:jc w:val="both"/>
        <w:rPr>
          <w:b/>
          <w:color w:val="000000"/>
        </w:rPr>
      </w:pPr>
      <w:r w:rsidRPr="00231E54">
        <w:rPr>
          <w:b/>
          <w:color w:val="000000"/>
        </w:rPr>
        <w:t>Aktiprol 100 mg tabletes</w:t>
      </w:r>
    </w:p>
    <w:p w14:paraId="75CFAD88" w14:textId="77777777" w:rsidR="00511160" w:rsidRPr="00231E54" w:rsidRDefault="00511160" w:rsidP="00172761">
      <w:pPr>
        <w:tabs>
          <w:tab w:val="clear" w:pos="567"/>
        </w:tabs>
        <w:spacing w:line="240" w:lineRule="auto"/>
        <w:jc w:val="both"/>
        <w:rPr>
          <w:b/>
          <w:color w:val="000000"/>
        </w:rPr>
      </w:pPr>
      <w:r w:rsidRPr="00231E54">
        <w:rPr>
          <w:b/>
          <w:color w:val="000000"/>
        </w:rPr>
        <w:t>Aktiprol 200 mg tabletes</w:t>
      </w:r>
    </w:p>
    <w:p w14:paraId="3B412EC5" w14:textId="77777777" w:rsidR="00511160" w:rsidRPr="00231E54" w:rsidRDefault="00511160" w:rsidP="00172761">
      <w:pPr>
        <w:tabs>
          <w:tab w:val="clear" w:pos="567"/>
        </w:tabs>
        <w:spacing w:line="240" w:lineRule="auto"/>
        <w:jc w:val="both"/>
        <w:rPr>
          <w:b/>
          <w:color w:val="000000"/>
        </w:rPr>
      </w:pPr>
      <w:r w:rsidRPr="00231E54">
        <w:rPr>
          <w:b/>
          <w:color w:val="000000"/>
        </w:rPr>
        <w:t>Aktiprol 400 mg tabletes</w:t>
      </w:r>
    </w:p>
    <w:p w14:paraId="4EAC18DA" w14:textId="77777777" w:rsidR="00F75EAB" w:rsidRPr="00231E54" w:rsidRDefault="00F75EAB" w:rsidP="00172761">
      <w:pPr>
        <w:spacing w:line="240" w:lineRule="auto"/>
        <w:jc w:val="both"/>
        <w:rPr>
          <w:color w:val="000000"/>
        </w:rPr>
      </w:pPr>
    </w:p>
    <w:p w14:paraId="3B424281" w14:textId="77777777" w:rsidR="00964FCB" w:rsidRPr="00231E54" w:rsidRDefault="00964FCB" w:rsidP="00172761">
      <w:pPr>
        <w:spacing w:line="240" w:lineRule="auto"/>
        <w:jc w:val="both"/>
        <w:rPr>
          <w:color w:val="000000"/>
        </w:rPr>
      </w:pPr>
    </w:p>
    <w:p w14:paraId="77FE2A7F" w14:textId="77777777" w:rsidR="00F75EAB" w:rsidRPr="00231E54" w:rsidRDefault="00F75EAB" w:rsidP="00172761">
      <w:pPr>
        <w:spacing w:line="240" w:lineRule="auto"/>
        <w:jc w:val="both"/>
        <w:rPr>
          <w:b/>
          <w:color w:val="000000"/>
        </w:rPr>
      </w:pPr>
      <w:r w:rsidRPr="00231E54">
        <w:rPr>
          <w:b/>
          <w:color w:val="000000"/>
        </w:rPr>
        <w:t>2.</w:t>
      </w:r>
      <w:r w:rsidRPr="00231E54">
        <w:rPr>
          <w:b/>
          <w:color w:val="000000"/>
        </w:rPr>
        <w:tab/>
        <w:t>KVALITATĪVAIS UN KVANTITATĪVAIS SASTĀVS</w:t>
      </w:r>
    </w:p>
    <w:p w14:paraId="6CB14FF5" w14:textId="77777777" w:rsidR="00964FCB" w:rsidRPr="00231E54" w:rsidRDefault="00964FCB" w:rsidP="00172761">
      <w:pPr>
        <w:tabs>
          <w:tab w:val="clear" w:pos="567"/>
        </w:tabs>
        <w:spacing w:line="240" w:lineRule="auto"/>
        <w:jc w:val="both"/>
        <w:rPr>
          <w:color w:val="000000"/>
        </w:rPr>
      </w:pPr>
    </w:p>
    <w:p w14:paraId="695553BA" w14:textId="77777777" w:rsidR="00511160" w:rsidRPr="00231E54" w:rsidRDefault="00511160" w:rsidP="00172761">
      <w:pPr>
        <w:tabs>
          <w:tab w:val="clear" w:pos="567"/>
        </w:tabs>
        <w:spacing w:line="240" w:lineRule="auto"/>
        <w:jc w:val="both"/>
        <w:rPr>
          <w:color w:val="000000"/>
        </w:rPr>
      </w:pPr>
      <w:r w:rsidRPr="00231E54">
        <w:rPr>
          <w:color w:val="000000"/>
        </w:rPr>
        <w:t>Aktiprol 50 mg tabletes: Katra tablete satur 50 mg amisulprīda (</w:t>
      </w:r>
      <w:r w:rsidRPr="00231E54">
        <w:rPr>
          <w:i/>
          <w:color w:val="000000"/>
        </w:rPr>
        <w:t>Amisulpridum</w:t>
      </w:r>
      <w:r w:rsidRPr="00231E54">
        <w:rPr>
          <w:color w:val="000000"/>
        </w:rPr>
        <w:t>).</w:t>
      </w:r>
    </w:p>
    <w:p w14:paraId="0979EBCD" w14:textId="77777777" w:rsidR="00511160" w:rsidRPr="00231E54" w:rsidRDefault="00511160" w:rsidP="00172761">
      <w:pPr>
        <w:tabs>
          <w:tab w:val="clear" w:pos="567"/>
        </w:tabs>
        <w:spacing w:line="240" w:lineRule="auto"/>
        <w:jc w:val="both"/>
        <w:rPr>
          <w:color w:val="000000"/>
        </w:rPr>
      </w:pPr>
      <w:r w:rsidRPr="00231E54">
        <w:rPr>
          <w:color w:val="000000"/>
        </w:rPr>
        <w:t>Aktiprol 100 mg tabletes: Katra tablete satur 100 mg amisulprīda (</w:t>
      </w:r>
      <w:r w:rsidRPr="00231E54">
        <w:rPr>
          <w:i/>
          <w:color w:val="000000"/>
        </w:rPr>
        <w:t>Amisulpridum</w:t>
      </w:r>
      <w:r w:rsidRPr="00231E54">
        <w:rPr>
          <w:color w:val="000000"/>
        </w:rPr>
        <w:t>).</w:t>
      </w:r>
    </w:p>
    <w:p w14:paraId="2557DA29" w14:textId="77777777" w:rsidR="00511160" w:rsidRPr="00231E54" w:rsidRDefault="00511160" w:rsidP="00172761">
      <w:pPr>
        <w:tabs>
          <w:tab w:val="clear" w:pos="567"/>
        </w:tabs>
        <w:spacing w:line="240" w:lineRule="auto"/>
        <w:jc w:val="both"/>
        <w:rPr>
          <w:color w:val="000000"/>
        </w:rPr>
      </w:pPr>
      <w:r w:rsidRPr="00231E54">
        <w:rPr>
          <w:color w:val="000000"/>
        </w:rPr>
        <w:t>Aktiprol 200 mg tabletes: Katra tablete satur 200 mg amisulprīda (</w:t>
      </w:r>
      <w:r w:rsidRPr="00231E54">
        <w:rPr>
          <w:i/>
          <w:color w:val="000000"/>
        </w:rPr>
        <w:t>Amisulpridum</w:t>
      </w:r>
      <w:r w:rsidRPr="00231E54">
        <w:rPr>
          <w:color w:val="000000"/>
        </w:rPr>
        <w:t>).</w:t>
      </w:r>
    </w:p>
    <w:p w14:paraId="365923B2" w14:textId="77777777" w:rsidR="00511160" w:rsidRPr="00231E54" w:rsidRDefault="00511160" w:rsidP="00172761">
      <w:pPr>
        <w:tabs>
          <w:tab w:val="clear" w:pos="567"/>
        </w:tabs>
        <w:spacing w:line="240" w:lineRule="auto"/>
        <w:jc w:val="both"/>
        <w:rPr>
          <w:color w:val="000000"/>
        </w:rPr>
      </w:pPr>
      <w:r w:rsidRPr="00231E54">
        <w:rPr>
          <w:color w:val="000000"/>
        </w:rPr>
        <w:t>Aktiprol 400 mg tabletes: Katra tablete satur 400 mg amisulprīda (</w:t>
      </w:r>
      <w:r w:rsidRPr="00231E54">
        <w:rPr>
          <w:i/>
          <w:color w:val="000000"/>
        </w:rPr>
        <w:t>Amisulpridum</w:t>
      </w:r>
      <w:r w:rsidRPr="00231E54">
        <w:rPr>
          <w:color w:val="000000"/>
        </w:rPr>
        <w:t>).</w:t>
      </w:r>
    </w:p>
    <w:p w14:paraId="14BB4479" w14:textId="77777777" w:rsidR="00F75EAB" w:rsidRPr="00231E54" w:rsidRDefault="00F75EAB" w:rsidP="00172761">
      <w:pPr>
        <w:spacing w:line="240" w:lineRule="auto"/>
        <w:jc w:val="both"/>
        <w:rPr>
          <w:color w:val="000000"/>
        </w:rPr>
      </w:pPr>
    </w:p>
    <w:p w14:paraId="6F3EA381" w14:textId="77777777" w:rsidR="00F75EAB" w:rsidRPr="00231E54" w:rsidRDefault="00F75EAB" w:rsidP="00172761">
      <w:pPr>
        <w:pStyle w:val="EMEAEnBodyText"/>
        <w:autoSpaceDE w:val="0"/>
        <w:autoSpaceDN w:val="0"/>
        <w:adjustRightInd w:val="0"/>
        <w:spacing w:before="0" w:after="0"/>
        <w:rPr>
          <w:color w:val="000000"/>
          <w:lang w:val="lv-LV"/>
        </w:rPr>
      </w:pPr>
      <w:r w:rsidRPr="00231E54">
        <w:rPr>
          <w:color w:val="000000"/>
          <w:u w:val="single"/>
          <w:lang w:val="lv-LV"/>
        </w:rPr>
        <w:t>Palīgviela ar zināmu iedarbību</w:t>
      </w:r>
      <w:r w:rsidRPr="00231E54">
        <w:rPr>
          <w:color w:val="000000"/>
          <w:lang w:val="lv-LV"/>
        </w:rPr>
        <w:t>:</w:t>
      </w:r>
      <w:r w:rsidR="00511160" w:rsidRPr="00231E54">
        <w:rPr>
          <w:color w:val="000000"/>
          <w:lang w:val="lv-LV"/>
        </w:rPr>
        <w:t xml:space="preserve"> laktozes monohidrāts.</w:t>
      </w:r>
    </w:p>
    <w:p w14:paraId="51138BFD" w14:textId="77777777" w:rsidR="00511160" w:rsidRPr="00231E54" w:rsidRDefault="00511160" w:rsidP="00172761">
      <w:pPr>
        <w:pStyle w:val="EMEAEnBodyText"/>
        <w:autoSpaceDE w:val="0"/>
        <w:autoSpaceDN w:val="0"/>
        <w:adjustRightInd w:val="0"/>
        <w:spacing w:before="0" w:after="0"/>
        <w:rPr>
          <w:color w:val="000000"/>
          <w:u w:val="single"/>
          <w:lang w:val="lv-LV"/>
        </w:rPr>
      </w:pPr>
      <w:r w:rsidRPr="00231E54">
        <w:rPr>
          <w:color w:val="000000"/>
          <w:lang w:val="lv-LV"/>
        </w:rPr>
        <w:t>Katra 50 mg tablete satur 25,00 mg laktozes monohidrāta.</w:t>
      </w:r>
    </w:p>
    <w:p w14:paraId="75EE5A20" w14:textId="77777777" w:rsidR="00511160" w:rsidRPr="00231E54" w:rsidRDefault="00511160" w:rsidP="00172761">
      <w:pPr>
        <w:pStyle w:val="EMEAEnBodyText"/>
        <w:autoSpaceDE w:val="0"/>
        <w:autoSpaceDN w:val="0"/>
        <w:adjustRightInd w:val="0"/>
        <w:spacing w:before="0" w:after="0"/>
        <w:rPr>
          <w:color w:val="000000"/>
          <w:u w:val="single"/>
          <w:lang w:val="lv-LV"/>
        </w:rPr>
      </w:pPr>
      <w:r w:rsidRPr="00231E54">
        <w:rPr>
          <w:color w:val="000000"/>
          <w:lang w:val="lv-LV"/>
        </w:rPr>
        <w:t>Katra 100 mg tablete satur 50,00 mg laktozes monohidrāta.</w:t>
      </w:r>
    </w:p>
    <w:p w14:paraId="54046912" w14:textId="77777777" w:rsidR="00511160" w:rsidRPr="00231E54" w:rsidRDefault="00511160" w:rsidP="00172761">
      <w:pPr>
        <w:pStyle w:val="EMEAEnBodyText"/>
        <w:autoSpaceDE w:val="0"/>
        <w:autoSpaceDN w:val="0"/>
        <w:adjustRightInd w:val="0"/>
        <w:spacing w:before="0" w:after="0"/>
        <w:rPr>
          <w:color w:val="000000"/>
          <w:u w:val="single"/>
          <w:lang w:val="lv-LV"/>
        </w:rPr>
      </w:pPr>
      <w:r w:rsidRPr="00231E54">
        <w:rPr>
          <w:color w:val="000000"/>
          <w:lang w:val="lv-LV"/>
        </w:rPr>
        <w:t>Katra 200 mg tablete satur 100,00 mg laktozes monohidrāta.</w:t>
      </w:r>
    </w:p>
    <w:p w14:paraId="483FC3A9" w14:textId="77777777" w:rsidR="00511160" w:rsidRPr="00231E54" w:rsidRDefault="00511160" w:rsidP="00172761">
      <w:pPr>
        <w:pStyle w:val="EMEAEnBodyText"/>
        <w:autoSpaceDE w:val="0"/>
        <w:autoSpaceDN w:val="0"/>
        <w:adjustRightInd w:val="0"/>
        <w:spacing w:before="0" w:after="0"/>
        <w:rPr>
          <w:color w:val="000000"/>
          <w:u w:val="single"/>
          <w:lang w:val="lv-LV"/>
        </w:rPr>
      </w:pPr>
      <w:r w:rsidRPr="00231E54">
        <w:rPr>
          <w:color w:val="000000"/>
          <w:lang w:val="lv-LV"/>
        </w:rPr>
        <w:t>Katra 400 mg tablete satur 200,00 mg laktozes monohidrāta.</w:t>
      </w:r>
    </w:p>
    <w:p w14:paraId="5142085B" w14:textId="77777777" w:rsidR="00F75EAB" w:rsidRPr="00231E54" w:rsidRDefault="00F75EAB" w:rsidP="00172761">
      <w:pPr>
        <w:pStyle w:val="EMEAEnBodyText"/>
        <w:autoSpaceDE w:val="0"/>
        <w:autoSpaceDN w:val="0"/>
        <w:adjustRightInd w:val="0"/>
        <w:spacing w:before="0" w:after="0"/>
        <w:rPr>
          <w:color w:val="000000"/>
          <w:u w:val="single"/>
          <w:lang w:val="lv-LV"/>
        </w:rPr>
      </w:pPr>
    </w:p>
    <w:p w14:paraId="6D475C5A" w14:textId="77777777" w:rsidR="00F75EAB" w:rsidRPr="00231E54" w:rsidRDefault="00F75EAB" w:rsidP="00172761">
      <w:pPr>
        <w:spacing w:line="240" w:lineRule="auto"/>
        <w:jc w:val="both"/>
        <w:rPr>
          <w:color w:val="000000"/>
        </w:rPr>
      </w:pPr>
      <w:r w:rsidRPr="00231E54">
        <w:rPr>
          <w:color w:val="000000"/>
        </w:rPr>
        <w:t>Pilnu palīgvielu sarakstu skatīt 6.1. apakšpunktā.</w:t>
      </w:r>
    </w:p>
    <w:p w14:paraId="65AEEBF8" w14:textId="77777777" w:rsidR="00F75EAB" w:rsidRPr="00231E54" w:rsidRDefault="00F75EAB" w:rsidP="00172761">
      <w:pPr>
        <w:spacing w:line="240" w:lineRule="auto"/>
        <w:jc w:val="both"/>
        <w:rPr>
          <w:color w:val="000000"/>
        </w:rPr>
      </w:pPr>
    </w:p>
    <w:p w14:paraId="029F6BEE" w14:textId="77777777" w:rsidR="00964FCB" w:rsidRPr="00231E54" w:rsidRDefault="00964FCB" w:rsidP="00172761">
      <w:pPr>
        <w:spacing w:line="240" w:lineRule="auto"/>
        <w:jc w:val="both"/>
        <w:rPr>
          <w:color w:val="000000"/>
        </w:rPr>
      </w:pPr>
    </w:p>
    <w:p w14:paraId="38FC2CFA" w14:textId="77777777" w:rsidR="00F75EAB" w:rsidRPr="00231E54" w:rsidRDefault="00F75EAB" w:rsidP="00172761">
      <w:pPr>
        <w:spacing w:line="240" w:lineRule="auto"/>
        <w:jc w:val="both"/>
        <w:rPr>
          <w:b/>
          <w:caps/>
          <w:color w:val="000000"/>
        </w:rPr>
      </w:pPr>
      <w:r w:rsidRPr="00231E54">
        <w:rPr>
          <w:b/>
          <w:color w:val="000000"/>
        </w:rPr>
        <w:t>3.</w:t>
      </w:r>
      <w:r w:rsidRPr="00231E54">
        <w:rPr>
          <w:b/>
          <w:color w:val="000000"/>
        </w:rPr>
        <w:tab/>
        <w:t>ZĀĻU FORMA</w:t>
      </w:r>
    </w:p>
    <w:p w14:paraId="3D565069" w14:textId="77777777" w:rsidR="00964FCB" w:rsidRPr="00231E54" w:rsidRDefault="00964FCB" w:rsidP="00172761">
      <w:pPr>
        <w:tabs>
          <w:tab w:val="clear" w:pos="567"/>
        </w:tabs>
        <w:spacing w:line="240" w:lineRule="auto"/>
        <w:jc w:val="both"/>
        <w:rPr>
          <w:color w:val="000000"/>
        </w:rPr>
      </w:pPr>
    </w:p>
    <w:p w14:paraId="3357919B" w14:textId="77777777" w:rsidR="00522106" w:rsidRPr="00231E54" w:rsidRDefault="00522106" w:rsidP="00172761">
      <w:pPr>
        <w:tabs>
          <w:tab w:val="clear" w:pos="567"/>
        </w:tabs>
        <w:spacing w:line="240" w:lineRule="auto"/>
        <w:jc w:val="both"/>
        <w:rPr>
          <w:color w:val="000000"/>
        </w:rPr>
      </w:pPr>
      <w:r w:rsidRPr="00231E54">
        <w:rPr>
          <w:color w:val="000000"/>
        </w:rPr>
        <w:t>Tablete</w:t>
      </w:r>
    </w:p>
    <w:p w14:paraId="4179A965" w14:textId="77777777" w:rsidR="00964FCB" w:rsidRPr="00231E54" w:rsidRDefault="00964FCB" w:rsidP="00172761">
      <w:pPr>
        <w:tabs>
          <w:tab w:val="clear" w:pos="567"/>
        </w:tabs>
        <w:spacing w:line="240" w:lineRule="auto"/>
        <w:jc w:val="both"/>
        <w:rPr>
          <w:color w:val="000000"/>
        </w:rPr>
      </w:pPr>
    </w:p>
    <w:p w14:paraId="73646978" w14:textId="77777777" w:rsidR="00511160" w:rsidRPr="00231E54" w:rsidRDefault="00511160" w:rsidP="00172761">
      <w:pPr>
        <w:tabs>
          <w:tab w:val="clear" w:pos="567"/>
        </w:tabs>
        <w:spacing w:line="240" w:lineRule="auto"/>
        <w:jc w:val="both"/>
        <w:rPr>
          <w:color w:val="000000"/>
        </w:rPr>
      </w:pPr>
      <w:r w:rsidRPr="00231E54">
        <w:rPr>
          <w:color w:val="000000"/>
        </w:rPr>
        <w:t>Aktiprol 50 mg tabletes: baltas, apaļas (diametrs 7 mm), plakanas tabletes.</w:t>
      </w:r>
    </w:p>
    <w:p w14:paraId="6E2F225E" w14:textId="77777777" w:rsidR="00511160" w:rsidRPr="00231E54" w:rsidRDefault="00511160" w:rsidP="00172761">
      <w:pPr>
        <w:tabs>
          <w:tab w:val="clear" w:pos="567"/>
        </w:tabs>
        <w:spacing w:line="240" w:lineRule="auto"/>
        <w:jc w:val="both"/>
        <w:rPr>
          <w:color w:val="000000"/>
        </w:rPr>
      </w:pPr>
      <w:r w:rsidRPr="00231E54">
        <w:rPr>
          <w:color w:val="000000"/>
        </w:rPr>
        <w:t>Aktiprol 100 mg tabletes: baltas, apaļas (diametrs 9,5 mm), plakanas tabletes ar vienā pusē iespiestu MC.</w:t>
      </w:r>
    </w:p>
    <w:p w14:paraId="21466111" w14:textId="77777777" w:rsidR="00511160" w:rsidRPr="00231E54" w:rsidRDefault="00511160" w:rsidP="00172761">
      <w:pPr>
        <w:tabs>
          <w:tab w:val="clear" w:pos="567"/>
        </w:tabs>
        <w:spacing w:line="240" w:lineRule="auto"/>
        <w:jc w:val="both"/>
        <w:rPr>
          <w:color w:val="000000"/>
        </w:rPr>
      </w:pPr>
      <w:r w:rsidRPr="00231E54">
        <w:rPr>
          <w:color w:val="000000"/>
        </w:rPr>
        <w:t>Aktiprol 200 mg tabletes: baltas, apaļas (diametrs 11,5 mm), plakanas tabletes ar dalījuma līniju vienā pusē.</w:t>
      </w:r>
      <w:r w:rsidRPr="00231E54">
        <w:rPr>
          <w:noProof/>
          <w:color w:val="000000"/>
        </w:rPr>
        <w:t xml:space="preserve"> Dalījuma līnija paredzēta tikai tabletes salaušanai, lai atvieglotu tās norīšanu, nevis tabletes dalīšanai vienādās devās.</w:t>
      </w:r>
    </w:p>
    <w:p w14:paraId="240698D4" w14:textId="77777777" w:rsidR="00511160" w:rsidRPr="00231E54" w:rsidRDefault="00511160" w:rsidP="00172761">
      <w:pPr>
        <w:tabs>
          <w:tab w:val="clear" w:pos="567"/>
        </w:tabs>
        <w:spacing w:line="240" w:lineRule="auto"/>
        <w:jc w:val="both"/>
        <w:rPr>
          <w:color w:val="000000"/>
        </w:rPr>
      </w:pPr>
      <w:r w:rsidRPr="00231E54">
        <w:rPr>
          <w:color w:val="000000"/>
        </w:rPr>
        <w:t>Aktiprol 400 mg tabletes: baltas, abpusēji izliektas (izmērs 19 x 10 mm), kapsulas formas tabletes ar dalījuma līniju abās pusēs.</w:t>
      </w:r>
      <w:r w:rsidRPr="00231E54">
        <w:rPr>
          <w:noProof/>
          <w:color w:val="000000"/>
        </w:rPr>
        <w:t xml:space="preserve"> Dalījuma līnija paredzēta tikai tabletes salaušanai, lai atvieglotu tās norīšanu, nevis tabletes dalīšanai vienādās devās.</w:t>
      </w:r>
    </w:p>
    <w:p w14:paraId="2C21B3B7" w14:textId="77777777" w:rsidR="00F75EAB" w:rsidRPr="00231E54" w:rsidRDefault="00F75EAB" w:rsidP="00172761">
      <w:pPr>
        <w:tabs>
          <w:tab w:val="clear" w:pos="567"/>
        </w:tabs>
        <w:spacing w:line="240" w:lineRule="auto"/>
        <w:jc w:val="both"/>
        <w:rPr>
          <w:color w:val="000000"/>
        </w:rPr>
      </w:pPr>
    </w:p>
    <w:p w14:paraId="23F83DE3" w14:textId="77777777" w:rsidR="00964FCB" w:rsidRPr="00231E54" w:rsidRDefault="00964FCB" w:rsidP="00172761">
      <w:pPr>
        <w:tabs>
          <w:tab w:val="clear" w:pos="567"/>
        </w:tabs>
        <w:spacing w:line="240" w:lineRule="auto"/>
        <w:jc w:val="both"/>
        <w:rPr>
          <w:color w:val="000000"/>
        </w:rPr>
      </w:pPr>
    </w:p>
    <w:p w14:paraId="056AEF1B" w14:textId="77777777" w:rsidR="00F75EAB" w:rsidRPr="00231E54" w:rsidRDefault="00F75EAB" w:rsidP="00172761">
      <w:pPr>
        <w:tabs>
          <w:tab w:val="clear" w:pos="567"/>
        </w:tabs>
        <w:spacing w:line="240" w:lineRule="auto"/>
        <w:jc w:val="both"/>
        <w:rPr>
          <w:b/>
          <w:color w:val="000000"/>
        </w:rPr>
      </w:pPr>
      <w:r w:rsidRPr="00231E54">
        <w:rPr>
          <w:b/>
          <w:caps/>
          <w:color w:val="000000"/>
        </w:rPr>
        <w:t>4.</w:t>
      </w:r>
      <w:r w:rsidRPr="00231E54">
        <w:rPr>
          <w:b/>
          <w:caps/>
          <w:color w:val="000000"/>
        </w:rPr>
        <w:tab/>
        <w:t>KLĪNISKĀ INFORMĀCIJA</w:t>
      </w:r>
    </w:p>
    <w:p w14:paraId="726396C7" w14:textId="77777777" w:rsidR="00964FCB" w:rsidRPr="00231E54" w:rsidRDefault="00964FCB" w:rsidP="00172761">
      <w:pPr>
        <w:tabs>
          <w:tab w:val="clear" w:pos="567"/>
        </w:tabs>
        <w:spacing w:line="240" w:lineRule="auto"/>
        <w:jc w:val="both"/>
        <w:rPr>
          <w:b/>
          <w:color w:val="000000"/>
        </w:rPr>
      </w:pPr>
    </w:p>
    <w:p w14:paraId="719C446E" w14:textId="77777777" w:rsidR="00F75EAB" w:rsidRPr="00231E54" w:rsidRDefault="00F75EAB" w:rsidP="00172761">
      <w:pPr>
        <w:tabs>
          <w:tab w:val="clear" w:pos="567"/>
        </w:tabs>
        <w:spacing w:line="240" w:lineRule="auto"/>
        <w:jc w:val="both"/>
        <w:rPr>
          <w:color w:val="000000"/>
        </w:rPr>
      </w:pPr>
      <w:r w:rsidRPr="00231E54">
        <w:rPr>
          <w:b/>
          <w:color w:val="000000"/>
        </w:rPr>
        <w:t>4.1.</w:t>
      </w:r>
      <w:r w:rsidRPr="00231E54">
        <w:rPr>
          <w:b/>
          <w:color w:val="000000"/>
        </w:rPr>
        <w:tab/>
        <w:t>Terapeitiskās indikācijas</w:t>
      </w:r>
    </w:p>
    <w:p w14:paraId="12FA1EC8" w14:textId="77777777" w:rsidR="00DC2486" w:rsidRPr="00231E54" w:rsidRDefault="00DC2486" w:rsidP="00172761">
      <w:pPr>
        <w:tabs>
          <w:tab w:val="clear" w:pos="567"/>
        </w:tabs>
        <w:autoSpaceDE w:val="0"/>
        <w:autoSpaceDN w:val="0"/>
        <w:adjustRightInd w:val="0"/>
        <w:spacing w:line="240" w:lineRule="auto"/>
        <w:jc w:val="both"/>
        <w:rPr>
          <w:rFonts w:eastAsia="Calibri"/>
          <w:color w:val="000000"/>
          <w:szCs w:val="22"/>
        </w:rPr>
      </w:pPr>
      <w:r w:rsidRPr="00231E54">
        <w:rPr>
          <w:rFonts w:eastAsia="Calibri"/>
          <w:color w:val="000000"/>
          <w:szCs w:val="22"/>
        </w:rPr>
        <w:t>Aktiprol ir indicēts akūtu un hronisku šizofrēnisku traucējumu ārstēšanai:</w:t>
      </w:r>
    </w:p>
    <w:p w14:paraId="207BAB03" w14:textId="77777777" w:rsidR="00DC2486" w:rsidRPr="00231E54" w:rsidRDefault="00DC2486" w:rsidP="00172761">
      <w:pPr>
        <w:numPr>
          <w:ilvl w:val="0"/>
          <w:numId w:val="32"/>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ar pozitīviem simptomiem (piemēram, murgi, halucinācijas, domāšanas traucējumi, naidīgums, paranoīdi maldi);</w:t>
      </w:r>
    </w:p>
    <w:p w14:paraId="435C4916" w14:textId="77777777" w:rsidR="00DC2486" w:rsidRPr="00231E54" w:rsidRDefault="00DC2486" w:rsidP="00172761">
      <w:pPr>
        <w:numPr>
          <w:ilvl w:val="0"/>
          <w:numId w:val="32"/>
        </w:numPr>
        <w:tabs>
          <w:tab w:val="clear" w:pos="567"/>
          <w:tab w:val="left" w:pos="709"/>
        </w:tabs>
        <w:autoSpaceDE w:val="0"/>
        <w:autoSpaceDN w:val="0"/>
        <w:adjustRightInd w:val="0"/>
        <w:spacing w:line="240" w:lineRule="auto"/>
        <w:jc w:val="both"/>
        <w:rPr>
          <w:color w:val="000000"/>
          <w:szCs w:val="22"/>
        </w:rPr>
      </w:pPr>
      <w:r w:rsidRPr="00231E54">
        <w:rPr>
          <w:rFonts w:eastAsia="Calibri"/>
          <w:color w:val="000000"/>
          <w:szCs w:val="22"/>
        </w:rPr>
        <w:t>ar negatīviem simptomiem (piemēram, emocionāls trulums, emocionāla un sociāla atsvešināšanās).</w:t>
      </w:r>
    </w:p>
    <w:p w14:paraId="466CB745" w14:textId="77777777" w:rsidR="00F75EAB" w:rsidRPr="00231E54" w:rsidRDefault="00F75EAB" w:rsidP="00172761">
      <w:pPr>
        <w:tabs>
          <w:tab w:val="clear" w:pos="567"/>
        </w:tabs>
        <w:spacing w:line="240" w:lineRule="auto"/>
        <w:jc w:val="both"/>
        <w:rPr>
          <w:color w:val="000000"/>
        </w:rPr>
      </w:pPr>
    </w:p>
    <w:p w14:paraId="53BFA995" w14:textId="77777777" w:rsidR="00F75EAB" w:rsidRPr="00231E54" w:rsidRDefault="00F75EAB" w:rsidP="00172761">
      <w:pPr>
        <w:tabs>
          <w:tab w:val="clear" w:pos="567"/>
        </w:tabs>
        <w:spacing w:line="240" w:lineRule="auto"/>
        <w:jc w:val="both"/>
        <w:rPr>
          <w:b/>
          <w:color w:val="000000"/>
        </w:rPr>
      </w:pPr>
      <w:r w:rsidRPr="00231E54">
        <w:rPr>
          <w:b/>
          <w:color w:val="000000"/>
        </w:rPr>
        <w:t>4.2.</w:t>
      </w:r>
      <w:r w:rsidRPr="00231E54">
        <w:rPr>
          <w:b/>
          <w:color w:val="000000"/>
        </w:rPr>
        <w:tab/>
        <w:t>Devas un lietošanas veids</w:t>
      </w:r>
    </w:p>
    <w:p w14:paraId="7AD998F5" w14:textId="77777777" w:rsidR="00964FCB" w:rsidRPr="00231E54" w:rsidRDefault="00964FCB" w:rsidP="00172761">
      <w:pPr>
        <w:tabs>
          <w:tab w:val="clear" w:pos="567"/>
        </w:tabs>
        <w:spacing w:line="240" w:lineRule="auto"/>
        <w:jc w:val="both"/>
        <w:rPr>
          <w:color w:val="000000"/>
          <w:szCs w:val="22"/>
          <w:u w:val="single"/>
        </w:rPr>
      </w:pPr>
    </w:p>
    <w:p w14:paraId="08CDFB6C" w14:textId="77777777" w:rsidR="00F75EAB" w:rsidRPr="00231E54" w:rsidRDefault="00F75EAB" w:rsidP="00172761">
      <w:pPr>
        <w:tabs>
          <w:tab w:val="clear" w:pos="567"/>
        </w:tabs>
        <w:spacing w:line="240" w:lineRule="auto"/>
        <w:jc w:val="both"/>
        <w:rPr>
          <w:color w:val="000000"/>
          <w:szCs w:val="22"/>
          <w:u w:val="single"/>
        </w:rPr>
      </w:pPr>
      <w:r w:rsidRPr="00231E54">
        <w:rPr>
          <w:color w:val="000000"/>
          <w:szCs w:val="22"/>
          <w:u w:val="single"/>
        </w:rPr>
        <w:t>Devas</w:t>
      </w:r>
    </w:p>
    <w:p w14:paraId="613320FE" w14:textId="77777777" w:rsidR="008E1753" w:rsidRPr="00231E54" w:rsidRDefault="008E1753" w:rsidP="00172761">
      <w:pPr>
        <w:shd w:val="clear" w:color="auto" w:fill="FFFFFF"/>
        <w:tabs>
          <w:tab w:val="left" w:pos="540"/>
        </w:tabs>
        <w:spacing w:line="240" w:lineRule="auto"/>
        <w:jc w:val="both"/>
        <w:rPr>
          <w:color w:val="000000"/>
          <w:szCs w:val="22"/>
          <w:lang w:eastAsia="fr-FR"/>
        </w:rPr>
      </w:pPr>
      <w:r w:rsidRPr="00231E54">
        <w:rPr>
          <w:color w:val="000000"/>
          <w:szCs w:val="22"/>
          <w:lang w:eastAsia="fr-FR"/>
        </w:rPr>
        <w:t xml:space="preserve">Akūtu psihotisku epizožu gadījumā ieteicams lietot iekšķīgi 400 mg dienā un 800 mg dienā lielas devas. Atsevišķos gadījumos dienas devu var palielināt līdz 1200 mg dienā. Devu, kas lielākas par 1200 mg dienā, drošums nav pietiekami plaši izvērtēts, tādēļ tādas devas lietot nav ieteicams. Uzsākot ārstēšanu </w:t>
      </w:r>
      <w:r w:rsidRPr="00231E54">
        <w:rPr>
          <w:color w:val="000000"/>
          <w:szCs w:val="22"/>
          <w:lang w:eastAsia="fr-FR"/>
        </w:rPr>
        <w:lastRenderedPageBreak/>
        <w:t>ar Aktiprol, īpaša devu pielāgošana nav nepieciešama. Devas jāpielāgo atbilstoši individuālajai atbildes reakcijai.</w:t>
      </w:r>
    </w:p>
    <w:p w14:paraId="0185AA69" w14:textId="77777777" w:rsidR="008E1753" w:rsidRPr="00231E54" w:rsidRDefault="008E1753" w:rsidP="00172761">
      <w:pPr>
        <w:shd w:val="clear" w:color="auto" w:fill="FFFFFF"/>
        <w:tabs>
          <w:tab w:val="left" w:pos="540"/>
        </w:tabs>
        <w:spacing w:line="240" w:lineRule="auto"/>
        <w:jc w:val="both"/>
        <w:rPr>
          <w:color w:val="000000"/>
          <w:szCs w:val="22"/>
          <w:lang w:eastAsia="fr-FR"/>
        </w:rPr>
      </w:pPr>
    </w:p>
    <w:p w14:paraId="7FE73477" w14:textId="77777777" w:rsidR="008E1753" w:rsidRPr="00231E54" w:rsidRDefault="008E1753" w:rsidP="00172761">
      <w:pPr>
        <w:tabs>
          <w:tab w:val="clear" w:pos="567"/>
        </w:tabs>
        <w:autoSpaceDE w:val="0"/>
        <w:autoSpaceDN w:val="0"/>
        <w:adjustRightInd w:val="0"/>
        <w:spacing w:line="240" w:lineRule="auto"/>
        <w:jc w:val="both"/>
        <w:rPr>
          <w:rFonts w:eastAsia="Calibri"/>
          <w:color w:val="000000"/>
          <w:szCs w:val="22"/>
        </w:rPr>
      </w:pPr>
      <w:r w:rsidRPr="00231E54">
        <w:rPr>
          <w:rFonts w:eastAsia="Calibri"/>
          <w:color w:val="000000"/>
          <w:szCs w:val="22"/>
        </w:rPr>
        <w:t>Pacientiem ar jauktiem pozitīviem un negatīviem simptomiem deva jāpielāgo, lai iegūtu optimālu pozitīvo simptomu kontroli.</w:t>
      </w:r>
    </w:p>
    <w:p w14:paraId="63D4AD85" w14:textId="77777777" w:rsidR="008E1753" w:rsidRPr="00231E54" w:rsidRDefault="008E1753" w:rsidP="00172761">
      <w:pPr>
        <w:shd w:val="clear" w:color="auto" w:fill="FFFFFF"/>
        <w:tabs>
          <w:tab w:val="left" w:pos="540"/>
        </w:tabs>
        <w:spacing w:line="240" w:lineRule="auto"/>
        <w:jc w:val="both"/>
        <w:rPr>
          <w:color w:val="000000"/>
          <w:szCs w:val="22"/>
          <w:lang w:eastAsia="fr-FR"/>
        </w:rPr>
      </w:pPr>
    </w:p>
    <w:p w14:paraId="7111A918" w14:textId="77777777" w:rsidR="008E1753" w:rsidRPr="00231E54" w:rsidRDefault="008E1753" w:rsidP="00172761">
      <w:pPr>
        <w:shd w:val="clear" w:color="auto" w:fill="FFFFFF"/>
        <w:tabs>
          <w:tab w:val="left" w:pos="540"/>
        </w:tabs>
        <w:spacing w:line="240" w:lineRule="auto"/>
        <w:jc w:val="both"/>
        <w:rPr>
          <w:color w:val="000000"/>
          <w:szCs w:val="22"/>
          <w:lang w:eastAsia="fr-FR"/>
        </w:rPr>
      </w:pPr>
      <w:r w:rsidRPr="00231E54">
        <w:rPr>
          <w:color w:val="000000"/>
        </w:rPr>
        <w:t xml:space="preserve">Balstterapija katram pacientam jānosaka individuāli, </w:t>
      </w:r>
      <w:r w:rsidRPr="00231E54">
        <w:rPr>
          <w:color w:val="000000"/>
          <w:szCs w:val="22"/>
          <w:lang w:eastAsia="fr-FR"/>
        </w:rPr>
        <w:t>lietojot mazāko efektīvo devu.</w:t>
      </w:r>
    </w:p>
    <w:p w14:paraId="4D90FF7E" w14:textId="77777777" w:rsidR="008E1753" w:rsidRPr="00231E54" w:rsidRDefault="008E1753" w:rsidP="00172761">
      <w:pPr>
        <w:shd w:val="clear" w:color="auto" w:fill="FFFFFF"/>
        <w:tabs>
          <w:tab w:val="left" w:pos="540"/>
        </w:tabs>
        <w:spacing w:line="240" w:lineRule="auto"/>
        <w:jc w:val="both"/>
        <w:rPr>
          <w:color w:val="000000"/>
          <w:szCs w:val="22"/>
          <w:lang w:eastAsia="fr-FR"/>
        </w:rPr>
      </w:pPr>
    </w:p>
    <w:p w14:paraId="4EA675B1" w14:textId="77777777" w:rsidR="008E1753" w:rsidRPr="00231E54" w:rsidRDefault="008E1753" w:rsidP="00172761">
      <w:pPr>
        <w:shd w:val="clear" w:color="auto" w:fill="FFFFFF"/>
        <w:tabs>
          <w:tab w:val="left" w:pos="540"/>
        </w:tabs>
        <w:spacing w:line="240" w:lineRule="auto"/>
        <w:jc w:val="both"/>
        <w:rPr>
          <w:color w:val="000000"/>
          <w:szCs w:val="22"/>
          <w:lang w:eastAsia="fr-FR"/>
        </w:rPr>
      </w:pPr>
      <w:r w:rsidRPr="00231E54">
        <w:rPr>
          <w:color w:val="000000"/>
        </w:rPr>
        <w:t xml:space="preserve">Pacientiem, </w:t>
      </w:r>
      <w:r w:rsidRPr="00231E54">
        <w:rPr>
          <w:color w:val="000000"/>
          <w:szCs w:val="22"/>
          <w:lang w:eastAsia="fr-FR"/>
        </w:rPr>
        <w:t>kuriem dominē negatīvie simptomi, ieteicams lietot iekšķīgi 50 mg dienā līdz 300 mg dienā lielas devas. Deva jāpielāgo individuāli.</w:t>
      </w:r>
    </w:p>
    <w:p w14:paraId="62FDD6DF" w14:textId="77777777" w:rsidR="008E1753" w:rsidRPr="00231E54" w:rsidRDefault="008E1753" w:rsidP="00172761">
      <w:pPr>
        <w:shd w:val="clear" w:color="auto" w:fill="FFFFFF"/>
        <w:tabs>
          <w:tab w:val="left" w:pos="540"/>
        </w:tabs>
        <w:spacing w:line="240" w:lineRule="auto"/>
        <w:jc w:val="both"/>
        <w:rPr>
          <w:color w:val="000000"/>
          <w:szCs w:val="22"/>
          <w:lang w:eastAsia="fr-FR"/>
        </w:rPr>
      </w:pPr>
    </w:p>
    <w:p w14:paraId="3F292578" w14:textId="77777777" w:rsidR="008E1753" w:rsidRPr="00231E54" w:rsidRDefault="008E1753" w:rsidP="00172761">
      <w:pPr>
        <w:shd w:val="clear" w:color="auto" w:fill="FFFFFF"/>
        <w:tabs>
          <w:tab w:val="left" w:pos="540"/>
        </w:tabs>
        <w:spacing w:line="240" w:lineRule="auto"/>
        <w:jc w:val="both"/>
        <w:rPr>
          <w:color w:val="000000"/>
        </w:rPr>
      </w:pPr>
      <w:r w:rsidRPr="00231E54">
        <w:rPr>
          <w:color w:val="000000"/>
          <w:szCs w:val="22"/>
          <w:lang w:eastAsia="fr-FR"/>
        </w:rPr>
        <w:t>Aktiprol</w:t>
      </w:r>
      <w:r w:rsidRPr="00231E54">
        <w:rPr>
          <w:color w:val="000000"/>
        </w:rPr>
        <w:t xml:space="preserve"> var lietot vienu reizi dienā iekšķīgi līdz pat 400 mg lielās devās, lielākas devas jālieto dalītu devu veidā.</w:t>
      </w:r>
    </w:p>
    <w:p w14:paraId="288F3B1F" w14:textId="77777777" w:rsidR="008E1753" w:rsidRPr="00231E54" w:rsidRDefault="008E1753" w:rsidP="00172761">
      <w:pPr>
        <w:shd w:val="clear" w:color="auto" w:fill="FFFFFF"/>
        <w:tabs>
          <w:tab w:val="left" w:pos="540"/>
        </w:tabs>
        <w:spacing w:line="240" w:lineRule="auto"/>
        <w:jc w:val="both"/>
        <w:rPr>
          <w:color w:val="000000"/>
        </w:rPr>
      </w:pPr>
    </w:p>
    <w:p w14:paraId="19DBD587" w14:textId="77777777" w:rsidR="008E1753" w:rsidRPr="00231E54" w:rsidRDefault="008E1753" w:rsidP="00172761">
      <w:pPr>
        <w:shd w:val="clear" w:color="auto" w:fill="FFFFFF"/>
        <w:tabs>
          <w:tab w:val="left" w:pos="540"/>
        </w:tabs>
        <w:spacing w:line="240" w:lineRule="auto"/>
        <w:jc w:val="both"/>
        <w:rPr>
          <w:color w:val="000000"/>
        </w:rPr>
      </w:pPr>
      <w:r w:rsidRPr="00231E54">
        <w:rPr>
          <w:color w:val="000000"/>
        </w:rPr>
        <w:t>Jālieto mazākā efektīvā deva.</w:t>
      </w:r>
    </w:p>
    <w:p w14:paraId="219B578A" w14:textId="77777777" w:rsidR="008E1753" w:rsidRPr="00231E54" w:rsidRDefault="008E1753" w:rsidP="00172761">
      <w:pPr>
        <w:shd w:val="clear" w:color="auto" w:fill="FFFFFF"/>
        <w:tabs>
          <w:tab w:val="left" w:pos="540"/>
        </w:tabs>
        <w:spacing w:line="240" w:lineRule="auto"/>
        <w:jc w:val="both"/>
        <w:rPr>
          <w:color w:val="000000"/>
          <w:szCs w:val="22"/>
        </w:rPr>
      </w:pPr>
    </w:p>
    <w:p w14:paraId="5F7A0526" w14:textId="77777777" w:rsidR="008E1753" w:rsidRPr="00231E54" w:rsidRDefault="008E1753" w:rsidP="00172761">
      <w:pPr>
        <w:spacing w:line="240" w:lineRule="auto"/>
        <w:jc w:val="both"/>
        <w:rPr>
          <w:i/>
          <w:color w:val="000000"/>
          <w:szCs w:val="22"/>
          <w:lang w:eastAsia="fr-FR"/>
        </w:rPr>
      </w:pPr>
      <w:r w:rsidRPr="00231E54">
        <w:rPr>
          <w:i/>
          <w:color w:val="000000"/>
          <w:szCs w:val="22"/>
          <w:lang w:eastAsia="fr-FR"/>
        </w:rPr>
        <w:t>Gados vecāki pacienti</w:t>
      </w:r>
    </w:p>
    <w:p w14:paraId="67246F99" w14:textId="77777777" w:rsidR="008E1753" w:rsidRPr="00231E54" w:rsidRDefault="008E1753" w:rsidP="00172761">
      <w:pPr>
        <w:spacing w:line="240" w:lineRule="auto"/>
        <w:jc w:val="both"/>
        <w:rPr>
          <w:color w:val="000000"/>
          <w:szCs w:val="22"/>
          <w:lang w:eastAsia="fr-FR"/>
        </w:rPr>
      </w:pPr>
      <w:r w:rsidRPr="00231E54">
        <w:rPr>
          <w:color w:val="000000"/>
          <w:szCs w:val="22"/>
          <w:lang w:eastAsia="fr-FR"/>
        </w:rPr>
        <w:t>Amisulprīda drošums pētīts ierobežotam skaitam gados vecāku pacientu. Amisulprīds jālieto īpaši piesardzīgi iespējama hipotensijas un sedācijas riska dēļ. Devas samazināšana var būt nepieciešama arī nieru mazspējas dēļ.</w:t>
      </w:r>
    </w:p>
    <w:p w14:paraId="7BDA36E4" w14:textId="77777777" w:rsidR="00F75EAB" w:rsidRPr="00231E54" w:rsidRDefault="00F75EAB" w:rsidP="00172761">
      <w:pPr>
        <w:tabs>
          <w:tab w:val="clear" w:pos="567"/>
        </w:tabs>
        <w:spacing w:line="240" w:lineRule="auto"/>
        <w:jc w:val="both"/>
        <w:rPr>
          <w:color w:val="000000"/>
          <w:szCs w:val="22"/>
          <w:u w:val="single"/>
        </w:rPr>
      </w:pPr>
    </w:p>
    <w:p w14:paraId="7D78C1C2" w14:textId="77777777" w:rsidR="00F75EAB" w:rsidRPr="00231E54" w:rsidRDefault="00F75EAB" w:rsidP="00172761">
      <w:pPr>
        <w:tabs>
          <w:tab w:val="clear" w:pos="567"/>
        </w:tabs>
        <w:spacing w:line="240" w:lineRule="auto"/>
        <w:jc w:val="both"/>
        <w:rPr>
          <w:bCs/>
          <w:i/>
          <w:iCs/>
          <w:color w:val="000000"/>
          <w:szCs w:val="22"/>
        </w:rPr>
      </w:pPr>
      <w:r w:rsidRPr="00231E54">
        <w:rPr>
          <w:bCs/>
          <w:i/>
          <w:iCs/>
          <w:color w:val="000000"/>
          <w:szCs w:val="22"/>
        </w:rPr>
        <w:t>Pediatriskā populācija</w:t>
      </w:r>
    </w:p>
    <w:p w14:paraId="1CAE3646" w14:textId="77777777" w:rsidR="008B4FFD" w:rsidRPr="00231E54" w:rsidRDefault="008B4FFD" w:rsidP="00172761">
      <w:pPr>
        <w:spacing w:line="240" w:lineRule="auto"/>
        <w:jc w:val="both"/>
        <w:rPr>
          <w:color w:val="000000"/>
          <w:szCs w:val="22"/>
        </w:rPr>
      </w:pPr>
      <w:r w:rsidRPr="00231E54">
        <w:rPr>
          <w:color w:val="000000"/>
          <w:szCs w:val="22"/>
        </w:rPr>
        <w:t>Amisulprīda efektivitāte un lietošanas drošums no pubertātes vecuma līdz 18 gadu vecumam nav noteikts. Pieejamie dati par amisulprīda lietošanu pusaudžiem ar šizofrēniju ir ierobežoti. Tādēļ amisulprīda lietošana no pubertātes vecuma līdz 18 gadu vecumam nav ieteicama, bet bērniem līdz pubertātes vecumam amisulprīda lietošana ir kontrindicēta, jo tā drošums vēl nav noteikts (skatīt 4.3. apakšpunktu).</w:t>
      </w:r>
    </w:p>
    <w:p w14:paraId="6264EC93" w14:textId="77777777" w:rsidR="008B4FFD" w:rsidRPr="00231E54" w:rsidRDefault="008B4FFD" w:rsidP="00172761">
      <w:pPr>
        <w:shd w:val="clear" w:color="auto" w:fill="FFFFFF"/>
        <w:tabs>
          <w:tab w:val="left" w:pos="540"/>
        </w:tabs>
        <w:spacing w:line="240" w:lineRule="auto"/>
        <w:jc w:val="both"/>
        <w:rPr>
          <w:color w:val="000000"/>
          <w:szCs w:val="22"/>
        </w:rPr>
      </w:pPr>
    </w:p>
    <w:p w14:paraId="54D4B8BD" w14:textId="77777777" w:rsidR="008B4FFD" w:rsidRPr="00231E54" w:rsidRDefault="008B4FFD" w:rsidP="00172761">
      <w:pPr>
        <w:shd w:val="clear" w:color="auto" w:fill="FFFFFF"/>
        <w:tabs>
          <w:tab w:val="left" w:pos="540"/>
        </w:tabs>
        <w:spacing w:line="240" w:lineRule="auto"/>
        <w:jc w:val="both"/>
        <w:rPr>
          <w:i/>
          <w:color w:val="000000"/>
        </w:rPr>
      </w:pPr>
      <w:r w:rsidRPr="00231E54">
        <w:rPr>
          <w:i/>
          <w:color w:val="000000"/>
        </w:rPr>
        <w:t>Nieru mazspēja</w:t>
      </w:r>
    </w:p>
    <w:p w14:paraId="7FC015BB" w14:textId="77777777" w:rsidR="008B4FFD" w:rsidRPr="00231E54" w:rsidRDefault="00964FCB" w:rsidP="00172761">
      <w:pPr>
        <w:shd w:val="clear" w:color="auto" w:fill="FFFFFF"/>
        <w:tabs>
          <w:tab w:val="left" w:pos="540"/>
        </w:tabs>
        <w:spacing w:line="240" w:lineRule="auto"/>
        <w:jc w:val="both"/>
        <w:rPr>
          <w:color w:val="000000"/>
          <w:szCs w:val="22"/>
        </w:rPr>
      </w:pPr>
      <w:r w:rsidRPr="00231E54">
        <w:rPr>
          <w:color w:val="000000"/>
        </w:rPr>
        <w:t xml:space="preserve">Amisulprīds </w:t>
      </w:r>
      <w:r w:rsidR="008B4FFD" w:rsidRPr="00231E54">
        <w:rPr>
          <w:color w:val="000000"/>
        </w:rPr>
        <w:t xml:space="preserve">izdalās caur nierēm. Nieru mazspējas gadījumā pacientiem ar kreatinīna klīrensu 30-60 ml/min deva jāsamazina uz pusi un pacientiem ar kreatinīna klīrensu 10-30 ml/min - līdz vienai trešdaļai. Tā kā nav pieredzes par zāļu lietošanu pacientiem ar smagiem nieru darbības traucējumiem </w:t>
      </w:r>
      <w:r w:rsidR="008B4FFD" w:rsidRPr="00231E54">
        <w:rPr>
          <w:smallCaps/>
          <w:color w:val="000000"/>
        </w:rPr>
        <w:t>(</w:t>
      </w:r>
      <w:r w:rsidR="008B4FFD" w:rsidRPr="00231E54">
        <w:rPr>
          <w:color w:val="000000"/>
        </w:rPr>
        <w:t>kreatinīna klīrenss</w:t>
      </w:r>
      <w:r w:rsidR="008B4FFD" w:rsidRPr="00231E54">
        <w:rPr>
          <w:smallCaps/>
          <w:color w:val="000000"/>
        </w:rPr>
        <w:t xml:space="preserve"> </w:t>
      </w:r>
      <w:r w:rsidR="008B4FFD" w:rsidRPr="00231E54">
        <w:rPr>
          <w:color w:val="000000"/>
        </w:rPr>
        <w:t xml:space="preserve">&lt; 10 ml/min), šiem pacientiem zāles ieteicams lietot ļoti uzmanīgi (skatīt 4.4. apakšpunktu). </w:t>
      </w:r>
    </w:p>
    <w:p w14:paraId="070E966E" w14:textId="77777777" w:rsidR="008B4FFD" w:rsidRPr="00231E54" w:rsidRDefault="008B4FFD" w:rsidP="00172761">
      <w:pPr>
        <w:shd w:val="clear" w:color="auto" w:fill="FFFFFF"/>
        <w:tabs>
          <w:tab w:val="left" w:pos="540"/>
        </w:tabs>
        <w:spacing w:line="240" w:lineRule="auto"/>
        <w:jc w:val="both"/>
        <w:rPr>
          <w:color w:val="000000"/>
          <w:szCs w:val="22"/>
        </w:rPr>
      </w:pPr>
    </w:p>
    <w:p w14:paraId="55ADB83A" w14:textId="77777777" w:rsidR="008B4FFD" w:rsidRPr="00231E54" w:rsidRDefault="008B4FFD" w:rsidP="00172761">
      <w:pPr>
        <w:shd w:val="clear" w:color="auto" w:fill="FFFFFF"/>
        <w:tabs>
          <w:tab w:val="left" w:pos="540"/>
        </w:tabs>
        <w:spacing w:line="240" w:lineRule="auto"/>
        <w:jc w:val="both"/>
        <w:rPr>
          <w:i/>
          <w:color w:val="000000"/>
        </w:rPr>
      </w:pPr>
      <w:r w:rsidRPr="00231E54">
        <w:rPr>
          <w:i/>
          <w:color w:val="000000"/>
        </w:rPr>
        <w:t>Aknu mazspēja</w:t>
      </w:r>
    </w:p>
    <w:p w14:paraId="048160BE" w14:textId="77777777" w:rsidR="008B4FFD" w:rsidRPr="00231E54" w:rsidRDefault="008B4FFD" w:rsidP="00172761">
      <w:pPr>
        <w:shd w:val="clear" w:color="auto" w:fill="FFFFFF"/>
        <w:tabs>
          <w:tab w:val="left" w:pos="540"/>
        </w:tabs>
        <w:spacing w:line="240" w:lineRule="auto"/>
        <w:jc w:val="both"/>
        <w:rPr>
          <w:color w:val="000000"/>
          <w:szCs w:val="22"/>
        </w:rPr>
      </w:pPr>
      <w:r w:rsidRPr="00231E54">
        <w:rPr>
          <w:color w:val="000000"/>
        </w:rPr>
        <w:t xml:space="preserve">Tā kā šīs zāles tiek vāji metabolizētas, devas </w:t>
      </w:r>
      <w:r w:rsidRPr="00231E54">
        <w:rPr>
          <w:color w:val="000000"/>
          <w:szCs w:val="22"/>
          <w:lang w:eastAsia="fr-FR"/>
        </w:rPr>
        <w:t>samazināšana nav nepieciešama.</w:t>
      </w:r>
    </w:p>
    <w:p w14:paraId="7268FA10" w14:textId="77777777" w:rsidR="00F75EAB" w:rsidRPr="00231E54" w:rsidRDefault="00F75EAB" w:rsidP="00172761">
      <w:pPr>
        <w:tabs>
          <w:tab w:val="clear" w:pos="567"/>
        </w:tabs>
        <w:spacing w:line="240" w:lineRule="auto"/>
        <w:jc w:val="both"/>
        <w:rPr>
          <w:b/>
          <w:i/>
          <w:color w:val="000000"/>
          <w:szCs w:val="22"/>
        </w:rPr>
      </w:pPr>
    </w:p>
    <w:p w14:paraId="404E3BFC" w14:textId="77777777" w:rsidR="00F75EAB" w:rsidRPr="00231E54" w:rsidRDefault="00F75EAB" w:rsidP="00172761">
      <w:pPr>
        <w:tabs>
          <w:tab w:val="clear" w:pos="567"/>
        </w:tabs>
        <w:spacing w:line="240" w:lineRule="auto"/>
        <w:jc w:val="both"/>
        <w:rPr>
          <w:color w:val="000000"/>
          <w:szCs w:val="22"/>
          <w:u w:val="single"/>
        </w:rPr>
      </w:pPr>
      <w:r w:rsidRPr="00231E54">
        <w:rPr>
          <w:color w:val="000000"/>
          <w:szCs w:val="22"/>
          <w:u w:val="single"/>
        </w:rPr>
        <w:t>Lietošanas veids</w:t>
      </w:r>
    </w:p>
    <w:p w14:paraId="14601C46" w14:textId="77777777" w:rsidR="00F75EAB" w:rsidRPr="00231E54" w:rsidRDefault="008E1753" w:rsidP="00172761">
      <w:pPr>
        <w:tabs>
          <w:tab w:val="clear" w:pos="567"/>
        </w:tabs>
        <w:spacing w:line="240" w:lineRule="auto"/>
        <w:jc w:val="both"/>
        <w:rPr>
          <w:color w:val="000000"/>
          <w:szCs w:val="22"/>
        </w:rPr>
      </w:pPr>
      <w:r w:rsidRPr="00231E54">
        <w:rPr>
          <w:color w:val="000000"/>
          <w:szCs w:val="22"/>
        </w:rPr>
        <w:t>Iekšķīgai lietošanai.</w:t>
      </w:r>
    </w:p>
    <w:p w14:paraId="46296838" w14:textId="77777777" w:rsidR="008E1753" w:rsidRPr="00231E54" w:rsidRDefault="008E1753" w:rsidP="00172761">
      <w:pPr>
        <w:tabs>
          <w:tab w:val="clear" w:pos="567"/>
        </w:tabs>
        <w:spacing w:line="240" w:lineRule="auto"/>
        <w:jc w:val="both"/>
        <w:rPr>
          <w:b/>
          <w:color w:val="000000"/>
          <w:szCs w:val="22"/>
        </w:rPr>
      </w:pPr>
    </w:p>
    <w:p w14:paraId="3D900E6D" w14:textId="77777777" w:rsidR="00F75EAB" w:rsidRPr="00231E54" w:rsidRDefault="00F75EAB" w:rsidP="00172761">
      <w:pPr>
        <w:tabs>
          <w:tab w:val="clear" w:pos="567"/>
        </w:tabs>
        <w:spacing w:line="240" w:lineRule="auto"/>
        <w:jc w:val="both"/>
        <w:rPr>
          <w:b/>
          <w:color w:val="000000"/>
        </w:rPr>
      </w:pPr>
      <w:r w:rsidRPr="00231E54">
        <w:rPr>
          <w:b/>
          <w:color w:val="000000"/>
        </w:rPr>
        <w:t>4.3.</w:t>
      </w:r>
      <w:r w:rsidRPr="00231E54">
        <w:rPr>
          <w:b/>
          <w:color w:val="000000"/>
        </w:rPr>
        <w:tab/>
        <w:t>Kontrindikācijas</w:t>
      </w:r>
    </w:p>
    <w:p w14:paraId="5A863C85" w14:textId="77777777" w:rsidR="00964FCB" w:rsidRPr="00231E54" w:rsidRDefault="00964FCB" w:rsidP="00172761">
      <w:pPr>
        <w:tabs>
          <w:tab w:val="clear" w:pos="567"/>
        </w:tabs>
        <w:spacing w:line="240" w:lineRule="auto"/>
        <w:jc w:val="both"/>
        <w:rPr>
          <w:color w:val="000000"/>
        </w:rPr>
      </w:pPr>
    </w:p>
    <w:p w14:paraId="6ACC9ABF" w14:textId="77777777" w:rsidR="00F75EAB" w:rsidRPr="00231E54" w:rsidRDefault="00F75EAB" w:rsidP="00172761">
      <w:pPr>
        <w:numPr>
          <w:ilvl w:val="0"/>
          <w:numId w:val="33"/>
        </w:numPr>
        <w:tabs>
          <w:tab w:val="clear" w:pos="567"/>
          <w:tab w:val="left" w:pos="709"/>
        </w:tabs>
        <w:spacing w:line="240" w:lineRule="auto"/>
        <w:jc w:val="both"/>
        <w:rPr>
          <w:color w:val="000000"/>
        </w:rPr>
      </w:pPr>
      <w:r w:rsidRPr="00231E54">
        <w:rPr>
          <w:color w:val="000000"/>
        </w:rPr>
        <w:t>Paaugstināta jutība pret aktīvo vielu vai jebkuru no 6.1. apakšpunktā uzskaitītajām palīgvielām.</w:t>
      </w:r>
    </w:p>
    <w:p w14:paraId="465988D3" w14:textId="77777777" w:rsidR="00A379E9" w:rsidRPr="00231E54" w:rsidRDefault="00A379E9" w:rsidP="00172761">
      <w:pPr>
        <w:numPr>
          <w:ilvl w:val="0"/>
          <w:numId w:val="33"/>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Vienlaikus esoši prolaktīnatkarīgi audzēji (piemēram, hipofīzes prolaktinomas vai krūts dziedzera vēzis).</w:t>
      </w:r>
    </w:p>
    <w:p w14:paraId="73E2CECE" w14:textId="77777777" w:rsidR="00A379E9" w:rsidRPr="00231E54" w:rsidRDefault="00A379E9" w:rsidP="00172761">
      <w:pPr>
        <w:numPr>
          <w:ilvl w:val="0"/>
          <w:numId w:val="33"/>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Feohromocitom</w:t>
      </w:r>
      <w:r w:rsidR="00E12A18" w:rsidRPr="00231E54">
        <w:rPr>
          <w:rFonts w:eastAsia="Calibri"/>
          <w:color w:val="000000"/>
          <w:szCs w:val="22"/>
        </w:rPr>
        <w:t>a</w:t>
      </w:r>
      <w:r w:rsidRPr="00231E54">
        <w:rPr>
          <w:rFonts w:eastAsia="Calibri"/>
          <w:color w:val="000000"/>
          <w:szCs w:val="22"/>
        </w:rPr>
        <w:t>.</w:t>
      </w:r>
    </w:p>
    <w:p w14:paraId="5F24B1F7" w14:textId="77777777" w:rsidR="00A379E9" w:rsidRPr="00231E54" w:rsidRDefault="00A379E9" w:rsidP="00172761">
      <w:pPr>
        <w:numPr>
          <w:ilvl w:val="0"/>
          <w:numId w:val="33"/>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Bērniem līdz pubertātes vecumam (skatīt 4.2. apakšpunktu).</w:t>
      </w:r>
    </w:p>
    <w:p w14:paraId="1DCC37C2" w14:textId="77777777" w:rsidR="00A379E9" w:rsidRPr="00231E54" w:rsidRDefault="00A379E9" w:rsidP="00172761">
      <w:pPr>
        <w:numPr>
          <w:ilvl w:val="0"/>
          <w:numId w:val="33"/>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Iedzimts pagarināts QT intervāls.</w:t>
      </w:r>
    </w:p>
    <w:p w14:paraId="3E83DDF3" w14:textId="77777777" w:rsidR="00A379E9" w:rsidRPr="00231E54" w:rsidRDefault="00A379E9" w:rsidP="00172761">
      <w:pPr>
        <w:numPr>
          <w:ilvl w:val="0"/>
          <w:numId w:val="33"/>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Krūts barošanas periods (skatīt 4.6. apakšpunktu)</w:t>
      </w:r>
    </w:p>
    <w:p w14:paraId="63E69043" w14:textId="77777777" w:rsidR="00A379E9" w:rsidRPr="00231E54" w:rsidRDefault="00A379E9" w:rsidP="00172761">
      <w:pPr>
        <w:numPr>
          <w:ilvl w:val="0"/>
          <w:numId w:val="33"/>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Kombinācijā ar levodopu (skatīt 4.5. apakšpunktu).</w:t>
      </w:r>
    </w:p>
    <w:p w14:paraId="1F394424" w14:textId="77777777" w:rsidR="00A379E9" w:rsidRPr="00231E54" w:rsidRDefault="00A379E9" w:rsidP="00172761">
      <w:pPr>
        <w:numPr>
          <w:ilvl w:val="0"/>
          <w:numId w:val="33"/>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Vienlaicīga zāļu, kas var pagarināt QT intervālu, lietošana.</w:t>
      </w:r>
    </w:p>
    <w:p w14:paraId="72F7DED5" w14:textId="77777777" w:rsidR="00A379E9" w:rsidRPr="00231E54" w:rsidRDefault="00A379E9" w:rsidP="00172761">
      <w:pPr>
        <w:numPr>
          <w:ilvl w:val="0"/>
          <w:numId w:val="33"/>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 xml:space="preserve">Vienlaicīga lietošana ar sekojošām zālēm, kas var izraisīt </w:t>
      </w:r>
      <w:r w:rsidRPr="00231E54">
        <w:rPr>
          <w:rFonts w:eastAsia="Calibri"/>
          <w:i/>
          <w:color w:val="000000"/>
          <w:szCs w:val="22"/>
        </w:rPr>
        <w:t>torsades de pointes</w:t>
      </w:r>
      <w:r w:rsidRPr="00231E54">
        <w:rPr>
          <w:rFonts w:eastAsia="Calibri"/>
          <w:color w:val="000000"/>
          <w:szCs w:val="22"/>
        </w:rPr>
        <w:t>:</w:t>
      </w:r>
    </w:p>
    <w:p w14:paraId="2A2C95B4" w14:textId="77777777" w:rsidR="00A379E9" w:rsidRPr="00231E54" w:rsidRDefault="00A379E9" w:rsidP="00172761">
      <w:pPr>
        <w:numPr>
          <w:ilvl w:val="0"/>
          <w:numId w:val="34"/>
        </w:numPr>
        <w:tabs>
          <w:tab w:val="clear" w:pos="567"/>
          <w:tab w:val="left" w:pos="1134"/>
        </w:tabs>
        <w:autoSpaceDE w:val="0"/>
        <w:autoSpaceDN w:val="0"/>
        <w:adjustRightInd w:val="0"/>
        <w:spacing w:line="240" w:lineRule="auto"/>
        <w:ind w:left="1134"/>
        <w:jc w:val="both"/>
        <w:rPr>
          <w:rFonts w:eastAsia="Calibri"/>
          <w:color w:val="000000"/>
          <w:szCs w:val="22"/>
        </w:rPr>
      </w:pPr>
      <w:r w:rsidRPr="00231E54">
        <w:rPr>
          <w:rFonts w:eastAsia="Calibri"/>
          <w:color w:val="000000"/>
          <w:szCs w:val="22"/>
        </w:rPr>
        <w:t>Ia klases antiaritmiskie līdzekļi, piemēram, hinidīns un disopiramīds;</w:t>
      </w:r>
    </w:p>
    <w:p w14:paraId="0B77EBD7" w14:textId="77777777" w:rsidR="00A379E9" w:rsidRPr="00231E54" w:rsidRDefault="00A379E9" w:rsidP="00172761">
      <w:pPr>
        <w:numPr>
          <w:ilvl w:val="0"/>
          <w:numId w:val="34"/>
        </w:numPr>
        <w:tabs>
          <w:tab w:val="clear" w:pos="567"/>
          <w:tab w:val="left" w:pos="1134"/>
        </w:tabs>
        <w:autoSpaceDE w:val="0"/>
        <w:autoSpaceDN w:val="0"/>
        <w:adjustRightInd w:val="0"/>
        <w:spacing w:line="240" w:lineRule="auto"/>
        <w:ind w:left="1134"/>
        <w:jc w:val="both"/>
        <w:rPr>
          <w:rFonts w:eastAsia="Calibri"/>
          <w:color w:val="000000"/>
          <w:szCs w:val="22"/>
        </w:rPr>
      </w:pPr>
      <w:r w:rsidRPr="00231E54">
        <w:rPr>
          <w:rFonts w:eastAsia="Calibri"/>
          <w:color w:val="000000"/>
          <w:szCs w:val="22"/>
        </w:rPr>
        <w:t>III klases antiaritmiskie līdzekļi, piemēram, amiodarons un sotalols;</w:t>
      </w:r>
    </w:p>
    <w:p w14:paraId="129F5B98" w14:textId="77777777" w:rsidR="00A379E9" w:rsidRPr="00231E54" w:rsidRDefault="00BD378C" w:rsidP="00172761">
      <w:pPr>
        <w:numPr>
          <w:ilvl w:val="0"/>
          <w:numId w:val="33"/>
        </w:numPr>
        <w:tabs>
          <w:tab w:val="clear" w:pos="567"/>
          <w:tab w:val="left" w:pos="709"/>
          <w:tab w:val="left" w:pos="1134"/>
        </w:tabs>
        <w:autoSpaceDE w:val="0"/>
        <w:autoSpaceDN w:val="0"/>
        <w:adjustRightInd w:val="0"/>
        <w:spacing w:line="240" w:lineRule="auto"/>
        <w:jc w:val="both"/>
        <w:rPr>
          <w:rFonts w:eastAsia="Calibri"/>
          <w:color w:val="000000"/>
          <w:szCs w:val="22"/>
        </w:rPr>
      </w:pPr>
      <w:r w:rsidRPr="00231E54">
        <w:rPr>
          <w:rFonts w:eastAsia="Calibri"/>
          <w:color w:val="000000"/>
          <w:szCs w:val="22"/>
        </w:rPr>
        <w:t>c</w:t>
      </w:r>
      <w:r w:rsidR="00A379E9" w:rsidRPr="00231E54">
        <w:rPr>
          <w:rFonts w:eastAsia="Calibri"/>
          <w:color w:val="000000"/>
          <w:szCs w:val="22"/>
        </w:rPr>
        <w:t>itas zāles, piemēram, bepridils, cisaprīds, sultoprīds, tioridazīns, metadons, intravenozi ievadāms eritromicīns, intravenozi ievadāms vinkamicīns, halofantrīns, pentamidīns, sparfloskacīns (skatīt 4.5. apakšpunktu).</w:t>
      </w:r>
    </w:p>
    <w:p w14:paraId="06898A73" w14:textId="77777777" w:rsidR="00A379E9" w:rsidRPr="00231E54" w:rsidRDefault="00A379E9" w:rsidP="00172761">
      <w:pPr>
        <w:tabs>
          <w:tab w:val="clear" w:pos="567"/>
          <w:tab w:val="left" w:pos="709"/>
        </w:tabs>
        <w:autoSpaceDE w:val="0"/>
        <w:autoSpaceDN w:val="0"/>
        <w:adjustRightInd w:val="0"/>
        <w:spacing w:line="240" w:lineRule="auto"/>
        <w:jc w:val="both"/>
        <w:rPr>
          <w:rFonts w:eastAsia="Calibri"/>
          <w:color w:val="000000"/>
          <w:szCs w:val="22"/>
        </w:rPr>
      </w:pPr>
    </w:p>
    <w:p w14:paraId="6591020A" w14:textId="77777777" w:rsidR="00F75EAB" w:rsidRPr="00231E54" w:rsidRDefault="00F75EAB" w:rsidP="00172761">
      <w:pPr>
        <w:tabs>
          <w:tab w:val="clear" w:pos="567"/>
          <w:tab w:val="left" w:pos="709"/>
        </w:tabs>
        <w:spacing w:line="240" w:lineRule="auto"/>
        <w:jc w:val="both"/>
        <w:rPr>
          <w:b/>
          <w:color w:val="000000"/>
        </w:rPr>
      </w:pPr>
      <w:r w:rsidRPr="00231E54">
        <w:rPr>
          <w:b/>
          <w:color w:val="000000"/>
        </w:rPr>
        <w:t>4.4.</w:t>
      </w:r>
      <w:r w:rsidRPr="00231E54">
        <w:rPr>
          <w:b/>
          <w:color w:val="000000"/>
        </w:rPr>
        <w:tab/>
        <w:t>Īpaši brīdinājumi un piesardzība lietošanā</w:t>
      </w:r>
    </w:p>
    <w:p w14:paraId="0708368B" w14:textId="77777777" w:rsidR="00964FCB" w:rsidRPr="00231E54" w:rsidRDefault="00964FCB" w:rsidP="00172761">
      <w:pPr>
        <w:shd w:val="clear" w:color="auto" w:fill="FFFFFF"/>
        <w:tabs>
          <w:tab w:val="left" w:pos="709"/>
        </w:tabs>
        <w:spacing w:line="240" w:lineRule="auto"/>
        <w:jc w:val="both"/>
        <w:rPr>
          <w:b/>
          <w:i/>
          <w:color w:val="000000"/>
          <w:u w:val="single"/>
        </w:rPr>
      </w:pPr>
    </w:p>
    <w:p w14:paraId="61211E1A" w14:textId="77777777" w:rsidR="0074598F" w:rsidRPr="00231E54" w:rsidRDefault="0074598F" w:rsidP="00172761">
      <w:pPr>
        <w:shd w:val="clear" w:color="auto" w:fill="FFFFFF"/>
        <w:tabs>
          <w:tab w:val="left" w:pos="709"/>
        </w:tabs>
        <w:spacing w:line="240" w:lineRule="auto"/>
        <w:jc w:val="both"/>
        <w:rPr>
          <w:i/>
          <w:color w:val="000000"/>
          <w:u w:val="single"/>
        </w:rPr>
      </w:pPr>
      <w:r w:rsidRPr="00231E54">
        <w:rPr>
          <w:i/>
          <w:color w:val="000000"/>
          <w:u w:val="single"/>
        </w:rPr>
        <w:t>Ļaundabīgais neiroleptiskais sindroms</w:t>
      </w:r>
    </w:p>
    <w:p w14:paraId="4E8CC0B5" w14:textId="77777777" w:rsidR="0074598F" w:rsidRPr="00231E54" w:rsidRDefault="0074598F" w:rsidP="00172761">
      <w:pPr>
        <w:shd w:val="clear" w:color="auto" w:fill="FFFFFF"/>
        <w:tabs>
          <w:tab w:val="left" w:pos="709"/>
        </w:tabs>
        <w:spacing w:line="240" w:lineRule="auto"/>
        <w:jc w:val="both"/>
        <w:rPr>
          <w:color w:val="000000"/>
          <w:szCs w:val="22"/>
        </w:rPr>
      </w:pPr>
      <w:r w:rsidRPr="00231E54">
        <w:rPr>
          <w:color w:val="000000"/>
        </w:rPr>
        <w:t>Tāpat kā lietojot citus neiroleptiskos līdzekļus, var attīstīties ļaundabīgais neiroleptiskais sindroms - komplikācija ar iespējamu letālu iznākumu, kam raksturīga hipertermija, muskuļu rigiditāte, autonomās nervu sistēmas nestabilitāte, apziņas traucējumi un paaugstināts KFK (kreatīnfosfokināzes) līmenis. Hipertermijas gadījumā, it īpaši lietojot lielas dienas devas, jāpārtrauc visu antipsihotisko zāļu, arī Aktiprol, lietošana.</w:t>
      </w:r>
    </w:p>
    <w:p w14:paraId="08C9C3DD" w14:textId="77777777" w:rsidR="0074598F" w:rsidRPr="00231E54" w:rsidRDefault="0074598F" w:rsidP="00172761">
      <w:pPr>
        <w:shd w:val="clear" w:color="auto" w:fill="FFFFFF"/>
        <w:tabs>
          <w:tab w:val="left" w:pos="709"/>
        </w:tabs>
        <w:spacing w:line="240" w:lineRule="auto"/>
        <w:jc w:val="both"/>
        <w:rPr>
          <w:color w:val="000000"/>
        </w:rPr>
      </w:pPr>
    </w:p>
    <w:p w14:paraId="3F6B9C2C" w14:textId="77777777" w:rsidR="0074598F" w:rsidRPr="00231E54" w:rsidRDefault="0074598F" w:rsidP="00172761">
      <w:pPr>
        <w:shd w:val="clear" w:color="auto" w:fill="FFFFFF"/>
        <w:tabs>
          <w:tab w:val="left" w:pos="709"/>
        </w:tabs>
        <w:spacing w:line="240" w:lineRule="auto"/>
        <w:jc w:val="both"/>
        <w:rPr>
          <w:i/>
          <w:color w:val="000000"/>
          <w:u w:val="single"/>
        </w:rPr>
      </w:pPr>
      <w:r w:rsidRPr="00231E54">
        <w:rPr>
          <w:i/>
          <w:color w:val="000000"/>
          <w:u w:val="single"/>
        </w:rPr>
        <w:t>Hiperglikēmija</w:t>
      </w:r>
    </w:p>
    <w:p w14:paraId="1E53283E" w14:textId="77777777" w:rsidR="0074598F" w:rsidRPr="00231E54" w:rsidRDefault="0074598F" w:rsidP="00172761">
      <w:pPr>
        <w:shd w:val="clear" w:color="auto" w:fill="FFFFFF"/>
        <w:tabs>
          <w:tab w:val="left" w:pos="709"/>
        </w:tabs>
        <w:spacing w:line="240" w:lineRule="auto"/>
        <w:jc w:val="both"/>
        <w:rPr>
          <w:color w:val="000000"/>
        </w:rPr>
      </w:pPr>
      <w:r w:rsidRPr="00231E54">
        <w:rPr>
          <w:color w:val="000000"/>
        </w:rPr>
        <w:t>Ziņots par hiperglikēmiju pacientiem, kuri ārstēti ar dažiem atipiskiem antipsihotiskajiem līdzekļiem, tajā skaitā amisulprīdu, tāpēc pacientiem ar noteiktu cukura diabēta diagnozi vai diabēta riska faktoriem, kuri uzsāk amisulprīda terapiju, jāveic atbilstoša glikēmijas kontrole.</w:t>
      </w:r>
    </w:p>
    <w:p w14:paraId="773B8758" w14:textId="77777777" w:rsidR="0074598F" w:rsidRPr="00231E54" w:rsidRDefault="0074598F" w:rsidP="00172761">
      <w:pPr>
        <w:shd w:val="clear" w:color="auto" w:fill="FFFFFF"/>
        <w:tabs>
          <w:tab w:val="left" w:pos="709"/>
        </w:tabs>
        <w:spacing w:line="240" w:lineRule="auto"/>
        <w:jc w:val="both"/>
        <w:rPr>
          <w:color w:val="000000"/>
        </w:rPr>
      </w:pPr>
    </w:p>
    <w:p w14:paraId="41C43D58" w14:textId="77777777" w:rsidR="0074598F" w:rsidRPr="00231E54" w:rsidRDefault="0074598F" w:rsidP="00172761">
      <w:pPr>
        <w:shd w:val="clear" w:color="auto" w:fill="FFFFFF"/>
        <w:tabs>
          <w:tab w:val="left" w:pos="709"/>
        </w:tabs>
        <w:spacing w:line="240" w:lineRule="auto"/>
        <w:jc w:val="both"/>
        <w:rPr>
          <w:i/>
          <w:color w:val="000000"/>
          <w:u w:val="single"/>
        </w:rPr>
      </w:pPr>
      <w:r w:rsidRPr="00231E54">
        <w:rPr>
          <w:i/>
          <w:color w:val="000000"/>
          <w:u w:val="single"/>
        </w:rPr>
        <w:t>Nieru mazspēja</w:t>
      </w:r>
    </w:p>
    <w:p w14:paraId="207234E8" w14:textId="77777777" w:rsidR="0074598F" w:rsidRPr="00231E54" w:rsidRDefault="0074598F" w:rsidP="00172761">
      <w:pPr>
        <w:shd w:val="clear" w:color="auto" w:fill="FFFFFF"/>
        <w:tabs>
          <w:tab w:val="left" w:pos="709"/>
        </w:tabs>
        <w:spacing w:line="240" w:lineRule="auto"/>
        <w:jc w:val="both"/>
        <w:rPr>
          <w:color w:val="000000"/>
        </w:rPr>
      </w:pPr>
      <w:r w:rsidRPr="00231E54">
        <w:rPr>
          <w:color w:val="000000"/>
        </w:rPr>
        <w:t>Amisulprīds tiek izvadīts caur nierēm. Nieru mazspējas gadījumā jāsamazina zāļu deva, vai arī var apsvērt intermitējošu ārstēšanu (skatīt 4.2. apakšpunktu).</w:t>
      </w:r>
    </w:p>
    <w:p w14:paraId="58647D40" w14:textId="77777777" w:rsidR="0074598F" w:rsidRPr="00231E54" w:rsidRDefault="0074598F" w:rsidP="00172761">
      <w:pPr>
        <w:shd w:val="clear" w:color="auto" w:fill="FFFFFF"/>
        <w:tabs>
          <w:tab w:val="left" w:pos="709"/>
        </w:tabs>
        <w:spacing w:line="240" w:lineRule="auto"/>
        <w:jc w:val="both"/>
        <w:rPr>
          <w:color w:val="000000"/>
          <w:szCs w:val="22"/>
        </w:rPr>
      </w:pPr>
    </w:p>
    <w:p w14:paraId="2225D958" w14:textId="77777777" w:rsidR="0074598F" w:rsidRPr="00231E54" w:rsidRDefault="0074598F" w:rsidP="00172761">
      <w:pPr>
        <w:shd w:val="clear" w:color="auto" w:fill="FFFFFF"/>
        <w:tabs>
          <w:tab w:val="left" w:pos="709"/>
        </w:tabs>
        <w:spacing w:line="240" w:lineRule="auto"/>
        <w:jc w:val="both"/>
        <w:rPr>
          <w:i/>
          <w:color w:val="000000"/>
          <w:u w:val="single"/>
        </w:rPr>
      </w:pPr>
      <w:r w:rsidRPr="00231E54">
        <w:rPr>
          <w:i/>
          <w:color w:val="000000"/>
          <w:u w:val="single"/>
        </w:rPr>
        <w:t>Epilepsija</w:t>
      </w:r>
    </w:p>
    <w:p w14:paraId="210FB753" w14:textId="77777777" w:rsidR="0074598F" w:rsidRPr="00231E54" w:rsidRDefault="00964FCB" w:rsidP="00172761">
      <w:pPr>
        <w:shd w:val="clear" w:color="auto" w:fill="FFFFFF"/>
        <w:tabs>
          <w:tab w:val="left" w:pos="709"/>
        </w:tabs>
        <w:spacing w:line="240" w:lineRule="auto"/>
        <w:jc w:val="both"/>
        <w:rPr>
          <w:color w:val="000000"/>
          <w:szCs w:val="22"/>
        </w:rPr>
      </w:pPr>
      <w:r w:rsidRPr="00231E54">
        <w:rPr>
          <w:color w:val="000000"/>
        </w:rPr>
        <w:t xml:space="preserve">Amisulprīds </w:t>
      </w:r>
      <w:r w:rsidR="0074598F" w:rsidRPr="00231E54">
        <w:rPr>
          <w:color w:val="000000"/>
        </w:rPr>
        <w:t>var pazemināt krampju slieksni. Tādēļ pacienti, kuriem anamnēzē ir epilepsija, Aktiprol terapijas laikā ir rūpīgi jānovēro.</w:t>
      </w:r>
    </w:p>
    <w:p w14:paraId="72F8A106" w14:textId="77777777" w:rsidR="0074598F" w:rsidRPr="00231E54" w:rsidRDefault="0074598F" w:rsidP="00172761">
      <w:pPr>
        <w:shd w:val="clear" w:color="auto" w:fill="FFFFFF"/>
        <w:tabs>
          <w:tab w:val="left" w:pos="709"/>
        </w:tabs>
        <w:spacing w:line="240" w:lineRule="auto"/>
        <w:jc w:val="both"/>
        <w:rPr>
          <w:color w:val="000000"/>
        </w:rPr>
      </w:pPr>
    </w:p>
    <w:p w14:paraId="47465406" w14:textId="77777777" w:rsidR="0074598F" w:rsidRPr="00231E54" w:rsidRDefault="0074598F" w:rsidP="00172761">
      <w:pPr>
        <w:tabs>
          <w:tab w:val="left" w:pos="709"/>
        </w:tabs>
        <w:spacing w:line="240" w:lineRule="auto"/>
        <w:jc w:val="both"/>
        <w:rPr>
          <w:i/>
          <w:color w:val="000000"/>
          <w:szCs w:val="22"/>
          <w:u w:val="single"/>
        </w:rPr>
      </w:pPr>
      <w:r w:rsidRPr="00231E54">
        <w:rPr>
          <w:i/>
          <w:color w:val="000000"/>
          <w:szCs w:val="22"/>
          <w:u w:val="single"/>
        </w:rPr>
        <w:t>Gados vecāki pacienti</w:t>
      </w:r>
    </w:p>
    <w:p w14:paraId="701232EF" w14:textId="77777777" w:rsidR="0074598F" w:rsidRPr="00231E54" w:rsidRDefault="0074598F" w:rsidP="00172761">
      <w:pPr>
        <w:shd w:val="clear" w:color="auto" w:fill="FFFFFF"/>
        <w:tabs>
          <w:tab w:val="left" w:pos="709"/>
        </w:tabs>
        <w:spacing w:line="240" w:lineRule="auto"/>
        <w:jc w:val="both"/>
        <w:rPr>
          <w:color w:val="000000"/>
        </w:rPr>
      </w:pPr>
      <w:r w:rsidRPr="00231E54">
        <w:rPr>
          <w:color w:val="000000"/>
        </w:rPr>
        <w:t xml:space="preserve">Gados vecākiem pacientiem, iespējamā hipotensijas vai sedācijas riska dēļ </w:t>
      </w:r>
      <w:r w:rsidR="00964FCB" w:rsidRPr="00231E54">
        <w:rPr>
          <w:color w:val="000000"/>
        </w:rPr>
        <w:t>amisulprīds</w:t>
      </w:r>
      <w:r w:rsidRPr="00231E54">
        <w:rPr>
          <w:color w:val="000000"/>
        </w:rPr>
        <w:t>, tāpat kā citi neiroleptiskie līdzekļi, jālieto īpaši piesardzīgi. Devas samazināšana var būt nepieciešama arī nieru mazspējas dēļ.</w:t>
      </w:r>
    </w:p>
    <w:p w14:paraId="0538E2FA" w14:textId="77777777" w:rsidR="0074598F" w:rsidRPr="00231E54" w:rsidRDefault="0074598F" w:rsidP="00172761">
      <w:pPr>
        <w:shd w:val="clear" w:color="auto" w:fill="FFFFFF"/>
        <w:tabs>
          <w:tab w:val="left" w:pos="709"/>
        </w:tabs>
        <w:spacing w:line="240" w:lineRule="auto"/>
        <w:jc w:val="both"/>
        <w:rPr>
          <w:color w:val="000000"/>
        </w:rPr>
      </w:pPr>
    </w:p>
    <w:p w14:paraId="726856E0" w14:textId="77777777" w:rsidR="0074598F" w:rsidRPr="00231E54" w:rsidRDefault="0074598F" w:rsidP="00172761">
      <w:pPr>
        <w:shd w:val="clear" w:color="auto" w:fill="FFFFFF"/>
        <w:tabs>
          <w:tab w:val="left" w:pos="709"/>
        </w:tabs>
        <w:spacing w:line="240" w:lineRule="auto"/>
        <w:jc w:val="both"/>
        <w:rPr>
          <w:i/>
          <w:color w:val="000000"/>
          <w:u w:val="single"/>
        </w:rPr>
      </w:pPr>
      <w:r w:rsidRPr="00231E54">
        <w:rPr>
          <w:i/>
          <w:color w:val="000000"/>
          <w:u w:val="single"/>
        </w:rPr>
        <w:t>Parkinsona slimība</w:t>
      </w:r>
    </w:p>
    <w:p w14:paraId="27D9C936" w14:textId="77777777" w:rsidR="0074598F" w:rsidRPr="00231E54" w:rsidRDefault="0074598F" w:rsidP="00172761">
      <w:pPr>
        <w:shd w:val="clear" w:color="auto" w:fill="FFFFFF"/>
        <w:tabs>
          <w:tab w:val="left" w:pos="709"/>
        </w:tabs>
        <w:spacing w:line="240" w:lineRule="auto"/>
        <w:jc w:val="both"/>
        <w:rPr>
          <w:color w:val="000000"/>
        </w:rPr>
      </w:pPr>
      <w:r w:rsidRPr="00231E54">
        <w:rPr>
          <w:color w:val="000000"/>
        </w:rPr>
        <w:t>Tāpat kā citi antidopamīnerģiskie līdzekļi, arī Aktiprol lietošana piesardzīgi jānozīmē pacientiem ar Parkinsona slimību, jo tas var pasliktināt slimības gaitu. Aktiprol drīkst lietot tikai tad, ja nav iespējams izvairīties no ārstēšanas ar neiroleptiskiem līdzekļiem.</w:t>
      </w:r>
    </w:p>
    <w:p w14:paraId="6908DD94" w14:textId="77777777" w:rsidR="0074598F" w:rsidRPr="00231E54" w:rsidRDefault="0074598F" w:rsidP="00172761">
      <w:pPr>
        <w:shd w:val="clear" w:color="auto" w:fill="FFFFFF"/>
        <w:tabs>
          <w:tab w:val="left" w:pos="709"/>
        </w:tabs>
        <w:spacing w:line="240" w:lineRule="auto"/>
        <w:jc w:val="both"/>
        <w:rPr>
          <w:color w:val="000000"/>
          <w:szCs w:val="22"/>
        </w:rPr>
      </w:pPr>
    </w:p>
    <w:p w14:paraId="1429631D" w14:textId="77777777" w:rsidR="0074598F" w:rsidRPr="00231E54" w:rsidRDefault="0074598F" w:rsidP="00172761">
      <w:pPr>
        <w:tabs>
          <w:tab w:val="left" w:pos="709"/>
        </w:tabs>
        <w:spacing w:line="240" w:lineRule="auto"/>
        <w:jc w:val="both"/>
        <w:rPr>
          <w:i/>
          <w:color w:val="000000"/>
          <w:szCs w:val="22"/>
          <w:u w:val="single"/>
        </w:rPr>
      </w:pPr>
      <w:r w:rsidRPr="00231E54">
        <w:rPr>
          <w:i/>
          <w:color w:val="000000"/>
          <w:szCs w:val="22"/>
          <w:u w:val="single"/>
        </w:rPr>
        <w:t>Zāļu lietošanas pārtraukšana</w:t>
      </w:r>
    </w:p>
    <w:p w14:paraId="12CC1C0A" w14:textId="77777777" w:rsidR="0074598F" w:rsidRPr="00231E54" w:rsidRDefault="0074598F" w:rsidP="00172761">
      <w:pPr>
        <w:tabs>
          <w:tab w:val="left" w:pos="709"/>
        </w:tabs>
        <w:spacing w:line="240" w:lineRule="auto"/>
        <w:jc w:val="both"/>
        <w:rPr>
          <w:color w:val="000000"/>
          <w:szCs w:val="22"/>
        </w:rPr>
      </w:pPr>
      <w:r w:rsidRPr="00231E54">
        <w:rPr>
          <w:color w:val="000000"/>
          <w:szCs w:val="22"/>
        </w:rPr>
        <w:t xml:space="preserve">Pēc pēkšņas antipsihotisko līdzekļu lietošanas lielās devās pārtraukšanas ir aprakstīti akūti abstinences simptomi, </w:t>
      </w:r>
      <w:r w:rsidR="00DB7F98" w:rsidRPr="00231E54">
        <w:rPr>
          <w:color w:val="000000"/>
          <w:szCs w:val="22"/>
        </w:rPr>
        <w:t>tajā sk</w:t>
      </w:r>
      <w:r w:rsidRPr="00231E54">
        <w:rPr>
          <w:color w:val="000000"/>
          <w:szCs w:val="22"/>
        </w:rPr>
        <w:t>aitā slikta dūša, vemšana un bezmiegs. Var būt arī psihotisko simptomu atkārtošanās, un ziņots par patvaļīgu kustību traucējumu (piemēram, akatīzijas, distonijas un disknēzijas) rašanos. Tādēļ amisulprīda lietošanu ieteicams pārtraukt pakāpeniski.</w:t>
      </w:r>
    </w:p>
    <w:p w14:paraId="3B5C7091" w14:textId="77777777" w:rsidR="0074598F" w:rsidRPr="00231E54" w:rsidRDefault="0074598F" w:rsidP="00172761">
      <w:pPr>
        <w:shd w:val="clear" w:color="auto" w:fill="FFFFFF"/>
        <w:tabs>
          <w:tab w:val="left" w:pos="709"/>
        </w:tabs>
        <w:spacing w:line="240" w:lineRule="auto"/>
        <w:jc w:val="both"/>
        <w:rPr>
          <w:color w:val="000000"/>
        </w:rPr>
      </w:pPr>
    </w:p>
    <w:p w14:paraId="645748B5" w14:textId="77777777" w:rsidR="0074598F" w:rsidRPr="00231E54" w:rsidRDefault="0074598F" w:rsidP="00172761">
      <w:pPr>
        <w:shd w:val="clear" w:color="auto" w:fill="FFFFFF"/>
        <w:tabs>
          <w:tab w:val="left" w:pos="709"/>
        </w:tabs>
        <w:spacing w:line="240" w:lineRule="auto"/>
        <w:jc w:val="both"/>
        <w:rPr>
          <w:i/>
          <w:color w:val="000000"/>
          <w:szCs w:val="22"/>
          <w:u w:val="single"/>
        </w:rPr>
      </w:pPr>
      <w:r w:rsidRPr="00231E54">
        <w:rPr>
          <w:i/>
          <w:color w:val="000000"/>
          <w:u w:val="single"/>
        </w:rPr>
        <w:t>QT intervāla pagarināšanās</w:t>
      </w:r>
    </w:p>
    <w:p w14:paraId="038D4663" w14:textId="77777777" w:rsidR="0074598F" w:rsidRPr="00231E54" w:rsidRDefault="0074598F" w:rsidP="00172761">
      <w:pPr>
        <w:pStyle w:val="Default"/>
        <w:tabs>
          <w:tab w:val="left" w:pos="709"/>
        </w:tabs>
        <w:jc w:val="both"/>
        <w:rPr>
          <w:sz w:val="22"/>
          <w:lang w:val="lv-LV"/>
        </w:rPr>
      </w:pPr>
      <w:r w:rsidRPr="00231E54">
        <w:rPr>
          <w:sz w:val="22"/>
          <w:lang w:val="lv-LV"/>
        </w:rPr>
        <w:t xml:space="preserve">Amisulprīds piesardzīgi jānozīmē pacientiem ar diagnosticētu kardiovaskulāru slimību vai QT intervāla pagarināšanos ģimenes anamnēzē, kā arī jāizvairās no vienlaicīgas neiroleptisko līdzekļu lietošanas. Amisulprīds izraisa no devas atkarīgu QT intervāla pagarināšanos (skatīt 4.8. apakšpunktu). Ir zināms, ka tas palielina nopietnas ventrikulāras aritmijas, piemēram, </w:t>
      </w:r>
      <w:r w:rsidRPr="00231E54">
        <w:rPr>
          <w:i/>
          <w:sz w:val="22"/>
          <w:lang w:val="lv-LV"/>
        </w:rPr>
        <w:t>torsades de pointes</w:t>
      </w:r>
      <w:r w:rsidRPr="00231E54">
        <w:rPr>
          <w:sz w:val="22"/>
          <w:lang w:val="lv-LV"/>
        </w:rPr>
        <w:t>, risku. Pirms uzsākt ārstēšanu, ja pacienta klīniskais stāvoklis to pieļauj, ieteicams novērot faktorus, kas var palielināt šo sirds ritma traucējumu rašanās risku, piemēram:</w:t>
      </w:r>
    </w:p>
    <w:p w14:paraId="5DD1F664" w14:textId="77777777" w:rsidR="0074598F" w:rsidRPr="00231E54" w:rsidRDefault="0074598F" w:rsidP="00172761">
      <w:pPr>
        <w:pStyle w:val="Default"/>
        <w:widowControl/>
        <w:numPr>
          <w:ilvl w:val="0"/>
          <w:numId w:val="36"/>
        </w:numPr>
        <w:tabs>
          <w:tab w:val="left" w:pos="709"/>
        </w:tabs>
        <w:jc w:val="both"/>
        <w:rPr>
          <w:sz w:val="22"/>
          <w:lang w:val="lv-LV"/>
        </w:rPr>
      </w:pPr>
      <w:r w:rsidRPr="00231E54">
        <w:rPr>
          <w:sz w:val="22"/>
          <w:lang w:val="lv-LV"/>
        </w:rPr>
        <w:t>bradikardija ar mazāk kā 55 sitieniem minūtē;</w:t>
      </w:r>
    </w:p>
    <w:p w14:paraId="5AE63D88" w14:textId="77777777" w:rsidR="0074598F" w:rsidRPr="00231E54" w:rsidRDefault="0074598F" w:rsidP="00172761">
      <w:pPr>
        <w:pStyle w:val="Default"/>
        <w:widowControl/>
        <w:numPr>
          <w:ilvl w:val="0"/>
          <w:numId w:val="36"/>
        </w:numPr>
        <w:tabs>
          <w:tab w:val="left" w:pos="709"/>
        </w:tabs>
        <w:jc w:val="both"/>
        <w:rPr>
          <w:sz w:val="22"/>
          <w:lang w:val="lv-LV"/>
        </w:rPr>
      </w:pPr>
      <w:r w:rsidRPr="00231E54">
        <w:rPr>
          <w:sz w:val="22"/>
          <w:lang w:val="lv-LV"/>
        </w:rPr>
        <w:t>elektrolītu līdzsvara traucējumi, it īpaši, hipokaliēmija;</w:t>
      </w:r>
    </w:p>
    <w:p w14:paraId="4DD37720" w14:textId="77777777" w:rsidR="0074598F" w:rsidRPr="00231E54" w:rsidRDefault="0074598F" w:rsidP="00172761">
      <w:pPr>
        <w:numPr>
          <w:ilvl w:val="0"/>
          <w:numId w:val="36"/>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iedzimts pagarināts QT intervāls;</w:t>
      </w:r>
    </w:p>
    <w:p w14:paraId="448DF5F8" w14:textId="77777777" w:rsidR="0074598F" w:rsidRPr="00231E54" w:rsidRDefault="0074598F" w:rsidP="00172761">
      <w:pPr>
        <w:pStyle w:val="Default"/>
        <w:widowControl/>
        <w:numPr>
          <w:ilvl w:val="0"/>
          <w:numId w:val="36"/>
        </w:numPr>
        <w:tabs>
          <w:tab w:val="left" w:pos="709"/>
        </w:tabs>
        <w:jc w:val="both"/>
        <w:rPr>
          <w:sz w:val="22"/>
          <w:lang w:val="lv-LV"/>
        </w:rPr>
      </w:pPr>
      <w:r w:rsidRPr="00231E54">
        <w:rPr>
          <w:sz w:val="22"/>
          <w:lang w:val="lv-LV"/>
        </w:rPr>
        <w:t>tiek lietotas zāles, kas var izraisīt bradikardiju (mazāk kā 55 sitieni minūtē), hipokaliēmiju, pavājināt sirds vadīšanas spējas, vai pagarināt QT intervālu (skatīt 4.5. apakšpunktu).</w:t>
      </w:r>
    </w:p>
    <w:p w14:paraId="152201CA" w14:textId="77777777" w:rsidR="0074598F" w:rsidRPr="00231E54" w:rsidRDefault="0074598F" w:rsidP="00172761">
      <w:pPr>
        <w:shd w:val="clear" w:color="auto" w:fill="FFFFFF"/>
        <w:spacing w:line="240" w:lineRule="auto"/>
        <w:jc w:val="both"/>
        <w:rPr>
          <w:color w:val="000000"/>
        </w:rPr>
      </w:pPr>
    </w:p>
    <w:p w14:paraId="54AB5BED" w14:textId="77777777" w:rsidR="0074598F" w:rsidRPr="00231E54" w:rsidRDefault="0074598F" w:rsidP="00172761">
      <w:pPr>
        <w:shd w:val="clear" w:color="auto" w:fill="FFFFFF"/>
        <w:spacing w:line="240" w:lineRule="auto"/>
        <w:jc w:val="both"/>
        <w:rPr>
          <w:i/>
          <w:color w:val="000000"/>
          <w:u w:val="single"/>
        </w:rPr>
      </w:pPr>
      <w:r w:rsidRPr="00231E54">
        <w:rPr>
          <w:i/>
          <w:color w:val="000000"/>
          <w:u w:val="single"/>
        </w:rPr>
        <w:t>Insults</w:t>
      </w:r>
    </w:p>
    <w:p w14:paraId="4CF2801E" w14:textId="77777777" w:rsidR="0074598F" w:rsidRPr="00231E54" w:rsidRDefault="0074598F" w:rsidP="00172761">
      <w:pPr>
        <w:shd w:val="clear" w:color="auto" w:fill="FFFFFF"/>
        <w:spacing w:line="240" w:lineRule="auto"/>
        <w:jc w:val="both"/>
        <w:rPr>
          <w:color w:val="000000"/>
        </w:rPr>
      </w:pPr>
      <w:r w:rsidRPr="00231E54">
        <w:rPr>
          <w:color w:val="000000"/>
        </w:rPr>
        <w:t xml:space="preserve">Randomizētos klīniskajos pētījumos, salīdzinot ar placebo, kas veikti gados vecākiem pacientiem ar demenci un kuri terapijā saņēmuši noteiktus atipiskos antipsihotiskos līdzekļus, novērota trīskārša cerebrovaskulāro traucējumu riska paaugstināšanās. Šīs riska palielināšanās mehānisms nav zināms. </w:t>
      </w:r>
      <w:r w:rsidRPr="00231E54">
        <w:rPr>
          <w:color w:val="000000"/>
        </w:rPr>
        <w:lastRenderedPageBreak/>
        <w:t>Nevar izslēgt riska palielināšanos, lietojot citus antipsihotiskos līdzekļus</w:t>
      </w:r>
      <w:r w:rsidR="00021EC4" w:rsidRPr="00231E54">
        <w:rPr>
          <w:color w:val="000000"/>
          <w:szCs w:val="22"/>
        </w:rPr>
        <w:t>,</w:t>
      </w:r>
      <w:r w:rsidRPr="00231E54">
        <w:rPr>
          <w:color w:val="000000"/>
        </w:rPr>
        <w:t xml:space="preserve"> vai citās pacientu populācijās. Aktiprol piesardzīgi jālieto pacientiem ar insulta riska faktoriem.</w:t>
      </w:r>
    </w:p>
    <w:p w14:paraId="0E29E3C1" w14:textId="77777777" w:rsidR="0074598F" w:rsidRPr="00231E54" w:rsidRDefault="0074598F" w:rsidP="00172761">
      <w:pPr>
        <w:shd w:val="clear" w:color="auto" w:fill="FFFFFF"/>
        <w:spacing w:line="240" w:lineRule="auto"/>
        <w:jc w:val="both"/>
        <w:rPr>
          <w:color w:val="000000"/>
          <w:szCs w:val="22"/>
        </w:rPr>
      </w:pPr>
    </w:p>
    <w:p w14:paraId="78132951" w14:textId="77777777" w:rsidR="0074598F" w:rsidRPr="00231E54" w:rsidRDefault="0074598F" w:rsidP="00172761">
      <w:pPr>
        <w:spacing w:line="240" w:lineRule="auto"/>
        <w:jc w:val="both"/>
        <w:rPr>
          <w:i/>
          <w:color w:val="000000"/>
          <w:szCs w:val="22"/>
          <w:u w:val="single"/>
        </w:rPr>
      </w:pPr>
      <w:r w:rsidRPr="00231E54">
        <w:rPr>
          <w:i/>
          <w:color w:val="000000"/>
          <w:szCs w:val="22"/>
          <w:u w:val="single"/>
        </w:rPr>
        <w:t>Gados vecāki pacienti ar demenci</w:t>
      </w:r>
    </w:p>
    <w:p w14:paraId="12251033" w14:textId="77777777" w:rsidR="0074598F" w:rsidRPr="00231E54" w:rsidRDefault="0074598F" w:rsidP="00172761">
      <w:pPr>
        <w:spacing w:line="240" w:lineRule="auto"/>
        <w:jc w:val="both"/>
        <w:rPr>
          <w:color w:val="000000"/>
          <w:szCs w:val="22"/>
        </w:rPr>
      </w:pPr>
      <w:r w:rsidRPr="00231E54">
        <w:rPr>
          <w:color w:val="000000"/>
          <w:szCs w:val="22"/>
        </w:rPr>
        <w:t>Gados vecākiem pacientiem, kuriem ir ar demenci saistīta psihoze un kuri tiek ārstēti ar antipsihotiskajiem līdzekļiem, ir lielāks nāves iestāšanās risks. Septiņpadsmit placebo kontrolētu pētījumu (modālais ilgums 10 nedēļas) analīzē, galvenokārt pacientiem, kuri lietoja antipsihotiskos līdzekļus zāles, novērots 1,6 līdz 1,7 reizes lielāks nāves iestāšanās risks ar zālēm ārstētiem pacientiem nekā ar placebo ārstētiem pacientiem. Tipiska 10 nedēļas ilga kontrolēta pētījuma gaitā ar zālēm ārstētu pacientu vidū nāves gadījumu biežums bija apmēram 4,5 %, salīdzinot ar apmēram 2,6 % placebo lietotāju grupā. Lai gan klīniskajos pētījumos ar atipiskiem antipsihotiskajiem līdzekļiem nāves cēloņi bija dažādi, vairumam nāves gadījumu cēloņiem bija vai nu kardiovaskulārs (piemēram, sirds mazspēja, pēkšņa nāve), vai infekciozs (piemēram, pneimonija) raksturs. Novērošanas pētījumi liecina, ka, līdzīgi atipiskajiem antipsihotiskajiem līdzekļiem, ārstēšana ar standarta antipsihotiskajiem līdzekļiem var palielināt mirstību.</w:t>
      </w:r>
    </w:p>
    <w:p w14:paraId="32EB2D19" w14:textId="77777777" w:rsidR="0074598F" w:rsidRPr="00231E54" w:rsidRDefault="0074598F" w:rsidP="00172761">
      <w:pPr>
        <w:spacing w:line="240" w:lineRule="auto"/>
        <w:jc w:val="both"/>
        <w:rPr>
          <w:color w:val="000000"/>
          <w:szCs w:val="22"/>
        </w:rPr>
      </w:pPr>
    </w:p>
    <w:p w14:paraId="032DF73F" w14:textId="77777777" w:rsidR="0074598F" w:rsidRPr="00231E54" w:rsidRDefault="0074598F" w:rsidP="00172761">
      <w:pPr>
        <w:spacing w:line="240" w:lineRule="auto"/>
        <w:jc w:val="both"/>
        <w:rPr>
          <w:color w:val="000000"/>
          <w:szCs w:val="22"/>
        </w:rPr>
      </w:pPr>
      <w:r w:rsidRPr="00231E54">
        <w:rPr>
          <w:color w:val="000000"/>
          <w:szCs w:val="22"/>
        </w:rPr>
        <w:t>Nav skaidrs, cik lielā mērā šīs palielinātas mirstības atrades no novērošanas pētījumiem var attiecināt uz antipsihotiskajiem līdzekļiem, jo nav zināmi daži šo pacientu raksturlielumi.</w:t>
      </w:r>
    </w:p>
    <w:p w14:paraId="1572D33A" w14:textId="77777777" w:rsidR="0074598F" w:rsidRPr="00231E54" w:rsidRDefault="0074598F" w:rsidP="00172761">
      <w:pPr>
        <w:spacing w:line="240" w:lineRule="auto"/>
        <w:jc w:val="both"/>
        <w:rPr>
          <w:color w:val="000000"/>
          <w:szCs w:val="22"/>
        </w:rPr>
      </w:pPr>
    </w:p>
    <w:p w14:paraId="711E1968" w14:textId="77777777" w:rsidR="0074598F" w:rsidRPr="00231E54" w:rsidRDefault="0074598F" w:rsidP="00172761">
      <w:pPr>
        <w:spacing w:line="240" w:lineRule="auto"/>
        <w:jc w:val="both"/>
        <w:rPr>
          <w:color w:val="000000"/>
          <w:szCs w:val="22"/>
        </w:rPr>
      </w:pPr>
      <w:r w:rsidRPr="00231E54">
        <w:rPr>
          <w:color w:val="000000"/>
          <w:szCs w:val="22"/>
        </w:rPr>
        <w:t>Aktiprol nav reģistrēts ar demenci saistītu uzvedības traucējumu ārstēšanai.</w:t>
      </w:r>
    </w:p>
    <w:p w14:paraId="2AC1AA9C" w14:textId="77777777" w:rsidR="0074598F" w:rsidRPr="00231E54" w:rsidRDefault="0074598F" w:rsidP="00172761">
      <w:pPr>
        <w:spacing w:line="240" w:lineRule="auto"/>
        <w:jc w:val="both"/>
        <w:rPr>
          <w:color w:val="000000"/>
        </w:rPr>
      </w:pPr>
    </w:p>
    <w:p w14:paraId="62BAF803" w14:textId="77777777" w:rsidR="0074598F" w:rsidRPr="00231E54" w:rsidRDefault="00C570A5" w:rsidP="00172761">
      <w:pPr>
        <w:spacing w:line="240" w:lineRule="auto"/>
        <w:jc w:val="both"/>
        <w:rPr>
          <w:i/>
          <w:color w:val="000000"/>
          <w:szCs w:val="22"/>
          <w:u w:val="single"/>
        </w:rPr>
      </w:pPr>
      <w:r w:rsidRPr="00231E54">
        <w:rPr>
          <w:i/>
          <w:color w:val="000000"/>
          <w:szCs w:val="22"/>
          <w:u w:val="single"/>
        </w:rPr>
        <w:t>Vēnu</w:t>
      </w:r>
      <w:r w:rsidR="0074598F" w:rsidRPr="00231E54">
        <w:rPr>
          <w:i/>
          <w:color w:val="000000"/>
          <w:szCs w:val="22"/>
          <w:u w:val="single"/>
        </w:rPr>
        <w:t xml:space="preserve"> trombembolija</w:t>
      </w:r>
    </w:p>
    <w:p w14:paraId="39C98706" w14:textId="77777777" w:rsidR="0074598F" w:rsidRPr="00231E54" w:rsidRDefault="0074598F" w:rsidP="00172761">
      <w:pPr>
        <w:spacing w:line="240" w:lineRule="auto"/>
        <w:jc w:val="both"/>
        <w:rPr>
          <w:color w:val="000000"/>
          <w:szCs w:val="22"/>
        </w:rPr>
      </w:pPr>
      <w:r w:rsidRPr="00231E54">
        <w:rPr>
          <w:color w:val="000000"/>
          <w:szCs w:val="22"/>
        </w:rPr>
        <w:t xml:space="preserve">Saistībā ar antipsihotisko līdzekļu lietošanu aprakstīti </w:t>
      </w:r>
      <w:r w:rsidR="00C570A5" w:rsidRPr="00231E54">
        <w:rPr>
          <w:color w:val="000000"/>
          <w:szCs w:val="22"/>
        </w:rPr>
        <w:t>vēnu</w:t>
      </w:r>
      <w:r w:rsidRPr="00231E54">
        <w:rPr>
          <w:color w:val="000000"/>
          <w:szCs w:val="22"/>
        </w:rPr>
        <w:t xml:space="preserve"> trombembolijas (VTE) gadījumi, Tā kā ar antipsihotiskajiem līdzekļiem ārstētiem pacientiem bieži ir iegūti VTE riska faktori, pirms terapijas ar Aktiprol un tās laikā jānosaka visi iespējamie VTE riska faktori un jāveic profilaktiski pasākumi.</w:t>
      </w:r>
    </w:p>
    <w:p w14:paraId="034DB54B" w14:textId="77777777" w:rsidR="0074598F" w:rsidRPr="00231E54" w:rsidRDefault="0074598F" w:rsidP="00172761">
      <w:pPr>
        <w:spacing w:line="240" w:lineRule="auto"/>
        <w:jc w:val="both"/>
        <w:rPr>
          <w:color w:val="000000"/>
          <w:szCs w:val="22"/>
        </w:rPr>
      </w:pPr>
    </w:p>
    <w:p w14:paraId="5730B5FE" w14:textId="77777777" w:rsidR="0074598F" w:rsidRPr="00231E54" w:rsidRDefault="0074598F" w:rsidP="00172761">
      <w:pPr>
        <w:shd w:val="clear" w:color="auto" w:fill="FFFFFF"/>
        <w:spacing w:line="240" w:lineRule="auto"/>
        <w:jc w:val="both"/>
        <w:rPr>
          <w:i/>
          <w:color w:val="000000"/>
          <w:szCs w:val="22"/>
          <w:u w:val="single"/>
        </w:rPr>
      </w:pPr>
      <w:r w:rsidRPr="00231E54">
        <w:rPr>
          <w:i/>
          <w:color w:val="000000"/>
          <w:szCs w:val="22"/>
          <w:u w:val="single"/>
        </w:rPr>
        <w:t>Leikopēnija, neitropēnija un agranulocitoze</w:t>
      </w:r>
    </w:p>
    <w:p w14:paraId="02C2B084" w14:textId="77777777" w:rsidR="0074598F" w:rsidRPr="00231E54" w:rsidRDefault="0074598F" w:rsidP="00172761">
      <w:pPr>
        <w:shd w:val="clear" w:color="auto" w:fill="FFFFFF"/>
        <w:spacing w:line="240" w:lineRule="auto"/>
        <w:jc w:val="both"/>
        <w:rPr>
          <w:color w:val="000000"/>
          <w:szCs w:val="22"/>
        </w:rPr>
      </w:pPr>
      <w:r w:rsidRPr="00231E54">
        <w:rPr>
          <w:color w:val="000000"/>
          <w:szCs w:val="22"/>
        </w:rPr>
        <w:t xml:space="preserve">Ziņots par leikopēniju, neitropēniju un agranulocitozi, lietojot antipsihotiskos līdzekļus, ieskaitot </w:t>
      </w:r>
      <w:r w:rsidR="00964FCB" w:rsidRPr="00231E54">
        <w:rPr>
          <w:color w:val="000000"/>
        </w:rPr>
        <w:t>amisulprīdu</w:t>
      </w:r>
      <w:r w:rsidRPr="00231E54">
        <w:rPr>
          <w:color w:val="000000"/>
          <w:szCs w:val="22"/>
        </w:rPr>
        <w:t>. Neizskaidrojamas infekcijas vai drudzis var liecināt par asins sastāva izmaiņām (skatīt 4.8. apakšpunktu)</w:t>
      </w:r>
      <w:r w:rsidR="003E1AFE" w:rsidRPr="00231E54">
        <w:rPr>
          <w:color w:val="000000"/>
          <w:szCs w:val="22"/>
        </w:rPr>
        <w:t>,</w:t>
      </w:r>
      <w:r w:rsidRPr="00231E54">
        <w:rPr>
          <w:color w:val="000000"/>
          <w:szCs w:val="22"/>
        </w:rPr>
        <w:t xml:space="preserve"> un šajā gadījumā jāveic tūlītēja hematoloģiska izmeklēšana.</w:t>
      </w:r>
    </w:p>
    <w:p w14:paraId="01FA56E7" w14:textId="77777777" w:rsidR="0074598F" w:rsidRPr="00231E54" w:rsidRDefault="0074598F" w:rsidP="00172761">
      <w:pPr>
        <w:spacing w:line="240" w:lineRule="auto"/>
        <w:jc w:val="both"/>
        <w:rPr>
          <w:color w:val="000000"/>
          <w:szCs w:val="22"/>
        </w:rPr>
      </w:pPr>
    </w:p>
    <w:p w14:paraId="7BE49011" w14:textId="77777777" w:rsidR="0074598F" w:rsidRPr="00231E54" w:rsidRDefault="0074598F" w:rsidP="00172761">
      <w:pPr>
        <w:spacing w:line="240" w:lineRule="auto"/>
        <w:jc w:val="both"/>
        <w:rPr>
          <w:i/>
          <w:color w:val="000000"/>
          <w:szCs w:val="22"/>
          <w:u w:val="single"/>
        </w:rPr>
      </w:pPr>
      <w:r w:rsidRPr="00231E54">
        <w:rPr>
          <w:i/>
          <w:color w:val="000000"/>
          <w:szCs w:val="22"/>
          <w:u w:val="single"/>
        </w:rPr>
        <w:t>Krūts dziedzera vēzis</w:t>
      </w:r>
    </w:p>
    <w:p w14:paraId="0A77DD34" w14:textId="77777777" w:rsidR="0074598F" w:rsidRPr="00231E54" w:rsidRDefault="0074598F" w:rsidP="00172761">
      <w:pPr>
        <w:spacing w:line="240" w:lineRule="auto"/>
        <w:jc w:val="both"/>
        <w:rPr>
          <w:color w:val="000000"/>
          <w:szCs w:val="22"/>
        </w:rPr>
      </w:pPr>
      <w:r w:rsidRPr="00231E54">
        <w:rPr>
          <w:color w:val="000000"/>
          <w:szCs w:val="22"/>
        </w:rPr>
        <w:t>Amisulprīds var palielināt prolaktīna līmeni, tāpēc jāievēro piesardzība. Pacienti ar krūts dziedzera vēzi anamnēzē vai ģimenes anamnēzē amisulprīda terapijas laikā rūpīgi jānovēro.</w:t>
      </w:r>
    </w:p>
    <w:p w14:paraId="336DB7A2" w14:textId="77777777" w:rsidR="0074598F" w:rsidRPr="00231E54" w:rsidRDefault="0074598F" w:rsidP="00172761">
      <w:pPr>
        <w:spacing w:line="240" w:lineRule="auto"/>
        <w:jc w:val="both"/>
        <w:rPr>
          <w:color w:val="000000"/>
          <w:szCs w:val="22"/>
        </w:rPr>
      </w:pPr>
    </w:p>
    <w:p w14:paraId="132A8DFB" w14:textId="77777777" w:rsidR="00CD0119" w:rsidRPr="00231E54" w:rsidRDefault="00CD0119" w:rsidP="00C40768">
      <w:pPr>
        <w:spacing w:line="240" w:lineRule="auto"/>
        <w:jc w:val="both"/>
        <w:rPr>
          <w:i/>
          <w:iCs/>
          <w:color w:val="000000"/>
          <w:u w:val="single"/>
        </w:rPr>
      </w:pPr>
      <w:r w:rsidRPr="00231E54">
        <w:rPr>
          <w:i/>
          <w:iCs/>
          <w:color w:val="000000"/>
          <w:u w:val="single"/>
        </w:rPr>
        <w:t>Labdabīgs hipofīzes audzējs</w:t>
      </w:r>
    </w:p>
    <w:p w14:paraId="62959EA3" w14:textId="77777777" w:rsidR="00CD0119" w:rsidRPr="00231E54" w:rsidRDefault="00CD0119" w:rsidP="00C40768">
      <w:pPr>
        <w:spacing w:line="240" w:lineRule="auto"/>
        <w:jc w:val="both"/>
        <w:rPr>
          <w:color w:val="000000"/>
          <w:szCs w:val="22"/>
        </w:rPr>
      </w:pPr>
      <w:r w:rsidRPr="00231E54">
        <w:rPr>
          <w:color w:val="000000"/>
          <w:szCs w:val="22"/>
        </w:rPr>
        <w:t>Amisulprīds var paaugstināt prolaktīna līmeni. Amisulprīda terapijas laikā novēroti labdabīgi hipofīzes audzēju gadījumi, tādi kā prolaktinoma (skatīt 4.8.</w:t>
      </w:r>
      <w:r w:rsidRPr="00231E54">
        <w:rPr>
          <w:color w:val="000000"/>
        </w:rPr>
        <w:t xml:space="preserve"> </w:t>
      </w:r>
      <w:r w:rsidRPr="00231E54">
        <w:rPr>
          <w:color w:val="000000"/>
          <w:szCs w:val="22"/>
        </w:rPr>
        <w:t>apakšpunktu). Ļoti augsta prolaktīna līmeņa vai hipofīzes audzēja klīnisko pazīmju gadījumā (</w:t>
      </w:r>
      <w:r w:rsidRPr="00231E54">
        <w:rPr>
          <w:color w:val="000000"/>
        </w:rPr>
        <w:t>piemēram,</w:t>
      </w:r>
      <w:r w:rsidRPr="00231E54">
        <w:rPr>
          <w:color w:val="000000"/>
          <w:szCs w:val="22"/>
        </w:rPr>
        <w:t xml:space="preserve"> redzes lauka defekts un galvassāpes) jāveic hipofīzes attēldiagnostika. Ja tiek apstiprināta hipofīzes audzēja diagnoze, ārstēšana ar amisulprīdu jāpārtrauc ( skatīt 4.3.</w:t>
      </w:r>
      <w:r w:rsidRPr="00231E54">
        <w:rPr>
          <w:color w:val="000000"/>
        </w:rPr>
        <w:t xml:space="preserve"> </w:t>
      </w:r>
      <w:r w:rsidRPr="00231E54">
        <w:rPr>
          <w:color w:val="000000"/>
          <w:szCs w:val="22"/>
        </w:rPr>
        <w:t>apakšpunktu).</w:t>
      </w:r>
    </w:p>
    <w:p w14:paraId="20F3C5DB" w14:textId="77777777" w:rsidR="00CD0119" w:rsidRPr="008E7285" w:rsidRDefault="00CD0119" w:rsidP="008E7285">
      <w:pPr>
        <w:spacing w:line="240" w:lineRule="auto"/>
        <w:jc w:val="both"/>
        <w:rPr>
          <w:color w:val="000000"/>
        </w:rPr>
      </w:pPr>
    </w:p>
    <w:p w14:paraId="42FA38F3" w14:textId="77777777" w:rsidR="00CD0119" w:rsidRPr="00231E54" w:rsidRDefault="00CD0119" w:rsidP="00C40768">
      <w:pPr>
        <w:spacing w:line="240" w:lineRule="auto"/>
        <w:jc w:val="both"/>
        <w:rPr>
          <w:i/>
          <w:iCs/>
          <w:color w:val="000000"/>
          <w:u w:val="single"/>
        </w:rPr>
      </w:pPr>
      <w:r w:rsidRPr="00231E54">
        <w:rPr>
          <w:i/>
          <w:iCs/>
          <w:color w:val="000000"/>
          <w:u w:val="single"/>
        </w:rPr>
        <w:t>Aknu toksicitāte</w:t>
      </w:r>
    </w:p>
    <w:p w14:paraId="1467ACAE" w14:textId="77777777" w:rsidR="00CD0119" w:rsidRPr="00231E54" w:rsidRDefault="00CD0119" w:rsidP="008E7285">
      <w:pPr>
        <w:spacing w:line="240" w:lineRule="auto"/>
        <w:jc w:val="both"/>
        <w:rPr>
          <w:color w:val="000000"/>
          <w:szCs w:val="22"/>
        </w:rPr>
      </w:pPr>
      <w:r w:rsidRPr="00231E54">
        <w:rPr>
          <w:color w:val="000000"/>
          <w:szCs w:val="22"/>
        </w:rPr>
        <w:t xml:space="preserve">Lietojot amisulprīdu, ziņots par smagu aknu toksicitāti. Pacientiem jānorāda nekavējoties ziņot ārstam par tādām pazīmēm kā astēnija, anoreksija, slikta dūša, vemšana, sāpes vēderā vai dzelte. Nekavējoties jāveic izmeklējumi, ieskaitot klīnisku izmeklējumu un bioloģisku aknu darbības izvērtējumu (skatīt </w:t>
      </w:r>
      <w:r w:rsidRPr="00231E54">
        <w:rPr>
          <w:color w:val="000000"/>
        </w:rPr>
        <w:t xml:space="preserve">4.8. </w:t>
      </w:r>
      <w:r w:rsidRPr="00231E54">
        <w:rPr>
          <w:color w:val="000000"/>
          <w:szCs w:val="22"/>
        </w:rPr>
        <w:t>apakšpunktu).</w:t>
      </w:r>
    </w:p>
    <w:p w14:paraId="68583FFD" w14:textId="77777777" w:rsidR="00CD0119" w:rsidRPr="00231E54" w:rsidRDefault="00CD0119" w:rsidP="00C40768">
      <w:pPr>
        <w:spacing w:line="240" w:lineRule="auto"/>
        <w:jc w:val="both"/>
        <w:rPr>
          <w:color w:val="000000"/>
          <w:szCs w:val="22"/>
        </w:rPr>
      </w:pPr>
    </w:p>
    <w:p w14:paraId="1C9BB044" w14:textId="77777777" w:rsidR="0074598F" w:rsidRPr="00231E54" w:rsidRDefault="0074598F" w:rsidP="00C40768">
      <w:pPr>
        <w:spacing w:line="240" w:lineRule="auto"/>
        <w:jc w:val="both"/>
        <w:rPr>
          <w:i/>
          <w:color w:val="000000"/>
          <w:szCs w:val="22"/>
          <w:u w:val="single"/>
        </w:rPr>
      </w:pPr>
      <w:r w:rsidRPr="00231E54">
        <w:rPr>
          <w:i/>
          <w:color w:val="000000"/>
          <w:szCs w:val="22"/>
          <w:u w:val="single"/>
        </w:rPr>
        <w:t>Laktoze</w:t>
      </w:r>
    </w:p>
    <w:p w14:paraId="1BC5F500" w14:textId="77777777" w:rsidR="0074598F" w:rsidRPr="00231E54" w:rsidRDefault="0074598F" w:rsidP="00C40768">
      <w:pPr>
        <w:spacing w:line="240" w:lineRule="auto"/>
        <w:jc w:val="both"/>
        <w:rPr>
          <w:color w:val="000000"/>
          <w:szCs w:val="22"/>
        </w:rPr>
      </w:pPr>
      <w:r w:rsidRPr="00231E54">
        <w:rPr>
          <w:color w:val="000000"/>
          <w:szCs w:val="22"/>
        </w:rPr>
        <w:t>Šīs zāles satur laktozes mono</w:t>
      </w:r>
      <w:r w:rsidR="00DB7F98" w:rsidRPr="00231E54">
        <w:rPr>
          <w:color w:val="000000"/>
          <w:szCs w:val="22"/>
        </w:rPr>
        <w:t>h</w:t>
      </w:r>
      <w:r w:rsidRPr="00231E54">
        <w:rPr>
          <w:color w:val="000000"/>
          <w:szCs w:val="22"/>
        </w:rPr>
        <w:t xml:space="preserve">idrātu. </w:t>
      </w:r>
      <w:r w:rsidRPr="00231E54">
        <w:rPr>
          <w:color w:val="000000"/>
          <w:szCs w:val="24"/>
        </w:rPr>
        <w:t xml:space="preserve">Šīs zāles nevajadzētu lietot pacientiem ar retu iedzimtu galaktozes nepanesību, </w:t>
      </w:r>
      <w:r w:rsidR="00964FCB" w:rsidRPr="00231E54">
        <w:rPr>
          <w:iCs/>
          <w:color w:val="000000"/>
          <w:szCs w:val="24"/>
        </w:rPr>
        <w:t>pilnīgu</w:t>
      </w:r>
      <w:r w:rsidR="00964FCB" w:rsidRPr="00231E54">
        <w:rPr>
          <w:color w:val="000000"/>
          <w:szCs w:val="24"/>
        </w:rPr>
        <w:t xml:space="preserve"> </w:t>
      </w:r>
      <w:r w:rsidRPr="00231E54">
        <w:rPr>
          <w:color w:val="000000"/>
          <w:szCs w:val="24"/>
        </w:rPr>
        <w:t>laktāzes deficītu vai glikozes-galaktozes malabsorbciju.</w:t>
      </w:r>
    </w:p>
    <w:p w14:paraId="1454C1BE" w14:textId="77777777" w:rsidR="00F75EAB" w:rsidRPr="00231E54" w:rsidRDefault="00F75EAB" w:rsidP="00C40768">
      <w:pPr>
        <w:tabs>
          <w:tab w:val="clear" w:pos="567"/>
        </w:tabs>
        <w:spacing w:line="240" w:lineRule="auto"/>
        <w:jc w:val="both"/>
        <w:rPr>
          <w:color w:val="000000"/>
        </w:rPr>
      </w:pPr>
    </w:p>
    <w:p w14:paraId="1299471B" w14:textId="77777777" w:rsidR="00F75EAB" w:rsidRPr="00231E54" w:rsidRDefault="00F75EAB" w:rsidP="00C40768">
      <w:pPr>
        <w:tabs>
          <w:tab w:val="clear" w:pos="567"/>
        </w:tabs>
        <w:spacing w:line="240" w:lineRule="auto"/>
        <w:jc w:val="both"/>
        <w:rPr>
          <w:b/>
          <w:color w:val="000000"/>
        </w:rPr>
      </w:pPr>
      <w:r w:rsidRPr="00231E54">
        <w:rPr>
          <w:b/>
          <w:color w:val="000000"/>
        </w:rPr>
        <w:t>4.5.</w:t>
      </w:r>
      <w:r w:rsidRPr="00231E54">
        <w:rPr>
          <w:b/>
          <w:color w:val="000000"/>
        </w:rPr>
        <w:tab/>
        <w:t>Mijiedarbība ar citām zālēm un citi mijiedarbības veidi</w:t>
      </w:r>
    </w:p>
    <w:p w14:paraId="1D498950" w14:textId="77777777" w:rsidR="00964FCB" w:rsidRPr="00231E54" w:rsidRDefault="00964FCB" w:rsidP="00C40768">
      <w:pPr>
        <w:shd w:val="clear" w:color="auto" w:fill="FFFFFF"/>
        <w:tabs>
          <w:tab w:val="left" w:pos="540"/>
        </w:tabs>
        <w:spacing w:line="240" w:lineRule="auto"/>
        <w:jc w:val="both"/>
        <w:rPr>
          <w:i/>
          <w:color w:val="000000"/>
        </w:rPr>
      </w:pPr>
    </w:p>
    <w:p w14:paraId="292585E0" w14:textId="77777777" w:rsidR="0054181B" w:rsidRPr="00231E54" w:rsidRDefault="0054181B" w:rsidP="00C40768">
      <w:pPr>
        <w:shd w:val="clear" w:color="auto" w:fill="FFFFFF"/>
        <w:tabs>
          <w:tab w:val="left" w:pos="540"/>
        </w:tabs>
        <w:spacing w:line="240" w:lineRule="auto"/>
        <w:jc w:val="both"/>
        <w:rPr>
          <w:i/>
          <w:color w:val="000000"/>
        </w:rPr>
      </w:pPr>
      <w:r w:rsidRPr="00231E54">
        <w:rPr>
          <w:i/>
          <w:color w:val="000000"/>
        </w:rPr>
        <w:t>Kontrindicētas kombinācijas</w:t>
      </w:r>
    </w:p>
    <w:p w14:paraId="1F8DA49D" w14:textId="77777777" w:rsidR="0054181B" w:rsidRPr="00231E54" w:rsidRDefault="0054181B" w:rsidP="00C40768">
      <w:pPr>
        <w:shd w:val="clear" w:color="auto" w:fill="FFFFFF"/>
        <w:spacing w:line="240" w:lineRule="auto"/>
        <w:jc w:val="both"/>
        <w:rPr>
          <w:color w:val="000000"/>
        </w:rPr>
      </w:pPr>
      <w:r w:rsidRPr="00231E54">
        <w:rPr>
          <w:color w:val="000000"/>
        </w:rPr>
        <w:t>Levodopa: abpusējs antagonisms starp levodopas un neiroleptisko līdzekļu iedarbību.</w:t>
      </w:r>
    </w:p>
    <w:p w14:paraId="17F0E465" w14:textId="77777777" w:rsidR="00C8692F" w:rsidRPr="00231E54" w:rsidRDefault="00C8692F" w:rsidP="00C40768">
      <w:pPr>
        <w:shd w:val="clear" w:color="auto" w:fill="FFFFFF"/>
        <w:spacing w:line="240" w:lineRule="auto"/>
        <w:jc w:val="both"/>
        <w:rPr>
          <w:color w:val="000000"/>
        </w:rPr>
      </w:pPr>
    </w:p>
    <w:p w14:paraId="0F76A380" w14:textId="77777777" w:rsidR="0054181B" w:rsidRPr="00231E54" w:rsidRDefault="0054181B" w:rsidP="00C40768">
      <w:pPr>
        <w:shd w:val="clear" w:color="auto" w:fill="FFFFFF"/>
        <w:spacing w:line="240" w:lineRule="auto"/>
        <w:jc w:val="both"/>
        <w:rPr>
          <w:color w:val="000000"/>
          <w:szCs w:val="22"/>
        </w:rPr>
      </w:pPr>
      <w:r w:rsidRPr="00231E54">
        <w:rPr>
          <w:color w:val="000000"/>
        </w:rPr>
        <w:lastRenderedPageBreak/>
        <w:t>Amisulprīds var darboties pretēji dopamīna agonistu, piemēram, bromkriptīna, ropinirola, iedarbībai.</w:t>
      </w:r>
    </w:p>
    <w:p w14:paraId="556B30CD" w14:textId="77777777" w:rsidR="00F75EAB" w:rsidRPr="00231E54" w:rsidRDefault="00F75EAB" w:rsidP="00C40768">
      <w:pPr>
        <w:tabs>
          <w:tab w:val="clear" w:pos="567"/>
        </w:tabs>
        <w:spacing w:line="240" w:lineRule="auto"/>
        <w:jc w:val="both"/>
        <w:rPr>
          <w:color w:val="000000"/>
        </w:rPr>
      </w:pPr>
    </w:p>
    <w:p w14:paraId="0C3C175F" w14:textId="77777777" w:rsidR="00C8692F" w:rsidRPr="00231E54" w:rsidRDefault="00C8692F" w:rsidP="00C40768">
      <w:pPr>
        <w:tabs>
          <w:tab w:val="clear" w:pos="567"/>
        </w:tabs>
        <w:autoSpaceDE w:val="0"/>
        <w:autoSpaceDN w:val="0"/>
        <w:adjustRightInd w:val="0"/>
        <w:spacing w:line="240" w:lineRule="auto"/>
        <w:jc w:val="both"/>
        <w:rPr>
          <w:rFonts w:eastAsia="Calibri"/>
          <w:color w:val="000000"/>
          <w:szCs w:val="22"/>
        </w:rPr>
      </w:pPr>
      <w:r w:rsidRPr="00231E54">
        <w:rPr>
          <w:rFonts w:eastAsia="Calibri"/>
          <w:color w:val="000000"/>
          <w:szCs w:val="22"/>
        </w:rPr>
        <w:t xml:space="preserve">Zāles, kas var izraisīt </w:t>
      </w:r>
      <w:r w:rsidRPr="00231E54">
        <w:rPr>
          <w:rFonts w:eastAsia="Calibri"/>
          <w:i/>
          <w:color w:val="000000"/>
          <w:szCs w:val="22"/>
        </w:rPr>
        <w:t>torsades de pointes</w:t>
      </w:r>
      <w:r w:rsidRPr="00231E54">
        <w:rPr>
          <w:rFonts w:eastAsia="Calibri"/>
          <w:color w:val="000000"/>
          <w:szCs w:val="22"/>
        </w:rPr>
        <w:t xml:space="preserve"> vai pagarināt QT intervālu (skatīt 4.4. un 4.3. apakšpunktu):</w:t>
      </w:r>
    </w:p>
    <w:p w14:paraId="78594464" w14:textId="77777777" w:rsidR="00C8692F" w:rsidRPr="00231E54" w:rsidRDefault="00C8692F" w:rsidP="00C40768">
      <w:pPr>
        <w:numPr>
          <w:ilvl w:val="0"/>
          <w:numId w:val="37"/>
        </w:numPr>
        <w:tabs>
          <w:tab w:val="clear" w:pos="567"/>
          <w:tab w:val="left" w:pos="709"/>
          <w:tab w:val="left" w:pos="1134"/>
        </w:tabs>
        <w:autoSpaceDE w:val="0"/>
        <w:autoSpaceDN w:val="0"/>
        <w:adjustRightInd w:val="0"/>
        <w:spacing w:line="240" w:lineRule="auto"/>
        <w:jc w:val="both"/>
        <w:rPr>
          <w:rFonts w:eastAsia="Calibri"/>
          <w:color w:val="000000"/>
          <w:szCs w:val="22"/>
        </w:rPr>
      </w:pPr>
      <w:r w:rsidRPr="00231E54">
        <w:rPr>
          <w:rFonts w:eastAsia="Calibri"/>
          <w:color w:val="000000"/>
          <w:szCs w:val="22"/>
        </w:rPr>
        <w:t>Ia klases antiaritmiskie līdzekļi, piemēram, hinidīns un disopiramīds;</w:t>
      </w:r>
    </w:p>
    <w:p w14:paraId="13A1A8F7" w14:textId="77777777" w:rsidR="00C8692F" w:rsidRPr="00231E54" w:rsidRDefault="00C8692F" w:rsidP="00C40768">
      <w:pPr>
        <w:numPr>
          <w:ilvl w:val="0"/>
          <w:numId w:val="37"/>
        </w:numPr>
        <w:tabs>
          <w:tab w:val="clear" w:pos="567"/>
          <w:tab w:val="left" w:pos="709"/>
          <w:tab w:val="left" w:pos="1134"/>
        </w:tabs>
        <w:autoSpaceDE w:val="0"/>
        <w:autoSpaceDN w:val="0"/>
        <w:adjustRightInd w:val="0"/>
        <w:spacing w:line="240" w:lineRule="auto"/>
        <w:jc w:val="both"/>
        <w:rPr>
          <w:rFonts w:eastAsia="Calibri"/>
          <w:color w:val="000000"/>
          <w:szCs w:val="22"/>
        </w:rPr>
      </w:pPr>
      <w:r w:rsidRPr="00231E54">
        <w:rPr>
          <w:rFonts w:eastAsia="Calibri"/>
          <w:color w:val="000000"/>
          <w:szCs w:val="22"/>
        </w:rPr>
        <w:t>III klases antiaritmiskie līdzekļi, piemēram, amiodarons un sotalols;</w:t>
      </w:r>
    </w:p>
    <w:p w14:paraId="3BDBD04A" w14:textId="77777777" w:rsidR="00C8692F" w:rsidRPr="00231E54" w:rsidRDefault="00C8692F" w:rsidP="00C40768">
      <w:pPr>
        <w:numPr>
          <w:ilvl w:val="0"/>
          <w:numId w:val="37"/>
        </w:numPr>
        <w:tabs>
          <w:tab w:val="clear" w:pos="567"/>
          <w:tab w:val="left" w:pos="709"/>
          <w:tab w:val="left" w:pos="1134"/>
        </w:tabs>
        <w:autoSpaceDE w:val="0"/>
        <w:autoSpaceDN w:val="0"/>
        <w:adjustRightInd w:val="0"/>
        <w:spacing w:line="240" w:lineRule="auto"/>
        <w:jc w:val="both"/>
        <w:rPr>
          <w:rFonts w:eastAsia="Calibri"/>
          <w:color w:val="000000"/>
          <w:szCs w:val="22"/>
        </w:rPr>
      </w:pPr>
      <w:r w:rsidRPr="00231E54">
        <w:rPr>
          <w:rFonts w:eastAsia="Calibri"/>
          <w:color w:val="000000"/>
          <w:szCs w:val="22"/>
        </w:rPr>
        <w:t>citas zāles, piemēram, bepridils, cisaprīds, sultoprīds, tioridazīns, metadons, intravenozi ievadāms eritromicīns, intravenozi ievadāms vinkamicīns, halofantrīns, pentamidīns, sparfloskacīns (skatīt 4.3. apakšpunktu).</w:t>
      </w:r>
    </w:p>
    <w:p w14:paraId="7AD28870" w14:textId="77777777" w:rsidR="00C8692F" w:rsidRPr="00231E54" w:rsidRDefault="00C8692F" w:rsidP="00C40768">
      <w:pPr>
        <w:tabs>
          <w:tab w:val="clear" w:pos="567"/>
        </w:tabs>
        <w:spacing w:line="240" w:lineRule="auto"/>
        <w:jc w:val="both"/>
        <w:rPr>
          <w:color w:val="000000"/>
        </w:rPr>
      </w:pPr>
    </w:p>
    <w:p w14:paraId="79C91D8E" w14:textId="77777777" w:rsidR="00C8692F" w:rsidRPr="00231E54" w:rsidRDefault="00C8692F" w:rsidP="00C40768">
      <w:pPr>
        <w:shd w:val="clear" w:color="auto" w:fill="FFFFFF"/>
        <w:spacing w:line="240" w:lineRule="auto"/>
        <w:jc w:val="both"/>
        <w:rPr>
          <w:i/>
          <w:color w:val="000000"/>
          <w:szCs w:val="22"/>
        </w:rPr>
      </w:pPr>
      <w:r w:rsidRPr="00231E54">
        <w:rPr>
          <w:i/>
          <w:color w:val="000000"/>
        </w:rPr>
        <w:t>Kombinācijas, kuru lietošana nav ieteicama</w:t>
      </w:r>
    </w:p>
    <w:p w14:paraId="337FCDF1" w14:textId="77777777" w:rsidR="00C8692F" w:rsidRPr="00231E54" w:rsidRDefault="00964FCB" w:rsidP="00C40768">
      <w:pPr>
        <w:shd w:val="clear" w:color="auto" w:fill="FFFFFF"/>
        <w:spacing w:line="240" w:lineRule="auto"/>
        <w:jc w:val="both"/>
        <w:rPr>
          <w:color w:val="000000"/>
          <w:highlight w:val="green"/>
        </w:rPr>
      </w:pPr>
      <w:r w:rsidRPr="00231E54">
        <w:rPr>
          <w:color w:val="000000"/>
        </w:rPr>
        <w:t xml:space="preserve">Amisulprīds </w:t>
      </w:r>
      <w:r w:rsidR="00C8692F" w:rsidRPr="00231E54">
        <w:rPr>
          <w:color w:val="000000"/>
        </w:rPr>
        <w:t>var pastiprināt alkohola centrālo iedarbību.</w:t>
      </w:r>
    </w:p>
    <w:p w14:paraId="490C6C0B" w14:textId="77777777" w:rsidR="00C8692F" w:rsidRPr="00231E54" w:rsidRDefault="00C8692F" w:rsidP="00C40768">
      <w:pPr>
        <w:shd w:val="clear" w:color="auto" w:fill="FFFFFF"/>
        <w:spacing w:line="240" w:lineRule="auto"/>
        <w:jc w:val="both"/>
        <w:rPr>
          <w:color w:val="000000"/>
        </w:rPr>
      </w:pPr>
    </w:p>
    <w:p w14:paraId="7C99C57F" w14:textId="77777777" w:rsidR="00C8692F" w:rsidRPr="00231E54" w:rsidRDefault="00C8692F" w:rsidP="00C40768">
      <w:pPr>
        <w:spacing w:line="240" w:lineRule="auto"/>
        <w:jc w:val="both"/>
        <w:rPr>
          <w:rFonts w:eastAsia="Calibri"/>
          <w:color w:val="000000"/>
          <w:szCs w:val="22"/>
        </w:rPr>
      </w:pPr>
      <w:r w:rsidRPr="00231E54">
        <w:rPr>
          <w:rFonts w:eastAsia="Calibri"/>
          <w:color w:val="000000"/>
          <w:szCs w:val="22"/>
        </w:rPr>
        <w:t xml:space="preserve">Zāles, kas var izraisīt </w:t>
      </w:r>
      <w:r w:rsidRPr="00231E54">
        <w:rPr>
          <w:rFonts w:eastAsia="Calibri"/>
          <w:i/>
          <w:color w:val="000000"/>
          <w:szCs w:val="22"/>
        </w:rPr>
        <w:t>torsades de pointes</w:t>
      </w:r>
      <w:r w:rsidRPr="00231E54">
        <w:rPr>
          <w:rFonts w:eastAsia="Calibri"/>
          <w:color w:val="000000"/>
          <w:szCs w:val="22"/>
        </w:rPr>
        <w:t xml:space="preserve"> vai pagarināt QT intervālu:</w:t>
      </w:r>
    </w:p>
    <w:p w14:paraId="323AA1BB" w14:textId="77777777" w:rsidR="00C8692F" w:rsidRPr="00231E54" w:rsidRDefault="00C8692F" w:rsidP="00C40768">
      <w:pPr>
        <w:widowControl w:val="0"/>
        <w:numPr>
          <w:ilvl w:val="0"/>
          <w:numId w:val="38"/>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zāles, kas izraisa bradikardiju, tajā skaitā bēta blokatori, bradikardiju inducējoši kalcija antagonisti, piemēram, diltiazems, verapamils, klonidīns, guafacīns un digoksīns;</w:t>
      </w:r>
    </w:p>
    <w:p w14:paraId="0E5B61DF" w14:textId="77777777" w:rsidR="00C8692F" w:rsidRPr="00231E54" w:rsidRDefault="00C8692F" w:rsidP="00C40768">
      <w:pPr>
        <w:widowControl w:val="0"/>
        <w:numPr>
          <w:ilvl w:val="0"/>
          <w:numId w:val="38"/>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zāles, kas izraisa elektrolītu līdzsvara traucējumus: hipokaliēmiski diurētiskie līdzekļi, stimulējošie vēdera izeju veicinoši līdzekļ</w:t>
      </w:r>
      <w:r w:rsidR="005F66F1" w:rsidRPr="00231E54">
        <w:rPr>
          <w:rFonts w:eastAsia="Calibri"/>
          <w:color w:val="000000"/>
          <w:szCs w:val="22"/>
        </w:rPr>
        <w:t>i</w:t>
      </w:r>
      <w:r w:rsidRPr="00231E54">
        <w:rPr>
          <w:rFonts w:eastAsia="Calibri"/>
          <w:color w:val="000000"/>
          <w:szCs w:val="22"/>
        </w:rPr>
        <w:t>, intravenozi ievadāms amfotericīns B, glikokortikoīdi un tetrakosaktīdi. Jākoriģē hipokaliēmija;</w:t>
      </w:r>
    </w:p>
    <w:p w14:paraId="62C660CE" w14:textId="77777777" w:rsidR="00C8692F" w:rsidRPr="00231E54" w:rsidRDefault="00C8692F" w:rsidP="00C40768">
      <w:pPr>
        <w:widowControl w:val="0"/>
        <w:numPr>
          <w:ilvl w:val="0"/>
          <w:numId w:val="38"/>
        </w:numPr>
        <w:tabs>
          <w:tab w:val="clear" w:pos="567"/>
          <w:tab w:val="left" w:pos="709"/>
        </w:tabs>
        <w:autoSpaceDE w:val="0"/>
        <w:autoSpaceDN w:val="0"/>
        <w:adjustRightInd w:val="0"/>
        <w:spacing w:line="240" w:lineRule="auto"/>
        <w:jc w:val="both"/>
        <w:rPr>
          <w:rFonts w:eastAsia="Calibri"/>
          <w:color w:val="000000"/>
          <w:szCs w:val="22"/>
        </w:rPr>
      </w:pPr>
      <w:r w:rsidRPr="00231E54">
        <w:rPr>
          <w:rFonts w:eastAsia="Calibri"/>
          <w:color w:val="000000"/>
          <w:szCs w:val="22"/>
        </w:rPr>
        <w:t>antipsihotiskie līdzekļi, piemēram, pimozīds un haloperidols, imipramīns, antidepresanti, litijs.</w:t>
      </w:r>
    </w:p>
    <w:p w14:paraId="6F7CB2E6" w14:textId="77777777" w:rsidR="00C8692F" w:rsidRPr="00231E54" w:rsidRDefault="00C8692F" w:rsidP="00C40768">
      <w:pPr>
        <w:shd w:val="clear" w:color="auto" w:fill="FFFFFF"/>
        <w:spacing w:line="240" w:lineRule="auto"/>
        <w:jc w:val="both"/>
        <w:rPr>
          <w:color w:val="000000"/>
        </w:rPr>
      </w:pPr>
    </w:p>
    <w:p w14:paraId="1DE80942" w14:textId="77777777" w:rsidR="00C8692F" w:rsidRPr="00231E54" w:rsidRDefault="00C8692F" w:rsidP="00C40768">
      <w:pPr>
        <w:spacing w:line="240" w:lineRule="auto"/>
        <w:jc w:val="both"/>
        <w:rPr>
          <w:i/>
          <w:color w:val="000000"/>
        </w:rPr>
      </w:pPr>
      <w:r w:rsidRPr="00231E54">
        <w:rPr>
          <w:i/>
          <w:color w:val="000000"/>
        </w:rPr>
        <w:t>Kombinācijas, kas jāņem vērā</w:t>
      </w:r>
    </w:p>
    <w:p w14:paraId="69B7EB70" w14:textId="77777777" w:rsidR="00C8692F" w:rsidRPr="00231E54" w:rsidRDefault="00C8692F" w:rsidP="00C40768">
      <w:pPr>
        <w:shd w:val="clear" w:color="auto" w:fill="FFFFFF"/>
        <w:spacing w:line="240" w:lineRule="auto"/>
        <w:jc w:val="both"/>
        <w:rPr>
          <w:color w:val="000000"/>
        </w:rPr>
      </w:pPr>
      <w:r w:rsidRPr="00231E54">
        <w:rPr>
          <w:color w:val="000000"/>
        </w:rPr>
        <w:t>CNS nomācoši līdzekļi, tajā skaitā narkotiskie, pretsāpju līdzekļi, H</w:t>
      </w:r>
      <w:r w:rsidRPr="00231E54">
        <w:rPr>
          <w:color w:val="000000"/>
          <w:vertAlign w:val="subscript"/>
        </w:rPr>
        <w:t>l</w:t>
      </w:r>
      <w:r w:rsidRPr="00231E54">
        <w:rPr>
          <w:color w:val="000000"/>
        </w:rPr>
        <w:t xml:space="preserve"> prethistamīna līdzekļi ar sedatīvu iedarbību, barbiturāti, benzodiazepīni un citas zāles trauksmes ārstēšanai, klonidīns un tā atvasinājumi.</w:t>
      </w:r>
    </w:p>
    <w:p w14:paraId="4FD005F2" w14:textId="77777777" w:rsidR="00C8692F" w:rsidRPr="00231E54" w:rsidRDefault="00C8692F" w:rsidP="00C40768">
      <w:pPr>
        <w:shd w:val="clear" w:color="auto" w:fill="FFFFFF"/>
        <w:spacing w:line="240" w:lineRule="auto"/>
        <w:jc w:val="both"/>
        <w:rPr>
          <w:color w:val="000000"/>
          <w:szCs w:val="22"/>
        </w:rPr>
      </w:pPr>
    </w:p>
    <w:p w14:paraId="7A810215" w14:textId="77777777" w:rsidR="00C8692F" w:rsidRPr="00231E54" w:rsidRDefault="00C8692F" w:rsidP="00C40768">
      <w:pPr>
        <w:shd w:val="clear" w:color="auto" w:fill="FFFFFF"/>
        <w:spacing w:line="240" w:lineRule="auto"/>
        <w:jc w:val="both"/>
        <w:rPr>
          <w:color w:val="000000"/>
        </w:rPr>
      </w:pPr>
      <w:r w:rsidRPr="00231E54">
        <w:rPr>
          <w:color w:val="000000"/>
        </w:rPr>
        <w:t>Antihipertensīvie līdzekļi un citi hipotensīvie līdzekļi.</w:t>
      </w:r>
    </w:p>
    <w:p w14:paraId="4239D26B" w14:textId="77777777" w:rsidR="00C8692F" w:rsidRPr="00231E54" w:rsidRDefault="00C8692F" w:rsidP="00C40768">
      <w:pPr>
        <w:shd w:val="clear" w:color="auto" w:fill="FFFFFF"/>
        <w:spacing w:line="240" w:lineRule="auto"/>
        <w:jc w:val="both"/>
        <w:rPr>
          <w:color w:val="000000"/>
        </w:rPr>
      </w:pPr>
    </w:p>
    <w:p w14:paraId="025FEE78" w14:textId="6733894D" w:rsidR="00CD0119" w:rsidRPr="00231E54" w:rsidRDefault="00CD0119" w:rsidP="00C40768">
      <w:pPr>
        <w:spacing w:line="240" w:lineRule="auto"/>
        <w:jc w:val="both"/>
        <w:rPr>
          <w:color w:val="000000"/>
        </w:rPr>
      </w:pPr>
      <w:r w:rsidRPr="00231E54">
        <w:rPr>
          <w:color w:val="000000"/>
        </w:rPr>
        <w:t>Lietojot vienlaicīgi amisulprīdu un klozapīnu, iespējama paaugstināta amisulprīda koncentrācija plazmā.</w:t>
      </w:r>
    </w:p>
    <w:p w14:paraId="354C278B" w14:textId="0C3729DC" w:rsidR="00CD0119" w:rsidRPr="00231E54" w:rsidRDefault="00CD0119" w:rsidP="00172761">
      <w:pPr>
        <w:tabs>
          <w:tab w:val="clear" w:pos="567"/>
        </w:tabs>
        <w:spacing w:line="240" w:lineRule="auto"/>
        <w:jc w:val="both"/>
        <w:rPr>
          <w:color w:val="000000"/>
        </w:rPr>
      </w:pPr>
    </w:p>
    <w:p w14:paraId="4595D0F2" w14:textId="77777777" w:rsidR="00F75EAB" w:rsidRPr="00231E54" w:rsidRDefault="00F75EAB" w:rsidP="00172761">
      <w:pPr>
        <w:tabs>
          <w:tab w:val="clear" w:pos="567"/>
        </w:tabs>
        <w:spacing w:line="240" w:lineRule="auto"/>
        <w:jc w:val="both"/>
        <w:rPr>
          <w:color w:val="000000"/>
        </w:rPr>
      </w:pPr>
      <w:r w:rsidRPr="00231E54">
        <w:rPr>
          <w:b/>
          <w:color w:val="000000"/>
        </w:rPr>
        <w:t>4.6.</w:t>
      </w:r>
      <w:r w:rsidRPr="00231E54">
        <w:rPr>
          <w:b/>
          <w:color w:val="000000"/>
        </w:rPr>
        <w:tab/>
      </w:r>
      <w:r w:rsidRPr="00231E54">
        <w:rPr>
          <w:b/>
          <w:noProof/>
          <w:color w:val="000000"/>
          <w:szCs w:val="22"/>
        </w:rPr>
        <w:t xml:space="preserve">Fertilitāte, grūtniecība </w:t>
      </w:r>
      <w:r w:rsidRPr="00231E54">
        <w:rPr>
          <w:b/>
          <w:color w:val="000000"/>
        </w:rPr>
        <w:t xml:space="preserve">un </w:t>
      </w:r>
      <w:r w:rsidRPr="00231E54">
        <w:rPr>
          <w:b/>
          <w:noProof/>
          <w:color w:val="000000"/>
          <w:szCs w:val="22"/>
        </w:rPr>
        <w:t>barošana ar krūti</w:t>
      </w:r>
    </w:p>
    <w:p w14:paraId="1F7DAF67" w14:textId="77777777" w:rsidR="00964FCB" w:rsidRPr="00231E54" w:rsidRDefault="00964FCB" w:rsidP="00C40768">
      <w:pPr>
        <w:tabs>
          <w:tab w:val="clear" w:pos="567"/>
        </w:tabs>
        <w:spacing w:line="240" w:lineRule="auto"/>
        <w:jc w:val="both"/>
        <w:rPr>
          <w:noProof/>
          <w:color w:val="000000"/>
          <w:szCs w:val="22"/>
          <w:u w:val="single"/>
        </w:rPr>
      </w:pPr>
    </w:p>
    <w:p w14:paraId="33BED3F1" w14:textId="77777777" w:rsidR="00F75EAB" w:rsidRPr="00231E54" w:rsidRDefault="00F75EAB" w:rsidP="00C40768">
      <w:pPr>
        <w:tabs>
          <w:tab w:val="clear" w:pos="567"/>
        </w:tabs>
        <w:spacing w:line="240" w:lineRule="auto"/>
        <w:jc w:val="both"/>
        <w:rPr>
          <w:noProof/>
          <w:color w:val="000000"/>
          <w:szCs w:val="22"/>
          <w:u w:val="single"/>
        </w:rPr>
      </w:pPr>
      <w:r w:rsidRPr="00231E54">
        <w:rPr>
          <w:noProof/>
          <w:color w:val="000000"/>
          <w:szCs w:val="22"/>
          <w:u w:val="single"/>
        </w:rPr>
        <w:t>Grūtniecība</w:t>
      </w:r>
    </w:p>
    <w:p w14:paraId="3AD59001" w14:textId="7DDF85EA" w:rsidR="00CD0119" w:rsidRPr="00231E54" w:rsidRDefault="00CD0119" w:rsidP="008E7285">
      <w:pPr>
        <w:shd w:val="clear" w:color="auto" w:fill="FFFFFF"/>
        <w:spacing w:line="240" w:lineRule="auto"/>
        <w:jc w:val="both"/>
        <w:rPr>
          <w:color w:val="000000"/>
        </w:rPr>
      </w:pPr>
      <w:r w:rsidRPr="00231E54">
        <w:rPr>
          <w:color w:val="000000"/>
        </w:rPr>
        <w:t>Pētījumi ar</w:t>
      </w:r>
      <w:r w:rsidR="00964FCB" w:rsidRPr="00231E54">
        <w:rPr>
          <w:color w:val="000000"/>
        </w:rPr>
        <w:t xml:space="preserve"> </w:t>
      </w:r>
      <w:r w:rsidR="00C570A5" w:rsidRPr="00231E54">
        <w:rPr>
          <w:color w:val="000000"/>
        </w:rPr>
        <w:t>dzīvniekiem</w:t>
      </w:r>
      <w:r w:rsidRPr="00231E54">
        <w:rPr>
          <w:color w:val="000000"/>
        </w:rPr>
        <w:t xml:space="preserve"> liecina par</w:t>
      </w:r>
      <w:r w:rsidR="00DB7F98" w:rsidRPr="00231E54">
        <w:rPr>
          <w:color w:val="000000"/>
        </w:rPr>
        <w:t xml:space="preserve"> reproduktīv</w:t>
      </w:r>
      <w:r w:rsidRPr="00231E54">
        <w:rPr>
          <w:color w:val="000000"/>
        </w:rPr>
        <w:t>o</w:t>
      </w:r>
      <w:r w:rsidR="00DB7F98" w:rsidRPr="00231E54">
        <w:rPr>
          <w:color w:val="000000"/>
        </w:rPr>
        <w:t xml:space="preserve"> toksicitāt</w:t>
      </w:r>
      <w:r w:rsidRPr="00231E54">
        <w:rPr>
          <w:color w:val="000000"/>
        </w:rPr>
        <w:t>i (skatīt 5.3. apakšpunktu)</w:t>
      </w:r>
      <w:r w:rsidR="00C570A5" w:rsidRPr="00231E54">
        <w:rPr>
          <w:color w:val="000000"/>
        </w:rPr>
        <w:t>.</w:t>
      </w:r>
    </w:p>
    <w:p w14:paraId="23474CA0" w14:textId="1BAC6D1A" w:rsidR="00DB7F98" w:rsidRPr="00231E54" w:rsidRDefault="00CD0119" w:rsidP="00C40768">
      <w:pPr>
        <w:shd w:val="clear" w:color="auto" w:fill="FFFFFF"/>
        <w:spacing w:line="240" w:lineRule="auto"/>
        <w:jc w:val="both"/>
        <w:rPr>
          <w:color w:val="000000"/>
        </w:rPr>
      </w:pPr>
      <w:r w:rsidRPr="00231E54">
        <w:rPr>
          <w:color w:val="000000"/>
        </w:rPr>
        <w:t>Pieejami ierobežoti dati attiecībā uz amisulprīda lietošanu grūtniecēm. A</w:t>
      </w:r>
      <w:r w:rsidR="00C570A5" w:rsidRPr="00231E54">
        <w:rPr>
          <w:color w:val="000000"/>
        </w:rPr>
        <w:t>misulprīda lietošanas drošums cilvēkam g</w:t>
      </w:r>
      <w:r w:rsidR="00DB7F98" w:rsidRPr="00231E54">
        <w:rPr>
          <w:color w:val="000000"/>
        </w:rPr>
        <w:t>rūtniecības laikā nav noteikts</w:t>
      </w:r>
      <w:r w:rsidR="009D7A4F" w:rsidRPr="00231E54">
        <w:rPr>
          <w:color w:val="000000"/>
          <w:szCs w:val="22"/>
        </w:rPr>
        <w:t>.</w:t>
      </w:r>
    </w:p>
    <w:p w14:paraId="0153537F" w14:textId="77777777" w:rsidR="00DB7F98" w:rsidRPr="00231E54" w:rsidRDefault="00CD0119" w:rsidP="00C40768">
      <w:pPr>
        <w:shd w:val="clear" w:color="auto" w:fill="FFFFFF"/>
        <w:spacing w:line="240" w:lineRule="auto"/>
        <w:jc w:val="both"/>
        <w:rPr>
          <w:color w:val="000000"/>
        </w:rPr>
      </w:pPr>
      <w:r w:rsidRPr="00231E54">
        <w:rPr>
          <w:color w:val="000000"/>
        </w:rPr>
        <w:t>|Amisulprīds šķērso placentas barjeru.</w:t>
      </w:r>
    </w:p>
    <w:p w14:paraId="74B6D98B" w14:textId="40E23C90" w:rsidR="00C570A5" w:rsidRPr="00231E54" w:rsidRDefault="00DB7F98" w:rsidP="00C40768">
      <w:pPr>
        <w:shd w:val="clear" w:color="auto" w:fill="FFFFFF"/>
        <w:spacing w:line="240" w:lineRule="auto"/>
        <w:jc w:val="both"/>
        <w:rPr>
          <w:color w:val="000000"/>
        </w:rPr>
      </w:pPr>
      <w:r w:rsidRPr="00231E54">
        <w:rPr>
          <w:color w:val="000000"/>
        </w:rPr>
        <w:t>Šīs zāles nav ieteicams lietot grūtniecības laikā</w:t>
      </w:r>
      <w:r w:rsidR="00CD0119" w:rsidRPr="00231E54">
        <w:rPr>
          <w:color w:val="000000"/>
        </w:rPr>
        <w:t xml:space="preserve"> </w:t>
      </w:r>
      <w:r w:rsidR="00CD0119" w:rsidRPr="00231E54">
        <w:rPr>
          <w:szCs w:val="22"/>
        </w:rPr>
        <w:t>un sievietēm ar reproduktīvo potenciālu, kuras neizmanto efektīvu kontracepcijas metodi,</w:t>
      </w:r>
      <w:r w:rsidRPr="00231E54">
        <w:rPr>
          <w:color w:val="000000"/>
        </w:rPr>
        <w:t>, izņemot gadījumus, kad ieguvums atsver iespējamos riskus.</w:t>
      </w:r>
    </w:p>
    <w:p w14:paraId="25C4A25C" w14:textId="77777777" w:rsidR="00DB7F98" w:rsidRPr="00231E54" w:rsidRDefault="00DB7F98" w:rsidP="00C40768">
      <w:pPr>
        <w:shd w:val="clear" w:color="auto" w:fill="FFFFFF"/>
        <w:spacing w:line="240" w:lineRule="auto"/>
        <w:jc w:val="both"/>
        <w:rPr>
          <w:color w:val="000000"/>
        </w:rPr>
      </w:pPr>
    </w:p>
    <w:p w14:paraId="039561FE" w14:textId="77777777" w:rsidR="00C570A5" w:rsidRPr="00231E54" w:rsidRDefault="00C570A5" w:rsidP="00C40768">
      <w:pPr>
        <w:shd w:val="clear" w:color="auto" w:fill="FFFFFF"/>
        <w:spacing w:line="240" w:lineRule="auto"/>
        <w:jc w:val="both"/>
        <w:rPr>
          <w:color w:val="000000"/>
        </w:rPr>
      </w:pPr>
      <w:r w:rsidRPr="00231E54">
        <w:rPr>
          <w:color w:val="000000"/>
        </w:rPr>
        <w:t>Jaundzimušajiem, kuri grūtniecības trešajā trimestrī p</w:t>
      </w:r>
      <w:r w:rsidR="00DB7F98" w:rsidRPr="00231E54">
        <w:rPr>
          <w:color w:val="000000"/>
        </w:rPr>
        <w:t>akļauti antipsihotisko līdzekļu</w:t>
      </w:r>
      <w:r w:rsidRPr="00231E54">
        <w:rPr>
          <w:color w:val="000000"/>
        </w:rPr>
        <w:t xml:space="preserve"> </w:t>
      </w:r>
      <w:r w:rsidR="00DB7F98" w:rsidRPr="00231E54">
        <w:rPr>
          <w:color w:val="000000"/>
        </w:rPr>
        <w:t>(</w:t>
      </w:r>
      <w:r w:rsidRPr="00231E54">
        <w:rPr>
          <w:color w:val="000000"/>
        </w:rPr>
        <w:t xml:space="preserve">tajā skaitā </w:t>
      </w:r>
      <w:r w:rsidR="00964FCB" w:rsidRPr="00231E54">
        <w:rPr>
          <w:color w:val="000000"/>
        </w:rPr>
        <w:t>amisulprīda</w:t>
      </w:r>
      <w:r w:rsidR="00DB7F98" w:rsidRPr="00231E54">
        <w:rPr>
          <w:color w:val="000000"/>
        </w:rPr>
        <w:t>)</w:t>
      </w:r>
      <w:r w:rsidRPr="00231E54">
        <w:rPr>
          <w:color w:val="000000"/>
        </w:rPr>
        <w:t xml:space="preserve"> iedarbībai, pastāv zāļu izraisītu blakusparādību attīstība</w:t>
      </w:r>
      <w:r w:rsidR="00DB7F98" w:rsidRPr="00231E54">
        <w:rPr>
          <w:color w:val="000000"/>
        </w:rPr>
        <w:t>s risks</w:t>
      </w:r>
      <w:r w:rsidRPr="00231E54">
        <w:rPr>
          <w:color w:val="000000"/>
        </w:rPr>
        <w:t xml:space="preserve">, ieskaitot ekstrapiramidālos un/vai atcelšanas simptomus, kuru smaguma pakāpe un saglabāšanās ilgums pēc dzemdībām var </w:t>
      </w:r>
      <w:r w:rsidR="00DB7F98" w:rsidRPr="00231E54">
        <w:rPr>
          <w:color w:val="000000"/>
        </w:rPr>
        <w:t>būt atšķirīgs</w:t>
      </w:r>
      <w:r w:rsidRPr="00231E54">
        <w:rPr>
          <w:color w:val="000000"/>
        </w:rPr>
        <w:t xml:space="preserve"> (skatīt 4.8. apakšpunktu). Ir saņemti ziņojumi par uzbudinājumu, hipertoniju, hipotoniju, trīci, miegainību, respiratoro distresu vai barošanās traucējumiem. Tādēļ jaundzimušie ir rūpīgi </w:t>
      </w:r>
      <w:r w:rsidR="00DB7F98" w:rsidRPr="00231E54">
        <w:rPr>
          <w:color w:val="000000"/>
        </w:rPr>
        <w:t>jānovēro</w:t>
      </w:r>
      <w:r w:rsidRPr="00231E54">
        <w:rPr>
          <w:color w:val="000000"/>
        </w:rPr>
        <w:t>.</w:t>
      </w:r>
    </w:p>
    <w:p w14:paraId="14DCF417" w14:textId="77777777" w:rsidR="00C570A5" w:rsidRPr="00231E54" w:rsidRDefault="00C570A5" w:rsidP="00C40768">
      <w:pPr>
        <w:tabs>
          <w:tab w:val="clear" w:pos="567"/>
        </w:tabs>
        <w:spacing w:line="240" w:lineRule="auto"/>
        <w:jc w:val="both"/>
        <w:rPr>
          <w:noProof/>
          <w:color w:val="000000"/>
          <w:szCs w:val="22"/>
          <w:u w:val="single"/>
        </w:rPr>
      </w:pPr>
    </w:p>
    <w:p w14:paraId="7B8CCD46" w14:textId="77777777" w:rsidR="00F75EAB" w:rsidRPr="00231E54" w:rsidRDefault="00F75EAB" w:rsidP="00C40768">
      <w:pPr>
        <w:tabs>
          <w:tab w:val="clear" w:pos="567"/>
        </w:tabs>
        <w:spacing w:line="240" w:lineRule="auto"/>
        <w:jc w:val="both"/>
        <w:rPr>
          <w:noProof/>
          <w:color w:val="000000"/>
          <w:szCs w:val="22"/>
          <w:u w:val="single"/>
        </w:rPr>
      </w:pPr>
      <w:r w:rsidRPr="00231E54">
        <w:rPr>
          <w:noProof/>
          <w:color w:val="000000"/>
          <w:szCs w:val="22"/>
          <w:u w:val="single"/>
        </w:rPr>
        <w:t>Barošana ar krūti</w:t>
      </w:r>
    </w:p>
    <w:p w14:paraId="63ABFC1A" w14:textId="77777777" w:rsidR="00CD0119" w:rsidRPr="00231E54" w:rsidRDefault="00CD0119" w:rsidP="00C40768">
      <w:pPr>
        <w:shd w:val="clear" w:color="auto" w:fill="FFFFFF"/>
        <w:spacing w:line="240" w:lineRule="auto"/>
        <w:jc w:val="both"/>
        <w:rPr>
          <w:color w:val="000000"/>
          <w:spacing w:val="1"/>
          <w:szCs w:val="22"/>
        </w:rPr>
      </w:pPr>
      <w:r w:rsidRPr="00231E54">
        <w:rPr>
          <w:color w:val="000000"/>
          <w:spacing w:val="1"/>
          <w:szCs w:val="22"/>
        </w:rPr>
        <w:t>Amisulprīds izdalās mātes pienā diezgan lielā daudzumā</w:t>
      </w:r>
      <w:r w:rsidRPr="00231E54">
        <w:rPr>
          <w:color w:val="000000"/>
          <w:spacing w:val="1"/>
          <w:szCs w:val="22"/>
        </w:rPr>
        <w:sym w:font="Symbol" w:char="F02D"/>
      </w:r>
      <w:r w:rsidRPr="00231E54">
        <w:rPr>
          <w:color w:val="000000"/>
          <w:spacing w:val="1"/>
          <w:szCs w:val="22"/>
        </w:rPr>
        <w:t xml:space="preserve"> dažos gadījumos virs 10</w:t>
      </w:r>
      <w:r w:rsidRPr="00231E54">
        <w:rPr>
          <w:color w:val="000000"/>
          <w:spacing w:val="1"/>
        </w:rPr>
        <w:t xml:space="preserve"> </w:t>
      </w:r>
      <w:r w:rsidRPr="00231E54">
        <w:rPr>
          <w:color w:val="000000"/>
          <w:spacing w:val="1"/>
          <w:szCs w:val="22"/>
        </w:rPr>
        <w:t xml:space="preserve">% pieņemtās vērtības no mātes ķermeņa masai pielāgotās devas, bet koncentrācija ar krūti barotu zīdaiņu asinīs nav novērtēta. </w:t>
      </w:r>
      <w:r w:rsidRPr="00231E54">
        <w:rPr>
          <w:color w:val="000000"/>
          <w:spacing w:val="1"/>
        </w:rPr>
        <w:t>N</w:t>
      </w:r>
      <w:r w:rsidRPr="00231E54">
        <w:rPr>
          <w:color w:val="000000"/>
          <w:spacing w:val="1"/>
          <w:szCs w:val="22"/>
        </w:rPr>
        <w:t>av</w:t>
      </w:r>
      <w:r w:rsidRPr="00231E54">
        <w:rPr>
          <w:color w:val="000000"/>
          <w:spacing w:val="1"/>
        </w:rPr>
        <w:t xml:space="preserve"> p</w:t>
      </w:r>
      <w:r w:rsidRPr="00231E54">
        <w:rPr>
          <w:color w:val="000000"/>
          <w:spacing w:val="1"/>
          <w:szCs w:val="22"/>
        </w:rPr>
        <w:t>ietiekamas informācijas par amisulprīda ietekmi uz jaundzimušajiem/zīdaiņiem. Lēmums par bērna barošanas ar krūti pārtraukšanu vai atturēšanos no amisulprīda terapijas jāpieņem, ņemot vērā ieguvumu no barošanas ar krūti bērnam un ieguvumu no terapijas sievietei.</w:t>
      </w:r>
    </w:p>
    <w:p w14:paraId="57F34D15" w14:textId="77777777" w:rsidR="00CD0119" w:rsidRPr="00231E54" w:rsidRDefault="00CD0119" w:rsidP="00C40768">
      <w:pPr>
        <w:shd w:val="clear" w:color="auto" w:fill="FFFFFF"/>
        <w:spacing w:line="240" w:lineRule="auto"/>
        <w:jc w:val="both"/>
        <w:rPr>
          <w:color w:val="000000"/>
          <w:spacing w:val="1"/>
          <w:szCs w:val="22"/>
        </w:rPr>
      </w:pPr>
    </w:p>
    <w:p w14:paraId="2BE0FE17" w14:textId="77777777" w:rsidR="00CD0119" w:rsidRPr="00231E54" w:rsidRDefault="00CD0119" w:rsidP="00C40768">
      <w:pPr>
        <w:spacing w:line="240" w:lineRule="auto"/>
        <w:jc w:val="both"/>
        <w:rPr>
          <w:color w:val="000000"/>
          <w:u w:val="single"/>
        </w:rPr>
      </w:pPr>
      <w:r w:rsidRPr="00231E54">
        <w:rPr>
          <w:color w:val="000000"/>
          <w:u w:val="single"/>
        </w:rPr>
        <w:t>Fertilitāte</w:t>
      </w:r>
    </w:p>
    <w:p w14:paraId="71807B90" w14:textId="77777777" w:rsidR="00CD0119" w:rsidRPr="00231E54" w:rsidRDefault="00CD0119" w:rsidP="00C40768">
      <w:pPr>
        <w:shd w:val="clear" w:color="auto" w:fill="FFFFFF"/>
        <w:spacing w:line="240" w:lineRule="auto"/>
        <w:jc w:val="both"/>
        <w:rPr>
          <w:color w:val="000000"/>
          <w:spacing w:val="1"/>
          <w:szCs w:val="22"/>
        </w:rPr>
      </w:pPr>
      <w:r w:rsidRPr="00231E54">
        <w:rPr>
          <w:color w:val="000000"/>
          <w:spacing w:val="1"/>
          <w:szCs w:val="22"/>
        </w:rPr>
        <w:t>Ārstēt</w:t>
      </w:r>
      <w:r w:rsidRPr="00231E54">
        <w:rPr>
          <w:color w:val="000000"/>
          <w:spacing w:val="1"/>
        </w:rPr>
        <w:t>aj</w:t>
      </w:r>
      <w:r w:rsidRPr="00231E54">
        <w:rPr>
          <w:color w:val="000000"/>
          <w:spacing w:val="1"/>
          <w:szCs w:val="22"/>
        </w:rPr>
        <w:t>iem dzīvniekiem novēroja auglības samazināšanos, kas saistīta ar zāļu farmakoloģis</w:t>
      </w:r>
      <w:r w:rsidRPr="00231E54">
        <w:rPr>
          <w:color w:val="000000"/>
          <w:spacing w:val="1"/>
        </w:rPr>
        <w:t>ko iedarbību (prolaktīna mediētā</w:t>
      </w:r>
      <w:r w:rsidRPr="00231E54">
        <w:rPr>
          <w:color w:val="000000"/>
          <w:spacing w:val="1"/>
          <w:szCs w:val="22"/>
        </w:rPr>
        <w:t xml:space="preserve"> iedarbība).</w:t>
      </w:r>
    </w:p>
    <w:p w14:paraId="55F35526" w14:textId="77777777" w:rsidR="00F75EAB" w:rsidRPr="00231E54" w:rsidRDefault="00F75EAB" w:rsidP="00C40768">
      <w:pPr>
        <w:tabs>
          <w:tab w:val="clear" w:pos="567"/>
        </w:tabs>
        <w:spacing w:line="240" w:lineRule="auto"/>
        <w:jc w:val="both"/>
        <w:rPr>
          <w:color w:val="000000"/>
        </w:rPr>
      </w:pPr>
    </w:p>
    <w:p w14:paraId="73168957" w14:textId="77777777" w:rsidR="00F75EAB" w:rsidRPr="00231E54" w:rsidRDefault="00F75EAB" w:rsidP="00C40768">
      <w:pPr>
        <w:tabs>
          <w:tab w:val="clear" w:pos="567"/>
        </w:tabs>
        <w:spacing w:line="240" w:lineRule="auto"/>
        <w:jc w:val="both"/>
        <w:rPr>
          <w:color w:val="000000"/>
        </w:rPr>
      </w:pPr>
      <w:r w:rsidRPr="00231E54">
        <w:rPr>
          <w:b/>
          <w:color w:val="000000"/>
        </w:rPr>
        <w:t>4.7.</w:t>
      </w:r>
      <w:r w:rsidRPr="00231E54">
        <w:rPr>
          <w:b/>
          <w:color w:val="000000"/>
        </w:rPr>
        <w:tab/>
        <w:t>Ietekme uz spēju vadīt transportlīdzekļus un apkalpot mehānismus</w:t>
      </w:r>
    </w:p>
    <w:p w14:paraId="429FB615" w14:textId="77777777" w:rsidR="00964FCB" w:rsidRPr="00231E54" w:rsidRDefault="00964FCB" w:rsidP="00C40768">
      <w:pPr>
        <w:shd w:val="clear" w:color="auto" w:fill="FFFFFF"/>
        <w:spacing w:line="240" w:lineRule="auto"/>
        <w:jc w:val="both"/>
        <w:rPr>
          <w:color w:val="000000"/>
        </w:rPr>
      </w:pPr>
    </w:p>
    <w:p w14:paraId="041917A1" w14:textId="77777777" w:rsidR="00C570A5" w:rsidRPr="00231E54" w:rsidRDefault="00C570A5" w:rsidP="00C40768">
      <w:pPr>
        <w:shd w:val="clear" w:color="auto" w:fill="FFFFFF"/>
        <w:spacing w:line="240" w:lineRule="auto"/>
        <w:jc w:val="both"/>
        <w:rPr>
          <w:color w:val="000000"/>
        </w:rPr>
      </w:pPr>
      <w:r w:rsidRPr="00231E54">
        <w:rPr>
          <w:color w:val="000000"/>
        </w:rPr>
        <w:t xml:space="preserve">Pat lietojot kā ieteikts, </w:t>
      </w:r>
      <w:r w:rsidR="00964FCB" w:rsidRPr="00231E54">
        <w:rPr>
          <w:color w:val="000000"/>
        </w:rPr>
        <w:t xml:space="preserve">amisulprīds </w:t>
      </w:r>
      <w:r w:rsidRPr="00231E54">
        <w:rPr>
          <w:color w:val="000000"/>
        </w:rPr>
        <w:t>var izraisīt miegainību</w:t>
      </w:r>
      <w:r w:rsidR="00CD0119" w:rsidRPr="00231E54">
        <w:rPr>
          <w:color w:val="000000"/>
        </w:rPr>
        <w:t xml:space="preserve"> un neskaidru redzi</w:t>
      </w:r>
      <w:r w:rsidRPr="00231E54">
        <w:rPr>
          <w:color w:val="000000"/>
        </w:rPr>
        <w:t>, tādēļ var būt traucētas spējas vadīt transportlīdzekļus vai apkalpot mehānismus (skatīt 4.8. apakšpunktu).</w:t>
      </w:r>
    </w:p>
    <w:p w14:paraId="51AC205A" w14:textId="77777777" w:rsidR="00F75EAB" w:rsidRPr="00231E54" w:rsidRDefault="00F75EAB" w:rsidP="00C40768">
      <w:pPr>
        <w:tabs>
          <w:tab w:val="clear" w:pos="567"/>
        </w:tabs>
        <w:spacing w:line="240" w:lineRule="auto"/>
        <w:jc w:val="both"/>
        <w:rPr>
          <w:color w:val="000000"/>
        </w:rPr>
      </w:pPr>
    </w:p>
    <w:p w14:paraId="5362049F" w14:textId="77777777" w:rsidR="00F75EAB" w:rsidRPr="00231E54" w:rsidRDefault="00F75EAB" w:rsidP="00C40768">
      <w:pPr>
        <w:tabs>
          <w:tab w:val="clear" w:pos="567"/>
        </w:tabs>
        <w:spacing w:line="240" w:lineRule="auto"/>
        <w:jc w:val="both"/>
        <w:rPr>
          <w:b/>
          <w:color w:val="000000"/>
        </w:rPr>
      </w:pPr>
      <w:r w:rsidRPr="00231E54">
        <w:rPr>
          <w:b/>
          <w:color w:val="000000"/>
        </w:rPr>
        <w:t>4.8.</w:t>
      </w:r>
      <w:r w:rsidRPr="00231E54">
        <w:rPr>
          <w:b/>
          <w:color w:val="000000"/>
        </w:rPr>
        <w:tab/>
        <w:t>Nevēlamās blakusparādības</w:t>
      </w:r>
    </w:p>
    <w:p w14:paraId="72581F20" w14:textId="77777777" w:rsidR="00964FCB" w:rsidRPr="00231E54" w:rsidRDefault="00964FCB" w:rsidP="00C40768">
      <w:pPr>
        <w:pStyle w:val="EMEAEnBodyText"/>
        <w:spacing w:before="0" w:after="0"/>
        <w:rPr>
          <w:color w:val="000000"/>
          <w:szCs w:val="22"/>
          <w:lang w:val="lv-LV"/>
        </w:rPr>
      </w:pPr>
    </w:p>
    <w:p w14:paraId="39AF06E3" w14:textId="77777777" w:rsidR="00AF0DCA" w:rsidRPr="00231E54" w:rsidRDefault="00AF0DCA" w:rsidP="00C40768">
      <w:pPr>
        <w:pStyle w:val="EMEAEnBodyText"/>
        <w:spacing w:before="0" w:after="0"/>
        <w:rPr>
          <w:color w:val="000000"/>
          <w:szCs w:val="22"/>
          <w:lang w:val="lv-LV"/>
        </w:rPr>
      </w:pPr>
      <w:r w:rsidRPr="00231E54">
        <w:rPr>
          <w:color w:val="000000"/>
          <w:szCs w:val="22"/>
          <w:lang w:val="lv-LV"/>
        </w:rPr>
        <w:t>Nevēlamās blakusparādības sagrupētas atbilstoši sastopamības biežumam, lietojot šādu iedalījumu:</w:t>
      </w:r>
    </w:p>
    <w:p w14:paraId="0AA7FA79" w14:textId="77777777" w:rsidR="00AF0DCA" w:rsidRPr="00231E54" w:rsidRDefault="00F75EAB" w:rsidP="00C40768">
      <w:pPr>
        <w:pStyle w:val="EMEAEnBodyText"/>
        <w:numPr>
          <w:ilvl w:val="0"/>
          <w:numId w:val="39"/>
        </w:numPr>
        <w:tabs>
          <w:tab w:val="left" w:pos="709"/>
        </w:tabs>
        <w:spacing w:before="0" w:after="0"/>
        <w:rPr>
          <w:bCs/>
          <w:noProof/>
          <w:color w:val="000000"/>
          <w:szCs w:val="22"/>
          <w:lang w:val="lv-LV"/>
        </w:rPr>
      </w:pPr>
      <w:r w:rsidRPr="00231E54">
        <w:rPr>
          <w:bCs/>
          <w:noProof/>
          <w:color w:val="000000"/>
          <w:szCs w:val="22"/>
          <w:lang w:val="lv-LV"/>
        </w:rPr>
        <w:t>ļoti bieži (</w:t>
      </w:r>
      <w:r w:rsidRPr="00231E54">
        <w:rPr>
          <w:bCs/>
          <w:noProof/>
          <w:color w:val="000000"/>
          <w:szCs w:val="22"/>
          <w:lang w:val="lv-LV"/>
        </w:rPr>
        <w:sym w:font="Symbol" w:char="F0B3"/>
      </w:r>
      <w:r w:rsidR="00AF0DCA" w:rsidRPr="00231E54">
        <w:rPr>
          <w:bCs/>
          <w:noProof/>
          <w:color w:val="000000"/>
          <w:szCs w:val="22"/>
          <w:lang w:val="lv-LV"/>
        </w:rPr>
        <w:t>1/10);</w:t>
      </w:r>
    </w:p>
    <w:p w14:paraId="6940BCC9" w14:textId="77777777" w:rsidR="00AF0DCA" w:rsidRPr="00231E54" w:rsidRDefault="00F75EAB" w:rsidP="00C40768">
      <w:pPr>
        <w:pStyle w:val="EMEAEnBodyText"/>
        <w:numPr>
          <w:ilvl w:val="0"/>
          <w:numId w:val="39"/>
        </w:numPr>
        <w:tabs>
          <w:tab w:val="left" w:pos="709"/>
        </w:tabs>
        <w:spacing w:before="0" w:after="0"/>
        <w:rPr>
          <w:bCs/>
          <w:noProof/>
          <w:color w:val="000000"/>
          <w:szCs w:val="22"/>
          <w:lang w:val="lv-LV"/>
        </w:rPr>
      </w:pPr>
      <w:r w:rsidRPr="00231E54">
        <w:rPr>
          <w:bCs/>
          <w:noProof/>
          <w:color w:val="000000"/>
          <w:szCs w:val="22"/>
          <w:lang w:val="lv-LV"/>
        </w:rPr>
        <w:t>bieži (</w:t>
      </w:r>
      <w:r w:rsidRPr="00231E54">
        <w:rPr>
          <w:bCs/>
          <w:noProof/>
          <w:color w:val="000000"/>
          <w:szCs w:val="22"/>
          <w:lang w:val="lv-LV"/>
        </w:rPr>
        <w:sym w:font="Symbol" w:char="F0B3"/>
      </w:r>
      <w:r w:rsidR="00AF0DCA" w:rsidRPr="00231E54">
        <w:rPr>
          <w:bCs/>
          <w:noProof/>
          <w:color w:val="000000"/>
          <w:szCs w:val="22"/>
          <w:lang w:val="lv-LV"/>
        </w:rPr>
        <w:t>1/100 līdz &lt;1/10);</w:t>
      </w:r>
    </w:p>
    <w:p w14:paraId="73975A23" w14:textId="77777777" w:rsidR="00AF0DCA" w:rsidRPr="00231E54" w:rsidRDefault="00F75EAB" w:rsidP="00C40768">
      <w:pPr>
        <w:pStyle w:val="EMEAEnBodyText"/>
        <w:numPr>
          <w:ilvl w:val="0"/>
          <w:numId w:val="39"/>
        </w:numPr>
        <w:tabs>
          <w:tab w:val="left" w:pos="709"/>
        </w:tabs>
        <w:spacing w:before="0" w:after="0"/>
        <w:rPr>
          <w:bCs/>
          <w:noProof/>
          <w:color w:val="000000"/>
          <w:szCs w:val="22"/>
          <w:lang w:val="lv-LV"/>
        </w:rPr>
      </w:pPr>
      <w:r w:rsidRPr="00231E54">
        <w:rPr>
          <w:bCs/>
          <w:noProof/>
          <w:color w:val="000000"/>
          <w:szCs w:val="22"/>
          <w:lang w:val="lv-LV"/>
        </w:rPr>
        <w:t>retāk (</w:t>
      </w:r>
      <w:r w:rsidRPr="00231E54">
        <w:rPr>
          <w:bCs/>
          <w:noProof/>
          <w:color w:val="000000"/>
          <w:szCs w:val="22"/>
          <w:lang w:val="lv-LV"/>
        </w:rPr>
        <w:sym w:font="Symbol" w:char="F0B3"/>
      </w:r>
      <w:r w:rsidR="00AF0DCA" w:rsidRPr="00231E54">
        <w:rPr>
          <w:bCs/>
          <w:noProof/>
          <w:color w:val="000000"/>
          <w:szCs w:val="22"/>
          <w:lang w:val="lv-LV"/>
        </w:rPr>
        <w:t>1/1 000 līdz &lt;1/100);</w:t>
      </w:r>
    </w:p>
    <w:p w14:paraId="1069D8DE" w14:textId="77777777" w:rsidR="00AF0DCA" w:rsidRPr="00231E54" w:rsidRDefault="00F75EAB" w:rsidP="00C40768">
      <w:pPr>
        <w:pStyle w:val="EMEAEnBodyText"/>
        <w:numPr>
          <w:ilvl w:val="0"/>
          <w:numId w:val="39"/>
        </w:numPr>
        <w:tabs>
          <w:tab w:val="left" w:pos="709"/>
        </w:tabs>
        <w:spacing w:before="0" w:after="0"/>
        <w:rPr>
          <w:bCs/>
          <w:noProof/>
          <w:color w:val="000000"/>
          <w:szCs w:val="22"/>
          <w:lang w:val="lv-LV"/>
        </w:rPr>
      </w:pPr>
      <w:r w:rsidRPr="00231E54">
        <w:rPr>
          <w:bCs/>
          <w:noProof/>
          <w:color w:val="000000"/>
          <w:szCs w:val="22"/>
          <w:lang w:val="lv-LV"/>
        </w:rPr>
        <w:t>reti (</w:t>
      </w:r>
      <w:r w:rsidRPr="00231E54">
        <w:rPr>
          <w:bCs/>
          <w:noProof/>
          <w:color w:val="000000"/>
          <w:szCs w:val="22"/>
          <w:lang w:val="lv-LV"/>
        </w:rPr>
        <w:sym w:font="Symbol" w:char="F0B3"/>
      </w:r>
      <w:r w:rsidR="00AF0DCA" w:rsidRPr="00231E54">
        <w:rPr>
          <w:bCs/>
          <w:noProof/>
          <w:color w:val="000000"/>
          <w:szCs w:val="22"/>
          <w:lang w:val="lv-LV"/>
        </w:rPr>
        <w:t>1/10 000 līdz &lt;1/1 000);</w:t>
      </w:r>
    </w:p>
    <w:p w14:paraId="47B182B5" w14:textId="77777777" w:rsidR="00AF0DCA" w:rsidRPr="00231E54" w:rsidRDefault="00AF0DCA" w:rsidP="00C40768">
      <w:pPr>
        <w:pStyle w:val="EMEAEnBodyText"/>
        <w:numPr>
          <w:ilvl w:val="0"/>
          <w:numId w:val="39"/>
        </w:numPr>
        <w:tabs>
          <w:tab w:val="left" w:pos="709"/>
        </w:tabs>
        <w:spacing w:before="0" w:after="0"/>
        <w:rPr>
          <w:bCs/>
          <w:noProof/>
          <w:color w:val="000000"/>
          <w:szCs w:val="22"/>
          <w:lang w:val="lv-LV"/>
        </w:rPr>
      </w:pPr>
      <w:r w:rsidRPr="00231E54">
        <w:rPr>
          <w:bCs/>
          <w:noProof/>
          <w:color w:val="000000"/>
          <w:szCs w:val="22"/>
          <w:lang w:val="lv-LV"/>
        </w:rPr>
        <w:t>ļoti reti (&lt;1/10 000);</w:t>
      </w:r>
    </w:p>
    <w:p w14:paraId="7FF02D38" w14:textId="77777777" w:rsidR="00F75EAB" w:rsidRPr="00231E54" w:rsidRDefault="00F75EAB" w:rsidP="00C40768">
      <w:pPr>
        <w:pStyle w:val="EMEAEnBodyText"/>
        <w:numPr>
          <w:ilvl w:val="0"/>
          <w:numId w:val="39"/>
        </w:numPr>
        <w:tabs>
          <w:tab w:val="left" w:pos="709"/>
        </w:tabs>
        <w:spacing w:before="0" w:after="0"/>
        <w:rPr>
          <w:bCs/>
          <w:noProof/>
          <w:color w:val="000000"/>
          <w:szCs w:val="22"/>
          <w:lang w:val="lv-LV"/>
        </w:rPr>
      </w:pPr>
      <w:r w:rsidRPr="00231E54">
        <w:rPr>
          <w:bCs/>
          <w:noProof/>
          <w:color w:val="000000"/>
          <w:szCs w:val="22"/>
          <w:lang w:val="lv-LV"/>
        </w:rPr>
        <w:t>nav zināmi (nevar noteikt pēc pieejamiem datiem)</w:t>
      </w:r>
      <w:r w:rsidR="00AF0DCA" w:rsidRPr="00231E54">
        <w:rPr>
          <w:bCs/>
          <w:noProof/>
          <w:color w:val="000000"/>
          <w:szCs w:val="22"/>
          <w:lang w:val="lv-LV"/>
        </w:rPr>
        <w:t>.</w:t>
      </w:r>
    </w:p>
    <w:p w14:paraId="3C03CAE2" w14:textId="3C7EB2D4" w:rsidR="00F75EAB" w:rsidRPr="00231E54" w:rsidRDefault="00F75EAB" w:rsidP="00C40768">
      <w:pPr>
        <w:pStyle w:val="EMEAEnBodyText"/>
        <w:spacing w:before="0" w:after="0"/>
        <w:rPr>
          <w:bCs/>
          <w:noProof/>
          <w:color w:val="000000"/>
          <w:szCs w:val="22"/>
          <w:lang w:val="lv-LV"/>
        </w:rPr>
      </w:pPr>
    </w:p>
    <w:tbl>
      <w:tblPr>
        <w:tblStyle w:val="TableGrid"/>
        <w:tblW w:w="0" w:type="auto"/>
        <w:tblLook w:val="04A0" w:firstRow="1" w:lastRow="0" w:firstColumn="1" w:lastColumn="0" w:noHBand="0" w:noVBand="1"/>
      </w:tblPr>
      <w:tblGrid>
        <w:gridCol w:w="2115"/>
        <w:gridCol w:w="1564"/>
        <w:gridCol w:w="5383"/>
      </w:tblGrid>
      <w:tr w:rsidR="007642C4" w:rsidRPr="00231E54" w14:paraId="558F36CB" w14:textId="77777777" w:rsidTr="00231E54">
        <w:tc>
          <w:tcPr>
            <w:tcW w:w="0" w:type="auto"/>
            <w:vAlign w:val="center"/>
          </w:tcPr>
          <w:p w14:paraId="6D27E76F" w14:textId="5777C5D0" w:rsidR="007642C4" w:rsidRPr="00231E54" w:rsidRDefault="00C40768" w:rsidP="00231E54">
            <w:pPr>
              <w:pStyle w:val="EMEAEnBodyText"/>
              <w:spacing w:before="0" w:after="0"/>
              <w:jc w:val="center"/>
              <w:rPr>
                <w:bCs/>
                <w:i/>
                <w:iCs/>
                <w:noProof/>
                <w:color w:val="000000"/>
                <w:szCs w:val="22"/>
                <w:lang w:val="lv-LV"/>
              </w:rPr>
            </w:pPr>
            <w:r w:rsidRPr="00231E54">
              <w:rPr>
                <w:bCs/>
                <w:i/>
                <w:iCs/>
                <w:noProof/>
                <w:color w:val="000000"/>
                <w:szCs w:val="22"/>
                <w:lang w:val="lv-LV"/>
              </w:rPr>
              <w:t>Orgānu sistēmas klase</w:t>
            </w:r>
          </w:p>
        </w:tc>
        <w:tc>
          <w:tcPr>
            <w:tcW w:w="0" w:type="auto"/>
            <w:vAlign w:val="center"/>
          </w:tcPr>
          <w:p w14:paraId="2EE67D0B" w14:textId="3A524523" w:rsidR="007642C4" w:rsidRPr="00231E54" w:rsidRDefault="00C40768" w:rsidP="00231E54">
            <w:pPr>
              <w:pStyle w:val="EMEAEnBodyText"/>
              <w:spacing w:before="0" w:after="0"/>
              <w:jc w:val="center"/>
              <w:rPr>
                <w:bCs/>
                <w:i/>
                <w:iCs/>
                <w:noProof/>
                <w:color w:val="000000"/>
                <w:szCs w:val="22"/>
                <w:lang w:val="lv-LV"/>
              </w:rPr>
            </w:pPr>
            <w:r w:rsidRPr="00231E54">
              <w:rPr>
                <w:bCs/>
                <w:i/>
                <w:iCs/>
                <w:noProof/>
                <w:color w:val="000000"/>
                <w:szCs w:val="22"/>
                <w:lang w:val="lv-LV"/>
              </w:rPr>
              <w:t>Sastopamības biežums</w:t>
            </w:r>
          </w:p>
        </w:tc>
        <w:tc>
          <w:tcPr>
            <w:tcW w:w="0" w:type="auto"/>
            <w:vAlign w:val="center"/>
          </w:tcPr>
          <w:p w14:paraId="5B57E23D" w14:textId="5A4A12A4" w:rsidR="007642C4" w:rsidRPr="00231E54" w:rsidRDefault="00C40768" w:rsidP="00231E54">
            <w:pPr>
              <w:pStyle w:val="EMEAEnBodyText"/>
              <w:spacing w:before="0" w:after="0"/>
              <w:jc w:val="center"/>
              <w:rPr>
                <w:bCs/>
                <w:i/>
                <w:iCs/>
                <w:noProof/>
                <w:color w:val="000000"/>
                <w:szCs w:val="22"/>
                <w:lang w:val="lv-LV"/>
              </w:rPr>
            </w:pPr>
            <w:r w:rsidRPr="00231E54">
              <w:rPr>
                <w:bCs/>
                <w:i/>
                <w:iCs/>
                <w:noProof/>
                <w:color w:val="000000"/>
                <w:szCs w:val="22"/>
                <w:lang w:val="lv-LV"/>
              </w:rPr>
              <w:t>Nevēlamā blakusparādība</w:t>
            </w:r>
          </w:p>
        </w:tc>
      </w:tr>
      <w:tr w:rsidR="007642C4" w:rsidRPr="00231E54" w14:paraId="3108AB5B" w14:textId="77777777" w:rsidTr="00231E54">
        <w:tc>
          <w:tcPr>
            <w:tcW w:w="0" w:type="auto"/>
            <w:vMerge w:val="restart"/>
            <w:vAlign w:val="center"/>
          </w:tcPr>
          <w:p w14:paraId="7235F484" w14:textId="6A51B591" w:rsidR="007642C4" w:rsidRPr="00231E54" w:rsidRDefault="007642C4" w:rsidP="00172761">
            <w:pPr>
              <w:pStyle w:val="EMEAEnBodyText"/>
              <w:spacing w:before="0" w:after="0"/>
              <w:rPr>
                <w:bCs/>
                <w:noProof/>
                <w:color w:val="000000"/>
                <w:szCs w:val="22"/>
                <w:lang w:val="lv-LV"/>
              </w:rPr>
            </w:pPr>
            <w:r w:rsidRPr="00231E54">
              <w:rPr>
                <w:i/>
                <w:iCs/>
                <w:color w:val="000000"/>
                <w:szCs w:val="22"/>
                <w:lang w:val="lv-LV"/>
              </w:rPr>
              <w:t>Asins un limfātiskās sistēmas traucējumi</w:t>
            </w:r>
          </w:p>
        </w:tc>
        <w:tc>
          <w:tcPr>
            <w:tcW w:w="0" w:type="auto"/>
            <w:vAlign w:val="center"/>
          </w:tcPr>
          <w:p w14:paraId="1AF265F0" w14:textId="437E7C52" w:rsidR="007642C4" w:rsidRPr="00231E54" w:rsidRDefault="007642C4" w:rsidP="00172761">
            <w:pPr>
              <w:pStyle w:val="EMEAEnBodyText"/>
              <w:spacing w:before="0" w:after="0"/>
              <w:rPr>
                <w:bCs/>
                <w:iCs/>
                <w:noProof/>
                <w:color w:val="000000"/>
                <w:szCs w:val="22"/>
                <w:lang w:val="lv-LV"/>
              </w:rPr>
            </w:pPr>
            <w:r w:rsidRPr="00231E54">
              <w:rPr>
                <w:iCs/>
                <w:color w:val="000000"/>
                <w:szCs w:val="22"/>
                <w:lang w:val="lv-LV"/>
              </w:rPr>
              <w:t>Retāk</w:t>
            </w:r>
          </w:p>
        </w:tc>
        <w:tc>
          <w:tcPr>
            <w:tcW w:w="0" w:type="auto"/>
            <w:vAlign w:val="center"/>
          </w:tcPr>
          <w:p w14:paraId="603D76EF" w14:textId="5BAC7774" w:rsidR="007642C4" w:rsidRPr="00231E54" w:rsidRDefault="007642C4" w:rsidP="00C40768">
            <w:pPr>
              <w:pStyle w:val="EMEAEnBodyText"/>
              <w:spacing w:before="0" w:after="0"/>
              <w:rPr>
                <w:bCs/>
                <w:noProof/>
                <w:color w:val="000000"/>
                <w:szCs w:val="22"/>
                <w:lang w:val="lv-LV"/>
              </w:rPr>
            </w:pPr>
            <w:r w:rsidRPr="00231E54">
              <w:rPr>
                <w:iCs/>
                <w:color w:val="000000"/>
                <w:szCs w:val="22"/>
                <w:lang w:val="lv-LV"/>
              </w:rPr>
              <w:t>Leikopēnija, neitropēnija (skatīt 4.4. apakšpunktu).</w:t>
            </w:r>
          </w:p>
        </w:tc>
      </w:tr>
      <w:tr w:rsidR="007642C4" w:rsidRPr="00231E54" w14:paraId="6E6DCB54" w14:textId="77777777" w:rsidTr="00231E54">
        <w:tc>
          <w:tcPr>
            <w:tcW w:w="0" w:type="auto"/>
            <w:vMerge/>
            <w:vAlign w:val="center"/>
          </w:tcPr>
          <w:p w14:paraId="34A2978E" w14:textId="77777777" w:rsidR="007642C4" w:rsidRPr="00231E54" w:rsidRDefault="007642C4" w:rsidP="00C40768">
            <w:pPr>
              <w:pStyle w:val="EMEAEnBodyText"/>
              <w:spacing w:before="0" w:after="0"/>
              <w:rPr>
                <w:bCs/>
                <w:noProof/>
                <w:color w:val="000000"/>
                <w:szCs w:val="22"/>
                <w:lang w:val="lv-LV"/>
              </w:rPr>
            </w:pPr>
          </w:p>
        </w:tc>
        <w:tc>
          <w:tcPr>
            <w:tcW w:w="0" w:type="auto"/>
            <w:vAlign w:val="center"/>
          </w:tcPr>
          <w:p w14:paraId="5C9CDFBA" w14:textId="0F65C8BC" w:rsidR="007642C4" w:rsidRPr="00231E54" w:rsidRDefault="007642C4" w:rsidP="00C40768">
            <w:pPr>
              <w:pStyle w:val="EMEAEnBodyText"/>
              <w:spacing w:before="0" w:after="0"/>
              <w:rPr>
                <w:bCs/>
                <w:iCs/>
                <w:noProof/>
                <w:color w:val="000000"/>
                <w:szCs w:val="22"/>
                <w:lang w:val="lv-LV"/>
              </w:rPr>
            </w:pPr>
            <w:r w:rsidRPr="00231E54">
              <w:rPr>
                <w:iCs/>
                <w:color w:val="000000"/>
                <w:szCs w:val="22"/>
                <w:lang w:val="lv-LV"/>
              </w:rPr>
              <w:t>Reti</w:t>
            </w:r>
          </w:p>
        </w:tc>
        <w:tc>
          <w:tcPr>
            <w:tcW w:w="0" w:type="auto"/>
            <w:vAlign w:val="center"/>
          </w:tcPr>
          <w:p w14:paraId="093FC4CE" w14:textId="5727933C" w:rsidR="007642C4" w:rsidRPr="00231E54" w:rsidRDefault="007642C4" w:rsidP="00C40768">
            <w:pPr>
              <w:pStyle w:val="EMEAEnBodyText"/>
              <w:spacing w:before="0" w:after="0"/>
              <w:rPr>
                <w:bCs/>
                <w:noProof/>
                <w:color w:val="000000"/>
                <w:szCs w:val="22"/>
                <w:lang w:val="lv-LV"/>
              </w:rPr>
            </w:pPr>
            <w:r w:rsidRPr="00231E54">
              <w:rPr>
                <w:iCs/>
                <w:color w:val="000000"/>
                <w:szCs w:val="22"/>
                <w:lang w:val="lv-LV"/>
              </w:rPr>
              <w:t>Agr</w:t>
            </w:r>
            <w:r w:rsidRPr="00231E54">
              <w:rPr>
                <w:color w:val="000000"/>
                <w:szCs w:val="22"/>
                <w:lang w:val="lv-LV"/>
              </w:rPr>
              <w:t>anulocitoze (skatīt 4.4. apakšpunktu).</w:t>
            </w:r>
          </w:p>
        </w:tc>
      </w:tr>
      <w:tr w:rsidR="007642C4" w:rsidRPr="00231E54" w14:paraId="0F1C2DA1" w14:textId="77777777" w:rsidTr="00231E54">
        <w:tc>
          <w:tcPr>
            <w:tcW w:w="0" w:type="auto"/>
            <w:vAlign w:val="center"/>
          </w:tcPr>
          <w:p w14:paraId="051E5413" w14:textId="4DCDF7C2" w:rsidR="007642C4" w:rsidRPr="00231E54" w:rsidRDefault="007642C4" w:rsidP="00172761">
            <w:pPr>
              <w:pStyle w:val="EMEAEnBodyText"/>
              <w:spacing w:before="0" w:after="0"/>
              <w:rPr>
                <w:bCs/>
                <w:noProof/>
                <w:color w:val="000000"/>
                <w:szCs w:val="22"/>
                <w:lang w:val="lv-LV"/>
              </w:rPr>
            </w:pPr>
            <w:r w:rsidRPr="00231E54">
              <w:rPr>
                <w:i/>
                <w:iCs/>
                <w:color w:val="000000"/>
                <w:szCs w:val="22"/>
                <w:lang w:val="lv-LV"/>
              </w:rPr>
              <w:t>Imūnās sistēmas traucējumi</w:t>
            </w:r>
          </w:p>
        </w:tc>
        <w:tc>
          <w:tcPr>
            <w:tcW w:w="0" w:type="auto"/>
            <w:vAlign w:val="center"/>
          </w:tcPr>
          <w:p w14:paraId="778C086F" w14:textId="1F4D50B0" w:rsidR="007642C4" w:rsidRPr="00231E54" w:rsidRDefault="007642C4" w:rsidP="00172761">
            <w:pPr>
              <w:pStyle w:val="EMEAEnBodyText"/>
              <w:spacing w:before="0" w:after="0"/>
              <w:rPr>
                <w:bCs/>
                <w:iCs/>
                <w:noProof/>
                <w:color w:val="000000"/>
                <w:szCs w:val="22"/>
                <w:lang w:val="lv-LV"/>
              </w:rPr>
            </w:pPr>
            <w:r w:rsidRPr="00231E54">
              <w:rPr>
                <w:bCs/>
                <w:iCs/>
                <w:noProof/>
                <w:color w:val="000000"/>
                <w:szCs w:val="22"/>
                <w:lang w:val="lv-LV"/>
              </w:rPr>
              <w:t>Retāk</w:t>
            </w:r>
          </w:p>
        </w:tc>
        <w:tc>
          <w:tcPr>
            <w:tcW w:w="0" w:type="auto"/>
            <w:vAlign w:val="center"/>
          </w:tcPr>
          <w:p w14:paraId="522C789E" w14:textId="755F9F35" w:rsidR="007642C4" w:rsidRPr="00231E54" w:rsidRDefault="007642C4" w:rsidP="00C40768">
            <w:pPr>
              <w:pStyle w:val="EMEAEnBodyText"/>
              <w:spacing w:before="0" w:after="0"/>
              <w:rPr>
                <w:bCs/>
                <w:noProof/>
                <w:color w:val="000000"/>
                <w:szCs w:val="22"/>
                <w:lang w:val="lv-LV"/>
              </w:rPr>
            </w:pPr>
            <w:r w:rsidRPr="00231E54">
              <w:rPr>
                <w:bCs/>
                <w:noProof/>
                <w:color w:val="000000"/>
                <w:szCs w:val="22"/>
                <w:lang w:val="lv-LV"/>
              </w:rPr>
              <w:t>Alerģiska reakcija.</w:t>
            </w:r>
          </w:p>
        </w:tc>
      </w:tr>
      <w:tr w:rsidR="007642C4" w:rsidRPr="00231E54" w14:paraId="7D9CE158" w14:textId="77777777" w:rsidTr="00231E54">
        <w:tc>
          <w:tcPr>
            <w:tcW w:w="0" w:type="auto"/>
            <w:vMerge w:val="restart"/>
            <w:vAlign w:val="center"/>
          </w:tcPr>
          <w:p w14:paraId="470F2000" w14:textId="2CCC54C0" w:rsidR="007642C4" w:rsidRPr="00231E54" w:rsidRDefault="007642C4" w:rsidP="00172761">
            <w:pPr>
              <w:pStyle w:val="EMEAEnBodyText"/>
              <w:spacing w:before="0" w:after="0"/>
              <w:rPr>
                <w:bCs/>
                <w:noProof/>
                <w:color w:val="000000"/>
                <w:szCs w:val="22"/>
                <w:lang w:val="lv-LV"/>
              </w:rPr>
            </w:pPr>
            <w:r w:rsidRPr="00231E54">
              <w:rPr>
                <w:i/>
                <w:iCs/>
                <w:color w:val="000000"/>
                <w:szCs w:val="22"/>
                <w:lang w:val="lv-LV"/>
              </w:rPr>
              <w:t>Endokrīnās sistēmas traucējumi</w:t>
            </w:r>
          </w:p>
        </w:tc>
        <w:tc>
          <w:tcPr>
            <w:tcW w:w="0" w:type="auto"/>
            <w:vAlign w:val="center"/>
          </w:tcPr>
          <w:p w14:paraId="2A4B87C7" w14:textId="778D99F4" w:rsidR="007642C4" w:rsidRPr="00231E54" w:rsidRDefault="007642C4" w:rsidP="00172761">
            <w:pPr>
              <w:pStyle w:val="EMEAEnBodyText"/>
              <w:spacing w:before="0" w:after="0"/>
              <w:rPr>
                <w:bCs/>
                <w:iCs/>
                <w:noProof/>
                <w:color w:val="000000"/>
                <w:szCs w:val="22"/>
                <w:lang w:val="lv-LV"/>
              </w:rPr>
            </w:pPr>
            <w:r w:rsidRPr="00231E54">
              <w:rPr>
                <w:iCs/>
                <w:color w:val="000000"/>
                <w:szCs w:val="22"/>
                <w:lang w:val="lv-LV"/>
              </w:rPr>
              <w:t>Bieži</w:t>
            </w:r>
          </w:p>
        </w:tc>
        <w:tc>
          <w:tcPr>
            <w:tcW w:w="0" w:type="auto"/>
            <w:vAlign w:val="center"/>
          </w:tcPr>
          <w:p w14:paraId="2EA4A6B9" w14:textId="4CC23157" w:rsidR="007642C4" w:rsidRPr="00231E54" w:rsidRDefault="007642C4" w:rsidP="00C40768">
            <w:pPr>
              <w:pStyle w:val="EMEAEnBodyText"/>
              <w:spacing w:before="0" w:after="0"/>
              <w:rPr>
                <w:bCs/>
                <w:noProof/>
                <w:color w:val="000000"/>
                <w:szCs w:val="22"/>
                <w:lang w:val="lv-LV"/>
              </w:rPr>
            </w:pPr>
            <w:r w:rsidRPr="00231E54">
              <w:rPr>
                <w:bCs/>
                <w:noProof/>
                <w:color w:val="000000"/>
                <w:szCs w:val="22"/>
                <w:lang w:val="lv-LV"/>
              </w:rPr>
              <w:t xml:space="preserve">Hiperprolaktinēmija, </w:t>
            </w:r>
            <w:r w:rsidRPr="00231E54">
              <w:rPr>
                <w:color w:val="000000"/>
                <w:spacing w:val="4"/>
                <w:szCs w:val="22"/>
                <w:lang w:val="lv-LV"/>
              </w:rPr>
              <w:t xml:space="preserve">galaktoreja, amenoreja, ginekomastija, sāpes krūšu </w:t>
            </w:r>
            <w:r w:rsidRPr="00231E54">
              <w:rPr>
                <w:color w:val="000000"/>
                <w:spacing w:val="1"/>
                <w:szCs w:val="22"/>
                <w:lang w:val="lv-LV"/>
              </w:rPr>
              <w:t>dziedzeros un erektila disfunkcija.</w:t>
            </w:r>
          </w:p>
        </w:tc>
      </w:tr>
      <w:tr w:rsidR="007642C4" w:rsidRPr="00231E54" w14:paraId="0A840EC1" w14:textId="77777777" w:rsidTr="00231E54">
        <w:tc>
          <w:tcPr>
            <w:tcW w:w="0" w:type="auto"/>
            <w:vMerge/>
            <w:vAlign w:val="center"/>
          </w:tcPr>
          <w:p w14:paraId="067DDA85" w14:textId="77777777" w:rsidR="007642C4" w:rsidRPr="00231E54" w:rsidRDefault="007642C4" w:rsidP="00C40768">
            <w:pPr>
              <w:pStyle w:val="EMEAEnBodyText"/>
              <w:spacing w:before="0" w:after="0"/>
              <w:rPr>
                <w:bCs/>
                <w:noProof/>
                <w:color w:val="000000"/>
                <w:szCs w:val="22"/>
                <w:lang w:val="lv-LV"/>
              </w:rPr>
            </w:pPr>
          </w:p>
        </w:tc>
        <w:tc>
          <w:tcPr>
            <w:tcW w:w="0" w:type="auto"/>
            <w:vAlign w:val="center"/>
          </w:tcPr>
          <w:p w14:paraId="2534C303" w14:textId="439742A9" w:rsidR="007642C4" w:rsidRPr="00231E54" w:rsidRDefault="007642C4" w:rsidP="00C40768">
            <w:pPr>
              <w:pStyle w:val="EMEAEnBodyText"/>
              <w:spacing w:before="0" w:after="0"/>
              <w:rPr>
                <w:bCs/>
                <w:iCs/>
                <w:noProof/>
                <w:color w:val="000000"/>
                <w:szCs w:val="22"/>
                <w:lang w:val="lv-LV"/>
              </w:rPr>
            </w:pPr>
            <w:r w:rsidRPr="00231E54">
              <w:rPr>
                <w:iCs/>
                <w:color w:val="000000"/>
                <w:szCs w:val="22"/>
                <w:lang w:val="lv-LV"/>
              </w:rPr>
              <w:t>Reti</w:t>
            </w:r>
          </w:p>
        </w:tc>
        <w:tc>
          <w:tcPr>
            <w:tcW w:w="0" w:type="auto"/>
            <w:vAlign w:val="center"/>
          </w:tcPr>
          <w:p w14:paraId="742A0162" w14:textId="5E4C5E51" w:rsidR="007642C4" w:rsidRPr="00231E54" w:rsidRDefault="007642C4" w:rsidP="00C40768">
            <w:pPr>
              <w:pStyle w:val="EMEAEnBodyText"/>
              <w:spacing w:before="0" w:after="0"/>
              <w:rPr>
                <w:bCs/>
                <w:noProof/>
                <w:color w:val="000000"/>
                <w:szCs w:val="22"/>
                <w:lang w:val="lv-LV"/>
              </w:rPr>
            </w:pPr>
            <w:r w:rsidRPr="00231E54">
              <w:rPr>
                <w:color w:val="000000"/>
                <w:szCs w:val="22"/>
                <w:lang w:val="lv-LV"/>
              </w:rPr>
              <w:t>Labdabīgs hipofīzes audzējs, piemēram, prolaktinoma (skatīt 4.3. un 4.4. apakšpunktu).</w:t>
            </w:r>
          </w:p>
        </w:tc>
      </w:tr>
      <w:tr w:rsidR="007642C4" w:rsidRPr="00231E54" w14:paraId="57ABD4AC" w14:textId="77777777" w:rsidTr="00231E54">
        <w:tc>
          <w:tcPr>
            <w:tcW w:w="0" w:type="auto"/>
            <w:vMerge w:val="restart"/>
            <w:vAlign w:val="center"/>
          </w:tcPr>
          <w:p w14:paraId="0736C939" w14:textId="6235127D" w:rsidR="007642C4" w:rsidRPr="00231E54" w:rsidRDefault="007642C4" w:rsidP="00172761">
            <w:pPr>
              <w:pStyle w:val="EMEAEnBodyText"/>
              <w:spacing w:before="0" w:after="0"/>
              <w:rPr>
                <w:bCs/>
                <w:noProof/>
                <w:color w:val="000000"/>
                <w:szCs w:val="22"/>
                <w:lang w:val="lv-LV"/>
              </w:rPr>
            </w:pPr>
            <w:r w:rsidRPr="00231E54">
              <w:rPr>
                <w:i/>
                <w:iCs/>
                <w:color w:val="000000"/>
                <w:szCs w:val="22"/>
                <w:lang w:val="lv-LV"/>
              </w:rPr>
              <w:t>Vielmaiņas un uztures traucējumi</w:t>
            </w:r>
          </w:p>
        </w:tc>
        <w:tc>
          <w:tcPr>
            <w:tcW w:w="0" w:type="auto"/>
            <w:vAlign w:val="center"/>
          </w:tcPr>
          <w:p w14:paraId="5BD251A4" w14:textId="1149F23D" w:rsidR="007642C4" w:rsidRPr="00231E54" w:rsidRDefault="007642C4" w:rsidP="00172761">
            <w:pPr>
              <w:pStyle w:val="EMEAEnBodyText"/>
              <w:spacing w:before="0" w:after="0"/>
              <w:rPr>
                <w:bCs/>
                <w:iCs/>
                <w:noProof/>
                <w:color w:val="000000"/>
                <w:szCs w:val="22"/>
                <w:lang w:val="lv-LV"/>
              </w:rPr>
            </w:pPr>
            <w:r w:rsidRPr="00231E54">
              <w:rPr>
                <w:bCs/>
                <w:iCs/>
                <w:noProof/>
                <w:color w:val="000000"/>
                <w:szCs w:val="22"/>
                <w:lang w:val="lv-LV"/>
              </w:rPr>
              <w:t>Retāk</w:t>
            </w:r>
          </w:p>
        </w:tc>
        <w:tc>
          <w:tcPr>
            <w:tcW w:w="0" w:type="auto"/>
            <w:vAlign w:val="center"/>
          </w:tcPr>
          <w:p w14:paraId="2E92FACA" w14:textId="166271DB" w:rsidR="007642C4" w:rsidRPr="00231E54" w:rsidRDefault="00172761" w:rsidP="00C40768">
            <w:pPr>
              <w:pStyle w:val="EMEAEnBodyText"/>
              <w:spacing w:before="0" w:after="0"/>
              <w:rPr>
                <w:bCs/>
                <w:noProof/>
                <w:color w:val="000000"/>
                <w:szCs w:val="22"/>
                <w:lang w:val="lv-LV"/>
              </w:rPr>
            </w:pPr>
            <w:r w:rsidRPr="00231E54">
              <w:rPr>
                <w:bCs/>
                <w:iCs/>
                <w:noProof/>
                <w:color w:val="000000"/>
                <w:szCs w:val="22"/>
                <w:lang w:val="lv-LV"/>
              </w:rPr>
              <w:t>Hiperglikēmija</w:t>
            </w:r>
            <w:r w:rsidRPr="00231E54">
              <w:rPr>
                <w:bCs/>
                <w:noProof/>
                <w:color w:val="000000"/>
                <w:szCs w:val="22"/>
                <w:lang w:val="lv-LV"/>
              </w:rPr>
              <w:t xml:space="preserve"> (skatīt 4.4. apakšpunktu), hipertrigliceridēmija un hiperholesterinēmija.</w:t>
            </w:r>
          </w:p>
        </w:tc>
      </w:tr>
      <w:tr w:rsidR="007642C4" w:rsidRPr="00231E54" w14:paraId="2001A5A6" w14:textId="77777777" w:rsidTr="00231E54">
        <w:tc>
          <w:tcPr>
            <w:tcW w:w="0" w:type="auto"/>
            <w:vMerge/>
            <w:vAlign w:val="center"/>
          </w:tcPr>
          <w:p w14:paraId="760ABAA6" w14:textId="77777777" w:rsidR="007642C4" w:rsidRPr="00231E54" w:rsidRDefault="007642C4" w:rsidP="00C40768">
            <w:pPr>
              <w:pStyle w:val="EMEAEnBodyText"/>
              <w:spacing w:before="0" w:after="0"/>
              <w:rPr>
                <w:bCs/>
                <w:noProof/>
                <w:color w:val="000000"/>
                <w:szCs w:val="22"/>
                <w:lang w:val="lv-LV"/>
              </w:rPr>
            </w:pPr>
          </w:p>
        </w:tc>
        <w:tc>
          <w:tcPr>
            <w:tcW w:w="0" w:type="auto"/>
            <w:vAlign w:val="center"/>
          </w:tcPr>
          <w:p w14:paraId="14A76F4A" w14:textId="0870670C" w:rsidR="007642C4" w:rsidRPr="00231E54" w:rsidRDefault="007642C4" w:rsidP="00C40768">
            <w:pPr>
              <w:pStyle w:val="EMEAEnBodyText"/>
              <w:spacing w:before="0" w:after="0"/>
              <w:rPr>
                <w:bCs/>
                <w:iCs/>
                <w:noProof/>
                <w:color w:val="000000"/>
                <w:szCs w:val="22"/>
                <w:lang w:val="lv-LV"/>
              </w:rPr>
            </w:pPr>
            <w:r w:rsidRPr="00231E54">
              <w:rPr>
                <w:bCs/>
                <w:iCs/>
                <w:noProof/>
                <w:color w:val="000000"/>
                <w:szCs w:val="22"/>
                <w:lang w:val="lv-LV"/>
              </w:rPr>
              <w:t>Reti</w:t>
            </w:r>
          </w:p>
        </w:tc>
        <w:tc>
          <w:tcPr>
            <w:tcW w:w="0" w:type="auto"/>
            <w:vAlign w:val="center"/>
          </w:tcPr>
          <w:p w14:paraId="76651C75" w14:textId="68666DEF" w:rsidR="007642C4" w:rsidRPr="00231E54" w:rsidRDefault="00172761" w:rsidP="00C40768">
            <w:pPr>
              <w:pStyle w:val="EMEAEnBodyText"/>
              <w:spacing w:before="0" w:after="0"/>
              <w:rPr>
                <w:bCs/>
                <w:noProof/>
                <w:color w:val="000000"/>
                <w:szCs w:val="22"/>
                <w:lang w:val="lv-LV"/>
              </w:rPr>
            </w:pPr>
            <w:r w:rsidRPr="00231E54">
              <w:rPr>
                <w:bCs/>
                <w:iCs/>
                <w:noProof/>
                <w:color w:val="000000"/>
                <w:szCs w:val="22"/>
                <w:lang w:val="lv-LV"/>
              </w:rPr>
              <w:t>Hiponatriēmija</w:t>
            </w:r>
            <w:r w:rsidRPr="00231E54">
              <w:rPr>
                <w:bCs/>
                <w:noProof/>
                <w:color w:val="000000"/>
                <w:szCs w:val="22"/>
                <w:lang w:val="lv-LV"/>
              </w:rPr>
              <w:t>, antidiurētiskā hormona neatbilstošas sekrēcijas sindro</w:t>
            </w:r>
            <w:r w:rsidRPr="00231E54">
              <w:rPr>
                <w:bCs/>
                <w:iCs/>
                <w:noProof/>
                <w:color w:val="000000"/>
                <w:szCs w:val="22"/>
                <w:lang w:val="lv-LV"/>
              </w:rPr>
              <w:t>ms</w:t>
            </w:r>
            <w:r w:rsidRPr="00231E54">
              <w:rPr>
                <w:bCs/>
                <w:noProof/>
                <w:color w:val="000000"/>
                <w:szCs w:val="22"/>
                <w:lang w:val="lv-LV"/>
              </w:rPr>
              <w:t xml:space="preserve"> (</w:t>
            </w:r>
            <w:r w:rsidRPr="00231E54">
              <w:rPr>
                <w:i/>
                <w:color w:val="000000"/>
                <w:szCs w:val="22"/>
                <w:lang w:val="lv-LV"/>
              </w:rPr>
              <w:t xml:space="preserve">SIADH − </w:t>
            </w:r>
            <w:r w:rsidRPr="00231E54">
              <w:rPr>
                <w:bCs/>
                <w:i/>
                <w:color w:val="000000"/>
                <w:szCs w:val="22"/>
                <w:lang w:val="lv-LV"/>
              </w:rPr>
              <w:t>syndrome of inappropriate antidiuretic hormone secretion</w:t>
            </w:r>
            <w:r w:rsidRPr="00231E54">
              <w:rPr>
                <w:color w:val="000000"/>
                <w:szCs w:val="22"/>
                <w:lang w:val="lv-LV"/>
              </w:rPr>
              <w:t>).</w:t>
            </w:r>
          </w:p>
        </w:tc>
      </w:tr>
      <w:tr w:rsidR="00C40768" w:rsidRPr="00231E54" w14:paraId="07130AFC" w14:textId="77777777" w:rsidTr="00231E54">
        <w:tc>
          <w:tcPr>
            <w:tcW w:w="0" w:type="auto"/>
            <w:vMerge w:val="restart"/>
            <w:vAlign w:val="center"/>
          </w:tcPr>
          <w:p w14:paraId="06ADA2E7" w14:textId="0E1FB100" w:rsidR="00C40768" w:rsidRPr="00231E54" w:rsidRDefault="00C40768" w:rsidP="00172761">
            <w:pPr>
              <w:pStyle w:val="EMEAEnBodyText"/>
              <w:spacing w:before="0" w:after="0"/>
              <w:rPr>
                <w:bCs/>
                <w:noProof/>
                <w:color w:val="000000"/>
                <w:szCs w:val="22"/>
                <w:lang w:val="lv-LV"/>
              </w:rPr>
            </w:pPr>
            <w:r w:rsidRPr="00231E54">
              <w:rPr>
                <w:i/>
                <w:iCs/>
                <w:color w:val="000000"/>
                <w:szCs w:val="22"/>
                <w:lang w:val="lv-LV"/>
              </w:rPr>
              <w:t>Psihiskie traucējumi</w:t>
            </w:r>
          </w:p>
        </w:tc>
        <w:tc>
          <w:tcPr>
            <w:tcW w:w="0" w:type="auto"/>
            <w:vAlign w:val="center"/>
          </w:tcPr>
          <w:p w14:paraId="4E4F1E81" w14:textId="00F03CCC" w:rsidR="00C40768" w:rsidRPr="00231E54" w:rsidRDefault="00C40768" w:rsidP="00172761">
            <w:pPr>
              <w:pStyle w:val="EMEAEnBodyText"/>
              <w:spacing w:before="0" w:after="0"/>
              <w:rPr>
                <w:bCs/>
                <w:iCs/>
                <w:noProof/>
                <w:color w:val="000000"/>
                <w:szCs w:val="22"/>
                <w:lang w:val="lv-LV"/>
              </w:rPr>
            </w:pPr>
            <w:r w:rsidRPr="00231E54">
              <w:rPr>
                <w:iCs/>
                <w:color w:val="000000"/>
                <w:szCs w:val="22"/>
                <w:lang w:val="lv-LV"/>
              </w:rPr>
              <w:t>Bieži</w:t>
            </w:r>
          </w:p>
        </w:tc>
        <w:tc>
          <w:tcPr>
            <w:tcW w:w="0" w:type="auto"/>
            <w:vAlign w:val="center"/>
          </w:tcPr>
          <w:p w14:paraId="4C52299B" w14:textId="7EE98D71" w:rsidR="00C40768" w:rsidRPr="00231E54" w:rsidRDefault="00C40768" w:rsidP="00C40768">
            <w:pPr>
              <w:pStyle w:val="EMEAEnBodyText"/>
              <w:spacing w:before="0" w:after="0"/>
              <w:rPr>
                <w:bCs/>
                <w:noProof/>
                <w:color w:val="000000"/>
                <w:szCs w:val="22"/>
                <w:lang w:val="lv-LV"/>
              </w:rPr>
            </w:pPr>
            <w:r w:rsidRPr="00231E54">
              <w:rPr>
                <w:color w:val="000000"/>
                <w:szCs w:val="22"/>
                <w:lang w:val="lv-LV"/>
              </w:rPr>
              <w:t>Bezmiegs, trauksme, uzbudinājums, orgasma disfunkcija.</w:t>
            </w:r>
          </w:p>
        </w:tc>
      </w:tr>
      <w:tr w:rsidR="00C40768" w:rsidRPr="00231E54" w14:paraId="7A58460A" w14:textId="77777777" w:rsidTr="00231E54">
        <w:tc>
          <w:tcPr>
            <w:tcW w:w="0" w:type="auto"/>
            <w:vMerge/>
            <w:vAlign w:val="center"/>
          </w:tcPr>
          <w:p w14:paraId="009919B3" w14:textId="77777777" w:rsidR="00C40768" w:rsidRPr="00231E54" w:rsidRDefault="00C40768" w:rsidP="00172761">
            <w:pPr>
              <w:pStyle w:val="EMEAEnBodyText"/>
              <w:spacing w:before="0" w:after="0"/>
              <w:rPr>
                <w:bCs/>
                <w:noProof/>
                <w:color w:val="000000"/>
                <w:szCs w:val="22"/>
                <w:lang w:val="lv-LV"/>
              </w:rPr>
            </w:pPr>
          </w:p>
        </w:tc>
        <w:tc>
          <w:tcPr>
            <w:tcW w:w="0" w:type="auto"/>
            <w:vAlign w:val="center"/>
          </w:tcPr>
          <w:p w14:paraId="0C7BABB1" w14:textId="0F51A4EA" w:rsidR="00C40768" w:rsidRPr="00231E54" w:rsidRDefault="00C40768" w:rsidP="00172761">
            <w:pPr>
              <w:pStyle w:val="EMEAEnBodyText"/>
              <w:spacing w:before="0" w:after="0"/>
              <w:rPr>
                <w:bCs/>
                <w:iCs/>
                <w:noProof/>
                <w:color w:val="000000"/>
                <w:szCs w:val="22"/>
                <w:lang w:val="lv-LV"/>
              </w:rPr>
            </w:pPr>
            <w:r w:rsidRPr="00231E54">
              <w:rPr>
                <w:iCs/>
                <w:color w:val="000000"/>
                <w:szCs w:val="22"/>
                <w:lang w:val="lv-LV"/>
              </w:rPr>
              <w:t>Retāk</w:t>
            </w:r>
          </w:p>
        </w:tc>
        <w:tc>
          <w:tcPr>
            <w:tcW w:w="0" w:type="auto"/>
            <w:vAlign w:val="center"/>
          </w:tcPr>
          <w:p w14:paraId="7F765999" w14:textId="0F566F2D" w:rsidR="00C40768" w:rsidRPr="00231E54" w:rsidRDefault="00C40768" w:rsidP="00C40768">
            <w:pPr>
              <w:pStyle w:val="EMEAEnBodyText"/>
              <w:spacing w:before="0" w:after="0"/>
              <w:rPr>
                <w:bCs/>
                <w:noProof/>
                <w:color w:val="000000"/>
                <w:szCs w:val="22"/>
                <w:lang w:val="lv-LV"/>
              </w:rPr>
            </w:pPr>
            <w:r w:rsidRPr="00231E54">
              <w:rPr>
                <w:iCs/>
                <w:color w:val="000000"/>
                <w:szCs w:val="22"/>
                <w:lang w:val="lv-LV"/>
              </w:rPr>
              <w:t>A</w:t>
            </w:r>
            <w:r w:rsidRPr="00231E54">
              <w:rPr>
                <w:color w:val="000000"/>
                <w:szCs w:val="22"/>
                <w:lang w:val="lv-LV"/>
              </w:rPr>
              <w:t>pjukums.</w:t>
            </w:r>
          </w:p>
        </w:tc>
      </w:tr>
      <w:tr w:rsidR="00C40768" w:rsidRPr="00231E54" w14:paraId="6E6F2E8A" w14:textId="77777777" w:rsidTr="00231E54">
        <w:tc>
          <w:tcPr>
            <w:tcW w:w="0" w:type="auto"/>
            <w:vMerge w:val="restart"/>
            <w:vAlign w:val="center"/>
          </w:tcPr>
          <w:p w14:paraId="2783F52E" w14:textId="773AA3CC" w:rsidR="00C40768" w:rsidRPr="00231E54" w:rsidRDefault="00C40768" w:rsidP="00172761">
            <w:pPr>
              <w:pStyle w:val="EMEAEnBodyText"/>
              <w:spacing w:before="0" w:after="0"/>
              <w:rPr>
                <w:bCs/>
                <w:noProof/>
                <w:color w:val="000000"/>
                <w:szCs w:val="22"/>
                <w:lang w:val="lv-LV"/>
              </w:rPr>
            </w:pPr>
            <w:r w:rsidRPr="00231E54">
              <w:rPr>
                <w:i/>
                <w:iCs/>
                <w:color w:val="000000"/>
                <w:szCs w:val="22"/>
                <w:lang w:val="lv-LV"/>
              </w:rPr>
              <w:t>Nervu sistēmas traucējumi</w:t>
            </w:r>
          </w:p>
        </w:tc>
        <w:tc>
          <w:tcPr>
            <w:tcW w:w="0" w:type="auto"/>
            <w:vAlign w:val="center"/>
          </w:tcPr>
          <w:p w14:paraId="0C61AFD2" w14:textId="22C22087" w:rsidR="00C40768" w:rsidRPr="00231E54" w:rsidRDefault="00C40768" w:rsidP="00172761">
            <w:pPr>
              <w:pStyle w:val="EMEAEnBodyText"/>
              <w:spacing w:before="0" w:after="0"/>
              <w:rPr>
                <w:bCs/>
                <w:iCs/>
                <w:noProof/>
                <w:color w:val="000000"/>
                <w:szCs w:val="22"/>
                <w:lang w:val="lv-LV"/>
              </w:rPr>
            </w:pPr>
            <w:r w:rsidRPr="00231E54">
              <w:rPr>
                <w:iCs/>
                <w:color w:val="000000"/>
                <w:spacing w:val="1"/>
                <w:szCs w:val="22"/>
                <w:lang w:val="lv-LV"/>
              </w:rPr>
              <w:t>Ļoti bieži</w:t>
            </w:r>
          </w:p>
        </w:tc>
        <w:tc>
          <w:tcPr>
            <w:tcW w:w="0" w:type="auto"/>
            <w:vAlign w:val="center"/>
          </w:tcPr>
          <w:p w14:paraId="1AA2B10E" w14:textId="7A46C51D" w:rsidR="00C40768" w:rsidRPr="00231E54" w:rsidRDefault="00C40768" w:rsidP="00C40768">
            <w:pPr>
              <w:pStyle w:val="EMEAEnBodyText"/>
              <w:spacing w:before="0" w:after="0"/>
              <w:rPr>
                <w:bCs/>
                <w:noProof/>
                <w:color w:val="000000"/>
                <w:szCs w:val="22"/>
                <w:lang w:val="lv-LV"/>
              </w:rPr>
            </w:pPr>
            <w:r w:rsidRPr="00231E54">
              <w:rPr>
                <w:color w:val="000000"/>
                <w:spacing w:val="1"/>
                <w:szCs w:val="22"/>
                <w:lang w:val="lv-LV"/>
              </w:rPr>
              <w:t xml:space="preserve">Ekstrapiramidāli simptomi: trīce, rigiditāte, hipokinēzija, pastiprināta siekalu izdalīšanās, </w:t>
            </w:r>
            <w:r w:rsidRPr="00231E54">
              <w:rPr>
                <w:color w:val="000000"/>
                <w:spacing w:val="6"/>
                <w:szCs w:val="22"/>
                <w:lang w:val="lv-LV"/>
              </w:rPr>
              <w:t>akatīzija, diskinēzija.</w:t>
            </w:r>
          </w:p>
        </w:tc>
      </w:tr>
      <w:tr w:rsidR="00C40768" w:rsidRPr="00231E54" w14:paraId="12C9805D" w14:textId="77777777" w:rsidTr="00231E54">
        <w:tc>
          <w:tcPr>
            <w:tcW w:w="0" w:type="auto"/>
            <w:vMerge/>
            <w:vAlign w:val="center"/>
          </w:tcPr>
          <w:p w14:paraId="3A5956C6" w14:textId="77777777" w:rsidR="00C40768" w:rsidRPr="00231E54" w:rsidRDefault="00C40768" w:rsidP="00172761">
            <w:pPr>
              <w:pStyle w:val="EMEAEnBodyText"/>
              <w:spacing w:before="0" w:after="0"/>
              <w:rPr>
                <w:bCs/>
                <w:noProof/>
                <w:color w:val="000000"/>
                <w:szCs w:val="22"/>
                <w:lang w:val="lv-LV"/>
              </w:rPr>
            </w:pPr>
          </w:p>
        </w:tc>
        <w:tc>
          <w:tcPr>
            <w:tcW w:w="0" w:type="auto"/>
            <w:vAlign w:val="center"/>
          </w:tcPr>
          <w:p w14:paraId="1062C07A" w14:textId="1CA4230E" w:rsidR="00C40768" w:rsidRPr="00231E54" w:rsidRDefault="00C40768" w:rsidP="00172761">
            <w:pPr>
              <w:pStyle w:val="EMEAEnBodyText"/>
              <w:spacing w:before="0" w:after="0"/>
              <w:rPr>
                <w:bCs/>
                <w:iCs/>
                <w:noProof/>
                <w:color w:val="000000"/>
                <w:szCs w:val="22"/>
                <w:lang w:val="lv-LV"/>
              </w:rPr>
            </w:pPr>
            <w:r w:rsidRPr="00231E54">
              <w:rPr>
                <w:iCs/>
                <w:color w:val="000000"/>
                <w:spacing w:val="1"/>
                <w:szCs w:val="22"/>
                <w:lang w:val="lv-LV"/>
              </w:rPr>
              <w:t>Bieži</w:t>
            </w:r>
          </w:p>
        </w:tc>
        <w:tc>
          <w:tcPr>
            <w:tcW w:w="0" w:type="auto"/>
            <w:vAlign w:val="center"/>
          </w:tcPr>
          <w:p w14:paraId="377EB3EE" w14:textId="607AFF80" w:rsidR="00C40768" w:rsidRPr="00231E54" w:rsidRDefault="00C40768" w:rsidP="00C40768">
            <w:pPr>
              <w:pStyle w:val="EMEAEnBodyText"/>
              <w:spacing w:before="0" w:after="0"/>
              <w:rPr>
                <w:bCs/>
                <w:noProof/>
                <w:color w:val="000000"/>
                <w:szCs w:val="22"/>
                <w:lang w:val="lv-LV"/>
              </w:rPr>
            </w:pPr>
            <w:r w:rsidRPr="00231E54">
              <w:rPr>
                <w:color w:val="000000"/>
                <w:spacing w:val="1"/>
                <w:szCs w:val="22"/>
                <w:lang w:val="lv-LV"/>
              </w:rPr>
              <w:t>V</w:t>
            </w:r>
            <w:r w:rsidRPr="00231E54">
              <w:rPr>
                <w:color w:val="000000"/>
                <w:szCs w:val="22"/>
                <w:lang w:val="lv-LV"/>
              </w:rPr>
              <w:t>ar rasties miegainība, akūta distonija (spastisks greizais kakls, okulogīriska krīze, trizms).</w:t>
            </w:r>
            <w:r w:rsidRPr="00231E54">
              <w:rPr>
                <w:color w:val="000000"/>
                <w:spacing w:val="2"/>
                <w:szCs w:val="22"/>
                <w:lang w:val="lv-LV"/>
              </w:rPr>
              <w:t xml:space="preserve"> </w:t>
            </w:r>
            <w:r w:rsidRPr="00231E54">
              <w:rPr>
                <w:color w:val="000000"/>
                <w:szCs w:val="22"/>
                <w:lang w:val="lv-LV"/>
              </w:rPr>
              <w:t>Šīs reakcijas ir atgriezeniskas, nepārtraucot amisulprīda lietošanu, veicot ārstēšanu ar pretparkinsonisma</w:t>
            </w:r>
            <w:r w:rsidRPr="00231E54">
              <w:rPr>
                <w:color w:val="000000"/>
                <w:spacing w:val="1"/>
                <w:szCs w:val="22"/>
                <w:lang w:val="lv-LV"/>
              </w:rPr>
              <w:t xml:space="preserve"> līdzekli.</w:t>
            </w:r>
          </w:p>
        </w:tc>
      </w:tr>
      <w:tr w:rsidR="00C40768" w:rsidRPr="00231E54" w14:paraId="0E502FD7" w14:textId="77777777" w:rsidTr="00231E54">
        <w:tc>
          <w:tcPr>
            <w:tcW w:w="0" w:type="auto"/>
            <w:vMerge/>
            <w:vAlign w:val="center"/>
          </w:tcPr>
          <w:p w14:paraId="574E2D86" w14:textId="77777777" w:rsidR="00C40768" w:rsidRPr="00231E54" w:rsidRDefault="00C40768" w:rsidP="00172761">
            <w:pPr>
              <w:pStyle w:val="EMEAEnBodyText"/>
              <w:spacing w:before="0" w:after="0"/>
              <w:rPr>
                <w:bCs/>
                <w:noProof/>
                <w:color w:val="000000"/>
                <w:szCs w:val="22"/>
                <w:lang w:val="lv-LV"/>
              </w:rPr>
            </w:pPr>
          </w:p>
        </w:tc>
        <w:tc>
          <w:tcPr>
            <w:tcW w:w="0" w:type="auto"/>
            <w:vAlign w:val="center"/>
          </w:tcPr>
          <w:p w14:paraId="6D35614B" w14:textId="567CE1E9" w:rsidR="00C40768" w:rsidRPr="00231E54" w:rsidRDefault="00C40768" w:rsidP="00172761">
            <w:pPr>
              <w:pStyle w:val="EMEAEnBodyText"/>
              <w:spacing w:before="0" w:after="0"/>
              <w:rPr>
                <w:bCs/>
                <w:iCs/>
                <w:noProof/>
                <w:color w:val="000000"/>
                <w:szCs w:val="22"/>
                <w:lang w:val="lv-LV"/>
              </w:rPr>
            </w:pPr>
            <w:r w:rsidRPr="00231E54">
              <w:rPr>
                <w:iCs/>
                <w:color w:val="000000"/>
                <w:spacing w:val="1"/>
                <w:szCs w:val="22"/>
                <w:lang w:val="lv-LV"/>
              </w:rPr>
              <w:t>Retāk</w:t>
            </w:r>
          </w:p>
        </w:tc>
        <w:tc>
          <w:tcPr>
            <w:tcW w:w="0" w:type="auto"/>
            <w:vAlign w:val="center"/>
          </w:tcPr>
          <w:p w14:paraId="33E25E80" w14:textId="59EC9068" w:rsidR="00C40768" w:rsidRPr="00231E54" w:rsidRDefault="00C40768" w:rsidP="00C40768">
            <w:pPr>
              <w:pStyle w:val="EMEAEnBodyText"/>
              <w:spacing w:before="0" w:after="0"/>
              <w:rPr>
                <w:bCs/>
                <w:noProof/>
                <w:color w:val="000000"/>
                <w:szCs w:val="22"/>
                <w:lang w:val="lv-LV"/>
              </w:rPr>
            </w:pPr>
            <w:r w:rsidRPr="00231E54">
              <w:rPr>
                <w:color w:val="000000"/>
                <w:spacing w:val="2"/>
                <w:szCs w:val="22"/>
                <w:lang w:val="lv-LV"/>
              </w:rPr>
              <w:t xml:space="preserve">Ziņots par krampjiem, tardīvo diskinēziju, kam raksturīgas galvenokārt ritmiskas, nekontrolējamas kustības, galvenokārt mēles un/vai sejas, parasti pēc ilgstošas zāļu lietošanas. Pretparkinsonisma </w:t>
            </w:r>
            <w:r w:rsidRPr="00231E54">
              <w:rPr>
                <w:color w:val="000000"/>
                <w:spacing w:val="1"/>
                <w:szCs w:val="22"/>
                <w:lang w:val="lv-LV"/>
              </w:rPr>
              <w:t>zāles nav efektīvas vai var pastiprināt simptomus.</w:t>
            </w:r>
          </w:p>
        </w:tc>
      </w:tr>
      <w:tr w:rsidR="00C40768" w:rsidRPr="00231E54" w14:paraId="355FF81B" w14:textId="77777777" w:rsidTr="00231E54">
        <w:tc>
          <w:tcPr>
            <w:tcW w:w="0" w:type="auto"/>
            <w:vMerge/>
            <w:vAlign w:val="center"/>
          </w:tcPr>
          <w:p w14:paraId="35480EB1" w14:textId="77777777" w:rsidR="00C40768" w:rsidRPr="00231E54" w:rsidRDefault="00C40768" w:rsidP="00172761">
            <w:pPr>
              <w:pStyle w:val="EMEAEnBodyText"/>
              <w:spacing w:before="0" w:after="0"/>
              <w:rPr>
                <w:bCs/>
                <w:noProof/>
                <w:color w:val="000000"/>
                <w:szCs w:val="22"/>
                <w:lang w:val="lv-LV"/>
              </w:rPr>
            </w:pPr>
          </w:p>
        </w:tc>
        <w:tc>
          <w:tcPr>
            <w:tcW w:w="0" w:type="auto"/>
            <w:vAlign w:val="center"/>
          </w:tcPr>
          <w:p w14:paraId="28686FFF" w14:textId="50A505A9" w:rsidR="00C40768" w:rsidRPr="00231E54" w:rsidRDefault="00C40768" w:rsidP="00172761">
            <w:pPr>
              <w:pStyle w:val="EMEAEnBodyText"/>
              <w:spacing w:before="0" w:after="0"/>
              <w:rPr>
                <w:bCs/>
                <w:iCs/>
                <w:noProof/>
                <w:color w:val="000000"/>
                <w:szCs w:val="22"/>
                <w:lang w:val="lv-LV"/>
              </w:rPr>
            </w:pPr>
            <w:r w:rsidRPr="00231E54">
              <w:rPr>
                <w:iCs/>
                <w:color w:val="000000"/>
                <w:spacing w:val="1"/>
                <w:szCs w:val="22"/>
                <w:lang w:val="lv-LV"/>
              </w:rPr>
              <w:t>Reti</w:t>
            </w:r>
          </w:p>
        </w:tc>
        <w:tc>
          <w:tcPr>
            <w:tcW w:w="0" w:type="auto"/>
            <w:vAlign w:val="center"/>
          </w:tcPr>
          <w:p w14:paraId="499D5F5B" w14:textId="44E7C547" w:rsidR="00C40768" w:rsidRPr="00231E54" w:rsidRDefault="00C40768" w:rsidP="00C40768">
            <w:pPr>
              <w:pStyle w:val="EMEAEnBodyText"/>
              <w:spacing w:before="0" w:after="0"/>
              <w:rPr>
                <w:bCs/>
                <w:noProof/>
                <w:color w:val="000000"/>
                <w:szCs w:val="22"/>
                <w:lang w:val="lv-LV"/>
              </w:rPr>
            </w:pPr>
            <w:r w:rsidRPr="00231E54">
              <w:rPr>
                <w:color w:val="000000"/>
                <w:spacing w:val="2"/>
                <w:szCs w:val="22"/>
                <w:lang w:val="lv-LV"/>
              </w:rPr>
              <w:t xml:space="preserve">Ļaundabīgais neiroleptiskais </w:t>
            </w:r>
            <w:r w:rsidRPr="00231E54">
              <w:rPr>
                <w:color w:val="000000"/>
                <w:spacing w:val="1"/>
                <w:szCs w:val="22"/>
                <w:lang w:val="lv-LV"/>
              </w:rPr>
              <w:t xml:space="preserve">sindroms (skatīt </w:t>
            </w:r>
            <w:r w:rsidRPr="00231E54">
              <w:rPr>
                <w:color w:val="000000"/>
                <w:szCs w:val="22"/>
                <w:lang w:val="lv-LV"/>
              </w:rPr>
              <w:t>4.4. apakšpunktu</w:t>
            </w:r>
            <w:r w:rsidRPr="00231E54">
              <w:rPr>
                <w:color w:val="000000"/>
                <w:spacing w:val="1"/>
                <w:szCs w:val="22"/>
                <w:lang w:val="lv-LV"/>
              </w:rPr>
              <w:t>), kas ir potenciāli letāla komplikācija.</w:t>
            </w:r>
          </w:p>
        </w:tc>
      </w:tr>
      <w:tr w:rsidR="00C40768" w:rsidRPr="00231E54" w14:paraId="22124519" w14:textId="77777777" w:rsidTr="00231E54">
        <w:tc>
          <w:tcPr>
            <w:tcW w:w="0" w:type="auto"/>
            <w:vMerge/>
            <w:vAlign w:val="center"/>
          </w:tcPr>
          <w:p w14:paraId="3DBDF9AD" w14:textId="77777777" w:rsidR="00C40768" w:rsidRPr="00231E54" w:rsidRDefault="00C40768" w:rsidP="00172761">
            <w:pPr>
              <w:pStyle w:val="EMEAEnBodyText"/>
              <w:spacing w:before="0" w:after="0"/>
              <w:rPr>
                <w:bCs/>
                <w:noProof/>
                <w:color w:val="000000"/>
                <w:szCs w:val="22"/>
                <w:lang w:val="lv-LV"/>
              </w:rPr>
            </w:pPr>
          </w:p>
        </w:tc>
        <w:tc>
          <w:tcPr>
            <w:tcW w:w="0" w:type="auto"/>
            <w:vAlign w:val="center"/>
          </w:tcPr>
          <w:p w14:paraId="3C2041D5" w14:textId="23325D39" w:rsidR="00C40768" w:rsidRPr="00231E54" w:rsidRDefault="00C40768" w:rsidP="00172761">
            <w:pPr>
              <w:pStyle w:val="EMEAEnBodyText"/>
              <w:spacing w:before="0" w:after="0"/>
              <w:rPr>
                <w:bCs/>
                <w:iCs/>
                <w:noProof/>
                <w:color w:val="000000"/>
                <w:szCs w:val="22"/>
                <w:lang w:val="lv-LV"/>
              </w:rPr>
            </w:pPr>
            <w:r w:rsidRPr="00231E54">
              <w:rPr>
                <w:iCs/>
                <w:color w:val="000000"/>
                <w:spacing w:val="1"/>
                <w:szCs w:val="22"/>
                <w:lang w:val="lv-LV"/>
              </w:rPr>
              <w:t>Nav zināmi</w:t>
            </w:r>
          </w:p>
        </w:tc>
        <w:tc>
          <w:tcPr>
            <w:tcW w:w="0" w:type="auto"/>
            <w:vAlign w:val="center"/>
          </w:tcPr>
          <w:p w14:paraId="3C8A5601" w14:textId="40F2B922" w:rsidR="00C40768" w:rsidRPr="00231E54" w:rsidRDefault="00C40768" w:rsidP="00C40768">
            <w:pPr>
              <w:pStyle w:val="EMEAEnBodyText"/>
              <w:spacing w:before="0" w:after="0"/>
              <w:rPr>
                <w:bCs/>
                <w:noProof/>
                <w:color w:val="000000"/>
                <w:szCs w:val="22"/>
                <w:lang w:val="lv-LV"/>
              </w:rPr>
            </w:pPr>
            <w:r w:rsidRPr="00231E54">
              <w:rPr>
                <w:color w:val="000000"/>
                <w:spacing w:val="1"/>
                <w:szCs w:val="22"/>
                <w:lang w:val="lv-LV"/>
              </w:rPr>
              <w:t>Nemierīgo kāju sindroms.</w:t>
            </w:r>
          </w:p>
        </w:tc>
      </w:tr>
      <w:tr w:rsidR="00231E54" w:rsidRPr="00231E54" w14:paraId="6A8D6919" w14:textId="77777777" w:rsidTr="00231E54">
        <w:tc>
          <w:tcPr>
            <w:tcW w:w="0" w:type="auto"/>
            <w:vAlign w:val="center"/>
          </w:tcPr>
          <w:p w14:paraId="31F196AA" w14:textId="06545C9A" w:rsidR="007642C4" w:rsidRPr="00231E54" w:rsidRDefault="00C40768" w:rsidP="00172761">
            <w:pPr>
              <w:pStyle w:val="EMEAEnBodyText"/>
              <w:spacing w:before="0" w:after="0"/>
              <w:rPr>
                <w:bCs/>
                <w:noProof/>
                <w:color w:val="000000"/>
                <w:szCs w:val="22"/>
                <w:lang w:val="lv-LV"/>
              </w:rPr>
            </w:pPr>
            <w:r w:rsidRPr="00231E54">
              <w:rPr>
                <w:i/>
                <w:iCs/>
                <w:color w:val="000000"/>
                <w:szCs w:val="22"/>
                <w:lang w:val="lv-LV"/>
              </w:rPr>
              <w:t>Acu bojājumi</w:t>
            </w:r>
          </w:p>
        </w:tc>
        <w:tc>
          <w:tcPr>
            <w:tcW w:w="0" w:type="auto"/>
            <w:vAlign w:val="center"/>
          </w:tcPr>
          <w:p w14:paraId="1C2DD5A5" w14:textId="4F9430C2" w:rsidR="007642C4" w:rsidRPr="00231E54" w:rsidRDefault="00C40768" w:rsidP="00172761">
            <w:pPr>
              <w:pStyle w:val="EMEAEnBodyText"/>
              <w:spacing w:before="0" w:after="0"/>
              <w:rPr>
                <w:bCs/>
                <w:iCs/>
                <w:noProof/>
                <w:color w:val="000000"/>
                <w:szCs w:val="22"/>
                <w:lang w:val="lv-LV"/>
              </w:rPr>
            </w:pPr>
            <w:r w:rsidRPr="00231E54">
              <w:rPr>
                <w:iCs/>
                <w:color w:val="000000"/>
                <w:szCs w:val="22"/>
                <w:lang w:val="lv-LV"/>
              </w:rPr>
              <w:t>Bieži</w:t>
            </w:r>
          </w:p>
        </w:tc>
        <w:tc>
          <w:tcPr>
            <w:tcW w:w="0" w:type="auto"/>
            <w:vAlign w:val="center"/>
          </w:tcPr>
          <w:p w14:paraId="2569E546" w14:textId="16803BA8" w:rsidR="007642C4" w:rsidRPr="00231E54" w:rsidRDefault="00C40768" w:rsidP="00C40768">
            <w:pPr>
              <w:pStyle w:val="EMEAEnBodyText"/>
              <w:spacing w:before="0" w:after="0"/>
              <w:rPr>
                <w:bCs/>
                <w:noProof/>
                <w:color w:val="000000"/>
                <w:szCs w:val="22"/>
                <w:lang w:val="lv-LV"/>
              </w:rPr>
            </w:pPr>
            <w:r w:rsidRPr="00231E54">
              <w:rPr>
                <w:color w:val="000000"/>
                <w:szCs w:val="22"/>
                <w:lang w:val="lv-LV"/>
              </w:rPr>
              <w:t>Neskaidra redze (skatīt 4.7. apakšpunktu).</w:t>
            </w:r>
          </w:p>
        </w:tc>
      </w:tr>
      <w:tr w:rsidR="00C40768" w:rsidRPr="00231E54" w14:paraId="78380551" w14:textId="77777777" w:rsidTr="00231E54">
        <w:tc>
          <w:tcPr>
            <w:tcW w:w="0" w:type="auto"/>
            <w:vMerge w:val="restart"/>
            <w:vAlign w:val="center"/>
          </w:tcPr>
          <w:p w14:paraId="573EDD55" w14:textId="3FF32951" w:rsidR="00C40768" w:rsidRPr="00231E54" w:rsidRDefault="00C40768" w:rsidP="00172761">
            <w:pPr>
              <w:pStyle w:val="EMEAEnBodyText"/>
              <w:spacing w:before="0" w:after="0"/>
              <w:rPr>
                <w:bCs/>
                <w:noProof/>
                <w:color w:val="000000"/>
                <w:szCs w:val="22"/>
                <w:lang w:val="lv-LV"/>
              </w:rPr>
            </w:pPr>
            <w:r w:rsidRPr="00231E54">
              <w:rPr>
                <w:i/>
                <w:iCs/>
                <w:color w:val="000000"/>
                <w:szCs w:val="22"/>
                <w:lang w:val="lv-LV"/>
              </w:rPr>
              <w:t>Sirds funkcijas traucējumi</w:t>
            </w:r>
          </w:p>
        </w:tc>
        <w:tc>
          <w:tcPr>
            <w:tcW w:w="0" w:type="auto"/>
            <w:vAlign w:val="center"/>
          </w:tcPr>
          <w:p w14:paraId="21BDECC2" w14:textId="7DFEE46B" w:rsidR="00C40768" w:rsidRPr="00231E54" w:rsidRDefault="00C40768" w:rsidP="00172761">
            <w:pPr>
              <w:pStyle w:val="EMEAEnBodyText"/>
              <w:spacing w:before="0" w:after="0"/>
              <w:rPr>
                <w:bCs/>
                <w:iCs/>
                <w:noProof/>
                <w:color w:val="000000"/>
                <w:szCs w:val="22"/>
                <w:lang w:val="lv-LV"/>
              </w:rPr>
            </w:pPr>
            <w:r w:rsidRPr="00231E54">
              <w:rPr>
                <w:bCs/>
                <w:iCs/>
                <w:noProof/>
                <w:color w:val="000000"/>
                <w:szCs w:val="22"/>
                <w:lang w:val="lv-LV"/>
              </w:rPr>
              <w:t>Retāk</w:t>
            </w:r>
          </w:p>
        </w:tc>
        <w:tc>
          <w:tcPr>
            <w:tcW w:w="0" w:type="auto"/>
            <w:vAlign w:val="center"/>
          </w:tcPr>
          <w:p w14:paraId="0E309104" w14:textId="44247556" w:rsidR="00C40768" w:rsidRPr="00231E54" w:rsidRDefault="00C40768" w:rsidP="00C40768">
            <w:pPr>
              <w:pStyle w:val="EMEAEnBodyText"/>
              <w:spacing w:before="0" w:after="0"/>
              <w:rPr>
                <w:bCs/>
                <w:noProof/>
                <w:color w:val="000000"/>
                <w:szCs w:val="22"/>
                <w:lang w:val="lv-LV"/>
              </w:rPr>
            </w:pPr>
            <w:r w:rsidRPr="00231E54">
              <w:rPr>
                <w:bCs/>
                <w:noProof/>
                <w:color w:val="000000"/>
                <w:szCs w:val="22"/>
                <w:lang w:val="lv-LV"/>
              </w:rPr>
              <w:t>Bradikardija.</w:t>
            </w:r>
          </w:p>
        </w:tc>
      </w:tr>
      <w:tr w:rsidR="00C40768" w:rsidRPr="00231E54" w14:paraId="03057BAA" w14:textId="77777777" w:rsidTr="00231E54">
        <w:tc>
          <w:tcPr>
            <w:tcW w:w="0" w:type="auto"/>
            <w:vMerge/>
            <w:vAlign w:val="center"/>
          </w:tcPr>
          <w:p w14:paraId="0F10E6CE" w14:textId="77777777" w:rsidR="00C40768" w:rsidRPr="00231E54" w:rsidRDefault="00C40768" w:rsidP="00172761">
            <w:pPr>
              <w:pStyle w:val="EMEAEnBodyText"/>
              <w:spacing w:before="0" w:after="0"/>
              <w:rPr>
                <w:bCs/>
                <w:noProof/>
                <w:color w:val="000000"/>
                <w:szCs w:val="22"/>
                <w:lang w:val="lv-LV"/>
              </w:rPr>
            </w:pPr>
          </w:p>
        </w:tc>
        <w:tc>
          <w:tcPr>
            <w:tcW w:w="0" w:type="auto"/>
            <w:vAlign w:val="center"/>
          </w:tcPr>
          <w:p w14:paraId="1673288F" w14:textId="05EEA53D" w:rsidR="00C40768" w:rsidRPr="00231E54" w:rsidRDefault="00C40768" w:rsidP="00172761">
            <w:pPr>
              <w:pStyle w:val="EMEAEnBodyText"/>
              <w:spacing w:before="0" w:after="0"/>
              <w:rPr>
                <w:bCs/>
                <w:iCs/>
                <w:noProof/>
                <w:color w:val="000000"/>
                <w:szCs w:val="22"/>
                <w:lang w:val="lv-LV"/>
              </w:rPr>
            </w:pPr>
            <w:r w:rsidRPr="00231E54">
              <w:rPr>
                <w:bCs/>
                <w:iCs/>
                <w:noProof/>
                <w:color w:val="000000"/>
                <w:szCs w:val="22"/>
                <w:lang w:val="lv-LV"/>
              </w:rPr>
              <w:t>Reti</w:t>
            </w:r>
          </w:p>
        </w:tc>
        <w:tc>
          <w:tcPr>
            <w:tcW w:w="0" w:type="auto"/>
            <w:vAlign w:val="center"/>
          </w:tcPr>
          <w:p w14:paraId="5AE7A082" w14:textId="466A0DA6" w:rsidR="00C40768" w:rsidRPr="00231E54" w:rsidRDefault="00C40768" w:rsidP="00C40768">
            <w:pPr>
              <w:pStyle w:val="EMEAEnBodyText"/>
              <w:spacing w:before="0" w:after="0"/>
              <w:rPr>
                <w:bCs/>
                <w:noProof/>
                <w:color w:val="000000"/>
                <w:szCs w:val="22"/>
                <w:lang w:val="lv-LV"/>
              </w:rPr>
            </w:pPr>
            <w:r w:rsidRPr="00231E54">
              <w:rPr>
                <w:bCs/>
                <w:noProof/>
                <w:color w:val="000000"/>
                <w:szCs w:val="22"/>
                <w:lang w:val="lv-LV"/>
              </w:rPr>
              <w:t>QT intervāla pagarināšanās,</w:t>
            </w:r>
            <w:r w:rsidRPr="00231E54">
              <w:rPr>
                <w:color w:val="000000"/>
                <w:szCs w:val="22"/>
                <w:lang w:val="lv-LV"/>
              </w:rPr>
              <w:t xml:space="preserve"> tādas kambaru aritmijas kā </w:t>
            </w:r>
            <w:r w:rsidRPr="00231E54">
              <w:rPr>
                <w:i/>
                <w:color w:val="000000"/>
                <w:szCs w:val="22"/>
                <w:lang w:val="lv-LV"/>
              </w:rPr>
              <w:t>torsade de pointes</w:t>
            </w:r>
            <w:r w:rsidRPr="00231E54">
              <w:rPr>
                <w:color w:val="000000"/>
                <w:szCs w:val="22"/>
                <w:lang w:val="lv-LV"/>
              </w:rPr>
              <w:t>, kambaru tahikardija, kambaru mirdzēšana, sirdsdarbības apstāšanās, pēkšņa nāve</w:t>
            </w:r>
            <w:r w:rsidRPr="00231E54">
              <w:rPr>
                <w:bCs/>
                <w:noProof/>
                <w:color w:val="000000"/>
                <w:szCs w:val="22"/>
                <w:lang w:val="lv-LV"/>
              </w:rPr>
              <w:t xml:space="preserve"> (skatīt 4.4. apakšpunktu).</w:t>
            </w:r>
          </w:p>
        </w:tc>
      </w:tr>
      <w:tr w:rsidR="00C40768" w:rsidRPr="00231E54" w14:paraId="489CC041" w14:textId="77777777" w:rsidTr="00231E54">
        <w:tc>
          <w:tcPr>
            <w:tcW w:w="0" w:type="auto"/>
            <w:vMerge w:val="restart"/>
            <w:vAlign w:val="center"/>
          </w:tcPr>
          <w:p w14:paraId="0B92673D" w14:textId="080CBCF5" w:rsidR="00C40768" w:rsidRPr="00231E54" w:rsidRDefault="00C40768" w:rsidP="00172761">
            <w:pPr>
              <w:pStyle w:val="EMEAEnBodyText"/>
              <w:spacing w:before="0" w:after="0"/>
              <w:rPr>
                <w:bCs/>
                <w:noProof/>
                <w:color w:val="000000"/>
                <w:szCs w:val="22"/>
                <w:lang w:val="lv-LV"/>
              </w:rPr>
            </w:pPr>
            <w:r w:rsidRPr="00231E54">
              <w:rPr>
                <w:i/>
                <w:iCs/>
                <w:color w:val="000000"/>
                <w:szCs w:val="22"/>
                <w:lang w:val="lv-LV"/>
              </w:rPr>
              <w:t>Asinsvadu sistēmas traucējumi</w:t>
            </w:r>
          </w:p>
        </w:tc>
        <w:tc>
          <w:tcPr>
            <w:tcW w:w="0" w:type="auto"/>
            <w:vAlign w:val="center"/>
          </w:tcPr>
          <w:p w14:paraId="0A8F584B" w14:textId="38C0A849" w:rsidR="00C40768" w:rsidRPr="00231E54" w:rsidRDefault="00C40768" w:rsidP="00172761">
            <w:pPr>
              <w:pStyle w:val="EMEAEnBodyText"/>
              <w:spacing w:before="0" w:after="0"/>
              <w:rPr>
                <w:bCs/>
                <w:iCs/>
                <w:noProof/>
                <w:color w:val="000000"/>
                <w:szCs w:val="22"/>
                <w:lang w:val="lv-LV"/>
              </w:rPr>
            </w:pPr>
            <w:r w:rsidRPr="00231E54">
              <w:rPr>
                <w:bCs/>
                <w:iCs/>
                <w:noProof/>
                <w:color w:val="000000"/>
                <w:szCs w:val="22"/>
                <w:lang w:val="lv-LV"/>
              </w:rPr>
              <w:t>Bieži</w:t>
            </w:r>
          </w:p>
        </w:tc>
        <w:tc>
          <w:tcPr>
            <w:tcW w:w="0" w:type="auto"/>
            <w:vAlign w:val="center"/>
          </w:tcPr>
          <w:p w14:paraId="383AF383" w14:textId="28FF08E0" w:rsidR="00C40768" w:rsidRPr="00231E54" w:rsidRDefault="00C40768" w:rsidP="00C40768">
            <w:pPr>
              <w:shd w:val="clear" w:color="auto" w:fill="FFFFFF"/>
              <w:tabs>
                <w:tab w:val="left" w:pos="540"/>
              </w:tabs>
              <w:spacing w:line="240" w:lineRule="auto"/>
              <w:jc w:val="both"/>
              <w:rPr>
                <w:bCs/>
                <w:noProof/>
                <w:color w:val="000000"/>
                <w:szCs w:val="22"/>
              </w:rPr>
            </w:pPr>
            <w:r w:rsidRPr="00231E54">
              <w:rPr>
                <w:bCs/>
                <w:noProof/>
                <w:color w:val="000000"/>
                <w:szCs w:val="22"/>
              </w:rPr>
              <w:t>Hipotensija</w:t>
            </w:r>
            <w:r w:rsidRPr="00231E54">
              <w:rPr>
                <w:color w:val="000000"/>
                <w:szCs w:val="22"/>
              </w:rPr>
              <w:t>.</w:t>
            </w:r>
          </w:p>
        </w:tc>
      </w:tr>
      <w:tr w:rsidR="00C40768" w:rsidRPr="00231E54" w14:paraId="65311D63" w14:textId="77777777" w:rsidTr="00231E54">
        <w:tc>
          <w:tcPr>
            <w:tcW w:w="0" w:type="auto"/>
            <w:vMerge/>
            <w:vAlign w:val="center"/>
          </w:tcPr>
          <w:p w14:paraId="6A82BC50" w14:textId="77777777" w:rsidR="00C40768" w:rsidRPr="00231E54" w:rsidRDefault="00C40768" w:rsidP="00172761">
            <w:pPr>
              <w:pStyle w:val="EMEAEnBodyText"/>
              <w:spacing w:before="0" w:after="0"/>
              <w:rPr>
                <w:bCs/>
                <w:noProof/>
                <w:color w:val="000000"/>
                <w:szCs w:val="22"/>
                <w:lang w:val="lv-LV"/>
              </w:rPr>
            </w:pPr>
          </w:p>
        </w:tc>
        <w:tc>
          <w:tcPr>
            <w:tcW w:w="0" w:type="auto"/>
            <w:vAlign w:val="center"/>
          </w:tcPr>
          <w:p w14:paraId="347F4512" w14:textId="65C2170B" w:rsidR="00C40768" w:rsidRPr="00231E54" w:rsidRDefault="00C40768" w:rsidP="00172761">
            <w:pPr>
              <w:pStyle w:val="EMEAEnBodyText"/>
              <w:spacing w:before="0" w:after="0"/>
              <w:rPr>
                <w:bCs/>
                <w:iCs/>
                <w:noProof/>
                <w:color w:val="000000"/>
                <w:szCs w:val="22"/>
                <w:lang w:val="lv-LV"/>
              </w:rPr>
            </w:pPr>
            <w:r w:rsidRPr="00231E54">
              <w:rPr>
                <w:bCs/>
                <w:iCs/>
                <w:noProof/>
                <w:color w:val="000000"/>
                <w:szCs w:val="22"/>
                <w:lang w:val="lv-LV"/>
              </w:rPr>
              <w:t>Retāk</w:t>
            </w:r>
          </w:p>
        </w:tc>
        <w:tc>
          <w:tcPr>
            <w:tcW w:w="0" w:type="auto"/>
            <w:vAlign w:val="center"/>
          </w:tcPr>
          <w:p w14:paraId="11898E9F" w14:textId="17C0B342" w:rsidR="00C40768" w:rsidRPr="00231E54" w:rsidRDefault="00C40768" w:rsidP="00C40768">
            <w:pPr>
              <w:pStyle w:val="EMEAEnBodyText"/>
              <w:spacing w:before="0" w:after="0"/>
              <w:rPr>
                <w:bCs/>
                <w:noProof/>
                <w:color w:val="000000"/>
                <w:szCs w:val="22"/>
                <w:lang w:val="lv-LV"/>
              </w:rPr>
            </w:pPr>
            <w:r w:rsidRPr="00231E54">
              <w:rPr>
                <w:bCs/>
                <w:noProof/>
                <w:color w:val="000000"/>
                <w:szCs w:val="22"/>
                <w:lang w:val="lv-LV"/>
              </w:rPr>
              <w:t>Paaugstināts asinsspiediens.</w:t>
            </w:r>
          </w:p>
        </w:tc>
      </w:tr>
      <w:tr w:rsidR="00C40768" w:rsidRPr="00231E54" w14:paraId="1E2C4BE2" w14:textId="77777777" w:rsidTr="00231E54">
        <w:tc>
          <w:tcPr>
            <w:tcW w:w="0" w:type="auto"/>
            <w:vMerge/>
            <w:vAlign w:val="center"/>
          </w:tcPr>
          <w:p w14:paraId="7682B11E" w14:textId="77777777" w:rsidR="00C40768" w:rsidRPr="00231E54" w:rsidRDefault="00C40768" w:rsidP="00172761">
            <w:pPr>
              <w:pStyle w:val="EMEAEnBodyText"/>
              <w:spacing w:before="0" w:after="0"/>
              <w:rPr>
                <w:bCs/>
                <w:noProof/>
                <w:color w:val="000000"/>
                <w:szCs w:val="22"/>
                <w:lang w:val="lv-LV"/>
              </w:rPr>
            </w:pPr>
          </w:p>
        </w:tc>
        <w:tc>
          <w:tcPr>
            <w:tcW w:w="0" w:type="auto"/>
            <w:vAlign w:val="center"/>
          </w:tcPr>
          <w:p w14:paraId="0ED1BC72" w14:textId="080580D3" w:rsidR="00C40768" w:rsidRPr="00231E54" w:rsidRDefault="00C40768" w:rsidP="00172761">
            <w:pPr>
              <w:pStyle w:val="EMEAEnBodyText"/>
              <w:spacing w:before="0" w:after="0"/>
              <w:rPr>
                <w:bCs/>
                <w:iCs/>
                <w:noProof/>
                <w:color w:val="000000"/>
                <w:szCs w:val="22"/>
                <w:lang w:val="lv-LV"/>
              </w:rPr>
            </w:pPr>
            <w:r w:rsidRPr="00231E54">
              <w:rPr>
                <w:bCs/>
                <w:iCs/>
                <w:noProof/>
                <w:color w:val="000000"/>
                <w:szCs w:val="22"/>
                <w:lang w:val="lv-LV"/>
              </w:rPr>
              <w:t>Reti</w:t>
            </w:r>
          </w:p>
        </w:tc>
        <w:tc>
          <w:tcPr>
            <w:tcW w:w="0" w:type="auto"/>
            <w:vAlign w:val="center"/>
          </w:tcPr>
          <w:p w14:paraId="1F370E4C" w14:textId="40B04A1D" w:rsidR="00C40768" w:rsidRPr="00231E54" w:rsidRDefault="00C40768" w:rsidP="00C40768">
            <w:pPr>
              <w:pStyle w:val="EMEAEnBodyText"/>
              <w:spacing w:before="0" w:after="0"/>
              <w:rPr>
                <w:bCs/>
                <w:noProof/>
                <w:color w:val="000000"/>
                <w:szCs w:val="22"/>
                <w:lang w:val="lv-LV"/>
              </w:rPr>
            </w:pPr>
            <w:r w:rsidRPr="00231E54">
              <w:rPr>
                <w:bCs/>
                <w:noProof/>
                <w:color w:val="000000"/>
                <w:szCs w:val="22"/>
                <w:lang w:val="lv-LV"/>
              </w:rPr>
              <w:t>Venozā t</w:t>
            </w:r>
            <w:r w:rsidRPr="00231E54">
              <w:rPr>
                <w:color w:val="000000"/>
                <w:szCs w:val="22"/>
                <w:lang w:val="lv-LV"/>
              </w:rPr>
              <w:t>rombembolija, tostarp plaušu embolija</w:t>
            </w:r>
            <w:r w:rsidRPr="00231E54">
              <w:rPr>
                <w:bCs/>
                <w:noProof/>
                <w:color w:val="000000"/>
                <w:szCs w:val="22"/>
                <w:lang w:val="lv-LV"/>
              </w:rPr>
              <w:t>, kas dažkārt ir letāla, un dziļo vēnu tromboze (skatīt 4.4. apakšpunktu).</w:t>
            </w:r>
          </w:p>
        </w:tc>
      </w:tr>
      <w:tr w:rsidR="00C40768" w:rsidRPr="00231E54" w14:paraId="133CDADE" w14:textId="77777777" w:rsidTr="00231E54">
        <w:tc>
          <w:tcPr>
            <w:tcW w:w="0" w:type="auto"/>
            <w:vAlign w:val="center"/>
          </w:tcPr>
          <w:p w14:paraId="52CF38E4" w14:textId="2B2CF35D" w:rsidR="00C40768" w:rsidRPr="00231E54" w:rsidRDefault="00C40768" w:rsidP="00172761">
            <w:pPr>
              <w:pStyle w:val="EMEAEnBodyText"/>
              <w:spacing w:before="0" w:after="0"/>
              <w:rPr>
                <w:bCs/>
                <w:noProof/>
                <w:color w:val="000000"/>
                <w:szCs w:val="22"/>
                <w:lang w:val="lv-LV"/>
              </w:rPr>
            </w:pPr>
            <w:r w:rsidRPr="00231E54">
              <w:rPr>
                <w:i/>
                <w:iCs/>
                <w:color w:val="000000"/>
                <w:szCs w:val="22"/>
                <w:lang w:val="lv-LV"/>
              </w:rPr>
              <w:t>Elpošanas sistēmas traucējumi, krūšu kurvja un videnes slimības</w:t>
            </w:r>
          </w:p>
        </w:tc>
        <w:tc>
          <w:tcPr>
            <w:tcW w:w="0" w:type="auto"/>
            <w:vAlign w:val="center"/>
          </w:tcPr>
          <w:p w14:paraId="72C67218" w14:textId="3B7E003B" w:rsidR="00C40768" w:rsidRPr="00231E54" w:rsidRDefault="00C40768" w:rsidP="00172761">
            <w:pPr>
              <w:pStyle w:val="EMEAEnBodyText"/>
              <w:spacing w:before="0" w:after="0"/>
              <w:rPr>
                <w:bCs/>
                <w:iCs/>
                <w:noProof/>
                <w:color w:val="000000"/>
                <w:szCs w:val="22"/>
                <w:lang w:val="lv-LV"/>
              </w:rPr>
            </w:pPr>
            <w:r w:rsidRPr="00231E54">
              <w:rPr>
                <w:iCs/>
                <w:color w:val="000000"/>
                <w:szCs w:val="22"/>
                <w:lang w:val="lv-LV"/>
              </w:rPr>
              <w:t>Retāk</w:t>
            </w:r>
          </w:p>
        </w:tc>
        <w:tc>
          <w:tcPr>
            <w:tcW w:w="0" w:type="auto"/>
            <w:vAlign w:val="center"/>
          </w:tcPr>
          <w:p w14:paraId="4213F8CE" w14:textId="2C07BC00" w:rsidR="00C40768" w:rsidRPr="00231E54" w:rsidRDefault="00C40768" w:rsidP="00C40768">
            <w:pPr>
              <w:pStyle w:val="EMEAEnBodyText"/>
              <w:spacing w:before="0" w:after="0"/>
              <w:rPr>
                <w:bCs/>
                <w:noProof/>
                <w:color w:val="000000"/>
                <w:szCs w:val="22"/>
                <w:lang w:val="lv-LV"/>
              </w:rPr>
            </w:pPr>
            <w:r w:rsidRPr="00231E54">
              <w:rPr>
                <w:color w:val="000000"/>
                <w:szCs w:val="22"/>
                <w:lang w:val="lv-LV"/>
              </w:rPr>
              <w:t>Aizlikts deguns, aspirācijas pneimonija (galvenokārt lietojot vienlaicīgi ar citiem CNS depresantiem).</w:t>
            </w:r>
          </w:p>
        </w:tc>
      </w:tr>
      <w:tr w:rsidR="00C40768" w:rsidRPr="00231E54" w14:paraId="4A9734A4" w14:textId="77777777" w:rsidTr="00231E54">
        <w:tc>
          <w:tcPr>
            <w:tcW w:w="0" w:type="auto"/>
            <w:vAlign w:val="center"/>
          </w:tcPr>
          <w:p w14:paraId="5A543806" w14:textId="6A102882" w:rsidR="00C40768" w:rsidRPr="00231E54" w:rsidRDefault="00C40768" w:rsidP="00172761">
            <w:pPr>
              <w:pStyle w:val="EMEAEnBodyText"/>
              <w:spacing w:before="0" w:after="0"/>
              <w:rPr>
                <w:i/>
                <w:iCs/>
                <w:color w:val="000000"/>
                <w:szCs w:val="22"/>
                <w:lang w:val="lv-LV"/>
              </w:rPr>
            </w:pPr>
            <w:r w:rsidRPr="00231E54">
              <w:rPr>
                <w:i/>
                <w:iCs/>
                <w:color w:val="000000"/>
                <w:szCs w:val="22"/>
                <w:lang w:val="lv-LV"/>
              </w:rPr>
              <w:t>Kuņģa-zarnu trakta traucējumi</w:t>
            </w:r>
          </w:p>
        </w:tc>
        <w:tc>
          <w:tcPr>
            <w:tcW w:w="0" w:type="auto"/>
            <w:vAlign w:val="center"/>
          </w:tcPr>
          <w:p w14:paraId="6BF6177E" w14:textId="0791E37A" w:rsidR="00C40768" w:rsidRPr="00231E54" w:rsidRDefault="00C40768" w:rsidP="00172761">
            <w:pPr>
              <w:pStyle w:val="EMEAEnBodyText"/>
              <w:spacing w:before="0" w:after="0"/>
              <w:rPr>
                <w:iCs/>
                <w:color w:val="000000"/>
                <w:szCs w:val="22"/>
                <w:lang w:val="lv-LV"/>
              </w:rPr>
            </w:pPr>
            <w:r w:rsidRPr="00231E54">
              <w:rPr>
                <w:iCs/>
                <w:noProof/>
                <w:color w:val="000000"/>
                <w:szCs w:val="22"/>
                <w:lang w:val="lv-LV"/>
              </w:rPr>
              <w:t>Bie</w:t>
            </w:r>
            <w:r w:rsidRPr="00231E54">
              <w:rPr>
                <w:b/>
                <w:iCs/>
                <w:noProof/>
                <w:color w:val="000000"/>
                <w:szCs w:val="22"/>
                <w:lang w:val="lv-LV"/>
              </w:rPr>
              <w:t>ž</w:t>
            </w:r>
            <w:r w:rsidRPr="00231E54">
              <w:rPr>
                <w:iCs/>
                <w:noProof/>
                <w:color w:val="000000"/>
                <w:szCs w:val="22"/>
                <w:lang w:val="lv-LV"/>
              </w:rPr>
              <w:t>i</w:t>
            </w:r>
          </w:p>
        </w:tc>
        <w:tc>
          <w:tcPr>
            <w:tcW w:w="0" w:type="auto"/>
            <w:vAlign w:val="center"/>
          </w:tcPr>
          <w:p w14:paraId="5AF02A64" w14:textId="05999BD2" w:rsidR="00C40768" w:rsidRPr="00231E54" w:rsidRDefault="00C40768" w:rsidP="00C40768">
            <w:pPr>
              <w:pStyle w:val="EMEAEnBodyText"/>
              <w:spacing w:before="0" w:after="0"/>
              <w:rPr>
                <w:color w:val="000000"/>
                <w:szCs w:val="22"/>
                <w:lang w:val="lv-LV"/>
              </w:rPr>
            </w:pPr>
            <w:r w:rsidRPr="00231E54">
              <w:rPr>
                <w:color w:val="000000"/>
                <w:spacing w:val="1"/>
                <w:szCs w:val="22"/>
                <w:lang w:val="lv-LV"/>
              </w:rPr>
              <w:t xml:space="preserve">Aizcietējums, slikta dūša, vemšana, </w:t>
            </w:r>
            <w:r w:rsidRPr="00231E54">
              <w:rPr>
                <w:color w:val="000000"/>
                <w:szCs w:val="22"/>
                <w:lang w:val="lv-LV"/>
              </w:rPr>
              <w:t>sausums mutē.</w:t>
            </w:r>
          </w:p>
        </w:tc>
      </w:tr>
      <w:tr w:rsidR="00C40768" w:rsidRPr="00231E54" w14:paraId="1322131E" w14:textId="77777777" w:rsidTr="00231E54">
        <w:tc>
          <w:tcPr>
            <w:tcW w:w="0" w:type="auto"/>
            <w:vAlign w:val="center"/>
          </w:tcPr>
          <w:p w14:paraId="302AC83A" w14:textId="444D5607" w:rsidR="00C40768" w:rsidRPr="00231E54" w:rsidRDefault="00C40768" w:rsidP="00172761">
            <w:pPr>
              <w:pStyle w:val="EMEAEnBodyText"/>
              <w:spacing w:before="0" w:after="0"/>
              <w:rPr>
                <w:i/>
                <w:iCs/>
                <w:color w:val="000000"/>
                <w:szCs w:val="22"/>
                <w:lang w:val="lv-LV"/>
              </w:rPr>
            </w:pPr>
            <w:r w:rsidRPr="00231E54">
              <w:rPr>
                <w:i/>
                <w:iCs/>
                <w:color w:val="000000"/>
                <w:szCs w:val="22"/>
                <w:lang w:val="lv-LV"/>
              </w:rPr>
              <w:t>Aknu un/vai žults izvades sistēmas traucējumi</w:t>
            </w:r>
          </w:p>
        </w:tc>
        <w:tc>
          <w:tcPr>
            <w:tcW w:w="0" w:type="auto"/>
            <w:vAlign w:val="center"/>
          </w:tcPr>
          <w:p w14:paraId="74501B74" w14:textId="5B5E0E47" w:rsidR="00C40768" w:rsidRPr="00231E54" w:rsidRDefault="00C40768" w:rsidP="00172761">
            <w:pPr>
              <w:pStyle w:val="EMEAEnBodyText"/>
              <w:spacing w:before="0" w:after="0"/>
              <w:rPr>
                <w:iCs/>
                <w:color w:val="000000"/>
                <w:szCs w:val="22"/>
                <w:lang w:val="lv-LV"/>
              </w:rPr>
            </w:pPr>
            <w:r w:rsidRPr="00231E54">
              <w:rPr>
                <w:iCs/>
                <w:color w:val="000000"/>
                <w:szCs w:val="22"/>
                <w:lang w:val="lv-LV"/>
              </w:rPr>
              <w:t>Retāk</w:t>
            </w:r>
          </w:p>
        </w:tc>
        <w:tc>
          <w:tcPr>
            <w:tcW w:w="0" w:type="auto"/>
            <w:vAlign w:val="center"/>
          </w:tcPr>
          <w:p w14:paraId="403A2ECC" w14:textId="31AC9F2E" w:rsidR="00C40768" w:rsidRPr="00231E54" w:rsidRDefault="00C40768" w:rsidP="00C40768">
            <w:pPr>
              <w:pStyle w:val="EMEAEnBodyText"/>
              <w:spacing w:before="0" w:after="0"/>
              <w:rPr>
                <w:color w:val="000000"/>
                <w:szCs w:val="22"/>
                <w:lang w:val="lv-LV"/>
              </w:rPr>
            </w:pPr>
            <w:r w:rsidRPr="00231E54">
              <w:rPr>
                <w:color w:val="000000"/>
                <w:szCs w:val="22"/>
                <w:lang w:val="lv-LV"/>
              </w:rPr>
              <w:t>Hepatocelulāri bojājumi.</w:t>
            </w:r>
          </w:p>
        </w:tc>
      </w:tr>
      <w:tr w:rsidR="00231E54" w:rsidRPr="00231E54" w14:paraId="19E704A9" w14:textId="77777777" w:rsidTr="00231E54">
        <w:tc>
          <w:tcPr>
            <w:tcW w:w="0" w:type="auto"/>
            <w:vMerge w:val="restart"/>
            <w:vAlign w:val="center"/>
          </w:tcPr>
          <w:p w14:paraId="783FDC60" w14:textId="62C82469" w:rsidR="00231E54" w:rsidRPr="00231E54" w:rsidRDefault="00231E54" w:rsidP="00172761">
            <w:pPr>
              <w:pStyle w:val="EMEAEnBodyText"/>
              <w:spacing w:before="0" w:after="0"/>
              <w:rPr>
                <w:i/>
                <w:iCs/>
                <w:color w:val="000000"/>
                <w:szCs w:val="22"/>
                <w:lang w:val="lv-LV"/>
              </w:rPr>
            </w:pPr>
            <w:r w:rsidRPr="00231E54">
              <w:rPr>
                <w:i/>
                <w:iCs/>
                <w:color w:val="000000"/>
                <w:szCs w:val="22"/>
                <w:lang w:val="lv-LV"/>
              </w:rPr>
              <w:t>Ādas un zemādas audu bojājumi</w:t>
            </w:r>
          </w:p>
        </w:tc>
        <w:tc>
          <w:tcPr>
            <w:tcW w:w="0" w:type="auto"/>
            <w:vAlign w:val="center"/>
          </w:tcPr>
          <w:p w14:paraId="44F65273" w14:textId="1E332B64" w:rsidR="00231E54" w:rsidRPr="00231E54" w:rsidRDefault="00231E54" w:rsidP="00172761">
            <w:pPr>
              <w:pStyle w:val="EMEAEnBodyText"/>
              <w:spacing w:before="0" w:after="0"/>
              <w:rPr>
                <w:iCs/>
                <w:color w:val="000000"/>
                <w:szCs w:val="22"/>
                <w:lang w:val="lv-LV"/>
              </w:rPr>
            </w:pPr>
            <w:r w:rsidRPr="00231E54">
              <w:rPr>
                <w:bCs/>
                <w:iCs/>
                <w:noProof/>
                <w:color w:val="000000"/>
                <w:szCs w:val="22"/>
                <w:lang w:val="lv-LV"/>
              </w:rPr>
              <w:t>Reti</w:t>
            </w:r>
          </w:p>
        </w:tc>
        <w:tc>
          <w:tcPr>
            <w:tcW w:w="0" w:type="auto"/>
            <w:vAlign w:val="center"/>
          </w:tcPr>
          <w:p w14:paraId="38C5DE1E" w14:textId="0A4AAC1E" w:rsidR="00231E54" w:rsidRPr="00231E54" w:rsidRDefault="00231E54" w:rsidP="00C40768">
            <w:pPr>
              <w:pStyle w:val="EMEAEnBodyText"/>
              <w:spacing w:before="0" w:after="0"/>
              <w:rPr>
                <w:color w:val="000000"/>
                <w:szCs w:val="22"/>
                <w:lang w:val="lv-LV"/>
              </w:rPr>
            </w:pPr>
            <w:r w:rsidRPr="00231E54">
              <w:rPr>
                <w:color w:val="000000"/>
                <w:spacing w:val="9"/>
                <w:szCs w:val="22"/>
                <w:lang w:val="lv-LV"/>
              </w:rPr>
              <w:t>Angioedēma, nātrene.</w:t>
            </w:r>
          </w:p>
        </w:tc>
      </w:tr>
      <w:tr w:rsidR="00231E54" w:rsidRPr="00231E54" w14:paraId="307A88E5" w14:textId="77777777" w:rsidTr="00231E54">
        <w:tc>
          <w:tcPr>
            <w:tcW w:w="0" w:type="auto"/>
            <w:vMerge/>
            <w:vAlign w:val="center"/>
          </w:tcPr>
          <w:p w14:paraId="6C79B43A" w14:textId="77777777" w:rsidR="00231E54" w:rsidRPr="00231E54" w:rsidRDefault="00231E54" w:rsidP="00172761">
            <w:pPr>
              <w:pStyle w:val="EMEAEnBodyText"/>
              <w:spacing w:before="0" w:after="0"/>
              <w:rPr>
                <w:i/>
                <w:iCs/>
                <w:color w:val="000000"/>
                <w:szCs w:val="22"/>
                <w:lang w:val="lv-LV"/>
              </w:rPr>
            </w:pPr>
          </w:p>
        </w:tc>
        <w:tc>
          <w:tcPr>
            <w:tcW w:w="0" w:type="auto"/>
            <w:vAlign w:val="center"/>
          </w:tcPr>
          <w:p w14:paraId="140413C7" w14:textId="46EC9AF5" w:rsidR="00231E54" w:rsidRPr="00231E54" w:rsidRDefault="00231E54" w:rsidP="00172761">
            <w:pPr>
              <w:pStyle w:val="EMEAEnBodyText"/>
              <w:spacing w:before="0" w:after="0"/>
              <w:rPr>
                <w:iCs/>
                <w:color w:val="000000"/>
                <w:szCs w:val="22"/>
                <w:lang w:val="lv-LV"/>
              </w:rPr>
            </w:pPr>
            <w:r w:rsidRPr="00231E54">
              <w:rPr>
                <w:iCs/>
                <w:color w:val="000000"/>
                <w:spacing w:val="1"/>
                <w:szCs w:val="22"/>
                <w:lang w:val="lv-LV"/>
              </w:rPr>
              <w:t>Nav zināmi</w:t>
            </w:r>
          </w:p>
        </w:tc>
        <w:tc>
          <w:tcPr>
            <w:tcW w:w="0" w:type="auto"/>
            <w:vAlign w:val="center"/>
          </w:tcPr>
          <w:p w14:paraId="7B7772C2" w14:textId="6F241D6B" w:rsidR="00231E54" w:rsidRPr="00231E54" w:rsidRDefault="00231E54" w:rsidP="00C40768">
            <w:pPr>
              <w:pStyle w:val="EMEAEnBodyText"/>
              <w:spacing w:before="0" w:after="0"/>
              <w:rPr>
                <w:color w:val="000000"/>
                <w:szCs w:val="22"/>
                <w:lang w:val="lv-LV"/>
              </w:rPr>
            </w:pPr>
            <w:r w:rsidRPr="00231E54">
              <w:rPr>
                <w:color w:val="000000"/>
                <w:spacing w:val="1"/>
                <w:szCs w:val="22"/>
                <w:lang w:val="lv-LV"/>
              </w:rPr>
              <w:t>Fotosensitivitātes reakcija.</w:t>
            </w:r>
          </w:p>
        </w:tc>
      </w:tr>
      <w:tr w:rsidR="00C40768" w:rsidRPr="00231E54" w14:paraId="0FB408B3" w14:textId="77777777" w:rsidTr="00231E54">
        <w:tc>
          <w:tcPr>
            <w:tcW w:w="0" w:type="auto"/>
            <w:vAlign w:val="center"/>
          </w:tcPr>
          <w:p w14:paraId="2125E5DC" w14:textId="41818480" w:rsidR="00C40768" w:rsidRPr="00231E54" w:rsidRDefault="00231E54" w:rsidP="00172761">
            <w:pPr>
              <w:pStyle w:val="EMEAEnBodyText"/>
              <w:spacing w:before="0" w:after="0"/>
              <w:rPr>
                <w:i/>
                <w:iCs/>
                <w:color w:val="000000"/>
                <w:szCs w:val="22"/>
                <w:lang w:val="lv-LV"/>
              </w:rPr>
            </w:pPr>
            <w:r w:rsidRPr="00231E54">
              <w:rPr>
                <w:i/>
                <w:iCs/>
                <w:color w:val="000000"/>
                <w:szCs w:val="22"/>
                <w:lang w:val="lv-LV"/>
              </w:rPr>
              <w:t>Skeleta-muskuļu un saistaudu sistēmas bojājumi</w:t>
            </w:r>
          </w:p>
        </w:tc>
        <w:tc>
          <w:tcPr>
            <w:tcW w:w="0" w:type="auto"/>
            <w:vAlign w:val="center"/>
          </w:tcPr>
          <w:p w14:paraId="45EFDF52" w14:textId="194813DF" w:rsidR="00C40768" w:rsidRPr="00231E54" w:rsidRDefault="00231E54" w:rsidP="00172761">
            <w:pPr>
              <w:pStyle w:val="EMEAEnBodyText"/>
              <w:spacing w:before="0" w:after="0"/>
              <w:rPr>
                <w:iCs/>
                <w:color w:val="000000"/>
                <w:szCs w:val="22"/>
                <w:lang w:val="lv-LV"/>
              </w:rPr>
            </w:pPr>
            <w:r w:rsidRPr="00231E54">
              <w:rPr>
                <w:iCs/>
                <w:color w:val="000000"/>
                <w:szCs w:val="22"/>
                <w:lang w:val="lv-LV"/>
              </w:rPr>
              <w:t>Retāk</w:t>
            </w:r>
          </w:p>
        </w:tc>
        <w:tc>
          <w:tcPr>
            <w:tcW w:w="0" w:type="auto"/>
            <w:vAlign w:val="center"/>
          </w:tcPr>
          <w:p w14:paraId="1E5721AF" w14:textId="190D5556" w:rsidR="00C40768" w:rsidRPr="00231E54" w:rsidRDefault="00231E54" w:rsidP="00C40768">
            <w:pPr>
              <w:pStyle w:val="EMEAEnBodyText"/>
              <w:spacing w:before="0" w:after="0"/>
              <w:rPr>
                <w:color w:val="000000"/>
                <w:szCs w:val="22"/>
                <w:lang w:val="lv-LV"/>
              </w:rPr>
            </w:pPr>
            <w:r w:rsidRPr="00231E54">
              <w:rPr>
                <w:color w:val="000000"/>
                <w:szCs w:val="22"/>
                <w:lang w:val="lv-LV"/>
              </w:rPr>
              <w:t>Osteopēnija, osteoporoze.</w:t>
            </w:r>
          </w:p>
        </w:tc>
      </w:tr>
      <w:tr w:rsidR="00C40768" w:rsidRPr="00231E54" w14:paraId="0014781F" w14:textId="77777777" w:rsidTr="00231E54">
        <w:tc>
          <w:tcPr>
            <w:tcW w:w="0" w:type="auto"/>
            <w:vAlign w:val="center"/>
          </w:tcPr>
          <w:p w14:paraId="66E51EE6" w14:textId="37646647" w:rsidR="00C40768" w:rsidRPr="00231E54" w:rsidRDefault="00231E54" w:rsidP="00172761">
            <w:pPr>
              <w:pStyle w:val="EMEAEnBodyText"/>
              <w:spacing w:before="0" w:after="0"/>
              <w:rPr>
                <w:i/>
                <w:iCs/>
                <w:color w:val="000000"/>
                <w:szCs w:val="22"/>
                <w:lang w:val="lv-LV"/>
              </w:rPr>
            </w:pPr>
            <w:r w:rsidRPr="00231E54">
              <w:rPr>
                <w:i/>
                <w:iCs/>
                <w:color w:val="000000"/>
                <w:szCs w:val="22"/>
                <w:lang w:val="lv-LV"/>
              </w:rPr>
              <w:t>Nieru un urīnizvades sistēmas traucējumi</w:t>
            </w:r>
          </w:p>
        </w:tc>
        <w:tc>
          <w:tcPr>
            <w:tcW w:w="0" w:type="auto"/>
            <w:vAlign w:val="center"/>
          </w:tcPr>
          <w:p w14:paraId="7EDF494C" w14:textId="7A8EAFF3" w:rsidR="00C40768" w:rsidRPr="00231E54" w:rsidRDefault="00231E54" w:rsidP="00172761">
            <w:pPr>
              <w:pStyle w:val="EMEAEnBodyText"/>
              <w:spacing w:before="0" w:after="0"/>
              <w:rPr>
                <w:iCs/>
                <w:color w:val="000000"/>
                <w:szCs w:val="22"/>
                <w:lang w:val="lv-LV"/>
              </w:rPr>
            </w:pPr>
            <w:r w:rsidRPr="00231E54">
              <w:rPr>
                <w:iCs/>
                <w:noProof/>
                <w:color w:val="000000"/>
                <w:szCs w:val="22"/>
                <w:lang w:val="lv-LV"/>
              </w:rPr>
              <w:t>Retāk</w:t>
            </w:r>
          </w:p>
        </w:tc>
        <w:tc>
          <w:tcPr>
            <w:tcW w:w="0" w:type="auto"/>
            <w:vAlign w:val="center"/>
          </w:tcPr>
          <w:p w14:paraId="570BF074" w14:textId="3523BB96" w:rsidR="00C40768" w:rsidRPr="00231E54" w:rsidRDefault="00231E54" w:rsidP="00C40768">
            <w:pPr>
              <w:pStyle w:val="EMEAEnBodyText"/>
              <w:spacing w:before="0" w:after="0"/>
              <w:rPr>
                <w:color w:val="000000"/>
                <w:szCs w:val="22"/>
                <w:lang w:val="lv-LV"/>
              </w:rPr>
            </w:pPr>
            <w:r w:rsidRPr="00231E54">
              <w:rPr>
                <w:noProof/>
                <w:color w:val="000000"/>
                <w:szCs w:val="22"/>
                <w:lang w:val="lv-LV"/>
              </w:rPr>
              <w:t>Urīna aizture.</w:t>
            </w:r>
          </w:p>
        </w:tc>
      </w:tr>
      <w:tr w:rsidR="00231E54" w:rsidRPr="00231E54" w14:paraId="08E0217F" w14:textId="77777777" w:rsidTr="00231E54">
        <w:tc>
          <w:tcPr>
            <w:tcW w:w="0" w:type="auto"/>
            <w:vAlign w:val="center"/>
          </w:tcPr>
          <w:p w14:paraId="4813ECA1" w14:textId="2EB1A692" w:rsidR="00231E54" w:rsidRPr="00231E54" w:rsidRDefault="00231E54" w:rsidP="00172761">
            <w:pPr>
              <w:pStyle w:val="EMEAEnBodyText"/>
              <w:spacing w:before="0" w:after="0"/>
              <w:rPr>
                <w:i/>
                <w:iCs/>
                <w:color w:val="000000"/>
                <w:szCs w:val="22"/>
                <w:lang w:val="lv-LV"/>
              </w:rPr>
            </w:pPr>
            <w:r w:rsidRPr="00231E54">
              <w:rPr>
                <w:i/>
                <w:noProof/>
                <w:color w:val="000000"/>
                <w:szCs w:val="22"/>
                <w:lang w:val="lv-LV"/>
              </w:rPr>
              <w:t>Traucējumi grūtniecības, pēcdzemdību un perinatālajā periodā</w:t>
            </w:r>
          </w:p>
        </w:tc>
        <w:tc>
          <w:tcPr>
            <w:tcW w:w="0" w:type="auto"/>
            <w:vAlign w:val="center"/>
          </w:tcPr>
          <w:p w14:paraId="3F69C90F" w14:textId="4623F916" w:rsidR="00231E54" w:rsidRPr="00231E54" w:rsidRDefault="00231E54" w:rsidP="00172761">
            <w:pPr>
              <w:pStyle w:val="EMEAEnBodyText"/>
              <w:spacing w:before="0" w:after="0"/>
              <w:rPr>
                <w:iCs/>
                <w:noProof/>
                <w:color w:val="000000"/>
                <w:szCs w:val="22"/>
                <w:lang w:val="lv-LV"/>
              </w:rPr>
            </w:pPr>
            <w:r w:rsidRPr="00231E54">
              <w:rPr>
                <w:iCs/>
                <w:color w:val="000000"/>
                <w:szCs w:val="22"/>
                <w:lang w:val="lv-LV"/>
              </w:rPr>
              <w:t>Nav zināmi</w:t>
            </w:r>
          </w:p>
        </w:tc>
        <w:tc>
          <w:tcPr>
            <w:tcW w:w="0" w:type="auto"/>
            <w:vAlign w:val="center"/>
          </w:tcPr>
          <w:p w14:paraId="585325DB" w14:textId="5CAFF641" w:rsidR="00231E54" w:rsidRPr="00231E54" w:rsidRDefault="00231E54" w:rsidP="00C40768">
            <w:pPr>
              <w:pStyle w:val="EMEAEnBodyText"/>
              <w:spacing w:before="0" w:after="0"/>
              <w:rPr>
                <w:noProof/>
                <w:color w:val="000000"/>
                <w:szCs w:val="22"/>
                <w:lang w:val="lv-LV"/>
              </w:rPr>
            </w:pPr>
            <w:r w:rsidRPr="00231E54">
              <w:rPr>
                <w:color w:val="000000"/>
                <w:szCs w:val="22"/>
                <w:lang w:val="lv-LV"/>
              </w:rPr>
              <w:t>Zāļu lietošanas atcelšanas sindroms jaundzimušajiem (skatīt 4.6. apakšpunktu).</w:t>
            </w:r>
          </w:p>
        </w:tc>
      </w:tr>
      <w:tr w:rsidR="00231E54" w:rsidRPr="00231E54" w14:paraId="44B05CDA" w14:textId="77777777" w:rsidTr="00231E54">
        <w:tc>
          <w:tcPr>
            <w:tcW w:w="0" w:type="auto"/>
            <w:vMerge w:val="restart"/>
            <w:vAlign w:val="center"/>
          </w:tcPr>
          <w:p w14:paraId="6DB5B8EB" w14:textId="387CC6F1" w:rsidR="00231E54" w:rsidRPr="00231E54" w:rsidRDefault="00231E54" w:rsidP="00172761">
            <w:pPr>
              <w:pStyle w:val="EMEAEnBodyText"/>
              <w:spacing w:before="0" w:after="0"/>
              <w:rPr>
                <w:i/>
                <w:iCs/>
                <w:color w:val="000000"/>
                <w:szCs w:val="22"/>
                <w:lang w:val="lv-LV"/>
              </w:rPr>
            </w:pPr>
            <w:r w:rsidRPr="00231E54">
              <w:rPr>
                <w:i/>
                <w:iCs/>
                <w:color w:val="000000"/>
                <w:szCs w:val="22"/>
                <w:lang w:val="lv-LV"/>
              </w:rPr>
              <w:t>Izmeklējumi</w:t>
            </w:r>
          </w:p>
        </w:tc>
        <w:tc>
          <w:tcPr>
            <w:tcW w:w="0" w:type="auto"/>
            <w:vAlign w:val="center"/>
          </w:tcPr>
          <w:p w14:paraId="6F83FA97" w14:textId="277FE894" w:rsidR="00231E54" w:rsidRPr="00231E54" w:rsidRDefault="00231E54" w:rsidP="00172761">
            <w:pPr>
              <w:pStyle w:val="EMEAEnBodyText"/>
              <w:spacing w:before="0" w:after="0"/>
              <w:rPr>
                <w:iCs/>
                <w:noProof/>
                <w:color w:val="000000"/>
                <w:szCs w:val="22"/>
                <w:lang w:val="lv-LV"/>
              </w:rPr>
            </w:pPr>
            <w:r w:rsidRPr="00231E54">
              <w:rPr>
                <w:bCs/>
                <w:iCs/>
                <w:noProof/>
                <w:color w:val="000000"/>
                <w:szCs w:val="22"/>
                <w:lang w:val="lv-LV"/>
              </w:rPr>
              <w:t>Bieži</w:t>
            </w:r>
          </w:p>
        </w:tc>
        <w:tc>
          <w:tcPr>
            <w:tcW w:w="0" w:type="auto"/>
            <w:vAlign w:val="center"/>
          </w:tcPr>
          <w:p w14:paraId="3531705D" w14:textId="755810BA" w:rsidR="00231E54" w:rsidRPr="00231E54" w:rsidRDefault="00231E54" w:rsidP="00C40768">
            <w:pPr>
              <w:pStyle w:val="EMEAEnBodyText"/>
              <w:spacing w:before="0" w:after="0"/>
              <w:rPr>
                <w:noProof/>
                <w:color w:val="000000"/>
                <w:szCs w:val="22"/>
                <w:lang w:val="lv-LV"/>
              </w:rPr>
            </w:pPr>
            <w:r w:rsidRPr="00231E54">
              <w:rPr>
                <w:bCs/>
                <w:noProof/>
                <w:color w:val="000000"/>
                <w:szCs w:val="22"/>
                <w:lang w:val="lv-LV"/>
              </w:rPr>
              <w:t>Ķermeņa masas palielināšanās.</w:t>
            </w:r>
          </w:p>
        </w:tc>
      </w:tr>
      <w:tr w:rsidR="00231E54" w:rsidRPr="00231E54" w14:paraId="65B7834C" w14:textId="77777777" w:rsidTr="00231E54">
        <w:tc>
          <w:tcPr>
            <w:tcW w:w="0" w:type="auto"/>
            <w:vMerge/>
            <w:vAlign w:val="center"/>
          </w:tcPr>
          <w:p w14:paraId="10F5FE77" w14:textId="77777777" w:rsidR="00231E54" w:rsidRPr="00231E54" w:rsidRDefault="00231E54" w:rsidP="00172761">
            <w:pPr>
              <w:pStyle w:val="EMEAEnBodyText"/>
              <w:spacing w:before="0" w:after="0"/>
              <w:rPr>
                <w:i/>
                <w:iCs/>
                <w:color w:val="000000"/>
                <w:szCs w:val="22"/>
                <w:lang w:val="lv-LV"/>
              </w:rPr>
            </w:pPr>
          </w:p>
        </w:tc>
        <w:tc>
          <w:tcPr>
            <w:tcW w:w="0" w:type="auto"/>
            <w:vAlign w:val="center"/>
          </w:tcPr>
          <w:p w14:paraId="482FCDCF" w14:textId="0F919CCA" w:rsidR="00231E54" w:rsidRPr="00231E54" w:rsidRDefault="00231E54" w:rsidP="00172761">
            <w:pPr>
              <w:pStyle w:val="EMEAEnBodyText"/>
              <w:spacing w:before="0" w:after="0"/>
              <w:rPr>
                <w:iCs/>
                <w:noProof/>
                <w:color w:val="000000"/>
                <w:szCs w:val="22"/>
                <w:lang w:val="lv-LV"/>
              </w:rPr>
            </w:pPr>
            <w:r w:rsidRPr="00231E54">
              <w:rPr>
                <w:bCs/>
                <w:iCs/>
                <w:noProof/>
                <w:color w:val="000000"/>
                <w:szCs w:val="22"/>
                <w:lang w:val="lv-LV"/>
              </w:rPr>
              <w:t>Retāk</w:t>
            </w:r>
          </w:p>
        </w:tc>
        <w:tc>
          <w:tcPr>
            <w:tcW w:w="0" w:type="auto"/>
            <w:vAlign w:val="center"/>
          </w:tcPr>
          <w:p w14:paraId="6CF748FA" w14:textId="175C9474" w:rsidR="00231E54" w:rsidRPr="00231E54" w:rsidRDefault="00231E54" w:rsidP="00C40768">
            <w:pPr>
              <w:pStyle w:val="EMEAEnBodyText"/>
              <w:spacing w:before="0" w:after="0"/>
              <w:rPr>
                <w:noProof/>
                <w:color w:val="000000"/>
                <w:szCs w:val="22"/>
                <w:lang w:val="lv-LV"/>
              </w:rPr>
            </w:pPr>
            <w:r w:rsidRPr="00231E54">
              <w:rPr>
                <w:color w:val="000000"/>
                <w:spacing w:val="4"/>
                <w:szCs w:val="22"/>
                <w:lang w:val="lv-LV"/>
              </w:rPr>
              <w:t xml:space="preserve">Aknu enzīmu, galvenokārt transamināžu, līmeņa </w:t>
            </w:r>
            <w:r w:rsidRPr="00231E54">
              <w:rPr>
                <w:color w:val="000000"/>
                <w:spacing w:val="1"/>
                <w:szCs w:val="22"/>
                <w:lang w:val="lv-LV"/>
              </w:rPr>
              <w:t>paaugstināšanās.</w:t>
            </w:r>
          </w:p>
        </w:tc>
      </w:tr>
    </w:tbl>
    <w:p w14:paraId="581DBF26" w14:textId="60F80E7F" w:rsidR="00912BC7" w:rsidRPr="00231E54" w:rsidRDefault="00912BC7" w:rsidP="00C40768">
      <w:pPr>
        <w:tabs>
          <w:tab w:val="clear" w:pos="567"/>
        </w:tabs>
        <w:spacing w:line="240" w:lineRule="auto"/>
        <w:jc w:val="both"/>
        <w:rPr>
          <w:bCs/>
          <w:iCs/>
          <w:color w:val="000000"/>
          <w:szCs w:val="22"/>
          <w:u w:val="single"/>
        </w:rPr>
      </w:pPr>
    </w:p>
    <w:p w14:paraId="083AF3F8" w14:textId="77777777" w:rsidR="00F75EAB" w:rsidRPr="00231E54" w:rsidRDefault="00F75EAB" w:rsidP="00C40768">
      <w:pPr>
        <w:autoSpaceDE w:val="0"/>
        <w:autoSpaceDN w:val="0"/>
        <w:adjustRightInd w:val="0"/>
        <w:spacing w:line="240" w:lineRule="auto"/>
        <w:jc w:val="both"/>
        <w:rPr>
          <w:color w:val="000000"/>
          <w:szCs w:val="22"/>
          <w:u w:val="single"/>
        </w:rPr>
      </w:pPr>
      <w:r w:rsidRPr="00231E54">
        <w:rPr>
          <w:color w:val="000000"/>
          <w:szCs w:val="22"/>
          <w:u w:val="single"/>
        </w:rPr>
        <w:t>Ziņošana par iespējamām nevēlamām blakusparādībām</w:t>
      </w:r>
    </w:p>
    <w:p w14:paraId="58AE186E" w14:textId="77777777" w:rsidR="00F75EAB" w:rsidRPr="00231E54" w:rsidRDefault="00F75EAB" w:rsidP="00C40768">
      <w:pPr>
        <w:autoSpaceDE w:val="0"/>
        <w:autoSpaceDN w:val="0"/>
        <w:adjustRightInd w:val="0"/>
        <w:spacing w:line="240" w:lineRule="auto"/>
        <w:jc w:val="both"/>
        <w:rPr>
          <w:rFonts w:eastAsia="Calibri"/>
          <w:color w:val="000000"/>
          <w:szCs w:val="22"/>
          <w:lang w:eastAsia="zh-CN"/>
        </w:rPr>
      </w:pPr>
      <w:r w:rsidRPr="00231E54">
        <w:rPr>
          <w:color w:val="000000"/>
          <w:szCs w:val="22"/>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w:t>
      </w:r>
      <w:r w:rsidRPr="00231E54">
        <w:rPr>
          <w:color w:val="000000"/>
          <w:szCs w:val="24"/>
        </w:rPr>
        <w:t xml:space="preserve">Zāļu valsts aģentūrai, Jersikas ielā 15, Rīgā, LV 1003. </w:t>
      </w:r>
      <w:r w:rsidRPr="00231E54">
        <w:rPr>
          <w:rFonts w:eastAsia="Calibri"/>
          <w:color w:val="000000"/>
          <w:szCs w:val="22"/>
          <w:lang w:eastAsia="zh-CN"/>
        </w:rPr>
        <w:t xml:space="preserve">Tīmekļa vietne: </w:t>
      </w:r>
      <w:hyperlink r:id="rId9" w:history="1">
        <w:r w:rsidRPr="00231E54">
          <w:rPr>
            <w:rFonts w:eastAsia="Calibri"/>
            <w:color w:val="000000"/>
            <w:u w:val="single"/>
          </w:rPr>
          <w:t>www.zva.gov.lv</w:t>
        </w:r>
      </w:hyperlink>
    </w:p>
    <w:p w14:paraId="29EC1BAA" w14:textId="77777777" w:rsidR="00F75EAB" w:rsidRPr="00231E54" w:rsidRDefault="00F75EAB" w:rsidP="00C40768">
      <w:pPr>
        <w:tabs>
          <w:tab w:val="clear" w:pos="567"/>
        </w:tabs>
        <w:spacing w:line="240" w:lineRule="auto"/>
        <w:jc w:val="both"/>
        <w:rPr>
          <w:color w:val="000000"/>
        </w:rPr>
      </w:pPr>
    </w:p>
    <w:p w14:paraId="61EE0B38" w14:textId="77777777" w:rsidR="00F75EAB" w:rsidRPr="00231E54" w:rsidRDefault="00F75EAB" w:rsidP="00C40768">
      <w:pPr>
        <w:tabs>
          <w:tab w:val="clear" w:pos="567"/>
        </w:tabs>
        <w:spacing w:line="240" w:lineRule="auto"/>
        <w:jc w:val="both"/>
        <w:rPr>
          <w:color w:val="000000"/>
        </w:rPr>
      </w:pPr>
      <w:r w:rsidRPr="00231E54">
        <w:rPr>
          <w:b/>
          <w:color w:val="000000"/>
        </w:rPr>
        <w:t>4.9.</w:t>
      </w:r>
      <w:r w:rsidRPr="00231E54">
        <w:rPr>
          <w:b/>
          <w:color w:val="000000"/>
        </w:rPr>
        <w:tab/>
        <w:t>Pārdozēšana</w:t>
      </w:r>
    </w:p>
    <w:p w14:paraId="0431419C" w14:textId="77777777" w:rsidR="00964FCB" w:rsidRPr="00231E54" w:rsidRDefault="00964FCB" w:rsidP="00C40768">
      <w:pPr>
        <w:spacing w:line="240" w:lineRule="auto"/>
        <w:jc w:val="both"/>
        <w:rPr>
          <w:b/>
          <w:color w:val="000000"/>
        </w:rPr>
      </w:pPr>
    </w:p>
    <w:p w14:paraId="70AE9E1D" w14:textId="77777777" w:rsidR="00C75126" w:rsidRPr="00231E54" w:rsidRDefault="00C75126" w:rsidP="00C40768">
      <w:pPr>
        <w:spacing w:line="240" w:lineRule="auto"/>
        <w:jc w:val="both"/>
        <w:rPr>
          <w:color w:val="000000"/>
          <w:u w:val="single"/>
        </w:rPr>
      </w:pPr>
      <w:r w:rsidRPr="00231E54">
        <w:rPr>
          <w:color w:val="000000"/>
          <w:u w:val="single"/>
        </w:rPr>
        <w:t>Simptomi</w:t>
      </w:r>
    </w:p>
    <w:p w14:paraId="75F4B153" w14:textId="77777777" w:rsidR="00C75126" w:rsidRPr="00231E54" w:rsidRDefault="00C75126" w:rsidP="00C40768">
      <w:pPr>
        <w:spacing w:line="240" w:lineRule="auto"/>
        <w:jc w:val="both"/>
        <w:rPr>
          <w:color w:val="000000"/>
        </w:rPr>
      </w:pPr>
      <w:r w:rsidRPr="00231E54">
        <w:rPr>
          <w:color w:val="000000"/>
        </w:rPr>
        <w:t xml:space="preserve">Pieredze par </w:t>
      </w:r>
      <w:r w:rsidR="00964FCB" w:rsidRPr="00231E54">
        <w:rPr>
          <w:color w:val="000000"/>
        </w:rPr>
        <w:t xml:space="preserve">amisulprīda </w:t>
      </w:r>
      <w:r w:rsidRPr="00231E54">
        <w:rPr>
          <w:color w:val="000000"/>
        </w:rPr>
        <w:t>pārdozēšanu ir ierobežota. Ir aprakstīta pārāk izteikta šo zāļu zināmā farmakoloģiskā iedarbība. Tās izpausmes ir miegainība, sedācija, koma, hipotensija un ekstrapiramidāli simptomi.</w:t>
      </w:r>
      <w:r w:rsidRPr="00231E54">
        <w:rPr>
          <w:color w:val="000000"/>
          <w:szCs w:val="22"/>
        </w:rPr>
        <w:t xml:space="preserve"> </w:t>
      </w:r>
      <w:r w:rsidRPr="00231E54">
        <w:rPr>
          <w:color w:val="000000"/>
        </w:rPr>
        <w:t>Nāves gadījumi aprakstīti, galvenokārt lietojot vienlaicīgi ar citiem psihotropajiem līdzekļiem.</w:t>
      </w:r>
    </w:p>
    <w:p w14:paraId="4743A17B" w14:textId="77777777" w:rsidR="00C75126" w:rsidRPr="00231E54" w:rsidRDefault="00C75126" w:rsidP="00C40768">
      <w:pPr>
        <w:shd w:val="clear" w:color="auto" w:fill="FFFFFF"/>
        <w:tabs>
          <w:tab w:val="left" w:pos="540"/>
        </w:tabs>
        <w:spacing w:line="240" w:lineRule="auto"/>
        <w:jc w:val="both"/>
        <w:rPr>
          <w:color w:val="000000"/>
        </w:rPr>
      </w:pPr>
    </w:p>
    <w:p w14:paraId="0896CDEB" w14:textId="77777777" w:rsidR="00C75126" w:rsidRPr="00231E54" w:rsidRDefault="00C75126" w:rsidP="00C40768">
      <w:pPr>
        <w:shd w:val="clear" w:color="auto" w:fill="FFFFFF"/>
        <w:tabs>
          <w:tab w:val="left" w:pos="540"/>
        </w:tabs>
        <w:spacing w:line="240" w:lineRule="auto"/>
        <w:jc w:val="both"/>
        <w:rPr>
          <w:color w:val="000000"/>
          <w:u w:val="single"/>
        </w:rPr>
      </w:pPr>
      <w:r w:rsidRPr="00231E54">
        <w:rPr>
          <w:color w:val="000000"/>
          <w:u w:val="single"/>
        </w:rPr>
        <w:t>Ārstēšana</w:t>
      </w:r>
    </w:p>
    <w:p w14:paraId="1C6668DF" w14:textId="77777777" w:rsidR="00C75126" w:rsidRPr="00231E54" w:rsidRDefault="00C75126" w:rsidP="00C40768">
      <w:pPr>
        <w:shd w:val="clear" w:color="auto" w:fill="FFFFFF"/>
        <w:tabs>
          <w:tab w:val="left" w:pos="540"/>
        </w:tabs>
        <w:spacing w:line="240" w:lineRule="auto"/>
        <w:jc w:val="both"/>
        <w:rPr>
          <w:color w:val="000000"/>
        </w:rPr>
      </w:pPr>
      <w:r w:rsidRPr="00231E54">
        <w:rPr>
          <w:color w:val="000000"/>
        </w:rPr>
        <w:t>Akūtas pārdozēšanas gadījumā jāapsver vairāku zāļu lietošanas iespējamība.</w:t>
      </w:r>
    </w:p>
    <w:p w14:paraId="1FD1E4D7" w14:textId="77777777" w:rsidR="00C75126" w:rsidRPr="00231E54" w:rsidRDefault="00C75126" w:rsidP="00C40768">
      <w:pPr>
        <w:shd w:val="clear" w:color="auto" w:fill="FFFFFF"/>
        <w:tabs>
          <w:tab w:val="left" w:pos="540"/>
        </w:tabs>
        <w:spacing w:line="240" w:lineRule="auto"/>
        <w:jc w:val="both"/>
        <w:rPr>
          <w:color w:val="000000"/>
          <w:szCs w:val="22"/>
        </w:rPr>
      </w:pPr>
    </w:p>
    <w:p w14:paraId="5244DDED" w14:textId="77777777" w:rsidR="00C75126" w:rsidRPr="00231E54" w:rsidRDefault="00C75126" w:rsidP="00C40768">
      <w:pPr>
        <w:shd w:val="clear" w:color="auto" w:fill="FFFFFF"/>
        <w:tabs>
          <w:tab w:val="left" w:pos="540"/>
        </w:tabs>
        <w:spacing w:line="240" w:lineRule="auto"/>
        <w:jc w:val="both"/>
        <w:rPr>
          <w:color w:val="000000"/>
        </w:rPr>
      </w:pPr>
      <w:r w:rsidRPr="00231E54">
        <w:rPr>
          <w:color w:val="000000"/>
        </w:rPr>
        <w:t xml:space="preserve">Tā kā </w:t>
      </w:r>
      <w:r w:rsidR="00964FCB" w:rsidRPr="00231E54">
        <w:rPr>
          <w:color w:val="000000"/>
        </w:rPr>
        <w:t xml:space="preserve">amisulprīds </w:t>
      </w:r>
      <w:r w:rsidRPr="00231E54">
        <w:rPr>
          <w:color w:val="000000"/>
        </w:rPr>
        <w:t>ir slikti dializējams, zāļu izvadīšanai no organisma nav lietderīgi izmantot hemodialīzi.</w:t>
      </w:r>
    </w:p>
    <w:p w14:paraId="3702B46D" w14:textId="77777777" w:rsidR="00C75126" w:rsidRPr="00231E54" w:rsidRDefault="00C75126" w:rsidP="00C40768">
      <w:pPr>
        <w:shd w:val="clear" w:color="auto" w:fill="FFFFFF"/>
        <w:tabs>
          <w:tab w:val="left" w:pos="540"/>
        </w:tabs>
        <w:spacing w:line="240" w:lineRule="auto"/>
        <w:jc w:val="both"/>
        <w:rPr>
          <w:color w:val="000000"/>
          <w:szCs w:val="22"/>
        </w:rPr>
      </w:pPr>
    </w:p>
    <w:p w14:paraId="7DD07F94" w14:textId="77777777" w:rsidR="00C75126" w:rsidRPr="00231E54" w:rsidRDefault="00964FCB" w:rsidP="00C40768">
      <w:pPr>
        <w:shd w:val="clear" w:color="auto" w:fill="FFFFFF"/>
        <w:tabs>
          <w:tab w:val="left" w:pos="540"/>
        </w:tabs>
        <w:spacing w:line="240" w:lineRule="auto"/>
        <w:jc w:val="both"/>
        <w:rPr>
          <w:color w:val="000000"/>
        </w:rPr>
      </w:pPr>
      <w:r w:rsidRPr="00231E54">
        <w:rPr>
          <w:color w:val="000000"/>
        </w:rPr>
        <w:t xml:space="preserve">Amisulprīdam </w:t>
      </w:r>
      <w:r w:rsidR="00C75126" w:rsidRPr="00231E54">
        <w:rPr>
          <w:color w:val="000000"/>
        </w:rPr>
        <w:t>nav specifiska antidota.</w:t>
      </w:r>
    </w:p>
    <w:p w14:paraId="42BB43A2" w14:textId="77777777" w:rsidR="00C75126" w:rsidRPr="00231E54" w:rsidRDefault="00C75126" w:rsidP="00C40768">
      <w:pPr>
        <w:shd w:val="clear" w:color="auto" w:fill="FFFFFF"/>
        <w:tabs>
          <w:tab w:val="left" w:pos="540"/>
        </w:tabs>
        <w:spacing w:line="240" w:lineRule="auto"/>
        <w:jc w:val="both"/>
        <w:rPr>
          <w:color w:val="000000"/>
        </w:rPr>
      </w:pPr>
    </w:p>
    <w:p w14:paraId="251E62DD" w14:textId="77777777" w:rsidR="00C75126" w:rsidRPr="00231E54" w:rsidRDefault="00C75126" w:rsidP="00C40768">
      <w:pPr>
        <w:shd w:val="clear" w:color="auto" w:fill="FFFFFF"/>
        <w:tabs>
          <w:tab w:val="left" w:pos="540"/>
        </w:tabs>
        <w:spacing w:line="240" w:lineRule="auto"/>
        <w:jc w:val="both"/>
        <w:rPr>
          <w:color w:val="000000"/>
        </w:rPr>
      </w:pPr>
      <w:r w:rsidRPr="00231E54">
        <w:rPr>
          <w:color w:val="000000"/>
        </w:rPr>
        <w:t>Tādēļ jāveic atbilstoši uzturoši pasākumi: rūpīgi jānovēro dzīvībai svarīgo orgānu darbība un nepārtraukti jānovēro sirdsdarbīb</w:t>
      </w:r>
      <w:r w:rsidR="002A7E12" w:rsidRPr="00231E54">
        <w:rPr>
          <w:color w:val="000000"/>
          <w:szCs w:val="22"/>
        </w:rPr>
        <w:t>a</w:t>
      </w:r>
      <w:r w:rsidRPr="00231E54">
        <w:rPr>
          <w:color w:val="000000"/>
        </w:rPr>
        <w:t xml:space="preserve"> (QT intervāla pagarināšanās risks), līdz pacients atveseļojas.</w:t>
      </w:r>
    </w:p>
    <w:p w14:paraId="19C376EE" w14:textId="77777777" w:rsidR="00C75126" w:rsidRPr="00231E54" w:rsidRDefault="00C75126" w:rsidP="00C40768">
      <w:pPr>
        <w:shd w:val="clear" w:color="auto" w:fill="FFFFFF"/>
        <w:tabs>
          <w:tab w:val="left" w:pos="540"/>
        </w:tabs>
        <w:spacing w:line="240" w:lineRule="auto"/>
        <w:jc w:val="both"/>
        <w:rPr>
          <w:color w:val="000000"/>
          <w:szCs w:val="22"/>
        </w:rPr>
      </w:pPr>
    </w:p>
    <w:p w14:paraId="7AB6363D" w14:textId="77777777" w:rsidR="00C75126" w:rsidRPr="00231E54" w:rsidRDefault="00C75126" w:rsidP="00C40768">
      <w:pPr>
        <w:shd w:val="clear" w:color="auto" w:fill="FFFFFF"/>
        <w:tabs>
          <w:tab w:val="left" w:pos="540"/>
        </w:tabs>
        <w:spacing w:line="240" w:lineRule="auto"/>
        <w:jc w:val="both"/>
        <w:rPr>
          <w:color w:val="000000"/>
        </w:rPr>
      </w:pPr>
      <w:r w:rsidRPr="00231E54">
        <w:rPr>
          <w:color w:val="000000"/>
        </w:rPr>
        <w:t>Ja rodas smagi ekstrapiramidāli simptomi, jālieto antiholīnerģiski līdzekļi.</w:t>
      </w:r>
    </w:p>
    <w:p w14:paraId="3B4BC1B0" w14:textId="77777777" w:rsidR="00C75126" w:rsidRPr="00231E54" w:rsidRDefault="00C75126" w:rsidP="00C40768">
      <w:pPr>
        <w:shd w:val="clear" w:color="auto" w:fill="FFFFFF"/>
        <w:tabs>
          <w:tab w:val="left" w:pos="540"/>
        </w:tabs>
        <w:spacing w:line="240" w:lineRule="auto"/>
        <w:jc w:val="both"/>
        <w:rPr>
          <w:color w:val="000000"/>
        </w:rPr>
      </w:pPr>
    </w:p>
    <w:p w14:paraId="64525CC5" w14:textId="77777777" w:rsidR="00C75126" w:rsidRPr="00231E54" w:rsidRDefault="00C75126" w:rsidP="00C40768">
      <w:pPr>
        <w:shd w:val="clear" w:color="auto" w:fill="FFFFFF"/>
        <w:tabs>
          <w:tab w:val="left" w:pos="540"/>
        </w:tabs>
        <w:spacing w:line="240" w:lineRule="auto"/>
        <w:jc w:val="both"/>
        <w:rPr>
          <w:color w:val="000000"/>
          <w:szCs w:val="22"/>
        </w:rPr>
      </w:pPr>
      <w:r w:rsidRPr="00231E54">
        <w:rPr>
          <w:color w:val="000000"/>
        </w:rPr>
        <w:t>Pacienti, kuriem ir aizdomas par pārdozēšanu, jānovēro ar EKG palīdzību.</w:t>
      </w:r>
    </w:p>
    <w:p w14:paraId="46BDD79E" w14:textId="77777777" w:rsidR="00F75EAB" w:rsidRPr="00231E54" w:rsidRDefault="00F75EAB" w:rsidP="00C40768">
      <w:pPr>
        <w:tabs>
          <w:tab w:val="clear" w:pos="567"/>
        </w:tabs>
        <w:spacing w:line="240" w:lineRule="auto"/>
        <w:jc w:val="both"/>
        <w:rPr>
          <w:color w:val="000000"/>
        </w:rPr>
      </w:pPr>
    </w:p>
    <w:p w14:paraId="7C05B15F" w14:textId="77777777" w:rsidR="00964FCB" w:rsidRPr="00231E54" w:rsidRDefault="00964FCB" w:rsidP="00C40768">
      <w:pPr>
        <w:tabs>
          <w:tab w:val="clear" w:pos="567"/>
        </w:tabs>
        <w:spacing w:line="240" w:lineRule="auto"/>
        <w:jc w:val="both"/>
        <w:rPr>
          <w:color w:val="000000"/>
        </w:rPr>
      </w:pPr>
    </w:p>
    <w:p w14:paraId="017275B6" w14:textId="77777777" w:rsidR="00F75EAB" w:rsidRPr="00231E54" w:rsidRDefault="00F75EAB" w:rsidP="00C40768">
      <w:pPr>
        <w:tabs>
          <w:tab w:val="clear" w:pos="567"/>
        </w:tabs>
        <w:spacing w:line="240" w:lineRule="auto"/>
        <w:jc w:val="both"/>
        <w:rPr>
          <w:b/>
          <w:color w:val="000000"/>
        </w:rPr>
      </w:pPr>
      <w:r w:rsidRPr="00231E54">
        <w:rPr>
          <w:b/>
          <w:color w:val="000000"/>
        </w:rPr>
        <w:lastRenderedPageBreak/>
        <w:t>5.</w:t>
      </w:r>
      <w:r w:rsidRPr="00231E54">
        <w:rPr>
          <w:b/>
          <w:color w:val="000000"/>
        </w:rPr>
        <w:tab/>
        <w:t>FARMAKOLOĢISKĀS ĪPAŠĪBAS</w:t>
      </w:r>
    </w:p>
    <w:p w14:paraId="1F1A85AF" w14:textId="77777777" w:rsidR="00964FCB" w:rsidRPr="00231E54" w:rsidRDefault="00964FCB" w:rsidP="00C40768">
      <w:pPr>
        <w:tabs>
          <w:tab w:val="clear" w:pos="567"/>
        </w:tabs>
        <w:spacing w:line="240" w:lineRule="auto"/>
        <w:jc w:val="both"/>
        <w:rPr>
          <w:b/>
          <w:color w:val="000000"/>
        </w:rPr>
      </w:pPr>
    </w:p>
    <w:p w14:paraId="578757C0" w14:textId="77777777" w:rsidR="00F75EAB" w:rsidRPr="00231E54" w:rsidRDefault="00F75EAB" w:rsidP="00C40768">
      <w:pPr>
        <w:tabs>
          <w:tab w:val="clear" w:pos="567"/>
        </w:tabs>
        <w:spacing w:line="240" w:lineRule="auto"/>
        <w:jc w:val="both"/>
        <w:rPr>
          <w:color w:val="000000"/>
        </w:rPr>
      </w:pPr>
      <w:r w:rsidRPr="00231E54">
        <w:rPr>
          <w:b/>
          <w:color w:val="000000"/>
        </w:rPr>
        <w:t>5.1.</w:t>
      </w:r>
      <w:r w:rsidRPr="00231E54">
        <w:rPr>
          <w:b/>
          <w:color w:val="000000"/>
        </w:rPr>
        <w:tab/>
        <w:t>Farmakodinamiskās īpašības</w:t>
      </w:r>
    </w:p>
    <w:p w14:paraId="7E3E4989" w14:textId="77777777" w:rsidR="00964FCB" w:rsidRPr="00231E54" w:rsidRDefault="00964FCB" w:rsidP="00C40768">
      <w:pPr>
        <w:tabs>
          <w:tab w:val="clear" w:pos="567"/>
        </w:tabs>
        <w:autoSpaceDE w:val="0"/>
        <w:autoSpaceDN w:val="0"/>
        <w:adjustRightInd w:val="0"/>
        <w:spacing w:line="240" w:lineRule="auto"/>
        <w:jc w:val="both"/>
        <w:rPr>
          <w:b/>
          <w:color w:val="000000"/>
        </w:rPr>
      </w:pPr>
    </w:p>
    <w:p w14:paraId="3697FAC4" w14:textId="77777777" w:rsidR="00F75EAB" w:rsidRPr="00231E54" w:rsidRDefault="00F75EAB" w:rsidP="00C40768">
      <w:pPr>
        <w:tabs>
          <w:tab w:val="clear" w:pos="567"/>
        </w:tabs>
        <w:autoSpaceDE w:val="0"/>
        <w:autoSpaceDN w:val="0"/>
        <w:adjustRightInd w:val="0"/>
        <w:spacing w:line="240" w:lineRule="auto"/>
        <w:jc w:val="both"/>
        <w:rPr>
          <w:color w:val="000000"/>
        </w:rPr>
      </w:pPr>
      <w:r w:rsidRPr="00231E54">
        <w:rPr>
          <w:b/>
          <w:color w:val="000000"/>
        </w:rPr>
        <w:t>Farmakoterapeitiskā grupa</w:t>
      </w:r>
      <w:r w:rsidRPr="00231E54">
        <w:rPr>
          <w:color w:val="000000"/>
        </w:rPr>
        <w:t xml:space="preserve">: </w:t>
      </w:r>
      <w:r w:rsidR="001E4B17" w:rsidRPr="00231E54">
        <w:rPr>
          <w:bCs/>
          <w:color w:val="000000"/>
          <w:szCs w:val="19"/>
          <w:lang w:eastAsia="en-GB"/>
        </w:rPr>
        <w:t>p</w:t>
      </w:r>
      <w:r w:rsidR="000F1FF8" w:rsidRPr="00231E54">
        <w:rPr>
          <w:bCs/>
          <w:color w:val="000000"/>
          <w:szCs w:val="19"/>
          <w:lang w:eastAsia="en-GB"/>
        </w:rPr>
        <w:t>siholeptiski līdzekļi, a</w:t>
      </w:r>
      <w:r w:rsidR="000F1FF8" w:rsidRPr="00231E54">
        <w:rPr>
          <w:color w:val="000000"/>
          <w:szCs w:val="19"/>
          <w:lang w:eastAsia="en-GB"/>
        </w:rPr>
        <w:t>ntipsihotiskie līdzekļi, benzamīdi.</w:t>
      </w:r>
    </w:p>
    <w:p w14:paraId="7F7BFD8D" w14:textId="77777777" w:rsidR="00F75EAB" w:rsidRPr="00231E54" w:rsidRDefault="00F75EAB" w:rsidP="00C40768">
      <w:pPr>
        <w:tabs>
          <w:tab w:val="clear" w:pos="567"/>
        </w:tabs>
        <w:spacing w:line="240" w:lineRule="auto"/>
        <w:jc w:val="both"/>
        <w:rPr>
          <w:color w:val="000000"/>
        </w:rPr>
      </w:pPr>
      <w:r w:rsidRPr="00231E54">
        <w:rPr>
          <w:b/>
          <w:color w:val="000000"/>
        </w:rPr>
        <w:t>ATĶ kods</w:t>
      </w:r>
      <w:r w:rsidRPr="00231E54">
        <w:rPr>
          <w:color w:val="000000"/>
        </w:rPr>
        <w:t xml:space="preserve">: </w:t>
      </w:r>
      <w:r w:rsidR="000F1FF8" w:rsidRPr="00231E54">
        <w:rPr>
          <w:color w:val="000000"/>
        </w:rPr>
        <w:t>N05AL05</w:t>
      </w:r>
    </w:p>
    <w:p w14:paraId="52BB0DF2" w14:textId="77777777" w:rsidR="00F75EAB" w:rsidRPr="00231E54" w:rsidRDefault="00F75EAB" w:rsidP="00C40768">
      <w:pPr>
        <w:tabs>
          <w:tab w:val="clear" w:pos="567"/>
        </w:tabs>
        <w:spacing w:line="240" w:lineRule="auto"/>
        <w:jc w:val="both"/>
        <w:rPr>
          <w:color w:val="000000"/>
        </w:rPr>
      </w:pPr>
    </w:p>
    <w:p w14:paraId="6D12E357" w14:textId="77777777" w:rsidR="00EF6991" w:rsidRPr="00231E54" w:rsidRDefault="00EF6991" w:rsidP="00C40768">
      <w:pPr>
        <w:shd w:val="clear" w:color="auto" w:fill="FFFFFF"/>
        <w:spacing w:line="240" w:lineRule="auto"/>
        <w:jc w:val="both"/>
        <w:rPr>
          <w:color w:val="000000"/>
        </w:rPr>
      </w:pPr>
      <w:r w:rsidRPr="00231E54">
        <w:rPr>
          <w:color w:val="000000"/>
        </w:rPr>
        <w:t>Amisulprīds selektīvi ar augstu afinitāti saistās ar cilvēka dopamīnerģisko receptoru D</w:t>
      </w:r>
      <w:r w:rsidRPr="00231E54">
        <w:rPr>
          <w:color w:val="000000"/>
          <w:vertAlign w:val="subscript"/>
        </w:rPr>
        <w:t>2</w:t>
      </w:r>
      <w:r w:rsidRPr="00231E54">
        <w:rPr>
          <w:color w:val="000000"/>
        </w:rPr>
        <w:t>/D</w:t>
      </w:r>
      <w:r w:rsidRPr="00231E54">
        <w:rPr>
          <w:color w:val="000000"/>
          <w:vertAlign w:val="subscript"/>
        </w:rPr>
        <w:t xml:space="preserve">3 </w:t>
      </w:r>
      <w:r w:rsidRPr="00231E54">
        <w:rPr>
          <w:color w:val="000000"/>
        </w:rPr>
        <w:t>apakštipiem, bet tam nepiemīt afinitāte pret receptora D</w:t>
      </w:r>
      <w:r w:rsidRPr="00231E54">
        <w:rPr>
          <w:color w:val="000000"/>
          <w:vertAlign w:val="subscript"/>
        </w:rPr>
        <w:t>1;</w:t>
      </w:r>
      <w:r w:rsidRPr="00231E54">
        <w:rPr>
          <w:color w:val="000000"/>
        </w:rPr>
        <w:t xml:space="preserve"> D</w:t>
      </w:r>
      <w:r w:rsidRPr="00231E54">
        <w:rPr>
          <w:color w:val="000000"/>
          <w:vertAlign w:val="subscript"/>
        </w:rPr>
        <w:t>4</w:t>
      </w:r>
      <w:r w:rsidRPr="00231E54">
        <w:rPr>
          <w:color w:val="000000"/>
        </w:rPr>
        <w:t xml:space="preserve"> un D</w:t>
      </w:r>
      <w:r w:rsidRPr="00231E54">
        <w:rPr>
          <w:color w:val="000000"/>
          <w:vertAlign w:val="subscript"/>
        </w:rPr>
        <w:t>5</w:t>
      </w:r>
      <w:r w:rsidRPr="00231E54">
        <w:rPr>
          <w:color w:val="000000"/>
        </w:rPr>
        <w:t xml:space="preserve"> apakštipiem.</w:t>
      </w:r>
    </w:p>
    <w:p w14:paraId="08A86610" w14:textId="77777777" w:rsidR="00EF6991" w:rsidRPr="00231E54" w:rsidRDefault="00EF6991" w:rsidP="00C40768">
      <w:pPr>
        <w:shd w:val="clear" w:color="auto" w:fill="FFFFFF"/>
        <w:spacing w:line="240" w:lineRule="auto"/>
        <w:jc w:val="both"/>
        <w:rPr>
          <w:color w:val="000000"/>
          <w:szCs w:val="22"/>
        </w:rPr>
      </w:pPr>
    </w:p>
    <w:p w14:paraId="3F602531" w14:textId="77777777" w:rsidR="00EF6991" w:rsidRPr="00231E54" w:rsidRDefault="00EF6991" w:rsidP="00C40768">
      <w:pPr>
        <w:shd w:val="clear" w:color="auto" w:fill="FFFFFF"/>
        <w:spacing w:line="240" w:lineRule="auto"/>
        <w:jc w:val="both"/>
        <w:rPr>
          <w:color w:val="000000"/>
        </w:rPr>
      </w:pPr>
      <w:r w:rsidRPr="00231E54">
        <w:rPr>
          <w:color w:val="000000"/>
        </w:rPr>
        <w:t>Pretēji klasiskajiem un atipiskajiem neiroleptiskajiem līdzekļiem, amisulprīdam nepiemīt afinitāte pret serotonīna, α-adrenerģiskiem, H</w:t>
      </w:r>
      <w:r w:rsidRPr="00231E54">
        <w:rPr>
          <w:color w:val="000000"/>
          <w:vertAlign w:val="subscript"/>
        </w:rPr>
        <w:t xml:space="preserve">ļ </w:t>
      </w:r>
      <w:r w:rsidRPr="00231E54">
        <w:rPr>
          <w:color w:val="000000"/>
        </w:rPr>
        <w:t>histamīna un holīnerģiskiem receptoriem. Turklāt amisulprīds nesaistās ar sigma vietām.</w:t>
      </w:r>
    </w:p>
    <w:p w14:paraId="667F972C" w14:textId="77777777" w:rsidR="00EF6991" w:rsidRPr="00231E54" w:rsidRDefault="00EF6991" w:rsidP="00C40768">
      <w:pPr>
        <w:shd w:val="clear" w:color="auto" w:fill="FFFFFF"/>
        <w:spacing w:line="240" w:lineRule="auto"/>
        <w:jc w:val="both"/>
        <w:rPr>
          <w:color w:val="000000"/>
        </w:rPr>
      </w:pPr>
    </w:p>
    <w:p w14:paraId="47D77309" w14:textId="77777777" w:rsidR="00EF6991" w:rsidRPr="00231E54" w:rsidRDefault="00EF6991" w:rsidP="00C40768">
      <w:pPr>
        <w:tabs>
          <w:tab w:val="left" w:pos="-566"/>
          <w:tab w:val="left" w:pos="-283"/>
        </w:tabs>
        <w:spacing w:line="240" w:lineRule="auto"/>
        <w:jc w:val="both"/>
        <w:rPr>
          <w:color w:val="000000"/>
        </w:rPr>
      </w:pPr>
      <w:r w:rsidRPr="00231E54">
        <w:rPr>
          <w:color w:val="000000"/>
          <w:szCs w:val="22"/>
        </w:rPr>
        <w:t>Pētījumos ar dzīvniekiem lielas devas vieglāk bloķē postsinaptiskos D</w:t>
      </w:r>
      <w:r w:rsidRPr="00231E54">
        <w:rPr>
          <w:color w:val="000000"/>
          <w:szCs w:val="22"/>
          <w:vertAlign w:val="subscript"/>
        </w:rPr>
        <w:t>2 </w:t>
      </w:r>
      <w:r w:rsidRPr="00231E54">
        <w:rPr>
          <w:color w:val="000000"/>
          <w:szCs w:val="22"/>
        </w:rPr>
        <w:t>receptorus limbiskajās, nevis striatālajās struktūrās. Atšķirīgi no klasiskajiem neiroleptiskajiem līdzekļiem tas neizraisa katalepsiju</w:t>
      </w:r>
      <w:r w:rsidR="00C84873" w:rsidRPr="00231E54">
        <w:rPr>
          <w:color w:val="000000"/>
          <w:szCs w:val="22"/>
        </w:rPr>
        <w:t>,</w:t>
      </w:r>
      <w:r w:rsidRPr="00231E54">
        <w:rPr>
          <w:color w:val="000000"/>
          <w:szCs w:val="22"/>
        </w:rPr>
        <w:t xml:space="preserve"> un pēc atkārtotas terapijas neattīstās paaugstināta D</w:t>
      </w:r>
      <w:r w:rsidRPr="00231E54">
        <w:rPr>
          <w:color w:val="000000"/>
          <w:szCs w:val="22"/>
          <w:vertAlign w:val="subscript"/>
        </w:rPr>
        <w:t>2 </w:t>
      </w:r>
      <w:r w:rsidRPr="00231E54">
        <w:rPr>
          <w:color w:val="000000"/>
          <w:szCs w:val="22"/>
        </w:rPr>
        <w:t xml:space="preserve">receptoru jutība. </w:t>
      </w:r>
      <w:r w:rsidRPr="00231E54">
        <w:rPr>
          <w:color w:val="000000"/>
        </w:rPr>
        <w:t>Lietojot mazas devas, zāles galvenokārt bloķē presinaptiskos D</w:t>
      </w:r>
      <w:r w:rsidRPr="00231E54">
        <w:rPr>
          <w:color w:val="000000"/>
          <w:vertAlign w:val="subscript"/>
        </w:rPr>
        <w:t>2</w:t>
      </w:r>
      <w:r w:rsidRPr="00231E54">
        <w:rPr>
          <w:color w:val="000000"/>
        </w:rPr>
        <w:t>/D</w:t>
      </w:r>
      <w:r w:rsidRPr="00231E54">
        <w:rPr>
          <w:color w:val="000000"/>
          <w:vertAlign w:val="subscript"/>
        </w:rPr>
        <w:t>3</w:t>
      </w:r>
      <w:r w:rsidRPr="00231E54">
        <w:rPr>
          <w:color w:val="000000"/>
        </w:rPr>
        <w:t xml:space="preserve"> receptorus, izraisot dopamīna atbrīvošanos, kas nodrošina zāļu disinhibējošo iedarbību.</w:t>
      </w:r>
    </w:p>
    <w:p w14:paraId="2F650A5F" w14:textId="77777777" w:rsidR="00EF6991" w:rsidRPr="00231E54" w:rsidRDefault="00EF6991" w:rsidP="00C40768">
      <w:pPr>
        <w:shd w:val="clear" w:color="auto" w:fill="FFFFFF"/>
        <w:spacing w:line="240" w:lineRule="auto"/>
        <w:jc w:val="both"/>
        <w:rPr>
          <w:color w:val="000000"/>
        </w:rPr>
      </w:pPr>
    </w:p>
    <w:p w14:paraId="524B99C7" w14:textId="77777777" w:rsidR="00EF6991" w:rsidRPr="00231E54" w:rsidRDefault="00EF6991" w:rsidP="00C40768">
      <w:pPr>
        <w:tabs>
          <w:tab w:val="left" w:pos="-566"/>
          <w:tab w:val="left" w:pos="-283"/>
        </w:tabs>
        <w:spacing w:line="240" w:lineRule="auto"/>
        <w:jc w:val="both"/>
        <w:rPr>
          <w:color w:val="000000"/>
          <w:szCs w:val="22"/>
        </w:rPr>
      </w:pPr>
      <w:r w:rsidRPr="00231E54">
        <w:rPr>
          <w:color w:val="000000"/>
          <w:szCs w:val="22"/>
        </w:rPr>
        <w:t>Šis netipiskais farmakoloģiskais profils var izskaidrot amisulprīda antipsihotisko iedarbību, ko pastarpina postsinaptisko dopamīna receptoru blokāde pēc lielāko devu lietošanas, kā arī efektivitāti pret negatīvajiem simptomiem, ko pastarpina presinaptisko dopamīna receptoru blokāde pēc mazāko devu lietošanas. Turklāt vājākā amisulprīda tendence izraisīt nevēlamas ekstrapiramidāla rakstura blakusparādības var būt saistīta ar amisulprīda izteiktāko aktivitāti limbiskajās struktūrās.</w:t>
      </w:r>
    </w:p>
    <w:p w14:paraId="39575B22" w14:textId="77777777" w:rsidR="00F75EAB" w:rsidRPr="00231E54" w:rsidRDefault="00F75EAB" w:rsidP="00C40768">
      <w:pPr>
        <w:spacing w:line="240" w:lineRule="auto"/>
        <w:jc w:val="both"/>
        <w:rPr>
          <w:bCs/>
          <w:iCs/>
          <w:color w:val="000000"/>
          <w:szCs w:val="22"/>
        </w:rPr>
      </w:pPr>
    </w:p>
    <w:p w14:paraId="674FFA25" w14:textId="77777777" w:rsidR="00F75EAB" w:rsidRPr="00231E54" w:rsidRDefault="00F75EAB" w:rsidP="00C40768">
      <w:pPr>
        <w:tabs>
          <w:tab w:val="clear" w:pos="567"/>
        </w:tabs>
        <w:spacing w:line="240" w:lineRule="auto"/>
        <w:jc w:val="both"/>
        <w:rPr>
          <w:b/>
          <w:color w:val="000000"/>
        </w:rPr>
      </w:pPr>
      <w:r w:rsidRPr="00231E54">
        <w:rPr>
          <w:b/>
          <w:color w:val="000000"/>
        </w:rPr>
        <w:t>5.2.</w:t>
      </w:r>
      <w:r w:rsidRPr="00231E54">
        <w:rPr>
          <w:b/>
          <w:color w:val="000000"/>
        </w:rPr>
        <w:tab/>
        <w:t>Farmakokinētiskās īpašības</w:t>
      </w:r>
    </w:p>
    <w:p w14:paraId="023C52A2" w14:textId="77777777" w:rsidR="00964FCB" w:rsidRPr="00231E54" w:rsidRDefault="00964FCB" w:rsidP="00C40768">
      <w:pPr>
        <w:tabs>
          <w:tab w:val="clear" w:pos="567"/>
        </w:tabs>
        <w:spacing w:line="240" w:lineRule="auto"/>
        <w:jc w:val="both"/>
        <w:rPr>
          <w:color w:val="000000"/>
        </w:rPr>
      </w:pPr>
    </w:p>
    <w:p w14:paraId="5F3AC79F" w14:textId="77777777" w:rsidR="00DC037F" w:rsidRPr="00231E54" w:rsidRDefault="00DC037F" w:rsidP="00C40768">
      <w:pPr>
        <w:tabs>
          <w:tab w:val="clear" w:pos="567"/>
        </w:tabs>
        <w:spacing w:line="240" w:lineRule="auto"/>
        <w:jc w:val="both"/>
        <w:rPr>
          <w:color w:val="000000"/>
        </w:rPr>
      </w:pPr>
      <w:r w:rsidRPr="00231E54">
        <w:rPr>
          <w:color w:val="000000"/>
        </w:rPr>
        <w:t>Cilvēka organismā amisulprīdam pēc iekšķīgas lietošanas ir divi uzsūkšanās maksimumi: viens tiek sasniegts ātri, vienas stundas laikā pēc devas lietošanas, un otrs starp 3. un 4. stundu pēc lietošanas. Atbilstošā koncentrācija plazmā pēc 50 mg devas lietošanas ir 39 ± 3 un 54 ± 4 ng/ml.</w:t>
      </w:r>
    </w:p>
    <w:p w14:paraId="6D09167F" w14:textId="77777777" w:rsidR="00DC037F" w:rsidRPr="00231E54" w:rsidRDefault="00DC037F" w:rsidP="00C40768">
      <w:pPr>
        <w:tabs>
          <w:tab w:val="clear" w:pos="567"/>
        </w:tabs>
        <w:spacing w:line="240" w:lineRule="auto"/>
        <w:jc w:val="both"/>
        <w:rPr>
          <w:color w:val="000000"/>
        </w:rPr>
      </w:pPr>
    </w:p>
    <w:p w14:paraId="10B10106" w14:textId="77777777" w:rsidR="00DC037F" w:rsidRPr="00231E54" w:rsidRDefault="00DC037F" w:rsidP="00C40768">
      <w:pPr>
        <w:tabs>
          <w:tab w:val="clear" w:pos="567"/>
        </w:tabs>
        <w:spacing w:line="240" w:lineRule="auto"/>
        <w:jc w:val="both"/>
        <w:rPr>
          <w:color w:val="000000"/>
        </w:rPr>
      </w:pPr>
      <w:r w:rsidRPr="00231E54">
        <w:rPr>
          <w:color w:val="000000"/>
        </w:rPr>
        <w:t>Izkliedes tilpums ir 5,8 1/kg. Tā kā saistīšanās ar plazmas olbaltumvielām ir vāja (16 %), zāļu mijiedarbība nav raksturīga.</w:t>
      </w:r>
    </w:p>
    <w:p w14:paraId="7180F275" w14:textId="77777777" w:rsidR="00DC037F" w:rsidRPr="00231E54" w:rsidRDefault="00DC037F" w:rsidP="00C40768">
      <w:pPr>
        <w:tabs>
          <w:tab w:val="clear" w:pos="567"/>
        </w:tabs>
        <w:spacing w:line="240" w:lineRule="auto"/>
        <w:jc w:val="both"/>
        <w:rPr>
          <w:color w:val="000000"/>
        </w:rPr>
      </w:pPr>
    </w:p>
    <w:p w14:paraId="7AE263F1" w14:textId="77777777" w:rsidR="00DC037F" w:rsidRPr="00231E54" w:rsidRDefault="00DC037F" w:rsidP="00C40768">
      <w:pPr>
        <w:tabs>
          <w:tab w:val="clear" w:pos="567"/>
        </w:tabs>
        <w:spacing w:line="240" w:lineRule="auto"/>
        <w:jc w:val="both"/>
        <w:rPr>
          <w:color w:val="000000"/>
        </w:rPr>
      </w:pPr>
      <w:r w:rsidRPr="00231E54">
        <w:rPr>
          <w:color w:val="000000"/>
        </w:rPr>
        <w:t>Absolūtā biopieejamība ir 48 %.</w:t>
      </w:r>
    </w:p>
    <w:p w14:paraId="5A21150D" w14:textId="77777777" w:rsidR="00DC037F" w:rsidRPr="00231E54" w:rsidRDefault="00DC037F" w:rsidP="00C40768">
      <w:pPr>
        <w:tabs>
          <w:tab w:val="clear" w:pos="567"/>
        </w:tabs>
        <w:spacing w:line="240" w:lineRule="auto"/>
        <w:jc w:val="both"/>
        <w:rPr>
          <w:color w:val="000000"/>
        </w:rPr>
      </w:pPr>
    </w:p>
    <w:p w14:paraId="42318158" w14:textId="77777777" w:rsidR="00DC037F" w:rsidRPr="00231E54" w:rsidRDefault="00DC037F" w:rsidP="00C40768">
      <w:pPr>
        <w:tabs>
          <w:tab w:val="clear" w:pos="567"/>
        </w:tabs>
        <w:spacing w:line="240" w:lineRule="auto"/>
        <w:jc w:val="both"/>
        <w:rPr>
          <w:color w:val="000000"/>
        </w:rPr>
      </w:pPr>
      <w:r w:rsidRPr="00231E54">
        <w:rPr>
          <w:color w:val="000000"/>
        </w:rPr>
        <w:t>Amisulprīds tiek vāji metabolizēts: konstatēti divi neaktīvi metabolīti, kas veido aptuveni 4 % no devas. Amisulprīds neuzkrājas</w:t>
      </w:r>
      <w:r w:rsidR="000E6819" w:rsidRPr="00231E54">
        <w:rPr>
          <w:color w:val="000000"/>
        </w:rPr>
        <w:t>,</w:t>
      </w:r>
      <w:r w:rsidRPr="00231E54">
        <w:rPr>
          <w:color w:val="000000"/>
        </w:rPr>
        <w:t xml:space="preserve"> un tā farmakokinētika nemainās pēc atkārtotu devu lietošanas. Amisulprīda eliminācijas pusperiods pēc iekšķīgas devas lietošanas ir aptuveni 12 stundas.</w:t>
      </w:r>
    </w:p>
    <w:p w14:paraId="003BDCD9" w14:textId="77777777" w:rsidR="00DC037F" w:rsidRPr="00231E54" w:rsidRDefault="00DC037F" w:rsidP="00C40768">
      <w:pPr>
        <w:tabs>
          <w:tab w:val="clear" w:pos="567"/>
        </w:tabs>
        <w:spacing w:line="240" w:lineRule="auto"/>
        <w:jc w:val="both"/>
        <w:rPr>
          <w:color w:val="000000"/>
        </w:rPr>
      </w:pPr>
    </w:p>
    <w:p w14:paraId="13941613" w14:textId="77777777" w:rsidR="00DC037F" w:rsidRPr="00231E54" w:rsidRDefault="00DC037F" w:rsidP="00C40768">
      <w:pPr>
        <w:tabs>
          <w:tab w:val="clear" w:pos="567"/>
        </w:tabs>
        <w:spacing w:line="240" w:lineRule="auto"/>
        <w:jc w:val="both"/>
        <w:rPr>
          <w:color w:val="000000"/>
        </w:rPr>
      </w:pPr>
      <w:r w:rsidRPr="00231E54">
        <w:rPr>
          <w:color w:val="000000"/>
        </w:rPr>
        <w:t>Amisulprīds izdalās nemainītā veidā ar urīnu. Piecdesmit procenti no intravenozi ievadītas devas izdalās ar urīnu, no tiem 90 % izdalās pirmo 24 stundu laikā. Nieru klīrenss ir 20 l/stundā jeb 330 ml/min.</w:t>
      </w:r>
    </w:p>
    <w:p w14:paraId="331F94F2" w14:textId="77777777" w:rsidR="00DC037F" w:rsidRPr="00231E54" w:rsidRDefault="00DC037F" w:rsidP="00C40768">
      <w:pPr>
        <w:tabs>
          <w:tab w:val="clear" w:pos="567"/>
        </w:tabs>
        <w:spacing w:line="240" w:lineRule="auto"/>
        <w:jc w:val="both"/>
        <w:rPr>
          <w:color w:val="000000"/>
        </w:rPr>
      </w:pPr>
    </w:p>
    <w:p w14:paraId="5DA1D90B" w14:textId="77777777" w:rsidR="00DC037F" w:rsidRPr="00231E54" w:rsidRDefault="00DC037F" w:rsidP="00C40768">
      <w:pPr>
        <w:tabs>
          <w:tab w:val="clear" w:pos="567"/>
        </w:tabs>
        <w:spacing w:line="240" w:lineRule="auto"/>
        <w:jc w:val="both"/>
        <w:rPr>
          <w:color w:val="000000"/>
        </w:rPr>
      </w:pPr>
      <w:r w:rsidRPr="00231E54">
        <w:rPr>
          <w:color w:val="000000"/>
        </w:rPr>
        <w:t>Ar ogļhidrātiem bagāta maltīte (kas satur 68 % šķidruma) nozīmīgi samazina amisulprīda AUC, T</w:t>
      </w:r>
      <w:r w:rsidRPr="00231E54">
        <w:rPr>
          <w:color w:val="000000"/>
          <w:vertAlign w:val="subscript"/>
        </w:rPr>
        <w:t>max</w:t>
      </w:r>
      <w:r w:rsidRPr="00231E54">
        <w:rPr>
          <w:color w:val="000000"/>
        </w:rPr>
        <w:t xml:space="preserve"> un C</w:t>
      </w:r>
      <w:r w:rsidRPr="00231E54">
        <w:rPr>
          <w:color w:val="000000"/>
          <w:vertAlign w:val="subscript"/>
        </w:rPr>
        <w:t>max</w:t>
      </w:r>
      <w:r w:rsidRPr="00231E54">
        <w:rPr>
          <w:color w:val="000000"/>
        </w:rPr>
        <w:t>, bet pēc treknas maltītes farmakokinētikas pārmaiņas nenovēroja. Tomēr šo datu nozīme ikdienas klīniskai lietošanai nav zināma.</w:t>
      </w:r>
    </w:p>
    <w:p w14:paraId="251051D7" w14:textId="77777777" w:rsidR="00DC037F" w:rsidRPr="00231E54" w:rsidRDefault="00DC037F" w:rsidP="00C40768">
      <w:pPr>
        <w:tabs>
          <w:tab w:val="clear" w:pos="567"/>
        </w:tabs>
        <w:spacing w:line="240" w:lineRule="auto"/>
        <w:jc w:val="both"/>
        <w:rPr>
          <w:color w:val="000000"/>
        </w:rPr>
      </w:pPr>
    </w:p>
    <w:p w14:paraId="7E206C95" w14:textId="77777777" w:rsidR="00DC037F" w:rsidRPr="00231E54" w:rsidRDefault="00DC037F" w:rsidP="00C40768">
      <w:pPr>
        <w:tabs>
          <w:tab w:val="clear" w:pos="567"/>
        </w:tabs>
        <w:spacing w:line="240" w:lineRule="auto"/>
        <w:jc w:val="both"/>
        <w:rPr>
          <w:color w:val="000000"/>
          <w:u w:val="single"/>
        </w:rPr>
      </w:pPr>
      <w:r w:rsidRPr="00231E54">
        <w:rPr>
          <w:color w:val="000000"/>
          <w:u w:val="single"/>
        </w:rPr>
        <w:t>Aknu mazspēja</w:t>
      </w:r>
    </w:p>
    <w:p w14:paraId="3CF29B45" w14:textId="77777777" w:rsidR="00DC037F" w:rsidRPr="00231E54" w:rsidRDefault="00DC037F" w:rsidP="00C40768">
      <w:pPr>
        <w:tabs>
          <w:tab w:val="clear" w:pos="567"/>
        </w:tabs>
        <w:spacing w:line="240" w:lineRule="auto"/>
        <w:jc w:val="both"/>
        <w:rPr>
          <w:color w:val="000000"/>
        </w:rPr>
      </w:pPr>
      <w:r w:rsidRPr="00231E54">
        <w:rPr>
          <w:color w:val="000000"/>
        </w:rPr>
        <w:t>Tā kā zāles tiek vāji metabolizētas, pacientiem ar aknu mazspēju deva nav jāsamazina.</w:t>
      </w:r>
    </w:p>
    <w:p w14:paraId="423B8BBF" w14:textId="77777777" w:rsidR="00DC037F" w:rsidRPr="00231E54" w:rsidRDefault="00DC037F" w:rsidP="00C40768">
      <w:pPr>
        <w:tabs>
          <w:tab w:val="clear" w:pos="567"/>
        </w:tabs>
        <w:spacing w:line="240" w:lineRule="auto"/>
        <w:jc w:val="both"/>
        <w:rPr>
          <w:color w:val="000000"/>
        </w:rPr>
      </w:pPr>
    </w:p>
    <w:p w14:paraId="016CE486" w14:textId="77777777" w:rsidR="00DC037F" w:rsidRPr="00231E54" w:rsidRDefault="00DC037F" w:rsidP="00C40768">
      <w:pPr>
        <w:tabs>
          <w:tab w:val="clear" w:pos="567"/>
        </w:tabs>
        <w:spacing w:line="240" w:lineRule="auto"/>
        <w:jc w:val="both"/>
        <w:rPr>
          <w:color w:val="000000"/>
          <w:u w:val="single"/>
        </w:rPr>
      </w:pPr>
      <w:r w:rsidRPr="00231E54">
        <w:rPr>
          <w:color w:val="000000"/>
          <w:u w:val="single"/>
        </w:rPr>
        <w:t>Nieru mazspēja</w:t>
      </w:r>
    </w:p>
    <w:p w14:paraId="49879CC1" w14:textId="77777777" w:rsidR="00DC037F" w:rsidRPr="00231E54" w:rsidRDefault="00DC037F" w:rsidP="00C40768">
      <w:pPr>
        <w:tabs>
          <w:tab w:val="clear" w:pos="567"/>
        </w:tabs>
        <w:spacing w:line="240" w:lineRule="auto"/>
        <w:jc w:val="both"/>
        <w:rPr>
          <w:color w:val="000000"/>
        </w:rPr>
      </w:pPr>
      <w:r w:rsidRPr="00231E54">
        <w:rPr>
          <w:color w:val="000000"/>
        </w:rPr>
        <w:t>Pacientiem ar nieru mazspēju eliminācijas pusperiods nemainās, tomēr sistēmiskais klīrenss ir samazināts 2,5 līdz 3 reizes. Amisulprīda AUC vieglas nieru mazspējas gadījumā palielinājās 2 reizes un gandrīz 10 reizes vidēji smagas nieru mazspējas gadījumā (skatīt 4.2. apakšpunktu). Pieredze ir ierobežota</w:t>
      </w:r>
      <w:r w:rsidR="00D62B00" w:rsidRPr="00231E54">
        <w:rPr>
          <w:color w:val="000000"/>
        </w:rPr>
        <w:t>,</w:t>
      </w:r>
      <w:r w:rsidRPr="00231E54">
        <w:rPr>
          <w:color w:val="000000"/>
        </w:rPr>
        <w:t xml:space="preserve"> un nav datu par devām, kas lielākas par 50mg.</w:t>
      </w:r>
    </w:p>
    <w:p w14:paraId="72957B2B" w14:textId="77777777" w:rsidR="00DC037F" w:rsidRPr="00231E54" w:rsidRDefault="00DC037F" w:rsidP="00C40768">
      <w:pPr>
        <w:tabs>
          <w:tab w:val="clear" w:pos="567"/>
        </w:tabs>
        <w:spacing w:line="240" w:lineRule="auto"/>
        <w:jc w:val="both"/>
        <w:rPr>
          <w:color w:val="000000"/>
        </w:rPr>
      </w:pPr>
    </w:p>
    <w:p w14:paraId="6BA30ADE" w14:textId="77777777" w:rsidR="00DC037F" w:rsidRPr="00231E54" w:rsidRDefault="00DC037F" w:rsidP="00C40768">
      <w:pPr>
        <w:tabs>
          <w:tab w:val="clear" w:pos="567"/>
        </w:tabs>
        <w:spacing w:line="240" w:lineRule="auto"/>
        <w:jc w:val="both"/>
        <w:rPr>
          <w:color w:val="000000"/>
        </w:rPr>
      </w:pPr>
      <w:r w:rsidRPr="00231E54">
        <w:rPr>
          <w:color w:val="000000"/>
        </w:rPr>
        <w:lastRenderedPageBreak/>
        <w:t>Amisulprīds ir ļoti slikti dializējams.</w:t>
      </w:r>
    </w:p>
    <w:p w14:paraId="68E4D65D" w14:textId="77777777" w:rsidR="00DC037F" w:rsidRPr="00231E54" w:rsidRDefault="00DC037F" w:rsidP="00C40768">
      <w:pPr>
        <w:tabs>
          <w:tab w:val="clear" w:pos="567"/>
        </w:tabs>
        <w:spacing w:line="240" w:lineRule="auto"/>
        <w:jc w:val="both"/>
        <w:rPr>
          <w:color w:val="000000"/>
        </w:rPr>
      </w:pPr>
    </w:p>
    <w:p w14:paraId="2E00A765" w14:textId="77777777" w:rsidR="00DC037F" w:rsidRPr="00231E54" w:rsidRDefault="00DC037F" w:rsidP="00C40768">
      <w:pPr>
        <w:tabs>
          <w:tab w:val="clear" w:pos="567"/>
        </w:tabs>
        <w:spacing w:line="240" w:lineRule="auto"/>
        <w:jc w:val="both"/>
        <w:rPr>
          <w:color w:val="000000"/>
          <w:u w:val="single"/>
        </w:rPr>
      </w:pPr>
      <w:r w:rsidRPr="00231E54">
        <w:rPr>
          <w:color w:val="000000"/>
          <w:u w:val="single"/>
        </w:rPr>
        <w:t>Gados vecāki pacienti</w:t>
      </w:r>
    </w:p>
    <w:p w14:paraId="6A229FF6" w14:textId="77777777" w:rsidR="00DC037F" w:rsidRPr="00231E54" w:rsidRDefault="00DC037F" w:rsidP="00C40768">
      <w:pPr>
        <w:tabs>
          <w:tab w:val="clear" w:pos="567"/>
        </w:tabs>
        <w:spacing w:line="240" w:lineRule="auto"/>
        <w:jc w:val="both"/>
        <w:rPr>
          <w:color w:val="000000"/>
          <w:szCs w:val="22"/>
        </w:rPr>
      </w:pPr>
      <w:r w:rsidRPr="00231E54">
        <w:rPr>
          <w:color w:val="000000"/>
        </w:rPr>
        <w:t>Ierobežoti farmakokinētiskie dati gados vecākiem cilvēkiem (&gt; 65 gadi) liecina, ka pēc vienreizējas 50 mg devas lietošanas C</w:t>
      </w:r>
      <w:r w:rsidRPr="00231E54">
        <w:rPr>
          <w:color w:val="000000"/>
          <w:vertAlign w:val="subscript"/>
        </w:rPr>
        <w:t>max</w:t>
      </w:r>
      <w:r w:rsidRPr="00231E54">
        <w:rPr>
          <w:color w:val="000000"/>
        </w:rPr>
        <w:t>, T</w:t>
      </w:r>
      <w:r w:rsidRPr="00231E54">
        <w:rPr>
          <w:color w:val="000000"/>
          <w:vertAlign w:val="subscript"/>
        </w:rPr>
        <w:t xml:space="preserve">½ </w:t>
      </w:r>
      <w:r w:rsidRPr="00231E54">
        <w:rPr>
          <w:color w:val="000000"/>
        </w:rPr>
        <w:t>un AUC palielinājās par 10 – 30 %. Nav datu par atkārtotu lietošanu.</w:t>
      </w:r>
    </w:p>
    <w:p w14:paraId="4D5F8B24" w14:textId="77777777" w:rsidR="00F75EAB" w:rsidRPr="00231E54" w:rsidRDefault="00F75EAB" w:rsidP="00C40768">
      <w:pPr>
        <w:spacing w:line="240" w:lineRule="auto"/>
        <w:jc w:val="both"/>
        <w:rPr>
          <w:color w:val="000000"/>
        </w:rPr>
      </w:pPr>
    </w:p>
    <w:p w14:paraId="6569B7B2" w14:textId="77777777" w:rsidR="00F75EAB" w:rsidRPr="00231E54" w:rsidRDefault="00F75EAB" w:rsidP="00C40768">
      <w:pPr>
        <w:tabs>
          <w:tab w:val="clear" w:pos="567"/>
        </w:tabs>
        <w:spacing w:line="240" w:lineRule="auto"/>
        <w:jc w:val="both"/>
        <w:rPr>
          <w:color w:val="000000"/>
        </w:rPr>
      </w:pPr>
      <w:r w:rsidRPr="00231E54">
        <w:rPr>
          <w:b/>
          <w:color w:val="000000"/>
        </w:rPr>
        <w:t>5.3.</w:t>
      </w:r>
      <w:r w:rsidRPr="00231E54">
        <w:rPr>
          <w:b/>
          <w:color w:val="000000"/>
        </w:rPr>
        <w:tab/>
        <w:t>Preklīniskie dati par drošumu</w:t>
      </w:r>
    </w:p>
    <w:p w14:paraId="23B91CC7" w14:textId="77777777" w:rsidR="00964FCB" w:rsidRPr="00231E54" w:rsidRDefault="00964FCB" w:rsidP="00C40768">
      <w:pPr>
        <w:tabs>
          <w:tab w:val="left" w:pos="-566"/>
          <w:tab w:val="left" w:pos="-283"/>
          <w:tab w:val="left" w:pos="4536"/>
        </w:tabs>
        <w:spacing w:line="240" w:lineRule="auto"/>
        <w:jc w:val="both"/>
        <w:rPr>
          <w:rFonts w:eastAsia="Calibri"/>
          <w:color w:val="000000"/>
          <w:szCs w:val="22"/>
        </w:rPr>
      </w:pPr>
    </w:p>
    <w:p w14:paraId="0F91D477" w14:textId="77777777" w:rsidR="008E1753" w:rsidRPr="00231E54" w:rsidRDefault="008E1753" w:rsidP="00C40768">
      <w:pPr>
        <w:tabs>
          <w:tab w:val="left" w:pos="-566"/>
          <w:tab w:val="left" w:pos="-283"/>
          <w:tab w:val="left" w:pos="4536"/>
        </w:tabs>
        <w:spacing w:line="240" w:lineRule="auto"/>
        <w:jc w:val="both"/>
        <w:rPr>
          <w:color w:val="000000"/>
          <w:szCs w:val="22"/>
        </w:rPr>
      </w:pPr>
      <w:r w:rsidRPr="00231E54">
        <w:rPr>
          <w:rFonts w:eastAsia="Calibri"/>
          <w:color w:val="000000"/>
          <w:szCs w:val="22"/>
        </w:rPr>
        <w:t xml:space="preserve">Pabeigto drošuma pētījumu pārskats liecina, ka </w:t>
      </w:r>
      <w:r w:rsidR="00964FCB" w:rsidRPr="00231E54">
        <w:rPr>
          <w:color w:val="000000"/>
        </w:rPr>
        <w:t xml:space="preserve">amisulprīds </w:t>
      </w:r>
      <w:r w:rsidRPr="00231E54">
        <w:rPr>
          <w:rFonts w:eastAsia="Calibri"/>
          <w:color w:val="000000"/>
          <w:szCs w:val="22"/>
        </w:rPr>
        <w:t>nerada vispārēju, orgāniem specifisku, teratogēnu, mutagēnu vai kancerogēnu risku. Pārmaiņas, kas novērotas žurkām un suņiem, lietojot devas, kas nepārsniedz maksimālo panesamo devu, ir zāļu farmakoloģiskā iedarbība vai tām nav būtiskas toksikoloģiskas nozīmes ša</w:t>
      </w:r>
      <w:r w:rsidR="00AF7779" w:rsidRPr="00231E54">
        <w:rPr>
          <w:rFonts w:eastAsia="Calibri"/>
          <w:color w:val="000000"/>
          <w:szCs w:val="22"/>
        </w:rPr>
        <w:t>jos</w:t>
      </w:r>
      <w:r w:rsidRPr="00231E54">
        <w:rPr>
          <w:rFonts w:eastAsia="Calibri"/>
          <w:color w:val="000000"/>
          <w:szCs w:val="22"/>
        </w:rPr>
        <w:t xml:space="preserve"> apstākļos. Salīdzinot ar maksimālo ieteicamo devu cilvēkam, maksimālā panesamā deva žurkām (200 mg/kg dienā) un suņiem (120 mg/kg dienā) ir attiecīgi 2 un 7 reizes lielāka, vērtējot pēc AUC. Lietojot pelēm līdz par 120 mg/kg dienā lielas devas un žurkām līdz par 240 mg/kg lielas devas, kuru atbilstošais AUC žurkām bija 1,5 - 4,5 reizes lielāks nekā cilvēkam paredzamais AUC, neatklāja cilvēkam nozīmīgu kancerogēnu risku.</w:t>
      </w:r>
      <w:r w:rsidRPr="00231E54">
        <w:rPr>
          <w:color w:val="000000"/>
          <w:szCs w:val="22"/>
        </w:rPr>
        <w:t xml:space="preserve"> Ar žurkām, trušiem un pelēm veikto reproduktivitātes pētījumu laikā nekāda teratogēna iedarbība nav konstatēta.</w:t>
      </w:r>
    </w:p>
    <w:p w14:paraId="6890885C" w14:textId="77777777" w:rsidR="00F75EAB" w:rsidRPr="00231E54" w:rsidRDefault="00F75EAB" w:rsidP="00C40768">
      <w:pPr>
        <w:tabs>
          <w:tab w:val="clear" w:pos="567"/>
        </w:tabs>
        <w:spacing w:line="240" w:lineRule="auto"/>
        <w:jc w:val="both"/>
        <w:rPr>
          <w:color w:val="000000"/>
        </w:rPr>
      </w:pPr>
    </w:p>
    <w:p w14:paraId="0BCC14EE" w14:textId="77777777" w:rsidR="00CD0119" w:rsidRPr="00231E54" w:rsidRDefault="00CD0119" w:rsidP="00C40768">
      <w:pPr>
        <w:tabs>
          <w:tab w:val="left" w:pos="-566"/>
          <w:tab w:val="left" w:pos="-283"/>
          <w:tab w:val="left" w:pos="4536"/>
        </w:tabs>
        <w:spacing w:line="240" w:lineRule="auto"/>
        <w:jc w:val="both"/>
        <w:rPr>
          <w:color w:val="000000"/>
          <w:spacing w:val="1"/>
          <w:szCs w:val="22"/>
        </w:rPr>
      </w:pPr>
      <w:r w:rsidRPr="00231E54">
        <w:rPr>
          <w:color w:val="000000"/>
          <w:spacing w:val="1"/>
          <w:szCs w:val="22"/>
        </w:rPr>
        <w:t xml:space="preserve">Pētījumos ar dzīvniekiem </w:t>
      </w:r>
      <w:r w:rsidRPr="00231E54">
        <w:rPr>
          <w:color w:val="000000"/>
          <w:spacing w:val="1"/>
        </w:rPr>
        <w:t>novērota</w:t>
      </w:r>
      <w:r w:rsidRPr="00231E54">
        <w:rPr>
          <w:color w:val="000000"/>
          <w:spacing w:val="1"/>
          <w:szCs w:val="22"/>
        </w:rPr>
        <w:t xml:space="preserve"> </w:t>
      </w:r>
      <w:r w:rsidRPr="00231E54">
        <w:rPr>
          <w:color w:val="000000"/>
          <w:spacing w:val="1"/>
        </w:rPr>
        <w:t xml:space="preserve">amisulprīda </w:t>
      </w:r>
      <w:r w:rsidRPr="00231E54">
        <w:rPr>
          <w:color w:val="000000"/>
          <w:spacing w:val="1"/>
          <w:szCs w:val="22"/>
        </w:rPr>
        <w:t>ietekme uz augļa augšanu un attīstību, lietojot devas, kas atbilst cilvēkam līdzvērtīgai devai 2</w:t>
      </w:r>
      <w:r w:rsidRPr="00231E54">
        <w:rPr>
          <w:color w:val="000000"/>
          <w:spacing w:val="1"/>
        </w:rPr>
        <w:t xml:space="preserve"> </w:t>
      </w:r>
      <w:r w:rsidRPr="00231E54">
        <w:rPr>
          <w:color w:val="000000"/>
          <w:spacing w:val="1"/>
          <w:szCs w:val="22"/>
        </w:rPr>
        <w:t>000</w:t>
      </w:r>
      <w:r w:rsidRPr="00231E54">
        <w:rPr>
          <w:color w:val="000000"/>
          <w:spacing w:val="1"/>
        </w:rPr>
        <w:t xml:space="preserve"> </w:t>
      </w:r>
      <w:r w:rsidRPr="00231E54">
        <w:rPr>
          <w:color w:val="000000"/>
          <w:spacing w:val="1"/>
          <w:szCs w:val="22"/>
        </w:rPr>
        <w:t>mg/dienā un vairāk pacientam ar 50</w:t>
      </w:r>
      <w:r w:rsidRPr="00231E54">
        <w:rPr>
          <w:color w:val="000000"/>
          <w:spacing w:val="1"/>
        </w:rPr>
        <w:t xml:space="preserve"> </w:t>
      </w:r>
      <w:r w:rsidRPr="00231E54">
        <w:rPr>
          <w:color w:val="000000"/>
          <w:spacing w:val="1"/>
          <w:szCs w:val="22"/>
        </w:rPr>
        <w:t>kg ķermeņa masu. Nav pierādījumu par amisulprīda teratogēno potenciālu. Pētījumi par amisulprīda ietekmi uz pēcnācēju uzvedību nav veikti.</w:t>
      </w:r>
    </w:p>
    <w:p w14:paraId="2F4BAA54" w14:textId="77777777" w:rsidR="00964FCB" w:rsidRPr="00231E54" w:rsidRDefault="00964FCB" w:rsidP="00C40768">
      <w:pPr>
        <w:tabs>
          <w:tab w:val="clear" w:pos="567"/>
        </w:tabs>
        <w:spacing w:line="240" w:lineRule="auto"/>
        <w:jc w:val="both"/>
        <w:rPr>
          <w:color w:val="000000"/>
        </w:rPr>
      </w:pPr>
    </w:p>
    <w:p w14:paraId="04D23761" w14:textId="77777777" w:rsidR="00CD0119" w:rsidRPr="00231E54" w:rsidRDefault="00CD0119" w:rsidP="00C40768">
      <w:pPr>
        <w:tabs>
          <w:tab w:val="clear" w:pos="567"/>
        </w:tabs>
        <w:spacing w:line="240" w:lineRule="auto"/>
        <w:jc w:val="both"/>
        <w:rPr>
          <w:color w:val="000000"/>
        </w:rPr>
      </w:pPr>
    </w:p>
    <w:p w14:paraId="0FA33612" w14:textId="77777777" w:rsidR="00F75EAB" w:rsidRPr="00231E54" w:rsidRDefault="00F75EAB" w:rsidP="00C40768">
      <w:pPr>
        <w:tabs>
          <w:tab w:val="clear" w:pos="567"/>
        </w:tabs>
        <w:spacing w:line="240" w:lineRule="auto"/>
        <w:jc w:val="both"/>
        <w:rPr>
          <w:b/>
          <w:color w:val="000000"/>
        </w:rPr>
      </w:pPr>
      <w:r w:rsidRPr="00231E54">
        <w:rPr>
          <w:b/>
          <w:color w:val="000000"/>
        </w:rPr>
        <w:t>6.</w:t>
      </w:r>
      <w:r w:rsidRPr="00231E54">
        <w:rPr>
          <w:b/>
          <w:color w:val="000000"/>
        </w:rPr>
        <w:tab/>
        <w:t>FARMACEITISKĀ INFORMĀCIJA</w:t>
      </w:r>
    </w:p>
    <w:p w14:paraId="035DFC00" w14:textId="77777777" w:rsidR="00964FCB" w:rsidRPr="00231E54" w:rsidRDefault="00964FCB" w:rsidP="00C40768">
      <w:pPr>
        <w:tabs>
          <w:tab w:val="clear" w:pos="567"/>
        </w:tabs>
        <w:spacing w:line="240" w:lineRule="auto"/>
        <w:jc w:val="both"/>
        <w:rPr>
          <w:b/>
          <w:color w:val="000000"/>
        </w:rPr>
      </w:pPr>
    </w:p>
    <w:p w14:paraId="47994CF6" w14:textId="77777777" w:rsidR="00F75EAB" w:rsidRPr="00231E54" w:rsidRDefault="00F75EAB" w:rsidP="00C40768">
      <w:pPr>
        <w:tabs>
          <w:tab w:val="clear" w:pos="567"/>
        </w:tabs>
        <w:spacing w:line="240" w:lineRule="auto"/>
        <w:jc w:val="both"/>
        <w:rPr>
          <w:color w:val="000000"/>
        </w:rPr>
      </w:pPr>
      <w:r w:rsidRPr="00231E54">
        <w:rPr>
          <w:b/>
          <w:color w:val="000000"/>
        </w:rPr>
        <w:t>6.1.</w:t>
      </w:r>
      <w:r w:rsidRPr="00231E54">
        <w:rPr>
          <w:b/>
          <w:color w:val="000000"/>
        </w:rPr>
        <w:tab/>
        <w:t>Palīgvielu saraksts</w:t>
      </w:r>
    </w:p>
    <w:p w14:paraId="5F2A65B6" w14:textId="77777777" w:rsidR="00964FCB" w:rsidRPr="00231E54" w:rsidRDefault="00964FCB" w:rsidP="00C40768">
      <w:pPr>
        <w:tabs>
          <w:tab w:val="clear" w:pos="567"/>
        </w:tabs>
        <w:spacing w:line="240" w:lineRule="auto"/>
        <w:jc w:val="both"/>
        <w:rPr>
          <w:color w:val="000000"/>
        </w:rPr>
      </w:pPr>
    </w:p>
    <w:p w14:paraId="788CE9FB" w14:textId="77777777" w:rsidR="00F75EAB" w:rsidRPr="00231E54" w:rsidRDefault="00511160" w:rsidP="00C40768">
      <w:pPr>
        <w:tabs>
          <w:tab w:val="clear" w:pos="567"/>
        </w:tabs>
        <w:spacing w:line="240" w:lineRule="auto"/>
        <w:jc w:val="both"/>
        <w:rPr>
          <w:color w:val="000000"/>
        </w:rPr>
      </w:pPr>
      <w:r w:rsidRPr="00231E54">
        <w:rPr>
          <w:color w:val="000000"/>
        </w:rPr>
        <w:t>Laktozes monohidrāts</w:t>
      </w:r>
    </w:p>
    <w:p w14:paraId="50F92D7B" w14:textId="77777777" w:rsidR="00511160" w:rsidRPr="00231E54" w:rsidRDefault="00511160" w:rsidP="00C40768">
      <w:pPr>
        <w:tabs>
          <w:tab w:val="clear" w:pos="567"/>
        </w:tabs>
        <w:spacing w:line="240" w:lineRule="auto"/>
        <w:jc w:val="both"/>
        <w:rPr>
          <w:color w:val="000000"/>
        </w:rPr>
      </w:pPr>
      <w:r w:rsidRPr="00231E54">
        <w:rPr>
          <w:color w:val="000000"/>
        </w:rPr>
        <w:t>Nātrija cietes glikolāts (A tips)</w:t>
      </w:r>
    </w:p>
    <w:p w14:paraId="0252A5B9" w14:textId="77777777" w:rsidR="00511160" w:rsidRPr="00231E54" w:rsidRDefault="00511160" w:rsidP="00C40768">
      <w:pPr>
        <w:tabs>
          <w:tab w:val="clear" w:pos="567"/>
        </w:tabs>
        <w:spacing w:line="240" w:lineRule="auto"/>
        <w:jc w:val="both"/>
        <w:rPr>
          <w:color w:val="000000"/>
        </w:rPr>
      </w:pPr>
      <w:r w:rsidRPr="00231E54">
        <w:rPr>
          <w:color w:val="000000"/>
        </w:rPr>
        <w:t>Hipromeloze E5</w:t>
      </w:r>
    </w:p>
    <w:p w14:paraId="37AC5C1C" w14:textId="77777777" w:rsidR="00511160" w:rsidRPr="00231E54" w:rsidRDefault="00511160" w:rsidP="00C40768">
      <w:pPr>
        <w:tabs>
          <w:tab w:val="clear" w:pos="567"/>
        </w:tabs>
        <w:spacing w:line="240" w:lineRule="auto"/>
        <w:jc w:val="both"/>
        <w:rPr>
          <w:color w:val="000000"/>
        </w:rPr>
      </w:pPr>
      <w:r w:rsidRPr="00231E54">
        <w:rPr>
          <w:color w:val="000000"/>
        </w:rPr>
        <w:t>Mikrokristāliskā celuloze PH-101</w:t>
      </w:r>
    </w:p>
    <w:p w14:paraId="6A5676F6" w14:textId="77777777" w:rsidR="00511160" w:rsidRPr="00231E54" w:rsidRDefault="00511160" w:rsidP="00C40768">
      <w:pPr>
        <w:tabs>
          <w:tab w:val="clear" w:pos="567"/>
        </w:tabs>
        <w:spacing w:line="240" w:lineRule="auto"/>
        <w:jc w:val="both"/>
        <w:rPr>
          <w:color w:val="000000"/>
        </w:rPr>
      </w:pPr>
      <w:r w:rsidRPr="00231E54">
        <w:rPr>
          <w:color w:val="000000"/>
        </w:rPr>
        <w:t>Magnija stearāts</w:t>
      </w:r>
    </w:p>
    <w:p w14:paraId="121EB594" w14:textId="77777777" w:rsidR="00511160" w:rsidRPr="00231E54" w:rsidRDefault="00511160" w:rsidP="00C40768">
      <w:pPr>
        <w:tabs>
          <w:tab w:val="clear" w:pos="567"/>
        </w:tabs>
        <w:spacing w:line="240" w:lineRule="auto"/>
        <w:jc w:val="both"/>
        <w:rPr>
          <w:color w:val="000000"/>
        </w:rPr>
      </w:pPr>
    </w:p>
    <w:p w14:paraId="3F28AC0F" w14:textId="77777777" w:rsidR="00F75EAB" w:rsidRPr="00231E54" w:rsidRDefault="00F75EAB" w:rsidP="00C40768">
      <w:pPr>
        <w:tabs>
          <w:tab w:val="clear" w:pos="567"/>
        </w:tabs>
        <w:spacing w:line="240" w:lineRule="auto"/>
        <w:jc w:val="both"/>
        <w:rPr>
          <w:color w:val="000000"/>
        </w:rPr>
      </w:pPr>
      <w:r w:rsidRPr="00231E54">
        <w:rPr>
          <w:b/>
          <w:color w:val="000000"/>
        </w:rPr>
        <w:t>6.2.</w:t>
      </w:r>
      <w:r w:rsidRPr="00231E54">
        <w:rPr>
          <w:b/>
          <w:color w:val="000000"/>
        </w:rPr>
        <w:tab/>
        <w:t>Nesaderība</w:t>
      </w:r>
    </w:p>
    <w:p w14:paraId="165D8542" w14:textId="77777777" w:rsidR="00964FCB" w:rsidRPr="00231E54" w:rsidRDefault="00964FCB" w:rsidP="00C40768">
      <w:pPr>
        <w:tabs>
          <w:tab w:val="clear" w:pos="567"/>
        </w:tabs>
        <w:spacing w:line="240" w:lineRule="auto"/>
        <w:jc w:val="both"/>
        <w:rPr>
          <w:color w:val="000000"/>
        </w:rPr>
      </w:pPr>
    </w:p>
    <w:p w14:paraId="1CCDE53C" w14:textId="77777777" w:rsidR="00F75EAB" w:rsidRPr="00231E54" w:rsidRDefault="00F75EAB" w:rsidP="00C40768">
      <w:pPr>
        <w:tabs>
          <w:tab w:val="clear" w:pos="567"/>
        </w:tabs>
        <w:spacing w:line="240" w:lineRule="auto"/>
        <w:jc w:val="both"/>
        <w:rPr>
          <w:color w:val="000000"/>
        </w:rPr>
      </w:pPr>
      <w:r w:rsidRPr="00231E54">
        <w:rPr>
          <w:color w:val="000000"/>
        </w:rPr>
        <w:t>Nav piemērojama.</w:t>
      </w:r>
    </w:p>
    <w:p w14:paraId="21DFE160" w14:textId="77777777" w:rsidR="00F75EAB" w:rsidRPr="00231E54" w:rsidRDefault="00F75EAB" w:rsidP="00C40768">
      <w:pPr>
        <w:tabs>
          <w:tab w:val="clear" w:pos="567"/>
        </w:tabs>
        <w:spacing w:line="240" w:lineRule="auto"/>
        <w:jc w:val="both"/>
        <w:rPr>
          <w:color w:val="000000"/>
        </w:rPr>
      </w:pPr>
    </w:p>
    <w:p w14:paraId="24D5EAA8" w14:textId="77777777" w:rsidR="00F75EAB" w:rsidRPr="00231E54" w:rsidRDefault="00F75EAB" w:rsidP="00C40768">
      <w:pPr>
        <w:tabs>
          <w:tab w:val="clear" w:pos="567"/>
        </w:tabs>
        <w:spacing w:line="240" w:lineRule="auto"/>
        <w:jc w:val="both"/>
        <w:rPr>
          <w:color w:val="000000"/>
        </w:rPr>
      </w:pPr>
      <w:r w:rsidRPr="00231E54">
        <w:rPr>
          <w:b/>
          <w:color w:val="000000"/>
        </w:rPr>
        <w:t>6.3.</w:t>
      </w:r>
      <w:r w:rsidRPr="00231E54">
        <w:rPr>
          <w:b/>
          <w:color w:val="000000"/>
        </w:rPr>
        <w:tab/>
        <w:t>Uzglabāšanas laiks</w:t>
      </w:r>
    </w:p>
    <w:p w14:paraId="3D97ED26" w14:textId="77777777" w:rsidR="00964FCB" w:rsidRPr="00231E54" w:rsidRDefault="00964FCB" w:rsidP="00C40768">
      <w:pPr>
        <w:tabs>
          <w:tab w:val="clear" w:pos="567"/>
        </w:tabs>
        <w:spacing w:line="240" w:lineRule="auto"/>
        <w:jc w:val="both"/>
        <w:rPr>
          <w:color w:val="000000"/>
        </w:rPr>
      </w:pPr>
    </w:p>
    <w:p w14:paraId="0871948A" w14:textId="77777777" w:rsidR="00F75EAB" w:rsidRPr="00231E54" w:rsidRDefault="00511160" w:rsidP="00C40768">
      <w:pPr>
        <w:tabs>
          <w:tab w:val="clear" w:pos="567"/>
        </w:tabs>
        <w:spacing w:line="240" w:lineRule="auto"/>
        <w:jc w:val="both"/>
        <w:rPr>
          <w:color w:val="000000"/>
        </w:rPr>
      </w:pPr>
      <w:r w:rsidRPr="00231E54">
        <w:rPr>
          <w:color w:val="000000"/>
        </w:rPr>
        <w:t>2</w:t>
      </w:r>
      <w:r w:rsidR="00F75EAB" w:rsidRPr="00231E54">
        <w:rPr>
          <w:color w:val="000000"/>
        </w:rPr>
        <w:t xml:space="preserve"> gadi.</w:t>
      </w:r>
    </w:p>
    <w:p w14:paraId="085C1B6C" w14:textId="77777777" w:rsidR="00F75EAB" w:rsidRPr="00231E54" w:rsidRDefault="00F75EAB" w:rsidP="00C40768">
      <w:pPr>
        <w:tabs>
          <w:tab w:val="clear" w:pos="567"/>
        </w:tabs>
        <w:spacing w:line="240" w:lineRule="auto"/>
        <w:jc w:val="both"/>
        <w:rPr>
          <w:color w:val="000000"/>
        </w:rPr>
      </w:pPr>
    </w:p>
    <w:p w14:paraId="5094B4EE" w14:textId="77777777" w:rsidR="00F75EAB" w:rsidRPr="00231E54" w:rsidRDefault="00F75EAB" w:rsidP="00C40768">
      <w:pPr>
        <w:tabs>
          <w:tab w:val="clear" w:pos="567"/>
        </w:tabs>
        <w:spacing w:line="240" w:lineRule="auto"/>
        <w:jc w:val="both"/>
        <w:rPr>
          <w:color w:val="000000"/>
        </w:rPr>
      </w:pPr>
      <w:r w:rsidRPr="00231E54">
        <w:rPr>
          <w:b/>
          <w:color w:val="000000"/>
        </w:rPr>
        <w:t>6.4.</w:t>
      </w:r>
      <w:r w:rsidRPr="00231E54">
        <w:rPr>
          <w:b/>
          <w:color w:val="000000"/>
        </w:rPr>
        <w:tab/>
        <w:t>Īpaši uzglabāšanas nosacījumi</w:t>
      </w:r>
    </w:p>
    <w:p w14:paraId="73EDFF3A" w14:textId="77777777" w:rsidR="00964FCB" w:rsidRPr="00231E54" w:rsidRDefault="00964FCB" w:rsidP="00C40768">
      <w:pPr>
        <w:spacing w:line="240" w:lineRule="auto"/>
        <w:jc w:val="both"/>
        <w:rPr>
          <w:color w:val="000000"/>
          <w:szCs w:val="22"/>
        </w:rPr>
      </w:pPr>
    </w:p>
    <w:p w14:paraId="0C653C13" w14:textId="77777777" w:rsidR="00F75EAB" w:rsidRPr="00231E54" w:rsidRDefault="00F75EAB" w:rsidP="00C40768">
      <w:pPr>
        <w:spacing w:line="240" w:lineRule="auto"/>
        <w:jc w:val="both"/>
        <w:rPr>
          <w:color w:val="000000"/>
          <w:szCs w:val="22"/>
        </w:rPr>
      </w:pPr>
      <w:r w:rsidRPr="00231E54">
        <w:rPr>
          <w:color w:val="000000"/>
          <w:szCs w:val="22"/>
        </w:rPr>
        <w:t>Zālēm nav nepieciešami īpaši uzglabāšanas apstākļi.</w:t>
      </w:r>
    </w:p>
    <w:p w14:paraId="22BE5CE0" w14:textId="77777777" w:rsidR="00F75EAB" w:rsidRPr="00231E54" w:rsidRDefault="00F75EAB" w:rsidP="00C40768">
      <w:pPr>
        <w:spacing w:line="240" w:lineRule="auto"/>
        <w:jc w:val="both"/>
        <w:rPr>
          <w:i/>
          <w:iCs/>
          <w:color w:val="000000"/>
        </w:rPr>
      </w:pPr>
    </w:p>
    <w:p w14:paraId="7BFDCB26" w14:textId="77777777" w:rsidR="00F75EAB" w:rsidRPr="00231E54" w:rsidRDefault="00F75EAB" w:rsidP="00C40768">
      <w:pPr>
        <w:tabs>
          <w:tab w:val="clear" w:pos="567"/>
        </w:tabs>
        <w:spacing w:line="240" w:lineRule="auto"/>
        <w:jc w:val="both"/>
        <w:rPr>
          <w:color w:val="000000"/>
        </w:rPr>
      </w:pPr>
      <w:r w:rsidRPr="00231E54">
        <w:rPr>
          <w:b/>
          <w:color w:val="000000"/>
        </w:rPr>
        <w:t>6.5.</w:t>
      </w:r>
      <w:r w:rsidRPr="00231E54">
        <w:rPr>
          <w:b/>
          <w:color w:val="000000"/>
        </w:rPr>
        <w:tab/>
        <w:t>Iepakojuma veids un saturs</w:t>
      </w:r>
    </w:p>
    <w:p w14:paraId="52675F79" w14:textId="77777777" w:rsidR="00F75EAB" w:rsidRPr="00231E54" w:rsidRDefault="00511160" w:rsidP="00C40768">
      <w:pPr>
        <w:tabs>
          <w:tab w:val="clear" w:pos="567"/>
        </w:tabs>
        <w:spacing w:line="240" w:lineRule="auto"/>
        <w:jc w:val="both"/>
        <w:rPr>
          <w:color w:val="000000"/>
        </w:rPr>
      </w:pPr>
      <w:r w:rsidRPr="00231E54">
        <w:rPr>
          <w:color w:val="000000"/>
        </w:rPr>
        <w:t>PVH/PE/PVDH-Al blisteri vai PVH/PVDH-Al blisteri. Iepakojumā 30, 60 un 90 tabletes.</w:t>
      </w:r>
    </w:p>
    <w:p w14:paraId="62C689BC" w14:textId="77777777" w:rsidR="00511160" w:rsidRPr="00231E54" w:rsidRDefault="00511160" w:rsidP="00C40768">
      <w:pPr>
        <w:tabs>
          <w:tab w:val="clear" w:pos="567"/>
        </w:tabs>
        <w:spacing w:line="240" w:lineRule="auto"/>
        <w:jc w:val="both"/>
        <w:rPr>
          <w:color w:val="000000"/>
        </w:rPr>
      </w:pPr>
    </w:p>
    <w:p w14:paraId="759ED6E6" w14:textId="77777777" w:rsidR="00F75EAB" w:rsidRPr="00231E54" w:rsidRDefault="00F75EAB" w:rsidP="00C40768">
      <w:pPr>
        <w:tabs>
          <w:tab w:val="clear" w:pos="567"/>
        </w:tabs>
        <w:spacing w:line="240" w:lineRule="auto"/>
        <w:jc w:val="both"/>
        <w:rPr>
          <w:color w:val="000000"/>
        </w:rPr>
      </w:pPr>
      <w:r w:rsidRPr="00231E54">
        <w:rPr>
          <w:color w:val="000000"/>
        </w:rPr>
        <w:t>Visi iepakojuma lielumi tirgū var nebūt pieejami.</w:t>
      </w:r>
    </w:p>
    <w:p w14:paraId="69A71B15" w14:textId="77777777" w:rsidR="00F75EAB" w:rsidRPr="00231E54" w:rsidRDefault="00F75EAB" w:rsidP="00C40768">
      <w:pPr>
        <w:tabs>
          <w:tab w:val="clear" w:pos="567"/>
        </w:tabs>
        <w:spacing w:line="240" w:lineRule="auto"/>
        <w:jc w:val="both"/>
        <w:rPr>
          <w:color w:val="000000"/>
        </w:rPr>
      </w:pPr>
    </w:p>
    <w:p w14:paraId="4AC6D343" w14:textId="77777777" w:rsidR="00F75EAB" w:rsidRPr="00231E54" w:rsidRDefault="00F75EAB" w:rsidP="00C40768">
      <w:pPr>
        <w:tabs>
          <w:tab w:val="clear" w:pos="567"/>
        </w:tabs>
        <w:spacing w:line="240" w:lineRule="auto"/>
        <w:jc w:val="both"/>
        <w:rPr>
          <w:b/>
          <w:color w:val="000000"/>
        </w:rPr>
      </w:pPr>
      <w:r w:rsidRPr="00231E54">
        <w:rPr>
          <w:b/>
          <w:color w:val="000000"/>
        </w:rPr>
        <w:t>6.6.</w:t>
      </w:r>
      <w:r w:rsidRPr="00231E54">
        <w:rPr>
          <w:b/>
          <w:color w:val="000000"/>
        </w:rPr>
        <w:tab/>
        <w:t>Īpaši norādījumi atkritumu likvidēšanai un citi norādījumi par rīkošanos</w:t>
      </w:r>
    </w:p>
    <w:p w14:paraId="48A39AFD" w14:textId="77777777" w:rsidR="00964FCB" w:rsidRPr="00231E54" w:rsidRDefault="00964FCB" w:rsidP="00C40768">
      <w:pPr>
        <w:tabs>
          <w:tab w:val="clear" w:pos="567"/>
        </w:tabs>
        <w:spacing w:line="240" w:lineRule="auto"/>
        <w:jc w:val="both"/>
        <w:rPr>
          <w:color w:val="000000"/>
        </w:rPr>
      </w:pPr>
    </w:p>
    <w:p w14:paraId="477DBA18" w14:textId="77777777" w:rsidR="00F75EAB" w:rsidRPr="00231E54" w:rsidRDefault="00F75EAB" w:rsidP="00C40768">
      <w:pPr>
        <w:tabs>
          <w:tab w:val="clear" w:pos="567"/>
        </w:tabs>
        <w:spacing w:line="240" w:lineRule="auto"/>
        <w:jc w:val="both"/>
        <w:rPr>
          <w:color w:val="000000"/>
        </w:rPr>
      </w:pPr>
      <w:r w:rsidRPr="00231E54">
        <w:rPr>
          <w:color w:val="000000"/>
        </w:rPr>
        <w:t>Nav īpašu prasību.</w:t>
      </w:r>
    </w:p>
    <w:p w14:paraId="3D5910EC" w14:textId="77777777" w:rsidR="00F75EAB" w:rsidRPr="00231E54" w:rsidRDefault="00F75EAB" w:rsidP="00C40768">
      <w:pPr>
        <w:tabs>
          <w:tab w:val="clear" w:pos="567"/>
        </w:tabs>
        <w:spacing w:line="240" w:lineRule="auto"/>
        <w:jc w:val="both"/>
        <w:rPr>
          <w:color w:val="000000"/>
        </w:rPr>
      </w:pPr>
    </w:p>
    <w:p w14:paraId="1CEAFE49" w14:textId="77777777" w:rsidR="00964FCB" w:rsidRPr="00231E54" w:rsidRDefault="00964FCB" w:rsidP="00C40768">
      <w:pPr>
        <w:tabs>
          <w:tab w:val="clear" w:pos="567"/>
        </w:tabs>
        <w:spacing w:line="240" w:lineRule="auto"/>
        <w:jc w:val="both"/>
        <w:rPr>
          <w:color w:val="000000"/>
        </w:rPr>
      </w:pPr>
    </w:p>
    <w:p w14:paraId="7E29F41B" w14:textId="77777777" w:rsidR="00F75EAB" w:rsidRPr="00231E54" w:rsidRDefault="00F75EAB" w:rsidP="00C40768">
      <w:pPr>
        <w:tabs>
          <w:tab w:val="clear" w:pos="567"/>
        </w:tabs>
        <w:spacing w:line="240" w:lineRule="auto"/>
        <w:jc w:val="both"/>
        <w:rPr>
          <w:color w:val="000000"/>
        </w:rPr>
      </w:pPr>
      <w:r w:rsidRPr="00231E54">
        <w:rPr>
          <w:b/>
          <w:color w:val="000000"/>
        </w:rPr>
        <w:t>7.</w:t>
      </w:r>
      <w:r w:rsidRPr="00231E54">
        <w:rPr>
          <w:b/>
          <w:color w:val="000000"/>
        </w:rPr>
        <w:tab/>
        <w:t>REĢISTRĀCIJAS APLIECĪBAS ĪPAŠNIEKS</w:t>
      </w:r>
    </w:p>
    <w:p w14:paraId="2A86BBDA" w14:textId="77777777" w:rsidR="00964FCB" w:rsidRPr="00231E54" w:rsidRDefault="00964FCB" w:rsidP="00C40768">
      <w:pPr>
        <w:spacing w:line="240" w:lineRule="auto"/>
        <w:jc w:val="both"/>
        <w:rPr>
          <w:color w:val="000000"/>
        </w:rPr>
      </w:pPr>
    </w:p>
    <w:p w14:paraId="0DE16068" w14:textId="77777777" w:rsidR="00F75EAB" w:rsidRPr="00231E54" w:rsidRDefault="00511160" w:rsidP="00C40768">
      <w:pPr>
        <w:spacing w:line="240" w:lineRule="auto"/>
        <w:jc w:val="both"/>
        <w:rPr>
          <w:color w:val="000000"/>
        </w:rPr>
      </w:pPr>
      <w:r w:rsidRPr="00231E54">
        <w:rPr>
          <w:color w:val="000000"/>
        </w:rPr>
        <w:t>Medochemie Ltd., 1-10 Constantinoupoleos street, 3011 Limassol, Kipra</w:t>
      </w:r>
    </w:p>
    <w:p w14:paraId="1A3C30D4" w14:textId="77777777" w:rsidR="00511160" w:rsidRPr="00231E54" w:rsidRDefault="00511160" w:rsidP="00C40768">
      <w:pPr>
        <w:spacing w:line="240" w:lineRule="auto"/>
        <w:jc w:val="both"/>
        <w:rPr>
          <w:color w:val="000000"/>
        </w:rPr>
      </w:pPr>
    </w:p>
    <w:p w14:paraId="1229ED97" w14:textId="77777777" w:rsidR="00964FCB" w:rsidRPr="00231E54" w:rsidRDefault="00964FCB" w:rsidP="00C40768">
      <w:pPr>
        <w:spacing w:line="240" w:lineRule="auto"/>
        <w:jc w:val="both"/>
        <w:rPr>
          <w:color w:val="000000"/>
        </w:rPr>
      </w:pPr>
    </w:p>
    <w:p w14:paraId="6D8C72A6" w14:textId="77777777" w:rsidR="00F75EAB" w:rsidRPr="00231E54" w:rsidRDefault="00F75EAB" w:rsidP="00C40768">
      <w:pPr>
        <w:tabs>
          <w:tab w:val="clear" w:pos="567"/>
        </w:tabs>
        <w:spacing w:line="240" w:lineRule="auto"/>
        <w:jc w:val="both"/>
        <w:rPr>
          <w:b/>
          <w:color w:val="000000"/>
        </w:rPr>
      </w:pPr>
      <w:r w:rsidRPr="00231E54">
        <w:rPr>
          <w:b/>
          <w:color w:val="000000"/>
        </w:rPr>
        <w:t>8.</w:t>
      </w:r>
      <w:r w:rsidRPr="00231E54">
        <w:rPr>
          <w:b/>
          <w:color w:val="000000"/>
        </w:rPr>
        <w:tab/>
        <w:t>R</w:t>
      </w:r>
      <w:r w:rsidR="00511160" w:rsidRPr="00231E54">
        <w:rPr>
          <w:b/>
          <w:color w:val="000000"/>
        </w:rPr>
        <w:t>EĢISTRĀCIJAS APLIECĪBAS NUMURI</w:t>
      </w:r>
    </w:p>
    <w:p w14:paraId="40173E5E" w14:textId="77777777" w:rsidR="00964FCB" w:rsidRPr="00231E54" w:rsidRDefault="00964FCB" w:rsidP="00C40768">
      <w:pPr>
        <w:tabs>
          <w:tab w:val="clear" w:pos="567"/>
        </w:tabs>
        <w:spacing w:line="240" w:lineRule="auto"/>
        <w:jc w:val="both"/>
        <w:rPr>
          <w:b/>
          <w:color w:val="000000"/>
        </w:rPr>
      </w:pPr>
    </w:p>
    <w:p w14:paraId="56C083EC" w14:textId="77777777" w:rsidR="00F75EAB" w:rsidRPr="00231E54" w:rsidRDefault="00511160" w:rsidP="00C40768">
      <w:pPr>
        <w:tabs>
          <w:tab w:val="clear" w:pos="567"/>
        </w:tabs>
        <w:spacing w:line="240" w:lineRule="auto"/>
        <w:jc w:val="both"/>
        <w:rPr>
          <w:color w:val="000000"/>
        </w:rPr>
      </w:pPr>
      <w:bookmarkStart w:id="0" w:name="_Hlk69719502"/>
      <w:r w:rsidRPr="00231E54">
        <w:rPr>
          <w:b/>
          <w:color w:val="000000"/>
        </w:rPr>
        <w:t>Aktiprol 50 mg tabletes</w:t>
      </w:r>
      <w:r w:rsidR="00F40228" w:rsidRPr="00231E54">
        <w:rPr>
          <w:color w:val="000000"/>
        </w:rPr>
        <w:t xml:space="preserve"> (15-0120)</w:t>
      </w:r>
    </w:p>
    <w:p w14:paraId="3291E487" w14:textId="77777777" w:rsidR="00511160" w:rsidRPr="00231E54" w:rsidRDefault="00511160" w:rsidP="00C40768">
      <w:pPr>
        <w:tabs>
          <w:tab w:val="clear" w:pos="567"/>
        </w:tabs>
        <w:spacing w:line="240" w:lineRule="auto"/>
        <w:jc w:val="both"/>
        <w:rPr>
          <w:b/>
          <w:color w:val="000000"/>
        </w:rPr>
      </w:pPr>
      <w:r w:rsidRPr="00231E54">
        <w:rPr>
          <w:b/>
          <w:color w:val="000000"/>
        </w:rPr>
        <w:t>Aktiprol 100 mg tabletes</w:t>
      </w:r>
      <w:r w:rsidR="00F40228" w:rsidRPr="00231E54">
        <w:rPr>
          <w:b/>
          <w:color w:val="000000"/>
        </w:rPr>
        <w:t xml:space="preserve"> </w:t>
      </w:r>
      <w:r w:rsidR="00F40228" w:rsidRPr="00231E54">
        <w:rPr>
          <w:color w:val="000000"/>
        </w:rPr>
        <w:t>(15-0121)</w:t>
      </w:r>
    </w:p>
    <w:p w14:paraId="21F8E92F" w14:textId="77777777" w:rsidR="00511160" w:rsidRPr="00231E54" w:rsidRDefault="00511160" w:rsidP="00C40768">
      <w:pPr>
        <w:tabs>
          <w:tab w:val="clear" w:pos="567"/>
        </w:tabs>
        <w:spacing w:line="240" w:lineRule="auto"/>
        <w:jc w:val="both"/>
        <w:rPr>
          <w:b/>
          <w:color w:val="000000"/>
        </w:rPr>
      </w:pPr>
      <w:r w:rsidRPr="00231E54">
        <w:rPr>
          <w:b/>
          <w:color w:val="000000"/>
        </w:rPr>
        <w:t>Aktiprol 200 mg tabletes</w:t>
      </w:r>
      <w:r w:rsidR="00F40228" w:rsidRPr="00231E54">
        <w:rPr>
          <w:b/>
          <w:color w:val="000000"/>
        </w:rPr>
        <w:t xml:space="preserve"> </w:t>
      </w:r>
      <w:r w:rsidR="00F40228" w:rsidRPr="00231E54">
        <w:rPr>
          <w:color w:val="000000"/>
        </w:rPr>
        <w:t>(15-0122)</w:t>
      </w:r>
    </w:p>
    <w:p w14:paraId="65167741" w14:textId="77777777" w:rsidR="00511160" w:rsidRPr="00231E54" w:rsidRDefault="00511160" w:rsidP="00C40768">
      <w:pPr>
        <w:tabs>
          <w:tab w:val="clear" w:pos="567"/>
        </w:tabs>
        <w:spacing w:line="240" w:lineRule="auto"/>
        <w:jc w:val="both"/>
        <w:rPr>
          <w:b/>
          <w:color w:val="000000"/>
        </w:rPr>
      </w:pPr>
      <w:r w:rsidRPr="00231E54">
        <w:rPr>
          <w:b/>
          <w:color w:val="000000"/>
        </w:rPr>
        <w:t>Aktiprol 400 mg tabletes</w:t>
      </w:r>
      <w:r w:rsidR="00F40228" w:rsidRPr="00231E54">
        <w:rPr>
          <w:b/>
          <w:color w:val="000000"/>
        </w:rPr>
        <w:t xml:space="preserve"> </w:t>
      </w:r>
      <w:r w:rsidR="00F40228" w:rsidRPr="00231E54">
        <w:rPr>
          <w:color w:val="000000"/>
        </w:rPr>
        <w:t>(15-0123)</w:t>
      </w:r>
    </w:p>
    <w:bookmarkEnd w:id="0"/>
    <w:p w14:paraId="29E9E7E2" w14:textId="77777777" w:rsidR="00511160" w:rsidRPr="00231E54" w:rsidRDefault="00511160" w:rsidP="00C40768">
      <w:pPr>
        <w:tabs>
          <w:tab w:val="clear" w:pos="567"/>
        </w:tabs>
        <w:spacing w:line="240" w:lineRule="auto"/>
        <w:jc w:val="both"/>
        <w:rPr>
          <w:color w:val="000000"/>
        </w:rPr>
      </w:pPr>
    </w:p>
    <w:p w14:paraId="0D7198D4" w14:textId="77777777" w:rsidR="00964FCB" w:rsidRPr="00231E54" w:rsidRDefault="00964FCB" w:rsidP="00C40768">
      <w:pPr>
        <w:tabs>
          <w:tab w:val="clear" w:pos="567"/>
        </w:tabs>
        <w:spacing w:line="240" w:lineRule="auto"/>
        <w:jc w:val="both"/>
        <w:rPr>
          <w:color w:val="000000"/>
        </w:rPr>
      </w:pPr>
    </w:p>
    <w:p w14:paraId="5A00BAAE" w14:textId="77777777" w:rsidR="00F75EAB" w:rsidRPr="00231E54" w:rsidRDefault="00F75EAB" w:rsidP="00C40768">
      <w:pPr>
        <w:tabs>
          <w:tab w:val="clear" w:pos="567"/>
        </w:tabs>
        <w:spacing w:line="240" w:lineRule="auto"/>
        <w:jc w:val="both"/>
        <w:rPr>
          <w:b/>
          <w:color w:val="000000"/>
        </w:rPr>
      </w:pPr>
      <w:r w:rsidRPr="00231E54">
        <w:rPr>
          <w:b/>
          <w:color w:val="000000"/>
        </w:rPr>
        <w:t>9.</w:t>
      </w:r>
      <w:r w:rsidRPr="00231E54">
        <w:rPr>
          <w:b/>
          <w:color w:val="000000"/>
        </w:rPr>
        <w:tab/>
        <w:t>PIRMĀS REĢISTRĀCIJAS/PĀRREĢISTRĀCIJAS DATUMS</w:t>
      </w:r>
    </w:p>
    <w:p w14:paraId="690691DB" w14:textId="77777777" w:rsidR="00964FCB" w:rsidRPr="00231E54" w:rsidRDefault="00964FCB" w:rsidP="00C40768">
      <w:pPr>
        <w:spacing w:line="240" w:lineRule="auto"/>
        <w:jc w:val="both"/>
        <w:rPr>
          <w:color w:val="000000"/>
        </w:rPr>
      </w:pPr>
    </w:p>
    <w:p w14:paraId="3C1666EF" w14:textId="77777777" w:rsidR="00F75EAB" w:rsidRPr="00231E54" w:rsidRDefault="00F75EAB" w:rsidP="00C40768">
      <w:pPr>
        <w:spacing w:line="240" w:lineRule="auto"/>
        <w:jc w:val="both"/>
        <w:rPr>
          <w:color w:val="000000"/>
        </w:rPr>
      </w:pPr>
      <w:r w:rsidRPr="00231E54">
        <w:rPr>
          <w:color w:val="000000"/>
        </w:rPr>
        <w:t xml:space="preserve">Reģistrācijas datums: </w:t>
      </w:r>
      <w:r w:rsidR="00F40228" w:rsidRPr="00231E54">
        <w:rPr>
          <w:color w:val="000000"/>
        </w:rPr>
        <w:t>2015.gada 12.jūnijs.</w:t>
      </w:r>
    </w:p>
    <w:p w14:paraId="4277B9A3" w14:textId="77777777" w:rsidR="00B2455E" w:rsidRPr="00231E54" w:rsidRDefault="00B2455E" w:rsidP="00C40768">
      <w:pPr>
        <w:spacing w:line="240" w:lineRule="auto"/>
        <w:jc w:val="both"/>
        <w:rPr>
          <w:noProof/>
          <w:color w:val="000000"/>
          <w:szCs w:val="22"/>
        </w:rPr>
      </w:pPr>
      <w:r w:rsidRPr="00231E54">
        <w:rPr>
          <w:color w:val="000000"/>
          <w:szCs w:val="22"/>
        </w:rPr>
        <w:t xml:space="preserve">Pēdējās pārreģistrācijas datums: </w:t>
      </w:r>
      <w:r w:rsidR="00381A28" w:rsidRPr="00231E54">
        <w:rPr>
          <w:color w:val="000000"/>
          <w:szCs w:val="22"/>
        </w:rPr>
        <w:t>2020.gada 24.janvāris.</w:t>
      </w:r>
    </w:p>
    <w:p w14:paraId="061981C1" w14:textId="77777777" w:rsidR="00F75EAB" w:rsidRPr="00231E54" w:rsidRDefault="00F75EAB" w:rsidP="00C40768">
      <w:pPr>
        <w:tabs>
          <w:tab w:val="clear" w:pos="567"/>
        </w:tabs>
        <w:spacing w:line="240" w:lineRule="auto"/>
        <w:jc w:val="both"/>
        <w:rPr>
          <w:color w:val="000000"/>
        </w:rPr>
      </w:pPr>
    </w:p>
    <w:p w14:paraId="1B936CEE" w14:textId="77777777" w:rsidR="00964FCB" w:rsidRPr="00231E54" w:rsidRDefault="00964FCB" w:rsidP="00C40768">
      <w:pPr>
        <w:tabs>
          <w:tab w:val="clear" w:pos="567"/>
        </w:tabs>
        <w:spacing w:line="240" w:lineRule="auto"/>
        <w:jc w:val="both"/>
        <w:rPr>
          <w:color w:val="000000"/>
        </w:rPr>
      </w:pPr>
    </w:p>
    <w:p w14:paraId="01C6B98F" w14:textId="77777777" w:rsidR="00F75EAB" w:rsidRPr="00231E54" w:rsidRDefault="00F75EAB" w:rsidP="00C40768">
      <w:pPr>
        <w:tabs>
          <w:tab w:val="clear" w:pos="567"/>
        </w:tabs>
        <w:spacing w:line="240" w:lineRule="auto"/>
        <w:jc w:val="both"/>
        <w:rPr>
          <w:b/>
          <w:color w:val="000000"/>
        </w:rPr>
      </w:pPr>
      <w:r w:rsidRPr="00231E54">
        <w:rPr>
          <w:b/>
          <w:color w:val="000000"/>
        </w:rPr>
        <w:t>10.</w:t>
      </w:r>
      <w:r w:rsidRPr="00231E54">
        <w:rPr>
          <w:b/>
          <w:color w:val="000000"/>
        </w:rPr>
        <w:tab/>
        <w:t>TEKSTA PĀRSKATĪŠANAS DATUMS</w:t>
      </w:r>
    </w:p>
    <w:p w14:paraId="3FC96749" w14:textId="77777777" w:rsidR="00964FCB" w:rsidRPr="00231E54" w:rsidRDefault="00964FCB" w:rsidP="00C40768">
      <w:pPr>
        <w:tabs>
          <w:tab w:val="clear" w:pos="567"/>
        </w:tabs>
        <w:spacing w:line="240" w:lineRule="auto"/>
        <w:jc w:val="both"/>
        <w:rPr>
          <w:noProof/>
          <w:color w:val="000000"/>
        </w:rPr>
      </w:pPr>
    </w:p>
    <w:p w14:paraId="2C8C282D" w14:textId="59F64E48" w:rsidR="006B6344" w:rsidRPr="00231E54" w:rsidRDefault="005544DE" w:rsidP="00C40768">
      <w:pPr>
        <w:tabs>
          <w:tab w:val="clear" w:pos="567"/>
        </w:tabs>
        <w:spacing w:line="240" w:lineRule="auto"/>
        <w:jc w:val="both"/>
        <w:rPr>
          <w:noProof/>
          <w:color w:val="000000"/>
        </w:rPr>
      </w:pPr>
      <w:r>
        <w:rPr>
          <w:noProof/>
          <w:color w:val="000000"/>
        </w:rPr>
        <w:t>04/</w:t>
      </w:r>
      <w:r w:rsidR="00511160" w:rsidRPr="00231E54">
        <w:rPr>
          <w:noProof/>
          <w:color w:val="000000"/>
        </w:rPr>
        <w:t>20</w:t>
      </w:r>
      <w:r w:rsidR="004D1FD5" w:rsidRPr="00231E54">
        <w:rPr>
          <w:noProof/>
          <w:color w:val="000000"/>
        </w:rPr>
        <w:t>2</w:t>
      </w:r>
      <w:r>
        <w:rPr>
          <w:noProof/>
          <w:color w:val="000000"/>
        </w:rPr>
        <w:t>1</w:t>
      </w:r>
    </w:p>
    <w:p w14:paraId="17EE09DC" w14:textId="77777777" w:rsidR="00964FCB" w:rsidRPr="00231E54" w:rsidRDefault="00964FCB" w:rsidP="00C40768">
      <w:pPr>
        <w:tabs>
          <w:tab w:val="clear" w:pos="567"/>
        </w:tabs>
        <w:spacing w:line="240" w:lineRule="auto"/>
        <w:jc w:val="both"/>
        <w:rPr>
          <w:noProof/>
          <w:color w:val="000000"/>
        </w:rPr>
      </w:pPr>
    </w:p>
    <w:p w14:paraId="21FD09A7" w14:textId="77777777" w:rsidR="00964FCB" w:rsidRPr="00231E54" w:rsidRDefault="00964FCB" w:rsidP="00C40768">
      <w:pPr>
        <w:tabs>
          <w:tab w:val="clear" w:pos="567"/>
        </w:tabs>
        <w:spacing w:line="240" w:lineRule="auto"/>
        <w:jc w:val="both"/>
        <w:rPr>
          <w:color w:val="000000"/>
        </w:rPr>
      </w:pPr>
    </w:p>
    <w:sectPr w:rsidR="00964FCB" w:rsidRPr="00231E54" w:rsidSect="00DB7F9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A7458" w14:textId="77777777" w:rsidR="005544DE" w:rsidRDefault="005544DE">
      <w:r>
        <w:separator/>
      </w:r>
    </w:p>
  </w:endnote>
  <w:endnote w:type="continuationSeparator" w:id="0">
    <w:p w14:paraId="5353F3B2" w14:textId="77777777" w:rsidR="005544DE" w:rsidRDefault="005544DE">
      <w:r>
        <w:continuationSeparator/>
      </w:r>
    </w:p>
  </w:endnote>
  <w:endnote w:type="continuationNotice" w:id="1">
    <w:p w14:paraId="2E7A6758" w14:textId="77777777" w:rsidR="005544DE" w:rsidRDefault="005544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3A49" w14:textId="77777777" w:rsidR="00285465" w:rsidRDefault="00285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BE0B" w14:textId="48D19DBF" w:rsidR="00055157" w:rsidRDefault="00964FCB">
    <w:pPr>
      <w:pStyle w:val="Footer"/>
      <w:tabs>
        <w:tab w:val="clear" w:pos="8930"/>
        <w:tab w:val="right" w:pos="8931"/>
      </w:tabs>
      <w:ind w:right="96"/>
      <w:jc w:val="center"/>
    </w:pPr>
    <w:r w:rsidRPr="007E294C">
      <w:rPr>
        <w:rFonts w:ascii="Times New Roman" w:hAnsi="Times New Roman"/>
        <w:sz w:val="18"/>
        <w:szCs w:val="18"/>
      </w:rPr>
      <w:t>DK/H/2386/001-004/</w:t>
    </w:r>
    <w:r w:rsidR="001A4EF0">
      <w:rPr>
        <w:rFonts w:ascii="Times New Roman" w:hAnsi="Times New Roman"/>
        <w:sz w:val="18"/>
        <w:szCs w:val="18"/>
      </w:rPr>
      <w:t>I</w:t>
    </w:r>
    <w:r w:rsidR="00285465">
      <w:rPr>
        <w:rFonts w:ascii="Times New Roman" w:hAnsi="Times New Roman"/>
        <w:sz w:val="18"/>
        <w:szCs w:val="18"/>
      </w:rPr>
      <w:t>I</w:t>
    </w:r>
    <w:r w:rsidRPr="007E294C">
      <w:rPr>
        <w:rFonts w:ascii="Times New Roman" w:hAnsi="Times New Roman"/>
        <w:sz w:val="18"/>
        <w:szCs w:val="18"/>
      </w:rPr>
      <w:t>/00</w:t>
    </w:r>
    <w:r w:rsidR="001A4EF0">
      <w:rPr>
        <w:rFonts w:ascii="Times New Roman" w:hAnsi="Times New Roman"/>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D1A0" w14:textId="77777777" w:rsidR="00055157" w:rsidRDefault="00055157">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D0FE" w14:textId="77777777" w:rsidR="005544DE" w:rsidRDefault="005544DE">
      <w:r>
        <w:separator/>
      </w:r>
    </w:p>
  </w:footnote>
  <w:footnote w:type="continuationSeparator" w:id="0">
    <w:p w14:paraId="773B9D5E" w14:textId="77777777" w:rsidR="005544DE" w:rsidRDefault="005544DE">
      <w:r>
        <w:continuationSeparator/>
      </w:r>
    </w:p>
  </w:footnote>
  <w:footnote w:type="continuationNotice" w:id="1">
    <w:p w14:paraId="1B35D76D" w14:textId="77777777" w:rsidR="005544DE" w:rsidRDefault="005544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72B3" w14:textId="77777777" w:rsidR="00285465" w:rsidRDefault="00285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31003" w14:textId="7B649249" w:rsidR="00055157" w:rsidRPr="00EE168E" w:rsidRDefault="00EE168E" w:rsidP="00C04CC0">
    <w:pPr>
      <w:pStyle w:val="Header"/>
      <w:jc w:val="right"/>
      <w:rPr>
        <w:rFonts w:ascii="Times New Roman" w:hAnsi="Times New Roman"/>
        <w:sz w:val="24"/>
        <w:szCs w:val="24"/>
        <w:lang w:val="en-US"/>
      </w:rPr>
    </w:pPr>
    <w:r>
      <w:rPr>
        <w:rFonts w:ascii="Times New Roman" w:hAnsi="Times New Roman"/>
        <w:sz w:val="24"/>
        <w:szCs w:val="24"/>
        <w:lang w:val="en-US"/>
      </w:rPr>
      <w:t>SASKAŅOTS ZVA 13-05-2021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5797" w14:textId="77777777" w:rsidR="00285465" w:rsidRDefault="00285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A5A04"/>
    <w:multiLevelType w:val="hybridMultilevel"/>
    <w:tmpl w:val="178CC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DA229FB"/>
    <w:multiLevelType w:val="hybridMultilevel"/>
    <w:tmpl w:val="62B08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51A5E"/>
    <w:multiLevelType w:val="hybridMultilevel"/>
    <w:tmpl w:val="754424AA"/>
    <w:lvl w:ilvl="0" w:tplc="54DAABB4">
      <w:start w:val="4"/>
      <w:numFmt w:val="decimal"/>
      <w:lvlText w:val="%1."/>
      <w:lvlJc w:val="left"/>
      <w:pPr>
        <w:tabs>
          <w:tab w:val="num" w:pos="930"/>
        </w:tabs>
        <w:ind w:left="930" w:hanging="570"/>
      </w:pPr>
      <w:rPr>
        <w:rFonts w:hint="default"/>
      </w:rPr>
    </w:lvl>
    <w:lvl w:ilvl="1" w:tplc="96BC3BEA" w:tentative="1">
      <w:start w:val="1"/>
      <w:numFmt w:val="lowerLetter"/>
      <w:lvlText w:val="%2."/>
      <w:lvlJc w:val="left"/>
      <w:pPr>
        <w:tabs>
          <w:tab w:val="num" w:pos="1440"/>
        </w:tabs>
        <w:ind w:left="1440" w:hanging="360"/>
      </w:pPr>
    </w:lvl>
    <w:lvl w:ilvl="2" w:tplc="CB3C6266" w:tentative="1">
      <w:start w:val="1"/>
      <w:numFmt w:val="lowerRoman"/>
      <w:lvlText w:val="%3."/>
      <w:lvlJc w:val="right"/>
      <w:pPr>
        <w:tabs>
          <w:tab w:val="num" w:pos="2160"/>
        </w:tabs>
        <w:ind w:left="2160" w:hanging="180"/>
      </w:pPr>
    </w:lvl>
    <w:lvl w:ilvl="3" w:tplc="53B4B794" w:tentative="1">
      <w:start w:val="1"/>
      <w:numFmt w:val="decimal"/>
      <w:lvlText w:val="%4."/>
      <w:lvlJc w:val="left"/>
      <w:pPr>
        <w:tabs>
          <w:tab w:val="num" w:pos="2880"/>
        </w:tabs>
        <w:ind w:left="2880" w:hanging="360"/>
      </w:pPr>
    </w:lvl>
    <w:lvl w:ilvl="4" w:tplc="4420DD52" w:tentative="1">
      <w:start w:val="1"/>
      <w:numFmt w:val="lowerLetter"/>
      <w:lvlText w:val="%5."/>
      <w:lvlJc w:val="left"/>
      <w:pPr>
        <w:tabs>
          <w:tab w:val="num" w:pos="3600"/>
        </w:tabs>
        <w:ind w:left="3600" w:hanging="360"/>
      </w:pPr>
    </w:lvl>
    <w:lvl w:ilvl="5" w:tplc="3036FC90" w:tentative="1">
      <w:start w:val="1"/>
      <w:numFmt w:val="lowerRoman"/>
      <w:lvlText w:val="%6."/>
      <w:lvlJc w:val="right"/>
      <w:pPr>
        <w:tabs>
          <w:tab w:val="num" w:pos="4320"/>
        </w:tabs>
        <w:ind w:left="4320" w:hanging="180"/>
      </w:pPr>
    </w:lvl>
    <w:lvl w:ilvl="6" w:tplc="E908A066" w:tentative="1">
      <w:start w:val="1"/>
      <w:numFmt w:val="decimal"/>
      <w:lvlText w:val="%7."/>
      <w:lvlJc w:val="left"/>
      <w:pPr>
        <w:tabs>
          <w:tab w:val="num" w:pos="5040"/>
        </w:tabs>
        <w:ind w:left="5040" w:hanging="360"/>
      </w:pPr>
    </w:lvl>
    <w:lvl w:ilvl="7" w:tplc="D42C560E" w:tentative="1">
      <w:start w:val="1"/>
      <w:numFmt w:val="lowerLetter"/>
      <w:lvlText w:val="%8."/>
      <w:lvlJc w:val="left"/>
      <w:pPr>
        <w:tabs>
          <w:tab w:val="num" w:pos="5760"/>
        </w:tabs>
        <w:ind w:left="5760" w:hanging="360"/>
      </w:pPr>
    </w:lvl>
    <w:lvl w:ilvl="8" w:tplc="B69ACB42" w:tentative="1">
      <w:start w:val="1"/>
      <w:numFmt w:val="lowerRoman"/>
      <w:lvlText w:val="%9."/>
      <w:lvlJc w:val="right"/>
      <w:pPr>
        <w:tabs>
          <w:tab w:val="num" w:pos="6480"/>
        </w:tabs>
        <w:ind w:left="6480" w:hanging="180"/>
      </w:pPr>
    </w:lvl>
  </w:abstractNum>
  <w:abstractNum w:abstractNumId="5" w15:restartNumberingAfterBreak="0">
    <w:nsid w:val="15771E50"/>
    <w:multiLevelType w:val="hybridMultilevel"/>
    <w:tmpl w:val="507ACB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8D2DAC"/>
    <w:multiLevelType w:val="hybridMultilevel"/>
    <w:tmpl w:val="A1A82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AA047D"/>
    <w:multiLevelType w:val="hybridMultilevel"/>
    <w:tmpl w:val="C2A60818"/>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6CC1"/>
    <w:multiLevelType w:val="hybridMultilevel"/>
    <w:tmpl w:val="D3ACE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26990"/>
    <w:multiLevelType w:val="hybridMultilevel"/>
    <w:tmpl w:val="1D92CD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16BAD"/>
    <w:multiLevelType w:val="hybridMultilevel"/>
    <w:tmpl w:val="57306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361A9"/>
    <w:multiLevelType w:val="hybridMultilevel"/>
    <w:tmpl w:val="D3BC4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60793"/>
    <w:multiLevelType w:val="hybridMultilevel"/>
    <w:tmpl w:val="7752EA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96205"/>
    <w:multiLevelType w:val="hybridMultilevel"/>
    <w:tmpl w:val="361A01AE"/>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307AC"/>
    <w:multiLevelType w:val="hybridMultilevel"/>
    <w:tmpl w:val="F3583B80"/>
    <w:lvl w:ilvl="0" w:tplc="08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D6658"/>
    <w:multiLevelType w:val="hybridMultilevel"/>
    <w:tmpl w:val="17F8F9DC"/>
    <w:lvl w:ilvl="0" w:tplc="F114348E">
      <w:start w:val="1"/>
      <w:numFmt w:val="bullet"/>
      <w:lvlText w:val=""/>
      <w:lvlJc w:val="left"/>
      <w:pPr>
        <w:tabs>
          <w:tab w:val="num" w:pos="567"/>
        </w:tabs>
        <w:ind w:left="567" w:hanging="454"/>
      </w:pPr>
      <w:rPr>
        <w:rFonts w:ascii="Symbol" w:hAnsi="Symbol" w:hint="default"/>
      </w:rPr>
    </w:lvl>
    <w:lvl w:ilvl="1" w:tplc="98405128">
      <w:start w:val="1"/>
      <w:numFmt w:val="bullet"/>
      <w:lvlText w:val="o"/>
      <w:lvlJc w:val="left"/>
      <w:pPr>
        <w:tabs>
          <w:tab w:val="num" w:pos="1440"/>
        </w:tabs>
        <w:ind w:left="1440" w:hanging="360"/>
      </w:pPr>
      <w:rPr>
        <w:rFonts w:ascii="Courier New" w:hAnsi="Courier New" w:hint="default"/>
      </w:rPr>
    </w:lvl>
    <w:lvl w:ilvl="2" w:tplc="DF7A08C0" w:tentative="1">
      <w:start w:val="1"/>
      <w:numFmt w:val="bullet"/>
      <w:lvlText w:val=""/>
      <w:lvlJc w:val="left"/>
      <w:pPr>
        <w:tabs>
          <w:tab w:val="num" w:pos="2160"/>
        </w:tabs>
        <w:ind w:left="2160" w:hanging="360"/>
      </w:pPr>
      <w:rPr>
        <w:rFonts w:ascii="Wingdings" w:hAnsi="Wingdings" w:hint="default"/>
      </w:rPr>
    </w:lvl>
    <w:lvl w:ilvl="3" w:tplc="1116D7BE" w:tentative="1">
      <w:start w:val="1"/>
      <w:numFmt w:val="bullet"/>
      <w:lvlText w:val=""/>
      <w:lvlJc w:val="left"/>
      <w:pPr>
        <w:tabs>
          <w:tab w:val="num" w:pos="2880"/>
        </w:tabs>
        <w:ind w:left="2880" w:hanging="360"/>
      </w:pPr>
      <w:rPr>
        <w:rFonts w:ascii="Symbol" w:hAnsi="Symbol" w:hint="default"/>
      </w:rPr>
    </w:lvl>
    <w:lvl w:ilvl="4" w:tplc="4B6E158A" w:tentative="1">
      <w:start w:val="1"/>
      <w:numFmt w:val="bullet"/>
      <w:lvlText w:val="o"/>
      <w:lvlJc w:val="left"/>
      <w:pPr>
        <w:tabs>
          <w:tab w:val="num" w:pos="3600"/>
        </w:tabs>
        <w:ind w:left="3600" w:hanging="360"/>
      </w:pPr>
      <w:rPr>
        <w:rFonts w:ascii="Courier New" w:hAnsi="Courier New" w:hint="default"/>
      </w:rPr>
    </w:lvl>
    <w:lvl w:ilvl="5" w:tplc="8C729CC4" w:tentative="1">
      <w:start w:val="1"/>
      <w:numFmt w:val="bullet"/>
      <w:lvlText w:val=""/>
      <w:lvlJc w:val="left"/>
      <w:pPr>
        <w:tabs>
          <w:tab w:val="num" w:pos="4320"/>
        </w:tabs>
        <w:ind w:left="4320" w:hanging="360"/>
      </w:pPr>
      <w:rPr>
        <w:rFonts w:ascii="Wingdings" w:hAnsi="Wingdings" w:hint="default"/>
      </w:rPr>
    </w:lvl>
    <w:lvl w:ilvl="6" w:tplc="A1B2BC56" w:tentative="1">
      <w:start w:val="1"/>
      <w:numFmt w:val="bullet"/>
      <w:lvlText w:val=""/>
      <w:lvlJc w:val="left"/>
      <w:pPr>
        <w:tabs>
          <w:tab w:val="num" w:pos="5040"/>
        </w:tabs>
        <w:ind w:left="5040" w:hanging="360"/>
      </w:pPr>
      <w:rPr>
        <w:rFonts w:ascii="Symbol" w:hAnsi="Symbol" w:hint="default"/>
      </w:rPr>
    </w:lvl>
    <w:lvl w:ilvl="7" w:tplc="CB005592" w:tentative="1">
      <w:start w:val="1"/>
      <w:numFmt w:val="bullet"/>
      <w:lvlText w:val="o"/>
      <w:lvlJc w:val="left"/>
      <w:pPr>
        <w:tabs>
          <w:tab w:val="num" w:pos="5760"/>
        </w:tabs>
        <w:ind w:left="5760" w:hanging="360"/>
      </w:pPr>
      <w:rPr>
        <w:rFonts w:ascii="Courier New" w:hAnsi="Courier New" w:hint="default"/>
      </w:rPr>
    </w:lvl>
    <w:lvl w:ilvl="8" w:tplc="2B48E2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4B9853F0"/>
    <w:multiLevelType w:val="hybridMultilevel"/>
    <w:tmpl w:val="BE569D9E"/>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54AFE"/>
    <w:multiLevelType w:val="hybridMultilevel"/>
    <w:tmpl w:val="B1A46980"/>
    <w:lvl w:ilvl="0" w:tplc="B7A6DE0A">
      <w:start w:val="8"/>
      <w:numFmt w:val="decimal"/>
      <w:lvlText w:val="%1."/>
      <w:lvlJc w:val="left"/>
      <w:pPr>
        <w:tabs>
          <w:tab w:val="num" w:pos="570"/>
        </w:tabs>
        <w:ind w:left="570" w:hanging="570"/>
      </w:pPr>
      <w:rPr>
        <w:rFonts w:hint="default"/>
      </w:rPr>
    </w:lvl>
    <w:lvl w:ilvl="1" w:tplc="C38A23EC" w:tentative="1">
      <w:start w:val="1"/>
      <w:numFmt w:val="lowerLetter"/>
      <w:lvlText w:val="%2."/>
      <w:lvlJc w:val="left"/>
      <w:pPr>
        <w:tabs>
          <w:tab w:val="num" w:pos="1080"/>
        </w:tabs>
        <w:ind w:left="1080" w:hanging="360"/>
      </w:pPr>
    </w:lvl>
    <w:lvl w:ilvl="2" w:tplc="6E005146" w:tentative="1">
      <w:start w:val="1"/>
      <w:numFmt w:val="lowerRoman"/>
      <w:lvlText w:val="%3."/>
      <w:lvlJc w:val="right"/>
      <w:pPr>
        <w:tabs>
          <w:tab w:val="num" w:pos="1800"/>
        </w:tabs>
        <w:ind w:left="1800" w:hanging="180"/>
      </w:pPr>
    </w:lvl>
    <w:lvl w:ilvl="3" w:tplc="55FAD108" w:tentative="1">
      <w:start w:val="1"/>
      <w:numFmt w:val="decimal"/>
      <w:lvlText w:val="%4."/>
      <w:lvlJc w:val="left"/>
      <w:pPr>
        <w:tabs>
          <w:tab w:val="num" w:pos="2520"/>
        </w:tabs>
        <w:ind w:left="2520" w:hanging="360"/>
      </w:pPr>
    </w:lvl>
    <w:lvl w:ilvl="4" w:tplc="9E70BF98" w:tentative="1">
      <w:start w:val="1"/>
      <w:numFmt w:val="lowerLetter"/>
      <w:lvlText w:val="%5."/>
      <w:lvlJc w:val="left"/>
      <w:pPr>
        <w:tabs>
          <w:tab w:val="num" w:pos="3240"/>
        </w:tabs>
        <w:ind w:left="3240" w:hanging="360"/>
      </w:pPr>
    </w:lvl>
    <w:lvl w:ilvl="5" w:tplc="AC76A680" w:tentative="1">
      <w:start w:val="1"/>
      <w:numFmt w:val="lowerRoman"/>
      <w:lvlText w:val="%6."/>
      <w:lvlJc w:val="right"/>
      <w:pPr>
        <w:tabs>
          <w:tab w:val="num" w:pos="3960"/>
        </w:tabs>
        <w:ind w:left="3960" w:hanging="180"/>
      </w:pPr>
    </w:lvl>
    <w:lvl w:ilvl="6" w:tplc="1BF4D998" w:tentative="1">
      <w:start w:val="1"/>
      <w:numFmt w:val="decimal"/>
      <w:lvlText w:val="%7."/>
      <w:lvlJc w:val="left"/>
      <w:pPr>
        <w:tabs>
          <w:tab w:val="num" w:pos="4680"/>
        </w:tabs>
        <w:ind w:left="4680" w:hanging="360"/>
      </w:pPr>
    </w:lvl>
    <w:lvl w:ilvl="7" w:tplc="5204F736" w:tentative="1">
      <w:start w:val="1"/>
      <w:numFmt w:val="lowerLetter"/>
      <w:lvlText w:val="%8."/>
      <w:lvlJc w:val="left"/>
      <w:pPr>
        <w:tabs>
          <w:tab w:val="num" w:pos="5400"/>
        </w:tabs>
        <w:ind w:left="5400" w:hanging="360"/>
      </w:pPr>
    </w:lvl>
    <w:lvl w:ilvl="8" w:tplc="7AD4B1EA" w:tentative="1">
      <w:start w:val="1"/>
      <w:numFmt w:val="lowerRoman"/>
      <w:lvlText w:val="%9."/>
      <w:lvlJc w:val="right"/>
      <w:pPr>
        <w:tabs>
          <w:tab w:val="num" w:pos="6120"/>
        </w:tabs>
        <w:ind w:left="6120" w:hanging="180"/>
      </w:pPr>
    </w:lvl>
  </w:abstractNum>
  <w:abstractNum w:abstractNumId="25" w15:restartNumberingAfterBreak="0">
    <w:nsid w:val="4F715EA8"/>
    <w:multiLevelType w:val="hybridMultilevel"/>
    <w:tmpl w:val="85242A24"/>
    <w:lvl w:ilvl="0" w:tplc="180CF4D6">
      <w:start w:val="4"/>
      <w:numFmt w:val="decimal"/>
      <w:lvlText w:val="%1."/>
      <w:lvlJc w:val="left"/>
      <w:pPr>
        <w:tabs>
          <w:tab w:val="num" w:pos="720"/>
        </w:tabs>
        <w:ind w:left="720" w:hanging="360"/>
      </w:pPr>
      <w:rPr>
        <w:rFonts w:hint="default"/>
      </w:rPr>
    </w:lvl>
    <w:lvl w:ilvl="1" w:tplc="404C05E6" w:tentative="1">
      <w:start w:val="1"/>
      <w:numFmt w:val="lowerLetter"/>
      <w:lvlText w:val="%2."/>
      <w:lvlJc w:val="left"/>
      <w:pPr>
        <w:tabs>
          <w:tab w:val="num" w:pos="1440"/>
        </w:tabs>
        <w:ind w:left="1440" w:hanging="360"/>
      </w:pPr>
    </w:lvl>
    <w:lvl w:ilvl="2" w:tplc="B70A8644" w:tentative="1">
      <w:start w:val="1"/>
      <w:numFmt w:val="lowerRoman"/>
      <w:lvlText w:val="%3."/>
      <w:lvlJc w:val="right"/>
      <w:pPr>
        <w:tabs>
          <w:tab w:val="num" w:pos="2160"/>
        </w:tabs>
        <w:ind w:left="2160" w:hanging="180"/>
      </w:pPr>
    </w:lvl>
    <w:lvl w:ilvl="3" w:tplc="529A5678" w:tentative="1">
      <w:start w:val="1"/>
      <w:numFmt w:val="decimal"/>
      <w:lvlText w:val="%4."/>
      <w:lvlJc w:val="left"/>
      <w:pPr>
        <w:tabs>
          <w:tab w:val="num" w:pos="2880"/>
        </w:tabs>
        <w:ind w:left="2880" w:hanging="360"/>
      </w:pPr>
    </w:lvl>
    <w:lvl w:ilvl="4" w:tplc="95B83462" w:tentative="1">
      <w:start w:val="1"/>
      <w:numFmt w:val="lowerLetter"/>
      <w:lvlText w:val="%5."/>
      <w:lvlJc w:val="left"/>
      <w:pPr>
        <w:tabs>
          <w:tab w:val="num" w:pos="3600"/>
        </w:tabs>
        <w:ind w:left="3600" w:hanging="360"/>
      </w:pPr>
    </w:lvl>
    <w:lvl w:ilvl="5" w:tplc="DE586B34" w:tentative="1">
      <w:start w:val="1"/>
      <w:numFmt w:val="lowerRoman"/>
      <w:lvlText w:val="%6."/>
      <w:lvlJc w:val="right"/>
      <w:pPr>
        <w:tabs>
          <w:tab w:val="num" w:pos="4320"/>
        </w:tabs>
        <w:ind w:left="4320" w:hanging="180"/>
      </w:pPr>
    </w:lvl>
    <w:lvl w:ilvl="6" w:tplc="2482FF06" w:tentative="1">
      <w:start w:val="1"/>
      <w:numFmt w:val="decimal"/>
      <w:lvlText w:val="%7."/>
      <w:lvlJc w:val="left"/>
      <w:pPr>
        <w:tabs>
          <w:tab w:val="num" w:pos="5040"/>
        </w:tabs>
        <w:ind w:left="5040" w:hanging="360"/>
      </w:pPr>
    </w:lvl>
    <w:lvl w:ilvl="7" w:tplc="25C67612" w:tentative="1">
      <w:start w:val="1"/>
      <w:numFmt w:val="lowerLetter"/>
      <w:lvlText w:val="%8."/>
      <w:lvlJc w:val="left"/>
      <w:pPr>
        <w:tabs>
          <w:tab w:val="num" w:pos="5760"/>
        </w:tabs>
        <w:ind w:left="5760" w:hanging="360"/>
      </w:pPr>
    </w:lvl>
    <w:lvl w:ilvl="8" w:tplc="25F21B56" w:tentative="1">
      <w:start w:val="1"/>
      <w:numFmt w:val="lowerRoman"/>
      <w:lvlText w:val="%9."/>
      <w:lvlJc w:val="right"/>
      <w:pPr>
        <w:tabs>
          <w:tab w:val="num" w:pos="6480"/>
        </w:tabs>
        <w:ind w:left="6480" w:hanging="180"/>
      </w:p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C5A239B"/>
    <w:multiLevelType w:val="hybridMultilevel"/>
    <w:tmpl w:val="3252D5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FE7E95"/>
    <w:multiLevelType w:val="hybridMultilevel"/>
    <w:tmpl w:val="D8E8D1D4"/>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4F3A43"/>
    <w:multiLevelType w:val="hybridMultilevel"/>
    <w:tmpl w:val="44EA2960"/>
    <w:lvl w:ilvl="0" w:tplc="CC94DF4A">
      <w:start w:val="5"/>
      <w:numFmt w:val="decimal"/>
      <w:lvlText w:val="%1."/>
      <w:lvlJc w:val="left"/>
      <w:pPr>
        <w:tabs>
          <w:tab w:val="num" w:pos="930"/>
        </w:tabs>
        <w:ind w:left="930" w:hanging="570"/>
      </w:pPr>
      <w:rPr>
        <w:rFonts w:hint="default"/>
        <w:color w:val="auto"/>
      </w:rPr>
    </w:lvl>
    <w:lvl w:ilvl="1" w:tplc="C846DFDC" w:tentative="1">
      <w:start w:val="1"/>
      <w:numFmt w:val="lowerLetter"/>
      <w:lvlText w:val="%2."/>
      <w:lvlJc w:val="left"/>
      <w:pPr>
        <w:tabs>
          <w:tab w:val="num" w:pos="1440"/>
        </w:tabs>
        <w:ind w:left="1440" w:hanging="360"/>
      </w:pPr>
    </w:lvl>
    <w:lvl w:ilvl="2" w:tplc="B63A74FE" w:tentative="1">
      <w:start w:val="1"/>
      <w:numFmt w:val="lowerRoman"/>
      <w:lvlText w:val="%3."/>
      <w:lvlJc w:val="right"/>
      <w:pPr>
        <w:tabs>
          <w:tab w:val="num" w:pos="2160"/>
        </w:tabs>
        <w:ind w:left="2160" w:hanging="180"/>
      </w:pPr>
    </w:lvl>
    <w:lvl w:ilvl="3" w:tplc="CA6E9CB0" w:tentative="1">
      <w:start w:val="1"/>
      <w:numFmt w:val="decimal"/>
      <w:lvlText w:val="%4."/>
      <w:lvlJc w:val="left"/>
      <w:pPr>
        <w:tabs>
          <w:tab w:val="num" w:pos="2880"/>
        </w:tabs>
        <w:ind w:left="2880" w:hanging="360"/>
      </w:pPr>
    </w:lvl>
    <w:lvl w:ilvl="4" w:tplc="B9184EE4" w:tentative="1">
      <w:start w:val="1"/>
      <w:numFmt w:val="lowerLetter"/>
      <w:lvlText w:val="%5."/>
      <w:lvlJc w:val="left"/>
      <w:pPr>
        <w:tabs>
          <w:tab w:val="num" w:pos="3600"/>
        </w:tabs>
        <w:ind w:left="3600" w:hanging="360"/>
      </w:pPr>
    </w:lvl>
    <w:lvl w:ilvl="5" w:tplc="D246433E" w:tentative="1">
      <w:start w:val="1"/>
      <w:numFmt w:val="lowerRoman"/>
      <w:lvlText w:val="%6."/>
      <w:lvlJc w:val="right"/>
      <w:pPr>
        <w:tabs>
          <w:tab w:val="num" w:pos="4320"/>
        </w:tabs>
        <w:ind w:left="4320" w:hanging="180"/>
      </w:pPr>
    </w:lvl>
    <w:lvl w:ilvl="6" w:tplc="0C427F7C" w:tentative="1">
      <w:start w:val="1"/>
      <w:numFmt w:val="decimal"/>
      <w:lvlText w:val="%7."/>
      <w:lvlJc w:val="left"/>
      <w:pPr>
        <w:tabs>
          <w:tab w:val="num" w:pos="5040"/>
        </w:tabs>
        <w:ind w:left="5040" w:hanging="360"/>
      </w:pPr>
    </w:lvl>
    <w:lvl w:ilvl="7" w:tplc="275C6254" w:tentative="1">
      <w:start w:val="1"/>
      <w:numFmt w:val="lowerLetter"/>
      <w:lvlText w:val="%8."/>
      <w:lvlJc w:val="left"/>
      <w:pPr>
        <w:tabs>
          <w:tab w:val="num" w:pos="5760"/>
        </w:tabs>
        <w:ind w:left="5760" w:hanging="360"/>
      </w:pPr>
    </w:lvl>
    <w:lvl w:ilvl="8" w:tplc="B4C45E96" w:tentative="1">
      <w:start w:val="1"/>
      <w:numFmt w:val="lowerRoman"/>
      <w:lvlText w:val="%9."/>
      <w:lvlJc w:val="right"/>
      <w:pPr>
        <w:tabs>
          <w:tab w:val="num" w:pos="6480"/>
        </w:tabs>
        <w:ind w:left="6480" w:hanging="180"/>
      </w:p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04E3207"/>
    <w:multiLevelType w:val="hybridMultilevel"/>
    <w:tmpl w:val="C436EC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709E1"/>
    <w:multiLevelType w:val="hybridMultilevel"/>
    <w:tmpl w:val="440A813E"/>
    <w:lvl w:ilvl="0" w:tplc="024C9CA0">
      <w:start w:val="4"/>
      <w:numFmt w:val="decimal"/>
      <w:lvlText w:val="%1."/>
      <w:lvlJc w:val="left"/>
      <w:pPr>
        <w:tabs>
          <w:tab w:val="num" w:pos="720"/>
        </w:tabs>
        <w:ind w:left="720" w:hanging="360"/>
      </w:pPr>
      <w:rPr>
        <w:rFonts w:hint="default"/>
      </w:rPr>
    </w:lvl>
    <w:lvl w:ilvl="1" w:tplc="51AA43BC" w:tentative="1">
      <w:start w:val="1"/>
      <w:numFmt w:val="lowerLetter"/>
      <w:lvlText w:val="%2."/>
      <w:lvlJc w:val="left"/>
      <w:pPr>
        <w:tabs>
          <w:tab w:val="num" w:pos="1440"/>
        </w:tabs>
        <w:ind w:left="1440" w:hanging="360"/>
      </w:pPr>
    </w:lvl>
    <w:lvl w:ilvl="2" w:tplc="DF7C20E0" w:tentative="1">
      <w:start w:val="1"/>
      <w:numFmt w:val="lowerRoman"/>
      <w:lvlText w:val="%3."/>
      <w:lvlJc w:val="right"/>
      <w:pPr>
        <w:tabs>
          <w:tab w:val="num" w:pos="2160"/>
        </w:tabs>
        <w:ind w:left="2160" w:hanging="180"/>
      </w:pPr>
    </w:lvl>
    <w:lvl w:ilvl="3" w:tplc="8FBA43A2" w:tentative="1">
      <w:start w:val="1"/>
      <w:numFmt w:val="decimal"/>
      <w:lvlText w:val="%4."/>
      <w:lvlJc w:val="left"/>
      <w:pPr>
        <w:tabs>
          <w:tab w:val="num" w:pos="2880"/>
        </w:tabs>
        <w:ind w:left="2880" w:hanging="360"/>
      </w:pPr>
    </w:lvl>
    <w:lvl w:ilvl="4" w:tplc="F7204B68" w:tentative="1">
      <w:start w:val="1"/>
      <w:numFmt w:val="lowerLetter"/>
      <w:lvlText w:val="%5."/>
      <w:lvlJc w:val="left"/>
      <w:pPr>
        <w:tabs>
          <w:tab w:val="num" w:pos="3600"/>
        </w:tabs>
        <w:ind w:left="3600" w:hanging="360"/>
      </w:pPr>
    </w:lvl>
    <w:lvl w:ilvl="5" w:tplc="68A606C4" w:tentative="1">
      <w:start w:val="1"/>
      <w:numFmt w:val="lowerRoman"/>
      <w:lvlText w:val="%6."/>
      <w:lvlJc w:val="right"/>
      <w:pPr>
        <w:tabs>
          <w:tab w:val="num" w:pos="4320"/>
        </w:tabs>
        <w:ind w:left="4320" w:hanging="180"/>
      </w:pPr>
    </w:lvl>
    <w:lvl w:ilvl="6" w:tplc="DB04BB94" w:tentative="1">
      <w:start w:val="1"/>
      <w:numFmt w:val="decimal"/>
      <w:lvlText w:val="%7."/>
      <w:lvlJc w:val="left"/>
      <w:pPr>
        <w:tabs>
          <w:tab w:val="num" w:pos="5040"/>
        </w:tabs>
        <w:ind w:left="5040" w:hanging="360"/>
      </w:pPr>
    </w:lvl>
    <w:lvl w:ilvl="7" w:tplc="95F2EBC2" w:tentative="1">
      <w:start w:val="1"/>
      <w:numFmt w:val="lowerLetter"/>
      <w:lvlText w:val="%8."/>
      <w:lvlJc w:val="left"/>
      <w:pPr>
        <w:tabs>
          <w:tab w:val="num" w:pos="5760"/>
        </w:tabs>
        <w:ind w:left="5760" w:hanging="360"/>
      </w:pPr>
    </w:lvl>
    <w:lvl w:ilvl="8" w:tplc="3964FE24" w:tentative="1">
      <w:start w:val="1"/>
      <w:numFmt w:val="lowerRoman"/>
      <w:lvlText w:val="%9."/>
      <w:lvlJc w:val="right"/>
      <w:pPr>
        <w:tabs>
          <w:tab w:val="num" w:pos="6480"/>
        </w:tabs>
        <w:ind w:left="6480" w:hanging="180"/>
      </w:pPr>
    </w:lvl>
  </w:abstractNum>
  <w:abstractNum w:abstractNumId="37" w15:restartNumberingAfterBreak="0">
    <w:nsid w:val="7DFB52F6"/>
    <w:multiLevelType w:val="hybridMultilevel"/>
    <w:tmpl w:val="B7EC6880"/>
    <w:lvl w:ilvl="0" w:tplc="B05C38D6">
      <w:start w:val="1"/>
      <w:numFmt w:val="decimal"/>
      <w:lvlText w:val="%1."/>
      <w:lvlJc w:val="left"/>
      <w:pPr>
        <w:tabs>
          <w:tab w:val="num" w:pos="360"/>
        </w:tabs>
        <w:ind w:left="360" w:hanging="360"/>
      </w:pPr>
    </w:lvl>
    <w:lvl w:ilvl="1" w:tplc="E2767B90" w:tentative="1">
      <w:start w:val="1"/>
      <w:numFmt w:val="lowerLetter"/>
      <w:lvlText w:val="%2."/>
      <w:lvlJc w:val="left"/>
      <w:pPr>
        <w:tabs>
          <w:tab w:val="num" w:pos="1080"/>
        </w:tabs>
        <w:ind w:left="1080" w:hanging="360"/>
      </w:pPr>
    </w:lvl>
    <w:lvl w:ilvl="2" w:tplc="CF8E23EA" w:tentative="1">
      <w:start w:val="1"/>
      <w:numFmt w:val="lowerRoman"/>
      <w:lvlText w:val="%3."/>
      <w:lvlJc w:val="right"/>
      <w:pPr>
        <w:tabs>
          <w:tab w:val="num" w:pos="1800"/>
        </w:tabs>
        <w:ind w:left="1800" w:hanging="180"/>
      </w:pPr>
    </w:lvl>
    <w:lvl w:ilvl="3" w:tplc="33885E44" w:tentative="1">
      <w:start w:val="1"/>
      <w:numFmt w:val="decimal"/>
      <w:lvlText w:val="%4."/>
      <w:lvlJc w:val="left"/>
      <w:pPr>
        <w:tabs>
          <w:tab w:val="num" w:pos="2520"/>
        </w:tabs>
        <w:ind w:left="2520" w:hanging="360"/>
      </w:pPr>
    </w:lvl>
    <w:lvl w:ilvl="4" w:tplc="DF14C1A0" w:tentative="1">
      <w:start w:val="1"/>
      <w:numFmt w:val="lowerLetter"/>
      <w:lvlText w:val="%5."/>
      <w:lvlJc w:val="left"/>
      <w:pPr>
        <w:tabs>
          <w:tab w:val="num" w:pos="3240"/>
        </w:tabs>
        <w:ind w:left="3240" w:hanging="360"/>
      </w:pPr>
    </w:lvl>
    <w:lvl w:ilvl="5" w:tplc="9F3094A0" w:tentative="1">
      <w:start w:val="1"/>
      <w:numFmt w:val="lowerRoman"/>
      <w:lvlText w:val="%6."/>
      <w:lvlJc w:val="right"/>
      <w:pPr>
        <w:tabs>
          <w:tab w:val="num" w:pos="3960"/>
        </w:tabs>
        <w:ind w:left="3960" w:hanging="180"/>
      </w:pPr>
    </w:lvl>
    <w:lvl w:ilvl="6" w:tplc="58AE9C6C" w:tentative="1">
      <w:start w:val="1"/>
      <w:numFmt w:val="decimal"/>
      <w:lvlText w:val="%7."/>
      <w:lvlJc w:val="left"/>
      <w:pPr>
        <w:tabs>
          <w:tab w:val="num" w:pos="4680"/>
        </w:tabs>
        <w:ind w:left="4680" w:hanging="360"/>
      </w:pPr>
    </w:lvl>
    <w:lvl w:ilvl="7" w:tplc="5B66EF26" w:tentative="1">
      <w:start w:val="1"/>
      <w:numFmt w:val="lowerLetter"/>
      <w:lvlText w:val="%8."/>
      <w:lvlJc w:val="left"/>
      <w:pPr>
        <w:tabs>
          <w:tab w:val="num" w:pos="5400"/>
        </w:tabs>
        <w:ind w:left="5400" w:hanging="360"/>
      </w:pPr>
    </w:lvl>
    <w:lvl w:ilvl="8" w:tplc="074407EA"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2"/>
  </w:num>
  <w:num w:numId="5">
    <w:abstractNumId w:val="13"/>
  </w:num>
  <w:num w:numId="6">
    <w:abstractNumId w:val="26"/>
  </w:num>
  <w:num w:numId="7">
    <w:abstractNumId w:val="22"/>
  </w:num>
  <w:num w:numId="8">
    <w:abstractNumId w:val="7"/>
  </w:num>
  <w:num w:numId="9">
    <w:abstractNumId w:val="31"/>
  </w:num>
  <w:num w:numId="10">
    <w:abstractNumId w:val="24"/>
  </w:num>
  <w:num w:numId="11">
    <w:abstractNumId w:val="33"/>
  </w:num>
  <w:num w:numId="12">
    <w:abstractNumId w:val="4"/>
  </w:num>
  <w:num w:numId="13">
    <w:abstractNumId w:val="10"/>
  </w:num>
  <w:num w:numId="14">
    <w:abstractNumId w:val="37"/>
  </w:num>
  <w:num w:numId="15">
    <w:abstractNumId w:val="36"/>
  </w:num>
  <w:num w:numId="16">
    <w:abstractNumId w:val="25"/>
  </w:num>
  <w:num w:numId="17">
    <w:abstractNumId w:val="21"/>
  </w:num>
  <w:num w:numId="18">
    <w:abstractNumId w:val="2"/>
  </w:num>
  <w:num w:numId="19">
    <w:abstractNumId w:val="9"/>
  </w:num>
  <w:num w:numId="20">
    <w:abstractNumId w:val="14"/>
  </w:num>
  <w:num w:numId="21">
    <w:abstractNumId w:val="29"/>
  </w:num>
  <w:num w:numId="22">
    <w:abstractNumId w:val="28"/>
  </w:num>
  <w:num w:numId="23">
    <w:abstractNumId w:val="8"/>
  </w:num>
  <w:num w:numId="24">
    <w:abstractNumId w:val="6"/>
  </w:num>
  <w:num w:numId="25">
    <w:abstractNumId w:val="17"/>
  </w:num>
  <w:num w:numId="26">
    <w:abstractNumId w:val="5"/>
  </w:num>
  <w:num w:numId="27">
    <w:abstractNumId w:val="23"/>
  </w:num>
  <w:num w:numId="28">
    <w:abstractNumId w:val="20"/>
  </w:num>
  <w:num w:numId="29">
    <w:abstractNumId w:val="3"/>
  </w:num>
  <w:num w:numId="30">
    <w:abstractNumId w:val="15"/>
  </w:num>
  <w:num w:numId="31">
    <w:abstractNumId w:val="27"/>
  </w:num>
  <w:num w:numId="32">
    <w:abstractNumId w:val="16"/>
  </w:num>
  <w:num w:numId="33">
    <w:abstractNumId w:val="12"/>
  </w:num>
  <w:num w:numId="34">
    <w:abstractNumId w:val="30"/>
  </w:num>
  <w:num w:numId="35">
    <w:abstractNumId w:val="19"/>
  </w:num>
  <w:num w:numId="36">
    <w:abstractNumId w:val="11"/>
  </w:num>
  <w:num w:numId="37">
    <w:abstractNumId w:val="35"/>
  </w:num>
  <w:num w:numId="38">
    <w:abstractNumId w:val="1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0846"/>
    <w:rsid w:val="00015BB0"/>
    <w:rsid w:val="000174DB"/>
    <w:rsid w:val="00020C95"/>
    <w:rsid w:val="00021EC4"/>
    <w:rsid w:val="000235FD"/>
    <w:rsid w:val="00033061"/>
    <w:rsid w:val="00033331"/>
    <w:rsid w:val="00033516"/>
    <w:rsid w:val="000535C0"/>
    <w:rsid w:val="00055157"/>
    <w:rsid w:val="00067D94"/>
    <w:rsid w:val="000802BB"/>
    <w:rsid w:val="00081F8A"/>
    <w:rsid w:val="00083B2F"/>
    <w:rsid w:val="0009193B"/>
    <w:rsid w:val="00091D99"/>
    <w:rsid w:val="000A5FA6"/>
    <w:rsid w:val="000B367B"/>
    <w:rsid w:val="000D7A48"/>
    <w:rsid w:val="000E09A7"/>
    <w:rsid w:val="000E6819"/>
    <w:rsid w:val="000E6CD5"/>
    <w:rsid w:val="000E72E4"/>
    <w:rsid w:val="000F1FF8"/>
    <w:rsid w:val="000F4516"/>
    <w:rsid w:val="000F7E98"/>
    <w:rsid w:val="00106DE1"/>
    <w:rsid w:val="00113A9A"/>
    <w:rsid w:val="00117E6F"/>
    <w:rsid w:val="00121C5E"/>
    <w:rsid w:val="00127324"/>
    <w:rsid w:val="00132092"/>
    <w:rsid w:val="00135C1E"/>
    <w:rsid w:val="00150F16"/>
    <w:rsid w:val="00152D0E"/>
    <w:rsid w:val="0016329F"/>
    <w:rsid w:val="00164751"/>
    <w:rsid w:val="00165887"/>
    <w:rsid w:val="001705F2"/>
    <w:rsid w:val="00171350"/>
    <w:rsid w:val="00172761"/>
    <w:rsid w:val="0017355A"/>
    <w:rsid w:val="00176DD3"/>
    <w:rsid w:val="001A4EF0"/>
    <w:rsid w:val="001B3C0B"/>
    <w:rsid w:val="001D0FE7"/>
    <w:rsid w:val="001D37B5"/>
    <w:rsid w:val="001E4B17"/>
    <w:rsid w:val="001F5487"/>
    <w:rsid w:val="00200E68"/>
    <w:rsid w:val="00203B70"/>
    <w:rsid w:val="00204C37"/>
    <w:rsid w:val="0020587A"/>
    <w:rsid w:val="00231E54"/>
    <w:rsid w:val="0023419D"/>
    <w:rsid w:val="002362A1"/>
    <w:rsid w:val="00261D24"/>
    <w:rsid w:val="00273FDB"/>
    <w:rsid w:val="0027668E"/>
    <w:rsid w:val="00282286"/>
    <w:rsid w:val="00285465"/>
    <w:rsid w:val="002A02BD"/>
    <w:rsid w:val="002A61E1"/>
    <w:rsid w:val="002A7E12"/>
    <w:rsid w:val="002B7FDE"/>
    <w:rsid w:val="002C629B"/>
    <w:rsid w:val="002C784E"/>
    <w:rsid w:val="002F3935"/>
    <w:rsid w:val="00301246"/>
    <w:rsid w:val="00304243"/>
    <w:rsid w:val="003071A1"/>
    <w:rsid w:val="00320750"/>
    <w:rsid w:val="00320AF5"/>
    <w:rsid w:val="00335456"/>
    <w:rsid w:val="00344AA6"/>
    <w:rsid w:val="00350708"/>
    <w:rsid w:val="0035750F"/>
    <w:rsid w:val="003642F4"/>
    <w:rsid w:val="00364DCD"/>
    <w:rsid w:val="003662BE"/>
    <w:rsid w:val="00366581"/>
    <w:rsid w:val="00381A28"/>
    <w:rsid w:val="00384EF9"/>
    <w:rsid w:val="003904E5"/>
    <w:rsid w:val="00392D1F"/>
    <w:rsid w:val="00397B67"/>
    <w:rsid w:val="003A34E9"/>
    <w:rsid w:val="003B0FF0"/>
    <w:rsid w:val="003B5C38"/>
    <w:rsid w:val="003B6A61"/>
    <w:rsid w:val="003C0ED4"/>
    <w:rsid w:val="003E0583"/>
    <w:rsid w:val="003E1AFE"/>
    <w:rsid w:val="003F45AD"/>
    <w:rsid w:val="0040220E"/>
    <w:rsid w:val="00406F1C"/>
    <w:rsid w:val="0040795C"/>
    <w:rsid w:val="00413A30"/>
    <w:rsid w:val="004274D5"/>
    <w:rsid w:val="00434CCE"/>
    <w:rsid w:val="00446F6B"/>
    <w:rsid w:val="0045126D"/>
    <w:rsid w:val="00456979"/>
    <w:rsid w:val="00457F98"/>
    <w:rsid w:val="00465F40"/>
    <w:rsid w:val="0047096A"/>
    <w:rsid w:val="0048297B"/>
    <w:rsid w:val="00487D7A"/>
    <w:rsid w:val="004D1FD5"/>
    <w:rsid w:val="004D591D"/>
    <w:rsid w:val="004E764D"/>
    <w:rsid w:val="00507519"/>
    <w:rsid w:val="0051084B"/>
    <w:rsid w:val="00511160"/>
    <w:rsid w:val="00512AE3"/>
    <w:rsid w:val="005165A2"/>
    <w:rsid w:val="00522106"/>
    <w:rsid w:val="00524BD9"/>
    <w:rsid w:val="005317F7"/>
    <w:rsid w:val="0054181B"/>
    <w:rsid w:val="00551EC9"/>
    <w:rsid w:val="005544DE"/>
    <w:rsid w:val="00565B11"/>
    <w:rsid w:val="00567C1C"/>
    <w:rsid w:val="00570396"/>
    <w:rsid w:val="005742C8"/>
    <w:rsid w:val="00596D4B"/>
    <w:rsid w:val="005A5B8A"/>
    <w:rsid w:val="005C5166"/>
    <w:rsid w:val="005C7C3A"/>
    <w:rsid w:val="005D4E04"/>
    <w:rsid w:val="005E3819"/>
    <w:rsid w:val="005E427C"/>
    <w:rsid w:val="005E6E3A"/>
    <w:rsid w:val="005E6E82"/>
    <w:rsid w:val="005F1F82"/>
    <w:rsid w:val="005F66F1"/>
    <w:rsid w:val="00603F13"/>
    <w:rsid w:val="00612CD2"/>
    <w:rsid w:val="00644D26"/>
    <w:rsid w:val="00645687"/>
    <w:rsid w:val="00652C87"/>
    <w:rsid w:val="0068129F"/>
    <w:rsid w:val="006878EC"/>
    <w:rsid w:val="006A6775"/>
    <w:rsid w:val="006B35EF"/>
    <w:rsid w:val="006B5B51"/>
    <w:rsid w:val="006B6344"/>
    <w:rsid w:val="006B7DCE"/>
    <w:rsid w:val="006D4A7B"/>
    <w:rsid w:val="006E77CB"/>
    <w:rsid w:val="0071303C"/>
    <w:rsid w:val="00713969"/>
    <w:rsid w:val="00720C04"/>
    <w:rsid w:val="007240AA"/>
    <w:rsid w:val="00724145"/>
    <w:rsid w:val="0072506A"/>
    <w:rsid w:val="007419C2"/>
    <w:rsid w:val="0074598F"/>
    <w:rsid w:val="007642C4"/>
    <w:rsid w:val="00771FBC"/>
    <w:rsid w:val="00774F7E"/>
    <w:rsid w:val="00781D96"/>
    <w:rsid w:val="007A0102"/>
    <w:rsid w:val="007A4FEE"/>
    <w:rsid w:val="007A559B"/>
    <w:rsid w:val="007B0320"/>
    <w:rsid w:val="007B2648"/>
    <w:rsid w:val="007B627F"/>
    <w:rsid w:val="007C422B"/>
    <w:rsid w:val="007E1441"/>
    <w:rsid w:val="007E3AE7"/>
    <w:rsid w:val="00801DDB"/>
    <w:rsid w:val="00806DB9"/>
    <w:rsid w:val="00811464"/>
    <w:rsid w:val="00821D0A"/>
    <w:rsid w:val="0082246A"/>
    <w:rsid w:val="00846418"/>
    <w:rsid w:val="00846D85"/>
    <w:rsid w:val="0084776A"/>
    <w:rsid w:val="00855AAD"/>
    <w:rsid w:val="00867370"/>
    <w:rsid w:val="00870E9B"/>
    <w:rsid w:val="008806F9"/>
    <w:rsid w:val="0088508A"/>
    <w:rsid w:val="008871B0"/>
    <w:rsid w:val="008A0535"/>
    <w:rsid w:val="008A6E13"/>
    <w:rsid w:val="008A7680"/>
    <w:rsid w:val="008B1EB3"/>
    <w:rsid w:val="008B4A52"/>
    <w:rsid w:val="008B4FFD"/>
    <w:rsid w:val="008C59E2"/>
    <w:rsid w:val="008C5A6D"/>
    <w:rsid w:val="008E1753"/>
    <w:rsid w:val="008E7285"/>
    <w:rsid w:val="008F26B5"/>
    <w:rsid w:val="00910F65"/>
    <w:rsid w:val="0091143B"/>
    <w:rsid w:val="00911DDF"/>
    <w:rsid w:val="00912BC7"/>
    <w:rsid w:val="00915A9E"/>
    <w:rsid w:val="0092611B"/>
    <w:rsid w:val="009356B2"/>
    <w:rsid w:val="009419C3"/>
    <w:rsid w:val="00952955"/>
    <w:rsid w:val="0096452F"/>
    <w:rsid w:val="00964FCB"/>
    <w:rsid w:val="0097039A"/>
    <w:rsid w:val="009710D6"/>
    <w:rsid w:val="00972808"/>
    <w:rsid w:val="0097548A"/>
    <w:rsid w:val="00975CD2"/>
    <w:rsid w:val="00975D1A"/>
    <w:rsid w:val="00980C1E"/>
    <w:rsid w:val="00985101"/>
    <w:rsid w:val="0098512F"/>
    <w:rsid w:val="009865A6"/>
    <w:rsid w:val="00987C7B"/>
    <w:rsid w:val="009A5E66"/>
    <w:rsid w:val="009D4620"/>
    <w:rsid w:val="009D7A4F"/>
    <w:rsid w:val="009E70C5"/>
    <w:rsid w:val="009F66E2"/>
    <w:rsid w:val="00A1144A"/>
    <w:rsid w:val="00A12EA6"/>
    <w:rsid w:val="00A146BB"/>
    <w:rsid w:val="00A152BC"/>
    <w:rsid w:val="00A16429"/>
    <w:rsid w:val="00A170C5"/>
    <w:rsid w:val="00A36770"/>
    <w:rsid w:val="00A376CF"/>
    <w:rsid w:val="00A379E9"/>
    <w:rsid w:val="00A71FBA"/>
    <w:rsid w:val="00A75400"/>
    <w:rsid w:val="00A85D34"/>
    <w:rsid w:val="00A91E91"/>
    <w:rsid w:val="00AB5426"/>
    <w:rsid w:val="00AC430B"/>
    <w:rsid w:val="00AD7124"/>
    <w:rsid w:val="00AE2AFB"/>
    <w:rsid w:val="00AE33F7"/>
    <w:rsid w:val="00AF0DCA"/>
    <w:rsid w:val="00AF7779"/>
    <w:rsid w:val="00B04772"/>
    <w:rsid w:val="00B06BDE"/>
    <w:rsid w:val="00B2455E"/>
    <w:rsid w:val="00B305FD"/>
    <w:rsid w:val="00B322C7"/>
    <w:rsid w:val="00B35171"/>
    <w:rsid w:val="00B36028"/>
    <w:rsid w:val="00B4112D"/>
    <w:rsid w:val="00B44640"/>
    <w:rsid w:val="00B47451"/>
    <w:rsid w:val="00B54420"/>
    <w:rsid w:val="00B55366"/>
    <w:rsid w:val="00B73742"/>
    <w:rsid w:val="00B81481"/>
    <w:rsid w:val="00B84D7F"/>
    <w:rsid w:val="00B944A8"/>
    <w:rsid w:val="00BC407D"/>
    <w:rsid w:val="00BC5A11"/>
    <w:rsid w:val="00BD378C"/>
    <w:rsid w:val="00BE403C"/>
    <w:rsid w:val="00BF6367"/>
    <w:rsid w:val="00C04CC0"/>
    <w:rsid w:val="00C1388A"/>
    <w:rsid w:val="00C14365"/>
    <w:rsid w:val="00C15DAF"/>
    <w:rsid w:val="00C40768"/>
    <w:rsid w:val="00C45907"/>
    <w:rsid w:val="00C511AF"/>
    <w:rsid w:val="00C54BD0"/>
    <w:rsid w:val="00C570A5"/>
    <w:rsid w:val="00C7465E"/>
    <w:rsid w:val="00C75126"/>
    <w:rsid w:val="00C84873"/>
    <w:rsid w:val="00C85942"/>
    <w:rsid w:val="00C8692F"/>
    <w:rsid w:val="00CA0C5B"/>
    <w:rsid w:val="00CC0A6E"/>
    <w:rsid w:val="00CC4E9B"/>
    <w:rsid w:val="00CD0119"/>
    <w:rsid w:val="00CD10AA"/>
    <w:rsid w:val="00CD2E1C"/>
    <w:rsid w:val="00D04831"/>
    <w:rsid w:val="00D228D2"/>
    <w:rsid w:val="00D257F8"/>
    <w:rsid w:val="00D4081C"/>
    <w:rsid w:val="00D6136B"/>
    <w:rsid w:val="00D6219F"/>
    <w:rsid w:val="00D62B00"/>
    <w:rsid w:val="00D816C4"/>
    <w:rsid w:val="00D834A4"/>
    <w:rsid w:val="00D87F44"/>
    <w:rsid w:val="00D9220D"/>
    <w:rsid w:val="00DA6F25"/>
    <w:rsid w:val="00DB7F98"/>
    <w:rsid w:val="00DC037F"/>
    <w:rsid w:val="00DC072C"/>
    <w:rsid w:val="00DC2486"/>
    <w:rsid w:val="00DD75E5"/>
    <w:rsid w:val="00DF15FB"/>
    <w:rsid w:val="00E11F9F"/>
    <w:rsid w:val="00E12A18"/>
    <w:rsid w:val="00E1735A"/>
    <w:rsid w:val="00E2542E"/>
    <w:rsid w:val="00E25F94"/>
    <w:rsid w:val="00E40DB0"/>
    <w:rsid w:val="00E43843"/>
    <w:rsid w:val="00E53972"/>
    <w:rsid w:val="00E569E6"/>
    <w:rsid w:val="00E754AC"/>
    <w:rsid w:val="00E87F00"/>
    <w:rsid w:val="00E9666B"/>
    <w:rsid w:val="00EA4EDE"/>
    <w:rsid w:val="00EB142D"/>
    <w:rsid w:val="00EB14BB"/>
    <w:rsid w:val="00EB4D97"/>
    <w:rsid w:val="00EC1257"/>
    <w:rsid w:val="00ED4652"/>
    <w:rsid w:val="00EE168E"/>
    <w:rsid w:val="00EE2E5C"/>
    <w:rsid w:val="00EF5B2C"/>
    <w:rsid w:val="00EF6991"/>
    <w:rsid w:val="00F03511"/>
    <w:rsid w:val="00F27009"/>
    <w:rsid w:val="00F311D8"/>
    <w:rsid w:val="00F3385C"/>
    <w:rsid w:val="00F36843"/>
    <w:rsid w:val="00F40228"/>
    <w:rsid w:val="00F41417"/>
    <w:rsid w:val="00F41868"/>
    <w:rsid w:val="00F42F5D"/>
    <w:rsid w:val="00F440BA"/>
    <w:rsid w:val="00F44A1A"/>
    <w:rsid w:val="00F5579E"/>
    <w:rsid w:val="00F70660"/>
    <w:rsid w:val="00F70A53"/>
    <w:rsid w:val="00F74717"/>
    <w:rsid w:val="00F7536C"/>
    <w:rsid w:val="00F75EAB"/>
    <w:rsid w:val="00F8203C"/>
    <w:rsid w:val="00F835F2"/>
    <w:rsid w:val="00F84A09"/>
    <w:rsid w:val="00F90620"/>
    <w:rsid w:val="00F93DA7"/>
    <w:rsid w:val="00FA03F8"/>
    <w:rsid w:val="00FA0D4C"/>
    <w:rsid w:val="00FA3562"/>
    <w:rsid w:val="00FB475A"/>
    <w:rsid w:val="00FB67DA"/>
    <w:rsid w:val="00FB6BDA"/>
    <w:rsid w:val="00FC3C89"/>
    <w:rsid w:val="00FC78CD"/>
    <w:rsid w:val="00FD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FE0C5"/>
  <w15:chartTrackingRefBased/>
  <w15:docId w15:val="{1962F209-3193-4216-8CC8-81565C61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cs="Arial Unicode MS"/>
      <w:sz w:val="20"/>
      <w:lang w:val="x-none" w:bidi="lo-LA"/>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styleId="Revision">
    <w:name w:val="Revision"/>
    <w:hidden/>
    <w:uiPriority w:val="99"/>
    <w:semiHidden/>
    <w:rsid w:val="0092611B"/>
    <w:rPr>
      <w:sz w:val="22"/>
      <w:lang w:val="lv-LV"/>
    </w:rPr>
  </w:style>
  <w:style w:type="character" w:customStyle="1" w:styleId="HeaderChar">
    <w:name w:val="Header Char"/>
    <w:link w:val="Header"/>
    <w:uiPriority w:val="99"/>
    <w:rsid w:val="0092611B"/>
    <w:rPr>
      <w:rFonts w:ascii="Helvetica" w:hAnsi="Helvetica"/>
      <w:lang w:eastAsia="en-US"/>
    </w:rPr>
  </w:style>
  <w:style w:type="table" w:styleId="TableGrid">
    <w:name w:val="Table Grid"/>
    <w:basedOn w:val="TableNormal"/>
    <w:rsid w:val="00764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v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027F1-18E8-4C07-9EE8-B095A6B28A7F}">
  <ds:schemaRefs>
    <ds:schemaRef ds:uri="http://schemas.openxmlformats.org/officeDocument/2006/bibliography"/>
  </ds:schemaRefs>
</ds:datastoreItem>
</file>

<file path=customXml/itemProps2.xml><?xml version="1.0" encoding="utf-8"?>
<ds:datastoreItem xmlns:ds="http://schemas.openxmlformats.org/officeDocument/2006/customXml" ds:itemID="{15D01947-F592-4DA8-B535-8AB1FDA2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3166</Words>
  <Characters>22700</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25815</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4</cp:revision>
  <cp:lastPrinted>2003-10-21T08:46:00Z</cp:lastPrinted>
  <dcterms:created xsi:type="dcterms:W3CDTF">2021-04-19T07:27:00Z</dcterms:created>
  <dcterms:modified xsi:type="dcterms:W3CDTF">2021-05-11T08:19:00Z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